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94B6B" w:rsidR="004D7AC0" w:rsidP="000178D3" w:rsidRDefault="00136442" w14:paraId="785AE44C" w14:textId="5DFADD3A">
      <w:pPr>
        <w:jc w:val="center"/>
      </w:pPr>
      <w:r>
        <w:rPr>
          <w:noProof/>
        </w:rPr>
        <w:drawing>
          <wp:inline distT="0" distB="0" distL="0" distR="0" wp14:anchorId="0DF46DC7" wp14:editId="42374911">
            <wp:extent cx="1792605" cy="1239520"/>
            <wp:effectExtent l="0" t="0" r="0" b="0"/>
            <wp:docPr id="2" name="Picture 2" title="EESCLogo_DE"/>
            <wp:cNvGraphicFramePr/>
            <a:graphic xmlns:a="http://schemas.openxmlformats.org/drawingml/2006/main">
              <a:graphicData uri="http://schemas.openxmlformats.org/drawingml/2006/picture">
                <pic:pic xmlns:pic="http://schemas.openxmlformats.org/drawingml/2006/picture">
                  <pic:nvPicPr>
                    <pic:cNvPr id="2" name="Picture 2" title="EESCLogo_D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721342">
        <w:rPr>
          <w:noProof/>
          <w:sz w:val="20"/>
        </w:rPr>
        <mc:AlternateContent>
          <mc:Choice Requires="wps">
            <w:drawing>
              <wp:anchor distT="0" distB="0" distL="114300" distR="114300" simplePos="0" relativeHeight="251656704" behindDoc="1" locked="0" layoutInCell="0" allowOverlap="1" wp14:editId="7C05E1EB" wp14:anchorId="60050413">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765C4F" w:rsidP="004D7AC0" w:rsidRDefault="00765C4F" w14:paraId="2AA40ECF" w14:textId="77777777">
                            <w:pPr>
                              <w:jc w:val="center"/>
                              <w:rPr>
                                <w:rFonts w:ascii="Arial" w:hAnsi="Arial" w:cs="Arial"/>
                                <w:b/>
                                <w:bCs/>
                                <w:sz w:val="48"/>
                              </w:rPr>
                            </w:pPr>
                            <w:r>
                              <w:rPr>
                                <w:rFonts w:ascii="Arial" w:hAnsi="Arial"/>
                                <w:b/>
                                <w:sz w:val="48"/>
                              </w:rPr>
                              <w:t>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0050413">
                <v:stroke joinstyle="miter"/>
                <v:path gradientshapeok="t" o:connecttype="rect"/>
              </v:shapetype>
              <v:shape id="Text Box 17" style="position:absolute;left:0;text-align:left;margin-left:533pt;margin-top:793.8pt;width:51pt;height:31.2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765C4F" w:rsidP="004D7AC0" w:rsidRDefault="00765C4F" w14:paraId="2AA40ECF" w14:textId="77777777">
                      <w:pPr>
                        <w:jc w:val="center"/>
                        <w:rPr>
                          <w:rFonts w:ascii="Arial" w:hAnsi="Arial" w:cs="Arial"/>
                          <w:b/>
                          <w:bCs/>
                          <w:sz w:val="48"/>
                        </w:rPr>
                      </w:pPr>
                      <w:r>
                        <w:rPr>
                          <w:rFonts w:ascii="Arial" w:hAnsi="Arial"/>
                          <w:b/>
                          <w:sz w:val="48"/>
                        </w:rPr>
                        <w:t>DE</w:t>
                      </w:r>
                    </w:p>
                  </w:txbxContent>
                </v:textbox>
                <w10:wrap anchorx="page" anchory="page"/>
              </v:shape>
            </w:pict>
          </mc:Fallback>
        </mc:AlternateContent>
      </w:r>
    </w:p>
    <w:p w:rsidRPr="00094B6B" w:rsidR="004D7AC0" w:rsidP="000178D3" w:rsidRDefault="004D7AC0" w14:paraId="51F52D79" w14:textId="77777777"/>
    <w:p w:rsidRPr="00094B6B" w:rsidR="004D7AC0" w:rsidP="000178D3" w:rsidRDefault="00014C93" w14:paraId="45DE4A28" w14:textId="3DA65CCD">
      <w:pPr>
        <w:jc w:val="right"/>
      </w:pPr>
      <w:r>
        <w:t>Brüssel, den 21. Juni 2024</w:t>
      </w:r>
    </w:p>
    <w:p w:rsidRPr="00094B6B" w:rsidR="004D7AC0" w:rsidP="000178D3" w:rsidRDefault="004D7AC0" w14:paraId="6B250092" w14:textId="77777777"/>
    <w:p w:rsidRPr="00094B6B" w:rsidR="004D7AC0" w:rsidP="000178D3" w:rsidRDefault="004D7AC0" w14:paraId="0593C6DF" w14:textId="77777777"/>
    <w:tbl>
      <w:tblPr>
        <w:tblW w:w="0" w:type="auto"/>
        <w:tblLook w:val="04A0" w:firstRow="1" w:lastRow="0" w:firstColumn="1" w:lastColumn="0" w:noHBand="0" w:noVBand="1"/>
      </w:tblPr>
      <w:tblGrid>
        <w:gridCol w:w="9289"/>
      </w:tblGrid>
      <w:tr w:rsidRPr="00094B6B" w:rsidR="004D7AC0" w:rsidTr="00662436" w14:paraId="6D7B3453" w14:textId="77777777">
        <w:tc>
          <w:tcPr>
            <w:tcW w:w="9289" w:type="dxa"/>
            <w:tcBorders>
              <w:bottom w:val="double" w:color="auto" w:sz="4" w:space="0"/>
            </w:tcBorders>
          </w:tcPr>
          <w:p w:rsidRPr="00094B6B" w:rsidR="001760E9" w:rsidP="000178D3" w:rsidRDefault="00DA2D88" w14:paraId="3B286D4E" w14:textId="324300EF">
            <w:pPr>
              <w:snapToGrid w:val="0"/>
              <w:jc w:val="center"/>
              <w:rPr>
                <w:b/>
                <w:sz w:val="32"/>
              </w:rPr>
            </w:pPr>
            <w:r>
              <w:rPr>
                <w:b/>
                <w:sz w:val="32"/>
              </w:rPr>
              <w:t>588. PLENARTAGUNG</w:t>
            </w:r>
          </w:p>
          <w:p w:rsidRPr="00094B6B" w:rsidR="001760E9" w:rsidP="000178D3" w:rsidRDefault="001760E9" w14:paraId="6C87A626" w14:textId="0AE2882C">
            <w:pPr>
              <w:snapToGrid w:val="0"/>
              <w:jc w:val="center"/>
              <w:rPr>
                <w:b/>
                <w:sz w:val="32"/>
              </w:rPr>
            </w:pPr>
          </w:p>
          <w:p w:rsidRPr="00094B6B" w:rsidR="001760E9" w:rsidP="000178D3" w:rsidRDefault="005E7838" w14:paraId="6CF7229C" w14:textId="287F4AF2">
            <w:pPr>
              <w:snapToGrid w:val="0"/>
              <w:jc w:val="center"/>
              <w:rPr>
                <w:b/>
                <w:sz w:val="32"/>
              </w:rPr>
            </w:pPr>
            <w:r>
              <w:rPr>
                <w:b/>
                <w:sz w:val="32"/>
              </w:rPr>
              <w:t>30./31. Mai 2024</w:t>
            </w:r>
          </w:p>
          <w:p w:rsidRPr="00094B6B" w:rsidR="001760E9" w:rsidP="000178D3" w:rsidRDefault="001760E9" w14:paraId="0C44BD01" w14:textId="2F8EBB07">
            <w:pPr>
              <w:snapToGrid w:val="0"/>
              <w:jc w:val="center"/>
              <w:rPr>
                <w:b/>
                <w:sz w:val="32"/>
              </w:rPr>
            </w:pPr>
          </w:p>
          <w:p w:rsidRPr="00094B6B" w:rsidR="004D7AC0" w:rsidP="000178D3" w:rsidRDefault="00CF2F88" w14:paraId="114106CC" w14:textId="11A9DA7B">
            <w:pPr>
              <w:snapToGrid w:val="0"/>
              <w:jc w:val="center"/>
              <w:rPr>
                <w:rFonts w:eastAsia="MS Mincho"/>
                <w:b/>
                <w:sz w:val="32"/>
                <w:szCs w:val="32"/>
              </w:rPr>
            </w:pPr>
            <w:r>
              <w:rPr>
                <w:b/>
                <w:sz w:val="32"/>
              </w:rPr>
              <w:t>ZUSAMMENFASSUNG DER VERABSCHIEDETEN STELLUNGNAHMEN, ENTSCHLIEẞUNGEN UND INFORMATIONS-/BEWERTUNGSBERICHTE</w:t>
            </w:r>
          </w:p>
          <w:p w:rsidRPr="00094B6B" w:rsidR="004D7AC0" w:rsidP="000178D3" w:rsidRDefault="004D7AC0" w14:paraId="06AE72EA" w14:textId="77777777">
            <w:pPr>
              <w:snapToGrid w:val="0"/>
            </w:pPr>
          </w:p>
        </w:tc>
      </w:tr>
      <w:tr w:rsidRPr="00094B6B" w:rsidR="004D7AC0" w:rsidTr="00662436" w14:paraId="45EAB22F" w14:textId="77777777">
        <w:tc>
          <w:tcPr>
            <w:tcW w:w="9289" w:type="dxa"/>
            <w:tcBorders>
              <w:top w:val="double" w:color="auto" w:sz="4" w:space="0"/>
              <w:left w:val="double" w:color="auto" w:sz="4" w:space="0"/>
              <w:bottom w:val="double" w:color="auto" w:sz="4" w:space="0"/>
              <w:right w:val="double" w:color="auto" w:sz="4" w:space="0"/>
            </w:tcBorders>
          </w:tcPr>
          <w:p w:rsidRPr="00094B6B" w:rsidR="00B16284" w:rsidP="000178D3" w:rsidRDefault="004D7AC0" w14:paraId="0A87E35B" w14:textId="77777777">
            <w:pPr>
              <w:snapToGrid w:val="0"/>
              <w:jc w:val="center"/>
            </w:pPr>
            <w:r>
              <w:t>Dieses Dokument kann in den Amtssprachen auf den Internetseiten des EWSA unter folgender Adresse abgerufen werden:</w:t>
            </w:r>
          </w:p>
          <w:p w:rsidRPr="00094B6B" w:rsidR="00B16284" w:rsidP="000178D3" w:rsidRDefault="00B16284" w14:paraId="4F26A4CE" w14:textId="77777777">
            <w:pPr>
              <w:snapToGrid w:val="0"/>
              <w:jc w:val="center"/>
            </w:pPr>
          </w:p>
          <w:p w:rsidRPr="00094B6B" w:rsidR="004D7AC0" w:rsidP="000178D3" w:rsidRDefault="00D35CF0" w14:paraId="2A9352A2" w14:textId="0680ADB6">
            <w:pPr>
              <w:snapToGrid w:val="0"/>
              <w:jc w:val="center"/>
            </w:pPr>
            <w:hyperlink w:history="1" r:id="rId12">
              <w:r w:rsidR="00136442">
                <w:rPr>
                  <w:rStyle w:val="Hyperlink"/>
                  <w:highlight w:val="yellow"/>
                </w:rPr>
                <w:t>https://www.eesc.europa.eu/de/our-work/opinions-information-reports/plenary-session-summaries</w:t>
              </w:r>
            </w:hyperlink>
          </w:p>
          <w:p w:rsidRPr="00094B6B" w:rsidR="004D7AC0" w:rsidP="000178D3" w:rsidRDefault="004D7AC0" w14:paraId="70D5DBB4" w14:textId="77777777">
            <w:pPr>
              <w:snapToGrid w:val="0"/>
              <w:jc w:val="center"/>
            </w:pPr>
          </w:p>
          <w:p w:rsidRPr="00094B6B" w:rsidR="004D7AC0" w:rsidP="000178D3" w:rsidRDefault="004D7AC0" w14:paraId="575A73D6" w14:textId="77777777">
            <w:pPr>
              <w:snapToGrid w:val="0"/>
              <w:jc w:val="center"/>
              <w:rPr>
                <w:rFonts w:eastAsia="SimSun"/>
              </w:rPr>
            </w:pPr>
          </w:p>
          <w:p w:rsidRPr="00094B6B" w:rsidR="00B16284" w:rsidP="000178D3" w:rsidRDefault="004D7AC0" w14:paraId="1C64BC20" w14:textId="77777777">
            <w:pPr>
              <w:snapToGrid w:val="0"/>
              <w:jc w:val="center"/>
            </w:pPr>
            <w:r>
              <w:t>Die aufgeführten Stellungnahmen können online über die Suchmaschine des EWSA abgerufen werden:</w:t>
            </w:r>
          </w:p>
          <w:p w:rsidRPr="00094B6B" w:rsidR="00B16284" w:rsidP="000178D3" w:rsidRDefault="00B16284" w14:paraId="7A5411A5" w14:textId="77777777">
            <w:pPr>
              <w:snapToGrid w:val="0"/>
              <w:jc w:val="center"/>
            </w:pPr>
          </w:p>
          <w:p w:rsidRPr="00094B6B" w:rsidR="004D7AC0" w:rsidP="000178D3" w:rsidRDefault="00D35CF0" w14:paraId="441AC4DD" w14:textId="1194D751">
            <w:pPr>
              <w:snapToGrid w:val="0"/>
              <w:jc w:val="center"/>
            </w:pPr>
            <w:hyperlink w:history="1" r:id="rId13">
              <w:r w:rsidR="00136442">
                <w:rPr>
                  <w:rStyle w:val="Hyperlink"/>
                </w:rPr>
                <w:t>https://dmsearch.eesc.europa.eu/search/opinion</w:t>
              </w:r>
            </w:hyperlink>
          </w:p>
          <w:p w:rsidRPr="00094B6B" w:rsidR="004D7AC0" w:rsidP="000178D3" w:rsidRDefault="004D7AC0" w14:paraId="51FF303F" w14:textId="77777777">
            <w:pPr>
              <w:snapToGrid w:val="0"/>
              <w:jc w:val="center"/>
            </w:pPr>
          </w:p>
        </w:tc>
      </w:tr>
    </w:tbl>
    <w:p w:rsidRPr="00094B6B" w:rsidR="004D7AC0" w:rsidP="000178D3" w:rsidRDefault="004D7AC0" w14:paraId="57C291FC" w14:textId="77777777"/>
    <w:p w:rsidRPr="00094B6B" w:rsidR="004D7AC0" w:rsidP="000178D3" w:rsidRDefault="004D7AC0" w14:paraId="5E675360" w14:textId="77777777"/>
    <w:p w:rsidRPr="00094B6B" w:rsidR="005A29D5" w:rsidP="000178D3" w:rsidRDefault="005A29D5" w14:paraId="3CF67A1E" w14:textId="77777777">
      <w:pPr>
        <w:sectPr w:rsidRPr="00094B6B" w:rsidR="005A29D5" w:rsidSect="005C28F2">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09" w:gutter="0"/>
          <w:pgNumType w:start="1"/>
          <w:cols w:space="708"/>
          <w:docGrid w:linePitch="360"/>
        </w:sectPr>
      </w:pPr>
    </w:p>
    <w:p w:rsidRPr="00E31152" w:rsidR="00E31152" w:rsidP="000178D3" w:rsidRDefault="0014322B" w14:paraId="0D3450B1" w14:textId="72CD896C">
      <w:pPr>
        <w:keepNext/>
        <w:keepLines/>
        <w:ind w:hanging="284"/>
        <w:jc w:val="left"/>
        <w:rPr>
          <w:rFonts w:asciiTheme="majorHAnsi" w:hAnsiTheme="majorHAnsi" w:eastAsiaTheme="majorEastAsia" w:cstheme="majorBidi"/>
          <w:color w:val="2E74B5" w:themeColor="accent1" w:themeShade="BF"/>
          <w:sz w:val="32"/>
          <w:szCs w:val="32"/>
        </w:rPr>
      </w:pPr>
      <w:r>
        <w:rPr>
          <w:rFonts w:asciiTheme="majorHAnsi" w:hAnsiTheme="majorHAnsi"/>
          <w:color w:val="2E74B5" w:themeColor="accent1" w:themeShade="BF"/>
          <w:sz w:val="32"/>
        </w:rPr>
        <w:lastRenderedPageBreak/>
        <w:t>Inhalt</w:t>
      </w:r>
    </w:p>
    <w:p w:rsidR="000178D3" w:rsidP="000178D3" w:rsidRDefault="008772F9" w14:paraId="0FFEB3CA" w14:textId="557CB8A1">
      <w:pPr>
        <w:pStyle w:val="TOC1"/>
        <w:rPr>
          <w:rFonts w:asciiTheme="minorHAnsi" w:hAnsiTheme="minorHAnsi" w:eastAsiaTheme="minorEastAsia" w:cstheme="minorBidi"/>
          <w:sz w:val="22"/>
          <w:szCs w:val="22"/>
          <w:lang w:val="en-US"/>
        </w:rPr>
      </w:pPr>
      <w:r>
        <w:fldChar w:fldCharType="begin"/>
      </w:r>
      <w:r>
        <w:instrText xml:space="preserve"> TOC \o "1-1" \h \z \u </w:instrText>
      </w:r>
      <w:r>
        <w:fldChar w:fldCharType="separate"/>
      </w:r>
      <w:hyperlink w:history="1" w:anchor="_Toc169517897">
        <w:r w:rsidRPr="00466822" w:rsidR="000178D3">
          <w:rPr>
            <w:rStyle w:val="Hyperlink"/>
            <w14:scene3d>
              <w14:camera w14:prst="orthographicFront"/>
              <w14:lightRig w14:rig="threePt" w14:dir="t">
                <w14:rot w14:lat="0" w14:lon="0" w14:rev="0"/>
              </w14:lightRig>
            </w14:scene3d>
          </w:rPr>
          <w:t>1.</w:t>
        </w:r>
        <w:r w:rsidR="000178D3">
          <w:rPr>
            <w:rFonts w:asciiTheme="minorHAnsi" w:hAnsiTheme="minorHAnsi" w:eastAsiaTheme="minorEastAsia" w:cstheme="minorBidi"/>
            <w:sz w:val="22"/>
            <w:szCs w:val="22"/>
            <w:lang w:val="en-US"/>
          </w:rPr>
          <w:tab/>
        </w:r>
        <w:r w:rsidRPr="00466822" w:rsidR="000178D3">
          <w:rPr>
            <w:rStyle w:val="Hyperlink"/>
            <w:b/>
          </w:rPr>
          <w:t>WIRTSCHAFTS- UND WÄHRUNGSUNION, WIRTSCHAFTLICHER UND SOZIALER ZUSAMMENHALT</w:t>
        </w:r>
        <w:r w:rsidR="000178D3">
          <w:rPr>
            <w:webHidden/>
          </w:rPr>
          <w:tab/>
        </w:r>
        <w:r w:rsidR="000178D3">
          <w:rPr>
            <w:webHidden/>
          </w:rPr>
          <w:fldChar w:fldCharType="begin"/>
        </w:r>
        <w:r w:rsidR="000178D3">
          <w:rPr>
            <w:webHidden/>
          </w:rPr>
          <w:instrText xml:space="preserve"> PAGEREF _Toc169517897 \h </w:instrText>
        </w:r>
        <w:r w:rsidR="000178D3">
          <w:rPr>
            <w:webHidden/>
          </w:rPr>
        </w:r>
        <w:r w:rsidR="000178D3">
          <w:rPr>
            <w:webHidden/>
          </w:rPr>
          <w:fldChar w:fldCharType="separate"/>
        </w:r>
        <w:r w:rsidR="002802BB">
          <w:rPr>
            <w:webHidden/>
          </w:rPr>
          <w:t>3</w:t>
        </w:r>
        <w:r w:rsidR="000178D3">
          <w:rPr>
            <w:webHidden/>
          </w:rPr>
          <w:fldChar w:fldCharType="end"/>
        </w:r>
      </w:hyperlink>
    </w:p>
    <w:p w:rsidR="000178D3" w:rsidP="000178D3" w:rsidRDefault="000178D3" w14:paraId="394408ED" w14:textId="70124A8E">
      <w:pPr>
        <w:pStyle w:val="TOC1"/>
        <w:rPr>
          <w:rFonts w:asciiTheme="minorHAnsi" w:hAnsiTheme="minorHAnsi" w:eastAsiaTheme="minorEastAsia" w:cstheme="minorBidi"/>
          <w:sz w:val="22"/>
          <w:szCs w:val="22"/>
          <w:lang w:val="en-US"/>
        </w:rPr>
      </w:pPr>
      <w:hyperlink w:history="1" w:anchor="_Toc169517898">
        <w:r w:rsidRPr="00466822">
          <w:rPr>
            <w:rStyle w:val="Hyperlink"/>
            <w14:scene3d>
              <w14:camera w14:prst="orthographicFront"/>
              <w14:lightRig w14:rig="threePt" w14:dir="t">
                <w14:rot w14:lat="0" w14:lon="0" w14:rev="0"/>
              </w14:lightRig>
            </w14:scene3d>
          </w:rPr>
          <w:t>2.</w:t>
        </w:r>
        <w:r>
          <w:rPr>
            <w:rFonts w:asciiTheme="minorHAnsi" w:hAnsiTheme="minorHAnsi" w:eastAsiaTheme="minorEastAsia" w:cstheme="minorBidi"/>
            <w:sz w:val="22"/>
            <w:szCs w:val="22"/>
            <w:lang w:val="en-US"/>
          </w:rPr>
          <w:tab/>
        </w:r>
        <w:r w:rsidRPr="00466822">
          <w:rPr>
            <w:rStyle w:val="Hyperlink"/>
            <w:b/>
          </w:rPr>
          <w:t>BESCHÄFTIGUNG, SOZIALFRAGEN, UNIONSBÜRGERSCHAFT</w:t>
        </w:r>
        <w:r>
          <w:rPr>
            <w:webHidden/>
          </w:rPr>
          <w:tab/>
        </w:r>
        <w:r>
          <w:rPr>
            <w:webHidden/>
          </w:rPr>
          <w:fldChar w:fldCharType="begin"/>
        </w:r>
        <w:r>
          <w:rPr>
            <w:webHidden/>
          </w:rPr>
          <w:instrText xml:space="preserve"> PAGEREF _Toc169517898 \h </w:instrText>
        </w:r>
        <w:r>
          <w:rPr>
            <w:webHidden/>
          </w:rPr>
        </w:r>
        <w:r>
          <w:rPr>
            <w:webHidden/>
          </w:rPr>
          <w:fldChar w:fldCharType="separate"/>
        </w:r>
        <w:r w:rsidR="002802BB">
          <w:rPr>
            <w:webHidden/>
          </w:rPr>
          <w:t>7</w:t>
        </w:r>
        <w:r>
          <w:rPr>
            <w:webHidden/>
          </w:rPr>
          <w:fldChar w:fldCharType="end"/>
        </w:r>
      </w:hyperlink>
    </w:p>
    <w:p w:rsidR="000178D3" w:rsidP="000178D3" w:rsidRDefault="000178D3" w14:paraId="02173CF3" w14:textId="40247334">
      <w:pPr>
        <w:pStyle w:val="TOC1"/>
        <w:rPr>
          <w:rFonts w:asciiTheme="minorHAnsi" w:hAnsiTheme="minorHAnsi" w:eastAsiaTheme="minorEastAsia" w:cstheme="minorBidi"/>
          <w:sz w:val="22"/>
          <w:szCs w:val="22"/>
          <w:lang w:val="en-US"/>
        </w:rPr>
      </w:pPr>
      <w:hyperlink w:history="1" w:anchor="_Toc169517899">
        <w:r w:rsidRPr="00466822">
          <w:rPr>
            <w:rStyle w:val="Hyperlink"/>
            <w14:scene3d>
              <w14:camera w14:prst="orthographicFront"/>
              <w14:lightRig w14:rig="threePt" w14:dir="t">
                <w14:rot w14:lat="0" w14:lon="0" w14:rev="0"/>
              </w14:lightRig>
            </w14:scene3d>
          </w:rPr>
          <w:t>3.</w:t>
        </w:r>
        <w:r>
          <w:rPr>
            <w:rFonts w:asciiTheme="minorHAnsi" w:hAnsiTheme="minorHAnsi" w:eastAsiaTheme="minorEastAsia" w:cstheme="minorBidi"/>
            <w:sz w:val="22"/>
            <w:szCs w:val="22"/>
            <w:lang w:val="en-US"/>
          </w:rPr>
          <w:tab/>
        </w:r>
        <w:r w:rsidRPr="00466822">
          <w:rPr>
            <w:rStyle w:val="Hyperlink"/>
            <w:b/>
          </w:rPr>
          <w:t>LANDWIRTSCHAFT, LÄNDLICHE ENTWICKLUNG, UMWELT</w:t>
        </w:r>
        <w:r>
          <w:rPr>
            <w:webHidden/>
          </w:rPr>
          <w:tab/>
        </w:r>
        <w:r>
          <w:rPr>
            <w:webHidden/>
          </w:rPr>
          <w:fldChar w:fldCharType="begin"/>
        </w:r>
        <w:r>
          <w:rPr>
            <w:webHidden/>
          </w:rPr>
          <w:instrText xml:space="preserve"> PAGEREF _Toc169517899 \h </w:instrText>
        </w:r>
        <w:r>
          <w:rPr>
            <w:webHidden/>
          </w:rPr>
        </w:r>
        <w:r>
          <w:rPr>
            <w:webHidden/>
          </w:rPr>
          <w:fldChar w:fldCharType="separate"/>
        </w:r>
        <w:r w:rsidR="002802BB">
          <w:rPr>
            <w:webHidden/>
          </w:rPr>
          <w:t>12</w:t>
        </w:r>
        <w:r>
          <w:rPr>
            <w:webHidden/>
          </w:rPr>
          <w:fldChar w:fldCharType="end"/>
        </w:r>
      </w:hyperlink>
    </w:p>
    <w:p w:rsidR="000178D3" w:rsidP="000178D3" w:rsidRDefault="000178D3" w14:paraId="5089E961" w14:textId="15C4C841">
      <w:pPr>
        <w:pStyle w:val="TOC1"/>
        <w:rPr>
          <w:rFonts w:asciiTheme="minorHAnsi" w:hAnsiTheme="minorHAnsi" w:eastAsiaTheme="minorEastAsia" w:cstheme="minorBidi"/>
          <w:sz w:val="22"/>
          <w:szCs w:val="22"/>
          <w:lang w:val="en-US"/>
        </w:rPr>
      </w:pPr>
      <w:hyperlink w:history="1" w:anchor="_Toc169517900">
        <w:r w:rsidRPr="00466822">
          <w:rPr>
            <w:rStyle w:val="Hyperlink"/>
            <w14:scene3d>
              <w14:camera w14:prst="orthographicFront"/>
              <w14:lightRig w14:rig="threePt" w14:dir="t">
                <w14:rot w14:lat="0" w14:lon="0" w14:rev="0"/>
              </w14:lightRig>
            </w14:scene3d>
          </w:rPr>
          <w:t>4.</w:t>
        </w:r>
        <w:r>
          <w:rPr>
            <w:rFonts w:asciiTheme="minorHAnsi" w:hAnsiTheme="minorHAnsi" w:eastAsiaTheme="minorEastAsia" w:cstheme="minorBidi"/>
            <w:sz w:val="22"/>
            <w:szCs w:val="22"/>
            <w:lang w:val="en-US"/>
          </w:rPr>
          <w:tab/>
        </w:r>
        <w:r w:rsidRPr="00466822">
          <w:rPr>
            <w:rStyle w:val="Hyperlink"/>
            <w:b/>
          </w:rPr>
          <w:t>VERKEHR, ENERGIE, INFRASTRUKTUREN, INFORMATIONSGESELLSCHAFT</w:t>
        </w:r>
        <w:r>
          <w:rPr>
            <w:webHidden/>
          </w:rPr>
          <w:tab/>
        </w:r>
        <w:r>
          <w:rPr>
            <w:webHidden/>
          </w:rPr>
          <w:fldChar w:fldCharType="begin"/>
        </w:r>
        <w:r>
          <w:rPr>
            <w:webHidden/>
          </w:rPr>
          <w:instrText xml:space="preserve"> PAGEREF _Toc169517900 \h </w:instrText>
        </w:r>
        <w:r>
          <w:rPr>
            <w:webHidden/>
          </w:rPr>
        </w:r>
        <w:r>
          <w:rPr>
            <w:webHidden/>
          </w:rPr>
          <w:fldChar w:fldCharType="separate"/>
        </w:r>
        <w:r w:rsidR="002802BB">
          <w:rPr>
            <w:webHidden/>
          </w:rPr>
          <w:t>15</w:t>
        </w:r>
        <w:r>
          <w:rPr>
            <w:webHidden/>
          </w:rPr>
          <w:fldChar w:fldCharType="end"/>
        </w:r>
      </w:hyperlink>
    </w:p>
    <w:p w:rsidR="000178D3" w:rsidP="000178D3" w:rsidRDefault="000178D3" w14:paraId="55CB036F" w14:textId="5E8534C2">
      <w:pPr>
        <w:pStyle w:val="TOC1"/>
        <w:rPr>
          <w:rFonts w:asciiTheme="minorHAnsi" w:hAnsiTheme="minorHAnsi" w:eastAsiaTheme="minorEastAsia" w:cstheme="minorBidi"/>
          <w:sz w:val="22"/>
          <w:szCs w:val="22"/>
          <w:lang w:val="en-US"/>
        </w:rPr>
      </w:pPr>
      <w:hyperlink w:history="1" w:anchor="_Toc169517901">
        <w:r w:rsidRPr="00466822">
          <w:rPr>
            <w:rStyle w:val="Hyperlink"/>
            <w14:scene3d>
              <w14:camera w14:prst="orthographicFront"/>
              <w14:lightRig w14:rig="threePt" w14:dir="t">
                <w14:rot w14:lat="0" w14:lon="0" w14:rev="0"/>
              </w14:lightRig>
            </w14:scene3d>
          </w:rPr>
          <w:t>5.</w:t>
        </w:r>
        <w:r>
          <w:rPr>
            <w:rFonts w:asciiTheme="minorHAnsi" w:hAnsiTheme="minorHAnsi" w:eastAsiaTheme="minorEastAsia" w:cstheme="minorBidi"/>
            <w:sz w:val="22"/>
            <w:szCs w:val="22"/>
            <w:lang w:val="en-US"/>
          </w:rPr>
          <w:tab/>
        </w:r>
        <w:r w:rsidRPr="00466822">
          <w:rPr>
            <w:rStyle w:val="Hyperlink"/>
            <w:b/>
          </w:rPr>
          <w:t>BERATENDE KOMMISSION FÜR DEN INDUSTRIELLEN WANDEL</w:t>
        </w:r>
        <w:r>
          <w:rPr>
            <w:webHidden/>
          </w:rPr>
          <w:tab/>
        </w:r>
        <w:r>
          <w:rPr>
            <w:webHidden/>
          </w:rPr>
          <w:fldChar w:fldCharType="begin"/>
        </w:r>
        <w:r>
          <w:rPr>
            <w:webHidden/>
          </w:rPr>
          <w:instrText xml:space="preserve"> PAGEREF _Toc169517901 \h </w:instrText>
        </w:r>
        <w:r>
          <w:rPr>
            <w:webHidden/>
          </w:rPr>
        </w:r>
        <w:r>
          <w:rPr>
            <w:webHidden/>
          </w:rPr>
          <w:fldChar w:fldCharType="separate"/>
        </w:r>
        <w:r w:rsidR="002802BB">
          <w:rPr>
            <w:webHidden/>
          </w:rPr>
          <w:t>16</w:t>
        </w:r>
        <w:r>
          <w:rPr>
            <w:webHidden/>
          </w:rPr>
          <w:fldChar w:fldCharType="end"/>
        </w:r>
      </w:hyperlink>
    </w:p>
    <w:p w:rsidR="00C86ABD" w:rsidP="000178D3" w:rsidRDefault="008772F9" w14:paraId="4EDE006A" w14:textId="684F97F5">
      <w:pPr>
        <w:spacing w:before="240"/>
        <w:ind w:left="40" w:hanging="40"/>
        <w:jc w:val="left"/>
      </w:pPr>
      <w:r>
        <w:fldChar w:fldCharType="end"/>
      </w:r>
      <w:r>
        <w:br w:type="page"/>
      </w:r>
    </w:p>
    <w:p w:rsidRPr="00EE2FBD" w:rsidR="0038273B" w:rsidP="000178D3" w:rsidRDefault="0038273B" w14:paraId="62CE6920" w14:textId="4AB21D19">
      <w:pPr>
        <w:pStyle w:val="Heading1"/>
        <w:tabs>
          <w:tab w:val="clear" w:pos="440"/>
          <w:tab w:val="left" w:pos="567"/>
        </w:tabs>
        <w:spacing w:before="0"/>
        <w:ind w:left="567" w:hanging="567"/>
        <w:rPr>
          <w:b/>
          <w:bCs/>
        </w:rPr>
      </w:pPr>
      <w:bookmarkStart w:name="_Toc169517897" w:id="0"/>
      <w:r>
        <w:rPr>
          <w:b/>
        </w:rPr>
        <w:lastRenderedPageBreak/>
        <w:t>WIRTSCHAFTS- UND WÄHRUNGSUNION, WIRTSCHAFTLICHER UND SOZIALER ZUSAMMENHALT</w:t>
      </w:r>
      <w:bookmarkEnd w:id="0"/>
    </w:p>
    <w:p w:rsidR="006C19F4" w:rsidP="000178D3" w:rsidRDefault="006C19F4" w14:paraId="615CB201" w14:textId="46FEF5A0">
      <w:pPr>
        <w:tabs>
          <w:tab w:val="center" w:pos="284"/>
        </w:tabs>
        <w:overflowPunct w:val="0"/>
        <w:autoSpaceDE w:val="0"/>
        <w:autoSpaceDN w:val="0"/>
        <w:adjustRightInd w:val="0"/>
        <w:ind w:left="266" w:hanging="266"/>
        <w:textAlignment w:val="baseline"/>
        <w:rPr>
          <w:b/>
          <w:sz w:val="24"/>
          <w:szCs w:val="24"/>
        </w:rPr>
      </w:pPr>
    </w:p>
    <w:p w:rsidRPr="00DC0FAE" w:rsidR="006C19F4" w:rsidP="000178D3" w:rsidRDefault="00D35CF0" w14:paraId="3A82A886" w14:textId="11A0A9D6">
      <w:pPr>
        <w:widowControl w:val="0"/>
        <w:numPr>
          <w:ilvl w:val="0"/>
          <w:numId w:val="7"/>
        </w:numPr>
        <w:overflowPunct w:val="0"/>
        <w:autoSpaceDE w:val="0"/>
        <w:autoSpaceDN w:val="0"/>
        <w:adjustRightInd w:val="0"/>
        <w:ind w:hanging="567"/>
        <w:textAlignment w:val="baseline"/>
        <w:rPr>
          <w:b/>
          <w:i/>
          <w:iCs/>
          <w:sz w:val="28"/>
          <w:szCs w:val="28"/>
        </w:rPr>
      </w:pPr>
      <w:hyperlink w:history="1" r:id="rId20">
        <w:r w:rsidR="00136442">
          <w:rPr>
            <w:b/>
            <w:i/>
            <w:color w:val="0000FF"/>
            <w:sz w:val="28"/>
            <w:u w:val="single"/>
          </w:rPr>
          <w:t>Die Rolle der Kohäsionspolitik in den nächsten Erweiterungsrunden der Union</w:t>
        </w:r>
      </w:hyperlink>
    </w:p>
    <w:p w:rsidRPr="006C19F4" w:rsidR="00190D28" w:rsidP="000178D3" w:rsidRDefault="00190D28" w14:paraId="647D4419" w14:textId="77777777">
      <w:pPr>
        <w:widowControl w:val="0"/>
        <w:overflowPunct w:val="0"/>
        <w:autoSpaceDE w:val="0"/>
        <w:autoSpaceDN w:val="0"/>
        <w:adjustRightInd w:val="0"/>
        <w:ind w:left="284"/>
        <w:textAlignment w:val="baseline"/>
        <w:rPr>
          <w:b/>
          <w:i/>
          <w:iCs/>
          <w:sz w:val="28"/>
          <w:szCs w:val="28"/>
        </w:rPr>
      </w:pPr>
    </w:p>
    <w:tbl>
      <w:tblPr>
        <w:tblStyle w:val="TableGrid212"/>
        <w:tblW w:w="93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10"/>
        <w:gridCol w:w="7212"/>
      </w:tblGrid>
      <w:tr w:rsidRPr="000178D3" w:rsidR="006C19F4" w:rsidTr="00FE3058" w14:paraId="7BA389F8" w14:textId="77777777">
        <w:tc>
          <w:tcPr>
            <w:tcW w:w="1701" w:type="dxa"/>
          </w:tcPr>
          <w:p w:rsidRPr="000178D3" w:rsidR="006C19F4" w:rsidP="000178D3" w:rsidRDefault="006C19F4" w14:paraId="4187F6BE" w14:textId="77777777">
            <w:pPr>
              <w:tabs>
                <w:tab w:val="center" w:pos="284"/>
              </w:tabs>
              <w:overflowPunct w:val="0"/>
              <w:autoSpaceDE w:val="0"/>
              <w:autoSpaceDN w:val="0"/>
              <w:adjustRightInd w:val="0"/>
              <w:ind w:left="266" w:hanging="266"/>
              <w:textAlignment w:val="baseline"/>
              <w:rPr>
                <w:b/>
                <w:sz w:val="22"/>
                <w:szCs w:val="22"/>
              </w:rPr>
            </w:pPr>
            <w:r w:rsidRPr="000178D3">
              <w:rPr>
                <w:b/>
                <w:sz w:val="22"/>
                <w:szCs w:val="22"/>
              </w:rPr>
              <w:t>Berichterstatterin</w:t>
            </w:r>
          </w:p>
        </w:tc>
        <w:tc>
          <w:tcPr>
            <w:tcW w:w="7621" w:type="dxa"/>
          </w:tcPr>
          <w:p w:rsidRPr="000178D3" w:rsidR="006C19F4" w:rsidP="000178D3" w:rsidRDefault="006C19F4" w14:paraId="1811BD9A" w14:textId="77777777">
            <w:pPr>
              <w:tabs>
                <w:tab w:val="center" w:pos="284"/>
              </w:tabs>
              <w:overflowPunct w:val="0"/>
              <w:autoSpaceDE w:val="0"/>
              <w:autoSpaceDN w:val="0"/>
              <w:adjustRightInd w:val="0"/>
              <w:ind w:left="266" w:hanging="266"/>
              <w:textAlignment w:val="baseline"/>
              <w:rPr>
                <w:bCs/>
                <w:sz w:val="22"/>
                <w:szCs w:val="22"/>
              </w:rPr>
            </w:pPr>
            <w:r w:rsidRPr="000178D3">
              <w:rPr>
                <w:sz w:val="22"/>
                <w:szCs w:val="22"/>
              </w:rPr>
              <w:t>Maria del Carmen BARRERA CHAMORRO (Gruppe Arbeitnehmer – ES)</w:t>
            </w:r>
          </w:p>
        </w:tc>
      </w:tr>
      <w:tr w:rsidRPr="000178D3" w:rsidR="006C19F4" w:rsidTr="000178D3" w14:paraId="73869A75" w14:textId="77777777">
        <w:trPr>
          <w:trHeight w:val="141"/>
        </w:trPr>
        <w:tc>
          <w:tcPr>
            <w:tcW w:w="9322" w:type="dxa"/>
            <w:gridSpan w:val="2"/>
          </w:tcPr>
          <w:p w:rsidRPr="000178D3" w:rsidR="006C19F4" w:rsidP="000178D3" w:rsidRDefault="006C19F4" w14:paraId="4BF0E4CE" w14:textId="77777777">
            <w:pPr>
              <w:tabs>
                <w:tab w:val="center" w:pos="284"/>
              </w:tabs>
              <w:overflowPunct w:val="0"/>
              <w:autoSpaceDE w:val="0"/>
              <w:autoSpaceDN w:val="0"/>
              <w:adjustRightInd w:val="0"/>
              <w:ind w:left="266" w:hanging="266"/>
              <w:textAlignment w:val="baseline"/>
              <w:rPr>
                <w:sz w:val="10"/>
                <w:szCs w:val="10"/>
              </w:rPr>
            </w:pPr>
          </w:p>
        </w:tc>
      </w:tr>
      <w:tr w:rsidRPr="000178D3" w:rsidR="006C19F4" w:rsidTr="00FE3058" w14:paraId="232B8808" w14:textId="77777777">
        <w:tc>
          <w:tcPr>
            <w:tcW w:w="1701" w:type="dxa"/>
          </w:tcPr>
          <w:p w:rsidRPr="000178D3" w:rsidR="006C19F4" w:rsidP="000178D3" w:rsidRDefault="006C19F4" w14:paraId="0DE082BA" w14:textId="77777777">
            <w:pPr>
              <w:tabs>
                <w:tab w:val="center" w:pos="284"/>
              </w:tabs>
              <w:overflowPunct w:val="0"/>
              <w:autoSpaceDE w:val="0"/>
              <w:autoSpaceDN w:val="0"/>
              <w:adjustRightInd w:val="0"/>
              <w:ind w:left="266" w:hanging="266"/>
              <w:textAlignment w:val="baseline"/>
              <w:rPr>
                <w:b/>
                <w:sz w:val="22"/>
                <w:szCs w:val="22"/>
              </w:rPr>
            </w:pPr>
            <w:r w:rsidRPr="000178D3">
              <w:rPr>
                <w:b/>
                <w:sz w:val="22"/>
                <w:szCs w:val="22"/>
              </w:rPr>
              <w:t>Referenzdokumente</w:t>
            </w:r>
          </w:p>
        </w:tc>
        <w:tc>
          <w:tcPr>
            <w:tcW w:w="7621" w:type="dxa"/>
          </w:tcPr>
          <w:p w:rsidRPr="000178D3" w:rsidR="00ED5F1D" w:rsidP="000178D3" w:rsidRDefault="00ED5F1D" w14:paraId="6C26CE56" w14:textId="7EC335DB">
            <w:pPr>
              <w:pStyle w:val="Default"/>
              <w:spacing w:line="288" w:lineRule="auto"/>
              <w:jc w:val="both"/>
              <w:rPr>
                <w:sz w:val="22"/>
                <w:szCs w:val="22"/>
              </w:rPr>
            </w:pPr>
            <w:r w:rsidRPr="000178D3">
              <w:rPr>
                <w:sz w:val="22"/>
                <w:szCs w:val="22"/>
              </w:rPr>
              <w:t xml:space="preserve">Sondierungsstellungnahme auf Ersuchen der Europäischen Kommission </w:t>
            </w:r>
          </w:p>
          <w:p w:rsidRPr="000178D3" w:rsidR="006C19F4" w:rsidP="000178D3" w:rsidRDefault="006C19F4" w14:paraId="7903D5BC" w14:textId="592052F7">
            <w:pPr>
              <w:tabs>
                <w:tab w:val="center" w:pos="284"/>
              </w:tabs>
              <w:overflowPunct w:val="0"/>
              <w:autoSpaceDE w:val="0"/>
              <w:autoSpaceDN w:val="0"/>
              <w:adjustRightInd w:val="0"/>
              <w:ind w:left="266" w:hanging="266"/>
              <w:textAlignment w:val="baseline"/>
              <w:rPr>
                <w:sz w:val="22"/>
                <w:szCs w:val="22"/>
              </w:rPr>
            </w:pPr>
            <w:r w:rsidRPr="000178D3">
              <w:rPr>
                <w:sz w:val="22"/>
                <w:szCs w:val="22"/>
              </w:rPr>
              <w:t>EESC-2024-00535-00-00-AC</w:t>
            </w:r>
          </w:p>
        </w:tc>
      </w:tr>
    </w:tbl>
    <w:p w:rsidR="00556279" w:rsidP="000178D3" w:rsidRDefault="00556279" w14:paraId="3EB4A714" w14:textId="77777777">
      <w:pPr>
        <w:keepNext/>
        <w:keepLines/>
        <w:tabs>
          <w:tab w:val="center" w:pos="284"/>
        </w:tabs>
        <w:overflowPunct w:val="0"/>
        <w:autoSpaceDE w:val="0"/>
        <w:autoSpaceDN w:val="0"/>
        <w:adjustRightInd w:val="0"/>
        <w:ind w:left="266" w:hanging="266"/>
        <w:textAlignment w:val="baseline"/>
        <w:rPr>
          <w:b/>
        </w:rPr>
      </w:pPr>
    </w:p>
    <w:p w:rsidR="006C19F4" w:rsidP="000178D3" w:rsidRDefault="006C19F4" w14:paraId="580E62C3" w14:textId="193AC286">
      <w:pPr>
        <w:keepNext/>
        <w:keepLines/>
        <w:tabs>
          <w:tab w:val="center" w:pos="284"/>
        </w:tabs>
        <w:overflowPunct w:val="0"/>
        <w:autoSpaceDE w:val="0"/>
        <w:autoSpaceDN w:val="0"/>
        <w:adjustRightInd w:val="0"/>
        <w:ind w:left="266" w:hanging="266"/>
        <w:textAlignment w:val="baseline"/>
        <w:rPr>
          <w:b/>
        </w:rPr>
      </w:pPr>
      <w:r>
        <w:rPr>
          <w:b/>
        </w:rPr>
        <w:t>Kernaussagen</w:t>
      </w:r>
    </w:p>
    <w:p w:rsidRPr="006C19F4" w:rsidR="00ED5F1D" w:rsidP="000178D3" w:rsidRDefault="00ED5F1D" w14:paraId="7E453C4F" w14:textId="77777777">
      <w:pPr>
        <w:keepNext/>
        <w:keepLines/>
        <w:tabs>
          <w:tab w:val="center" w:pos="284"/>
        </w:tabs>
        <w:overflowPunct w:val="0"/>
        <w:autoSpaceDE w:val="0"/>
        <w:autoSpaceDN w:val="0"/>
        <w:adjustRightInd w:val="0"/>
        <w:ind w:left="266" w:hanging="266"/>
        <w:textAlignment w:val="baseline"/>
        <w:rPr>
          <w:b/>
        </w:rPr>
      </w:pPr>
    </w:p>
    <w:p w:rsidR="006C19F4" w:rsidP="000178D3" w:rsidRDefault="006C19F4" w14:paraId="3AEFB419" w14:textId="78037879">
      <w:pPr>
        <w:overflowPunct w:val="0"/>
        <w:autoSpaceDE w:val="0"/>
        <w:autoSpaceDN w:val="0"/>
        <w:adjustRightInd w:val="0"/>
        <w:textAlignment w:val="baseline"/>
        <w:rPr>
          <w:bCs/>
          <w:iCs/>
        </w:rPr>
      </w:pPr>
      <w:r>
        <w:t>Der EWSA:</w:t>
      </w:r>
    </w:p>
    <w:p w:rsidRPr="006C19F4" w:rsidR="007A51DE" w:rsidP="000178D3" w:rsidRDefault="007A51DE" w14:paraId="3831A5EE" w14:textId="77777777">
      <w:pPr>
        <w:overflowPunct w:val="0"/>
        <w:autoSpaceDE w:val="0"/>
        <w:autoSpaceDN w:val="0"/>
        <w:adjustRightInd w:val="0"/>
        <w:textAlignment w:val="baseline"/>
        <w:rPr>
          <w:bCs/>
          <w:iCs/>
        </w:rPr>
      </w:pPr>
    </w:p>
    <w:p w:rsidRPr="006C19F4" w:rsidR="006C19F4" w:rsidP="000178D3" w:rsidRDefault="006C19F4" w14:paraId="18DCF415" w14:textId="77777777">
      <w:pPr>
        <w:numPr>
          <w:ilvl w:val="0"/>
          <w:numId w:val="13"/>
        </w:numPr>
        <w:overflowPunct w:val="0"/>
        <w:autoSpaceDE w:val="0"/>
        <w:autoSpaceDN w:val="0"/>
        <w:adjustRightInd w:val="0"/>
        <w:contextualSpacing/>
        <w:textAlignment w:val="baseline"/>
        <w:rPr>
          <w:bCs/>
          <w:iCs/>
        </w:rPr>
      </w:pPr>
      <w:r>
        <w:t>betont, dass die Politik der Heranführungshilfe ein unverzichtbares Instrument der Erweiterungspolitik ist. Ihr Einfluss sollte gestärkt werden, um Frieden und Wohlstand auf dem gesamten europäischen Kontinent zu fördern, insbesondere in Regionen, in denen Frieden und Stabilität in jüngster Zeit bedroht sind;</w:t>
      </w:r>
    </w:p>
    <w:p w:rsidRPr="006C19F4" w:rsidR="006C19F4" w:rsidP="000178D3" w:rsidRDefault="006C19F4" w14:paraId="6F8C8AAA" w14:textId="77777777">
      <w:pPr>
        <w:numPr>
          <w:ilvl w:val="0"/>
          <w:numId w:val="13"/>
        </w:numPr>
        <w:overflowPunct w:val="0"/>
        <w:autoSpaceDE w:val="0"/>
        <w:autoSpaceDN w:val="0"/>
        <w:adjustRightInd w:val="0"/>
        <w:contextualSpacing/>
        <w:textAlignment w:val="baseline"/>
        <w:rPr>
          <w:bCs/>
          <w:iCs/>
        </w:rPr>
      </w:pPr>
      <w:r>
        <w:t>stellt fest, dass die Politik der Heranführungshilfe besser auf die Stärken, Herausforderungen und Bedürfnisse der jeweiligen Regionen sowie der angrenzenden Regionen der EU-Mitgliedstaaten zugeschnitten sein sollte, um die Beitrittskandidaten auf die künftige vollständige Umsetzung der kohäsionspolitischen Instrumente vorzubereiten;</w:t>
      </w:r>
    </w:p>
    <w:p w:rsidRPr="006C19F4" w:rsidR="006C19F4" w:rsidP="000178D3" w:rsidRDefault="006C19F4" w14:paraId="7DB08F12" w14:textId="77777777">
      <w:pPr>
        <w:numPr>
          <w:ilvl w:val="0"/>
          <w:numId w:val="13"/>
        </w:numPr>
        <w:overflowPunct w:val="0"/>
        <w:autoSpaceDE w:val="0"/>
        <w:autoSpaceDN w:val="0"/>
        <w:adjustRightInd w:val="0"/>
        <w:contextualSpacing/>
        <w:textAlignment w:val="baseline"/>
        <w:rPr>
          <w:bCs/>
          <w:iCs/>
        </w:rPr>
      </w:pPr>
      <w:r>
        <w:t>empfiehlt, dass die Politik der Heranführungshilfe in den Bewerberländern systematischer in die Entwicklung der Humanressourcen, die Bildung und die soziale Integration investieren sollte, um soziale Ungleichheiten zu verhindern und abzubauen. Die Förderung von Verbindungen zu zivilgesellschaftlichen Organisationen zur Verbesserung der politischen Planung der Heranführungshilfe ist von wesentlicher Bedeutung;</w:t>
      </w:r>
    </w:p>
    <w:p w:rsidRPr="006C19F4" w:rsidR="006C19F4" w:rsidP="000178D3" w:rsidRDefault="006C19F4" w14:paraId="796D945B" w14:textId="77777777">
      <w:pPr>
        <w:numPr>
          <w:ilvl w:val="0"/>
          <w:numId w:val="13"/>
        </w:numPr>
        <w:overflowPunct w:val="0"/>
        <w:autoSpaceDE w:val="0"/>
        <w:autoSpaceDN w:val="0"/>
        <w:adjustRightInd w:val="0"/>
        <w:contextualSpacing/>
        <w:textAlignment w:val="baseline"/>
        <w:rPr>
          <w:bCs/>
          <w:iCs/>
        </w:rPr>
      </w:pPr>
      <w:r>
        <w:t>ist der Auffassung, dass der Schutz gefährdeter Gruppen, die mit zusätzlichen und erheblichen Hindernissen für ihre wirtschaftliche und soziale Entwicklung konfrontiert sind und im künftigen Beitrittsprozess vor zusätzlichen Herausforderungen stehen können, in der künftigen Kohäsionspolitik Vorrang haben sollte;</w:t>
      </w:r>
    </w:p>
    <w:p w:rsidRPr="006C19F4" w:rsidR="006C19F4" w:rsidP="000178D3" w:rsidRDefault="006C19F4" w14:paraId="7BE159C5" w14:textId="77777777">
      <w:pPr>
        <w:numPr>
          <w:ilvl w:val="0"/>
          <w:numId w:val="13"/>
        </w:numPr>
        <w:overflowPunct w:val="0"/>
        <w:autoSpaceDE w:val="0"/>
        <w:autoSpaceDN w:val="0"/>
        <w:adjustRightInd w:val="0"/>
        <w:contextualSpacing/>
        <w:textAlignment w:val="baseline"/>
        <w:rPr>
          <w:bCs/>
          <w:iCs/>
        </w:rPr>
      </w:pPr>
      <w:r>
        <w:t>unterstreicht, dass stärkere Partnerschaften mit zivilgesellschaftlichen Organisationen in den Bewerberländern nicht nur für die Förderung der Ziele der Erweiterung von unschätzbarem Wert sind. Sie kommen auch Strategien für eine wirksame und inklusive Entwicklung zugute, die sich auf die festgelegten Grundsätze einer starken Partnerschaft und der geteilten Mittelverwaltung stützen;</w:t>
      </w:r>
    </w:p>
    <w:p w:rsidRPr="006C19F4" w:rsidR="006C19F4" w:rsidP="000178D3" w:rsidRDefault="006C19F4" w14:paraId="0F3DDE5E" w14:textId="77777777">
      <w:pPr>
        <w:numPr>
          <w:ilvl w:val="0"/>
          <w:numId w:val="13"/>
        </w:numPr>
        <w:overflowPunct w:val="0"/>
        <w:autoSpaceDE w:val="0"/>
        <w:autoSpaceDN w:val="0"/>
        <w:adjustRightInd w:val="0"/>
        <w:contextualSpacing/>
        <w:textAlignment w:val="baseline"/>
        <w:rPr>
          <w:bCs/>
          <w:iCs/>
        </w:rPr>
      </w:pPr>
      <w:r>
        <w:t>hebt hervor, dass die Rolle der Kohäsionspolitik weit über die Kerninvestitionen hinausgehen muss. Ihr Schwerpunkt muss auf dem Aufbau von Institutionen und Kapazitäten liegen, einschließlich Partnerschaftsprogramme und Unterstützung der Zivilgesellschaft und der Sozialpartner;</w:t>
      </w:r>
    </w:p>
    <w:p w:rsidRPr="006C19F4" w:rsidR="006C19F4" w:rsidP="000178D3" w:rsidRDefault="006C19F4" w14:paraId="5388831B" w14:textId="77777777">
      <w:pPr>
        <w:numPr>
          <w:ilvl w:val="0"/>
          <w:numId w:val="13"/>
        </w:numPr>
        <w:overflowPunct w:val="0"/>
        <w:autoSpaceDE w:val="0"/>
        <w:autoSpaceDN w:val="0"/>
        <w:adjustRightInd w:val="0"/>
        <w:contextualSpacing/>
        <w:textAlignment w:val="baseline"/>
        <w:rPr>
          <w:bCs/>
          <w:iCs/>
        </w:rPr>
      </w:pPr>
      <w:r>
        <w:t xml:space="preserve">macht deutlich, dass die Erweiterungsrunden auch Folgen für die derzeitigen Mitgliedstaaten und ihre Regionen haben. Denn die neuen Mitgliedstaaten treten dem Binnenmarkt bei, was sich auf die internationale Wertschöpfungskette und die Arbeitsmigration in der EU auswirkt. Daher bedarf es zusätzlicher Mittel für Investitionen in den Grenzregionen zu den Bewerberländern </w:t>
      </w:r>
      <w:r>
        <w:lastRenderedPageBreak/>
        <w:t>sowie in denjenigen Regionen der derzeitigen Mitgliedstaaten, die von Veränderungen in der EU und den globalen Wertschöpfungsketten infolge der Erweiterung schwer beeinträchtigt werden;</w:t>
      </w:r>
    </w:p>
    <w:p w:rsidRPr="006C19F4" w:rsidR="006C19F4" w:rsidP="000178D3" w:rsidRDefault="006C19F4" w14:paraId="371A7D2C" w14:textId="77777777">
      <w:pPr>
        <w:numPr>
          <w:ilvl w:val="0"/>
          <w:numId w:val="13"/>
        </w:numPr>
        <w:overflowPunct w:val="0"/>
        <w:autoSpaceDE w:val="0"/>
        <w:autoSpaceDN w:val="0"/>
        <w:adjustRightInd w:val="0"/>
        <w:contextualSpacing/>
        <w:textAlignment w:val="baseline"/>
        <w:rPr>
          <w:bCs/>
          <w:iCs/>
        </w:rPr>
      </w:pPr>
      <w:r>
        <w:t>ist der Ansicht, dass die Kommission ihre Reformen der künftigen Kohäsionspolitik parallel zum Erweiterungsprozess darauf ausrichten sollte, die Wirksamkeit der aktuellen politischen Maßnahmen zu steigern, und zwar auf der Grundlage einer stärkeren Spezialisierung und Diversifizierung in Verbindung mit größerer Flexibilität und finanzieller Spezialisierung. Ohne parallele Bemühungen um den Aufbau von Institutionen, die Reform der Regierungsführung und das Engagement der Zivilgesellschaft kann keine finanzielle Unterstützung erfolgreich zu wirtschaftlichem Wohlstand führen;</w:t>
      </w:r>
    </w:p>
    <w:p w:rsidRPr="006C19F4" w:rsidR="006C19F4" w:rsidP="000178D3" w:rsidRDefault="006C19F4" w14:paraId="0E40DD13" w14:textId="2FF30AF9">
      <w:pPr>
        <w:numPr>
          <w:ilvl w:val="0"/>
          <w:numId w:val="13"/>
        </w:numPr>
        <w:overflowPunct w:val="0"/>
        <w:autoSpaceDE w:val="0"/>
        <w:autoSpaceDN w:val="0"/>
        <w:adjustRightInd w:val="0"/>
        <w:contextualSpacing/>
        <w:textAlignment w:val="baseline"/>
        <w:rPr>
          <w:bCs/>
          <w:iCs/>
        </w:rPr>
      </w:pPr>
      <w:r>
        <w:t>betont, dass dringend verschiedene Maßnahmen einschließlich Investitionen in Humanressourcen ergriffen werden müssen, um die Auswanderung aus den EU</w:t>
      </w:r>
      <w:r w:rsidR="000178D3">
        <w:noBreakHyphen/>
      </w:r>
      <w:r>
        <w:t>Kandidatenländern einzudämmen, die deren wirtschaftliche und soziale Entwicklungsmöglichkeiten zunichtemachen könnte;</w:t>
      </w:r>
    </w:p>
    <w:p w:rsidRPr="006C19F4" w:rsidR="006C19F4" w:rsidP="000178D3" w:rsidRDefault="006C19F4" w14:paraId="696DDE71" w14:textId="77777777">
      <w:pPr>
        <w:numPr>
          <w:ilvl w:val="0"/>
          <w:numId w:val="13"/>
        </w:numPr>
        <w:overflowPunct w:val="0"/>
        <w:autoSpaceDE w:val="0"/>
        <w:autoSpaceDN w:val="0"/>
        <w:adjustRightInd w:val="0"/>
        <w:contextualSpacing/>
        <w:textAlignment w:val="baseline"/>
        <w:rPr>
          <w:bCs/>
          <w:iCs/>
        </w:rPr>
      </w:pPr>
      <w:r>
        <w:t>hält es für wesentlich, die Lage junger Menschen in den Kandidatenländern zu verbessern. Die Qualifikationen und Arbeitsplätze junger Menschen müssen ebenso wie Bildungs- und hochwertige Beschäftigungsmöglichkeiten für junge Menschen verbessert und Lösungen für die Wohnraumfrage gefunden werden. Der Dialog und die Beteiligung junger Menschen an Initiativen im Rahmen der Jugendgarantie sind ebenfalls zu fördern;</w:t>
      </w:r>
    </w:p>
    <w:p w:rsidR="006C19F4" w:rsidP="000178D3" w:rsidRDefault="006C19F4" w14:paraId="36FB8C43" w14:textId="60DCA5EA">
      <w:pPr>
        <w:numPr>
          <w:ilvl w:val="0"/>
          <w:numId w:val="13"/>
        </w:numPr>
        <w:overflowPunct w:val="0"/>
        <w:autoSpaceDE w:val="0"/>
        <w:autoSpaceDN w:val="0"/>
        <w:adjustRightInd w:val="0"/>
        <w:contextualSpacing/>
        <w:textAlignment w:val="baseline"/>
        <w:rPr>
          <w:bCs/>
          <w:iCs/>
        </w:rPr>
      </w:pPr>
      <w:r>
        <w:t>empfiehlt, das Engagement für die Betreuung der am stärksten gefährdeten Menschen und schutzbedürftigen Gruppen in den Kandidatenländern zu verstärken und diese Gruppen nicht nur in die Schutzsysteme, sondern auch in die Entscheidungsfindung einzubeziehen. Denn dies ist der beste Weg, um den ersten Grundsatz der Kohäsionspolitik, „Niemanden zurücklassen“, zu erreichen.</w:t>
      </w:r>
    </w:p>
    <w:p w:rsidRPr="006C19F4" w:rsidR="00ED5F1D" w:rsidP="000178D3" w:rsidRDefault="00ED5F1D" w14:paraId="0BD5F507" w14:textId="77777777">
      <w:pPr>
        <w:overflowPunct w:val="0"/>
        <w:autoSpaceDE w:val="0"/>
        <w:autoSpaceDN w:val="0"/>
        <w:adjustRightInd w:val="0"/>
        <w:contextualSpacing/>
        <w:textAlignment w:val="baseline"/>
        <w:rPr>
          <w:bCs/>
          <w:iCs/>
        </w:rPr>
      </w:pPr>
    </w:p>
    <w:tbl>
      <w:tblPr>
        <w:tblStyle w:val="TableGrid21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6C19F4" w:rsidR="006C19F4" w:rsidTr="00FE3058" w14:paraId="7A7F559C" w14:textId="77777777">
        <w:tc>
          <w:tcPr>
            <w:tcW w:w="1418" w:type="dxa"/>
          </w:tcPr>
          <w:p w:rsidRPr="006C19F4" w:rsidR="006C19F4" w:rsidP="000178D3" w:rsidRDefault="006C19F4" w14:paraId="6B40BFCD" w14:textId="77777777">
            <w:pPr>
              <w:overflowPunct w:val="0"/>
              <w:autoSpaceDE w:val="0"/>
              <w:autoSpaceDN w:val="0"/>
              <w:adjustRightInd w:val="0"/>
              <w:textAlignment w:val="baseline"/>
              <w:rPr>
                <w:i/>
              </w:rPr>
            </w:pPr>
            <w:r>
              <w:rPr>
                <w:b/>
                <w:i/>
              </w:rPr>
              <w:t>Kontakt</w:t>
            </w:r>
          </w:p>
        </w:tc>
        <w:tc>
          <w:tcPr>
            <w:tcW w:w="5670" w:type="dxa"/>
          </w:tcPr>
          <w:p w:rsidRPr="006C19F4" w:rsidR="006C19F4" w:rsidP="000178D3" w:rsidRDefault="006C19F4" w14:paraId="2E0B1708" w14:textId="77777777">
            <w:pPr>
              <w:overflowPunct w:val="0"/>
              <w:autoSpaceDE w:val="0"/>
              <w:autoSpaceDN w:val="0"/>
              <w:adjustRightInd w:val="0"/>
              <w:textAlignment w:val="baseline"/>
              <w:rPr>
                <w:i/>
              </w:rPr>
            </w:pPr>
            <w:r>
              <w:rPr>
                <w:i/>
              </w:rPr>
              <w:t xml:space="preserve">Georgios </w:t>
            </w:r>
            <w:proofErr w:type="spellStart"/>
            <w:r>
              <w:rPr>
                <w:i/>
              </w:rPr>
              <w:t>Meleas</w:t>
            </w:r>
            <w:proofErr w:type="spellEnd"/>
          </w:p>
        </w:tc>
      </w:tr>
      <w:tr w:rsidRPr="006C19F4" w:rsidR="006C19F4" w:rsidTr="00FE3058" w14:paraId="1C00A944" w14:textId="77777777">
        <w:tc>
          <w:tcPr>
            <w:tcW w:w="1418" w:type="dxa"/>
          </w:tcPr>
          <w:p w:rsidRPr="006C19F4" w:rsidR="006C19F4" w:rsidP="000178D3" w:rsidRDefault="006C19F4" w14:paraId="02043B5C" w14:textId="77777777">
            <w:pPr>
              <w:overflowPunct w:val="0"/>
              <w:autoSpaceDE w:val="0"/>
              <w:autoSpaceDN w:val="0"/>
              <w:adjustRightInd w:val="0"/>
              <w:textAlignment w:val="baseline"/>
              <w:rPr>
                <w:i/>
              </w:rPr>
            </w:pPr>
            <w:r>
              <w:rPr>
                <w:i/>
              </w:rPr>
              <w:t>Tel.</w:t>
            </w:r>
          </w:p>
        </w:tc>
        <w:tc>
          <w:tcPr>
            <w:tcW w:w="5670" w:type="dxa"/>
          </w:tcPr>
          <w:p w:rsidRPr="006C19F4" w:rsidR="006C19F4" w:rsidP="000178D3" w:rsidRDefault="006C19F4" w14:paraId="7765EB4C" w14:textId="77777777">
            <w:pPr>
              <w:overflowPunct w:val="0"/>
              <w:autoSpaceDE w:val="0"/>
              <w:autoSpaceDN w:val="0"/>
              <w:adjustRightInd w:val="0"/>
              <w:textAlignment w:val="baseline"/>
              <w:rPr>
                <w:i/>
              </w:rPr>
            </w:pPr>
            <w:r>
              <w:rPr>
                <w:i/>
              </w:rPr>
              <w:t>+32 25469795</w:t>
            </w:r>
          </w:p>
        </w:tc>
      </w:tr>
      <w:tr w:rsidRPr="006C19F4" w:rsidR="006C19F4" w:rsidTr="00FE3058" w14:paraId="13E41AD9" w14:textId="77777777">
        <w:tc>
          <w:tcPr>
            <w:tcW w:w="1418" w:type="dxa"/>
          </w:tcPr>
          <w:p w:rsidRPr="006C19F4" w:rsidR="006C19F4" w:rsidP="000178D3" w:rsidRDefault="006C19F4" w14:paraId="606A5A69" w14:textId="77777777">
            <w:pPr>
              <w:overflowPunct w:val="0"/>
              <w:autoSpaceDE w:val="0"/>
              <w:autoSpaceDN w:val="0"/>
              <w:adjustRightInd w:val="0"/>
              <w:textAlignment w:val="baseline"/>
              <w:rPr>
                <w:i/>
              </w:rPr>
            </w:pPr>
            <w:r>
              <w:rPr>
                <w:i/>
              </w:rPr>
              <w:t>E-Mail</w:t>
            </w:r>
          </w:p>
        </w:tc>
        <w:tc>
          <w:tcPr>
            <w:tcW w:w="5670" w:type="dxa"/>
          </w:tcPr>
          <w:p w:rsidRPr="006C19F4" w:rsidR="006C19F4" w:rsidP="000178D3" w:rsidRDefault="00D35CF0" w14:paraId="6B1B5DA3" w14:textId="77777777">
            <w:pPr>
              <w:overflowPunct w:val="0"/>
              <w:autoSpaceDE w:val="0"/>
              <w:autoSpaceDN w:val="0"/>
              <w:adjustRightInd w:val="0"/>
              <w:textAlignment w:val="baseline"/>
              <w:rPr>
                <w:i/>
              </w:rPr>
            </w:pPr>
            <w:hyperlink w:history="1" r:id="rId21">
              <w:r w:rsidR="00136442">
                <w:rPr>
                  <w:i/>
                  <w:color w:val="0000FF"/>
                  <w:u w:val="single"/>
                </w:rPr>
                <w:t>Georgios.Meleas@eesc.europa.eu</w:t>
              </w:r>
            </w:hyperlink>
          </w:p>
        </w:tc>
      </w:tr>
    </w:tbl>
    <w:p w:rsidR="001A5EC5" w:rsidP="000178D3" w:rsidRDefault="001A5EC5" w14:paraId="3A3398AC" w14:textId="4B0EF5D3">
      <w:pPr>
        <w:tabs>
          <w:tab w:val="center" w:pos="284"/>
        </w:tabs>
        <w:overflowPunct w:val="0"/>
        <w:autoSpaceDE w:val="0"/>
        <w:autoSpaceDN w:val="0"/>
        <w:adjustRightInd w:val="0"/>
        <w:ind w:left="266" w:hanging="266"/>
        <w:textAlignment w:val="baseline"/>
        <w:rPr>
          <w:b/>
          <w:sz w:val="24"/>
          <w:szCs w:val="24"/>
        </w:rPr>
      </w:pPr>
    </w:p>
    <w:p w:rsidR="001A5EC5" w:rsidP="000178D3" w:rsidRDefault="001A5EC5" w14:paraId="17F9882E" w14:textId="77777777">
      <w:pPr>
        <w:jc w:val="left"/>
        <w:rPr>
          <w:b/>
          <w:sz w:val="24"/>
          <w:szCs w:val="24"/>
        </w:rPr>
      </w:pPr>
      <w:r>
        <w:br w:type="page"/>
      </w:r>
    </w:p>
    <w:p w:rsidRPr="00DC0FAE" w:rsidR="001A5EC5" w:rsidP="000178D3" w:rsidRDefault="00D35CF0" w14:paraId="5AEA0F19" w14:textId="7A5418D6">
      <w:pPr>
        <w:widowControl w:val="0"/>
        <w:numPr>
          <w:ilvl w:val="0"/>
          <w:numId w:val="7"/>
        </w:numPr>
        <w:overflowPunct w:val="0"/>
        <w:autoSpaceDE w:val="0"/>
        <w:autoSpaceDN w:val="0"/>
        <w:adjustRightInd w:val="0"/>
        <w:ind w:hanging="567"/>
        <w:textAlignment w:val="baseline"/>
        <w:rPr>
          <w:b/>
          <w:i/>
          <w:iCs/>
          <w:sz w:val="28"/>
          <w:szCs w:val="28"/>
        </w:rPr>
      </w:pPr>
      <w:hyperlink w:history="1" r:id="rId22">
        <w:r w:rsidR="00136442">
          <w:rPr>
            <w:b/>
            <w:i/>
            <w:color w:val="0000FF"/>
            <w:sz w:val="28"/>
            <w:u w:val="single"/>
          </w:rPr>
          <w:t>Neunter Bericht über den wirtschaftlichen, sozialen und territorialen Zusammenhalt</w:t>
        </w:r>
      </w:hyperlink>
    </w:p>
    <w:p w:rsidRPr="001A5EC5" w:rsidR="00444F0D" w:rsidP="000178D3" w:rsidRDefault="00444F0D" w14:paraId="5992C072" w14:textId="77777777">
      <w:pPr>
        <w:widowControl w:val="0"/>
        <w:overflowPunct w:val="0"/>
        <w:autoSpaceDE w:val="0"/>
        <w:autoSpaceDN w:val="0"/>
        <w:adjustRightInd w:val="0"/>
        <w:ind w:left="284"/>
        <w:textAlignment w:val="baseline"/>
        <w:rPr>
          <w:b/>
          <w:i/>
          <w:iCs/>
          <w:sz w:val="28"/>
          <w:szCs w:val="28"/>
        </w:rPr>
      </w:pPr>
    </w:p>
    <w:tbl>
      <w:tblPr>
        <w:tblStyle w:val="TableGrid213"/>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18"/>
        <w:gridCol w:w="5387"/>
      </w:tblGrid>
      <w:tr w:rsidRPr="000178D3" w:rsidR="001A5EC5" w:rsidTr="000178D3" w14:paraId="44793051" w14:textId="77777777">
        <w:tc>
          <w:tcPr>
            <w:tcW w:w="1910" w:type="dxa"/>
          </w:tcPr>
          <w:p w:rsidRPr="000178D3" w:rsidR="001A5EC5" w:rsidP="000178D3" w:rsidRDefault="001A5EC5" w14:paraId="463E72CE" w14:textId="77777777">
            <w:pPr>
              <w:overflowPunct w:val="0"/>
              <w:autoSpaceDE w:val="0"/>
              <w:autoSpaceDN w:val="0"/>
              <w:adjustRightInd w:val="0"/>
              <w:ind w:left="174" w:hanging="266"/>
              <w:textAlignment w:val="baseline"/>
              <w:rPr>
                <w:b/>
                <w:sz w:val="22"/>
                <w:szCs w:val="22"/>
              </w:rPr>
            </w:pPr>
            <w:r w:rsidRPr="000178D3">
              <w:rPr>
                <w:b/>
                <w:sz w:val="22"/>
                <w:szCs w:val="22"/>
              </w:rPr>
              <w:t>Berichterstatter</w:t>
            </w:r>
          </w:p>
        </w:tc>
        <w:tc>
          <w:tcPr>
            <w:tcW w:w="5387" w:type="dxa"/>
          </w:tcPr>
          <w:p w:rsidRPr="000178D3" w:rsidR="001A5EC5" w:rsidP="000178D3" w:rsidRDefault="001A5EC5" w14:paraId="64C714E3" w14:textId="77777777">
            <w:pPr>
              <w:overflowPunct w:val="0"/>
              <w:autoSpaceDE w:val="0"/>
              <w:autoSpaceDN w:val="0"/>
              <w:adjustRightInd w:val="0"/>
              <w:ind w:left="174" w:hanging="266"/>
              <w:textAlignment w:val="baseline"/>
              <w:rPr>
                <w:bCs/>
                <w:sz w:val="22"/>
                <w:szCs w:val="22"/>
              </w:rPr>
            </w:pPr>
            <w:r w:rsidRPr="000178D3">
              <w:rPr>
                <w:sz w:val="22"/>
                <w:szCs w:val="22"/>
              </w:rPr>
              <w:t>Matteo Carlo BORSANI (Gruppe Arbeitgeber – IT)</w:t>
            </w:r>
          </w:p>
        </w:tc>
      </w:tr>
      <w:tr w:rsidRPr="000178D3" w:rsidR="001A5EC5" w:rsidTr="000178D3" w14:paraId="32E56BAC" w14:textId="77777777">
        <w:tc>
          <w:tcPr>
            <w:tcW w:w="7297" w:type="dxa"/>
            <w:gridSpan w:val="2"/>
          </w:tcPr>
          <w:p w:rsidRPr="000178D3" w:rsidR="001A5EC5" w:rsidP="000178D3" w:rsidRDefault="001A5EC5" w14:paraId="783F63D2" w14:textId="77777777">
            <w:pPr>
              <w:overflowPunct w:val="0"/>
              <w:autoSpaceDE w:val="0"/>
              <w:autoSpaceDN w:val="0"/>
              <w:adjustRightInd w:val="0"/>
              <w:ind w:left="174" w:hanging="266"/>
              <w:textAlignment w:val="baseline"/>
              <w:rPr>
                <w:sz w:val="10"/>
                <w:szCs w:val="10"/>
              </w:rPr>
            </w:pPr>
          </w:p>
        </w:tc>
      </w:tr>
      <w:tr w:rsidRPr="000178D3" w:rsidR="001A5EC5" w:rsidTr="000178D3" w14:paraId="2A351EBF" w14:textId="77777777">
        <w:tc>
          <w:tcPr>
            <w:tcW w:w="1910" w:type="dxa"/>
          </w:tcPr>
          <w:p w:rsidRPr="000178D3" w:rsidR="001A5EC5" w:rsidP="000178D3" w:rsidRDefault="001A5EC5" w14:paraId="26606D0B" w14:textId="77777777">
            <w:pPr>
              <w:overflowPunct w:val="0"/>
              <w:autoSpaceDE w:val="0"/>
              <w:autoSpaceDN w:val="0"/>
              <w:adjustRightInd w:val="0"/>
              <w:ind w:left="174" w:hanging="266"/>
              <w:textAlignment w:val="baseline"/>
              <w:rPr>
                <w:b/>
                <w:sz w:val="22"/>
                <w:szCs w:val="22"/>
              </w:rPr>
            </w:pPr>
            <w:r w:rsidRPr="000178D3">
              <w:rPr>
                <w:b/>
                <w:sz w:val="22"/>
                <w:szCs w:val="22"/>
              </w:rPr>
              <w:t>Referenzdokumente</w:t>
            </w:r>
          </w:p>
        </w:tc>
        <w:tc>
          <w:tcPr>
            <w:tcW w:w="5387" w:type="dxa"/>
          </w:tcPr>
          <w:p w:rsidRPr="000178D3" w:rsidR="001A5EC5" w:rsidP="000178D3" w:rsidRDefault="001A5EC5" w14:paraId="5C440461" w14:textId="77777777">
            <w:pPr>
              <w:overflowPunct w:val="0"/>
              <w:autoSpaceDE w:val="0"/>
              <w:autoSpaceDN w:val="0"/>
              <w:adjustRightInd w:val="0"/>
              <w:ind w:left="174" w:hanging="266"/>
              <w:textAlignment w:val="baseline"/>
              <w:rPr>
                <w:sz w:val="22"/>
                <w:szCs w:val="22"/>
              </w:rPr>
            </w:pPr>
            <w:r w:rsidRPr="000178D3">
              <w:rPr>
                <w:sz w:val="22"/>
                <w:szCs w:val="22"/>
              </w:rPr>
              <w:t>COM(2024) 149 final</w:t>
            </w:r>
          </w:p>
          <w:p w:rsidRPr="000178D3" w:rsidR="001A5EC5" w:rsidP="000178D3" w:rsidRDefault="001A5EC5" w14:paraId="3868DEB9" w14:textId="77777777">
            <w:pPr>
              <w:overflowPunct w:val="0"/>
              <w:autoSpaceDE w:val="0"/>
              <w:autoSpaceDN w:val="0"/>
              <w:adjustRightInd w:val="0"/>
              <w:ind w:left="174" w:hanging="266"/>
              <w:textAlignment w:val="baseline"/>
              <w:rPr>
                <w:sz w:val="22"/>
                <w:szCs w:val="22"/>
              </w:rPr>
            </w:pPr>
            <w:r w:rsidRPr="000178D3">
              <w:rPr>
                <w:sz w:val="22"/>
                <w:szCs w:val="22"/>
              </w:rPr>
              <w:t>EESC-2024-00987-00-00-AC</w:t>
            </w:r>
          </w:p>
        </w:tc>
      </w:tr>
    </w:tbl>
    <w:p w:rsidRPr="001A5EC5" w:rsidR="001A5EC5" w:rsidP="000178D3" w:rsidRDefault="001A5EC5" w14:paraId="52E9606C" w14:textId="77777777">
      <w:pPr>
        <w:keepNext/>
        <w:keepLines/>
        <w:tabs>
          <w:tab w:val="center" w:pos="284"/>
        </w:tabs>
        <w:overflowPunct w:val="0"/>
        <w:autoSpaceDE w:val="0"/>
        <w:autoSpaceDN w:val="0"/>
        <w:adjustRightInd w:val="0"/>
        <w:ind w:left="266" w:hanging="266"/>
        <w:textAlignment w:val="baseline"/>
        <w:rPr>
          <w:b/>
        </w:rPr>
      </w:pPr>
      <w:r>
        <w:rPr>
          <w:b/>
        </w:rPr>
        <w:t>Kernaussagen</w:t>
      </w:r>
    </w:p>
    <w:p w:rsidRPr="001A5EC5" w:rsidR="001A5EC5" w:rsidP="000178D3" w:rsidRDefault="001A5EC5" w14:paraId="5E2503AC" w14:textId="77777777">
      <w:pPr>
        <w:overflowPunct w:val="0"/>
        <w:autoSpaceDE w:val="0"/>
        <w:autoSpaceDN w:val="0"/>
        <w:adjustRightInd w:val="0"/>
        <w:textAlignment w:val="baseline"/>
        <w:rPr>
          <w:bCs/>
          <w:iCs/>
        </w:rPr>
      </w:pPr>
    </w:p>
    <w:p w:rsidR="001A5EC5" w:rsidP="000178D3" w:rsidRDefault="001A5EC5" w14:paraId="4D0AC1AA" w14:textId="6DEDCE45">
      <w:pPr>
        <w:overflowPunct w:val="0"/>
        <w:autoSpaceDE w:val="0"/>
        <w:autoSpaceDN w:val="0"/>
        <w:adjustRightInd w:val="0"/>
        <w:textAlignment w:val="baseline"/>
        <w:rPr>
          <w:bCs/>
          <w:iCs/>
        </w:rPr>
      </w:pPr>
      <w:r>
        <w:t>Der EWSA:</w:t>
      </w:r>
    </w:p>
    <w:p w:rsidRPr="001A5EC5" w:rsidR="00444F0D" w:rsidP="000178D3" w:rsidRDefault="00444F0D" w14:paraId="570F2CBE" w14:textId="77777777">
      <w:pPr>
        <w:overflowPunct w:val="0"/>
        <w:autoSpaceDE w:val="0"/>
        <w:autoSpaceDN w:val="0"/>
        <w:adjustRightInd w:val="0"/>
        <w:textAlignment w:val="baseline"/>
        <w:rPr>
          <w:bCs/>
          <w:iCs/>
        </w:rPr>
      </w:pPr>
    </w:p>
    <w:p w:rsidRPr="001A5EC5" w:rsidR="001A5EC5" w:rsidP="000178D3" w:rsidRDefault="001A5EC5" w14:paraId="1478D8F5" w14:textId="77777777">
      <w:pPr>
        <w:numPr>
          <w:ilvl w:val="0"/>
          <w:numId w:val="14"/>
        </w:numPr>
        <w:overflowPunct w:val="0"/>
        <w:autoSpaceDE w:val="0"/>
        <w:autoSpaceDN w:val="0"/>
        <w:adjustRightInd w:val="0"/>
        <w:contextualSpacing/>
        <w:jc w:val="left"/>
        <w:textAlignment w:val="baseline"/>
        <w:rPr>
          <w:bCs/>
          <w:iCs/>
        </w:rPr>
      </w:pPr>
      <w:r>
        <w:t xml:space="preserve">begrüßt die Vorlage des neunten Kohäsionsberichts, der seiner Ansicht nach umfassend ist und einen geeigneten Ausgangspunkt für eine Bestandsaufnahme der gewonnenen Erkenntnisse liefert; </w:t>
      </w:r>
    </w:p>
    <w:p w:rsidRPr="001A5EC5" w:rsidR="001A5EC5" w:rsidP="000178D3" w:rsidRDefault="001A5EC5" w14:paraId="7B27E433" w14:textId="77777777">
      <w:pPr>
        <w:numPr>
          <w:ilvl w:val="0"/>
          <w:numId w:val="14"/>
        </w:numPr>
        <w:overflowPunct w:val="0"/>
        <w:autoSpaceDE w:val="0"/>
        <w:autoSpaceDN w:val="0"/>
        <w:adjustRightInd w:val="0"/>
        <w:contextualSpacing/>
        <w:textAlignment w:val="baseline"/>
        <w:rPr>
          <w:bCs/>
          <w:iCs/>
        </w:rPr>
      </w:pPr>
      <w:r>
        <w:t>empfiehlt Investitionen und Maßnahmen zur Stärkung der verarbeitenden Industrie, um den territorialen Zusammenhalt zu verbessern. Er weist darauf hin, dass sich die positive Korrelation zwischen dem Produktivitätswachstum und dem Anstieg des Pro-Kopf-BIP als einzige Gemeinsamkeit des Wachstums in allen Arten von Regionen erwiesen hat;</w:t>
      </w:r>
    </w:p>
    <w:p w:rsidRPr="001A5EC5" w:rsidR="001A5EC5" w:rsidP="000178D3" w:rsidRDefault="001A5EC5" w14:paraId="446A7762" w14:textId="77777777">
      <w:pPr>
        <w:numPr>
          <w:ilvl w:val="0"/>
          <w:numId w:val="14"/>
        </w:numPr>
        <w:overflowPunct w:val="0"/>
        <w:autoSpaceDE w:val="0"/>
        <w:autoSpaceDN w:val="0"/>
        <w:adjustRightInd w:val="0"/>
        <w:contextualSpacing/>
        <w:textAlignment w:val="baseline"/>
        <w:rPr>
          <w:rFonts w:ascii="Calibri" w:hAnsi="Calibri"/>
        </w:rPr>
      </w:pPr>
      <w:r>
        <w:t>unterstreicht, wie wichtig die Wettbewerbsfähigkeit für die Stärkung des wirtschaftlichen Zusammenhalts und produktive Investitionen für die Förderung von Wettbewerbsfähigkeit und Wirtschaftswachstum sind. Beides wirkt sich positiv auf den territorialen und sozialen Zusammenhalt aus. betont außerdem, wie wichtig es ist, den Zugang zu Mitteln der Kohäsionsfonds für produktive Investitionen auf Großunternehmen auszuweiten, die Teil des KMU-Ökosystems sind. Dafür müssen aufgrund des Kaskadeneffekts für Gebiete und Gesellschaft bestimmte Bedingungen gelten. Die Ergebnisse des wirtschaftlichen Zusammenhalts sollten nicht nur an der Höhe der wirtschaftlichen Investitionen in einem bestimmten Gebiet gemessen werden, sondern auch an den territorialen und sozialen Ergebnissen;</w:t>
      </w:r>
    </w:p>
    <w:p w:rsidRPr="001A5EC5" w:rsidR="001A5EC5" w:rsidP="000178D3" w:rsidRDefault="001A5EC5" w14:paraId="4372B202" w14:textId="77777777">
      <w:pPr>
        <w:numPr>
          <w:ilvl w:val="0"/>
          <w:numId w:val="14"/>
        </w:numPr>
        <w:overflowPunct w:val="0"/>
        <w:autoSpaceDE w:val="0"/>
        <w:autoSpaceDN w:val="0"/>
        <w:adjustRightInd w:val="0"/>
        <w:contextualSpacing/>
        <w:textAlignment w:val="baseline"/>
        <w:rPr>
          <w:bCs/>
          <w:iCs/>
        </w:rPr>
      </w:pPr>
      <w:r>
        <w:t>betont die Bedeutung eines funktionierenden und inklusiven Arbeitsmarktes für die Stärkung des sozialen Zusammenhalts durch Maßnahmen, die darauf abzielen, die Bürger und Arbeitskräfte mit den richtigen Kompetenzen auszustatten, damit sie in den Arbeitsmarkt eintreten und sich dort bewegen können. In diesem Zusammenhang empfiehlt der EWSA Maßnahmen zur Förderung der Beschäftigung mit solchen zur Förderung der Beschäftigungsfähigkeit zu verknüpfen, unter anderem durch eine gezielte Ausrichtung auf Bevölkerungsgruppen, die Gefahr laufen, zurückgelassen zu werden, und durch die Förderung der Eingliederung arbeitsmarktferner Personen;</w:t>
      </w:r>
    </w:p>
    <w:p w:rsidRPr="001A5EC5" w:rsidR="001A5EC5" w:rsidP="000178D3" w:rsidRDefault="001A5EC5" w14:paraId="2223D48A" w14:textId="77777777">
      <w:pPr>
        <w:numPr>
          <w:ilvl w:val="0"/>
          <w:numId w:val="14"/>
        </w:numPr>
        <w:overflowPunct w:val="0"/>
        <w:autoSpaceDE w:val="0"/>
        <w:autoSpaceDN w:val="0"/>
        <w:adjustRightInd w:val="0"/>
        <w:contextualSpacing/>
        <w:textAlignment w:val="baseline"/>
        <w:rPr>
          <w:bCs/>
          <w:iCs/>
        </w:rPr>
      </w:pPr>
      <w:r>
        <w:t>empfiehlt, strategische Investitionen in die lokale und regionale Verwaltung voranzutreiben, um dieses bei der Umsetzung der Programme so wichtige System zu stärken. Sozialer, wirtschaftlicher und territorialer Zusammenhalt ist nur möglich, wenn zunächst die Kapazitäten der Behörden einander angeglichen werden;</w:t>
      </w:r>
    </w:p>
    <w:p w:rsidRPr="001A5EC5" w:rsidR="001A5EC5" w:rsidP="000178D3" w:rsidRDefault="001A5EC5" w14:paraId="539D757E" w14:textId="77777777">
      <w:pPr>
        <w:numPr>
          <w:ilvl w:val="0"/>
          <w:numId w:val="14"/>
        </w:numPr>
        <w:overflowPunct w:val="0"/>
        <w:autoSpaceDE w:val="0"/>
        <w:autoSpaceDN w:val="0"/>
        <w:adjustRightInd w:val="0"/>
        <w:contextualSpacing/>
        <w:textAlignment w:val="baseline"/>
        <w:rPr>
          <w:bCs/>
          <w:iCs/>
        </w:rPr>
      </w:pPr>
      <w:r>
        <w:t>empfiehlt, bei allen Überlegungen über die Zukunft der Kohäsionspolitik sicherzustellen, dass die regionalen und lokalen Gebietskörperschaften auch weiter einbezogen werden, dass das Partnerschaftsprinzip gewahrt wird und dass auch die Sozialpartner und die Organisationen der Zivilgesellschaft hinzugezogen werden;</w:t>
      </w:r>
    </w:p>
    <w:p w:rsidRPr="001A5EC5" w:rsidR="001A5EC5" w:rsidP="000178D3" w:rsidRDefault="001A5EC5" w14:paraId="5AB147ED" w14:textId="77777777">
      <w:pPr>
        <w:numPr>
          <w:ilvl w:val="0"/>
          <w:numId w:val="14"/>
        </w:numPr>
        <w:overflowPunct w:val="0"/>
        <w:autoSpaceDE w:val="0"/>
        <w:autoSpaceDN w:val="0"/>
        <w:adjustRightInd w:val="0"/>
        <w:contextualSpacing/>
        <w:textAlignment w:val="baseline"/>
        <w:rPr>
          <w:bCs/>
          <w:iCs/>
        </w:rPr>
      </w:pPr>
      <w:r>
        <w:lastRenderedPageBreak/>
        <w:t>fordert die beiden gesetzgebenden Organe auf, die Gesamtmittelausstattung für den mehrjährigen Finanzrahmen aufzustocken und für eine angemessene Finanzierung der Kohäsionspolitik zu sorgen, auch im Hinblick auf den künftigen Bedarf an EU-Investitionen in die Verteidigung und in eine Europäische Union mit mehr als 27 Mitgliedstaaten;</w:t>
      </w:r>
    </w:p>
    <w:p w:rsidRPr="000178D3" w:rsidR="00444F0D" w:rsidP="000178D3" w:rsidRDefault="001A5EC5" w14:paraId="00B923D2" w14:textId="29B2552C">
      <w:pPr>
        <w:numPr>
          <w:ilvl w:val="0"/>
          <w:numId w:val="14"/>
        </w:numPr>
        <w:overflowPunct w:val="0"/>
        <w:autoSpaceDE w:val="0"/>
        <w:autoSpaceDN w:val="0"/>
        <w:adjustRightInd w:val="0"/>
        <w:contextualSpacing/>
        <w:textAlignment w:val="baseline"/>
        <w:rPr>
          <w:bCs/>
          <w:iCs/>
        </w:rPr>
      </w:pPr>
      <w:r>
        <w:t>empfiehlt in diesem Zusammenhang auch die von der Europäischen Union geplanten künftigen Erweiterungen im Auge zu behalten: Sie erfordern eine wirksame und gut funktionierende Kohäsionspolitik, um eine reibungslose Integration der künftigen Mitgliedstaaten zu gewährleisten, ohne die Investitionen in die derzeitigen Entwicklungsregionen zu gefährden;</w:t>
      </w:r>
    </w:p>
    <w:p w:rsidRPr="00DC0FAE" w:rsidR="001A5EC5" w:rsidP="000178D3" w:rsidRDefault="001A5EC5" w14:paraId="3A6882A2" w14:textId="6ED2155C">
      <w:pPr>
        <w:numPr>
          <w:ilvl w:val="0"/>
          <w:numId w:val="14"/>
        </w:numPr>
        <w:overflowPunct w:val="0"/>
        <w:autoSpaceDE w:val="0"/>
        <w:autoSpaceDN w:val="0"/>
        <w:adjustRightInd w:val="0"/>
        <w:contextualSpacing/>
        <w:textAlignment w:val="baseline"/>
        <w:rPr>
          <w:bCs/>
          <w:iCs/>
        </w:rPr>
      </w:pPr>
      <w:r>
        <w:t>empfiehlt schließlich den Einsatz automatischer und leicht umzusetzender Investitionsinstrumente für den Übergang zu einem intelligenteren und umweltfreundlicheren Europa. Die Herausforderungen, die sich aus einem fairen ökologischen und digitalen Wandel und ihren ehrgeizigen Zielen ergeben, erfordern Schnelligkeit und Einsatzbereitschaft.</w:t>
      </w:r>
      <w:r>
        <w:rPr>
          <w:rFonts w:ascii="Calibri" w:hAnsi="Calibri"/>
        </w:rPr>
        <w:t xml:space="preserve"> </w:t>
      </w:r>
    </w:p>
    <w:p w:rsidRPr="001A5EC5" w:rsidR="00444F0D" w:rsidP="000178D3" w:rsidRDefault="00444F0D" w14:paraId="0C8A63CF" w14:textId="77777777">
      <w:pPr>
        <w:overflowPunct w:val="0"/>
        <w:autoSpaceDE w:val="0"/>
        <w:autoSpaceDN w:val="0"/>
        <w:adjustRightInd w:val="0"/>
        <w:contextualSpacing/>
        <w:textAlignment w:val="baseline"/>
        <w:rPr>
          <w:bCs/>
          <w:iCs/>
        </w:rPr>
      </w:pPr>
    </w:p>
    <w:tbl>
      <w:tblPr>
        <w:tblStyle w:val="TableGrid21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1A5EC5" w:rsidR="001A5EC5" w:rsidTr="00FE3058" w14:paraId="3FFBD53A" w14:textId="77777777">
        <w:tc>
          <w:tcPr>
            <w:tcW w:w="1418" w:type="dxa"/>
          </w:tcPr>
          <w:p w:rsidRPr="001A5EC5" w:rsidR="001A5EC5" w:rsidP="000178D3" w:rsidRDefault="001A5EC5" w14:paraId="56686149" w14:textId="77777777">
            <w:pPr>
              <w:overflowPunct w:val="0"/>
              <w:autoSpaceDE w:val="0"/>
              <w:autoSpaceDN w:val="0"/>
              <w:adjustRightInd w:val="0"/>
              <w:textAlignment w:val="baseline"/>
              <w:rPr>
                <w:i/>
              </w:rPr>
            </w:pPr>
            <w:r>
              <w:rPr>
                <w:b/>
                <w:i/>
              </w:rPr>
              <w:t>Kontakt</w:t>
            </w:r>
          </w:p>
        </w:tc>
        <w:tc>
          <w:tcPr>
            <w:tcW w:w="5670" w:type="dxa"/>
          </w:tcPr>
          <w:p w:rsidRPr="001A5EC5" w:rsidR="001A5EC5" w:rsidP="000178D3" w:rsidRDefault="001A5EC5" w14:paraId="7D68FE97" w14:textId="77777777">
            <w:pPr>
              <w:overflowPunct w:val="0"/>
              <w:autoSpaceDE w:val="0"/>
              <w:autoSpaceDN w:val="0"/>
              <w:adjustRightInd w:val="0"/>
              <w:textAlignment w:val="baseline"/>
              <w:rPr>
                <w:i/>
              </w:rPr>
            </w:pPr>
            <w:r>
              <w:rPr>
                <w:i/>
              </w:rPr>
              <w:t xml:space="preserve">Georgios </w:t>
            </w:r>
            <w:proofErr w:type="spellStart"/>
            <w:r>
              <w:rPr>
                <w:i/>
              </w:rPr>
              <w:t>Meleas</w:t>
            </w:r>
            <w:proofErr w:type="spellEnd"/>
          </w:p>
        </w:tc>
      </w:tr>
      <w:tr w:rsidRPr="001A5EC5" w:rsidR="001A5EC5" w:rsidTr="00FE3058" w14:paraId="654D5086" w14:textId="77777777">
        <w:tc>
          <w:tcPr>
            <w:tcW w:w="1418" w:type="dxa"/>
          </w:tcPr>
          <w:p w:rsidRPr="001A5EC5" w:rsidR="001A5EC5" w:rsidP="000178D3" w:rsidRDefault="001A5EC5" w14:paraId="3B2FDAFA" w14:textId="77777777">
            <w:pPr>
              <w:overflowPunct w:val="0"/>
              <w:autoSpaceDE w:val="0"/>
              <w:autoSpaceDN w:val="0"/>
              <w:adjustRightInd w:val="0"/>
              <w:textAlignment w:val="baseline"/>
              <w:rPr>
                <w:i/>
              </w:rPr>
            </w:pPr>
            <w:r>
              <w:rPr>
                <w:i/>
              </w:rPr>
              <w:t>Tel.</w:t>
            </w:r>
          </w:p>
        </w:tc>
        <w:tc>
          <w:tcPr>
            <w:tcW w:w="5670" w:type="dxa"/>
          </w:tcPr>
          <w:p w:rsidRPr="001A5EC5" w:rsidR="001A5EC5" w:rsidP="000178D3" w:rsidRDefault="001A5EC5" w14:paraId="35F0788C" w14:textId="77777777">
            <w:pPr>
              <w:overflowPunct w:val="0"/>
              <w:autoSpaceDE w:val="0"/>
              <w:autoSpaceDN w:val="0"/>
              <w:adjustRightInd w:val="0"/>
              <w:textAlignment w:val="baseline"/>
              <w:rPr>
                <w:i/>
              </w:rPr>
            </w:pPr>
            <w:r>
              <w:rPr>
                <w:i/>
              </w:rPr>
              <w:t>+32 25469795</w:t>
            </w:r>
          </w:p>
        </w:tc>
      </w:tr>
      <w:tr w:rsidRPr="001A5EC5" w:rsidR="001A5EC5" w:rsidTr="00FE3058" w14:paraId="710F66DA" w14:textId="77777777">
        <w:tc>
          <w:tcPr>
            <w:tcW w:w="1418" w:type="dxa"/>
          </w:tcPr>
          <w:p w:rsidRPr="001A5EC5" w:rsidR="001A5EC5" w:rsidP="000178D3" w:rsidRDefault="001A5EC5" w14:paraId="62171153" w14:textId="77777777">
            <w:pPr>
              <w:overflowPunct w:val="0"/>
              <w:autoSpaceDE w:val="0"/>
              <w:autoSpaceDN w:val="0"/>
              <w:adjustRightInd w:val="0"/>
              <w:textAlignment w:val="baseline"/>
              <w:rPr>
                <w:i/>
              </w:rPr>
            </w:pPr>
            <w:r>
              <w:rPr>
                <w:i/>
              </w:rPr>
              <w:t>E-Mail</w:t>
            </w:r>
          </w:p>
        </w:tc>
        <w:tc>
          <w:tcPr>
            <w:tcW w:w="5670" w:type="dxa"/>
          </w:tcPr>
          <w:p w:rsidRPr="001A5EC5" w:rsidR="001A5EC5" w:rsidP="000178D3" w:rsidRDefault="00D35CF0" w14:paraId="2A008587" w14:textId="77777777">
            <w:pPr>
              <w:overflowPunct w:val="0"/>
              <w:autoSpaceDE w:val="0"/>
              <w:autoSpaceDN w:val="0"/>
              <w:adjustRightInd w:val="0"/>
              <w:textAlignment w:val="baseline"/>
              <w:rPr>
                <w:i/>
              </w:rPr>
            </w:pPr>
            <w:hyperlink w:history="1" r:id="rId23">
              <w:r w:rsidR="00136442">
                <w:rPr>
                  <w:i/>
                  <w:color w:val="0000FF"/>
                  <w:u w:val="single"/>
                </w:rPr>
                <w:t>Georgios.Meleas@eesc.europa.eu</w:t>
              </w:r>
            </w:hyperlink>
            <w:r w:rsidR="00136442">
              <w:rPr>
                <w:i/>
              </w:rPr>
              <w:t xml:space="preserve"> </w:t>
            </w:r>
          </w:p>
        </w:tc>
      </w:tr>
    </w:tbl>
    <w:p w:rsidR="005C28F2" w:rsidP="000178D3" w:rsidRDefault="005C28F2" w14:paraId="75A160E4" w14:textId="4CAAFB00">
      <w:pPr>
        <w:tabs>
          <w:tab w:val="center" w:pos="284"/>
        </w:tabs>
        <w:overflowPunct w:val="0"/>
        <w:autoSpaceDE w:val="0"/>
        <w:autoSpaceDN w:val="0"/>
        <w:adjustRightInd w:val="0"/>
        <w:ind w:left="266" w:hanging="266"/>
        <w:textAlignment w:val="baseline"/>
        <w:rPr>
          <w:b/>
          <w:sz w:val="24"/>
          <w:szCs w:val="24"/>
        </w:rPr>
      </w:pPr>
    </w:p>
    <w:p w:rsidR="005C28F2" w:rsidP="000178D3" w:rsidRDefault="005C28F2" w14:paraId="566BFFD9" w14:textId="77777777">
      <w:pPr>
        <w:jc w:val="left"/>
        <w:rPr>
          <w:b/>
          <w:sz w:val="24"/>
          <w:szCs w:val="24"/>
        </w:rPr>
      </w:pPr>
      <w:r>
        <w:br w:type="page"/>
      </w:r>
    </w:p>
    <w:p w:rsidRPr="00502E1F" w:rsidR="00502E1F" w:rsidP="000178D3" w:rsidRDefault="005C28F2" w14:paraId="26F82B31" w14:textId="13D21940">
      <w:pPr>
        <w:pStyle w:val="Heading1"/>
        <w:tabs>
          <w:tab w:val="clear" w:pos="440"/>
          <w:tab w:val="left" w:pos="567"/>
        </w:tabs>
        <w:spacing w:before="0"/>
        <w:ind w:left="567" w:hanging="567"/>
        <w:rPr>
          <w:color w:val="000000" w:themeColor="text1"/>
        </w:rPr>
      </w:pPr>
      <w:bookmarkStart w:name="_Toc169517898" w:id="1"/>
      <w:r>
        <w:rPr>
          <w:rStyle w:val="Hyperlink"/>
          <w:b/>
          <w:color w:val="000000" w:themeColor="text1"/>
          <w:u w:val="none"/>
        </w:rPr>
        <w:lastRenderedPageBreak/>
        <w:t>BESCHÄFTIGUNG, SOZIALFRAGEN, UNIONSBÜRGERSCHAFT</w:t>
      </w:r>
      <w:bookmarkEnd w:id="1"/>
    </w:p>
    <w:p w:rsidR="00502E1F" w:rsidP="000178D3" w:rsidRDefault="00502E1F" w14:paraId="7FCC1962" w14:textId="6F84DBB9"/>
    <w:p w:rsidRPr="004E7105" w:rsidR="004E7105" w:rsidP="000178D3" w:rsidRDefault="00D35CF0" w14:paraId="7766257F" w14:textId="31A79F30">
      <w:pPr>
        <w:widowControl w:val="0"/>
        <w:numPr>
          <w:ilvl w:val="0"/>
          <w:numId w:val="7"/>
        </w:numPr>
        <w:overflowPunct w:val="0"/>
        <w:autoSpaceDE w:val="0"/>
        <w:autoSpaceDN w:val="0"/>
        <w:adjustRightInd w:val="0"/>
        <w:ind w:hanging="567"/>
        <w:textAlignment w:val="baseline"/>
        <w:rPr>
          <w:b/>
          <w:bCs/>
          <w:i/>
          <w:iCs/>
          <w:color w:val="0000FF"/>
          <w:sz w:val="28"/>
          <w:szCs w:val="28"/>
          <w:u w:val="single"/>
        </w:rPr>
      </w:pPr>
      <w:hyperlink w:history="1" r:id="rId24">
        <w:r w:rsidR="00136442">
          <w:rPr>
            <w:b/>
            <w:i/>
            <w:color w:val="0000FF"/>
            <w:sz w:val="28"/>
            <w:u w:val="single"/>
          </w:rPr>
          <w:t xml:space="preserve">Durch Impfung </w:t>
        </w:r>
        <w:proofErr w:type="spellStart"/>
        <w:r w:rsidR="00136442">
          <w:rPr>
            <w:b/>
            <w:i/>
            <w:color w:val="0000FF"/>
            <w:sz w:val="28"/>
            <w:u w:val="single"/>
          </w:rPr>
          <w:t>verhütbare</w:t>
        </w:r>
        <w:proofErr w:type="spellEnd"/>
        <w:r w:rsidR="00136442">
          <w:rPr>
            <w:b/>
            <w:i/>
            <w:color w:val="0000FF"/>
            <w:sz w:val="28"/>
            <w:u w:val="single"/>
          </w:rPr>
          <w:t xml:space="preserve"> Krebsarten</w:t>
        </w:r>
      </w:hyperlink>
      <w:r w:rsidRPr="004E7105" w:rsidR="004E7105">
        <w:rPr>
          <w:b/>
          <w:i/>
          <w:sz w:val="28"/>
        </w:rPr>
        <w:fldChar w:fldCharType="begin"/>
      </w:r>
      <w:r w:rsidRPr="004E7105" w:rsidR="004E7105">
        <w:rPr>
          <w:b/>
          <w:i/>
          <w:sz w:val="28"/>
        </w:rPr>
        <w:instrText xml:space="preserve"> HYPERLINK "https://www.eesc.europa.eu/en/our-work/opinions-information-reports/opinions/anti-smuggling-package" </w:instrText>
      </w:r>
      <w:r w:rsidRPr="004E7105" w:rsidR="004E7105">
        <w:rPr>
          <w:b/>
          <w:i/>
          <w:sz w:val="28"/>
        </w:rPr>
        <w:fldChar w:fldCharType="separate"/>
      </w:r>
    </w:p>
    <w:p w:rsidRPr="000178D3" w:rsidR="004E7105" w:rsidP="000178D3" w:rsidRDefault="004E7105" w14:paraId="24B983D5" w14:textId="763F0B12">
      <w:pPr>
        <w:widowControl w:val="0"/>
        <w:overflowPunct w:val="0"/>
        <w:autoSpaceDE w:val="0"/>
        <w:autoSpaceDN w:val="0"/>
        <w:adjustRightInd w:val="0"/>
        <w:ind w:left="567"/>
        <w:textAlignment w:val="baseline"/>
        <w:rPr>
          <w:b/>
          <w:i/>
          <w:sz w:val="18"/>
          <w:szCs w:val="14"/>
        </w:rPr>
      </w:pPr>
      <w:r w:rsidRPr="004E7105">
        <w:rPr>
          <w:b/>
          <w:i/>
          <w:sz w:val="28"/>
        </w:rPr>
        <w:fldChar w:fldCharType="end"/>
      </w:r>
    </w:p>
    <w:tbl>
      <w:tblPr>
        <w:tblStyle w:val="TableGrid214"/>
        <w:tblW w:w="4941"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21"/>
        <w:gridCol w:w="6816"/>
      </w:tblGrid>
      <w:tr w:rsidRPr="000178D3" w:rsidR="004E7105" w:rsidTr="000178D3" w14:paraId="71118AAD" w14:textId="77777777">
        <w:tc>
          <w:tcPr>
            <w:tcW w:w="1229" w:type="pct"/>
          </w:tcPr>
          <w:p w:rsidRPr="000178D3" w:rsidR="004E7105" w:rsidP="000178D3" w:rsidRDefault="004E7105" w14:paraId="7C033E3E" w14:textId="77777777">
            <w:pPr>
              <w:widowControl w:val="0"/>
              <w:overflowPunct w:val="0"/>
              <w:autoSpaceDE w:val="0"/>
              <w:autoSpaceDN w:val="0"/>
              <w:adjustRightInd w:val="0"/>
              <w:ind w:left="-113"/>
              <w:textAlignment w:val="baseline"/>
              <w:rPr>
                <w:b/>
                <w:sz w:val="22"/>
                <w:szCs w:val="22"/>
              </w:rPr>
            </w:pPr>
            <w:r w:rsidRPr="000178D3">
              <w:rPr>
                <w:b/>
                <w:sz w:val="22"/>
                <w:szCs w:val="22"/>
              </w:rPr>
              <w:t>Berichterstatterin</w:t>
            </w:r>
          </w:p>
          <w:p w:rsidRPr="000178D3" w:rsidR="004E7105" w:rsidP="000178D3" w:rsidRDefault="004E7105" w14:paraId="474FD8BA" w14:textId="1E3C60AA">
            <w:pPr>
              <w:widowControl w:val="0"/>
              <w:overflowPunct w:val="0"/>
              <w:autoSpaceDE w:val="0"/>
              <w:autoSpaceDN w:val="0"/>
              <w:adjustRightInd w:val="0"/>
              <w:ind w:left="-113"/>
              <w:textAlignment w:val="baseline"/>
              <w:rPr>
                <w:b/>
                <w:sz w:val="22"/>
                <w:szCs w:val="22"/>
              </w:rPr>
            </w:pPr>
            <w:r w:rsidRPr="000178D3">
              <w:rPr>
                <w:b/>
                <w:sz w:val="22"/>
                <w:szCs w:val="22"/>
              </w:rPr>
              <w:t>Ko-Berichterstatterin</w:t>
            </w:r>
          </w:p>
        </w:tc>
        <w:tc>
          <w:tcPr>
            <w:tcW w:w="3771" w:type="pct"/>
          </w:tcPr>
          <w:p w:rsidRPr="000178D3" w:rsidR="004E7105" w:rsidP="000178D3" w:rsidRDefault="004E7105" w14:paraId="5D3A3754" w14:textId="77777777">
            <w:pPr>
              <w:widowControl w:val="0"/>
              <w:tabs>
                <w:tab w:val="left" w:pos="4572"/>
              </w:tabs>
              <w:overflowPunct w:val="0"/>
              <w:autoSpaceDE w:val="0"/>
              <w:autoSpaceDN w:val="0"/>
              <w:adjustRightInd w:val="0"/>
              <w:ind w:left="-113" w:right="-823"/>
              <w:textAlignment w:val="baseline"/>
              <w:rPr>
                <w:sz w:val="22"/>
                <w:szCs w:val="22"/>
              </w:rPr>
            </w:pPr>
            <w:r w:rsidRPr="000178D3">
              <w:rPr>
                <w:sz w:val="22"/>
                <w:szCs w:val="22"/>
              </w:rPr>
              <w:t>Milena ANGELOVA (Gruppe Arbeitgeber – BG)</w:t>
            </w:r>
          </w:p>
          <w:p w:rsidRPr="000178D3" w:rsidR="004E7105" w:rsidP="000178D3" w:rsidRDefault="004E7105" w14:paraId="1D69709A" w14:textId="77777777">
            <w:pPr>
              <w:widowControl w:val="0"/>
              <w:tabs>
                <w:tab w:val="left" w:pos="4572"/>
              </w:tabs>
              <w:overflowPunct w:val="0"/>
              <w:autoSpaceDE w:val="0"/>
              <w:autoSpaceDN w:val="0"/>
              <w:adjustRightInd w:val="0"/>
              <w:ind w:left="-113" w:right="-823"/>
              <w:textAlignment w:val="baseline"/>
              <w:rPr>
                <w:sz w:val="22"/>
                <w:szCs w:val="22"/>
              </w:rPr>
            </w:pPr>
            <w:proofErr w:type="spellStart"/>
            <w:r w:rsidRPr="000178D3">
              <w:rPr>
                <w:sz w:val="22"/>
                <w:szCs w:val="22"/>
              </w:rPr>
              <w:t>Sára</w:t>
            </w:r>
            <w:proofErr w:type="spellEnd"/>
            <w:r w:rsidRPr="000178D3">
              <w:rPr>
                <w:sz w:val="22"/>
                <w:szCs w:val="22"/>
              </w:rPr>
              <w:t xml:space="preserve"> FELSZEGHI (Gruppe Arbeitnehmer – HU)</w:t>
            </w:r>
          </w:p>
        </w:tc>
      </w:tr>
      <w:tr w:rsidRPr="000178D3" w:rsidR="000178D3" w:rsidTr="000178D3" w14:paraId="4B267AA8" w14:textId="77777777">
        <w:tc>
          <w:tcPr>
            <w:tcW w:w="1229" w:type="pct"/>
          </w:tcPr>
          <w:p w:rsidRPr="000178D3" w:rsidR="000178D3" w:rsidP="000178D3" w:rsidRDefault="000178D3" w14:paraId="45F5E227" w14:textId="77777777">
            <w:pPr>
              <w:widowControl w:val="0"/>
              <w:overflowPunct w:val="0"/>
              <w:autoSpaceDE w:val="0"/>
              <w:autoSpaceDN w:val="0"/>
              <w:adjustRightInd w:val="0"/>
              <w:ind w:left="-113"/>
              <w:textAlignment w:val="baseline"/>
              <w:rPr>
                <w:b/>
                <w:sz w:val="10"/>
                <w:szCs w:val="10"/>
              </w:rPr>
            </w:pPr>
          </w:p>
        </w:tc>
        <w:tc>
          <w:tcPr>
            <w:tcW w:w="3771" w:type="pct"/>
          </w:tcPr>
          <w:p w:rsidRPr="000178D3" w:rsidR="000178D3" w:rsidP="000178D3" w:rsidRDefault="000178D3" w14:paraId="04F1CBDC" w14:textId="77777777">
            <w:pPr>
              <w:widowControl w:val="0"/>
              <w:tabs>
                <w:tab w:val="left" w:pos="4572"/>
              </w:tabs>
              <w:overflowPunct w:val="0"/>
              <w:autoSpaceDE w:val="0"/>
              <w:autoSpaceDN w:val="0"/>
              <w:adjustRightInd w:val="0"/>
              <w:ind w:left="-113" w:right="-823"/>
              <w:textAlignment w:val="baseline"/>
              <w:rPr>
                <w:sz w:val="10"/>
                <w:szCs w:val="10"/>
              </w:rPr>
            </w:pPr>
          </w:p>
        </w:tc>
      </w:tr>
      <w:tr w:rsidRPr="000178D3" w:rsidR="004E7105" w:rsidTr="000178D3" w14:paraId="7E7454B0" w14:textId="77777777">
        <w:tc>
          <w:tcPr>
            <w:tcW w:w="1229" w:type="pct"/>
            <w:vMerge w:val="restart"/>
          </w:tcPr>
          <w:p w:rsidRPr="000178D3" w:rsidR="004E7105" w:rsidP="000178D3" w:rsidRDefault="004E7105" w14:paraId="4901FAAB" w14:textId="77777777">
            <w:pPr>
              <w:widowControl w:val="0"/>
              <w:overflowPunct w:val="0"/>
              <w:autoSpaceDE w:val="0"/>
              <w:autoSpaceDN w:val="0"/>
              <w:adjustRightInd w:val="0"/>
              <w:ind w:left="-113"/>
              <w:textAlignment w:val="baseline"/>
              <w:rPr>
                <w:b/>
                <w:sz w:val="22"/>
                <w:szCs w:val="22"/>
              </w:rPr>
            </w:pPr>
            <w:r w:rsidRPr="000178D3">
              <w:rPr>
                <w:b/>
                <w:sz w:val="22"/>
                <w:szCs w:val="22"/>
              </w:rPr>
              <w:t>Referenzdokumente</w:t>
            </w:r>
          </w:p>
        </w:tc>
        <w:tc>
          <w:tcPr>
            <w:tcW w:w="3771" w:type="pct"/>
          </w:tcPr>
          <w:p w:rsidRPr="000178D3" w:rsidR="004E7105" w:rsidP="000178D3" w:rsidRDefault="004E7105" w14:paraId="6BFA5AA5" w14:textId="77777777">
            <w:pPr>
              <w:widowControl w:val="0"/>
              <w:tabs>
                <w:tab w:val="left" w:pos="4430"/>
              </w:tabs>
              <w:overflowPunct w:val="0"/>
              <w:autoSpaceDE w:val="0"/>
              <w:autoSpaceDN w:val="0"/>
              <w:adjustRightInd w:val="0"/>
              <w:ind w:left="-113" w:right="-823"/>
              <w:textAlignment w:val="baseline"/>
              <w:rPr>
                <w:sz w:val="22"/>
                <w:szCs w:val="22"/>
              </w:rPr>
            </w:pPr>
            <w:r w:rsidRPr="000178D3">
              <w:rPr>
                <w:sz w:val="22"/>
                <w:szCs w:val="22"/>
              </w:rPr>
              <w:t>COM(2024) 45 final</w:t>
            </w:r>
          </w:p>
        </w:tc>
      </w:tr>
      <w:tr w:rsidRPr="000178D3" w:rsidR="004E7105" w:rsidTr="000178D3" w14:paraId="75B0E482" w14:textId="77777777">
        <w:tc>
          <w:tcPr>
            <w:tcW w:w="1229" w:type="pct"/>
            <w:vMerge/>
          </w:tcPr>
          <w:p w:rsidRPr="000178D3" w:rsidR="004E7105" w:rsidP="000178D3" w:rsidRDefault="004E7105" w14:paraId="4FE1E1BE" w14:textId="77777777">
            <w:pPr>
              <w:widowControl w:val="0"/>
              <w:tabs>
                <w:tab w:val="center" w:pos="284"/>
              </w:tabs>
              <w:overflowPunct w:val="0"/>
              <w:autoSpaceDE w:val="0"/>
              <w:autoSpaceDN w:val="0"/>
              <w:adjustRightInd w:val="0"/>
              <w:ind w:left="266" w:hanging="266"/>
              <w:textAlignment w:val="baseline"/>
              <w:rPr>
                <w:b/>
                <w:sz w:val="22"/>
                <w:szCs w:val="22"/>
              </w:rPr>
            </w:pPr>
          </w:p>
        </w:tc>
        <w:tc>
          <w:tcPr>
            <w:tcW w:w="3771" w:type="pct"/>
          </w:tcPr>
          <w:p w:rsidRPr="000178D3" w:rsidR="004E7105" w:rsidP="000178D3" w:rsidRDefault="004E7105" w14:paraId="279E0EF7" w14:textId="0692B6D4">
            <w:pPr>
              <w:widowControl w:val="0"/>
              <w:tabs>
                <w:tab w:val="center" w:pos="38"/>
                <w:tab w:val="left" w:pos="4430"/>
              </w:tabs>
              <w:overflowPunct w:val="0"/>
              <w:autoSpaceDE w:val="0"/>
              <w:autoSpaceDN w:val="0"/>
              <w:adjustRightInd w:val="0"/>
              <w:ind w:left="266" w:right="-823" w:hanging="370"/>
              <w:textAlignment w:val="baseline"/>
              <w:rPr>
                <w:sz w:val="22"/>
                <w:szCs w:val="22"/>
              </w:rPr>
            </w:pPr>
            <w:r w:rsidRPr="000178D3">
              <w:rPr>
                <w:sz w:val="22"/>
                <w:szCs w:val="22"/>
              </w:rPr>
              <w:t>EESC-2024-00425-00-00-AC</w:t>
            </w:r>
          </w:p>
        </w:tc>
      </w:tr>
    </w:tbl>
    <w:p w:rsidRPr="004E7105" w:rsidR="004E7105" w:rsidP="000178D3" w:rsidRDefault="004E7105" w14:paraId="1E3B33B5" w14:textId="77777777">
      <w:pPr>
        <w:widowControl w:val="0"/>
        <w:tabs>
          <w:tab w:val="center" w:pos="284"/>
        </w:tabs>
        <w:overflowPunct w:val="0"/>
        <w:autoSpaceDE w:val="0"/>
        <w:autoSpaceDN w:val="0"/>
        <w:adjustRightInd w:val="0"/>
        <w:ind w:left="266" w:hanging="266"/>
        <w:textAlignment w:val="baseline"/>
        <w:rPr>
          <w:b/>
        </w:rPr>
      </w:pPr>
    </w:p>
    <w:p w:rsidRPr="004E7105" w:rsidR="004E7105" w:rsidP="000178D3" w:rsidRDefault="004E7105" w14:paraId="603B708E" w14:textId="77777777">
      <w:pPr>
        <w:widowControl w:val="0"/>
        <w:tabs>
          <w:tab w:val="center" w:pos="284"/>
        </w:tabs>
        <w:overflowPunct w:val="0"/>
        <w:autoSpaceDE w:val="0"/>
        <w:autoSpaceDN w:val="0"/>
        <w:adjustRightInd w:val="0"/>
        <w:ind w:left="266" w:hanging="266"/>
        <w:textAlignment w:val="baseline"/>
        <w:rPr>
          <w:b/>
        </w:rPr>
      </w:pPr>
      <w:r>
        <w:rPr>
          <w:b/>
        </w:rPr>
        <w:t>Kernaussagen</w:t>
      </w:r>
    </w:p>
    <w:p w:rsidRPr="004E7105" w:rsidR="004E7105" w:rsidP="000178D3" w:rsidRDefault="004E7105" w14:paraId="6359F491" w14:textId="77777777">
      <w:pPr>
        <w:widowControl w:val="0"/>
        <w:tabs>
          <w:tab w:val="center" w:pos="284"/>
        </w:tabs>
        <w:overflowPunct w:val="0"/>
        <w:autoSpaceDE w:val="0"/>
        <w:autoSpaceDN w:val="0"/>
        <w:adjustRightInd w:val="0"/>
        <w:ind w:left="266" w:hanging="266"/>
        <w:textAlignment w:val="baseline"/>
        <w:rPr>
          <w:b/>
        </w:rPr>
      </w:pPr>
    </w:p>
    <w:p w:rsidRPr="004E7105" w:rsidR="004E7105" w:rsidP="000178D3" w:rsidRDefault="004E7105" w14:paraId="0D08379E" w14:textId="77777777">
      <w:pPr>
        <w:widowControl w:val="0"/>
        <w:tabs>
          <w:tab w:val="center" w:pos="284"/>
        </w:tabs>
        <w:overflowPunct w:val="0"/>
        <w:autoSpaceDE w:val="0"/>
        <w:autoSpaceDN w:val="0"/>
        <w:adjustRightInd w:val="0"/>
        <w:ind w:left="266" w:hanging="266"/>
        <w:textAlignment w:val="baseline"/>
        <w:rPr>
          <w:szCs w:val="20"/>
        </w:rPr>
      </w:pPr>
      <w:r>
        <w:t>Der EWSA:</w:t>
      </w:r>
    </w:p>
    <w:p w:rsidRPr="004E7105" w:rsidR="004E7105" w:rsidP="000178D3" w:rsidRDefault="004E7105" w14:paraId="0F4A732E" w14:textId="77777777">
      <w:pPr>
        <w:widowControl w:val="0"/>
        <w:tabs>
          <w:tab w:val="center" w:pos="284"/>
        </w:tabs>
        <w:overflowPunct w:val="0"/>
        <w:autoSpaceDE w:val="0"/>
        <w:autoSpaceDN w:val="0"/>
        <w:adjustRightInd w:val="0"/>
        <w:ind w:left="266" w:hanging="266"/>
        <w:textAlignment w:val="baseline"/>
        <w:rPr>
          <w:szCs w:val="20"/>
        </w:rPr>
      </w:pPr>
    </w:p>
    <w:p w:rsidRPr="00C17044" w:rsidR="004E7105" w:rsidP="000178D3" w:rsidRDefault="004E7105" w14:paraId="20B5B3BF" w14:textId="574475D7">
      <w:pPr>
        <w:widowControl w:val="0"/>
        <w:numPr>
          <w:ilvl w:val="0"/>
          <w:numId w:val="15"/>
        </w:numPr>
        <w:tabs>
          <w:tab w:val="center" w:pos="284"/>
        </w:tabs>
        <w:overflowPunct w:val="0"/>
        <w:autoSpaceDE w:val="0"/>
        <w:autoSpaceDN w:val="0"/>
        <w:adjustRightInd w:val="0"/>
        <w:ind w:left="284" w:hanging="284"/>
        <w:contextualSpacing/>
        <w:textAlignment w:val="baseline"/>
        <w:rPr>
          <w:szCs w:val="20"/>
        </w:rPr>
      </w:pPr>
      <w:r>
        <w:t>ermutigt zum Austausch von Erfahrungen und bewährten Verfahren sowie zu einer intensiven Zusammenarbeit zwischen den Mitgliedstaaten;</w:t>
      </w:r>
    </w:p>
    <w:p w:rsidRPr="00C17044" w:rsidR="004E7105" w:rsidP="000178D3" w:rsidRDefault="004E7105" w14:paraId="00661456" w14:textId="7869AB85">
      <w:pPr>
        <w:widowControl w:val="0"/>
        <w:numPr>
          <w:ilvl w:val="0"/>
          <w:numId w:val="15"/>
        </w:numPr>
        <w:tabs>
          <w:tab w:val="center" w:pos="284"/>
        </w:tabs>
        <w:overflowPunct w:val="0"/>
        <w:autoSpaceDE w:val="0"/>
        <w:autoSpaceDN w:val="0"/>
        <w:adjustRightInd w:val="0"/>
        <w:ind w:left="284" w:hanging="284"/>
        <w:contextualSpacing/>
        <w:textAlignment w:val="baseline"/>
        <w:rPr>
          <w:szCs w:val="20"/>
        </w:rPr>
      </w:pPr>
      <w:r>
        <w:t>empfiehlt, dass sowohl die Nachfrage nach Impfungen als auch das entsprechende Angebot gesteigert werden sollten; betont, wie wichtig angemessene Information, Aufklärung und Kommunikation sind, und hebt hervor, dass schulische Gesundheitsdienste und die Eltern dabei eine wichtige Rolle spielen. Die Krebsprävention sollte zu einer Priorität auf politischer Ebene werden und durch die Bereitstellung der erforderlichen finanziellen, materiellen und personellen Ressourcen flankiert werden;</w:t>
      </w:r>
    </w:p>
    <w:p w:rsidRPr="00C17044" w:rsidR="004E7105" w:rsidP="000178D3" w:rsidRDefault="004E7105" w14:paraId="565730E6" w14:textId="08E5F52C">
      <w:pPr>
        <w:widowControl w:val="0"/>
        <w:numPr>
          <w:ilvl w:val="0"/>
          <w:numId w:val="15"/>
        </w:numPr>
        <w:tabs>
          <w:tab w:val="center" w:pos="284"/>
        </w:tabs>
        <w:overflowPunct w:val="0"/>
        <w:autoSpaceDE w:val="0"/>
        <w:autoSpaceDN w:val="0"/>
        <w:adjustRightInd w:val="0"/>
        <w:ind w:left="284" w:hanging="284"/>
        <w:contextualSpacing/>
        <w:textAlignment w:val="baseline"/>
        <w:rPr>
          <w:szCs w:val="20"/>
        </w:rPr>
      </w:pPr>
      <w:r>
        <w:t>fordert entschlossene Anstrengungen zur Bekämpfung von Falsch- und Desinformation durch die Gewinnung wissenschaftlich fundierter Erkenntnisse sowie durch die Verbreitung faktenbasierter Informationen über verschiedene Kanäle, einschließlich der sozialen Medien;</w:t>
      </w:r>
    </w:p>
    <w:p w:rsidRPr="00C17044" w:rsidR="004E7105" w:rsidP="000178D3" w:rsidRDefault="004E7105" w14:paraId="7BCF3EFF" w14:textId="78FB432A">
      <w:pPr>
        <w:widowControl w:val="0"/>
        <w:numPr>
          <w:ilvl w:val="0"/>
          <w:numId w:val="15"/>
        </w:numPr>
        <w:tabs>
          <w:tab w:val="center" w:pos="284"/>
        </w:tabs>
        <w:overflowPunct w:val="0"/>
        <w:autoSpaceDE w:val="0"/>
        <w:autoSpaceDN w:val="0"/>
        <w:adjustRightInd w:val="0"/>
        <w:ind w:left="284" w:hanging="284"/>
        <w:contextualSpacing/>
        <w:textAlignment w:val="baseline"/>
        <w:rPr>
          <w:szCs w:val="20"/>
        </w:rPr>
      </w:pPr>
      <w:r>
        <w:t>ist der Ansicht, dass Allgemeinmediziner, Hausärzte, Schulärzte und auch Organisationen der Zivilgesellschaft eine wichtige Rolle dabei spielen können, geeignete Informationen bereitzustellen, Ängste und Vorbehalte abzubauen und Menschen zu ermutigen, sich impfen zu lassen. Um die Botschaften für jüngere Menschen attraktiv zu machen, spricht sich der EWSA dafür aus, die Kommunikationsarbeit mithilfe von Organisationen zu verstärken, die von jungen Menschen geführt werden;</w:t>
      </w:r>
    </w:p>
    <w:p w:rsidRPr="00C17044" w:rsidR="004E7105" w:rsidP="000178D3" w:rsidRDefault="004E7105" w14:paraId="0DC26772" w14:textId="5A4CAC93">
      <w:pPr>
        <w:widowControl w:val="0"/>
        <w:numPr>
          <w:ilvl w:val="0"/>
          <w:numId w:val="15"/>
        </w:numPr>
        <w:tabs>
          <w:tab w:val="center" w:pos="284"/>
        </w:tabs>
        <w:overflowPunct w:val="0"/>
        <w:autoSpaceDE w:val="0"/>
        <w:autoSpaceDN w:val="0"/>
        <w:adjustRightInd w:val="0"/>
        <w:ind w:left="284" w:hanging="284"/>
        <w:contextualSpacing/>
        <w:textAlignment w:val="baseline"/>
        <w:rPr>
          <w:szCs w:val="20"/>
        </w:rPr>
      </w:pPr>
      <w:r>
        <w:t>betont, dass die Gleichstellung der Geschlechter bei Maßnahmen zur Krebsprävention berücksichtigt werden muss, und fordert, für alle Mädchen und Jungen eines bestimmten Alters HPV-Impfungen anzubieten, im Zuge von Kommunikationsmaßnahmen verstärkt darauf hinzuweisen, dass HPV-Impfungen auch für Jungen verfügbar sind, und Informationen über die Impfquoten von Jungen und Mädchen in verschiedenen Mitgliedstaaten einzuholen und zu veröffentlichen;</w:t>
      </w:r>
    </w:p>
    <w:p w:rsidRPr="004E7105" w:rsidR="004E7105" w:rsidP="000178D3" w:rsidRDefault="004E7105" w14:paraId="76072B6C" w14:textId="77777777">
      <w:pPr>
        <w:keepNext/>
        <w:keepLines/>
        <w:numPr>
          <w:ilvl w:val="0"/>
          <w:numId w:val="15"/>
        </w:numPr>
        <w:tabs>
          <w:tab w:val="center" w:pos="284"/>
        </w:tabs>
        <w:overflowPunct w:val="0"/>
        <w:autoSpaceDE w:val="0"/>
        <w:autoSpaceDN w:val="0"/>
        <w:adjustRightInd w:val="0"/>
        <w:ind w:left="284" w:hanging="284"/>
        <w:contextualSpacing/>
        <w:textAlignment w:val="baseline"/>
      </w:pPr>
      <w:r>
        <w:t>betont, dass überall in der EU Impfungen ohne weite Anfahrtswege möglich sein müssen und dass gezielte Maßnahmen erforderlich sind, um Menschen aus verschiedenen benachteiligten Gruppen und mit besonderen Risiken zu erreichen.</w:t>
      </w:r>
    </w:p>
    <w:p w:rsidRPr="004E7105" w:rsidR="004E7105" w:rsidP="000178D3" w:rsidRDefault="004E7105" w14:paraId="451AD803" w14:textId="77777777">
      <w:pPr>
        <w:widowControl w:val="0"/>
        <w:overflowPunct w:val="0"/>
        <w:autoSpaceDE w:val="0"/>
        <w:autoSpaceDN w:val="0"/>
        <w:adjustRightInd w:val="0"/>
        <w:ind w:left="709"/>
        <w:textAlignment w:val="baseline"/>
        <w:rPr>
          <w:sz w:val="16"/>
          <w:szCs w:val="16"/>
        </w:rPr>
      </w:pPr>
    </w:p>
    <w:tbl>
      <w:tblPr>
        <w:tblStyle w:val="TableGrid214"/>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25"/>
        <w:gridCol w:w="4906"/>
      </w:tblGrid>
      <w:tr w:rsidRPr="004E7105" w:rsidR="004E7105" w:rsidTr="002802BB" w14:paraId="649C5F6D" w14:textId="77777777">
        <w:tc>
          <w:tcPr>
            <w:tcW w:w="1186" w:type="pct"/>
          </w:tcPr>
          <w:p w:rsidRPr="004E7105" w:rsidR="004E7105" w:rsidP="000178D3" w:rsidRDefault="004E7105" w14:paraId="31DDC109" w14:textId="77777777">
            <w:pPr>
              <w:widowControl w:val="0"/>
              <w:overflowPunct w:val="0"/>
              <w:autoSpaceDE w:val="0"/>
              <w:autoSpaceDN w:val="0"/>
              <w:adjustRightInd w:val="0"/>
              <w:textAlignment w:val="baseline"/>
              <w:rPr>
                <w:i/>
              </w:rPr>
            </w:pPr>
            <w:r>
              <w:rPr>
                <w:b/>
                <w:i/>
              </w:rPr>
              <w:t>Kontakt</w:t>
            </w:r>
          </w:p>
        </w:tc>
        <w:tc>
          <w:tcPr>
            <w:tcW w:w="3814" w:type="pct"/>
          </w:tcPr>
          <w:p w:rsidRPr="004E7105" w:rsidR="004E7105" w:rsidP="000178D3" w:rsidRDefault="004E7105" w14:paraId="234336DC" w14:textId="3DE03174">
            <w:pPr>
              <w:widowControl w:val="0"/>
              <w:overflowPunct w:val="0"/>
              <w:autoSpaceDE w:val="0"/>
              <w:autoSpaceDN w:val="0"/>
              <w:adjustRightInd w:val="0"/>
              <w:textAlignment w:val="baseline"/>
              <w:rPr>
                <w:i/>
              </w:rPr>
            </w:pPr>
            <w:r>
              <w:rPr>
                <w:i/>
              </w:rPr>
              <w:t>Valeria ATZORI</w:t>
            </w:r>
          </w:p>
        </w:tc>
      </w:tr>
      <w:tr w:rsidRPr="004E7105" w:rsidR="004E7105" w:rsidTr="002802BB" w14:paraId="77487634" w14:textId="77777777">
        <w:tc>
          <w:tcPr>
            <w:tcW w:w="1186" w:type="pct"/>
          </w:tcPr>
          <w:p w:rsidRPr="004E7105" w:rsidR="004E7105" w:rsidP="000178D3" w:rsidRDefault="004E7105" w14:paraId="5E05B9B4" w14:textId="77777777">
            <w:pPr>
              <w:widowControl w:val="0"/>
              <w:overflowPunct w:val="0"/>
              <w:autoSpaceDE w:val="0"/>
              <w:autoSpaceDN w:val="0"/>
              <w:adjustRightInd w:val="0"/>
              <w:textAlignment w:val="baseline"/>
              <w:rPr>
                <w:i/>
              </w:rPr>
            </w:pPr>
            <w:r>
              <w:rPr>
                <w:i/>
              </w:rPr>
              <w:t>Tel.</w:t>
            </w:r>
          </w:p>
        </w:tc>
        <w:tc>
          <w:tcPr>
            <w:tcW w:w="3814" w:type="pct"/>
          </w:tcPr>
          <w:p w:rsidRPr="004E7105" w:rsidR="004E7105" w:rsidP="000178D3" w:rsidRDefault="004E7105" w14:paraId="1CB217D1" w14:textId="77777777">
            <w:pPr>
              <w:widowControl w:val="0"/>
              <w:overflowPunct w:val="0"/>
              <w:autoSpaceDE w:val="0"/>
              <w:autoSpaceDN w:val="0"/>
              <w:adjustRightInd w:val="0"/>
              <w:textAlignment w:val="baseline"/>
              <w:rPr>
                <w:i/>
              </w:rPr>
            </w:pPr>
            <w:r>
              <w:rPr>
                <w:i/>
              </w:rPr>
              <w:t>+32 2 546 8774</w:t>
            </w:r>
          </w:p>
        </w:tc>
      </w:tr>
      <w:tr w:rsidRPr="004E7105" w:rsidR="004E7105" w:rsidTr="002802BB" w14:paraId="00AFAE0F" w14:textId="77777777">
        <w:tc>
          <w:tcPr>
            <w:tcW w:w="1186" w:type="pct"/>
          </w:tcPr>
          <w:p w:rsidRPr="004E7105" w:rsidR="004E7105" w:rsidP="000178D3" w:rsidRDefault="004E7105" w14:paraId="31EB9B75" w14:textId="77777777">
            <w:pPr>
              <w:widowControl w:val="0"/>
              <w:overflowPunct w:val="0"/>
              <w:autoSpaceDE w:val="0"/>
              <w:autoSpaceDN w:val="0"/>
              <w:adjustRightInd w:val="0"/>
              <w:textAlignment w:val="baseline"/>
              <w:rPr>
                <w:i/>
              </w:rPr>
            </w:pPr>
            <w:r>
              <w:rPr>
                <w:i/>
              </w:rPr>
              <w:t>E-Mail</w:t>
            </w:r>
          </w:p>
        </w:tc>
        <w:tc>
          <w:tcPr>
            <w:tcW w:w="3814" w:type="pct"/>
          </w:tcPr>
          <w:p w:rsidRPr="004E7105" w:rsidR="004E7105" w:rsidP="002802BB" w:rsidRDefault="00D35CF0" w14:paraId="3E8EA07D" w14:textId="3AA4DB10">
            <w:pPr>
              <w:widowControl w:val="0"/>
              <w:overflowPunct w:val="0"/>
              <w:autoSpaceDE w:val="0"/>
              <w:autoSpaceDN w:val="0"/>
              <w:adjustRightInd w:val="0"/>
              <w:textAlignment w:val="baseline"/>
              <w:rPr>
                <w:color w:val="0000FF"/>
                <w:u w:val="single"/>
              </w:rPr>
            </w:pPr>
            <w:hyperlink w:history="1" r:id="rId25">
              <w:r w:rsidR="00136442">
                <w:rPr>
                  <w:i/>
                  <w:color w:val="0000FF"/>
                  <w:u w:val="single"/>
                </w:rPr>
                <w:t>Valeria.Atzori@eesc.europa.eu</w:t>
              </w:r>
            </w:hyperlink>
          </w:p>
        </w:tc>
      </w:tr>
    </w:tbl>
    <w:p w:rsidR="0010484C" w:rsidP="000178D3" w:rsidRDefault="0010484C" w14:paraId="6CA58907" w14:textId="77777777">
      <w:pPr>
        <w:jc w:val="left"/>
        <w:rPr>
          <w:sz w:val="14"/>
          <w:szCs w:val="14"/>
        </w:rPr>
      </w:pPr>
    </w:p>
    <w:p w:rsidR="0010484C" w:rsidP="000178D3" w:rsidRDefault="0010484C" w14:paraId="3C32ABDC" w14:textId="77777777">
      <w:pPr>
        <w:jc w:val="left"/>
        <w:rPr>
          <w:sz w:val="14"/>
          <w:szCs w:val="14"/>
        </w:rPr>
      </w:pPr>
      <w:r>
        <w:br w:type="page"/>
      </w:r>
    </w:p>
    <w:p w:rsidRPr="0010484C" w:rsidR="0010484C" w:rsidP="000178D3" w:rsidRDefault="00D35CF0" w14:paraId="3ECE05AC" w14:textId="7B22D080">
      <w:pPr>
        <w:widowControl w:val="0"/>
        <w:numPr>
          <w:ilvl w:val="0"/>
          <w:numId w:val="7"/>
        </w:numPr>
        <w:overflowPunct w:val="0"/>
        <w:autoSpaceDE w:val="0"/>
        <w:autoSpaceDN w:val="0"/>
        <w:adjustRightInd w:val="0"/>
        <w:ind w:hanging="567"/>
        <w:textAlignment w:val="baseline"/>
        <w:rPr>
          <w:sz w:val="24"/>
          <w:szCs w:val="24"/>
        </w:rPr>
      </w:pPr>
      <w:hyperlink w:history="1" r:id="rId26">
        <w:r w:rsidR="00136442">
          <w:rPr>
            <w:b/>
            <w:i/>
            <w:color w:val="0000FF"/>
            <w:sz w:val="28"/>
            <w:u w:val="single"/>
          </w:rPr>
          <w:t>Überarbeitung der Richtlinie über die Einsetzung eines Europäischen Betriebsrats</w:t>
        </w:r>
      </w:hyperlink>
    </w:p>
    <w:p w:rsidRPr="000178D3" w:rsidR="0010484C" w:rsidP="000178D3" w:rsidRDefault="0010484C" w14:paraId="00BC5CCC" w14:textId="690E0BC3">
      <w:pPr>
        <w:tabs>
          <w:tab w:val="center" w:pos="284"/>
        </w:tabs>
        <w:overflowPunct w:val="0"/>
        <w:autoSpaceDE w:val="0"/>
        <w:autoSpaceDN w:val="0"/>
        <w:adjustRightInd w:val="0"/>
        <w:ind w:left="266" w:hanging="266"/>
        <w:textAlignment w:val="baseline"/>
        <w:rPr>
          <w:b/>
        </w:rPr>
      </w:pPr>
    </w:p>
    <w:tbl>
      <w:tblPr>
        <w:tblStyle w:val="TableGrid215"/>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0"/>
        <w:gridCol w:w="5387"/>
      </w:tblGrid>
      <w:tr w:rsidRPr="000178D3" w:rsidR="0010484C" w:rsidTr="000178D3" w14:paraId="561F7E20" w14:textId="77777777">
        <w:tc>
          <w:tcPr>
            <w:tcW w:w="1892" w:type="dxa"/>
          </w:tcPr>
          <w:p w:rsidRPr="000178D3" w:rsidR="0010484C" w:rsidP="000178D3" w:rsidRDefault="0010484C" w14:paraId="5540B242" w14:textId="77777777">
            <w:pPr>
              <w:tabs>
                <w:tab w:val="center" w:pos="284"/>
              </w:tabs>
              <w:overflowPunct w:val="0"/>
              <w:autoSpaceDE w:val="0"/>
              <w:autoSpaceDN w:val="0"/>
              <w:adjustRightInd w:val="0"/>
              <w:ind w:left="266" w:hanging="376"/>
              <w:textAlignment w:val="baseline"/>
              <w:rPr>
                <w:b/>
                <w:sz w:val="22"/>
                <w:szCs w:val="22"/>
              </w:rPr>
            </w:pPr>
            <w:r w:rsidRPr="000178D3">
              <w:rPr>
                <w:b/>
                <w:sz w:val="22"/>
                <w:szCs w:val="22"/>
              </w:rPr>
              <w:t>Berichterstatterin</w:t>
            </w:r>
          </w:p>
        </w:tc>
        <w:tc>
          <w:tcPr>
            <w:tcW w:w="5387" w:type="dxa"/>
          </w:tcPr>
          <w:p w:rsidRPr="000178D3" w:rsidR="0010484C" w:rsidP="000178D3" w:rsidRDefault="0010484C" w14:paraId="2E037801" w14:textId="01A5B710">
            <w:pPr>
              <w:tabs>
                <w:tab w:val="center" w:pos="284"/>
              </w:tabs>
              <w:overflowPunct w:val="0"/>
              <w:autoSpaceDE w:val="0"/>
              <w:autoSpaceDN w:val="0"/>
              <w:adjustRightInd w:val="0"/>
              <w:ind w:left="266" w:hanging="376"/>
              <w:textAlignment w:val="baseline"/>
              <w:rPr>
                <w:sz w:val="22"/>
                <w:szCs w:val="22"/>
              </w:rPr>
            </w:pPr>
            <w:r w:rsidRPr="000178D3">
              <w:rPr>
                <w:sz w:val="22"/>
                <w:szCs w:val="22"/>
              </w:rPr>
              <w:t>Sophia REISECKER (Gruppe Arbeitnehmer – AT)</w:t>
            </w:r>
          </w:p>
        </w:tc>
      </w:tr>
      <w:tr w:rsidRPr="000178D3" w:rsidR="0010484C" w:rsidTr="000178D3" w14:paraId="73157FC0" w14:textId="77777777">
        <w:tc>
          <w:tcPr>
            <w:tcW w:w="7279" w:type="dxa"/>
            <w:gridSpan w:val="2"/>
          </w:tcPr>
          <w:p w:rsidRPr="000178D3" w:rsidR="0010484C" w:rsidP="000178D3" w:rsidRDefault="0010484C" w14:paraId="11368192" w14:textId="77777777">
            <w:pPr>
              <w:tabs>
                <w:tab w:val="center" w:pos="284"/>
              </w:tabs>
              <w:overflowPunct w:val="0"/>
              <w:autoSpaceDE w:val="0"/>
              <w:autoSpaceDN w:val="0"/>
              <w:adjustRightInd w:val="0"/>
              <w:ind w:left="266" w:hanging="376"/>
              <w:textAlignment w:val="baseline"/>
              <w:rPr>
                <w:sz w:val="10"/>
                <w:szCs w:val="10"/>
              </w:rPr>
            </w:pPr>
          </w:p>
        </w:tc>
      </w:tr>
      <w:tr w:rsidRPr="000178D3" w:rsidR="0010484C" w:rsidTr="000178D3" w14:paraId="08B719B5" w14:textId="77777777">
        <w:tc>
          <w:tcPr>
            <w:tcW w:w="1892" w:type="dxa"/>
            <w:vMerge w:val="restart"/>
          </w:tcPr>
          <w:p w:rsidRPr="000178D3" w:rsidR="0010484C" w:rsidP="000178D3" w:rsidRDefault="0010484C" w14:paraId="1AD2CE0E" w14:textId="77777777">
            <w:pPr>
              <w:tabs>
                <w:tab w:val="center" w:pos="284"/>
              </w:tabs>
              <w:overflowPunct w:val="0"/>
              <w:autoSpaceDE w:val="0"/>
              <w:autoSpaceDN w:val="0"/>
              <w:adjustRightInd w:val="0"/>
              <w:ind w:left="266" w:hanging="376"/>
              <w:textAlignment w:val="baseline"/>
              <w:rPr>
                <w:b/>
                <w:sz w:val="22"/>
                <w:szCs w:val="22"/>
              </w:rPr>
            </w:pPr>
            <w:r w:rsidRPr="000178D3">
              <w:rPr>
                <w:b/>
                <w:sz w:val="22"/>
                <w:szCs w:val="22"/>
              </w:rPr>
              <w:t>Referenzdokumente</w:t>
            </w:r>
          </w:p>
        </w:tc>
        <w:tc>
          <w:tcPr>
            <w:tcW w:w="5387" w:type="dxa"/>
          </w:tcPr>
          <w:p w:rsidRPr="000178D3" w:rsidR="0010484C" w:rsidP="000178D3" w:rsidRDefault="0010484C" w14:paraId="2437B8BE" w14:textId="4FE32139">
            <w:pPr>
              <w:tabs>
                <w:tab w:val="center" w:pos="284"/>
              </w:tabs>
              <w:overflowPunct w:val="0"/>
              <w:autoSpaceDE w:val="0"/>
              <w:autoSpaceDN w:val="0"/>
              <w:adjustRightInd w:val="0"/>
              <w:ind w:left="266" w:hanging="376"/>
              <w:textAlignment w:val="baseline"/>
              <w:rPr>
                <w:sz w:val="22"/>
                <w:szCs w:val="22"/>
              </w:rPr>
            </w:pPr>
            <w:r w:rsidRPr="000178D3">
              <w:rPr>
                <w:sz w:val="22"/>
                <w:szCs w:val="22"/>
              </w:rPr>
              <w:t>COM(2024) 14 final</w:t>
            </w:r>
          </w:p>
        </w:tc>
      </w:tr>
      <w:tr w:rsidRPr="000178D3" w:rsidR="0010484C" w:rsidTr="000178D3" w14:paraId="5820FB7B" w14:textId="77777777">
        <w:tc>
          <w:tcPr>
            <w:tcW w:w="1892" w:type="dxa"/>
            <w:vMerge/>
          </w:tcPr>
          <w:p w:rsidRPr="000178D3" w:rsidR="0010484C" w:rsidP="000178D3" w:rsidRDefault="0010484C" w14:paraId="7361EF92" w14:textId="77777777">
            <w:pPr>
              <w:tabs>
                <w:tab w:val="center" w:pos="284"/>
              </w:tabs>
              <w:overflowPunct w:val="0"/>
              <w:autoSpaceDE w:val="0"/>
              <w:autoSpaceDN w:val="0"/>
              <w:adjustRightInd w:val="0"/>
              <w:ind w:left="266" w:hanging="376"/>
              <w:textAlignment w:val="baseline"/>
              <w:rPr>
                <w:b/>
                <w:sz w:val="22"/>
                <w:szCs w:val="22"/>
              </w:rPr>
            </w:pPr>
          </w:p>
        </w:tc>
        <w:tc>
          <w:tcPr>
            <w:tcW w:w="5387" w:type="dxa"/>
          </w:tcPr>
          <w:p w:rsidRPr="000178D3" w:rsidR="0010484C" w:rsidP="000178D3" w:rsidRDefault="0010484C" w14:paraId="0F30A46F" w14:textId="4D6C9E54">
            <w:pPr>
              <w:tabs>
                <w:tab w:val="center" w:pos="284"/>
              </w:tabs>
              <w:overflowPunct w:val="0"/>
              <w:autoSpaceDE w:val="0"/>
              <w:autoSpaceDN w:val="0"/>
              <w:adjustRightInd w:val="0"/>
              <w:ind w:left="266" w:hanging="376"/>
              <w:textAlignment w:val="baseline"/>
              <w:rPr>
                <w:sz w:val="22"/>
                <w:szCs w:val="22"/>
              </w:rPr>
            </w:pPr>
            <w:r w:rsidRPr="000178D3">
              <w:rPr>
                <w:sz w:val="22"/>
                <w:szCs w:val="22"/>
              </w:rPr>
              <w:t>EESC-2024-00543-00-00-AC</w:t>
            </w:r>
          </w:p>
        </w:tc>
      </w:tr>
    </w:tbl>
    <w:p w:rsidRPr="000178D3" w:rsidR="0010484C" w:rsidP="000178D3" w:rsidRDefault="0010484C" w14:paraId="045C90A1" w14:textId="77777777">
      <w:pPr>
        <w:tabs>
          <w:tab w:val="center" w:pos="284"/>
        </w:tabs>
        <w:overflowPunct w:val="0"/>
        <w:autoSpaceDE w:val="0"/>
        <w:autoSpaceDN w:val="0"/>
        <w:adjustRightInd w:val="0"/>
        <w:ind w:left="266" w:hanging="266"/>
        <w:textAlignment w:val="baseline"/>
      </w:pPr>
    </w:p>
    <w:p w:rsidRPr="0010484C" w:rsidR="0010484C" w:rsidP="000178D3" w:rsidRDefault="0010484C" w14:paraId="6E251606" w14:textId="77777777">
      <w:pPr>
        <w:keepNext/>
        <w:keepLines/>
        <w:tabs>
          <w:tab w:val="center" w:pos="284"/>
        </w:tabs>
        <w:overflowPunct w:val="0"/>
        <w:autoSpaceDE w:val="0"/>
        <w:autoSpaceDN w:val="0"/>
        <w:adjustRightInd w:val="0"/>
        <w:ind w:left="266" w:hanging="266"/>
        <w:textAlignment w:val="baseline"/>
        <w:rPr>
          <w:b/>
        </w:rPr>
      </w:pPr>
      <w:r>
        <w:rPr>
          <w:b/>
        </w:rPr>
        <w:t>Kernaussagen</w:t>
      </w:r>
    </w:p>
    <w:p w:rsidRPr="000178D3" w:rsidR="0010484C" w:rsidP="000178D3" w:rsidRDefault="0010484C" w14:paraId="1FCAE476" w14:textId="77777777">
      <w:pPr>
        <w:keepNext/>
        <w:keepLines/>
        <w:tabs>
          <w:tab w:val="center" w:pos="284"/>
        </w:tabs>
        <w:overflowPunct w:val="0"/>
        <w:autoSpaceDE w:val="0"/>
        <w:autoSpaceDN w:val="0"/>
        <w:adjustRightInd w:val="0"/>
        <w:ind w:left="266" w:hanging="266"/>
        <w:textAlignment w:val="baseline"/>
        <w:rPr>
          <w:b/>
        </w:rPr>
      </w:pPr>
    </w:p>
    <w:p w:rsidR="0010484C" w:rsidP="000178D3" w:rsidRDefault="0010484C" w14:paraId="45AB3525" w14:textId="1202BA36">
      <w:pPr>
        <w:overflowPunct w:val="0"/>
        <w:autoSpaceDE w:val="0"/>
        <w:autoSpaceDN w:val="0"/>
        <w:adjustRightInd w:val="0"/>
        <w:textAlignment w:val="baseline"/>
        <w:rPr>
          <w:bCs/>
          <w:iCs/>
        </w:rPr>
      </w:pPr>
      <w:r>
        <w:t>Der EWSA:</w:t>
      </w:r>
    </w:p>
    <w:p w:rsidRPr="000178D3" w:rsidR="002F6E84" w:rsidP="000178D3" w:rsidRDefault="002F6E84" w14:paraId="0DAE7107" w14:textId="77777777">
      <w:pPr>
        <w:overflowPunct w:val="0"/>
        <w:autoSpaceDE w:val="0"/>
        <w:autoSpaceDN w:val="0"/>
        <w:adjustRightInd w:val="0"/>
        <w:textAlignment w:val="baseline"/>
        <w:rPr>
          <w:bCs/>
          <w:iCs/>
        </w:rPr>
      </w:pPr>
    </w:p>
    <w:p w:rsidRPr="00DC0FAE" w:rsidR="0010484C" w:rsidP="000178D3" w:rsidRDefault="0010484C" w14:paraId="5422A1B5" w14:textId="77777777">
      <w:pPr>
        <w:widowControl w:val="0"/>
        <w:numPr>
          <w:ilvl w:val="0"/>
          <w:numId w:val="16"/>
        </w:numPr>
        <w:overflowPunct w:val="0"/>
        <w:autoSpaceDE w:val="0"/>
        <w:autoSpaceDN w:val="0"/>
        <w:adjustRightInd w:val="0"/>
        <w:ind w:left="284" w:hanging="284"/>
        <w:textAlignment w:val="baseline"/>
        <w:rPr>
          <w:szCs w:val="20"/>
        </w:rPr>
      </w:pPr>
      <w:r>
        <w:t>begrüßt, dass die Europäische Kommission legislative Schritte unternommen hat, um die Richtlinie 2009/38/EG hinsichtlich der Mindestanforderungen für die Einrichtung und die effektive Arbeit Europäischer Betriebsräte (EBR) zu überarbeiten;</w:t>
      </w:r>
    </w:p>
    <w:p w:rsidRPr="00DC0FAE" w:rsidR="0010484C" w:rsidP="000178D3" w:rsidRDefault="0010484C" w14:paraId="4FA291B7" w14:textId="77777777">
      <w:pPr>
        <w:widowControl w:val="0"/>
        <w:numPr>
          <w:ilvl w:val="0"/>
          <w:numId w:val="16"/>
        </w:numPr>
        <w:overflowPunct w:val="0"/>
        <w:autoSpaceDE w:val="0"/>
        <w:autoSpaceDN w:val="0"/>
        <w:adjustRightInd w:val="0"/>
        <w:ind w:left="284" w:hanging="284"/>
        <w:textAlignment w:val="baseline"/>
        <w:rPr>
          <w:szCs w:val="20"/>
        </w:rPr>
      </w:pPr>
      <w:r>
        <w:t>nimmt zur Kenntnis, dass mit dem Vorschlag dafür gesorgt werden soll, dass die Rechte des Europäischen Betriebsrats besser greifen und durch Präzisierung der zentralen Konzepte der EBR-Richtlinie Rechtssicherheit besteht. Letzteres betrifft insbesondere die Bestimmung des Begriffs länderübergreifender Charakter, die angemessene Mittelausstattung Europäischer Betriebsräte, den Zugang zur Justiz und die stärkere Verpflichtung der Mitgliedstaaten zur Einführung wirksamer und hinreichend abschreckender Sanktionen im Fall von Verletzungen der Rechte des Europäischen Betriebsrats;</w:t>
      </w:r>
    </w:p>
    <w:p w:rsidRPr="00DC0FAE" w:rsidR="0010484C" w:rsidP="000178D3" w:rsidRDefault="0010484C" w14:paraId="2ABD0814" w14:textId="77777777">
      <w:pPr>
        <w:widowControl w:val="0"/>
        <w:numPr>
          <w:ilvl w:val="0"/>
          <w:numId w:val="16"/>
        </w:numPr>
        <w:overflowPunct w:val="0"/>
        <w:autoSpaceDE w:val="0"/>
        <w:autoSpaceDN w:val="0"/>
        <w:adjustRightInd w:val="0"/>
        <w:ind w:left="284" w:hanging="284"/>
        <w:textAlignment w:val="baseline"/>
        <w:rPr>
          <w:szCs w:val="20"/>
        </w:rPr>
      </w:pPr>
      <w:r>
        <w:t>begrüßt, dass die Kommission den Standard für ein effizienteres und zielgerichteteres Verfahren der Unterrichtung und Anhörung zu überprüfen beabsichtigt und zu diesem Zweck Ergänzungen zu den subsidiären Vorschriften vorschlägt, damit häufiger regelmäßige Sitzungen des Europäischen Betriebsrats stattfinden und die Unternehmensleitung mit einer begründeten Antwort auf Stellungnahmen des Europäischen Betriebsrats reagieren muss; nimmt auch zur Kenntnis, dass die Rolle von Gewerkschaftsvertretern als beratende Sachverständige des Europäischen Betriebsrats gestärkt werden soll;</w:t>
      </w:r>
    </w:p>
    <w:p w:rsidRPr="005C28F2" w:rsidR="0010484C" w:rsidP="000178D3" w:rsidRDefault="0010484C" w14:paraId="30EB9EA4" w14:textId="77777777">
      <w:pPr>
        <w:widowControl w:val="0"/>
        <w:numPr>
          <w:ilvl w:val="0"/>
          <w:numId w:val="16"/>
        </w:numPr>
        <w:overflowPunct w:val="0"/>
        <w:autoSpaceDE w:val="0"/>
        <w:autoSpaceDN w:val="0"/>
        <w:adjustRightInd w:val="0"/>
        <w:ind w:left="284" w:hanging="284"/>
        <w:textAlignment w:val="baseline"/>
        <w:rPr>
          <w:szCs w:val="20"/>
        </w:rPr>
      </w:pPr>
      <w:r>
        <w:t>begrüßt die wichtigen Änderungen, die Europäischen Betriebsräten und deren Mitgliedern ermöglichen sollen, ihre Aufgaben wahrzunehmen. Das betrifft insbesondere die Bereitstellung von Mitteln durch die Unternehmensleitung, wobei die Einzelheiten dafür im Zusammenhang mit Schulungen, Sachverständigen und rechtlicher Vertretung sowie präzise Regelungen bezüglich der Vertraulichkeit von Informationen in der jeweiligen EBR-Vereinbarung gemeinsam festzulegen sind;</w:t>
      </w:r>
    </w:p>
    <w:p w:rsidRPr="00DC0FAE" w:rsidR="0010484C" w:rsidP="000178D3" w:rsidRDefault="0010484C" w14:paraId="5A31B5F8" w14:textId="77777777">
      <w:pPr>
        <w:widowControl w:val="0"/>
        <w:numPr>
          <w:ilvl w:val="0"/>
          <w:numId w:val="16"/>
        </w:numPr>
        <w:overflowPunct w:val="0"/>
        <w:autoSpaceDE w:val="0"/>
        <w:autoSpaceDN w:val="0"/>
        <w:adjustRightInd w:val="0"/>
        <w:ind w:left="284" w:hanging="284"/>
        <w:textAlignment w:val="baseline"/>
        <w:rPr>
          <w:szCs w:val="20"/>
        </w:rPr>
      </w:pPr>
      <w:r>
        <w:t>fordert die gesetzgebenden Organe auf, die Überarbeitung der EBR-Richtlinie gemäß dem Vorschlag der Kommission voranzutreiben und den Empfehlungen der vorliegenden Stellungnahme dabei Rechnung zu tragen;</w:t>
      </w:r>
    </w:p>
    <w:p w:rsidRPr="00DC0FAE" w:rsidR="0010484C" w:rsidP="000178D3" w:rsidRDefault="0010484C" w14:paraId="401ED45E" w14:textId="77777777">
      <w:pPr>
        <w:widowControl w:val="0"/>
        <w:numPr>
          <w:ilvl w:val="0"/>
          <w:numId w:val="16"/>
        </w:numPr>
        <w:overflowPunct w:val="0"/>
        <w:autoSpaceDE w:val="0"/>
        <w:autoSpaceDN w:val="0"/>
        <w:adjustRightInd w:val="0"/>
        <w:ind w:left="284" w:hanging="284"/>
        <w:textAlignment w:val="baseline"/>
        <w:rPr>
          <w:szCs w:val="20"/>
        </w:rPr>
      </w:pPr>
      <w:r>
        <w:t>betont, dass die ordnungsgemäße Umsetzung und Durchführung der überarbeiteten Richtlinie sichergestellt werden muss und dass die Kommission dabei wirksame Überwachungs- und Durchführungsinstrumente einsetzen muss.</w:t>
      </w:r>
    </w:p>
    <w:p w:rsidRPr="000178D3" w:rsidR="0010484C" w:rsidP="000178D3" w:rsidRDefault="0010484C" w14:paraId="79C5FBDA" w14:textId="77777777">
      <w:pPr>
        <w:widowControl w:val="0"/>
        <w:overflowPunct w:val="0"/>
        <w:autoSpaceDE w:val="0"/>
        <w:autoSpaceDN w:val="0"/>
        <w:adjustRightInd w:val="0"/>
        <w:ind w:left="709"/>
        <w:textAlignment w:val="baseline"/>
      </w:pPr>
    </w:p>
    <w:p w:rsidRPr="005C28F2" w:rsidR="0010484C" w:rsidP="000178D3" w:rsidRDefault="0010484C" w14:paraId="3B5BD501" w14:textId="77777777">
      <w:pPr>
        <w:widowControl w:val="0"/>
        <w:overflowPunct w:val="0"/>
        <w:autoSpaceDE w:val="0"/>
        <w:autoSpaceDN w:val="0"/>
        <w:adjustRightInd w:val="0"/>
        <w:textAlignment w:val="baseline"/>
        <w:rPr>
          <w:b/>
          <w:bCs/>
          <w:szCs w:val="20"/>
        </w:rPr>
      </w:pPr>
      <w:r>
        <w:rPr>
          <w:b/>
        </w:rPr>
        <w:t xml:space="preserve">Aufgrund abweichender Ansichten der Arbeitgeberverbände haben Mitglieder der Gruppe Arbeitgeber des EWSA eine Gegenstellungnahme vorgelegt. Insbesondere wurden dahingehend Bedenken geäußert, dass die Arbeitsweise der Europäischen Betriebsräte (EBR) </w:t>
      </w:r>
      <w:r>
        <w:rPr>
          <w:b/>
        </w:rPr>
        <w:lastRenderedPageBreak/>
        <w:t>durch die Überarbeitung der Richtlinie zu kompliziert werden und die Überarbeitung die Gefahr bergen könnte, dass sich die EBR von einem Medium für die konstruktive Unterrichtung und Anhörung auf Betriebsebene in Quellen für Streitigkeiten und Rechtsunsicherheit verwandeln. Die Gruppe Arbeitgeber des EWSA ist der Ansicht, dass dies die unerlässliche Zusammenarbeit und das Vertrauen am Arbeitsplatz untergraben könnte. Die Gegenstellungnahme wurde vom EWSA abgelehnt (mit 104 Ja-Stimmen bei 125 Nein-Stimmen und 11 Enthaltungen). Da sie jedoch mehr als ein Viertel der abgegebenen Stimmen erhielt, ist sie gemäß der Geschäftsordnung des EWSA der Stellungnahme im Anhang beigefügt.</w:t>
      </w:r>
    </w:p>
    <w:p w:rsidRPr="000178D3" w:rsidR="0010484C" w:rsidP="000178D3" w:rsidRDefault="0010484C" w14:paraId="4D07561D" w14:textId="10666C39">
      <w:pPr>
        <w:widowControl w:val="0"/>
        <w:overflowPunct w:val="0"/>
        <w:autoSpaceDE w:val="0"/>
        <w:autoSpaceDN w:val="0"/>
        <w:adjustRightInd w:val="0"/>
        <w:textAlignment w:val="baseline"/>
        <w:rPr>
          <w:szCs w:val="20"/>
        </w:rPr>
      </w:pPr>
    </w:p>
    <w:tbl>
      <w:tblPr>
        <w:tblStyle w:val="TableGrid21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10484C" w:rsidR="005C28F2" w:rsidTr="00405FFF" w14:paraId="60D176FD" w14:textId="77777777">
        <w:tc>
          <w:tcPr>
            <w:tcW w:w="1418" w:type="dxa"/>
          </w:tcPr>
          <w:p w:rsidRPr="0010484C" w:rsidR="005C28F2" w:rsidP="000178D3" w:rsidRDefault="005C28F2" w14:paraId="585CB7BA" w14:textId="77777777">
            <w:pPr>
              <w:overflowPunct w:val="0"/>
              <w:autoSpaceDE w:val="0"/>
              <w:autoSpaceDN w:val="0"/>
              <w:adjustRightInd w:val="0"/>
              <w:ind w:hanging="110"/>
              <w:textAlignment w:val="baseline"/>
              <w:rPr>
                <w:i/>
              </w:rPr>
            </w:pPr>
            <w:r>
              <w:rPr>
                <w:b/>
                <w:i/>
              </w:rPr>
              <w:t>Kontakt</w:t>
            </w:r>
          </w:p>
        </w:tc>
        <w:tc>
          <w:tcPr>
            <w:tcW w:w="5670" w:type="dxa"/>
          </w:tcPr>
          <w:p w:rsidRPr="0010484C" w:rsidR="005C28F2" w:rsidP="000178D3" w:rsidRDefault="005C28F2" w14:paraId="78013169" w14:textId="77777777">
            <w:pPr>
              <w:overflowPunct w:val="0"/>
              <w:autoSpaceDE w:val="0"/>
              <w:autoSpaceDN w:val="0"/>
              <w:adjustRightInd w:val="0"/>
              <w:ind w:hanging="110"/>
              <w:textAlignment w:val="baseline"/>
              <w:rPr>
                <w:i/>
              </w:rPr>
            </w:pPr>
            <w:r>
              <w:rPr>
                <w:i/>
              </w:rPr>
              <w:t xml:space="preserve">Bartek </w:t>
            </w:r>
            <w:proofErr w:type="spellStart"/>
            <w:r>
              <w:rPr>
                <w:i/>
              </w:rPr>
              <w:t>Bednarowicz</w:t>
            </w:r>
            <w:proofErr w:type="spellEnd"/>
          </w:p>
        </w:tc>
      </w:tr>
      <w:tr w:rsidRPr="0010484C" w:rsidR="005C28F2" w:rsidTr="00405FFF" w14:paraId="02718472" w14:textId="77777777">
        <w:tc>
          <w:tcPr>
            <w:tcW w:w="1418" w:type="dxa"/>
          </w:tcPr>
          <w:p w:rsidRPr="0010484C" w:rsidR="005C28F2" w:rsidP="000178D3" w:rsidRDefault="005C28F2" w14:paraId="5ECEACD6" w14:textId="77777777">
            <w:pPr>
              <w:overflowPunct w:val="0"/>
              <w:autoSpaceDE w:val="0"/>
              <w:autoSpaceDN w:val="0"/>
              <w:adjustRightInd w:val="0"/>
              <w:ind w:hanging="110"/>
              <w:textAlignment w:val="baseline"/>
              <w:rPr>
                <w:i/>
              </w:rPr>
            </w:pPr>
            <w:r>
              <w:rPr>
                <w:i/>
              </w:rPr>
              <w:t>Tel.</w:t>
            </w:r>
          </w:p>
        </w:tc>
        <w:tc>
          <w:tcPr>
            <w:tcW w:w="5670" w:type="dxa"/>
          </w:tcPr>
          <w:p w:rsidRPr="0010484C" w:rsidR="005C28F2" w:rsidP="000178D3" w:rsidRDefault="005C28F2" w14:paraId="39C98148" w14:textId="77777777">
            <w:pPr>
              <w:overflowPunct w:val="0"/>
              <w:autoSpaceDE w:val="0"/>
              <w:autoSpaceDN w:val="0"/>
              <w:adjustRightInd w:val="0"/>
              <w:ind w:hanging="110"/>
              <w:textAlignment w:val="baseline"/>
              <w:rPr>
                <w:i/>
              </w:rPr>
            </w:pPr>
            <w:r>
              <w:rPr>
                <w:i/>
              </w:rPr>
              <w:t>+32 25469229</w:t>
            </w:r>
          </w:p>
        </w:tc>
      </w:tr>
      <w:tr w:rsidRPr="0010484C" w:rsidR="005C28F2" w:rsidTr="00405FFF" w14:paraId="6D0F78E9" w14:textId="77777777">
        <w:tc>
          <w:tcPr>
            <w:tcW w:w="1418" w:type="dxa"/>
          </w:tcPr>
          <w:p w:rsidRPr="0010484C" w:rsidR="005C28F2" w:rsidP="000178D3" w:rsidRDefault="005C28F2" w14:paraId="57F2C25C" w14:textId="77777777">
            <w:pPr>
              <w:overflowPunct w:val="0"/>
              <w:autoSpaceDE w:val="0"/>
              <w:autoSpaceDN w:val="0"/>
              <w:adjustRightInd w:val="0"/>
              <w:ind w:hanging="110"/>
              <w:textAlignment w:val="baseline"/>
              <w:rPr>
                <w:i/>
              </w:rPr>
            </w:pPr>
            <w:r>
              <w:rPr>
                <w:i/>
              </w:rPr>
              <w:t>E-Mail</w:t>
            </w:r>
          </w:p>
        </w:tc>
        <w:tc>
          <w:tcPr>
            <w:tcW w:w="5670" w:type="dxa"/>
          </w:tcPr>
          <w:p w:rsidRPr="0010484C" w:rsidR="005C28F2" w:rsidP="000178D3" w:rsidRDefault="00D35CF0" w14:paraId="17171F10" w14:textId="77777777">
            <w:pPr>
              <w:overflowPunct w:val="0"/>
              <w:autoSpaceDE w:val="0"/>
              <w:autoSpaceDN w:val="0"/>
              <w:adjustRightInd w:val="0"/>
              <w:ind w:hanging="110"/>
              <w:textAlignment w:val="baseline"/>
              <w:rPr>
                <w:i/>
                <w:iCs/>
              </w:rPr>
            </w:pPr>
            <w:hyperlink w:history="1" r:id="rId27">
              <w:r w:rsidR="005C28F2">
                <w:rPr>
                  <w:i/>
                  <w:color w:val="0000FF"/>
                  <w:u w:val="single"/>
                </w:rPr>
                <w:t>Bartek.Bednarowicz@eesc.europa.eu</w:t>
              </w:r>
            </w:hyperlink>
          </w:p>
        </w:tc>
      </w:tr>
    </w:tbl>
    <w:p w:rsidR="000178D3" w:rsidRDefault="000178D3" w14:paraId="3C121422" w14:textId="77777777">
      <w:pPr>
        <w:spacing w:after="160" w:line="259" w:lineRule="auto"/>
        <w:jc w:val="left"/>
      </w:pPr>
      <w:r>
        <w:br w:type="page"/>
      </w:r>
    </w:p>
    <w:p w:rsidRPr="005C28F2" w:rsidR="00025343" w:rsidP="000178D3" w:rsidRDefault="00D35CF0" w14:paraId="05A78CB9" w14:textId="1D96C50C">
      <w:pPr>
        <w:widowControl w:val="0"/>
        <w:numPr>
          <w:ilvl w:val="0"/>
          <w:numId w:val="7"/>
        </w:numPr>
        <w:overflowPunct w:val="0"/>
        <w:autoSpaceDE w:val="0"/>
        <w:autoSpaceDN w:val="0"/>
        <w:adjustRightInd w:val="0"/>
        <w:ind w:hanging="567"/>
        <w:textAlignment w:val="baseline"/>
        <w:rPr>
          <w:b/>
        </w:rPr>
      </w:pPr>
      <w:hyperlink w:history="1" r:id="rId28">
        <w:r w:rsidR="005C28F2">
          <w:rPr>
            <w:b/>
            <w:i/>
            <w:color w:val="0000FF"/>
            <w:sz w:val="28"/>
            <w:u w:val="single"/>
          </w:rPr>
          <w:t>Kein Platz für Hass: ein Europa, das geeint gegen Hass steht</w:t>
        </w:r>
      </w:hyperlink>
    </w:p>
    <w:p w:rsidRPr="00025343" w:rsidR="00025343" w:rsidP="000178D3" w:rsidRDefault="00025343" w14:paraId="07CE56B3" w14:textId="576C118A">
      <w:pPr>
        <w:widowControl w:val="0"/>
        <w:overflowPunct w:val="0"/>
        <w:autoSpaceDE w:val="0"/>
        <w:autoSpaceDN w:val="0"/>
        <w:adjustRightInd w:val="0"/>
        <w:ind w:left="266"/>
        <w:textAlignment w:val="baseline"/>
        <w:rPr>
          <w:b/>
        </w:rPr>
      </w:pPr>
    </w:p>
    <w:tbl>
      <w:tblPr>
        <w:tblStyle w:val="TableGrid216"/>
        <w:tblW w:w="500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17"/>
        <w:gridCol w:w="6928"/>
      </w:tblGrid>
      <w:tr w:rsidRPr="000178D3" w:rsidR="00025343" w:rsidTr="000178D3" w14:paraId="2AF8F4F0" w14:textId="77777777">
        <w:trPr>
          <w:trHeight w:val="337"/>
        </w:trPr>
        <w:tc>
          <w:tcPr>
            <w:tcW w:w="1212" w:type="pct"/>
          </w:tcPr>
          <w:p w:rsidRPr="000178D3" w:rsidR="00025343" w:rsidP="000178D3" w:rsidRDefault="00025343" w14:paraId="11E0BB11" w14:textId="77777777">
            <w:pPr>
              <w:overflowPunct w:val="0"/>
              <w:autoSpaceDE w:val="0"/>
              <w:autoSpaceDN w:val="0"/>
              <w:adjustRightInd w:val="0"/>
              <w:ind w:hanging="92"/>
              <w:textAlignment w:val="baseline"/>
              <w:rPr>
                <w:b/>
                <w:sz w:val="22"/>
                <w:szCs w:val="22"/>
              </w:rPr>
            </w:pPr>
            <w:r w:rsidRPr="000178D3">
              <w:rPr>
                <w:b/>
                <w:sz w:val="22"/>
                <w:szCs w:val="22"/>
              </w:rPr>
              <w:t>Berichterstatter</w:t>
            </w:r>
          </w:p>
        </w:tc>
        <w:tc>
          <w:tcPr>
            <w:tcW w:w="3788" w:type="pct"/>
          </w:tcPr>
          <w:p w:rsidRPr="000178D3" w:rsidR="00025343" w:rsidP="000178D3" w:rsidRDefault="00025343" w14:paraId="75752AD4" w14:textId="7ACD3C64">
            <w:pPr>
              <w:overflowPunct w:val="0"/>
              <w:autoSpaceDE w:val="0"/>
              <w:autoSpaceDN w:val="0"/>
              <w:adjustRightInd w:val="0"/>
              <w:ind w:left="-74" w:hanging="18"/>
              <w:textAlignment w:val="baseline"/>
              <w:rPr>
                <w:sz w:val="22"/>
                <w:szCs w:val="22"/>
              </w:rPr>
            </w:pPr>
            <w:r w:rsidRPr="000178D3">
              <w:rPr>
                <w:sz w:val="22"/>
                <w:szCs w:val="22"/>
              </w:rPr>
              <w:t>Cristian PÎRVULESCU (Gruppe Organisationen der Zivilgesellschaft – RO)</w:t>
            </w:r>
          </w:p>
        </w:tc>
      </w:tr>
      <w:tr w:rsidRPr="000178D3" w:rsidR="00025343" w:rsidTr="000178D3" w14:paraId="1760181D" w14:textId="77777777">
        <w:trPr>
          <w:trHeight w:val="350"/>
        </w:trPr>
        <w:tc>
          <w:tcPr>
            <w:tcW w:w="1212" w:type="pct"/>
          </w:tcPr>
          <w:p w:rsidRPr="000178D3" w:rsidR="00025343" w:rsidP="000178D3" w:rsidRDefault="00025343" w14:paraId="2BD960A6" w14:textId="77777777">
            <w:pPr>
              <w:tabs>
                <w:tab w:val="center" w:pos="284"/>
              </w:tabs>
              <w:overflowPunct w:val="0"/>
              <w:autoSpaceDE w:val="0"/>
              <w:autoSpaceDN w:val="0"/>
              <w:adjustRightInd w:val="0"/>
              <w:ind w:hanging="92"/>
              <w:textAlignment w:val="baseline"/>
              <w:rPr>
                <w:b/>
                <w:sz w:val="22"/>
                <w:szCs w:val="22"/>
              </w:rPr>
            </w:pPr>
            <w:r w:rsidRPr="000178D3">
              <w:rPr>
                <w:b/>
                <w:sz w:val="22"/>
                <w:szCs w:val="22"/>
              </w:rPr>
              <w:t>Ko-Berichterstatterin</w:t>
            </w:r>
          </w:p>
        </w:tc>
        <w:tc>
          <w:tcPr>
            <w:tcW w:w="3788" w:type="pct"/>
          </w:tcPr>
          <w:p w:rsidRPr="000178D3" w:rsidR="00025343" w:rsidP="000178D3" w:rsidRDefault="00025343" w14:paraId="4D5D8264" w14:textId="0F078110">
            <w:pPr>
              <w:overflowPunct w:val="0"/>
              <w:autoSpaceDE w:val="0"/>
              <w:autoSpaceDN w:val="0"/>
              <w:adjustRightInd w:val="0"/>
              <w:ind w:hanging="92"/>
              <w:textAlignment w:val="baseline"/>
              <w:rPr>
                <w:sz w:val="22"/>
                <w:szCs w:val="22"/>
              </w:rPr>
            </w:pPr>
            <w:r w:rsidRPr="000178D3">
              <w:rPr>
                <w:sz w:val="22"/>
                <w:szCs w:val="22"/>
              </w:rPr>
              <w:t>Milena ANGELOVA (Gruppe Arbeitgeber – BG)</w:t>
            </w:r>
          </w:p>
        </w:tc>
      </w:tr>
      <w:tr w:rsidRPr="000178D3" w:rsidR="00025343" w:rsidTr="000178D3" w14:paraId="2C6DD60C" w14:textId="77777777">
        <w:trPr>
          <w:trHeight w:val="180"/>
        </w:trPr>
        <w:tc>
          <w:tcPr>
            <w:tcW w:w="5000" w:type="pct"/>
            <w:gridSpan w:val="2"/>
          </w:tcPr>
          <w:p w:rsidRPr="000178D3" w:rsidR="00025343" w:rsidP="000178D3" w:rsidRDefault="00025343" w14:paraId="5C89C595" w14:textId="77777777">
            <w:pPr>
              <w:tabs>
                <w:tab w:val="center" w:pos="284"/>
              </w:tabs>
              <w:overflowPunct w:val="0"/>
              <w:autoSpaceDE w:val="0"/>
              <w:autoSpaceDN w:val="0"/>
              <w:adjustRightInd w:val="0"/>
              <w:ind w:left="266" w:hanging="92"/>
              <w:textAlignment w:val="baseline"/>
              <w:rPr>
                <w:sz w:val="10"/>
                <w:szCs w:val="10"/>
              </w:rPr>
            </w:pPr>
          </w:p>
        </w:tc>
      </w:tr>
      <w:tr w:rsidRPr="000178D3" w:rsidR="00025343" w:rsidTr="000178D3" w14:paraId="6FBC34E5" w14:textId="77777777">
        <w:trPr>
          <w:trHeight w:val="337"/>
        </w:trPr>
        <w:tc>
          <w:tcPr>
            <w:tcW w:w="1212" w:type="pct"/>
          </w:tcPr>
          <w:p w:rsidRPr="000178D3" w:rsidR="00025343" w:rsidP="000178D3" w:rsidRDefault="00025343" w14:paraId="0CB959F0" w14:textId="77777777">
            <w:pPr>
              <w:tabs>
                <w:tab w:val="center" w:pos="284"/>
              </w:tabs>
              <w:overflowPunct w:val="0"/>
              <w:autoSpaceDE w:val="0"/>
              <w:autoSpaceDN w:val="0"/>
              <w:adjustRightInd w:val="0"/>
              <w:ind w:hanging="92"/>
              <w:textAlignment w:val="baseline"/>
              <w:rPr>
                <w:b/>
                <w:sz w:val="22"/>
                <w:szCs w:val="22"/>
              </w:rPr>
            </w:pPr>
            <w:r w:rsidRPr="000178D3">
              <w:rPr>
                <w:b/>
                <w:sz w:val="22"/>
                <w:szCs w:val="22"/>
              </w:rPr>
              <w:t>Referenzdokumente</w:t>
            </w:r>
          </w:p>
        </w:tc>
        <w:tc>
          <w:tcPr>
            <w:tcW w:w="3788" w:type="pct"/>
          </w:tcPr>
          <w:p w:rsidRPr="000178D3" w:rsidR="00073B39" w:rsidP="000178D3" w:rsidRDefault="00073B39" w14:paraId="4E56704D" w14:textId="77D55C36">
            <w:pPr>
              <w:overflowPunct w:val="0"/>
              <w:autoSpaceDE w:val="0"/>
              <w:autoSpaceDN w:val="0"/>
              <w:adjustRightInd w:val="0"/>
              <w:ind w:left="38" w:hanging="92"/>
              <w:textAlignment w:val="baseline"/>
              <w:rPr>
                <w:sz w:val="22"/>
                <w:szCs w:val="22"/>
              </w:rPr>
            </w:pPr>
            <w:r w:rsidRPr="000178D3">
              <w:rPr>
                <w:sz w:val="22"/>
                <w:szCs w:val="22"/>
              </w:rPr>
              <w:t>JOIN(2023) 51 final</w:t>
            </w:r>
          </w:p>
          <w:p w:rsidRPr="000178D3" w:rsidR="00025343" w:rsidP="000178D3" w:rsidRDefault="00025343" w14:paraId="3DBBFBEB" w14:textId="41A0BBEE">
            <w:pPr>
              <w:overflowPunct w:val="0"/>
              <w:autoSpaceDE w:val="0"/>
              <w:autoSpaceDN w:val="0"/>
              <w:adjustRightInd w:val="0"/>
              <w:ind w:left="38" w:hanging="92"/>
              <w:textAlignment w:val="baseline"/>
              <w:rPr>
                <w:sz w:val="22"/>
                <w:szCs w:val="22"/>
              </w:rPr>
            </w:pPr>
            <w:r w:rsidRPr="000178D3">
              <w:rPr>
                <w:sz w:val="22"/>
                <w:szCs w:val="22"/>
              </w:rPr>
              <w:t>EESC-2024-00795-00-00-AC</w:t>
            </w:r>
          </w:p>
        </w:tc>
      </w:tr>
    </w:tbl>
    <w:p w:rsidRPr="00025343" w:rsidR="00025343" w:rsidP="000178D3" w:rsidRDefault="00025343" w14:paraId="22461CD2" w14:textId="77777777">
      <w:pPr>
        <w:tabs>
          <w:tab w:val="center" w:pos="284"/>
        </w:tabs>
        <w:overflowPunct w:val="0"/>
        <w:autoSpaceDE w:val="0"/>
        <w:autoSpaceDN w:val="0"/>
        <w:adjustRightInd w:val="0"/>
        <w:ind w:left="266" w:hanging="266"/>
        <w:textAlignment w:val="baseline"/>
        <w:rPr>
          <w:b/>
        </w:rPr>
      </w:pPr>
    </w:p>
    <w:p w:rsidRPr="00025343" w:rsidR="00025343" w:rsidP="000178D3" w:rsidRDefault="00025343" w14:paraId="76CC5FDB" w14:textId="77777777">
      <w:pPr>
        <w:tabs>
          <w:tab w:val="center" w:pos="284"/>
        </w:tabs>
        <w:overflowPunct w:val="0"/>
        <w:autoSpaceDE w:val="0"/>
        <w:autoSpaceDN w:val="0"/>
        <w:adjustRightInd w:val="0"/>
        <w:ind w:left="266" w:hanging="266"/>
        <w:textAlignment w:val="baseline"/>
        <w:rPr>
          <w:b/>
        </w:rPr>
      </w:pPr>
      <w:r>
        <w:rPr>
          <w:b/>
        </w:rPr>
        <w:t>Kernaussagen</w:t>
      </w:r>
    </w:p>
    <w:p w:rsidRPr="00025343" w:rsidR="00025343" w:rsidP="000178D3" w:rsidRDefault="00025343" w14:paraId="19863DE9" w14:textId="77777777">
      <w:pPr>
        <w:tabs>
          <w:tab w:val="center" w:pos="284"/>
        </w:tabs>
        <w:overflowPunct w:val="0"/>
        <w:autoSpaceDE w:val="0"/>
        <w:autoSpaceDN w:val="0"/>
        <w:adjustRightInd w:val="0"/>
        <w:ind w:left="266" w:hanging="266"/>
        <w:textAlignment w:val="baseline"/>
        <w:rPr>
          <w:b/>
        </w:rPr>
      </w:pPr>
    </w:p>
    <w:p w:rsidR="00025343" w:rsidP="000178D3" w:rsidRDefault="00025343" w14:paraId="4E01D61B" w14:textId="1C55CBF5">
      <w:pPr>
        <w:overflowPunct w:val="0"/>
        <w:autoSpaceDE w:val="0"/>
        <w:autoSpaceDN w:val="0"/>
        <w:adjustRightInd w:val="0"/>
        <w:textAlignment w:val="baseline"/>
        <w:rPr>
          <w:bCs/>
          <w:iCs/>
        </w:rPr>
      </w:pPr>
      <w:r>
        <w:t>Der EWSA:</w:t>
      </w:r>
    </w:p>
    <w:p w:rsidRPr="00025343" w:rsidR="00360C2F" w:rsidP="000178D3" w:rsidRDefault="00360C2F" w14:paraId="227E2908" w14:textId="77777777">
      <w:pPr>
        <w:overflowPunct w:val="0"/>
        <w:autoSpaceDE w:val="0"/>
        <w:autoSpaceDN w:val="0"/>
        <w:adjustRightInd w:val="0"/>
        <w:textAlignment w:val="baseline"/>
        <w:rPr>
          <w:bCs/>
          <w:iCs/>
        </w:rPr>
      </w:pPr>
    </w:p>
    <w:p w:rsidRPr="00025343" w:rsidR="00025343" w:rsidP="000178D3" w:rsidRDefault="00025343" w14:paraId="377FA812" w14:textId="77777777">
      <w:pPr>
        <w:widowControl w:val="0"/>
        <w:numPr>
          <w:ilvl w:val="0"/>
          <w:numId w:val="17"/>
        </w:numPr>
        <w:overflowPunct w:val="0"/>
        <w:autoSpaceDE w:val="0"/>
        <w:autoSpaceDN w:val="0"/>
        <w:adjustRightInd w:val="0"/>
        <w:ind w:left="284" w:hanging="284"/>
        <w:textAlignment w:val="baseline"/>
        <w:rPr>
          <w:bCs/>
          <w:iCs/>
        </w:rPr>
      </w:pPr>
      <w:r>
        <w:t>begrüßt die Mitteilung, betont jedoch, dass eine umfassendere Partnerschaft mit zivilgesellschaftlichen Organisationen erforderlich ist. Er fordert Sensibilisierungskampagnen und die Bekämpfung der digitalen und analogen „Ökosysteme“ des Hasses und erinnert an die Verantwortung der Politiker, Hassrede zu vermeiden;</w:t>
      </w:r>
    </w:p>
    <w:p w:rsidRPr="00025343" w:rsidR="00025343" w:rsidP="000178D3" w:rsidRDefault="00025343" w14:paraId="375F8159" w14:textId="77777777">
      <w:pPr>
        <w:widowControl w:val="0"/>
        <w:numPr>
          <w:ilvl w:val="0"/>
          <w:numId w:val="17"/>
        </w:numPr>
        <w:overflowPunct w:val="0"/>
        <w:autoSpaceDE w:val="0"/>
        <w:autoSpaceDN w:val="0"/>
        <w:adjustRightInd w:val="0"/>
        <w:ind w:left="284" w:hanging="284"/>
        <w:textAlignment w:val="baseline"/>
        <w:rPr>
          <w:bCs/>
          <w:iCs/>
        </w:rPr>
      </w:pPr>
      <w:r>
        <w:t>fordert die EU zu einem umfassenden Ansatz auf, um menschliche Eigenschaften vor Hasskriminalität zu schützen, bestehende Strategien und Initiativen zur Förderung der Gleichstellung und Nichtdiskriminierung wirksam umzusetzen und bei der Bekämpfung aller Arten von Hass primär denselben Ansatz zu verfolgen. Er fordert die Mitgliedstaaten auf, Hassverbrechen strafrechtlich zu verfolgen, die Meldung solcher Verbrechen zu unterstützen und die Strafverfolgungsbehörden zu schulen, diese Fälle mit gebührender Achtung der Opfer sachgemäß zu bearbeiten;</w:t>
      </w:r>
    </w:p>
    <w:p w:rsidRPr="00025343" w:rsidR="00025343" w:rsidP="000178D3" w:rsidRDefault="00025343" w14:paraId="65F1FFC2" w14:textId="77777777">
      <w:pPr>
        <w:widowControl w:val="0"/>
        <w:numPr>
          <w:ilvl w:val="0"/>
          <w:numId w:val="17"/>
        </w:numPr>
        <w:overflowPunct w:val="0"/>
        <w:autoSpaceDE w:val="0"/>
        <w:autoSpaceDN w:val="0"/>
        <w:adjustRightInd w:val="0"/>
        <w:ind w:left="284" w:hanging="284"/>
        <w:textAlignment w:val="baseline"/>
        <w:rPr>
          <w:bCs/>
          <w:iCs/>
        </w:rPr>
      </w:pPr>
      <w:r>
        <w:t>bedauert, dass im Kampf gegen die Hasskriminalität auf Online-Plattformen immer noch breite und wirksame Maßnahmen fehlen. Die Rolle und das Fachwissen der Hinweisgeber sollten erweitert werden, um konsequent alle Arten von Hass aufgrund von Vorurteilen im Internet abzudecken. Die Medienkompetenzen und digitale Kompetenzen sollten verbessert werden, damit alle Menschen wissen, wie diese Verbrechen gemeldet werden können;</w:t>
      </w:r>
    </w:p>
    <w:p w:rsidRPr="00025343" w:rsidR="00025343" w:rsidP="000178D3" w:rsidRDefault="00025343" w14:paraId="0FED99CF" w14:textId="77777777">
      <w:pPr>
        <w:widowControl w:val="0"/>
        <w:numPr>
          <w:ilvl w:val="0"/>
          <w:numId w:val="17"/>
        </w:numPr>
        <w:overflowPunct w:val="0"/>
        <w:autoSpaceDE w:val="0"/>
        <w:autoSpaceDN w:val="0"/>
        <w:adjustRightInd w:val="0"/>
        <w:ind w:left="284" w:hanging="284"/>
        <w:textAlignment w:val="baseline"/>
        <w:rPr>
          <w:bCs/>
          <w:iCs/>
        </w:rPr>
      </w:pPr>
      <w:r>
        <w:t>ist der Ansicht, dass die Arbeit der Hochrangigen Gruppe zur Bekämpfung von Hetze und Hasskriminalität wirkungsvoller werden muss. Ebenso ist auf die Schulung und den Kapazitätsaufbau der Sozialpartner und der zivilgesellschaftlichen Organisationen zu setzen und die Meldung muss verbessert werden. Um die Fortschritte beurteilen zu können, sollte es eine Dokumentation und Leistungsvergleiche geben. Die Meldung von Hassverbrechen sollte standardisiert und auf EU-Ebene institutionalisiert werden. Die Opfer müssen Meldemechanismen nutzen können. Die Kommission wird aufgefordert, eine Online-Plattform einzurichten, die den zivilgesellschaftlichen Organisationen und Menschenrechtsverteidigern eine rasche Meldung von Vorfällen gestattet;</w:t>
      </w:r>
    </w:p>
    <w:p w:rsidRPr="00025343" w:rsidR="00025343" w:rsidP="000178D3" w:rsidRDefault="00025343" w14:paraId="293255FE" w14:textId="77777777">
      <w:pPr>
        <w:widowControl w:val="0"/>
        <w:numPr>
          <w:ilvl w:val="0"/>
          <w:numId w:val="17"/>
        </w:numPr>
        <w:overflowPunct w:val="0"/>
        <w:autoSpaceDE w:val="0"/>
        <w:autoSpaceDN w:val="0"/>
        <w:adjustRightInd w:val="0"/>
        <w:ind w:left="284" w:hanging="284"/>
        <w:textAlignment w:val="baseline"/>
        <w:rPr>
          <w:bCs/>
          <w:iCs/>
        </w:rPr>
      </w:pPr>
      <w:r>
        <w:t xml:space="preserve">betont, dass die Kommission einen umfassenden Überblick über die Arbeit der zivilgesellschaftlichen Organisation, die sich gegen den Hass engagieren und die Arbeit der vertrauenswürdigen Hinweisgeber zusammenstellen und Maßnahmen vorschlagen sollte, damit sie wirksamer operieren bzw. angemessener auf aktuelle Herausforderungen reagieren können. Die EU muss die großen Online-Plattformen in die Verantwortung nehmen, damit diese dafür sorgen, dass ihre Algorithmen den Hass nicht noch verstärken. Es sollten Ressourcen für die Ermittlung und Bekämpfung von Hass im Internet aus dem Programm „Bürgerinnen und Bürger, Gleichstellung, Rechte und Werte“ (CERV) und Horizont Europa bereitgestellt werden, damit </w:t>
      </w:r>
      <w:r>
        <w:lastRenderedPageBreak/>
        <w:t>vorhandene Bildungs- und Forschungskapazitäten in den Dienst dieses Ziels gestellt werden können. Auch Erasmus+ sollte für politische Bildung eingesetzt werden und diesem Ziel dienen.</w:t>
      </w:r>
    </w:p>
    <w:p w:rsidRPr="00025343" w:rsidR="00025343" w:rsidP="000178D3" w:rsidRDefault="00025343" w14:paraId="0B19C92B" w14:textId="77777777">
      <w:pPr>
        <w:widowControl w:val="0"/>
        <w:overflowPunct w:val="0"/>
        <w:autoSpaceDE w:val="0"/>
        <w:autoSpaceDN w:val="0"/>
        <w:adjustRightInd w:val="0"/>
        <w:ind w:left="424"/>
        <w:textAlignment w:val="baseline"/>
        <w:rPr>
          <w:bCs/>
          <w:iCs/>
        </w:rPr>
      </w:pPr>
    </w:p>
    <w:tbl>
      <w:tblPr>
        <w:tblStyle w:val="TableGrid21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384"/>
        <w:gridCol w:w="5047"/>
      </w:tblGrid>
      <w:tr w:rsidRPr="00025343" w:rsidR="00025343" w:rsidTr="002802BB" w14:paraId="2383B5F9" w14:textId="77777777">
        <w:trPr>
          <w:trHeight w:val="60"/>
        </w:trPr>
        <w:tc>
          <w:tcPr>
            <w:tcW w:w="1076" w:type="pct"/>
          </w:tcPr>
          <w:p w:rsidRPr="00025343" w:rsidR="00025343" w:rsidP="000178D3" w:rsidRDefault="00025343" w14:paraId="77472C91" w14:textId="77777777">
            <w:pPr>
              <w:overflowPunct w:val="0"/>
              <w:autoSpaceDE w:val="0"/>
              <w:autoSpaceDN w:val="0"/>
              <w:adjustRightInd w:val="0"/>
              <w:textAlignment w:val="baseline"/>
              <w:rPr>
                <w:i/>
              </w:rPr>
            </w:pPr>
            <w:r>
              <w:rPr>
                <w:b/>
                <w:i/>
              </w:rPr>
              <w:t>Kontakt</w:t>
            </w:r>
          </w:p>
        </w:tc>
        <w:tc>
          <w:tcPr>
            <w:tcW w:w="3924" w:type="pct"/>
          </w:tcPr>
          <w:p w:rsidRPr="00025343" w:rsidR="00025343" w:rsidP="000178D3" w:rsidRDefault="00025343" w14:paraId="0085AE7E" w14:textId="77777777">
            <w:pPr>
              <w:overflowPunct w:val="0"/>
              <w:autoSpaceDE w:val="0"/>
              <w:autoSpaceDN w:val="0"/>
              <w:adjustRightInd w:val="0"/>
              <w:textAlignment w:val="baseline"/>
              <w:rPr>
                <w:i/>
              </w:rPr>
            </w:pPr>
            <w:r>
              <w:rPr>
                <w:i/>
              </w:rPr>
              <w:t>June Bedaton</w:t>
            </w:r>
          </w:p>
        </w:tc>
      </w:tr>
      <w:tr w:rsidRPr="00025343" w:rsidR="00025343" w:rsidTr="002802BB" w14:paraId="5D5A7669" w14:textId="77777777">
        <w:tc>
          <w:tcPr>
            <w:tcW w:w="1076" w:type="pct"/>
          </w:tcPr>
          <w:p w:rsidRPr="00025343" w:rsidR="00025343" w:rsidP="000178D3" w:rsidRDefault="00025343" w14:paraId="0EE8CCA8" w14:textId="77777777">
            <w:pPr>
              <w:overflowPunct w:val="0"/>
              <w:autoSpaceDE w:val="0"/>
              <w:autoSpaceDN w:val="0"/>
              <w:adjustRightInd w:val="0"/>
              <w:textAlignment w:val="baseline"/>
              <w:rPr>
                <w:i/>
              </w:rPr>
            </w:pPr>
            <w:r>
              <w:rPr>
                <w:i/>
              </w:rPr>
              <w:t>Tel.</w:t>
            </w:r>
          </w:p>
        </w:tc>
        <w:tc>
          <w:tcPr>
            <w:tcW w:w="3924" w:type="pct"/>
          </w:tcPr>
          <w:p w:rsidRPr="00025343" w:rsidR="00025343" w:rsidP="000178D3" w:rsidRDefault="00025343" w14:paraId="13FFF4AE" w14:textId="77777777">
            <w:pPr>
              <w:overflowPunct w:val="0"/>
              <w:autoSpaceDE w:val="0"/>
              <w:autoSpaceDN w:val="0"/>
              <w:adjustRightInd w:val="0"/>
              <w:textAlignment w:val="baseline"/>
              <w:rPr>
                <w:i/>
              </w:rPr>
            </w:pPr>
            <w:r>
              <w:rPr>
                <w:i/>
              </w:rPr>
              <w:t>+32 25468134</w:t>
            </w:r>
          </w:p>
        </w:tc>
      </w:tr>
      <w:tr w:rsidRPr="00025343" w:rsidR="00025343" w:rsidTr="002802BB" w14:paraId="3F8348DB" w14:textId="77777777">
        <w:tc>
          <w:tcPr>
            <w:tcW w:w="1076" w:type="pct"/>
          </w:tcPr>
          <w:p w:rsidRPr="00025343" w:rsidR="00025343" w:rsidP="000178D3" w:rsidRDefault="00025343" w14:paraId="727D8F5E" w14:textId="77777777">
            <w:pPr>
              <w:overflowPunct w:val="0"/>
              <w:autoSpaceDE w:val="0"/>
              <w:autoSpaceDN w:val="0"/>
              <w:adjustRightInd w:val="0"/>
              <w:textAlignment w:val="baseline"/>
              <w:rPr>
                <w:i/>
              </w:rPr>
            </w:pPr>
            <w:r>
              <w:rPr>
                <w:i/>
              </w:rPr>
              <w:t>E-Mail</w:t>
            </w:r>
          </w:p>
        </w:tc>
        <w:tc>
          <w:tcPr>
            <w:tcW w:w="3924" w:type="pct"/>
          </w:tcPr>
          <w:p w:rsidRPr="00025343" w:rsidR="00025343" w:rsidP="000178D3" w:rsidRDefault="00D35CF0" w14:paraId="55F1FCFD" w14:textId="77777777">
            <w:pPr>
              <w:overflowPunct w:val="0"/>
              <w:autoSpaceDE w:val="0"/>
              <w:autoSpaceDN w:val="0"/>
              <w:adjustRightInd w:val="0"/>
              <w:textAlignment w:val="baseline"/>
              <w:rPr>
                <w:i/>
              </w:rPr>
            </w:pPr>
            <w:hyperlink w:history="1" r:id="rId29">
              <w:r w:rsidR="00136442">
                <w:rPr>
                  <w:i/>
                  <w:color w:val="0000FF"/>
                  <w:u w:val="single"/>
                </w:rPr>
                <w:t>June.Bedaton@eesc.europa.eu</w:t>
              </w:r>
            </w:hyperlink>
          </w:p>
        </w:tc>
      </w:tr>
    </w:tbl>
    <w:p w:rsidRPr="00D71D11" w:rsidR="00502E1F" w:rsidP="000178D3" w:rsidRDefault="00502E1F" w14:paraId="3D58FF9D" w14:textId="2586B74C">
      <w:pPr>
        <w:jc w:val="left"/>
        <w:rPr>
          <w:sz w:val="14"/>
          <w:szCs w:val="14"/>
        </w:rPr>
      </w:pPr>
      <w:r>
        <w:br w:type="page"/>
      </w:r>
    </w:p>
    <w:p w:rsidRPr="00EE2FBD" w:rsidR="004C3902" w:rsidP="000178D3" w:rsidRDefault="008E2A59" w14:paraId="7AD922B6" w14:textId="2BABB602">
      <w:pPr>
        <w:pStyle w:val="Heading1"/>
        <w:tabs>
          <w:tab w:val="clear" w:pos="440"/>
          <w:tab w:val="left" w:pos="567"/>
        </w:tabs>
        <w:spacing w:before="0"/>
        <w:ind w:left="567" w:hanging="567"/>
        <w:rPr>
          <w:b/>
          <w:bCs/>
        </w:rPr>
      </w:pPr>
      <w:bookmarkStart w:name="_Toc166847134" w:id="2"/>
      <w:bookmarkStart w:name="_Toc169517899" w:id="3"/>
      <w:bookmarkEnd w:id="2"/>
      <w:r>
        <w:rPr>
          <w:b/>
        </w:rPr>
        <w:lastRenderedPageBreak/>
        <w:t>LANDWIRTSCHAFT, LÄNDLICHE ENTWICKLUNG, UMWELT</w:t>
      </w:r>
      <w:bookmarkEnd w:id="3"/>
    </w:p>
    <w:p w:rsidR="00A329C8" w:rsidP="000178D3" w:rsidRDefault="00A329C8" w14:paraId="207163CE" w14:textId="67E9BB6A">
      <w:pPr>
        <w:jc w:val="left"/>
        <w:rPr>
          <w:b/>
          <w:bCs/>
        </w:rPr>
      </w:pPr>
    </w:p>
    <w:p w:rsidRPr="00A329C8" w:rsidR="00A329C8" w:rsidP="000178D3" w:rsidRDefault="00D35CF0" w14:paraId="54725696" w14:textId="5958EFA0">
      <w:pPr>
        <w:widowControl w:val="0"/>
        <w:numPr>
          <w:ilvl w:val="0"/>
          <w:numId w:val="2"/>
        </w:numPr>
        <w:overflowPunct w:val="0"/>
        <w:autoSpaceDE w:val="0"/>
        <w:autoSpaceDN w:val="0"/>
        <w:adjustRightInd w:val="0"/>
        <w:ind w:left="567" w:hanging="567"/>
        <w:textAlignment w:val="baseline"/>
        <w:rPr>
          <w:i/>
          <w:iCs/>
        </w:rPr>
      </w:pPr>
      <w:hyperlink w:history="1" r:id="rId30">
        <w:r w:rsidR="004C1520">
          <w:rPr>
            <w:b/>
            <w:i/>
            <w:color w:val="0000FF"/>
            <w:sz w:val="28"/>
            <w:u w:val="single"/>
          </w:rPr>
          <w:t>Klimaziel der EU für 2040</w:t>
        </w:r>
      </w:hyperlink>
    </w:p>
    <w:p w:rsidRPr="000178D3" w:rsidR="00A329C8" w:rsidP="000178D3" w:rsidRDefault="00A329C8" w14:paraId="41709063" w14:textId="77777777">
      <w:pPr>
        <w:widowControl w:val="0"/>
        <w:overflowPunct w:val="0"/>
        <w:autoSpaceDE w:val="0"/>
        <w:autoSpaceDN w:val="0"/>
        <w:adjustRightInd w:val="0"/>
        <w:ind w:left="567"/>
        <w:textAlignment w:val="baseline"/>
        <w:rPr>
          <w:bCs/>
        </w:rPr>
      </w:pPr>
    </w:p>
    <w:tbl>
      <w:tblPr>
        <w:tblStyle w:val="TableGrid21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10"/>
        <w:gridCol w:w="6096"/>
      </w:tblGrid>
      <w:tr w:rsidRPr="000178D3" w:rsidR="00A329C8" w:rsidTr="00FE3058" w14:paraId="1072566D" w14:textId="77777777">
        <w:tc>
          <w:tcPr>
            <w:tcW w:w="1701" w:type="dxa"/>
          </w:tcPr>
          <w:p w:rsidRPr="000178D3" w:rsidR="00A329C8" w:rsidP="000178D3" w:rsidRDefault="00A329C8" w14:paraId="165FF2EB" w14:textId="77777777">
            <w:pPr>
              <w:tabs>
                <w:tab w:val="center" w:pos="284"/>
              </w:tabs>
              <w:overflowPunct w:val="0"/>
              <w:autoSpaceDE w:val="0"/>
              <w:autoSpaceDN w:val="0"/>
              <w:adjustRightInd w:val="0"/>
              <w:ind w:left="266" w:hanging="266"/>
              <w:textAlignment w:val="baseline"/>
              <w:rPr>
                <w:b/>
                <w:sz w:val="22"/>
                <w:szCs w:val="22"/>
              </w:rPr>
            </w:pPr>
            <w:r w:rsidRPr="000178D3">
              <w:rPr>
                <w:b/>
                <w:sz w:val="22"/>
                <w:szCs w:val="22"/>
              </w:rPr>
              <w:t>Berichterstatter</w:t>
            </w:r>
          </w:p>
        </w:tc>
        <w:tc>
          <w:tcPr>
            <w:tcW w:w="6096" w:type="dxa"/>
          </w:tcPr>
          <w:p w:rsidRPr="000178D3" w:rsidR="00A329C8" w:rsidP="000178D3" w:rsidRDefault="00A329C8" w14:paraId="79F6E9C0" w14:textId="43EDADDC">
            <w:pPr>
              <w:tabs>
                <w:tab w:val="center" w:pos="284"/>
              </w:tabs>
              <w:overflowPunct w:val="0"/>
              <w:autoSpaceDE w:val="0"/>
              <w:autoSpaceDN w:val="0"/>
              <w:adjustRightInd w:val="0"/>
              <w:ind w:left="266" w:hanging="266"/>
              <w:textAlignment w:val="baseline"/>
              <w:rPr>
                <w:bCs/>
                <w:sz w:val="22"/>
                <w:szCs w:val="22"/>
              </w:rPr>
            </w:pPr>
            <w:proofErr w:type="spellStart"/>
            <w:r w:rsidRPr="000178D3">
              <w:rPr>
                <w:sz w:val="22"/>
                <w:szCs w:val="22"/>
              </w:rPr>
              <w:t>Teppo</w:t>
            </w:r>
            <w:proofErr w:type="spellEnd"/>
            <w:r w:rsidRPr="000178D3">
              <w:rPr>
                <w:sz w:val="22"/>
                <w:szCs w:val="22"/>
              </w:rPr>
              <w:t xml:space="preserve"> SÄKKINEN (Gruppe Arbeitgeber – FI)</w:t>
            </w:r>
          </w:p>
        </w:tc>
      </w:tr>
      <w:tr w:rsidRPr="000178D3" w:rsidR="00A329C8" w:rsidTr="00FE3058" w14:paraId="41523448" w14:textId="77777777">
        <w:tc>
          <w:tcPr>
            <w:tcW w:w="7797" w:type="dxa"/>
            <w:gridSpan w:val="2"/>
          </w:tcPr>
          <w:p w:rsidRPr="000178D3" w:rsidR="00A329C8" w:rsidP="000178D3" w:rsidRDefault="00A329C8" w14:paraId="0D6A47D3" w14:textId="77777777">
            <w:pPr>
              <w:tabs>
                <w:tab w:val="left" w:pos="2690"/>
              </w:tabs>
              <w:overflowPunct w:val="0"/>
              <w:autoSpaceDE w:val="0"/>
              <w:autoSpaceDN w:val="0"/>
              <w:adjustRightInd w:val="0"/>
              <w:ind w:left="266" w:hanging="266"/>
              <w:textAlignment w:val="baseline"/>
              <w:rPr>
                <w:sz w:val="10"/>
                <w:szCs w:val="10"/>
              </w:rPr>
            </w:pPr>
          </w:p>
        </w:tc>
      </w:tr>
      <w:tr w:rsidRPr="000178D3" w:rsidR="00A329C8" w:rsidTr="00FE3058" w14:paraId="4CD963E6" w14:textId="77777777">
        <w:tc>
          <w:tcPr>
            <w:tcW w:w="1701" w:type="dxa"/>
            <w:vMerge w:val="restart"/>
          </w:tcPr>
          <w:p w:rsidRPr="000178D3" w:rsidR="00A329C8" w:rsidP="000178D3" w:rsidRDefault="00A329C8" w14:paraId="09AC84B4" w14:textId="77777777">
            <w:pPr>
              <w:tabs>
                <w:tab w:val="center" w:pos="284"/>
              </w:tabs>
              <w:overflowPunct w:val="0"/>
              <w:autoSpaceDE w:val="0"/>
              <w:autoSpaceDN w:val="0"/>
              <w:adjustRightInd w:val="0"/>
              <w:ind w:left="266" w:hanging="266"/>
              <w:textAlignment w:val="baseline"/>
              <w:rPr>
                <w:b/>
                <w:sz w:val="22"/>
                <w:szCs w:val="22"/>
              </w:rPr>
            </w:pPr>
            <w:r w:rsidRPr="000178D3">
              <w:rPr>
                <w:b/>
                <w:sz w:val="22"/>
                <w:szCs w:val="22"/>
              </w:rPr>
              <w:t>Referenzdokumente</w:t>
            </w:r>
          </w:p>
        </w:tc>
        <w:tc>
          <w:tcPr>
            <w:tcW w:w="6096" w:type="dxa"/>
          </w:tcPr>
          <w:p w:rsidRPr="000178D3" w:rsidR="00A329C8" w:rsidP="000178D3" w:rsidRDefault="00A329C8" w14:paraId="3A6B9900" w14:textId="77777777">
            <w:pPr>
              <w:tabs>
                <w:tab w:val="center" w:pos="284"/>
              </w:tabs>
              <w:overflowPunct w:val="0"/>
              <w:autoSpaceDE w:val="0"/>
              <w:autoSpaceDN w:val="0"/>
              <w:adjustRightInd w:val="0"/>
              <w:ind w:left="266" w:hanging="266"/>
              <w:textAlignment w:val="baseline"/>
              <w:rPr>
                <w:sz w:val="22"/>
                <w:szCs w:val="22"/>
              </w:rPr>
            </w:pPr>
            <w:r w:rsidRPr="000178D3">
              <w:rPr>
                <w:sz w:val="22"/>
                <w:szCs w:val="22"/>
              </w:rPr>
              <w:t>COM(2024) 63 final</w:t>
            </w:r>
          </w:p>
        </w:tc>
      </w:tr>
      <w:tr w:rsidRPr="000178D3" w:rsidR="00A329C8" w:rsidTr="00FE3058" w14:paraId="42B3A032" w14:textId="77777777">
        <w:tc>
          <w:tcPr>
            <w:tcW w:w="1701" w:type="dxa"/>
            <w:vMerge/>
          </w:tcPr>
          <w:p w:rsidRPr="000178D3" w:rsidR="00A329C8" w:rsidP="000178D3" w:rsidRDefault="00A329C8" w14:paraId="4ADA52A9" w14:textId="77777777">
            <w:pPr>
              <w:tabs>
                <w:tab w:val="center" w:pos="284"/>
              </w:tabs>
              <w:overflowPunct w:val="0"/>
              <w:autoSpaceDE w:val="0"/>
              <w:autoSpaceDN w:val="0"/>
              <w:adjustRightInd w:val="0"/>
              <w:ind w:left="266" w:hanging="266"/>
              <w:textAlignment w:val="baseline"/>
              <w:rPr>
                <w:b/>
                <w:sz w:val="22"/>
                <w:szCs w:val="22"/>
              </w:rPr>
            </w:pPr>
          </w:p>
        </w:tc>
        <w:tc>
          <w:tcPr>
            <w:tcW w:w="6096" w:type="dxa"/>
          </w:tcPr>
          <w:p w:rsidRPr="000178D3" w:rsidR="00A329C8" w:rsidP="000178D3" w:rsidRDefault="00A329C8" w14:paraId="34A1EAA6" w14:textId="10339782">
            <w:pPr>
              <w:tabs>
                <w:tab w:val="center" w:pos="284"/>
              </w:tabs>
              <w:overflowPunct w:val="0"/>
              <w:autoSpaceDE w:val="0"/>
              <w:autoSpaceDN w:val="0"/>
              <w:adjustRightInd w:val="0"/>
              <w:ind w:left="266" w:hanging="266"/>
              <w:textAlignment w:val="baseline"/>
              <w:rPr>
                <w:sz w:val="22"/>
                <w:szCs w:val="22"/>
              </w:rPr>
            </w:pPr>
            <w:r w:rsidRPr="000178D3">
              <w:rPr>
                <w:sz w:val="22"/>
                <w:szCs w:val="22"/>
              </w:rPr>
              <w:t>EESC-2024-00418-00-00-AC</w:t>
            </w:r>
          </w:p>
        </w:tc>
      </w:tr>
    </w:tbl>
    <w:p w:rsidRPr="000178D3" w:rsidR="00A329C8" w:rsidP="000178D3" w:rsidRDefault="00A329C8" w14:paraId="0015795B" w14:textId="77777777">
      <w:pPr>
        <w:keepNext/>
        <w:keepLines/>
        <w:tabs>
          <w:tab w:val="center" w:pos="284"/>
        </w:tabs>
        <w:overflowPunct w:val="0"/>
        <w:autoSpaceDE w:val="0"/>
        <w:autoSpaceDN w:val="0"/>
        <w:adjustRightInd w:val="0"/>
        <w:ind w:left="266" w:hanging="266"/>
        <w:textAlignment w:val="baseline"/>
        <w:rPr>
          <w:b/>
        </w:rPr>
      </w:pPr>
    </w:p>
    <w:p w:rsidRPr="00A329C8" w:rsidR="00A329C8" w:rsidP="000178D3" w:rsidRDefault="00A329C8" w14:paraId="52DD4DB5" w14:textId="77777777">
      <w:pPr>
        <w:keepNext/>
        <w:keepLines/>
        <w:tabs>
          <w:tab w:val="center" w:pos="284"/>
        </w:tabs>
        <w:overflowPunct w:val="0"/>
        <w:autoSpaceDE w:val="0"/>
        <w:autoSpaceDN w:val="0"/>
        <w:adjustRightInd w:val="0"/>
        <w:ind w:left="266" w:hanging="266"/>
        <w:textAlignment w:val="baseline"/>
        <w:rPr>
          <w:b/>
        </w:rPr>
      </w:pPr>
      <w:r>
        <w:rPr>
          <w:b/>
        </w:rPr>
        <w:t>Kernaussagen</w:t>
      </w:r>
    </w:p>
    <w:p w:rsidRPr="000178D3" w:rsidR="00A329C8" w:rsidP="000178D3" w:rsidRDefault="00A329C8" w14:paraId="0EFAF4B2" w14:textId="77777777">
      <w:pPr>
        <w:keepNext/>
        <w:keepLines/>
        <w:tabs>
          <w:tab w:val="center" w:pos="284"/>
        </w:tabs>
        <w:overflowPunct w:val="0"/>
        <w:autoSpaceDE w:val="0"/>
        <w:autoSpaceDN w:val="0"/>
        <w:adjustRightInd w:val="0"/>
        <w:ind w:left="266" w:hanging="266"/>
        <w:textAlignment w:val="baseline"/>
        <w:rPr>
          <w:bCs/>
        </w:rPr>
      </w:pPr>
    </w:p>
    <w:p w:rsidR="00A329C8" w:rsidP="000178D3" w:rsidRDefault="00A329C8" w14:paraId="4C8A0CE8" w14:textId="68F5BE87">
      <w:pPr>
        <w:overflowPunct w:val="0"/>
        <w:autoSpaceDE w:val="0"/>
        <w:autoSpaceDN w:val="0"/>
        <w:adjustRightInd w:val="0"/>
        <w:textAlignment w:val="baseline"/>
        <w:rPr>
          <w:bCs/>
          <w:iCs/>
        </w:rPr>
      </w:pPr>
      <w:r>
        <w:t>Der EWSA:</w:t>
      </w:r>
    </w:p>
    <w:p w:rsidRPr="00A329C8" w:rsidR="00D12B39" w:rsidP="000178D3" w:rsidRDefault="00D12B39" w14:paraId="369B2779" w14:textId="77777777">
      <w:pPr>
        <w:overflowPunct w:val="0"/>
        <w:autoSpaceDE w:val="0"/>
        <w:autoSpaceDN w:val="0"/>
        <w:adjustRightInd w:val="0"/>
        <w:textAlignment w:val="baseline"/>
        <w:rPr>
          <w:bCs/>
          <w:iCs/>
        </w:rPr>
      </w:pPr>
    </w:p>
    <w:p w:rsidRPr="00DC0FAE" w:rsidR="00A329C8" w:rsidP="000178D3" w:rsidRDefault="00A329C8" w14:paraId="044AC65A" w14:textId="77777777">
      <w:pPr>
        <w:pStyle w:val="ListParagraph"/>
        <w:numPr>
          <w:ilvl w:val="0"/>
          <w:numId w:val="18"/>
        </w:numPr>
        <w:overflowPunct w:val="0"/>
        <w:autoSpaceDE w:val="0"/>
        <w:autoSpaceDN w:val="0"/>
        <w:adjustRightInd w:val="0"/>
        <w:ind w:left="284" w:hanging="284"/>
        <w:textAlignment w:val="baseline"/>
        <w:outlineLvl w:val="1"/>
        <w:rPr>
          <w:spacing w:val="-4"/>
          <w:szCs w:val="20"/>
        </w:rPr>
      </w:pPr>
      <w:r>
        <w:rPr>
          <w:b/>
        </w:rPr>
        <w:t>unterstützt das für 2040 empfohlene Emissionsreduktionsziel von 90 %</w:t>
      </w:r>
      <w:r>
        <w:t xml:space="preserve">, da es mit den wissenschaftlichen Erkenntnissen im Hinblick auf einen gerechten Beitrag Europas zum Erreichen des 1,5-Grad-Ziels in Einklang steht. Der EWSA betont, dass sich dieses </w:t>
      </w:r>
      <w:r>
        <w:rPr>
          <w:b/>
          <w:bCs/>
        </w:rPr>
        <w:t>anspruchsvolle Ziel</w:t>
      </w:r>
      <w:r>
        <w:t xml:space="preserve"> nur erreichen lässt, wenn unterstützende Maßnahmen zur Gewährleistung einer </w:t>
      </w:r>
      <w:r>
        <w:rPr>
          <w:b/>
          <w:bCs/>
        </w:rPr>
        <w:t>wettbewerbsfähigen europäischen Industrie</w:t>
      </w:r>
      <w:r>
        <w:t xml:space="preserve"> und eines </w:t>
      </w:r>
      <w:r>
        <w:rPr>
          <w:b/>
          <w:bCs/>
        </w:rPr>
        <w:t>gerechten Übergangs</w:t>
      </w:r>
      <w:r>
        <w:t xml:space="preserve"> ergriffen werden und das ganze Spektrum der CO</w:t>
      </w:r>
      <w:r>
        <w:rPr>
          <w:vertAlign w:val="subscript"/>
        </w:rPr>
        <w:t>2</w:t>
      </w:r>
      <w:r>
        <w:t>-freien und CO</w:t>
      </w:r>
      <w:r>
        <w:rPr>
          <w:vertAlign w:val="subscript"/>
        </w:rPr>
        <w:t>2</w:t>
      </w:r>
      <w:r>
        <w:t>-armen Technologien kosteneffizient genutzt wird;</w:t>
      </w:r>
    </w:p>
    <w:p w:rsidRPr="00DC0FAE" w:rsidR="00A329C8" w:rsidP="000178D3" w:rsidRDefault="00A329C8" w14:paraId="43A81807" w14:textId="77777777">
      <w:pPr>
        <w:pStyle w:val="ListParagraph"/>
        <w:numPr>
          <w:ilvl w:val="0"/>
          <w:numId w:val="19"/>
        </w:numPr>
        <w:overflowPunct w:val="0"/>
        <w:autoSpaceDE w:val="0"/>
        <w:autoSpaceDN w:val="0"/>
        <w:adjustRightInd w:val="0"/>
        <w:ind w:left="284" w:hanging="284"/>
        <w:textAlignment w:val="baseline"/>
        <w:outlineLvl w:val="1"/>
        <w:rPr>
          <w:spacing w:val="-4"/>
          <w:szCs w:val="20"/>
        </w:rPr>
      </w:pPr>
      <w:r>
        <w:rPr>
          <w:b/>
          <w:bCs/>
        </w:rPr>
        <w:t>betont, dass tatsächliche Emissionssenkungen durch eine schrittweise Abkehr von fossilen Brennstoffen erreicht werden können</w:t>
      </w:r>
      <w:r>
        <w:t>. Zwar leistet der Abbau von CO</w:t>
      </w:r>
      <w:r>
        <w:rPr>
          <w:vertAlign w:val="subscript"/>
        </w:rPr>
        <w:t>2</w:t>
      </w:r>
      <w:r>
        <w:t xml:space="preserve"> einen zunehmenden Beitrag zur Verwirklichung der EU-Klimaziele, doch birgt eine übermäßige Abhängigkeit von Senken Unsicherheiten und das Risiko einer fortbestehenden Abhängigkeit von fossilen Brennstoffen oder eines Verlusts von Senken aufgrund von Waldbränden, Schädlingen und anderen Bedrohungen;</w:t>
      </w:r>
    </w:p>
    <w:p w:rsidRPr="00DC0FAE" w:rsidR="00A329C8" w:rsidP="000178D3" w:rsidRDefault="00A329C8" w14:paraId="22AE9A43" w14:textId="77777777">
      <w:pPr>
        <w:pStyle w:val="ListParagraph"/>
        <w:numPr>
          <w:ilvl w:val="0"/>
          <w:numId w:val="19"/>
        </w:numPr>
        <w:overflowPunct w:val="0"/>
        <w:autoSpaceDE w:val="0"/>
        <w:autoSpaceDN w:val="0"/>
        <w:adjustRightInd w:val="0"/>
        <w:ind w:left="284" w:hanging="284"/>
        <w:textAlignment w:val="baseline"/>
        <w:outlineLvl w:val="1"/>
        <w:rPr>
          <w:szCs w:val="20"/>
        </w:rPr>
      </w:pPr>
      <w:r>
        <w:t xml:space="preserve">fordert die Kommission auf, im Rahmen einer wissenschaftlichen und wirtschaftlichen Bewertung zu prüfen, ob das </w:t>
      </w:r>
      <w:r>
        <w:rPr>
          <w:b/>
          <w:bCs/>
        </w:rPr>
        <w:t>Verhältnis zwischen Emissionssenkungen und CO</w:t>
      </w:r>
      <w:r>
        <w:rPr>
          <w:b/>
          <w:bCs/>
          <w:vertAlign w:val="subscript"/>
        </w:rPr>
        <w:t>2</w:t>
      </w:r>
      <w:r>
        <w:rPr>
          <w:b/>
          <w:bCs/>
        </w:rPr>
        <w:t>-Abbau ausgewogen</w:t>
      </w:r>
      <w:r>
        <w:t xml:space="preserve"> ist;</w:t>
      </w:r>
    </w:p>
    <w:p w:rsidRPr="00DC0FAE" w:rsidR="00A329C8" w:rsidP="000178D3" w:rsidRDefault="00A329C8" w14:paraId="1F60CE63" w14:textId="77777777">
      <w:pPr>
        <w:pStyle w:val="ListParagraph"/>
        <w:numPr>
          <w:ilvl w:val="0"/>
          <w:numId w:val="20"/>
        </w:numPr>
        <w:overflowPunct w:val="0"/>
        <w:autoSpaceDE w:val="0"/>
        <w:autoSpaceDN w:val="0"/>
        <w:adjustRightInd w:val="0"/>
        <w:ind w:left="284" w:hanging="284"/>
        <w:textAlignment w:val="baseline"/>
        <w:outlineLvl w:val="1"/>
        <w:rPr>
          <w:szCs w:val="20"/>
        </w:rPr>
      </w:pPr>
      <w:r>
        <w:t>betont, dass der Schwerpunkt auf die Umsetzung des Pakets „Fit für 55“ und die Unterstützung der europäischen Unternehmen und Haushalte bei der Anpassung an das neue Regelungsumfeld gelegt werden muss;</w:t>
      </w:r>
    </w:p>
    <w:p w:rsidRPr="00DC0FAE" w:rsidR="00A329C8" w:rsidP="000178D3" w:rsidRDefault="00A329C8" w14:paraId="5FDA81D5" w14:textId="26480DC0">
      <w:pPr>
        <w:pStyle w:val="ListParagraph"/>
        <w:numPr>
          <w:ilvl w:val="0"/>
          <w:numId w:val="20"/>
        </w:numPr>
        <w:overflowPunct w:val="0"/>
        <w:autoSpaceDE w:val="0"/>
        <w:autoSpaceDN w:val="0"/>
        <w:adjustRightInd w:val="0"/>
        <w:ind w:left="284" w:hanging="284"/>
        <w:textAlignment w:val="baseline"/>
        <w:outlineLvl w:val="1"/>
        <w:rPr>
          <w:szCs w:val="20"/>
        </w:rPr>
      </w:pPr>
      <w:r>
        <w:t xml:space="preserve">stellt fest, dass die Klimaziele </w:t>
      </w:r>
      <w:r>
        <w:rPr>
          <w:b/>
          <w:bCs/>
        </w:rPr>
        <w:t>beispiellose Investitionen in die Dekarbonisierung</w:t>
      </w:r>
      <w:r>
        <w:t xml:space="preserve"> erfordern;</w:t>
      </w:r>
    </w:p>
    <w:p w:rsidRPr="00DC0FAE" w:rsidR="00A329C8" w:rsidP="000178D3" w:rsidRDefault="00A329C8" w14:paraId="5CB3A85C" w14:textId="77777777">
      <w:pPr>
        <w:pStyle w:val="ListParagraph"/>
        <w:numPr>
          <w:ilvl w:val="0"/>
          <w:numId w:val="20"/>
        </w:numPr>
        <w:overflowPunct w:val="0"/>
        <w:autoSpaceDE w:val="0"/>
        <w:autoSpaceDN w:val="0"/>
        <w:adjustRightInd w:val="0"/>
        <w:ind w:left="284" w:hanging="284"/>
        <w:textAlignment w:val="baseline"/>
        <w:outlineLvl w:val="1"/>
        <w:rPr>
          <w:szCs w:val="20"/>
        </w:rPr>
      </w:pPr>
      <w:r>
        <w:t>fordert die Kommission auf, das Exportwachstum bei europäischen Produkten und Dienstleistungen im Bereich der sauberen Technologien zu verfolgen und diesbezügliche Ziele festzulegen;</w:t>
      </w:r>
    </w:p>
    <w:p w:rsidRPr="00DC0FAE" w:rsidR="00A329C8" w:rsidP="000178D3" w:rsidRDefault="00A329C8" w14:paraId="734EC568" w14:textId="77777777">
      <w:pPr>
        <w:pStyle w:val="ListParagraph"/>
        <w:numPr>
          <w:ilvl w:val="0"/>
          <w:numId w:val="20"/>
        </w:numPr>
        <w:overflowPunct w:val="0"/>
        <w:autoSpaceDE w:val="0"/>
        <w:autoSpaceDN w:val="0"/>
        <w:adjustRightInd w:val="0"/>
        <w:ind w:left="284" w:hanging="284"/>
        <w:textAlignment w:val="baseline"/>
        <w:outlineLvl w:val="1"/>
        <w:rPr>
          <w:spacing w:val="-6"/>
          <w:szCs w:val="20"/>
        </w:rPr>
      </w:pPr>
      <w:r>
        <w:t xml:space="preserve">fordert, dass die </w:t>
      </w:r>
      <w:r>
        <w:rPr>
          <w:b/>
          <w:bCs/>
        </w:rPr>
        <w:t>Stromerzeugung</w:t>
      </w:r>
      <w:r>
        <w:t xml:space="preserve"> in der EU </w:t>
      </w:r>
      <w:r>
        <w:rPr>
          <w:b/>
          <w:bCs/>
        </w:rPr>
        <w:t>bis 2040 CO</w:t>
      </w:r>
      <w:r>
        <w:rPr>
          <w:b/>
          <w:bCs/>
          <w:vertAlign w:val="subscript"/>
        </w:rPr>
        <w:t>2</w:t>
      </w:r>
      <w:r>
        <w:rPr>
          <w:b/>
          <w:bCs/>
        </w:rPr>
        <w:t>-frei</w:t>
      </w:r>
      <w:r>
        <w:t xml:space="preserve"> sein sollte, und bald darauf auch die Wärme- und Kälteversorgung. Die Verfügbarkeit sauberer und erschwinglicher Energie sowie eine zukunftsfähige Energieinfrastruktur sind Grundvoraussetzungen für die Dekarbonisierung anderer Bereiche wie Industrie, Gebäude und Verkehr;</w:t>
      </w:r>
    </w:p>
    <w:p w:rsidRPr="00DC0FAE" w:rsidR="00A329C8" w:rsidP="000178D3" w:rsidRDefault="00A329C8" w14:paraId="2FF82DE1" w14:textId="77777777">
      <w:pPr>
        <w:pStyle w:val="ListParagraph"/>
        <w:numPr>
          <w:ilvl w:val="0"/>
          <w:numId w:val="20"/>
        </w:numPr>
        <w:overflowPunct w:val="0"/>
        <w:autoSpaceDE w:val="0"/>
        <w:autoSpaceDN w:val="0"/>
        <w:adjustRightInd w:val="0"/>
        <w:ind w:left="284" w:hanging="284"/>
        <w:textAlignment w:val="baseline"/>
        <w:outlineLvl w:val="1"/>
        <w:rPr>
          <w:szCs w:val="20"/>
        </w:rPr>
      </w:pPr>
      <w:r>
        <w:t xml:space="preserve">schlägt vor, in engem Dialog mit den Landwirtinnen und Landwirten sowie anderen Interessenträgern auf der Grundlage wissenschaftlicher Erkenntnisse ein </w:t>
      </w:r>
      <w:r>
        <w:rPr>
          <w:b/>
          <w:bCs/>
        </w:rPr>
        <w:t>indikatives Emissionsreduktionsziel für den Agrar- und Lebensmittelsektor</w:t>
      </w:r>
      <w:r>
        <w:t xml:space="preserve"> festzulegen, mit dem die Ernährungssicherheit in Europa gewährleistet und den unterschiedlichen natürlichen Gegebenheiten in der EU Rechnung getragen wird;</w:t>
      </w:r>
    </w:p>
    <w:p w:rsidRPr="00DC0FAE" w:rsidR="00A329C8" w:rsidP="000178D3" w:rsidRDefault="00A329C8" w14:paraId="5F04D765" w14:textId="77777777">
      <w:pPr>
        <w:pStyle w:val="ListParagraph"/>
        <w:numPr>
          <w:ilvl w:val="0"/>
          <w:numId w:val="21"/>
        </w:numPr>
        <w:overflowPunct w:val="0"/>
        <w:autoSpaceDE w:val="0"/>
        <w:autoSpaceDN w:val="0"/>
        <w:adjustRightInd w:val="0"/>
        <w:ind w:left="284" w:hanging="284"/>
        <w:textAlignment w:val="baseline"/>
        <w:outlineLvl w:val="1"/>
        <w:rPr>
          <w:spacing w:val="-6"/>
          <w:szCs w:val="20"/>
        </w:rPr>
      </w:pPr>
      <w:r>
        <w:lastRenderedPageBreak/>
        <w:t>unterstreicht, wie wichtig es ist, mit den Interessenträgern, u. a. mit den Sozialpartnern und der Zivilgesellschaft, einen umfassenden Dialog zu führen sowie die Bürgerinnen und Bürger in die Festlegung des Ziels für 2040 und die Entwicklung flankierender Maßnahmen einzubinden;</w:t>
      </w:r>
    </w:p>
    <w:p w:rsidRPr="00DC0FAE" w:rsidR="00A329C8" w:rsidP="000178D3" w:rsidRDefault="00A329C8" w14:paraId="57C8228B" w14:textId="77777777">
      <w:pPr>
        <w:pStyle w:val="ListParagraph"/>
        <w:numPr>
          <w:ilvl w:val="0"/>
          <w:numId w:val="21"/>
        </w:numPr>
        <w:overflowPunct w:val="0"/>
        <w:autoSpaceDE w:val="0"/>
        <w:autoSpaceDN w:val="0"/>
        <w:adjustRightInd w:val="0"/>
        <w:ind w:left="284" w:hanging="284"/>
        <w:textAlignment w:val="baseline"/>
        <w:outlineLvl w:val="1"/>
        <w:rPr>
          <w:szCs w:val="20"/>
        </w:rPr>
      </w:pPr>
      <w:r>
        <w:t xml:space="preserve">macht deutlich, dass die Emissionen und der Material- und Energiebedarf weiter gesenkt werden können, wenn die </w:t>
      </w:r>
      <w:r>
        <w:rPr>
          <w:b/>
          <w:bCs/>
        </w:rPr>
        <w:t>Verbraucherinnen und Verbraucher zu einer nachhaltigen Lebensweise ermutigt</w:t>
      </w:r>
      <w:r>
        <w:t xml:space="preserve"> werden;</w:t>
      </w:r>
    </w:p>
    <w:p w:rsidRPr="00DC0FAE" w:rsidR="00A329C8" w:rsidP="000178D3" w:rsidRDefault="00A329C8" w14:paraId="33E21B11" w14:textId="77777777">
      <w:pPr>
        <w:pStyle w:val="ListParagraph"/>
        <w:numPr>
          <w:ilvl w:val="0"/>
          <w:numId w:val="21"/>
        </w:numPr>
        <w:overflowPunct w:val="0"/>
        <w:autoSpaceDE w:val="0"/>
        <w:autoSpaceDN w:val="0"/>
        <w:adjustRightInd w:val="0"/>
        <w:ind w:left="284" w:hanging="284"/>
        <w:textAlignment w:val="baseline"/>
        <w:outlineLvl w:val="1"/>
        <w:rPr>
          <w:szCs w:val="20"/>
        </w:rPr>
      </w:pPr>
      <w:r>
        <w:t xml:space="preserve">fordert die Kommission auf, den </w:t>
      </w:r>
      <w:r>
        <w:rPr>
          <w:b/>
          <w:bCs/>
        </w:rPr>
        <w:t>Check-up der Wettbewerbsfähigkeit</w:t>
      </w:r>
      <w:r>
        <w:t xml:space="preserve"> im Hinblick auf andere große Volkswirtschaften </w:t>
      </w:r>
      <w:r>
        <w:rPr>
          <w:b/>
          <w:bCs/>
        </w:rPr>
        <w:t>auszuweiten</w:t>
      </w:r>
      <w:r>
        <w:t xml:space="preserve"> und auch ihre klima-, energie- und industriepolitischen Maßnahmen und wirtschaftlichen Indikatoren zu berücksichtigen. Davon ausgehend sollten Vorschläge zur Stärkung der internationalen Wettbewerbsfähigkeit und der industriellen Basis Europas sowie zur Wahrung des europäischen Modells einer offenen Marktwirtschaft mit hohen Umwelt- und Sozialstandards vorgelegt werden.</w:t>
      </w:r>
    </w:p>
    <w:p w:rsidRPr="00A329C8" w:rsidR="0073462A" w:rsidP="000178D3" w:rsidRDefault="0073462A" w14:paraId="0EED3D8E" w14:textId="77777777">
      <w:pPr>
        <w:overflowPunct w:val="0"/>
        <w:autoSpaceDE w:val="0"/>
        <w:autoSpaceDN w:val="0"/>
        <w:adjustRightInd w:val="0"/>
        <w:textAlignment w:val="baseline"/>
        <w:rPr>
          <w:sz w:val="18"/>
          <w:szCs w:val="18"/>
        </w:rPr>
      </w:pPr>
    </w:p>
    <w:tbl>
      <w:tblPr>
        <w:tblStyle w:val="TableGrid21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34"/>
        <w:gridCol w:w="5670"/>
      </w:tblGrid>
      <w:tr w:rsidRPr="00A329C8" w:rsidR="00A329C8" w:rsidTr="00FE3058" w14:paraId="2C0A0929" w14:textId="77777777">
        <w:tc>
          <w:tcPr>
            <w:tcW w:w="1634" w:type="dxa"/>
          </w:tcPr>
          <w:p w:rsidRPr="00A329C8" w:rsidR="00A329C8" w:rsidP="000178D3" w:rsidRDefault="00A329C8" w14:paraId="0961FF11" w14:textId="77777777">
            <w:pPr>
              <w:overflowPunct w:val="0"/>
              <w:autoSpaceDE w:val="0"/>
              <w:autoSpaceDN w:val="0"/>
              <w:adjustRightInd w:val="0"/>
              <w:ind w:left="709" w:hanging="819"/>
              <w:textAlignment w:val="baseline"/>
              <w:rPr>
                <w:i/>
              </w:rPr>
            </w:pPr>
            <w:r>
              <w:rPr>
                <w:b/>
                <w:i/>
              </w:rPr>
              <w:t>Kontakt</w:t>
            </w:r>
          </w:p>
        </w:tc>
        <w:tc>
          <w:tcPr>
            <w:tcW w:w="5670" w:type="dxa"/>
          </w:tcPr>
          <w:p w:rsidRPr="00DC0FAE" w:rsidR="00A329C8" w:rsidP="000178D3" w:rsidRDefault="00A329C8" w14:paraId="0F82E7FA" w14:textId="268094B7">
            <w:pPr>
              <w:overflowPunct w:val="0"/>
              <w:autoSpaceDE w:val="0"/>
              <w:autoSpaceDN w:val="0"/>
              <w:adjustRightInd w:val="0"/>
              <w:ind w:left="709" w:hanging="819"/>
              <w:textAlignment w:val="baseline"/>
              <w:rPr>
                <w:i/>
                <w:iCs/>
              </w:rPr>
            </w:pPr>
            <w:r>
              <w:rPr>
                <w:i/>
              </w:rPr>
              <w:t>Judit Carreras Garcia</w:t>
            </w:r>
          </w:p>
        </w:tc>
      </w:tr>
      <w:tr w:rsidRPr="00A329C8" w:rsidR="00A329C8" w:rsidTr="00FE3058" w14:paraId="1A5C453D" w14:textId="77777777">
        <w:tc>
          <w:tcPr>
            <w:tcW w:w="1634" w:type="dxa"/>
          </w:tcPr>
          <w:p w:rsidRPr="00A329C8" w:rsidR="00A329C8" w:rsidP="000178D3" w:rsidRDefault="00A329C8" w14:paraId="180E2B3C" w14:textId="77777777">
            <w:pPr>
              <w:overflowPunct w:val="0"/>
              <w:autoSpaceDE w:val="0"/>
              <w:autoSpaceDN w:val="0"/>
              <w:adjustRightInd w:val="0"/>
              <w:ind w:left="709" w:hanging="819"/>
              <w:textAlignment w:val="baseline"/>
              <w:rPr>
                <w:i/>
              </w:rPr>
            </w:pPr>
            <w:r>
              <w:rPr>
                <w:i/>
              </w:rPr>
              <w:t>Tel.</w:t>
            </w:r>
          </w:p>
        </w:tc>
        <w:tc>
          <w:tcPr>
            <w:tcW w:w="5670" w:type="dxa"/>
          </w:tcPr>
          <w:p w:rsidRPr="00A329C8" w:rsidR="00A329C8" w:rsidP="000178D3" w:rsidRDefault="00A329C8" w14:paraId="729D5F41" w14:textId="77777777">
            <w:pPr>
              <w:overflowPunct w:val="0"/>
              <w:autoSpaceDE w:val="0"/>
              <w:autoSpaceDN w:val="0"/>
              <w:adjustRightInd w:val="0"/>
              <w:ind w:left="709" w:hanging="819"/>
              <w:textAlignment w:val="baseline"/>
              <w:rPr>
                <w:i/>
                <w:iCs/>
              </w:rPr>
            </w:pPr>
            <w:r>
              <w:rPr>
                <w:i/>
              </w:rPr>
              <w:t>+32 25468421</w:t>
            </w:r>
          </w:p>
        </w:tc>
      </w:tr>
      <w:tr w:rsidRPr="00A329C8" w:rsidR="00A329C8" w:rsidTr="00FE3058" w14:paraId="4404176D" w14:textId="77777777">
        <w:tc>
          <w:tcPr>
            <w:tcW w:w="1634" w:type="dxa"/>
          </w:tcPr>
          <w:p w:rsidRPr="00A329C8" w:rsidR="00A329C8" w:rsidP="000178D3" w:rsidRDefault="007607A9" w14:paraId="60D8FC1E" w14:textId="35444914">
            <w:pPr>
              <w:overflowPunct w:val="0"/>
              <w:autoSpaceDE w:val="0"/>
              <w:autoSpaceDN w:val="0"/>
              <w:adjustRightInd w:val="0"/>
              <w:ind w:left="709" w:hanging="819"/>
              <w:textAlignment w:val="baseline"/>
              <w:rPr>
                <w:i/>
              </w:rPr>
            </w:pPr>
            <w:r>
              <w:rPr>
                <w:i/>
              </w:rPr>
              <w:t>E-Mail</w:t>
            </w:r>
          </w:p>
        </w:tc>
        <w:tc>
          <w:tcPr>
            <w:tcW w:w="5670" w:type="dxa"/>
          </w:tcPr>
          <w:p w:rsidRPr="00A329C8" w:rsidR="00A329C8" w:rsidP="000178D3" w:rsidRDefault="00D35CF0" w14:paraId="7F4CE542" w14:textId="77777777">
            <w:pPr>
              <w:overflowPunct w:val="0"/>
              <w:autoSpaceDE w:val="0"/>
              <w:autoSpaceDN w:val="0"/>
              <w:adjustRightInd w:val="0"/>
              <w:ind w:left="709" w:hanging="819"/>
              <w:textAlignment w:val="baseline"/>
              <w:rPr>
                <w:i/>
                <w:iCs/>
                <w:color w:val="0000FF"/>
                <w:u w:val="single"/>
              </w:rPr>
            </w:pPr>
            <w:hyperlink w:history="1" r:id="rId31">
              <w:r w:rsidR="00D63208">
                <w:rPr>
                  <w:i/>
                  <w:color w:val="0000FF"/>
                  <w:u w:val="single"/>
                </w:rPr>
                <w:t>Judit.CarrerasGarcia@eesc.europa.eu</w:t>
              </w:r>
            </w:hyperlink>
          </w:p>
        </w:tc>
      </w:tr>
    </w:tbl>
    <w:p w:rsidR="00A329C8" w:rsidP="000178D3" w:rsidRDefault="00A329C8" w14:paraId="78CB8038" w14:textId="77777777">
      <w:pPr>
        <w:jc w:val="left"/>
        <w:rPr>
          <w:b/>
          <w:bCs/>
        </w:rPr>
      </w:pPr>
      <w:r>
        <w:br w:type="page"/>
      </w:r>
    </w:p>
    <w:p w:rsidRPr="00A14846" w:rsidR="00A329C8" w:rsidP="000178D3" w:rsidRDefault="00D35CF0" w14:paraId="29FCBD43" w14:textId="33791494">
      <w:pPr>
        <w:widowControl w:val="0"/>
        <w:numPr>
          <w:ilvl w:val="0"/>
          <w:numId w:val="6"/>
        </w:numPr>
        <w:overflowPunct w:val="0"/>
        <w:autoSpaceDE w:val="0"/>
        <w:autoSpaceDN w:val="0"/>
        <w:adjustRightInd w:val="0"/>
        <w:ind w:left="567" w:hanging="567"/>
        <w:textAlignment w:val="baseline"/>
        <w:rPr>
          <w:b/>
          <w:i/>
          <w:sz w:val="28"/>
          <w:szCs w:val="20"/>
        </w:rPr>
      </w:pPr>
      <w:hyperlink w:history="1" r:id="rId32">
        <w:r w:rsidR="00136442">
          <w:rPr>
            <w:b/>
            <w:i/>
            <w:color w:val="0000FF"/>
            <w:sz w:val="28"/>
            <w:u w:val="single"/>
          </w:rPr>
          <w:t>Überarbeitung der Tierschutzvorschriften</w:t>
        </w:r>
      </w:hyperlink>
    </w:p>
    <w:p w:rsidRPr="00A14846" w:rsidR="00A329C8" w:rsidP="000178D3" w:rsidRDefault="00A329C8" w14:paraId="5FF571D4" w14:textId="77777777">
      <w:pPr>
        <w:tabs>
          <w:tab w:val="center" w:pos="284"/>
        </w:tabs>
        <w:overflowPunct w:val="0"/>
        <w:autoSpaceDE w:val="0"/>
        <w:autoSpaceDN w:val="0"/>
        <w:adjustRightInd w:val="0"/>
        <w:ind w:left="266" w:hanging="266"/>
        <w:textAlignment w:val="baseline"/>
      </w:pPr>
    </w:p>
    <w:tbl>
      <w:tblPr>
        <w:tblStyle w:val="TableGrid217"/>
        <w:tblW w:w="960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7479"/>
      </w:tblGrid>
      <w:tr w:rsidRPr="000178D3" w:rsidR="00A329C8" w:rsidTr="000178D3" w14:paraId="5D60937D" w14:textId="77777777">
        <w:tc>
          <w:tcPr>
            <w:tcW w:w="2127" w:type="dxa"/>
          </w:tcPr>
          <w:p w:rsidRPr="000178D3" w:rsidR="00A329C8" w:rsidP="000178D3" w:rsidRDefault="00A329C8" w14:paraId="661CBE96" w14:textId="77777777">
            <w:pPr>
              <w:tabs>
                <w:tab w:val="center" w:pos="284"/>
              </w:tabs>
              <w:overflowPunct w:val="0"/>
              <w:autoSpaceDE w:val="0"/>
              <w:autoSpaceDN w:val="0"/>
              <w:adjustRightInd w:val="0"/>
              <w:ind w:left="266" w:hanging="266"/>
              <w:textAlignment w:val="baseline"/>
              <w:rPr>
                <w:b/>
                <w:sz w:val="22"/>
                <w:szCs w:val="22"/>
              </w:rPr>
            </w:pPr>
            <w:r w:rsidRPr="000178D3">
              <w:rPr>
                <w:b/>
                <w:sz w:val="22"/>
                <w:szCs w:val="22"/>
              </w:rPr>
              <w:t xml:space="preserve">Berichterstatter </w:t>
            </w:r>
          </w:p>
        </w:tc>
        <w:tc>
          <w:tcPr>
            <w:tcW w:w="7479" w:type="dxa"/>
          </w:tcPr>
          <w:p w:rsidRPr="000178D3" w:rsidR="00A329C8" w:rsidP="000178D3" w:rsidRDefault="00A329C8" w14:paraId="77C861E5" w14:textId="47173DAB">
            <w:pPr>
              <w:overflowPunct w:val="0"/>
              <w:autoSpaceDE w:val="0"/>
              <w:autoSpaceDN w:val="0"/>
              <w:adjustRightInd w:val="0"/>
              <w:textAlignment w:val="baseline"/>
              <w:rPr>
                <w:sz w:val="22"/>
                <w:szCs w:val="22"/>
              </w:rPr>
            </w:pPr>
            <w:proofErr w:type="spellStart"/>
            <w:r w:rsidRPr="000178D3">
              <w:rPr>
                <w:sz w:val="22"/>
                <w:szCs w:val="22"/>
              </w:rPr>
              <w:t>Jaume</w:t>
            </w:r>
            <w:proofErr w:type="spellEnd"/>
            <w:r w:rsidRPr="000178D3">
              <w:rPr>
                <w:sz w:val="22"/>
                <w:szCs w:val="22"/>
              </w:rPr>
              <w:t xml:space="preserve"> BERNIS CASTELLS (Gruppe Organisationen der Zivilgesellschaft – ES)</w:t>
            </w:r>
          </w:p>
        </w:tc>
      </w:tr>
      <w:tr w:rsidRPr="000178D3" w:rsidR="00A329C8" w:rsidTr="000178D3" w14:paraId="70D6EB9C" w14:textId="77777777">
        <w:tc>
          <w:tcPr>
            <w:tcW w:w="9606" w:type="dxa"/>
            <w:gridSpan w:val="2"/>
          </w:tcPr>
          <w:p w:rsidRPr="000178D3" w:rsidR="00A329C8" w:rsidP="000178D3" w:rsidRDefault="00A329C8" w14:paraId="5D0701A4" w14:textId="77777777">
            <w:pPr>
              <w:tabs>
                <w:tab w:val="center" w:pos="284"/>
              </w:tabs>
              <w:overflowPunct w:val="0"/>
              <w:autoSpaceDE w:val="0"/>
              <w:autoSpaceDN w:val="0"/>
              <w:adjustRightInd w:val="0"/>
              <w:ind w:left="266" w:hanging="266"/>
              <w:textAlignment w:val="baseline"/>
              <w:rPr>
                <w:sz w:val="10"/>
                <w:szCs w:val="10"/>
                <w:lang w:val="en-US"/>
              </w:rPr>
            </w:pPr>
          </w:p>
        </w:tc>
      </w:tr>
      <w:tr w:rsidRPr="000178D3" w:rsidR="00A329C8" w:rsidTr="000178D3" w14:paraId="67C57163" w14:textId="77777777">
        <w:tc>
          <w:tcPr>
            <w:tcW w:w="2127" w:type="dxa"/>
          </w:tcPr>
          <w:p w:rsidRPr="000178D3" w:rsidR="00A329C8" w:rsidP="000178D3" w:rsidRDefault="00A329C8" w14:paraId="0019A341" w14:textId="77777777">
            <w:pPr>
              <w:tabs>
                <w:tab w:val="center" w:pos="284"/>
              </w:tabs>
              <w:overflowPunct w:val="0"/>
              <w:autoSpaceDE w:val="0"/>
              <w:autoSpaceDN w:val="0"/>
              <w:adjustRightInd w:val="0"/>
              <w:ind w:left="266" w:hanging="266"/>
              <w:textAlignment w:val="baseline"/>
              <w:rPr>
                <w:b/>
                <w:sz w:val="22"/>
                <w:szCs w:val="22"/>
              </w:rPr>
            </w:pPr>
            <w:r w:rsidRPr="000178D3">
              <w:rPr>
                <w:b/>
                <w:sz w:val="22"/>
                <w:szCs w:val="22"/>
              </w:rPr>
              <w:t>Referenzdokumente</w:t>
            </w:r>
          </w:p>
        </w:tc>
        <w:tc>
          <w:tcPr>
            <w:tcW w:w="7479" w:type="dxa"/>
          </w:tcPr>
          <w:p w:rsidRPr="000178D3" w:rsidR="00D704BD" w:rsidP="000178D3" w:rsidRDefault="00D704BD" w14:paraId="466B0FCB" w14:textId="138FF299">
            <w:pPr>
              <w:tabs>
                <w:tab w:val="center" w:pos="284"/>
              </w:tabs>
              <w:overflowPunct w:val="0"/>
              <w:autoSpaceDE w:val="0"/>
              <w:autoSpaceDN w:val="0"/>
              <w:adjustRightInd w:val="0"/>
              <w:ind w:left="266" w:hanging="266"/>
              <w:textAlignment w:val="baseline"/>
              <w:rPr>
                <w:sz w:val="22"/>
                <w:szCs w:val="22"/>
              </w:rPr>
            </w:pPr>
            <w:r w:rsidRPr="000178D3">
              <w:rPr>
                <w:sz w:val="22"/>
                <w:szCs w:val="22"/>
              </w:rPr>
              <w:t>COM(2023) 770 final</w:t>
            </w:r>
          </w:p>
          <w:p w:rsidRPr="000178D3" w:rsidR="00A329C8" w:rsidP="000178D3" w:rsidRDefault="00A329C8" w14:paraId="7298B786" w14:textId="063BFD24">
            <w:pPr>
              <w:tabs>
                <w:tab w:val="center" w:pos="284"/>
              </w:tabs>
              <w:overflowPunct w:val="0"/>
              <w:autoSpaceDE w:val="0"/>
              <w:autoSpaceDN w:val="0"/>
              <w:adjustRightInd w:val="0"/>
              <w:ind w:left="266" w:hanging="266"/>
              <w:textAlignment w:val="baseline"/>
              <w:rPr>
                <w:sz w:val="22"/>
                <w:szCs w:val="22"/>
              </w:rPr>
            </w:pPr>
            <w:r w:rsidRPr="000178D3">
              <w:rPr>
                <w:sz w:val="22"/>
                <w:szCs w:val="22"/>
              </w:rPr>
              <w:t>EESC-2023-05464-00-00-AC</w:t>
            </w:r>
          </w:p>
        </w:tc>
      </w:tr>
    </w:tbl>
    <w:p w:rsidRPr="00A14846" w:rsidR="00A329C8" w:rsidP="000178D3" w:rsidRDefault="00A329C8" w14:paraId="1C9BC533" w14:textId="77777777">
      <w:pPr>
        <w:keepNext/>
        <w:keepLines/>
        <w:tabs>
          <w:tab w:val="center" w:pos="284"/>
        </w:tabs>
        <w:overflowPunct w:val="0"/>
        <w:autoSpaceDE w:val="0"/>
        <w:autoSpaceDN w:val="0"/>
        <w:adjustRightInd w:val="0"/>
        <w:ind w:left="266" w:hanging="266"/>
        <w:textAlignment w:val="baseline"/>
        <w:rPr>
          <w:b/>
          <w:szCs w:val="20"/>
        </w:rPr>
      </w:pPr>
    </w:p>
    <w:p w:rsidRPr="00A14846" w:rsidR="00A329C8" w:rsidP="000178D3" w:rsidRDefault="00A329C8" w14:paraId="1EE8EE07" w14:textId="77777777">
      <w:pPr>
        <w:keepNext/>
        <w:keepLines/>
        <w:tabs>
          <w:tab w:val="center" w:pos="284"/>
        </w:tabs>
        <w:overflowPunct w:val="0"/>
        <w:autoSpaceDE w:val="0"/>
        <w:autoSpaceDN w:val="0"/>
        <w:adjustRightInd w:val="0"/>
        <w:ind w:left="266" w:hanging="266"/>
        <w:textAlignment w:val="baseline"/>
        <w:rPr>
          <w:b/>
        </w:rPr>
      </w:pPr>
      <w:r>
        <w:rPr>
          <w:b/>
        </w:rPr>
        <w:t>Kernaussagen</w:t>
      </w:r>
    </w:p>
    <w:p w:rsidRPr="00A14846" w:rsidR="00A329C8" w:rsidP="000178D3" w:rsidRDefault="00A329C8" w14:paraId="6900345E" w14:textId="77777777">
      <w:pPr>
        <w:keepNext/>
        <w:keepLines/>
        <w:tabs>
          <w:tab w:val="center" w:pos="284"/>
        </w:tabs>
        <w:overflowPunct w:val="0"/>
        <w:autoSpaceDE w:val="0"/>
        <w:autoSpaceDN w:val="0"/>
        <w:adjustRightInd w:val="0"/>
        <w:ind w:left="266" w:hanging="266"/>
        <w:textAlignment w:val="baseline"/>
      </w:pPr>
    </w:p>
    <w:p w:rsidR="00A329C8" w:rsidP="000178D3" w:rsidRDefault="00A329C8" w14:paraId="47E5F255" w14:textId="145A9A92">
      <w:pPr>
        <w:keepNext/>
        <w:keepLines/>
        <w:tabs>
          <w:tab w:val="center" w:pos="284"/>
        </w:tabs>
        <w:overflowPunct w:val="0"/>
        <w:autoSpaceDE w:val="0"/>
        <w:autoSpaceDN w:val="0"/>
        <w:adjustRightInd w:val="0"/>
        <w:ind w:left="266" w:hanging="266"/>
        <w:textAlignment w:val="baseline"/>
        <w:rPr>
          <w:szCs w:val="20"/>
        </w:rPr>
      </w:pPr>
      <w:r>
        <w:t>Der EWSA:</w:t>
      </w:r>
    </w:p>
    <w:p w:rsidRPr="00A14846" w:rsidR="00D704BD" w:rsidP="000178D3" w:rsidRDefault="00D704BD" w14:paraId="72E89559" w14:textId="77777777">
      <w:pPr>
        <w:keepNext/>
        <w:keepLines/>
        <w:tabs>
          <w:tab w:val="center" w:pos="284"/>
        </w:tabs>
        <w:overflowPunct w:val="0"/>
        <w:autoSpaceDE w:val="0"/>
        <w:autoSpaceDN w:val="0"/>
        <w:adjustRightInd w:val="0"/>
        <w:ind w:left="266" w:hanging="266"/>
        <w:textAlignment w:val="baseline"/>
      </w:pPr>
    </w:p>
    <w:p w:rsidRPr="00A14846" w:rsidR="00A329C8" w:rsidP="000178D3" w:rsidRDefault="00A329C8" w14:paraId="5B8E8E34" w14:textId="77777777">
      <w:pPr>
        <w:numPr>
          <w:ilvl w:val="0"/>
          <w:numId w:val="22"/>
        </w:numPr>
        <w:overflowPunct w:val="0"/>
        <w:autoSpaceDE w:val="0"/>
        <w:autoSpaceDN w:val="0"/>
        <w:adjustRightInd w:val="0"/>
        <w:textAlignment w:val="baseline"/>
        <w:outlineLvl w:val="1"/>
        <w:rPr>
          <w:szCs w:val="20"/>
        </w:rPr>
      </w:pPr>
      <w:r>
        <w:t>empfiehlt der Kommission, dem praktischen Wissen der Landwirte, Transportunternehmer und Tierärzte bei der Umsetzung und Harmonisierung der Rechtsvorschriften Rechnung zu tragen;</w:t>
      </w:r>
    </w:p>
    <w:p w:rsidRPr="00A14846" w:rsidR="00A329C8" w:rsidP="000178D3" w:rsidRDefault="00A329C8" w14:paraId="06F24D3E" w14:textId="77777777">
      <w:pPr>
        <w:numPr>
          <w:ilvl w:val="0"/>
          <w:numId w:val="22"/>
        </w:numPr>
        <w:overflowPunct w:val="0"/>
        <w:autoSpaceDE w:val="0"/>
        <w:autoSpaceDN w:val="0"/>
        <w:adjustRightInd w:val="0"/>
        <w:textAlignment w:val="baseline"/>
        <w:outlineLvl w:val="1"/>
        <w:rPr>
          <w:szCs w:val="20"/>
        </w:rPr>
      </w:pPr>
      <w:r>
        <w:t xml:space="preserve">ist der Ansicht, dass </w:t>
      </w:r>
      <w:r>
        <w:rPr>
          <w:b/>
        </w:rPr>
        <w:t>Rechtsvorschriften, die nicht</w:t>
      </w:r>
      <w:r>
        <w:t xml:space="preserve"> an die unterschiedlichen Gegebenheiten in den 27 Mitgliedstaaten </w:t>
      </w:r>
      <w:r>
        <w:rPr>
          <w:b/>
        </w:rPr>
        <w:t>angepasst werden können, asymmetrischen Situationen Tür und Tor öffnen</w:t>
      </w:r>
      <w:r>
        <w:t>;</w:t>
      </w:r>
    </w:p>
    <w:p w:rsidRPr="00A14846" w:rsidR="00A329C8" w:rsidP="000178D3" w:rsidRDefault="00A329C8" w14:paraId="1889E9AA" w14:textId="77777777">
      <w:pPr>
        <w:numPr>
          <w:ilvl w:val="0"/>
          <w:numId w:val="22"/>
        </w:numPr>
        <w:overflowPunct w:val="0"/>
        <w:autoSpaceDE w:val="0"/>
        <w:autoSpaceDN w:val="0"/>
        <w:adjustRightInd w:val="0"/>
        <w:textAlignment w:val="baseline"/>
        <w:outlineLvl w:val="1"/>
        <w:rPr>
          <w:szCs w:val="20"/>
        </w:rPr>
      </w:pPr>
      <w:r>
        <w:t xml:space="preserve">fordert die Kommission auf, </w:t>
      </w:r>
      <w:r>
        <w:rPr>
          <w:b/>
        </w:rPr>
        <w:t>dafür zu sorgen</w:t>
      </w:r>
      <w:r>
        <w:t xml:space="preserve">, dass die </w:t>
      </w:r>
      <w:r>
        <w:rPr>
          <w:b/>
        </w:rPr>
        <w:t>Kosten der Umsetzung</w:t>
      </w:r>
      <w:r>
        <w:t xml:space="preserve"> dieser Rechtsvorschrift </w:t>
      </w:r>
      <w:r>
        <w:rPr>
          <w:b/>
        </w:rPr>
        <w:t>nicht zu Lasten der Akteure</w:t>
      </w:r>
      <w:r>
        <w:t xml:space="preserve"> des Sektors </w:t>
      </w:r>
      <w:r>
        <w:rPr>
          <w:b/>
        </w:rPr>
        <w:t>gehen</w:t>
      </w:r>
      <w:r>
        <w:t>;</w:t>
      </w:r>
    </w:p>
    <w:p w:rsidRPr="00A14846" w:rsidR="00A329C8" w:rsidP="000178D3" w:rsidRDefault="00A329C8" w14:paraId="7DD5E3B0" w14:textId="77777777">
      <w:pPr>
        <w:numPr>
          <w:ilvl w:val="0"/>
          <w:numId w:val="22"/>
        </w:numPr>
        <w:overflowPunct w:val="0"/>
        <w:autoSpaceDE w:val="0"/>
        <w:autoSpaceDN w:val="0"/>
        <w:adjustRightInd w:val="0"/>
        <w:textAlignment w:val="baseline"/>
        <w:outlineLvl w:val="1"/>
        <w:rPr>
          <w:szCs w:val="20"/>
        </w:rPr>
      </w:pPr>
      <w:r>
        <w:t xml:space="preserve">weist darauf hin, dass die </w:t>
      </w:r>
      <w:r>
        <w:rPr>
          <w:b/>
        </w:rPr>
        <w:t>Bestimmungen</w:t>
      </w:r>
      <w:r>
        <w:t xml:space="preserve"> der vorgeschlagenen Verordnung </w:t>
      </w:r>
      <w:r>
        <w:rPr>
          <w:b/>
        </w:rPr>
        <w:t>die Beteiligten</w:t>
      </w:r>
      <w:r>
        <w:t xml:space="preserve"> (insbesondere Landwirte, Kraftfahrer und Tierärzte) </w:t>
      </w:r>
      <w:r>
        <w:rPr>
          <w:b/>
        </w:rPr>
        <w:t>zu Nachtarbeit verpflichten</w:t>
      </w:r>
      <w:r>
        <w:t>;</w:t>
      </w:r>
    </w:p>
    <w:p w:rsidRPr="00A14846" w:rsidR="00A329C8" w:rsidP="000178D3" w:rsidRDefault="00A329C8" w14:paraId="118CDB57" w14:textId="77777777">
      <w:pPr>
        <w:numPr>
          <w:ilvl w:val="0"/>
          <w:numId w:val="22"/>
        </w:numPr>
        <w:overflowPunct w:val="0"/>
        <w:autoSpaceDE w:val="0"/>
        <w:autoSpaceDN w:val="0"/>
        <w:adjustRightInd w:val="0"/>
        <w:textAlignment w:val="baseline"/>
        <w:outlineLvl w:val="1"/>
        <w:rPr>
          <w:szCs w:val="20"/>
        </w:rPr>
      </w:pPr>
      <w:r>
        <w:t xml:space="preserve">fordert die Kommission auf, </w:t>
      </w:r>
      <w:r>
        <w:rPr>
          <w:b/>
        </w:rPr>
        <w:t>die Auswirkungen dieses Vorschlags auf die Lieferketten zu prüfen</w:t>
      </w:r>
      <w:r>
        <w:t>, die im Laufe der Jahre auf der Grundlage der derzeit geltenden Zeitvorgaben auf- und ausgebaut wurden;</w:t>
      </w:r>
    </w:p>
    <w:p w:rsidRPr="00A14846" w:rsidR="00A329C8" w:rsidP="000178D3" w:rsidRDefault="00A329C8" w14:paraId="63C74A95" w14:textId="77777777">
      <w:pPr>
        <w:numPr>
          <w:ilvl w:val="0"/>
          <w:numId w:val="22"/>
        </w:numPr>
        <w:overflowPunct w:val="0"/>
        <w:autoSpaceDE w:val="0"/>
        <w:autoSpaceDN w:val="0"/>
        <w:adjustRightInd w:val="0"/>
        <w:textAlignment w:val="baseline"/>
        <w:outlineLvl w:val="1"/>
        <w:rPr>
          <w:szCs w:val="20"/>
        </w:rPr>
      </w:pPr>
      <w:r>
        <w:t>warnt vor den Auswirkungen einer Beschränkung des Transports von Schlachttieren bei kurzen Transporten von weniger als neun Stunden;</w:t>
      </w:r>
    </w:p>
    <w:p w:rsidRPr="00A14846" w:rsidR="00A329C8" w:rsidP="000178D3" w:rsidRDefault="00A329C8" w14:paraId="6F8515E2" w14:textId="77777777">
      <w:pPr>
        <w:numPr>
          <w:ilvl w:val="0"/>
          <w:numId w:val="22"/>
        </w:numPr>
        <w:overflowPunct w:val="0"/>
        <w:autoSpaceDE w:val="0"/>
        <w:autoSpaceDN w:val="0"/>
        <w:adjustRightInd w:val="0"/>
        <w:textAlignment w:val="baseline"/>
        <w:outlineLvl w:val="1"/>
        <w:rPr>
          <w:szCs w:val="20"/>
        </w:rPr>
      </w:pPr>
      <w:r>
        <w:t xml:space="preserve">ist der Ansicht, dass die </w:t>
      </w:r>
      <w:r>
        <w:rPr>
          <w:b/>
        </w:rPr>
        <w:t>vorgeschlagenen neuen technischen Vorschriften</w:t>
      </w:r>
      <w:r>
        <w:t xml:space="preserve"> über die Transportfähigkeit von Landtieren </w:t>
      </w:r>
      <w:r>
        <w:rPr>
          <w:b/>
        </w:rPr>
        <w:t>zur Schließung zahlreicher Tierhaltungsbetriebe führen könnten</w:t>
      </w:r>
      <w:r>
        <w:t>;</w:t>
      </w:r>
    </w:p>
    <w:p w:rsidRPr="00A14846" w:rsidR="00A329C8" w:rsidP="000178D3" w:rsidRDefault="00A329C8" w14:paraId="5FA5848C" w14:textId="77777777">
      <w:pPr>
        <w:numPr>
          <w:ilvl w:val="0"/>
          <w:numId w:val="22"/>
        </w:numPr>
        <w:overflowPunct w:val="0"/>
        <w:autoSpaceDE w:val="0"/>
        <w:autoSpaceDN w:val="0"/>
        <w:adjustRightInd w:val="0"/>
        <w:textAlignment w:val="baseline"/>
        <w:outlineLvl w:val="1"/>
        <w:rPr>
          <w:szCs w:val="20"/>
        </w:rPr>
      </w:pPr>
      <w:r>
        <w:t xml:space="preserve">weist darauf hin, dass das </w:t>
      </w:r>
      <w:r>
        <w:rPr>
          <w:b/>
        </w:rPr>
        <w:t>Verbot des Straßentransports nicht abgesetzter Jungtiere</w:t>
      </w:r>
      <w:r>
        <w:t xml:space="preserve"> wie Kälber, Lämmer, Zickel, Ferkel und Fohlen </w:t>
      </w:r>
      <w:r>
        <w:rPr>
          <w:b/>
        </w:rPr>
        <w:t>über lange Strecken erhebliche Auswirkungen auf die Einfuhr von Tierrassen</w:t>
      </w:r>
      <w:r>
        <w:t xml:space="preserve"> aus anderen EU-Mitgliedstaaten hat;</w:t>
      </w:r>
    </w:p>
    <w:p w:rsidRPr="00A14846" w:rsidR="00A329C8" w:rsidP="000178D3" w:rsidRDefault="00A329C8" w14:paraId="6BDADC07" w14:textId="77777777">
      <w:pPr>
        <w:numPr>
          <w:ilvl w:val="0"/>
          <w:numId w:val="22"/>
        </w:numPr>
        <w:overflowPunct w:val="0"/>
        <w:autoSpaceDE w:val="0"/>
        <w:autoSpaceDN w:val="0"/>
        <w:adjustRightInd w:val="0"/>
        <w:textAlignment w:val="baseline"/>
        <w:outlineLvl w:val="1"/>
        <w:rPr>
          <w:szCs w:val="20"/>
        </w:rPr>
      </w:pPr>
      <w:r>
        <w:t xml:space="preserve">fordert die Kommission auf, </w:t>
      </w:r>
      <w:r>
        <w:rPr>
          <w:b/>
        </w:rPr>
        <w:t>die klimatischen Besonderheiten</w:t>
      </w:r>
      <w:r>
        <w:t xml:space="preserve"> der einzelnen Mitgliedstaaten in Bezug auf die Bestimmungen von Artikel 31 des Vorschlags </w:t>
      </w:r>
      <w:r>
        <w:rPr>
          <w:b/>
        </w:rPr>
        <w:t>zu berücksichtigen</w:t>
      </w:r>
      <w:r>
        <w:t>;</w:t>
      </w:r>
    </w:p>
    <w:p w:rsidRPr="00A14846" w:rsidR="00A329C8" w:rsidP="000178D3" w:rsidRDefault="00A329C8" w14:paraId="4637EB55" w14:textId="77777777">
      <w:pPr>
        <w:numPr>
          <w:ilvl w:val="0"/>
          <w:numId w:val="22"/>
        </w:numPr>
        <w:overflowPunct w:val="0"/>
        <w:autoSpaceDE w:val="0"/>
        <w:autoSpaceDN w:val="0"/>
        <w:adjustRightInd w:val="0"/>
        <w:textAlignment w:val="baseline"/>
        <w:outlineLvl w:val="1"/>
        <w:rPr>
          <w:szCs w:val="20"/>
        </w:rPr>
      </w:pPr>
      <w:r>
        <w:t xml:space="preserve">hält es für wesentlich, </w:t>
      </w:r>
      <w:r>
        <w:rPr>
          <w:b/>
        </w:rPr>
        <w:t>kurze Vermarktungswege</w:t>
      </w:r>
      <w:r>
        <w:t xml:space="preserve"> als wirksame Lösung für die Verringerung der Notwendigkeit langer Transporte zu </w:t>
      </w:r>
      <w:r>
        <w:rPr>
          <w:b/>
        </w:rPr>
        <w:t>fördern</w:t>
      </w:r>
      <w:r>
        <w:t>, weil sie die Entfernungen zwischen Aufzucht, Mast, Schlachtung und Verbrauch verkürzen;</w:t>
      </w:r>
    </w:p>
    <w:p w:rsidRPr="00A14846" w:rsidR="00A329C8" w:rsidP="000178D3" w:rsidRDefault="00A329C8" w14:paraId="6A4C0035" w14:textId="77777777">
      <w:pPr>
        <w:numPr>
          <w:ilvl w:val="0"/>
          <w:numId w:val="22"/>
        </w:numPr>
        <w:overflowPunct w:val="0"/>
        <w:autoSpaceDE w:val="0"/>
        <w:autoSpaceDN w:val="0"/>
        <w:adjustRightInd w:val="0"/>
        <w:textAlignment w:val="baseline"/>
        <w:outlineLvl w:val="1"/>
      </w:pPr>
      <w:r>
        <w:t xml:space="preserve">unterstützt Initiativen, um in gesundheitlicher, wirtschaftlicher und rechtlicher Hinsicht die </w:t>
      </w:r>
      <w:r>
        <w:rPr>
          <w:b/>
        </w:rPr>
        <w:t>Erhaltung lokaler Schlachthöfe zu unterstützen sowie die Schlachtung direkt im landwirtschaftlichen Betrieb zu fördern</w:t>
      </w:r>
      <w:r>
        <w:t>, sofern dies der Größe des Betriebs und den örtlichen Gegebenheiten entspricht.</w:t>
      </w:r>
    </w:p>
    <w:p w:rsidRPr="00A14846" w:rsidR="00A329C8" w:rsidP="000178D3" w:rsidRDefault="00A329C8" w14:paraId="00B0D36A" w14:textId="77777777">
      <w:pPr>
        <w:widowControl w:val="0"/>
        <w:overflowPunct w:val="0"/>
        <w:autoSpaceDE w:val="0"/>
        <w:autoSpaceDN w:val="0"/>
        <w:adjustRightInd w:val="0"/>
        <w:textAlignment w:val="baseline"/>
        <w:rPr>
          <w:sz w:val="16"/>
          <w:szCs w:val="16"/>
        </w:rPr>
      </w:pPr>
    </w:p>
    <w:tbl>
      <w:tblPr>
        <w:tblStyle w:val="TableGrid21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384"/>
        <w:gridCol w:w="4995"/>
      </w:tblGrid>
      <w:tr w:rsidRPr="00A14846" w:rsidR="00A329C8" w:rsidTr="002802BB" w14:paraId="6B2AC513" w14:textId="77777777">
        <w:tc>
          <w:tcPr>
            <w:tcW w:w="1384" w:type="dxa"/>
          </w:tcPr>
          <w:p w:rsidRPr="00A14846" w:rsidR="00A329C8" w:rsidP="000178D3" w:rsidRDefault="00A329C8" w14:paraId="1AAB3B0A" w14:textId="77777777">
            <w:pPr>
              <w:overflowPunct w:val="0"/>
              <w:autoSpaceDE w:val="0"/>
              <w:autoSpaceDN w:val="0"/>
              <w:adjustRightInd w:val="0"/>
              <w:textAlignment w:val="baseline"/>
              <w:rPr>
                <w:i/>
              </w:rPr>
            </w:pPr>
            <w:r>
              <w:rPr>
                <w:b/>
                <w:i/>
              </w:rPr>
              <w:t xml:space="preserve">Kontakt </w:t>
            </w:r>
          </w:p>
        </w:tc>
        <w:tc>
          <w:tcPr>
            <w:tcW w:w="4995" w:type="dxa"/>
          </w:tcPr>
          <w:p w:rsidRPr="00A14846" w:rsidR="00A329C8" w:rsidP="000178D3" w:rsidRDefault="00A329C8" w14:paraId="3604A495" w14:textId="158CA49A">
            <w:pPr>
              <w:overflowPunct w:val="0"/>
              <w:autoSpaceDE w:val="0"/>
              <w:autoSpaceDN w:val="0"/>
              <w:adjustRightInd w:val="0"/>
              <w:textAlignment w:val="baseline"/>
              <w:rPr>
                <w:i/>
              </w:rPr>
            </w:pPr>
            <w:r>
              <w:rPr>
                <w:i/>
              </w:rPr>
              <w:t xml:space="preserve">Arturo </w:t>
            </w:r>
            <w:proofErr w:type="spellStart"/>
            <w:r>
              <w:rPr>
                <w:i/>
              </w:rPr>
              <w:t>Íñiguez</w:t>
            </w:r>
            <w:proofErr w:type="spellEnd"/>
          </w:p>
        </w:tc>
      </w:tr>
      <w:tr w:rsidRPr="00A14846" w:rsidR="00A329C8" w:rsidTr="002802BB" w14:paraId="54FCBA8B" w14:textId="77777777">
        <w:tc>
          <w:tcPr>
            <w:tcW w:w="1384" w:type="dxa"/>
          </w:tcPr>
          <w:p w:rsidRPr="00A14846" w:rsidR="00A329C8" w:rsidP="000178D3" w:rsidRDefault="00A329C8" w14:paraId="62D7636F" w14:textId="77777777">
            <w:pPr>
              <w:overflowPunct w:val="0"/>
              <w:autoSpaceDE w:val="0"/>
              <w:autoSpaceDN w:val="0"/>
              <w:adjustRightInd w:val="0"/>
              <w:textAlignment w:val="baseline"/>
              <w:rPr>
                <w:i/>
              </w:rPr>
            </w:pPr>
            <w:r>
              <w:rPr>
                <w:i/>
              </w:rPr>
              <w:t>Tel.</w:t>
            </w:r>
          </w:p>
        </w:tc>
        <w:tc>
          <w:tcPr>
            <w:tcW w:w="4995" w:type="dxa"/>
          </w:tcPr>
          <w:p w:rsidRPr="00A14846" w:rsidR="00A329C8" w:rsidP="000178D3" w:rsidRDefault="00A329C8" w14:paraId="7C0E8B23" w14:textId="77777777">
            <w:pPr>
              <w:overflowPunct w:val="0"/>
              <w:autoSpaceDE w:val="0"/>
              <w:autoSpaceDN w:val="0"/>
              <w:adjustRightInd w:val="0"/>
              <w:textAlignment w:val="baseline"/>
              <w:rPr>
                <w:i/>
              </w:rPr>
            </w:pPr>
            <w:r>
              <w:rPr>
                <w:i/>
              </w:rPr>
              <w:t>+32 25468768</w:t>
            </w:r>
          </w:p>
        </w:tc>
      </w:tr>
      <w:tr w:rsidRPr="00A14846" w:rsidR="00A329C8" w:rsidTr="002802BB" w14:paraId="485043FF" w14:textId="77777777">
        <w:tc>
          <w:tcPr>
            <w:tcW w:w="1384" w:type="dxa"/>
          </w:tcPr>
          <w:p w:rsidRPr="00A14846" w:rsidR="00A329C8" w:rsidP="000178D3" w:rsidRDefault="00D704BD" w14:paraId="7E8D5802" w14:textId="61A5A309">
            <w:pPr>
              <w:overflowPunct w:val="0"/>
              <w:autoSpaceDE w:val="0"/>
              <w:autoSpaceDN w:val="0"/>
              <w:adjustRightInd w:val="0"/>
              <w:textAlignment w:val="baseline"/>
              <w:rPr>
                <w:i/>
              </w:rPr>
            </w:pPr>
            <w:r>
              <w:rPr>
                <w:i/>
              </w:rPr>
              <w:t>E-Mail</w:t>
            </w:r>
          </w:p>
        </w:tc>
        <w:tc>
          <w:tcPr>
            <w:tcW w:w="4995" w:type="dxa"/>
          </w:tcPr>
          <w:p w:rsidRPr="00A14846" w:rsidR="00A329C8" w:rsidP="000178D3" w:rsidRDefault="00D35CF0" w14:paraId="0F764C0D" w14:textId="77777777">
            <w:pPr>
              <w:overflowPunct w:val="0"/>
              <w:autoSpaceDE w:val="0"/>
              <w:autoSpaceDN w:val="0"/>
              <w:adjustRightInd w:val="0"/>
              <w:textAlignment w:val="baseline"/>
              <w:rPr>
                <w:i/>
                <w:iCs/>
              </w:rPr>
            </w:pPr>
            <w:hyperlink w:history="1" r:id="rId33">
              <w:r w:rsidR="00136442">
                <w:rPr>
                  <w:i/>
                  <w:color w:val="0000FF"/>
                  <w:u w:val="single"/>
                </w:rPr>
                <w:t>Arturo.Iniguez@eesc.europa.eu</w:t>
              </w:r>
            </w:hyperlink>
          </w:p>
        </w:tc>
      </w:tr>
    </w:tbl>
    <w:p w:rsidR="00A329C8" w:rsidP="000178D3" w:rsidRDefault="00A329C8" w14:paraId="4A4D6D18" w14:textId="77777777">
      <w:pPr>
        <w:jc w:val="left"/>
        <w:rPr>
          <w:b/>
          <w:bCs/>
        </w:rPr>
      </w:pPr>
    </w:p>
    <w:p w:rsidR="00386C01" w:rsidP="000178D3" w:rsidRDefault="00386C01" w14:paraId="783F6CD8" w14:textId="765D6A7F">
      <w:pPr>
        <w:jc w:val="left"/>
        <w:rPr>
          <w:b/>
          <w:bCs/>
        </w:rPr>
      </w:pPr>
      <w:r>
        <w:br w:type="page"/>
      </w:r>
    </w:p>
    <w:p w:rsidR="00895853" w:rsidP="000178D3" w:rsidRDefault="00895853" w14:paraId="1C46B2C3" w14:textId="7E834008">
      <w:pPr>
        <w:pStyle w:val="Heading1"/>
        <w:tabs>
          <w:tab w:val="clear" w:pos="440"/>
          <w:tab w:val="left" w:pos="567"/>
        </w:tabs>
        <w:spacing w:before="0"/>
        <w:ind w:left="567" w:hanging="567"/>
        <w:rPr>
          <w:b/>
          <w:bCs/>
        </w:rPr>
      </w:pPr>
      <w:bookmarkStart w:name="_Toc166847138" w:id="4"/>
      <w:bookmarkStart w:name="_Toc169517900" w:id="5"/>
      <w:bookmarkEnd w:id="4"/>
      <w:r>
        <w:rPr>
          <w:b/>
        </w:rPr>
        <w:lastRenderedPageBreak/>
        <w:t>VERKEHR, ENERGIE, INFRASTRUKTUREN, INFORMATIONSGESELLSCHAFT</w:t>
      </w:r>
      <w:bookmarkEnd w:id="5"/>
    </w:p>
    <w:p w:rsidR="005C28F2" w:rsidP="000178D3" w:rsidRDefault="005C28F2" w14:paraId="089CB383" w14:textId="77777777"/>
    <w:p w:rsidRPr="00EC48BE" w:rsidR="00EC48BE" w:rsidP="000178D3" w:rsidRDefault="00D35CF0" w14:paraId="50FF3C6A" w14:textId="1C0187EA">
      <w:pPr>
        <w:widowControl w:val="0"/>
        <w:numPr>
          <w:ilvl w:val="0"/>
          <w:numId w:val="7"/>
        </w:numPr>
        <w:overflowPunct w:val="0"/>
        <w:autoSpaceDE w:val="0"/>
        <w:autoSpaceDN w:val="0"/>
        <w:adjustRightInd w:val="0"/>
        <w:ind w:hanging="567"/>
        <w:textAlignment w:val="baseline"/>
        <w:rPr>
          <w:sz w:val="20"/>
          <w:szCs w:val="20"/>
        </w:rPr>
      </w:pPr>
      <w:hyperlink w:history="1" r:id="rId34">
        <w:r w:rsidR="00136442">
          <w:rPr>
            <w:color w:val="0000FF"/>
            <w:u w:val="single"/>
          </w:rPr>
          <w:t>Europas Plan gegen den Krebs und die Sicherheit der Versorgung mit medizinischen Radioisotopen</w:t>
        </w:r>
      </w:hyperlink>
    </w:p>
    <w:p w:rsidRPr="00EC48BE" w:rsidR="00EC48BE" w:rsidP="000178D3" w:rsidRDefault="00EC48BE" w14:paraId="6ABD95D5" w14:textId="77777777">
      <w:pPr>
        <w:tabs>
          <w:tab w:val="center" w:pos="284"/>
        </w:tabs>
        <w:overflowPunct w:val="0"/>
        <w:autoSpaceDE w:val="0"/>
        <w:autoSpaceDN w:val="0"/>
        <w:adjustRightInd w:val="0"/>
        <w:ind w:left="266" w:hanging="266"/>
        <w:textAlignment w:val="baseline"/>
        <w:rPr>
          <w:b/>
        </w:rPr>
      </w:pPr>
    </w:p>
    <w:tbl>
      <w:tblPr>
        <w:tblStyle w:val="TableGrid219"/>
        <w:tblW w:w="4287"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21"/>
        <w:gridCol w:w="5620"/>
      </w:tblGrid>
      <w:tr w:rsidRPr="000178D3" w:rsidR="00EC48BE" w:rsidTr="000178D3" w14:paraId="5D69D1D6" w14:textId="77777777">
        <w:tc>
          <w:tcPr>
            <w:tcW w:w="1416" w:type="pct"/>
          </w:tcPr>
          <w:p w:rsidRPr="000178D3" w:rsidR="00EC48BE" w:rsidP="000178D3" w:rsidRDefault="00EC48BE" w14:paraId="0629F8BB" w14:textId="77777777">
            <w:pPr>
              <w:tabs>
                <w:tab w:val="center" w:pos="284"/>
              </w:tabs>
              <w:overflowPunct w:val="0"/>
              <w:autoSpaceDE w:val="0"/>
              <w:autoSpaceDN w:val="0"/>
              <w:adjustRightInd w:val="0"/>
              <w:ind w:left="266" w:right="318" w:hanging="266"/>
              <w:textAlignment w:val="baseline"/>
              <w:rPr>
                <w:b/>
                <w:sz w:val="22"/>
                <w:szCs w:val="22"/>
              </w:rPr>
            </w:pPr>
            <w:r w:rsidRPr="000178D3">
              <w:rPr>
                <w:b/>
                <w:sz w:val="22"/>
                <w:szCs w:val="22"/>
              </w:rPr>
              <w:t>Berichterstatterin</w:t>
            </w:r>
          </w:p>
        </w:tc>
        <w:tc>
          <w:tcPr>
            <w:tcW w:w="3584" w:type="pct"/>
          </w:tcPr>
          <w:p w:rsidRPr="000178D3" w:rsidR="00EC48BE" w:rsidP="000178D3" w:rsidRDefault="00EC48BE" w14:paraId="1337C413" w14:textId="6D802AE6">
            <w:pPr>
              <w:tabs>
                <w:tab w:val="center" w:pos="284"/>
              </w:tabs>
              <w:overflowPunct w:val="0"/>
              <w:autoSpaceDE w:val="0"/>
              <w:autoSpaceDN w:val="0"/>
              <w:adjustRightInd w:val="0"/>
              <w:ind w:left="266" w:hanging="266"/>
              <w:textAlignment w:val="baseline"/>
              <w:rPr>
                <w:sz w:val="22"/>
                <w:szCs w:val="22"/>
              </w:rPr>
            </w:pPr>
            <w:r w:rsidRPr="000178D3">
              <w:rPr>
                <w:sz w:val="22"/>
                <w:szCs w:val="22"/>
              </w:rPr>
              <w:t>Alena MASTANTUONO (Gruppe Arbeitgeber – CZ)</w:t>
            </w:r>
          </w:p>
        </w:tc>
      </w:tr>
      <w:tr w:rsidRPr="000178D3" w:rsidR="00EC48BE" w:rsidTr="000178D3" w14:paraId="63F1C4BD" w14:textId="77777777">
        <w:tc>
          <w:tcPr>
            <w:tcW w:w="1416" w:type="pct"/>
          </w:tcPr>
          <w:p w:rsidRPr="000178D3" w:rsidR="00EC48BE" w:rsidP="000178D3" w:rsidRDefault="00EC48BE" w14:paraId="3FA3DCC7" w14:textId="77777777">
            <w:pPr>
              <w:tabs>
                <w:tab w:val="center" w:pos="284"/>
              </w:tabs>
              <w:overflowPunct w:val="0"/>
              <w:autoSpaceDE w:val="0"/>
              <w:autoSpaceDN w:val="0"/>
              <w:adjustRightInd w:val="0"/>
              <w:ind w:left="266" w:hanging="266"/>
              <w:textAlignment w:val="baseline"/>
              <w:rPr>
                <w:b/>
                <w:sz w:val="22"/>
                <w:szCs w:val="22"/>
              </w:rPr>
            </w:pPr>
            <w:r w:rsidRPr="000178D3">
              <w:rPr>
                <w:b/>
                <w:sz w:val="22"/>
                <w:szCs w:val="22"/>
              </w:rPr>
              <w:t>Ko-Berichterstatter</w:t>
            </w:r>
          </w:p>
        </w:tc>
        <w:tc>
          <w:tcPr>
            <w:tcW w:w="3584" w:type="pct"/>
          </w:tcPr>
          <w:p w:rsidRPr="000178D3" w:rsidR="00EC48BE" w:rsidP="000178D3" w:rsidRDefault="00EC48BE" w14:paraId="0C599690" w14:textId="764AA96C">
            <w:pPr>
              <w:tabs>
                <w:tab w:val="center" w:pos="284"/>
              </w:tabs>
              <w:overflowPunct w:val="0"/>
              <w:autoSpaceDE w:val="0"/>
              <w:autoSpaceDN w:val="0"/>
              <w:adjustRightInd w:val="0"/>
              <w:ind w:left="266" w:hanging="266"/>
              <w:textAlignment w:val="baseline"/>
              <w:rPr>
                <w:sz w:val="22"/>
                <w:szCs w:val="22"/>
              </w:rPr>
            </w:pPr>
            <w:r w:rsidRPr="000178D3">
              <w:rPr>
                <w:sz w:val="22"/>
                <w:szCs w:val="22"/>
              </w:rPr>
              <w:t>Philippe CHARRY (Gruppe Arbeitnehmer – FR)</w:t>
            </w:r>
          </w:p>
        </w:tc>
      </w:tr>
      <w:tr w:rsidRPr="000178D3" w:rsidR="00EC48BE" w:rsidTr="00DC0FAE" w14:paraId="498B3001" w14:textId="77777777">
        <w:tc>
          <w:tcPr>
            <w:tcW w:w="5000" w:type="pct"/>
            <w:gridSpan w:val="2"/>
          </w:tcPr>
          <w:p w:rsidRPr="000178D3" w:rsidR="00EC48BE" w:rsidP="000178D3" w:rsidRDefault="00EC48BE" w14:paraId="4D1569DD" w14:textId="77777777">
            <w:pPr>
              <w:tabs>
                <w:tab w:val="center" w:pos="284"/>
              </w:tabs>
              <w:overflowPunct w:val="0"/>
              <w:autoSpaceDE w:val="0"/>
              <w:autoSpaceDN w:val="0"/>
              <w:adjustRightInd w:val="0"/>
              <w:ind w:left="266" w:hanging="266"/>
              <w:textAlignment w:val="baseline"/>
              <w:rPr>
                <w:sz w:val="10"/>
                <w:szCs w:val="10"/>
              </w:rPr>
            </w:pPr>
          </w:p>
        </w:tc>
      </w:tr>
      <w:tr w:rsidRPr="000178D3" w:rsidR="00EC48BE" w:rsidTr="000178D3" w14:paraId="3524C066" w14:textId="77777777">
        <w:tc>
          <w:tcPr>
            <w:tcW w:w="1416" w:type="pct"/>
          </w:tcPr>
          <w:p w:rsidRPr="000178D3" w:rsidR="00EC48BE" w:rsidP="000178D3" w:rsidRDefault="00EC48BE" w14:paraId="7BBD85B4" w14:textId="77777777">
            <w:pPr>
              <w:tabs>
                <w:tab w:val="center" w:pos="284"/>
              </w:tabs>
              <w:overflowPunct w:val="0"/>
              <w:autoSpaceDE w:val="0"/>
              <w:autoSpaceDN w:val="0"/>
              <w:adjustRightInd w:val="0"/>
              <w:ind w:left="266" w:hanging="266"/>
              <w:textAlignment w:val="baseline"/>
              <w:rPr>
                <w:b/>
                <w:sz w:val="22"/>
                <w:szCs w:val="22"/>
              </w:rPr>
            </w:pPr>
            <w:r w:rsidRPr="000178D3">
              <w:rPr>
                <w:b/>
                <w:sz w:val="22"/>
                <w:szCs w:val="22"/>
              </w:rPr>
              <w:t>Referenzdokumente</w:t>
            </w:r>
          </w:p>
        </w:tc>
        <w:tc>
          <w:tcPr>
            <w:tcW w:w="3584" w:type="pct"/>
          </w:tcPr>
          <w:p w:rsidRPr="000178D3" w:rsidR="00802E2B" w:rsidP="000178D3" w:rsidRDefault="00802E2B" w14:paraId="3EA8129C" w14:textId="253FD17D">
            <w:pPr>
              <w:tabs>
                <w:tab w:val="center" w:pos="284"/>
              </w:tabs>
              <w:overflowPunct w:val="0"/>
              <w:autoSpaceDE w:val="0"/>
              <w:autoSpaceDN w:val="0"/>
              <w:adjustRightInd w:val="0"/>
              <w:ind w:left="266" w:hanging="266"/>
              <w:textAlignment w:val="baseline"/>
              <w:rPr>
                <w:sz w:val="22"/>
                <w:szCs w:val="22"/>
              </w:rPr>
            </w:pPr>
            <w:r w:rsidRPr="000178D3">
              <w:rPr>
                <w:sz w:val="22"/>
                <w:szCs w:val="22"/>
              </w:rPr>
              <w:t>Initiativstellungnahme</w:t>
            </w:r>
          </w:p>
          <w:p w:rsidRPr="000178D3" w:rsidR="00EC48BE" w:rsidP="000178D3" w:rsidRDefault="00EC48BE" w14:paraId="30BF4772" w14:textId="5A3BAEA7">
            <w:pPr>
              <w:tabs>
                <w:tab w:val="center" w:pos="284"/>
              </w:tabs>
              <w:overflowPunct w:val="0"/>
              <w:autoSpaceDE w:val="0"/>
              <w:autoSpaceDN w:val="0"/>
              <w:adjustRightInd w:val="0"/>
              <w:ind w:left="266" w:hanging="266"/>
              <w:textAlignment w:val="baseline"/>
              <w:rPr>
                <w:sz w:val="22"/>
                <w:szCs w:val="22"/>
              </w:rPr>
            </w:pPr>
            <w:r w:rsidRPr="000178D3">
              <w:rPr>
                <w:sz w:val="22"/>
                <w:szCs w:val="22"/>
              </w:rPr>
              <w:t>EESC-2024-00265-00-00-AC</w:t>
            </w:r>
          </w:p>
        </w:tc>
      </w:tr>
    </w:tbl>
    <w:p w:rsidRPr="00EC48BE" w:rsidR="00EC48BE" w:rsidP="000178D3" w:rsidRDefault="00EC48BE" w14:paraId="6A658105" w14:textId="77777777">
      <w:pPr>
        <w:tabs>
          <w:tab w:val="center" w:pos="284"/>
        </w:tabs>
        <w:overflowPunct w:val="0"/>
        <w:autoSpaceDE w:val="0"/>
        <w:autoSpaceDN w:val="0"/>
        <w:adjustRightInd w:val="0"/>
        <w:ind w:left="266" w:hanging="266"/>
        <w:textAlignment w:val="baseline"/>
      </w:pPr>
    </w:p>
    <w:p w:rsidRPr="00EC48BE" w:rsidR="00EC48BE" w:rsidP="000178D3" w:rsidRDefault="00EC48BE" w14:paraId="53138D82" w14:textId="77777777">
      <w:pPr>
        <w:keepNext/>
        <w:keepLines/>
        <w:tabs>
          <w:tab w:val="center" w:pos="284"/>
        </w:tabs>
        <w:overflowPunct w:val="0"/>
        <w:autoSpaceDE w:val="0"/>
        <w:autoSpaceDN w:val="0"/>
        <w:adjustRightInd w:val="0"/>
        <w:ind w:left="266" w:hanging="266"/>
        <w:textAlignment w:val="baseline"/>
        <w:rPr>
          <w:b/>
        </w:rPr>
      </w:pPr>
      <w:r>
        <w:rPr>
          <w:b/>
        </w:rPr>
        <w:t>Kernaussagen</w:t>
      </w:r>
    </w:p>
    <w:p w:rsidRPr="00EC48BE" w:rsidR="00EC48BE" w:rsidP="000178D3" w:rsidRDefault="00EC48BE" w14:paraId="30289543" w14:textId="77777777">
      <w:pPr>
        <w:keepNext/>
        <w:keepLines/>
        <w:tabs>
          <w:tab w:val="center" w:pos="284"/>
        </w:tabs>
        <w:overflowPunct w:val="0"/>
        <w:autoSpaceDE w:val="0"/>
        <w:autoSpaceDN w:val="0"/>
        <w:adjustRightInd w:val="0"/>
        <w:ind w:left="266" w:hanging="266"/>
        <w:textAlignment w:val="baseline"/>
        <w:rPr>
          <w:b/>
        </w:rPr>
      </w:pPr>
    </w:p>
    <w:p w:rsidRPr="00EC48BE" w:rsidR="00EC48BE" w:rsidP="000178D3" w:rsidRDefault="00EC48BE" w14:paraId="1FF2E76F" w14:textId="77777777">
      <w:pPr>
        <w:overflowPunct w:val="0"/>
        <w:autoSpaceDE w:val="0"/>
        <w:autoSpaceDN w:val="0"/>
        <w:adjustRightInd w:val="0"/>
        <w:textAlignment w:val="baseline"/>
        <w:rPr>
          <w:bCs/>
          <w:iCs/>
        </w:rPr>
      </w:pPr>
      <w:r>
        <w:t>Der EWSA:</w:t>
      </w:r>
    </w:p>
    <w:p w:rsidRPr="00EC48BE" w:rsidR="00EC48BE" w:rsidP="000178D3" w:rsidRDefault="00EC48BE" w14:paraId="44A55ABA" w14:textId="77777777">
      <w:pPr>
        <w:overflowPunct w:val="0"/>
        <w:autoSpaceDE w:val="0"/>
        <w:autoSpaceDN w:val="0"/>
        <w:adjustRightInd w:val="0"/>
        <w:textAlignment w:val="baseline"/>
        <w:rPr>
          <w:bCs/>
          <w:iCs/>
        </w:rPr>
      </w:pPr>
    </w:p>
    <w:p w:rsidRPr="00EC48BE" w:rsidR="00EC48BE" w:rsidP="000178D3" w:rsidRDefault="00EC48BE" w14:paraId="16965D67" w14:textId="77777777">
      <w:pPr>
        <w:widowControl w:val="0"/>
        <w:numPr>
          <w:ilvl w:val="0"/>
          <w:numId w:val="23"/>
        </w:numPr>
        <w:overflowPunct w:val="0"/>
        <w:autoSpaceDE w:val="0"/>
        <w:autoSpaceDN w:val="0"/>
        <w:adjustRightInd w:val="0"/>
        <w:ind w:left="284" w:hanging="284"/>
        <w:textAlignment w:val="baseline"/>
        <w:rPr>
          <w:bCs/>
          <w:iCs/>
        </w:rPr>
      </w:pPr>
      <w:r>
        <w:t>unterstreicht, dass die Nuklearmedizin Millionen Menschenleben rettet und große Hoffnungen für die Krebsbekämpfung auf ihr ruhen; verweist auf die Notwendigkeit, den Bedürfnissen der Patienten in Europa gerecht zu werden und sicherzustellen, dass alle gleichberechtigten Zugang zu Krebsbehandlungen haben;</w:t>
      </w:r>
    </w:p>
    <w:p w:rsidRPr="00EC48BE" w:rsidR="00EC48BE" w:rsidP="000178D3" w:rsidRDefault="00EC48BE" w14:paraId="2189E501" w14:textId="77777777">
      <w:pPr>
        <w:widowControl w:val="0"/>
        <w:numPr>
          <w:ilvl w:val="0"/>
          <w:numId w:val="23"/>
        </w:numPr>
        <w:overflowPunct w:val="0"/>
        <w:autoSpaceDE w:val="0"/>
        <w:autoSpaceDN w:val="0"/>
        <w:adjustRightInd w:val="0"/>
        <w:ind w:left="284" w:hanging="284"/>
        <w:textAlignment w:val="baseline"/>
        <w:rPr>
          <w:bCs/>
          <w:iCs/>
        </w:rPr>
      </w:pPr>
      <w:r>
        <w:t>hebt hervor, dass in Europa jährlich 10 Millionen Behandlungen mit Radiopharmazeutika zu Diagnose- und Therapiezwecken durchgeführt werden, und fordert, gezielten Therapien mit Radionukliden, die präzise und häufig weniger schädlich sind als andere Formen der Behandlung, Vorrang einzuräumen;</w:t>
      </w:r>
    </w:p>
    <w:p w:rsidRPr="00EC48BE" w:rsidR="00EC48BE" w:rsidP="000178D3" w:rsidRDefault="00EC48BE" w14:paraId="42230DC3" w14:textId="77777777">
      <w:pPr>
        <w:widowControl w:val="0"/>
        <w:numPr>
          <w:ilvl w:val="0"/>
          <w:numId w:val="23"/>
        </w:numPr>
        <w:overflowPunct w:val="0"/>
        <w:autoSpaceDE w:val="0"/>
        <w:autoSpaceDN w:val="0"/>
        <w:adjustRightInd w:val="0"/>
        <w:ind w:left="284" w:hanging="284"/>
        <w:textAlignment w:val="baseline"/>
        <w:rPr>
          <w:bCs/>
          <w:iCs/>
        </w:rPr>
      </w:pPr>
      <w:r>
        <w:t>plädiert für Produktionsanreize, die eine bessere strategische Autonomie bei der Versorgung mit Radioisotopen gewährleisten. Die EU ist bei der Versorgung mit medizinischen Radioisotopen führend. Gleichzeitig ist sie bei bestimmten wichtigen Ausgangsstoffen und Verarbeitungsprozessen in entscheidendem Maße von Drittländern abhängig; fordert die Allianz für kritische Arzneimittel deshalb auf, die Versorgung mit Radioisotopen in der EU sorgfältig zu überwachen und die Stärkung der industriellen Wettbewerbsfähigkeit in diesem Bereich zu unterstützen;</w:t>
      </w:r>
    </w:p>
    <w:p w:rsidRPr="00EC48BE" w:rsidR="00EC48BE" w:rsidP="000178D3" w:rsidRDefault="00EC48BE" w14:paraId="55D3C6BC" w14:textId="77777777">
      <w:pPr>
        <w:widowControl w:val="0"/>
        <w:numPr>
          <w:ilvl w:val="0"/>
          <w:numId w:val="23"/>
        </w:numPr>
        <w:overflowPunct w:val="0"/>
        <w:autoSpaceDE w:val="0"/>
        <w:autoSpaceDN w:val="0"/>
        <w:adjustRightInd w:val="0"/>
        <w:ind w:left="284" w:hanging="284"/>
        <w:textAlignment w:val="baseline"/>
        <w:rPr>
          <w:bCs/>
          <w:iCs/>
        </w:rPr>
      </w:pPr>
      <w:r>
        <w:t>fordert die Einhaltung der Sicherheitsmaßnahmen für das Personal entlang der gesamten Lieferkette und plädiert für dringende Investitionen in die Planung, die allgemeine und berufliche Bildung aller, die in diesem Bereich gebraucht werden, sowie in die Mobilität des Personals.</w:t>
      </w:r>
    </w:p>
    <w:p w:rsidRPr="00EC48BE" w:rsidR="00EC48BE" w:rsidP="000178D3" w:rsidRDefault="00EC48BE" w14:paraId="387BEC6B" w14:textId="77777777">
      <w:pPr>
        <w:widowControl w:val="0"/>
        <w:overflowPunct w:val="0"/>
        <w:autoSpaceDE w:val="0"/>
        <w:autoSpaceDN w:val="0"/>
        <w:adjustRightInd w:val="0"/>
        <w:ind w:left="709"/>
        <w:textAlignment w:val="baseline"/>
      </w:pPr>
    </w:p>
    <w:tbl>
      <w:tblPr>
        <w:tblStyle w:val="TableGrid219"/>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384"/>
        <w:gridCol w:w="5047"/>
      </w:tblGrid>
      <w:tr w:rsidRPr="00EC48BE" w:rsidR="00EC48BE" w:rsidTr="002802BB" w14:paraId="4FEA0D44" w14:textId="77777777">
        <w:tc>
          <w:tcPr>
            <w:tcW w:w="1076" w:type="pct"/>
          </w:tcPr>
          <w:p w:rsidRPr="00EC48BE" w:rsidR="00EC48BE" w:rsidP="000178D3" w:rsidRDefault="00EC48BE" w14:paraId="292D789E" w14:textId="77777777">
            <w:pPr>
              <w:overflowPunct w:val="0"/>
              <w:autoSpaceDE w:val="0"/>
              <w:autoSpaceDN w:val="0"/>
              <w:adjustRightInd w:val="0"/>
              <w:textAlignment w:val="baseline"/>
              <w:rPr>
                <w:i/>
              </w:rPr>
            </w:pPr>
            <w:r>
              <w:rPr>
                <w:b/>
                <w:i/>
              </w:rPr>
              <w:t>Kontakt</w:t>
            </w:r>
          </w:p>
        </w:tc>
        <w:tc>
          <w:tcPr>
            <w:tcW w:w="3924" w:type="pct"/>
          </w:tcPr>
          <w:p w:rsidRPr="00EC48BE" w:rsidR="00EC48BE" w:rsidP="000178D3" w:rsidRDefault="00EC48BE" w14:paraId="50791366" w14:textId="2071A688">
            <w:pPr>
              <w:overflowPunct w:val="0"/>
              <w:autoSpaceDE w:val="0"/>
              <w:autoSpaceDN w:val="0"/>
              <w:adjustRightInd w:val="0"/>
              <w:textAlignment w:val="baseline"/>
              <w:rPr>
                <w:i/>
              </w:rPr>
            </w:pPr>
            <w:r>
              <w:rPr>
                <w:i/>
              </w:rPr>
              <w:t xml:space="preserve">Maja </w:t>
            </w:r>
            <w:proofErr w:type="spellStart"/>
            <w:r>
              <w:rPr>
                <w:i/>
              </w:rPr>
              <w:t>Radman</w:t>
            </w:r>
            <w:proofErr w:type="spellEnd"/>
          </w:p>
        </w:tc>
      </w:tr>
      <w:tr w:rsidRPr="00EC48BE" w:rsidR="00EC48BE" w:rsidTr="002802BB" w14:paraId="35A36E33" w14:textId="77777777">
        <w:tc>
          <w:tcPr>
            <w:tcW w:w="1076" w:type="pct"/>
          </w:tcPr>
          <w:p w:rsidRPr="00EC48BE" w:rsidR="00EC48BE" w:rsidP="000178D3" w:rsidRDefault="00EC48BE" w14:paraId="610BC20B" w14:textId="77777777">
            <w:pPr>
              <w:overflowPunct w:val="0"/>
              <w:autoSpaceDE w:val="0"/>
              <w:autoSpaceDN w:val="0"/>
              <w:adjustRightInd w:val="0"/>
              <w:textAlignment w:val="baseline"/>
              <w:rPr>
                <w:i/>
              </w:rPr>
            </w:pPr>
            <w:r>
              <w:rPr>
                <w:i/>
              </w:rPr>
              <w:t>Tel.</w:t>
            </w:r>
          </w:p>
        </w:tc>
        <w:tc>
          <w:tcPr>
            <w:tcW w:w="3924" w:type="pct"/>
          </w:tcPr>
          <w:p w:rsidRPr="00EC48BE" w:rsidR="00EC48BE" w:rsidP="000178D3" w:rsidRDefault="00EC48BE" w14:paraId="1B1FFFC2" w14:textId="77777777">
            <w:pPr>
              <w:overflowPunct w:val="0"/>
              <w:autoSpaceDE w:val="0"/>
              <w:autoSpaceDN w:val="0"/>
              <w:adjustRightInd w:val="0"/>
              <w:textAlignment w:val="baseline"/>
              <w:rPr>
                <w:i/>
              </w:rPr>
            </w:pPr>
            <w:r>
              <w:rPr>
                <w:i/>
              </w:rPr>
              <w:t>+32 25469051</w:t>
            </w:r>
          </w:p>
        </w:tc>
      </w:tr>
      <w:tr w:rsidRPr="00EC48BE" w:rsidR="00EC48BE" w:rsidTr="002802BB" w14:paraId="6456D68F" w14:textId="77777777">
        <w:tc>
          <w:tcPr>
            <w:tcW w:w="1076" w:type="pct"/>
          </w:tcPr>
          <w:p w:rsidRPr="00EC48BE" w:rsidR="00EC48BE" w:rsidP="000178D3" w:rsidRDefault="00EC48BE" w14:paraId="59C76142" w14:textId="77777777">
            <w:pPr>
              <w:overflowPunct w:val="0"/>
              <w:autoSpaceDE w:val="0"/>
              <w:autoSpaceDN w:val="0"/>
              <w:adjustRightInd w:val="0"/>
              <w:textAlignment w:val="baseline"/>
              <w:rPr>
                <w:i/>
              </w:rPr>
            </w:pPr>
            <w:r>
              <w:rPr>
                <w:i/>
              </w:rPr>
              <w:t>E-Mail</w:t>
            </w:r>
          </w:p>
        </w:tc>
        <w:tc>
          <w:tcPr>
            <w:tcW w:w="3924" w:type="pct"/>
          </w:tcPr>
          <w:p w:rsidRPr="00EC48BE" w:rsidR="00EC48BE" w:rsidP="000178D3" w:rsidRDefault="00D35CF0" w14:paraId="50EB0CCC" w14:textId="77777777">
            <w:pPr>
              <w:overflowPunct w:val="0"/>
              <w:autoSpaceDE w:val="0"/>
              <w:autoSpaceDN w:val="0"/>
              <w:adjustRightInd w:val="0"/>
              <w:textAlignment w:val="baseline"/>
              <w:rPr>
                <w:i/>
              </w:rPr>
            </w:pPr>
            <w:hyperlink w:history="1" r:id="rId35">
              <w:r w:rsidR="00136442">
                <w:rPr>
                  <w:i/>
                  <w:color w:val="0000FF"/>
                  <w:u w:val="single"/>
                </w:rPr>
                <w:t>Maja.Radman@eesc.europa.eu</w:t>
              </w:r>
            </w:hyperlink>
            <w:r w:rsidR="00136442">
              <w:rPr>
                <w:i/>
              </w:rPr>
              <w:t xml:space="preserve"> </w:t>
            </w:r>
          </w:p>
        </w:tc>
      </w:tr>
    </w:tbl>
    <w:p w:rsidR="00516A59" w:rsidP="000178D3" w:rsidRDefault="00516A59" w14:paraId="7DD6A790" w14:textId="77777777">
      <w:pPr>
        <w:jc w:val="left"/>
      </w:pPr>
    </w:p>
    <w:p w:rsidR="00516A59" w:rsidP="000178D3" w:rsidRDefault="00516A59" w14:paraId="77C764C5" w14:textId="77777777">
      <w:pPr>
        <w:jc w:val="left"/>
      </w:pPr>
      <w:r>
        <w:br w:type="page"/>
      </w:r>
    </w:p>
    <w:p w:rsidRPr="000B1C30" w:rsidR="00E110D0" w:rsidP="000178D3" w:rsidRDefault="00895853" w14:paraId="268D0B18" w14:textId="09AC0A5F">
      <w:pPr>
        <w:pStyle w:val="Heading1"/>
        <w:tabs>
          <w:tab w:val="clear" w:pos="440"/>
          <w:tab w:val="left" w:pos="567"/>
        </w:tabs>
        <w:spacing w:before="0"/>
        <w:ind w:left="567" w:hanging="567"/>
        <w:rPr>
          <w:b/>
          <w:bCs/>
        </w:rPr>
      </w:pPr>
      <w:bookmarkStart w:name="_Toc166847140" w:id="6"/>
      <w:bookmarkStart w:name="_Toc169517901" w:id="7"/>
      <w:bookmarkEnd w:id="6"/>
      <w:r>
        <w:rPr>
          <w:b/>
        </w:rPr>
        <w:lastRenderedPageBreak/>
        <w:t>BERATENDE KOMMISSION FÜR DEN INDUSTRIELLEN WANDEL</w:t>
      </w:r>
      <w:bookmarkEnd w:id="7"/>
    </w:p>
    <w:p w:rsidR="004351D4" w:rsidP="000178D3" w:rsidRDefault="004351D4" w14:paraId="0AE04AB9" w14:textId="7E9F637B">
      <w:pPr>
        <w:overflowPunct w:val="0"/>
        <w:autoSpaceDE w:val="0"/>
        <w:autoSpaceDN w:val="0"/>
        <w:adjustRightInd w:val="0"/>
        <w:jc w:val="left"/>
        <w:textAlignment w:val="baseline"/>
        <w:rPr>
          <w:lang w:val="nl-BE"/>
        </w:rPr>
      </w:pPr>
    </w:p>
    <w:p w:rsidRPr="00B612CA" w:rsidR="00B612CA" w:rsidP="000178D3" w:rsidRDefault="00D35CF0" w14:paraId="3FFD2060" w14:textId="4C32F184">
      <w:pPr>
        <w:widowControl w:val="0"/>
        <w:numPr>
          <w:ilvl w:val="0"/>
          <w:numId w:val="4"/>
        </w:numPr>
        <w:tabs>
          <w:tab w:val="center" w:pos="567"/>
        </w:tabs>
        <w:overflowPunct w:val="0"/>
        <w:autoSpaceDE w:val="0"/>
        <w:autoSpaceDN w:val="0"/>
        <w:adjustRightInd w:val="0"/>
        <w:ind w:left="567" w:hanging="567"/>
        <w:contextualSpacing/>
        <w:jc w:val="left"/>
        <w:textAlignment w:val="baseline"/>
        <w:rPr>
          <w:rFonts w:eastAsiaTheme="minorHAnsi"/>
          <w:b/>
          <w:i/>
          <w:iCs/>
          <w:sz w:val="28"/>
          <w:szCs w:val="28"/>
        </w:rPr>
      </w:pPr>
      <w:hyperlink w:history="1" r:id="rId36">
        <w:r w:rsidR="00136442">
          <w:rPr>
            <w:b/>
            <w:i/>
            <w:color w:val="0000FF"/>
            <w:sz w:val="28"/>
            <w:u w:val="single"/>
          </w:rPr>
          <w:t>Programm für die europäische Verteidigungsindustrie</w:t>
        </w:r>
      </w:hyperlink>
    </w:p>
    <w:p w:rsidRPr="00B612CA" w:rsidR="00B612CA" w:rsidP="000178D3" w:rsidRDefault="00B612CA" w14:paraId="6CCFE10F" w14:textId="59BC7F1E">
      <w:pPr>
        <w:widowControl w:val="0"/>
        <w:tabs>
          <w:tab w:val="center" w:pos="284"/>
        </w:tabs>
        <w:overflowPunct w:val="0"/>
        <w:autoSpaceDE w:val="0"/>
        <w:autoSpaceDN w:val="0"/>
        <w:adjustRightInd w:val="0"/>
        <w:textAlignment w:val="baseline"/>
        <w:rPr>
          <w:rFonts w:eastAsiaTheme="minorHAnsi"/>
          <w:b/>
          <w:lang w:val="en-US"/>
        </w:rPr>
      </w:pPr>
    </w:p>
    <w:tbl>
      <w:tblPr>
        <w:tblStyle w:val="TableGrid220"/>
        <w:tblW w:w="434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10"/>
        <w:gridCol w:w="5844"/>
      </w:tblGrid>
      <w:tr w:rsidRPr="000178D3" w:rsidR="00B612CA" w:rsidTr="00FE3058" w14:paraId="18CAAF03" w14:textId="77777777">
        <w:tc>
          <w:tcPr>
            <w:tcW w:w="1258" w:type="pct"/>
          </w:tcPr>
          <w:p w:rsidRPr="000178D3" w:rsidR="00B612CA" w:rsidP="000178D3" w:rsidRDefault="00B612CA" w14:paraId="7DF9E2A6" w14:textId="77777777">
            <w:pPr>
              <w:tabs>
                <w:tab w:val="center" w:pos="284"/>
              </w:tabs>
              <w:ind w:left="266" w:hanging="266"/>
              <w:jc w:val="left"/>
              <w:rPr>
                <w:rFonts w:eastAsiaTheme="minorHAnsi"/>
                <w:b/>
                <w:sz w:val="22"/>
                <w:szCs w:val="22"/>
              </w:rPr>
            </w:pPr>
            <w:r w:rsidRPr="000178D3">
              <w:rPr>
                <w:b/>
                <w:sz w:val="22"/>
                <w:szCs w:val="22"/>
              </w:rPr>
              <w:t>Berichterstatter</w:t>
            </w:r>
          </w:p>
        </w:tc>
        <w:tc>
          <w:tcPr>
            <w:tcW w:w="3742" w:type="pct"/>
          </w:tcPr>
          <w:p w:rsidRPr="000178D3" w:rsidR="00B612CA" w:rsidP="000178D3" w:rsidRDefault="00B612CA" w14:paraId="7678F137" w14:textId="77777777">
            <w:pPr>
              <w:tabs>
                <w:tab w:val="center" w:pos="33"/>
              </w:tabs>
              <w:ind w:left="33" w:hanging="33"/>
              <w:jc w:val="left"/>
              <w:rPr>
                <w:rFonts w:eastAsiaTheme="minorHAnsi"/>
                <w:sz w:val="22"/>
                <w:szCs w:val="22"/>
              </w:rPr>
            </w:pPr>
            <w:r w:rsidRPr="000178D3">
              <w:rPr>
                <w:sz w:val="22"/>
                <w:szCs w:val="22"/>
              </w:rPr>
              <w:t>Tomasz Andrzej WRÓBLEWSKI (Gruppe Arbeitgeber – PL)</w:t>
            </w:r>
          </w:p>
        </w:tc>
      </w:tr>
      <w:tr w:rsidRPr="000178D3" w:rsidR="00B612CA" w:rsidTr="00FE3058" w14:paraId="02CD892C" w14:textId="77777777">
        <w:tc>
          <w:tcPr>
            <w:tcW w:w="1258" w:type="pct"/>
          </w:tcPr>
          <w:p w:rsidRPr="000178D3" w:rsidR="00B612CA" w:rsidP="000178D3" w:rsidRDefault="00B612CA" w14:paraId="32A8CC73" w14:textId="77777777">
            <w:pPr>
              <w:tabs>
                <w:tab w:val="center" w:pos="284"/>
              </w:tabs>
              <w:ind w:left="266" w:hanging="266"/>
              <w:jc w:val="left"/>
              <w:rPr>
                <w:rFonts w:eastAsiaTheme="minorHAnsi"/>
                <w:b/>
                <w:sz w:val="22"/>
                <w:szCs w:val="22"/>
              </w:rPr>
            </w:pPr>
            <w:r w:rsidRPr="000178D3">
              <w:rPr>
                <w:b/>
                <w:sz w:val="22"/>
                <w:szCs w:val="22"/>
              </w:rPr>
              <w:t>Ko-Berichterstatter</w:t>
            </w:r>
          </w:p>
        </w:tc>
        <w:tc>
          <w:tcPr>
            <w:tcW w:w="3742" w:type="pct"/>
          </w:tcPr>
          <w:p w:rsidRPr="000178D3" w:rsidR="00B612CA" w:rsidP="000178D3" w:rsidRDefault="00B612CA" w14:paraId="10B820C3" w14:textId="4AB00E12">
            <w:pPr>
              <w:tabs>
                <w:tab w:val="center" w:pos="284"/>
              </w:tabs>
              <w:ind w:left="266" w:hanging="266"/>
              <w:jc w:val="left"/>
              <w:rPr>
                <w:rFonts w:eastAsiaTheme="minorHAnsi"/>
                <w:sz w:val="22"/>
                <w:szCs w:val="22"/>
              </w:rPr>
            </w:pPr>
            <w:r w:rsidRPr="000178D3">
              <w:rPr>
                <w:sz w:val="22"/>
                <w:szCs w:val="22"/>
              </w:rPr>
              <w:t>Franck UHLIG (Kat. 2 – FR)</w:t>
            </w:r>
          </w:p>
        </w:tc>
      </w:tr>
      <w:tr w:rsidRPr="000178D3" w:rsidR="00B612CA" w:rsidTr="00FE3058" w14:paraId="77B12610" w14:textId="77777777">
        <w:tc>
          <w:tcPr>
            <w:tcW w:w="5000" w:type="pct"/>
            <w:gridSpan w:val="2"/>
          </w:tcPr>
          <w:p w:rsidRPr="000178D3" w:rsidR="00B612CA" w:rsidP="000178D3" w:rsidRDefault="00B612CA" w14:paraId="22141688" w14:textId="77777777">
            <w:pPr>
              <w:tabs>
                <w:tab w:val="center" w:pos="284"/>
              </w:tabs>
              <w:ind w:left="266" w:hanging="266"/>
              <w:jc w:val="left"/>
              <w:rPr>
                <w:rFonts w:eastAsiaTheme="minorHAnsi"/>
                <w:sz w:val="10"/>
                <w:szCs w:val="10"/>
              </w:rPr>
            </w:pPr>
          </w:p>
        </w:tc>
      </w:tr>
      <w:tr w:rsidRPr="000178D3" w:rsidR="00B612CA" w:rsidTr="00FE3058" w14:paraId="366D3A3A" w14:textId="77777777">
        <w:tc>
          <w:tcPr>
            <w:tcW w:w="1258" w:type="pct"/>
            <w:vMerge w:val="restart"/>
          </w:tcPr>
          <w:p w:rsidRPr="000178D3" w:rsidR="00B612CA" w:rsidP="000178D3" w:rsidRDefault="00B612CA" w14:paraId="620E2FAB" w14:textId="77777777">
            <w:pPr>
              <w:tabs>
                <w:tab w:val="center" w:pos="284"/>
              </w:tabs>
              <w:ind w:left="266" w:hanging="266"/>
              <w:jc w:val="left"/>
              <w:rPr>
                <w:rFonts w:eastAsiaTheme="minorHAnsi"/>
                <w:b/>
                <w:sz w:val="22"/>
                <w:szCs w:val="22"/>
              </w:rPr>
            </w:pPr>
            <w:r w:rsidRPr="000178D3">
              <w:rPr>
                <w:b/>
                <w:sz w:val="22"/>
                <w:szCs w:val="22"/>
              </w:rPr>
              <w:t>Referenzdokumente</w:t>
            </w:r>
          </w:p>
        </w:tc>
        <w:tc>
          <w:tcPr>
            <w:tcW w:w="3742" w:type="pct"/>
          </w:tcPr>
          <w:p w:rsidRPr="000178D3" w:rsidR="00B612CA" w:rsidP="000178D3" w:rsidRDefault="00B612CA" w14:paraId="554796B3" w14:textId="77777777">
            <w:pPr>
              <w:tabs>
                <w:tab w:val="center" w:pos="284"/>
              </w:tabs>
              <w:ind w:left="266" w:hanging="266"/>
              <w:jc w:val="left"/>
              <w:rPr>
                <w:rFonts w:eastAsiaTheme="minorHAnsi"/>
                <w:sz w:val="22"/>
                <w:szCs w:val="22"/>
              </w:rPr>
            </w:pPr>
            <w:r w:rsidRPr="000178D3">
              <w:rPr>
                <w:sz w:val="22"/>
                <w:szCs w:val="22"/>
              </w:rPr>
              <w:t>COM(2024) 150 final</w:t>
            </w:r>
          </w:p>
        </w:tc>
      </w:tr>
      <w:tr w:rsidRPr="00B612CA" w:rsidR="00B612CA" w:rsidTr="00FE3058" w14:paraId="10E2BB82" w14:textId="77777777">
        <w:tc>
          <w:tcPr>
            <w:tcW w:w="1258" w:type="pct"/>
            <w:vMerge/>
          </w:tcPr>
          <w:p w:rsidRPr="00DC0FAE" w:rsidR="00B612CA" w:rsidP="000178D3" w:rsidRDefault="00B612CA" w14:paraId="175F9DD0" w14:textId="77777777">
            <w:pPr>
              <w:tabs>
                <w:tab w:val="center" w:pos="284"/>
              </w:tabs>
              <w:ind w:left="266" w:hanging="266"/>
              <w:jc w:val="left"/>
              <w:rPr>
                <w:rFonts w:eastAsiaTheme="minorHAnsi"/>
                <w:b/>
                <w:szCs w:val="24"/>
              </w:rPr>
            </w:pPr>
          </w:p>
        </w:tc>
        <w:tc>
          <w:tcPr>
            <w:tcW w:w="3742" w:type="pct"/>
          </w:tcPr>
          <w:p w:rsidRPr="000178D3" w:rsidR="00B612CA" w:rsidP="000178D3" w:rsidRDefault="00B612CA" w14:paraId="4A35E6C4" w14:textId="77777777">
            <w:pPr>
              <w:tabs>
                <w:tab w:val="center" w:pos="284"/>
              </w:tabs>
              <w:ind w:left="266" w:hanging="266"/>
              <w:jc w:val="left"/>
              <w:rPr>
                <w:rFonts w:eastAsiaTheme="minorHAnsi"/>
                <w:sz w:val="22"/>
                <w:szCs w:val="22"/>
              </w:rPr>
            </w:pPr>
            <w:r w:rsidRPr="000178D3">
              <w:rPr>
                <w:sz w:val="22"/>
                <w:szCs w:val="22"/>
              </w:rPr>
              <w:t>EESC-2024-00813-00-00-AC</w:t>
            </w:r>
          </w:p>
        </w:tc>
      </w:tr>
    </w:tbl>
    <w:p w:rsidRPr="00B612CA" w:rsidR="00B612CA" w:rsidP="000178D3" w:rsidRDefault="00B612CA" w14:paraId="65401695" w14:textId="77777777">
      <w:pPr>
        <w:widowControl w:val="0"/>
        <w:tabs>
          <w:tab w:val="center" w:pos="284"/>
        </w:tabs>
        <w:overflowPunct w:val="0"/>
        <w:autoSpaceDE w:val="0"/>
        <w:autoSpaceDN w:val="0"/>
        <w:adjustRightInd w:val="0"/>
        <w:textAlignment w:val="baseline"/>
        <w:rPr>
          <w:rFonts w:eastAsiaTheme="minorHAnsi"/>
          <w:b/>
          <w:lang w:val="en-US"/>
        </w:rPr>
      </w:pPr>
    </w:p>
    <w:p w:rsidR="00B612CA" w:rsidP="000178D3" w:rsidRDefault="00B612CA" w14:paraId="66AF4059" w14:textId="103542FE">
      <w:pPr>
        <w:keepNext/>
        <w:keepLines/>
        <w:ind w:left="142" w:hanging="142"/>
        <w:jc w:val="left"/>
        <w:rPr>
          <w:rFonts w:eastAsiaTheme="minorHAnsi"/>
          <w:b/>
        </w:rPr>
      </w:pPr>
      <w:r>
        <w:rPr>
          <w:b/>
        </w:rPr>
        <w:t>Kernaussagen</w:t>
      </w:r>
    </w:p>
    <w:p w:rsidRPr="00B612CA" w:rsidR="007724A0" w:rsidP="000178D3" w:rsidRDefault="007724A0" w14:paraId="6657CF81" w14:textId="77777777">
      <w:pPr>
        <w:keepNext/>
        <w:keepLines/>
        <w:ind w:left="142" w:hanging="142"/>
        <w:jc w:val="left"/>
        <w:rPr>
          <w:rFonts w:eastAsiaTheme="minorHAnsi"/>
          <w:b/>
          <w:lang w:val="en-US"/>
        </w:rPr>
      </w:pPr>
    </w:p>
    <w:p w:rsidR="00B612CA" w:rsidP="000178D3" w:rsidRDefault="00B612CA" w14:paraId="6C447796" w14:textId="61D08697">
      <w:pPr>
        <w:ind w:left="142" w:hanging="142"/>
        <w:jc w:val="left"/>
      </w:pPr>
      <w:r>
        <w:t>Der EWSA:</w:t>
      </w:r>
    </w:p>
    <w:p w:rsidR="002802BB" w:rsidP="000178D3" w:rsidRDefault="002802BB" w14:paraId="17C84A6B" w14:textId="77777777">
      <w:pPr>
        <w:ind w:left="142" w:hanging="142"/>
        <w:jc w:val="left"/>
        <w:rPr>
          <w:rFonts w:eastAsiaTheme="minorHAnsi"/>
        </w:rPr>
      </w:pPr>
    </w:p>
    <w:p w:rsidRPr="00B612CA" w:rsidR="00B612CA" w:rsidP="000178D3" w:rsidRDefault="00B612CA" w14:paraId="19ACACDB" w14:textId="77777777">
      <w:pPr>
        <w:numPr>
          <w:ilvl w:val="0"/>
          <w:numId w:val="24"/>
        </w:numPr>
        <w:ind w:left="284" w:hanging="284"/>
        <w:contextualSpacing/>
        <w:rPr>
          <w:rFonts w:eastAsiaTheme="minorHAnsi"/>
        </w:rPr>
      </w:pPr>
      <w:r>
        <w:t xml:space="preserve">empfiehlt der Europäischen Kommission, </w:t>
      </w:r>
      <w:r>
        <w:rPr>
          <w:b/>
        </w:rPr>
        <w:t>eingehend mit den europäischen Bürgern zu kommunizieren</w:t>
      </w:r>
      <w:r>
        <w:t xml:space="preserve">, um ihnen ein </w:t>
      </w:r>
      <w:r>
        <w:rPr>
          <w:b/>
        </w:rPr>
        <w:t>umfassendes Bild von den Herausforderungen</w:t>
      </w:r>
      <w:r>
        <w:t xml:space="preserve"> zu vermitteln, die mit der </w:t>
      </w:r>
      <w:r>
        <w:rPr>
          <w:b/>
        </w:rPr>
        <w:t>gemeinsamen Finanzierung der Verteidigung</w:t>
      </w:r>
      <w:r>
        <w:t xml:space="preserve"> im derzeitigen geopolitischen Kontext und einer gemeinsamen Sicherheitspolitik verbunden sind. Gleichzeitig ist und bleibt das europäische Projekt ein Projekt des Friedens und der Solidarität;</w:t>
      </w:r>
    </w:p>
    <w:p w:rsidRPr="00B612CA" w:rsidR="00B612CA" w:rsidP="000178D3" w:rsidRDefault="00B612CA" w14:paraId="10700EAD" w14:textId="7A0E85B9">
      <w:pPr>
        <w:numPr>
          <w:ilvl w:val="0"/>
          <w:numId w:val="24"/>
        </w:numPr>
        <w:ind w:left="284" w:hanging="284"/>
        <w:contextualSpacing/>
        <w:rPr>
          <w:rFonts w:eastAsiaTheme="minorHAnsi"/>
        </w:rPr>
      </w:pPr>
      <w:r>
        <w:t xml:space="preserve">fordert eine mittelfristige </w:t>
      </w:r>
      <w:r>
        <w:rPr>
          <w:b/>
        </w:rPr>
        <w:t>Aufstockung der zurzeit begrenzten Mittelausstattung (1,5 Mrd.</w:t>
      </w:r>
      <w:r w:rsidR="002802BB">
        <w:rPr>
          <w:b/>
        </w:rPr>
        <w:t> </w:t>
      </w:r>
      <w:r>
        <w:rPr>
          <w:b/>
        </w:rPr>
        <w:t>EUR)</w:t>
      </w:r>
      <w:r>
        <w:t>;</w:t>
      </w:r>
    </w:p>
    <w:p w:rsidRPr="00B612CA" w:rsidR="00B612CA" w:rsidP="000178D3" w:rsidRDefault="00B612CA" w14:paraId="35EFB068" w14:textId="77777777">
      <w:pPr>
        <w:numPr>
          <w:ilvl w:val="0"/>
          <w:numId w:val="24"/>
        </w:numPr>
        <w:ind w:left="284" w:hanging="284"/>
        <w:contextualSpacing/>
        <w:rPr>
          <w:rFonts w:eastAsiaTheme="minorHAnsi"/>
        </w:rPr>
      </w:pPr>
      <w:r>
        <w:t xml:space="preserve">betont, dass das Programm für die europäische Verteidigungsindustrie (EDIP) nicht allein dazu dient, die notwendige Unterstützung zur Deckung des dringenden Bedarfs der Ukraine zu leisten. Es gilt vielmehr, in diesem Rahmen das </w:t>
      </w:r>
      <w:r>
        <w:rPr>
          <w:b/>
        </w:rPr>
        <w:t>europäische Verteidigungskonzept</w:t>
      </w:r>
      <w:r>
        <w:t xml:space="preserve"> und die technisch-industrielle Basis der europäischen Verteidigung (EDTIB) </w:t>
      </w:r>
      <w:r>
        <w:rPr>
          <w:b/>
        </w:rPr>
        <w:t>strukturell weiterzuentwickeln</w:t>
      </w:r>
      <w:r>
        <w:t>;</w:t>
      </w:r>
    </w:p>
    <w:p w:rsidRPr="00B612CA" w:rsidR="00B612CA" w:rsidP="000178D3" w:rsidRDefault="00B612CA" w14:paraId="474F4A0A" w14:textId="77777777">
      <w:pPr>
        <w:numPr>
          <w:ilvl w:val="0"/>
          <w:numId w:val="24"/>
        </w:numPr>
        <w:ind w:left="284" w:hanging="284"/>
        <w:contextualSpacing/>
        <w:rPr>
          <w:rFonts w:eastAsiaTheme="minorHAnsi"/>
        </w:rPr>
      </w:pPr>
      <w:r>
        <w:t xml:space="preserve">ist der Auffassung, dass das Europäische Parlament, die Mitgliedstaaten, der staatliche und der private Finanzsektor und die Europäische Kommission gemeinsam einen </w:t>
      </w:r>
      <w:r>
        <w:rPr>
          <w:b/>
        </w:rPr>
        <w:t>langfristigen Plan zur Aufstockung der Mittel für Rüstungsausgaben und -beschaffung</w:t>
      </w:r>
      <w:r>
        <w:t xml:space="preserve"> aufstellen sollten, um langfristigen privatwirtschaftlichen Investitionen den Weg zu ebnen und sowohl die Militärgüterproduktionspläne der EDTIB als auch die DTIB der Ukraine zu unterstützen;</w:t>
      </w:r>
    </w:p>
    <w:p w:rsidRPr="00B612CA" w:rsidR="00B612CA" w:rsidP="000178D3" w:rsidRDefault="00B612CA" w14:paraId="47D84DAE" w14:textId="77777777">
      <w:pPr>
        <w:numPr>
          <w:ilvl w:val="0"/>
          <w:numId w:val="24"/>
        </w:numPr>
        <w:ind w:left="284" w:hanging="284"/>
        <w:contextualSpacing/>
        <w:rPr>
          <w:rFonts w:eastAsiaTheme="minorHAnsi"/>
        </w:rPr>
      </w:pPr>
      <w:r>
        <w:t xml:space="preserve">empfiehlt der Europäischen Kommission, </w:t>
      </w:r>
      <w:r>
        <w:rPr>
          <w:b/>
        </w:rPr>
        <w:t>Herkunft und Verwendung der für das EDIP vorgesehenen Mittel zu klären</w:t>
      </w:r>
      <w:r>
        <w:t>;</w:t>
      </w:r>
    </w:p>
    <w:p w:rsidRPr="00B612CA" w:rsidR="00B612CA" w:rsidP="000178D3" w:rsidRDefault="00B612CA" w14:paraId="5028E334" w14:textId="77777777">
      <w:pPr>
        <w:numPr>
          <w:ilvl w:val="0"/>
          <w:numId w:val="24"/>
        </w:numPr>
        <w:ind w:left="284" w:hanging="284"/>
        <w:contextualSpacing/>
        <w:rPr>
          <w:rFonts w:eastAsiaTheme="minorHAnsi"/>
        </w:rPr>
      </w:pPr>
      <w:r>
        <w:t xml:space="preserve">ist der Ansicht, dass </w:t>
      </w:r>
      <w:r>
        <w:rPr>
          <w:b/>
        </w:rPr>
        <w:t>EDTIB-Unternehmen die Zusammenarbeit insbesondere mit KMU und über Grenzen hinweg verstärken</w:t>
      </w:r>
      <w:r>
        <w:t xml:space="preserve"> sollten;</w:t>
      </w:r>
    </w:p>
    <w:p w:rsidRPr="00B612CA" w:rsidR="00B612CA" w:rsidP="000178D3" w:rsidRDefault="00B612CA" w14:paraId="4BA1174F" w14:textId="77777777">
      <w:pPr>
        <w:numPr>
          <w:ilvl w:val="0"/>
          <w:numId w:val="24"/>
        </w:numPr>
        <w:ind w:left="284" w:hanging="284"/>
        <w:contextualSpacing/>
        <w:rPr>
          <w:rFonts w:eastAsiaTheme="minorHAnsi"/>
        </w:rPr>
      </w:pPr>
      <w:r>
        <w:t xml:space="preserve">hebt hervor, wie wichtig die </w:t>
      </w:r>
      <w:r>
        <w:rPr>
          <w:b/>
        </w:rPr>
        <w:t>industrielle Zusammenarbeit mit der Ukraine</w:t>
      </w:r>
      <w:r>
        <w:t xml:space="preserve"> im Rahmen des EDIP ist;</w:t>
      </w:r>
    </w:p>
    <w:p w:rsidRPr="00B612CA" w:rsidR="00B612CA" w:rsidP="000178D3" w:rsidRDefault="00B612CA" w14:paraId="7E080E3B" w14:textId="77777777">
      <w:pPr>
        <w:numPr>
          <w:ilvl w:val="0"/>
          <w:numId w:val="24"/>
        </w:numPr>
        <w:ind w:left="284" w:hanging="284"/>
        <w:contextualSpacing/>
        <w:rPr>
          <w:rFonts w:eastAsiaTheme="minorHAnsi"/>
        </w:rPr>
      </w:pPr>
      <w:r>
        <w:t xml:space="preserve">regt an, dass </w:t>
      </w:r>
      <w:r>
        <w:rPr>
          <w:b/>
        </w:rPr>
        <w:t>Synergieeffekte zwischen der Verteidigungsindustrie und zivilen Branchen</w:t>
      </w:r>
      <w:r>
        <w:t>, einschließlich KMU und Start-up-Unternehmen, stärker unterstützt werden sollten;</w:t>
      </w:r>
    </w:p>
    <w:p w:rsidRPr="00B612CA" w:rsidR="00B612CA" w:rsidP="000178D3" w:rsidRDefault="00B612CA" w14:paraId="1616FA27" w14:textId="77777777">
      <w:pPr>
        <w:numPr>
          <w:ilvl w:val="0"/>
          <w:numId w:val="24"/>
        </w:numPr>
        <w:ind w:left="284" w:hanging="284"/>
        <w:contextualSpacing/>
        <w:rPr>
          <w:rFonts w:eastAsiaTheme="minorHAnsi"/>
        </w:rPr>
      </w:pPr>
      <w:r>
        <w:t xml:space="preserve">vertritt die Auffassung, dass die in der Mitteilung zur Strategie für die europäische Verteidigungsindustrie (EDIS) festgelegten </w:t>
      </w:r>
      <w:r>
        <w:rPr>
          <w:b/>
        </w:rPr>
        <w:t>prozentualen Angaben für kooperative und innergemeinschaftliche Beschaffungsziele</w:t>
      </w:r>
      <w:r>
        <w:t xml:space="preserve"> in die EDIP-Verordnung </w:t>
      </w:r>
      <w:r>
        <w:rPr>
          <w:b/>
        </w:rPr>
        <w:t>aufgenommen</w:t>
      </w:r>
      <w:r>
        <w:t xml:space="preserve"> werden sollten.</w:t>
      </w:r>
    </w:p>
    <w:p w:rsidRPr="00B612CA" w:rsidR="007724A0" w:rsidP="000178D3" w:rsidRDefault="007724A0" w14:paraId="75BF54F5" w14:textId="77777777">
      <w:pPr>
        <w:ind w:left="720"/>
        <w:contextualSpacing/>
        <w:rPr>
          <w:rFonts w:eastAsiaTheme="minorHAnsi"/>
        </w:rPr>
      </w:pPr>
    </w:p>
    <w:tbl>
      <w:tblPr>
        <w:tblStyle w:val="TableGrid220"/>
        <w:tblW w:w="362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384"/>
        <w:gridCol w:w="5244"/>
      </w:tblGrid>
      <w:tr w:rsidRPr="00B612CA" w:rsidR="00B612CA" w:rsidTr="002802BB" w14:paraId="0A0E04CE" w14:textId="77777777">
        <w:tc>
          <w:tcPr>
            <w:tcW w:w="1044" w:type="pct"/>
          </w:tcPr>
          <w:p w:rsidRPr="00DC0FAE" w:rsidR="00B612CA" w:rsidP="000178D3" w:rsidRDefault="00B612CA" w14:paraId="06D84C57" w14:textId="77777777">
            <w:pPr>
              <w:jc w:val="left"/>
              <w:rPr>
                <w:rFonts w:eastAsiaTheme="minorHAnsi"/>
                <w:i/>
              </w:rPr>
            </w:pPr>
            <w:r>
              <w:rPr>
                <w:b/>
                <w:i/>
              </w:rPr>
              <w:t>Kontakt</w:t>
            </w:r>
          </w:p>
        </w:tc>
        <w:tc>
          <w:tcPr>
            <w:tcW w:w="3956" w:type="pct"/>
            <w:tcBorders>
              <w:left w:val="nil"/>
            </w:tcBorders>
          </w:tcPr>
          <w:p w:rsidRPr="00DC0FAE" w:rsidR="00B612CA" w:rsidP="000178D3" w:rsidRDefault="00B612CA" w14:paraId="32F55D6E" w14:textId="496A8A95">
            <w:pPr>
              <w:ind w:firstLine="177"/>
              <w:jc w:val="left"/>
              <w:rPr>
                <w:rFonts w:eastAsiaTheme="minorHAnsi"/>
                <w:i/>
              </w:rPr>
            </w:pPr>
            <w:r>
              <w:rPr>
                <w:i/>
              </w:rPr>
              <w:t xml:space="preserve">Ioannis </w:t>
            </w:r>
            <w:proofErr w:type="spellStart"/>
            <w:r>
              <w:rPr>
                <w:i/>
              </w:rPr>
              <w:t>Diamantopoulos</w:t>
            </w:r>
            <w:proofErr w:type="spellEnd"/>
          </w:p>
        </w:tc>
      </w:tr>
      <w:tr w:rsidRPr="00B612CA" w:rsidR="00B612CA" w:rsidTr="002802BB" w14:paraId="170A473F" w14:textId="77777777">
        <w:tc>
          <w:tcPr>
            <w:tcW w:w="1044" w:type="pct"/>
          </w:tcPr>
          <w:p w:rsidRPr="00DC0FAE" w:rsidR="00B612CA" w:rsidP="000178D3" w:rsidRDefault="00B612CA" w14:paraId="56DAFD05" w14:textId="77777777">
            <w:pPr>
              <w:jc w:val="left"/>
              <w:rPr>
                <w:rFonts w:eastAsiaTheme="minorHAnsi"/>
                <w:i/>
              </w:rPr>
            </w:pPr>
            <w:r>
              <w:rPr>
                <w:i/>
              </w:rPr>
              <w:t xml:space="preserve">Tel. </w:t>
            </w:r>
          </w:p>
        </w:tc>
        <w:tc>
          <w:tcPr>
            <w:tcW w:w="3956" w:type="pct"/>
            <w:tcBorders>
              <w:left w:val="nil"/>
            </w:tcBorders>
          </w:tcPr>
          <w:p w:rsidRPr="00DC0FAE" w:rsidR="00B612CA" w:rsidP="000178D3" w:rsidRDefault="00B612CA" w14:paraId="2A298CC6" w14:textId="77777777">
            <w:pPr>
              <w:ind w:firstLine="177"/>
              <w:jc w:val="left"/>
              <w:rPr>
                <w:rFonts w:eastAsiaTheme="minorHAnsi"/>
                <w:i/>
              </w:rPr>
            </w:pPr>
            <w:r>
              <w:rPr>
                <w:i/>
              </w:rPr>
              <w:t>+32 25469170</w:t>
            </w:r>
          </w:p>
        </w:tc>
      </w:tr>
      <w:tr w:rsidRPr="00B612CA" w:rsidR="00B612CA" w:rsidTr="002802BB" w14:paraId="279B24AC" w14:textId="77777777">
        <w:tc>
          <w:tcPr>
            <w:tcW w:w="1044" w:type="pct"/>
          </w:tcPr>
          <w:p w:rsidRPr="00DC0FAE" w:rsidR="00B612CA" w:rsidP="000178D3" w:rsidRDefault="007724A0" w14:paraId="005C0206" w14:textId="59684306">
            <w:pPr>
              <w:jc w:val="left"/>
              <w:rPr>
                <w:rFonts w:eastAsiaTheme="minorHAnsi"/>
                <w:i/>
                <w:iCs/>
              </w:rPr>
            </w:pPr>
            <w:r>
              <w:rPr>
                <w:i/>
              </w:rPr>
              <w:t>E-Mail</w:t>
            </w:r>
          </w:p>
        </w:tc>
        <w:tc>
          <w:tcPr>
            <w:tcW w:w="3956" w:type="pct"/>
            <w:tcBorders>
              <w:left w:val="nil"/>
            </w:tcBorders>
          </w:tcPr>
          <w:p w:rsidRPr="00DC0FAE" w:rsidR="00B612CA" w:rsidP="000178D3" w:rsidRDefault="00D35CF0" w14:paraId="64C65441" w14:textId="2972B3EB">
            <w:pPr>
              <w:ind w:firstLine="177"/>
              <w:jc w:val="left"/>
              <w:rPr>
                <w:rFonts w:eastAsiaTheme="minorHAnsi"/>
                <w:i/>
                <w:iCs/>
              </w:rPr>
            </w:pPr>
            <w:hyperlink w:history="1" r:id="rId37">
              <w:r w:rsidR="005C28F2">
                <w:rPr>
                  <w:rStyle w:val="Hyperlink"/>
                </w:rPr>
                <w:t>Ioannis.Diamantopoulos@eesc.europa.eu</w:t>
              </w:r>
            </w:hyperlink>
          </w:p>
        </w:tc>
      </w:tr>
    </w:tbl>
    <w:p w:rsidRPr="002802BB" w:rsidR="00B612CA" w:rsidP="000178D3" w:rsidRDefault="00B612CA" w14:paraId="4049531D" w14:textId="77777777">
      <w:pPr>
        <w:jc w:val="left"/>
        <w:rPr>
          <w:sz w:val="2"/>
          <w:szCs w:val="2"/>
        </w:rPr>
      </w:pPr>
      <w:r w:rsidRPr="002802BB">
        <w:rPr>
          <w:sz w:val="2"/>
          <w:szCs w:val="2"/>
        </w:rPr>
        <w:br w:type="page"/>
      </w:r>
    </w:p>
    <w:p w:rsidRPr="00B612CA" w:rsidR="00B612CA" w:rsidP="000178D3" w:rsidRDefault="00D35CF0" w14:paraId="2A9B1900" w14:textId="09925451">
      <w:pPr>
        <w:widowControl w:val="0"/>
        <w:numPr>
          <w:ilvl w:val="0"/>
          <w:numId w:val="4"/>
        </w:numPr>
        <w:tabs>
          <w:tab w:val="center" w:pos="567"/>
        </w:tabs>
        <w:overflowPunct w:val="0"/>
        <w:autoSpaceDE w:val="0"/>
        <w:autoSpaceDN w:val="0"/>
        <w:adjustRightInd w:val="0"/>
        <w:ind w:left="567" w:hanging="567"/>
        <w:jc w:val="left"/>
        <w:textAlignment w:val="baseline"/>
        <w:rPr>
          <w:rFonts w:eastAsiaTheme="minorHAnsi"/>
          <w:b/>
          <w:sz w:val="28"/>
          <w:szCs w:val="28"/>
        </w:rPr>
      </w:pPr>
      <w:hyperlink w:history="1" r:id="rId38">
        <w:r w:rsidR="00136442">
          <w:rPr>
            <w:b/>
            <w:color w:val="0000FF"/>
            <w:sz w:val="28"/>
            <w:u w:val="single"/>
          </w:rPr>
          <w:t>Drohnenindustrie: Fallstudie zur strategischen Autonomie</w:t>
        </w:r>
      </w:hyperlink>
    </w:p>
    <w:p w:rsidRPr="00B612CA" w:rsidR="00DD6D07" w:rsidP="000178D3" w:rsidRDefault="00DD6D07" w14:paraId="4DADB4F0" w14:textId="77777777">
      <w:pPr>
        <w:widowControl w:val="0"/>
        <w:overflowPunct w:val="0"/>
        <w:autoSpaceDE w:val="0"/>
        <w:autoSpaceDN w:val="0"/>
        <w:adjustRightInd w:val="0"/>
        <w:textAlignment w:val="baseline"/>
        <w:rPr>
          <w:rFonts w:eastAsiaTheme="minorHAnsi"/>
          <w:b/>
          <w:sz w:val="16"/>
          <w:szCs w:val="16"/>
          <w:lang w:val="en-US"/>
        </w:rPr>
      </w:pPr>
    </w:p>
    <w:tbl>
      <w:tblPr>
        <w:tblStyle w:val="TableGrid221"/>
        <w:tblW w:w="434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10"/>
        <w:gridCol w:w="5844"/>
      </w:tblGrid>
      <w:tr w:rsidRPr="000178D3" w:rsidR="00B612CA" w:rsidTr="00FE3058" w14:paraId="3BDDEC70" w14:textId="77777777">
        <w:tc>
          <w:tcPr>
            <w:tcW w:w="1258" w:type="pct"/>
          </w:tcPr>
          <w:p w:rsidRPr="000178D3" w:rsidR="00B612CA" w:rsidP="000178D3" w:rsidRDefault="00B612CA" w14:paraId="72524AE6" w14:textId="77777777">
            <w:pPr>
              <w:tabs>
                <w:tab w:val="center" w:pos="284"/>
              </w:tabs>
              <w:ind w:left="266" w:hanging="266"/>
              <w:jc w:val="left"/>
              <w:rPr>
                <w:rFonts w:eastAsiaTheme="minorHAnsi"/>
                <w:b/>
                <w:sz w:val="22"/>
                <w:szCs w:val="22"/>
              </w:rPr>
            </w:pPr>
            <w:r w:rsidRPr="000178D3">
              <w:rPr>
                <w:b/>
                <w:sz w:val="22"/>
                <w:szCs w:val="22"/>
              </w:rPr>
              <w:t>Berichterstatter</w:t>
            </w:r>
          </w:p>
        </w:tc>
        <w:tc>
          <w:tcPr>
            <w:tcW w:w="3742" w:type="pct"/>
          </w:tcPr>
          <w:p w:rsidRPr="000178D3" w:rsidR="00B612CA" w:rsidP="000178D3" w:rsidRDefault="00B612CA" w14:paraId="5A103C16" w14:textId="77777777">
            <w:pPr>
              <w:tabs>
                <w:tab w:val="center" w:pos="0"/>
              </w:tabs>
              <w:ind w:left="27" w:hanging="27"/>
              <w:jc w:val="left"/>
              <w:rPr>
                <w:rFonts w:eastAsiaTheme="minorHAnsi"/>
                <w:sz w:val="22"/>
                <w:szCs w:val="22"/>
              </w:rPr>
            </w:pPr>
            <w:r w:rsidRPr="000178D3">
              <w:rPr>
                <w:sz w:val="22"/>
                <w:szCs w:val="22"/>
              </w:rPr>
              <w:t>Panagiotis GKOFAS (Gruppe Organisationen der Zivilgesellschaft – EL)</w:t>
            </w:r>
          </w:p>
        </w:tc>
      </w:tr>
      <w:tr w:rsidRPr="000178D3" w:rsidR="00B612CA" w:rsidTr="00FE3058" w14:paraId="4789CE29" w14:textId="77777777">
        <w:tc>
          <w:tcPr>
            <w:tcW w:w="1258" w:type="pct"/>
          </w:tcPr>
          <w:p w:rsidRPr="000178D3" w:rsidR="00B612CA" w:rsidP="000178D3" w:rsidRDefault="00B612CA" w14:paraId="4BC4535D" w14:textId="77777777">
            <w:pPr>
              <w:tabs>
                <w:tab w:val="center" w:pos="284"/>
              </w:tabs>
              <w:ind w:left="266" w:hanging="266"/>
              <w:jc w:val="left"/>
              <w:rPr>
                <w:rFonts w:eastAsiaTheme="minorHAnsi"/>
                <w:b/>
                <w:sz w:val="22"/>
                <w:szCs w:val="22"/>
              </w:rPr>
            </w:pPr>
            <w:r w:rsidRPr="000178D3">
              <w:rPr>
                <w:b/>
                <w:sz w:val="22"/>
                <w:szCs w:val="22"/>
              </w:rPr>
              <w:t>Ko-Berichterstatter</w:t>
            </w:r>
          </w:p>
        </w:tc>
        <w:tc>
          <w:tcPr>
            <w:tcW w:w="3742" w:type="pct"/>
          </w:tcPr>
          <w:p w:rsidRPr="000178D3" w:rsidR="00B612CA" w:rsidP="000178D3" w:rsidRDefault="00B612CA" w14:paraId="45BEE5FC" w14:textId="77777777">
            <w:pPr>
              <w:tabs>
                <w:tab w:val="center" w:pos="284"/>
              </w:tabs>
              <w:ind w:left="266" w:hanging="266"/>
              <w:jc w:val="left"/>
              <w:rPr>
                <w:rFonts w:eastAsiaTheme="minorHAnsi"/>
                <w:sz w:val="22"/>
                <w:szCs w:val="22"/>
              </w:rPr>
            </w:pPr>
            <w:r w:rsidRPr="000178D3">
              <w:rPr>
                <w:sz w:val="22"/>
                <w:szCs w:val="22"/>
              </w:rPr>
              <w:t>Patrice François CHAZERAND (Kat. 1 – FR)</w:t>
            </w:r>
          </w:p>
        </w:tc>
      </w:tr>
      <w:tr w:rsidRPr="000178D3" w:rsidR="00B612CA" w:rsidTr="00FE3058" w14:paraId="5E7071EE" w14:textId="77777777">
        <w:tc>
          <w:tcPr>
            <w:tcW w:w="5000" w:type="pct"/>
            <w:gridSpan w:val="2"/>
          </w:tcPr>
          <w:p w:rsidRPr="000178D3" w:rsidR="00B612CA" w:rsidP="000178D3" w:rsidRDefault="00B612CA" w14:paraId="0CB6DE07" w14:textId="77777777">
            <w:pPr>
              <w:tabs>
                <w:tab w:val="center" w:pos="284"/>
              </w:tabs>
              <w:ind w:left="266" w:hanging="266"/>
              <w:jc w:val="left"/>
              <w:rPr>
                <w:rFonts w:eastAsiaTheme="minorHAnsi"/>
                <w:sz w:val="10"/>
                <w:szCs w:val="10"/>
              </w:rPr>
            </w:pPr>
          </w:p>
        </w:tc>
      </w:tr>
      <w:tr w:rsidRPr="000178D3" w:rsidR="00B612CA" w:rsidTr="00FE3058" w14:paraId="5C97F1F0" w14:textId="77777777">
        <w:tc>
          <w:tcPr>
            <w:tcW w:w="1258" w:type="pct"/>
            <w:vMerge w:val="restart"/>
          </w:tcPr>
          <w:p w:rsidRPr="000178D3" w:rsidR="00B612CA" w:rsidP="000178D3" w:rsidRDefault="00B612CA" w14:paraId="1ACFAAEE" w14:textId="77777777">
            <w:pPr>
              <w:tabs>
                <w:tab w:val="center" w:pos="284"/>
              </w:tabs>
              <w:ind w:left="266" w:hanging="266"/>
              <w:jc w:val="left"/>
              <w:rPr>
                <w:rFonts w:eastAsiaTheme="minorHAnsi"/>
                <w:b/>
                <w:sz w:val="22"/>
                <w:szCs w:val="22"/>
              </w:rPr>
            </w:pPr>
            <w:r w:rsidRPr="000178D3">
              <w:rPr>
                <w:b/>
                <w:sz w:val="22"/>
                <w:szCs w:val="22"/>
              </w:rPr>
              <w:t>Referenzdokumente</w:t>
            </w:r>
          </w:p>
        </w:tc>
        <w:tc>
          <w:tcPr>
            <w:tcW w:w="3742" w:type="pct"/>
          </w:tcPr>
          <w:p w:rsidRPr="000178D3" w:rsidR="008E5F1F" w:rsidP="000178D3" w:rsidRDefault="008E5F1F" w14:paraId="4FD72709" w14:textId="77777777">
            <w:pPr>
              <w:tabs>
                <w:tab w:val="center" w:pos="284"/>
              </w:tabs>
              <w:ind w:left="266" w:hanging="266"/>
              <w:jc w:val="left"/>
              <w:rPr>
                <w:rFonts w:eastAsiaTheme="minorHAnsi"/>
                <w:sz w:val="22"/>
                <w:szCs w:val="22"/>
              </w:rPr>
            </w:pPr>
            <w:r w:rsidRPr="000178D3">
              <w:rPr>
                <w:sz w:val="22"/>
                <w:szCs w:val="22"/>
              </w:rPr>
              <w:t>Initiativstellungnahme</w:t>
            </w:r>
          </w:p>
          <w:p w:rsidRPr="000178D3" w:rsidR="00B612CA" w:rsidP="000178D3" w:rsidRDefault="00B612CA" w14:paraId="2BDD1C6B" w14:textId="29BCECDA">
            <w:pPr>
              <w:tabs>
                <w:tab w:val="center" w:pos="284"/>
              </w:tabs>
              <w:ind w:left="266" w:hanging="266"/>
              <w:jc w:val="left"/>
              <w:rPr>
                <w:rFonts w:eastAsiaTheme="minorHAnsi"/>
                <w:sz w:val="22"/>
                <w:szCs w:val="22"/>
              </w:rPr>
            </w:pPr>
            <w:r w:rsidRPr="000178D3">
              <w:rPr>
                <w:sz w:val="22"/>
                <w:szCs w:val="22"/>
              </w:rPr>
              <w:t>EESC-2024-00046-00-00-AC</w:t>
            </w:r>
          </w:p>
        </w:tc>
      </w:tr>
      <w:tr w:rsidRPr="00B612CA" w:rsidR="00B612CA" w:rsidTr="00FE3058" w14:paraId="262D674B" w14:textId="77777777">
        <w:tc>
          <w:tcPr>
            <w:tcW w:w="1258" w:type="pct"/>
            <w:vMerge/>
          </w:tcPr>
          <w:p w:rsidRPr="00B612CA" w:rsidR="00B612CA" w:rsidP="000178D3" w:rsidRDefault="00B612CA" w14:paraId="4C295F73" w14:textId="77777777">
            <w:pPr>
              <w:tabs>
                <w:tab w:val="center" w:pos="284"/>
              </w:tabs>
              <w:ind w:left="266" w:hanging="266"/>
              <w:jc w:val="left"/>
              <w:rPr>
                <w:rFonts w:asciiTheme="minorHAnsi" w:hAnsiTheme="minorHAnsi" w:eastAsiaTheme="minorHAnsi" w:cstheme="minorBidi"/>
                <w:b/>
                <w:szCs w:val="24"/>
              </w:rPr>
            </w:pPr>
          </w:p>
        </w:tc>
        <w:tc>
          <w:tcPr>
            <w:tcW w:w="3742" w:type="pct"/>
          </w:tcPr>
          <w:p w:rsidRPr="00B612CA" w:rsidR="00B612CA" w:rsidP="000178D3" w:rsidRDefault="00B612CA" w14:paraId="6A3FA1C1" w14:textId="77777777">
            <w:pPr>
              <w:tabs>
                <w:tab w:val="center" w:pos="284"/>
              </w:tabs>
              <w:ind w:left="266" w:hanging="266"/>
              <w:jc w:val="left"/>
              <w:rPr>
                <w:rFonts w:asciiTheme="minorHAnsi" w:hAnsiTheme="minorHAnsi" w:eastAsiaTheme="minorHAnsi" w:cstheme="minorBidi"/>
                <w:szCs w:val="24"/>
              </w:rPr>
            </w:pPr>
          </w:p>
        </w:tc>
      </w:tr>
    </w:tbl>
    <w:p w:rsidR="00B612CA" w:rsidP="000178D3" w:rsidRDefault="00B612CA" w14:paraId="5D3EDF6C" w14:textId="1A2D0EE8">
      <w:pPr>
        <w:keepNext/>
        <w:keepLines/>
        <w:ind w:left="142" w:hanging="142"/>
        <w:jc w:val="left"/>
        <w:rPr>
          <w:b/>
        </w:rPr>
      </w:pPr>
      <w:r>
        <w:rPr>
          <w:b/>
        </w:rPr>
        <w:t>Kernaussagen</w:t>
      </w:r>
    </w:p>
    <w:p w:rsidRPr="00B612CA" w:rsidR="002802BB" w:rsidP="000178D3" w:rsidRDefault="002802BB" w14:paraId="4DA1A822" w14:textId="77777777">
      <w:pPr>
        <w:keepNext/>
        <w:keepLines/>
        <w:ind w:left="142" w:hanging="142"/>
        <w:jc w:val="left"/>
        <w:rPr>
          <w:rFonts w:eastAsiaTheme="minorHAnsi"/>
          <w:b/>
        </w:rPr>
      </w:pPr>
    </w:p>
    <w:p w:rsidR="00B612CA" w:rsidP="000178D3" w:rsidRDefault="00B612CA" w14:paraId="500E1CB5" w14:textId="4DBBEFA0">
      <w:pPr>
        <w:ind w:left="142" w:hanging="142"/>
        <w:jc w:val="left"/>
      </w:pPr>
      <w:r>
        <w:t>Der EWSA:</w:t>
      </w:r>
    </w:p>
    <w:p w:rsidR="002802BB" w:rsidP="000178D3" w:rsidRDefault="002802BB" w14:paraId="3DE4ADB5" w14:textId="77777777">
      <w:pPr>
        <w:ind w:left="142" w:hanging="142"/>
        <w:jc w:val="left"/>
        <w:rPr>
          <w:rFonts w:eastAsiaTheme="minorHAnsi"/>
        </w:rPr>
      </w:pPr>
    </w:p>
    <w:p w:rsidRPr="00B612CA" w:rsidR="00B612CA" w:rsidP="000178D3" w:rsidRDefault="00B612CA" w14:paraId="487029DD" w14:textId="77777777">
      <w:pPr>
        <w:numPr>
          <w:ilvl w:val="0"/>
          <w:numId w:val="25"/>
        </w:numPr>
        <w:ind w:left="284" w:hanging="284"/>
        <w:rPr>
          <w:rFonts w:eastAsiaTheme="minorHAnsi"/>
        </w:rPr>
      </w:pPr>
      <w:r>
        <w:t xml:space="preserve">vertritt die Auffassung, dass Europa bei kritischen Fähigkeiten nur unabhängig werden kann, wenn die </w:t>
      </w:r>
      <w:r>
        <w:rPr>
          <w:b/>
        </w:rPr>
        <w:t>europäische Drohnenstrategie</w:t>
      </w:r>
      <w:r>
        <w:t xml:space="preserve"> mit der </w:t>
      </w:r>
      <w:r>
        <w:rPr>
          <w:b/>
        </w:rPr>
        <w:t>Strategie für die Europäische Verteidigungsindustrie</w:t>
      </w:r>
      <w:r>
        <w:t xml:space="preserve"> verknüpft und die </w:t>
      </w:r>
      <w:r>
        <w:rPr>
          <w:b/>
        </w:rPr>
        <w:t>technologische und industrielle Basis der europäischen Verteidigung (EDTIB)</w:t>
      </w:r>
      <w:r>
        <w:t xml:space="preserve"> eingebunden wird, um die </w:t>
      </w:r>
      <w:r>
        <w:rPr>
          <w:b/>
        </w:rPr>
        <w:t>heimische Produktion hochwertiger, leistungsstarker Drohnen</w:t>
      </w:r>
      <w:r>
        <w:t xml:space="preserve"> durch einen </w:t>
      </w:r>
      <w:r>
        <w:rPr>
          <w:b/>
        </w:rPr>
        <w:t>stetigen Fluss an öffentlichen Aufträgen</w:t>
      </w:r>
      <w:r>
        <w:t xml:space="preserve"> zu fördern;</w:t>
      </w:r>
    </w:p>
    <w:p w:rsidRPr="00B612CA" w:rsidR="00B612CA" w:rsidP="000178D3" w:rsidRDefault="00B612CA" w14:paraId="1202E286" w14:textId="77777777">
      <w:pPr>
        <w:numPr>
          <w:ilvl w:val="0"/>
          <w:numId w:val="25"/>
        </w:numPr>
        <w:ind w:left="284" w:hanging="284"/>
        <w:rPr>
          <w:rFonts w:eastAsiaTheme="minorHAnsi"/>
        </w:rPr>
      </w:pPr>
      <w:r>
        <w:t xml:space="preserve">befürwortet weiterhin eine </w:t>
      </w:r>
      <w:r>
        <w:rPr>
          <w:b/>
        </w:rPr>
        <w:t>bessere Zusammenarbeit und mehr Innovation</w:t>
      </w:r>
      <w:r>
        <w:t xml:space="preserve"> und spricht sich dafür aus, Rechtsvorschriften wie das Gesetz über künstliche Intelligenz und das Chip-Gesetz dafür zu nutzen, die </w:t>
      </w:r>
      <w:r>
        <w:rPr>
          <w:b/>
        </w:rPr>
        <w:t>strategische Autonomie</w:t>
      </w:r>
      <w:r>
        <w:t xml:space="preserve">, die nationale Sicherheit und das Wirtschaftswachstum </w:t>
      </w:r>
      <w:r>
        <w:rPr>
          <w:b/>
        </w:rPr>
        <w:t>zu stärken</w:t>
      </w:r>
      <w:r>
        <w:t>;</w:t>
      </w:r>
    </w:p>
    <w:p w:rsidRPr="00B612CA" w:rsidR="00B612CA" w:rsidP="000178D3" w:rsidRDefault="00B612CA" w14:paraId="13B8DCFD" w14:textId="77777777">
      <w:pPr>
        <w:numPr>
          <w:ilvl w:val="0"/>
          <w:numId w:val="25"/>
        </w:numPr>
        <w:ind w:left="284" w:hanging="284"/>
        <w:rPr>
          <w:rFonts w:eastAsiaTheme="minorHAnsi"/>
        </w:rPr>
      </w:pPr>
      <w:r>
        <w:t xml:space="preserve">hebt hervor, dass die Aufgabe, </w:t>
      </w:r>
      <w:r>
        <w:rPr>
          <w:b/>
        </w:rPr>
        <w:t>militärische und zivile Forschung und Entwicklung (</w:t>
      </w:r>
      <w:proofErr w:type="spellStart"/>
      <w:r>
        <w:rPr>
          <w:b/>
        </w:rPr>
        <w:t>FuE</w:t>
      </w:r>
      <w:proofErr w:type="spellEnd"/>
      <w:r>
        <w:rPr>
          <w:b/>
        </w:rPr>
        <w:t>) aufeinander abzustimmen</w:t>
      </w:r>
      <w:r>
        <w:t>, immer wichtiger wird, da bei Drohnen zunehmend auf Automatisierung, maschinelles Lernen und künstliche Intelligenz (KI) gesetzt wird.</w:t>
      </w:r>
    </w:p>
    <w:p w:rsidRPr="00B612CA" w:rsidR="00B612CA" w:rsidP="000178D3" w:rsidRDefault="00B612CA" w14:paraId="36029321" w14:textId="77777777">
      <w:pPr>
        <w:numPr>
          <w:ilvl w:val="0"/>
          <w:numId w:val="25"/>
        </w:numPr>
        <w:ind w:left="284" w:hanging="284"/>
        <w:rPr>
          <w:rFonts w:eastAsiaTheme="minorHAnsi"/>
        </w:rPr>
      </w:pPr>
      <w:r>
        <w:t xml:space="preserve">ist der Ansicht, dass Europa für kritische Drohnentechnologien und Drohnensysteme mit doppeltem Verwendungszweck </w:t>
      </w:r>
      <w:r>
        <w:rPr>
          <w:b/>
        </w:rPr>
        <w:t>einen strategischen Fahrplan für Drohnentechnologie</w:t>
      </w:r>
      <w:r>
        <w:t xml:space="preserve"> braucht, der einen strukturierten Ansatz für die Weiterentwicklung der Drohnentechnologie liefern kann;</w:t>
      </w:r>
    </w:p>
    <w:p w:rsidRPr="00B612CA" w:rsidR="00B612CA" w:rsidP="000178D3" w:rsidRDefault="00B612CA" w14:paraId="1BD31BD4" w14:textId="77777777">
      <w:pPr>
        <w:numPr>
          <w:ilvl w:val="0"/>
          <w:numId w:val="25"/>
        </w:numPr>
        <w:ind w:left="284" w:hanging="284"/>
        <w:rPr>
          <w:rFonts w:eastAsiaTheme="minorHAnsi"/>
        </w:rPr>
      </w:pPr>
      <w:r>
        <w:t xml:space="preserve">hebt hervor, dass eingehend geprüft werden sollte, ob eine </w:t>
      </w:r>
      <w:r>
        <w:rPr>
          <w:b/>
        </w:rPr>
        <w:t>finanzielle Unterstützung etwaiger Investitionen in die Drohnenproduktion und die Verknüpfung von Liefer- und Wertschöpfungsketten</w:t>
      </w:r>
      <w:r>
        <w:t xml:space="preserve"> vorgesehen werden sollte;</w:t>
      </w:r>
    </w:p>
    <w:p w:rsidRPr="00B612CA" w:rsidR="00B612CA" w:rsidP="000178D3" w:rsidRDefault="00B612CA" w14:paraId="0CDF4865" w14:textId="77777777">
      <w:pPr>
        <w:numPr>
          <w:ilvl w:val="0"/>
          <w:numId w:val="25"/>
        </w:numPr>
        <w:ind w:left="284" w:hanging="284"/>
        <w:rPr>
          <w:rFonts w:eastAsiaTheme="minorHAnsi"/>
        </w:rPr>
      </w:pPr>
      <w:r>
        <w:t>unterstreicht, dass sich die EU auf der internationalen Ebene vor allem im Hinblick auf Zulassungsverfahren stärker engagieren sollte;</w:t>
      </w:r>
    </w:p>
    <w:p w:rsidRPr="00B612CA" w:rsidR="00B612CA" w:rsidP="000178D3" w:rsidRDefault="00B612CA" w14:paraId="6CE8FCE4" w14:textId="77777777">
      <w:pPr>
        <w:numPr>
          <w:ilvl w:val="0"/>
          <w:numId w:val="25"/>
        </w:numPr>
        <w:ind w:left="284" w:hanging="284"/>
        <w:rPr>
          <w:rFonts w:eastAsiaTheme="minorHAnsi"/>
        </w:rPr>
      </w:pPr>
      <w:r>
        <w:t xml:space="preserve">stellt fest, dass erreicht werden muss, dass </w:t>
      </w:r>
      <w:r>
        <w:rPr>
          <w:b/>
        </w:rPr>
        <w:t>die Gesellschaft</w:t>
      </w:r>
      <w:r>
        <w:t xml:space="preserve"> innovative Luftmobilität </w:t>
      </w:r>
      <w:r>
        <w:rPr>
          <w:b/>
        </w:rPr>
        <w:t>akzeptiert</w:t>
      </w:r>
      <w:r>
        <w:t>. Mit EU-Unterstützung kann das gesamte Luftverkehrsökosystem gestärkt und dazu beigetragen werden, dass es floriert und nachhaltiger wird;</w:t>
      </w:r>
    </w:p>
    <w:p w:rsidRPr="00B612CA" w:rsidR="00B612CA" w:rsidP="000178D3" w:rsidRDefault="00B612CA" w14:paraId="413AAB7E" w14:textId="77777777">
      <w:pPr>
        <w:numPr>
          <w:ilvl w:val="0"/>
          <w:numId w:val="25"/>
        </w:numPr>
        <w:ind w:left="284" w:hanging="284"/>
        <w:rPr>
          <w:rFonts w:eastAsiaTheme="minorHAnsi"/>
        </w:rPr>
      </w:pPr>
      <w:r>
        <w:t xml:space="preserve">betont, dass die EU darüber hinaus dazu bereit sein sollte, eine konsolidierte </w:t>
      </w:r>
      <w:r>
        <w:rPr>
          <w:b/>
        </w:rPr>
        <w:t>Strategie für die Entwicklung eines gemeinsamen Drohnenabwehrschirms</w:t>
      </w:r>
      <w:r>
        <w:t xml:space="preserve"> zu formulieren, damit sie in der Lage ist, auf die zahlreichen Risiken zu reagieren, die im Zusammenhang mit hybriden Bedrohungen, Terrorakten, von anderen Staaten ausgehenden Angriffshandlungen und selbst Missbrauch auf der zivilen Ebene bestehen.</w:t>
      </w:r>
    </w:p>
    <w:p w:rsidRPr="00B612CA" w:rsidR="00B612CA" w:rsidP="000178D3" w:rsidRDefault="00B612CA" w14:paraId="46AE56DD" w14:textId="77777777">
      <w:pPr>
        <w:ind w:left="714"/>
        <w:rPr>
          <w:rFonts w:eastAsiaTheme="minorHAnsi"/>
        </w:rPr>
      </w:pPr>
    </w:p>
    <w:tbl>
      <w:tblPr>
        <w:tblStyle w:val="TableGrid22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25"/>
        <w:gridCol w:w="4906"/>
      </w:tblGrid>
      <w:tr w:rsidRPr="00B612CA" w:rsidR="00B612CA" w:rsidTr="002802BB" w14:paraId="4B20577C" w14:textId="77777777">
        <w:tc>
          <w:tcPr>
            <w:tcW w:w="1186" w:type="pct"/>
          </w:tcPr>
          <w:p w:rsidRPr="00DC0FAE" w:rsidR="00B612CA" w:rsidP="000178D3" w:rsidRDefault="00B612CA" w14:paraId="2947396D" w14:textId="77777777">
            <w:pPr>
              <w:jc w:val="left"/>
              <w:rPr>
                <w:rFonts w:eastAsiaTheme="minorHAnsi"/>
                <w:i/>
              </w:rPr>
            </w:pPr>
            <w:r>
              <w:rPr>
                <w:b/>
                <w:i/>
              </w:rPr>
              <w:t>Kontakt</w:t>
            </w:r>
          </w:p>
        </w:tc>
        <w:tc>
          <w:tcPr>
            <w:tcW w:w="3814" w:type="pct"/>
            <w:tcBorders>
              <w:left w:val="nil"/>
            </w:tcBorders>
          </w:tcPr>
          <w:p w:rsidRPr="00DC0FAE" w:rsidR="00B612CA" w:rsidP="000178D3" w:rsidRDefault="00B612CA" w14:paraId="2C72CC9C" w14:textId="59DEF34B">
            <w:pPr>
              <w:jc w:val="left"/>
              <w:rPr>
                <w:rFonts w:eastAsiaTheme="minorHAnsi"/>
                <w:i/>
              </w:rPr>
            </w:pPr>
            <w:r>
              <w:rPr>
                <w:i/>
              </w:rPr>
              <w:t xml:space="preserve">Ioannis </w:t>
            </w:r>
            <w:proofErr w:type="spellStart"/>
            <w:r>
              <w:rPr>
                <w:i/>
              </w:rPr>
              <w:t>Diamantopoulos</w:t>
            </w:r>
            <w:proofErr w:type="spellEnd"/>
          </w:p>
        </w:tc>
      </w:tr>
      <w:tr w:rsidRPr="00B612CA" w:rsidR="00B612CA" w:rsidTr="002802BB" w14:paraId="2E3E56CC" w14:textId="77777777">
        <w:tc>
          <w:tcPr>
            <w:tcW w:w="1186" w:type="pct"/>
          </w:tcPr>
          <w:p w:rsidRPr="00DC0FAE" w:rsidR="00B612CA" w:rsidP="000178D3" w:rsidRDefault="00B612CA" w14:paraId="32C90F95" w14:textId="77777777">
            <w:pPr>
              <w:jc w:val="left"/>
              <w:rPr>
                <w:rFonts w:eastAsiaTheme="minorHAnsi"/>
                <w:i/>
              </w:rPr>
            </w:pPr>
            <w:r>
              <w:rPr>
                <w:i/>
              </w:rPr>
              <w:t xml:space="preserve">Tel. </w:t>
            </w:r>
          </w:p>
        </w:tc>
        <w:tc>
          <w:tcPr>
            <w:tcW w:w="3814" w:type="pct"/>
            <w:tcBorders>
              <w:left w:val="nil"/>
            </w:tcBorders>
          </w:tcPr>
          <w:p w:rsidRPr="00DC0FAE" w:rsidR="00B612CA" w:rsidP="000178D3" w:rsidRDefault="00B612CA" w14:paraId="6667914E" w14:textId="77777777">
            <w:pPr>
              <w:jc w:val="left"/>
              <w:rPr>
                <w:rFonts w:eastAsiaTheme="minorHAnsi"/>
                <w:i/>
              </w:rPr>
            </w:pPr>
            <w:r>
              <w:rPr>
                <w:i/>
              </w:rPr>
              <w:t>+32 25469170</w:t>
            </w:r>
          </w:p>
        </w:tc>
      </w:tr>
      <w:tr w:rsidRPr="00B612CA" w:rsidR="00B612CA" w:rsidTr="002802BB" w14:paraId="5E62AD0C" w14:textId="77777777">
        <w:tc>
          <w:tcPr>
            <w:tcW w:w="1186" w:type="pct"/>
          </w:tcPr>
          <w:p w:rsidRPr="00DC0FAE" w:rsidR="00B612CA" w:rsidP="000178D3" w:rsidRDefault="00B612CA" w14:paraId="28949472" w14:textId="77777777">
            <w:pPr>
              <w:jc w:val="left"/>
              <w:rPr>
                <w:rFonts w:eastAsiaTheme="minorHAnsi"/>
                <w:i/>
                <w:iCs/>
              </w:rPr>
            </w:pPr>
            <w:r>
              <w:rPr>
                <w:i/>
              </w:rPr>
              <w:t>E-Mail</w:t>
            </w:r>
          </w:p>
        </w:tc>
        <w:tc>
          <w:tcPr>
            <w:tcW w:w="3814" w:type="pct"/>
            <w:tcBorders>
              <w:left w:val="nil"/>
            </w:tcBorders>
          </w:tcPr>
          <w:p w:rsidRPr="00DC0FAE" w:rsidR="00B612CA" w:rsidP="000178D3" w:rsidRDefault="00D35CF0" w14:paraId="670FA610" w14:textId="3DD50747">
            <w:pPr>
              <w:jc w:val="left"/>
              <w:rPr>
                <w:rFonts w:eastAsiaTheme="minorHAnsi"/>
                <w:i/>
                <w:iCs/>
              </w:rPr>
            </w:pPr>
            <w:hyperlink w:history="1" r:id="rId39">
              <w:r w:rsidR="005C28F2">
                <w:rPr>
                  <w:rStyle w:val="Hyperlink"/>
                </w:rPr>
                <w:t>Ioannis.Diamantopoulos@eesc.europa.eu</w:t>
              </w:r>
            </w:hyperlink>
          </w:p>
        </w:tc>
      </w:tr>
    </w:tbl>
    <w:p w:rsidRPr="002802BB" w:rsidR="00DD6D07" w:rsidP="000178D3" w:rsidRDefault="00DD6D07" w14:paraId="00CC9B58" w14:textId="77777777">
      <w:pPr>
        <w:jc w:val="left"/>
        <w:rPr>
          <w:sz w:val="2"/>
          <w:szCs w:val="2"/>
        </w:rPr>
      </w:pPr>
      <w:r w:rsidRPr="002802BB">
        <w:rPr>
          <w:sz w:val="2"/>
          <w:szCs w:val="2"/>
        </w:rPr>
        <w:br w:type="page"/>
      </w:r>
    </w:p>
    <w:p w:rsidRPr="000120E1" w:rsidR="000120E1" w:rsidP="000178D3" w:rsidRDefault="00D35CF0" w14:paraId="55A70BD2" w14:textId="705E33C5">
      <w:pPr>
        <w:widowControl w:val="0"/>
        <w:numPr>
          <w:ilvl w:val="0"/>
          <w:numId w:val="4"/>
        </w:numPr>
        <w:tabs>
          <w:tab w:val="center" w:pos="567"/>
        </w:tabs>
        <w:overflowPunct w:val="0"/>
        <w:autoSpaceDE w:val="0"/>
        <w:autoSpaceDN w:val="0"/>
        <w:adjustRightInd w:val="0"/>
        <w:ind w:left="567" w:hanging="567"/>
        <w:contextualSpacing/>
        <w:jc w:val="left"/>
        <w:textAlignment w:val="baseline"/>
        <w:rPr>
          <w:rFonts w:eastAsiaTheme="minorHAnsi"/>
          <w:b/>
          <w:i/>
          <w:iCs/>
          <w:sz w:val="28"/>
          <w:szCs w:val="28"/>
        </w:rPr>
      </w:pPr>
      <w:hyperlink w:history="1" r:id="rId40">
        <w:r w:rsidR="00136442">
          <w:rPr>
            <w:b/>
            <w:i/>
            <w:color w:val="0000FF"/>
            <w:sz w:val="28"/>
            <w:u w:val="single"/>
          </w:rPr>
          <w:t>Industrielles CO</w:t>
        </w:r>
        <w:r w:rsidR="00136442">
          <w:rPr>
            <w:b/>
            <w:i/>
            <w:color w:val="0000FF"/>
            <w:sz w:val="28"/>
            <w:u w:val="single"/>
            <w:vertAlign w:val="subscript"/>
          </w:rPr>
          <w:t>2</w:t>
        </w:r>
        <w:r w:rsidR="00136442">
          <w:rPr>
            <w:b/>
            <w:i/>
            <w:color w:val="0000FF"/>
            <w:sz w:val="28"/>
            <w:u w:val="single"/>
          </w:rPr>
          <w:t>-Management</w:t>
        </w:r>
      </w:hyperlink>
    </w:p>
    <w:p w:rsidRPr="000120E1" w:rsidR="000120E1" w:rsidP="000178D3" w:rsidRDefault="000120E1" w14:paraId="047D66DC" w14:textId="726FFD6D">
      <w:pPr>
        <w:widowControl w:val="0"/>
        <w:tabs>
          <w:tab w:val="center" w:pos="284"/>
        </w:tabs>
        <w:overflowPunct w:val="0"/>
        <w:autoSpaceDE w:val="0"/>
        <w:autoSpaceDN w:val="0"/>
        <w:adjustRightInd w:val="0"/>
        <w:textAlignment w:val="baseline"/>
        <w:rPr>
          <w:rFonts w:eastAsiaTheme="minorHAnsi"/>
          <w:b/>
          <w:lang w:val="en-US"/>
        </w:rPr>
      </w:pPr>
    </w:p>
    <w:tbl>
      <w:tblPr>
        <w:tblStyle w:val="TableGrid222"/>
        <w:tblW w:w="4497"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10"/>
        <w:gridCol w:w="6115"/>
      </w:tblGrid>
      <w:tr w:rsidRPr="000178D3" w:rsidR="000120E1" w:rsidTr="00FE3058" w14:paraId="7AA7740B" w14:textId="77777777">
        <w:tc>
          <w:tcPr>
            <w:tcW w:w="1216" w:type="pct"/>
          </w:tcPr>
          <w:p w:rsidRPr="000178D3" w:rsidR="000120E1" w:rsidP="000178D3" w:rsidRDefault="000120E1" w14:paraId="59DFCB28" w14:textId="77777777">
            <w:pPr>
              <w:tabs>
                <w:tab w:val="center" w:pos="284"/>
              </w:tabs>
              <w:ind w:left="266" w:hanging="266"/>
              <w:jc w:val="left"/>
              <w:rPr>
                <w:rFonts w:eastAsiaTheme="minorHAnsi"/>
                <w:b/>
                <w:sz w:val="22"/>
                <w:szCs w:val="22"/>
              </w:rPr>
            </w:pPr>
            <w:r w:rsidRPr="000178D3">
              <w:rPr>
                <w:b/>
                <w:sz w:val="22"/>
                <w:szCs w:val="22"/>
              </w:rPr>
              <w:t>Berichterstatter</w:t>
            </w:r>
          </w:p>
        </w:tc>
        <w:tc>
          <w:tcPr>
            <w:tcW w:w="3784" w:type="pct"/>
          </w:tcPr>
          <w:p w:rsidRPr="000178D3" w:rsidR="000120E1" w:rsidP="000178D3" w:rsidRDefault="000120E1" w14:paraId="79819113" w14:textId="77777777">
            <w:pPr>
              <w:tabs>
                <w:tab w:val="center" w:pos="284"/>
              </w:tabs>
              <w:ind w:left="266" w:hanging="266"/>
              <w:jc w:val="left"/>
              <w:rPr>
                <w:rFonts w:eastAsiaTheme="minorHAnsi"/>
                <w:sz w:val="22"/>
                <w:szCs w:val="22"/>
              </w:rPr>
            </w:pPr>
            <w:proofErr w:type="spellStart"/>
            <w:r w:rsidRPr="000178D3">
              <w:rPr>
                <w:sz w:val="22"/>
                <w:szCs w:val="22"/>
              </w:rPr>
              <w:t>Gonçalo</w:t>
            </w:r>
            <w:proofErr w:type="spellEnd"/>
            <w:r w:rsidRPr="000178D3">
              <w:rPr>
                <w:sz w:val="22"/>
                <w:szCs w:val="22"/>
              </w:rPr>
              <w:t xml:space="preserve"> LOBO XAVIER (Gruppe Arbeitgeber – PT)</w:t>
            </w:r>
          </w:p>
        </w:tc>
      </w:tr>
      <w:tr w:rsidRPr="000178D3" w:rsidR="000120E1" w:rsidTr="00FE3058" w14:paraId="2A3124EA" w14:textId="77777777">
        <w:tc>
          <w:tcPr>
            <w:tcW w:w="1216" w:type="pct"/>
          </w:tcPr>
          <w:p w:rsidRPr="000178D3" w:rsidR="000120E1" w:rsidP="000178D3" w:rsidRDefault="000120E1" w14:paraId="051BCACD" w14:textId="77777777">
            <w:pPr>
              <w:tabs>
                <w:tab w:val="center" w:pos="284"/>
              </w:tabs>
              <w:ind w:left="266" w:hanging="266"/>
              <w:jc w:val="left"/>
              <w:rPr>
                <w:rFonts w:eastAsiaTheme="minorHAnsi"/>
                <w:b/>
                <w:sz w:val="22"/>
                <w:szCs w:val="22"/>
              </w:rPr>
            </w:pPr>
            <w:r w:rsidRPr="000178D3">
              <w:rPr>
                <w:b/>
                <w:sz w:val="22"/>
                <w:szCs w:val="22"/>
              </w:rPr>
              <w:t>Ko-Berichterstatter</w:t>
            </w:r>
          </w:p>
        </w:tc>
        <w:tc>
          <w:tcPr>
            <w:tcW w:w="3784" w:type="pct"/>
          </w:tcPr>
          <w:p w:rsidRPr="000178D3" w:rsidR="000120E1" w:rsidP="000178D3" w:rsidRDefault="000120E1" w14:paraId="163FD73E" w14:textId="77777777">
            <w:pPr>
              <w:tabs>
                <w:tab w:val="center" w:pos="284"/>
              </w:tabs>
              <w:ind w:left="266" w:hanging="266"/>
              <w:jc w:val="left"/>
              <w:rPr>
                <w:rFonts w:eastAsiaTheme="minorHAnsi"/>
                <w:sz w:val="22"/>
                <w:szCs w:val="22"/>
              </w:rPr>
            </w:pPr>
            <w:r w:rsidRPr="000178D3">
              <w:rPr>
                <w:sz w:val="22"/>
                <w:szCs w:val="22"/>
              </w:rPr>
              <w:t>Jean-Michel POURTEAU (Kat. 2 – FR)</w:t>
            </w:r>
          </w:p>
        </w:tc>
      </w:tr>
      <w:tr w:rsidRPr="000178D3" w:rsidR="000120E1" w:rsidTr="00FE3058" w14:paraId="5A91F27D" w14:textId="77777777">
        <w:tc>
          <w:tcPr>
            <w:tcW w:w="5000" w:type="pct"/>
            <w:gridSpan w:val="2"/>
          </w:tcPr>
          <w:p w:rsidRPr="000178D3" w:rsidR="000120E1" w:rsidP="000178D3" w:rsidRDefault="000120E1" w14:paraId="3A61F21C" w14:textId="77777777">
            <w:pPr>
              <w:tabs>
                <w:tab w:val="center" w:pos="284"/>
              </w:tabs>
              <w:ind w:left="266" w:hanging="266"/>
              <w:jc w:val="left"/>
              <w:rPr>
                <w:rFonts w:eastAsiaTheme="minorHAnsi"/>
                <w:sz w:val="10"/>
                <w:szCs w:val="10"/>
              </w:rPr>
            </w:pPr>
          </w:p>
        </w:tc>
      </w:tr>
      <w:tr w:rsidRPr="000178D3" w:rsidR="000120E1" w:rsidTr="00FE3058" w14:paraId="70AFA820" w14:textId="77777777">
        <w:tc>
          <w:tcPr>
            <w:tcW w:w="1216" w:type="pct"/>
            <w:vMerge w:val="restart"/>
          </w:tcPr>
          <w:p w:rsidRPr="000178D3" w:rsidR="000120E1" w:rsidP="000178D3" w:rsidRDefault="000120E1" w14:paraId="2C1088D7" w14:textId="77777777">
            <w:pPr>
              <w:tabs>
                <w:tab w:val="center" w:pos="284"/>
              </w:tabs>
              <w:ind w:left="266" w:hanging="266"/>
              <w:jc w:val="left"/>
              <w:rPr>
                <w:rFonts w:eastAsiaTheme="minorHAnsi"/>
                <w:b/>
                <w:sz w:val="22"/>
                <w:szCs w:val="22"/>
              </w:rPr>
            </w:pPr>
            <w:r w:rsidRPr="000178D3">
              <w:rPr>
                <w:b/>
                <w:sz w:val="22"/>
                <w:szCs w:val="22"/>
              </w:rPr>
              <w:t>Referenzdokumente</w:t>
            </w:r>
          </w:p>
        </w:tc>
        <w:tc>
          <w:tcPr>
            <w:tcW w:w="3784" w:type="pct"/>
          </w:tcPr>
          <w:p w:rsidRPr="000178D3" w:rsidR="000120E1" w:rsidP="000178D3" w:rsidRDefault="000120E1" w14:paraId="115E7B5F" w14:textId="77777777">
            <w:pPr>
              <w:tabs>
                <w:tab w:val="center" w:pos="284"/>
              </w:tabs>
              <w:ind w:left="266" w:hanging="266"/>
              <w:jc w:val="left"/>
              <w:rPr>
                <w:rFonts w:eastAsiaTheme="minorHAnsi"/>
                <w:sz w:val="22"/>
                <w:szCs w:val="22"/>
              </w:rPr>
            </w:pPr>
            <w:r w:rsidRPr="000178D3">
              <w:rPr>
                <w:sz w:val="22"/>
                <w:szCs w:val="22"/>
              </w:rPr>
              <w:t>COM(2024) 62 final</w:t>
            </w:r>
          </w:p>
        </w:tc>
      </w:tr>
      <w:tr w:rsidRPr="000178D3" w:rsidR="000120E1" w:rsidTr="00FE3058" w14:paraId="36B63748" w14:textId="77777777">
        <w:tc>
          <w:tcPr>
            <w:tcW w:w="1216" w:type="pct"/>
            <w:vMerge/>
          </w:tcPr>
          <w:p w:rsidRPr="000178D3" w:rsidR="000120E1" w:rsidP="000178D3" w:rsidRDefault="000120E1" w14:paraId="1DD1D1CF" w14:textId="77777777">
            <w:pPr>
              <w:tabs>
                <w:tab w:val="center" w:pos="284"/>
              </w:tabs>
              <w:ind w:left="266" w:hanging="266"/>
              <w:jc w:val="left"/>
              <w:rPr>
                <w:rFonts w:asciiTheme="minorHAnsi" w:hAnsiTheme="minorHAnsi" w:eastAsiaTheme="minorHAnsi" w:cstheme="minorBidi"/>
                <w:b/>
                <w:sz w:val="22"/>
                <w:szCs w:val="22"/>
              </w:rPr>
            </w:pPr>
          </w:p>
        </w:tc>
        <w:tc>
          <w:tcPr>
            <w:tcW w:w="3784" w:type="pct"/>
          </w:tcPr>
          <w:p w:rsidRPr="000178D3" w:rsidR="000120E1" w:rsidP="000178D3" w:rsidRDefault="000120E1" w14:paraId="156AA12F" w14:textId="77777777">
            <w:pPr>
              <w:tabs>
                <w:tab w:val="center" w:pos="284"/>
              </w:tabs>
              <w:ind w:left="266" w:hanging="266"/>
              <w:jc w:val="left"/>
              <w:rPr>
                <w:rFonts w:eastAsiaTheme="minorHAnsi"/>
                <w:sz w:val="22"/>
                <w:szCs w:val="22"/>
              </w:rPr>
            </w:pPr>
            <w:r w:rsidRPr="000178D3">
              <w:rPr>
                <w:sz w:val="22"/>
                <w:szCs w:val="22"/>
              </w:rPr>
              <w:t>EESC-2024-00878-00-00-AC</w:t>
            </w:r>
          </w:p>
        </w:tc>
      </w:tr>
    </w:tbl>
    <w:p w:rsidRPr="000120E1" w:rsidR="000120E1" w:rsidP="000178D3" w:rsidRDefault="000120E1" w14:paraId="07738945" w14:textId="77777777">
      <w:pPr>
        <w:widowControl w:val="0"/>
        <w:tabs>
          <w:tab w:val="left" w:pos="1843"/>
        </w:tabs>
        <w:overflowPunct w:val="0"/>
        <w:autoSpaceDE w:val="0"/>
        <w:autoSpaceDN w:val="0"/>
        <w:adjustRightInd w:val="0"/>
        <w:textAlignment w:val="baseline"/>
        <w:rPr>
          <w:rFonts w:eastAsiaTheme="minorHAnsi"/>
          <w:b/>
          <w:lang w:val="en-US"/>
        </w:rPr>
      </w:pPr>
    </w:p>
    <w:p w:rsidRPr="000120E1" w:rsidR="000120E1" w:rsidP="000178D3" w:rsidRDefault="000120E1" w14:paraId="7665D3CF" w14:textId="77777777">
      <w:pPr>
        <w:keepNext/>
        <w:keepLines/>
        <w:ind w:left="142" w:hanging="142"/>
        <w:jc w:val="left"/>
        <w:rPr>
          <w:rFonts w:eastAsiaTheme="minorHAnsi"/>
          <w:b/>
        </w:rPr>
      </w:pPr>
      <w:r>
        <w:rPr>
          <w:b/>
        </w:rPr>
        <w:t>Kernaussagen</w:t>
      </w:r>
    </w:p>
    <w:p w:rsidRPr="000120E1" w:rsidR="000120E1" w:rsidP="000178D3" w:rsidRDefault="000120E1" w14:paraId="3B7BB1CC" w14:textId="77777777">
      <w:pPr>
        <w:jc w:val="left"/>
        <w:rPr>
          <w:rFonts w:eastAsiaTheme="minorHAnsi"/>
        </w:rPr>
      </w:pPr>
      <w:r>
        <w:t>Der EWSA:</w:t>
      </w:r>
    </w:p>
    <w:p w:rsidRPr="000120E1" w:rsidR="000120E1" w:rsidP="000178D3" w:rsidRDefault="000120E1" w14:paraId="1360B3DB" w14:textId="77777777">
      <w:pPr>
        <w:numPr>
          <w:ilvl w:val="0"/>
          <w:numId w:val="26"/>
        </w:numPr>
        <w:ind w:left="284" w:hanging="284"/>
        <w:contextualSpacing/>
        <w:rPr>
          <w:rFonts w:eastAsiaTheme="minorHAnsi"/>
        </w:rPr>
      </w:pPr>
      <w:r>
        <w:t xml:space="preserve">ist der Auffassung, dass </w:t>
      </w:r>
      <w:r>
        <w:rPr>
          <w:b/>
        </w:rPr>
        <w:t>die Strategie für das industrielle CO</w:t>
      </w:r>
      <w:r>
        <w:rPr>
          <w:b/>
          <w:vertAlign w:val="subscript"/>
        </w:rPr>
        <w:t>2</w:t>
      </w:r>
      <w:r>
        <w:rPr>
          <w:b/>
        </w:rPr>
        <w:t>-Management sehr begrüßenswert und ausgewogen ist</w:t>
      </w:r>
      <w:r>
        <w:t xml:space="preserve">. Sie deckt Aspekte ab, die für </w:t>
      </w:r>
      <w:r>
        <w:rPr>
          <w:b/>
        </w:rPr>
        <w:t xml:space="preserve">die </w:t>
      </w:r>
      <w:proofErr w:type="spellStart"/>
      <w:r>
        <w:rPr>
          <w:b/>
        </w:rPr>
        <w:t>großindustrielle</w:t>
      </w:r>
      <w:proofErr w:type="spellEnd"/>
      <w:r>
        <w:rPr>
          <w:b/>
        </w:rPr>
        <w:t xml:space="preserve"> Einführung der CO</w:t>
      </w:r>
      <w:r>
        <w:rPr>
          <w:b/>
          <w:vertAlign w:val="subscript"/>
        </w:rPr>
        <w:t>2</w:t>
      </w:r>
      <w:r>
        <w:rPr>
          <w:b/>
        </w:rPr>
        <w:t>-Abscheidung und -Speicherung (</w:t>
      </w:r>
      <w:r>
        <w:rPr>
          <w:b/>
          <w:i/>
          <w:iCs/>
        </w:rPr>
        <w:t>Carbon Capture and Storage</w:t>
      </w:r>
      <w:r>
        <w:rPr>
          <w:b/>
        </w:rPr>
        <w:t xml:space="preserve"> – CCS) sowie der CO</w:t>
      </w:r>
      <w:r>
        <w:rPr>
          <w:b/>
          <w:vertAlign w:val="subscript"/>
        </w:rPr>
        <w:t>2</w:t>
      </w:r>
      <w:r>
        <w:rPr>
          <w:b/>
        </w:rPr>
        <w:t>-Abscheidung und -Nutzung (</w:t>
      </w:r>
      <w:r>
        <w:rPr>
          <w:b/>
          <w:i/>
          <w:iCs/>
        </w:rPr>
        <w:t xml:space="preserve">Carbon Capture and </w:t>
      </w:r>
      <w:proofErr w:type="spellStart"/>
      <w:r>
        <w:rPr>
          <w:b/>
          <w:i/>
          <w:iCs/>
        </w:rPr>
        <w:t>Utilization</w:t>
      </w:r>
      <w:proofErr w:type="spellEnd"/>
      <w:r>
        <w:rPr>
          <w:b/>
        </w:rPr>
        <w:t xml:space="preserve"> – CCU) in der EU</w:t>
      </w:r>
      <w:r>
        <w:t xml:space="preserve"> entscheidend sind;</w:t>
      </w:r>
    </w:p>
    <w:p w:rsidRPr="000120E1" w:rsidR="000120E1" w:rsidP="000178D3" w:rsidRDefault="000120E1" w14:paraId="7FE09CBD" w14:textId="77777777">
      <w:pPr>
        <w:numPr>
          <w:ilvl w:val="0"/>
          <w:numId w:val="26"/>
        </w:numPr>
        <w:ind w:left="284" w:hanging="284"/>
        <w:contextualSpacing/>
        <w:rPr>
          <w:rFonts w:eastAsiaTheme="minorHAnsi"/>
        </w:rPr>
      </w:pPr>
      <w:r>
        <w:t xml:space="preserve">hält für die Schaffung eines </w:t>
      </w:r>
      <w:r>
        <w:rPr>
          <w:b/>
        </w:rPr>
        <w:t>Binnenmarkts für CO</w:t>
      </w:r>
      <w:r>
        <w:rPr>
          <w:b/>
          <w:vertAlign w:val="subscript"/>
        </w:rPr>
        <w:t>2</w:t>
      </w:r>
      <w:r>
        <w:t xml:space="preserve"> den </w:t>
      </w:r>
      <w:r>
        <w:rPr>
          <w:b/>
        </w:rPr>
        <w:t>Aufbau von Speicher- und Transportinfrastruktur (auch grenzübergreifend)</w:t>
      </w:r>
      <w:r>
        <w:t xml:space="preserve"> sowie </w:t>
      </w:r>
      <w:r>
        <w:rPr>
          <w:b/>
        </w:rPr>
        <w:t>Marktregeln</w:t>
      </w:r>
      <w:r>
        <w:t xml:space="preserve"> für erforderlich; </w:t>
      </w:r>
    </w:p>
    <w:p w:rsidRPr="000120E1" w:rsidR="000120E1" w:rsidP="000178D3" w:rsidRDefault="000120E1" w14:paraId="66EA0A1A" w14:textId="77777777">
      <w:pPr>
        <w:numPr>
          <w:ilvl w:val="0"/>
          <w:numId w:val="26"/>
        </w:numPr>
        <w:ind w:left="284" w:hanging="284"/>
        <w:contextualSpacing/>
        <w:rPr>
          <w:rFonts w:eastAsiaTheme="minorHAnsi"/>
        </w:rPr>
      </w:pPr>
      <w:r>
        <w:t xml:space="preserve">weist darauf hin, dass </w:t>
      </w:r>
      <w:r>
        <w:rPr>
          <w:b/>
        </w:rPr>
        <w:t>die Strategien für das CO</w:t>
      </w:r>
      <w:r>
        <w:rPr>
          <w:b/>
          <w:vertAlign w:val="subscript"/>
        </w:rPr>
        <w:t>2</w:t>
      </w:r>
      <w:r>
        <w:rPr>
          <w:b/>
        </w:rPr>
        <w:t>-Management auf die jeweiligen Industriezweige zugeschnitten werden</w:t>
      </w:r>
      <w:r>
        <w:t xml:space="preserve"> müssen;</w:t>
      </w:r>
    </w:p>
    <w:p w:rsidRPr="000120E1" w:rsidR="000120E1" w:rsidP="000178D3" w:rsidRDefault="000120E1" w14:paraId="3B9262A2" w14:textId="77777777">
      <w:pPr>
        <w:numPr>
          <w:ilvl w:val="0"/>
          <w:numId w:val="26"/>
        </w:numPr>
        <w:ind w:left="284" w:hanging="284"/>
        <w:contextualSpacing/>
        <w:rPr>
          <w:rFonts w:eastAsiaTheme="minorHAnsi"/>
        </w:rPr>
      </w:pPr>
      <w:r>
        <w:t xml:space="preserve">hält es für grundlegend, </w:t>
      </w:r>
      <w:r>
        <w:rPr>
          <w:b/>
        </w:rPr>
        <w:t>die Hindernisse für eine wirksame Anwendung bereits einsatzbereiter CO</w:t>
      </w:r>
      <w:r>
        <w:rPr>
          <w:b/>
          <w:vertAlign w:val="subscript"/>
        </w:rPr>
        <w:t>2</w:t>
      </w:r>
      <w:r>
        <w:rPr>
          <w:b/>
        </w:rPr>
        <w:t>-Bewirtschaftungsverfahren in der Industrie zu ermitteln</w:t>
      </w:r>
      <w:r>
        <w:t>, damit Änderungen einfacher umgesetzt und Strategien entwickelt werden können;</w:t>
      </w:r>
    </w:p>
    <w:p w:rsidRPr="000120E1" w:rsidR="000120E1" w:rsidP="000178D3" w:rsidRDefault="000120E1" w14:paraId="79DEBCDC" w14:textId="77777777">
      <w:pPr>
        <w:numPr>
          <w:ilvl w:val="0"/>
          <w:numId w:val="26"/>
        </w:numPr>
        <w:ind w:left="284" w:hanging="284"/>
        <w:contextualSpacing/>
        <w:rPr>
          <w:rFonts w:eastAsiaTheme="minorHAnsi"/>
        </w:rPr>
      </w:pPr>
      <w:r>
        <w:t xml:space="preserve">ist der Ansicht, dass die EU eine </w:t>
      </w:r>
      <w:r>
        <w:rPr>
          <w:b/>
        </w:rPr>
        <w:t>industriepolitische Strategie für CO</w:t>
      </w:r>
      <w:r>
        <w:rPr>
          <w:b/>
          <w:vertAlign w:val="subscript"/>
        </w:rPr>
        <w:t>2</w:t>
      </w:r>
      <w:r>
        <w:rPr>
          <w:b/>
        </w:rPr>
        <w:t>-Emissionen benötigt, durch die das Wachstum nachhaltig angekurbelt wird</w:t>
      </w:r>
      <w:r>
        <w:t xml:space="preserve"> und die nicht nur </w:t>
      </w:r>
      <w:r>
        <w:rPr>
          <w:b/>
        </w:rPr>
        <w:t>dem Grünen Deal gerecht wird</w:t>
      </w:r>
      <w:r>
        <w:t xml:space="preserve">, sondern auch </w:t>
      </w:r>
      <w:r>
        <w:rPr>
          <w:b/>
        </w:rPr>
        <w:t>für gute Arbeitsplätze sorgt, den Arbeitnehmern einen gerechten Übergang bietet</w:t>
      </w:r>
      <w:r>
        <w:t xml:space="preserve"> sowie </w:t>
      </w:r>
      <w:r>
        <w:rPr>
          <w:b/>
        </w:rPr>
        <w:t>Arbeitskräfte- und Fachkräftedefizite erkennbar macht, die durch Umschulung und Weiterbildung verringert werden</w:t>
      </w:r>
      <w:r>
        <w:t>;</w:t>
      </w:r>
    </w:p>
    <w:p w:rsidRPr="000120E1" w:rsidR="000120E1" w:rsidP="000178D3" w:rsidRDefault="000120E1" w14:paraId="71004638" w14:textId="77777777">
      <w:pPr>
        <w:numPr>
          <w:ilvl w:val="0"/>
          <w:numId w:val="26"/>
        </w:numPr>
        <w:ind w:left="284" w:hanging="284"/>
        <w:contextualSpacing/>
        <w:rPr>
          <w:rFonts w:eastAsiaTheme="minorHAnsi"/>
        </w:rPr>
      </w:pPr>
      <w:r>
        <w:t xml:space="preserve">empfiehlt </w:t>
      </w:r>
      <w:r>
        <w:rPr>
          <w:b/>
        </w:rPr>
        <w:t>einen klaren Investitionsplan für die Entwicklung von CCS/CCU-Technologien</w:t>
      </w:r>
      <w:r>
        <w:t xml:space="preserve">, während </w:t>
      </w:r>
      <w:r>
        <w:rPr>
          <w:b/>
        </w:rPr>
        <w:t>die öffentliche Finanzierung an einen Mechanismus der sozialen Konditionalität geknüpft werden sollte, der auf die Schaffung und Erhaltung hochwertiger Arbeitsplätze ausgerichtet ist</w:t>
      </w:r>
      <w:r>
        <w:t>;</w:t>
      </w:r>
    </w:p>
    <w:p w:rsidRPr="000120E1" w:rsidR="000120E1" w:rsidP="000178D3" w:rsidRDefault="000120E1" w14:paraId="3292CDC0" w14:textId="77777777">
      <w:pPr>
        <w:numPr>
          <w:ilvl w:val="0"/>
          <w:numId w:val="26"/>
        </w:numPr>
        <w:ind w:left="284" w:hanging="284"/>
        <w:contextualSpacing/>
        <w:rPr>
          <w:rFonts w:eastAsiaTheme="minorHAnsi"/>
        </w:rPr>
      </w:pPr>
      <w:r>
        <w:t>ist der Auffassung, dass Projekte zur CO</w:t>
      </w:r>
      <w:r>
        <w:rPr>
          <w:vertAlign w:val="subscript"/>
        </w:rPr>
        <w:t>2</w:t>
      </w:r>
      <w:r>
        <w:t xml:space="preserve">-Reduzierung in ausgewogener Weise sowohl die </w:t>
      </w:r>
      <w:r>
        <w:rPr>
          <w:b/>
        </w:rPr>
        <w:t>CO</w:t>
      </w:r>
      <w:r>
        <w:rPr>
          <w:b/>
          <w:vertAlign w:val="subscript"/>
        </w:rPr>
        <w:t>2</w:t>
      </w:r>
      <w:r>
        <w:rPr>
          <w:b/>
        </w:rPr>
        <w:t>-Entnahme als auch die CO</w:t>
      </w:r>
      <w:r>
        <w:rPr>
          <w:b/>
          <w:vertAlign w:val="subscript"/>
        </w:rPr>
        <w:t>2</w:t>
      </w:r>
      <w:r>
        <w:rPr>
          <w:b/>
        </w:rPr>
        <w:t>-Vermeidung</w:t>
      </w:r>
      <w:r>
        <w:t xml:space="preserve"> umfassen sollten. </w:t>
      </w:r>
      <w:r>
        <w:rPr>
          <w:b/>
        </w:rPr>
        <w:t>Die CO</w:t>
      </w:r>
      <w:r>
        <w:rPr>
          <w:b/>
          <w:vertAlign w:val="subscript"/>
        </w:rPr>
        <w:t>2</w:t>
      </w:r>
      <w:r>
        <w:rPr>
          <w:b/>
        </w:rPr>
        <w:t>-Vermeidung wird</w:t>
      </w:r>
      <w:r>
        <w:t xml:space="preserve"> jedoch </w:t>
      </w:r>
      <w:r>
        <w:rPr>
          <w:b/>
        </w:rPr>
        <w:t>derzeit nicht ausreichend gefördert</w:t>
      </w:r>
      <w:r>
        <w:t>;</w:t>
      </w:r>
    </w:p>
    <w:p w:rsidRPr="000120E1" w:rsidR="000120E1" w:rsidP="000178D3" w:rsidRDefault="000120E1" w14:paraId="44EC1EE2" w14:textId="77777777">
      <w:pPr>
        <w:numPr>
          <w:ilvl w:val="0"/>
          <w:numId w:val="26"/>
        </w:numPr>
        <w:ind w:left="284" w:hanging="284"/>
        <w:contextualSpacing/>
        <w:rPr>
          <w:rFonts w:eastAsiaTheme="minorHAnsi"/>
        </w:rPr>
      </w:pPr>
      <w:r>
        <w:t xml:space="preserve">empfiehlt, </w:t>
      </w:r>
      <w:r>
        <w:rPr>
          <w:b/>
        </w:rPr>
        <w:t>ein neues, gesondertes, gut konzipiertes, hochintegriertes und solides Gutschriftensystem für die CO</w:t>
      </w:r>
      <w:r>
        <w:rPr>
          <w:b/>
          <w:vertAlign w:val="subscript"/>
        </w:rPr>
        <w:t>2</w:t>
      </w:r>
      <w:r>
        <w:rPr>
          <w:b/>
        </w:rPr>
        <w:t>-Vermeidung zu schaffen</w:t>
      </w:r>
      <w:r>
        <w:t>, das Anreize für die Dekarbonisierung bietet;</w:t>
      </w:r>
    </w:p>
    <w:p w:rsidRPr="000120E1" w:rsidR="000120E1" w:rsidP="000178D3" w:rsidRDefault="000120E1" w14:paraId="31699FAA" w14:textId="77777777">
      <w:pPr>
        <w:numPr>
          <w:ilvl w:val="0"/>
          <w:numId w:val="26"/>
        </w:numPr>
        <w:ind w:left="284" w:hanging="284"/>
        <w:contextualSpacing/>
        <w:rPr>
          <w:rFonts w:eastAsiaTheme="minorHAnsi"/>
        </w:rPr>
      </w:pPr>
      <w:r>
        <w:t xml:space="preserve">weist darauf hin, dass </w:t>
      </w:r>
      <w:r>
        <w:rPr>
          <w:b/>
        </w:rPr>
        <w:t>die Zertifikate im Rahmen des EU-Emissionshandelssystems (EHS) nicht als „Gutschriften“ verwendet werden sollten</w:t>
      </w:r>
      <w:r>
        <w:t>, da dies die aktuelle Marktorientierung des CO</w:t>
      </w:r>
      <w:r>
        <w:rPr>
          <w:vertAlign w:val="subscript"/>
        </w:rPr>
        <w:t>2</w:t>
      </w:r>
      <w:r>
        <w:t>-Handelssystems der EU untergraben könnte.</w:t>
      </w:r>
    </w:p>
    <w:p w:rsidRPr="000120E1" w:rsidR="00DD6D07" w:rsidP="000178D3" w:rsidRDefault="00DD6D07" w14:paraId="4FF166B9" w14:textId="77777777">
      <w:pPr>
        <w:ind w:left="720"/>
        <w:contextualSpacing/>
        <w:jc w:val="left"/>
        <w:rPr>
          <w:rFonts w:eastAsiaTheme="minorHAnsi"/>
        </w:rPr>
      </w:pPr>
    </w:p>
    <w:tbl>
      <w:tblPr>
        <w:tblStyle w:val="TableGrid222"/>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25"/>
        <w:gridCol w:w="4906"/>
      </w:tblGrid>
      <w:tr w:rsidRPr="000120E1" w:rsidR="000120E1" w:rsidTr="002802BB" w14:paraId="5D2D90F0" w14:textId="77777777">
        <w:tc>
          <w:tcPr>
            <w:tcW w:w="1186" w:type="pct"/>
          </w:tcPr>
          <w:p w:rsidRPr="00DC0FAE" w:rsidR="000120E1" w:rsidP="000178D3" w:rsidRDefault="000120E1" w14:paraId="0F7EFF96" w14:textId="77777777">
            <w:pPr>
              <w:jc w:val="left"/>
              <w:rPr>
                <w:rFonts w:eastAsiaTheme="minorHAnsi"/>
                <w:i/>
              </w:rPr>
            </w:pPr>
            <w:r>
              <w:rPr>
                <w:b/>
                <w:i/>
              </w:rPr>
              <w:t>Kontakt</w:t>
            </w:r>
          </w:p>
        </w:tc>
        <w:tc>
          <w:tcPr>
            <w:tcW w:w="3814" w:type="pct"/>
            <w:tcBorders>
              <w:left w:val="nil"/>
            </w:tcBorders>
          </w:tcPr>
          <w:p w:rsidRPr="00DC0FAE" w:rsidR="000120E1" w:rsidP="000178D3" w:rsidRDefault="000120E1" w14:paraId="161FCDF9" w14:textId="041A1233">
            <w:pPr>
              <w:jc w:val="left"/>
              <w:rPr>
                <w:rFonts w:eastAsiaTheme="minorHAnsi"/>
                <w:i/>
              </w:rPr>
            </w:pPr>
            <w:r>
              <w:rPr>
                <w:i/>
              </w:rPr>
              <w:t xml:space="preserve">Adam </w:t>
            </w:r>
            <w:proofErr w:type="spellStart"/>
            <w:r>
              <w:rPr>
                <w:i/>
              </w:rPr>
              <w:t>Dorywalski</w:t>
            </w:r>
            <w:proofErr w:type="spellEnd"/>
          </w:p>
        </w:tc>
      </w:tr>
      <w:tr w:rsidRPr="000120E1" w:rsidR="000120E1" w:rsidTr="002802BB" w14:paraId="4F400A68" w14:textId="77777777">
        <w:tc>
          <w:tcPr>
            <w:tcW w:w="1186" w:type="pct"/>
          </w:tcPr>
          <w:p w:rsidRPr="00DC0FAE" w:rsidR="000120E1" w:rsidP="000178D3" w:rsidRDefault="000120E1" w14:paraId="381E2BF8" w14:textId="77777777">
            <w:pPr>
              <w:jc w:val="left"/>
              <w:rPr>
                <w:rFonts w:eastAsiaTheme="minorHAnsi"/>
                <w:i/>
              </w:rPr>
            </w:pPr>
            <w:r>
              <w:rPr>
                <w:i/>
              </w:rPr>
              <w:t xml:space="preserve">Tel. </w:t>
            </w:r>
          </w:p>
        </w:tc>
        <w:tc>
          <w:tcPr>
            <w:tcW w:w="3814" w:type="pct"/>
            <w:tcBorders>
              <w:left w:val="nil"/>
            </w:tcBorders>
          </w:tcPr>
          <w:p w:rsidRPr="00DC0FAE" w:rsidR="000120E1" w:rsidP="000178D3" w:rsidRDefault="000120E1" w14:paraId="78898855" w14:textId="77777777">
            <w:pPr>
              <w:jc w:val="left"/>
              <w:rPr>
                <w:rFonts w:eastAsiaTheme="minorHAnsi"/>
                <w:i/>
              </w:rPr>
            </w:pPr>
            <w:r>
              <w:rPr>
                <w:i/>
              </w:rPr>
              <w:t>+32 25469397</w:t>
            </w:r>
          </w:p>
        </w:tc>
      </w:tr>
      <w:tr w:rsidRPr="000120E1" w:rsidR="000120E1" w:rsidTr="002802BB" w14:paraId="63DC3EB7" w14:textId="77777777">
        <w:tc>
          <w:tcPr>
            <w:tcW w:w="1186" w:type="pct"/>
          </w:tcPr>
          <w:p w:rsidRPr="00DC0FAE" w:rsidR="000120E1" w:rsidP="000178D3" w:rsidRDefault="00DD6D07" w14:paraId="66DC166A" w14:textId="68F50A4B">
            <w:pPr>
              <w:jc w:val="left"/>
              <w:rPr>
                <w:rFonts w:eastAsiaTheme="minorHAnsi"/>
                <w:i/>
                <w:iCs/>
              </w:rPr>
            </w:pPr>
            <w:r>
              <w:rPr>
                <w:i/>
              </w:rPr>
              <w:t>E-Mail</w:t>
            </w:r>
          </w:p>
        </w:tc>
        <w:tc>
          <w:tcPr>
            <w:tcW w:w="3814" w:type="pct"/>
            <w:tcBorders>
              <w:left w:val="nil"/>
            </w:tcBorders>
          </w:tcPr>
          <w:p w:rsidRPr="00DC0FAE" w:rsidR="000120E1" w:rsidP="000178D3" w:rsidRDefault="00D35CF0" w14:paraId="2454CA29" w14:textId="77777777">
            <w:pPr>
              <w:jc w:val="left"/>
              <w:rPr>
                <w:rFonts w:eastAsiaTheme="minorHAnsi"/>
                <w:i/>
                <w:iCs/>
              </w:rPr>
            </w:pPr>
            <w:hyperlink w:history="1" r:id="rId41">
              <w:r w:rsidR="00D63208">
                <w:rPr>
                  <w:i/>
                  <w:color w:val="0000FF"/>
                  <w:u w:val="single"/>
                </w:rPr>
                <w:t>Adam.Dorywalski@eesc.europa.eu</w:t>
              </w:r>
            </w:hyperlink>
          </w:p>
        </w:tc>
      </w:tr>
    </w:tbl>
    <w:p w:rsidR="00B612CA" w:rsidP="000178D3" w:rsidRDefault="00B612CA" w14:paraId="761EE0FB" w14:textId="19A9F226">
      <w:pPr>
        <w:overflowPunct w:val="0"/>
        <w:autoSpaceDE w:val="0"/>
        <w:autoSpaceDN w:val="0"/>
        <w:adjustRightInd w:val="0"/>
        <w:jc w:val="left"/>
        <w:textAlignment w:val="baseline"/>
        <w:rPr>
          <w:lang w:val="nl-BE"/>
        </w:rPr>
      </w:pPr>
    </w:p>
    <w:p w:rsidR="003C2FB3" w:rsidP="000178D3" w:rsidRDefault="003C2FB3" w14:paraId="27BB641D" w14:textId="1147CAD7">
      <w:pPr>
        <w:jc w:val="left"/>
      </w:pPr>
      <w:r>
        <w:br w:type="page"/>
      </w:r>
    </w:p>
    <w:p w:rsidRPr="003C2FB3" w:rsidR="003C2FB3" w:rsidP="000178D3" w:rsidRDefault="00D35CF0" w14:paraId="2D57F018" w14:textId="51961DE6">
      <w:pPr>
        <w:widowControl w:val="0"/>
        <w:numPr>
          <w:ilvl w:val="0"/>
          <w:numId w:val="7"/>
        </w:numPr>
        <w:overflowPunct w:val="0"/>
        <w:autoSpaceDE w:val="0"/>
        <w:autoSpaceDN w:val="0"/>
        <w:adjustRightInd w:val="0"/>
        <w:ind w:hanging="567"/>
        <w:textAlignment w:val="baseline"/>
        <w:rPr>
          <w:sz w:val="20"/>
          <w:szCs w:val="20"/>
        </w:rPr>
      </w:pPr>
      <w:hyperlink w:history="1" r:id="rId42">
        <w:r w:rsidR="00136442">
          <w:rPr>
            <w:b/>
            <w:i/>
            <w:color w:val="0000FF"/>
            <w:sz w:val="28"/>
            <w:u w:val="single"/>
          </w:rPr>
          <w:t>Strategie für die europäische Verteidigungsindustrie</w:t>
        </w:r>
      </w:hyperlink>
    </w:p>
    <w:p w:rsidRPr="003C2FB3" w:rsidR="003C2FB3" w:rsidP="000178D3" w:rsidRDefault="003C2FB3" w14:paraId="4611B857" w14:textId="0220734C">
      <w:pPr>
        <w:tabs>
          <w:tab w:val="center" w:pos="284"/>
        </w:tabs>
        <w:overflowPunct w:val="0"/>
        <w:autoSpaceDE w:val="0"/>
        <w:autoSpaceDN w:val="0"/>
        <w:adjustRightInd w:val="0"/>
        <w:ind w:left="266" w:hanging="266"/>
        <w:textAlignment w:val="baseline"/>
        <w:rPr>
          <w:b/>
        </w:rPr>
      </w:pPr>
    </w:p>
    <w:tbl>
      <w:tblPr>
        <w:tblStyle w:val="TableGrid223"/>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10"/>
        <w:gridCol w:w="6607"/>
      </w:tblGrid>
      <w:tr w:rsidRPr="000178D3" w:rsidR="003C2FB3" w:rsidTr="00FE3058" w14:paraId="30A6177E" w14:textId="77777777">
        <w:tc>
          <w:tcPr>
            <w:tcW w:w="1148" w:type="pct"/>
          </w:tcPr>
          <w:p w:rsidRPr="000178D3" w:rsidR="003C2FB3" w:rsidP="000178D3" w:rsidRDefault="003C2FB3" w14:paraId="77A7B517" w14:textId="77777777">
            <w:pPr>
              <w:tabs>
                <w:tab w:val="center" w:pos="284"/>
              </w:tabs>
              <w:overflowPunct w:val="0"/>
              <w:autoSpaceDE w:val="0"/>
              <w:autoSpaceDN w:val="0"/>
              <w:adjustRightInd w:val="0"/>
              <w:ind w:left="266" w:hanging="266"/>
              <w:textAlignment w:val="baseline"/>
              <w:rPr>
                <w:b/>
                <w:sz w:val="22"/>
                <w:szCs w:val="22"/>
              </w:rPr>
            </w:pPr>
            <w:r w:rsidRPr="000178D3">
              <w:rPr>
                <w:b/>
                <w:sz w:val="22"/>
                <w:szCs w:val="22"/>
              </w:rPr>
              <w:t>Berichterstatter</w:t>
            </w:r>
          </w:p>
        </w:tc>
        <w:tc>
          <w:tcPr>
            <w:tcW w:w="3852" w:type="pct"/>
          </w:tcPr>
          <w:p w:rsidRPr="000178D3" w:rsidR="003C2FB3" w:rsidP="000178D3" w:rsidRDefault="003C2FB3" w14:paraId="77DB3C52" w14:textId="0705E08B">
            <w:pPr>
              <w:tabs>
                <w:tab w:val="center" w:pos="284"/>
              </w:tabs>
              <w:overflowPunct w:val="0"/>
              <w:autoSpaceDE w:val="0"/>
              <w:autoSpaceDN w:val="0"/>
              <w:adjustRightInd w:val="0"/>
              <w:ind w:left="266" w:hanging="266"/>
              <w:textAlignment w:val="baseline"/>
              <w:rPr>
                <w:sz w:val="22"/>
                <w:szCs w:val="22"/>
              </w:rPr>
            </w:pPr>
            <w:r w:rsidRPr="000178D3">
              <w:rPr>
                <w:sz w:val="22"/>
                <w:szCs w:val="22"/>
              </w:rPr>
              <w:t>Maurizio MENSI (Gruppe Organisationen der Zivilgesellschaft – IT)</w:t>
            </w:r>
          </w:p>
        </w:tc>
      </w:tr>
      <w:tr w:rsidRPr="000178D3" w:rsidR="003C2FB3" w:rsidTr="00FE3058" w14:paraId="4330C7A8" w14:textId="77777777">
        <w:tc>
          <w:tcPr>
            <w:tcW w:w="1148" w:type="pct"/>
          </w:tcPr>
          <w:p w:rsidRPr="000178D3" w:rsidR="003C2FB3" w:rsidP="000178D3" w:rsidRDefault="003C2FB3" w14:paraId="6EE0006E" w14:textId="77777777">
            <w:pPr>
              <w:tabs>
                <w:tab w:val="center" w:pos="284"/>
              </w:tabs>
              <w:overflowPunct w:val="0"/>
              <w:autoSpaceDE w:val="0"/>
              <w:autoSpaceDN w:val="0"/>
              <w:adjustRightInd w:val="0"/>
              <w:ind w:left="266" w:hanging="266"/>
              <w:textAlignment w:val="baseline"/>
              <w:rPr>
                <w:b/>
                <w:sz w:val="22"/>
                <w:szCs w:val="22"/>
              </w:rPr>
            </w:pPr>
            <w:r w:rsidRPr="000178D3">
              <w:rPr>
                <w:b/>
                <w:sz w:val="22"/>
                <w:szCs w:val="22"/>
              </w:rPr>
              <w:t>Ko-Berichterstatter</w:t>
            </w:r>
          </w:p>
        </w:tc>
        <w:tc>
          <w:tcPr>
            <w:tcW w:w="3852" w:type="pct"/>
          </w:tcPr>
          <w:p w:rsidRPr="000178D3" w:rsidR="003C2FB3" w:rsidP="000178D3" w:rsidRDefault="003C2FB3" w14:paraId="227D7CFD" w14:textId="0783DBC3">
            <w:pPr>
              <w:tabs>
                <w:tab w:val="center" w:pos="284"/>
              </w:tabs>
              <w:overflowPunct w:val="0"/>
              <w:autoSpaceDE w:val="0"/>
              <w:autoSpaceDN w:val="0"/>
              <w:adjustRightInd w:val="0"/>
              <w:ind w:left="266" w:hanging="266"/>
              <w:textAlignment w:val="baseline"/>
              <w:rPr>
                <w:sz w:val="22"/>
                <w:szCs w:val="22"/>
              </w:rPr>
            </w:pPr>
            <w:r w:rsidRPr="000178D3">
              <w:rPr>
                <w:sz w:val="22"/>
                <w:szCs w:val="22"/>
              </w:rPr>
              <w:t>Jan PIE (Kat. 1 – SE)</w:t>
            </w:r>
          </w:p>
        </w:tc>
      </w:tr>
      <w:tr w:rsidRPr="000178D3" w:rsidR="003C2FB3" w:rsidTr="00FE3058" w14:paraId="5B13BE6E" w14:textId="77777777">
        <w:tc>
          <w:tcPr>
            <w:tcW w:w="5000" w:type="pct"/>
            <w:gridSpan w:val="2"/>
          </w:tcPr>
          <w:p w:rsidRPr="000178D3" w:rsidR="003C2FB3" w:rsidP="000178D3" w:rsidRDefault="003C2FB3" w14:paraId="41685864" w14:textId="77777777">
            <w:pPr>
              <w:tabs>
                <w:tab w:val="center" w:pos="284"/>
              </w:tabs>
              <w:overflowPunct w:val="0"/>
              <w:autoSpaceDE w:val="0"/>
              <w:autoSpaceDN w:val="0"/>
              <w:adjustRightInd w:val="0"/>
              <w:ind w:left="266" w:hanging="266"/>
              <w:textAlignment w:val="baseline"/>
              <w:rPr>
                <w:sz w:val="10"/>
                <w:szCs w:val="10"/>
              </w:rPr>
            </w:pPr>
          </w:p>
        </w:tc>
      </w:tr>
      <w:tr w:rsidRPr="000178D3" w:rsidR="003C2FB3" w:rsidTr="00FE3058" w14:paraId="53790FDC" w14:textId="77777777">
        <w:tc>
          <w:tcPr>
            <w:tcW w:w="1148" w:type="pct"/>
          </w:tcPr>
          <w:p w:rsidRPr="000178D3" w:rsidR="003C2FB3" w:rsidP="000178D3" w:rsidRDefault="003C2FB3" w14:paraId="1F7D7474" w14:textId="77777777">
            <w:pPr>
              <w:tabs>
                <w:tab w:val="center" w:pos="284"/>
              </w:tabs>
              <w:overflowPunct w:val="0"/>
              <w:autoSpaceDE w:val="0"/>
              <w:autoSpaceDN w:val="0"/>
              <w:adjustRightInd w:val="0"/>
              <w:ind w:left="266" w:hanging="266"/>
              <w:textAlignment w:val="baseline"/>
              <w:rPr>
                <w:b/>
                <w:sz w:val="22"/>
                <w:szCs w:val="22"/>
              </w:rPr>
            </w:pPr>
            <w:r w:rsidRPr="000178D3">
              <w:rPr>
                <w:b/>
                <w:sz w:val="22"/>
                <w:szCs w:val="22"/>
              </w:rPr>
              <w:t>Referenzdokumente</w:t>
            </w:r>
          </w:p>
        </w:tc>
        <w:tc>
          <w:tcPr>
            <w:tcW w:w="3852" w:type="pct"/>
          </w:tcPr>
          <w:p w:rsidRPr="000178D3" w:rsidR="00DD6911" w:rsidP="000178D3" w:rsidRDefault="00DD6911" w14:paraId="716A7B7A" w14:textId="397FFFB3">
            <w:pPr>
              <w:tabs>
                <w:tab w:val="center" w:pos="284"/>
              </w:tabs>
              <w:overflowPunct w:val="0"/>
              <w:autoSpaceDE w:val="0"/>
              <w:autoSpaceDN w:val="0"/>
              <w:adjustRightInd w:val="0"/>
              <w:ind w:left="266" w:hanging="266"/>
              <w:textAlignment w:val="baseline"/>
              <w:rPr>
                <w:sz w:val="22"/>
                <w:szCs w:val="22"/>
              </w:rPr>
            </w:pPr>
            <w:r w:rsidRPr="000178D3">
              <w:rPr>
                <w:sz w:val="22"/>
                <w:szCs w:val="22"/>
              </w:rPr>
              <w:t>JOIN(2024) 10 final</w:t>
            </w:r>
          </w:p>
          <w:p w:rsidRPr="000178D3" w:rsidR="003C2FB3" w:rsidP="000178D3" w:rsidRDefault="003C2FB3" w14:paraId="2AE94E99" w14:textId="68928235">
            <w:pPr>
              <w:tabs>
                <w:tab w:val="center" w:pos="284"/>
              </w:tabs>
              <w:overflowPunct w:val="0"/>
              <w:autoSpaceDE w:val="0"/>
              <w:autoSpaceDN w:val="0"/>
              <w:adjustRightInd w:val="0"/>
              <w:ind w:left="266" w:hanging="266"/>
              <w:textAlignment w:val="baseline"/>
              <w:rPr>
                <w:sz w:val="22"/>
                <w:szCs w:val="22"/>
              </w:rPr>
            </w:pPr>
            <w:r w:rsidRPr="000178D3">
              <w:rPr>
                <w:sz w:val="22"/>
                <w:szCs w:val="22"/>
              </w:rPr>
              <w:t>EESC-2024-00782-00-00-AC</w:t>
            </w:r>
          </w:p>
        </w:tc>
      </w:tr>
    </w:tbl>
    <w:p w:rsidRPr="003C2FB3" w:rsidR="003C2FB3" w:rsidP="000178D3" w:rsidRDefault="003C2FB3" w14:paraId="66624150" w14:textId="77777777">
      <w:pPr>
        <w:tabs>
          <w:tab w:val="center" w:pos="284"/>
        </w:tabs>
        <w:overflowPunct w:val="0"/>
        <w:autoSpaceDE w:val="0"/>
        <w:autoSpaceDN w:val="0"/>
        <w:adjustRightInd w:val="0"/>
        <w:ind w:left="266" w:hanging="266"/>
        <w:textAlignment w:val="baseline"/>
      </w:pPr>
    </w:p>
    <w:p w:rsidRPr="003C2FB3" w:rsidR="003C2FB3" w:rsidP="000178D3" w:rsidRDefault="003C2FB3" w14:paraId="62708475" w14:textId="77777777">
      <w:pPr>
        <w:keepNext/>
        <w:keepLines/>
        <w:tabs>
          <w:tab w:val="center" w:pos="284"/>
        </w:tabs>
        <w:overflowPunct w:val="0"/>
        <w:autoSpaceDE w:val="0"/>
        <w:autoSpaceDN w:val="0"/>
        <w:adjustRightInd w:val="0"/>
        <w:ind w:left="266" w:hanging="266"/>
        <w:textAlignment w:val="baseline"/>
        <w:rPr>
          <w:b/>
        </w:rPr>
      </w:pPr>
      <w:r>
        <w:rPr>
          <w:b/>
        </w:rPr>
        <w:t>Kernaussagen</w:t>
      </w:r>
    </w:p>
    <w:p w:rsidRPr="003C2FB3" w:rsidR="003C2FB3" w:rsidP="000178D3" w:rsidRDefault="003C2FB3" w14:paraId="11967A03" w14:textId="77777777">
      <w:pPr>
        <w:keepNext/>
        <w:keepLines/>
        <w:tabs>
          <w:tab w:val="center" w:pos="284"/>
        </w:tabs>
        <w:overflowPunct w:val="0"/>
        <w:autoSpaceDE w:val="0"/>
        <w:autoSpaceDN w:val="0"/>
        <w:adjustRightInd w:val="0"/>
        <w:ind w:left="266" w:hanging="266"/>
        <w:textAlignment w:val="baseline"/>
        <w:rPr>
          <w:b/>
        </w:rPr>
      </w:pPr>
    </w:p>
    <w:p w:rsidRPr="003C2FB3" w:rsidR="003C2FB3" w:rsidP="000178D3" w:rsidRDefault="003C2FB3" w14:paraId="54D38215" w14:textId="77777777">
      <w:pPr>
        <w:overflowPunct w:val="0"/>
        <w:autoSpaceDE w:val="0"/>
        <w:autoSpaceDN w:val="0"/>
        <w:adjustRightInd w:val="0"/>
        <w:textAlignment w:val="baseline"/>
        <w:rPr>
          <w:bCs/>
          <w:iCs/>
        </w:rPr>
      </w:pPr>
      <w:r>
        <w:t>Der EWSA:</w:t>
      </w:r>
    </w:p>
    <w:p w:rsidRPr="003C2FB3" w:rsidR="003C2FB3" w:rsidP="000178D3" w:rsidRDefault="003C2FB3" w14:paraId="513233EC" w14:textId="77777777">
      <w:pPr>
        <w:overflowPunct w:val="0"/>
        <w:autoSpaceDE w:val="0"/>
        <w:autoSpaceDN w:val="0"/>
        <w:adjustRightInd w:val="0"/>
        <w:ind w:left="567" w:hanging="567"/>
        <w:textAlignment w:val="baseline"/>
        <w:rPr>
          <w:szCs w:val="20"/>
        </w:rPr>
      </w:pPr>
    </w:p>
    <w:p w:rsidRPr="003C2FB3" w:rsidR="003C2FB3" w:rsidP="000178D3" w:rsidRDefault="003C2FB3" w14:paraId="0DFECBD7" w14:textId="77777777">
      <w:pPr>
        <w:widowControl w:val="0"/>
        <w:numPr>
          <w:ilvl w:val="0"/>
          <w:numId w:val="27"/>
        </w:numPr>
        <w:overflowPunct w:val="0"/>
        <w:autoSpaceDE w:val="0"/>
        <w:autoSpaceDN w:val="0"/>
        <w:adjustRightInd w:val="0"/>
        <w:ind w:left="284" w:hanging="284"/>
        <w:textAlignment w:val="baseline"/>
        <w:rPr>
          <w:bCs/>
          <w:iCs/>
        </w:rPr>
      </w:pPr>
      <w:r>
        <w:t>begrüßt die Strategie für die europäische Verteidigungsindustrie als wichtigen Schritt zur Stärkung der Verteidigungsbereitschaft Europas und damit seiner Fähigkeit, seine Bürgerinnen und Bürger, sein Hoheitsgebiet, seine Grundwerte und seine Lebensweise zu schützen;</w:t>
      </w:r>
    </w:p>
    <w:p w:rsidRPr="003C2FB3" w:rsidR="003C2FB3" w:rsidP="000178D3" w:rsidRDefault="003C2FB3" w14:paraId="02DEA830" w14:textId="77777777">
      <w:pPr>
        <w:widowControl w:val="0"/>
        <w:numPr>
          <w:ilvl w:val="0"/>
          <w:numId w:val="27"/>
        </w:numPr>
        <w:overflowPunct w:val="0"/>
        <w:autoSpaceDE w:val="0"/>
        <w:autoSpaceDN w:val="0"/>
        <w:adjustRightInd w:val="0"/>
        <w:ind w:left="284" w:hanging="284"/>
        <w:textAlignment w:val="baseline"/>
        <w:rPr>
          <w:bCs/>
          <w:iCs/>
        </w:rPr>
      </w:pPr>
      <w:r>
        <w:t>begrüßt die Akzentverschiebung von Sofortmaßnahmen hin zu einer längerfristigen, strukturellen Reaktion. Insbesondere begrüßt er den Schwerpunkt, dass der europäische Bedarf stärker aus europäischen Quellen gedeckt werden muss;</w:t>
      </w:r>
    </w:p>
    <w:p w:rsidRPr="003C2FB3" w:rsidR="003C2FB3" w:rsidP="000178D3" w:rsidRDefault="003C2FB3" w14:paraId="32E6EBF1" w14:textId="77777777">
      <w:pPr>
        <w:widowControl w:val="0"/>
        <w:numPr>
          <w:ilvl w:val="0"/>
          <w:numId w:val="27"/>
        </w:numPr>
        <w:overflowPunct w:val="0"/>
        <w:autoSpaceDE w:val="0"/>
        <w:autoSpaceDN w:val="0"/>
        <w:adjustRightInd w:val="0"/>
        <w:ind w:left="284" w:hanging="284"/>
        <w:textAlignment w:val="baseline"/>
        <w:rPr>
          <w:bCs/>
          <w:iCs/>
        </w:rPr>
      </w:pPr>
      <w:r>
        <w:t>betont, wie wichtig es für die Verwirklichung der Ziele der Strategie ist, dass Partnerschaften mit befreundeten Ländern, die dieselben Werte teilen, genutzt werden;</w:t>
      </w:r>
    </w:p>
    <w:p w:rsidRPr="003C2FB3" w:rsidR="003C2FB3" w:rsidP="000178D3" w:rsidRDefault="003C2FB3" w14:paraId="5FF6405D" w14:textId="77777777">
      <w:pPr>
        <w:widowControl w:val="0"/>
        <w:numPr>
          <w:ilvl w:val="0"/>
          <w:numId w:val="27"/>
        </w:numPr>
        <w:overflowPunct w:val="0"/>
        <w:autoSpaceDE w:val="0"/>
        <w:autoSpaceDN w:val="0"/>
        <w:adjustRightInd w:val="0"/>
        <w:ind w:left="284" w:hanging="284"/>
        <w:textAlignment w:val="baseline"/>
        <w:rPr>
          <w:bCs/>
          <w:iCs/>
        </w:rPr>
      </w:pPr>
      <w:r>
        <w:t>bringt sein Bedauern darüber zum Ausdruck, dass die Strategie nicht auf die Wahrnehmung seitens der Öffentlichkeit eingeht, die ein zentraler Faktor in demokratischen Gesellschaften ist;</w:t>
      </w:r>
    </w:p>
    <w:p w:rsidRPr="003C2FB3" w:rsidR="003C2FB3" w:rsidP="000178D3" w:rsidRDefault="003C2FB3" w14:paraId="05100907" w14:textId="77777777">
      <w:pPr>
        <w:widowControl w:val="0"/>
        <w:numPr>
          <w:ilvl w:val="0"/>
          <w:numId w:val="27"/>
        </w:numPr>
        <w:overflowPunct w:val="0"/>
        <w:autoSpaceDE w:val="0"/>
        <w:autoSpaceDN w:val="0"/>
        <w:adjustRightInd w:val="0"/>
        <w:ind w:left="284" w:hanging="284"/>
        <w:textAlignment w:val="baseline"/>
        <w:rPr>
          <w:bCs/>
          <w:iCs/>
        </w:rPr>
      </w:pPr>
      <w:r>
        <w:t>konstatiert, dass das entscheidende Instrument für die Umsetzung der Strategie – das EDIP – wahrscheinlich nicht vor Ende 2025 einsatzbereit sein wird. Daher muss die Strategie durch andere, kurzfristige Maßnahmen ergänzt werden, die auf die Deckung des unmittelbaren Bedarfs abzielen.</w:t>
      </w:r>
    </w:p>
    <w:p w:rsidRPr="003C2FB3" w:rsidR="003C2FB3" w:rsidP="000178D3" w:rsidRDefault="003C2FB3" w14:paraId="533711D5" w14:textId="77777777">
      <w:pPr>
        <w:widowControl w:val="0"/>
        <w:numPr>
          <w:ilvl w:val="0"/>
          <w:numId w:val="27"/>
        </w:numPr>
        <w:overflowPunct w:val="0"/>
        <w:autoSpaceDE w:val="0"/>
        <w:autoSpaceDN w:val="0"/>
        <w:adjustRightInd w:val="0"/>
        <w:ind w:left="284" w:hanging="284"/>
        <w:textAlignment w:val="baseline"/>
        <w:rPr>
          <w:bCs/>
          <w:iCs/>
        </w:rPr>
      </w:pPr>
      <w:r>
        <w:t>appelliert an die Mitgliedstaaten, der Aufforderung der Kommission nachzukommen und kurzfristig nach Möglichkeiten zu suchen, wie mit den verfügbaren Instrumenten umfangreiche gemeinsame Beschaffungsmaßnahmen im Verteidigungsbereich, die erhebliche Ausweitung der EDTIB und die Inangriffnahme wegweisender Verteidigungsprojekte forciert werden können;</w:t>
      </w:r>
    </w:p>
    <w:p w:rsidRPr="003C2FB3" w:rsidR="003C2FB3" w:rsidP="000178D3" w:rsidRDefault="003C2FB3" w14:paraId="02B3EC61" w14:textId="77777777">
      <w:pPr>
        <w:widowControl w:val="0"/>
        <w:numPr>
          <w:ilvl w:val="0"/>
          <w:numId w:val="27"/>
        </w:numPr>
        <w:overflowPunct w:val="0"/>
        <w:autoSpaceDE w:val="0"/>
        <w:autoSpaceDN w:val="0"/>
        <w:adjustRightInd w:val="0"/>
        <w:ind w:left="284" w:hanging="284"/>
        <w:textAlignment w:val="baseline"/>
        <w:rPr>
          <w:bCs/>
          <w:iCs/>
        </w:rPr>
      </w:pPr>
      <w:r>
        <w:t>vertritt die Auffassung, dass es sowohl aus industrieller als auch aus strategischer Sicht von größter Bedeutung ist, dafür Sorge zu tragen, dass die Verteidigungsindustrie Zugang zu Fachwissen, Technologie und Forschung hat;</w:t>
      </w:r>
    </w:p>
    <w:p w:rsidRPr="003C2FB3" w:rsidR="003C2FB3" w:rsidP="000178D3" w:rsidRDefault="003C2FB3" w14:paraId="4B7FEA1A" w14:textId="77777777">
      <w:pPr>
        <w:widowControl w:val="0"/>
        <w:numPr>
          <w:ilvl w:val="0"/>
          <w:numId w:val="27"/>
        </w:numPr>
        <w:overflowPunct w:val="0"/>
        <w:autoSpaceDE w:val="0"/>
        <w:autoSpaceDN w:val="0"/>
        <w:adjustRightInd w:val="0"/>
        <w:ind w:left="284" w:hanging="284"/>
        <w:textAlignment w:val="baseline"/>
        <w:rPr>
          <w:bCs/>
          <w:iCs/>
        </w:rPr>
      </w:pPr>
      <w:r>
        <w:t>unterstreicht, dass der Erfolg der Strategie in erster Linie davon abhängt, dass sich die Mitgliedstaaten uneingeschränkt daran beteiligen und dass ihnen der Mehrwert eines europäischen Ansatzes bewusst ist.</w:t>
      </w:r>
    </w:p>
    <w:p w:rsidRPr="003C2FB3" w:rsidR="003C2FB3" w:rsidP="000178D3" w:rsidRDefault="003C2FB3" w14:paraId="0544CF61" w14:textId="77777777">
      <w:pPr>
        <w:widowControl w:val="0"/>
        <w:overflowPunct w:val="0"/>
        <w:autoSpaceDE w:val="0"/>
        <w:autoSpaceDN w:val="0"/>
        <w:adjustRightInd w:val="0"/>
        <w:ind w:left="709"/>
        <w:textAlignment w:val="baseline"/>
        <w:rPr>
          <w:szCs w:val="20"/>
        </w:rPr>
      </w:pPr>
    </w:p>
    <w:tbl>
      <w:tblPr>
        <w:tblStyle w:val="TableGrid223"/>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384"/>
        <w:gridCol w:w="5047"/>
      </w:tblGrid>
      <w:tr w:rsidRPr="003C2FB3" w:rsidR="003C2FB3" w:rsidTr="002802BB" w14:paraId="0D2CEC95" w14:textId="77777777">
        <w:tc>
          <w:tcPr>
            <w:tcW w:w="1076" w:type="pct"/>
          </w:tcPr>
          <w:p w:rsidRPr="003C2FB3" w:rsidR="003C2FB3" w:rsidP="000178D3" w:rsidRDefault="003C2FB3" w14:paraId="3BD45DE2" w14:textId="77777777">
            <w:pPr>
              <w:overflowPunct w:val="0"/>
              <w:autoSpaceDE w:val="0"/>
              <w:autoSpaceDN w:val="0"/>
              <w:adjustRightInd w:val="0"/>
              <w:textAlignment w:val="baseline"/>
              <w:rPr>
                <w:i/>
              </w:rPr>
            </w:pPr>
            <w:r>
              <w:rPr>
                <w:b/>
                <w:i/>
              </w:rPr>
              <w:t>Kontakt</w:t>
            </w:r>
          </w:p>
        </w:tc>
        <w:tc>
          <w:tcPr>
            <w:tcW w:w="3924" w:type="pct"/>
          </w:tcPr>
          <w:p w:rsidRPr="00DC0FAE" w:rsidR="003C2FB3" w:rsidP="000178D3" w:rsidRDefault="003C2FB3" w14:paraId="5D226FEE" w14:textId="7F8C40FE">
            <w:pPr>
              <w:overflowPunct w:val="0"/>
              <w:autoSpaceDE w:val="0"/>
              <w:autoSpaceDN w:val="0"/>
              <w:adjustRightInd w:val="0"/>
              <w:textAlignment w:val="baseline"/>
              <w:rPr>
                <w:i/>
              </w:rPr>
            </w:pPr>
            <w:r>
              <w:rPr>
                <w:i/>
              </w:rPr>
              <w:t xml:space="preserve">Ioannis </w:t>
            </w:r>
            <w:proofErr w:type="spellStart"/>
            <w:r>
              <w:rPr>
                <w:i/>
              </w:rPr>
              <w:t>Diamantopoulos</w:t>
            </w:r>
            <w:proofErr w:type="spellEnd"/>
          </w:p>
        </w:tc>
      </w:tr>
      <w:tr w:rsidRPr="003C2FB3" w:rsidR="003C2FB3" w:rsidTr="002802BB" w14:paraId="596191B0" w14:textId="77777777">
        <w:tc>
          <w:tcPr>
            <w:tcW w:w="1076" w:type="pct"/>
          </w:tcPr>
          <w:p w:rsidRPr="003C2FB3" w:rsidR="003C2FB3" w:rsidP="000178D3" w:rsidRDefault="003C2FB3" w14:paraId="0F7CD1EB" w14:textId="77777777">
            <w:pPr>
              <w:overflowPunct w:val="0"/>
              <w:autoSpaceDE w:val="0"/>
              <w:autoSpaceDN w:val="0"/>
              <w:adjustRightInd w:val="0"/>
              <w:textAlignment w:val="baseline"/>
              <w:rPr>
                <w:i/>
              </w:rPr>
            </w:pPr>
            <w:r>
              <w:rPr>
                <w:i/>
              </w:rPr>
              <w:t>Tel.</w:t>
            </w:r>
          </w:p>
        </w:tc>
        <w:tc>
          <w:tcPr>
            <w:tcW w:w="3924" w:type="pct"/>
          </w:tcPr>
          <w:p w:rsidRPr="003C2FB3" w:rsidR="003C2FB3" w:rsidP="000178D3" w:rsidRDefault="003C2FB3" w14:paraId="428DEA48" w14:textId="77777777">
            <w:pPr>
              <w:overflowPunct w:val="0"/>
              <w:autoSpaceDE w:val="0"/>
              <w:autoSpaceDN w:val="0"/>
              <w:adjustRightInd w:val="0"/>
              <w:textAlignment w:val="baseline"/>
              <w:rPr>
                <w:i/>
              </w:rPr>
            </w:pPr>
            <w:r>
              <w:rPr>
                <w:i/>
              </w:rPr>
              <w:t>+32 25469170</w:t>
            </w:r>
          </w:p>
        </w:tc>
      </w:tr>
      <w:tr w:rsidRPr="003C2FB3" w:rsidR="003C2FB3" w:rsidTr="002802BB" w14:paraId="2628CAA2" w14:textId="77777777">
        <w:tc>
          <w:tcPr>
            <w:tcW w:w="1076" w:type="pct"/>
          </w:tcPr>
          <w:p w:rsidRPr="003C2FB3" w:rsidR="003C2FB3" w:rsidP="000178D3" w:rsidRDefault="003C2FB3" w14:paraId="0F1EFC5C" w14:textId="77777777">
            <w:pPr>
              <w:overflowPunct w:val="0"/>
              <w:autoSpaceDE w:val="0"/>
              <w:autoSpaceDN w:val="0"/>
              <w:adjustRightInd w:val="0"/>
              <w:textAlignment w:val="baseline"/>
              <w:rPr>
                <w:i/>
              </w:rPr>
            </w:pPr>
            <w:r>
              <w:rPr>
                <w:i/>
              </w:rPr>
              <w:t>E-Mail</w:t>
            </w:r>
          </w:p>
        </w:tc>
        <w:tc>
          <w:tcPr>
            <w:tcW w:w="3924" w:type="pct"/>
          </w:tcPr>
          <w:p w:rsidRPr="003C2FB3" w:rsidR="003C2FB3" w:rsidP="000178D3" w:rsidRDefault="00D35CF0" w14:paraId="32C40CB8" w14:textId="77777777">
            <w:pPr>
              <w:overflowPunct w:val="0"/>
              <w:autoSpaceDE w:val="0"/>
              <w:autoSpaceDN w:val="0"/>
              <w:adjustRightInd w:val="0"/>
              <w:textAlignment w:val="baseline"/>
              <w:rPr>
                <w:i/>
              </w:rPr>
            </w:pPr>
            <w:hyperlink w:history="1" r:id="rId43">
              <w:r w:rsidR="00136442">
                <w:rPr>
                  <w:i/>
                  <w:color w:val="0000FF"/>
                  <w:u w:val="single"/>
                </w:rPr>
                <w:t>Ioannis.Diamantopoulos@eesc.europa.eu</w:t>
              </w:r>
            </w:hyperlink>
          </w:p>
        </w:tc>
      </w:tr>
    </w:tbl>
    <w:p w:rsidR="00B612CA" w:rsidP="000178D3" w:rsidRDefault="00B612CA" w14:paraId="0A3D4AF6" w14:textId="77777777">
      <w:pPr>
        <w:overflowPunct w:val="0"/>
        <w:autoSpaceDE w:val="0"/>
        <w:autoSpaceDN w:val="0"/>
        <w:adjustRightInd w:val="0"/>
        <w:jc w:val="left"/>
        <w:textAlignment w:val="baseline"/>
        <w:rPr>
          <w:lang w:val="nl-BE"/>
        </w:rPr>
      </w:pPr>
    </w:p>
    <w:p w:rsidR="00C26C81" w:rsidP="000178D3" w:rsidRDefault="00C26C81" w14:paraId="209CF203" w14:textId="6268DD8D">
      <w:pPr>
        <w:jc w:val="left"/>
      </w:pPr>
      <w:r>
        <w:br w:type="page"/>
      </w:r>
    </w:p>
    <w:p w:rsidRPr="00C26C81" w:rsidR="00C26C81" w:rsidP="000178D3" w:rsidRDefault="00D35CF0" w14:paraId="216DA7D4" w14:textId="4D9F3A69">
      <w:pPr>
        <w:widowControl w:val="0"/>
        <w:numPr>
          <w:ilvl w:val="0"/>
          <w:numId w:val="7"/>
        </w:numPr>
        <w:overflowPunct w:val="0"/>
        <w:autoSpaceDE w:val="0"/>
        <w:autoSpaceDN w:val="0"/>
        <w:adjustRightInd w:val="0"/>
        <w:ind w:hanging="567"/>
        <w:textAlignment w:val="baseline"/>
        <w:rPr>
          <w:sz w:val="20"/>
          <w:szCs w:val="20"/>
        </w:rPr>
      </w:pPr>
      <w:hyperlink w:history="1" r:id="rId44">
        <w:r w:rsidR="00136442">
          <w:rPr>
            <w:b/>
            <w:i/>
            <w:color w:val="0000FF"/>
            <w:sz w:val="28"/>
            <w:u w:val="single"/>
          </w:rPr>
          <w:t>Konzepte und bewährte industrielle und technologische Verfahren für eine resiliente Gesellschaft im Bereich Wasser</w:t>
        </w:r>
      </w:hyperlink>
    </w:p>
    <w:p w:rsidR="00DF1937" w:rsidP="000178D3" w:rsidRDefault="00DF1937" w14:paraId="48918DB7" w14:textId="77777777">
      <w:pPr>
        <w:tabs>
          <w:tab w:val="center" w:pos="284"/>
        </w:tabs>
        <w:overflowPunct w:val="0"/>
        <w:autoSpaceDE w:val="0"/>
        <w:autoSpaceDN w:val="0"/>
        <w:adjustRightInd w:val="0"/>
        <w:ind w:left="266" w:hanging="266"/>
        <w:textAlignment w:val="baseline"/>
        <w:rPr>
          <w:b/>
          <w:sz w:val="16"/>
          <w:szCs w:val="16"/>
        </w:rPr>
      </w:pPr>
    </w:p>
    <w:tbl>
      <w:tblPr>
        <w:tblStyle w:val="TableGrid224"/>
        <w:tblW w:w="494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4"/>
        <w:gridCol w:w="6805"/>
      </w:tblGrid>
      <w:tr w:rsidRPr="000178D3" w:rsidR="00C26C81" w:rsidTr="002802BB" w14:paraId="120DFBE2" w14:textId="77777777">
        <w:tc>
          <w:tcPr>
            <w:tcW w:w="1236" w:type="pct"/>
          </w:tcPr>
          <w:p w:rsidRPr="000178D3" w:rsidR="00C26C81" w:rsidP="000178D3" w:rsidRDefault="00C26C81" w14:paraId="622F56C9" w14:textId="77777777">
            <w:pPr>
              <w:tabs>
                <w:tab w:val="center" w:pos="284"/>
              </w:tabs>
              <w:overflowPunct w:val="0"/>
              <w:autoSpaceDE w:val="0"/>
              <w:autoSpaceDN w:val="0"/>
              <w:adjustRightInd w:val="0"/>
              <w:ind w:left="266" w:hanging="266"/>
              <w:textAlignment w:val="baseline"/>
              <w:rPr>
                <w:b/>
                <w:sz w:val="22"/>
                <w:szCs w:val="22"/>
              </w:rPr>
            </w:pPr>
            <w:r w:rsidRPr="000178D3">
              <w:rPr>
                <w:b/>
                <w:sz w:val="22"/>
                <w:szCs w:val="22"/>
              </w:rPr>
              <w:t>Berichterstatter</w:t>
            </w:r>
          </w:p>
        </w:tc>
        <w:tc>
          <w:tcPr>
            <w:tcW w:w="3764" w:type="pct"/>
          </w:tcPr>
          <w:p w:rsidRPr="000178D3" w:rsidR="00C26C81" w:rsidP="000178D3" w:rsidRDefault="00C26C81" w14:paraId="4D21502F" w14:textId="7090BED6">
            <w:pPr>
              <w:tabs>
                <w:tab w:val="center" w:pos="284"/>
              </w:tabs>
              <w:overflowPunct w:val="0"/>
              <w:autoSpaceDE w:val="0"/>
              <w:autoSpaceDN w:val="0"/>
              <w:adjustRightInd w:val="0"/>
              <w:ind w:left="266" w:hanging="266"/>
              <w:textAlignment w:val="baseline"/>
              <w:rPr>
                <w:sz w:val="22"/>
                <w:szCs w:val="22"/>
              </w:rPr>
            </w:pPr>
            <w:r w:rsidRPr="000178D3">
              <w:rPr>
                <w:sz w:val="22"/>
                <w:szCs w:val="22"/>
              </w:rPr>
              <w:t>Florian MARIN (Gruppe Arbeitnehmer – RO)</w:t>
            </w:r>
          </w:p>
        </w:tc>
      </w:tr>
      <w:tr w:rsidRPr="000178D3" w:rsidR="00C26C81" w:rsidTr="002802BB" w14:paraId="1F60F708" w14:textId="77777777">
        <w:tc>
          <w:tcPr>
            <w:tcW w:w="1236" w:type="pct"/>
          </w:tcPr>
          <w:p w:rsidRPr="000178D3" w:rsidR="00C26C81" w:rsidP="000178D3" w:rsidRDefault="00C26C81" w14:paraId="3D84DAA7" w14:textId="77777777">
            <w:pPr>
              <w:tabs>
                <w:tab w:val="center" w:pos="284"/>
              </w:tabs>
              <w:overflowPunct w:val="0"/>
              <w:autoSpaceDE w:val="0"/>
              <w:autoSpaceDN w:val="0"/>
              <w:adjustRightInd w:val="0"/>
              <w:ind w:left="266" w:hanging="266"/>
              <w:textAlignment w:val="baseline"/>
              <w:rPr>
                <w:b/>
                <w:sz w:val="22"/>
                <w:szCs w:val="22"/>
              </w:rPr>
            </w:pPr>
            <w:r w:rsidRPr="000178D3">
              <w:rPr>
                <w:b/>
                <w:sz w:val="22"/>
                <w:szCs w:val="22"/>
              </w:rPr>
              <w:t>Ko-Berichterstatter</w:t>
            </w:r>
          </w:p>
        </w:tc>
        <w:tc>
          <w:tcPr>
            <w:tcW w:w="3764" w:type="pct"/>
          </w:tcPr>
          <w:p w:rsidRPr="000178D3" w:rsidR="00C26C81" w:rsidP="000178D3" w:rsidRDefault="00C26C81" w14:paraId="2CC5126F" w14:textId="7BF5F8C5">
            <w:pPr>
              <w:tabs>
                <w:tab w:val="center" w:pos="284"/>
              </w:tabs>
              <w:overflowPunct w:val="0"/>
              <w:autoSpaceDE w:val="0"/>
              <w:autoSpaceDN w:val="0"/>
              <w:adjustRightInd w:val="0"/>
              <w:ind w:left="266" w:hanging="266"/>
              <w:textAlignment w:val="baseline"/>
              <w:rPr>
                <w:sz w:val="22"/>
                <w:szCs w:val="22"/>
              </w:rPr>
            </w:pPr>
            <w:r w:rsidRPr="000178D3">
              <w:rPr>
                <w:sz w:val="22"/>
                <w:szCs w:val="22"/>
              </w:rPr>
              <w:t>John BRYAN (Kat. 3-IE)</w:t>
            </w:r>
          </w:p>
        </w:tc>
      </w:tr>
      <w:tr w:rsidRPr="000178D3" w:rsidR="00C26C81" w:rsidTr="002802BB" w14:paraId="0255D7F1" w14:textId="77777777">
        <w:tc>
          <w:tcPr>
            <w:tcW w:w="5000" w:type="pct"/>
            <w:gridSpan w:val="2"/>
          </w:tcPr>
          <w:p w:rsidRPr="000178D3" w:rsidR="00C26C81" w:rsidP="000178D3" w:rsidRDefault="00C26C81" w14:paraId="65F1A50D" w14:textId="77777777">
            <w:pPr>
              <w:tabs>
                <w:tab w:val="center" w:pos="284"/>
              </w:tabs>
              <w:overflowPunct w:val="0"/>
              <w:autoSpaceDE w:val="0"/>
              <w:autoSpaceDN w:val="0"/>
              <w:adjustRightInd w:val="0"/>
              <w:ind w:left="266" w:hanging="266"/>
              <w:textAlignment w:val="baseline"/>
              <w:rPr>
                <w:sz w:val="10"/>
                <w:szCs w:val="10"/>
              </w:rPr>
            </w:pPr>
          </w:p>
        </w:tc>
      </w:tr>
      <w:tr w:rsidRPr="000178D3" w:rsidR="00C26C81" w:rsidTr="002802BB" w14:paraId="6490CDCA" w14:textId="77777777">
        <w:tc>
          <w:tcPr>
            <w:tcW w:w="1236" w:type="pct"/>
            <w:vMerge w:val="restart"/>
          </w:tcPr>
          <w:p w:rsidRPr="000178D3" w:rsidR="00C26C81" w:rsidP="000178D3" w:rsidRDefault="00C26C81" w14:paraId="3249E176" w14:textId="77777777">
            <w:pPr>
              <w:tabs>
                <w:tab w:val="center" w:pos="284"/>
              </w:tabs>
              <w:overflowPunct w:val="0"/>
              <w:autoSpaceDE w:val="0"/>
              <w:autoSpaceDN w:val="0"/>
              <w:adjustRightInd w:val="0"/>
              <w:ind w:left="266" w:hanging="266"/>
              <w:textAlignment w:val="baseline"/>
              <w:rPr>
                <w:b/>
                <w:sz w:val="22"/>
                <w:szCs w:val="22"/>
              </w:rPr>
            </w:pPr>
            <w:r w:rsidRPr="000178D3">
              <w:rPr>
                <w:b/>
                <w:sz w:val="22"/>
                <w:szCs w:val="22"/>
              </w:rPr>
              <w:t>Referenzdokument</w:t>
            </w:r>
          </w:p>
        </w:tc>
        <w:tc>
          <w:tcPr>
            <w:tcW w:w="3764" w:type="pct"/>
          </w:tcPr>
          <w:p w:rsidRPr="000178D3" w:rsidR="00DF1937" w:rsidP="000178D3" w:rsidRDefault="00DF1937" w14:paraId="62B42CB3" w14:textId="689EBFFE">
            <w:pPr>
              <w:overflowPunct w:val="0"/>
              <w:autoSpaceDE w:val="0"/>
              <w:autoSpaceDN w:val="0"/>
              <w:adjustRightInd w:val="0"/>
              <w:ind w:left="39" w:hanging="39"/>
              <w:textAlignment w:val="baseline"/>
              <w:rPr>
                <w:sz w:val="22"/>
                <w:szCs w:val="22"/>
              </w:rPr>
            </w:pPr>
            <w:r w:rsidRPr="000178D3">
              <w:rPr>
                <w:sz w:val="22"/>
                <w:szCs w:val="22"/>
              </w:rPr>
              <w:t>Sondierungsstellungnahme auf Ersuchen der Europäischen Kommission</w:t>
            </w:r>
          </w:p>
          <w:p w:rsidRPr="000178D3" w:rsidR="00C26C81" w:rsidP="000178D3" w:rsidRDefault="00C26C81" w14:paraId="575B4C73" w14:textId="570E8293">
            <w:pPr>
              <w:tabs>
                <w:tab w:val="center" w:pos="284"/>
              </w:tabs>
              <w:overflowPunct w:val="0"/>
              <w:autoSpaceDE w:val="0"/>
              <w:autoSpaceDN w:val="0"/>
              <w:adjustRightInd w:val="0"/>
              <w:ind w:left="266" w:hanging="266"/>
              <w:textAlignment w:val="baseline"/>
              <w:rPr>
                <w:sz w:val="22"/>
                <w:szCs w:val="22"/>
              </w:rPr>
            </w:pPr>
            <w:r w:rsidRPr="000178D3">
              <w:rPr>
                <w:sz w:val="22"/>
                <w:szCs w:val="22"/>
              </w:rPr>
              <w:t>EESC-2024-00209-00-00-AC</w:t>
            </w:r>
          </w:p>
        </w:tc>
      </w:tr>
      <w:tr w:rsidRPr="000178D3" w:rsidR="00C26C81" w:rsidTr="002802BB" w14:paraId="7D13EFEC" w14:textId="77777777">
        <w:tc>
          <w:tcPr>
            <w:tcW w:w="1236" w:type="pct"/>
            <w:vMerge/>
          </w:tcPr>
          <w:p w:rsidRPr="000178D3" w:rsidR="00C26C81" w:rsidP="000178D3" w:rsidRDefault="00C26C81" w14:paraId="22339B72" w14:textId="77777777">
            <w:pPr>
              <w:tabs>
                <w:tab w:val="center" w:pos="284"/>
              </w:tabs>
              <w:overflowPunct w:val="0"/>
              <w:autoSpaceDE w:val="0"/>
              <w:autoSpaceDN w:val="0"/>
              <w:adjustRightInd w:val="0"/>
              <w:ind w:left="266" w:hanging="266"/>
              <w:textAlignment w:val="baseline"/>
              <w:rPr>
                <w:b/>
                <w:sz w:val="22"/>
                <w:szCs w:val="22"/>
              </w:rPr>
            </w:pPr>
          </w:p>
        </w:tc>
        <w:tc>
          <w:tcPr>
            <w:tcW w:w="3764" w:type="pct"/>
          </w:tcPr>
          <w:p w:rsidRPr="000178D3" w:rsidR="00C26C81" w:rsidP="000178D3" w:rsidRDefault="00C26C81" w14:paraId="30DF2ED2" w14:textId="77777777">
            <w:pPr>
              <w:tabs>
                <w:tab w:val="center" w:pos="284"/>
              </w:tabs>
              <w:overflowPunct w:val="0"/>
              <w:autoSpaceDE w:val="0"/>
              <w:autoSpaceDN w:val="0"/>
              <w:adjustRightInd w:val="0"/>
              <w:ind w:left="266" w:hanging="266"/>
              <w:textAlignment w:val="baseline"/>
              <w:rPr>
                <w:sz w:val="22"/>
                <w:szCs w:val="22"/>
              </w:rPr>
            </w:pPr>
          </w:p>
        </w:tc>
      </w:tr>
    </w:tbl>
    <w:p w:rsidRPr="00C26C81" w:rsidR="00C26C81" w:rsidP="000178D3" w:rsidRDefault="00C26C81" w14:paraId="6756B12C" w14:textId="77777777">
      <w:pPr>
        <w:keepNext/>
        <w:keepLines/>
        <w:tabs>
          <w:tab w:val="center" w:pos="284"/>
        </w:tabs>
        <w:overflowPunct w:val="0"/>
        <w:autoSpaceDE w:val="0"/>
        <w:autoSpaceDN w:val="0"/>
        <w:adjustRightInd w:val="0"/>
        <w:ind w:left="266" w:hanging="266"/>
        <w:textAlignment w:val="baseline"/>
        <w:rPr>
          <w:b/>
        </w:rPr>
      </w:pPr>
      <w:r>
        <w:rPr>
          <w:b/>
        </w:rPr>
        <w:t>Kernaussagen</w:t>
      </w:r>
    </w:p>
    <w:p w:rsidRPr="00C26C81" w:rsidR="00C26C81" w:rsidP="002802BB" w:rsidRDefault="00C26C81" w14:paraId="03D7DAA1" w14:textId="77777777">
      <w:pPr>
        <w:keepNext/>
        <w:keepLines/>
        <w:tabs>
          <w:tab w:val="center" w:pos="284"/>
        </w:tabs>
        <w:overflowPunct w:val="0"/>
        <w:autoSpaceDE w:val="0"/>
        <w:autoSpaceDN w:val="0"/>
        <w:adjustRightInd w:val="0"/>
        <w:spacing w:line="240" w:lineRule="auto"/>
        <w:ind w:left="266" w:hanging="266"/>
        <w:textAlignment w:val="baseline"/>
        <w:rPr>
          <w:b/>
          <w:sz w:val="16"/>
          <w:szCs w:val="16"/>
        </w:rPr>
      </w:pPr>
    </w:p>
    <w:p w:rsidR="00C26C81" w:rsidP="000178D3" w:rsidRDefault="00C26C81" w14:paraId="0AEAF1D0" w14:textId="370DE955">
      <w:pPr>
        <w:overflowPunct w:val="0"/>
        <w:autoSpaceDE w:val="0"/>
        <w:autoSpaceDN w:val="0"/>
        <w:adjustRightInd w:val="0"/>
        <w:textAlignment w:val="baseline"/>
        <w:rPr>
          <w:bCs/>
          <w:iCs/>
        </w:rPr>
      </w:pPr>
      <w:r>
        <w:t>Der EWSA:</w:t>
      </w:r>
    </w:p>
    <w:p w:rsidRPr="00C26C81" w:rsidR="002B7841" w:rsidP="002802BB" w:rsidRDefault="002B7841" w14:paraId="2BBD3487" w14:textId="77777777">
      <w:pPr>
        <w:overflowPunct w:val="0"/>
        <w:autoSpaceDE w:val="0"/>
        <w:autoSpaceDN w:val="0"/>
        <w:adjustRightInd w:val="0"/>
        <w:spacing w:line="240" w:lineRule="auto"/>
        <w:textAlignment w:val="baseline"/>
        <w:rPr>
          <w:bCs/>
          <w:iCs/>
        </w:rPr>
      </w:pPr>
    </w:p>
    <w:p w:rsidRPr="00C26C81" w:rsidR="00C26C81" w:rsidP="000178D3" w:rsidRDefault="00C26C81" w14:paraId="724B6930" w14:textId="77777777">
      <w:pPr>
        <w:numPr>
          <w:ilvl w:val="0"/>
          <w:numId w:val="28"/>
        </w:numPr>
        <w:overflowPunct w:val="0"/>
        <w:autoSpaceDE w:val="0"/>
        <w:autoSpaceDN w:val="0"/>
        <w:adjustRightInd w:val="0"/>
        <w:ind w:left="284" w:hanging="284"/>
        <w:contextualSpacing/>
        <w:textAlignment w:val="baseline"/>
        <w:rPr>
          <w:bCs/>
          <w:iCs/>
        </w:rPr>
      </w:pPr>
      <w:r>
        <w:t xml:space="preserve">fordert eine </w:t>
      </w:r>
      <w:r>
        <w:rPr>
          <w:b/>
        </w:rPr>
        <w:t>eigenständige Strategie</w:t>
      </w:r>
      <w:r>
        <w:t xml:space="preserve"> – einen Blauen Deal der EU – und einen Aktionsplan für Wasser,</w:t>
      </w:r>
      <w:r>
        <w:rPr>
          <w:b/>
        </w:rPr>
        <w:t xml:space="preserve"> um Resilienz, Sicherheit und Nachhaltigkeit der Wasserversorgung sicherzustellen und den europäischen Grünen Deal zu ergänzen</w:t>
      </w:r>
      <w:r>
        <w:t>;</w:t>
      </w:r>
    </w:p>
    <w:p w:rsidRPr="00C26C81" w:rsidR="00C26C81" w:rsidP="000178D3" w:rsidRDefault="00C26C81" w14:paraId="520F5238" w14:textId="77777777">
      <w:pPr>
        <w:numPr>
          <w:ilvl w:val="0"/>
          <w:numId w:val="28"/>
        </w:numPr>
        <w:overflowPunct w:val="0"/>
        <w:autoSpaceDE w:val="0"/>
        <w:autoSpaceDN w:val="0"/>
        <w:adjustRightInd w:val="0"/>
        <w:ind w:left="284" w:hanging="284"/>
        <w:contextualSpacing/>
        <w:textAlignment w:val="baseline"/>
        <w:rPr>
          <w:bCs/>
          <w:iCs/>
        </w:rPr>
      </w:pPr>
      <w:r>
        <w:t xml:space="preserve">fordert die EU nachdrücklich auf, </w:t>
      </w:r>
      <w:r>
        <w:rPr>
          <w:b/>
        </w:rPr>
        <w:t>Wasser in einen überarbeiteten strategischen Rahmen für die Industrie</w:t>
      </w:r>
      <w:r>
        <w:t xml:space="preserve"> und die Transformationspfade mit einem sektorspezifischen Ansatz </w:t>
      </w:r>
      <w:r>
        <w:rPr>
          <w:b/>
        </w:rPr>
        <w:t>zu integrieren</w:t>
      </w:r>
      <w:r>
        <w:t>;</w:t>
      </w:r>
    </w:p>
    <w:p w:rsidRPr="00C26C81" w:rsidR="00C26C81" w:rsidP="000178D3" w:rsidRDefault="00C26C81" w14:paraId="30D20AE2" w14:textId="77777777">
      <w:pPr>
        <w:numPr>
          <w:ilvl w:val="0"/>
          <w:numId w:val="28"/>
        </w:numPr>
        <w:overflowPunct w:val="0"/>
        <w:autoSpaceDE w:val="0"/>
        <w:autoSpaceDN w:val="0"/>
        <w:adjustRightInd w:val="0"/>
        <w:ind w:left="284" w:hanging="284"/>
        <w:contextualSpacing/>
        <w:textAlignment w:val="baseline"/>
        <w:rPr>
          <w:bCs/>
          <w:iCs/>
        </w:rPr>
      </w:pPr>
      <w:r>
        <w:t xml:space="preserve">ist der Auffassung, dass bei dieser Überarbeitung die Idee eines </w:t>
      </w:r>
      <w:r>
        <w:rPr>
          <w:b/>
        </w:rPr>
        <w:t>neuen Industrieabkommens sondiert werden sollte, um der europäischen Industrie</w:t>
      </w:r>
      <w:r>
        <w:t xml:space="preserve"> innerhalb von vier Jahren</w:t>
      </w:r>
      <w:r>
        <w:rPr>
          <w:b/>
        </w:rPr>
        <w:t xml:space="preserve"> eine konsolidierte Strategie zu bieten</w:t>
      </w:r>
      <w:r>
        <w:t>, die den vielfältigen Herausforderungen (Wasser, Energie, kritische Rohstoffe, Digitalisierung und strategische Autonomie) gerecht wird;</w:t>
      </w:r>
    </w:p>
    <w:p w:rsidRPr="00C26C81" w:rsidR="00C26C81" w:rsidP="000178D3" w:rsidRDefault="00C26C81" w14:paraId="04F84018" w14:textId="77777777">
      <w:pPr>
        <w:numPr>
          <w:ilvl w:val="0"/>
          <w:numId w:val="28"/>
        </w:numPr>
        <w:overflowPunct w:val="0"/>
        <w:autoSpaceDE w:val="0"/>
        <w:autoSpaceDN w:val="0"/>
        <w:adjustRightInd w:val="0"/>
        <w:ind w:left="284" w:hanging="284"/>
        <w:contextualSpacing/>
        <w:textAlignment w:val="baseline"/>
        <w:rPr>
          <w:bCs/>
          <w:iCs/>
        </w:rPr>
      </w:pPr>
      <w:r>
        <w:t xml:space="preserve">betont, dass industrielle und technologische Ansätze zur Unterstützung einer Gesellschaft mit intelligenter Wassernutzung fest in einer </w:t>
      </w:r>
      <w:r>
        <w:rPr>
          <w:b/>
        </w:rPr>
        <w:t>umfassenden nachhaltigen Wasserbewirtschaftungspolitik für die Industrie</w:t>
      </w:r>
      <w:r>
        <w:t xml:space="preserve"> verankert sein müssen, die auf folgenden Aspekten beruht: Senkung des Verbrauchs, Wiederverwendung und Wiederaufbereitung von Wasser; Verringerung von Wasserverschmutzung; schrittweise Einführung und Nutzung wassereffizienter Technologien bei gleichzeitiger Gewährleistung eines gerechten Übergangs, der die </w:t>
      </w:r>
      <w:r>
        <w:rPr>
          <w:b/>
        </w:rPr>
        <w:t>Wettbewerbsfähigkeit der Unternehmen gewährleistet</w:t>
      </w:r>
      <w:r>
        <w:t>;</w:t>
      </w:r>
    </w:p>
    <w:p w:rsidRPr="00C26C81" w:rsidR="00C26C81" w:rsidP="000178D3" w:rsidRDefault="00C26C81" w14:paraId="42BF90D7" w14:textId="77777777">
      <w:pPr>
        <w:numPr>
          <w:ilvl w:val="0"/>
          <w:numId w:val="28"/>
        </w:numPr>
        <w:overflowPunct w:val="0"/>
        <w:autoSpaceDE w:val="0"/>
        <w:autoSpaceDN w:val="0"/>
        <w:adjustRightInd w:val="0"/>
        <w:ind w:left="284" w:hanging="284"/>
        <w:contextualSpacing/>
        <w:textAlignment w:val="baseline"/>
        <w:rPr>
          <w:bCs/>
          <w:iCs/>
        </w:rPr>
      </w:pPr>
      <w:r>
        <w:t xml:space="preserve">unterstreicht die Notwendigkeit eines </w:t>
      </w:r>
      <w:r>
        <w:rPr>
          <w:b/>
        </w:rPr>
        <w:t>europäischen Ökosystems für die Wasserdatenverwaltung</w:t>
      </w:r>
      <w:r>
        <w:t>, der Messung des Wasserverbrauchs aller Produktionsprozesse und der Minimierung der Verwendung von Trinkwasser für industrielle Zwecke;</w:t>
      </w:r>
    </w:p>
    <w:p w:rsidRPr="00C26C81" w:rsidR="00C26C81" w:rsidP="000178D3" w:rsidRDefault="00C26C81" w14:paraId="4A2463D1" w14:textId="77777777">
      <w:pPr>
        <w:numPr>
          <w:ilvl w:val="0"/>
          <w:numId w:val="28"/>
        </w:numPr>
        <w:overflowPunct w:val="0"/>
        <w:autoSpaceDE w:val="0"/>
        <w:autoSpaceDN w:val="0"/>
        <w:adjustRightInd w:val="0"/>
        <w:ind w:left="284" w:hanging="284"/>
        <w:contextualSpacing/>
        <w:textAlignment w:val="baseline"/>
        <w:rPr>
          <w:bCs/>
          <w:iCs/>
        </w:rPr>
      </w:pPr>
      <w:r>
        <w:t xml:space="preserve">betont, dass der </w:t>
      </w:r>
      <w:r>
        <w:rPr>
          <w:b/>
        </w:rPr>
        <w:t>Zugang zu Wasser der wichtigsten Branchen in Krisensituationen sicherzustellen ist</w:t>
      </w:r>
      <w:r>
        <w:t>;</w:t>
      </w:r>
    </w:p>
    <w:p w:rsidRPr="00C26C81" w:rsidR="00C26C81" w:rsidP="000178D3" w:rsidRDefault="00C26C81" w14:paraId="71162F5A" w14:textId="77777777">
      <w:pPr>
        <w:numPr>
          <w:ilvl w:val="0"/>
          <w:numId w:val="28"/>
        </w:numPr>
        <w:overflowPunct w:val="0"/>
        <w:autoSpaceDE w:val="0"/>
        <w:autoSpaceDN w:val="0"/>
        <w:adjustRightInd w:val="0"/>
        <w:ind w:left="284" w:hanging="284"/>
        <w:contextualSpacing/>
        <w:textAlignment w:val="baseline"/>
        <w:rPr>
          <w:bCs/>
          <w:iCs/>
        </w:rPr>
      </w:pPr>
      <w:r>
        <w:t xml:space="preserve">fordert die </w:t>
      </w:r>
      <w:r>
        <w:rPr>
          <w:b/>
        </w:rPr>
        <w:t>Ausarbeitung eines Übergangspfads für die Entwicklung des Technologiesektors für sauberes Wasser und effiziente Nutzung</w:t>
      </w:r>
      <w:r>
        <w:t>, einschließlich eines Fahrplans für die menschliche Dimension, um die Verfügbarkeit der erforderlichen Kompetenzen, gute Arbeitsplätze und angemessene Arbeitsbedingungen sicherzustellen;</w:t>
      </w:r>
    </w:p>
    <w:p w:rsidRPr="00C26C81" w:rsidR="00C26C81" w:rsidP="000178D3" w:rsidRDefault="00C26C81" w14:paraId="7B237525" w14:textId="77777777">
      <w:pPr>
        <w:numPr>
          <w:ilvl w:val="0"/>
          <w:numId w:val="28"/>
        </w:numPr>
        <w:overflowPunct w:val="0"/>
        <w:autoSpaceDE w:val="0"/>
        <w:autoSpaceDN w:val="0"/>
        <w:adjustRightInd w:val="0"/>
        <w:ind w:left="284" w:hanging="284"/>
        <w:contextualSpacing/>
        <w:textAlignment w:val="baseline"/>
        <w:rPr>
          <w:bCs/>
          <w:iCs/>
        </w:rPr>
      </w:pPr>
      <w:r>
        <w:t xml:space="preserve">schlägt Maßnahmen zur </w:t>
      </w:r>
      <w:r>
        <w:rPr>
          <w:b/>
        </w:rPr>
        <w:t>Unterstützung der Umsetzung des Fonds für den Blauen Deal der EU</w:t>
      </w:r>
      <w:r>
        <w:t xml:space="preserve"> im industriellen Bereich vor;</w:t>
      </w:r>
    </w:p>
    <w:p w:rsidRPr="00C26C81" w:rsidR="00C26C81" w:rsidP="000178D3" w:rsidRDefault="00C26C81" w14:paraId="1A520A8C" w14:textId="77777777">
      <w:pPr>
        <w:numPr>
          <w:ilvl w:val="0"/>
          <w:numId w:val="28"/>
        </w:numPr>
        <w:overflowPunct w:val="0"/>
        <w:autoSpaceDE w:val="0"/>
        <w:autoSpaceDN w:val="0"/>
        <w:adjustRightInd w:val="0"/>
        <w:ind w:left="284" w:hanging="284"/>
        <w:contextualSpacing/>
        <w:textAlignment w:val="baseline"/>
        <w:rPr>
          <w:bCs/>
          <w:iCs/>
        </w:rPr>
      </w:pPr>
      <w:r>
        <w:t xml:space="preserve">unterstützt die Schaffung der </w:t>
      </w:r>
      <w:r>
        <w:rPr>
          <w:b/>
        </w:rPr>
        <w:t>Wissens- und Innovationsgemeinschaft (KIC) für Wasser</w:t>
      </w:r>
      <w:r>
        <w:t xml:space="preserve"> durch das Europäische Innovations- und Technologieinstitut (EIT).</w:t>
      </w:r>
    </w:p>
    <w:p w:rsidRPr="00C26C81" w:rsidR="00C26C81" w:rsidP="002802BB" w:rsidRDefault="00C26C81" w14:paraId="586B6B4F" w14:textId="6B11469E">
      <w:pPr>
        <w:spacing w:line="240" w:lineRule="auto"/>
        <w:ind w:left="1276"/>
        <w:contextualSpacing/>
        <w:rPr>
          <w:bCs/>
          <w:iCs/>
          <w:lang w:eastAsia="zh-CN"/>
        </w:rPr>
      </w:pPr>
    </w:p>
    <w:tbl>
      <w:tblPr>
        <w:tblStyle w:val="TableGrid223"/>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25"/>
        <w:gridCol w:w="4906"/>
      </w:tblGrid>
      <w:tr w:rsidRPr="003C2FB3" w:rsidR="004F1302" w:rsidTr="002802BB" w14:paraId="598DD9AC" w14:textId="77777777">
        <w:tc>
          <w:tcPr>
            <w:tcW w:w="1186" w:type="pct"/>
          </w:tcPr>
          <w:p w:rsidRPr="003C2FB3" w:rsidR="004F1302" w:rsidP="000178D3" w:rsidRDefault="004F1302" w14:paraId="15B56178" w14:textId="77777777">
            <w:pPr>
              <w:overflowPunct w:val="0"/>
              <w:autoSpaceDE w:val="0"/>
              <w:autoSpaceDN w:val="0"/>
              <w:adjustRightInd w:val="0"/>
              <w:textAlignment w:val="baseline"/>
              <w:rPr>
                <w:i/>
              </w:rPr>
            </w:pPr>
            <w:r>
              <w:rPr>
                <w:b/>
                <w:i/>
              </w:rPr>
              <w:t>Kontakt</w:t>
            </w:r>
          </w:p>
        </w:tc>
        <w:tc>
          <w:tcPr>
            <w:tcW w:w="3814" w:type="pct"/>
          </w:tcPr>
          <w:p w:rsidRPr="0066006A" w:rsidR="004F1302" w:rsidP="000178D3" w:rsidRDefault="004F1302" w14:paraId="6A690265" w14:textId="1C17A6F4">
            <w:pPr>
              <w:overflowPunct w:val="0"/>
              <w:autoSpaceDE w:val="0"/>
              <w:autoSpaceDN w:val="0"/>
              <w:adjustRightInd w:val="0"/>
              <w:textAlignment w:val="baseline"/>
              <w:rPr>
                <w:i/>
              </w:rPr>
            </w:pPr>
            <w:r>
              <w:rPr>
                <w:i/>
              </w:rPr>
              <w:t xml:space="preserve">Heli </w:t>
            </w:r>
            <w:proofErr w:type="spellStart"/>
            <w:r>
              <w:rPr>
                <w:i/>
              </w:rPr>
              <w:t>Niemelä-Farrer</w:t>
            </w:r>
            <w:proofErr w:type="spellEnd"/>
          </w:p>
        </w:tc>
      </w:tr>
      <w:tr w:rsidRPr="003C2FB3" w:rsidR="004F1302" w:rsidTr="002802BB" w14:paraId="2972FB5B" w14:textId="77777777">
        <w:tc>
          <w:tcPr>
            <w:tcW w:w="1186" w:type="pct"/>
          </w:tcPr>
          <w:p w:rsidRPr="003C2FB3" w:rsidR="004F1302" w:rsidP="000178D3" w:rsidRDefault="004F1302" w14:paraId="31E4746D" w14:textId="77777777">
            <w:pPr>
              <w:overflowPunct w:val="0"/>
              <w:autoSpaceDE w:val="0"/>
              <w:autoSpaceDN w:val="0"/>
              <w:adjustRightInd w:val="0"/>
              <w:textAlignment w:val="baseline"/>
              <w:rPr>
                <w:i/>
              </w:rPr>
            </w:pPr>
            <w:r>
              <w:rPr>
                <w:i/>
              </w:rPr>
              <w:t>Tel.</w:t>
            </w:r>
          </w:p>
        </w:tc>
        <w:tc>
          <w:tcPr>
            <w:tcW w:w="3814" w:type="pct"/>
          </w:tcPr>
          <w:p w:rsidRPr="003C2FB3" w:rsidR="004F1302" w:rsidP="000178D3" w:rsidRDefault="004F1302" w14:paraId="24534461" w14:textId="0D1989E1">
            <w:pPr>
              <w:overflowPunct w:val="0"/>
              <w:autoSpaceDE w:val="0"/>
              <w:autoSpaceDN w:val="0"/>
              <w:adjustRightInd w:val="0"/>
              <w:textAlignment w:val="baseline"/>
              <w:rPr>
                <w:i/>
              </w:rPr>
            </w:pPr>
            <w:r>
              <w:rPr>
                <w:i/>
              </w:rPr>
              <w:t>+32 22822464</w:t>
            </w:r>
          </w:p>
        </w:tc>
      </w:tr>
      <w:tr w:rsidRPr="003C2FB3" w:rsidR="004F1302" w:rsidTr="002802BB" w14:paraId="40A463F8" w14:textId="77777777">
        <w:tc>
          <w:tcPr>
            <w:tcW w:w="1186" w:type="pct"/>
          </w:tcPr>
          <w:p w:rsidRPr="003C2FB3" w:rsidR="004F1302" w:rsidP="000178D3" w:rsidRDefault="004F1302" w14:paraId="3B219BCA" w14:textId="77777777">
            <w:pPr>
              <w:overflowPunct w:val="0"/>
              <w:autoSpaceDE w:val="0"/>
              <w:autoSpaceDN w:val="0"/>
              <w:adjustRightInd w:val="0"/>
              <w:textAlignment w:val="baseline"/>
              <w:rPr>
                <w:i/>
              </w:rPr>
            </w:pPr>
            <w:r>
              <w:rPr>
                <w:i/>
              </w:rPr>
              <w:t>E-Mail</w:t>
            </w:r>
          </w:p>
        </w:tc>
        <w:tc>
          <w:tcPr>
            <w:tcW w:w="3814" w:type="pct"/>
          </w:tcPr>
          <w:p w:rsidRPr="003C2FB3" w:rsidR="004F1302" w:rsidP="002802BB" w:rsidRDefault="00D35CF0" w14:paraId="13626409" w14:textId="1F4F530D">
            <w:pPr>
              <w:overflowPunct w:val="0"/>
              <w:autoSpaceDE w:val="0"/>
              <w:autoSpaceDN w:val="0"/>
              <w:adjustRightInd w:val="0"/>
              <w:textAlignment w:val="baseline"/>
              <w:rPr>
                <w:i/>
              </w:rPr>
            </w:pPr>
            <w:hyperlink w:history="1" r:id="rId45">
              <w:r w:rsidR="004F1302">
                <w:rPr>
                  <w:rStyle w:val="Hyperlink"/>
                </w:rPr>
                <w:t>Heli.Niemela-Farrer</w:t>
              </w:r>
              <w:r w:rsidR="004F1302">
                <w:rPr>
                  <w:rStyle w:val="Hyperlink"/>
                  <w:i/>
                </w:rPr>
                <w:t>@eesc.europa.eu</w:t>
              </w:r>
            </w:hyperlink>
          </w:p>
        </w:tc>
      </w:tr>
    </w:tbl>
    <w:p w:rsidRPr="006C7863" w:rsidR="0092772D" w:rsidP="000178D3" w:rsidRDefault="00556EDF" w14:paraId="7379A588" w14:textId="3EDEF816">
      <w:pPr>
        <w:overflowPunct w:val="0"/>
        <w:autoSpaceDE w:val="0"/>
        <w:autoSpaceDN w:val="0"/>
        <w:adjustRightInd w:val="0"/>
        <w:jc w:val="center"/>
        <w:textAlignment w:val="baseline"/>
      </w:pPr>
      <w:r>
        <w:t>_____________</w:t>
      </w:r>
    </w:p>
    <w:sectPr w:rsidRPr="006C7863" w:rsidR="0092772D" w:rsidSect="00386C01">
      <w:headerReference w:type="even" r:id="rId46"/>
      <w:headerReference w:type="default" r:id="rId47"/>
      <w:footerReference w:type="even" r:id="rId48"/>
      <w:footerReference w:type="default" r:id="rId49"/>
      <w:headerReference w:type="first" r:id="rId50"/>
      <w:footerReference w:type="first" r:id="rId51"/>
      <w:pgSz w:w="11907" w:h="16839" w:code="9"/>
      <w:pgMar w:top="1418" w:right="1418" w:bottom="1418"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20479" w14:textId="77777777" w:rsidR="002578F2" w:rsidRDefault="002578F2" w:rsidP="003B0516">
      <w:pPr>
        <w:spacing w:line="240" w:lineRule="auto"/>
      </w:pPr>
      <w:r>
        <w:separator/>
      </w:r>
    </w:p>
  </w:endnote>
  <w:endnote w:type="continuationSeparator" w:id="0">
    <w:p w14:paraId="18869CFE" w14:textId="77777777" w:rsidR="002578F2" w:rsidRDefault="002578F2" w:rsidP="003B0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66391" w14:textId="77777777" w:rsidR="00631992" w:rsidRDefault="00631992" w:rsidP="005C28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9D38" w14:textId="0DCC470F" w:rsidR="00765C4F" w:rsidRPr="005C28F2" w:rsidRDefault="005C28F2" w:rsidP="005C28F2">
    <w:pPr>
      <w:pStyle w:val="Footer"/>
    </w:pPr>
    <w:r>
      <w:t xml:space="preserve">EESC-2024-01704-00-00-TCD-TRA (EN) </w:t>
    </w:r>
    <w:r>
      <w:fldChar w:fldCharType="begin"/>
    </w:r>
    <w:r>
      <w:instrText xml:space="preserve"> PAGE  \* Arabic  \* MERGEFORMAT </w:instrText>
    </w:r>
    <w:r>
      <w:fldChar w:fldCharType="separate"/>
    </w:r>
    <w:r w:rsidR="00DC0FAE">
      <w:t>1</w:t>
    </w:r>
    <w:r>
      <w:fldChar w:fldCharType="end"/>
    </w:r>
    <w:r>
      <w:t>/</w:t>
    </w:r>
    <w:fldSimple w:instr=" NUMPAGES ">
      <w:r w:rsidR="00DC0FAE">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F63DF" w14:textId="77777777" w:rsidR="00631992" w:rsidRDefault="00631992" w:rsidP="005C28F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8855" w14:textId="77777777" w:rsidR="00E4258F" w:rsidRPr="00386C01" w:rsidRDefault="00E4258F" w:rsidP="005C28F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C8A9" w14:textId="6DACB8BF" w:rsidR="00E4258F" w:rsidRPr="005C28F2" w:rsidRDefault="005C28F2" w:rsidP="005C28F2">
    <w:pPr>
      <w:pStyle w:val="Footer"/>
    </w:pPr>
    <w:r>
      <w:t xml:space="preserve">EESC-2024-01704-00-00-TCD-TRA (EN) </w:t>
    </w:r>
    <w:r>
      <w:fldChar w:fldCharType="begin"/>
    </w:r>
    <w:r>
      <w:instrText xml:space="preserve"> PAGE  \* Arabic  \* MERGEFORMAT </w:instrText>
    </w:r>
    <w:r>
      <w:fldChar w:fldCharType="separate"/>
    </w:r>
    <w:r>
      <w:t>1</w:t>
    </w:r>
    <w:r>
      <w:fldChar w:fldCharType="end"/>
    </w:r>
    <w:r>
      <w:t>/</w:t>
    </w:r>
    <w:fldSimple w:instr=" NUMPAGES ">
      <w:r>
        <w:t>1</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7D43" w14:textId="77777777" w:rsidR="00E4258F" w:rsidRPr="00386C01" w:rsidRDefault="00E4258F" w:rsidP="005C28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86F73" w14:textId="77777777" w:rsidR="002578F2" w:rsidRDefault="002578F2" w:rsidP="003B0516">
      <w:pPr>
        <w:spacing w:line="240" w:lineRule="auto"/>
      </w:pPr>
      <w:r>
        <w:separator/>
      </w:r>
    </w:p>
  </w:footnote>
  <w:footnote w:type="continuationSeparator" w:id="0">
    <w:p w14:paraId="5065BE47" w14:textId="77777777" w:rsidR="002578F2" w:rsidRDefault="002578F2" w:rsidP="003B05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475E2" w14:textId="77777777" w:rsidR="00631992" w:rsidRDefault="006319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55AEF" w14:textId="77777777" w:rsidR="00631992" w:rsidRDefault="006319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17C3B" w14:textId="77777777" w:rsidR="00631992" w:rsidRDefault="006319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098DD" w14:textId="77777777" w:rsidR="00E4258F" w:rsidRPr="00386C01" w:rsidRDefault="00E4258F" w:rsidP="00386C0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0FFF" w14:textId="6655C03D" w:rsidR="00E4258F" w:rsidRPr="00386C01" w:rsidRDefault="00E4258F" w:rsidP="00386C0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BED8" w14:textId="77777777" w:rsidR="00E4258F" w:rsidRPr="00386C01" w:rsidRDefault="00E4258F" w:rsidP="00386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B22EB68"/>
    <w:lvl w:ilvl="0">
      <w:numFmt w:val="decimal"/>
      <w:lvlText w:val="*"/>
      <w:lvlJc w:val="left"/>
    </w:lvl>
  </w:abstractNum>
  <w:abstractNum w:abstractNumId="1" w15:restartNumberingAfterBreak="0">
    <w:nsid w:val="033E08C8"/>
    <w:multiLevelType w:val="hybridMultilevel"/>
    <w:tmpl w:val="46905308"/>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 w15:restartNumberingAfterBreak="0">
    <w:nsid w:val="03FA3C71"/>
    <w:multiLevelType w:val="hybridMultilevel"/>
    <w:tmpl w:val="43A0CD4E"/>
    <w:lvl w:ilvl="0" w:tplc="D4708380">
      <w:start w:val="1"/>
      <w:numFmt w:val="decimal"/>
      <w:pStyle w:val="Heading1"/>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4020295"/>
    <w:multiLevelType w:val="hybridMultilevel"/>
    <w:tmpl w:val="67767474"/>
    <w:lvl w:ilvl="0" w:tplc="F6166D2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BF3FE3"/>
    <w:multiLevelType w:val="hybridMultilevel"/>
    <w:tmpl w:val="39DE4EAE"/>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5" w15:restartNumberingAfterBreak="0">
    <w:nsid w:val="057B6B6A"/>
    <w:multiLevelType w:val="hybridMultilevel"/>
    <w:tmpl w:val="05EC7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03388C"/>
    <w:multiLevelType w:val="hybridMultilevel"/>
    <w:tmpl w:val="274AB46A"/>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0829479D"/>
    <w:multiLevelType w:val="hybridMultilevel"/>
    <w:tmpl w:val="6F22EAF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38E32A4"/>
    <w:multiLevelType w:val="hybridMultilevel"/>
    <w:tmpl w:val="D138115E"/>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4994545"/>
    <w:multiLevelType w:val="hybridMultilevel"/>
    <w:tmpl w:val="543AAAC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27B45D08"/>
    <w:multiLevelType w:val="hybridMultilevel"/>
    <w:tmpl w:val="819CD394"/>
    <w:lvl w:ilvl="0" w:tplc="85C8C05E">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30E20584"/>
    <w:multiLevelType w:val="hybridMultilevel"/>
    <w:tmpl w:val="960CE05C"/>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2" w15:restartNumberingAfterBreak="0">
    <w:nsid w:val="32A63C20"/>
    <w:multiLevelType w:val="hybridMultilevel"/>
    <w:tmpl w:val="EA508A0C"/>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397E5443"/>
    <w:multiLevelType w:val="hybridMultilevel"/>
    <w:tmpl w:val="CAB65DF6"/>
    <w:lvl w:ilvl="0" w:tplc="F6166D28">
      <w:start w:val="1"/>
      <w:numFmt w:val="bullet"/>
      <w:lvlText w:val=""/>
      <w:lvlJc w:val="left"/>
      <w:pPr>
        <w:ind w:left="501" w:hanging="360"/>
      </w:pPr>
      <w:rPr>
        <w:rFonts w:ascii="Symbol" w:hAnsi="Symbol" w:hint="default"/>
      </w:rPr>
    </w:lvl>
    <w:lvl w:ilvl="1" w:tplc="080C0003" w:tentative="1">
      <w:start w:val="1"/>
      <w:numFmt w:val="bullet"/>
      <w:lvlText w:val="o"/>
      <w:lvlJc w:val="left"/>
      <w:pPr>
        <w:ind w:left="1221" w:hanging="360"/>
      </w:pPr>
      <w:rPr>
        <w:rFonts w:ascii="Courier New" w:hAnsi="Courier New" w:cs="Courier New" w:hint="default"/>
      </w:rPr>
    </w:lvl>
    <w:lvl w:ilvl="2" w:tplc="080C0005" w:tentative="1">
      <w:start w:val="1"/>
      <w:numFmt w:val="bullet"/>
      <w:lvlText w:val=""/>
      <w:lvlJc w:val="left"/>
      <w:pPr>
        <w:ind w:left="1941" w:hanging="360"/>
      </w:pPr>
      <w:rPr>
        <w:rFonts w:ascii="Wingdings" w:hAnsi="Wingdings" w:hint="default"/>
      </w:rPr>
    </w:lvl>
    <w:lvl w:ilvl="3" w:tplc="080C0001" w:tentative="1">
      <w:start w:val="1"/>
      <w:numFmt w:val="bullet"/>
      <w:lvlText w:val=""/>
      <w:lvlJc w:val="left"/>
      <w:pPr>
        <w:ind w:left="2661" w:hanging="360"/>
      </w:pPr>
      <w:rPr>
        <w:rFonts w:ascii="Symbol" w:hAnsi="Symbol" w:hint="default"/>
      </w:rPr>
    </w:lvl>
    <w:lvl w:ilvl="4" w:tplc="080C0003" w:tentative="1">
      <w:start w:val="1"/>
      <w:numFmt w:val="bullet"/>
      <w:lvlText w:val="o"/>
      <w:lvlJc w:val="left"/>
      <w:pPr>
        <w:ind w:left="3381" w:hanging="360"/>
      </w:pPr>
      <w:rPr>
        <w:rFonts w:ascii="Courier New" w:hAnsi="Courier New" w:cs="Courier New" w:hint="default"/>
      </w:rPr>
    </w:lvl>
    <w:lvl w:ilvl="5" w:tplc="080C0005" w:tentative="1">
      <w:start w:val="1"/>
      <w:numFmt w:val="bullet"/>
      <w:lvlText w:val=""/>
      <w:lvlJc w:val="left"/>
      <w:pPr>
        <w:ind w:left="4101" w:hanging="360"/>
      </w:pPr>
      <w:rPr>
        <w:rFonts w:ascii="Wingdings" w:hAnsi="Wingdings" w:hint="default"/>
      </w:rPr>
    </w:lvl>
    <w:lvl w:ilvl="6" w:tplc="080C0001" w:tentative="1">
      <w:start w:val="1"/>
      <w:numFmt w:val="bullet"/>
      <w:lvlText w:val=""/>
      <w:lvlJc w:val="left"/>
      <w:pPr>
        <w:ind w:left="4821" w:hanging="360"/>
      </w:pPr>
      <w:rPr>
        <w:rFonts w:ascii="Symbol" w:hAnsi="Symbol" w:hint="default"/>
      </w:rPr>
    </w:lvl>
    <w:lvl w:ilvl="7" w:tplc="080C0003" w:tentative="1">
      <w:start w:val="1"/>
      <w:numFmt w:val="bullet"/>
      <w:lvlText w:val="o"/>
      <w:lvlJc w:val="left"/>
      <w:pPr>
        <w:ind w:left="5541" w:hanging="360"/>
      </w:pPr>
      <w:rPr>
        <w:rFonts w:ascii="Courier New" w:hAnsi="Courier New" w:cs="Courier New" w:hint="default"/>
      </w:rPr>
    </w:lvl>
    <w:lvl w:ilvl="8" w:tplc="080C0005" w:tentative="1">
      <w:start w:val="1"/>
      <w:numFmt w:val="bullet"/>
      <w:lvlText w:val=""/>
      <w:lvlJc w:val="left"/>
      <w:pPr>
        <w:ind w:left="6261" w:hanging="360"/>
      </w:pPr>
      <w:rPr>
        <w:rFonts w:ascii="Wingdings" w:hAnsi="Wingdings" w:hint="default"/>
      </w:rPr>
    </w:lvl>
  </w:abstractNum>
  <w:abstractNum w:abstractNumId="14" w15:restartNumberingAfterBreak="0">
    <w:nsid w:val="403C7B2A"/>
    <w:multiLevelType w:val="hybridMultilevel"/>
    <w:tmpl w:val="3264802E"/>
    <w:lvl w:ilvl="0" w:tplc="00E836BA">
      <w:start w:val="1"/>
      <w:numFmt w:val="bullet"/>
      <w:lvlText w:val=""/>
      <w:lvlJc w:val="left"/>
      <w:pPr>
        <w:ind w:left="360" w:hanging="360"/>
      </w:pPr>
      <w:rPr>
        <w:rFonts w:ascii="Symbol" w:hAnsi="Symbol" w:hint="default"/>
        <w:sz w:val="28"/>
        <w:szCs w:val="28"/>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5" w15:restartNumberingAfterBreak="0">
    <w:nsid w:val="41C43CC1"/>
    <w:multiLevelType w:val="hybridMultilevel"/>
    <w:tmpl w:val="0F629792"/>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6" w15:restartNumberingAfterBreak="0">
    <w:nsid w:val="42A57F35"/>
    <w:multiLevelType w:val="hybridMultilevel"/>
    <w:tmpl w:val="E5E40D66"/>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7" w15:restartNumberingAfterBreak="0">
    <w:nsid w:val="43F84B37"/>
    <w:multiLevelType w:val="hybridMultilevel"/>
    <w:tmpl w:val="8092051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4CA23ACC"/>
    <w:multiLevelType w:val="hybridMultilevel"/>
    <w:tmpl w:val="E2624734"/>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4DDA6B31"/>
    <w:multiLevelType w:val="hybridMultilevel"/>
    <w:tmpl w:val="028E43B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508E1C33"/>
    <w:multiLevelType w:val="hybridMultilevel"/>
    <w:tmpl w:val="FA6CB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7022B7"/>
    <w:multiLevelType w:val="hybridMultilevel"/>
    <w:tmpl w:val="1008497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5C416698"/>
    <w:multiLevelType w:val="hybridMultilevel"/>
    <w:tmpl w:val="B268C39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63933F59"/>
    <w:multiLevelType w:val="hybridMultilevel"/>
    <w:tmpl w:val="C854D330"/>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65F652F1"/>
    <w:multiLevelType w:val="hybridMultilevel"/>
    <w:tmpl w:val="6722E5EA"/>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5" w15:restartNumberingAfterBreak="0">
    <w:nsid w:val="679336FE"/>
    <w:multiLevelType w:val="hybridMultilevel"/>
    <w:tmpl w:val="50B4875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70C03F41"/>
    <w:multiLevelType w:val="hybridMultilevel"/>
    <w:tmpl w:val="069C00DC"/>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10"/>
  </w:num>
  <w:num w:numId="2">
    <w:abstractNumId w:val="14"/>
  </w:num>
  <w:num w:numId="3">
    <w:abstractNumId w:val="2"/>
  </w:num>
  <w:num w:numId="4">
    <w:abstractNumId w:val="22"/>
  </w:num>
  <w:num w:numId="5">
    <w:abstractNumId w:val="7"/>
  </w:num>
  <w:num w:numId="6">
    <w:abstractNumId w:val="0"/>
    <w:lvlOverride w:ilvl="0">
      <w:lvl w:ilvl="0">
        <w:start w:val="1"/>
        <w:numFmt w:val="bullet"/>
        <w:lvlText w:val=""/>
        <w:legacy w:legacy="1" w:legacySpace="0" w:legacyIndent="283"/>
        <w:lvlJc w:val="left"/>
        <w:pPr>
          <w:ind w:left="283" w:hanging="283"/>
        </w:pPr>
        <w:rPr>
          <w:rFonts w:ascii="Symbol" w:hAnsi="Symbol" w:hint="default"/>
          <w:color w:val="auto"/>
        </w:rPr>
      </w:lvl>
    </w:lvlOverride>
  </w:num>
  <w:num w:numId="7">
    <w:abstractNumId w:val="0"/>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8">
    <w:abstractNumId w:val="21"/>
  </w:num>
  <w:num w:numId="9">
    <w:abstractNumId w:val="26"/>
  </w:num>
  <w:num w:numId="10">
    <w:abstractNumId w:val="25"/>
  </w:num>
  <w:num w:numId="11">
    <w:abstractNumId w:val="0"/>
    <w:lvlOverride w:ilvl="0">
      <w:lvl w:ilvl="0">
        <w:start w:val="1"/>
        <w:numFmt w:val="bullet"/>
        <w:lvlText w:val=""/>
        <w:legacy w:legacy="1" w:legacySpace="0" w:legacyIndent="283"/>
        <w:lvlJc w:val="left"/>
        <w:pPr>
          <w:ind w:left="424" w:hanging="283"/>
        </w:pPr>
        <w:rPr>
          <w:rFonts w:ascii="Symbol" w:hAnsi="Symbol" w:hint="default"/>
          <w:color w:val="auto"/>
        </w:rPr>
      </w:lvl>
    </w:lvlOverride>
  </w:num>
  <w:num w:numId="12">
    <w:abstractNumId w:val="20"/>
  </w:num>
  <w:num w:numId="13">
    <w:abstractNumId w:val="24"/>
  </w:num>
  <w:num w:numId="14">
    <w:abstractNumId w:val="15"/>
  </w:num>
  <w:num w:numId="15">
    <w:abstractNumId w:val="6"/>
  </w:num>
  <w:num w:numId="16">
    <w:abstractNumId w:val="11"/>
  </w:num>
  <w:num w:numId="17">
    <w:abstractNumId w:val="13"/>
  </w:num>
  <w:num w:numId="18">
    <w:abstractNumId w:val="17"/>
  </w:num>
  <w:num w:numId="19">
    <w:abstractNumId w:val="18"/>
  </w:num>
  <w:num w:numId="20">
    <w:abstractNumId w:val="23"/>
  </w:num>
  <w:num w:numId="21">
    <w:abstractNumId w:val="12"/>
  </w:num>
  <w:num w:numId="22">
    <w:abstractNumId w:val="1"/>
  </w:num>
  <w:num w:numId="23">
    <w:abstractNumId w:val="4"/>
  </w:num>
  <w:num w:numId="24">
    <w:abstractNumId w:val="9"/>
  </w:num>
  <w:num w:numId="25">
    <w:abstractNumId w:val="19"/>
  </w:num>
  <w:num w:numId="26">
    <w:abstractNumId w:val="8"/>
  </w:num>
  <w:num w:numId="27">
    <w:abstractNumId w:val="16"/>
  </w:num>
  <w:num w:numId="28">
    <w:abstractNumId w:val="3"/>
  </w:num>
  <w:num w:numId="29">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BE" w:vendorID="64" w:dllVersion="6" w:nlCheck="1" w:checkStyle="0"/>
  <w:activeWritingStyle w:appName="MSWord" w:lang="en-GB" w:vendorID="64" w:dllVersion="6" w:nlCheck="1" w:checkStyle="1"/>
  <w:activeWritingStyle w:appName="MSWord" w:lang="fr-FR" w:vendorID="64" w:dllVersion="6" w:nlCheck="1" w:checkStyle="0"/>
  <w:activeWritingStyle w:appName="MSWord" w:lang="en-AU" w:vendorID="64" w:dllVersion="6" w:nlCheck="1" w:checkStyle="0"/>
  <w:activeWritingStyle w:appName="MSWord" w:lang="en-US" w:vendorID="64" w:dllVersion="6" w:nlCheck="1" w:checkStyle="1"/>
  <w:activeWritingStyle w:appName="MSWord" w:lang="pt-PT" w:vendorID="64" w:dllVersion="6" w:nlCheck="1" w:checkStyle="0"/>
  <w:activeWritingStyle w:appName="MSWord" w:lang="de-DE" w:vendorID="64" w:dllVersion="6" w:nlCheck="1" w:checkStyle="0"/>
  <w:activeWritingStyle w:appName="MSWord" w:lang="nl-BE" w:vendorID="64" w:dllVersion="6" w:nlCheck="1" w:checkStyle="0"/>
  <w:activeWritingStyle w:appName="MSWord" w:lang="it-IT"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fi-FI" w:vendorID="64" w:dllVersion="4096" w:nlCheck="1" w:checkStyle="0"/>
  <w:activeWritingStyle w:appName="MSWord" w:lang="de-AT" w:vendorID="64" w:dllVersion="4096" w:nlCheck="1" w:checkStyle="0"/>
  <w:activeWritingStyle w:appName="MSWord" w:lang="nl-BE" w:vendorID="64" w:dllVersion="4096" w:nlCheck="1" w:checkStyle="0"/>
  <w:activeWritingStyle w:appName="MSWord" w:lang="da-DK" w:vendorID="64" w:dllVersion="4096" w:nlCheck="1" w:checkStyle="0"/>
  <w:activeWritingStyle w:appName="MSWord" w:lang="en-IE" w:vendorID="64" w:dllVersion="4096" w:nlCheck="1" w:checkStyle="0"/>
  <w:activeWritingStyle w:appName="MSWord" w:lang="fr-LU" w:vendorID="64" w:dllVersion="4096" w:nlCheck="1" w:checkStyle="0"/>
  <w:activeWritingStyle w:appName="MSWord" w:lang="en-AU" w:vendorID="64" w:dllVersion="4096" w:nlCheck="1" w:checkStyle="0"/>
  <w:activeWritingStyle w:appName="MSWord" w:lang="nl-NL" w:vendorID="64" w:dllVersion="4096" w:nlCheck="1" w:checkStyle="0"/>
  <w:activeWritingStyle w:appName="MSWord" w:lang="sv-SE" w:vendorID="64" w:dllVersion="4096" w:nlCheck="1" w:checkStyle="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11FC"/>
    <w:rsid w:val="00001786"/>
    <w:rsid w:val="00001A64"/>
    <w:rsid w:val="00002061"/>
    <w:rsid w:val="00002240"/>
    <w:rsid w:val="00002A4B"/>
    <w:rsid w:val="000058F8"/>
    <w:rsid w:val="00007729"/>
    <w:rsid w:val="000077FC"/>
    <w:rsid w:val="000104A6"/>
    <w:rsid w:val="00011582"/>
    <w:rsid w:val="00011846"/>
    <w:rsid w:val="00012071"/>
    <w:rsid w:val="000120E1"/>
    <w:rsid w:val="000124A6"/>
    <w:rsid w:val="00013CEE"/>
    <w:rsid w:val="00014132"/>
    <w:rsid w:val="000142E0"/>
    <w:rsid w:val="00014C93"/>
    <w:rsid w:val="00015A43"/>
    <w:rsid w:val="00015E18"/>
    <w:rsid w:val="00016015"/>
    <w:rsid w:val="000178D3"/>
    <w:rsid w:val="00017B56"/>
    <w:rsid w:val="00020557"/>
    <w:rsid w:val="0002109C"/>
    <w:rsid w:val="00021CE3"/>
    <w:rsid w:val="000232FA"/>
    <w:rsid w:val="00023B5F"/>
    <w:rsid w:val="00023DE9"/>
    <w:rsid w:val="000243E7"/>
    <w:rsid w:val="0002450A"/>
    <w:rsid w:val="00024601"/>
    <w:rsid w:val="000247C5"/>
    <w:rsid w:val="00024D79"/>
    <w:rsid w:val="00025304"/>
    <w:rsid w:val="00025343"/>
    <w:rsid w:val="000257FE"/>
    <w:rsid w:val="00025CE3"/>
    <w:rsid w:val="0002700A"/>
    <w:rsid w:val="00027072"/>
    <w:rsid w:val="000273E5"/>
    <w:rsid w:val="00027441"/>
    <w:rsid w:val="0003047E"/>
    <w:rsid w:val="00030AA7"/>
    <w:rsid w:val="00030ED3"/>
    <w:rsid w:val="00031589"/>
    <w:rsid w:val="00031F57"/>
    <w:rsid w:val="00032038"/>
    <w:rsid w:val="0003252D"/>
    <w:rsid w:val="0003271A"/>
    <w:rsid w:val="00032BAA"/>
    <w:rsid w:val="00032C0F"/>
    <w:rsid w:val="00032DB1"/>
    <w:rsid w:val="00033456"/>
    <w:rsid w:val="00033478"/>
    <w:rsid w:val="000336F2"/>
    <w:rsid w:val="00033839"/>
    <w:rsid w:val="000349A2"/>
    <w:rsid w:val="00034E35"/>
    <w:rsid w:val="00035924"/>
    <w:rsid w:val="000359CB"/>
    <w:rsid w:val="00036505"/>
    <w:rsid w:val="0003786C"/>
    <w:rsid w:val="00037A85"/>
    <w:rsid w:val="000402AE"/>
    <w:rsid w:val="00040FE1"/>
    <w:rsid w:val="00041C4A"/>
    <w:rsid w:val="0004205F"/>
    <w:rsid w:val="000421E0"/>
    <w:rsid w:val="000422C9"/>
    <w:rsid w:val="00043287"/>
    <w:rsid w:val="00043A3F"/>
    <w:rsid w:val="00046621"/>
    <w:rsid w:val="00046E56"/>
    <w:rsid w:val="00047887"/>
    <w:rsid w:val="00050002"/>
    <w:rsid w:val="000507DF"/>
    <w:rsid w:val="0005110E"/>
    <w:rsid w:val="0005170F"/>
    <w:rsid w:val="00052BF1"/>
    <w:rsid w:val="00052DD1"/>
    <w:rsid w:val="000545A8"/>
    <w:rsid w:val="0005495B"/>
    <w:rsid w:val="00055A19"/>
    <w:rsid w:val="00055CA5"/>
    <w:rsid w:val="00055D63"/>
    <w:rsid w:val="00056079"/>
    <w:rsid w:val="00056B3E"/>
    <w:rsid w:val="00057592"/>
    <w:rsid w:val="00057A51"/>
    <w:rsid w:val="00060F9E"/>
    <w:rsid w:val="000636B3"/>
    <w:rsid w:val="00063DFF"/>
    <w:rsid w:val="00063F30"/>
    <w:rsid w:val="0006421B"/>
    <w:rsid w:val="00064442"/>
    <w:rsid w:val="00064EDE"/>
    <w:rsid w:val="000662D1"/>
    <w:rsid w:val="00066DC7"/>
    <w:rsid w:val="000676C4"/>
    <w:rsid w:val="0007015C"/>
    <w:rsid w:val="00070AAE"/>
    <w:rsid w:val="00070FEE"/>
    <w:rsid w:val="0007146F"/>
    <w:rsid w:val="00071568"/>
    <w:rsid w:val="00071B33"/>
    <w:rsid w:val="00071F4C"/>
    <w:rsid w:val="00072D9B"/>
    <w:rsid w:val="00073491"/>
    <w:rsid w:val="000736D0"/>
    <w:rsid w:val="00073B39"/>
    <w:rsid w:val="0007419A"/>
    <w:rsid w:val="0007457E"/>
    <w:rsid w:val="00075ECB"/>
    <w:rsid w:val="000764E8"/>
    <w:rsid w:val="00076BA9"/>
    <w:rsid w:val="00077FF5"/>
    <w:rsid w:val="000830F4"/>
    <w:rsid w:val="00083845"/>
    <w:rsid w:val="00085082"/>
    <w:rsid w:val="00086B53"/>
    <w:rsid w:val="00086D43"/>
    <w:rsid w:val="000911BF"/>
    <w:rsid w:val="000917D8"/>
    <w:rsid w:val="00092425"/>
    <w:rsid w:val="000925AF"/>
    <w:rsid w:val="00093F23"/>
    <w:rsid w:val="00094B6B"/>
    <w:rsid w:val="000951A1"/>
    <w:rsid w:val="000956DB"/>
    <w:rsid w:val="00096786"/>
    <w:rsid w:val="00096CDE"/>
    <w:rsid w:val="000970CE"/>
    <w:rsid w:val="00097704"/>
    <w:rsid w:val="0009784F"/>
    <w:rsid w:val="000A007B"/>
    <w:rsid w:val="000A03BD"/>
    <w:rsid w:val="000A0B04"/>
    <w:rsid w:val="000A1218"/>
    <w:rsid w:val="000A1931"/>
    <w:rsid w:val="000A2953"/>
    <w:rsid w:val="000A3603"/>
    <w:rsid w:val="000A4E0B"/>
    <w:rsid w:val="000A558D"/>
    <w:rsid w:val="000A74DC"/>
    <w:rsid w:val="000A7BA8"/>
    <w:rsid w:val="000A7EC1"/>
    <w:rsid w:val="000B01F7"/>
    <w:rsid w:val="000B0B9A"/>
    <w:rsid w:val="000B1628"/>
    <w:rsid w:val="000B19C4"/>
    <w:rsid w:val="000B1AE6"/>
    <w:rsid w:val="000B1C30"/>
    <w:rsid w:val="000B1C78"/>
    <w:rsid w:val="000B25D7"/>
    <w:rsid w:val="000B2AC9"/>
    <w:rsid w:val="000B37D6"/>
    <w:rsid w:val="000B5831"/>
    <w:rsid w:val="000B5E57"/>
    <w:rsid w:val="000B652D"/>
    <w:rsid w:val="000B6A0A"/>
    <w:rsid w:val="000B79E2"/>
    <w:rsid w:val="000B7D8A"/>
    <w:rsid w:val="000C06CE"/>
    <w:rsid w:val="000C0708"/>
    <w:rsid w:val="000C18CA"/>
    <w:rsid w:val="000C2F19"/>
    <w:rsid w:val="000C3942"/>
    <w:rsid w:val="000C3E40"/>
    <w:rsid w:val="000C3E7C"/>
    <w:rsid w:val="000C43E2"/>
    <w:rsid w:val="000C4A91"/>
    <w:rsid w:val="000C4EED"/>
    <w:rsid w:val="000C5E9B"/>
    <w:rsid w:val="000C6D0B"/>
    <w:rsid w:val="000C73A6"/>
    <w:rsid w:val="000D0187"/>
    <w:rsid w:val="000D0A74"/>
    <w:rsid w:val="000D10ED"/>
    <w:rsid w:val="000D14C9"/>
    <w:rsid w:val="000D2F8F"/>
    <w:rsid w:val="000D391B"/>
    <w:rsid w:val="000D40D0"/>
    <w:rsid w:val="000D5A98"/>
    <w:rsid w:val="000D65AC"/>
    <w:rsid w:val="000D7181"/>
    <w:rsid w:val="000D72F5"/>
    <w:rsid w:val="000D754F"/>
    <w:rsid w:val="000D7878"/>
    <w:rsid w:val="000E1079"/>
    <w:rsid w:val="000E14F2"/>
    <w:rsid w:val="000E3485"/>
    <w:rsid w:val="000E37FD"/>
    <w:rsid w:val="000E437C"/>
    <w:rsid w:val="000E447F"/>
    <w:rsid w:val="000E5197"/>
    <w:rsid w:val="000E56EA"/>
    <w:rsid w:val="000E5FFD"/>
    <w:rsid w:val="000E6108"/>
    <w:rsid w:val="000E698E"/>
    <w:rsid w:val="000E75F1"/>
    <w:rsid w:val="000F21B9"/>
    <w:rsid w:val="000F2598"/>
    <w:rsid w:val="000F2BDB"/>
    <w:rsid w:val="000F2E5A"/>
    <w:rsid w:val="000F4139"/>
    <w:rsid w:val="000F442A"/>
    <w:rsid w:val="000F4825"/>
    <w:rsid w:val="000F53B7"/>
    <w:rsid w:val="000F679A"/>
    <w:rsid w:val="000F6FCF"/>
    <w:rsid w:val="000F791D"/>
    <w:rsid w:val="001000A8"/>
    <w:rsid w:val="00100FAC"/>
    <w:rsid w:val="0010109E"/>
    <w:rsid w:val="001016BE"/>
    <w:rsid w:val="00101D87"/>
    <w:rsid w:val="001023AA"/>
    <w:rsid w:val="00104302"/>
    <w:rsid w:val="0010484C"/>
    <w:rsid w:val="00104B7A"/>
    <w:rsid w:val="001052A1"/>
    <w:rsid w:val="0010535A"/>
    <w:rsid w:val="00105700"/>
    <w:rsid w:val="00105758"/>
    <w:rsid w:val="00105EF9"/>
    <w:rsid w:val="00106358"/>
    <w:rsid w:val="00110085"/>
    <w:rsid w:val="001106FB"/>
    <w:rsid w:val="00111187"/>
    <w:rsid w:val="00111BD8"/>
    <w:rsid w:val="00113B00"/>
    <w:rsid w:val="001140AE"/>
    <w:rsid w:val="00115CB3"/>
    <w:rsid w:val="00115CD7"/>
    <w:rsid w:val="00115FCA"/>
    <w:rsid w:val="001167A1"/>
    <w:rsid w:val="001168D6"/>
    <w:rsid w:val="00116A1C"/>
    <w:rsid w:val="001179DB"/>
    <w:rsid w:val="00117AA8"/>
    <w:rsid w:val="00120215"/>
    <w:rsid w:val="00120BA5"/>
    <w:rsid w:val="00121BCE"/>
    <w:rsid w:val="00123FF3"/>
    <w:rsid w:val="00124D7C"/>
    <w:rsid w:val="00124D9E"/>
    <w:rsid w:val="0012548F"/>
    <w:rsid w:val="001264CB"/>
    <w:rsid w:val="00126BB5"/>
    <w:rsid w:val="00126D3E"/>
    <w:rsid w:val="00126D40"/>
    <w:rsid w:val="001271C3"/>
    <w:rsid w:val="001275C6"/>
    <w:rsid w:val="0013052F"/>
    <w:rsid w:val="00132B56"/>
    <w:rsid w:val="001332A2"/>
    <w:rsid w:val="00133C08"/>
    <w:rsid w:val="001348CC"/>
    <w:rsid w:val="00135610"/>
    <w:rsid w:val="00135769"/>
    <w:rsid w:val="00136442"/>
    <w:rsid w:val="00137686"/>
    <w:rsid w:val="00137BCC"/>
    <w:rsid w:val="001400C7"/>
    <w:rsid w:val="0014322B"/>
    <w:rsid w:val="001435E4"/>
    <w:rsid w:val="001445A7"/>
    <w:rsid w:val="001455A1"/>
    <w:rsid w:val="0014589C"/>
    <w:rsid w:val="00145DCD"/>
    <w:rsid w:val="00147108"/>
    <w:rsid w:val="00147442"/>
    <w:rsid w:val="00150AD8"/>
    <w:rsid w:val="00150B75"/>
    <w:rsid w:val="00150E51"/>
    <w:rsid w:val="001513FD"/>
    <w:rsid w:val="00151EDB"/>
    <w:rsid w:val="0015211E"/>
    <w:rsid w:val="00153032"/>
    <w:rsid w:val="00153F0C"/>
    <w:rsid w:val="00153FB4"/>
    <w:rsid w:val="001543FE"/>
    <w:rsid w:val="00154EC7"/>
    <w:rsid w:val="00155B53"/>
    <w:rsid w:val="001563F6"/>
    <w:rsid w:val="00157F0F"/>
    <w:rsid w:val="001606AD"/>
    <w:rsid w:val="00163106"/>
    <w:rsid w:val="00164813"/>
    <w:rsid w:val="0016534C"/>
    <w:rsid w:val="00165EA2"/>
    <w:rsid w:val="00172541"/>
    <w:rsid w:val="0017287C"/>
    <w:rsid w:val="00173E94"/>
    <w:rsid w:val="00174253"/>
    <w:rsid w:val="001744F9"/>
    <w:rsid w:val="00174763"/>
    <w:rsid w:val="001755E0"/>
    <w:rsid w:val="001756D1"/>
    <w:rsid w:val="00175EC3"/>
    <w:rsid w:val="001760E9"/>
    <w:rsid w:val="00176786"/>
    <w:rsid w:val="001800DA"/>
    <w:rsid w:val="001801FC"/>
    <w:rsid w:val="00180F0B"/>
    <w:rsid w:val="00180F59"/>
    <w:rsid w:val="0018231C"/>
    <w:rsid w:val="00182F92"/>
    <w:rsid w:val="0018432F"/>
    <w:rsid w:val="00184D19"/>
    <w:rsid w:val="001861B4"/>
    <w:rsid w:val="001865D3"/>
    <w:rsid w:val="00186A73"/>
    <w:rsid w:val="00187F8B"/>
    <w:rsid w:val="00190D28"/>
    <w:rsid w:val="00191584"/>
    <w:rsid w:val="00191597"/>
    <w:rsid w:val="00192911"/>
    <w:rsid w:val="00192BCD"/>
    <w:rsid w:val="00193D92"/>
    <w:rsid w:val="00194870"/>
    <w:rsid w:val="001951FD"/>
    <w:rsid w:val="00195380"/>
    <w:rsid w:val="001965D5"/>
    <w:rsid w:val="0019674A"/>
    <w:rsid w:val="00196909"/>
    <w:rsid w:val="0019715D"/>
    <w:rsid w:val="001A0AD4"/>
    <w:rsid w:val="001A1CC5"/>
    <w:rsid w:val="001A2273"/>
    <w:rsid w:val="001A2632"/>
    <w:rsid w:val="001A2ED2"/>
    <w:rsid w:val="001A5EC5"/>
    <w:rsid w:val="001A60BB"/>
    <w:rsid w:val="001A7110"/>
    <w:rsid w:val="001A7476"/>
    <w:rsid w:val="001B10DA"/>
    <w:rsid w:val="001B146A"/>
    <w:rsid w:val="001B612B"/>
    <w:rsid w:val="001B643B"/>
    <w:rsid w:val="001B6460"/>
    <w:rsid w:val="001B79F5"/>
    <w:rsid w:val="001C087D"/>
    <w:rsid w:val="001C08F2"/>
    <w:rsid w:val="001C1786"/>
    <w:rsid w:val="001C226F"/>
    <w:rsid w:val="001C3412"/>
    <w:rsid w:val="001C3C0F"/>
    <w:rsid w:val="001C4219"/>
    <w:rsid w:val="001C4A5D"/>
    <w:rsid w:val="001C4EDC"/>
    <w:rsid w:val="001C4EFA"/>
    <w:rsid w:val="001C5776"/>
    <w:rsid w:val="001C5D5C"/>
    <w:rsid w:val="001C643F"/>
    <w:rsid w:val="001C64EB"/>
    <w:rsid w:val="001C6DC3"/>
    <w:rsid w:val="001C72AB"/>
    <w:rsid w:val="001C7B41"/>
    <w:rsid w:val="001D1F54"/>
    <w:rsid w:val="001D2636"/>
    <w:rsid w:val="001D31CF"/>
    <w:rsid w:val="001D357A"/>
    <w:rsid w:val="001D3D0A"/>
    <w:rsid w:val="001D6EF9"/>
    <w:rsid w:val="001D6FFF"/>
    <w:rsid w:val="001D770D"/>
    <w:rsid w:val="001E0F0C"/>
    <w:rsid w:val="001E1489"/>
    <w:rsid w:val="001E1833"/>
    <w:rsid w:val="001E2286"/>
    <w:rsid w:val="001E347B"/>
    <w:rsid w:val="001E3DFE"/>
    <w:rsid w:val="001E418F"/>
    <w:rsid w:val="001E6413"/>
    <w:rsid w:val="001E6AE6"/>
    <w:rsid w:val="001E6F69"/>
    <w:rsid w:val="001E715B"/>
    <w:rsid w:val="001E71D7"/>
    <w:rsid w:val="001F0687"/>
    <w:rsid w:val="001F1433"/>
    <w:rsid w:val="001F1862"/>
    <w:rsid w:val="001F3E4F"/>
    <w:rsid w:val="001F47B5"/>
    <w:rsid w:val="001F56CE"/>
    <w:rsid w:val="001F5A42"/>
    <w:rsid w:val="001F6FD5"/>
    <w:rsid w:val="001F773D"/>
    <w:rsid w:val="00200222"/>
    <w:rsid w:val="0020062C"/>
    <w:rsid w:val="0020064C"/>
    <w:rsid w:val="00200823"/>
    <w:rsid w:val="00200BE9"/>
    <w:rsid w:val="0020199E"/>
    <w:rsid w:val="00201A37"/>
    <w:rsid w:val="00202D9A"/>
    <w:rsid w:val="002037FC"/>
    <w:rsid w:val="00203B0B"/>
    <w:rsid w:val="00203BF4"/>
    <w:rsid w:val="002040E7"/>
    <w:rsid w:val="002043D7"/>
    <w:rsid w:val="002048F7"/>
    <w:rsid w:val="002049FA"/>
    <w:rsid w:val="00204FE8"/>
    <w:rsid w:val="00205D0D"/>
    <w:rsid w:val="002062DF"/>
    <w:rsid w:val="00206D17"/>
    <w:rsid w:val="00207025"/>
    <w:rsid w:val="00207B3C"/>
    <w:rsid w:val="00210F85"/>
    <w:rsid w:val="002119AD"/>
    <w:rsid w:val="00214437"/>
    <w:rsid w:val="00215520"/>
    <w:rsid w:val="0021590B"/>
    <w:rsid w:val="00215FAB"/>
    <w:rsid w:val="00217695"/>
    <w:rsid w:val="002205F3"/>
    <w:rsid w:val="00221313"/>
    <w:rsid w:val="002213A3"/>
    <w:rsid w:val="002216CC"/>
    <w:rsid w:val="00221854"/>
    <w:rsid w:val="00223179"/>
    <w:rsid w:val="00224583"/>
    <w:rsid w:val="002247DC"/>
    <w:rsid w:val="00224E52"/>
    <w:rsid w:val="00224F73"/>
    <w:rsid w:val="0022582C"/>
    <w:rsid w:val="00225BCA"/>
    <w:rsid w:val="00225C52"/>
    <w:rsid w:val="002264B1"/>
    <w:rsid w:val="002268A5"/>
    <w:rsid w:val="00226A74"/>
    <w:rsid w:val="00226DC1"/>
    <w:rsid w:val="002274AE"/>
    <w:rsid w:val="0022774F"/>
    <w:rsid w:val="00227E12"/>
    <w:rsid w:val="00230910"/>
    <w:rsid w:val="00231571"/>
    <w:rsid w:val="00232374"/>
    <w:rsid w:val="002326F4"/>
    <w:rsid w:val="00232868"/>
    <w:rsid w:val="002328D2"/>
    <w:rsid w:val="0023415A"/>
    <w:rsid w:val="00234EA0"/>
    <w:rsid w:val="00235B94"/>
    <w:rsid w:val="00237481"/>
    <w:rsid w:val="00240C09"/>
    <w:rsid w:val="00240D4D"/>
    <w:rsid w:val="002419CA"/>
    <w:rsid w:val="00241C29"/>
    <w:rsid w:val="00242666"/>
    <w:rsid w:val="00242952"/>
    <w:rsid w:val="0024324E"/>
    <w:rsid w:val="00243BC0"/>
    <w:rsid w:val="0024479A"/>
    <w:rsid w:val="00245136"/>
    <w:rsid w:val="002457A2"/>
    <w:rsid w:val="00245A60"/>
    <w:rsid w:val="00245CD4"/>
    <w:rsid w:val="00246F51"/>
    <w:rsid w:val="002479AC"/>
    <w:rsid w:val="00247E02"/>
    <w:rsid w:val="00251418"/>
    <w:rsid w:val="002525C2"/>
    <w:rsid w:val="002525F9"/>
    <w:rsid w:val="002527F0"/>
    <w:rsid w:val="00252D9C"/>
    <w:rsid w:val="00252DA5"/>
    <w:rsid w:val="00254776"/>
    <w:rsid w:val="00255669"/>
    <w:rsid w:val="0025617D"/>
    <w:rsid w:val="00256BEC"/>
    <w:rsid w:val="00256F0A"/>
    <w:rsid w:val="002571FC"/>
    <w:rsid w:val="002578F2"/>
    <w:rsid w:val="00260129"/>
    <w:rsid w:val="00260907"/>
    <w:rsid w:val="00260B0A"/>
    <w:rsid w:val="00261903"/>
    <w:rsid w:val="00261EA6"/>
    <w:rsid w:val="00261FDB"/>
    <w:rsid w:val="002634CF"/>
    <w:rsid w:val="002635C7"/>
    <w:rsid w:val="00263616"/>
    <w:rsid w:val="00267ABD"/>
    <w:rsid w:val="002706AD"/>
    <w:rsid w:val="00270828"/>
    <w:rsid w:val="00270AEC"/>
    <w:rsid w:val="002713AA"/>
    <w:rsid w:val="002713F4"/>
    <w:rsid w:val="002725D3"/>
    <w:rsid w:val="002736DF"/>
    <w:rsid w:val="002737D4"/>
    <w:rsid w:val="00274160"/>
    <w:rsid w:val="00274765"/>
    <w:rsid w:val="00274C1C"/>
    <w:rsid w:val="00274DCF"/>
    <w:rsid w:val="00275718"/>
    <w:rsid w:val="00275A32"/>
    <w:rsid w:val="002761B2"/>
    <w:rsid w:val="0027698E"/>
    <w:rsid w:val="00276CC9"/>
    <w:rsid w:val="002776B9"/>
    <w:rsid w:val="00277FEC"/>
    <w:rsid w:val="0028000C"/>
    <w:rsid w:val="002802BB"/>
    <w:rsid w:val="00280603"/>
    <w:rsid w:val="00280A90"/>
    <w:rsid w:val="0028403D"/>
    <w:rsid w:val="002852F7"/>
    <w:rsid w:val="002859C4"/>
    <w:rsid w:val="00285E58"/>
    <w:rsid w:val="002879B4"/>
    <w:rsid w:val="00287B4A"/>
    <w:rsid w:val="002908E2"/>
    <w:rsid w:val="00291154"/>
    <w:rsid w:val="0029132C"/>
    <w:rsid w:val="00292D44"/>
    <w:rsid w:val="00293765"/>
    <w:rsid w:val="0029379B"/>
    <w:rsid w:val="00293E9C"/>
    <w:rsid w:val="0029442A"/>
    <w:rsid w:val="00295B31"/>
    <w:rsid w:val="00295B97"/>
    <w:rsid w:val="002962DA"/>
    <w:rsid w:val="0029725F"/>
    <w:rsid w:val="00297B9F"/>
    <w:rsid w:val="002A0BCA"/>
    <w:rsid w:val="002A1827"/>
    <w:rsid w:val="002A2F38"/>
    <w:rsid w:val="002A3076"/>
    <w:rsid w:val="002A417C"/>
    <w:rsid w:val="002A417D"/>
    <w:rsid w:val="002A48B1"/>
    <w:rsid w:val="002A48BC"/>
    <w:rsid w:val="002A6192"/>
    <w:rsid w:val="002A696A"/>
    <w:rsid w:val="002A7009"/>
    <w:rsid w:val="002B0317"/>
    <w:rsid w:val="002B09A7"/>
    <w:rsid w:val="002B15F3"/>
    <w:rsid w:val="002B1961"/>
    <w:rsid w:val="002B2BA3"/>
    <w:rsid w:val="002B4E93"/>
    <w:rsid w:val="002B5031"/>
    <w:rsid w:val="002B5510"/>
    <w:rsid w:val="002B6D6C"/>
    <w:rsid w:val="002B75A5"/>
    <w:rsid w:val="002B7841"/>
    <w:rsid w:val="002B7981"/>
    <w:rsid w:val="002B7C5C"/>
    <w:rsid w:val="002B7F3A"/>
    <w:rsid w:val="002C016E"/>
    <w:rsid w:val="002C07E4"/>
    <w:rsid w:val="002C08B8"/>
    <w:rsid w:val="002C0E2F"/>
    <w:rsid w:val="002C2466"/>
    <w:rsid w:val="002C24B9"/>
    <w:rsid w:val="002C2B80"/>
    <w:rsid w:val="002C4B6E"/>
    <w:rsid w:val="002C5F52"/>
    <w:rsid w:val="002C704D"/>
    <w:rsid w:val="002D03B9"/>
    <w:rsid w:val="002D10D5"/>
    <w:rsid w:val="002D1175"/>
    <w:rsid w:val="002D3D63"/>
    <w:rsid w:val="002D3FFF"/>
    <w:rsid w:val="002D4382"/>
    <w:rsid w:val="002D4A78"/>
    <w:rsid w:val="002D4C38"/>
    <w:rsid w:val="002D4C63"/>
    <w:rsid w:val="002D4D5D"/>
    <w:rsid w:val="002D5381"/>
    <w:rsid w:val="002D5A51"/>
    <w:rsid w:val="002D691D"/>
    <w:rsid w:val="002D6C8A"/>
    <w:rsid w:val="002E01B5"/>
    <w:rsid w:val="002E211F"/>
    <w:rsid w:val="002E29B4"/>
    <w:rsid w:val="002E44D6"/>
    <w:rsid w:val="002E459D"/>
    <w:rsid w:val="002E5473"/>
    <w:rsid w:val="002E615C"/>
    <w:rsid w:val="002E62B0"/>
    <w:rsid w:val="002E7F30"/>
    <w:rsid w:val="002F0853"/>
    <w:rsid w:val="002F0F3E"/>
    <w:rsid w:val="002F31FD"/>
    <w:rsid w:val="002F32E6"/>
    <w:rsid w:val="002F4AF0"/>
    <w:rsid w:val="002F5750"/>
    <w:rsid w:val="002F57AC"/>
    <w:rsid w:val="002F57E9"/>
    <w:rsid w:val="002F5819"/>
    <w:rsid w:val="002F5EE1"/>
    <w:rsid w:val="002F63EB"/>
    <w:rsid w:val="002F6997"/>
    <w:rsid w:val="002F6E84"/>
    <w:rsid w:val="002F6FA0"/>
    <w:rsid w:val="00300ABA"/>
    <w:rsid w:val="0030158A"/>
    <w:rsid w:val="00302E45"/>
    <w:rsid w:val="003036D0"/>
    <w:rsid w:val="00304E20"/>
    <w:rsid w:val="00305834"/>
    <w:rsid w:val="00306A12"/>
    <w:rsid w:val="00311562"/>
    <w:rsid w:val="003123CB"/>
    <w:rsid w:val="003131BA"/>
    <w:rsid w:val="00313D86"/>
    <w:rsid w:val="003165A9"/>
    <w:rsid w:val="0031681F"/>
    <w:rsid w:val="00316B72"/>
    <w:rsid w:val="00320F33"/>
    <w:rsid w:val="0032128B"/>
    <w:rsid w:val="00321539"/>
    <w:rsid w:val="0032154F"/>
    <w:rsid w:val="0032266E"/>
    <w:rsid w:val="003227CC"/>
    <w:rsid w:val="0032340F"/>
    <w:rsid w:val="0032356C"/>
    <w:rsid w:val="00323A05"/>
    <w:rsid w:val="00323D28"/>
    <w:rsid w:val="00325509"/>
    <w:rsid w:val="00325F6C"/>
    <w:rsid w:val="003262D8"/>
    <w:rsid w:val="00326919"/>
    <w:rsid w:val="00326F5F"/>
    <w:rsid w:val="00327162"/>
    <w:rsid w:val="0033098C"/>
    <w:rsid w:val="0033099B"/>
    <w:rsid w:val="00330A97"/>
    <w:rsid w:val="00331ACB"/>
    <w:rsid w:val="00331C12"/>
    <w:rsid w:val="00331F0C"/>
    <w:rsid w:val="00331F6F"/>
    <w:rsid w:val="00332490"/>
    <w:rsid w:val="00333BE7"/>
    <w:rsid w:val="00333F1A"/>
    <w:rsid w:val="00334052"/>
    <w:rsid w:val="00335DF3"/>
    <w:rsid w:val="00336A36"/>
    <w:rsid w:val="00337140"/>
    <w:rsid w:val="00337D94"/>
    <w:rsid w:val="00337F36"/>
    <w:rsid w:val="00340D07"/>
    <w:rsid w:val="00340F46"/>
    <w:rsid w:val="003429F9"/>
    <w:rsid w:val="00342F72"/>
    <w:rsid w:val="00343E1E"/>
    <w:rsid w:val="003447C3"/>
    <w:rsid w:val="00344B13"/>
    <w:rsid w:val="00344BCF"/>
    <w:rsid w:val="00344D4D"/>
    <w:rsid w:val="003465B5"/>
    <w:rsid w:val="00346B57"/>
    <w:rsid w:val="00347160"/>
    <w:rsid w:val="00347F9A"/>
    <w:rsid w:val="003505DD"/>
    <w:rsid w:val="00350A12"/>
    <w:rsid w:val="00350F5C"/>
    <w:rsid w:val="00351248"/>
    <w:rsid w:val="003512EC"/>
    <w:rsid w:val="0035145B"/>
    <w:rsid w:val="00351E31"/>
    <w:rsid w:val="00351F56"/>
    <w:rsid w:val="003527B4"/>
    <w:rsid w:val="003529C2"/>
    <w:rsid w:val="00353184"/>
    <w:rsid w:val="00353D37"/>
    <w:rsid w:val="00354714"/>
    <w:rsid w:val="00356BAD"/>
    <w:rsid w:val="00356CCD"/>
    <w:rsid w:val="003604AE"/>
    <w:rsid w:val="00360C2F"/>
    <w:rsid w:val="00360C81"/>
    <w:rsid w:val="00361E48"/>
    <w:rsid w:val="00361F46"/>
    <w:rsid w:val="00363F5C"/>
    <w:rsid w:val="003641AD"/>
    <w:rsid w:val="003661D3"/>
    <w:rsid w:val="0036641A"/>
    <w:rsid w:val="00370548"/>
    <w:rsid w:val="00370CCB"/>
    <w:rsid w:val="003746E1"/>
    <w:rsid w:val="003748B6"/>
    <w:rsid w:val="00374BB8"/>
    <w:rsid w:val="003754CD"/>
    <w:rsid w:val="00375E65"/>
    <w:rsid w:val="00375F51"/>
    <w:rsid w:val="003761C7"/>
    <w:rsid w:val="00376574"/>
    <w:rsid w:val="00376592"/>
    <w:rsid w:val="00376B0A"/>
    <w:rsid w:val="003770B5"/>
    <w:rsid w:val="0037718B"/>
    <w:rsid w:val="00381901"/>
    <w:rsid w:val="003819C7"/>
    <w:rsid w:val="00381EF4"/>
    <w:rsid w:val="0038273B"/>
    <w:rsid w:val="00382C37"/>
    <w:rsid w:val="0038348C"/>
    <w:rsid w:val="00386954"/>
    <w:rsid w:val="00386C01"/>
    <w:rsid w:val="003873CF"/>
    <w:rsid w:val="00390587"/>
    <w:rsid w:val="00391B98"/>
    <w:rsid w:val="0039201C"/>
    <w:rsid w:val="00394949"/>
    <w:rsid w:val="00395070"/>
    <w:rsid w:val="003953F0"/>
    <w:rsid w:val="00395762"/>
    <w:rsid w:val="00396061"/>
    <w:rsid w:val="0039613E"/>
    <w:rsid w:val="003965BB"/>
    <w:rsid w:val="00396707"/>
    <w:rsid w:val="00396CC5"/>
    <w:rsid w:val="003A0DB7"/>
    <w:rsid w:val="003A2251"/>
    <w:rsid w:val="003A2E3A"/>
    <w:rsid w:val="003A37C0"/>
    <w:rsid w:val="003A3C4C"/>
    <w:rsid w:val="003A5C4C"/>
    <w:rsid w:val="003A7071"/>
    <w:rsid w:val="003B01EE"/>
    <w:rsid w:val="003B0516"/>
    <w:rsid w:val="003B2007"/>
    <w:rsid w:val="003B301F"/>
    <w:rsid w:val="003B3C5F"/>
    <w:rsid w:val="003B3D68"/>
    <w:rsid w:val="003B48B7"/>
    <w:rsid w:val="003B496D"/>
    <w:rsid w:val="003B6100"/>
    <w:rsid w:val="003B6160"/>
    <w:rsid w:val="003B62FD"/>
    <w:rsid w:val="003B6653"/>
    <w:rsid w:val="003B6760"/>
    <w:rsid w:val="003B6EB5"/>
    <w:rsid w:val="003C07C5"/>
    <w:rsid w:val="003C0D9C"/>
    <w:rsid w:val="003C0E5B"/>
    <w:rsid w:val="003C0FF2"/>
    <w:rsid w:val="003C179C"/>
    <w:rsid w:val="003C2647"/>
    <w:rsid w:val="003C2F64"/>
    <w:rsid w:val="003C2FB3"/>
    <w:rsid w:val="003C3C73"/>
    <w:rsid w:val="003C3F66"/>
    <w:rsid w:val="003C4172"/>
    <w:rsid w:val="003C4D5B"/>
    <w:rsid w:val="003C5614"/>
    <w:rsid w:val="003C5C25"/>
    <w:rsid w:val="003C5D97"/>
    <w:rsid w:val="003C7345"/>
    <w:rsid w:val="003C7843"/>
    <w:rsid w:val="003D219D"/>
    <w:rsid w:val="003D2CA9"/>
    <w:rsid w:val="003D33F7"/>
    <w:rsid w:val="003D4576"/>
    <w:rsid w:val="003D4F68"/>
    <w:rsid w:val="003D5339"/>
    <w:rsid w:val="003D55E1"/>
    <w:rsid w:val="003D5625"/>
    <w:rsid w:val="003D57BD"/>
    <w:rsid w:val="003D5824"/>
    <w:rsid w:val="003D5CC0"/>
    <w:rsid w:val="003D76E2"/>
    <w:rsid w:val="003D7B91"/>
    <w:rsid w:val="003E15E3"/>
    <w:rsid w:val="003E15FD"/>
    <w:rsid w:val="003E1AFA"/>
    <w:rsid w:val="003E2373"/>
    <w:rsid w:val="003E262D"/>
    <w:rsid w:val="003E2757"/>
    <w:rsid w:val="003E3BA4"/>
    <w:rsid w:val="003E5137"/>
    <w:rsid w:val="003E5470"/>
    <w:rsid w:val="003E60EC"/>
    <w:rsid w:val="003E674F"/>
    <w:rsid w:val="003E692C"/>
    <w:rsid w:val="003F0013"/>
    <w:rsid w:val="003F0159"/>
    <w:rsid w:val="003F0594"/>
    <w:rsid w:val="003F07E1"/>
    <w:rsid w:val="003F0FDD"/>
    <w:rsid w:val="003F17D6"/>
    <w:rsid w:val="003F240C"/>
    <w:rsid w:val="003F25CD"/>
    <w:rsid w:val="003F2D36"/>
    <w:rsid w:val="003F437F"/>
    <w:rsid w:val="003F4F94"/>
    <w:rsid w:val="003F510A"/>
    <w:rsid w:val="003F549A"/>
    <w:rsid w:val="003F5575"/>
    <w:rsid w:val="003F5D7F"/>
    <w:rsid w:val="003F6382"/>
    <w:rsid w:val="003F6762"/>
    <w:rsid w:val="003F6EE3"/>
    <w:rsid w:val="003F78A9"/>
    <w:rsid w:val="0040019C"/>
    <w:rsid w:val="00400842"/>
    <w:rsid w:val="00400A1F"/>
    <w:rsid w:val="004028F0"/>
    <w:rsid w:val="00402A19"/>
    <w:rsid w:val="004031E2"/>
    <w:rsid w:val="00403406"/>
    <w:rsid w:val="004047A6"/>
    <w:rsid w:val="004047B1"/>
    <w:rsid w:val="00405802"/>
    <w:rsid w:val="00405A32"/>
    <w:rsid w:val="00405FD9"/>
    <w:rsid w:val="0040654F"/>
    <w:rsid w:val="004068A5"/>
    <w:rsid w:val="00406DDB"/>
    <w:rsid w:val="00407760"/>
    <w:rsid w:val="00410782"/>
    <w:rsid w:val="00410811"/>
    <w:rsid w:val="004109E7"/>
    <w:rsid w:val="00412749"/>
    <w:rsid w:val="00412C56"/>
    <w:rsid w:val="004134ED"/>
    <w:rsid w:val="00413EA0"/>
    <w:rsid w:val="004146D0"/>
    <w:rsid w:val="0041498C"/>
    <w:rsid w:val="00414E65"/>
    <w:rsid w:val="00415CFC"/>
    <w:rsid w:val="00416136"/>
    <w:rsid w:val="00420A3B"/>
    <w:rsid w:val="00420AB5"/>
    <w:rsid w:val="00421CBB"/>
    <w:rsid w:val="004220CA"/>
    <w:rsid w:val="004228C2"/>
    <w:rsid w:val="00423D72"/>
    <w:rsid w:val="00424F1B"/>
    <w:rsid w:val="00424FBB"/>
    <w:rsid w:val="00425793"/>
    <w:rsid w:val="00425B4A"/>
    <w:rsid w:val="004268C7"/>
    <w:rsid w:val="00426B8F"/>
    <w:rsid w:val="00426ECD"/>
    <w:rsid w:val="00427161"/>
    <w:rsid w:val="00427D31"/>
    <w:rsid w:val="004305AF"/>
    <w:rsid w:val="0043160A"/>
    <w:rsid w:val="004331B4"/>
    <w:rsid w:val="00433439"/>
    <w:rsid w:val="0043387F"/>
    <w:rsid w:val="004351D4"/>
    <w:rsid w:val="00435C78"/>
    <w:rsid w:val="00436853"/>
    <w:rsid w:val="004408E6"/>
    <w:rsid w:val="004412D5"/>
    <w:rsid w:val="004415E2"/>
    <w:rsid w:val="00441A37"/>
    <w:rsid w:val="00441E1B"/>
    <w:rsid w:val="00441E45"/>
    <w:rsid w:val="004429E2"/>
    <w:rsid w:val="0044393A"/>
    <w:rsid w:val="0044394C"/>
    <w:rsid w:val="00443C4F"/>
    <w:rsid w:val="00444114"/>
    <w:rsid w:val="004442D3"/>
    <w:rsid w:val="00444F0D"/>
    <w:rsid w:val="00447339"/>
    <w:rsid w:val="004477C9"/>
    <w:rsid w:val="00447EE5"/>
    <w:rsid w:val="00450E5A"/>
    <w:rsid w:val="004511AE"/>
    <w:rsid w:val="004516BD"/>
    <w:rsid w:val="0045193E"/>
    <w:rsid w:val="004529D8"/>
    <w:rsid w:val="004539DA"/>
    <w:rsid w:val="00455312"/>
    <w:rsid w:val="0045690D"/>
    <w:rsid w:val="00456E3C"/>
    <w:rsid w:val="00456FC2"/>
    <w:rsid w:val="00461AB2"/>
    <w:rsid w:val="004625BD"/>
    <w:rsid w:val="00462B31"/>
    <w:rsid w:val="00462FB3"/>
    <w:rsid w:val="00463300"/>
    <w:rsid w:val="00463D55"/>
    <w:rsid w:val="004646AF"/>
    <w:rsid w:val="00464E60"/>
    <w:rsid w:val="00465427"/>
    <w:rsid w:val="004655F9"/>
    <w:rsid w:val="004656EF"/>
    <w:rsid w:val="0046592D"/>
    <w:rsid w:val="0046631E"/>
    <w:rsid w:val="00466CD9"/>
    <w:rsid w:val="00467BE4"/>
    <w:rsid w:val="00470719"/>
    <w:rsid w:val="00472A79"/>
    <w:rsid w:val="00472ACA"/>
    <w:rsid w:val="00472C23"/>
    <w:rsid w:val="00472E72"/>
    <w:rsid w:val="004732C2"/>
    <w:rsid w:val="004734C7"/>
    <w:rsid w:val="0047416F"/>
    <w:rsid w:val="004743D6"/>
    <w:rsid w:val="00474FF0"/>
    <w:rsid w:val="004755C3"/>
    <w:rsid w:val="00475D3E"/>
    <w:rsid w:val="0047677D"/>
    <w:rsid w:val="00477361"/>
    <w:rsid w:val="00477848"/>
    <w:rsid w:val="00477E0A"/>
    <w:rsid w:val="00480DF5"/>
    <w:rsid w:val="004823CB"/>
    <w:rsid w:val="00482F34"/>
    <w:rsid w:val="00483DD5"/>
    <w:rsid w:val="00484ECA"/>
    <w:rsid w:val="00485EA6"/>
    <w:rsid w:val="00490086"/>
    <w:rsid w:val="004904F9"/>
    <w:rsid w:val="00491C8D"/>
    <w:rsid w:val="00492374"/>
    <w:rsid w:val="00492ED3"/>
    <w:rsid w:val="0049347F"/>
    <w:rsid w:val="004940E4"/>
    <w:rsid w:val="004940F8"/>
    <w:rsid w:val="00495110"/>
    <w:rsid w:val="004955DA"/>
    <w:rsid w:val="004961BF"/>
    <w:rsid w:val="004971E8"/>
    <w:rsid w:val="004972FA"/>
    <w:rsid w:val="004A3CBD"/>
    <w:rsid w:val="004A46D9"/>
    <w:rsid w:val="004A5563"/>
    <w:rsid w:val="004A5CD7"/>
    <w:rsid w:val="004A6166"/>
    <w:rsid w:val="004A654F"/>
    <w:rsid w:val="004A66EE"/>
    <w:rsid w:val="004A688A"/>
    <w:rsid w:val="004A6B7F"/>
    <w:rsid w:val="004B1BC7"/>
    <w:rsid w:val="004B2250"/>
    <w:rsid w:val="004B32D3"/>
    <w:rsid w:val="004B344F"/>
    <w:rsid w:val="004B3B56"/>
    <w:rsid w:val="004B4150"/>
    <w:rsid w:val="004B45B8"/>
    <w:rsid w:val="004B4B28"/>
    <w:rsid w:val="004B7248"/>
    <w:rsid w:val="004B72DD"/>
    <w:rsid w:val="004C0C1D"/>
    <w:rsid w:val="004C1520"/>
    <w:rsid w:val="004C1E12"/>
    <w:rsid w:val="004C1EDE"/>
    <w:rsid w:val="004C2872"/>
    <w:rsid w:val="004C383F"/>
    <w:rsid w:val="004C3902"/>
    <w:rsid w:val="004C40E4"/>
    <w:rsid w:val="004C4101"/>
    <w:rsid w:val="004C48DA"/>
    <w:rsid w:val="004C583B"/>
    <w:rsid w:val="004C76BE"/>
    <w:rsid w:val="004C7B29"/>
    <w:rsid w:val="004D0366"/>
    <w:rsid w:val="004D0940"/>
    <w:rsid w:val="004D09EB"/>
    <w:rsid w:val="004D1910"/>
    <w:rsid w:val="004D2E64"/>
    <w:rsid w:val="004D3247"/>
    <w:rsid w:val="004D3E27"/>
    <w:rsid w:val="004D65FF"/>
    <w:rsid w:val="004D7AC0"/>
    <w:rsid w:val="004D7CB8"/>
    <w:rsid w:val="004D7F08"/>
    <w:rsid w:val="004E0C44"/>
    <w:rsid w:val="004E114D"/>
    <w:rsid w:val="004E1AA1"/>
    <w:rsid w:val="004E3304"/>
    <w:rsid w:val="004E34ED"/>
    <w:rsid w:val="004E41B9"/>
    <w:rsid w:val="004E5A3A"/>
    <w:rsid w:val="004E5DC9"/>
    <w:rsid w:val="004E7105"/>
    <w:rsid w:val="004E77E1"/>
    <w:rsid w:val="004F0CF5"/>
    <w:rsid w:val="004F1302"/>
    <w:rsid w:val="004F2430"/>
    <w:rsid w:val="004F271C"/>
    <w:rsid w:val="004F3158"/>
    <w:rsid w:val="004F32CD"/>
    <w:rsid w:val="004F4CD9"/>
    <w:rsid w:val="004F4CE0"/>
    <w:rsid w:val="004F68A8"/>
    <w:rsid w:val="004F7FE1"/>
    <w:rsid w:val="00500031"/>
    <w:rsid w:val="00501036"/>
    <w:rsid w:val="00501B49"/>
    <w:rsid w:val="00502092"/>
    <w:rsid w:val="0050211A"/>
    <w:rsid w:val="00502B04"/>
    <w:rsid w:val="00502C82"/>
    <w:rsid w:val="00502C92"/>
    <w:rsid w:val="00502E1F"/>
    <w:rsid w:val="005030F7"/>
    <w:rsid w:val="00503E8A"/>
    <w:rsid w:val="00504D3B"/>
    <w:rsid w:val="0050513B"/>
    <w:rsid w:val="00505C07"/>
    <w:rsid w:val="00507FBD"/>
    <w:rsid w:val="00510903"/>
    <w:rsid w:val="00510B95"/>
    <w:rsid w:val="00510F71"/>
    <w:rsid w:val="0051254E"/>
    <w:rsid w:val="005127F5"/>
    <w:rsid w:val="00512A34"/>
    <w:rsid w:val="0051658B"/>
    <w:rsid w:val="00516A59"/>
    <w:rsid w:val="00516CCE"/>
    <w:rsid w:val="00516FB9"/>
    <w:rsid w:val="0052028C"/>
    <w:rsid w:val="00520709"/>
    <w:rsid w:val="00520B85"/>
    <w:rsid w:val="005214D2"/>
    <w:rsid w:val="00521B5A"/>
    <w:rsid w:val="005224FE"/>
    <w:rsid w:val="00523057"/>
    <w:rsid w:val="005232B5"/>
    <w:rsid w:val="005232C6"/>
    <w:rsid w:val="0052394F"/>
    <w:rsid w:val="00523A8E"/>
    <w:rsid w:val="005241A2"/>
    <w:rsid w:val="00524649"/>
    <w:rsid w:val="00524960"/>
    <w:rsid w:val="00525B98"/>
    <w:rsid w:val="00525BE4"/>
    <w:rsid w:val="00530644"/>
    <w:rsid w:val="005318CD"/>
    <w:rsid w:val="00531E0B"/>
    <w:rsid w:val="00533AA9"/>
    <w:rsid w:val="00533BF2"/>
    <w:rsid w:val="0053502B"/>
    <w:rsid w:val="005374D2"/>
    <w:rsid w:val="0054010D"/>
    <w:rsid w:val="0054035C"/>
    <w:rsid w:val="005414B4"/>
    <w:rsid w:val="00542A74"/>
    <w:rsid w:val="00542AB1"/>
    <w:rsid w:val="00542C6F"/>
    <w:rsid w:val="005445DD"/>
    <w:rsid w:val="00544D95"/>
    <w:rsid w:val="00546217"/>
    <w:rsid w:val="005463FF"/>
    <w:rsid w:val="0054651F"/>
    <w:rsid w:val="00546842"/>
    <w:rsid w:val="00546843"/>
    <w:rsid w:val="00546B94"/>
    <w:rsid w:val="005475DA"/>
    <w:rsid w:val="00550800"/>
    <w:rsid w:val="0055106D"/>
    <w:rsid w:val="00552022"/>
    <w:rsid w:val="005522C8"/>
    <w:rsid w:val="0055236A"/>
    <w:rsid w:val="005523A0"/>
    <w:rsid w:val="005531A7"/>
    <w:rsid w:val="00554499"/>
    <w:rsid w:val="00555A39"/>
    <w:rsid w:val="00555C58"/>
    <w:rsid w:val="00556279"/>
    <w:rsid w:val="005563A9"/>
    <w:rsid w:val="00556EDF"/>
    <w:rsid w:val="005573FE"/>
    <w:rsid w:val="00560174"/>
    <w:rsid w:val="00560A05"/>
    <w:rsid w:val="005611EB"/>
    <w:rsid w:val="00562757"/>
    <w:rsid w:val="00563B99"/>
    <w:rsid w:val="00563F1B"/>
    <w:rsid w:val="00564493"/>
    <w:rsid w:val="0056457F"/>
    <w:rsid w:val="00564924"/>
    <w:rsid w:val="00564B9E"/>
    <w:rsid w:val="0056552C"/>
    <w:rsid w:val="00565C6E"/>
    <w:rsid w:val="00566896"/>
    <w:rsid w:val="00566919"/>
    <w:rsid w:val="00570527"/>
    <w:rsid w:val="005706B8"/>
    <w:rsid w:val="00570DDC"/>
    <w:rsid w:val="00571BCD"/>
    <w:rsid w:val="00571FEB"/>
    <w:rsid w:val="00572679"/>
    <w:rsid w:val="00572735"/>
    <w:rsid w:val="005727A8"/>
    <w:rsid w:val="00574403"/>
    <w:rsid w:val="00574E5A"/>
    <w:rsid w:val="0057560E"/>
    <w:rsid w:val="00577672"/>
    <w:rsid w:val="00582A42"/>
    <w:rsid w:val="00584D91"/>
    <w:rsid w:val="00585857"/>
    <w:rsid w:val="0058593B"/>
    <w:rsid w:val="0058593F"/>
    <w:rsid w:val="00586967"/>
    <w:rsid w:val="00586B4B"/>
    <w:rsid w:val="005874AF"/>
    <w:rsid w:val="00587FA5"/>
    <w:rsid w:val="00590BDD"/>
    <w:rsid w:val="00593F1B"/>
    <w:rsid w:val="00594140"/>
    <w:rsid w:val="005941E3"/>
    <w:rsid w:val="00594760"/>
    <w:rsid w:val="0059541C"/>
    <w:rsid w:val="0059647B"/>
    <w:rsid w:val="005967FB"/>
    <w:rsid w:val="005A0D46"/>
    <w:rsid w:val="005A1FA3"/>
    <w:rsid w:val="005A297E"/>
    <w:rsid w:val="005A29D5"/>
    <w:rsid w:val="005A31A4"/>
    <w:rsid w:val="005A3AC1"/>
    <w:rsid w:val="005A3DF8"/>
    <w:rsid w:val="005A3E6D"/>
    <w:rsid w:val="005A4945"/>
    <w:rsid w:val="005A4ABB"/>
    <w:rsid w:val="005A4E72"/>
    <w:rsid w:val="005A622F"/>
    <w:rsid w:val="005A67F3"/>
    <w:rsid w:val="005A6946"/>
    <w:rsid w:val="005A755F"/>
    <w:rsid w:val="005A7D66"/>
    <w:rsid w:val="005B0E27"/>
    <w:rsid w:val="005B3012"/>
    <w:rsid w:val="005B3E1F"/>
    <w:rsid w:val="005B3E41"/>
    <w:rsid w:val="005B4680"/>
    <w:rsid w:val="005B4EE6"/>
    <w:rsid w:val="005B5038"/>
    <w:rsid w:val="005B5D8B"/>
    <w:rsid w:val="005B6007"/>
    <w:rsid w:val="005B7660"/>
    <w:rsid w:val="005C0363"/>
    <w:rsid w:val="005C0454"/>
    <w:rsid w:val="005C078D"/>
    <w:rsid w:val="005C28F2"/>
    <w:rsid w:val="005C6297"/>
    <w:rsid w:val="005C63F8"/>
    <w:rsid w:val="005C6A74"/>
    <w:rsid w:val="005C6F8B"/>
    <w:rsid w:val="005C72B5"/>
    <w:rsid w:val="005C7902"/>
    <w:rsid w:val="005C7C47"/>
    <w:rsid w:val="005D0AE8"/>
    <w:rsid w:val="005D326D"/>
    <w:rsid w:val="005D3431"/>
    <w:rsid w:val="005D55F5"/>
    <w:rsid w:val="005D5876"/>
    <w:rsid w:val="005D610D"/>
    <w:rsid w:val="005D621C"/>
    <w:rsid w:val="005D6E4D"/>
    <w:rsid w:val="005D76AC"/>
    <w:rsid w:val="005D7939"/>
    <w:rsid w:val="005D7A1C"/>
    <w:rsid w:val="005E0555"/>
    <w:rsid w:val="005E1D60"/>
    <w:rsid w:val="005E23CD"/>
    <w:rsid w:val="005E2C02"/>
    <w:rsid w:val="005E3426"/>
    <w:rsid w:val="005E3A6F"/>
    <w:rsid w:val="005E3EE4"/>
    <w:rsid w:val="005E4970"/>
    <w:rsid w:val="005E547D"/>
    <w:rsid w:val="005E56F3"/>
    <w:rsid w:val="005E60E1"/>
    <w:rsid w:val="005E682E"/>
    <w:rsid w:val="005E764B"/>
    <w:rsid w:val="005E7838"/>
    <w:rsid w:val="005E7B87"/>
    <w:rsid w:val="005E7FD6"/>
    <w:rsid w:val="005F12E9"/>
    <w:rsid w:val="005F1C0F"/>
    <w:rsid w:val="005F2042"/>
    <w:rsid w:val="005F2736"/>
    <w:rsid w:val="005F2E1D"/>
    <w:rsid w:val="005F41C5"/>
    <w:rsid w:val="005F4CC1"/>
    <w:rsid w:val="005F4FFC"/>
    <w:rsid w:val="005F5847"/>
    <w:rsid w:val="005F6816"/>
    <w:rsid w:val="005F755E"/>
    <w:rsid w:val="005F78D7"/>
    <w:rsid w:val="005F7E48"/>
    <w:rsid w:val="00600087"/>
    <w:rsid w:val="00600511"/>
    <w:rsid w:val="00600A25"/>
    <w:rsid w:val="00600E0A"/>
    <w:rsid w:val="00601E6B"/>
    <w:rsid w:val="00602107"/>
    <w:rsid w:val="006025C9"/>
    <w:rsid w:val="00604D64"/>
    <w:rsid w:val="00605135"/>
    <w:rsid w:val="0060527D"/>
    <w:rsid w:val="00607759"/>
    <w:rsid w:val="00607A25"/>
    <w:rsid w:val="00607F17"/>
    <w:rsid w:val="00610B3B"/>
    <w:rsid w:val="0061132E"/>
    <w:rsid w:val="006119BD"/>
    <w:rsid w:val="00611E59"/>
    <w:rsid w:val="00612458"/>
    <w:rsid w:val="006125A8"/>
    <w:rsid w:val="00613467"/>
    <w:rsid w:val="0061692F"/>
    <w:rsid w:val="00616DD7"/>
    <w:rsid w:val="00617140"/>
    <w:rsid w:val="0061753E"/>
    <w:rsid w:val="006178CC"/>
    <w:rsid w:val="006203CD"/>
    <w:rsid w:val="0062050F"/>
    <w:rsid w:val="00621329"/>
    <w:rsid w:val="0062138E"/>
    <w:rsid w:val="00621E7B"/>
    <w:rsid w:val="00622199"/>
    <w:rsid w:val="00622822"/>
    <w:rsid w:val="00623469"/>
    <w:rsid w:val="00624785"/>
    <w:rsid w:val="00624CAC"/>
    <w:rsid w:val="00625885"/>
    <w:rsid w:val="006262F2"/>
    <w:rsid w:val="006263FF"/>
    <w:rsid w:val="00626B92"/>
    <w:rsid w:val="00627B8F"/>
    <w:rsid w:val="00627D71"/>
    <w:rsid w:val="00630047"/>
    <w:rsid w:val="0063079B"/>
    <w:rsid w:val="00630928"/>
    <w:rsid w:val="00631509"/>
    <w:rsid w:val="0063176E"/>
    <w:rsid w:val="00631992"/>
    <w:rsid w:val="00631A84"/>
    <w:rsid w:val="00632139"/>
    <w:rsid w:val="0063245C"/>
    <w:rsid w:val="006324DA"/>
    <w:rsid w:val="006334BE"/>
    <w:rsid w:val="00633FC6"/>
    <w:rsid w:val="00636F0E"/>
    <w:rsid w:val="00637ED7"/>
    <w:rsid w:val="00637F76"/>
    <w:rsid w:val="00640656"/>
    <w:rsid w:val="00640B6E"/>
    <w:rsid w:val="00640E92"/>
    <w:rsid w:val="00641262"/>
    <w:rsid w:val="00641B9B"/>
    <w:rsid w:val="006432CF"/>
    <w:rsid w:val="006433A5"/>
    <w:rsid w:val="0064343F"/>
    <w:rsid w:val="00643A22"/>
    <w:rsid w:val="00643DBB"/>
    <w:rsid w:val="00644C57"/>
    <w:rsid w:val="00644EFD"/>
    <w:rsid w:val="00645723"/>
    <w:rsid w:val="00647FEA"/>
    <w:rsid w:val="00650972"/>
    <w:rsid w:val="00650DB1"/>
    <w:rsid w:val="0065109B"/>
    <w:rsid w:val="00651653"/>
    <w:rsid w:val="006549AE"/>
    <w:rsid w:val="00654C06"/>
    <w:rsid w:val="00655945"/>
    <w:rsid w:val="00656506"/>
    <w:rsid w:val="006568C6"/>
    <w:rsid w:val="006568C8"/>
    <w:rsid w:val="006604D8"/>
    <w:rsid w:val="00661542"/>
    <w:rsid w:val="00662436"/>
    <w:rsid w:val="00662475"/>
    <w:rsid w:val="00662D95"/>
    <w:rsid w:val="0066408C"/>
    <w:rsid w:val="006669FA"/>
    <w:rsid w:val="00666A72"/>
    <w:rsid w:val="00667E70"/>
    <w:rsid w:val="00670347"/>
    <w:rsid w:val="00670387"/>
    <w:rsid w:val="006705DE"/>
    <w:rsid w:val="00671753"/>
    <w:rsid w:val="006722E8"/>
    <w:rsid w:val="0067337A"/>
    <w:rsid w:val="006736F5"/>
    <w:rsid w:val="006749D4"/>
    <w:rsid w:val="00674A47"/>
    <w:rsid w:val="00675177"/>
    <w:rsid w:val="00675C3E"/>
    <w:rsid w:val="00676CBB"/>
    <w:rsid w:val="00677979"/>
    <w:rsid w:val="0068132C"/>
    <w:rsid w:val="00681B23"/>
    <w:rsid w:val="0068241A"/>
    <w:rsid w:val="00682943"/>
    <w:rsid w:val="00682B1D"/>
    <w:rsid w:val="00682BBF"/>
    <w:rsid w:val="0068439A"/>
    <w:rsid w:val="006849A6"/>
    <w:rsid w:val="00685937"/>
    <w:rsid w:val="00685C57"/>
    <w:rsid w:val="00685CF8"/>
    <w:rsid w:val="00686FAC"/>
    <w:rsid w:val="00687437"/>
    <w:rsid w:val="00687C49"/>
    <w:rsid w:val="0069051C"/>
    <w:rsid w:val="00691253"/>
    <w:rsid w:val="00691356"/>
    <w:rsid w:val="006917E2"/>
    <w:rsid w:val="00692875"/>
    <w:rsid w:val="006929F2"/>
    <w:rsid w:val="0069379F"/>
    <w:rsid w:val="006938FA"/>
    <w:rsid w:val="00693DE6"/>
    <w:rsid w:val="0069443F"/>
    <w:rsid w:val="00695E6A"/>
    <w:rsid w:val="006967AE"/>
    <w:rsid w:val="00697BC4"/>
    <w:rsid w:val="006A08B9"/>
    <w:rsid w:val="006A09C4"/>
    <w:rsid w:val="006A1317"/>
    <w:rsid w:val="006A15F8"/>
    <w:rsid w:val="006A3A88"/>
    <w:rsid w:val="006A42C1"/>
    <w:rsid w:val="006A497B"/>
    <w:rsid w:val="006A5171"/>
    <w:rsid w:val="006A5764"/>
    <w:rsid w:val="006A5AA8"/>
    <w:rsid w:val="006A66F5"/>
    <w:rsid w:val="006A6D9B"/>
    <w:rsid w:val="006A6FE4"/>
    <w:rsid w:val="006A737A"/>
    <w:rsid w:val="006A7FB4"/>
    <w:rsid w:val="006B050A"/>
    <w:rsid w:val="006B106B"/>
    <w:rsid w:val="006B13C2"/>
    <w:rsid w:val="006B265F"/>
    <w:rsid w:val="006B318C"/>
    <w:rsid w:val="006B3316"/>
    <w:rsid w:val="006B5025"/>
    <w:rsid w:val="006B58ED"/>
    <w:rsid w:val="006B5D99"/>
    <w:rsid w:val="006B6D88"/>
    <w:rsid w:val="006B73D6"/>
    <w:rsid w:val="006C1160"/>
    <w:rsid w:val="006C19F4"/>
    <w:rsid w:val="006C23B2"/>
    <w:rsid w:val="006C24B2"/>
    <w:rsid w:val="006C25B5"/>
    <w:rsid w:val="006C2C92"/>
    <w:rsid w:val="006C2EB9"/>
    <w:rsid w:val="006C4311"/>
    <w:rsid w:val="006C4ED2"/>
    <w:rsid w:val="006C61EF"/>
    <w:rsid w:val="006C7863"/>
    <w:rsid w:val="006D0A58"/>
    <w:rsid w:val="006D1EA4"/>
    <w:rsid w:val="006D32E3"/>
    <w:rsid w:val="006D3464"/>
    <w:rsid w:val="006D3C90"/>
    <w:rsid w:val="006D4847"/>
    <w:rsid w:val="006D498C"/>
    <w:rsid w:val="006D6086"/>
    <w:rsid w:val="006D7794"/>
    <w:rsid w:val="006D7F35"/>
    <w:rsid w:val="006E0BCE"/>
    <w:rsid w:val="006E0E88"/>
    <w:rsid w:val="006E10B5"/>
    <w:rsid w:val="006E1137"/>
    <w:rsid w:val="006E16D5"/>
    <w:rsid w:val="006E1DD7"/>
    <w:rsid w:val="006E224A"/>
    <w:rsid w:val="006E245B"/>
    <w:rsid w:val="006E3078"/>
    <w:rsid w:val="006E3F60"/>
    <w:rsid w:val="006E4430"/>
    <w:rsid w:val="006E489B"/>
    <w:rsid w:val="006E4F6C"/>
    <w:rsid w:val="006E6434"/>
    <w:rsid w:val="006E679C"/>
    <w:rsid w:val="006E6D23"/>
    <w:rsid w:val="006F016B"/>
    <w:rsid w:val="006F04AD"/>
    <w:rsid w:val="006F1193"/>
    <w:rsid w:val="006F11B8"/>
    <w:rsid w:val="006F1B2E"/>
    <w:rsid w:val="006F2BFD"/>
    <w:rsid w:val="006F2FC6"/>
    <w:rsid w:val="006F3089"/>
    <w:rsid w:val="006F31A0"/>
    <w:rsid w:val="006F3409"/>
    <w:rsid w:val="006F598E"/>
    <w:rsid w:val="006F62F8"/>
    <w:rsid w:val="006F775D"/>
    <w:rsid w:val="00700030"/>
    <w:rsid w:val="00700916"/>
    <w:rsid w:val="00701076"/>
    <w:rsid w:val="00701CBA"/>
    <w:rsid w:val="00702E62"/>
    <w:rsid w:val="007037CE"/>
    <w:rsid w:val="00703B85"/>
    <w:rsid w:val="00704442"/>
    <w:rsid w:val="00704C1E"/>
    <w:rsid w:val="0070525C"/>
    <w:rsid w:val="00705674"/>
    <w:rsid w:val="00705DFB"/>
    <w:rsid w:val="0070622E"/>
    <w:rsid w:val="0070640A"/>
    <w:rsid w:val="0070675C"/>
    <w:rsid w:val="0070677E"/>
    <w:rsid w:val="007105B2"/>
    <w:rsid w:val="007133BE"/>
    <w:rsid w:val="0071398A"/>
    <w:rsid w:val="007150C5"/>
    <w:rsid w:val="007155A0"/>
    <w:rsid w:val="00715A60"/>
    <w:rsid w:val="007179BC"/>
    <w:rsid w:val="00720D22"/>
    <w:rsid w:val="00721342"/>
    <w:rsid w:val="00721386"/>
    <w:rsid w:val="00721B7D"/>
    <w:rsid w:val="007220B3"/>
    <w:rsid w:val="00724702"/>
    <w:rsid w:val="00724D6D"/>
    <w:rsid w:val="00727B0D"/>
    <w:rsid w:val="00730A22"/>
    <w:rsid w:val="00730BCC"/>
    <w:rsid w:val="00730BDD"/>
    <w:rsid w:val="00730F46"/>
    <w:rsid w:val="007313E4"/>
    <w:rsid w:val="007327CD"/>
    <w:rsid w:val="00732CC4"/>
    <w:rsid w:val="00733A55"/>
    <w:rsid w:val="00734181"/>
    <w:rsid w:val="0073462A"/>
    <w:rsid w:val="00735256"/>
    <w:rsid w:val="00737766"/>
    <w:rsid w:val="007406C8"/>
    <w:rsid w:val="007425D2"/>
    <w:rsid w:val="0074379C"/>
    <w:rsid w:val="00743FAB"/>
    <w:rsid w:val="0074419C"/>
    <w:rsid w:val="00744C0A"/>
    <w:rsid w:val="00745EAA"/>
    <w:rsid w:val="00746B35"/>
    <w:rsid w:val="007473E6"/>
    <w:rsid w:val="00747CE3"/>
    <w:rsid w:val="00750BF7"/>
    <w:rsid w:val="00750F31"/>
    <w:rsid w:val="0075182B"/>
    <w:rsid w:val="00751D4A"/>
    <w:rsid w:val="007521F2"/>
    <w:rsid w:val="0075250B"/>
    <w:rsid w:val="00753F2A"/>
    <w:rsid w:val="00754DC5"/>
    <w:rsid w:val="00754E93"/>
    <w:rsid w:val="0075541F"/>
    <w:rsid w:val="00756490"/>
    <w:rsid w:val="00756AF7"/>
    <w:rsid w:val="00756F3D"/>
    <w:rsid w:val="0075779D"/>
    <w:rsid w:val="007607A9"/>
    <w:rsid w:val="00760B02"/>
    <w:rsid w:val="00760C0A"/>
    <w:rsid w:val="0076429F"/>
    <w:rsid w:val="007650A7"/>
    <w:rsid w:val="00765480"/>
    <w:rsid w:val="00765C4F"/>
    <w:rsid w:val="00766372"/>
    <w:rsid w:val="00766B65"/>
    <w:rsid w:val="0076753A"/>
    <w:rsid w:val="00770B2E"/>
    <w:rsid w:val="00770F41"/>
    <w:rsid w:val="00771110"/>
    <w:rsid w:val="007717CB"/>
    <w:rsid w:val="007724A0"/>
    <w:rsid w:val="00772F61"/>
    <w:rsid w:val="00775FC4"/>
    <w:rsid w:val="00775FDA"/>
    <w:rsid w:val="007764A8"/>
    <w:rsid w:val="007770B2"/>
    <w:rsid w:val="0077736D"/>
    <w:rsid w:val="0077792F"/>
    <w:rsid w:val="00777F11"/>
    <w:rsid w:val="007818B3"/>
    <w:rsid w:val="00781991"/>
    <w:rsid w:val="00781B32"/>
    <w:rsid w:val="007830DD"/>
    <w:rsid w:val="007833BB"/>
    <w:rsid w:val="00783680"/>
    <w:rsid w:val="00784DB5"/>
    <w:rsid w:val="00785F4A"/>
    <w:rsid w:val="00786430"/>
    <w:rsid w:val="00786AC6"/>
    <w:rsid w:val="00786FF5"/>
    <w:rsid w:val="00787855"/>
    <w:rsid w:val="00791A8F"/>
    <w:rsid w:val="00791FDF"/>
    <w:rsid w:val="007931C2"/>
    <w:rsid w:val="00794BA0"/>
    <w:rsid w:val="00796F98"/>
    <w:rsid w:val="00797088"/>
    <w:rsid w:val="00797232"/>
    <w:rsid w:val="00797F54"/>
    <w:rsid w:val="007A04EA"/>
    <w:rsid w:val="007A0970"/>
    <w:rsid w:val="007A1548"/>
    <w:rsid w:val="007A19B8"/>
    <w:rsid w:val="007A1E2D"/>
    <w:rsid w:val="007A26B7"/>
    <w:rsid w:val="007A300E"/>
    <w:rsid w:val="007A4DC4"/>
    <w:rsid w:val="007A4F58"/>
    <w:rsid w:val="007A51DE"/>
    <w:rsid w:val="007A52BD"/>
    <w:rsid w:val="007A63CB"/>
    <w:rsid w:val="007B081C"/>
    <w:rsid w:val="007B20AF"/>
    <w:rsid w:val="007B21C5"/>
    <w:rsid w:val="007B231B"/>
    <w:rsid w:val="007B2CAF"/>
    <w:rsid w:val="007B4C34"/>
    <w:rsid w:val="007B4C38"/>
    <w:rsid w:val="007B4EBE"/>
    <w:rsid w:val="007B6259"/>
    <w:rsid w:val="007B6B96"/>
    <w:rsid w:val="007B76EB"/>
    <w:rsid w:val="007B7C40"/>
    <w:rsid w:val="007C0BDC"/>
    <w:rsid w:val="007C11A7"/>
    <w:rsid w:val="007C1E20"/>
    <w:rsid w:val="007C2536"/>
    <w:rsid w:val="007C29B9"/>
    <w:rsid w:val="007C35CD"/>
    <w:rsid w:val="007C41DA"/>
    <w:rsid w:val="007C58EA"/>
    <w:rsid w:val="007C58EF"/>
    <w:rsid w:val="007C6BC9"/>
    <w:rsid w:val="007C72B5"/>
    <w:rsid w:val="007C76FF"/>
    <w:rsid w:val="007C7CE2"/>
    <w:rsid w:val="007D02CE"/>
    <w:rsid w:val="007D0718"/>
    <w:rsid w:val="007D0B3B"/>
    <w:rsid w:val="007D1564"/>
    <w:rsid w:val="007D2E29"/>
    <w:rsid w:val="007D42D1"/>
    <w:rsid w:val="007D4D61"/>
    <w:rsid w:val="007D5174"/>
    <w:rsid w:val="007D5BEA"/>
    <w:rsid w:val="007D5F7F"/>
    <w:rsid w:val="007D7F66"/>
    <w:rsid w:val="007E0A57"/>
    <w:rsid w:val="007E0CE8"/>
    <w:rsid w:val="007E1970"/>
    <w:rsid w:val="007E3E0D"/>
    <w:rsid w:val="007E3E60"/>
    <w:rsid w:val="007E3FFA"/>
    <w:rsid w:val="007E4667"/>
    <w:rsid w:val="007E48C6"/>
    <w:rsid w:val="007E4D33"/>
    <w:rsid w:val="007E5A06"/>
    <w:rsid w:val="007E682E"/>
    <w:rsid w:val="007E70D2"/>
    <w:rsid w:val="007E7610"/>
    <w:rsid w:val="007E7A4F"/>
    <w:rsid w:val="007E7DE3"/>
    <w:rsid w:val="007F0BB7"/>
    <w:rsid w:val="007F13A9"/>
    <w:rsid w:val="007F1BDF"/>
    <w:rsid w:val="007F1F20"/>
    <w:rsid w:val="007F2119"/>
    <w:rsid w:val="007F211C"/>
    <w:rsid w:val="007F292F"/>
    <w:rsid w:val="007F2C09"/>
    <w:rsid w:val="007F68CA"/>
    <w:rsid w:val="007F6922"/>
    <w:rsid w:val="007F6CE1"/>
    <w:rsid w:val="007F7DBA"/>
    <w:rsid w:val="007F7E38"/>
    <w:rsid w:val="00800DE9"/>
    <w:rsid w:val="00802A53"/>
    <w:rsid w:val="00802E2B"/>
    <w:rsid w:val="008033DC"/>
    <w:rsid w:val="00804736"/>
    <w:rsid w:val="0080501D"/>
    <w:rsid w:val="00806BBC"/>
    <w:rsid w:val="0080771B"/>
    <w:rsid w:val="00807FBF"/>
    <w:rsid w:val="008102E2"/>
    <w:rsid w:val="008103DE"/>
    <w:rsid w:val="008106AA"/>
    <w:rsid w:val="00810736"/>
    <w:rsid w:val="00810CA6"/>
    <w:rsid w:val="00810E21"/>
    <w:rsid w:val="00812594"/>
    <w:rsid w:val="00813A00"/>
    <w:rsid w:val="00813C58"/>
    <w:rsid w:val="00814E33"/>
    <w:rsid w:val="008159E1"/>
    <w:rsid w:val="00816A45"/>
    <w:rsid w:val="008171DA"/>
    <w:rsid w:val="008172B0"/>
    <w:rsid w:val="0081741E"/>
    <w:rsid w:val="00817B23"/>
    <w:rsid w:val="00820120"/>
    <w:rsid w:val="00821220"/>
    <w:rsid w:val="008220BD"/>
    <w:rsid w:val="00822289"/>
    <w:rsid w:val="0082285A"/>
    <w:rsid w:val="00822ED8"/>
    <w:rsid w:val="0082354F"/>
    <w:rsid w:val="00824647"/>
    <w:rsid w:val="00824DCF"/>
    <w:rsid w:val="00824E86"/>
    <w:rsid w:val="0082509A"/>
    <w:rsid w:val="00825787"/>
    <w:rsid w:val="0082786A"/>
    <w:rsid w:val="00827902"/>
    <w:rsid w:val="008279D0"/>
    <w:rsid w:val="00827B0E"/>
    <w:rsid w:val="00830C03"/>
    <w:rsid w:val="00830DE0"/>
    <w:rsid w:val="008327B1"/>
    <w:rsid w:val="00832A5A"/>
    <w:rsid w:val="00833016"/>
    <w:rsid w:val="008335B0"/>
    <w:rsid w:val="00833E27"/>
    <w:rsid w:val="008342AA"/>
    <w:rsid w:val="00835925"/>
    <w:rsid w:val="00836740"/>
    <w:rsid w:val="00841374"/>
    <w:rsid w:val="00841FE4"/>
    <w:rsid w:val="0084226D"/>
    <w:rsid w:val="00842465"/>
    <w:rsid w:val="00842BDD"/>
    <w:rsid w:val="00842C71"/>
    <w:rsid w:val="00843201"/>
    <w:rsid w:val="008433C9"/>
    <w:rsid w:val="00843588"/>
    <w:rsid w:val="00844B87"/>
    <w:rsid w:val="00845AE2"/>
    <w:rsid w:val="008469D4"/>
    <w:rsid w:val="00847288"/>
    <w:rsid w:val="0084732A"/>
    <w:rsid w:val="00847B19"/>
    <w:rsid w:val="00850767"/>
    <w:rsid w:val="0085096C"/>
    <w:rsid w:val="00854D9C"/>
    <w:rsid w:val="00855196"/>
    <w:rsid w:val="00855772"/>
    <w:rsid w:val="00855F0B"/>
    <w:rsid w:val="008561C7"/>
    <w:rsid w:val="0085737F"/>
    <w:rsid w:val="00857688"/>
    <w:rsid w:val="0086045C"/>
    <w:rsid w:val="008608BA"/>
    <w:rsid w:val="00861942"/>
    <w:rsid w:val="00862DC9"/>
    <w:rsid w:val="0086458A"/>
    <w:rsid w:val="008653E0"/>
    <w:rsid w:val="008663D5"/>
    <w:rsid w:val="00866533"/>
    <w:rsid w:val="008667D8"/>
    <w:rsid w:val="00866A9D"/>
    <w:rsid w:val="00870153"/>
    <w:rsid w:val="00871481"/>
    <w:rsid w:val="00871B5A"/>
    <w:rsid w:val="00871ED8"/>
    <w:rsid w:val="008737C0"/>
    <w:rsid w:val="00873B6F"/>
    <w:rsid w:val="00873B93"/>
    <w:rsid w:val="00873BFE"/>
    <w:rsid w:val="00873E2F"/>
    <w:rsid w:val="008742E0"/>
    <w:rsid w:val="008745F7"/>
    <w:rsid w:val="00874AE5"/>
    <w:rsid w:val="00875684"/>
    <w:rsid w:val="00875906"/>
    <w:rsid w:val="00876E46"/>
    <w:rsid w:val="008772F9"/>
    <w:rsid w:val="00877395"/>
    <w:rsid w:val="008776C0"/>
    <w:rsid w:val="00877776"/>
    <w:rsid w:val="008778E2"/>
    <w:rsid w:val="00877DC5"/>
    <w:rsid w:val="008811C8"/>
    <w:rsid w:val="00881C83"/>
    <w:rsid w:val="00881E9B"/>
    <w:rsid w:val="0088219D"/>
    <w:rsid w:val="00882D7E"/>
    <w:rsid w:val="00883640"/>
    <w:rsid w:val="00883682"/>
    <w:rsid w:val="0088465F"/>
    <w:rsid w:val="00884879"/>
    <w:rsid w:val="008854AE"/>
    <w:rsid w:val="00885CFC"/>
    <w:rsid w:val="00886448"/>
    <w:rsid w:val="008866A5"/>
    <w:rsid w:val="008870B6"/>
    <w:rsid w:val="008878CF"/>
    <w:rsid w:val="00891F6E"/>
    <w:rsid w:val="008927A3"/>
    <w:rsid w:val="00892C1A"/>
    <w:rsid w:val="00892D6C"/>
    <w:rsid w:val="0089304B"/>
    <w:rsid w:val="0089333A"/>
    <w:rsid w:val="008944AD"/>
    <w:rsid w:val="008946BF"/>
    <w:rsid w:val="00894BA8"/>
    <w:rsid w:val="00895853"/>
    <w:rsid w:val="00895C48"/>
    <w:rsid w:val="008968EE"/>
    <w:rsid w:val="00896F71"/>
    <w:rsid w:val="008A0298"/>
    <w:rsid w:val="008A0B15"/>
    <w:rsid w:val="008A0C54"/>
    <w:rsid w:val="008A0E09"/>
    <w:rsid w:val="008A16E3"/>
    <w:rsid w:val="008A275F"/>
    <w:rsid w:val="008A4B7D"/>
    <w:rsid w:val="008A4C14"/>
    <w:rsid w:val="008A4D3B"/>
    <w:rsid w:val="008A55B6"/>
    <w:rsid w:val="008A6537"/>
    <w:rsid w:val="008A6871"/>
    <w:rsid w:val="008A6EC7"/>
    <w:rsid w:val="008A72A1"/>
    <w:rsid w:val="008A72F9"/>
    <w:rsid w:val="008A755A"/>
    <w:rsid w:val="008A7B98"/>
    <w:rsid w:val="008B2544"/>
    <w:rsid w:val="008B26C6"/>
    <w:rsid w:val="008B2708"/>
    <w:rsid w:val="008B4283"/>
    <w:rsid w:val="008B47C5"/>
    <w:rsid w:val="008B4C8C"/>
    <w:rsid w:val="008B5703"/>
    <w:rsid w:val="008B659D"/>
    <w:rsid w:val="008B66DD"/>
    <w:rsid w:val="008B7198"/>
    <w:rsid w:val="008B72DD"/>
    <w:rsid w:val="008B792B"/>
    <w:rsid w:val="008C18DE"/>
    <w:rsid w:val="008C3DBE"/>
    <w:rsid w:val="008C3E09"/>
    <w:rsid w:val="008C4B50"/>
    <w:rsid w:val="008C4FD1"/>
    <w:rsid w:val="008C5358"/>
    <w:rsid w:val="008C5DFD"/>
    <w:rsid w:val="008C790D"/>
    <w:rsid w:val="008D089A"/>
    <w:rsid w:val="008D1E60"/>
    <w:rsid w:val="008D2131"/>
    <w:rsid w:val="008D315D"/>
    <w:rsid w:val="008D3A30"/>
    <w:rsid w:val="008D5168"/>
    <w:rsid w:val="008D5213"/>
    <w:rsid w:val="008D6032"/>
    <w:rsid w:val="008E0931"/>
    <w:rsid w:val="008E0C2D"/>
    <w:rsid w:val="008E0C2F"/>
    <w:rsid w:val="008E0E80"/>
    <w:rsid w:val="008E2A59"/>
    <w:rsid w:val="008E2BA0"/>
    <w:rsid w:val="008E2CDC"/>
    <w:rsid w:val="008E2CDD"/>
    <w:rsid w:val="008E32A8"/>
    <w:rsid w:val="008E4427"/>
    <w:rsid w:val="008E499D"/>
    <w:rsid w:val="008E5076"/>
    <w:rsid w:val="008E5F1F"/>
    <w:rsid w:val="008E639A"/>
    <w:rsid w:val="008E679C"/>
    <w:rsid w:val="008E7C2A"/>
    <w:rsid w:val="008F1627"/>
    <w:rsid w:val="008F1F79"/>
    <w:rsid w:val="008F2744"/>
    <w:rsid w:val="008F54DF"/>
    <w:rsid w:val="008F6A2D"/>
    <w:rsid w:val="008F7402"/>
    <w:rsid w:val="009005D1"/>
    <w:rsid w:val="00900BFC"/>
    <w:rsid w:val="009011ED"/>
    <w:rsid w:val="00901C97"/>
    <w:rsid w:val="009021C2"/>
    <w:rsid w:val="009042F3"/>
    <w:rsid w:val="009049FC"/>
    <w:rsid w:val="00905566"/>
    <w:rsid w:val="00906550"/>
    <w:rsid w:val="009103B0"/>
    <w:rsid w:val="0091091E"/>
    <w:rsid w:val="009109F5"/>
    <w:rsid w:val="00910A44"/>
    <w:rsid w:val="0091101B"/>
    <w:rsid w:val="009113FB"/>
    <w:rsid w:val="00911587"/>
    <w:rsid w:val="00911804"/>
    <w:rsid w:val="00912E0E"/>
    <w:rsid w:val="00912F6B"/>
    <w:rsid w:val="0091310A"/>
    <w:rsid w:val="009134F0"/>
    <w:rsid w:val="00914265"/>
    <w:rsid w:val="009150E9"/>
    <w:rsid w:val="009173E7"/>
    <w:rsid w:val="009177FF"/>
    <w:rsid w:val="009200A8"/>
    <w:rsid w:val="009209AC"/>
    <w:rsid w:val="00921660"/>
    <w:rsid w:val="00921C81"/>
    <w:rsid w:val="0092322D"/>
    <w:rsid w:val="00923439"/>
    <w:rsid w:val="00924AC1"/>
    <w:rsid w:val="00924B37"/>
    <w:rsid w:val="0092675E"/>
    <w:rsid w:val="00927055"/>
    <w:rsid w:val="009274B5"/>
    <w:rsid w:val="0092772D"/>
    <w:rsid w:val="00931577"/>
    <w:rsid w:val="00931584"/>
    <w:rsid w:val="00932DBC"/>
    <w:rsid w:val="00934472"/>
    <w:rsid w:val="009357C2"/>
    <w:rsid w:val="0093588F"/>
    <w:rsid w:val="00935B1C"/>
    <w:rsid w:val="00937D7A"/>
    <w:rsid w:val="009401A5"/>
    <w:rsid w:val="00940899"/>
    <w:rsid w:val="00940972"/>
    <w:rsid w:val="00941018"/>
    <w:rsid w:val="00942238"/>
    <w:rsid w:val="00942F41"/>
    <w:rsid w:val="00943A69"/>
    <w:rsid w:val="009444A2"/>
    <w:rsid w:val="00944A54"/>
    <w:rsid w:val="00945B9E"/>
    <w:rsid w:val="0094733C"/>
    <w:rsid w:val="009476EF"/>
    <w:rsid w:val="00947E08"/>
    <w:rsid w:val="009508AD"/>
    <w:rsid w:val="00950C4F"/>
    <w:rsid w:val="009530C5"/>
    <w:rsid w:val="0095386D"/>
    <w:rsid w:val="0095396D"/>
    <w:rsid w:val="0095532C"/>
    <w:rsid w:val="00957B83"/>
    <w:rsid w:val="00957CBF"/>
    <w:rsid w:val="0096099A"/>
    <w:rsid w:val="00960F6E"/>
    <w:rsid w:val="00961956"/>
    <w:rsid w:val="00961F3C"/>
    <w:rsid w:val="00964B58"/>
    <w:rsid w:val="00964DE8"/>
    <w:rsid w:val="00965516"/>
    <w:rsid w:val="00965822"/>
    <w:rsid w:val="00965B61"/>
    <w:rsid w:val="0096721E"/>
    <w:rsid w:val="00967517"/>
    <w:rsid w:val="009679A9"/>
    <w:rsid w:val="00967B0B"/>
    <w:rsid w:val="00967CEC"/>
    <w:rsid w:val="00970971"/>
    <w:rsid w:val="00971495"/>
    <w:rsid w:val="00971842"/>
    <w:rsid w:val="00971A18"/>
    <w:rsid w:val="00972A8C"/>
    <w:rsid w:val="009737C7"/>
    <w:rsid w:val="009744BD"/>
    <w:rsid w:val="00974EE4"/>
    <w:rsid w:val="00975A67"/>
    <w:rsid w:val="0097659B"/>
    <w:rsid w:val="009775B8"/>
    <w:rsid w:val="00980E41"/>
    <w:rsid w:val="00983920"/>
    <w:rsid w:val="0098510D"/>
    <w:rsid w:val="00986C7F"/>
    <w:rsid w:val="00987332"/>
    <w:rsid w:val="00987507"/>
    <w:rsid w:val="00987A9E"/>
    <w:rsid w:val="009916B2"/>
    <w:rsid w:val="009954A1"/>
    <w:rsid w:val="0099551B"/>
    <w:rsid w:val="009960A0"/>
    <w:rsid w:val="00996E9C"/>
    <w:rsid w:val="009A1011"/>
    <w:rsid w:val="009A1B51"/>
    <w:rsid w:val="009A3E0E"/>
    <w:rsid w:val="009A61EE"/>
    <w:rsid w:val="009A6D65"/>
    <w:rsid w:val="009A7B62"/>
    <w:rsid w:val="009B0CDF"/>
    <w:rsid w:val="009B0E36"/>
    <w:rsid w:val="009B17D8"/>
    <w:rsid w:val="009B2ADD"/>
    <w:rsid w:val="009B2FE9"/>
    <w:rsid w:val="009B37E5"/>
    <w:rsid w:val="009B3AF4"/>
    <w:rsid w:val="009B4A5B"/>
    <w:rsid w:val="009B5944"/>
    <w:rsid w:val="009B6043"/>
    <w:rsid w:val="009B6587"/>
    <w:rsid w:val="009B65B1"/>
    <w:rsid w:val="009B6B5D"/>
    <w:rsid w:val="009B70E7"/>
    <w:rsid w:val="009B72AB"/>
    <w:rsid w:val="009C00E9"/>
    <w:rsid w:val="009C1329"/>
    <w:rsid w:val="009C2227"/>
    <w:rsid w:val="009C2562"/>
    <w:rsid w:val="009C2ADA"/>
    <w:rsid w:val="009C4996"/>
    <w:rsid w:val="009C513E"/>
    <w:rsid w:val="009C53DA"/>
    <w:rsid w:val="009C574C"/>
    <w:rsid w:val="009C75E4"/>
    <w:rsid w:val="009C7E57"/>
    <w:rsid w:val="009D07F4"/>
    <w:rsid w:val="009D0FCC"/>
    <w:rsid w:val="009D1CA2"/>
    <w:rsid w:val="009D1E59"/>
    <w:rsid w:val="009D2CD0"/>
    <w:rsid w:val="009D388E"/>
    <w:rsid w:val="009D5CC6"/>
    <w:rsid w:val="009D5F27"/>
    <w:rsid w:val="009D6767"/>
    <w:rsid w:val="009D6A81"/>
    <w:rsid w:val="009D7824"/>
    <w:rsid w:val="009E03F3"/>
    <w:rsid w:val="009E2696"/>
    <w:rsid w:val="009E2B66"/>
    <w:rsid w:val="009E433D"/>
    <w:rsid w:val="009E4E92"/>
    <w:rsid w:val="009E57A4"/>
    <w:rsid w:val="009E6BA2"/>
    <w:rsid w:val="009E6ED2"/>
    <w:rsid w:val="009E70A3"/>
    <w:rsid w:val="009E7942"/>
    <w:rsid w:val="009E7E30"/>
    <w:rsid w:val="009F09BE"/>
    <w:rsid w:val="009F1CFA"/>
    <w:rsid w:val="009F1E9D"/>
    <w:rsid w:val="009F300A"/>
    <w:rsid w:val="009F3768"/>
    <w:rsid w:val="009F39C6"/>
    <w:rsid w:val="009F3BC5"/>
    <w:rsid w:val="009F4E26"/>
    <w:rsid w:val="009F4EF7"/>
    <w:rsid w:val="009F5F78"/>
    <w:rsid w:val="009F61D9"/>
    <w:rsid w:val="009F6227"/>
    <w:rsid w:val="009F62CB"/>
    <w:rsid w:val="009F673E"/>
    <w:rsid w:val="009F706B"/>
    <w:rsid w:val="009F775F"/>
    <w:rsid w:val="009F7EDF"/>
    <w:rsid w:val="00A00F37"/>
    <w:rsid w:val="00A01DB8"/>
    <w:rsid w:val="00A039A1"/>
    <w:rsid w:val="00A03B0F"/>
    <w:rsid w:val="00A0410F"/>
    <w:rsid w:val="00A048E9"/>
    <w:rsid w:val="00A049D5"/>
    <w:rsid w:val="00A04A52"/>
    <w:rsid w:val="00A04BE8"/>
    <w:rsid w:val="00A05429"/>
    <w:rsid w:val="00A05F39"/>
    <w:rsid w:val="00A06825"/>
    <w:rsid w:val="00A06E9E"/>
    <w:rsid w:val="00A1036D"/>
    <w:rsid w:val="00A10A98"/>
    <w:rsid w:val="00A10B0E"/>
    <w:rsid w:val="00A10C1C"/>
    <w:rsid w:val="00A11AB2"/>
    <w:rsid w:val="00A12627"/>
    <w:rsid w:val="00A12A65"/>
    <w:rsid w:val="00A13493"/>
    <w:rsid w:val="00A13A09"/>
    <w:rsid w:val="00A1414A"/>
    <w:rsid w:val="00A14846"/>
    <w:rsid w:val="00A15A99"/>
    <w:rsid w:val="00A17267"/>
    <w:rsid w:val="00A1771A"/>
    <w:rsid w:val="00A2086E"/>
    <w:rsid w:val="00A20E9D"/>
    <w:rsid w:val="00A2120F"/>
    <w:rsid w:val="00A2178F"/>
    <w:rsid w:val="00A21FFA"/>
    <w:rsid w:val="00A22B10"/>
    <w:rsid w:val="00A23F52"/>
    <w:rsid w:val="00A24264"/>
    <w:rsid w:val="00A26217"/>
    <w:rsid w:val="00A3013F"/>
    <w:rsid w:val="00A3055E"/>
    <w:rsid w:val="00A30792"/>
    <w:rsid w:val="00A30B84"/>
    <w:rsid w:val="00A31DC8"/>
    <w:rsid w:val="00A3262A"/>
    <w:rsid w:val="00A329C8"/>
    <w:rsid w:val="00A3344B"/>
    <w:rsid w:val="00A33973"/>
    <w:rsid w:val="00A35436"/>
    <w:rsid w:val="00A35FF9"/>
    <w:rsid w:val="00A367AA"/>
    <w:rsid w:val="00A37880"/>
    <w:rsid w:val="00A400BF"/>
    <w:rsid w:val="00A41A3E"/>
    <w:rsid w:val="00A43CE0"/>
    <w:rsid w:val="00A4413F"/>
    <w:rsid w:val="00A44394"/>
    <w:rsid w:val="00A45B92"/>
    <w:rsid w:val="00A45EC3"/>
    <w:rsid w:val="00A46122"/>
    <w:rsid w:val="00A478BD"/>
    <w:rsid w:val="00A47CF5"/>
    <w:rsid w:val="00A5032A"/>
    <w:rsid w:val="00A50AC9"/>
    <w:rsid w:val="00A51F03"/>
    <w:rsid w:val="00A51F67"/>
    <w:rsid w:val="00A522D4"/>
    <w:rsid w:val="00A5367D"/>
    <w:rsid w:val="00A5507B"/>
    <w:rsid w:val="00A57D98"/>
    <w:rsid w:val="00A61524"/>
    <w:rsid w:val="00A62F57"/>
    <w:rsid w:val="00A63413"/>
    <w:rsid w:val="00A6488B"/>
    <w:rsid w:val="00A6556C"/>
    <w:rsid w:val="00A659B5"/>
    <w:rsid w:val="00A65A66"/>
    <w:rsid w:val="00A661BB"/>
    <w:rsid w:val="00A67327"/>
    <w:rsid w:val="00A70D6E"/>
    <w:rsid w:val="00A715F7"/>
    <w:rsid w:val="00A720CF"/>
    <w:rsid w:val="00A72192"/>
    <w:rsid w:val="00A72B07"/>
    <w:rsid w:val="00A73BB9"/>
    <w:rsid w:val="00A73D4A"/>
    <w:rsid w:val="00A743EB"/>
    <w:rsid w:val="00A7450E"/>
    <w:rsid w:val="00A74B4C"/>
    <w:rsid w:val="00A7552F"/>
    <w:rsid w:val="00A76236"/>
    <w:rsid w:val="00A763E7"/>
    <w:rsid w:val="00A77796"/>
    <w:rsid w:val="00A81862"/>
    <w:rsid w:val="00A8187F"/>
    <w:rsid w:val="00A8271E"/>
    <w:rsid w:val="00A827D2"/>
    <w:rsid w:val="00A847C3"/>
    <w:rsid w:val="00A855CF"/>
    <w:rsid w:val="00A85A01"/>
    <w:rsid w:val="00A86128"/>
    <w:rsid w:val="00A86D6A"/>
    <w:rsid w:val="00A86E2C"/>
    <w:rsid w:val="00A8766D"/>
    <w:rsid w:val="00A90F72"/>
    <w:rsid w:val="00A91E27"/>
    <w:rsid w:val="00A93DC3"/>
    <w:rsid w:val="00A9462E"/>
    <w:rsid w:val="00A94E45"/>
    <w:rsid w:val="00A950A5"/>
    <w:rsid w:val="00A978B6"/>
    <w:rsid w:val="00A97929"/>
    <w:rsid w:val="00AA05F8"/>
    <w:rsid w:val="00AA1167"/>
    <w:rsid w:val="00AA22BE"/>
    <w:rsid w:val="00AA44A3"/>
    <w:rsid w:val="00AA5C1D"/>
    <w:rsid w:val="00AA5C61"/>
    <w:rsid w:val="00AA5CBB"/>
    <w:rsid w:val="00AA5F9C"/>
    <w:rsid w:val="00AA6795"/>
    <w:rsid w:val="00AA69BF"/>
    <w:rsid w:val="00AA6CC7"/>
    <w:rsid w:val="00AA70B6"/>
    <w:rsid w:val="00AA7709"/>
    <w:rsid w:val="00AA7DA3"/>
    <w:rsid w:val="00AB0B18"/>
    <w:rsid w:val="00AB0B62"/>
    <w:rsid w:val="00AB192A"/>
    <w:rsid w:val="00AB20C0"/>
    <w:rsid w:val="00AB3045"/>
    <w:rsid w:val="00AB416F"/>
    <w:rsid w:val="00AB425F"/>
    <w:rsid w:val="00AB4300"/>
    <w:rsid w:val="00AB4D68"/>
    <w:rsid w:val="00AB4FD0"/>
    <w:rsid w:val="00AB5E6A"/>
    <w:rsid w:val="00AB72EB"/>
    <w:rsid w:val="00AC0D5E"/>
    <w:rsid w:val="00AC0EBD"/>
    <w:rsid w:val="00AC19E3"/>
    <w:rsid w:val="00AC1E71"/>
    <w:rsid w:val="00AC3116"/>
    <w:rsid w:val="00AC316A"/>
    <w:rsid w:val="00AC373B"/>
    <w:rsid w:val="00AC567A"/>
    <w:rsid w:val="00AC6D50"/>
    <w:rsid w:val="00AC7690"/>
    <w:rsid w:val="00AC76CE"/>
    <w:rsid w:val="00AD0527"/>
    <w:rsid w:val="00AD1524"/>
    <w:rsid w:val="00AD1CA2"/>
    <w:rsid w:val="00AD37AD"/>
    <w:rsid w:val="00AD3DB1"/>
    <w:rsid w:val="00AD49F7"/>
    <w:rsid w:val="00AD4AF8"/>
    <w:rsid w:val="00AD5B94"/>
    <w:rsid w:val="00AD66C7"/>
    <w:rsid w:val="00AD6708"/>
    <w:rsid w:val="00AD75EB"/>
    <w:rsid w:val="00AD762D"/>
    <w:rsid w:val="00AE0239"/>
    <w:rsid w:val="00AE0A52"/>
    <w:rsid w:val="00AE0E0E"/>
    <w:rsid w:val="00AE0F6C"/>
    <w:rsid w:val="00AE2E3C"/>
    <w:rsid w:val="00AE4A8E"/>
    <w:rsid w:val="00AE4F16"/>
    <w:rsid w:val="00AE6038"/>
    <w:rsid w:val="00AE6E34"/>
    <w:rsid w:val="00AE6F01"/>
    <w:rsid w:val="00AF07E3"/>
    <w:rsid w:val="00AF0BE2"/>
    <w:rsid w:val="00AF10D4"/>
    <w:rsid w:val="00AF1233"/>
    <w:rsid w:val="00AF1A9F"/>
    <w:rsid w:val="00AF27D5"/>
    <w:rsid w:val="00AF2C37"/>
    <w:rsid w:val="00AF45AD"/>
    <w:rsid w:val="00AF4F10"/>
    <w:rsid w:val="00AF562C"/>
    <w:rsid w:val="00AF58C6"/>
    <w:rsid w:val="00AF5A72"/>
    <w:rsid w:val="00B00DCF"/>
    <w:rsid w:val="00B0112A"/>
    <w:rsid w:val="00B0112B"/>
    <w:rsid w:val="00B01501"/>
    <w:rsid w:val="00B020DA"/>
    <w:rsid w:val="00B0229E"/>
    <w:rsid w:val="00B02467"/>
    <w:rsid w:val="00B028A4"/>
    <w:rsid w:val="00B06EFC"/>
    <w:rsid w:val="00B0753C"/>
    <w:rsid w:val="00B07DA6"/>
    <w:rsid w:val="00B07E5D"/>
    <w:rsid w:val="00B10582"/>
    <w:rsid w:val="00B10934"/>
    <w:rsid w:val="00B11496"/>
    <w:rsid w:val="00B11964"/>
    <w:rsid w:val="00B12489"/>
    <w:rsid w:val="00B1292A"/>
    <w:rsid w:val="00B13B9C"/>
    <w:rsid w:val="00B1403C"/>
    <w:rsid w:val="00B141CC"/>
    <w:rsid w:val="00B15AA5"/>
    <w:rsid w:val="00B16284"/>
    <w:rsid w:val="00B1647B"/>
    <w:rsid w:val="00B20E83"/>
    <w:rsid w:val="00B215DF"/>
    <w:rsid w:val="00B2309B"/>
    <w:rsid w:val="00B234C6"/>
    <w:rsid w:val="00B23515"/>
    <w:rsid w:val="00B23BBB"/>
    <w:rsid w:val="00B244E9"/>
    <w:rsid w:val="00B24B60"/>
    <w:rsid w:val="00B24C28"/>
    <w:rsid w:val="00B24DF3"/>
    <w:rsid w:val="00B253A1"/>
    <w:rsid w:val="00B258FA"/>
    <w:rsid w:val="00B2754C"/>
    <w:rsid w:val="00B27E17"/>
    <w:rsid w:val="00B30118"/>
    <w:rsid w:val="00B31461"/>
    <w:rsid w:val="00B31929"/>
    <w:rsid w:val="00B3199A"/>
    <w:rsid w:val="00B31B33"/>
    <w:rsid w:val="00B320F5"/>
    <w:rsid w:val="00B334FC"/>
    <w:rsid w:val="00B339AC"/>
    <w:rsid w:val="00B34E93"/>
    <w:rsid w:val="00B35908"/>
    <w:rsid w:val="00B371BD"/>
    <w:rsid w:val="00B40093"/>
    <w:rsid w:val="00B40158"/>
    <w:rsid w:val="00B408BC"/>
    <w:rsid w:val="00B41E79"/>
    <w:rsid w:val="00B42E2F"/>
    <w:rsid w:val="00B42F7B"/>
    <w:rsid w:val="00B42FA1"/>
    <w:rsid w:val="00B4330A"/>
    <w:rsid w:val="00B444D1"/>
    <w:rsid w:val="00B44B44"/>
    <w:rsid w:val="00B44BB9"/>
    <w:rsid w:val="00B44BEE"/>
    <w:rsid w:val="00B44E37"/>
    <w:rsid w:val="00B4522B"/>
    <w:rsid w:val="00B4791A"/>
    <w:rsid w:val="00B47EDE"/>
    <w:rsid w:val="00B50FAE"/>
    <w:rsid w:val="00B51AF6"/>
    <w:rsid w:val="00B51B20"/>
    <w:rsid w:val="00B51EBC"/>
    <w:rsid w:val="00B52F9C"/>
    <w:rsid w:val="00B5317E"/>
    <w:rsid w:val="00B532BD"/>
    <w:rsid w:val="00B53791"/>
    <w:rsid w:val="00B539C0"/>
    <w:rsid w:val="00B53E01"/>
    <w:rsid w:val="00B540BA"/>
    <w:rsid w:val="00B54613"/>
    <w:rsid w:val="00B54A02"/>
    <w:rsid w:val="00B54B59"/>
    <w:rsid w:val="00B54D49"/>
    <w:rsid w:val="00B55E16"/>
    <w:rsid w:val="00B56041"/>
    <w:rsid w:val="00B5606F"/>
    <w:rsid w:val="00B5652D"/>
    <w:rsid w:val="00B60CC7"/>
    <w:rsid w:val="00B612CA"/>
    <w:rsid w:val="00B61819"/>
    <w:rsid w:val="00B62D22"/>
    <w:rsid w:val="00B6406F"/>
    <w:rsid w:val="00B6512D"/>
    <w:rsid w:val="00B652A4"/>
    <w:rsid w:val="00B656FE"/>
    <w:rsid w:val="00B65C4F"/>
    <w:rsid w:val="00B66035"/>
    <w:rsid w:val="00B667ED"/>
    <w:rsid w:val="00B67C63"/>
    <w:rsid w:val="00B67EDA"/>
    <w:rsid w:val="00B721AE"/>
    <w:rsid w:val="00B7366B"/>
    <w:rsid w:val="00B73746"/>
    <w:rsid w:val="00B7530C"/>
    <w:rsid w:val="00B75BEF"/>
    <w:rsid w:val="00B767ED"/>
    <w:rsid w:val="00B76922"/>
    <w:rsid w:val="00B772EE"/>
    <w:rsid w:val="00B77513"/>
    <w:rsid w:val="00B77F1B"/>
    <w:rsid w:val="00B80349"/>
    <w:rsid w:val="00B8063B"/>
    <w:rsid w:val="00B807B4"/>
    <w:rsid w:val="00B81D0F"/>
    <w:rsid w:val="00B8331B"/>
    <w:rsid w:val="00B83A51"/>
    <w:rsid w:val="00B83E7B"/>
    <w:rsid w:val="00B83F1F"/>
    <w:rsid w:val="00B84B22"/>
    <w:rsid w:val="00B84DE4"/>
    <w:rsid w:val="00B85573"/>
    <w:rsid w:val="00B86481"/>
    <w:rsid w:val="00B873AE"/>
    <w:rsid w:val="00B876EC"/>
    <w:rsid w:val="00B90D19"/>
    <w:rsid w:val="00B90D85"/>
    <w:rsid w:val="00B92B86"/>
    <w:rsid w:val="00B93469"/>
    <w:rsid w:val="00B93EFA"/>
    <w:rsid w:val="00B951E9"/>
    <w:rsid w:val="00B95972"/>
    <w:rsid w:val="00B95AE8"/>
    <w:rsid w:val="00B95B34"/>
    <w:rsid w:val="00B9707A"/>
    <w:rsid w:val="00B9776A"/>
    <w:rsid w:val="00B97839"/>
    <w:rsid w:val="00B978BC"/>
    <w:rsid w:val="00B97AA6"/>
    <w:rsid w:val="00BA0154"/>
    <w:rsid w:val="00BA0250"/>
    <w:rsid w:val="00BA051D"/>
    <w:rsid w:val="00BA123B"/>
    <w:rsid w:val="00BA189D"/>
    <w:rsid w:val="00BA2DE5"/>
    <w:rsid w:val="00BA3851"/>
    <w:rsid w:val="00BA46F3"/>
    <w:rsid w:val="00BA494E"/>
    <w:rsid w:val="00BA51ED"/>
    <w:rsid w:val="00BA579D"/>
    <w:rsid w:val="00BA6CB2"/>
    <w:rsid w:val="00BB054C"/>
    <w:rsid w:val="00BB1EE2"/>
    <w:rsid w:val="00BB219B"/>
    <w:rsid w:val="00BB29D4"/>
    <w:rsid w:val="00BB3421"/>
    <w:rsid w:val="00BB37C1"/>
    <w:rsid w:val="00BB3A55"/>
    <w:rsid w:val="00BB3AF7"/>
    <w:rsid w:val="00BB4097"/>
    <w:rsid w:val="00BB4957"/>
    <w:rsid w:val="00BB5AEC"/>
    <w:rsid w:val="00BB6CDD"/>
    <w:rsid w:val="00BB6DE1"/>
    <w:rsid w:val="00BB7297"/>
    <w:rsid w:val="00BB739D"/>
    <w:rsid w:val="00BB7B29"/>
    <w:rsid w:val="00BC0000"/>
    <w:rsid w:val="00BC0384"/>
    <w:rsid w:val="00BC156C"/>
    <w:rsid w:val="00BC1767"/>
    <w:rsid w:val="00BC1AAD"/>
    <w:rsid w:val="00BC1E78"/>
    <w:rsid w:val="00BC212E"/>
    <w:rsid w:val="00BC2966"/>
    <w:rsid w:val="00BC29C8"/>
    <w:rsid w:val="00BC3670"/>
    <w:rsid w:val="00BC375B"/>
    <w:rsid w:val="00BC376C"/>
    <w:rsid w:val="00BC39DD"/>
    <w:rsid w:val="00BC3EF9"/>
    <w:rsid w:val="00BC3FCE"/>
    <w:rsid w:val="00BC41D9"/>
    <w:rsid w:val="00BC64A6"/>
    <w:rsid w:val="00BD00EB"/>
    <w:rsid w:val="00BD0493"/>
    <w:rsid w:val="00BD073E"/>
    <w:rsid w:val="00BD08BE"/>
    <w:rsid w:val="00BD1E0C"/>
    <w:rsid w:val="00BD2877"/>
    <w:rsid w:val="00BD39A7"/>
    <w:rsid w:val="00BD436C"/>
    <w:rsid w:val="00BD43CF"/>
    <w:rsid w:val="00BD4824"/>
    <w:rsid w:val="00BD4DBF"/>
    <w:rsid w:val="00BD6A47"/>
    <w:rsid w:val="00BD6E79"/>
    <w:rsid w:val="00BD7550"/>
    <w:rsid w:val="00BD7A8C"/>
    <w:rsid w:val="00BE0775"/>
    <w:rsid w:val="00BE0D9C"/>
    <w:rsid w:val="00BE0FC6"/>
    <w:rsid w:val="00BE12B3"/>
    <w:rsid w:val="00BE233E"/>
    <w:rsid w:val="00BE40C9"/>
    <w:rsid w:val="00BE47EE"/>
    <w:rsid w:val="00BE5754"/>
    <w:rsid w:val="00BE6BBD"/>
    <w:rsid w:val="00BE6D5A"/>
    <w:rsid w:val="00BE7759"/>
    <w:rsid w:val="00BF116E"/>
    <w:rsid w:val="00BF27C9"/>
    <w:rsid w:val="00BF2DA7"/>
    <w:rsid w:val="00BF2EC2"/>
    <w:rsid w:val="00BF30F8"/>
    <w:rsid w:val="00BF314D"/>
    <w:rsid w:val="00BF32B4"/>
    <w:rsid w:val="00BF397E"/>
    <w:rsid w:val="00BF6653"/>
    <w:rsid w:val="00BF7440"/>
    <w:rsid w:val="00BF74A4"/>
    <w:rsid w:val="00C005B2"/>
    <w:rsid w:val="00C00B1F"/>
    <w:rsid w:val="00C0119D"/>
    <w:rsid w:val="00C02246"/>
    <w:rsid w:val="00C02717"/>
    <w:rsid w:val="00C02D8A"/>
    <w:rsid w:val="00C0325D"/>
    <w:rsid w:val="00C1014D"/>
    <w:rsid w:val="00C10B48"/>
    <w:rsid w:val="00C10C77"/>
    <w:rsid w:val="00C1211B"/>
    <w:rsid w:val="00C12284"/>
    <w:rsid w:val="00C129F3"/>
    <w:rsid w:val="00C14111"/>
    <w:rsid w:val="00C142B4"/>
    <w:rsid w:val="00C1585F"/>
    <w:rsid w:val="00C15B26"/>
    <w:rsid w:val="00C15C6A"/>
    <w:rsid w:val="00C16CAA"/>
    <w:rsid w:val="00C17044"/>
    <w:rsid w:val="00C1769B"/>
    <w:rsid w:val="00C17A76"/>
    <w:rsid w:val="00C20094"/>
    <w:rsid w:val="00C2260E"/>
    <w:rsid w:val="00C23477"/>
    <w:rsid w:val="00C23683"/>
    <w:rsid w:val="00C237F1"/>
    <w:rsid w:val="00C240FA"/>
    <w:rsid w:val="00C259DF"/>
    <w:rsid w:val="00C25DB3"/>
    <w:rsid w:val="00C26828"/>
    <w:rsid w:val="00C26C81"/>
    <w:rsid w:val="00C27D32"/>
    <w:rsid w:val="00C27F0C"/>
    <w:rsid w:val="00C3104C"/>
    <w:rsid w:val="00C31ED8"/>
    <w:rsid w:val="00C32763"/>
    <w:rsid w:val="00C331A1"/>
    <w:rsid w:val="00C33312"/>
    <w:rsid w:val="00C33446"/>
    <w:rsid w:val="00C34AB4"/>
    <w:rsid w:val="00C34B35"/>
    <w:rsid w:val="00C351BF"/>
    <w:rsid w:val="00C35EED"/>
    <w:rsid w:val="00C362DC"/>
    <w:rsid w:val="00C37843"/>
    <w:rsid w:val="00C37AC2"/>
    <w:rsid w:val="00C403AD"/>
    <w:rsid w:val="00C414F1"/>
    <w:rsid w:val="00C428A8"/>
    <w:rsid w:val="00C42CC4"/>
    <w:rsid w:val="00C437AB"/>
    <w:rsid w:val="00C43A44"/>
    <w:rsid w:val="00C445FE"/>
    <w:rsid w:val="00C44A5C"/>
    <w:rsid w:val="00C451B1"/>
    <w:rsid w:val="00C456EF"/>
    <w:rsid w:val="00C46E4F"/>
    <w:rsid w:val="00C46F31"/>
    <w:rsid w:val="00C47129"/>
    <w:rsid w:val="00C47ED9"/>
    <w:rsid w:val="00C5078C"/>
    <w:rsid w:val="00C508EF"/>
    <w:rsid w:val="00C50BAE"/>
    <w:rsid w:val="00C554BB"/>
    <w:rsid w:val="00C554EC"/>
    <w:rsid w:val="00C559BF"/>
    <w:rsid w:val="00C56055"/>
    <w:rsid w:val="00C600B5"/>
    <w:rsid w:val="00C60A43"/>
    <w:rsid w:val="00C60AE2"/>
    <w:rsid w:val="00C61E75"/>
    <w:rsid w:val="00C61EE5"/>
    <w:rsid w:val="00C624C7"/>
    <w:rsid w:val="00C63212"/>
    <w:rsid w:val="00C644EA"/>
    <w:rsid w:val="00C649E2"/>
    <w:rsid w:val="00C64EEF"/>
    <w:rsid w:val="00C65A95"/>
    <w:rsid w:val="00C6773B"/>
    <w:rsid w:val="00C677AD"/>
    <w:rsid w:val="00C6785F"/>
    <w:rsid w:val="00C67ABA"/>
    <w:rsid w:val="00C70714"/>
    <w:rsid w:val="00C70B4D"/>
    <w:rsid w:val="00C70E54"/>
    <w:rsid w:val="00C71AB7"/>
    <w:rsid w:val="00C73493"/>
    <w:rsid w:val="00C746FB"/>
    <w:rsid w:val="00C752C7"/>
    <w:rsid w:val="00C7574C"/>
    <w:rsid w:val="00C75B61"/>
    <w:rsid w:val="00C76C46"/>
    <w:rsid w:val="00C76D56"/>
    <w:rsid w:val="00C77DD4"/>
    <w:rsid w:val="00C80321"/>
    <w:rsid w:val="00C80462"/>
    <w:rsid w:val="00C82A3D"/>
    <w:rsid w:val="00C834A5"/>
    <w:rsid w:val="00C8431E"/>
    <w:rsid w:val="00C84B64"/>
    <w:rsid w:val="00C8544C"/>
    <w:rsid w:val="00C85FA4"/>
    <w:rsid w:val="00C86443"/>
    <w:rsid w:val="00C8697D"/>
    <w:rsid w:val="00C86ABD"/>
    <w:rsid w:val="00C86F74"/>
    <w:rsid w:val="00C87097"/>
    <w:rsid w:val="00C91A43"/>
    <w:rsid w:val="00C92102"/>
    <w:rsid w:val="00C92A72"/>
    <w:rsid w:val="00C94CB5"/>
    <w:rsid w:val="00C9562F"/>
    <w:rsid w:val="00C95751"/>
    <w:rsid w:val="00C9679B"/>
    <w:rsid w:val="00C96BF2"/>
    <w:rsid w:val="00C96DFA"/>
    <w:rsid w:val="00C971BE"/>
    <w:rsid w:val="00C972F1"/>
    <w:rsid w:val="00C97966"/>
    <w:rsid w:val="00CA07CD"/>
    <w:rsid w:val="00CA0804"/>
    <w:rsid w:val="00CA1127"/>
    <w:rsid w:val="00CA24C1"/>
    <w:rsid w:val="00CA3848"/>
    <w:rsid w:val="00CA3913"/>
    <w:rsid w:val="00CA448D"/>
    <w:rsid w:val="00CA573A"/>
    <w:rsid w:val="00CA684E"/>
    <w:rsid w:val="00CA685D"/>
    <w:rsid w:val="00CA6894"/>
    <w:rsid w:val="00CA6928"/>
    <w:rsid w:val="00CA7C5E"/>
    <w:rsid w:val="00CA7D13"/>
    <w:rsid w:val="00CB016E"/>
    <w:rsid w:val="00CB0CBA"/>
    <w:rsid w:val="00CB0EEB"/>
    <w:rsid w:val="00CB1215"/>
    <w:rsid w:val="00CB1CE5"/>
    <w:rsid w:val="00CB1D03"/>
    <w:rsid w:val="00CB2473"/>
    <w:rsid w:val="00CB2A8A"/>
    <w:rsid w:val="00CB32B2"/>
    <w:rsid w:val="00CB3305"/>
    <w:rsid w:val="00CB3335"/>
    <w:rsid w:val="00CB3574"/>
    <w:rsid w:val="00CB4448"/>
    <w:rsid w:val="00CB6509"/>
    <w:rsid w:val="00CB7CB5"/>
    <w:rsid w:val="00CB7F99"/>
    <w:rsid w:val="00CC1E5F"/>
    <w:rsid w:val="00CC25F9"/>
    <w:rsid w:val="00CC2678"/>
    <w:rsid w:val="00CC31B2"/>
    <w:rsid w:val="00CC42B6"/>
    <w:rsid w:val="00CC521C"/>
    <w:rsid w:val="00CC7E96"/>
    <w:rsid w:val="00CD1976"/>
    <w:rsid w:val="00CD1982"/>
    <w:rsid w:val="00CD1F25"/>
    <w:rsid w:val="00CD252F"/>
    <w:rsid w:val="00CD2E0F"/>
    <w:rsid w:val="00CD3079"/>
    <w:rsid w:val="00CD47E9"/>
    <w:rsid w:val="00CD56E9"/>
    <w:rsid w:val="00CD6C2F"/>
    <w:rsid w:val="00CD6EAD"/>
    <w:rsid w:val="00CD7C4D"/>
    <w:rsid w:val="00CD7E1B"/>
    <w:rsid w:val="00CD7F66"/>
    <w:rsid w:val="00CE03FB"/>
    <w:rsid w:val="00CE0EA4"/>
    <w:rsid w:val="00CE12DB"/>
    <w:rsid w:val="00CE23CC"/>
    <w:rsid w:val="00CE2689"/>
    <w:rsid w:val="00CE2A4F"/>
    <w:rsid w:val="00CE405A"/>
    <w:rsid w:val="00CE423B"/>
    <w:rsid w:val="00CE48CB"/>
    <w:rsid w:val="00CE4DAE"/>
    <w:rsid w:val="00CE5119"/>
    <w:rsid w:val="00CE692D"/>
    <w:rsid w:val="00CE7111"/>
    <w:rsid w:val="00CF0005"/>
    <w:rsid w:val="00CF0261"/>
    <w:rsid w:val="00CF0270"/>
    <w:rsid w:val="00CF1F97"/>
    <w:rsid w:val="00CF2B24"/>
    <w:rsid w:val="00CF2F88"/>
    <w:rsid w:val="00CF309F"/>
    <w:rsid w:val="00CF3D01"/>
    <w:rsid w:val="00CF42E9"/>
    <w:rsid w:val="00CF5398"/>
    <w:rsid w:val="00CF53D9"/>
    <w:rsid w:val="00CF5AC7"/>
    <w:rsid w:val="00CF7381"/>
    <w:rsid w:val="00CF7F58"/>
    <w:rsid w:val="00D0023B"/>
    <w:rsid w:val="00D007F3"/>
    <w:rsid w:val="00D00BF8"/>
    <w:rsid w:val="00D014A8"/>
    <w:rsid w:val="00D01E10"/>
    <w:rsid w:val="00D02411"/>
    <w:rsid w:val="00D02FBA"/>
    <w:rsid w:val="00D0461E"/>
    <w:rsid w:val="00D04678"/>
    <w:rsid w:val="00D0477D"/>
    <w:rsid w:val="00D05789"/>
    <w:rsid w:val="00D070A6"/>
    <w:rsid w:val="00D076AE"/>
    <w:rsid w:val="00D07ABE"/>
    <w:rsid w:val="00D10C4D"/>
    <w:rsid w:val="00D115CF"/>
    <w:rsid w:val="00D11DE8"/>
    <w:rsid w:val="00D12B14"/>
    <w:rsid w:val="00D12B39"/>
    <w:rsid w:val="00D13F40"/>
    <w:rsid w:val="00D145C1"/>
    <w:rsid w:val="00D157B9"/>
    <w:rsid w:val="00D157BB"/>
    <w:rsid w:val="00D1580E"/>
    <w:rsid w:val="00D16F69"/>
    <w:rsid w:val="00D205F2"/>
    <w:rsid w:val="00D20C54"/>
    <w:rsid w:val="00D22BC5"/>
    <w:rsid w:val="00D231D0"/>
    <w:rsid w:val="00D243A3"/>
    <w:rsid w:val="00D24601"/>
    <w:rsid w:val="00D26D53"/>
    <w:rsid w:val="00D30B88"/>
    <w:rsid w:val="00D327F0"/>
    <w:rsid w:val="00D32A81"/>
    <w:rsid w:val="00D330E1"/>
    <w:rsid w:val="00D35512"/>
    <w:rsid w:val="00D35C97"/>
    <w:rsid w:val="00D35CF0"/>
    <w:rsid w:val="00D36CE6"/>
    <w:rsid w:val="00D41D3C"/>
    <w:rsid w:val="00D41F72"/>
    <w:rsid w:val="00D423EB"/>
    <w:rsid w:val="00D442EE"/>
    <w:rsid w:val="00D468A2"/>
    <w:rsid w:val="00D47085"/>
    <w:rsid w:val="00D47589"/>
    <w:rsid w:val="00D50A85"/>
    <w:rsid w:val="00D5178D"/>
    <w:rsid w:val="00D51D0A"/>
    <w:rsid w:val="00D525F9"/>
    <w:rsid w:val="00D534BA"/>
    <w:rsid w:val="00D53537"/>
    <w:rsid w:val="00D554E6"/>
    <w:rsid w:val="00D55B4C"/>
    <w:rsid w:val="00D56AAA"/>
    <w:rsid w:val="00D56C99"/>
    <w:rsid w:val="00D57060"/>
    <w:rsid w:val="00D61100"/>
    <w:rsid w:val="00D61B08"/>
    <w:rsid w:val="00D623C0"/>
    <w:rsid w:val="00D62FA5"/>
    <w:rsid w:val="00D630B8"/>
    <w:rsid w:val="00D63208"/>
    <w:rsid w:val="00D6320E"/>
    <w:rsid w:val="00D633D2"/>
    <w:rsid w:val="00D63656"/>
    <w:rsid w:val="00D6423D"/>
    <w:rsid w:val="00D64E2D"/>
    <w:rsid w:val="00D65CD6"/>
    <w:rsid w:val="00D67943"/>
    <w:rsid w:val="00D67B5F"/>
    <w:rsid w:val="00D67CAD"/>
    <w:rsid w:val="00D704BD"/>
    <w:rsid w:val="00D706C3"/>
    <w:rsid w:val="00D707A3"/>
    <w:rsid w:val="00D70F4B"/>
    <w:rsid w:val="00D710CF"/>
    <w:rsid w:val="00D71D11"/>
    <w:rsid w:val="00D7226F"/>
    <w:rsid w:val="00D725C2"/>
    <w:rsid w:val="00D7608C"/>
    <w:rsid w:val="00D761CD"/>
    <w:rsid w:val="00D76363"/>
    <w:rsid w:val="00D80558"/>
    <w:rsid w:val="00D805B3"/>
    <w:rsid w:val="00D80C88"/>
    <w:rsid w:val="00D8145F"/>
    <w:rsid w:val="00D81C25"/>
    <w:rsid w:val="00D82C3A"/>
    <w:rsid w:val="00D82E7E"/>
    <w:rsid w:val="00D83C26"/>
    <w:rsid w:val="00D84FBD"/>
    <w:rsid w:val="00D85838"/>
    <w:rsid w:val="00D85D67"/>
    <w:rsid w:val="00D86432"/>
    <w:rsid w:val="00D91EA9"/>
    <w:rsid w:val="00D92EBC"/>
    <w:rsid w:val="00D93D43"/>
    <w:rsid w:val="00D944B2"/>
    <w:rsid w:val="00D94C7B"/>
    <w:rsid w:val="00D94DE4"/>
    <w:rsid w:val="00D9545B"/>
    <w:rsid w:val="00D95CCF"/>
    <w:rsid w:val="00D9691F"/>
    <w:rsid w:val="00D96DF6"/>
    <w:rsid w:val="00D97364"/>
    <w:rsid w:val="00D979E8"/>
    <w:rsid w:val="00D97AE5"/>
    <w:rsid w:val="00D97E9C"/>
    <w:rsid w:val="00DA134D"/>
    <w:rsid w:val="00DA20F0"/>
    <w:rsid w:val="00DA2D88"/>
    <w:rsid w:val="00DA4A4C"/>
    <w:rsid w:val="00DA4A76"/>
    <w:rsid w:val="00DA5622"/>
    <w:rsid w:val="00DA608B"/>
    <w:rsid w:val="00DB26C7"/>
    <w:rsid w:val="00DB2B61"/>
    <w:rsid w:val="00DB34D6"/>
    <w:rsid w:val="00DB3C05"/>
    <w:rsid w:val="00DB3DBA"/>
    <w:rsid w:val="00DB4124"/>
    <w:rsid w:val="00DB5B6E"/>
    <w:rsid w:val="00DB678B"/>
    <w:rsid w:val="00DB6D98"/>
    <w:rsid w:val="00DC057E"/>
    <w:rsid w:val="00DC097D"/>
    <w:rsid w:val="00DC0FAE"/>
    <w:rsid w:val="00DC15A9"/>
    <w:rsid w:val="00DC1607"/>
    <w:rsid w:val="00DC17CF"/>
    <w:rsid w:val="00DC2874"/>
    <w:rsid w:val="00DC28F0"/>
    <w:rsid w:val="00DC2D49"/>
    <w:rsid w:val="00DC3563"/>
    <w:rsid w:val="00DC3717"/>
    <w:rsid w:val="00DC53E9"/>
    <w:rsid w:val="00DC6FA7"/>
    <w:rsid w:val="00DD0146"/>
    <w:rsid w:val="00DD1B28"/>
    <w:rsid w:val="00DD1B77"/>
    <w:rsid w:val="00DD23A2"/>
    <w:rsid w:val="00DD2512"/>
    <w:rsid w:val="00DD289C"/>
    <w:rsid w:val="00DD2DEA"/>
    <w:rsid w:val="00DD3466"/>
    <w:rsid w:val="00DD42DD"/>
    <w:rsid w:val="00DD511D"/>
    <w:rsid w:val="00DD53BA"/>
    <w:rsid w:val="00DD53BD"/>
    <w:rsid w:val="00DD578E"/>
    <w:rsid w:val="00DD66B2"/>
    <w:rsid w:val="00DD6911"/>
    <w:rsid w:val="00DD6D07"/>
    <w:rsid w:val="00DD7044"/>
    <w:rsid w:val="00DE010C"/>
    <w:rsid w:val="00DE0F02"/>
    <w:rsid w:val="00DE2301"/>
    <w:rsid w:val="00DE29AC"/>
    <w:rsid w:val="00DE2C99"/>
    <w:rsid w:val="00DE308B"/>
    <w:rsid w:val="00DE3CA7"/>
    <w:rsid w:val="00DE43CE"/>
    <w:rsid w:val="00DE4A3B"/>
    <w:rsid w:val="00DE4C21"/>
    <w:rsid w:val="00DE4C77"/>
    <w:rsid w:val="00DE5DA2"/>
    <w:rsid w:val="00DE65D0"/>
    <w:rsid w:val="00DE69CB"/>
    <w:rsid w:val="00DE78E2"/>
    <w:rsid w:val="00DF132B"/>
    <w:rsid w:val="00DF1937"/>
    <w:rsid w:val="00DF2015"/>
    <w:rsid w:val="00DF25DF"/>
    <w:rsid w:val="00DF2640"/>
    <w:rsid w:val="00DF2B94"/>
    <w:rsid w:val="00DF305C"/>
    <w:rsid w:val="00DF349B"/>
    <w:rsid w:val="00DF3AB4"/>
    <w:rsid w:val="00DF3AB5"/>
    <w:rsid w:val="00DF3ABC"/>
    <w:rsid w:val="00DF3E74"/>
    <w:rsid w:val="00DF590D"/>
    <w:rsid w:val="00DF6944"/>
    <w:rsid w:val="00DF7BC0"/>
    <w:rsid w:val="00E00CD3"/>
    <w:rsid w:val="00E01B9A"/>
    <w:rsid w:val="00E01EE3"/>
    <w:rsid w:val="00E0226B"/>
    <w:rsid w:val="00E02818"/>
    <w:rsid w:val="00E02E1A"/>
    <w:rsid w:val="00E02F7F"/>
    <w:rsid w:val="00E038A6"/>
    <w:rsid w:val="00E03BF2"/>
    <w:rsid w:val="00E060CF"/>
    <w:rsid w:val="00E0620E"/>
    <w:rsid w:val="00E062AC"/>
    <w:rsid w:val="00E06456"/>
    <w:rsid w:val="00E074E2"/>
    <w:rsid w:val="00E07A49"/>
    <w:rsid w:val="00E07B22"/>
    <w:rsid w:val="00E102AB"/>
    <w:rsid w:val="00E10736"/>
    <w:rsid w:val="00E110D0"/>
    <w:rsid w:val="00E11669"/>
    <w:rsid w:val="00E119DF"/>
    <w:rsid w:val="00E11C18"/>
    <w:rsid w:val="00E11CA9"/>
    <w:rsid w:val="00E1312A"/>
    <w:rsid w:val="00E13E01"/>
    <w:rsid w:val="00E1409A"/>
    <w:rsid w:val="00E1449B"/>
    <w:rsid w:val="00E14907"/>
    <w:rsid w:val="00E15330"/>
    <w:rsid w:val="00E15813"/>
    <w:rsid w:val="00E15965"/>
    <w:rsid w:val="00E20065"/>
    <w:rsid w:val="00E20508"/>
    <w:rsid w:val="00E20579"/>
    <w:rsid w:val="00E207F0"/>
    <w:rsid w:val="00E20D7C"/>
    <w:rsid w:val="00E20E7D"/>
    <w:rsid w:val="00E20FC5"/>
    <w:rsid w:val="00E211D9"/>
    <w:rsid w:val="00E21482"/>
    <w:rsid w:val="00E227B2"/>
    <w:rsid w:val="00E22C3B"/>
    <w:rsid w:val="00E22F64"/>
    <w:rsid w:val="00E24300"/>
    <w:rsid w:val="00E24CDF"/>
    <w:rsid w:val="00E25AC4"/>
    <w:rsid w:val="00E26B20"/>
    <w:rsid w:val="00E26F29"/>
    <w:rsid w:val="00E302BC"/>
    <w:rsid w:val="00E31152"/>
    <w:rsid w:val="00E3132D"/>
    <w:rsid w:val="00E31954"/>
    <w:rsid w:val="00E32E37"/>
    <w:rsid w:val="00E33923"/>
    <w:rsid w:val="00E33D03"/>
    <w:rsid w:val="00E34279"/>
    <w:rsid w:val="00E35F6C"/>
    <w:rsid w:val="00E36007"/>
    <w:rsid w:val="00E36C7E"/>
    <w:rsid w:val="00E36EA1"/>
    <w:rsid w:val="00E3738B"/>
    <w:rsid w:val="00E37A8F"/>
    <w:rsid w:val="00E40125"/>
    <w:rsid w:val="00E4107B"/>
    <w:rsid w:val="00E4196E"/>
    <w:rsid w:val="00E4258F"/>
    <w:rsid w:val="00E42A19"/>
    <w:rsid w:val="00E42E80"/>
    <w:rsid w:val="00E4355F"/>
    <w:rsid w:val="00E43B90"/>
    <w:rsid w:val="00E44E96"/>
    <w:rsid w:val="00E451AC"/>
    <w:rsid w:val="00E461E1"/>
    <w:rsid w:val="00E46C3B"/>
    <w:rsid w:val="00E46D7D"/>
    <w:rsid w:val="00E47B45"/>
    <w:rsid w:val="00E5373B"/>
    <w:rsid w:val="00E53870"/>
    <w:rsid w:val="00E53EED"/>
    <w:rsid w:val="00E53F9A"/>
    <w:rsid w:val="00E54548"/>
    <w:rsid w:val="00E54B8B"/>
    <w:rsid w:val="00E54EEC"/>
    <w:rsid w:val="00E55AD5"/>
    <w:rsid w:val="00E568E1"/>
    <w:rsid w:val="00E56E9F"/>
    <w:rsid w:val="00E576E9"/>
    <w:rsid w:val="00E57EF5"/>
    <w:rsid w:val="00E61540"/>
    <w:rsid w:val="00E61582"/>
    <w:rsid w:val="00E62B5E"/>
    <w:rsid w:val="00E63571"/>
    <w:rsid w:val="00E63AC7"/>
    <w:rsid w:val="00E6407A"/>
    <w:rsid w:val="00E642C0"/>
    <w:rsid w:val="00E64300"/>
    <w:rsid w:val="00E653B3"/>
    <w:rsid w:val="00E65C6F"/>
    <w:rsid w:val="00E65D01"/>
    <w:rsid w:val="00E65DF1"/>
    <w:rsid w:val="00E66A9B"/>
    <w:rsid w:val="00E66AAC"/>
    <w:rsid w:val="00E66BE0"/>
    <w:rsid w:val="00E67282"/>
    <w:rsid w:val="00E70CCC"/>
    <w:rsid w:val="00E71209"/>
    <w:rsid w:val="00E72E7D"/>
    <w:rsid w:val="00E73B1E"/>
    <w:rsid w:val="00E7466E"/>
    <w:rsid w:val="00E75479"/>
    <w:rsid w:val="00E75514"/>
    <w:rsid w:val="00E7553B"/>
    <w:rsid w:val="00E77453"/>
    <w:rsid w:val="00E775D4"/>
    <w:rsid w:val="00E80149"/>
    <w:rsid w:val="00E81287"/>
    <w:rsid w:val="00E81FA5"/>
    <w:rsid w:val="00E81FDD"/>
    <w:rsid w:val="00E822C7"/>
    <w:rsid w:val="00E827E1"/>
    <w:rsid w:val="00E82B6C"/>
    <w:rsid w:val="00E84D9E"/>
    <w:rsid w:val="00E84DEC"/>
    <w:rsid w:val="00E84ED0"/>
    <w:rsid w:val="00E86232"/>
    <w:rsid w:val="00E86421"/>
    <w:rsid w:val="00E865BD"/>
    <w:rsid w:val="00E86F1E"/>
    <w:rsid w:val="00E86F8B"/>
    <w:rsid w:val="00E87122"/>
    <w:rsid w:val="00E87965"/>
    <w:rsid w:val="00E90E50"/>
    <w:rsid w:val="00E91000"/>
    <w:rsid w:val="00E926A5"/>
    <w:rsid w:val="00E93ED5"/>
    <w:rsid w:val="00E94AE8"/>
    <w:rsid w:val="00E94F65"/>
    <w:rsid w:val="00E96E30"/>
    <w:rsid w:val="00E9788D"/>
    <w:rsid w:val="00E9792C"/>
    <w:rsid w:val="00E97B50"/>
    <w:rsid w:val="00EA1181"/>
    <w:rsid w:val="00EA2799"/>
    <w:rsid w:val="00EA2EC0"/>
    <w:rsid w:val="00EA3D3D"/>
    <w:rsid w:val="00EA403A"/>
    <w:rsid w:val="00EA46F7"/>
    <w:rsid w:val="00EA72E8"/>
    <w:rsid w:val="00EA74E6"/>
    <w:rsid w:val="00EA76FF"/>
    <w:rsid w:val="00EB051C"/>
    <w:rsid w:val="00EB0645"/>
    <w:rsid w:val="00EB0A27"/>
    <w:rsid w:val="00EB0AB5"/>
    <w:rsid w:val="00EB0D7B"/>
    <w:rsid w:val="00EB1ADA"/>
    <w:rsid w:val="00EB3927"/>
    <w:rsid w:val="00EB3D32"/>
    <w:rsid w:val="00EB46E1"/>
    <w:rsid w:val="00EB473F"/>
    <w:rsid w:val="00EB49CC"/>
    <w:rsid w:val="00EB7883"/>
    <w:rsid w:val="00EB7972"/>
    <w:rsid w:val="00EC0628"/>
    <w:rsid w:val="00EC13BB"/>
    <w:rsid w:val="00EC1820"/>
    <w:rsid w:val="00EC3E58"/>
    <w:rsid w:val="00EC48BE"/>
    <w:rsid w:val="00EC533C"/>
    <w:rsid w:val="00EC5A06"/>
    <w:rsid w:val="00EC6543"/>
    <w:rsid w:val="00EC69D1"/>
    <w:rsid w:val="00EC6B43"/>
    <w:rsid w:val="00EC6D3A"/>
    <w:rsid w:val="00EC7156"/>
    <w:rsid w:val="00EC74A8"/>
    <w:rsid w:val="00EC77F1"/>
    <w:rsid w:val="00EC78C3"/>
    <w:rsid w:val="00EC79EC"/>
    <w:rsid w:val="00ED005C"/>
    <w:rsid w:val="00ED0F23"/>
    <w:rsid w:val="00ED1206"/>
    <w:rsid w:val="00ED13C3"/>
    <w:rsid w:val="00ED18AB"/>
    <w:rsid w:val="00ED1C41"/>
    <w:rsid w:val="00ED20B6"/>
    <w:rsid w:val="00ED29C6"/>
    <w:rsid w:val="00ED2A6A"/>
    <w:rsid w:val="00ED315A"/>
    <w:rsid w:val="00ED377B"/>
    <w:rsid w:val="00ED441B"/>
    <w:rsid w:val="00ED545E"/>
    <w:rsid w:val="00ED5F1D"/>
    <w:rsid w:val="00ED7BC2"/>
    <w:rsid w:val="00EE0235"/>
    <w:rsid w:val="00EE03C2"/>
    <w:rsid w:val="00EE1D94"/>
    <w:rsid w:val="00EE1E04"/>
    <w:rsid w:val="00EE1FFA"/>
    <w:rsid w:val="00EE27EF"/>
    <w:rsid w:val="00EE2FBD"/>
    <w:rsid w:val="00EE3B11"/>
    <w:rsid w:val="00EE478C"/>
    <w:rsid w:val="00EE5280"/>
    <w:rsid w:val="00EE5E80"/>
    <w:rsid w:val="00EE6158"/>
    <w:rsid w:val="00EE7CEB"/>
    <w:rsid w:val="00EE7E4C"/>
    <w:rsid w:val="00EE7F61"/>
    <w:rsid w:val="00EF0853"/>
    <w:rsid w:val="00EF15B8"/>
    <w:rsid w:val="00EF1699"/>
    <w:rsid w:val="00EF1C3A"/>
    <w:rsid w:val="00EF262D"/>
    <w:rsid w:val="00EF2B87"/>
    <w:rsid w:val="00EF3946"/>
    <w:rsid w:val="00EF4117"/>
    <w:rsid w:val="00EF5C0C"/>
    <w:rsid w:val="00EF5F9E"/>
    <w:rsid w:val="00EF6631"/>
    <w:rsid w:val="00EF688F"/>
    <w:rsid w:val="00EF6D80"/>
    <w:rsid w:val="00EF76EA"/>
    <w:rsid w:val="00F00603"/>
    <w:rsid w:val="00F0060E"/>
    <w:rsid w:val="00F01119"/>
    <w:rsid w:val="00F0175A"/>
    <w:rsid w:val="00F01CF2"/>
    <w:rsid w:val="00F01E91"/>
    <w:rsid w:val="00F023F8"/>
    <w:rsid w:val="00F0250C"/>
    <w:rsid w:val="00F03155"/>
    <w:rsid w:val="00F03666"/>
    <w:rsid w:val="00F0373A"/>
    <w:rsid w:val="00F03950"/>
    <w:rsid w:val="00F049D6"/>
    <w:rsid w:val="00F057DB"/>
    <w:rsid w:val="00F06237"/>
    <w:rsid w:val="00F0646E"/>
    <w:rsid w:val="00F1199A"/>
    <w:rsid w:val="00F12428"/>
    <w:rsid w:val="00F12491"/>
    <w:rsid w:val="00F13607"/>
    <w:rsid w:val="00F1544C"/>
    <w:rsid w:val="00F161F9"/>
    <w:rsid w:val="00F172C5"/>
    <w:rsid w:val="00F173C9"/>
    <w:rsid w:val="00F20511"/>
    <w:rsid w:val="00F2127E"/>
    <w:rsid w:val="00F223D7"/>
    <w:rsid w:val="00F23C66"/>
    <w:rsid w:val="00F24CA0"/>
    <w:rsid w:val="00F25B83"/>
    <w:rsid w:val="00F25F17"/>
    <w:rsid w:val="00F27A84"/>
    <w:rsid w:val="00F30AAD"/>
    <w:rsid w:val="00F3172E"/>
    <w:rsid w:val="00F3200A"/>
    <w:rsid w:val="00F324AC"/>
    <w:rsid w:val="00F32577"/>
    <w:rsid w:val="00F332F0"/>
    <w:rsid w:val="00F33863"/>
    <w:rsid w:val="00F33C79"/>
    <w:rsid w:val="00F33D9F"/>
    <w:rsid w:val="00F33DD2"/>
    <w:rsid w:val="00F33E24"/>
    <w:rsid w:val="00F34DAF"/>
    <w:rsid w:val="00F355B5"/>
    <w:rsid w:val="00F359DE"/>
    <w:rsid w:val="00F3644C"/>
    <w:rsid w:val="00F36987"/>
    <w:rsid w:val="00F37CBC"/>
    <w:rsid w:val="00F37E4A"/>
    <w:rsid w:val="00F41E00"/>
    <w:rsid w:val="00F423CE"/>
    <w:rsid w:val="00F42580"/>
    <w:rsid w:val="00F43ACE"/>
    <w:rsid w:val="00F443A0"/>
    <w:rsid w:val="00F44B50"/>
    <w:rsid w:val="00F453DD"/>
    <w:rsid w:val="00F4549F"/>
    <w:rsid w:val="00F471FB"/>
    <w:rsid w:val="00F47818"/>
    <w:rsid w:val="00F508B3"/>
    <w:rsid w:val="00F512BB"/>
    <w:rsid w:val="00F51327"/>
    <w:rsid w:val="00F52B9D"/>
    <w:rsid w:val="00F54023"/>
    <w:rsid w:val="00F54247"/>
    <w:rsid w:val="00F545CF"/>
    <w:rsid w:val="00F5682F"/>
    <w:rsid w:val="00F569A1"/>
    <w:rsid w:val="00F5763E"/>
    <w:rsid w:val="00F6157E"/>
    <w:rsid w:val="00F63F2A"/>
    <w:rsid w:val="00F646EF"/>
    <w:rsid w:val="00F64B0A"/>
    <w:rsid w:val="00F6655D"/>
    <w:rsid w:val="00F66741"/>
    <w:rsid w:val="00F70268"/>
    <w:rsid w:val="00F70851"/>
    <w:rsid w:val="00F71024"/>
    <w:rsid w:val="00F71666"/>
    <w:rsid w:val="00F716BD"/>
    <w:rsid w:val="00F71BA0"/>
    <w:rsid w:val="00F71BFF"/>
    <w:rsid w:val="00F72D85"/>
    <w:rsid w:val="00F73CF6"/>
    <w:rsid w:val="00F73DFC"/>
    <w:rsid w:val="00F74001"/>
    <w:rsid w:val="00F7706A"/>
    <w:rsid w:val="00F804C6"/>
    <w:rsid w:val="00F80F0A"/>
    <w:rsid w:val="00F80F3B"/>
    <w:rsid w:val="00F82691"/>
    <w:rsid w:val="00F83DF2"/>
    <w:rsid w:val="00F841DB"/>
    <w:rsid w:val="00F84BD4"/>
    <w:rsid w:val="00F84F81"/>
    <w:rsid w:val="00F856AC"/>
    <w:rsid w:val="00F86531"/>
    <w:rsid w:val="00F86EB5"/>
    <w:rsid w:val="00F86F23"/>
    <w:rsid w:val="00F9075B"/>
    <w:rsid w:val="00F90DB0"/>
    <w:rsid w:val="00F90E07"/>
    <w:rsid w:val="00F910F0"/>
    <w:rsid w:val="00F916E1"/>
    <w:rsid w:val="00F91B9A"/>
    <w:rsid w:val="00F926E7"/>
    <w:rsid w:val="00F929FB"/>
    <w:rsid w:val="00F93E07"/>
    <w:rsid w:val="00F941D5"/>
    <w:rsid w:val="00F946E1"/>
    <w:rsid w:val="00F94A84"/>
    <w:rsid w:val="00F94EC7"/>
    <w:rsid w:val="00F9553E"/>
    <w:rsid w:val="00F95D18"/>
    <w:rsid w:val="00F96EAF"/>
    <w:rsid w:val="00FA0183"/>
    <w:rsid w:val="00FA0704"/>
    <w:rsid w:val="00FA0D13"/>
    <w:rsid w:val="00FA357F"/>
    <w:rsid w:val="00FA4722"/>
    <w:rsid w:val="00FA5643"/>
    <w:rsid w:val="00FA64F1"/>
    <w:rsid w:val="00FA7D3C"/>
    <w:rsid w:val="00FB044B"/>
    <w:rsid w:val="00FB086F"/>
    <w:rsid w:val="00FB0F92"/>
    <w:rsid w:val="00FB17EA"/>
    <w:rsid w:val="00FB19D4"/>
    <w:rsid w:val="00FB1C7A"/>
    <w:rsid w:val="00FB24BA"/>
    <w:rsid w:val="00FB2A49"/>
    <w:rsid w:val="00FB2D9C"/>
    <w:rsid w:val="00FB39E6"/>
    <w:rsid w:val="00FB4955"/>
    <w:rsid w:val="00FB55E3"/>
    <w:rsid w:val="00FB65AC"/>
    <w:rsid w:val="00FB6C43"/>
    <w:rsid w:val="00FB7788"/>
    <w:rsid w:val="00FC0102"/>
    <w:rsid w:val="00FC0C7B"/>
    <w:rsid w:val="00FC2BE8"/>
    <w:rsid w:val="00FC39BA"/>
    <w:rsid w:val="00FC436F"/>
    <w:rsid w:val="00FC5914"/>
    <w:rsid w:val="00FC6799"/>
    <w:rsid w:val="00FC6EDF"/>
    <w:rsid w:val="00FC7765"/>
    <w:rsid w:val="00FD0F60"/>
    <w:rsid w:val="00FD118E"/>
    <w:rsid w:val="00FD2AB0"/>
    <w:rsid w:val="00FD3685"/>
    <w:rsid w:val="00FD3A69"/>
    <w:rsid w:val="00FD3D66"/>
    <w:rsid w:val="00FD3EB9"/>
    <w:rsid w:val="00FD4593"/>
    <w:rsid w:val="00FD4CB4"/>
    <w:rsid w:val="00FD4EF0"/>
    <w:rsid w:val="00FD5455"/>
    <w:rsid w:val="00FD63A1"/>
    <w:rsid w:val="00FD6E31"/>
    <w:rsid w:val="00FE044C"/>
    <w:rsid w:val="00FE1093"/>
    <w:rsid w:val="00FE16D2"/>
    <w:rsid w:val="00FE234C"/>
    <w:rsid w:val="00FE394E"/>
    <w:rsid w:val="00FE6288"/>
    <w:rsid w:val="00FE67BB"/>
    <w:rsid w:val="00FE68B2"/>
    <w:rsid w:val="00FE6ADF"/>
    <w:rsid w:val="00FE7250"/>
    <w:rsid w:val="00FE7D7E"/>
    <w:rsid w:val="00FF0AB7"/>
    <w:rsid w:val="00FF16D1"/>
    <w:rsid w:val="00FF24B5"/>
    <w:rsid w:val="00FF2BA0"/>
    <w:rsid w:val="00FF3C13"/>
    <w:rsid w:val="00FF528C"/>
    <w:rsid w:val="00FF5A6D"/>
    <w:rsid w:val="00FF64D0"/>
    <w:rsid w:val="00FF693C"/>
    <w:rsid w:val="00FF6A4B"/>
    <w:rsid w:val="1EBA9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0C22DD5"/>
  <w15:chartTrackingRefBased/>
  <w15:docId w15:val="{2780E67D-1E37-4497-8D85-9F512E74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2F9"/>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17287C"/>
    <w:pPr>
      <w:numPr>
        <w:numId w:val="3"/>
      </w:numPr>
      <w:tabs>
        <w:tab w:val="left" w:pos="440"/>
        <w:tab w:val="right" w:leader="dot" w:pos="9063"/>
      </w:tabs>
      <w:spacing w:before="240"/>
      <w:ind w:right="-284"/>
      <w:outlineLvl w:val="0"/>
    </w:pPr>
  </w:style>
  <w:style w:type="paragraph" w:styleId="Heading2">
    <w:name w:val="heading 2"/>
    <w:basedOn w:val="Normal"/>
    <w:next w:val="Normal"/>
    <w:link w:val="Heading2Char"/>
    <w:qFormat/>
    <w:rsid w:val="004D7AC0"/>
    <w:pPr>
      <w:outlineLvl w:val="1"/>
    </w:pPr>
  </w:style>
  <w:style w:type="paragraph" w:styleId="Heading3">
    <w:name w:val="heading 3"/>
    <w:basedOn w:val="Normal"/>
    <w:next w:val="Normal"/>
    <w:link w:val="Heading3Char"/>
    <w:qFormat/>
    <w:rsid w:val="004D7AC0"/>
    <w:pPr>
      <w:outlineLvl w:val="2"/>
    </w:pPr>
  </w:style>
  <w:style w:type="paragraph" w:styleId="Heading4">
    <w:name w:val="heading 4"/>
    <w:basedOn w:val="Normal"/>
    <w:next w:val="Normal"/>
    <w:link w:val="Heading4Char"/>
    <w:qFormat/>
    <w:rsid w:val="004D7AC0"/>
    <w:pPr>
      <w:outlineLvl w:val="3"/>
    </w:pPr>
  </w:style>
  <w:style w:type="paragraph" w:styleId="Heading5">
    <w:name w:val="heading 5"/>
    <w:basedOn w:val="Normal"/>
    <w:next w:val="Normal"/>
    <w:link w:val="Heading5Char"/>
    <w:qFormat/>
    <w:rsid w:val="004D7AC0"/>
    <w:pPr>
      <w:outlineLvl w:val="4"/>
    </w:pPr>
  </w:style>
  <w:style w:type="paragraph" w:styleId="Heading6">
    <w:name w:val="heading 6"/>
    <w:basedOn w:val="Normal"/>
    <w:next w:val="Normal"/>
    <w:link w:val="Heading6Char"/>
    <w:qFormat/>
    <w:rsid w:val="004D7AC0"/>
    <w:pPr>
      <w:outlineLvl w:val="5"/>
    </w:pPr>
  </w:style>
  <w:style w:type="paragraph" w:styleId="Heading7">
    <w:name w:val="heading 7"/>
    <w:basedOn w:val="Normal"/>
    <w:next w:val="Normal"/>
    <w:link w:val="Heading7Char"/>
    <w:qFormat/>
    <w:rsid w:val="004D7AC0"/>
    <w:pPr>
      <w:outlineLvl w:val="6"/>
    </w:pPr>
  </w:style>
  <w:style w:type="paragraph" w:styleId="Heading8">
    <w:name w:val="heading 8"/>
    <w:basedOn w:val="Normal"/>
    <w:next w:val="Normal"/>
    <w:link w:val="Heading8Char"/>
    <w:qFormat/>
    <w:rsid w:val="004D7AC0"/>
    <w:pPr>
      <w:outlineLvl w:val="7"/>
    </w:pPr>
  </w:style>
  <w:style w:type="paragraph" w:styleId="Heading9">
    <w:name w:val="heading 9"/>
    <w:basedOn w:val="Normal"/>
    <w:next w:val="Normal"/>
    <w:link w:val="Heading9Char"/>
    <w:qFormat/>
    <w:rsid w:val="004D7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287C"/>
    <w:rPr>
      <w:rFonts w:ascii="Times New Roman" w:eastAsia="Times New Roman" w:hAnsi="Times New Roman" w:cs="Times New Roman"/>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qForma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link w:val="ListParagraphChar"/>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spacing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0178D3"/>
    <w:pPr>
      <w:tabs>
        <w:tab w:val="left" w:pos="440"/>
        <w:tab w:val="right" w:leader="dot" w:pos="9063"/>
      </w:tabs>
      <w:spacing w:before="240"/>
      <w:ind w:left="440" w:right="-143" w:hanging="440"/>
      <w:outlineLvl w:val="0"/>
    </w:pPr>
    <w:rPr>
      <w:bCs/>
      <w:noProof/>
      <w:sz w:val="20"/>
      <w:szCs w:val="20"/>
    </w:rPr>
  </w:style>
  <w:style w:type="paragraph" w:styleId="BalloonText">
    <w:name w:val="Balloon Text"/>
    <w:basedOn w:val="Normal"/>
    <w:link w:val="BalloonTextChar"/>
    <w:uiPriority w:val="99"/>
    <w:semiHidden/>
    <w:unhideWhenUsed/>
    <w:rsid w:val="00116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7A1"/>
    <w:rPr>
      <w:rFonts w:ascii="Tahoma" w:eastAsia="Times New Roman" w:hAnsi="Tahoma" w:cs="Tahoma"/>
      <w:sz w:val="16"/>
      <w:szCs w:val="16"/>
      <w:lang w:val="de-DE"/>
    </w:rPr>
  </w:style>
  <w:style w:type="character" w:styleId="CommentReference">
    <w:name w:val="annotation reference"/>
    <w:unhideWhenUsed/>
    <w:rsid w:val="001167A1"/>
    <w:rPr>
      <w:sz w:val="16"/>
      <w:szCs w:val="16"/>
    </w:rPr>
  </w:style>
  <w:style w:type="paragraph" w:styleId="CommentText">
    <w:name w:val="annotation text"/>
    <w:basedOn w:val="Normal"/>
    <w:link w:val="CommentTextChar"/>
    <w:unhideWhenUsed/>
    <w:rsid w:val="00B5317E"/>
    <w:pPr>
      <w:spacing w:line="240" w:lineRule="auto"/>
    </w:pPr>
    <w:rPr>
      <w:sz w:val="20"/>
      <w:szCs w:val="20"/>
    </w:rPr>
  </w:style>
  <w:style w:type="character" w:customStyle="1" w:styleId="CommentTextChar">
    <w:name w:val="Comment Text Char"/>
    <w:basedOn w:val="DefaultParagraphFont"/>
    <w:link w:val="CommentText"/>
    <w:rsid w:val="00B531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317E"/>
    <w:rPr>
      <w:b/>
      <w:bCs/>
    </w:rPr>
  </w:style>
  <w:style w:type="character" w:customStyle="1" w:styleId="CommentSubjectChar">
    <w:name w:val="Comment Subject Char"/>
    <w:basedOn w:val="CommentTextChar"/>
    <w:link w:val="CommentSubject"/>
    <w:uiPriority w:val="99"/>
    <w:semiHidden/>
    <w:rsid w:val="00B5317E"/>
    <w:rPr>
      <w:rFonts w:ascii="Times New Roman" w:eastAsia="Times New Roman" w:hAnsi="Times New Roman" w:cs="Times New Roman"/>
      <w:b/>
      <w:bCs/>
      <w:sz w:val="20"/>
      <w:szCs w:val="20"/>
    </w:rPr>
  </w:style>
  <w:style w:type="paragraph" w:styleId="Revision">
    <w:name w:val="Revision"/>
    <w:hidden/>
    <w:uiPriority w:val="99"/>
    <w:semiHidden/>
    <w:rsid w:val="00B5317E"/>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2E01B5"/>
    <w:pPr>
      <w:spacing w:after="100" w:line="259" w:lineRule="auto"/>
      <w:ind w:left="220"/>
      <w:jc w:val="left"/>
    </w:pPr>
    <w:rPr>
      <w:rFonts w:asciiTheme="minorHAnsi" w:eastAsiaTheme="minorEastAsia" w:hAnsiTheme="minorHAnsi"/>
    </w:rPr>
  </w:style>
  <w:style w:type="paragraph" w:styleId="TOC3">
    <w:name w:val="toc 3"/>
    <w:basedOn w:val="Normal"/>
    <w:next w:val="Normal"/>
    <w:autoRedefine/>
    <w:uiPriority w:val="39"/>
    <w:unhideWhenUsed/>
    <w:rsid w:val="002E01B5"/>
    <w:pPr>
      <w:spacing w:after="100" w:line="259" w:lineRule="auto"/>
      <w:ind w:left="440"/>
      <w:jc w:val="left"/>
    </w:pPr>
    <w:rPr>
      <w:rFonts w:asciiTheme="minorHAnsi" w:eastAsiaTheme="minorEastAsia" w:hAnsiTheme="minorHAnsi"/>
    </w:rPr>
  </w:style>
  <w:style w:type="paragraph" w:styleId="TOC6">
    <w:name w:val="toc 6"/>
    <w:basedOn w:val="Normal"/>
    <w:next w:val="Normal"/>
    <w:autoRedefine/>
    <w:uiPriority w:val="39"/>
    <w:semiHidden/>
    <w:unhideWhenUsed/>
    <w:rsid w:val="00912F6B"/>
    <w:pPr>
      <w:spacing w:after="100"/>
      <w:ind w:left="1100"/>
    </w:pPr>
  </w:style>
  <w:style w:type="table" w:customStyle="1" w:styleId="TableGrid1">
    <w:name w:val="Table Grid1"/>
    <w:basedOn w:val="TableNormal"/>
    <w:next w:val="TableGrid"/>
    <w:uiPriority w:val="39"/>
    <w:rsid w:val="006C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53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8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1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7E1B"/>
    <w:rPr>
      <w:color w:val="954F72" w:themeColor="followedHyperlink"/>
      <w:u w:val="single"/>
    </w:rPr>
  </w:style>
  <w:style w:type="table" w:customStyle="1" w:styleId="TableGrid21">
    <w:name w:val="Table Grid2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3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225C52"/>
    <w:rPr>
      <w:rFonts w:ascii="Times New Roman" w:eastAsia="Times New Roman" w:hAnsi="Times New Roman" w:cs="Times New Roman"/>
    </w:rPr>
  </w:style>
  <w:style w:type="table" w:customStyle="1" w:styleId="TableGrid6">
    <w:name w:val="Table Grid6"/>
    <w:basedOn w:val="TableNormal"/>
    <w:next w:val="TableGrid"/>
    <w:uiPriority w:val="39"/>
    <w:rsid w:val="006E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6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3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3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E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63F30"/>
    <w:rPr>
      <w:color w:val="605E5C"/>
      <w:shd w:val="clear" w:color="auto" w:fill="E1DFDD"/>
    </w:rPr>
  </w:style>
  <w:style w:type="table" w:customStyle="1" w:styleId="TableGrid10">
    <w:name w:val="Table Grid10"/>
    <w:basedOn w:val="TableNormal"/>
    <w:next w:val="TableGrid"/>
    <w:uiPriority w:val="39"/>
    <w:rsid w:val="00F03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3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3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F3AB4"/>
    <w:rPr>
      <w:color w:val="605E5C"/>
      <w:shd w:val="clear" w:color="auto" w:fill="E1DFDD"/>
    </w:rPr>
  </w:style>
  <w:style w:type="character" w:customStyle="1" w:styleId="UnresolvedMention3">
    <w:name w:val="Unresolved Mention3"/>
    <w:basedOn w:val="DefaultParagraphFont"/>
    <w:uiPriority w:val="99"/>
    <w:semiHidden/>
    <w:unhideWhenUsed/>
    <w:rsid w:val="002859C4"/>
    <w:rPr>
      <w:color w:val="605E5C"/>
      <w:shd w:val="clear" w:color="auto" w:fill="E1DFDD"/>
    </w:rPr>
  </w:style>
  <w:style w:type="table" w:customStyle="1" w:styleId="TableGrid17">
    <w:name w:val="Table Grid17"/>
    <w:basedOn w:val="TableNormal"/>
    <w:next w:val="TableGrid"/>
    <w:uiPriority w:val="39"/>
    <w:rsid w:val="00C87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4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B807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8E2A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E110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240D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537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9113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B667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DC28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042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6E44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921C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9D6A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8E44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A26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7675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rsid w:val="00E55A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A13A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rsid w:val="00046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806B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697B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rsid w:val="00B371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5A3A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0349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2040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023B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2736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rsid w:val="007F2C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C334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4028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rsid w:val="002C01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rsid w:val="003E23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2879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rsid w:val="00C142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rsid w:val="00344B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rsid w:val="002D4C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rsid w:val="00FB49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27A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195380"/>
    <w:rPr>
      <w:color w:val="605E5C"/>
      <w:shd w:val="clear" w:color="auto" w:fill="E1DFDD"/>
    </w:rPr>
  </w:style>
  <w:style w:type="table" w:customStyle="1" w:styleId="TableGrid82">
    <w:name w:val="Table Grid82"/>
    <w:basedOn w:val="TableNormal"/>
    <w:next w:val="TableGrid"/>
    <w:rsid w:val="004625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rsid w:val="00D633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rsid w:val="001653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rsid w:val="00BC21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874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rsid w:val="004B32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next w:val="TableGrid"/>
    <w:rsid w:val="00DE4C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rsid w:val="004900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rsid w:val="002315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6736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E56E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4743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rsid w:val="007C41DA"/>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locked/>
    <w:rsid w:val="008A55B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1305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786F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730A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3529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rsid w:val="00744C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5E4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B52F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BE47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BE47EE"/>
    <w:rPr>
      <w:color w:val="605E5C"/>
      <w:shd w:val="clear" w:color="auto" w:fill="E1DFDD"/>
    </w:rPr>
  </w:style>
  <w:style w:type="table" w:customStyle="1" w:styleId="TableGrid104">
    <w:name w:val="Table Grid104"/>
    <w:basedOn w:val="TableNormal"/>
    <w:next w:val="TableGrid"/>
    <w:rsid w:val="00F90E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563F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rsid w:val="003B0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rsid w:val="003B6E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rsid w:val="00BF2E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rsid w:val="003D5C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BC64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5B3E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8201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154E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5523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115C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C972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587F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A441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locked/>
    <w:rsid w:val="005B4EE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rsid w:val="001010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rsid w:val="00335D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rsid w:val="007009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rsid w:val="005E60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rsid w:val="006E16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next w:val="TableGrid"/>
    <w:rsid w:val="000338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0"/>
    <w:basedOn w:val="TableNormal"/>
    <w:next w:val="TableGrid"/>
    <w:rsid w:val="00BE0F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rsid w:val="005F41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rsid w:val="006B50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rsid w:val="006A49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0"/>
    <w:basedOn w:val="TableNormal"/>
    <w:next w:val="TableGrid"/>
    <w:rsid w:val="001C08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rsid w:val="00ED18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4107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rsid w:val="006938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rsid w:val="00C27D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rsid w:val="00E26B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180"/>
    <w:basedOn w:val="TableNormal"/>
    <w:next w:val="TableGrid"/>
    <w:rsid w:val="00FB08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rsid w:val="00F96E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rsid w:val="007F6C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9E433D"/>
    <w:rPr>
      <w:color w:val="605E5C"/>
      <w:shd w:val="clear" w:color="auto" w:fill="E1DFDD"/>
    </w:rPr>
  </w:style>
  <w:style w:type="table" w:customStyle="1" w:styleId="TableGrid183">
    <w:name w:val="Table Grid183"/>
    <w:basedOn w:val="TableNormal"/>
    <w:next w:val="TableGrid"/>
    <w:rsid w:val="00810E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rsid w:val="00CC7E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rsid w:val="008335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rsid w:val="003324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 Grid190"/>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rsid w:val="004351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rsid w:val="00EC062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rsid w:val="005C6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rsid w:val="00A91E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rsid w:val="001742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rsid w:val="00C122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0"/>
    <w:basedOn w:val="TableNormal"/>
    <w:next w:val="TableGrid"/>
    <w:rsid w:val="00C022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rsid w:val="00E038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rsid w:val="000F41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
    <w:name w:val="Table Grid203"/>
    <w:basedOn w:val="TableNormal"/>
    <w:next w:val="TableGrid"/>
    <w:rsid w:val="00EC69D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4">
    <w:name w:val="Table Grid204"/>
    <w:basedOn w:val="TableNormal"/>
    <w:next w:val="TableGrid"/>
    <w:rsid w:val="005E3A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5">
    <w:name w:val="Table Grid205"/>
    <w:basedOn w:val="TableNormal"/>
    <w:next w:val="TableGrid"/>
    <w:rsid w:val="001801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6">
    <w:name w:val="Table Grid206"/>
    <w:basedOn w:val="TableNormal"/>
    <w:next w:val="TableGrid"/>
    <w:rsid w:val="009A6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7">
    <w:name w:val="Table Grid207"/>
    <w:basedOn w:val="TableNormal"/>
    <w:next w:val="TableGrid"/>
    <w:rsid w:val="006F016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8">
    <w:name w:val="Table Grid208"/>
    <w:basedOn w:val="TableNormal"/>
    <w:next w:val="TableGrid"/>
    <w:rsid w:val="006F016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9">
    <w:name w:val="Table Grid209"/>
    <w:basedOn w:val="TableNormal"/>
    <w:next w:val="TableGrid"/>
    <w:rsid w:val="00E20D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A177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3C73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3A2E3A"/>
    <w:rPr>
      <w:color w:val="605E5C"/>
      <w:shd w:val="clear" w:color="auto" w:fill="E1DFDD"/>
    </w:rPr>
  </w:style>
  <w:style w:type="table" w:customStyle="1" w:styleId="TableGrid212">
    <w:name w:val="Table Grid212"/>
    <w:basedOn w:val="TableNormal"/>
    <w:next w:val="TableGrid"/>
    <w:rsid w:val="006C19F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rsid w:val="001A5E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rsid w:val="004E71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rsid w:val="001048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rsid w:val="0002534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rsid w:val="00A148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59"/>
    <w:rsid w:val="00A329C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rsid w:val="00EC48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rsid w:val="00B612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B612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rsid w:val="000120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rsid w:val="003C2FB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rsid w:val="00C26C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D5F1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8">
    <w:name w:val="Unresolved Mention8"/>
    <w:basedOn w:val="DefaultParagraphFont"/>
    <w:uiPriority w:val="99"/>
    <w:semiHidden/>
    <w:unhideWhenUsed/>
    <w:rsid w:val="004F13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6361">
      <w:bodyDiv w:val="1"/>
      <w:marLeft w:val="0"/>
      <w:marRight w:val="0"/>
      <w:marTop w:val="0"/>
      <w:marBottom w:val="0"/>
      <w:divBdr>
        <w:top w:val="none" w:sz="0" w:space="0" w:color="auto"/>
        <w:left w:val="none" w:sz="0" w:space="0" w:color="auto"/>
        <w:bottom w:val="none" w:sz="0" w:space="0" w:color="auto"/>
        <w:right w:val="none" w:sz="0" w:space="0" w:color="auto"/>
      </w:divBdr>
      <w:divsChild>
        <w:div w:id="398020250">
          <w:marLeft w:val="0"/>
          <w:marRight w:val="0"/>
          <w:marTop w:val="100"/>
          <w:marBottom w:val="300"/>
          <w:divBdr>
            <w:top w:val="none" w:sz="0" w:space="0" w:color="auto"/>
            <w:left w:val="none" w:sz="0" w:space="0" w:color="auto"/>
            <w:bottom w:val="none" w:sz="0" w:space="0" w:color="auto"/>
            <w:right w:val="none" w:sz="0" w:space="0" w:color="auto"/>
          </w:divBdr>
          <w:divsChild>
            <w:div w:id="245918878">
              <w:marLeft w:val="0"/>
              <w:marRight w:val="0"/>
              <w:marTop w:val="0"/>
              <w:marBottom w:val="0"/>
              <w:divBdr>
                <w:top w:val="none" w:sz="0" w:space="0" w:color="auto"/>
                <w:left w:val="none" w:sz="0" w:space="0" w:color="auto"/>
                <w:bottom w:val="none" w:sz="0" w:space="0" w:color="auto"/>
                <w:right w:val="none" w:sz="0" w:space="0" w:color="auto"/>
              </w:divBdr>
              <w:divsChild>
                <w:div w:id="1110248796">
                  <w:marLeft w:val="0"/>
                  <w:marRight w:val="0"/>
                  <w:marTop w:val="0"/>
                  <w:marBottom w:val="30"/>
                  <w:divBdr>
                    <w:top w:val="none" w:sz="0" w:space="0" w:color="auto"/>
                    <w:left w:val="none" w:sz="0" w:space="0" w:color="auto"/>
                    <w:bottom w:val="none" w:sz="0" w:space="0" w:color="auto"/>
                    <w:right w:val="none" w:sz="0" w:space="0" w:color="auto"/>
                  </w:divBdr>
                </w:div>
                <w:div w:id="1481271744">
                  <w:marLeft w:val="0"/>
                  <w:marRight w:val="0"/>
                  <w:marTop w:val="0"/>
                  <w:marBottom w:val="0"/>
                  <w:divBdr>
                    <w:top w:val="single" w:sz="6" w:space="0" w:color="C6C6C6"/>
                    <w:left w:val="single" w:sz="6" w:space="0" w:color="C6C6C6"/>
                    <w:bottom w:val="single" w:sz="6" w:space="0" w:color="C6C6C6"/>
                    <w:right w:val="single" w:sz="6" w:space="0" w:color="C6C6C6"/>
                  </w:divBdr>
                  <w:divsChild>
                    <w:div w:id="426850931">
                      <w:marLeft w:val="0"/>
                      <w:marRight w:val="0"/>
                      <w:marTop w:val="0"/>
                      <w:marBottom w:val="0"/>
                      <w:divBdr>
                        <w:top w:val="none" w:sz="0" w:space="0" w:color="auto"/>
                        <w:left w:val="none" w:sz="0" w:space="0" w:color="auto"/>
                        <w:bottom w:val="none" w:sz="0" w:space="0" w:color="auto"/>
                        <w:right w:val="none" w:sz="0" w:space="0" w:color="auto"/>
                      </w:divBdr>
                      <w:divsChild>
                        <w:div w:id="849754206">
                          <w:marLeft w:val="0"/>
                          <w:marRight w:val="0"/>
                          <w:marTop w:val="0"/>
                          <w:marBottom w:val="0"/>
                          <w:divBdr>
                            <w:top w:val="none" w:sz="0" w:space="0" w:color="auto"/>
                            <w:left w:val="none" w:sz="0" w:space="0" w:color="auto"/>
                            <w:bottom w:val="none" w:sz="0" w:space="0" w:color="auto"/>
                            <w:right w:val="none" w:sz="0" w:space="0" w:color="auto"/>
                          </w:divBdr>
                          <w:divsChild>
                            <w:div w:id="97529270">
                              <w:marLeft w:val="0"/>
                              <w:marRight w:val="0"/>
                              <w:marTop w:val="0"/>
                              <w:marBottom w:val="0"/>
                              <w:divBdr>
                                <w:top w:val="none" w:sz="0" w:space="0" w:color="auto"/>
                                <w:left w:val="none" w:sz="0" w:space="0" w:color="auto"/>
                                <w:bottom w:val="none" w:sz="0" w:space="0" w:color="auto"/>
                                <w:right w:val="none" w:sz="0" w:space="0" w:color="auto"/>
                              </w:divBdr>
                              <w:divsChild>
                                <w:div w:id="1754623645">
                                  <w:marLeft w:val="0"/>
                                  <w:marRight w:val="0"/>
                                  <w:marTop w:val="0"/>
                                  <w:marBottom w:val="0"/>
                                  <w:divBdr>
                                    <w:top w:val="none" w:sz="0" w:space="0" w:color="auto"/>
                                    <w:left w:val="none" w:sz="0" w:space="0" w:color="auto"/>
                                    <w:bottom w:val="none" w:sz="0" w:space="0" w:color="auto"/>
                                    <w:right w:val="none" w:sz="0" w:space="0" w:color="auto"/>
                                  </w:divBdr>
                                  <w:divsChild>
                                    <w:div w:id="1000037589">
                                      <w:marLeft w:val="0"/>
                                      <w:marRight w:val="0"/>
                                      <w:marTop w:val="0"/>
                                      <w:marBottom w:val="0"/>
                                      <w:divBdr>
                                        <w:top w:val="none" w:sz="0" w:space="0" w:color="auto"/>
                                        <w:left w:val="none" w:sz="0" w:space="0" w:color="auto"/>
                                        <w:bottom w:val="none" w:sz="0" w:space="0" w:color="auto"/>
                                        <w:right w:val="none" w:sz="0" w:space="0" w:color="auto"/>
                                      </w:divBdr>
                                    </w:div>
                                  </w:divsChild>
                                </w:div>
                                <w:div w:id="110979431">
                                  <w:marLeft w:val="0"/>
                                  <w:marRight w:val="0"/>
                                  <w:marTop w:val="0"/>
                                  <w:marBottom w:val="0"/>
                                  <w:divBdr>
                                    <w:top w:val="none" w:sz="0" w:space="0" w:color="auto"/>
                                    <w:left w:val="none" w:sz="0" w:space="0" w:color="auto"/>
                                    <w:bottom w:val="none" w:sz="0" w:space="0" w:color="auto"/>
                                    <w:right w:val="none" w:sz="0" w:space="0" w:color="auto"/>
                                  </w:divBdr>
                                  <w:divsChild>
                                    <w:div w:id="872578047">
                                      <w:marLeft w:val="0"/>
                                      <w:marRight w:val="0"/>
                                      <w:marTop w:val="0"/>
                                      <w:marBottom w:val="0"/>
                                      <w:divBdr>
                                        <w:top w:val="none" w:sz="0" w:space="0" w:color="auto"/>
                                        <w:left w:val="none" w:sz="0" w:space="0" w:color="auto"/>
                                        <w:bottom w:val="none" w:sz="0" w:space="0" w:color="auto"/>
                                        <w:right w:val="none" w:sz="0" w:space="0" w:color="auto"/>
                                      </w:divBdr>
                                    </w:div>
                                  </w:divsChild>
                                </w:div>
                                <w:div w:id="1294365384">
                                  <w:marLeft w:val="0"/>
                                  <w:marRight w:val="0"/>
                                  <w:marTop w:val="0"/>
                                  <w:marBottom w:val="0"/>
                                  <w:divBdr>
                                    <w:top w:val="none" w:sz="0" w:space="0" w:color="auto"/>
                                    <w:left w:val="none" w:sz="0" w:space="0" w:color="auto"/>
                                    <w:bottom w:val="none" w:sz="0" w:space="0" w:color="auto"/>
                                    <w:right w:val="none" w:sz="0" w:space="0" w:color="auto"/>
                                  </w:divBdr>
                                  <w:divsChild>
                                    <w:div w:id="12883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374249">
          <w:marLeft w:val="0"/>
          <w:marRight w:val="0"/>
          <w:marTop w:val="100"/>
          <w:marBottom w:val="300"/>
          <w:divBdr>
            <w:top w:val="none" w:sz="0" w:space="0" w:color="auto"/>
            <w:left w:val="none" w:sz="0" w:space="0" w:color="auto"/>
            <w:bottom w:val="none" w:sz="0" w:space="0" w:color="auto"/>
            <w:right w:val="none" w:sz="0" w:space="0" w:color="auto"/>
          </w:divBdr>
          <w:divsChild>
            <w:div w:id="849638979">
              <w:marLeft w:val="0"/>
              <w:marRight w:val="0"/>
              <w:marTop w:val="0"/>
              <w:marBottom w:val="0"/>
              <w:divBdr>
                <w:top w:val="none" w:sz="0" w:space="0" w:color="auto"/>
                <w:left w:val="none" w:sz="0" w:space="0" w:color="auto"/>
                <w:bottom w:val="none" w:sz="0" w:space="0" w:color="auto"/>
                <w:right w:val="none" w:sz="0" w:space="0" w:color="auto"/>
              </w:divBdr>
              <w:divsChild>
                <w:div w:id="255869606">
                  <w:marLeft w:val="0"/>
                  <w:marRight w:val="0"/>
                  <w:marTop w:val="0"/>
                  <w:marBottom w:val="30"/>
                  <w:divBdr>
                    <w:top w:val="none" w:sz="0" w:space="0" w:color="auto"/>
                    <w:left w:val="none" w:sz="0" w:space="0" w:color="auto"/>
                    <w:bottom w:val="none" w:sz="0" w:space="0" w:color="auto"/>
                    <w:right w:val="none" w:sz="0" w:space="0" w:color="auto"/>
                  </w:divBdr>
                </w:div>
                <w:div w:id="110562796">
                  <w:marLeft w:val="0"/>
                  <w:marRight w:val="0"/>
                  <w:marTop w:val="0"/>
                  <w:marBottom w:val="0"/>
                  <w:divBdr>
                    <w:top w:val="single" w:sz="6" w:space="0" w:color="C6C6C6"/>
                    <w:left w:val="single" w:sz="6" w:space="0" w:color="C6C6C6"/>
                    <w:bottom w:val="single" w:sz="6" w:space="0" w:color="C6C6C6"/>
                    <w:right w:val="single" w:sz="6" w:space="0" w:color="C6C6C6"/>
                  </w:divBdr>
                  <w:divsChild>
                    <w:div w:id="2031295210">
                      <w:marLeft w:val="0"/>
                      <w:marRight w:val="0"/>
                      <w:marTop w:val="0"/>
                      <w:marBottom w:val="0"/>
                      <w:divBdr>
                        <w:top w:val="none" w:sz="0" w:space="0" w:color="auto"/>
                        <w:left w:val="none" w:sz="0" w:space="0" w:color="auto"/>
                        <w:bottom w:val="none" w:sz="0" w:space="0" w:color="auto"/>
                        <w:right w:val="none" w:sz="0" w:space="0" w:color="auto"/>
                      </w:divBdr>
                      <w:divsChild>
                        <w:div w:id="1561601300">
                          <w:marLeft w:val="0"/>
                          <w:marRight w:val="0"/>
                          <w:marTop w:val="0"/>
                          <w:marBottom w:val="0"/>
                          <w:divBdr>
                            <w:top w:val="none" w:sz="0" w:space="0" w:color="auto"/>
                            <w:left w:val="none" w:sz="0" w:space="0" w:color="auto"/>
                            <w:bottom w:val="none" w:sz="0" w:space="0" w:color="auto"/>
                            <w:right w:val="none" w:sz="0" w:space="0" w:color="auto"/>
                          </w:divBdr>
                          <w:divsChild>
                            <w:div w:id="2041934091">
                              <w:marLeft w:val="0"/>
                              <w:marRight w:val="0"/>
                              <w:marTop w:val="0"/>
                              <w:marBottom w:val="0"/>
                              <w:divBdr>
                                <w:top w:val="none" w:sz="0" w:space="0" w:color="auto"/>
                                <w:left w:val="none" w:sz="0" w:space="0" w:color="auto"/>
                                <w:bottom w:val="none" w:sz="0" w:space="0" w:color="auto"/>
                                <w:right w:val="none" w:sz="0" w:space="0" w:color="auto"/>
                              </w:divBdr>
                              <w:divsChild>
                                <w:div w:id="20845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86948">
      <w:bodyDiv w:val="1"/>
      <w:marLeft w:val="0"/>
      <w:marRight w:val="0"/>
      <w:marTop w:val="0"/>
      <w:marBottom w:val="0"/>
      <w:divBdr>
        <w:top w:val="none" w:sz="0" w:space="0" w:color="auto"/>
        <w:left w:val="none" w:sz="0" w:space="0" w:color="auto"/>
        <w:bottom w:val="none" w:sz="0" w:space="0" w:color="auto"/>
        <w:right w:val="none" w:sz="0" w:space="0" w:color="auto"/>
      </w:divBdr>
    </w:div>
    <w:div w:id="200830218">
      <w:bodyDiv w:val="1"/>
      <w:marLeft w:val="0"/>
      <w:marRight w:val="0"/>
      <w:marTop w:val="0"/>
      <w:marBottom w:val="0"/>
      <w:divBdr>
        <w:top w:val="none" w:sz="0" w:space="0" w:color="auto"/>
        <w:left w:val="none" w:sz="0" w:space="0" w:color="auto"/>
        <w:bottom w:val="none" w:sz="0" w:space="0" w:color="auto"/>
        <w:right w:val="none" w:sz="0" w:space="0" w:color="auto"/>
      </w:divBdr>
    </w:div>
    <w:div w:id="212236344">
      <w:bodyDiv w:val="1"/>
      <w:marLeft w:val="0"/>
      <w:marRight w:val="0"/>
      <w:marTop w:val="0"/>
      <w:marBottom w:val="0"/>
      <w:divBdr>
        <w:top w:val="none" w:sz="0" w:space="0" w:color="auto"/>
        <w:left w:val="none" w:sz="0" w:space="0" w:color="auto"/>
        <w:bottom w:val="none" w:sz="0" w:space="0" w:color="auto"/>
        <w:right w:val="none" w:sz="0" w:space="0" w:color="auto"/>
      </w:divBdr>
    </w:div>
    <w:div w:id="292444948">
      <w:bodyDiv w:val="1"/>
      <w:marLeft w:val="0"/>
      <w:marRight w:val="0"/>
      <w:marTop w:val="0"/>
      <w:marBottom w:val="0"/>
      <w:divBdr>
        <w:top w:val="none" w:sz="0" w:space="0" w:color="auto"/>
        <w:left w:val="none" w:sz="0" w:space="0" w:color="auto"/>
        <w:bottom w:val="none" w:sz="0" w:space="0" w:color="auto"/>
        <w:right w:val="none" w:sz="0" w:space="0" w:color="auto"/>
      </w:divBdr>
    </w:div>
    <w:div w:id="348336505">
      <w:bodyDiv w:val="1"/>
      <w:marLeft w:val="0"/>
      <w:marRight w:val="0"/>
      <w:marTop w:val="0"/>
      <w:marBottom w:val="0"/>
      <w:divBdr>
        <w:top w:val="none" w:sz="0" w:space="0" w:color="auto"/>
        <w:left w:val="none" w:sz="0" w:space="0" w:color="auto"/>
        <w:bottom w:val="none" w:sz="0" w:space="0" w:color="auto"/>
        <w:right w:val="none" w:sz="0" w:space="0" w:color="auto"/>
      </w:divBdr>
    </w:div>
    <w:div w:id="557983214">
      <w:bodyDiv w:val="1"/>
      <w:marLeft w:val="0"/>
      <w:marRight w:val="0"/>
      <w:marTop w:val="0"/>
      <w:marBottom w:val="0"/>
      <w:divBdr>
        <w:top w:val="none" w:sz="0" w:space="0" w:color="auto"/>
        <w:left w:val="none" w:sz="0" w:space="0" w:color="auto"/>
        <w:bottom w:val="none" w:sz="0" w:space="0" w:color="auto"/>
        <w:right w:val="none" w:sz="0" w:space="0" w:color="auto"/>
      </w:divBdr>
    </w:div>
    <w:div w:id="739408614">
      <w:bodyDiv w:val="1"/>
      <w:marLeft w:val="0"/>
      <w:marRight w:val="0"/>
      <w:marTop w:val="0"/>
      <w:marBottom w:val="0"/>
      <w:divBdr>
        <w:top w:val="none" w:sz="0" w:space="0" w:color="auto"/>
        <w:left w:val="none" w:sz="0" w:space="0" w:color="auto"/>
        <w:bottom w:val="none" w:sz="0" w:space="0" w:color="auto"/>
        <w:right w:val="none" w:sz="0" w:space="0" w:color="auto"/>
      </w:divBdr>
    </w:div>
    <w:div w:id="1043597609">
      <w:bodyDiv w:val="1"/>
      <w:marLeft w:val="0"/>
      <w:marRight w:val="0"/>
      <w:marTop w:val="0"/>
      <w:marBottom w:val="0"/>
      <w:divBdr>
        <w:top w:val="none" w:sz="0" w:space="0" w:color="auto"/>
        <w:left w:val="none" w:sz="0" w:space="0" w:color="auto"/>
        <w:bottom w:val="none" w:sz="0" w:space="0" w:color="auto"/>
        <w:right w:val="none" w:sz="0" w:space="0" w:color="auto"/>
      </w:divBdr>
    </w:div>
    <w:div w:id="1272208071">
      <w:bodyDiv w:val="1"/>
      <w:marLeft w:val="0"/>
      <w:marRight w:val="0"/>
      <w:marTop w:val="0"/>
      <w:marBottom w:val="0"/>
      <w:divBdr>
        <w:top w:val="none" w:sz="0" w:space="0" w:color="auto"/>
        <w:left w:val="none" w:sz="0" w:space="0" w:color="auto"/>
        <w:bottom w:val="none" w:sz="0" w:space="0" w:color="auto"/>
        <w:right w:val="none" w:sz="0" w:space="0" w:color="auto"/>
      </w:divBdr>
    </w:div>
    <w:div w:id="1442455948">
      <w:bodyDiv w:val="1"/>
      <w:marLeft w:val="0"/>
      <w:marRight w:val="0"/>
      <w:marTop w:val="0"/>
      <w:marBottom w:val="0"/>
      <w:divBdr>
        <w:top w:val="none" w:sz="0" w:space="0" w:color="auto"/>
        <w:left w:val="none" w:sz="0" w:space="0" w:color="auto"/>
        <w:bottom w:val="none" w:sz="0" w:space="0" w:color="auto"/>
        <w:right w:val="none" w:sz="0" w:space="0" w:color="auto"/>
      </w:divBdr>
    </w:div>
    <w:div w:id="1528565785">
      <w:bodyDiv w:val="1"/>
      <w:marLeft w:val="0"/>
      <w:marRight w:val="0"/>
      <w:marTop w:val="0"/>
      <w:marBottom w:val="0"/>
      <w:divBdr>
        <w:top w:val="none" w:sz="0" w:space="0" w:color="auto"/>
        <w:left w:val="none" w:sz="0" w:space="0" w:color="auto"/>
        <w:bottom w:val="none" w:sz="0" w:space="0" w:color="auto"/>
        <w:right w:val="none" w:sz="0" w:space="0" w:color="auto"/>
      </w:divBdr>
    </w:div>
    <w:div w:id="20364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eader" Target="header3.xml"/><Relationship Id="rId26" Type="http://schemas.openxmlformats.org/officeDocument/2006/relationships/hyperlink" Target="https://www.eesc.europa.eu/de/our-work/opinions-information-reports/opinions/revision-de-la-directive-relative-au-comite-dentreprise-europeen" TargetMode="External"/><Relationship Id="rId39" Type="http://schemas.openxmlformats.org/officeDocument/2006/relationships/hyperlink" Target="mailto:Ioannis.Diamantopoulos@eesc.europa.eu" TargetMode="External"/><Relationship Id="rId21" Type="http://schemas.openxmlformats.org/officeDocument/2006/relationships/hyperlink" Target="mailto:Georgios.Meleas@eesc.europa.eu" TargetMode="External"/><Relationship Id="rId34" Type="http://schemas.openxmlformats.org/officeDocument/2006/relationships/hyperlink" Target="https://www.eesc.europa.eu/de/our-work/opinions-information-reports/opinions/plan-europeen-pour-vaincre-le-cancer-vers-un-approvisionnement-sur-en-radio-isotopes-usage-medical" TargetMode="External"/><Relationship Id="rId42" Type="http://schemas.openxmlformats.org/officeDocument/2006/relationships/hyperlink" Target="https://www.eesc.europa.eu/de/our-work/opinions-information-reports/opinions/european-defence-industrial-strategy" TargetMode="External"/><Relationship Id="rId47" Type="http://schemas.openxmlformats.org/officeDocument/2006/relationships/header" Target="header5.xml"/><Relationship Id="rId50" Type="http://schemas.openxmlformats.org/officeDocument/2006/relationships/header" Target="header6.xml"/><Relationship Id="rId55" Type="http://schemas.openxmlformats.org/officeDocument/2006/relationships/customXml" Target="../customXml/item2.xml"/><Relationship Id="rId7" Type="http://schemas.openxmlformats.org/officeDocument/2006/relationships/settings" Target="settings.xml"/><Relationship Id="rId16" Type="http://schemas.openxmlformats.org/officeDocument/2006/relationships/footer" Target="footer1.xml"/><Relationship Id="rId29" Type="http://schemas.openxmlformats.org/officeDocument/2006/relationships/hyperlink" Target="mailto:June.Bedaton@eesc.europa.eu" TargetMode="External"/><Relationship Id="rId11" Type="http://schemas.openxmlformats.org/officeDocument/2006/relationships/image" Target="media/image1.jpeg"/><Relationship Id="rId24" Type="http://schemas.openxmlformats.org/officeDocument/2006/relationships/hyperlink" Target="https://www.eesc.europa.eu/de/our-work/opinions-information-reports/opinions/vaccine-preventable-cancers" TargetMode="External"/><Relationship Id="rId32" Type="http://schemas.openxmlformats.org/officeDocument/2006/relationships/hyperlink" Target="https://www.eesc.europa.eu/de/our-work/opinions-information-reports/opinions/revision-animal-welfare-legislation" TargetMode="External"/><Relationship Id="rId37" Type="http://schemas.openxmlformats.org/officeDocument/2006/relationships/hyperlink" Target="mailto:Ioannis.Diamantopoulos@eesc.europa.eu" TargetMode="External"/><Relationship Id="rId40" Type="http://schemas.openxmlformats.org/officeDocument/2006/relationships/hyperlink" Target="https://www.eesc.europa.eu/de/our-work/opinions-information-reports/opinions/communication-industrial-carbon-management" TargetMode="External"/><Relationship Id="rId45" Type="http://schemas.openxmlformats.org/officeDocument/2006/relationships/hyperlink" Target="mailto:Heli.Niemela-Farrer@eesc.europa.eu"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mailto:Judit.CarrerasGarcia@eesc.europa.eu" TargetMode="External"/><Relationship Id="rId44" Type="http://schemas.openxmlformats.org/officeDocument/2006/relationships/hyperlink" Target="https://www.eesc.europa.eu/de/our-work/opinions-information-reports/opinions/industrial-and-technological-approaches-and-best-practices-supporting-water-resilient-society" TargetMode="External"/><Relationship Id="rId52" Type="http://schemas.openxmlformats.org/officeDocument/2006/relationships/fontTable" Target="fontTable.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eesc.europa.eu/de/our-work/opinions-information-reports/opinions/ninth-report-economic-social-and-territorial-cohesion" TargetMode="External"/><Relationship Id="rId27" Type="http://schemas.openxmlformats.org/officeDocument/2006/relationships/hyperlink" Target="mailto:Bartek.Bednarowicz@eesc.europa.eu" TargetMode="External"/><Relationship Id="rId30" Type="http://schemas.openxmlformats.org/officeDocument/2006/relationships/hyperlink" Target="https://www.eesc.europa.eu/de/our-work/opinions-information-reports/opinions/eu-climate-target-2040" TargetMode="External"/><Relationship Id="rId35" Type="http://schemas.openxmlformats.org/officeDocument/2006/relationships/hyperlink" Target="mailto:Maja.Radman@eesc.europa.eu" TargetMode="External"/><Relationship Id="rId43" Type="http://schemas.openxmlformats.org/officeDocument/2006/relationships/hyperlink" Target="mailto:Ioannis.Diamantopoulos@eesc.europa.eu" TargetMode="External"/><Relationship Id="rId48" Type="http://schemas.openxmlformats.org/officeDocument/2006/relationships/footer" Target="footer4.xml"/><Relationship Id="rId56" Type="http://schemas.openxmlformats.org/officeDocument/2006/relationships/customXml" Target="../customXml/item3.xml"/><Relationship Id="rId8" Type="http://schemas.openxmlformats.org/officeDocument/2006/relationships/webSettings" Target="webSettings.xml"/><Relationship Id="rId51" Type="http://schemas.openxmlformats.org/officeDocument/2006/relationships/footer" Target="footer6.xml"/><Relationship Id="rId12" Type="http://schemas.openxmlformats.org/officeDocument/2006/relationships/hyperlink" Target="https://www.eesc.europa.eu/de/our-work/opinions-information-reports/plenary-session-summaries" TargetMode="External"/><Relationship Id="rId17" Type="http://schemas.openxmlformats.org/officeDocument/2006/relationships/footer" Target="footer2.xml"/><Relationship Id="rId25" Type="http://schemas.openxmlformats.org/officeDocument/2006/relationships/hyperlink" Target="mailto:Valeria.Atzori@eesc.europa.eu" TargetMode="External"/><Relationship Id="rId33" Type="http://schemas.openxmlformats.org/officeDocument/2006/relationships/hyperlink" Target="mailto:Arturo.Iniguez@eesc.europa.eu" TargetMode="External"/><Relationship Id="rId38" Type="http://schemas.openxmlformats.org/officeDocument/2006/relationships/hyperlink" Target="https://www.eesc.europa.eu/de/our-work/opinions-information-reports/opinions/drone-manufacturing-industry-case-study-assess-outcome-strategic-sector-different-policies-place-enhance-european" TargetMode="External"/><Relationship Id="rId46" Type="http://schemas.openxmlformats.org/officeDocument/2006/relationships/header" Target="header4.xml"/><Relationship Id="rId20" Type="http://schemas.openxmlformats.org/officeDocument/2006/relationships/hyperlink" Target="https://www.eesc.europa.eu/de/our-work/opinions-information-reports/opinions/role-cohesion-policy-upcoming-rounds-eu-enlargement" TargetMode="External"/><Relationship Id="rId41" Type="http://schemas.openxmlformats.org/officeDocument/2006/relationships/hyperlink" Target="mailto:Adam.Dorywalski@eesc.europa.eu" TargetMode="External"/><Relationship Id="rId54"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mailto:Georgios.Meleas@eesc.europa.eu" TargetMode="External"/><Relationship Id="rId28" Type="http://schemas.openxmlformats.org/officeDocument/2006/relationships/hyperlink" Target="https://www.eesc.europa.eu/de/our-work/opinions-information-reports/opinions/un-lieu-ou-il-est-exclu-de-hair-une-europe-unie-contre-la-haine" TargetMode="External"/><Relationship Id="rId36" Type="http://schemas.openxmlformats.org/officeDocument/2006/relationships/hyperlink" Target="https://www.eesc.europa.eu/de/our-work/opinions-information-reports/opinions/european-defence-industry-programme" TargetMode="External"/><Relationship Id="rId49" Type="http://schemas.openxmlformats.org/officeDocument/2006/relationships/footer" Target="footer5.xml"/><Relationship Id="rId57"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F7M6YNZUATRX-917472228-5833</_dlc_DocId>
    <_dlc_DocIdUrl xmlns="59ace41b-6786-4ce3-be71-52c27066c6ef">
      <Url>http://dm/eesc/2024/_layouts/15/DocIdRedir.aspx?ID=F7M6YNZUATRX-917472228-5833</Url>
      <Description>F7M6YNZUATRX-917472228-5833</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2024-06-17T12:00:00+00:00</ProductionDate>
    <DocumentNumber xmlns="14d11ec3-fd82-4994-a217-1a91de9b2d2a">1704</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2024-07-10T12:00:00+00:00</MeetingDate>
    <TaxCatchAll xmlns="59ace41b-6786-4ce3-be71-52c27066c6ef">
      <Value>43</Value>
      <Value>37</Value>
      <Value>36</Value>
      <Value>35</Value>
      <Value>34</Value>
      <Value>33</Value>
      <Value>32</Value>
      <Value>31</Value>
      <Value>30</Value>
      <Value>29</Value>
      <Value>28</Value>
      <Value>27</Value>
      <Value>26</Value>
      <Value>25</Value>
      <Value>24</Value>
      <Value>22</Value>
      <Value>21</Value>
      <Value>17</Value>
      <Value>16</Value>
      <Value>14</Value>
      <Value>13</Value>
      <Value>12</Value>
      <Value>8</Value>
      <Value>7</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DE</TermName>
          <TermId xmlns="http://schemas.microsoft.com/office/infopath/2007/PartnerControls">f6b31e5a-26fa-4935-b661-318e46daf27e</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6412</FicheNumber>
    <OriginalSender xmlns="59ace41b-6786-4ce3-be71-52c27066c6ef">
      <UserInfo>
        <DisplayName>Jonnek Holger</DisplayName>
        <AccountId>1547</AccountId>
        <AccountType/>
      </UserInfo>
    </OriginalSender>
    <DocumentPart xmlns="59ace41b-6786-4ce3-be71-52c27066c6ef">0</DocumentPart>
    <AdoptionDate xmlns="59ace41b-6786-4ce3-be71-52c27066c6ef" xsi:nil="true"/>
    <RequestingService xmlns="59ace41b-6786-4ce3-be71-52c27066c6ef">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4d11ec3-fd82-4994-a217-1a91de9b2d2a">589</MeetingNumber>
    <DossierName_0 xmlns="http://schemas.microsoft.com/sharepoint/v3/fields">
      <Terms xmlns="http://schemas.microsoft.com/office/infopath/2007/PartnerControls"/>
    </DossierName_0>
    <DocumentVersion xmlns="59ace41b-6786-4ce3-be71-52c27066c6ef">0</DocumentVersion>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C3F19A95DDE2574C950D6652ED703BFE" ma:contentTypeVersion="4" ma:contentTypeDescription="Defines the documents for Document Manager V2" ma:contentTypeScope="" ma:versionID="aa4a52a6a5593ecd1041875929ead8f4">
  <xsd:schema xmlns:xsd="http://www.w3.org/2001/XMLSchema" xmlns:xs="http://www.w3.org/2001/XMLSchema" xmlns:p="http://schemas.microsoft.com/office/2006/metadata/properties" xmlns:ns2="59ace41b-6786-4ce3-be71-52c27066c6ef" xmlns:ns3="http://schemas.microsoft.com/sharepoint/v3/fields" xmlns:ns4="14d11ec3-fd82-4994-a217-1a91de9b2d2a" targetNamespace="http://schemas.microsoft.com/office/2006/metadata/properties" ma:root="true" ma:fieldsID="0d1ccbad9410dd1ff387d7952c9a9f44" ns2:_="" ns3:_="" ns4:_="">
    <xsd:import namespace="59ace41b-6786-4ce3-be71-52c27066c6ef"/>
    <xsd:import namespace="http://schemas.microsoft.com/sharepoint/v3/fields"/>
    <xsd:import namespace="14d11ec3-fd82-4994-a217-1a91de9b2d2a"/>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4d11ec3-fd82-4994-a217-1a91de9b2d2a"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996B5F-E7A9-4AF6-BA1E-B4DED6A85ED0}"/>
</file>

<file path=customXml/itemProps2.xml><?xml version="1.0" encoding="utf-8"?>
<ds:datastoreItem xmlns:ds="http://schemas.openxmlformats.org/officeDocument/2006/customXml" ds:itemID="{91C6CA5F-26D9-4DC4-B756-D030F6636598}"/>
</file>

<file path=customXml/itemProps3.xml><?xml version="1.0" encoding="utf-8"?>
<ds:datastoreItem xmlns:ds="http://schemas.openxmlformats.org/officeDocument/2006/customXml" ds:itemID="{974294A5-8722-4B57-89F8-C0136BA1BE67}"/>
</file>

<file path=customXml/itemProps4.xml><?xml version="1.0" encoding="utf-8"?>
<ds:datastoreItem xmlns:ds="http://schemas.openxmlformats.org/officeDocument/2006/customXml" ds:itemID="{BED124F6-D29A-476F-9BE0-62F7E5FFEA7D}"/>
</file>

<file path=docProps/app.xml><?xml version="1.0" encoding="utf-8"?>
<Properties xmlns="http://schemas.openxmlformats.org/officeDocument/2006/extended-properties" xmlns:vt="http://schemas.openxmlformats.org/officeDocument/2006/docPropsVTypes">
  <Template>Normal.dotm</Template>
  <TotalTime>0</TotalTime>
  <Pages>20</Pages>
  <Words>6374</Words>
  <Characters>36334</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Summary of opinions - 587th plenary session - April 2024</vt:lpstr>
    </vt:vector>
  </TitlesOfParts>
  <Company>CESE-CdR</Company>
  <LinksUpToDate>false</LinksUpToDate>
  <CharactersWithSpaces>42623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Zusammenfassung der Stellungnahmen - 588. Plenartagung - Mai 2024</dc:title>
  <dc:subject>TCD</dc:subject>
  <dc:creator>Nieddu Emma</dc:creator>
  <cp:keywords>EESC-2024-01704-00-00-TCD-TRA-EN</cp:keywords>
  <dc:description>Rapporteur:  - Original language: EN - Date of document: 17/06/2024 - Date of meeting: 30/10/2024 14:30 - External documents:  - Administrator: MME TAMASAUSKIENE Julija</dc:description>
  <cp:lastModifiedBy>Jonnek Holger</cp:lastModifiedBy>
  <cp:revision>9</cp:revision>
  <cp:lastPrinted>2023-06-15T08:00:00Z</cp:lastPrinted>
  <dcterms:created xsi:type="dcterms:W3CDTF">2024-06-14T14:52:00Z</dcterms:created>
  <dcterms:modified xsi:type="dcterms:W3CDTF">2024-06-17T10:09:00Z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14/06/2024, 17/05/2024, 13/05/2024, 09/04/2024, 27/03/2024, 03/01/2024, 13/11/2023, 25/09/2023, 25/07/2023, 30/06/2023, 23/06/2023, 26/05/2023, 07/03/2023, 11/01/2023, 10/01/2023, 29/03/2022, 04/03/2022, 15/12/2021, 13/09/2021, 03/09/2021, 28/06/2021</vt:lpwstr>
  </property>
  <property fmtid="{D5CDD505-2E9C-101B-9397-08002B2CF9AE}" pid="4" name="Pref_Time">
    <vt:lpwstr>16:44:05, 13:50:35, 15:20:37, 17:11:40, 12:24:19, 15:02:18, 17:01:12, 16:07:19, 11:58:41, 14:00:08, 12:39:02, 15:12:50, 10:27:54, 10:12:15, 11:41:25, 14:21:50, 16:54:06, 17:56:36, 14:13:00, 10:08:10, 08:41:48</vt:lpwstr>
  </property>
  <property fmtid="{D5CDD505-2E9C-101B-9397-08002B2CF9AE}" pid="5" name="Pref_User">
    <vt:lpwstr>pacup, pacup, jhvi, jhvi, pacup, enied, amett, amett, jhvi, pacup, jhvi, pacup, enied, pacup, enied, jhvi, enied, hnic, amett, enied, enied</vt:lpwstr>
  </property>
  <property fmtid="{D5CDD505-2E9C-101B-9397-08002B2CF9AE}" pid="6" name="Pref_FileName">
    <vt:lpwstr>EESC-2024-01704-00-00-TCD-TRA.docx, EESC-2024-01233-00-01-TCD-TRA.docx, eesc-2024-01233-00-00-tcd-ori.docx, EESC-2024-00740-00-01-TCD-ORI.docx, EESC-2024-00740-00-00-TCD-TRA.docx, EESC-2023-04915-00-00-TCD-ORI.docx, EESC-2023-04201-00-00-TCD-ORI.docx, EES</vt:lpwstr>
  </property>
  <property fmtid="{D5CDD505-2E9C-101B-9397-08002B2CF9AE}" pid="7" name="ContentTypeId">
    <vt:lpwstr>0x010100EA97B91038054C99906057A708A1480A00C3F19A95DDE2574C950D6652ED703BFE</vt:lpwstr>
  </property>
  <property fmtid="{D5CDD505-2E9C-101B-9397-08002B2CF9AE}" pid="8" name="_dlc_DocIdItemGuid">
    <vt:lpwstr>84c2ef76-aee4-4ac0-b6d0-5aa486a9a4fd</vt:lpwstr>
  </property>
  <property fmtid="{D5CDD505-2E9C-101B-9397-08002B2CF9AE}" pid="9" name="AvailableTranslations">
    <vt:lpwstr>5;#EN|f2175f21-25d7-44a3-96da-d6a61b075e1b;#37;#RO|feb747a2-64cd-4299-af12-4833ddc30497;#31;#NL|55c6556c-b4f4-441d-9acf-c498d4f838bd;#12;#IT|0774613c-01ed-4e5d-a25d-11d2388de825;#21;#SV|c2ed69e7-a339-43d7-8f22-d93680a92aa0;#24;#ES|e7a6b05b-ae16-40c8-add9-68b64b03aeba;#25;#DE|f6b31e5a-26fa-4935-b661-318e46daf27e;#28;#LV|46f7e311-5d9f-4663-b433-18aeccb7ace7;#43;#CS|72f9705b-0217-4fd3-bea2-cbc7ed80e26e;#30;#HR|2f555653-ed1a-4fe6-8362-9082d95989e5;#35;#FI|87606a43-d45f-42d6-b8c9-e1a3457db5b7;#36;#PT|50ccc04a-eadd-42ae-a0cb-acaf45f812ba;#22;#BG|1a1b3951-7821-4e6a-85f5-5673fc08bd2c;#33;#ET|ff6c3f4c-b02c-4c3c-ab07-2c37995a7a0a;#14;#FR|d2afafd3-4c81-4f60-8f52-ee33f2f54ff3;#29;#EL|6d4f4d51-af9b-4650-94b4-4276bee85c91;#16;#DA|5d49c027-8956-412b-aa16-e85a0f96ad0e;#27;#SL|98a412ae-eb01-49e9-ae3d-585a81724cfc;#26;#SK|46d9fce0-ef79-4f71-b89b-cd6aa82426b8;#34;#LT|a7ff5ce7-6123-4f68-865a-a57c31810414;#32;#HU|6b229040-c589-4408-b4c1-4285663d20a8;#17;#PL|1e03da61-4678-4e07-b136-b5024ca9197b</vt:lpwstr>
  </property>
  <property fmtid="{D5CDD505-2E9C-101B-9397-08002B2CF9AE}" pid="10" name="DocumentType_0">
    <vt:lpwstr>TCD|cd9d6eb6-3f4f-424a-b2d1-57c9d450eaaf</vt:lpwstr>
  </property>
  <property fmtid="{D5CDD505-2E9C-101B-9397-08002B2CF9AE}" pid="11" name="MeetingNumber">
    <vt:i4>589</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1704</vt:i4>
  </property>
  <property fmtid="{D5CDD505-2E9C-101B-9397-08002B2CF9AE}" pid="15" name="DocumentVersion">
    <vt:i4>0</vt:i4>
  </property>
  <property fmtid="{D5CDD505-2E9C-101B-9397-08002B2CF9AE}" pid="16" name="DocumentStatus">
    <vt:lpwstr>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13;#TCD|cd9d6eb6-3f4f-424a-b2d1-57c9d450eaaf</vt:lpwstr>
  </property>
  <property fmtid="{D5CDD505-2E9C-101B-9397-08002B2CF9AE}" pid="22" name="RequestingService">
    <vt:lpwstr>Greffe</vt:lpwstr>
  </property>
  <property fmtid="{D5CDD505-2E9C-101B-9397-08002B2CF9AE}" pid="23" name="Confidentiality">
    <vt:lpwstr>6;#Unrestricted|826e22d7-d029-4ec0-a450-0c28ff673572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7;#SPL-CES|32d8cb1f-c9ec-4365-95c7-8385a18618ac</vt:lpwstr>
  </property>
  <property fmtid="{D5CDD505-2E9C-101B-9397-08002B2CF9AE}" pid="28" name="MeetingDate">
    <vt:filetime>2024-07-10T12:00:00Z</vt:filetime>
  </property>
  <property fmtid="{D5CDD505-2E9C-101B-9397-08002B2CF9AE}" pid="29" name="AvailableTranslations_0">
    <vt:lpwstr>EN|f2175f21-25d7-44a3-96da-d6a61b075e1b</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13;#TCD|cd9d6eb6-3f4f-424a-b2d1-57c9d450eaaf;#8;#Final|ea5e6674-7b27-4bac-b091-73adbb394efe;#7;#SPL-CES|32d8cb1f-c9ec-4365-95c7-8385a18618ac;#6;#Unrestricted|826e22d7-d029-4ec0-a450-0c28ff673572;#5;#EN|f2175f21-25d7-44a3-96da-d6a61b075e1b;#3;#TRA|150d2a88-1431-44e6-a8ca-0bb753ab8672;#1;#EESC|422833ec-8d7e-4e65-8e4e-8bed07ffb729</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2024</vt:i4>
  </property>
  <property fmtid="{D5CDD505-2E9C-101B-9397-08002B2CF9AE}" pid="36" name="FicheNumber">
    <vt:i4>6412</vt:i4>
  </property>
  <property fmtid="{D5CDD505-2E9C-101B-9397-08002B2CF9AE}" pid="37" name="DocumentLanguage">
    <vt:lpwstr>25;#DE|f6b31e5a-26fa-4935-b661-318e46daf27e</vt:lpwstr>
  </property>
  <property fmtid="{D5CDD505-2E9C-101B-9397-08002B2CF9AE}" pid="38" name="_docset_NoMedatataSyncRequired">
    <vt:lpwstr>False</vt:lpwstr>
  </property>
</Properties>
</file>