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6A5684" w:rsidRDefault="00D97A3B" w14:paraId="785AE44C" w14:textId="3A40FAF8">
      <w:pPr>
        <w:jc w:val="center"/>
      </w:pPr>
      <w:r>
        <w:rPr>
          <w:noProof/>
        </w:rPr>
        <w:drawing>
          <wp:inline distT="0" distB="0" distL="0" distR="0" wp14:anchorId="33749D6E" wp14:editId="0B0E2F80">
            <wp:extent cx="1792605" cy="1239520"/>
            <wp:effectExtent l="0" t="0" r="0" b="0"/>
            <wp:docPr id="2" name="Picture 2" title="EESCLogo_DA"/>
            <wp:cNvGraphicFramePr/>
            <a:graphic xmlns:a="http://schemas.openxmlformats.org/drawingml/2006/main">
              <a:graphicData uri="http://schemas.openxmlformats.org/drawingml/2006/picture">
                <pic:pic xmlns:pic="http://schemas.openxmlformats.org/drawingml/2006/picture">
                  <pic:nvPicPr>
                    <pic:cNvPr id="2" name="Picture 2" title="EESCLogo_D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69E8E225"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DA</w:t>
                      </w:r>
                    </w:p>
                  </w:txbxContent>
                </v:textbox>
                <w10:wrap anchorx="page" anchory="page"/>
              </v:shape>
            </w:pict>
          </mc:Fallback>
        </mc:AlternateContent>
      </w:r>
    </w:p>
    <w:p w:rsidRPr="00094B6B" w:rsidR="004D7AC0" w:rsidP="006A5684" w:rsidRDefault="004D7AC0" w14:paraId="51F52D79" w14:textId="77777777"/>
    <w:p w:rsidRPr="00094B6B" w:rsidR="004D7AC0" w:rsidP="006A5684" w:rsidRDefault="00014C93" w14:paraId="45DE4A28" w14:textId="3DA65CCD">
      <w:pPr>
        <w:jc w:val="right"/>
      </w:pPr>
      <w:r>
        <w:t>Bruxelles, den 21. juni 2024</w:t>
      </w:r>
    </w:p>
    <w:p w:rsidRPr="00094B6B" w:rsidR="004D7AC0" w:rsidP="006A5684" w:rsidRDefault="004D7AC0" w14:paraId="6B250092" w14:textId="77777777"/>
    <w:p w:rsidRPr="00094B6B" w:rsidR="004D7AC0" w:rsidP="006A568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6A5684" w:rsidRDefault="00DA2D88" w14:paraId="3B286D4E" w14:textId="324300EF">
            <w:pPr>
              <w:snapToGrid w:val="0"/>
              <w:jc w:val="center"/>
              <w:rPr>
                <w:b/>
                <w:sz w:val="32"/>
              </w:rPr>
            </w:pPr>
            <w:r>
              <w:rPr>
                <w:b/>
                <w:sz w:val="32"/>
              </w:rPr>
              <w:t>588. PLENARFORSAMLING</w:t>
            </w:r>
          </w:p>
          <w:p w:rsidRPr="00094B6B" w:rsidR="001760E9" w:rsidP="006A5684" w:rsidRDefault="001760E9" w14:paraId="6C87A626" w14:textId="0AE2882C">
            <w:pPr>
              <w:snapToGrid w:val="0"/>
              <w:jc w:val="center"/>
              <w:rPr>
                <w:b/>
                <w:sz w:val="32"/>
              </w:rPr>
            </w:pPr>
          </w:p>
          <w:p w:rsidRPr="00094B6B" w:rsidR="001760E9" w:rsidP="006A5684" w:rsidRDefault="005E7838" w14:paraId="6CF7229C" w14:textId="287F4AF2">
            <w:pPr>
              <w:snapToGrid w:val="0"/>
              <w:jc w:val="center"/>
              <w:rPr>
                <w:b/>
                <w:sz w:val="32"/>
              </w:rPr>
            </w:pPr>
            <w:r>
              <w:rPr>
                <w:b/>
                <w:sz w:val="32"/>
              </w:rPr>
              <w:t>den 30. og 31. maj 2024</w:t>
            </w:r>
          </w:p>
          <w:p w:rsidRPr="00094B6B" w:rsidR="001760E9" w:rsidP="006A5684" w:rsidRDefault="001760E9" w14:paraId="0C44BD01" w14:textId="2F8EBB07">
            <w:pPr>
              <w:snapToGrid w:val="0"/>
              <w:jc w:val="center"/>
              <w:rPr>
                <w:b/>
                <w:sz w:val="32"/>
              </w:rPr>
            </w:pPr>
          </w:p>
          <w:p w:rsidRPr="00094B6B" w:rsidR="004D7AC0" w:rsidP="006A5684" w:rsidRDefault="00CF2F88" w14:paraId="114106CC" w14:textId="11A9DA7B">
            <w:pPr>
              <w:snapToGrid w:val="0"/>
              <w:jc w:val="center"/>
              <w:rPr>
                <w:rFonts w:eastAsia="MS Mincho"/>
                <w:b/>
                <w:sz w:val="32"/>
                <w:szCs w:val="32"/>
              </w:rPr>
            </w:pPr>
            <w:r>
              <w:rPr>
                <w:b/>
                <w:sz w:val="32"/>
              </w:rPr>
              <w:t>SAMMENDRAG AF VEDTAGNE UDTALELSER, RESOLUTIONER OG INFORMATIONS- og EVALUERINGSRAPPORTER</w:t>
            </w:r>
          </w:p>
          <w:p w:rsidRPr="00094B6B" w:rsidR="004D7AC0" w:rsidP="006A568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00550311" w:rsidP="006A5684" w:rsidRDefault="00550311" w14:paraId="4311CEE1" w14:textId="77777777">
            <w:pPr>
              <w:snapToGrid w:val="0"/>
              <w:jc w:val="center"/>
            </w:pPr>
          </w:p>
          <w:p w:rsidRPr="00094B6B" w:rsidR="00B16284" w:rsidP="006A5684" w:rsidRDefault="004D7AC0" w14:paraId="0A87E35B" w14:textId="643AE937">
            <w:pPr>
              <w:snapToGrid w:val="0"/>
              <w:jc w:val="center"/>
            </w:pPr>
            <w:r>
              <w:t xml:space="preserve">Dette dokument findes på alle de officielle EU-sprog på </w:t>
            </w:r>
            <w:proofErr w:type="spellStart"/>
            <w:r>
              <w:t>EØSU's</w:t>
            </w:r>
            <w:proofErr w:type="spellEnd"/>
            <w:r>
              <w:t xml:space="preserve"> hjemmeside:</w:t>
            </w:r>
          </w:p>
          <w:p w:rsidRPr="00094B6B" w:rsidR="00B16284" w:rsidP="006A5684" w:rsidRDefault="00B16284" w14:paraId="4F26A4CE" w14:textId="77777777">
            <w:pPr>
              <w:snapToGrid w:val="0"/>
              <w:jc w:val="center"/>
            </w:pPr>
          </w:p>
          <w:p w:rsidRPr="00094B6B" w:rsidR="004D7AC0" w:rsidP="006A5684" w:rsidRDefault="003D1988" w14:paraId="2A9352A2" w14:textId="0680ADB6">
            <w:pPr>
              <w:snapToGrid w:val="0"/>
              <w:jc w:val="center"/>
            </w:pPr>
            <w:hyperlink w:history="1" r:id="rId12">
              <w:r w:rsidR="00D97A3B">
                <w:rPr>
                  <w:rStyle w:val="Hyperlink"/>
                  <w:highlight w:val="yellow"/>
                </w:rPr>
                <w:t>https://www.eesc.europa.eu/da/our-work/opinions-information-reports/plenary-session-summaries</w:t>
              </w:r>
            </w:hyperlink>
          </w:p>
          <w:p w:rsidRPr="00094B6B" w:rsidR="004D7AC0" w:rsidP="006A5684" w:rsidRDefault="004D7AC0" w14:paraId="70D5DBB4" w14:textId="77777777">
            <w:pPr>
              <w:snapToGrid w:val="0"/>
              <w:jc w:val="center"/>
            </w:pPr>
          </w:p>
          <w:p w:rsidRPr="00094B6B" w:rsidR="004D7AC0" w:rsidP="006A5684" w:rsidRDefault="004D7AC0" w14:paraId="575A73D6" w14:textId="77777777">
            <w:pPr>
              <w:snapToGrid w:val="0"/>
              <w:jc w:val="center"/>
              <w:rPr>
                <w:rFonts w:eastAsia="SimSun"/>
              </w:rPr>
            </w:pPr>
          </w:p>
          <w:p w:rsidRPr="00094B6B" w:rsidR="00B16284" w:rsidP="006A5684" w:rsidRDefault="004D7AC0" w14:paraId="1C64BC20" w14:textId="77777777">
            <w:pPr>
              <w:snapToGrid w:val="0"/>
              <w:jc w:val="center"/>
            </w:pPr>
            <w:r>
              <w:t xml:space="preserve">De omtalte udtalelser kan konsulteres online via </w:t>
            </w:r>
            <w:proofErr w:type="spellStart"/>
            <w:r>
              <w:t>EØSU's</w:t>
            </w:r>
            <w:proofErr w:type="spellEnd"/>
            <w:r>
              <w:t xml:space="preserve"> database:</w:t>
            </w:r>
          </w:p>
          <w:p w:rsidRPr="00094B6B" w:rsidR="00B16284" w:rsidP="006A5684" w:rsidRDefault="00B16284" w14:paraId="7A5411A5" w14:textId="77777777">
            <w:pPr>
              <w:snapToGrid w:val="0"/>
              <w:jc w:val="center"/>
            </w:pPr>
          </w:p>
          <w:p w:rsidRPr="00094B6B" w:rsidR="004D7AC0" w:rsidP="006A5684" w:rsidRDefault="003D1988" w14:paraId="441AC4DD" w14:textId="1194D751">
            <w:pPr>
              <w:snapToGrid w:val="0"/>
              <w:jc w:val="center"/>
            </w:pPr>
            <w:hyperlink w:history="1" r:id="rId13">
              <w:proofErr w:type="spellStart"/>
              <w:r w:rsidR="00D97A3B">
                <w:rPr>
                  <w:rStyle w:val="Hyperlink"/>
                </w:rPr>
                <w:t>https</w:t>
              </w:r>
              <w:proofErr w:type="spellEnd"/>
              <w:r w:rsidR="00D97A3B">
                <w:rPr>
                  <w:rStyle w:val="Hyperlink"/>
                </w:rPr>
                <w:t>://</w:t>
              </w:r>
              <w:proofErr w:type="spellStart"/>
              <w:r w:rsidR="00D97A3B">
                <w:rPr>
                  <w:rStyle w:val="Hyperlink"/>
                </w:rPr>
                <w:t>dmsearch.eesc.europa.eu</w:t>
              </w:r>
              <w:proofErr w:type="spellEnd"/>
              <w:r w:rsidR="00D97A3B">
                <w:rPr>
                  <w:rStyle w:val="Hyperlink"/>
                </w:rPr>
                <w:t>/</w:t>
              </w:r>
              <w:proofErr w:type="spellStart"/>
              <w:r w:rsidR="00D97A3B">
                <w:rPr>
                  <w:rStyle w:val="Hyperlink"/>
                </w:rPr>
                <w:t>search</w:t>
              </w:r>
              <w:proofErr w:type="spellEnd"/>
              <w:r w:rsidR="00D97A3B">
                <w:rPr>
                  <w:rStyle w:val="Hyperlink"/>
                </w:rPr>
                <w:t>/opinion</w:t>
              </w:r>
            </w:hyperlink>
          </w:p>
          <w:p w:rsidRPr="00094B6B" w:rsidR="004D7AC0" w:rsidP="006A5684" w:rsidRDefault="004D7AC0" w14:paraId="51FF303F" w14:textId="77777777">
            <w:pPr>
              <w:snapToGrid w:val="0"/>
              <w:jc w:val="center"/>
            </w:pPr>
          </w:p>
        </w:tc>
      </w:tr>
    </w:tbl>
    <w:p w:rsidRPr="00094B6B" w:rsidR="004D7AC0" w:rsidP="006A5684" w:rsidRDefault="004D7AC0" w14:paraId="57C291FC" w14:textId="77777777"/>
    <w:p w:rsidRPr="00094B6B" w:rsidR="004D7AC0" w:rsidP="006A5684" w:rsidRDefault="004D7AC0" w14:paraId="5E675360" w14:textId="77777777"/>
    <w:p w:rsidRPr="00094B6B" w:rsidR="005A29D5" w:rsidP="006A5684" w:rsidRDefault="005A29D5" w14:paraId="3CF67A1E" w14:textId="77777777">
      <w:pPr>
        <w:sectPr w:rsidRPr="00094B6B" w:rsidR="005A29D5" w:rsidSect="005C28F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6A568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Indholdsfortegnelse:</w:t>
      </w:r>
    </w:p>
    <w:p w:rsidRPr="00550311" w:rsidR="00550311" w:rsidP="00550311" w:rsidRDefault="008772F9" w14:paraId="3818802A" w14:textId="4DA8F485">
      <w:pPr>
        <w:pStyle w:val="TOC1"/>
        <w:tabs>
          <w:tab w:val="clear" w:pos="440"/>
        </w:tabs>
        <w:ind w:left="567" w:hanging="567"/>
        <w:jc w:val="left"/>
        <w:rPr>
          <w:rFonts w:asciiTheme="minorHAnsi" w:hAnsiTheme="minorHAnsi" w:eastAsiaTheme="minorEastAsia" w:cstheme="minorBidi"/>
          <w:bCs w:val="0"/>
          <w:sz w:val="22"/>
          <w:szCs w:val="22"/>
          <w:lang w:val="fr-BE" w:eastAsia="fr-BE"/>
        </w:rPr>
      </w:pPr>
      <w:r w:rsidRPr="001D1C39">
        <w:rPr>
          <w:sz w:val="22"/>
          <w:szCs w:val="22"/>
        </w:rPr>
        <w:fldChar w:fldCharType="begin"/>
      </w:r>
      <w:r w:rsidRPr="001D1C39">
        <w:rPr>
          <w:sz w:val="22"/>
          <w:szCs w:val="22"/>
        </w:rPr>
        <w:instrText xml:space="preserve"> TOC \o "1-1" \h \z \u </w:instrText>
      </w:r>
      <w:r w:rsidRPr="001D1C39">
        <w:rPr>
          <w:sz w:val="22"/>
          <w:szCs w:val="22"/>
        </w:rPr>
        <w:fldChar w:fldCharType="separate"/>
      </w:r>
      <w:hyperlink w:history="1" w:anchor="_Toc169790070">
        <w:r w:rsidRPr="00550311" w:rsidR="00550311">
          <w:rPr>
            <w:rStyle w:val="Hyperlink"/>
            <w:sz w:val="22"/>
            <w:szCs w:val="22"/>
            <w14:scene3d>
              <w14:camera w14:prst="orthographicFront"/>
              <w14:lightRig w14:rig="threePt" w14:dir="t">
                <w14:rot w14:lat="0" w14:lon="0" w14:rev="0"/>
              </w14:lightRig>
            </w14:scene3d>
          </w:rPr>
          <w:t>1.</w:t>
        </w:r>
        <w:r w:rsidRPr="00550311" w:rsidR="00550311">
          <w:rPr>
            <w:rFonts w:asciiTheme="minorHAnsi" w:hAnsiTheme="minorHAnsi" w:eastAsiaTheme="minorEastAsia" w:cstheme="minorBidi"/>
            <w:bCs w:val="0"/>
            <w:sz w:val="22"/>
            <w:szCs w:val="22"/>
            <w:lang w:val="fr-BE" w:eastAsia="fr-BE"/>
          </w:rPr>
          <w:tab/>
        </w:r>
        <w:r w:rsidRPr="00550311" w:rsidR="00550311">
          <w:rPr>
            <w:rStyle w:val="Hyperlink"/>
            <w:b/>
            <w:sz w:val="22"/>
            <w:szCs w:val="22"/>
          </w:rPr>
          <w:t>DEN ØKONOMISKE OG MONETÆRE UNION OG ØKONOMISK OG SOCIAL SAMHØRIGHED</w:t>
        </w:r>
        <w:r w:rsidRPr="00550311" w:rsidR="00550311">
          <w:rPr>
            <w:webHidden/>
            <w:sz w:val="22"/>
            <w:szCs w:val="22"/>
          </w:rPr>
          <w:tab/>
        </w:r>
        <w:r w:rsidRPr="00550311" w:rsidR="00550311">
          <w:rPr>
            <w:webHidden/>
            <w:sz w:val="22"/>
            <w:szCs w:val="22"/>
          </w:rPr>
          <w:fldChar w:fldCharType="begin"/>
        </w:r>
        <w:r w:rsidRPr="00550311" w:rsidR="00550311">
          <w:rPr>
            <w:webHidden/>
            <w:sz w:val="22"/>
            <w:szCs w:val="22"/>
          </w:rPr>
          <w:instrText xml:space="preserve"> PAGEREF _Toc169790070 \h </w:instrText>
        </w:r>
        <w:r w:rsidRPr="00550311" w:rsidR="00550311">
          <w:rPr>
            <w:webHidden/>
            <w:sz w:val="22"/>
            <w:szCs w:val="22"/>
          </w:rPr>
        </w:r>
        <w:r w:rsidRPr="00550311" w:rsidR="00550311">
          <w:rPr>
            <w:webHidden/>
            <w:sz w:val="22"/>
            <w:szCs w:val="22"/>
          </w:rPr>
          <w:fldChar w:fldCharType="separate"/>
        </w:r>
        <w:r w:rsidRPr="00550311" w:rsidR="00550311">
          <w:rPr>
            <w:webHidden/>
            <w:sz w:val="22"/>
            <w:szCs w:val="22"/>
          </w:rPr>
          <w:t>3</w:t>
        </w:r>
        <w:r w:rsidRPr="00550311" w:rsidR="00550311">
          <w:rPr>
            <w:webHidden/>
            <w:sz w:val="22"/>
            <w:szCs w:val="22"/>
          </w:rPr>
          <w:fldChar w:fldCharType="end"/>
        </w:r>
      </w:hyperlink>
    </w:p>
    <w:p w:rsidRPr="00550311" w:rsidR="00550311" w:rsidP="00550311" w:rsidRDefault="00550311" w14:paraId="1EF9AAB8" w14:textId="274B5634">
      <w:pPr>
        <w:pStyle w:val="TOC1"/>
        <w:tabs>
          <w:tab w:val="clear" w:pos="440"/>
        </w:tabs>
        <w:ind w:left="567" w:hanging="567"/>
        <w:jc w:val="left"/>
        <w:rPr>
          <w:rFonts w:asciiTheme="minorHAnsi" w:hAnsiTheme="minorHAnsi" w:eastAsiaTheme="minorEastAsia" w:cstheme="minorBidi"/>
          <w:bCs w:val="0"/>
          <w:sz w:val="22"/>
          <w:szCs w:val="22"/>
          <w:lang w:val="fr-BE" w:eastAsia="fr-BE"/>
        </w:rPr>
      </w:pPr>
      <w:hyperlink w:history="1" w:anchor="_Toc169790071">
        <w:r w:rsidRPr="00550311">
          <w:rPr>
            <w:rStyle w:val="Hyperlink"/>
            <w:sz w:val="22"/>
            <w:szCs w:val="22"/>
            <w14:scene3d>
              <w14:camera w14:prst="orthographicFront"/>
              <w14:lightRig w14:rig="threePt" w14:dir="t">
                <w14:rot w14:lat="0" w14:lon="0" w14:rev="0"/>
              </w14:lightRig>
            </w14:scene3d>
          </w:rPr>
          <w:t>2.</w:t>
        </w:r>
        <w:r w:rsidRPr="00550311">
          <w:rPr>
            <w:rFonts w:asciiTheme="minorHAnsi" w:hAnsiTheme="minorHAnsi" w:eastAsiaTheme="minorEastAsia" w:cstheme="minorBidi"/>
            <w:bCs w:val="0"/>
            <w:sz w:val="22"/>
            <w:szCs w:val="22"/>
            <w:lang w:val="fr-BE" w:eastAsia="fr-BE"/>
          </w:rPr>
          <w:tab/>
        </w:r>
        <w:r w:rsidRPr="00550311">
          <w:rPr>
            <w:rStyle w:val="Hyperlink"/>
            <w:b/>
            <w:sz w:val="22"/>
            <w:szCs w:val="22"/>
          </w:rPr>
          <w:t>BESKÆFTIGELSE, SOCIALE SPØRGSMÅL OG UNIONSBORGERSKAB</w:t>
        </w:r>
        <w:r w:rsidRPr="00550311">
          <w:rPr>
            <w:webHidden/>
            <w:sz w:val="22"/>
            <w:szCs w:val="22"/>
          </w:rPr>
          <w:tab/>
        </w:r>
        <w:r w:rsidRPr="00550311">
          <w:rPr>
            <w:webHidden/>
            <w:sz w:val="22"/>
            <w:szCs w:val="22"/>
          </w:rPr>
          <w:fldChar w:fldCharType="begin"/>
        </w:r>
        <w:r w:rsidRPr="00550311">
          <w:rPr>
            <w:webHidden/>
            <w:sz w:val="22"/>
            <w:szCs w:val="22"/>
          </w:rPr>
          <w:instrText xml:space="preserve"> PAGEREF _Toc169790071 \h </w:instrText>
        </w:r>
        <w:r w:rsidRPr="00550311">
          <w:rPr>
            <w:webHidden/>
            <w:sz w:val="22"/>
            <w:szCs w:val="22"/>
          </w:rPr>
        </w:r>
        <w:r w:rsidRPr="00550311">
          <w:rPr>
            <w:webHidden/>
            <w:sz w:val="22"/>
            <w:szCs w:val="22"/>
          </w:rPr>
          <w:fldChar w:fldCharType="separate"/>
        </w:r>
        <w:r w:rsidRPr="00550311">
          <w:rPr>
            <w:webHidden/>
            <w:sz w:val="22"/>
            <w:szCs w:val="22"/>
          </w:rPr>
          <w:t>7</w:t>
        </w:r>
        <w:r w:rsidRPr="00550311">
          <w:rPr>
            <w:webHidden/>
            <w:sz w:val="22"/>
            <w:szCs w:val="22"/>
          </w:rPr>
          <w:fldChar w:fldCharType="end"/>
        </w:r>
      </w:hyperlink>
    </w:p>
    <w:p w:rsidRPr="00550311" w:rsidR="00550311" w:rsidP="00550311" w:rsidRDefault="00550311" w14:paraId="6B17180D" w14:textId="30471E88">
      <w:pPr>
        <w:pStyle w:val="TOC1"/>
        <w:tabs>
          <w:tab w:val="clear" w:pos="440"/>
        </w:tabs>
        <w:ind w:left="567" w:hanging="567"/>
        <w:jc w:val="left"/>
        <w:rPr>
          <w:rFonts w:asciiTheme="minorHAnsi" w:hAnsiTheme="minorHAnsi" w:eastAsiaTheme="minorEastAsia" w:cstheme="minorBidi"/>
          <w:bCs w:val="0"/>
          <w:sz w:val="22"/>
          <w:szCs w:val="22"/>
          <w:lang w:val="fr-BE" w:eastAsia="fr-BE"/>
        </w:rPr>
      </w:pPr>
      <w:hyperlink w:history="1" w:anchor="_Toc169790072">
        <w:r w:rsidRPr="00550311">
          <w:rPr>
            <w:rStyle w:val="Hyperlink"/>
            <w:sz w:val="22"/>
            <w:szCs w:val="22"/>
            <w14:scene3d>
              <w14:camera w14:prst="orthographicFront"/>
              <w14:lightRig w14:rig="threePt" w14:dir="t">
                <w14:rot w14:lat="0" w14:lon="0" w14:rev="0"/>
              </w14:lightRig>
            </w14:scene3d>
          </w:rPr>
          <w:t>3.</w:t>
        </w:r>
        <w:r w:rsidRPr="00550311">
          <w:rPr>
            <w:rFonts w:asciiTheme="minorHAnsi" w:hAnsiTheme="minorHAnsi" w:eastAsiaTheme="minorEastAsia" w:cstheme="minorBidi"/>
            <w:bCs w:val="0"/>
            <w:sz w:val="22"/>
            <w:szCs w:val="22"/>
            <w:lang w:val="fr-BE" w:eastAsia="fr-BE"/>
          </w:rPr>
          <w:tab/>
        </w:r>
        <w:r w:rsidRPr="00550311">
          <w:rPr>
            <w:rStyle w:val="Hyperlink"/>
            <w:b/>
            <w:sz w:val="22"/>
            <w:szCs w:val="22"/>
          </w:rPr>
          <w:t>LANDBRUG, UDVIKLING AF LANDDISTRIKTERNE OG MILJØ</w:t>
        </w:r>
        <w:r w:rsidRPr="00550311">
          <w:rPr>
            <w:webHidden/>
            <w:sz w:val="22"/>
            <w:szCs w:val="22"/>
          </w:rPr>
          <w:tab/>
        </w:r>
        <w:r w:rsidRPr="00550311">
          <w:rPr>
            <w:webHidden/>
            <w:sz w:val="22"/>
            <w:szCs w:val="22"/>
          </w:rPr>
          <w:fldChar w:fldCharType="begin"/>
        </w:r>
        <w:r w:rsidRPr="00550311">
          <w:rPr>
            <w:webHidden/>
            <w:sz w:val="22"/>
            <w:szCs w:val="22"/>
          </w:rPr>
          <w:instrText xml:space="preserve"> PAGEREF _Toc169790072 \h </w:instrText>
        </w:r>
        <w:r w:rsidRPr="00550311">
          <w:rPr>
            <w:webHidden/>
            <w:sz w:val="22"/>
            <w:szCs w:val="22"/>
          </w:rPr>
        </w:r>
        <w:r w:rsidRPr="00550311">
          <w:rPr>
            <w:webHidden/>
            <w:sz w:val="22"/>
            <w:szCs w:val="22"/>
          </w:rPr>
          <w:fldChar w:fldCharType="separate"/>
        </w:r>
        <w:r w:rsidRPr="00550311">
          <w:rPr>
            <w:webHidden/>
            <w:sz w:val="22"/>
            <w:szCs w:val="22"/>
          </w:rPr>
          <w:t>11</w:t>
        </w:r>
        <w:r w:rsidRPr="00550311">
          <w:rPr>
            <w:webHidden/>
            <w:sz w:val="22"/>
            <w:szCs w:val="22"/>
          </w:rPr>
          <w:fldChar w:fldCharType="end"/>
        </w:r>
      </w:hyperlink>
    </w:p>
    <w:p w:rsidRPr="00550311" w:rsidR="00550311" w:rsidP="00550311" w:rsidRDefault="00550311" w14:paraId="7002A84D" w14:textId="723D4645">
      <w:pPr>
        <w:pStyle w:val="TOC1"/>
        <w:tabs>
          <w:tab w:val="clear" w:pos="440"/>
        </w:tabs>
        <w:ind w:left="567" w:hanging="567"/>
        <w:jc w:val="left"/>
        <w:rPr>
          <w:rFonts w:asciiTheme="minorHAnsi" w:hAnsiTheme="minorHAnsi" w:eastAsiaTheme="minorEastAsia" w:cstheme="minorBidi"/>
          <w:bCs w:val="0"/>
          <w:sz w:val="22"/>
          <w:szCs w:val="22"/>
          <w:lang w:val="fr-BE" w:eastAsia="fr-BE"/>
        </w:rPr>
      </w:pPr>
      <w:hyperlink w:history="1" w:anchor="_Toc169790073">
        <w:r w:rsidRPr="00550311">
          <w:rPr>
            <w:rStyle w:val="Hyperlink"/>
            <w:sz w:val="22"/>
            <w:szCs w:val="22"/>
            <w14:scene3d>
              <w14:camera w14:prst="orthographicFront"/>
              <w14:lightRig w14:rig="threePt" w14:dir="t">
                <w14:rot w14:lat="0" w14:lon="0" w14:rev="0"/>
              </w14:lightRig>
            </w14:scene3d>
          </w:rPr>
          <w:t>4.</w:t>
        </w:r>
        <w:r w:rsidRPr="00550311">
          <w:rPr>
            <w:rFonts w:asciiTheme="minorHAnsi" w:hAnsiTheme="minorHAnsi" w:eastAsiaTheme="minorEastAsia" w:cstheme="minorBidi"/>
            <w:bCs w:val="0"/>
            <w:sz w:val="22"/>
            <w:szCs w:val="22"/>
            <w:lang w:val="fr-BE" w:eastAsia="fr-BE"/>
          </w:rPr>
          <w:tab/>
        </w:r>
        <w:r w:rsidRPr="00550311">
          <w:rPr>
            <w:rStyle w:val="Hyperlink"/>
            <w:b/>
            <w:sz w:val="22"/>
            <w:szCs w:val="22"/>
          </w:rPr>
          <w:t>TRANSPORT, ENERGI, INFRASTRUKTUR OG INFORMATIONSSAMFUNDET</w:t>
        </w:r>
        <w:r w:rsidRPr="00550311">
          <w:rPr>
            <w:webHidden/>
            <w:sz w:val="22"/>
            <w:szCs w:val="22"/>
          </w:rPr>
          <w:tab/>
        </w:r>
        <w:r w:rsidRPr="00550311">
          <w:rPr>
            <w:webHidden/>
            <w:sz w:val="22"/>
            <w:szCs w:val="22"/>
          </w:rPr>
          <w:fldChar w:fldCharType="begin"/>
        </w:r>
        <w:r w:rsidRPr="00550311">
          <w:rPr>
            <w:webHidden/>
            <w:sz w:val="22"/>
            <w:szCs w:val="22"/>
          </w:rPr>
          <w:instrText xml:space="preserve"> PAGEREF _Toc169790073 \h </w:instrText>
        </w:r>
        <w:r w:rsidRPr="00550311">
          <w:rPr>
            <w:webHidden/>
            <w:sz w:val="22"/>
            <w:szCs w:val="22"/>
          </w:rPr>
        </w:r>
        <w:r w:rsidRPr="00550311">
          <w:rPr>
            <w:webHidden/>
            <w:sz w:val="22"/>
            <w:szCs w:val="22"/>
          </w:rPr>
          <w:fldChar w:fldCharType="separate"/>
        </w:r>
        <w:r w:rsidRPr="00550311">
          <w:rPr>
            <w:webHidden/>
            <w:sz w:val="22"/>
            <w:szCs w:val="22"/>
          </w:rPr>
          <w:t>14</w:t>
        </w:r>
        <w:r w:rsidRPr="00550311">
          <w:rPr>
            <w:webHidden/>
            <w:sz w:val="22"/>
            <w:szCs w:val="22"/>
          </w:rPr>
          <w:fldChar w:fldCharType="end"/>
        </w:r>
      </w:hyperlink>
    </w:p>
    <w:p w:rsidR="00550311" w:rsidP="00550311" w:rsidRDefault="00550311" w14:paraId="30FF7C4C" w14:textId="373C8572">
      <w:pPr>
        <w:pStyle w:val="TOC1"/>
        <w:tabs>
          <w:tab w:val="clear" w:pos="440"/>
        </w:tabs>
        <w:ind w:left="567" w:hanging="567"/>
        <w:jc w:val="left"/>
        <w:rPr>
          <w:rFonts w:asciiTheme="minorHAnsi" w:hAnsiTheme="minorHAnsi" w:eastAsiaTheme="minorEastAsia" w:cstheme="minorBidi"/>
          <w:bCs w:val="0"/>
          <w:sz w:val="22"/>
          <w:szCs w:val="22"/>
          <w:lang w:val="fr-BE" w:eastAsia="fr-BE"/>
        </w:rPr>
      </w:pPr>
      <w:hyperlink w:history="1" w:anchor="_Toc169790074">
        <w:r w:rsidRPr="00550311">
          <w:rPr>
            <w:rStyle w:val="Hyperlink"/>
            <w:sz w:val="22"/>
            <w:szCs w:val="22"/>
            <w14:scene3d>
              <w14:camera w14:prst="orthographicFront"/>
              <w14:lightRig w14:rig="threePt" w14:dir="t">
                <w14:rot w14:lat="0" w14:lon="0" w14:rev="0"/>
              </w14:lightRig>
            </w14:scene3d>
          </w:rPr>
          <w:t>5.</w:t>
        </w:r>
        <w:r w:rsidRPr="00550311">
          <w:rPr>
            <w:rFonts w:asciiTheme="minorHAnsi" w:hAnsiTheme="minorHAnsi" w:eastAsiaTheme="minorEastAsia" w:cstheme="minorBidi"/>
            <w:bCs w:val="0"/>
            <w:sz w:val="22"/>
            <w:szCs w:val="22"/>
            <w:lang w:val="fr-BE" w:eastAsia="fr-BE"/>
          </w:rPr>
          <w:tab/>
        </w:r>
        <w:r w:rsidRPr="00550311">
          <w:rPr>
            <w:rStyle w:val="Hyperlink"/>
            <w:b/>
            <w:sz w:val="22"/>
            <w:szCs w:val="22"/>
          </w:rPr>
          <w:t>DEN RÅDGIVENDE KOMMISSION FOR INDUSTRIELLE ÆNDRINGER</w:t>
        </w:r>
        <w:r w:rsidRPr="00550311">
          <w:rPr>
            <w:webHidden/>
            <w:sz w:val="22"/>
            <w:szCs w:val="22"/>
          </w:rPr>
          <w:tab/>
        </w:r>
        <w:r w:rsidRPr="00550311">
          <w:rPr>
            <w:webHidden/>
            <w:sz w:val="22"/>
            <w:szCs w:val="22"/>
          </w:rPr>
          <w:fldChar w:fldCharType="begin"/>
        </w:r>
        <w:r w:rsidRPr="00550311">
          <w:rPr>
            <w:webHidden/>
            <w:sz w:val="22"/>
            <w:szCs w:val="22"/>
          </w:rPr>
          <w:instrText xml:space="preserve"> PAGEREF _Toc169790074 \h </w:instrText>
        </w:r>
        <w:r w:rsidRPr="00550311">
          <w:rPr>
            <w:webHidden/>
            <w:sz w:val="22"/>
            <w:szCs w:val="22"/>
          </w:rPr>
        </w:r>
        <w:r w:rsidRPr="00550311">
          <w:rPr>
            <w:webHidden/>
            <w:sz w:val="22"/>
            <w:szCs w:val="22"/>
          </w:rPr>
          <w:fldChar w:fldCharType="separate"/>
        </w:r>
        <w:r w:rsidRPr="00550311">
          <w:rPr>
            <w:webHidden/>
            <w:sz w:val="22"/>
            <w:szCs w:val="22"/>
          </w:rPr>
          <w:t>15</w:t>
        </w:r>
        <w:r w:rsidRPr="00550311">
          <w:rPr>
            <w:webHidden/>
            <w:sz w:val="22"/>
            <w:szCs w:val="22"/>
          </w:rPr>
          <w:fldChar w:fldCharType="end"/>
        </w:r>
      </w:hyperlink>
    </w:p>
    <w:p w:rsidR="00C86ABD" w:rsidP="006A5684" w:rsidRDefault="008772F9" w14:paraId="4EDE006A" w14:textId="54503FDB">
      <w:pPr>
        <w:jc w:val="left"/>
      </w:pPr>
      <w:r w:rsidRPr="001D1C39">
        <w:fldChar w:fldCharType="end"/>
      </w:r>
      <w:r>
        <w:br w:type="page"/>
      </w:r>
    </w:p>
    <w:p w:rsidRPr="00EE2FBD" w:rsidR="0038273B" w:rsidP="006A5684" w:rsidRDefault="0038273B" w14:paraId="62CE6920" w14:textId="4AB21D19">
      <w:pPr>
        <w:pStyle w:val="Heading1"/>
        <w:tabs>
          <w:tab w:val="clear" w:pos="440"/>
          <w:tab w:val="left" w:pos="567"/>
        </w:tabs>
        <w:spacing w:before="0"/>
        <w:ind w:left="567" w:right="0" w:hanging="567"/>
        <w:rPr>
          <w:b/>
          <w:bCs/>
        </w:rPr>
      </w:pPr>
      <w:bookmarkStart w:name="_Toc169790070" w:id="0"/>
      <w:r>
        <w:rPr>
          <w:b/>
        </w:rPr>
        <w:lastRenderedPageBreak/>
        <w:t>DEN ØKONOMISKE OG MONETÆRE UNION OG ØKONOMISK OG SOCIAL SAMHØRIGHED</w:t>
      </w:r>
      <w:bookmarkEnd w:id="0"/>
    </w:p>
    <w:p w:rsidR="006C19F4" w:rsidP="006A5684"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DC0FAE" w:rsidR="006C19F4" w:rsidP="006A5684" w:rsidRDefault="003D1988" w14:paraId="3A82A886" w14:textId="11A0A9D6">
      <w:pPr>
        <w:widowControl w:val="0"/>
        <w:numPr>
          <w:ilvl w:val="0"/>
          <w:numId w:val="7"/>
        </w:numPr>
        <w:overflowPunct w:val="0"/>
        <w:autoSpaceDE w:val="0"/>
        <w:autoSpaceDN w:val="0"/>
        <w:adjustRightInd w:val="0"/>
        <w:ind w:hanging="567"/>
        <w:textAlignment w:val="baseline"/>
        <w:rPr>
          <w:b/>
          <w:i/>
          <w:iCs/>
          <w:sz w:val="28"/>
          <w:szCs w:val="28"/>
        </w:rPr>
      </w:pPr>
      <w:hyperlink w:history="1" r:id="rId20">
        <w:r w:rsidR="00D97A3B">
          <w:rPr>
            <w:b/>
            <w:i/>
            <w:color w:val="0000FF"/>
            <w:sz w:val="28"/>
            <w:u w:val="single"/>
          </w:rPr>
          <w:t>Samhørighedspolitikkens rolle i EU's næste udvidelsesrunder</w:t>
        </w:r>
      </w:hyperlink>
    </w:p>
    <w:p w:rsidRPr="001D1C39" w:rsidR="00190D28" w:rsidP="006A5684" w:rsidRDefault="00190D28" w14:paraId="647D4419" w14:textId="77777777">
      <w:pPr>
        <w:widowControl w:val="0"/>
        <w:overflowPunct w:val="0"/>
        <w:autoSpaceDE w:val="0"/>
        <w:autoSpaceDN w:val="0"/>
        <w:adjustRightInd w:val="0"/>
        <w:ind w:left="284"/>
        <w:textAlignment w:val="baseline"/>
        <w:rPr>
          <w:b/>
          <w:i/>
          <w:iCs/>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1D1C39" w:rsidR="006C19F4" w:rsidTr="00FE3058" w14:paraId="7BA389F8" w14:textId="77777777">
        <w:tc>
          <w:tcPr>
            <w:tcW w:w="1701" w:type="dxa"/>
          </w:tcPr>
          <w:p w:rsidRPr="001D1C39" w:rsidR="006C19F4" w:rsidP="006A5684" w:rsidRDefault="006C19F4" w14:paraId="4187F6BE"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Ordfører</w:t>
            </w:r>
          </w:p>
        </w:tc>
        <w:tc>
          <w:tcPr>
            <w:tcW w:w="7621" w:type="dxa"/>
          </w:tcPr>
          <w:p w:rsidRPr="001D1C39" w:rsidR="006C19F4" w:rsidP="006A5684" w:rsidRDefault="006C19F4" w14:paraId="1811BD9A" w14:textId="77777777">
            <w:pPr>
              <w:tabs>
                <w:tab w:val="center" w:pos="284"/>
              </w:tabs>
              <w:overflowPunct w:val="0"/>
              <w:autoSpaceDE w:val="0"/>
              <w:autoSpaceDN w:val="0"/>
              <w:adjustRightInd w:val="0"/>
              <w:ind w:left="266" w:hanging="266"/>
              <w:textAlignment w:val="baseline"/>
              <w:rPr>
                <w:bCs/>
                <w:sz w:val="22"/>
                <w:szCs w:val="22"/>
              </w:rPr>
            </w:pPr>
            <w:r w:rsidRPr="001D1C39">
              <w:rPr>
                <w:sz w:val="22"/>
                <w:szCs w:val="22"/>
              </w:rPr>
              <w:t xml:space="preserve">María del Carmen </w:t>
            </w:r>
            <w:proofErr w:type="spellStart"/>
            <w:r w:rsidRPr="001D1C39">
              <w:rPr>
                <w:sz w:val="22"/>
                <w:szCs w:val="22"/>
              </w:rPr>
              <w:t>Barrera</w:t>
            </w:r>
            <w:proofErr w:type="spellEnd"/>
            <w:r w:rsidRPr="001D1C39">
              <w:rPr>
                <w:sz w:val="22"/>
                <w:szCs w:val="22"/>
              </w:rPr>
              <w:t xml:space="preserve"> </w:t>
            </w:r>
            <w:proofErr w:type="spellStart"/>
            <w:r w:rsidRPr="001D1C39">
              <w:rPr>
                <w:sz w:val="22"/>
                <w:szCs w:val="22"/>
              </w:rPr>
              <w:t>Chamorro</w:t>
            </w:r>
            <w:proofErr w:type="spellEnd"/>
            <w:r w:rsidRPr="001D1C39">
              <w:rPr>
                <w:sz w:val="22"/>
                <w:szCs w:val="22"/>
              </w:rPr>
              <w:t xml:space="preserve"> (Arbejdstagergruppen – ES)</w:t>
            </w:r>
          </w:p>
        </w:tc>
      </w:tr>
      <w:tr w:rsidRPr="001D1C39" w:rsidR="006C19F4" w:rsidTr="00FE3058" w14:paraId="73869A75" w14:textId="77777777">
        <w:tc>
          <w:tcPr>
            <w:tcW w:w="9322" w:type="dxa"/>
            <w:gridSpan w:val="2"/>
          </w:tcPr>
          <w:p w:rsidRPr="001D1C39" w:rsidR="006C19F4" w:rsidP="006A5684" w:rsidRDefault="006C19F4" w14:paraId="4BF0E4CE" w14:textId="77777777">
            <w:pPr>
              <w:tabs>
                <w:tab w:val="center" w:pos="284"/>
              </w:tabs>
              <w:overflowPunct w:val="0"/>
              <w:autoSpaceDE w:val="0"/>
              <w:autoSpaceDN w:val="0"/>
              <w:adjustRightInd w:val="0"/>
              <w:ind w:left="266" w:hanging="266"/>
              <w:textAlignment w:val="baseline"/>
              <w:rPr>
                <w:sz w:val="22"/>
                <w:szCs w:val="22"/>
              </w:rPr>
            </w:pPr>
          </w:p>
        </w:tc>
      </w:tr>
      <w:tr w:rsidRPr="001D1C39" w:rsidR="006C19F4" w:rsidTr="00FE3058" w14:paraId="232B8808" w14:textId="77777777">
        <w:tc>
          <w:tcPr>
            <w:tcW w:w="1701" w:type="dxa"/>
          </w:tcPr>
          <w:p w:rsidRPr="001D1C39" w:rsidR="006C19F4" w:rsidP="006A5684" w:rsidRDefault="006C19F4" w14:paraId="0DE082BA"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Ref.</w:t>
            </w:r>
          </w:p>
        </w:tc>
        <w:tc>
          <w:tcPr>
            <w:tcW w:w="7621" w:type="dxa"/>
          </w:tcPr>
          <w:p w:rsidRPr="001D1C39" w:rsidR="00ED5F1D" w:rsidP="006A5684" w:rsidRDefault="00ED5F1D" w14:paraId="6C26CE56" w14:textId="7EC335DB">
            <w:pPr>
              <w:pStyle w:val="Default"/>
              <w:spacing w:line="288" w:lineRule="auto"/>
              <w:jc w:val="both"/>
              <w:rPr>
                <w:sz w:val="22"/>
                <w:szCs w:val="22"/>
              </w:rPr>
            </w:pPr>
            <w:r w:rsidRPr="001D1C39">
              <w:rPr>
                <w:sz w:val="22"/>
                <w:szCs w:val="22"/>
              </w:rPr>
              <w:t xml:space="preserve">Sonderende udtalelse på anmodning af Kommissionen </w:t>
            </w:r>
          </w:p>
          <w:p w:rsidRPr="001D1C39" w:rsidR="006C19F4" w:rsidP="006A5684" w:rsidRDefault="006C19F4" w14:paraId="7903D5BC" w14:textId="592052F7">
            <w:pPr>
              <w:tabs>
                <w:tab w:val="center" w:pos="284"/>
              </w:tabs>
              <w:overflowPunct w:val="0"/>
              <w:autoSpaceDE w:val="0"/>
              <w:autoSpaceDN w:val="0"/>
              <w:adjustRightInd w:val="0"/>
              <w:ind w:left="266" w:hanging="266"/>
              <w:textAlignment w:val="baseline"/>
              <w:rPr>
                <w:sz w:val="22"/>
                <w:szCs w:val="22"/>
              </w:rPr>
            </w:pPr>
            <w:r w:rsidRPr="001D1C39">
              <w:rPr>
                <w:sz w:val="22"/>
                <w:szCs w:val="22"/>
              </w:rPr>
              <w:t>EESC-2024-00535-00-00-AC</w:t>
            </w:r>
          </w:p>
        </w:tc>
      </w:tr>
    </w:tbl>
    <w:p w:rsidRPr="001D1C39" w:rsidR="00556279" w:rsidP="006A5684" w:rsidRDefault="00556279" w14:paraId="3EB4A714" w14:textId="77777777">
      <w:pPr>
        <w:keepNext/>
        <w:keepLines/>
        <w:tabs>
          <w:tab w:val="center" w:pos="284"/>
        </w:tabs>
        <w:overflowPunct w:val="0"/>
        <w:autoSpaceDE w:val="0"/>
        <w:autoSpaceDN w:val="0"/>
        <w:adjustRightInd w:val="0"/>
        <w:ind w:left="266" w:hanging="266"/>
        <w:textAlignment w:val="baseline"/>
        <w:rPr>
          <w:b/>
        </w:rPr>
      </w:pPr>
    </w:p>
    <w:p w:rsidRPr="001D1C39" w:rsidR="006C19F4" w:rsidP="006A5684" w:rsidRDefault="006C19F4" w14:paraId="580E62C3" w14:textId="193AC286">
      <w:pPr>
        <w:keepNext/>
        <w:keepLines/>
        <w:tabs>
          <w:tab w:val="center" w:pos="284"/>
        </w:tabs>
        <w:overflowPunct w:val="0"/>
        <w:autoSpaceDE w:val="0"/>
        <w:autoSpaceDN w:val="0"/>
        <w:adjustRightInd w:val="0"/>
        <w:ind w:left="266" w:hanging="266"/>
        <w:textAlignment w:val="baseline"/>
        <w:rPr>
          <w:b/>
        </w:rPr>
      </w:pPr>
      <w:r w:rsidRPr="001D1C39">
        <w:rPr>
          <w:b/>
        </w:rPr>
        <w:t>Hovedpunkter</w:t>
      </w:r>
    </w:p>
    <w:p w:rsidRPr="001D1C39" w:rsidR="00ED5F1D" w:rsidP="006A5684" w:rsidRDefault="00ED5F1D" w14:paraId="7E453C4F" w14:textId="77777777">
      <w:pPr>
        <w:keepNext/>
        <w:keepLines/>
        <w:tabs>
          <w:tab w:val="center" w:pos="284"/>
        </w:tabs>
        <w:overflowPunct w:val="0"/>
        <w:autoSpaceDE w:val="0"/>
        <w:autoSpaceDN w:val="0"/>
        <w:adjustRightInd w:val="0"/>
        <w:ind w:left="266" w:hanging="266"/>
        <w:textAlignment w:val="baseline"/>
        <w:rPr>
          <w:b/>
        </w:rPr>
      </w:pPr>
    </w:p>
    <w:p w:rsidRPr="001D1C39" w:rsidR="006C19F4" w:rsidP="006A5684" w:rsidRDefault="006C19F4" w14:paraId="3AEFB419" w14:textId="78037879">
      <w:pPr>
        <w:overflowPunct w:val="0"/>
        <w:autoSpaceDE w:val="0"/>
        <w:autoSpaceDN w:val="0"/>
        <w:adjustRightInd w:val="0"/>
        <w:textAlignment w:val="baseline"/>
        <w:rPr>
          <w:bCs/>
          <w:iCs/>
        </w:rPr>
      </w:pPr>
      <w:r w:rsidRPr="001D1C39">
        <w:t>EØSU:</w:t>
      </w:r>
    </w:p>
    <w:p w:rsidRPr="001D1C39" w:rsidR="006C19F4" w:rsidP="006A5684" w:rsidRDefault="006C19F4" w14:paraId="18DCF415" w14:textId="77777777">
      <w:pPr>
        <w:numPr>
          <w:ilvl w:val="0"/>
          <w:numId w:val="13"/>
        </w:numPr>
        <w:overflowPunct w:val="0"/>
        <w:autoSpaceDE w:val="0"/>
        <w:autoSpaceDN w:val="0"/>
        <w:adjustRightInd w:val="0"/>
        <w:contextualSpacing/>
        <w:textAlignment w:val="baseline"/>
        <w:rPr>
          <w:bCs/>
          <w:iCs/>
        </w:rPr>
      </w:pPr>
      <w:r w:rsidRPr="001D1C39">
        <w:t xml:space="preserve">understreger, at politikken for </w:t>
      </w:r>
      <w:proofErr w:type="spellStart"/>
      <w:r w:rsidRPr="001D1C39">
        <w:t>førtiltrædelsesbistand</w:t>
      </w:r>
      <w:proofErr w:type="spellEnd"/>
      <w:r w:rsidRPr="001D1C39">
        <w:t xml:space="preserve"> er et uundværligt redskab i udvidelsespolitikken, hvis indflydelse kan styrkes for at fremme fred og velstand på hele det europæiske kontinent, navnlig i regioner, hvor freden og stabiliteten for nylig er blevet udfordret</w:t>
      </w:r>
    </w:p>
    <w:p w:rsidRPr="001D1C39" w:rsidR="006C19F4" w:rsidP="006A5684" w:rsidRDefault="006C19F4" w14:paraId="6F8C8AAA" w14:textId="77777777">
      <w:pPr>
        <w:numPr>
          <w:ilvl w:val="0"/>
          <w:numId w:val="13"/>
        </w:numPr>
        <w:overflowPunct w:val="0"/>
        <w:autoSpaceDE w:val="0"/>
        <w:autoSpaceDN w:val="0"/>
        <w:adjustRightInd w:val="0"/>
        <w:contextualSpacing/>
        <w:textAlignment w:val="baseline"/>
        <w:rPr>
          <w:bCs/>
          <w:iCs/>
        </w:rPr>
      </w:pPr>
      <w:r w:rsidRPr="001D1C39">
        <w:t xml:space="preserve">bemærker, at politikken for </w:t>
      </w:r>
      <w:proofErr w:type="spellStart"/>
      <w:r w:rsidRPr="001D1C39">
        <w:t>førtiltrædelsesbistand</w:t>
      </w:r>
      <w:proofErr w:type="spellEnd"/>
      <w:r w:rsidRPr="001D1C39">
        <w:t xml:space="preserve"> for at forberede kandidatlandene på en fuldstændig gennemførelse af samhørighedspolitikkens instrumenter i fremtiden i højere grad bør skræddersys til styrkerne, udfordringerne og behovene i de respektive regioner og i naboregionerne til EU's medlemsstater</w:t>
      </w:r>
    </w:p>
    <w:p w:rsidRPr="001D1C39" w:rsidR="006C19F4" w:rsidP="006A5684" w:rsidRDefault="006C19F4" w14:paraId="7DB08F12" w14:textId="77777777">
      <w:pPr>
        <w:numPr>
          <w:ilvl w:val="0"/>
          <w:numId w:val="13"/>
        </w:numPr>
        <w:overflowPunct w:val="0"/>
        <w:autoSpaceDE w:val="0"/>
        <w:autoSpaceDN w:val="0"/>
        <w:adjustRightInd w:val="0"/>
        <w:contextualSpacing/>
        <w:textAlignment w:val="baseline"/>
        <w:rPr>
          <w:bCs/>
          <w:iCs/>
        </w:rPr>
      </w:pPr>
      <w:r w:rsidRPr="001D1C39">
        <w:t xml:space="preserve">anbefaler, at politikken for </w:t>
      </w:r>
      <w:proofErr w:type="spellStart"/>
      <w:r w:rsidRPr="001D1C39">
        <w:t>førtiltrædelsesbistand</w:t>
      </w:r>
      <w:proofErr w:type="spellEnd"/>
      <w:r w:rsidRPr="001D1C39">
        <w:t xml:space="preserve"> i kandidatlandene investerer mere systematisk i udviklingen af menneskelig kapital, uddannelse og social integration for at forebygge og mindske sociale uligheder. Det er afgørende at fremme forbindelserne med civilsamfundsorganisationer i en bedre planlægning af politikken for </w:t>
      </w:r>
      <w:proofErr w:type="spellStart"/>
      <w:r w:rsidRPr="001D1C39">
        <w:t>førtiltrædelsesbistand</w:t>
      </w:r>
      <w:proofErr w:type="spellEnd"/>
    </w:p>
    <w:p w:rsidRPr="001D1C39" w:rsidR="006C19F4" w:rsidP="006A5684" w:rsidRDefault="006C19F4" w14:paraId="796D945B" w14:textId="77777777">
      <w:pPr>
        <w:numPr>
          <w:ilvl w:val="0"/>
          <w:numId w:val="13"/>
        </w:numPr>
        <w:overflowPunct w:val="0"/>
        <w:autoSpaceDE w:val="0"/>
        <w:autoSpaceDN w:val="0"/>
        <w:adjustRightInd w:val="0"/>
        <w:contextualSpacing/>
        <w:textAlignment w:val="baseline"/>
        <w:rPr>
          <w:bCs/>
          <w:iCs/>
        </w:rPr>
      </w:pPr>
      <w:r w:rsidRPr="001D1C39">
        <w:t>bemærker, at den fremtidige samhørighedspolitik bør prioritere beskyttelsen af sårbare grupper, som står over for flere og enorme hindringer for deres økonomiske og sociale udvikling, og som kan møde yderligere udfordringer i den fremtidige tiltrædelsesproces</w:t>
      </w:r>
    </w:p>
    <w:p w:rsidRPr="001D1C39" w:rsidR="006C19F4" w:rsidP="006A5684" w:rsidRDefault="006C19F4" w14:paraId="7BE159C5" w14:textId="77777777">
      <w:pPr>
        <w:numPr>
          <w:ilvl w:val="0"/>
          <w:numId w:val="13"/>
        </w:numPr>
        <w:overflowPunct w:val="0"/>
        <w:autoSpaceDE w:val="0"/>
        <w:autoSpaceDN w:val="0"/>
        <w:adjustRightInd w:val="0"/>
        <w:contextualSpacing/>
        <w:textAlignment w:val="baseline"/>
        <w:rPr>
          <w:bCs/>
          <w:iCs/>
        </w:rPr>
      </w:pPr>
      <w:r w:rsidRPr="001D1C39">
        <w:t>understreger, at stærkere partnerskaber med civilsamfundsorganisationer i kandidatlandene ikke kun er uvurderlige til fremme af udvidelsesmålene, de stemmer også overens med effektive og inkluderende udviklingsstrategier ved at anvende de etablerede principper om stærkt partnerskab og delt forvaltning</w:t>
      </w:r>
    </w:p>
    <w:p w:rsidRPr="001D1C39" w:rsidR="006C19F4" w:rsidP="006A5684" w:rsidRDefault="006C19F4" w14:paraId="0F3DDE5E" w14:textId="77777777">
      <w:pPr>
        <w:numPr>
          <w:ilvl w:val="0"/>
          <w:numId w:val="13"/>
        </w:numPr>
        <w:overflowPunct w:val="0"/>
        <w:autoSpaceDE w:val="0"/>
        <w:autoSpaceDN w:val="0"/>
        <w:adjustRightInd w:val="0"/>
        <w:contextualSpacing/>
        <w:textAlignment w:val="baseline"/>
        <w:rPr>
          <w:bCs/>
          <w:iCs/>
        </w:rPr>
      </w:pPr>
      <w:r w:rsidRPr="001D1C39">
        <w:t>understreger, at den rolle som samhørighedspolitikken spiller, skal handle om meget mere end grundlæggende investeringer. Den skal fokusere på institutions- og kapacitetsopbygning, herunder venskabsbyprogrammer og støtte til civilsamfundet og arbejdsmarkedets parter</w:t>
      </w:r>
    </w:p>
    <w:p w:rsidRPr="001D1C39" w:rsidR="006C19F4" w:rsidP="006A5684" w:rsidRDefault="006C19F4" w14:paraId="5388831B" w14:textId="77777777">
      <w:pPr>
        <w:numPr>
          <w:ilvl w:val="0"/>
          <w:numId w:val="13"/>
        </w:numPr>
        <w:overflowPunct w:val="0"/>
        <w:autoSpaceDE w:val="0"/>
        <w:autoSpaceDN w:val="0"/>
        <w:adjustRightInd w:val="0"/>
        <w:contextualSpacing/>
        <w:textAlignment w:val="baseline"/>
        <w:rPr>
          <w:bCs/>
          <w:iCs/>
        </w:rPr>
      </w:pPr>
      <w:r w:rsidRPr="001D1C39">
        <w:t>understreger, at udvidelsesrunderne også har haft indvirkning på de nuværende medlemsstater og deres regioner, da de nye medlemsstater tilslutter sig det indre marked og påvirker den internationale værdikæde og arbejdskraftmigrationen i EU. Der er derfor behov for yderligere midler til investeringer i de regioner, der grænser op til kandidatlandene, samt i regioner i de nuværende medlemsstater, der er hårdt ramt af ændringer i de europæiske og globale værdikæder som følge af udvidelsen</w:t>
      </w:r>
    </w:p>
    <w:p w:rsidRPr="001D1C39" w:rsidR="006C19F4" w:rsidP="006A5684" w:rsidRDefault="006C19F4" w14:paraId="371A7D2C" w14:textId="77777777">
      <w:pPr>
        <w:numPr>
          <w:ilvl w:val="0"/>
          <w:numId w:val="13"/>
        </w:numPr>
        <w:overflowPunct w:val="0"/>
        <w:autoSpaceDE w:val="0"/>
        <w:autoSpaceDN w:val="0"/>
        <w:adjustRightInd w:val="0"/>
        <w:contextualSpacing/>
        <w:textAlignment w:val="baseline"/>
        <w:rPr>
          <w:bCs/>
          <w:iCs/>
        </w:rPr>
      </w:pPr>
      <w:r w:rsidRPr="001D1C39">
        <w:t>mener, at Kommissionen sideløbende med udvidelsesprocessen bør rette sine reformer af den fremtidige samhørighedspolitik mod at øge effektiviteten af de nuværende politikker baseret på øget specialisering og diversificering i kombination med større fleksibilitet og finansiel specialisering. Ingen finansiel bistand kan føre til økonomisk velstand uden en parallel indsats inden for institutionsopbygning, forvaltningsreformer og inddragelse af civilsamfundet</w:t>
      </w:r>
    </w:p>
    <w:p w:rsidRPr="001D1C39" w:rsidR="006C19F4" w:rsidP="006A5684" w:rsidRDefault="006C19F4" w14:paraId="0E40DD13" w14:textId="60D826B0">
      <w:pPr>
        <w:numPr>
          <w:ilvl w:val="0"/>
          <w:numId w:val="13"/>
        </w:numPr>
        <w:overflowPunct w:val="0"/>
        <w:autoSpaceDE w:val="0"/>
        <w:autoSpaceDN w:val="0"/>
        <w:adjustRightInd w:val="0"/>
        <w:contextualSpacing/>
        <w:textAlignment w:val="baseline"/>
        <w:rPr>
          <w:bCs/>
          <w:iCs/>
        </w:rPr>
      </w:pPr>
      <w:r w:rsidRPr="001D1C39">
        <w:lastRenderedPageBreak/>
        <w:t>understreger behovet for en hurtig indsats for at dæmme op for udvandring fra EU</w:t>
      </w:r>
      <w:r w:rsidR="006A5684">
        <w:noBreakHyphen/>
      </w:r>
      <w:r w:rsidRPr="001D1C39">
        <w:t>kandidatlandene, som er en trussel mod den potentielle økonomiske og sociale udvikling, gennem forskellige politiske foranstaltninger, herunder investeringer i menneskelig kapital</w:t>
      </w:r>
    </w:p>
    <w:p w:rsidRPr="001D1C39" w:rsidR="006C19F4" w:rsidP="006A5684" w:rsidRDefault="006C19F4" w14:paraId="696DDE71" w14:textId="77777777">
      <w:pPr>
        <w:numPr>
          <w:ilvl w:val="0"/>
          <w:numId w:val="13"/>
        </w:numPr>
        <w:overflowPunct w:val="0"/>
        <w:autoSpaceDE w:val="0"/>
        <w:autoSpaceDN w:val="0"/>
        <w:adjustRightInd w:val="0"/>
        <w:contextualSpacing/>
        <w:textAlignment w:val="baseline"/>
        <w:rPr>
          <w:bCs/>
          <w:iCs/>
        </w:rPr>
      </w:pPr>
      <w:r w:rsidRPr="001D1C39">
        <w:t>mener, at det er vigtigt at forbedre situationen for unge i kandidatlandene. Der skal gøres en indsats for at fremme færdigheder og beskæftigelse blandt de unge og forbedre deres muligheder for både uddannelse og kvalitetsbeskæftigelse sideløbende med boligløsninger. Der bør også tilskyndes til dialog med unge og deltagelse af unge i ungdomsgarantiinitiativer</w:t>
      </w:r>
    </w:p>
    <w:p w:rsidRPr="001D1C39" w:rsidR="006C19F4" w:rsidP="006A5684" w:rsidRDefault="006C19F4" w14:paraId="36FB8C43" w14:textId="60DCA5EA">
      <w:pPr>
        <w:numPr>
          <w:ilvl w:val="0"/>
          <w:numId w:val="13"/>
        </w:numPr>
        <w:overflowPunct w:val="0"/>
        <w:autoSpaceDE w:val="0"/>
        <w:autoSpaceDN w:val="0"/>
        <w:adjustRightInd w:val="0"/>
        <w:contextualSpacing/>
        <w:textAlignment w:val="baseline"/>
        <w:rPr>
          <w:bCs/>
          <w:iCs/>
        </w:rPr>
      </w:pPr>
      <w:r w:rsidRPr="001D1C39">
        <w:t>anbefaler, at der gøres en større indsats for at tage hånd om de mest sårbare personer og grupper i kandidatlandene ved ikke blot at integrere dem i beskyttelsessystemerne, men også tage hensyn til dem i beslutningsprocessen, da det er den bedste måde at sikre overholdelsen af det første grundprincip i samhørighedspolitikken, nemlig at "ingen må lades i stikken".</w:t>
      </w:r>
    </w:p>
    <w:p w:rsidRPr="001D1C39" w:rsidR="00ED5F1D" w:rsidP="006A5684" w:rsidRDefault="00ED5F1D" w14:paraId="0BD5F507" w14:textId="77777777">
      <w:pPr>
        <w:overflowPunct w:val="0"/>
        <w:autoSpaceDE w:val="0"/>
        <w:autoSpaceDN w:val="0"/>
        <w:adjustRightInd w:val="0"/>
        <w:contextualSpacing/>
        <w:textAlignment w:val="baseline"/>
        <w:rPr>
          <w:bCs/>
          <w:iCs/>
        </w:rPr>
      </w:pPr>
    </w:p>
    <w:tbl>
      <w:tblPr>
        <w:tblStyle w:val="TableGrid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D1C39" w:rsidR="006C19F4" w:rsidTr="00FE3058" w14:paraId="7A7F559C" w14:textId="77777777">
        <w:tc>
          <w:tcPr>
            <w:tcW w:w="1418" w:type="dxa"/>
          </w:tcPr>
          <w:p w:rsidRPr="001D1C39" w:rsidR="006C19F4" w:rsidP="006A5684" w:rsidRDefault="006C19F4" w14:paraId="6B40BFCD" w14:textId="77777777">
            <w:pPr>
              <w:overflowPunct w:val="0"/>
              <w:autoSpaceDE w:val="0"/>
              <w:autoSpaceDN w:val="0"/>
              <w:adjustRightInd w:val="0"/>
              <w:textAlignment w:val="baseline"/>
              <w:rPr>
                <w:i/>
                <w:sz w:val="22"/>
                <w:szCs w:val="22"/>
              </w:rPr>
            </w:pPr>
            <w:r w:rsidRPr="001D1C39">
              <w:rPr>
                <w:b/>
                <w:i/>
                <w:sz w:val="22"/>
                <w:szCs w:val="22"/>
              </w:rPr>
              <w:t>Kontakt</w:t>
            </w:r>
          </w:p>
        </w:tc>
        <w:tc>
          <w:tcPr>
            <w:tcW w:w="5670" w:type="dxa"/>
          </w:tcPr>
          <w:p w:rsidRPr="001D1C39" w:rsidR="006C19F4" w:rsidP="006A5684" w:rsidRDefault="006C19F4" w14:paraId="2E0B1708" w14:textId="77777777">
            <w:pPr>
              <w:overflowPunct w:val="0"/>
              <w:autoSpaceDE w:val="0"/>
              <w:autoSpaceDN w:val="0"/>
              <w:adjustRightInd w:val="0"/>
              <w:textAlignment w:val="baseline"/>
              <w:rPr>
                <w:i/>
                <w:sz w:val="22"/>
                <w:szCs w:val="22"/>
              </w:rPr>
            </w:pPr>
            <w:r w:rsidRPr="001D1C39">
              <w:rPr>
                <w:i/>
                <w:sz w:val="22"/>
                <w:szCs w:val="22"/>
              </w:rPr>
              <w:t>Georgios Meleas</w:t>
            </w:r>
          </w:p>
        </w:tc>
      </w:tr>
      <w:tr w:rsidRPr="001D1C39" w:rsidR="006C19F4" w:rsidTr="00FE3058" w14:paraId="1C00A944" w14:textId="77777777">
        <w:tc>
          <w:tcPr>
            <w:tcW w:w="1418" w:type="dxa"/>
          </w:tcPr>
          <w:p w:rsidRPr="001D1C39" w:rsidR="006C19F4" w:rsidP="006A5684" w:rsidRDefault="006C19F4" w14:paraId="02043B5C" w14:textId="77777777">
            <w:pPr>
              <w:overflowPunct w:val="0"/>
              <w:autoSpaceDE w:val="0"/>
              <w:autoSpaceDN w:val="0"/>
              <w:adjustRightInd w:val="0"/>
              <w:textAlignment w:val="baseline"/>
              <w:rPr>
                <w:i/>
                <w:sz w:val="22"/>
                <w:szCs w:val="22"/>
              </w:rPr>
            </w:pPr>
            <w:r w:rsidRPr="001D1C39">
              <w:rPr>
                <w:i/>
                <w:sz w:val="22"/>
                <w:szCs w:val="22"/>
              </w:rPr>
              <w:t>Tlf.</w:t>
            </w:r>
          </w:p>
        </w:tc>
        <w:tc>
          <w:tcPr>
            <w:tcW w:w="5670" w:type="dxa"/>
          </w:tcPr>
          <w:p w:rsidRPr="001D1C39" w:rsidR="006C19F4" w:rsidP="006A5684" w:rsidRDefault="006C19F4" w14:paraId="7765EB4C" w14:textId="77777777">
            <w:pPr>
              <w:overflowPunct w:val="0"/>
              <w:autoSpaceDE w:val="0"/>
              <w:autoSpaceDN w:val="0"/>
              <w:adjustRightInd w:val="0"/>
              <w:textAlignment w:val="baseline"/>
              <w:rPr>
                <w:i/>
                <w:sz w:val="22"/>
                <w:szCs w:val="22"/>
              </w:rPr>
            </w:pPr>
            <w:r w:rsidRPr="001D1C39">
              <w:rPr>
                <w:i/>
                <w:sz w:val="22"/>
                <w:szCs w:val="22"/>
              </w:rPr>
              <w:t>00 32 2 546 9795</w:t>
            </w:r>
          </w:p>
        </w:tc>
      </w:tr>
      <w:tr w:rsidRPr="001D1C39" w:rsidR="006C19F4" w:rsidTr="00FE3058" w14:paraId="13E41AD9" w14:textId="77777777">
        <w:tc>
          <w:tcPr>
            <w:tcW w:w="1418" w:type="dxa"/>
          </w:tcPr>
          <w:p w:rsidRPr="001D1C39" w:rsidR="006C19F4" w:rsidP="006A5684" w:rsidRDefault="006C19F4" w14:paraId="606A5A69" w14:textId="77777777">
            <w:pPr>
              <w:overflowPunct w:val="0"/>
              <w:autoSpaceDE w:val="0"/>
              <w:autoSpaceDN w:val="0"/>
              <w:adjustRightInd w:val="0"/>
              <w:textAlignment w:val="baseline"/>
              <w:rPr>
                <w:i/>
                <w:sz w:val="22"/>
                <w:szCs w:val="22"/>
              </w:rPr>
            </w:pPr>
            <w:r w:rsidRPr="001D1C39">
              <w:rPr>
                <w:i/>
                <w:sz w:val="22"/>
                <w:szCs w:val="22"/>
              </w:rPr>
              <w:t>E-mail</w:t>
            </w:r>
          </w:p>
        </w:tc>
        <w:tc>
          <w:tcPr>
            <w:tcW w:w="5670" w:type="dxa"/>
          </w:tcPr>
          <w:p w:rsidRPr="001D1C39" w:rsidR="006C19F4" w:rsidP="006A5684" w:rsidRDefault="003D1988" w14:paraId="6B1B5DA3" w14:textId="77777777">
            <w:pPr>
              <w:overflowPunct w:val="0"/>
              <w:autoSpaceDE w:val="0"/>
              <w:autoSpaceDN w:val="0"/>
              <w:adjustRightInd w:val="0"/>
              <w:textAlignment w:val="baseline"/>
              <w:rPr>
                <w:i/>
                <w:sz w:val="22"/>
                <w:szCs w:val="22"/>
              </w:rPr>
            </w:pPr>
            <w:hyperlink w:history="1" r:id="rId21">
              <w:proofErr w:type="spellStart"/>
              <w:r w:rsidRPr="001D1C39" w:rsidR="00D97A3B">
                <w:rPr>
                  <w:i/>
                  <w:color w:val="0000FF"/>
                  <w:sz w:val="22"/>
                  <w:szCs w:val="22"/>
                  <w:u w:val="single"/>
                </w:rPr>
                <w:t>Georgios.Meleas@eesc.europa.eu</w:t>
              </w:r>
              <w:proofErr w:type="spellEnd"/>
            </w:hyperlink>
          </w:p>
        </w:tc>
      </w:tr>
    </w:tbl>
    <w:p w:rsidRPr="001D1C39" w:rsidR="001A5EC5" w:rsidP="006A5684" w:rsidRDefault="001A5EC5" w14:paraId="3A3398AC" w14:textId="4B0EF5D3">
      <w:pPr>
        <w:tabs>
          <w:tab w:val="center" w:pos="284"/>
        </w:tabs>
        <w:overflowPunct w:val="0"/>
        <w:autoSpaceDE w:val="0"/>
        <w:autoSpaceDN w:val="0"/>
        <w:adjustRightInd w:val="0"/>
        <w:ind w:left="266" w:hanging="266"/>
        <w:textAlignment w:val="baseline"/>
        <w:rPr>
          <w:b/>
        </w:rPr>
      </w:pPr>
    </w:p>
    <w:p w:rsidR="001A5EC5" w:rsidP="006A5684" w:rsidRDefault="001A5EC5" w14:paraId="17F9882E" w14:textId="77777777">
      <w:pPr>
        <w:jc w:val="left"/>
        <w:rPr>
          <w:b/>
          <w:sz w:val="24"/>
          <w:szCs w:val="24"/>
        </w:rPr>
      </w:pPr>
      <w:r>
        <w:br w:type="page"/>
      </w:r>
    </w:p>
    <w:p w:rsidRPr="00DC0FAE" w:rsidR="001A5EC5" w:rsidP="006A5684" w:rsidRDefault="003D1988" w14:paraId="5AEA0F19" w14:textId="7A5418D6">
      <w:pPr>
        <w:widowControl w:val="0"/>
        <w:numPr>
          <w:ilvl w:val="0"/>
          <w:numId w:val="7"/>
        </w:numPr>
        <w:overflowPunct w:val="0"/>
        <w:autoSpaceDE w:val="0"/>
        <w:autoSpaceDN w:val="0"/>
        <w:adjustRightInd w:val="0"/>
        <w:ind w:left="283"/>
        <w:textAlignment w:val="baseline"/>
        <w:rPr>
          <w:b/>
          <w:i/>
          <w:iCs/>
          <w:sz w:val="28"/>
          <w:szCs w:val="28"/>
        </w:rPr>
      </w:pPr>
      <w:hyperlink w:history="1" r:id="rId22">
        <w:r w:rsidR="00D97A3B">
          <w:rPr>
            <w:b/>
            <w:i/>
            <w:color w:val="0000FF"/>
            <w:sz w:val="28"/>
            <w:u w:val="single"/>
          </w:rPr>
          <w:t>Den 9. samhørighedsrapport</w:t>
        </w:r>
      </w:hyperlink>
    </w:p>
    <w:p w:rsidRPr="001D1C39" w:rsidR="00444F0D" w:rsidP="006A5684" w:rsidRDefault="00444F0D" w14:paraId="5992C072" w14:textId="77777777">
      <w:pPr>
        <w:widowControl w:val="0"/>
        <w:overflowPunct w:val="0"/>
        <w:autoSpaceDE w:val="0"/>
        <w:autoSpaceDN w:val="0"/>
        <w:adjustRightInd w:val="0"/>
        <w:ind w:left="284"/>
        <w:textAlignment w:val="baseline"/>
        <w:rPr>
          <w:b/>
          <w:i/>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D1C39" w:rsidR="001A5EC5" w:rsidTr="001D1C39" w14:paraId="44793051" w14:textId="77777777">
        <w:tc>
          <w:tcPr>
            <w:tcW w:w="1701" w:type="dxa"/>
          </w:tcPr>
          <w:p w:rsidRPr="001D1C39" w:rsidR="001A5EC5" w:rsidP="006A5684" w:rsidRDefault="001A5EC5" w14:paraId="463E72CE" w14:textId="77777777">
            <w:pPr>
              <w:overflowPunct w:val="0"/>
              <w:autoSpaceDE w:val="0"/>
              <w:autoSpaceDN w:val="0"/>
              <w:adjustRightInd w:val="0"/>
              <w:textAlignment w:val="baseline"/>
              <w:rPr>
                <w:b/>
                <w:sz w:val="22"/>
                <w:szCs w:val="22"/>
              </w:rPr>
            </w:pPr>
            <w:r w:rsidRPr="001D1C39">
              <w:rPr>
                <w:b/>
                <w:sz w:val="22"/>
                <w:szCs w:val="22"/>
              </w:rPr>
              <w:t>Ordfører</w:t>
            </w:r>
          </w:p>
        </w:tc>
        <w:tc>
          <w:tcPr>
            <w:tcW w:w="5387" w:type="dxa"/>
          </w:tcPr>
          <w:p w:rsidRPr="001D1C39" w:rsidR="001A5EC5" w:rsidP="006A5684" w:rsidRDefault="001A5EC5" w14:paraId="64C714E3" w14:textId="77777777">
            <w:pPr>
              <w:overflowPunct w:val="0"/>
              <w:autoSpaceDE w:val="0"/>
              <w:autoSpaceDN w:val="0"/>
              <w:adjustRightInd w:val="0"/>
              <w:ind w:left="174" w:hanging="266"/>
              <w:textAlignment w:val="baseline"/>
              <w:rPr>
                <w:bCs/>
                <w:sz w:val="22"/>
                <w:szCs w:val="22"/>
              </w:rPr>
            </w:pPr>
            <w:r w:rsidRPr="001D1C39">
              <w:rPr>
                <w:sz w:val="22"/>
                <w:szCs w:val="22"/>
              </w:rPr>
              <w:t xml:space="preserve">Matteo Carlo </w:t>
            </w:r>
            <w:proofErr w:type="spellStart"/>
            <w:r w:rsidRPr="001D1C39">
              <w:rPr>
                <w:sz w:val="22"/>
                <w:szCs w:val="22"/>
              </w:rPr>
              <w:t>Borsani</w:t>
            </w:r>
            <w:proofErr w:type="spellEnd"/>
            <w:r w:rsidRPr="001D1C39">
              <w:rPr>
                <w:sz w:val="22"/>
                <w:szCs w:val="22"/>
              </w:rPr>
              <w:t xml:space="preserve"> (Arbejdsgivergruppen – IT)</w:t>
            </w:r>
          </w:p>
        </w:tc>
      </w:tr>
      <w:tr w:rsidRPr="001D1C39" w:rsidR="001A5EC5" w:rsidTr="001D1C39" w14:paraId="32E56BAC" w14:textId="77777777">
        <w:tc>
          <w:tcPr>
            <w:tcW w:w="7088" w:type="dxa"/>
            <w:gridSpan w:val="2"/>
          </w:tcPr>
          <w:p w:rsidRPr="001D1C39" w:rsidR="001A5EC5" w:rsidP="006A5684" w:rsidRDefault="001A5EC5" w14:paraId="783F63D2" w14:textId="77777777">
            <w:pPr>
              <w:overflowPunct w:val="0"/>
              <w:autoSpaceDE w:val="0"/>
              <w:autoSpaceDN w:val="0"/>
              <w:adjustRightInd w:val="0"/>
              <w:textAlignment w:val="baseline"/>
              <w:rPr>
                <w:sz w:val="22"/>
                <w:szCs w:val="22"/>
              </w:rPr>
            </w:pPr>
          </w:p>
        </w:tc>
      </w:tr>
      <w:tr w:rsidRPr="001D1C39" w:rsidR="001A5EC5" w:rsidTr="001D1C39" w14:paraId="2A351EBF" w14:textId="77777777">
        <w:tc>
          <w:tcPr>
            <w:tcW w:w="1701" w:type="dxa"/>
          </w:tcPr>
          <w:p w:rsidRPr="001D1C39" w:rsidR="001A5EC5" w:rsidP="006A5684" w:rsidRDefault="001A5EC5" w14:paraId="26606D0B" w14:textId="77777777">
            <w:pPr>
              <w:overflowPunct w:val="0"/>
              <w:autoSpaceDE w:val="0"/>
              <w:autoSpaceDN w:val="0"/>
              <w:adjustRightInd w:val="0"/>
              <w:textAlignment w:val="baseline"/>
              <w:rPr>
                <w:b/>
                <w:sz w:val="22"/>
                <w:szCs w:val="22"/>
              </w:rPr>
            </w:pPr>
            <w:r w:rsidRPr="001D1C39">
              <w:rPr>
                <w:b/>
                <w:sz w:val="22"/>
                <w:szCs w:val="22"/>
              </w:rPr>
              <w:t>Ref.</w:t>
            </w:r>
          </w:p>
        </w:tc>
        <w:tc>
          <w:tcPr>
            <w:tcW w:w="5387" w:type="dxa"/>
          </w:tcPr>
          <w:p w:rsidRPr="001D1C39" w:rsidR="001A5EC5" w:rsidP="006A5684" w:rsidRDefault="001A5EC5" w14:paraId="5C440461" w14:textId="77777777">
            <w:pPr>
              <w:overflowPunct w:val="0"/>
              <w:autoSpaceDE w:val="0"/>
              <w:autoSpaceDN w:val="0"/>
              <w:adjustRightInd w:val="0"/>
              <w:ind w:left="174" w:hanging="266"/>
              <w:textAlignment w:val="baseline"/>
              <w:rPr>
                <w:sz w:val="22"/>
                <w:szCs w:val="22"/>
              </w:rPr>
            </w:pPr>
            <w:r w:rsidRPr="001D1C39">
              <w:rPr>
                <w:sz w:val="22"/>
                <w:szCs w:val="22"/>
              </w:rPr>
              <w:t>COM(2024) 149 final</w:t>
            </w:r>
          </w:p>
          <w:p w:rsidRPr="001D1C39" w:rsidR="001A5EC5" w:rsidP="006A5684" w:rsidRDefault="001A5EC5" w14:paraId="3868DEB9" w14:textId="77777777">
            <w:pPr>
              <w:overflowPunct w:val="0"/>
              <w:autoSpaceDE w:val="0"/>
              <w:autoSpaceDN w:val="0"/>
              <w:adjustRightInd w:val="0"/>
              <w:ind w:left="174" w:hanging="266"/>
              <w:textAlignment w:val="baseline"/>
              <w:rPr>
                <w:sz w:val="22"/>
                <w:szCs w:val="22"/>
              </w:rPr>
            </w:pPr>
            <w:r w:rsidRPr="001D1C39">
              <w:rPr>
                <w:sz w:val="22"/>
                <w:szCs w:val="22"/>
              </w:rPr>
              <w:t>EESC-2024-00987-00-00-AC</w:t>
            </w:r>
          </w:p>
        </w:tc>
      </w:tr>
    </w:tbl>
    <w:p w:rsidRPr="001D1C39" w:rsidR="001A5EC5" w:rsidP="006A5684" w:rsidRDefault="001A5EC5" w14:paraId="52E9606C" w14:textId="77777777">
      <w:pPr>
        <w:keepNext/>
        <w:keepLines/>
        <w:tabs>
          <w:tab w:val="center" w:pos="284"/>
        </w:tabs>
        <w:overflowPunct w:val="0"/>
        <w:autoSpaceDE w:val="0"/>
        <w:autoSpaceDN w:val="0"/>
        <w:adjustRightInd w:val="0"/>
        <w:ind w:left="266" w:hanging="266"/>
        <w:textAlignment w:val="baseline"/>
        <w:rPr>
          <w:b/>
        </w:rPr>
      </w:pPr>
      <w:r w:rsidRPr="001D1C39">
        <w:rPr>
          <w:b/>
        </w:rPr>
        <w:t>Hovedpunkter</w:t>
      </w:r>
    </w:p>
    <w:p w:rsidRPr="001D1C39" w:rsidR="001A5EC5" w:rsidP="006A5684" w:rsidRDefault="001A5EC5" w14:paraId="5E2503AC" w14:textId="77777777">
      <w:pPr>
        <w:overflowPunct w:val="0"/>
        <w:autoSpaceDE w:val="0"/>
        <w:autoSpaceDN w:val="0"/>
        <w:adjustRightInd w:val="0"/>
        <w:textAlignment w:val="baseline"/>
        <w:rPr>
          <w:bCs/>
          <w:iCs/>
        </w:rPr>
      </w:pPr>
    </w:p>
    <w:p w:rsidRPr="001D1C39" w:rsidR="001A5EC5" w:rsidP="006A5684" w:rsidRDefault="001A5EC5" w14:paraId="4D0AC1AA" w14:textId="6DEDCE45">
      <w:pPr>
        <w:overflowPunct w:val="0"/>
        <w:autoSpaceDE w:val="0"/>
        <w:autoSpaceDN w:val="0"/>
        <w:adjustRightInd w:val="0"/>
        <w:textAlignment w:val="baseline"/>
        <w:rPr>
          <w:bCs/>
          <w:iCs/>
        </w:rPr>
      </w:pPr>
      <w:r w:rsidRPr="001D1C39">
        <w:t>EØSU:</w:t>
      </w:r>
    </w:p>
    <w:p w:rsidRPr="001D1C39" w:rsidR="001A5EC5" w:rsidP="006A5684" w:rsidRDefault="001A5EC5" w14:paraId="1478D8F5" w14:textId="77777777">
      <w:pPr>
        <w:numPr>
          <w:ilvl w:val="0"/>
          <w:numId w:val="14"/>
        </w:numPr>
        <w:overflowPunct w:val="0"/>
        <w:autoSpaceDE w:val="0"/>
        <w:autoSpaceDN w:val="0"/>
        <w:adjustRightInd w:val="0"/>
        <w:contextualSpacing/>
        <w:jc w:val="left"/>
        <w:textAlignment w:val="baseline"/>
        <w:rPr>
          <w:bCs/>
          <w:iCs/>
        </w:rPr>
      </w:pPr>
      <w:r w:rsidRPr="001D1C39">
        <w:t xml:space="preserve">bifalder fremlæggelsen af den 9. samhørighedsrapport og anser beskrivelsen af resultaterne for at være omfattende og nøjagtig samt et nyttigt udgangspunkt for at gøre status over de indhøstede erfaringer </w:t>
      </w:r>
    </w:p>
    <w:p w:rsidRPr="001D1C39" w:rsidR="001A5EC5" w:rsidP="006A5684" w:rsidRDefault="001A5EC5" w14:paraId="7B27E433" w14:textId="77777777">
      <w:pPr>
        <w:numPr>
          <w:ilvl w:val="0"/>
          <w:numId w:val="14"/>
        </w:numPr>
        <w:overflowPunct w:val="0"/>
        <w:autoSpaceDE w:val="0"/>
        <w:autoSpaceDN w:val="0"/>
        <w:adjustRightInd w:val="0"/>
        <w:contextualSpacing/>
        <w:textAlignment w:val="baseline"/>
        <w:rPr>
          <w:bCs/>
          <w:iCs/>
        </w:rPr>
      </w:pPr>
      <w:r w:rsidRPr="001D1C39">
        <w:t>anbefaler, at investeringer og politikker har fokus på at styrke produktionsgrundlaget og dermed forbedre den territoriale samhørighed, og udvalget understreger, at en positiv sammenhæng mellem produktivitetsvækst og en stigning i BNP pr. indbygger har vist sig at være den eneste lighed mellem væksten i alle typer regioner</w:t>
      </w:r>
    </w:p>
    <w:p w:rsidRPr="001D1C39" w:rsidR="001A5EC5" w:rsidP="006A5684" w:rsidRDefault="001A5EC5" w14:paraId="446A7762" w14:textId="77777777">
      <w:pPr>
        <w:numPr>
          <w:ilvl w:val="0"/>
          <w:numId w:val="14"/>
        </w:numPr>
        <w:overflowPunct w:val="0"/>
        <w:autoSpaceDE w:val="0"/>
        <w:autoSpaceDN w:val="0"/>
        <w:adjustRightInd w:val="0"/>
        <w:contextualSpacing/>
        <w:textAlignment w:val="baseline"/>
        <w:rPr>
          <w:rFonts w:ascii="Calibri" w:hAnsi="Calibri"/>
        </w:rPr>
      </w:pPr>
      <w:r w:rsidRPr="001D1C39">
        <w:t>understreger konkurrenceevnens betydning for fremme af den økonomiske samhørighed, og betydningen af produktive investeringer, der kan stimulere denne konkurrenceevne og den økonomiske vækst, hvilket igen har en positiv afsmittende virkning på den territoriale og sociale samhørighed. Udvalget understreger også, at det er vigtigt, at store virksomheder, der er en del af SMV'ernes økosystem, får adgang til midler fra samhørighedspolitikken til produktive investeringer, forudsat at de positive virkninger af disse investeringer får en kaskadevirkning i lokalområdet og samfundet. Resultaterne af den økonomiske samhørighed bør ikke kun måles på omfanget af økonomiske investeringer i et bestemt område, men også med hensyn til territoriale og sociale resultater</w:t>
      </w:r>
    </w:p>
    <w:p w:rsidRPr="001D1C39" w:rsidR="001A5EC5" w:rsidP="006A5684" w:rsidRDefault="001A5EC5" w14:paraId="4372B202" w14:textId="6F9F10DF">
      <w:pPr>
        <w:numPr>
          <w:ilvl w:val="0"/>
          <w:numId w:val="14"/>
        </w:numPr>
        <w:overflowPunct w:val="0"/>
        <w:autoSpaceDE w:val="0"/>
        <w:autoSpaceDN w:val="0"/>
        <w:adjustRightInd w:val="0"/>
        <w:contextualSpacing/>
        <w:textAlignment w:val="baseline"/>
        <w:rPr>
          <w:bCs/>
          <w:iCs/>
        </w:rPr>
      </w:pPr>
      <w:r w:rsidRPr="001D1C39">
        <w:t>understreger betydningen af et velfungerende og inklusivt arbejdsmarked for at øge den sociale samhørighed, hvilket kan opnås ved hjælp af foranstaltninger, der har til formål at give EU</w:t>
      </w:r>
      <w:r w:rsidR="006A5684">
        <w:noBreakHyphen/>
      </w:r>
      <w:r w:rsidRPr="001D1C39">
        <w:t>borgerne og arbejdstagerne de rette færdigheder til at komme ind på og bevæge sig rundt på arbejdsmarkedet. I den forbindelse anbefaler udvalget, at beskæftigelsesfremmende politikker kombineres med politikker, der stimulerer beskæftigelsesegnetheden, bl.a. ved at fokusere på de dele af samfundet, der risikerer at blive ladt i stikken, og ved at fremme inklusion af personer, der i øjeblikket ikke er en del af arbejdsmarkedet</w:t>
      </w:r>
    </w:p>
    <w:p w:rsidRPr="001D1C39" w:rsidR="001A5EC5" w:rsidP="006A5684" w:rsidRDefault="001A5EC5" w14:paraId="2223D48A" w14:textId="77777777">
      <w:pPr>
        <w:numPr>
          <w:ilvl w:val="0"/>
          <w:numId w:val="14"/>
        </w:numPr>
        <w:overflowPunct w:val="0"/>
        <w:autoSpaceDE w:val="0"/>
        <w:autoSpaceDN w:val="0"/>
        <w:adjustRightInd w:val="0"/>
        <w:contextualSpacing/>
        <w:textAlignment w:val="baseline"/>
        <w:rPr>
          <w:bCs/>
          <w:iCs/>
        </w:rPr>
      </w:pPr>
      <w:r w:rsidRPr="001D1C39">
        <w:t>anbefaler en forøgelse af de strategiske investeringer i den lokale og regionale forvaltning for at styrke det system, der spiller en central rolle i gennemførelsen af programmerne. Social, økonomisk og territorial samhørighed kan nemlig ikke realiseres, uden at der først sikres sammenhæng i de offentlige forvaltningers kapacitet</w:t>
      </w:r>
    </w:p>
    <w:p w:rsidRPr="001D1C39" w:rsidR="001A5EC5" w:rsidP="006A5684" w:rsidRDefault="001A5EC5" w14:paraId="539D757E" w14:textId="77777777">
      <w:pPr>
        <w:numPr>
          <w:ilvl w:val="0"/>
          <w:numId w:val="14"/>
        </w:numPr>
        <w:overflowPunct w:val="0"/>
        <w:autoSpaceDE w:val="0"/>
        <w:autoSpaceDN w:val="0"/>
        <w:adjustRightInd w:val="0"/>
        <w:contextualSpacing/>
        <w:textAlignment w:val="baseline"/>
        <w:rPr>
          <w:bCs/>
          <w:iCs/>
        </w:rPr>
      </w:pPr>
      <w:r w:rsidRPr="001D1C39">
        <w:t>anbefaler, at man sikrer inddragelsen af de regionale og lokale myndigheder, at partnerskabsprincippet respekteres, og at arbejdsmarkedets parter og civilsamfundsorganisationerne inddrages i overvejelserne om samhørighedspolitikkens fremtid</w:t>
      </w:r>
    </w:p>
    <w:p w:rsidRPr="001D1C39" w:rsidR="001A5EC5" w:rsidP="006A5684" w:rsidRDefault="001A5EC5" w14:paraId="5AB147ED" w14:textId="77777777">
      <w:pPr>
        <w:numPr>
          <w:ilvl w:val="0"/>
          <w:numId w:val="14"/>
        </w:numPr>
        <w:overflowPunct w:val="0"/>
        <w:autoSpaceDE w:val="0"/>
        <w:autoSpaceDN w:val="0"/>
        <w:adjustRightInd w:val="0"/>
        <w:contextualSpacing/>
        <w:textAlignment w:val="baseline"/>
        <w:rPr>
          <w:bCs/>
          <w:iCs/>
        </w:rPr>
      </w:pPr>
      <w:r w:rsidRPr="001D1C39">
        <w:t>opfordrer medlovgiverne til at gøre det samlede budget for FFR mere ambitiøst og sikre tilstrækkelig finansiering til samhørighedspolitikken, herunder i lyset af det fremtidige behov for EU-investeringer i forsvar og et EU med flere end 27 medlemsstater</w:t>
      </w:r>
    </w:p>
    <w:p w:rsidRPr="001D1C39" w:rsidR="001A5EC5" w:rsidP="006A5684" w:rsidRDefault="001A5EC5" w14:paraId="5E21312D" w14:textId="7C3462A4">
      <w:pPr>
        <w:numPr>
          <w:ilvl w:val="0"/>
          <w:numId w:val="14"/>
        </w:numPr>
        <w:overflowPunct w:val="0"/>
        <w:autoSpaceDE w:val="0"/>
        <w:autoSpaceDN w:val="0"/>
        <w:adjustRightInd w:val="0"/>
        <w:contextualSpacing/>
        <w:textAlignment w:val="baseline"/>
        <w:rPr>
          <w:bCs/>
          <w:iCs/>
        </w:rPr>
      </w:pPr>
      <w:r w:rsidRPr="001D1C39">
        <w:t xml:space="preserve">anbefaler på den baggrund, at der tages højde for de fremtidige udvidelser, som EU har planer om, hvilket kræver en effektiv og velfungerende samhørighedspolitik, der kan sikre en </w:t>
      </w:r>
      <w:r w:rsidRPr="001D1C39">
        <w:lastRenderedPageBreak/>
        <w:t>gnidningsløs integration af fremtidige medlemsstater, uden at det går ud over investeringerne i de nuværende udviklingsregioner</w:t>
      </w:r>
    </w:p>
    <w:p w:rsidRPr="001D1C39" w:rsidR="001A5EC5" w:rsidP="006A5684" w:rsidRDefault="001A5EC5" w14:paraId="3A6882A2" w14:textId="6ED2155C">
      <w:pPr>
        <w:numPr>
          <w:ilvl w:val="0"/>
          <w:numId w:val="14"/>
        </w:numPr>
        <w:overflowPunct w:val="0"/>
        <w:autoSpaceDE w:val="0"/>
        <w:autoSpaceDN w:val="0"/>
        <w:adjustRightInd w:val="0"/>
        <w:contextualSpacing/>
        <w:textAlignment w:val="baseline"/>
        <w:rPr>
          <w:bCs/>
          <w:iCs/>
        </w:rPr>
      </w:pPr>
      <w:r w:rsidRPr="001D1C39">
        <w:t>anbefaler endelig, at der anvendes automatiske og brugervenlige investeringsværktøjer ved omstillingen til et mere intelligent og grønnere Europa. Udfordringerne i forbindelse med den retfærdige grønne og digitale omstilling og de ambitiøse mål herfor kræver tempo og parathed.</w:t>
      </w:r>
      <w:r w:rsidRPr="001D1C39">
        <w:rPr>
          <w:rFonts w:ascii="Calibri" w:hAnsi="Calibri"/>
        </w:rPr>
        <w:t xml:space="preserve"> </w:t>
      </w:r>
    </w:p>
    <w:p w:rsidRPr="001D1C39" w:rsidR="00444F0D" w:rsidP="006A5684" w:rsidRDefault="00444F0D" w14:paraId="0C8A63CF" w14:textId="77777777">
      <w:pPr>
        <w:overflowPunct w:val="0"/>
        <w:autoSpaceDE w:val="0"/>
        <w:autoSpaceDN w:val="0"/>
        <w:adjustRightInd w:val="0"/>
        <w:contextualSpacing/>
        <w:textAlignment w:val="baseline"/>
        <w:rPr>
          <w:bCs/>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D1C39" w:rsidR="001A5EC5" w:rsidTr="00FE3058" w14:paraId="3FFBD53A" w14:textId="77777777">
        <w:tc>
          <w:tcPr>
            <w:tcW w:w="1418" w:type="dxa"/>
          </w:tcPr>
          <w:p w:rsidRPr="001D1C39" w:rsidR="001A5EC5" w:rsidP="006A5684" w:rsidRDefault="001A5EC5" w14:paraId="56686149" w14:textId="77777777">
            <w:pPr>
              <w:overflowPunct w:val="0"/>
              <w:autoSpaceDE w:val="0"/>
              <w:autoSpaceDN w:val="0"/>
              <w:adjustRightInd w:val="0"/>
              <w:textAlignment w:val="baseline"/>
              <w:rPr>
                <w:i/>
                <w:sz w:val="22"/>
                <w:szCs w:val="22"/>
              </w:rPr>
            </w:pPr>
            <w:r w:rsidRPr="001D1C39">
              <w:rPr>
                <w:b/>
                <w:i/>
                <w:sz w:val="22"/>
                <w:szCs w:val="22"/>
              </w:rPr>
              <w:t>Kontakt</w:t>
            </w:r>
          </w:p>
        </w:tc>
        <w:tc>
          <w:tcPr>
            <w:tcW w:w="5670" w:type="dxa"/>
          </w:tcPr>
          <w:p w:rsidRPr="001D1C39" w:rsidR="001A5EC5" w:rsidP="006A5684" w:rsidRDefault="001A5EC5" w14:paraId="7D68FE97" w14:textId="77777777">
            <w:pPr>
              <w:overflowPunct w:val="0"/>
              <w:autoSpaceDE w:val="0"/>
              <w:autoSpaceDN w:val="0"/>
              <w:adjustRightInd w:val="0"/>
              <w:textAlignment w:val="baseline"/>
              <w:rPr>
                <w:i/>
                <w:sz w:val="22"/>
                <w:szCs w:val="22"/>
              </w:rPr>
            </w:pPr>
            <w:r w:rsidRPr="001D1C39">
              <w:rPr>
                <w:i/>
                <w:sz w:val="22"/>
                <w:szCs w:val="22"/>
              </w:rPr>
              <w:t>Georgios Meleas</w:t>
            </w:r>
          </w:p>
        </w:tc>
      </w:tr>
      <w:tr w:rsidRPr="001D1C39" w:rsidR="001A5EC5" w:rsidTr="00FE3058" w14:paraId="654D5086" w14:textId="77777777">
        <w:tc>
          <w:tcPr>
            <w:tcW w:w="1418" w:type="dxa"/>
          </w:tcPr>
          <w:p w:rsidRPr="001D1C39" w:rsidR="001A5EC5" w:rsidP="006A5684" w:rsidRDefault="001A5EC5" w14:paraId="3B2FDAFA" w14:textId="77777777">
            <w:pPr>
              <w:overflowPunct w:val="0"/>
              <w:autoSpaceDE w:val="0"/>
              <w:autoSpaceDN w:val="0"/>
              <w:adjustRightInd w:val="0"/>
              <w:textAlignment w:val="baseline"/>
              <w:rPr>
                <w:i/>
                <w:sz w:val="22"/>
                <w:szCs w:val="22"/>
              </w:rPr>
            </w:pPr>
            <w:r w:rsidRPr="001D1C39">
              <w:rPr>
                <w:i/>
                <w:sz w:val="22"/>
                <w:szCs w:val="22"/>
              </w:rPr>
              <w:t>Tlf.</w:t>
            </w:r>
          </w:p>
        </w:tc>
        <w:tc>
          <w:tcPr>
            <w:tcW w:w="5670" w:type="dxa"/>
          </w:tcPr>
          <w:p w:rsidRPr="001D1C39" w:rsidR="001A5EC5" w:rsidP="006A5684" w:rsidRDefault="001A5EC5" w14:paraId="35F0788C" w14:textId="77777777">
            <w:pPr>
              <w:overflowPunct w:val="0"/>
              <w:autoSpaceDE w:val="0"/>
              <w:autoSpaceDN w:val="0"/>
              <w:adjustRightInd w:val="0"/>
              <w:textAlignment w:val="baseline"/>
              <w:rPr>
                <w:i/>
                <w:sz w:val="22"/>
                <w:szCs w:val="22"/>
              </w:rPr>
            </w:pPr>
            <w:r w:rsidRPr="001D1C39">
              <w:rPr>
                <w:i/>
                <w:sz w:val="22"/>
                <w:szCs w:val="22"/>
              </w:rPr>
              <w:t>00 32 2 546 9795</w:t>
            </w:r>
          </w:p>
        </w:tc>
      </w:tr>
      <w:tr w:rsidRPr="001D1C39" w:rsidR="001A5EC5" w:rsidTr="00FE3058" w14:paraId="710F66DA" w14:textId="77777777">
        <w:tc>
          <w:tcPr>
            <w:tcW w:w="1418" w:type="dxa"/>
          </w:tcPr>
          <w:p w:rsidRPr="001D1C39" w:rsidR="001A5EC5" w:rsidP="006A5684" w:rsidRDefault="001A5EC5" w14:paraId="62171153" w14:textId="77777777">
            <w:pPr>
              <w:overflowPunct w:val="0"/>
              <w:autoSpaceDE w:val="0"/>
              <w:autoSpaceDN w:val="0"/>
              <w:adjustRightInd w:val="0"/>
              <w:textAlignment w:val="baseline"/>
              <w:rPr>
                <w:i/>
                <w:sz w:val="22"/>
                <w:szCs w:val="22"/>
              </w:rPr>
            </w:pPr>
            <w:r w:rsidRPr="001D1C39">
              <w:rPr>
                <w:i/>
                <w:sz w:val="22"/>
                <w:szCs w:val="22"/>
              </w:rPr>
              <w:t>E-mail</w:t>
            </w:r>
          </w:p>
        </w:tc>
        <w:tc>
          <w:tcPr>
            <w:tcW w:w="5670" w:type="dxa"/>
          </w:tcPr>
          <w:p w:rsidRPr="001D1C39" w:rsidR="001A5EC5" w:rsidP="006A5684" w:rsidRDefault="003D1988" w14:paraId="2A008587" w14:textId="77777777">
            <w:pPr>
              <w:overflowPunct w:val="0"/>
              <w:autoSpaceDE w:val="0"/>
              <w:autoSpaceDN w:val="0"/>
              <w:adjustRightInd w:val="0"/>
              <w:textAlignment w:val="baseline"/>
              <w:rPr>
                <w:i/>
                <w:sz w:val="22"/>
                <w:szCs w:val="22"/>
              </w:rPr>
            </w:pPr>
            <w:hyperlink w:history="1" r:id="rId23">
              <w:proofErr w:type="spellStart"/>
              <w:r w:rsidRPr="001D1C39" w:rsidR="00D97A3B">
                <w:rPr>
                  <w:i/>
                  <w:color w:val="0000FF"/>
                  <w:sz w:val="22"/>
                  <w:szCs w:val="22"/>
                  <w:u w:val="single"/>
                </w:rPr>
                <w:t>Georgios.Meleas@eesc.europa.eu</w:t>
              </w:r>
              <w:proofErr w:type="spellEnd"/>
            </w:hyperlink>
            <w:r w:rsidRPr="001D1C39" w:rsidR="00D97A3B">
              <w:rPr>
                <w:i/>
                <w:sz w:val="22"/>
                <w:szCs w:val="22"/>
              </w:rPr>
              <w:t xml:space="preserve"> </w:t>
            </w:r>
          </w:p>
        </w:tc>
      </w:tr>
    </w:tbl>
    <w:p w:rsidRPr="001D1C39" w:rsidR="005C28F2" w:rsidP="006A5684" w:rsidRDefault="005C28F2" w14:paraId="75A160E4" w14:textId="4CAAFB00">
      <w:pPr>
        <w:tabs>
          <w:tab w:val="center" w:pos="284"/>
        </w:tabs>
        <w:overflowPunct w:val="0"/>
        <w:autoSpaceDE w:val="0"/>
        <w:autoSpaceDN w:val="0"/>
        <w:adjustRightInd w:val="0"/>
        <w:ind w:left="266" w:hanging="266"/>
        <w:textAlignment w:val="baseline"/>
        <w:rPr>
          <w:b/>
        </w:rPr>
      </w:pPr>
    </w:p>
    <w:p w:rsidR="005C28F2" w:rsidP="006A5684" w:rsidRDefault="005C28F2" w14:paraId="566BFFD9" w14:textId="77777777">
      <w:pPr>
        <w:jc w:val="left"/>
        <w:rPr>
          <w:b/>
          <w:sz w:val="24"/>
          <w:szCs w:val="24"/>
        </w:rPr>
      </w:pPr>
      <w:r>
        <w:br w:type="page"/>
      </w:r>
    </w:p>
    <w:p w:rsidRPr="00502E1F" w:rsidR="00502E1F" w:rsidP="006A5684" w:rsidRDefault="003D1988" w14:paraId="26F82B31" w14:textId="13D21940">
      <w:pPr>
        <w:pStyle w:val="Heading1"/>
        <w:tabs>
          <w:tab w:val="clear" w:pos="440"/>
          <w:tab w:val="left" w:pos="567"/>
        </w:tabs>
        <w:spacing w:before="0"/>
        <w:ind w:left="567" w:right="0" w:hanging="567"/>
        <w:rPr>
          <w:color w:val="000000" w:themeColor="text1"/>
        </w:rPr>
      </w:pPr>
      <w:hyperlink w:history="1" w:anchor="_Toc159831769">
        <w:bookmarkStart w:name="_Toc169790071" w:id="1"/>
        <w:r w:rsidR="005C28F2">
          <w:rPr>
            <w:rStyle w:val="Hyperlink"/>
            <w:b/>
            <w:color w:val="000000" w:themeColor="text1"/>
            <w:u w:val="none"/>
          </w:rPr>
          <w:t>BESKÆFTIGELSE, SOCIALE SPØRGSMÅL OG UNIONSBORGERSKAB</w:t>
        </w:r>
        <w:bookmarkEnd w:id="1"/>
      </w:hyperlink>
    </w:p>
    <w:p w:rsidR="00502E1F" w:rsidP="006A5684" w:rsidRDefault="00502E1F" w14:paraId="7FCC1962" w14:textId="6F84DBB9"/>
    <w:p w:rsidRPr="001D1C39" w:rsidR="004E7105" w:rsidP="006A5684" w:rsidRDefault="003D1988" w14:paraId="7766257F" w14:textId="31A79F30">
      <w:pPr>
        <w:widowControl w:val="0"/>
        <w:numPr>
          <w:ilvl w:val="0"/>
          <w:numId w:val="7"/>
        </w:numPr>
        <w:overflowPunct w:val="0"/>
        <w:autoSpaceDE w:val="0"/>
        <w:autoSpaceDN w:val="0"/>
        <w:adjustRightInd w:val="0"/>
        <w:ind w:hanging="567"/>
        <w:textAlignment w:val="baseline"/>
        <w:rPr>
          <w:b/>
          <w:bCs/>
          <w:i/>
          <w:iCs/>
          <w:color w:val="0000FF"/>
          <w:u w:val="single"/>
        </w:rPr>
      </w:pPr>
      <w:hyperlink w:history="1" r:id="rId24">
        <w:r w:rsidR="00D97A3B">
          <w:rPr>
            <w:b/>
            <w:i/>
            <w:color w:val="0000FF"/>
            <w:sz w:val="28"/>
            <w:u w:val="single"/>
          </w:rPr>
          <w:t>Kræft, der kan forebygges ved vaccination</w:t>
        </w:r>
      </w:hyperlink>
      <w:r w:rsidRPr="001D1C39" w:rsidR="004E7105">
        <w:rPr>
          <w:b/>
          <w:i/>
        </w:rPr>
        <w:fldChar w:fldCharType="begin"/>
      </w:r>
      <w:r w:rsidRPr="001D1C39" w:rsidR="004E7105">
        <w:rPr>
          <w:b/>
          <w:i/>
        </w:rPr>
        <w:instrText xml:space="preserve"> HYPERLINK "https://www.eesc.europa.eu/da/our-work/opinions-information-reports/opinions/anti-smuggling-package" </w:instrText>
      </w:r>
      <w:r w:rsidRPr="001D1C39" w:rsidR="004E7105">
        <w:rPr>
          <w:b/>
          <w:i/>
        </w:rPr>
        <w:fldChar w:fldCharType="separate"/>
      </w:r>
    </w:p>
    <w:p w:rsidRPr="001D1C39" w:rsidR="004E7105" w:rsidP="006A5684" w:rsidRDefault="004E7105" w14:paraId="24B983D5" w14:textId="763F0B12">
      <w:pPr>
        <w:widowControl w:val="0"/>
        <w:overflowPunct w:val="0"/>
        <w:autoSpaceDE w:val="0"/>
        <w:autoSpaceDN w:val="0"/>
        <w:adjustRightInd w:val="0"/>
        <w:ind w:left="567"/>
        <w:textAlignment w:val="baseline"/>
        <w:rPr>
          <w:b/>
          <w:i/>
        </w:rPr>
      </w:pPr>
      <w:r w:rsidRPr="001D1C39">
        <w:rPr>
          <w:b/>
          <w:i/>
        </w:rPr>
        <w:fldChar w:fldCharType="end"/>
      </w:r>
    </w:p>
    <w:tbl>
      <w:tblPr>
        <w:tblStyle w:val="TableGrid214"/>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572"/>
      </w:tblGrid>
      <w:tr w:rsidRPr="001D1C39" w:rsidR="004E7105" w:rsidTr="00FE3058" w14:paraId="71118AAD" w14:textId="77777777">
        <w:tc>
          <w:tcPr>
            <w:tcW w:w="1522" w:type="pct"/>
          </w:tcPr>
          <w:p w:rsidRPr="001D1C39" w:rsidR="004E7105" w:rsidP="006A5684" w:rsidRDefault="004E7105" w14:paraId="7C033E3E" w14:textId="77777777">
            <w:pPr>
              <w:widowControl w:val="0"/>
              <w:overflowPunct w:val="0"/>
              <w:autoSpaceDE w:val="0"/>
              <w:autoSpaceDN w:val="0"/>
              <w:adjustRightInd w:val="0"/>
              <w:textAlignment w:val="baseline"/>
              <w:rPr>
                <w:b/>
                <w:sz w:val="22"/>
                <w:szCs w:val="22"/>
              </w:rPr>
            </w:pPr>
            <w:r w:rsidRPr="001D1C39">
              <w:rPr>
                <w:b/>
                <w:sz w:val="22"/>
                <w:szCs w:val="22"/>
              </w:rPr>
              <w:t>Ordfører</w:t>
            </w:r>
          </w:p>
          <w:p w:rsidRPr="001D1C39" w:rsidR="004E7105" w:rsidP="006A5684" w:rsidRDefault="004E7105" w14:paraId="2377D5BF" w14:textId="77777777">
            <w:pPr>
              <w:widowControl w:val="0"/>
              <w:overflowPunct w:val="0"/>
              <w:autoSpaceDE w:val="0"/>
              <w:autoSpaceDN w:val="0"/>
              <w:adjustRightInd w:val="0"/>
              <w:textAlignment w:val="baseline"/>
              <w:rPr>
                <w:b/>
                <w:sz w:val="22"/>
                <w:szCs w:val="22"/>
              </w:rPr>
            </w:pPr>
            <w:r w:rsidRPr="001D1C39">
              <w:rPr>
                <w:b/>
                <w:sz w:val="22"/>
                <w:szCs w:val="22"/>
              </w:rPr>
              <w:t>Medordfører</w:t>
            </w:r>
          </w:p>
          <w:p w:rsidRPr="001D1C39" w:rsidR="004E7105" w:rsidP="006A5684" w:rsidRDefault="004E7105" w14:paraId="474FD8BA" w14:textId="77777777">
            <w:pPr>
              <w:widowControl w:val="0"/>
              <w:overflowPunct w:val="0"/>
              <w:autoSpaceDE w:val="0"/>
              <w:autoSpaceDN w:val="0"/>
              <w:adjustRightInd w:val="0"/>
              <w:textAlignment w:val="baseline"/>
              <w:rPr>
                <w:b/>
                <w:sz w:val="22"/>
                <w:szCs w:val="22"/>
              </w:rPr>
            </w:pPr>
          </w:p>
        </w:tc>
        <w:tc>
          <w:tcPr>
            <w:tcW w:w="3478" w:type="pct"/>
          </w:tcPr>
          <w:p w:rsidRPr="001D1C39" w:rsidR="004E7105" w:rsidP="006A5684" w:rsidRDefault="004E7105" w14:paraId="5D3A3754" w14:textId="77777777">
            <w:pPr>
              <w:widowControl w:val="0"/>
              <w:tabs>
                <w:tab w:val="left" w:pos="4572"/>
              </w:tabs>
              <w:overflowPunct w:val="0"/>
              <w:autoSpaceDE w:val="0"/>
              <w:autoSpaceDN w:val="0"/>
              <w:adjustRightInd w:val="0"/>
              <w:ind w:left="-113"/>
              <w:textAlignment w:val="baseline"/>
              <w:rPr>
                <w:sz w:val="22"/>
                <w:szCs w:val="22"/>
              </w:rPr>
            </w:pPr>
            <w:r w:rsidRPr="001D1C39">
              <w:rPr>
                <w:sz w:val="22"/>
                <w:szCs w:val="22"/>
              </w:rPr>
              <w:t xml:space="preserve">Milena </w:t>
            </w:r>
            <w:proofErr w:type="spellStart"/>
            <w:r w:rsidRPr="001D1C39">
              <w:rPr>
                <w:sz w:val="22"/>
                <w:szCs w:val="22"/>
              </w:rPr>
              <w:t>Angelova</w:t>
            </w:r>
            <w:proofErr w:type="spellEnd"/>
            <w:r w:rsidRPr="001D1C39">
              <w:rPr>
                <w:sz w:val="22"/>
                <w:szCs w:val="22"/>
              </w:rPr>
              <w:t xml:space="preserve"> (Arbejdsgivergruppen – BG)</w:t>
            </w:r>
          </w:p>
          <w:p w:rsidRPr="001D1C39" w:rsidR="004E7105" w:rsidP="006A5684" w:rsidRDefault="004E7105" w14:paraId="1D69709A" w14:textId="77777777">
            <w:pPr>
              <w:widowControl w:val="0"/>
              <w:tabs>
                <w:tab w:val="left" w:pos="4572"/>
              </w:tabs>
              <w:overflowPunct w:val="0"/>
              <w:autoSpaceDE w:val="0"/>
              <w:autoSpaceDN w:val="0"/>
              <w:adjustRightInd w:val="0"/>
              <w:ind w:left="-113"/>
              <w:textAlignment w:val="baseline"/>
              <w:rPr>
                <w:sz w:val="22"/>
                <w:szCs w:val="22"/>
              </w:rPr>
            </w:pPr>
            <w:proofErr w:type="spellStart"/>
            <w:r w:rsidRPr="001D1C39">
              <w:rPr>
                <w:sz w:val="22"/>
                <w:szCs w:val="22"/>
              </w:rPr>
              <w:t>Sára</w:t>
            </w:r>
            <w:proofErr w:type="spellEnd"/>
            <w:r w:rsidRPr="001D1C39">
              <w:rPr>
                <w:sz w:val="22"/>
                <w:szCs w:val="22"/>
              </w:rPr>
              <w:t xml:space="preserve"> </w:t>
            </w:r>
            <w:proofErr w:type="spellStart"/>
            <w:r w:rsidRPr="001D1C39">
              <w:rPr>
                <w:sz w:val="22"/>
                <w:szCs w:val="22"/>
              </w:rPr>
              <w:t>Felszeghi</w:t>
            </w:r>
            <w:proofErr w:type="spellEnd"/>
            <w:r w:rsidRPr="001D1C39">
              <w:rPr>
                <w:sz w:val="22"/>
                <w:szCs w:val="22"/>
              </w:rPr>
              <w:t xml:space="preserve"> (Arbejdstagergruppen – HU)</w:t>
            </w:r>
          </w:p>
        </w:tc>
      </w:tr>
      <w:tr w:rsidRPr="001D1C39" w:rsidR="004E7105" w:rsidTr="00FE3058" w14:paraId="7E7454B0" w14:textId="77777777">
        <w:tc>
          <w:tcPr>
            <w:tcW w:w="1522" w:type="pct"/>
            <w:vMerge w:val="restart"/>
          </w:tcPr>
          <w:p w:rsidRPr="001D1C39" w:rsidR="004E7105" w:rsidP="006A5684" w:rsidRDefault="004E7105" w14:paraId="4901FAAB" w14:textId="77777777">
            <w:pPr>
              <w:widowControl w:val="0"/>
              <w:overflowPunct w:val="0"/>
              <w:autoSpaceDE w:val="0"/>
              <w:autoSpaceDN w:val="0"/>
              <w:adjustRightInd w:val="0"/>
              <w:textAlignment w:val="baseline"/>
              <w:rPr>
                <w:b/>
                <w:sz w:val="22"/>
                <w:szCs w:val="22"/>
              </w:rPr>
            </w:pPr>
            <w:r w:rsidRPr="001D1C39">
              <w:rPr>
                <w:b/>
                <w:sz w:val="22"/>
                <w:szCs w:val="22"/>
              </w:rPr>
              <w:t>Ref.</w:t>
            </w:r>
          </w:p>
        </w:tc>
        <w:tc>
          <w:tcPr>
            <w:tcW w:w="3478" w:type="pct"/>
          </w:tcPr>
          <w:p w:rsidRPr="001D1C39" w:rsidR="004E7105" w:rsidP="006A5684" w:rsidRDefault="004E7105" w14:paraId="6BFA5AA5" w14:textId="77777777">
            <w:pPr>
              <w:widowControl w:val="0"/>
              <w:tabs>
                <w:tab w:val="left" w:pos="4430"/>
              </w:tabs>
              <w:overflowPunct w:val="0"/>
              <w:autoSpaceDE w:val="0"/>
              <w:autoSpaceDN w:val="0"/>
              <w:adjustRightInd w:val="0"/>
              <w:ind w:left="-113"/>
              <w:textAlignment w:val="baseline"/>
              <w:rPr>
                <w:sz w:val="22"/>
                <w:szCs w:val="22"/>
              </w:rPr>
            </w:pPr>
            <w:r w:rsidRPr="001D1C39">
              <w:rPr>
                <w:sz w:val="22"/>
                <w:szCs w:val="22"/>
              </w:rPr>
              <w:t>COM(2024) 45 final</w:t>
            </w:r>
          </w:p>
        </w:tc>
      </w:tr>
      <w:tr w:rsidRPr="001D1C39" w:rsidR="004E7105" w:rsidTr="00FE3058" w14:paraId="75B0E482" w14:textId="77777777">
        <w:tc>
          <w:tcPr>
            <w:tcW w:w="1522" w:type="pct"/>
            <w:vMerge/>
          </w:tcPr>
          <w:p w:rsidRPr="001D1C39" w:rsidR="004E7105" w:rsidP="006A5684" w:rsidRDefault="004E7105" w14:paraId="4FE1E1BE" w14:textId="77777777">
            <w:pPr>
              <w:widowControl w:val="0"/>
              <w:tabs>
                <w:tab w:val="center" w:pos="284"/>
              </w:tabs>
              <w:overflowPunct w:val="0"/>
              <w:autoSpaceDE w:val="0"/>
              <w:autoSpaceDN w:val="0"/>
              <w:adjustRightInd w:val="0"/>
              <w:ind w:left="266" w:hanging="266"/>
              <w:textAlignment w:val="baseline"/>
              <w:rPr>
                <w:b/>
                <w:sz w:val="22"/>
                <w:szCs w:val="22"/>
              </w:rPr>
            </w:pPr>
          </w:p>
        </w:tc>
        <w:tc>
          <w:tcPr>
            <w:tcW w:w="3478" w:type="pct"/>
          </w:tcPr>
          <w:p w:rsidRPr="001D1C39" w:rsidR="004E7105" w:rsidP="006A5684" w:rsidRDefault="004E7105" w14:paraId="279E0EF7" w14:textId="0692B6D4">
            <w:pPr>
              <w:widowControl w:val="0"/>
              <w:tabs>
                <w:tab w:val="center" w:pos="38"/>
                <w:tab w:val="left" w:pos="4430"/>
              </w:tabs>
              <w:overflowPunct w:val="0"/>
              <w:autoSpaceDE w:val="0"/>
              <w:autoSpaceDN w:val="0"/>
              <w:adjustRightInd w:val="0"/>
              <w:ind w:left="266" w:hanging="370"/>
              <w:textAlignment w:val="baseline"/>
              <w:rPr>
                <w:sz w:val="22"/>
                <w:szCs w:val="22"/>
              </w:rPr>
            </w:pPr>
            <w:r w:rsidRPr="001D1C39">
              <w:rPr>
                <w:sz w:val="22"/>
                <w:szCs w:val="22"/>
              </w:rPr>
              <w:t>EESC-2024-00425-00-00-AC</w:t>
            </w:r>
          </w:p>
        </w:tc>
      </w:tr>
    </w:tbl>
    <w:p w:rsidRPr="001D1C39" w:rsidR="004E7105" w:rsidP="006A5684" w:rsidRDefault="004E7105" w14:paraId="1E3B33B5" w14:textId="77777777">
      <w:pPr>
        <w:widowControl w:val="0"/>
        <w:tabs>
          <w:tab w:val="center" w:pos="284"/>
        </w:tabs>
        <w:overflowPunct w:val="0"/>
        <w:autoSpaceDE w:val="0"/>
        <w:autoSpaceDN w:val="0"/>
        <w:adjustRightInd w:val="0"/>
        <w:ind w:left="266" w:hanging="266"/>
        <w:textAlignment w:val="baseline"/>
        <w:rPr>
          <w:b/>
        </w:rPr>
      </w:pPr>
    </w:p>
    <w:p w:rsidRPr="001D1C39" w:rsidR="004E7105" w:rsidP="006A5684" w:rsidRDefault="004E7105" w14:paraId="603B708E" w14:textId="77777777">
      <w:pPr>
        <w:widowControl w:val="0"/>
        <w:tabs>
          <w:tab w:val="center" w:pos="284"/>
        </w:tabs>
        <w:overflowPunct w:val="0"/>
        <w:autoSpaceDE w:val="0"/>
        <w:autoSpaceDN w:val="0"/>
        <w:adjustRightInd w:val="0"/>
        <w:ind w:left="266" w:hanging="266"/>
        <w:textAlignment w:val="baseline"/>
        <w:rPr>
          <w:b/>
        </w:rPr>
      </w:pPr>
      <w:r w:rsidRPr="001D1C39">
        <w:rPr>
          <w:b/>
        </w:rPr>
        <w:t>Hovedpunkter</w:t>
      </w:r>
    </w:p>
    <w:p w:rsidRPr="001D1C39" w:rsidR="004E7105" w:rsidP="006A5684" w:rsidRDefault="004E7105" w14:paraId="6359F491" w14:textId="77777777">
      <w:pPr>
        <w:widowControl w:val="0"/>
        <w:tabs>
          <w:tab w:val="center" w:pos="284"/>
        </w:tabs>
        <w:overflowPunct w:val="0"/>
        <w:autoSpaceDE w:val="0"/>
        <w:autoSpaceDN w:val="0"/>
        <w:adjustRightInd w:val="0"/>
        <w:ind w:left="266" w:hanging="266"/>
        <w:textAlignment w:val="baseline"/>
        <w:rPr>
          <w:b/>
        </w:rPr>
      </w:pPr>
    </w:p>
    <w:p w:rsidRPr="001D1C39" w:rsidR="004E7105" w:rsidP="006A5684" w:rsidRDefault="004E7105" w14:paraId="0D08379E" w14:textId="77777777">
      <w:pPr>
        <w:widowControl w:val="0"/>
        <w:tabs>
          <w:tab w:val="center" w:pos="284"/>
        </w:tabs>
        <w:overflowPunct w:val="0"/>
        <w:autoSpaceDE w:val="0"/>
        <w:autoSpaceDN w:val="0"/>
        <w:adjustRightInd w:val="0"/>
        <w:ind w:left="266" w:hanging="266"/>
        <w:textAlignment w:val="baseline"/>
      </w:pPr>
      <w:r w:rsidRPr="001D1C39">
        <w:t>EØSU:</w:t>
      </w:r>
    </w:p>
    <w:p w:rsidRPr="001D1C39" w:rsidR="004E7105" w:rsidP="006A5684" w:rsidRDefault="004E7105" w14:paraId="20B5B3BF" w14:textId="574475D7">
      <w:pPr>
        <w:widowControl w:val="0"/>
        <w:numPr>
          <w:ilvl w:val="0"/>
          <w:numId w:val="15"/>
        </w:numPr>
        <w:tabs>
          <w:tab w:val="center" w:pos="284"/>
        </w:tabs>
        <w:overflowPunct w:val="0"/>
        <w:autoSpaceDE w:val="0"/>
        <w:autoSpaceDN w:val="0"/>
        <w:adjustRightInd w:val="0"/>
        <w:ind w:left="284" w:hanging="284"/>
        <w:contextualSpacing/>
        <w:textAlignment w:val="baseline"/>
      </w:pPr>
      <w:r w:rsidRPr="001D1C39">
        <w:t>tilskynder til udveksling af erfaringer og god praksis samt et intensivt samarbejde mellem medlemsstaterne</w:t>
      </w:r>
    </w:p>
    <w:p w:rsidRPr="001D1C39" w:rsidR="004E7105" w:rsidP="006A5684" w:rsidRDefault="004E7105" w14:paraId="00661456" w14:textId="7869AB85">
      <w:pPr>
        <w:widowControl w:val="0"/>
        <w:numPr>
          <w:ilvl w:val="0"/>
          <w:numId w:val="15"/>
        </w:numPr>
        <w:tabs>
          <w:tab w:val="center" w:pos="284"/>
        </w:tabs>
        <w:overflowPunct w:val="0"/>
        <w:autoSpaceDE w:val="0"/>
        <w:autoSpaceDN w:val="0"/>
        <w:adjustRightInd w:val="0"/>
        <w:ind w:left="284" w:hanging="284"/>
        <w:contextualSpacing/>
        <w:textAlignment w:val="baseline"/>
      </w:pPr>
      <w:r w:rsidRPr="001D1C39">
        <w:t>anbefaler, at vaccinationstilslutningen øges ved at fremme både efterspørgsel og udbud og fremhæver behovet for ordentlig information, uddannelse og kommunikation. Udvalget understreger skolesundhedssystemets og forældrenes rolle i denne indsats. Kræftforebyggelse bør betragtes som en prioritet på politisk plan og tildeles de nødvendige finansielle, materielle og menneskelige ressourcer</w:t>
      </w:r>
    </w:p>
    <w:p w:rsidRPr="001D1C39" w:rsidR="004E7105" w:rsidP="006A5684" w:rsidRDefault="004E7105" w14:paraId="565730E6" w14:textId="08E5F52C">
      <w:pPr>
        <w:widowControl w:val="0"/>
        <w:numPr>
          <w:ilvl w:val="0"/>
          <w:numId w:val="15"/>
        </w:numPr>
        <w:tabs>
          <w:tab w:val="center" w:pos="284"/>
        </w:tabs>
        <w:overflowPunct w:val="0"/>
        <w:autoSpaceDE w:val="0"/>
        <w:autoSpaceDN w:val="0"/>
        <w:adjustRightInd w:val="0"/>
        <w:ind w:left="284" w:hanging="284"/>
        <w:contextualSpacing/>
        <w:textAlignment w:val="baseline"/>
      </w:pPr>
      <w:r w:rsidRPr="001D1C39">
        <w:t>opfordrer til, at der gøres en stor indsats for at bekæmpe misinformation og desinformation ved at tilvejebringe videnskabeligt baseret dokumentation og formidle engagerende og faktabaserede oplysninger gennem forskellige kanaler, herunder sociale medier</w:t>
      </w:r>
    </w:p>
    <w:p w:rsidRPr="001D1C39" w:rsidR="004E7105" w:rsidP="006A5684" w:rsidRDefault="004E7105" w14:paraId="7BCF3EFF" w14:textId="78FB432A">
      <w:pPr>
        <w:widowControl w:val="0"/>
        <w:numPr>
          <w:ilvl w:val="0"/>
          <w:numId w:val="15"/>
        </w:numPr>
        <w:tabs>
          <w:tab w:val="center" w:pos="284"/>
        </w:tabs>
        <w:overflowPunct w:val="0"/>
        <w:autoSpaceDE w:val="0"/>
        <w:autoSpaceDN w:val="0"/>
        <w:adjustRightInd w:val="0"/>
        <w:ind w:left="284" w:hanging="284"/>
        <w:contextualSpacing/>
        <w:textAlignment w:val="baseline"/>
      </w:pPr>
      <w:r w:rsidRPr="001D1C39">
        <w:t>mener, at alment praktiserende læger, skolelæger og civilsamfundsorganisationer kan spille en vigtig rolle i indsatsen for at give ordentlig information, mindske frygt og skepsis og tilskynde borgerne til at lade sig vaccinere. For at sikre, at budskaberne er attraktive for unge, går EØSU ind for at styrke kommunikationsindsatsen gennem ungdomsorganisationer</w:t>
      </w:r>
    </w:p>
    <w:p w:rsidRPr="001D1C39" w:rsidR="004E7105" w:rsidP="006A5684" w:rsidRDefault="004E7105" w14:paraId="0DC26772" w14:textId="5A4CAC93">
      <w:pPr>
        <w:widowControl w:val="0"/>
        <w:numPr>
          <w:ilvl w:val="0"/>
          <w:numId w:val="15"/>
        </w:numPr>
        <w:tabs>
          <w:tab w:val="center" w:pos="284"/>
        </w:tabs>
        <w:overflowPunct w:val="0"/>
        <w:autoSpaceDE w:val="0"/>
        <w:autoSpaceDN w:val="0"/>
        <w:adjustRightInd w:val="0"/>
        <w:ind w:left="284" w:hanging="284"/>
        <w:contextualSpacing/>
        <w:textAlignment w:val="baseline"/>
      </w:pPr>
      <w:r w:rsidRPr="001D1C39">
        <w:t>understreger behovet for ligestilling mellem kønnene i forbindelse med kræftforebyggende foranstaltninger og opfordrer til, at HPV-vaccinen gives til alle piger og drenge i en bestemt alder, intensivere kommunikationen om tilgængeligheden af HPV-vaccination til drenge samt indsamle og offentliggøre oplysninger om dækningsgraden for både drenge og piger i forskellige medlemsstater</w:t>
      </w:r>
    </w:p>
    <w:p w:rsidRPr="001D1C39" w:rsidR="004E7105" w:rsidP="006A5684" w:rsidRDefault="004E7105" w14:paraId="76072B6C" w14:textId="77777777">
      <w:pPr>
        <w:keepNext/>
        <w:keepLines/>
        <w:numPr>
          <w:ilvl w:val="0"/>
          <w:numId w:val="15"/>
        </w:numPr>
        <w:tabs>
          <w:tab w:val="center" w:pos="284"/>
        </w:tabs>
        <w:overflowPunct w:val="0"/>
        <w:autoSpaceDE w:val="0"/>
        <w:autoSpaceDN w:val="0"/>
        <w:adjustRightInd w:val="0"/>
        <w:ind w:left="284" w:hanging="284"/>
        <w:contextualSpacing/>
        <w:textAlignment w:val="baseline"/>
      </w:pPr>
      <w:r w:rsidRPr="001D1C39">
        <w:t>fremhæver betydningen af let adgang til at blive vaccineret, uanset hvor man befinder sig, og behovet for en målrettet indsats for at nå ud til mennesker fra forskellige dårligt stillede grupper og personer i særlige risikogrupper.</w:t>
      </w:r>
    </w:p>
    <w:p w:rsidRPr="001D1C39" w:rsidR="004E7105" w:rsidP="006A5684" w:rsidRDefault="004E7105" w14:paraId="451AD803" w14:textId="77777777">
      <w:pPr>
        <w:widowControl w:val="0"/>
        <w:overflowPunct w:val="0"/>
        <w:autoSpaceDE w:val="0"/>
        <w:autoSpaceDN w:val="0"/>
        <w:adjustRightInd w:val="0"/>
        <w:ind w:left="709"/>
        <w:textAlignment w:val="baseline"/>
      </w:pPr>
    </w:p>
    <w:tbl>
      <w:tblPr>
        <w:tblStyle w:val="TableGrid2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D1C39" w:rsidR="004E7105" w:rsidTr="00FE3058" w14:paraId="649C5F6D" w14:textId="77777777">
        <w:tc>
          <w:tcPr>
            <w:tcW w:w="1556" w:type="pct"/>
          </w:tcPr>
          <w:p w:rsidRPr="001D1C39" w:rsidR="004E7105" w:rsidP="006A5684" w:rsidRDefault="004E7105" w14:paraId="31DDC109" w14:textId="77777777">
            <w:pPr>
              <w:widowControl w:val="0"/>
              <w:overflowPunct w:val="0"/>
              <w:autoSpaceDE w:val="0"/>
              <w:autoSpaceDN w:val="0"/>
              <w:adjustRightInd w:val="0"/>
              <w:textAlignment w:val="baseline"/>
              <w:rPr>
                <w:i/>
                <w:sz w:val="22"/>
                <w:szCs w:val="22"/>
              </w:rPr>
            </w:pPr>
            <w:r w:rsidRPr="001D1C39">
              <w:rPr>
                <w:b/>
                <w:i/>
                <w:sz w:val="22"/>
                <w:szCs w:val="22"/>
              </w:rPr>
              <w:t>Kontakt</w:t>
            </w:r>
          </w:p>
        </w:tc>
        <w:tc>
          <w:tcPr>
            <w:tcW w:w="3444" w:type="pct"/>
          </w:tcPr>
          <w:p w:rsidRPr="001D1C39" w:rsidR="004E7105" w:rsidP="006A5684" w:rsidRDefault="004E7105" w14:paraId="234336DC" w14:textId="3DE03174">
            <w:pPr>
              <w:widowControl w:val="0"/>
              <w:overflowPunct w:val="0"/>
              <w:autoSpaceDE w:val="0"/>
              <w:autoSpaceDN w:val="0"/>
              <w:adjustRightInd w:val="0"/>
              <w:textAlignment w:val="baseline"/>
              <w:rPr>
                <w:i/>
                <w:sz w:val="22"/>
                <w:szCs w:val="22"/>
              </w:rPr>
            </w:pPr>
            <w:r w:rsidRPr="001D1C39">
              <w:rPr>
                <w:i/>
                <w:sz w:val="22"/>
                <w:szCs w:val="22"/>
              </w:rPr>
              <w:t xml:space="preserve">Valeria </w:t>
            </w:r>
            <w:proofErr w:type="spellStart"/>
            <w:r w:rsidRPr="001D1C39">
              <w:rPr>
                <w:i/>
                <w:sz w:val="22"/>
                <w:szCs w:val="22"/>
              </w:rPr>
              <w:t>Atzori</w:t>
            </w:r>
            <w:proofErr w:type="spellEnd"/>
          </w:p>
        </w:tc>
      </w:tr>
      <w:tr w:rsidRPr="001D1C39" w:rsidR="004E7105" w:rsidTr="00FE3058" w14:paraId="77487634" w14:textId="77777777">
        <w:tc>
          <w:tcPr>
            <w:tcW w:w="1556" w:type="pct"/>
          </w:tcPr>
          <w:p w:rsidRPr="001D1C39" w:rsidR="004E7105" w:rsidP="006A5684" w:rsidRDefault="004E7105" w14:paraId="5E05B9B4" w14:textId="77777777">
            <w:pPr>
              <w:widowControl w:val="0"/>
              <w:overflowPunct w:val="0"/>
              <w:autoSpaceDE w:val="0"/>
              <w:autoSpaceDN w:val="0"/>
              <w:adjustRightInd w:val="0"/>
              <w:textAlignment w:val="baseline"/>
              <w:rPr>
                <w:i/>
                <w:sz w:val="22"/>
                <w:szCs w:val="22"/>
              </w:rPr>
            </w:pPr>
            <w:r w:rsidRPr="001D1C39">
              <w:rPr>
                <w:i/>
                <w:sz w:val="22"/>
                <w:szCs w:val="22"/>
              </w:rPr>
              <w:t>Tlf.</w:t>
            </w:r>
          </w:p>
        </w:tc>
        <w:tc>
          <w:tcPr>
            <w:tcW w:w="3444" w:type="pct"/>
          </w:tcPr>
          <w:p w:rsidRPr="001D1C39" w:rsidR="004E7105" w:rsidP="006A5684" w:rsidRDefault="004E7105" w14:paraId="1CB217D1" w14:textId="77777777">
            <w:pPr>
              <w:widowControl w:val="0"/>
              <w:overflowPunct w:val="0"/>
              <w:autoSpaceDE w:val="0"/>
              <w:autoSpaceDN w:val="0"/>
              <w:adjustRightInd w:val="0"/>
              <w:textAlignment w:val="baseline"/>
              <w:rPr>
                <w:i/>
                <w:sz w:val="22"/>
                <w:szCs w:val="22"/>
              </w:rPr>
            </w:pPr>
            <w:r w:rsidRPr="001D1C39">
              <w:rPr>
                <w:i/>
                <w:sz w:val="22"/>
                <w:szCs w:val="22"/>
              </w:rPr>
              <w:t>00 32 2 546 87 74</w:t>
            </w:r>
          </w:p>
        </w:tc>
      </w:tr>
      <w:tr w:rsidRPr="001D1C39" w:rsidR="004E7105" w:rsidTr="00FE3058" w14:paraId="00AFAE0F" w14:textId="77777777">
        <w:tc>
          <w:tcPr>
            <w:tcW w:w="1556" w:type="pct"/>
          </w:tcPr>
          <w:p w:rsidRPr="001D1C39" w:rsidR="004E7105" w:rsidP="006A5684" w:rsidRDefault="004E7105" w14:paraId="31EB9B75" w14:textId="77777777">
            <w:pPr>
              <w:widowControl w:val="0"/>
              <w:overflowPunct w:val="0"/>
              <w:autoSpaceDE w:val="0"/>
              <w:autoSpaceDN w:val="0"/>
              <w:adjustRightInd w:val="0"/>
              <w:textAlignment w:val="baseline"/>
              <w:rPr>
                <w:i/>
                <w:sz w:val="22"/>
                <w:szCs w:val="22"/>
              </w:rPr>
            </w:pPr>
            <w:r w:rsidRPr="001D1C39">
              <w:rPr>
                <w:i/>
                <w:sz w:val="22"/>
                <w:szCs w:val="22"/>
              </w:rPr>
              <w:t>E-mail</w:t>
            </w:r>
          </w:p>
        </w:tc>
        <w:tc>
          <w:tcPr>
            <w:tcW w:w="3444" w:type="pct"/>
          </w:tcPr>
          <w:p w:rsidRPr="001D1C39" w:rsidR="004E7105" w:rsidP="006A5684" w:rsidRDefault="003D1988" w14:paraId="3E8EA07D" w14:textId="1EB9C320">
            <w:pPr>
              <w:widowControl w:val="0"/>
              <w:overflowPunct w:val="0"/>
              <w:autoSpaceDE w:val="0"/>
              <w:autoSpaceDN w:val="0"/>
              <w:adjustRightInd w:val="0"/>
              <w:textAlignment w:val="baseline"/>
              <w:rPr>
                <w:color w:val="0000FF"/>
                <w:sz w:val="22"/>
                <w:szCs w:val="22"/>
                <w:u w:val="single"/>
              </w:rPr>
            </w:pPr>
            <w:hyperlink w:history="1" r:id="rId25">
              <w:proofErr w:type="spellStart"/>
              <w:r w:rsidRPr="001D1C39" w:rsidR="00D97A3B">
                <w:rPr>
                  <w:i/>
                  <w:color w:val="0000FF"/>
                  <w:sz w:val="22"/>
                  <w:szCs w:val="22"/>
                  <w:u w:val="single"/>
                </w:rPr>
                <w:t>Valeria.Atzori@eesc.europa.eu</w:t>
              </w:r>
              <w:proofErr w:type="spellEnd"/>
            </w:hyperlink>
          </w:p>
        </w:tc>
      </w:tr>
    </w:tbl>
    <w:p w:rsidRPr="001D1C39" w:rsidR="0010484C" w:rsidP="006A5684" w:rsidRDefault="0010484C" w14:paraId="6CA58907" w14:textId="77777777">
      <w:pPr>
        <w:jc w:val="left"/>
      </w:pPr>
    </w:p>
    <w:p w:rsidR="0010484C" w:rsidP="006A5684" w:rsidRDefault="0010484C" w14:paraId="3C32ABDC" w14:textId="77777777">
      <w:pPr>
        <w:jc w:val="left"/>
        <w:rPr>
          <w:sz w:val="14"/>
          <w:szCs w:val="14"/>
        </w:rPr>
      </w:pPr>
      <w:r>
        <w:br w:type="page"/>
      </w:r>
    </w:p>
    <w:p w:rsidRPr="0010484C" w:rsidR="0010484C" w:rsidP="006A5684" w:rsidRDefault="003D1988" w14:paraId="3ECE05AC" w14:textId="7B22D080">
      <w:pPr>
        <w:widowControl w:val="0"/>
        <w:numPr>
          <w:ilvl w:val="0"/>
          <w:numId w:val="7"/>
        </w:numPr>
        <w:overflowPunct w:val="0"/>
        <w:autoSpaceDE w:val="0"/>
        <w:autoSpaceDN w:val="0"/>
        <w:adjustRightInd w:val="0"/>
        <w:ind w:hanging="567"/>
        <w:textAlignment w:val="baseline"/>
        <w:rPr>
          <w:sz w:val="24"/>
          <w:szCs w:val="24"/>
        </w:rPr>
      </w:pPr>
      <w:hyperlink w:history="1" r:id="rId26">
        <w:r w:rsidR="00D97A3B">
          <w:rPr>
            <w:b/>
            <w:i/>
            <w:color w:val="0000FF"/>
            <w:sz w:val="28"/>
            <w:u w:val="single"/>
          </w:rPr>
          <w:t>Revision af direktivet om europæiske samarbejdsudvalg</w:t>
        </w:r>
      </w:hyperlink>
    </w:p>
    <w:p w:rsidRPr="001D1C39" w:rsidR="0010484C" w:rsidP="006A5684" w:rsidRDefault="0010484C" w14:paraId="00BC5CCC" w14:textId="690E0BC3">
      <w:pPr>
        <w:tabs>
          <w:tab w:val="center" w:pos="284"/>
        </w:tabs>
        <w:overflowPunct w:val="0"/>
        <w:autoSpaceDE w:val="0"/>
        <w:autoSpaceDN w:val="0"/>
        <w:adjustRightInd w:val="0"/>
        <w:ind w:left="266" w:hanging="266"/>
        <w:textAlignment w:val="baseline"/>
        <w:rPr>
          <w:b/>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D1C39" w:rsidR="0010484C" w:rsidTr="00FE3058" w14:paraId="561F7E20" w14:textId="77777777">
        <w:tc>
          <w:tcPr>
            <w:tcW w:w="1701" w:type="dxa"/>
          </w:tcPr>
          <w:p w:rsidRPr="001D1C39" w:rsidR="0010484C" w:rsidP="006A5684" w:rsidRDefault="0010484C" w14:paraId="5540B242"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Ordfører</w:t>
            </w:r>
          </w:p>
        </w:tc>
        <w:tc>
          <w:tcPr>
            <w:tcW w:w="5387" w:type="dxa"/>
          </w:tcPr>
          <w:p w:rsidRPr="001D1C39" w:rsidR="0010484C" w:rsidP="006A5684" w:rsidRDefault="0010484C" w14:paraId="2E037801" w14:textId="01A5B710">
            <w:pPr>
              <w:tabs>
                <w:tab w:val="center" w:pos="284"/>
              </w:tabs>
              <w:overflowPunct w:val="0"/>
              <w:autoSpaceDE w:val="0"/>
              <w:autoSpaceDN w:val="0"/>
              <w:adjustRightInd w:val="0"/>
              <w:ind w:left="266" w:hanging="376"/>
              <w:textAlignment w:val="baseline"/>
              <w:rPr>
                <w:sz w:val="22"/>
                <w:szCs w:val="22"/>
              </w:rPr>
            </w:pPr>
            <w:r w:rsidRPr="001D1C39">
              <w:rPr>
                <w:sz w:val="22"/>
                <w:szCs w:val="22"/>
              </w:rPr>
              <w:t xml:space="preserve">Sophia </w:t>
            </w:r>
            <w:proofErr w:type="spellStart"/>
            <w:r w:rsidRPr="001D1C39">
              <w:rPr>
                <w:sz w:val="22"/>
                <w:szCs w:val="22"/>
              </w:rPr>
              <w:t>Reisecker</w:t>
            </w:r>
            <w:proofErr w:type="spellEnd"/>
            <w:r w:rsidRPr="001D1C39">
              <w:rPr>
                <w:sz w:val="22"/>
                <w:szCs w:val="22"/>
              </w:rPr>
              <w:t xml:space="preserve"> (Arbejdstagergruppen – AT)</w:t>
            </w:r>
          </w:p>
        </w:tc>
      </w:tr>
      <w:tr w:rsidRPr="001D1C39" w:rsidR="0010484C" w:rsidTr="00FE3058" w14:paraId="73157FC0" w14:textId="77777777">
        <w:tc>
          <w:tcPr>
            <w:tcW w:w="7088" w:type="dxa"/>
            <w:gridSpan w:val="2"/>
          </w:tcPr>
          <w:p w:rsidRPr="001D1C39" w:rsidR="0010484C" w:rsidP="006A5684" w:rsidRDefault="0010484C" w14:paraId="11368192" w14:textId="77777777">
            <w:pPr>
              <w:tabs>
                <w:tab w:val="center" w:pos="284"/>
              </w:tabs>
              <w:overflowPunct w:val="0"/>
              <w:autoSpaceDE w:val="0"/>
              <w:autoSpaceDN w:val="0"/>
              <w:adjustRightInd w:val="0"/>
              <w:ind w:left="266" w:hanging="266"/>
              <w:textAlignment w:val="baseline"/>
              <w:rPr>
                <w:sz w:val="22"/>
                <w:szCs w:val="22"/>
              </w:rPr>
            </w:pPr>
          </w:p>
        </w:tc>
      </w:tr>
      <w:tr w:rsidRPr="001D1C39" w:rsidR="0010484C" w:rsidTr="00FE3058" w14:paraId="08B719B5" w14:textId="77777777">
        <w:tc>
          <w:tcPr>
            <w:tcW w:w="1701" w:type="dxa"/>
            <w:vMerge w:val="restart"/>
          </w:tcPr>
          <w:p w:rsidRPr="001D1C39" w:rsidR="0010484C" w:rsidP="006A5684" w:rsidRDefault="0010484C" w14:paraId="1AD2CE0E"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Ref.</w:t>
            </w:r>
          </w:p>
        </w:tc>
        <w:tc>
          <w:tcPr>
            <w:tcW w:w="5387" w:type="dxa"/>
          </w:tcPr>
          <w:p w:rsidRPr="001D1C39" w:rsidR="0010484C" w:rsidP="006A5684" w:rsidRDefault="0010484C" w14:paraId="2437B8BE" w14:textId="4FE32139">
            <w:pPr>
              <w:tabs>
                <w:tab w:val="center" w:pos="284"/>
              </w:tabs>
              <w:overflowPunct w:val="0"/>
              <w:autoSpaceDE w:val="0"/>
              <w:autoSpaceDN w:val="0"/>
              <w:adjustRightInd w:val="0"/>
              <w:ind w:left="266" w:hanging="376"/>
              <w:textAlignment w:val="baseline"/>
              <w:rPr>
                <w:sz w:val="22"/>
                <w:szCs w:val="22"/>
              </w:rPr>
            </w:pPr>
            <w:r w:rsidRPr="001D1C39">
              <w:rPr>
                <w:sz w:val="22"/>
                <w:szCs w:val="22"/>
              </w:rPr>
              <w:t>COM(2024) 14 final</w:t>
            </w:r>
          </w:p>
        </w:tc>
      </w:tr>
      <w:tr w:rsidRPr="001D1C39" w:rsidR="0010484C" w:rsidTr="00FE3058" w14:paraId="5820FB7B" w14:textId="77777777">
        <w:tc>
          <w:tcPr>
            <w:tcW w:w="1701" w:type="dxa"/>
            <w:vMerge/>
          </w:tcPr>
          <w:p w:rsidRPr="001D1C39" w:rsidR="0010484C" w:rsidP="006A5684" w:rsidRDefault="0010484C" w14:paraId="7361EF92" w14:textId="77777777">
            <w:pPr>
              <w:tabs>
                <w:tab w:val="center" w:pos="284"/>
              </w:tabs>
              <w:overflowPunct w:val="0"/>
              <w:autoSpaceDE w:val="0"/>
              <w:autoSpaceDN w:val="0"/>
              <w:adjustRightInd w:val="0"/>
              <w:ind w:left="266" w:hanging="376"/>
              <w:textAlignment w:val="baseline"/>
              <w:rPr>
                <w:b/>
                <w:sz w:val="22"/>
                <w:szCs w:val="22"/>
              </w:rPr>
            </w:pPr>
          </w:p>
        </w:tc>
        <w:tc>
          <w:tcPr>
            <w:tcW w:w="5387" w:type="dxa"/>
          </w:tcPr>
          <w:p w:rsidRPr="001D1C39" w:rsidR="0010484C" w:rsidP="006A5684" w:rsidRDefault="0010484C" w14:paraId="0F30A46F" w14:textId="4D6C9E54">
            <w:pPr>
              <w:tabs>
                <w:tab w:val="center" w:pos="284"/>
              </w:tabs>
              <w:overflowPunct w:val="0"/>
              <w:autoSpaceDE w:val="0"/>
              <w:autoSpaceDN w:val="0"/>
              <w:adjustRightInd w:val="0"/>
              <w:ind w:left="266" w:hanging="376"/>
              <w:textAlignment w:val="baseline"/>
              <w:rPr>
                <w:sz w:val="22"/>
                <w:szCs w:val="22"/>
              </w:rPr>
            </w:pPr>
            <w:r w:rsidRPr="001D1C39">
              <w:rPr>
                <w:sz w:val="22"/>
                <w:szCs w:val="22"/>
              </w:rPr>
              <w:t>EESC-2024-00543-00-00-AC</w:t>
            </w:r>
          </w:p>
        </w:tc>
      </w:tr>
    </w:tbl>
    <w:p w:rsidRPr="001D1C39" w:rsidR="0010484C" w:rsidP="006A5684" w:rsidRDefault="0010484C" w14:paraId="045C90A1" w14:textId="77777777">
      <w:pPr>
        <w:tabs>
          <w:tab w:val="center" w:pos="284"/>
        </w:tabs>
        <w:overflowPunct w:val="0"/>
        <w:autoSpaceDE w:val="0"/>
        <w:autoSpaceDN w:val="0"/>
        <w:adjustRightInd w:val="0"/>
        <w:ind w:left="266" w:hanging="266"/>
        <w:textAlignment w:val="baseline"/>
      </w:pPr>
    </w:p>
    <w:p w:rsidRPr="001D1C39" w:rsidR="0010484C" w:rsidP="006A5684" w:rsidRDefault="0010484C" w14:paraId="6E251606" w14:textId="77777777">
      <w:pPr>
        <w:keepNext/>
        <w:keepLines/>
        <w:tabs>
          <w:tab w:val="center" w:pos="284"/>
        </w:tabs>
        <w:overflowPunct w:val="0"/>
        <w:autoSpaceDE w:val="0"/>
        <w:autoSpaceDN w:val="0"/>
        <w:adjustRightInd w:val="0"/>
        <w:ind w:left="266" w:hanging="266"/>
        <w:textAlignment w:val="baseline"/>
        <w:rPr>
          <w:b/>
        </w:rPr>
      </w:pPr>
      <w:r w:rsidRPr="001D1C39">
        <w:rPr>
          <w:b/>
        </w:rPr>
        <w:t>Hovedpunkter</w:t>
      </w:r>
    </w:p>
    <w:p w:rsidRPr="001D1C39" w:rsidR="0010484C" w:rsidP="006A5684" w:rsidRDefault="0010484C" w14:paraId="1FCAE476" w14:textId="77777777">
      <w:pPr>
        <w:keepNext/>
        <w:keepLines/>
        <w:tabs>
          <w:tab w:val="center" w:pos="284"/>
        </w:tabs>
        <w:overflowPunct w:val="0"/>
        <w:autoSpaceDE w:val="0"/>
        <w:autoSpaceDN w:val="0"/>
        <w:adjustRightInd w:val="0"/>
        <w:ind w:left="266" w:hanging="266"/>
        <w:textAlignment w:val="baseline"/>
        <w:rPr>
          <w:b/>
        </w:rPr>
      </w:pPr>
    </w:p>
    <w:p w:rsidRPr="001D1C39" w:rsidR="0010484C" w:rsidP="006A5684" w:rsidRDefault="0010484C" w14:paraId="45AB3525" w14:textId="1202BA36">
      <w:pPr>
        <w:overflowPunct w:val="0"/>
        <w:autoSpaceDE w:val="0"/>
        <w:autoSpaceDN w:val="0"/>
        <w:adjustRightInd w:val="0"/>
        <w:textAlignment w:val="baseline"/>
        <w:rPr>
          <w:bCs/>
          <w:iCs/>
        </w:rPr>
      </w:pPr>
      <w:r w:rsidRPr="001D1C39">
        <w:t>EØSU:</w:t>
      </w:r>
    </w:p>
    <w:p w:rsidRPr="001D1C39" w:rsidR="0010484C" w:rsidP="006A5684" w:rsidRDefault="0010484C" w14:paraId="5422A1B5" w14:textId="77777777">
      <w:pPr>
        <w:widowControl w:val="0"/>
        <w:numPr>
          <w:ilvl w:val="0"/>
          <w:numId w:val="16"/>
        </w:numPr>
        <w:overflowPunct w:val="0"/>
        <w:autoSpaceDE w:val="0"/>
        <w:autoSpaceDN w:val="0"/>
        <w:adjustRightInd w:val="0"/>
        <w:ind w:left="284" w:hanging="284"/>
        <w:textAlignment w:val="baseline"/>
      </w:pPr>
      <w:r w:rsidRPr="001D1C39">
        <w:t>glæder sig over de lovgivningsmæssige skridt, som Kommissionen har taget til at revidere direktiv 2009/38/EF for så vidt angår minimumsstandarder for at oprette europæiske samarbejdsudvalg og sikre, at de fungerer effektivt</w:t>
      </w:r>
    </w:p>
    <w:p w:rsidRPr="001D1C39" w:rsidR="0010484C" w:rsidP="006A5684" w:rsidRDefault="0010484C" w14:paraId="4FA291B7" w14:textId="77777777">
      <w:pPr>
        <w:widowControl w:val="0"/>
        <w:numPr>
          <w:ilvl w:val="0"/>
          <w:numId w:val="16"/>
        </w:numPr>
        <w:overflowPunct w:val="0"/>
        <w:autoSpaceDE w:val="0"/>
        <w:autoSpaceDN w:val="0"/>
        <w:adjustRightInd w:val="0"/>
        <w:ind w:left="284" w:hanging="284"/>
        <w:textAlignment w:val="baseline"/>
      </w:pPr>
      <w:r w:rsidRPr="001D1C39">
        <w:t>anerkender formålet, nemlig at øge effektiviteten og gennemførelsen af de europæiske samarbejdsudvalgs rettigheder for at skabe retssikkerhed ved at præcisere centrale begreber i direktivet om europæiske samarbejdsudvalg. Det drejer sig navnlig om definitionen af tværnationalitet, om tilvejebringelse af passende ressourcer til de europæiske samarbejdsudvalg, om adgang til domstolsprøvelse samt om at øge medlemsstaternes forpligtelse til at indføre effektive og tilstrækkeligt afskrækkende sanktioner for krænkelse af europæiske samarbejdsudvalgs rettigheder</w:t>
      </w:r>
    </w:p>
    <w:p w:rsidRPr="001D1C39" w:rsidR="0010484C" w:rsidP="006A5684" w:rsidRDefault="0010484C" w14:paraId="2ABD0814" w14:textId="77777777">
      <w:pPr>
        <w:widowControl w:val="0"/>
        <w:numPr>
          <w:ilvl w:val="0"/>
          <w:numId w:val="16"/>
        </w:numPr>
        <w:overflowPunct w:val="0"/>
        <w:autoSpaceDE w:val="0"/>
        <w:autoSpaceDN w:val="0"/>
        <w:adjustRightInd w:val="0"/>
        <w:ind w:left="284" w:hanging="284"/>
        <w:textAlignment w:val="baseline"/>
      </w:pPr>
      <w:r w:rsidRPr="001D1C39">
        <w:t>glæder sig over Kommissionens mål om at revidere den standard, der har til hensigt at sikre en mere effektiv og meningsfuld informations- og høringsproces, ved at foreslå tilføjelser til de subsidiære forskrifter, øge hyppigheden af regelmæssige møder i det europæiske samarbejdsudvalg og indføre et begrundet svar fra ledelsen på udtalelserne fra de europæiske samarbejdsudvalg. Udvalget anerkender også, at fagforeningsrepræsentanterne styrkes i rollen som eksperter, der bistår de europæiske samarbejdsudvalg</w:t>
      </w:r>
    </w:p>
    <w:p w:rsidRPr="001D1C39" w:rsidR="0010484C" w:rsidP="006A5684" w:rsidRDefault="0010484C" w14:paraId="30EB9EA4" w14:textId="77777777">
      <w:pPr>
        <w:widowControl w:val="0"/>
        <w:numPr>
          <w:ilvl w:val="0"/>
          <w:numId w:val="16"/>
        </w:numPr>
        <w:overflowPunct w:val="0"/>
        <w:autoSpaceDE w:val="0"/>
        <w:autoSpaceDN w:val="0"/>
        <w:adjustRightInd w:val="0"/>
        <w:ind w:left="284" w:hanging="284"/>
        <w:textAlignment w:val="baseline"/>
      </w:pPr>
      <w:r w:rsidRPr="001D1C39">
        <w:t>støtter de vigtige ændringer, som sætter europæiske samarbejdsudvalg og deres medlemmer bedre i stand til at udføre deres opgaver. Dette vedrører navnlig ressourcer, der skal stilles til rådighed af ledelsen, og som skal fastlægges i fællesskab i den pågældende aftale om europæiske samarbejdsudvalg for så vidt angår uddannelse, eksperter og juridisk repræsentation og de tilsigtede præciseringer vedrørende fortrolighed</w:t>
      </w:r>
    </w:p>
    <w:p w:rsidRPr="001D1C39" w:rsidR="0010484C" w:rsidP="006A5684" w:rsidRDefault="0010484C" w14:paraId="5A31B5F8" w14:textId="77777777">
      <w:pPr>
        <w:widowControl w:val="0"/>
        <w:numPr>
          <w:ilvl w:val="0"/>
          <w:numId w:val="16"/>
        </w:numPr>
        <w:overflowPunct w:val="0"/>
        <w:autoSpaceDE w:val="0"/>
        <w:autoSpaceDN w:val="0"/>
        <w:adjustRightInd w:val="0"/>
        <w:ind w:left="284" w:hanging="284"/>
        <w:textAlignment w:val="baseline"/>
      </w:pPr>
      <w:r w:rsidRPr="001D1C39">
        <w:t>opfordrer de lovgivende institutioner til hurtigt at gå videre med at revidere direktivet om europæiske samarbejdsudvalg i overensstemmelse med Kommissionens forslag, idet man samtidig tager anbefalingerne i nærværende udtalelse i betragtning</w:t>
      </w:r>
    </w:p>
    <w:p w:rsidRPr="001D1C39" w:rsidR="0010484C" w:rsidP="006A5684" w:rsidRDefault="0010484C" w14:paraId="401ED45E" w14:textId="77777777">
      <w:pPr>
        <w:widowControl w:val="0"/>
        <w:numPr>
          <w:ilvl w:val="0"/>
          <w:numId w:val="16"/>
        </w:numPr>
        <w:overflowPunct w:val="0"/>
        <w:autoSpaceDE w:val="0"/>
        <w:autoSpaceDN w:val="0"/>
        <w:adjustRightInd w:val="0"/>
        <w:ind w:left="284" w:hanging="284"/>
        <w:textAlignment w:val="baseline"/>
      </w:pPr>
      <w:r w:rsidRPr="001D1C39">
        <w:t>fremhæver behovet for at sikre en korrekt gennemførelse og anvendelse af det reviderede direktiv, ved at Kommissionen benytter effektive overvågnings- og gennemførelsesværktøjer i denne proces.</w:t>
      </w:r>
    </w:p>
    <w:p w:rsidRPr="001D1C39" w:rsidR="0010484C" w:rsidP="006A5684" w:rsidRDefault="0010484C" w14:paraId="79C5FBDA" w14:textId="77777777">
      <w:pPr>
        <w:widowControl w:val="0"/>
        <w:overflowPunct w:val="0"/>
        <w:autoSpaceDE w:val="0"/>
        <w:autoSpaceDN w:val="0"/>
        <w:adjustRightInd w:val="0"/>
        <w:ind w:left="709"/>
        <w:textAlignment w:val="baseline"/>
      </w:pPr>
    </w:p>
    <w:p w:rsidRPr="001D1C39" w:rsidR="0010484C" w:rsidP="006A5684" w:rsidRDefault="0010484C" w14:paraId="3B5BD501" w14:textId="77777777">
      <w:pPr>
        <w:widowControl w:val="0"/>
        <w:overflowPunct w:val="0"/>
        <w:autoSpaceDE w:val="0"/>
        <w:autoSpaceDN w:val="0"/>
        <w:adjustRightInd w:val="0"/>
        <w:textAlignment w:val="baseline"/>
        <w:rPr>
          <w:b/>
          <w:bCs/>
        </w:rPr>
      </w:pPr>
      <w:r w:rsidRPr="001D1C39">
        <w:rPr>
          <w:b/>
        </w:rPr>
        <w:t xml:space="preserve">Da arbejdsgiverorganisationerne fremsatte divergerende synspunkter, udarbejdede medlemmer af </w:t>
      </w:r>
      <w:proofErr w:type="spellStart"/>
      <w:r w:rsidRPr="001D1C39">
        <w:rPr>
          <w:b/>
        </w:rPr>
        <w:t>EØSU's</w:t>
      </w:r>
      <w:proofErr w:type="spellEnd"/>
      <w:r w:rsidRPr="001D1C39">
        <w:rPr>
          <w:b/>
        </w:rPr>
        <w:t xml:space="preserve"> Arbejdsgivergruppe en modudtalelse. Mere specifikt blev der udtrykt bekymring for, at en revision af direktivet ville komplicere de europæiske samarbejdsudvalgs funktion og risikere at omdanne dem fra effektive kanaler for information og høring på virksomhedsniveau til kilder til tvister og </w:t>
      </w:r>
      <w:proofErr w:type="spellStart"/>
      <w:r w:rsidRPr="001D1C39">
        <w:rPr>
          <w:b/>
        </w:rPr>
        <w:t>retsusikkerhed</w:t>
      </w:r>
      <w:proofErr w:type="spellEnd"/>
      <w:r w:rsidRPr="001D1C39">
        <w:rPr>
          <w:b/>
        </w:rPr>
        <w:t xml:space="preserve">. </w:t>
      </w:r>
      <w:proofErr w:type="spellStart"/>
      <w:r w:rsidRPr="001D1C39">
        <w:rPr>
          <w:b/>
        </w:rPr>
        <w:t>EØSU's</w:t>
      </w:r>
      <w:proofErr w:type="spellEnd"/>
      <w:r w:rsidRPr="001D1C39">
        <w:rPr>
          <w:b/>
        </w:rPr>
        <w:t xml:space="preserve"> Arbejdsgivergruppe mener, at dette potentielt kan underminere det samarbejde og den tillid til arbejdspladsen, som er væsentlig for de europæiske samarbejdsudvalgs funktion. Modudtalelsen blev forkastet af </w:t>
      </w:r>
      <w:r w:rsidRPr="001D1C39">
        <w:rPr>
          <w:b/>
        </w:rPr>
        <w:lastRenderedPageBreak/>
        <w:t xml:space="preserve">EØSU (104 stemmer for/125 imod/11 hverken for eller imod), men opnåede mere end en fjerdedel af de afgivne stemmer og er derfor i overensstemmelse med </w:t>
      </w:r>
      <w:proofErr w:type="spellStart"/>
      <w:r w:rsidRPr="001D1C39">
        <w:rPr>
          <w:b/>
        </w:rPr>
        <w:t>EØSU's</w:t>
      </w:r>
      <w:proofErr w:type="spellEnd"/>
      <w:r w:rsidRPr="001D1C39">
        <w:rPr>
          <w:b/>
        </w:rPr>
        <w:t xml:space="preserve"> forretningsorden vedlagt udtalelsen.</w:t>
      </w:r>
    </w:p>
    <w:p w:rsidRPr="001D1C39" w:rsidR="0010484C" w:rsidP="006A5684" w:rsidRDefault="0010484C" w14:paraId="4D07561D" w14:textId="10666C39">
      <w:pPr>
        <w:widowControl w:val="0"/>
        <w:overflowPunct w:val="0"/>
        <w:autoSpaceDE w:val="0"/>
        <w:autoSpaceDN w:val="0"/>
        <w:adjustRightInd w:val="0"/>
        <w:textAlignment w:val="baseline"/>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D1C39" w:rsidR="005C28F2" w:rsidTr="00405FFF" w14:paraId="60D176FD" w14:textId="77777777">
        <w:tc>
          <w:tcPr>
            <w:tcW w:w="1418" w:type="dxa"/>
          </w:tcPr>
          <w:p w:rsidRPr="001D1C39" w:rsidR="005C28F2" w:rsidP="006A5684" w:rsidRDefault="005C28F2" w14:paraId="585CB7BA" w14:textId="77777777">
            <w:pPr>
              <w:overflowPunct w:val="0"/>
              <w:autoSpaceDE w:val="0"/>
              <w:autoSpaceDN w:val="0"/>
              <w:adjustRightInd w:val="0"/>
              <w:textAlignment w:val="baseline"/>
              <w:rPr>
                <w:i/>
                <w:sz w:val="22"/>
                <w:szCs w:val="22"/>
              </w:rPr>
            </w:pPr>
            <w:r w:rsidRPr="001D1C39">
              <w:rPr>
                <w:b/>
                <w:i/>
                <w:sz w:val="22"/>
                <w:szCs w:val="22"/>
              </w:rPr>
              <w:t>Kontakt</w:t>
            </w:r>
          </w:p>
        </w:tc>
        <w:tc>
          <w:tcPr>
            <w:tcW w:w="5670" w:type="dxa"/>
          </w:tcPr>
          <w:p w:rsidRPr="001D1C39" w:rsidR="005C28F2" w:rsidP="006A5684" w:rsidRDefault="005C28F2" w14:paraId="78013169" w14:textId="77777777">
            <w:pPr>
              <w:overflowPunct w:val="0"/>
              <w:autoSpaceDE w:val="0"/>
              <w:autoSpaceDN w:val="0"/>
              <w:adjustRightInd w:val="0"/>
              <w:ind w:hanging="110"/>
              <w:textAlignment w:val="baseline"/>
              <w:rPr>
                <w:i/>
                <w:sz w:val="22"/>
                <w:szCs w:val="22"/>
              </w:rPr>
            </w:pPr>
            <w:proofErr w:type="spellStart"/>
            <w:r w:rsidRPr="001D1C39">
              <w:rPr>
                <w:i/>
                <w:sz w:val="22"/>
                <w:szCs w:val="22"/>
              </w:rPr>
              <w:t>Bartek</w:t>
            </w:r>
            <w:proofErr w:type="spellEnd"/>
            <w:r w:rsidRPr="001D1C39">
              <w:rPr>
                <w:i/>
                <w:sz w:val="22"/>
                <w:szCs w:val="22"/>
              </w:rPr>
              <w:t xml:space="preserve"> </w:t>
            </w:r>
            <w:proofErr w:type="spellStart"/>
            <w:r w:rsidRPr="001D1C39">
              <w:rPr>
                <w:i/>
                <w:sz w:val="22"/>
                <w:szCs w:val="22"/>
              </w:rPr>
              <w:t>Bednarowicz</w:t>
            </w:r>
            <w:proofErr w:type="spellEnd"/>
          </w:p>
        </w:tc>
      </w:tr>
      <w:tr w:rsidRPr="001D1C39" w:rsidR="005C28F2" w:rsidTr="00405FFF" w14:paraId="02718472" w14:textId="77777777">
        <w:tc>
          <w:tcPr>
            <w:tcW w:w="1418" w:type="dxa"/>
          </w:tcPr>
          <w:p w:rsidRPr="001D1C39" w:rsidR="005C28F2" w:rsidP="006A5684" w:rsidRDefault="005C28F2" w14:paraId="5ECEACD6" w14:textId="77777777">
            <w:pPr>
              <w:overflowPunct w:val="0"/>
              <w:autoSpaceDE w:val="0"/>
              <w:autoSpaceDN w:val="0"/>
              <w:adjustRightInd w:val="0"/>
              <w:textAlignment w:val="baseline"/>
              <w:rPr>
                <w:i/>
                <w:sz w:val="22"/>
                <w:szCs w:val="22"/>
              </w:rPr>
            </w:pPr>
            <w:r w:rsidRPr="001D1C39">
              <w:rPr>
                <w:i/>
                <w:sz w:val="22"/>
                <w:szCs w:val="22"/>
              </w:rPr>
              <w:t>Tlf.</w:t>
            </w:r>
          </w:p>
        </w:tc>
        <w:tc>
          <w:tcPr>
            <w:tcW w:w="5670" w:type="dxa"/>
          </w:tcPr>
          <w:p w:rsidRPr="001D1C39" w:rsidR="005C28F2" w:rsidP="006A5684" w:rsidRDefault="005C28F2" w14:paraId="39C98148" w14:textId="77777777">
            <w:pPr>
              <w:overflowPunct w:val="0"/>
              <w:autoSpaceDE w:val="0"/>
              <w:autoSpaceDN w:val="0"/>
              <w:adjustRightInd w:val="0"/>
              <w:ind w:hanging="110"/>
              <w:textAlignment w:val="baseline"/>
              <w:rPr>
                <w:i/>
                <w:sz w:val="22"/>
                <w:szCs w:val="22"/>
              </w:rPr>
            </w:pPr>
            <w:r w:rsidRPr="001D1C39">
              <w:rPr>
                <w:i/>
                <w:sz w:val="22"/>
                <w:szCs w:val="22"/>
              </w:rPr>
              <w:t>00 32 2 546 92 29</w:t>
            </w:r>
          </w:p>
        </w:tc>
      </w:tr>
      <w:tr w:rsidRPr="001D1C39" w:rsidR="005C28F2" w:rsidTr="00405FFF" w14:paraId="6D0F78E9" w14:textId="77777777">
        <w:tc>
          <w:tcPr>
            <w:tcW w:w="1418" w:type="dxa"/>
          </w:tcPr>
          <w:p w:rsidRPr="001D1C39" w:rsidR="005C28F2" w:rsidP="006A5684" w:rsidRDefault="005C28F2" w14:paraId="57F2C25C" w14:textId="77777777">
            <w:pPr>
              <w:overflowPunct w:val="0"/>
              <w:autoSpaceDE w:val="0"/>
              <w:autoSpaceDN w:val="0"/>
              <w:adjustRightInd w:val="0"/>
              <w:textAlignment w:val="baseline"/>
              <w:rPr>
                <w:i/>
                <w:sz w:val="22"/>
                <w:szCs w:val="22"/>
              </w:rPr>
            </w:pPr>
            <w:r w:rsidRPr="001D1C39">
              <w:rPr>
                <w:i/>
                <w:sz w:val="22"/>
                <w:szCs w:val="22"/>
              </w:rPr>
              <w:t>E-mail</w:t>
            </w:r>
          </w:p>
        </w:tc>
        <w:tc>
          <w:tcPr>
            <w:tcW w:w="5670" w:type="dxa"/>
          </w:tcPr>
          <w:p w:rsidRPr="001D1C39" w:rsidR="005C28F2" w:rsidP="006A5684" w:rsidRDefault="003D1988" w14:paraId="17171F10" w14:textId="77777777">
            <w:pPr>
              <w:overflowPunct w:val="0"/>
              <w:autoSpaceDE w:val="0"/>
              <w:autoSpaceDN w:val="0"/>
              <w:adjustRightInd w:val="0"/>
              <w:ind w:hanging="110"/>
              <w:textAlignment w:val="baseline"/>
              <w:rPr>
                <w:i/>
                <w:iCs/>
                <w:sz w:val="22"/>
                <w:szCs w:val="22"/>
              </w:rPr>
            </w:pPr>
            <w:hyperlink w:history="1" r:id="rId27">
              <w:proofErr w:type="spellStart"/>
              <w:r w:rsidRPr="001D1C39" w:rsidR="005C28F2">
                <w:rPr>
                  <w:i/>
                  <w:color w:val="0000FF"/>
                  <w:sz w:val="22"/>
                  <w:szCs w:val="22"/>
                  <w:u w:val="single"/>
                </w:rPr>
                <w:t>Bartek.Bednarowicz@eesc.europa.eu</w:t>
              </w:r>
              <w:proofErr w:type="spellEnd"/>
            </w:hyperlink>
          </w:p>
        </w:tc>
      </w:tr>
    </w:tbl>
    <w:p w:rsidR="001D1C39" w:rsidP="006A5684" w:rsidRDefault="001D1C39" w14:paraId="4833A7DB" w14:textId="77777777">
      <w:pPr>
        <w:widowControl w:val="0"/>
        <w:numPr>
          <w:ilvl w:val="0"/>
          <w:numId w:val="7"/>
        </w:numPr>
        <w:overflowPunct w:val="0"/>
        <w:autoSpaceDE w:val="0"/>
        <w:autoSpaceDN w:val="0"/>
        <w:adjustRightInd w:val="0"/>
        <w:ind w:hanging="567"/>
        <w:textAlignment w:val="baseline"/>
      </w:pPr>
    </w:p>
    <w:p w:rsidR="001D1C39" w:rsidP="006A5684" w:rsidRDefault="001D1C39" w14:paraId="2DF9D836" w14:textId="77777777">
      <w:pPr>
        <w:spacing w:after="160"/>
        <w:jc w:val="left"/>
      </w:pPr>
      <w:r>
        <w:br w:type="page"/>
      </w:r>
    </w:p>
    <w:p w:rsidRPr="005C28F2" w:rsidR="00025343" w:rsidP="006A5684" w:rsidRDefault="003D1988" w14:paraId="05A78CB9" w14:textId="00BB56B4">
      <w:pPr>
        <w:widowControl w:val="0"/>
        <w:numPr>
          <w:ilvl w:val="0"/>
          <w:numId w:val="7"/>
        </w:numPr>
        <w:overflowPunct w:val="0"/>
        <w:autoSpaceDE w:val="0"/>
        <w:autoSpaceDN w:val="0"/>
        <w:adjustRightInd w:val="0"/>
        <w:ind w:hanging="567"/>
        <w:textAlignment w:val="baseline"/>
        <w:rPr>
          <w:b/>
        </w:rPr>
      </w:pPr>
      <w:hyperlink w:history="1" r:id="rId28">
        <w:r w:rsidR="005C28F2">
          <w:rPr>
            <w:b/>
            <w:i/>
            <w:color w:val="0000FF"/>
            <w:sz w:val="28"/>
            <w:u w:val="single"/>
          </w:rPr>
          <w:t>Ingen plads til had: et forenet Europa mod had</w:t>
        </w:r>
      </w:hyperlink>
    </w:p>
    <w:p w:rsidRPr="001D1C39" w:rsidR="00025343" w:rsidP="006A5684" w:rsidRDefault="00025343" w14:paraId="07CE56B3" w14:textId="576C118A">
      <w:pPr>
        <w:widowControl w:val="0"/>
        <w:overflowPunct w:val="0"/>
        <w:autoSpaceDE w:val="0"/>
        <w:autoSpaceDN w:val="0"/>
        <w:adjustRightInd w:val="0"/>
        <w:ind w:left="266"/>
        <w:textAlignment w:val="baseline"/>
        <w:rPr>
          <w:b/>
        </w:rPr>
      </w:pPr>
    </w:p>
    <w:tbl>
      <w:tblPr>
        <w:tblStyle w:val="TableGrid216"/>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2"/>
        <w:gridCol w:w="6117"/>
      </w:tblGrid>
      <w:tr w:rsidRPr="001D1C39" w:rsidR="00025343" w:rsidTr="00FE3058" w14:paraId="2AF8F4F0" w14:textId="77777777">
        <w:trPr>
          <w:trHeight w:val="337"/>
        </w:trPr>
        <w:tc>
          <w:tcPr>
            <w:tcW w:w="1310" w:type="pct"/>
          </w:tcPr>
          <w:p w:rsidRPr="001D1C39" w:rsidR="00025343" w:rsidP="006A5684" w:rsidRDefault="00025343" w14:paraId="11E0BB11"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Ordfører</w:t>
            </w:r>
          </w:p>
        </w:tc>
        <w:tc>
          <w:tcPr>
            <w:tcW w:w="3690" w:type="pct"/>
          </w:tcPr>
          <w:p w:rsidRPr="001D1C39" w:rsidR="00025343" w:rsidP="006A5684" w:rsidRDefault="00025343" w14:paraId="75752AD4" w14:textId="7ACD3C64">
            <w:pPr>
              <w:tabs>
                <w:tab w:val="center" w:pos="0"/>
              </w:tabs>
              <w:overflowPunct w:val="0"/>
              <w:autoSpaceDE w:val="0"/>
              <w:autoSpaceDN w:val="0"/>
              <w:adjustRightInd w:val="0"/>
              <w:ind w:hanging="92"/>
              <w:textAlignment w:val="baseline"/>
              <w:rPr>
                <w:sz w:val="22"/>
                <w:szCs w:val="22"/>
              </w:rPr>
            </w:pPr>
            <w:r w:rsidRPr="001D1C39">
              <w:rPr>
                <w:sz w:val="22"/>
                <w:szCs w:val="22"/>
              </w:rPr>
              <w:t xml:space="preserve">Cristian </w:t>
            </w:r>
            <w:proofErr w:type="spellStart"/>
            <w:r w:rsidRPr="001D1C39">
              <w:rPr>
                <w:sz w:val="22"/>
                <w:szCs w:val="22"/>
              </w:rPr>
              <w:t>Pîrvulescu</w:t>
            </w:r>
            <w:proofErr w:type="spellEnd"/>
            <w:r w:rsidRPr="001D1C39">
              <w:rPr>
                <w:sz w:val="22"/>
                <w:szCs w:val="22"/>
              </w:rPr>
              <w:t xml:space="preserve"> (Gruppen af civilsamfundsorganisationer – RO)</w:t>
            </w:r>
          </w:p>
        </w:tc>
      </w:tr>
      <w:tr w:rsidRPr="001D1C39" w:rsidR="00025343" w:rsidTr="00FE3058" w14:paraId="1760181D" w14:textId="77777777">
        <w:trPr>
          <w:trHeight w:val="350"/>
        </w:trPr>
        <w:tc>
          <w:tcPr>
            <w:tcW w:w="1310" w:type="pct"/>
          </w:tcPr>
          <w:p w:rsidRPr="001D1C39" w:rsidR="00025343" w:rsidP="006A5684" w:rsidRDefault="00025343" w14:paraId="2BD960A6"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Medordfører</w:t>
            </w:r>
          </w:p>
        </w:tc>
        <w:tc>
          <w:tcPr>
            <w:tcW w:w="3690" w:type="pct"/>
          </w:tcPr>
          <w:p w:rsidRPr="001D1C39" w:rsidR="00025343" w:rsidP="006A5684" w:rsidRDefault="00025343" w14:paraId="4D5D8264" w14:textId="0F078110">
            <w:pPr>
              <w:overflowPunct w:val="0"/>
              <w:autoSpaceDE w:val="0"/>
              <w:autoSpaceDN w:val="0"/>
              <w:adjustRightInd w:val="0"/>
              <w:ind w:hanging="92"/>
              <w:textAlignment w:val="baseline"/>
              <w:rPr>
                <w:sz w:val="22"/>
                <w:szCs w:val="22"/>
              </w:rPr>
            </w:pPr>
            <w:r w:rsidRPr="001D1C39">
              <w:rPr>
                <w:sz w:val="22"/>
                <w:szCs w:val="22"/>
              </w:rPr>
              <w:t xml:space="preserve">Milena </w:t>
            </w:r>
            <w:proofErr w:type="spellStart"/>
            <w:r w:rsidRPr="001D1C39">
              <w:rPr>
                <w:sz w:val="22"/>
                <w:szCs w:val="22"/>
              </w:rPr>
              <w:t>Angelova</w:t>
            </w:r>
            <w:proofErr w:type="spellEnd"/>
            <w:r w:rsidRPr="001D1C39">
              <w:rPr>
                <w:sz w:val="22"/>
                <w:szCs w:val="22"/>
              </w:rPr>
              <w:t xml:space="preserve"> (Arbejdsgivergruppen – BG)</w:t>
            </w:r>
          </w:p>
        </w:tc>
      </w:tr>
      <w:tr w:rsidRPr="001D1C39" w:rsidR="00025343" w:rsidTr="00FE3058" w14:paraId="2C6DD60C" w14:textId="77777777">
        <w:trPr>
          <w:trHeight w:val="180"/>
        </w:trPr>
        <w:tc>
          <w:tcPr>
            <w:tcW w:w="5000" w:type="pct"/>
            <w:gridSpan w:val="2"/>
          </w:tcPr>
          <w:p w:rsidRPr="001D1C39" w:rsidR="00025343" w:rsidP="006A5684" w:rsidRDefault="00025343" w14:paraId="5C89C595" w14:textId="77777777">
            <w:pPr>
              <w:tabs>
                <w:tab w:val="center" w:pos="284"/>
              </w:tabs>
              <w:overflowPunct w:val="0"/>
              <w:autoSpaceDE w:val="0"/>
              <w:autoSpaceDN w:val="0"/>
              <w:adjustRightInd w:val="0"/>
              <w:ind w:left="266" w:hanging="266"/>
              <w:textAlignment w:val="baseline"/>
              <w:rPr>
                <w:sz w:val="14"/>
                <w:szCs w:val="14"/>
              </w:rPr>
            </w:pPr>
          </w:p>
        </w:tc>
      </w:tr>
      <w:tr w:rsidRPr="001D1C39" w:rsidR="00025343" w:rsidTr="00FE3058" w14:paraId="6FBC34E5" w14:textId="77777777">
        <w:trPr>
          <w:trHeight w:val="337"/>
        </w:trPr>
        <w:tc>
          <w:tcPr>
            <w:tcW w:w="1310" w:type="pct"/>
          </w:tcPr>
          <w:p w:rsidRPr="001D1C39" w:rsidR="00025343" w:rsidP="006A5684" w:rsidRDefault="00025343" w14:paraId="0CB959F0"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Ref.</w:t>
            </w:r>
          </w:p>
        </w:tc>
        <w:tc>
          <w:tcPr>
            <w:tcW w:w="3690" w:type="pct"/>
          </w:tcPr>
          <w:p w:rsidRPr="001D1C39" w:rsidR="00073B39" w:rsidP="006A5684" w:rsidRDefault="00073B39" w14:paraId="4E56704D" w14:textId="77D55C36">
            <w:pPr>
              <w:overflowPunct w:val="0"/>
              <w:autoSpaceDE w:val="0"/>
              <w:autoSpaceDN w:val="0"/>
              <w:adjustRightInd w:val="0"/>
              <w:ind w:left="38" w:hanging="92"/>
              <w:textAlignment w:val="baseline"/>
              <w:rPr>
                <w:sz w:val="22"/>
                <w:szCs w:val="22"/>
              </w:rPr>
            </w:pPr>
            <w:r w:rsidRPr="001D1C39">
              <w:rPr>
                <w:sz w:val="22"/>
                <w:szCs w:val="22"/>
              </w:rPr>
              <w:t>JOIN(2023) 51 final</w:t>
            </w:r>
          </w:p>
          <w:p w:rsidRPr="001D1C39" w:rsidR="00025343" w:rsidP="006A5684" w:rsidRDefault="00025343" w14:paraId="3DBBFBEB" w14:textId="41A0BBEE">
            <w:pPr>
              <w:overflowPunct w:val="0"/>
              <w:autoSpaceDE w:val="0"/>
              <w:autoSpaceDN w:val="0"/>
              <w:adjustRightInd w:val="0"/>
              <w:ind w:left="38" w:hanging="92"/>
              <w:textAlignment w:val="baseline"/>
              <w:rPr>
                <w:sz w:val="22"/>
                <w:szCs w:val="22"/>
              </w:rPr>
            </w:pPr>
            <w:r w:rsidRPr="001D1C39">
              <w:rPr>
                <w:sz w:val="22"/>
                <w:szCs w:val="22"/>
              </w:rPr>
              <w:t>EESC-2024-00795-00-00-AC</w:t>
            </w:r>
          </w:p>
        </w:tc>
      </w:tr>
    </w:tbl>
    <w:p w:rsidRPr="001D1C39" w:rsidR="00025343" w:rsidP="006A5684" w:rsidRDefault="00025343" w14:paraId="22461CD2" w14:textId="77777777">
      <w:pPr>
        <w:tabs>
          <w:tab w:val="center" w:pos="284"/>
        </w:tabs>
        <w:overflowPunct w:val="0"/>
        <w:autoSpaceDE w:val="0"/>
        <w:autoSpaceDN w:val="0"/>
        <w:adjustRightInd w:val="0"/>
        <w:ind w:left="266" w:hanging="266"/>
        <w:textAlignment w:val="baseline"/>
        <w:rPr>
          <w:b/>
          <w:sz w:val="18"/>
          <w:szCs w:val="18"/>
        </w:rPr>
      </w:pPr>
    </w:p>
    <w:p w:rsidRPr="001D1C39" w:rsidR="00025343" w:rsidP="006A5684" w:rsidRDefault="00025343" w14:paraId="76CC5FDB" w14:textId="77777777">
      <w:pPr>
        <w:tabs>
          <w:tab w:val="center" w:pos="284"/>
        </w:tabs>
        <w:overflowPunct w:val="0"/>
        <w:autoSpaceDE w:val="0"/>
        <w:autoSpaceDN w:val="0"/>
        <w:adjustRightInd w:val="0"/>
        <w:ind w:left="266" w:hanging="266"/>
        <w:textAlignment w:val="baseline"/>
        <w:rPr>
          <w:b/>
        </w:rPr>
      </w:pPr>
      <w:r w:rsidRPr="001D1C39">
        <w:rPr>
          <w:b/>
        </w:rPr>
        <w:t>Hovedpunkter</w:t>
      </w:r>
    </w:p>
    <w:p w:rsidRPr="001D1C39" w:rsidR="00025343" w:rsidP="006A5684" w:rsidRDefault="00025343" w14:paraId="19863DE9" w14:textId="77777777">
      <w:pPr>
        <w:tabs>
          <w:tab w:val="center" w:pos="284"/>
        </w:tabs>
        <w:overflowPunct w:val="0"/>
        <w:autoSpaceDE w:val="0"/>
        <w:autoSpaceDN w:val="0"/>
        <w:adjustRightInd w:val="0"/>
        <w:ind w:left="266" w:hanging="266"/>
        <w:textAlignment w:val="baseline"/>
        <w:rPr>
          <w:b/>
          <w:sz w:val="18"/>
          <w:szCs w:val="18"/>
        </w:rPr>
      </w:pPr>
    </w:p>
    <w:p w:rsidRPr="001D1C39" w:rsidR="00025343" w:rsidP="006A5684" w:rsidRDefault="00025343" w14:paraId="4E01D61B" w14:textId="1C55CBF5">
      <w:pPr>
        <w:overflowPunct w:val="0"/>
        <w:autoSpaceDE w:val="0"/>
        <w:autoSpaceDN w:val="0"/>
        <w:adjustRightInd w:val="0"/>
        <w:textAlignment w:val="baseline"/>
        <w:rPr>
          <w:bCs/>
          <w:iCs/>
        </w:rPr>
      </w:pPr>
      <w:r w:rsidRPr="001D1C39">
        <w:t>EØSU:</w:t>
      </w:r>
    </w:p>
    <w:p w:rsidRPr="001D1C39" w:rsidR="00025343" w:rsidP="006A5684" w:rsidRDefault="00025343" w14:paraId="377FA812" w14:textId="77777777">
      <w:pPr>
        <w:widowControl w:val="0"/>
        <w:numPr>
          <w:ilvl w:val="0"/>
          <w:numId w:val="17"/>
        </w:numPr>
        <w:overflowPunct w:val="0"/>
        <w:autoSpaceDE w:val="0"/>
        <w:autoSpaceDN w:val="0"/>
        <w:adjustRightInd w:val="0"/>
        <w:ind w:left="284" w:hanging="284"/>
        <w:textAlignment w:val="baseline"/>
        <w:rPr>
          <w:bCs/>
          <w:iCs/>
        </w:rPr>
      </w:pPr>
      <w:r w:rsidRPr="001D1C39">
        <w:t>glæder sig over meddelelsen, men understreger samtidig behovet for et mere omfattende partnerskab med civilsamfundsorganisationer. Udvalget efterlyser bevidstgørelseskampagner og bestræbelser på at bekæmpe "økosystemerne" for had offline og online, og minder om politikernes ansvar for at undgå at fremme had verbalt</w:t>
      </w:r>
    </w:p>
    <w:p w:rsidRPr="001D1C39" w:rsidR="00025343" w:rsidP="006A5684" w:rsidRDefault="00025343" w14:paraId="375F8159" w14:textId="77777777">
      <w:pPr>
        <w:widowControl w:val="0"/>
        <w:numPr>
          <w:ilvl w:val="0"/>
          <w:numId w:val="17"/>
        </w:numPr>
        <w:overflowPunct w:val="0"/>
        <w:autoSpaceDE w:val="0"/>
        <w:autoSpaceDN w:val="0"/>
        <w:adjustRightInd w:val="0"/>
        <w:ind w:left="284" w:hanging="284"/>
        <w:textAlignment w:val="baseline"/>
        <w:rPr>
          <w:bCs/>
          <w:iCs/>
        </w:rPr>
      </w:pPr>
      <w:r w:rsidRPr="001D1C39">
        <w:t>opfordrer EU til at vedtage en samlet tilgang og bekæmpe had rettet mod alle beskyttede menneskelige karakteristika, til reelt at føre de eksisterende strategier og initiativer til fremme af ligestilling og ikkeforskelsbehandling ud i livet samt til overvejende at anvende den samme tilgang til bekæmpelse af alle former for had. Udvalget opfordrer medlemsstaterne til at retsforfølge hadforbrydelser, tilskynde til, at de indberettes, og uddanne retshåndhævende myndigheder i at behandle sådanne sager korrekt under behørig hensyntagen til ofrene</w:t>
      </w:r>
    </w:p>
    <w:p w:rsidRPr="001D1C39" w:rsidR="00025343" w:rsidP="006A5684" w:rsidRDefault="00025343" w14:paraId="65F1FFC2" w14:textId="77777777">
      <w:pPr>
        <w:widowControl w:val="0"/>
        <w:numPr>
          <w:ilvl w:val="0"/>
          <w:numId w:val="17"/>
        </w:numPr>
        <w:overflowPunct w:val="0"/>
        <w:autoSpaceDE w:val="0"/>
        <w:autoSpaceDN w:val="0"/>
        <w:adjustRightInd w:val="0"/>
        <w:ind w:left="284" w:hanging="284"/>
        <w:textAlignment w:val="baseline"/>
        <w:rPr>
          <w:bCs/>
          <w:iCs/>
        </w:rPr>
      </w:pPr>
      <w:r w:rsidRPr="001D1C39">
        <w:t xml:space="preserve">beklager, at omfanget og virkningen af indsatsen til bekæmpelse af had på onlineplatforme stadig ikke er stor nok. </w:t>
      </w:r>
      <w:proofErr w:type="spellStart"/>
      <w:r w:rsidRPr="001D1C39">
        <w:t>Indberetternes</w:t>
      </w:r>
      <w:proofErr w:type="spellEnd"/>
      <w:r w:rsidRPr="001D1C39">
        <w:t xml:space="preserve"> rolle og ekspertise bør udvides til konsekvent at omfatte alle typer af hadefulde fordomme online. </w:t>
      </w:r>
      <w:proofErr w:type="spellStart"/>
      <w:r w:rsidRPr="001D1C39">
        <w:t>Mediekendskab</w:t>
      </w:r>
      <w:proofErr w:type="spellEnd"/>
      <w:r w:rsidRPr="001D1C39">
        <w:t xml:space="preserve"> og digitale færdigheder bør styrkes for at sikre en mere effektiv indberetning</w:t>
      </w:r>
    </w:p>
    <w:p w:rsidRPr="001D1C39" w:rsidR="00025343" w:rsidP="006A5684" w:rsidRDefault="00025343" w14:paraId="0FED99CF" w14:textId="77777777">
      <w:pPr>
        <w:widowControl w:val="0"/>
        <w:numPr>
          <w:ilvl w:val="0"/>
          <w:numId w:val="17"/>
        </w:numPr>
        <w:overflowPunct w:val="0"/>
        <w:autoSpaceDE w:val="0"/>
        <w:autoSpaceDN w:val="0"/>
        <w:adjustRightInd w:val="0"/>
        <w:ind w:left="284" w:hanging="284"/>
        <w:textAlignment w:val="baseline"/>
        <w:rPr>
          <w:bCs/>
          <w:iCs/>
        </w:rPr>
      </w:pPr>
      <w:r w:rsidRPr="001D1C39">
        <w:t>mener, at arbejdet i gruppen på højt plan vedrørende bekæmpelse af hadefuld tale og hadforbrydelser bør gøres mere operationelt, at uddannelse og kapacitetsopbygning for civilsamfundet bør styrkes, og indberetningen gøres mere effektiv. Indberetning og benchmarking bør anvendes til at fastslå, hvor langt man er nået. Indberetning af hadforbrydelser bør standardiseres og institutionaliseres på EU-plan. Der skal være rapporteringsmekanismer til rådighed, som skal være tilgængelige for alle ofre, og Kommissionen opfordres til at oprette en onlineplatform, hvor civilsamfundsorganisationer og menneskerettighedsforkæmpere hurtigt kan indberette hændelser</w:t>
      </w:r>
    </w:p>
    <w:p w:rsidRPr="001D1C39" w:rsidR="00025343" w:rsidP="006A5684" w:rsidRDefault="00025343" w14:paraId="293255FE" w14:textId="77777777">
      <w:pPr>
        <w:widowControl w:val="0"/>
        <w:numPr>
          <w:ilvl w:val="0"/>
          <w:numId w:val="17"/>
        </w:numPr>
        <w:overflowPunct w:val="0"/>
        <w:autoSpaceDE w:val="0"/>
        <w:autoSpaceDN w:val="0"/>
        <w:adjustRightInd w:val="0"/>
        <w:ind w:left="284" w:hanging="284"/>
        <w:textAlignment w:val="baseline"/>
        <w:rPr>
          <w:bCs/>
          <w:iCs/>
        </w:rPr>
      </w:pPr>
      <w:r w:rsidRPr="001D1C39">
        <w:t xml:space="preserve">understreger, at Kommissionen bør tilrettelægge en gennemgang af det arbejde, som civilsamfundsorganisationer og pålidelige </w:t>
      </w:r>
      <w:proofErr w:type="spellStart"/>
      <w:r w:rsidRPr="001D1C39">
        <w:t>indberettere</w:t>
      </w:r>
      <w:proofErr w:type="spellEnd"/>
      <w:r w:rsidRPr="001D1C39">
        <w:t xml:space="preserve"> udfører, og foreslå foranstaltninger til at gøre deres arbejde mere effektivt samt sikre, at indsatsen står mål med de nuværende udfordringer. EU bør insistere på, at store onlineplatforme forhindrer deres algoritmer i at forstærke had, og bør anvende midler fra programmet for borgere, ligestilling, rettigheder og værdier og fra Horisont Europa til at afdække og bekæmpe økosystemer for had online, således at den eksisterende uddannelses- og forskningskapacitet kan bidrage til at nå dette mål. Undervisning i medborgerkundskab inden for rammerne af Erasmus+ kan også bidrage i den henseende.</w:t>
      </w:r>
    </w:p>
    <w:p w:rsidRPr="001D1C39" w:rsidR="00025343" w:rsidP="006A5684" w:rsidRDefault="00025343" w14:paraId="0B19C92B" w14:textId="77777777">
      <w:pPr>
        <w:widowControl w:val="0"/>
        <w:overflowPunct w:val="0"/>
        <w:autoSpaceDE w:val="0"/>
        <w:autoSpaceDN w:val="0"/>
        <w:adjustRightInd w:val="0"/>
        <w:ind w:left="424"/>
        <w:textAlignment w:val="baseline"/>
        <w:rPr>
          <w:bCs/>
          <w:iCs/>
          <w:sz w:val="18"/>
          <w:szCs w:val="18"/>
        </w:rPr>
      </w:pPr>
    </w:p>
    <w:tbl>
      <w:tblPr>
        <w:tblStyle w:val="TableGrid2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D1C39" w:rsidR="00025343" w:rsidTr="00FE3058" w14:paraId="2383B5F9" w14:textId="77777777">
        <w:trPr>
          <w:trHeight w:val="60"/>
        </w:trPr>
        <w:tc>
          <w:tcPr>
            <w:tcW w:w="1556" w:type="pct"/>
          </w:tcPr>
          <w:p w:rsidRPr="001D1C39" w:rsidR="00025343" w:rsidP="006A5684" w:rsidRDefault="00025343" w14:paraId="77472C91" w14:textId="77777777">
            <w:pPr>
              <w:overflowPunct w:val="0"/>
              <w:autoSpaceDE w:val="0"/>
              <w:autoSpaceDN w:val="0"/>
              <w:adjustRightInd w:val="0"/>
              <w:textAlignment w:val="baseline"/>
              <w:rPr>
                <w:i/>
                <w:sz w:val="22"/>
                <w:szCs w:val="22"/>
              </w:rPr>
            </w:pPr>
            <w:r w:rsidRPr="001D1C39">
              <w:rPr>
                <w:b/>
                <w:i/>
                <w:sz w:val="22"/>
                <w:szCs w:val="22"/>
              </w:rPr>
              <w:t>Kontakt</w:t>
            </w:r>
          </w:p>
        </w:tc>
        <w:tc>
          <w:tcPr>
            <w:tcW w:w="3444" w:type="pct"/>
          </w:tcPr>
          <w:p w:rsidRPr="001D1C39" w:rsidR="00025343" w:rsidP="006A5684" w:rsidRDefault="00025343" w14:paraId="0085AE7E" w14:textId="77777777">
            <w:pPr>
              <w:overflowPunct w:val="0"/>
              <w:autoSpaceDE w:val="0"/>
              <w:autoSpaceDN w:val="0"/>
              <w:adjustRightInd w:val="0"/>
              <w:textAlignment w:val="baseline"/>
              <w:rPr>
                <w:i/>
                <w:sz w:val="22"/>
                <w:szCs w:val="22"/>
              </w:rPr>
            </w:pPr>
            <w:r w:rsidRPr="001D1C39">
              <w:rPr>
                <w:i/>
                <w:sz w:val="22"/>
                <w:szCs w:val="22"/>
              </w:rPr>
              <w:t>June Bedaton</w:t>
            </w:r>
          </w:p>
        </w:tc>
      </w:tr>
      <w:tr w:rsidRPr="001D1C39" w:rsidR="00025343" w:rsidTr="00FE3058" w14:paraId="5D5A7669" w14:textId="77777777">
        <w:tc>
          <w:tcPr>
            <w:tcW w:w="1556" w:type="pct"/>
          </w:tcPr>
          <w:p w:rsidRPr="001D1C39" w:rsidR="00025343" w:rsidP="006A5684" w:rsidRDefault="00025343" w14:paraId="0EE8CCA8" w14:textId="77777777">
            <w:pPr>
              <w:overflowPunct w:val="0"/>
              <w:autoSpaceDE w:val="0"/>
              <w:autoSpaceDN w:val="0"/>
              <w:adjustRightInd w:val="0"/>
              <w:textAlignment w:val="baseline"/>
              <w:rPr>
                <w:i/>
                <w:sz w:val="22"/>
                <w:szCs w:val="22"/>
              </w:rPr>
            </w:pPr>
            <w:r w:rsidRPr="001D1C39">
              <w:rPr>
                <w:i/>
                <w:sz w:val="22"/>
                <w:szCs w:val="22"/>
              </w:rPr>
              <w:t>Tlf.</w:t>
            </w:r>
          </w:p>
        </w:tc>
        <w:tc>
          <w:tcPr>
            <w:tcW w:w="3444" w:type="pct"/>
          </w:tcPr>
          <w:p w:rsidRPr="001D1C39" w:rsidR="00025343" w:rsidP="006A5684" w:rsidRDefault="00025343" w14:paraId="13FFF4AE" w14:textId="77777777">
            <w:pPr>
              <w:overflowPunct w:val="0"/>
              <w:autoSpaceDE w:val="0"/>
              <w:autoSpaceDN w:val="0"/>
              <w:adjustRightInd w:val="0"/>
              <w:textAlignment w:val="baseline"/>
              <w:rPr>
                <w:i/>
                <w:sz w:val="22"/>
                <w:szCs w:val="22"/>
              </w:rPr>
            </w:pPr>
            <w:r w:rsidRPr="001D1C39">
              <w:rPr>
                <w:i/>
                <w:sz w:val="22"/>
                <w:szCs w:val="22"/>
              </w:rPr>
              <w:t>00 32 2 546 81 34</w:t>
            </w:r>
          </w:p>
        </w:tc>
      </w:tr>
      <w:tr w:rsidRPr="001D1C39" w:rsidR="00025343" w:rsidTr="00FE3058" w14:paraId="3F8348DB" w14:textId="77777777">
        <w:tc>
          <w:tcPr>
            <w:tcW w:w="1556" w:type="pct"/>
          </w:tcPr>
          <w:p w:rsidRPr="001D1C39" w:rsidR="00025343" w:rsidP="006A5684" w:rsidRDefault="00025343" w14:paraId="727D8F5E" w14:textId="77777777">
            <w:pPr>
              <w:overflowPunct w:val="0"/>
              <w:autoSpaceDE w:val="0"/>
              <w:autoSpaceDN w:val="0"/>
              <w:adjustRightInd w:val="0"/>
              <w:textAlignment w:val="baseline"/>
              <w:rPr>
                <w:i/>
                <w:sz w:val="22"/>
                <w:szCs w:val="22"/>
              </w:rPr>
            </w:pPr>
            <w:r w:rsidRPr="001D1C39">
              <w:rPr>
                <w:i/>
                <w:sz w:val="22"/>
                <w:szCs w:val="22"/>
              </w:rPr>
              <w:t>E-mail</w:t>
            </w:r>
          </w:p>
        </w:tc>
        <w:tc>
          <w:tcPr>
            <w:tcW w:w="3444" w:type="pct"/>
          </w:tcPr>
          <w:p w:rsidRPr="001D1C39" w:rsidR="00025343" w:rsidP="006A5684" w:rsidRDefault="003D1988" w14:paraId="55F1FCFD" w14:textId="77777777">
            <w:pPr>
              <w:overflowPunct w:val="0"/>
              <w:autoSpaceDE w:val="0"/>
              <w:autoSpaceDN w:val="0"/>
              <w:adjustRightInd w:val="0"/>
              <w:textAlignment w:val="baseline"/>
              <w:rPr>
                <w:i/>
                <w:sz w:val="22"/>
                <w:szCs w:val="22"/>
              </w:rPr>
            </w:pPr>
            <w:hyperlink w:history="1" r:id="rId29">
              <w:proofErr w:type="spellStart"/>
              <w:r w:rsidRPr="001D1C39" w:rsidR="00D97A3B">
                <w:rPr>
                  <w:i/>
                  <w:color w:val="0000FF"/>
                  <w:sz w:val="22"/>
                  <w:szCs w:val="22"/>
                  <w:u w:val="single"/>
                </w:rPr>
                <w:t>June.Bedaton@eesc.europa.eu</w:t>
              </w:r>
              <w:proofErr w:type="spellEnd"/>
            </w:hyperlink>
          </w:p>
        </w:tc>
      </w:tr>
    </w:tbl>
    <w:p w:rsidRPr="001D1C39" w:rsidR="00502E1F" w:rsidP="006A5684" w:rsidRDefault="00502E1F" w14:paraId="3D58FF9D" w14:textId="2586B74C">
      <w:pPr>
        <w:jc w:val="left"/>
        <w:rPr>
          <w:sz w:val="4"/>
          <w:szCs w:val="4"/>
        </w:rPr>
      </w:pPr>
      <w:r w:rsidRPr="001D1C39">
        <w:rPr>
          <w:sz w:val="12"/>
          <w:szCs w:val="12"/>
        </w:rPr>
        <w:br w:type="page"/>
      </w:r>
    </w:p>
    <w:p w:rsidRPr="00EE2FBD" w:rsidR="004C3902" w:rsidP="006A5684" w:rsidRDefault="008E2A59" w14:paraId="7AD922B6" w14:textId="2BABB602">
      <w:pPr>
        <w:pStyle w:val="Heading1"/>
        <w:tabs>
          <w:tab w:val="clear" w:pos="440"/>
          <w:tab w:val="left" w:pos="567"/>
        </w:tabs>
        <w:spacing w:before="0"/>
        <w:ind w:left="567" w:right="0" w:hanging="567"/>
        <w:rPr>
          <w:b/>
          <w:bCs/>
        </w:rPr>
      </w:pPr>
      <w:bookmarkStart w:name="_Toc166847134" w:id="2"/>
      <w:bookmarkStart w:name="_Toc169790072" w:id="3"/>
      <w:bookmarkEnd w:id="2"/>
      <w:r>
        <w:rPr>
          <w:b/>
        </w:rPr>
        <w:lastRenderedPageBreak/>
        <w:t>LANDBRUG, UDVIKLING AF LANDDISTRIKTERNE OG MILJØ</w:t>
      </w:r>
      <w:bookmarkEnd w:id="3"/>
    </w:p>
    <w:p w:rsidR="005C28F2" w:rsidP="006A5684" w:rsidRDefault="005C28F2" w14:paraId="70C7CB4F" w14:textId="77777777">
      <w:pPr>
        <w:jc w:val="left"/>
        <w:rPr>
          <w:b/>
          <w:bCs/>
        </w:rPr>
      </w:pPr>
    </w:p>
    <w:p w:rsidRPr="00A329C8" w:rsidR="00A329C8" w:rsidP="006A5684" w:rsidRDefault="003D1988" w14:paraId="54725696" w14:textId="5958EFA0">
      <w:pPr>
        <w:numPr>
          <w:ilvl w:val="0"/>
          <w:numId w:val="2"/>
        </w:numPr>
        <w:overflowPunct w:val="0"/>
        <w:autoSpaceDE w:val="0"/>
        <w:autoSpaceDN w:val="0"/>
        <w:adjustRightInd w:val="0"/>
        <w:contextualSpacing/>
        <w:jc w:val="left"/>
        <w:textAlignment w:val="baseline"/>
        <w:rPr>
          <w:i/>
          <w:iCs/>
        </w:rPr>
      </w:pPr>
      <w:hyperlink w:history="1" r:id="rId30">
        <w:r w:rsidR="004C1520">
          <w:rPr>
            <w:b/>
            <w:i/>
            <w:color w:val="0000FF"/>
            <w:sz w:val="28"/>
            <w:u w:val="single"/>
          </w:rPr>
          <w:t>EU's klimamål for 2040</w:t>
        </w:r>
      </w:hyperlink>
    </w:p>
    <w:p w:rsidRPr="001D1C39" w:rsidR="00A329C8" w:rsidP="006A5684" w:rsidRDefault="00A329C8" w14:paraId="41709063" w14:textId="77777777">
      <w:pPr>
        <w:widowControl w:val="0"/>
        <w:overflowPunct w:val="0"/>
        <w:autoSpaceDE w:val="0"/>
        <w:autoSpaceDN w:val="0"/>
        <w:adjustRightInd w:val="0"/>
        <w:ind w:left="567"/>
        <w:textAlignment w:val="baseline"/>
        <w:rPr>
          <w:bCs/>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1D1C39" w:rsidR="00A329C8" w:rsidTr="00FE3058" w14:paraId="1072566D" w14:textId="77777777">
        <w:tc>
          <w:tcPr>
            <w:tcW w:w="1701" w:type="dxa"/>
          </w:tcPr>
          <w:p w:rsidRPr="001D1C39" w:rsidR="00A329C8" w:rsidP="006A5684" w:rsidRDefault="00A329C8" w14:paraId="165FF2EB"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Ordfører</w:t>
            </w:r>
          </w:p>
        </w:tc>
        <w:tc>
          <w:tcPr>
            <w:tcW w:w="6096" w:type="dxa"/>
          </w:tcPr>
          <w:p w:rsidRPr="001D1C39" w:rsidR="00A329C8" w:rsidP="006A5684" w:rsidRDefault="00A329C8" w14:paraId="79F6E9C0" w14:textId="43EDADDC">
            <w:pPr>
              <w:tabs>
                <w:tab w:val="center" w:pos="284"/>
              </w:tabs>
              <w:overflowPunct w:val="0"/>
              <w:autoSpaceDE w:val="0"/>
              <w:autoSpaceDN w:val="0"/>
              <w:adjustRightInd w:val="0"/>
              <w:ind w:left="266" w:hanging="266"/>
              <w:textAlignment w:val="baseline"/>
              <w:rPr>
                <w:bCs/>
                <w:sz w:val="22"/>
                <w:szCs w:val="22"/>
              </w:rPr>
            </w:pPr>
            <w:proofErr w:type="spellStart"/>
            <w:r w:rsidRPr="001D1C39">
              <w:rPr>
                <w:sz w:val="22"/>
                <w:szCs w:val="22"/>
              </w:rPr>
              <w:t>Teppo</w:t>
            </w:r>
            <w:proofErr w:type="spellEnd"/>
            <w:r w:rsidRPr="001D1C39">
              <w:rPr>
                <w:sz w:val="22"/>
                <w:szCs w:val="22"/>
              </w:rPr>
              <w:t xml:space="preserve"> </w:t>
            </w:r>
            <w:proofErr w:type="spellStart"/>
            <w:r w:rsidRPr="001D1C39">
              <w:rPr>
                <w:sz w:val="22"/>
                <w:szCs w:val="22"/>
              </w:rPr>
              <w:t>Säkkinen</w:t>
            </w:r>
            <w:proofErr w:type="spellEnd"/>
            <w:r w:rsidRPr="001D1C39">
              <w:rPr>
                <w:sz w:val="22"/>
                <w:szCs w:val="22"/>
              </w:rPr>
              <w:t xml:space="preserve"> (Arbejdsgivergruppen – FI)</w:t>
            </w:r>
          </w:p>
        </w:tc>
      </w:tr>
      <w:tr w:rsidRPr="001D1C39" w:rsidR="00A329C8" w:rsidTr="00FE3058" w14:paraId="41523448" w14:textId="77777777">
        <w:tc>
          <w:tcPr>
            <w:tcW w:w="7797" w:type="dxa"/>
            <w:gridSpan w:val="2"/>
          </w:tcPr>
          <w:p w:rsidRPr="001D1C39" w:rsidR="00A329C8" w:rsidP="006A5684" w:rsidRDefault="00A329C8" w14:paraId="0D6A47D3" w14:textId="77777777">
            <w:pPr>
              <w:tabs>
                <w:tab w:val="left" w:pos="2690"/>
              </w:tabs>
              <w:overflowPunct w:val="0"/>
              <w:autoSpaceDE w:val="0"/>
              <w:autoSpaceDN w:val="0"/>
              <w:adjustRightInd w:val="0"/>
              <w:ind w:left="266" w:hanging="266"/>
              <w:textAlignment w:val="baseline"/>
              <w:rPr>
                <w:sz w:val="12"/>
                <w:szCs w:val="12"/>
              </w:rPr>
            </w:pPr>
          </w:p>
        </w:tc>
      </w:tr>
      <w:tr w:rsidRPr="001D1C39" w:rsidR="00A329C8" w:rsidTr="00FE3058" w14:paraId="4CD963E6" w14:textId="77777777">
        <w:tc>
          <w:tcPr>
            <w:tcW w:w="1701" w:type="dxa"/>
            <w:vMerge w:val="restart"/>
          </w:tcPr>
          <w:p w:rsidRPr="001D1C39" w:rsidR="00A329C8" w:rsidP="006A5684" w:rsidRDefault="00A329C8" w14:paraId="09AC84B4"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Ref.</w:t>
            </w:r>
          </w:p>
        </w:tc>
        <w:tc>
          <w:tcPr>
            <w:tcW w:w="6096" w:type="dxa"/>
          </w:tcPr>
          <w:p w:rsidRPr="001D1C39" w:rsidR="00A329C8" w:rsidP="006A5684" w:rsidRDefault="00A329C8" w14:paraId="3A6B9900" w14:textId="77777777">
            <w:pPr>
              <w:tabs>
                <w:tab w:val="center" w:pos="284"/>
              </w:tabs>
              <w:overflowPunct w:val="0"/>
              <w:autoSpaceDE w:val="0"/>
              <w:autoSpaceDN w:val="0"/>
              <w:adjustRightInd w:val="0"/>
              <w:ind w:left="266" w:hanging="266"/>
              <w:textAlignment w:val="baseline"/>
              <w:rPr>
                <w:sz w:val="22"/>
                <w:szCs w:val="22"/>
              </w:rPr>
            </w:pPr>
            <w:r w:rsidRPr="001D1C39">
              <w:rPr>
                <w:sz w:val="22"/>
                <w:szCs w:val="22"/>
              </w:rPr>
              <w:t>COM(2024) 63 final</w:t>
            </w:r>
          </w:p>
        </w:tc>
      </w:tr>
      <w:tr w:rsidRPr="001D1C39" w:rsidR="00A329C8" w:rsidTr="00FE3058" w14:paraId="42B3A032" w14:textId="77777777">
        <w:tc>
          <w:tcPr>
            <w:tcW w:w="1701" w:type="dxa"/>
            <w:vMerge/>
          </w:tcPr>
          <w:p w:rsidRPr="001D1C39" w:rsidR="00A329C8" w:rsidP="006A5684" w:rsidRDefault="00A329C8" w14:paraId="4ADA52A9" w14:textId="77777777">
            <w:pPr>
              <w:tabs>
                <w:tab w:val="center" w:pos="284"/>
              </w:tabs>
              <w:overflowPunct w:val="0"/>
              <w:autoSpaceDE w:val="0"/>
              <w:autoSpaceDN w:val="0"/>
              <w:adjustRightInd w:val="0"/>
              <w:ind w:left="266" w:hanging="266"/>
              <w:textAlignment w:val="baseline"/>
              <w:rPr>
                <w:b/>
                <w:sz w:val="22"/>
                <w:szCs w:val="22"/>
              </w:rPr>
            </w:pPr>
          </w:p>
        </w:tc>
        <w:tc>
          <w:tcPr>
            <w:tcW w:w="6096" w:type="dxa"/>
          </w:tcPr>
          <w:p w:rsidRPr="001D1C39" w:rsidR="00A329C8" w:rsidP="006A5684" w:rsidRDefault="00A329C8" w14:paraId="34A1EAA6" w14:textId="10339782">
            <w:pPr>
              <w:tabs>
                <w:tab w:val="center" w:pos="284"/>
              </w:tabs>
              <w:overflowPunct w:val="0"/>
              <w:autoSpaceDE w:val="0"/>
              <w:autoSpaceDN w:val="0"/>
              <w:adjustRightInd w:val="0"/>
              <w:ind w:left="266" w:hanging="266"/>
              <w:textAlignment w:val="baseline"/>
              <w:rPr>
                <w:sz w:val="22"/>
                <w:szCs w:val="22"/>
              </w:rPr>
            </w:pPr>
            <w:r w:rsidRPr="001D1C39">
              <w:rPr>
                <w:sz w:val="22"/>
                <w:szCs w:val="22"/>
              </w:rPr>
              <w:t>EESC-2024-00418-00-00-AC</w:t>
            </w:r>
          </w:p>
        </w:tc>
      </w:tr>
    </w:tbl>
    <w:p w:rsidRPr="001D1C39" w:rsidR="00A329C8" w:rsidP="006A5684" w:rsidRDefault="00A329C8" w14:paraId="0015795B" w14:textId="77777777">
      <w:pPr>
        <w:keepNext/>
        <w:keepLines/>
        <w:tabs>
          <w:tab w:val="center" w:pos="284"/>
        </w:tabs>
        <w:overflowPunct w:val="0"/>
        <w:autoSpaceDE w:val="0"/>
        <w:autoSpaceDN w:val="0"/>
        <w:adjustRightInd w:val="0"/>
        <w:ind w:left="266" w:hanging="266"/>
        <w:textAlignment w:val="baseline"/>
        <w:rPr>
          <w:b/>
        </w:rPr>
      </w:pPr>
    </w:p>
    <w:p w:rsidRPr="001D1C39" w:rsidR="00A329C8" w:rsidP="006A5684" w:rsidRDefault="00A329C8" w14:paraId="52DD4DB5" w14:textId="77777777">
      <w:pPr>
        <w:keepNext/>
        <w:keepLines/>
        <w:tabs>
          <w:tab w:val="center" w:pos="284"/>
        </w:tabs>
        <w:overflowPunct w:val="0"/>
        <w:autoSpaceDE w:val="0"/>
        <w:autoSpaceDN w:val="0"/>
        <w:adjustRightInd w:val="0"/>
        <w:ind w:left="266" w:hanging="266"/>
        <w:textAlignment w:val="baseline"/>
        <w:rPr>
          <w:b/>
        </w:rPr>
      </w:pPr>
      <w:r w:rsidRPr="001D1C39">
        <w:rPr>
          <w:b/>
        </w:rPr>
        <w:t>Hovedpunkter</w:t>
      </w:r>
    </w:p>
    <w:p w:rsidRPr="001D1C39" w:rsidR="00A329C8" w:rsidP="006A5684" w:rsidRDefault="00A329C8" w14:paraId="0EFAF4B2" w14:textId="77777777">
      <w:pPr>
        <w:keepNext/>
        <w:keepLines/>
        <w:tabs>
          <w:tab w:val="center" w:pos="284"/>
        </w:tabs>
        <w:overflowPunct w:val="0"/>
        <w:autoSpaceDE w:val="0"/>
        <w:autoSpaceDN w:val="0"/>
        <w:adjustRightInd w:val="0"/>
        <w:ind w:left="266" w:hanging="266"/>
        <w:textAlignment w:val="baseline"/>
        <w:rPr>
          <w:bCs/>
        </w:rPr>
      </w:pPr>
    </w:p>
    <w:p w:rsidRPr="001D1C39" w:rsidR="00A329C8" w:rsidP="006A5684" w:rsidRDefault="00A329C8" w14:paraId="4C8A0CE8" w14:textId="68F5BE87">
      <w:pPr>
        <w:overflowPunct w:val="0"/>
        <w:autoSpaceDE w:val="0"/>
        <w:autoSpaceDN w:val="0"/>
        <w:adjustRightInd w:val="0"/>
        <w:textAlignment w:val="baseline"/>
        <w:rPr>
          <w:bCs/>
          <w:iCs/>
        </w:rPr>
      </w:pPr>
      <w:r w:rsidRPr="001D1C39">
        <w:t>EØSU:</w:t>
      </w:r>
    </w:p>
    <w:p w:rsidRPr="001D1C39" w:rsidR="00A329C8" w:rsidP="006A5684" w:rsidRDefault="00A329C8" w14:paraId="044AC65A" w14:textId="77777777">
      <w:pPr>
        <w:pStyle w:val="ListParagraph"/>
        <w:numPr>
          <w:ilvl w:val="0"/>
          <w:numId w:val="18"/>
        </w:numPr>
        <w:overflowPunct w:val="0"/>
        <w:autoSpaceDE w:val="0"/>
        <w:autoSpaceDN w:val="0"/>
        <w:adjustRightInd w:val="0"/>
        <w:ind w:left="284" w:hanging="284"/>
        <w:textAlignment w:val="baseline"/>
        <w:outlineLvl w:val="1"/>
        <w:rPr>
          <w:spacing w:val="-4"/>
        </w:rPr>
      </w:pPr>
      <w:r w:rsidRPr="001D1C39">
        <w:rPr>
          <w:b/>
        </w:rPr>
        <w:t>bakker op om det anbefalede mål på 90 % senest i 2040</w:t>
      </w:r>
      <w:r w:rsidRPr="001D1C39">
        <w:t>, da det stemmer overens med videnskaben om Europas rimelige andel af målet på 1,5 grader. EØSU understreger, at</w:t>
      </w:r>
      <w:r w:rsidRPr="001D1C39">
        <w:rPr>
          <w:b/>
        </w:rPr>
        <w:t xml:space="preserve"> målet er krævende</w:t>
      </w:r>
      <w:r w:rsidRPr="001D1C39">
        <w:t xml:space="preserve"> og kun kan nås med vedtagelse af politikker, der gør det muligt at sikre de </w:t>
      </w:r>
      <w:r w:rsidRPr="001D1C39">
        <w:rPr>
          <w:b/>
        </w:rPr>
        <w:t>europæiske industrisektorers konkurrenceevne</w:t>
      </w:r>
      <w:r w:rsidRPr="001D1C39">
        <w:t xml:space="preserve"> og en </w:t>
      </w:r>
      <w:r w:rsidRPr="001D1C39">
        <w:rPr>
          <w:b/>
        </w:rPr>
        <w:t>retfærdig omstilling</w:t>
      </w:r>
      <w:r w:rsidRPr="001D1C39">
        <w:t>, og med omkostningseffektiv anvendelse af alle nul- og lavemissionsteknologier</w:t>
      </w:r>
    </w:p>
    <w:p w:rsidRPr="001D1C39" w:rsidR="00A329C8" w:rsidP="006A5684" w:rsidRDefault="00A329C8" w14:paraId="43A81807" w14:textId="77777777">
      <w:pPr>
        <w:pStyle w:val="ListParagraph"/>
        <w:numPr>
          <w:ilvl w:val="0"/>
          <w:numId w:val="19"/>
        </w:numPr>
        <w:overflowPunct w:val="0"/>
        <w:autoSpaceDE w:val="0"/>
        <w:autoSpaceDN w:val="0"/>
        <w:adjustRightInd w:val="0"/>
        <w:ind w:left="284" w:hanging="284"/>
        <w:textAlignment w:val="baseline"/>
        <w:outlineLvl w:val="1"/>
        <w:rPr>
          <w:spacing w:val="-4"/>
        </w:rPr>
      </w:pPr>
      <w:r w:rsidRPr="001D1C39">
        <w:rPr>
          <w:b/>
        </w:rPr>
        <w:t>fremhæver, at emissionsreduktioner rent faktisk er mulige ved at udfase fossile brændstoffer</w:t>
      </w:r>
      <w:r w:rsidRPr="001D1C39">
        <w:t>. Selv om CO</w:t>
      </w:r>
      <w:r w:rsidRPr="001D1C39">
        <w:rPr>
          <w:vertAlign w:val="subscript"/>
        </w:rPr>
        <w:t>2</w:t>
      </w:r>
      <w:r w:rsidRPr="001D1C39">
        <w:t>-fjernelse spiller en stadig større rolle, hvis EU skal nå sine klimamål, er der usikkerheder forbundet med alt for stor afhængighed af kulstofdræn og en risiko for at blive låst fast til fortsat afhængighed af fossile brændstoffer eller for tab af kulstofdræn som følge af skovbrande, skadegørere og andre farer</w:t>
      </w:r>
    </w:p>
    <w:p w:rsidRPr="001D1C39" w:rsidR="00A329C8" w:rsidP="006A5684" w:rsidRDefault="00A329C8" w14:paraId="22AE9A43" w14:textId="77777777">
      <w:pPr>
        <w:pStyle w:val="ListParagraph"/>
        <w:numPr>
          <w:ilvl w:val="0"/>
          <w:numId w:val="19"/>
        </w:numPr>
        <w:overflowPunct w:val="0"/>
        <w:autoSpaceDE w:val="0"/>
        <w:autoSpaceDN w:val="0"/>
        <w:adjustRightInd w:val="0"/>
        <w:ind w:left="284" w:hanging="284"/>
        <w:textAlignment w:val="baseline"/>
        <w:outlineLvl w:val="1"/>
      </w:pPr>
      <w:r w:rsidRPr="001D1C39">
        <w:t xml:space="preserve">opfordrer Kommissionen til at foretage en videnskabelig og økonomisk vurdering af </w:t>
      </w:r>
      <w:r w:rsidRPr="001D1C39">
        <w:rPr>
          <w:b/>
        </w:rPr>
        <w:t>balancen mellem reduktioner og fjernelse</w:t>
      </w:r>
    </w:p>
    <w:p w:rsidRPr="001D1C39" w:rsidR="00A329C8" w:rsidP="006A5684" w:rsidRDefault="00A329C8" w14:paraId="1F60CE63" w14:textId="77777777">
      <w:pPr>
        <w:pStyle w:val="ListParagraph"/>
        <w:numPr>
          <w:ilvl w:val="0"/>
          <w:numId w:val="20"/>
        </w:numPr>
        <w:overflowPunct w:val="0"/>
        <w:autoSpaceDE w:val="0"/>
        <w:autoSpaceDN w:val="0"/>
        <w:adjustRightInd w:val="0"/>
        <w:ind w:left="284" w:hanging="284"/>
        <w:textAlignment w:val="baseline"/>
        <w:outlineLvl w:val="1"/>
      </w:pPr>
      <w:r w:rsidRPr="001D1C39">
        <w:t>understreger, at fokus må være på at gennemføre Fit for 55-lovgivningen og støtte europæiske virksomheder og husholdninger i tilpasningen til de nye lovgivningsmæssige rammer</w:t>
      </w:r>
    </w:p>
    <w:p w:rsidRPr="001D1C39" w:rsidR="00A329C8" w:rsidP="006A5684" w:rsidRDefault="00A329C8" w14:paraId="5FDA81D5" w14:textId="26480DC0">
      <w:pPr>
        <w:pStyle w:val="ListParagraph"/>
        <w:numPr>
          <w:ilvl w:val="0"/>
          <w:numId w:val="20"/>
        </w:numPr>
        <w:overflowPunct w:val="0"/>
        <w:autoSpaceDE w:val="0"/>
        <w:autoSpaceDN w:val="0"/>
        <w:adjustRightInd w:val="0"/>
        <w:ind w:left="284" w:hanging="284"/>
        <w:textAlignment w:val="baseline"/>
        <w:outlineLvl w:val="1"/>
      </w:pPr>
      <w:r w:rsidRPr="001D1C39">
        <w:t xml:space="preserve">bemærker, at klimamålene kræver et </w:t>
      </w:r>
      <w:r w:rsidRPr="001D1C39">
        <w:rPr>
          <w:b/>
        </w:rPr>
        <w:t xml:space="preserve">hidtil uset niveau af investeringer i </w:t>
      </w:r>
      <w:proofErr w:type="spellStart"/>
      <w:r w:rsidRPr="001D1C39">
        <w:rPr>
          <w:b/>
        </w:rPr>
        <w:t>dekarbonisering</w:t>
      </w:r>
      <w:proofErr w:type="spellEnd"/>
    </w:p>
    <w:p w:rsidRPr="001D1C39" w:rsidR="00A329C8" w:rsidP="006A5684" w:rsidRDefault="00A329C8" w14:paraId="5CB3A85C" w14:textId="77777777">
      <w:pPr>
        <w:pStyle w:val="ListParagraph"/>
        <w:numPr>
          <w:ilvl w:val="0"/>
          <w:numId w:val="20"/>
        </w:numPr>
        <w:overflowPunct w:val="0"/>
        <w:autoSpaceDE w:val="0"/>
        <w:autoSpaceDN w:val="0"/>
        <w:adjustRightInd w:val="0"/>
        <w:ind w:left="284" w:hanging="284"/>
        <w:textAlignment w:val="baseline"/>
        <w:outlineLvl w:val="1"/>
      </w:pPr>
      <w:r w:rsidRPr="001D1C39">
        <w:t xml:space="preserve">opfordrer Kommissionen til at spore og fastsætte mål for væksten i eksporten af europæiske </w:t>
      </w:r>
      <w:proofErr w:type="spellStart"/>
      <w:r w:rsidRPr="001D1C39">
        <w:t>cleantech</w:t>
      </w:r>
      <w:proofErr w:type="spellEnd"/>
      <w:r w:rsidRPr="001D1C39">
        <w:t>-produkter og -tjenester</w:t>
      </w:r>
    </w:p>
    <w:p w:rsidRPr="001D1C39" w:rsidR="00A329C8" w:rsidP="006A5684" w:rsidRDefault="00A329C8" w14:paraId="734EC568" w14:textId="77777777">
      <w:pPr>
        <w:pStyle w:val="ListParagraph"/>
        <w:numPr>
          <w:ilvl w:val="0"/>
          <w:numId w:val="20"/>
        </w:numPr>
        <w:overflowPunct w:val="0"/>
        <w:autoSpaceDE w:val="0"/>
        <w:autoSpaceDN w:val="0"/>
        <w:adjustRightInd w:val="0"/>
        <w:ind w:left="284" w:hanging="284"/>
        <w:textAlignment w:val="baseline"/>
        <w:outlineLvl w:val="1"/>
        <w:rPr>
          <w:spacing w:val="-6"/>
        </w:rPr>
      </w:pPr>
      <w:r w:rsidRPr="001D1C39">
        <w:t xml:space="preserve">opfordrer til, at </w:t>
      </w:r>
      <w:r w:rsidRPr="001D1C39">
        <w:rPr>
          <w:b/>
        </w:rPr>
        <w:t>elproduktionen</w:t>
      </w:r>
      <w:r w:rsidRPr="001D1C39">
        <w:t xml:space="preserve"> i EU bliver </w:t>
      </w:r>
      <w:r w:rsidRPr="001D1C39">
        <w:rPr>
          <w:b/>
        </w:rPr>
        <w:t>CO</w:t>
      </w:r>
      <w:r w:rsidRPr="001D1C39">
        <w:rPr>
          <w:b/>
          <w:vertAlign w:val="subscript"/>
        </w:rPr>
        <w:t>2</w:t>
      </w:r>
      <w:r w:rsidRPr="001D1C39">
        <w:rPr>
          <w:b/>
        </w:rPr>
        <w:t>-fri senest i 2040</w:t>
      </w:r>
      <w:r w:rsidRPr="001D1C39">
        <w:t xml:space="preserve">, tæt fulgt af varme- og køleproduktion. Adgang til ren og økonomisk overkommelig energi og en fremtidssikker energiinfrastruktur er grundlaget for </w:t>
      </w:r>
      <w:proofErr w:type="spellStart"/>
      <w:r w:rsidRPr="001D1C39">
        <w:t>dekarbonisering</w:t>
      </w:r>
      <w:proofErr w:type="spellEnd"/>
      <w:r w:rsidRPr="001D1C39">
        <w:t xml:space="preserve"> af andre sektorer såsom industri, bygninger og transport</w:t>
      </w:r>
    </w:p>
    <w:p w:rsidRPr="001D1C39" w:rsidR="00A329C8" w:rsidP="006A5684" w:rsidRDefault="00A329C8" w14:paraId="2FF82DE1" w14:textId="77777777">
      <w:pPr>
        <w:pStyle w:val="ListParagraph"/>
        <w:numPr>
          <w:ilvl w:val="0"/>
          <w:numId w:val="20"/>
        </w:numPr>
        <w:overflowPunct w:val="0"/>
        <w:autoSpaceDE w:val="0"/>
        <w:autoSpaceDN w:val="0"/>
        <w:adjustRightInd w:val="0"/>
        <w:ind w:left="284" w:hanging="284"/>
        <w:textAlignment w:val="baseline"/>
        <w:outlineLvl w:val="1"/>
      </w:pPr>
      <w:r w:rsidRPr="001D1C39">
        <w:t xml:space="preserve">foreslår, at der fastsættes et vejledende, videnskabeligt baseret </w:t>
      </w:r>
      <w:r w:rsidRPr="001D1C39">
        <w:rPr>
          <w:b/>
        </w:rPr>
        <w:t>emissionsreduktionsmål for landbrugsfødevaresektoren</w:t>
      </w:r>
      <w:r w:rsidRPr="001D1C39">
        <w:t xml:space="preserve"> i en tæt dialog med landbrugerne og andre interessenter, der garanterer den europæiske fødevaresikkerhed og tager højde for de forskellige naturbetingede forhold i EU</w:t>
      </w:r>
    </w:p>
    <w:p w:rsidRPr="001D1C39" w:rsidR="00A329C8" w:rsidP="006A5684" w:rsidRDefault="00A329C8" w14:paraId="5F04D765" w14:textId="77777777">
      <w:pPr>
        <w:pStyle w:val="ListParagraph"/>
        <w:numPr>
          <w:ilvl w:val="0"/>
          <w:numId w:val="21"/>
        </w:numPr>
        <w:overflowPunct w:val="0"/>
        <w:autoSpaceDE w:val="0"/>
        <w:autoSpaceDN w:val="0"/>
        <w:adjustRightInd w:val="0"/>
        <w:ind w:left="284" w:hanging="284"/>
        <w:textAlignment w:val="baseline"/>
        <w:outlineLvl w:val="1"/>
        <w:rPr>
          <w:spacing w:val="-6"/>
        </w:rPr>
      </w:pPr>
      <w:r w:rsidRPr="001D1C39">
        <w:t>understreger vigtigheden af en bred dialog med interessenterne, herunder med arbejdsmarkedets parter og civilsamfundet, og inddragelse af borgerne i fastlæggelsen af målet for 2040 og udarbejdelsen af de ledsagende politikker</w:t>
      </w:r>
    </w:p>
    <w:p w:rsidRPr="001D1C39" w:rsidR="00A329C8" w:rsidP="006A5684" w:rsidRDefault="00A329C8" w14:paraId="57C8228B" w14:textId="77777777">
      <w:pPr>
        <w:pStyle w:val="ListParagraph"/>
        <w:numPr>
          <w:ilvl w:val="0"/>
          <w:numId w:val="21"/>
        </w:numPr>
        <w:overflowPunct w:val="0"/>
        <w:autoSpaceDE w:val="0"/>
        <w:autoSpaceDN w:val="0"/>
        <w:adjustRightInd w:val="0"/>
        <w:ind w:left="284" w:hanging="284"/>
        <w:textAlignment w:val="baseline"/>
        <w:outlineLvl w:val="1"/>
      </w:pPr>
      <w:r w:rsidRPr="001D1C39">
        <w:t xml:space="preserve">fremhæver, at det er muligt at øge emissionsreduktionerne og sænke efterspørgslen efter materialer og energi, hvis </w:t>
      </w:r>
      <w:r w:rsidRPr="001D1C39">
        <w:rPr>
          <w:b/>
        </w:rPr>
        <w:t>forbrugerne sættes i stand til at træffe bæredygtige livsstilsvalg</w:t>
      </w:r>
    </w:p>
    <w:p w:rsidRPr="001D1C39" w:rsidR="00A329C8" w:rsidP="006A5684" w:rsidRDefault="00A329C8" w14:paraId="33E21B11" w14:textId="77777777">
      <w:pPr>
        <w:pStyle w:val="ListParagraph"/>
        <w:keepNext/>
        <w:numPr>
          <w:ilvl w:val="0"/>
          <w:numId w:val="21"/>
        </w:numPr>
        <w:overflowPunct w:val="0"/>
        <w:autoSpaceDE w:val="0"/>
        <w:autoSpaceDN w:val="0"/>
        <w:adjustRightInd w:val="0"/>
        <w:ind w:left="284" w:hanging="284"/>
        <w:textAlignment w:val="baseline"/>
        <w:outlineLvl w:val="1"/>
      </w:pPr>
      <w:r w:rsidRPr="001D1C39">
        <w:t xml:space="preserve">opfordrer Kommissionen til at </w:t>
      </w:r>
      <w:r w:rsidRPr="001D1C39">
        <w:rPr>
          <w:b/>
        </w:rPr>
        <w:t>udvide konkurrenceevnekontrollen</w:t>
      </w:r>
      <w:r w:rsidRPr="001D1C39">
        <w:t xml:space="preserve"> i forhold til andre større økonomier og også se på deres klima-, energi- og industripolitikker og økonomiske indikatorer og til at fremsætte forslag til, hvordan Europas globale konkurrenceevne og industrielle grundlag kan </w:t>
      </w:r>
      <w:r w:rsidRPr="001D1C39">
        <w:lastRenderedPageBreak/>
        <w:t>styrkes, og hvordan vi kan beskytte vores model for en åben markedsøkonomi med høje miljømæssige og sociale standarder.</w:t>
      </w:r>
    </w:p>
    <w:p w:rsidRPr="001D1C39" w:rsidR="0073462A" w:rsidP="006A5684" w:rsidRDefault="0073462A" w14:paraId="0EED3D8E" w14:textId="77777777">
      <w:pPr>
        <w:overflowPunct w:val="0"/>
        <w:autoSpaceDE w:val="0"/>
        <w:autoSpaceDN w:val="0"/>
        <w:adjustRightInd w:val="0"/>
        <w:textAlignment w:val="baseline"/>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1D1C39" w:rsidR="00A329C8" w:rsidTr="00FE3058" w14:paraId="2C0A0929" w14:textId="77777777">
        <w:tc>
          <w:tcPr>
            <w:tcW w:w="1634" w:type="dxa"/>
          </w:tcPr>
          <w:p w:rsidRPr="001D1C39" w:rsidR="00A329C8" w:rsidP="006A5684" w:rsidRDefault="00A329C8" w14:paraId="0961FF11" w14:textId="77777777">
            <w:pPr>
              <w:overflowPunct w:val="0"/>
              <w:autoSpaceDE w:val="0"/>
              <w:autoSpaceDN w:val="0"/>
              <w:adjustRightInd w:val="0"/>
              <w:ind w:left="709" w:hanging="709"/>
              <w:textAlignment w:val="baseline"/>
              <w:rPr>
                <w:i/>
                <w:sz w:val="22"/>
                <w:szCs w:val="22"/>
              </w:rPr>
            </w:pPr>
            <w:r w:rsidRPr="001D1C39">
              <w:rPr>
                <w:b/>
                <w:i/>
                <w:sz w:val="22"/>
                <w:szCs w:val="22"/>
              </w:rPr>
              <w:t>Kontakt</w:t>
            </w:r>
          </w:p>
        </w:tc>
        <w:tc>
          <w:tcPr>
            <w:tcW w:w="5670" w:type="dxa"/>
          </w:tcPr>
          <w:p w:rsidRPr="001D1C39" w:rsidR="00A329C8" w:rsidP="006A5684" w:rsidRDefault="00A329C8" w14:paraId="0F82E7FA" w14:textId="268094B7">
            <w:pPr>
              <w:overflowPunct w:val="0"/>
              <w:autoSpaceDE w:val="0"/>
              <w:autoSpaceDN w:val="0"/>
              <w:adjustRightInd w:val="0"/>
              <w:ind w:left="709" w:hanging="819"/>
              <w:textAlignment w:val="baseline"/>
              <w:rPr>
                <w:i/>
                <w:iCs/>
                <w:sz w:val="22"/>
                <w:szCs w:val="22"/>
              </w:rPr>
            </w:pPr>
            <w:r w:rsidRPr="001D1C39">
              <w:rPr>
                <w:i/>
                <w:sz w:val="22"/>
                <w:szCs w:val="22"/>
              </w:rPr>
              <w:t>Judith Carreras Garcia</w:t>
            </w:r>
          </w:p>
        </w:tc>
      </w:tr>
      <w:tr w:rsidRPr="001D1C39" w:rsidR="00A329C8" w:rsidTr="00FE3058" w14:paraId="1A5C453D" w14:textId="77777777">
        <w:tc>
          <w:tcPr>
            <w:tcW w:w="1634" w:type="dxa"/>
          </w:tcPr>
          <w:p w:rsidRPr="001D1C39" w:rsidR="00A329C8" w:rsidP="006A5684" w:rsidRDefault="00A329C8" w14:paraId="180E2B3C" w14:textId="77777777">
            <w:pPr>
              <w:overflowPunct w:val="0"/>
              <w:autoSpaceDE w:val="0"/>
              <w:autoSpaceDN w:val="0"/>
              <w:adjustRightInd w:val="0"/>
              <w:ind w:left="709" w:hanging="709"/>
              <w:textAlignment w:val="baseline"/>
              <w:rPr>
                <w:i/>
                <w:sz w:val="22"/>
                <w:szCs w:val="22"/>
              </w:rPr>
            </w:pPr>
            <w:r w:rsidRPr="001D1C39">
              <w:rPr>
                <w:i/>
                <w:sz w:val="22"/>
                <w:szCs w:val="22"/>
              </w:rPr>
              <w:t>Tlf.</w:t>
            </w:r>
          </w:p>
        </w:tc>
        <w:tc>
          <w:tcPr>
            <w:tcW w:w="5670" w:type="dxa"/>
          </w:tcPr>
          <w:p w:rsidRPr="001D1C39" w:rsidR="00A329C8" w:rsidP="006A5684" w:rsidRDefault="00A329C8" w14:paraId="729D5F41" w14:textId="77777777">
            <w:pPr>
              <w:overflowPunct w:val="0"/>
              <w:autoSpaceDE w:val="0"/>
              <w:autoSpaceDN w:val="0"/>
              <w:adjustRightInd w:val="0"/>
              <w:ind w:left="709" w:hanging="819"/>
              <w:textAlignment w:val="baseline"/>
              <w:rPr>
                <w:i/>
                <w:iCs/>
                <w:sz w:val="22"/>
                <w:szCs w:val="22"/>
              </w:rPr>
            </w:pPr>
            <w:r w:rsidRPr="001D1C39">
              <w:rPr>
                <w:i/>
                <w:sz w:val="22"/>
                <w:szCs w:val="22"/>
              </w:rPr>
              <w:t>00 32 2 546 84 21</w:t>
            </w:r>
          </w:p>
        </w:tc>
      </w:tr>
      <w:tr w:rsidRPr="001D1C39" w:rsidR="00A329C8" w:rsidTr="00FE3058" w14:paraId="4404176D" w14:textId="77777777">
        <w:tc>
          <w:tcPr>
            <w:tcW w:w="1634" w:type="dxa"/>
          </w:tcPr>
          <w:p w:rsidRPr="001D1C39" w:rsidR="00A329C8" w:rsidP="006A5684" w:rsidRDefault="007607A9" w14:paraId="60D8FC1E" w14:textId="35444914">
            <w:pPr>
              <w:overflowPunct w:val="0"/>
              <w:autoSpaceDE w:val="0"/>
              <w:autoSpaceDN w:val="0"/>
              <w:adjustRightInd w:val="0"/>
              <w:ind w:left="709" w:hanging="709"/>
              <w:textAlignment w:val="baseline"/>
              <w:rPr>
                <w:i/>
                <w:sz w:val="22"/>
                <w:szCs w:val="22"/>
              </w:rPr>
            </w:pPr>
            <w:r w:rsidRPr="001D1C39">
              <w:rPr>
                <w:i/>
                <w:sz w:val="22"/>
                <w:szCs w:val="22"/>
              </w:rPr>
              <w:t>E-mail</w:t>
            </w:r>
          </w:p>
        </w:tc>
        <w:tc>
          <w:tcPr>
            <w:tcW w:w="5670" w:type="dxa"/>
          </w:tcPr>
          <w:p w:rsidRPr="001D1C39" w:rsidR="00A329C8" w:rsidP="006A5684" w:rsidRDefault="003D1988" w14:paraId="7F4CE542" w14:textId="77777777">
            <w:pPr>
              <w:overflowPunct w:val="0"/>
              <w:autoSpaceDE w:val="0"/>
              <w:autoSpaceDN w:val="0"/>
              <w:adjustRightInd w:val="0"/>
              <w:ind w:left="709" w:hanging="819"/>
              <w:textAlignment w:val="baseline"/>
              <w:rPr>
                <w:i/>
                <w:iCs/>
                <w:color w:val="0000FF"/>
                <w:sz w:val="22"/>
                <w:szCs w:val="22"/>
                <w:u w:val="single"/>
              </w:rPr>
            </w:pPr>
            <w:hyperlink w:history="1" r:id="rId31">
              <w:proofErr w:type="spellStart"/>
              <w:r w:rsidRPr="001D1C39" w:rsidR="00D63208">
                <w:rPr>
                  <w:i/>
                  <w:color w:val="0000FF"/>
                  <w:sz w:val="22"/>
                  <w:szCs w:val="22"/>
                  <w:u w:val="single"/>
                </w:rPr>
                <w:t>Judit.CarrerasGarcia@eesc.europa.eu</w:t>
              </w:r>
              <w:proofErr w:type="spellEnd"/>
            </w:hyperlink>
          </w:p>
        </w:tc>
      </w:tr>
    </w:tbl>
    <w:p w:rsidRPr="001D1C39" w:rsidR="00A329C8" w:rsidP="006A5684" w:rsidRDefault="00A329C8" w14:paraId="78CB8038" w14:textId="77777777">
      <w:pPr>
        <w:jc w:val="left"/>
        <w:rPr>
          <w:b/>
          <w:bCs/>
        </w:rPr>
      </w:pPr>
      <w:r w:rsidRPr="001D1C39">
        <w:br w:type="page"/>
      </w:r>
    </w:p>
    <w:p w:rsidRPr="00A14846" w:rsidR="00A329C8" w:rsidP="006A5684" w:rsidRDefault="003D1988" w14:paraId="29FCBD43" w14:textId="33791494">
      <w:pPr>
        <w:widowControl w:val="0"/>
        <w:numPr>
          <w:ilvl w:val="0"/>
          <w:numId w:val="6"/>
        </w:numPr>
        <w:overflowPunct w:val="0"/>
        <w:autoSpaceDE w:val="0"/>
        <w:autoSpaceDN w:val="0"/>
        <w:adjustRightInd w:val="0"/>
        <w:textAlignment w:val="baseline"/>
        <w:rPr>
          <w:b/>
          <w:i/>
          <w:sz w:val="28"/>
          <w:szCs w:val="20"/>
        </w:rPr>
      </w:pPr>
      <w:hyperlink w:history="1" r:id="rId32">
        <w:r w:rsidR="00D97A3B">
          <w:rPr>
            <w:b/>
            <w:i/>
            <w:color w:val="0000FF"/>
            <w:sz w:val="28"/>
            <w:u w:val="single"/>
          </w:rPr>
          <w:t>Revision af dyrevelfærdslovgivningen</w:t>
        </w:r>
      </w:hyperlink>
    </w:p>
    <w:p w:rsidRPr="00A14846" w:rsidR="00A329C8" w:rsidP="006A5684" w:rsidRDefault="00A329C8" w14:paraId="5FF571D4" w14:textId="77777777">
      <w:pPr>
        <w:tabs>
          <w:tab w:val="center" w:pos="284"/>
        </w:tabs>
        <w:overflowPunct w:val="0"/>
        <w:autoSpaceDE w:val="0"/>
        <w:autoSpaceDN w:val="0"/>
        <w:adjustRightInd w:val="0"/>
        <w:ind w:left="266" w:hanging="266"/>
        <w:textAlignment w:val="baseline"/>
      </w:pPr>
    </w:p>
    <w:tbl>
      <w:tblPr>
        <w:tblStyle w:val="TableGrid217"/>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1D1C39" w:rsidR="00A329C8" w:rsidTr="00FE3058" w14:paraId="5D60937D" w14:textId="77777777">
        <w:tc>
          <w:tcPr>
            <w:tcW w:w="2127" w:type="dxa"/>
          </w:tcPr>
          <w:p w:rsidRPr="001D1C39" w:rsidR="00A329C8" w:rsidP="006A5684" w:rsidRDefault="00A329C8" w14:paraId="661CBE96"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 xml:space="preserve">Ordfører </w:t>
            </w:r>
          </w:p>
        </w:tc>
        <w:tc>
          <w:tcPr>
            <w:tcW w:w="6804" w:type="dxa"/>
          </w:tcPr>
          <w:p w:rsidRPr="001D1C39" w:rsidR="00A329C8" w:rsidP="006A5684" w:rsidRDefault="00A329C8" w14:paraId="77C861E5" w14:textId="47173DAB">
            <w:pPr>
              <w:tabs>
                <w:tab w:val="center" w:pos="284"/>
              </w:tabs>
              <w:overflowPunct w:val="0"/>
              <w:autoSpaceDE w:val="0"/>
              <w:autoSpaceDN w:val="0"/>
              <w:adjustRightInd w:val="0"/>
              <w:ind w:left="266" w:hanging="266"/>
              <w:textAlignment w:val="baseline"/>
              <w:rPr>
                <w:sz w:val="22"/>
                <w:szCs w:val="22"/>
              </w:rPr>
            </w:pPr>
            <w:proofErr w:type="spellStart"/>
            <w:r w:rsidRPr="001D1C39">
              <w:rPr>
                <w:sz w:val="22"/>
                <w:szCs w:val="22"/>
              </w:rPr>
              <w:t>Jaume</w:t>
            </w:r>
            <w:proofErr w:type="spellEnd"/>
            <w:r w:rsidRPr="001D1C39">
              <w:rPr>
                <w:sz w:val="22"/>
                <w:szCs w:val="22"/>
              </w:rPr>
              <w:t xml:space="preserve"> Bernis </w:t>
            </w:r>
            <w:proofErr w:type="spellStart"/>
            <w:r w:rsidRPr="001D1C39">
              <w:rPr>
                <w:sz w:val="22"/>
                <w:szCs w:val="22"/>
              </w:rPr>
              <w:t>Castells</w:t>
            </w:r>
            <w:proofErr w:type="spellEnd"/>
            <w:r w:rsidRPr="001D1C39">
              <w:rPr>
                <w:sz w:val="22"/>
                <w:szCs w:val="22"/>
              </w:rPr>
              <w:t xml:space="preserve"> (Gruppen af civilsamfundsorganisationer – ES)</w:t>
            </w:r>
          </w:p>
        </w:tc>
      </w:tr>
      <w:tr w:rsidRPr="001D1C39" w:rsidR="00A329C8" w:rsidTr="00FE3058" w14:paraId="70D6EB9C" w14:textId="77777777">
        <w:tc>
          <w:tcPr>
            <w:tcW w:w="8931" w:type="dxa"/>
            <w:gridSpan w:val="2"/>
          </w:tcPr>
          <w:p w:rsidRPr="001D1C39" w:rsidR="00A329C8" w:rsidP="006A5684" w:rsidRDefault="00A329C8" w14:paraId="5D0701A4" w14:textId="77777777">
            <w:pPr>
              <w:tabs>
                <w:tab w:val="center" w:pos="284"/>
              </w:tabs>
              <w:overflowPunct w:val="0"/>
              <w:autoSpaceDE w:val="0"/>
              <w:autoSpaceDN w:val="0"/>
              <w:adjustRightInd w:val="0"/>
              <w:ind w:left="266" w:hanging="266"/>
              <w:textAlignment w:val="baseline"/>
              <w:rPr>
                <w:sz w:val="22"/>
                <w:szCs w:val="22"/>
                <w:lang w:val="en-US"/>
              </w:rPr>
            </w:pPr>
          </w:p>
        </w:tc>
      </w:tr>
      <w:tr w:rsidRPr="001D1C39" w:rsidR="00A329C8" w:rsidTr="001D1C39" w14:paraId="67C57163" w14:textId="77777777">
        <w:tc>
          <w:tcPr>
            <w:tcW w:w="2127" w:type="dxa"/>
            <w:tcBorders>
              <w:bottom w:val="single" w:color="auto" w:sz="4" w:space="0"/>
            </w:tcBorders>
          </w:tcPr>
          <w:p w:rsidRPr="001D1C39" w:rsidR="00A329C8" w:rsidP="006A5684" w:rsidRDefault="00A329C8" w14:paraId="0019A341"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Ref.</w:t>
            </w:r>
          </w:p>
        </w:tc>
        <w:tc>
          <w:tcPr>
            <w:tcW w:w="6804" w:type="dxa"/>
          </w:tcPr>
          <w:p w:rsidRPr="001D1C39" w:rsidR="00D704BD" w:rsidP="006A5684" w:rsidRDefault="00D704BD" w14:paraId="466B0FCB" w14:textId="138FF299">
            <w:pPr>
              <w:tabs>
                <w:tab w:val="center" w:pos="284"/>
              </w:tabs>
              <w:overflowPunct w:val="0"/>
              <w:autoSpaceDE w:val="0"/>
              <w:autoSpaceDN w:val="0"/>
              <w:adjustRightInd w:val="0"/>
              <w:ind w:left="266" w:hanging="266"/>
              <w:textAlignment w:val="baseline"/>
              <w:rPr>
                <w:sz w:val="22"/>
                <w:szCs w:val="22"/>
              </w:rPr>
            </w:pPr>
            <w:r w:rsidRPr="001D1C39">
              <w:rPr>
                <w:sz w:val="22"/>
                <w:szCs w:val="22"/>
              </w:rPr>
              <w:t>COM(2023) 770 final</w:t>
            </w:r>
          </w:p>
          <w:p w:rsidRPr="001D1C39" w:rsidR="00A329C8" w:rsidP="006A5684" w:rsidRDefault="00A329C8" w14:paraId="7298B786" w14:textId="063BFD24">
            <w:pPr>
              <w:tabs>
                <w:tab w:val="center" w:pos="284"/>
              </w:tabs>
              <w:overflowPunct w:val="0"/>
              <w:autoSpaceDE w:val="0"/>
              <w:autoSpaceDN w:val="0"/>
              <w:adjustRightInd w:val="0"/>
              <w:ind w:left="266" w:hanging="266"/>
              <w:textAlignment w:val="baseline"/>
              <w:rPr>
                <w:sz w:val="22"/>
                <w:szCs w:val="22"/>
              </w:rPr>
            </w:pPr>
            <w:r w:rsidRPr="001D1C39">
              <w:rPr>
                <w:sz w:val="22"/>
                <w:szCs w:val="22"/>
              </w:rPr>
              <w:t>EESC-2023-05464-00-00-AC</w:t>
            </w:r>
          </w:p>
        </w:tc>
      </w:tr>
    </w:tbl>
    <w:p w:rsidRPr="001D1C39" w:rsidR="00A329C8" w:rsidP="006A5684" w:rsidRDefault="00A329C8" w14:paraId="1C9BC533" w14:textId="77777777">
      <w:pPr>
        <w:keepNext/>
        <w:keepLines/>
        <w:tabs>
          <w:tab w:val="center" w:pos="284"/>
        </w:tabs>
        <w:overflowPunct w:val="0"/>
        <w:autoSpaceDE w:val="0"/>
        <w:autoSpaceDN w:val="0"/>
        <w:adjustRightInd w:val="0"/>
        <w:ind w:left="266" w:hanging="266"/>
        <w:textAlignment w:val="baseline"/>
        <w:rPr>
          <w:b/>
        </w:rPr>
      </w:pPr>
    </w:p>
    <w:p w:rsidRPr="001D1C39" w:rsidR="00A329C8" w:rsidP="006A5684" w:rsidRDefault="00A329C8" w14:paraId="1EE8EE07" w14:textId="77777777">
      <w:pPr>
        <w:keepNext/>
        <w:keepLines/>
        <w:tabs>
          <w:tab w:val="center" w:pos="284"/>
        </w:tabs>
        <w:overflowPunct w:val="0"/>
        <w:autoSpaceDE w:val="0"/>
        <w:autoSpaceDN w:val="0"/>
        <w:adjustRightInd w:val="0"/>
        <w:ind w:left="266" w:hanging="266"/>
        <w:textAlignment w:val="baseline"/>
        <w:rPr>
          <w:b/>
        </w:rPr>
      </w:pPr>
      <w:r w:rsidRPr="001D1C39">
        <w:rPr>
          <w:b/>
        </w:rPr>
        <w:t>Hovedpunkter</w:t>
      </w:r>
    </w:p>
    <w:p w:rsidRPr="001D1C39" w:rsidR="00A329C8" w:rsidP="006A5684" w:rsidRDefault="00A329C8" w14:paraId="6900345E" w14:textId="77777777">
      <w:pPr>
        <w:keepNext/>
        <w:keepLines/>
        <w:tabs>
          <w:tab w:val="center" w:pos="284"/>
        </w:tabs>
        <w:overflowPunct w:val="0"/>
        <w:autoSpaceDE w:val="0"/>
        <w:autoSpaceDN w:val="0"/>
        <w:adjustRightInd w:val="0"/>
        <w:ind w:left="266" w:hanging="266"/>
        <w:textAlignment w:val="baseline"/>
      </w:pPr>
    </w:p>
    <w:p w:rsidRPr="001D1C39" w:rsidR="00A329C8" w:rsidP="006A5684" w:rsidRDefault="00A329C8" w14:paraId="47E5F255" w14:textId="145A9A92">
      <w:pPr>
        <w:keepNext/>
        <w:keepLines/>
        <w:tabs>
          <w:tab w:val="center" w:pos="284"/>
        </w:tabs>
        <w:overflowPunct w:val="0"/>
        <w:autoSpaceDE w:val="0"/>
        <w:autoSpaceDN w:val="0"/>
        <w:adjustRightInd w:val="0"/>
        <w:ind w:left="266" w:hanging="266"/>
        <w:textAlignment w:val="baseline"/>
      </w:pPr>
      <w:r w:rsidRPr="001D1C39">
        <w:t>EØSU:</w:t>
      </w:r>
    </w:p>
    <w:p w:rsidRPr="001D1C39" w:rsidR="00D704BD" w:rsidP="006A5684" w:rsidRDefault="00D704BD" w14:paraId="72E89559" w14:textId="77777777">
      <w:pPr>
        <w:keepNext/>
        <w:keepLines/>
        <w:tabs>
          <w:tab w:val="center" w:pos="284"/>
        </w:tabs>
        <w:overflowPunct w:val="0"/>
        <w:autoSpaceDE w:val="0"/>
        <w:autoSpaceDN w:val="0"/>
        <w:adjustRightInd w:val="0"/>
        <w:ind w:left="266" w:hanging="266"/>
        <w:textAlignment w:val="baseline"/>
      </w:pPr>
    </w:p>
    <w:p w:rsidRPr="001D1C39" w:rsidR="00A329C8" w:rsidP="006A5684" w:rsidRDefault="00A329C8" w14:paraId="5B8E8E34" w14:textId="77777777">
      <w:pPr>
        <w:numPr>
          <w:ilvl w:val="0"/>
          <w:numId w:val="22"/>
        </w:numPr>
        <w:overflowPunct w:val="0"/>
        <w:autoSpaceDE w:val="0"/>
        <w:autoSpaceDN w:val="0"/>
        <w:adjustRightInd w:val="0"/>
        <w:textAlignment w:val="baseline"/>
        <w:outlineLvl w:val="1"/>
      </w:pPr>
      <w:r w:rsidRPr="001D1C39">
        <w:t xml:space="preserve">opfordrer Kommission til at tage højde for </w:t>
      </w:r>
      <w:proofErr w:type="spellStart"/>
      <w:r w:rsidRPr="001D1C39">
        <w:t>lanbrugernes</w:t>
      </w:r>
      <w:proofErr w:type="spellEnd"/>
      <w:r w:rsidRPr="001D1C39">
        <w:t>, transportørernes og dyrlægernes praktiske viden med henblik på at implementere og ensrette reglerne</w:t>
      </w:r>
    </w:p>
    <w:p w:rsidRPr="001D1C39" w:rsidR="00A329C8" w:rsidP="006A5684" w:rsidRDefault="00A329C8" w14:paraId="06F24D3E" w14:textId="77777777">
      <w:pPr>
        <w:numPr>
          <w:ilvl w:val="0"/>
          <w:numId w:val="22"/>
        </w:numPr>
        <w:overflowPunct w:val="0"/>
        <w:autoSpaceDE w:val="0"/>
        <w:autoSpaceDN w:val="0"/>
        <w:adjustRightInd w:val="0"/>
        <w:textAlignment w:val="baseline"/>
        <w:outlineLvl w:val="1"/>
      </w:pPr>
      <w:r w:rsidRPr="001D1C39">
        <w:t xml:space="preserve">mener, at </w:t>
      </w:r>
      <w:r w:rsidRPr="001D1C39">
        <w:rPr>
          <w:b/>
          <w:bCs/>
        </w:rPr>
        <w:t>lovgivning, der ikke kan tilpasses</w:t>
      </w:r>
      <w:r w:rsidRPr="001D1C39">
        <w:t xml:space="preserve"> de forskellige forhold i de 27 medlemsstater, </w:t>
      </w:r>
      <w:r w:rsidRPr="001D1C39">
        <w:rPr>
          <w:b/>
        </w:rPr>
        <w:t>vil åbne op for asymmetriske forhold</w:t>
      </w:r>
    </w:p>
    <w:p w:rsidRPr="001D1C39" w:rsidR="00A329C8" w:rsidP="006A5684" w:rsidRDefault="00A329C8" w14:paraId="1889E9AA" w14:textId="77777777">
      <w:pPr>
        <w:numPr>
          <w:ilvl w:val="0"/>
          <w:numId w:val="22"/>
        </w:numPr>
        <w:overflowPunct w:val="0"/>
        <w:autoSpaceDE w:val="0"/>
        <w:autoSpaceDN w:val="0"/>
        <w:adjustRightInd w:val="0"/>
        <w:textAlignment w:val="baseline"/>
        <w:outlineLvl w:val="1"/>
      </w:pPr>
      <w:r w:rsidRPr="001D1C39">
        <w:t xml:space="preserve">opfordrer Kommissionen til at </w:t>
      </w:r>
      <w:r w:rsidRPr="001D1C39">
        <w:rPr>
          <w:b/>
          <w:bCs/>
        </w:rPr>
        <w:t>sikre</w:t>
      </w:r>
      <w:r w:rsidRPr="001D1C39">
        <w:t xml:space="preserve">, at implementeringsomkostningerne ved den nye lovgivning, </w:t>
      </w:r>
      <w:r w:rsidRPr="001D1C39">
        <w:rPr>
          <w:b/>
          <w:bCs/>
        </w:rPr>
        <w:t>ikke kommer til at påhvile</w:t>
      </w:r>
      <w:r w:rsidRPr="001D1C39">
        <w:t xml:space="preserve"> sektorens </w:t>
      </w:r>
      <w:r w:rsidRPr="001D1C39">
        <w:rPr>
          <w:b/>
          <w:bCs/>
        </w:rPr>
        <w:t>aktører</w:t>
      </w:r>
    </w:p>
    <w:p w:rsidRPr="001D1C39" w:rsidR="00A329C8" w:rsidP="006A5684" w:rsidRDefault="00A329C8" w14:paraId="7DD5E3B0" w14:textId="77777777">
      <w:pPr>
        <w:numPr>
          <w:ilvl w:val="0"/>
          <w:numId w:val="22"/>
        </w:numPr>
        <w:overflowPunct w:val="0"/>
        <w:autoSpaceDE w:val="0"/>
        <w:autoSpaceDN w:val="0"/>
        <w:adjustRightInd w:val="0"/>
        <w:textAlignment w:val="baseline"/>
        <w:outlineLvl w:val="1"/>
      </w:pPr>
      <w:r w:rsidRPr="001D1C39">
        <w:t xml:space="preserve">påpeger, at </w:t>
      </w:r>
      <w:r w:rsidRPr="001D1C39">
        <w:rPr>
          <w:b/>
          <w:bCs/>
        </w:rPr>
        <w:t>bestemmelserne</w:t>
      </w:r>
      <w:r w:rsidRPr="001D1C39">
        <w:t xml:space="preserve"> i forslaget til forordning </w:t>
      </w:r>
      <w:r w:rsidRPr="001D1C39">
        <w:rPr>
          <w:b/>
          <w:bCs/>
        </w:rPr>
        <w:t>forpligter operatørerne til at udføre natarbejde</w:t>
      </w:r>
      <w:r w:rsidRPr="001D1C39">
        <w:t xml:space="preserve"> (især landbrugere, chauffører og dyrlæger)</w:t>
      </w:r>
    </w:p>
    <w:p w:rsidRPr="001D1C39" w:rsidR="00A329C8" w:rsidP="006A5684" w:rsidRDefault="00A329C8" w14:paraId="118CDB57" w14:textId="77777777">
      <w:pPr>
        <w:numPr>
          <w:ilvl w:val="0"/>
          <w:numId w:val="22"/>
        </w:numPr>
        <w:overflowPunct w:val="0"/>
        <w:autoSpaceDE w:val="0"/>
        <w:autoSpaceDN w:val="0"/>
        <w:adjustRightInd w:val="0"/>
        <w:textAlignment w:val="baseline"/>
        <w:outlineLvl w:val="1"/>
      </w:pPr>
      <w:r w:rsidRPr="001D1C39">
        <w:t xml:space="preserve">opfordrer Kommissionen til at </w:t>
      </w:r>
      <w:r w:rsidRPr="001D1C39">
        <w:rPr>
          <w:b/>
          <w:bCs/>
        </w:rPr>
        <w:t>overveje, hvilken indvirkning dette forslag vil få på de forsyningskæder</w:t>
      </w:r>
      <w:r w:rsidRPr="001D1C39">
        <w:t>, der er blevet opbygget og udbredt i årenes løb på grundlag af de nuværende tidsbegrænsninger</w:t>
      </w:r>
    </w:p>
    <w:p w:rsidRPr="001D1C39" w:rsidR="00A329C8" w:rsidP="006A5684" w:rsidRDefault="00A329C8" w14:paraId="63C74A95" w14:textId="77777777">
      <w:pPr>
        <w:numPr>
          <w:ilvl w:val="0"/>
          <w:numId w:val="22"/>
        </w:numPr>
        <w:overflowPunct w:val="0"/>
        <w:autoSpaceDE w:val="0"/>
        <w:autoSpaceDN w:val="0"/>
        <w:adjustRightInd w:val="0"/>
        <w:textAlignment w:val="baseline"/>
        <w:outlineLvl w:val="1"/>
      </w:pPr>
      <w:r w:rsidRPr="001D1C39">
        <w:t>advarer om konsekvenserne ved at begrænse landtransporten af dyr til slagteriet til korte transporter på mindre end ni timer</w:t>
      </w:r>
    </w:p>
    <w:p w:rsidRPr="001D1C39" w:rsidR="00A329C8" w:rsidP="006A5684" w:rsidRDefault="00A329C8" w14:paraId="6F8515E2" w14:textId="77777777">
      <w:pPr>
        <w:numPr>
          <w:ilvl w:val="0"/>
          <w:numId w:val="22"/>
        </w:numPr>
        <w:overflowPunct w:val="0"/>
        <w:autoSpaceDE w:val="0"/>
        <w:autoSpaceDN w:val="0"/>
        <w:adjustRightInd w:val="0"/>
        <w:textAlignment w:val="baseline"/>
        <w:outlineLvl w:val="1"/>
      </w:pPr>
      <w:r w:rsidRPr="001D1C39">
        <w:t xml:space="preserve">mener, at </w:t>
      </w:r>
      <w:r w:rsidRPr="001D1C39">
        <w:rPr>
          <w:b/>
          <w:bCs/>
        </w:rPr>
        <w:t>forslaget til nye tekniske standarder</w:t>
      </w:r>
      <w:r w:rsidRPr="001D1C39">
        <w:t xml:space="preserve"> for, om landdyr er egnede til transport, </w:t>
      </w:r>
      <w:r w:rsidRPr="001D1C39">
        <w:rPr>
          <w:b/>
          <w:bCs/>
        </w:rPr>
        <w:t>kan føre til lukning af mange husdyrbrug</w:t>
      </w:r>
    </w:p>
    <w:p w:rsidRPr="001D1C39" w:rsidR="00A329C8" w:rsidP="006A5684" w:rsidRDefault="00A329C8" w14:paraId="5FA5848C" w14:textId="77777777">
      <w:pPr>
        <w:numPr>
          <w:ilvl w:val="0"/>
          <w:numId w:val="22"/>
        </w:numPr>
        <w:overflowPunct w:val="0"/>
        <w:autoSpaceDE w:val="0"/>
        <w:autoSpaceDN w:val="0"/>
        <w:adjustRightInd w:val="0"/>
        <w:textAlignment w:val="baseline"/>
        <w:outlineLvl w:val="1"/>
      </w:pPr>
      <w:r w:rsidRPr="001D1C39">
        <w:t xml:space="preserve">mener, at </w:t>
      </w:r>
      <w:r w:rsidRPr="001D1C39">
        <w:rPr>
          <w:b/>
          <w:bCs/>
        </w:rPr>
        <w:t>forbuddet mod at transportere unge dyr</w:t>
      </w:r>
      <w:r w:rsidRPr="001D1C39">
        <w:t xml:space="preserve"> såsom kalve, lam, gedekid, smågrise og føl, som ikke er fravænnet, </w:t>
      </w:r>
      <w:r w:rsidRPr="001D1C39">
        <w:rPr>
          <w:b/>
          <w:bCs/>
        </w:rPr>
        <w:t>over lange vejstrækninger vil få betydelige konsekvenser for importen af dyreracer</w:t>
      </w:r>
      <w:r w:rsidRPr="001D1C39">
        <w:t xml:space="preserve"> fra andre EU-medlemsstater</w:t>
      </w:r>
    </w:p>
    <w:p w:rsidRPr="001D1C39" w:rsidR="00A329C8" w:rsidP="006A5684" w:rsidRDefault="00A329C8" w14:paraId="6BDADC07" w14:textId="77777777">
      <w:pPr>
        <w:numPr>
          <w:ilvl w:val="0"/>
          <w:numId w:val="22"/>
        </w:numPr>
        <w:overflowPunct w:val="0"/>
        <w:autoSpaceDE w:val="0"/>
        <w:autoSpaceDN w:val="0"/>
        <w:adjustRightInd w:val="0"/>
        <w:textAlignment w:val="baseline"/>
        <w:outlineLvl w:val="1"/>
      </w:pPr>
      <w:r w:rsidRPr="001D1C39">
        <w:t xml:space="preserve">opfordrer Kommissionen til at </w:t>
      </w:r>
      <w:r w:rsidRPr="001D1C39">
        <w:rPr>
          <w:b/>
          <w:bCs/>
        </w:rPr>
        <w:t>tage højde for de klimarelaterede forhold</w:t>
      </w:r>
      <w:r w:rsidRPr="001D1C39">
        <w:t xml:space="preserve"> i de enkelte medlemsstater i forbindelse med forslagets artikel 31</w:t>
      </w:r>
    </w:p>
    <w:p w:rsidRPr="001D1C39" w:rsidR="00A329C8" w:rsidP="006A5684" w:rsidRDefault="00A329C8" w14:paraId="4637EB55" w14:textId="77777777">
      <w:pPr>
        <w:numPr>
          <w:ilvl w:val="0"/>
          <w:numId w:val="22"/>
        </w:numPr>
        <w:overflowPunct w:val="0"/>
        <w:autoSpaceDE w:val="0"/>
        <w:autoSpaceDN w:val="0"/>
        <w:adjustRightInd w:val="0"/>
        <w:textAlignment w:val="baseline"/>
        <w:outlineLvl w:val="1"/>
      </w:pPr>
      <w:r w:rsidRPr="001D1C39">
        <w:t xml:space="preserve">fastholder, at det er vigtigt at </w:t>
      </w:r>
      <w:r w:rsidRPr="001D1C39">
        <w:rPr>
          <w:b/>
          <w:bCs/>
        </w:rPr>
        <w:t>fremme korte handelskæder</w:t>
      </w:r>
      <w:r w:rsidRPr="001D1C39">
        <w:t xml:space="preserve"> som en effektiv løsning til at mindske behovet for lange transporter, hvor man afkorter afstanden mellem opdræt, opfedning, slagteri og den endelige forbruger</w:t>
      </w:r>
    </w:p>
    <w:p w:rsidRPr="001D1C39" w:rsidR="00A329C8" w:rsidP="006A5684" w:rsidRDefault="00A329C8" w14:paraId="6A4C0035" w14:textId="77777777">
      <w:pPr>
        <w:numPr>
          <w:ilvl w:val="0"/>
          <w:numId w:val="22"/>
        </w:numPr>
        <w:overflowPunct w:val="0"/>
        <w:autoSpaceDE w:val="0"/>
        <w:autoSpaceDN w:val="0"/>
        <w:adjustRightInd w:val="0"/>
        <w:textAlignment w:val="baseline"/>
        <w:outlineLvl w:val="1"/>
      </w:pPr>
      <w:r w:rsidRPr="001D1C39">
        <w:t xml:space="preserve">støtter sundhedsmæssige, økonomiske og juridiske initiativer rettet mod at </w:t>
      </w:r>
      <w:r w:rsidRPr="001D1C39">
        <w:rPr>
          <w:b/>
          <w:bCs/>
        </w:rPr>
        <w:t>bevare lokale slagterier og tilskynde til slagtning på bedriften</w:t>
      </w:r>
      <w:r w:rsidRPr="001D1C39">
        <w:t>, hvor det er relevant i forhold til bedriftens størrelse og de lokale forhold.</w:t>
      </w:r>
    </w:p>
    <w:p w:rsidRPr="001D1C39" w:rsidR="00A329C8" w:rsidP="006A5684" w:rsidRDefault="00A329C8" w14:paraId="00B0D36A" w14:textId="77777777">
      <w:pPr>
        <w:widowControl w:val="0"/>
        <w:overflowPunct w:val="0"/>
        <w:autoSpaceDE w:val="0"/>
        <w:autoSpaceDN w:val="0"/>
        <w:adjustRightInd w:val="0"/>
        <w:textAlignment w:val="baseline"/>
      </w:pPr>
    </w:p>
    <w:tbl>
      <w:tblPr>
        <w:tblStyle w:val="TableGrid2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1D1C39" w:rsidR="00A329C8" w:rsidTr="00FE3058" w14:paraId="6B2AC513" w14:textId="77777777">
        <w:tc>
          <w:tcPr>
            <w:tcW w:w="2127" w:type="dxa"/>
          </w:tcPr>
          <w:p w:rsidRPr="001D1C39" w:rsidR="00A329C8" w:rsidP="006A5684" w:rsidRDefault="00A329C8" w14:paraId="1AAB3B0A" w14:textId="77777777">
            <w:pPr>
              <w:overflowPunct w:val="0"/>
              <w:autoSpaceDE w:val="0"/>
              <w:autoSpaceDN w:val="0"/>
              <w:adjustRightInd w:val="0"/>
              <w:textAlignment w:val="baseline"/>
              <w:rPr>
                <w:i/>
                <w:sz w:val="22"/>
                <w:szCs w:val="22"/>
              </w:rPr>
            </w:pPr>
            <w:r w:rsidRPr="001D1C39">
              <w:rPr>
                <w:b/>
                <w:i/>
                <w:sz w:val="22"/>
                <w:szCs w:val="22"/>
              </w:rPr>
              <w:t xml:space="preserve">Kontakt </w:t>
            </w:r>
          </w:p>
        </w:tc>
        <w:tc>
          <w:tcPr>
            <w:tcW w:w="4252" w:type="dxa"/>
          </w:tcPr>
          <w:p w:rsidRPr="001D1C39" w:rsidR="00A329C8" w:rsidP="006A5684" w:rsidRDefault="00A329C8" w14:paraId="3604A495" w14:textId="158CA49A">
            <w:pPr>
              <w:overflowPunct w:val="0"/>
              <w:autoSpaceDE w:val="0"/>
              <w:autoSpaceDN w:val="0"/>
              <w:adjustRightInd w:val="0"/>
              <w:textAlignment w:val="baseline"/>
              <w:rPr>
                <w:i/>
                <w:sz w:val="22"/>
                <w:szCs w:val="22"/>
              </w:rPr>
            </w:pPr>
            <w:r w:rsidRPr="001D1C39">
              <w:rPr>
                <w:i/>
                <w:sz w:val="22"/>
                <w:szCs w:val="22"/>
              </w:rPr>
              <w:t xml:space="preserve">Arturo </w:t>
            </w:r>
            <w:proofErr w:type="spellStart"/>
            <w:r w:rsidRPr="001D1C39">
              <w:rPr>
                <w:i/>
                <w:sz w:val="22"/>
                <w:szCs w:val="22"/>
              </w:rPr>
              <w:t>Íñiguez</w:t>
            </w:r>
            <w:proofErr w:type="spellEnd"/>
          </w:p>
        </w:tc>
      </w:tr>
      <w:tr w:rsidRPr="001D1C39" w:rsidR="00A329C8" w:rsidTr="00FE3058" w14:paraId="54FCBA8B" w14:textId="77777777">
        <w:tc>
          <w:tcPr>
            <w:tcW w:w="2127" w:type="dxa"/>
          </w:tcPr>
          <w:p w:rsidRPr="001D1C39" w:rsidR="00A329C8" w:rsidP="006A5684" w:rsidRDefault="00A329C8" w14:paraId="62D7636F" w14:textId="77777777">
            <w:pPr>
              <w:overflowPunct w:val="0"/>
              <w:autoSpaceDE w:val="0"/>
              <w:autoSpaceDN w:val="0"/>
              <w:adjustRightInd w:val="0"/>
              <w:textAlignment w:val="baseline"/>
              <w:rPr>
                <w:i/>
                <w:sz w:val="22"/>
                <w:szCs w:val="22"/>
              </w:rPr>
            </w:pPr>
            <w:r w:rsidRPr="001D1C39">
              <w:rPr>
                <w:i/>
                <w:sz w:val="22"/>
                <w:szCs w:val="22"/>
              </w:rPr>
              <w:t>Tlf.</w:t>
            </w:r>
          </w:p>
        </w:tc>
        <w:tc>
          <w:tcPr>
            <w:tcW w:w="4252" w:type="dxa"/>
          </w:tcPr>
          <w:p w:rsidRPr="001D1C39" w:rsidR="00A329C8" w:rsidP="006A5684" w:rsidRDefault="00A329C8" w14:paraId="7C0E8B23" w14:textId="77777777">
            <w:pPr>
              <w:overflowPunct w:val="0"/>
              <w:autoSpaceDE w:val="0"/>
              <w:autoSpaceDN w:val="0"/>
              <w:adjustRightInd w:val="0"/>
              <w:textAlignment w:val="baseline"/>
              <w:rPr>
                <w:i/>
                <w:sz w:val="22"/>
                <w:szCs w:val="22"/>
              </w:rPr>
            </w:pPr>
            <w:r w:rsidRPr="001D1C39">
              <w:rPr>
                <w:i/>
                <w:sz w:val="22"/>
                <w:szCs w:val="22"/>
              </w:rPr>
              <w:t>00 32 2 546 87 68</w:t>
            </w:r>
          </w:p>
        </w:tc>
      </w:tr>
      <w:tr w:rsidRPr="001D1C39" w:rsidR="00A329C8" w:rsidTr="00FE3058" w14:paraId="485043FF" w14:textId="77777777">
        <w:tc>
          <w:tcPr>
            <w:tcW w:w="2127" w:type="dxa"/>
          </w:tcPr>
          <w:p w:rsidRPr="001D1C39" w:rsidR="00A329C8" w:rsidP="006A5684" w:rsidRDefault="00D704BD" w14:paraId="7E8D5802" w14:textId="61A5A309">
            <w:pPr>
              <w:overflowPunct w:val="0"/>
              <w:autoSpaceDE w:val="0"/>
              <w:autoSpaceDN w:val="0"/>
              <w:adjustRightInd w:val="0"/>
              <w:textAlignment w:val="baseline"/>
              <w:rPr>
                <w:i/>
                <w:sz w:val="22"/>
                <w:szCs w:val="22"/>
              </w:rPr>
            </w:pPr>
            <w:r w:rsidRPr="001D1C39">
              <w:rPr>
                <w:i/>
                <w:sz w:val="22"/>
                <w:szCs w:val="22"/>
              </w:rPr>
              <w:t>E-mail</w:t>
            </w:r>
          </w:p>
        </w:tc>
        <w:tc>
          <w:tcPr>
            <w:tcW w:w="4252" w:type="dxa"/>
          </w:tcPr>
          <w:p w:rsidRPr="001D1C39" w:rsidR="00A329C8" w:rsidP="006A5684" w:rsidRDefault="003D1988" w14:paraId="0F764C0D" w14:textId="77777777">
            <w:pPr>
              <w:overflowPunct w:val="0"/>
              <w:autoSpaceDE w:val="0"/>
              <w:autoSpaceDN w:val="0"/>
              <w:adjustRightInd w:val="0"/>
              <w:textAlignment w:val="baseline"/>
              <w:rPr>
                <w:i/>
                <w:iCs/>
                <w:sz w:val="22"/>
                <w:szCs w:val="22"/>
              </w:rPr>
            </w:pPr>
            <w:hyperlink w:history="1" r:id="rId33">
              <w:proofErr w:type="spellStart"/>
              <w:r w:rsidRPr="001D1C39" w:rsidR="00D97A3B">
                <w:rPr>
                  <w:i/>
                  <w:color w:val="0000FF"/>
                  <w:sz w:val="22"/>
                  <w:szCs w:val="22"/>
                  <w:u w:val="single"/>
                </w:rPr>
                <w:t>Arturo.Iniguez@eesc.europa.eu</w:t>
              </w:r>
              <w:proofErr w:type="spellEnd"/>
            </w:hyperlink>
          </w:p>
        </w:tc>
      </w:tr>
    </w:tbl>
    <w:p w:rsidRPr="001D1C39" w:rsidR="00A329C8" w:rsidP="006A5684" w:rsidRDefault="00A329C8" w14:paraId="4A4D6D18" w14:textId="77777777">
      <w:pPr>
        <w:jc w:val="left"/>
        <w:rPr>
          <w:b/>
          <w:bCs/>
        </w:rPr>
      </w:pPr>
    </w:p>
    <w:p w:rsidR="00386C01" w:rsidP="006A5684" w:rsidRDefault="00386C01" w14:paraId="783F6CD8" w14:textId="765D6A7F">
      <w:pPr>
        <w:jc w:val="left"/>
        <w:rPr>
          <w:b/>
          <w:bCs/>
        </w:rPr>
      </w:pPr>
      <w:r>
        <w:br w:type="page"/>
      </w:r>
    </w:p>
    <w:p w:rsidR="00895853" w:rsidP="006A5684" w:rsidRDefault="00895853" w14:paraId="1C46B2C3" w14:textId="7E834008">
      <w:pPr>
        <w:pStyle w:val="Heading1"/>
        <w:tabs>
          <w:tab w:val="clear" w:pos="440"/>
          <w:tab w:val="left" w:pos="567"/>
        </w:tabs>
        <w:spacing w:before="0"/>
        <w:ind w:left="567" w:right="0" w:hanging="567"/>
        <w:rPr>
          <w:b/>
          <w:bCs/>
        </w:rPr>
      </w:pPr>
      <w:bookmarkStart w:name="_Toc166847138" w:id="4"/>
      <w:bookmarkStart w:name="_Toc169790073" w:id="5"/>
      <w:bookmarkEnd w:id="4"/>
      <w:r>
        <w:rPr>
          <w:b/>
        </w:rPr>
        <w:lastRenderedPageBreak/>
        <w:t>TRANSPORT, ENERGI, INFRASTRUKTUR OG INFORMATIONSSAMFUNDET</w:t>
      </w:r>
      <w:bookmarkEnd w:id="5"/>
    </w:p>
    <w:p w:rsidR="005C28F2" w:rsidP="006A5684" w:rsidRDefault="005C28F2" w14:paraId="089CB383" w14:textId="77777777"/>
    <w:p w:rsidRPr="00EC48BE" w:rsidR="00EC48BE" w:rsidP="006A5684" w:rsidRDefault="003D1988" w14:paraId="50FF3C6A" w14:textId="1C0187EA">
      <w:pPr>
        <w:widowControl w:val="0"/>
        <w:numPr>
          <w:ilvl w:val="0"/>
          <w:numId w:val="7"/>
        </w:numPr>
        <w:overflowPunct w:val="0"/>
        <w:autoSpaceDE w:val="0"/>
        <w:autoSpaceDN w:val="0"/>
        <w:adjustRightInd w:val="0"/>
        <w:ind w:hanging="567"/>
        <w:textAlignment w:val="baseline"/>
        <w:rPr>
          <w:sz w:val="20"/>
          <w:szCs w:val="20"/>
        </w:rPr>
      </w:pPr>
      <w:hyperlink w:history="1" r:id="rId34">
        <w:r w:rsidR="00D97A3B">
          <w:rPr>
            <w:b/>
            <w:i/>
            <w:color w:val="0000FF"/>
            <w:sz w:val="28"/>
            <w:u w:val="single"/>
          </w:rPr>
          <w:t>EU's kræfthandlingsplan: drivkræfter for at sikre forsyningen af medicinske radioisotoper</w:t>
        </w:r>
      </w:hyperlink>
    </w:p>
    <w:p w:rsidRPr="001D1C39" w:rsidR="00EC48BE" w:rsidP="006A5684" w:rsidRDefault="00EC48BE" w14:paraId="6ABD95D5" w14:textId="77777777">
      <w:pPr>
        <w:tabs>
          <w:tab w:val="center" w:pos="284"/>
        </w:tabs>
        <w:overflowPunct w:val="0"/>
        <w:autoSpaceDE w:val="0"/>
        <w:autoSpaceDN w:val="0"/>
        <w:adjustRightInd w:val="0"/>
        <w:ind w:left="266" w:hanging="266"/>
        <w:textAlignment w:val="baseline"/>
        <w:rPr>
          <w:b/>
        </w:rPr>
      </w:pPr>
    </w:p>
    <w:tbl>
      <w:tblPr>
        <w:tblStyle w:val="TableGrid219"/>
        <w:tblW w:w="42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840"/>
      </w:tblGrid>
      <w:tr w:rsidRPr="001D1C39" w:rsidR="00EC48BE" w:rsidTr="00DC0FAE" w14:paraId="5D69D1D6" w14:textId="77777777">
        <w:tc>
          <w:tcPr>
            <w:tcW w:w="1276" w:type="pct"/>
          </w:tcPr>
          <w:p w:rsidRPr="001D1C39" w:rsidR="00EC48BE" w:rsidP="006A5684" w:rsidRDefault="00EC48BE" w14:paraId="0629F8BB"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Ordfører</w:t>
            </w:r>
          </w:p>
        </w:tc>
        <w:tc>
          <w:tcPr>
            <w:tcW w:w="3724" w:type="pct"/>
          </w:tcPr>
          <w:p w:rsidRPr="001D1C39" w:rsidR="00EC48BE" w:rsidP="006A5684" w:rsidRDefault="00EC48BE" w14:paraId="1337C413" w14:textId="6D802AE6">
            <w:pPr>
              <w:tabs>
                <w:tab w:val="center" w:pos="284"/>
              </w:tabs>
              <w:overflowPunct w:val="0"/>
              <w:autoSpaceDE w:val="0"/>
              <w:autoSpaceDN w:val="0"/>
              <w:adjustRightInd w:val="0"/>
              <w:ind w:left="266" w:hanging="266"/>
              <w:textAlignment w:val="baseline"/>
              <w:rPr>
                <w:sz w:val="22"/>
                <w:szCs w:val="22"/>
              </w:rPr>
            </w:pPr>
            <w:r w:rsidRPr="001D1C39">
              <w:rPr>
                <w:sz w:val="22"/>
                <w:szCs w:val="22"/>
              </w:rPr>
              <w:t xml:space="preserve">Alena </w:t>
            </w:r>
            <w:proofErr w:type="spellStart"/>
            <w:r w:rsidRPr="001D1C39">
              <w:rPr>
                <w:sz w:val="22"/>
                <w:szCs w:val="22"/>
              </w:rPr>
              <w:t>Mastantuono</w:t>
            </w:r>
            <w:proofErr w:type="spellEnd"/>
            <w:r w:rsidRPr="001D1C39">
              <w:rPr>
                <w:sz w:val="22"/>
                <w:szCs w:val="22"/>
              </w:rPr>
              <w:t xml:space="preserve"> (Arbejdsgivergruppen – CZ)</w:t>
            </w:r>
          </w:p>
        </w:tc>
      </w:tr>
      <w:tr w:rsidRPr="001D1C39" w:rsidR="00EC48BE" w:rsidTr="00DC0FAE" w14:paraId="63F1C4BD" w14:textId="77777777">
        <w:tc>
          <w:tcPr>
            <w:tcW w:w="1276" w:type="pct"/>
          </w:tcPr>
          <w:p w:rsidRPr="001D1C39" w:rsidR="00EC48BE" w:rsidP="006A5684" w:rsidRDefault="00EC48BE" w14:paraId="3FA3DCC7"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Medordfører</w:t>
            </w:r>
          </w:p>
        </w:tc>
        <w:tc>
          <w:tcPr>
            <w:tcW w:w="3724" w:type="pct"/>
          </w:tcPr>
          <w:p w:rsidRPr="001D1C39" w:rsidR="00EC48BE" w:rsidP="006A5684" w:rsidRDefault="00EC48BE" w14:paraId="0C599690" w14:textId="764AA96C">
            <w:pPr>
              <w:tabs>
                <w:tab w:val="center" w:pos="284"/>
              </w:tabs>
              <w:overflowPunct w:val="0"/>
              <w:autoSpaceDE w:val="0"/>
              <w:autoSpaceDN w:val="0"/>
              <w:adjustRightInd w:val="0"/>
              <w:ind w:left="266" w:hanging="266"/>
              <w:textAlignment w:val="baseline"/>
              <w:rPr>
                <w:sz w:val="22"/>
                <w:szCs w:val="22"/>
              </w:rPr>
            </w:pPr>
            <w:r w:rsidRPr="001D1C39">
              <w:rPr>
                <w:sz w:val="22"/>
                <w:szCs w:val="22"/>
              </w:rPr>
              <w:t xml:space="preserve">Philippe </w:t>
            </w:r>
            <w:proofErr w:type="spellStart"/>
            <w:r w:rsidRPr="001D1C39">
              <w:rPr>
                <w:sz w:val="22"/>
                <w:szCs w:val="22"/>
              </w:rPr>
              <w:t>Charry</w:t>
            </w:r>
            <w:proofErr w:type="spellEnd"/>
            <w:r w:rsidRPr="001D1C39">
              <w:rPr>
                <w:sz w:val="22"/>
                <w:szCs w:val="22"/>
              </w:rPr>
              <w:t xml:space="preserve"> (Arbejdstagergruppen – FR)</w:t>
            </w:r>
          </w:p>
        </w:tc>
      </w:tr>
      <w:tr w:rsidRPr="001D1C39" w:rsidR="00EC48BE" w:rsidTr="00DC0FAE" w14:paraId="498B3001" w14:textId="77777777">
        <w:tc>
          <w:tcPr>
            <w:tcW w:w="5000" w:type="pct"/>
            <w:gridSpan w:val="2"/>
          </w:tcPr>
          <w:p w:rsidRPr="001D1C39" w:rsidR="00EC48BE" w:rsidP="006A5684" w:rsidRDefault="00EC48BE" w14:paraId="4D1569DD" w14:textId="77777777">
            <w:pPr>
              <w:tabs>
                <w:tab w:val="center" w:pos="284"/>
              </w:tabs>
              <w:overflowPunct w:val="0"/>
              <w:autoSpaceDE w:val="0"/>
              <w:autoSpaceDN w:val="0"/>
              <w:adjustRightInd w:val="0"/>
              <w:ind w:left="266" w:hanging="266"/>
              <w:textAlignment w:val="baseline"/>
              <w:rPr>
                <w:sz w:val="22"/>
                <w:szCs w:val="22"/>
              </w:rPr>
            </w:pPr>
          </w:p>
        </w:tc>
      </w:tr>
      <w:tr w:rsidRPr="001D1C39" w:rsidR="00EC48BE" w:rsidTr="00DC0FAE" w14:paraId="3524C066" w14:textId="77777777">
        <w:tc>
          <w:tcPr>
            <w:tcW w:w="1276" w:type="pct"/>
            <w:vMerge w:val="restart"/>
          </w:tcPr>
          <w:p w:rsidRPr="001D1C39" w:rsidR="00EC48BE" w:rsidP="006A5684" w:rsidRDefault="00EC48BE" w14:paraId="7BBD85B4"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Ref.</w:t>
            </w:r>
          </w:p>
        </w:tc>
        <w:tc>
          <w:tcPr>
            <w:tcW w:w="3724" w:type="pct"/>
          </w:tcPr>
          <w:p w:rsidRPr="001D1C39" w:rsidR="00802E2B" w:rsidP="006A5684" w:rsidRDefault="00802E2B" w14:paraId="3EA8129C" w14:textId="253FD17D">
            <w:pPr>
              <w:tabs>
                <w:tab w:val="center" w:pos="284"/>
              </w:tabs>
              <w:overflowPunct w:val="0"/>
              <w:autoSpaceDE w:val="0"/>
              <w:autoSpaceDN w:val="0"/>
              <w:adjustRightInd w:val="0"/>
              <w:ind w:left="266" w:hanging="266"/>
              <w:textAlignment w:val="baseline"/>
              <w:rPr>
                <w:sz w:val="22"/>
                <w:szCs w:val="22"/>
              </w:rPr>
            </w:pPr>
            <w:r w:rsidRPr="001D1C39">
              <w:rPr>
                <w:sz w:val="22"/>
                <w:szCs w:val="22"/>
              </w:rPr>
              <w:t>Initiativudtalelse</w:t>
            </w:r>
          </w:p>
          <w:p w:rsidRPr="001D1C39" w:rsidR="00EC48BE" w:rsidP="006A5684" w:rsidRDefault="00EC48BE" w14:paraId="30BF4772" w14:textId="5A3BAEA7">
            <w:pPr>
              <w:tabs>
                <w:tab w:val="center" w:pos="284"/>
              </w:tabs>
              <w:overflowPunct w:val="0"/>
              <w:autoSpaceDE w:val="0"/>
              <w:autoSpaceDN w:val="0"/>
              <w:adjustRightInd w:val="0"/>
              <w:ind w:left="266" w:hanging="266"/>
              <w:textAlignment w:val="baseline"/>
              <w:rPr>
                <w:sz w:val="22"/>
                <w:szCs w:val="22"/>
              </w:rPr>
            </w:pPr>
            <w:r w:rsidRPr="001D1C39">
              <w:rPr>
                <w:sz w:val="22"/>
                <w:szCs w:val="22"/>
              </w:rPr>
              <w:t>EESC-2024-00265-00-00-AC</w:t>
            </w:r>
          </w:p>
        </w:tc>
      </w:tr>
      <w:tr w:rsidRPr="001D1C39" w:rsidR="00EC48BE" w:rsidTr="00DC0FAE" w14:paraId="2F6C577F" w14:textId="77777777">
        <w:tc>
          <w:tcPr>
            <w:tcW w:w="1276" w:type="pct"/>
            <w:vMerge/>
          </w:tcPr>
          <w:p w:rsidRPr="001D1C39" w:rsidR="00EC48BE" w:rsidP="006A5684" w:rsidRDefault="00EC48BE" w14:paraId="5DF5D6AE" w14:textId="77777777">
            <w:pPr>
              <w:tabs>
                <w:tab w:val="center" w:pos="284"/>
              </w:tabs>
              <w:overflowPunct w:val="0"/>
              <w:autoSpaceDE w:val="0"/>
              <w:autoSpaceDN w:val="0"/>
              <w:adjustRightInd w:val="0"/>
              <w:ind w:left="266" w:hanging="266"/>
              <w:textAlignment w:val="baseline"/>
              <w:rPr>
                <w:b/>
                <w:sz w:val="22"/>
                <w:szCs w:val="22"/>
              </w:rPr>
            </w:pPr>
          </w:p>
        </w:tc>
        <w:tc>
          <w:tcPr>
            <w:tcW w:w="3724" w:type="pct"/>
          </w:tcPr>
          <w:p w:rsidRPr="001D1C39" w:rsidR="00EC48BE" w:rsidP="006A5684" w:rsidRDefault="00EC48BE" w14:paraId="3B39B1F2" w14:textId="77777777">
            <w:pPr>
              <w:tabs>
                <w:tab w:val="center" w:pos="284"/>
              </w:tabs>
              <w:overflowPunct w:val="0"/>
              <w:autoSpaceDE w:val="0"/>
              <w:autoSpaceDN w:val="0"/>
              <w:adjustRightInd w:val="0"/>
              <w:ind w:left="266" w:hanging="266"/>
              <w:textAlignment w:val="baseline"/>
              <w:rPr>
                <w:sz w:val="22"/>
                <w:szCs w:val="22"/>
              </w:rPr>
            </w:pPr>
          </w:p>
        </w:tc>
      </w:tr>
    </w:tbl>
    <w:p w:rsidRPr="001D1C39" w:rsidR="00EC48BE" w:rsidP="006A5684" w:rsidRDefault="00EC48BE" w14:paraId="6A658105" w14:textId="77777777">
      <w:pPr>
        <w:tabs>
          <w:tab w:val="center" w:pos="284"/>
        </w:tabs>
        <w:overflowPunct w:val="0"/>
        <w:autoSpaceDE w:val="0"/>
        <w:autoSpaceDN w:val="0"/>
        <w:adjustRightInd w:val="0"/>
        <w:ind w:left="266" w:hanging="266"/>
        <w:textAlignment w:val="baseline"/>
      </w:pPr>
    </w:p>
    <w:p w:rsidRPr="001D1C39" w:rsidR="00EC48BE" w:rsidP="006A5684" w:rsidRDefault="00EC48BE" w14:paraId="53138D82" w14:textId="77777777">
      <w:pPr>
        <w:keepNext/>
        <w:keepLines/>
        <w:tabs>
          <w:tab w:val="center" w:pos="284"/>
        </w:tabs>
        <w:overflowPunct w:val="0"/>
        <w:autoSpaceDE w:val="0"/>
        <w:autoSpaceDN w:val="0"/>
        <w:adjustRightInd w:val="0"/>
        <w:ind w:left="266" w:hanging="266"/>
        <w:textAlignment w:val="baseline"/>
        <w:rPr>
          <w:b/>
        </w:rPr>
      </w:pPr>
      <w:r w:rsidRPr="001D1C39">
        <w:rPr>
          <w:b/>
        </w:rPr>
        <w:t>Hovedpunkter</w:t>
      </w:r>
    </w:p>
    <w:p w:rsidRPr="001D1C39" w:rsidR="00EC48BE" w:rsidP="006A5684" w:rsidRDefault="00EC48BE" w14:paraId="30289543" w14:textId="77777777">
      <w:pPr>
        <w:keepNext/>
        <w:keepLines/>
        <w:tabs>
          <w:tab w:val="center" w:pos="284"/>
        </w:tabs>
        <w:overflowPunct w:val="0"/>
        <w:autoSpaceDE w:val="0"/>
        <w:autoSpaceDN w:val="0"/>
        <w:adjustRightInd w:val="0"/>
        <w:ind w:left="266" w:hanging="266"/>
        <w:textAlignment w:val="baseline"/>
        <w:rPr>
          <w:b/>
        </w:rPr>
      </w:pPr>
    </w:p>
    <w:p w:rsidRPr="001D1C39" w:rsidR="00EC48BE" w:rsidP="006A5684" w:rsidRDefault="00EC48BE" w14:paraId="1FF2E76F" w14:textId="77777777">
      <w:pPr>
        <w:overflowPunct w:val="0"/>
        <w:autoSpaceDE w:val="0"/>
        <w:autoSpaceDN w:val="0"/>
        <w:adjustRightInd w:val="0"/>
        <w:textAlignment w:val="baseline"/>
        <w:rPr>
          <w:bCs/>
          <w:iCs/>
        </w:rPr>
      </w:pPr>
      <w:r w:rsidRPr="001D1C39">
        <w:t>EØSU:</w:t>
      </w:r>
    </w:p>
    <w:p w:rsidRPr="001D1C39" w:rsidR="00EC48BE" w:rsidP="006A5684" w:rsidRDefault="00EC48BE" w14:paraId="44A55ABA" w14:textId="77777777">
      <w:pPr>
        <w:overflowPunct w:val="0"/>
        <w:autoSpaceDE w:val="0"/>
        <w:autoSpaceDN w:val="0"/>
        <w:adjustRightInd w:val="0"/>
        <w:textAlignment w:val="baseline"/>
        <w:rPr>
          <w:bCs/>
          <w:iCs/>
        </w:rPr>
      </w:pPr>
    </w:p>
    <w:p w:rsidRPr="001D1C39" w:rsidR="00EC48BE" w:rsidP="006A5684" w:rsidRDefault="00EC48BE" w14:paraId="16965D67" w14:textId="77777777">
      <w:pPr>
        <w:widowControl w:val="0"/>
        <w:numPr>
          <w:ilvl w:val="0"/>
          <w:numId w:val="23"/>
        </w:numPr>
        <w:overflowPunct w:val="0"/>
        <w:autoSpaceDE w:val="0"/>
        <w:autoSpaceDN w:val="0"/>
        <w:adjustRightInd w:val="0"/>
        <w:ind w:left="284" w:hanging="284"/>
        <w:textAlignment w:val="baseline"/>
        <w:rPr>
          <w:bCs/>
          <w:iCs/>
        </w:rPr>
      </w:pPr>
      <w:r w:rsidRPr="001D1C39">
        <w:t>fremhæver, at nuklear medicin redder millioner af liv, og at der er enorme forhåbninger dertil i kampen mod kræft. Udvalget understreger, at det er nødvendigt at opfylde patienternes behov i Europa og garantere alle patienter lige adgang til kræftbehandling</w:t>
      </w:r>
    </w:p>
    <w:p w:rsidRPr="001D1C39" w:rsidR="00EC48BE" w:rsidP="006A5684" w:rsidRDefault="00EC48BE" w14:paraId="2189E501" w14:textId="77777777">
      <w:pPr>
        <w:widowControl w:val="0"/>
        <w:numPr>
          <w:ilvl w:val="0"/>
          <w:numId w:val="23"/>
        </w:numPr>
        <w:overflowPunct w:val="0"/>
        <w:autoSpaceDE w:val="0"/>
        <w:autoSpaceDN w:val="0"/>
        <w:adjustRightInd w:val="0"/>
        <w:ind w:left="284" w:hanging="284"/>
        <w:textAlignment w:val="baseline"/>
        <w:rPr>
          <w:bCs/>
          <w:iCs/>
        </w:rPr>
      </w:pPr>
      <w:r w:rsidRPr="001D1C39">
        <w:t xml:space="preserve">anfører, at radioaktive lægemidler i Europa hvert år bruges til 10 millioner undersøgelser og behandlinger. </w:t>
      </w:r>
      <w:proofErr w:type="spellStart"/>
      <w:r w:rsidRPr="001D1C39">
        <w:t>Radionuklidbehandling</w:t>
      </w:r>
      <w:proofErr w:type="spellEnd"/>
      <w:r w:rsidRPr="001D1C39">
        <w:t xml:space="preserve"> bør prioriteres, da den er præcis og ofte mindre skadelig end andre behandlinger</w:t>
      </w:r>
    </w:p>
    <w:p w:rsidRPr="001D1C39" w:rsidR="00EC48BE" w:rsidP="006A5684" w:rsidRDefault="00EC48BE" w14:paraId="42230DC3" w14:textId="77777777">
      <w:pPr>
        <w:widowControl w:val="0"/>
        <w:numPr>
          <w:ilvl w:val="0"/>
          <w:numId w:val="23"/>
        </w:numPr>
        <w:overflowPunct w:val="0"/>
        <w:autoSpaceDE w:val="0"/>
        <w:autoSpaceDN w:val="0"/>
        <w:adjustRightInd w:val="0"/>
        <w:ind w:left="284" w:hanging="284"/>
        <w:textAlignment w:val="baseline"/>
        <w:rPr>
          <w:bCs/>
          <w:iCs/>
        </w:rPr>
      </w:pPr>
      <w:r w:rsidRPr="001D1C39">
        <w:t>efterlyser produktionsincitamenter, der kan sikre større strategisk autonomi inden for radioisotopforsyningen. Europa er førende i verden inden for forsyning af medicinske radioisotoper, Samtidig er Europa i kritisk omfang afhængig af tredjelande, når det gælder vigtige råmaterialer og bestemte bearbejdningsprocesser. Udvalget opfordrer i den henseende alliancen for kritiske lægemidler til at overvåge forsyningen af radioisotoper i Europa tæt og støtte en styrkelse af industriens konkurrenceevne i denne sektor</w:t>
      </w:r>
    </w:p>
    <w:p w:rsidRPr="001D1C39" w:rsidR="00EC48BE" w:rsidP="006A5684" w:rsidRDefault="00EC48BE" w14:paraId="55D3C6BC" w14:textId="77777777">
      <w:pPr>
        <w:widowControl w:val="0"/>
        <w:numPr>
          <w:ilvl w:val="0"/>
          <w:numId w:val="23"/>
        </w:numPr>
        <w:overflowPunct w:val="0"/>
        <w:autoSpaceDE w:val="0"/>
        <w:autoSpaceDN w:val="0"/>
        <w:adjustRightInd w:val="0"/>
        <w:ind w:left="284" w:hanging="284"/>
        <w:textAlignment w:val="baseline"/>
        <w:rPr>
          <w:bCs/>
          <w:iCs/>
        </w:rPr>
      </w:pPr>
      <w:r w:rsidRPr="001D1C39">
        <w:t>mener, at der bør holdes øje med, at sikkerhedsforanstaltningerne for personalet overholdes i hele forsyningskæden, og opfordrer til, at der hurtigt investeres i planlægning og uddannelse af det nødvendige personale i sektoren og i mobilitet blandt de ansatte.</w:t>
      </w:r>
    </w:p>
    <w:p w:rsidRPr="001D1C39" w:rsidR="00EC48BE" w:rsidP="006A5684" w:rsidRDefault="00EC48BE" w14:paraId="0529A1B6" w14:textId="77777777">
      <w:pPr>
        <w:widowControl w:val="0"/>
        <w:overflowPunct w:val="0"/>
        <w:autoSpaceDE w:val="0"/>
        <w:autoSpaceDN w:val="0"/>
        <w:adjustRightInd w:val="0"/>
        <w:ind w:left="709"/>
        <w:textAlignment w:val="baseline"/>
      </w:pPr>
    </w:p>
    <w:tbl>
      <w:tblPr>
        <w:tblStyle w:val="TableGrid2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D1C39" w:rsidR="00EC48BE" w:rsidTr="00FE3058" w14:paraId="4FEA0D44" w14:textId="77777777">
        <w:tc>
          <w:tcPr>
            <w:tcW w:w="1556" w:type="pct"/>
          </w:tcPr>
          <w:p w:rsidRPr="001D1C39" w:rsidR="00EC48BE" w:rsidP="006A5684" w:rsidRDefault="00EC48BE" w14:paraId="292D789E" w14:textId="77777777">
            <w:pPr>
              <w:overflowPunct w:val="0"/>
              <w:autoSpaceDE w:val="0"/>
              <w:autoSpaceDN w:val="0"/>
              <w:adjustRightInd w:val="0"/>
              <w:textAlignment w:val="baseline"/>
              <w:rPr>
                <w:i/>
                <w:sz w:val="22"/>
                <w:szCs w:val="22"/>
              </w:rPr>
            </w:pPr>
            <w:r w:rsidRPr="001D1C39">
              <w:rPr>
                <w:b/>
                <w:i/>
                <w:sz w:val="22"/>
                <w:szCs w:val="22"/>
              </w:rPr>
              <w:t>Kontakt</w:t>
            </w:r>
          </w:p>
        </w:tc>
        <w:tc>
          <w:tcPr>
            <w:tcW w:w="3444" w:type="pct"/>
          </w:tcPr>
          <w:p w:rsidRPr="001D1C39" w:rsidR="00EC48BE" w:rsidP="006A5684" w:rsidRDefault="00EC48BE" w14:paraId="50791366" w14:textId="2071A688">
            <w:pPr>
              <w:overflowPunct w:val="0"/>
              <w:autoSpaceDE w:val="0"/>
              <w:autoSpaceDN w:val="0"/>
              <w:adjustRightInd w:val="0"/>
              <w:textAlignment w:val="baseline"/>
              <w:rPr>
                <w:i/>
                <w:sz w:val="22"/>
                <w:szCs w:val="22"/>
              </w:rPr>
            </w:pPr>
            <w:r w:rsidRPr="001D1C39">
              <w:rPr>
                <w:i/>
                <w:sz w:val="22"/>
                <w:szCs w:val="22"/>
              </w:rPr>
              <w:t xml:space="preserve">Maja </w:t>
            </w:r>
            <w:proofErr w:type="spellStart"/>
            <w:r w:rsidRPr="001D1C39">
              <w:rPr>
                <w:i/>
                <w:sz w:val="22"/>
                <w:szCs w:val="22"/>
              </w:rPr>
              <w:t>Radman</w:t>
            </w:r>
            <w:proofErr w:type="spellEnd"/>
          </w:p>
        </w:tc>
      </w:tr>
      <w:tr w:rsidRPr="001D1C39" w:rsidR="00EC48BE" w:rsidTr="00FE3058" w14:paraId="35A36E33" w14:textId="77777777">
        <w:tc>
          <w:tcPr>
            <w:tcW w:w="1556" w:type="pct"/>
          </w:tcPr>
          <w:p w:rsidRPr="001D1C39" w:rsidR="00EC48BE" w:rsidP="006A5684" w:rsidRDefault="00EC48BE" w14:paraId="610BC20B" w14:textId="77777777">
            <w:pPr>
              <w:overflowPunct w:val="0"/>
              <w:autoSpaceDE w:val="0"/>
              <w:autoSpaceDN w:val="0"/>
              <w:adjustRightInd w:val="0"/>
              <w:textAlignment w:val="baseline"/>
              <w:rPr>
                <w:i/>
                <w:sz w:val="22"/>
                <w:szCs w:val="22"/>
              </w:rPr>
            </w:pPr>
            <w:r w:rsidRPr="001D1C39">
              <w:rPr>
                <w:i/>
                <w:sz w:val="22"/>
                <w:szCs w:val="22"/>
              </w:rPr>
              <w:t>Tlf.</w:t>
            </w:r>
          </w:p>
        </w:tc>
        <w:tc>
          <w:tcPr>
            <w:tcW w:w="3444" w:type="pct"/>
          </w:tcPr>
          <w:p w:rsidRPr="001D1C39" w:rsidR="00EC48BE" w:rsidP="006A5684" w:rsidRDefault="00EC48BE" w14:paraId="1B1FFFC2" w14:textId="77777777">
            <w:pPr>
              <w:overflowPunct w:val="0"/>
              <w:autoSpaceDE w:val="0"/>
              <w:autoSpaceDN w:val="0"/>
              <w:adjustRightInd w:val="0"/>
              <w:textAlignment w:val="baseline"/>
              <w:rPr>
                <w:i/>
                <w:sz w:val="22"/>
                <w:szCs w:val="22"/>
              </w:rPr>
            </w:pPr>
            <w:r w:rsidRPr="001D1C39">
              <w:rPr>
                <w:i/>
                <w:sz w:val="22"/>
                <w:szCs w:val="22"/>
              </w:rPr>
              <w:t>00 32 2 546 90 51</w:t>
            </w:r>
          </w:p>
        </w:tc>
      </w:tr>
      <w:tr w:rsidRPr="001D1C39" w:rsidR="00EC48BE" w:rsidTr="00FE3058" w14:paraId="6456D68F" w14:textId="77777777">
        <w:tc>
          <w:tcPr>
            <w:tcW w:w="1556" w:type="pct"/>
          </w:tcPr>
          <w:p w:rsidRPr="001D1C39" w:rsidR="00EC48BE" w:rsidP="006A5684" w:rsidRDefault="00EC48BE" w14:paraId="59C76142" w14:textId="77777777">
            <w:pPr>
              <w:overflowPunct w:val="0"/>
              <w:autoSpaceDE w:val="0"/>
              <w:autoSpaceDN w:val="0"/>
              <w:adjustRightInd w:val="0"/>
              <w:textAlignment w:val="baseline"/>
              <w:rPr>
                <w:i/>
                <w:sz w:val="22"/>
                <w:szCs w:val="22"/>
              </w:rPr>
            </w:pPr>
            <w:r w:rsidRPr="001D1C39">
              <w:rPr>
                <w:i/>
                <w:sz w:val="22"/>
                <w:szCs w:val="22"/>
              </w:rPr>
              <w:t>E-mail</w:t>
            </w:r>
          </w:p>
        </w:tc>
        <w:tc>
          <w:tcPr>
            <w:tcW w:w="3444" w:type="pct"/>
          </w:tcPr>
          <w:p w:rsidRPr="001D1C39" w:rsidR="00EC48BE" w:rsidP="006A5684" w:rsidRDefault="003D1988" w14:paraId="50EB0CCC" w14:textId="77777777">
            <w:pPr>
              <w:overflowPunct w:val="0"/>
              <w:autoSpaceDE w:val="0"/>
              <w:autoSpaceDN w:val="0"/>
              <w:adjustRightInd w:val="0"/>
              <w:textAlignment w:val="baseline"/>
              <w:rPr>
                <w:i/>
                <w:sz w:val="22"/>
                <w:szCs w:val="22"/>
              </w:rPr>
            </w:pPr>
            <w:hyperlink w:history="1" r:id="rId35">
              <w:proofErr w:type="spellStart"/>
              <w:r w:rsidRPr="001D1C39" w:rsidR="00D97A3B">
                <w:rPr>
                  <w:i/>
                  <w:color w:val="0000FF"/>
                  <w:sz w:val="22"/>
                  <w:szCs w:val="22"/>
                  <w:u w:val="single"/>
                </w:rPr>
                <w:t>Maja.Radman@eesc.europa.eu</w:t>
              </w:r>
              <w:proofErr w:type="spellEnd"/>
            </w:hyperlink>
            <w:r w:rsidRPr="001D1C39" w:rsidR="00D97A3B">
              <w:rPr>
                <w:i/>
                <w:sz w:val="22"/>
                <w:szCs w:val="22"/>
              </w:rPr>
              <w:t xml:space="preserve"> </w:t>
            </w:r>
          </w:p>
        </w:tc>
      </w:tr>
    </w:tbl>
    <w:p w:rsidRPr="001D1C39" w:rsidR="00516A59" w:rsidP="006A5684" w:rsidRDefault="00516A59" w14:paraId="7DD6A790" w14:textId="77777777">
      <w:pPr>
        <w:jc w:val="left"/>
      </w:pPr>
    </w:p>
    <w:p w:rsidRPr="001D1C39" w:rsidR="00516A59" w:rsidP="006A5684" w:rsidRDefault="00516A59" w14:paraId="77C764C5" w14:textId="77777777">
      <w:pPr>
        <w:jc w:val="left"/>
      </w:pPr>
      <w:r w:rsidRPr="001D1C39">
        <w:br w:type="page"/>
      </w:r>
    </w:p>
    <w:p w:rsidRPr="000B1C30" w:rsidR="00E110D0" w:rsidP="006A5684" w:rsidRDefault="00895853" w14:paraId="268D0B18" w14:textId="09AC0A5F">
      <w:pPr>
        <w:pStyle w:val="Heading1"/>
        <w:tabs>
          <w:tab w:val="clear" w:pos="440"/>
          <w:tab w:val="left" w:pos="567"/>
        </w:tabs>
        <w:spacing w:before="0"/>
        <w:ind w:left="567" w:right="0" w:hanging="567"/>
        <w:rPr>
          <w:b/>
          <w:bCs/>
        </w:rPr>
      </w:pPr>
      <w:bookmarkStart w:name="_Toc166847140" w:id="6"/>
      <w:bookmarkStart w:name="_Toc169790074" w:id="7"/>
      <w:bookmarkEnd w:id="6"/>
      <w:r>
        <w:rPr>
          <w:b/>
        </w:rPr>
        <w:lastRenderedPageBreak/>
        <w:t>DEN RÅDGIVENDE KOMMISSION FOR INDUSTRIELLE ÆNDRINGER</w:t>
      </w:r>
      <w:bookmarkEnd w:id="7"/>
    </w:p>
    <w:p w:rsidR="005C28F2" w:rsidP="006A5684" w:rsidRDefault="005C28F2" w14:paraId="43B85D0B" w14:textId="77777777">
      <w:pPr>
        <w:overflowPunct w:val="0"/>
        <w:autoSpaceDE w:val="0"/>
        <w:autoSpaceDN w:val="0"/>
        <w:adjustRightInd w:val="0"/>
        <w:jc w:val="left"/>
        <w:textAlignment w:val="baseline"/>
        <w:rPr>
          <w:lang w:val="nl-BE"/>
        </w:rPr>
      </w:pPr>
    </w:p>
    <w:p w:rsidRPr="00B612CA" w:rsidR="00B612CA" w:rsidP="006A5684" w:rsidRDefault="003D1988" w14:paraId="3FFD2060" w14:textId="4C32F184">
      <w:pPr>
        <w:widowControl w:val="0"/>
        <w:numPr>
          <w:ilvl w:val="0"/>
          <w:numId w:val="4"/>
        </w:numPr>
        <w:tabs>
          <w:tab w:val="center" w:pos="567"/>
        </w:tabs>
        <w:overflowPunct w:val="0"/>
        <w:autoSpaceDE w:val="0"/>
        <w:autoSpaceDN w:val="0"/>
        <w:adjustRightInd w:val="0"/>
        <w:ind w:left="567" w:hanging="567"/>
        <w:contextualSpacing/>
        <w:jc w:val="left"/>
        <w:textAlignment w:val="baseline"/>
        <w:rPr>
          <w:rFonts w:eastAsiaTheme="minorHAnsi"/>
          <w:b/>
          <w:i/>
          <w:iCs/>
          <w:sz w:val="28"/>
          <w:szCs w:val="28"/>
        </w:rPr>
      </w:pPr>
      <w:hyperlink w:history="1" r:id="rId36">
        <w:r w:rsidR="00D97A3B">
          <w:rPr>
            <w:b/>
            <w:i/>
            <w:color w:val="0000FF"/>
            <w:sz w:val="28"/>
            <w:u w:val="single"/>
          </w:rPr>
          <w:t>Programmet for den europæiske forsvarsindustri</w:t>
        </w:r>
      </w:hyperlink>
    </w:p>
    <w:p w:rsidRPr="001D1C39" w:rsidR="00B612CA" w:rsidP="006A5684" w:rsidRDefault="00B612CA" w14:paraId="6CCFE10F" w14:textId="59BC7F1E">
      <w:pPr>
        <w:widowControl w:val="0"/>
        <w:tabs>
          <w:tab w:val="center" w:pos="284"/>
        </w:tabs>
        <w:overflowPunct w:val="0"/>
        <w:autoSpaceDE w:val="0"/>
        <w:autoSpaceDN w:val="0"/>
        <w:adjustRightInd w:val="0"/>
        <w:textAlignment w:val="baseline"/>
        <w:rPr>
          <w:rFonts w:eastAsiaTheme="minorHAnsi"/>
          <w:b/>
          <w:lang w:val="en-US"/>
        </w:rPr>
      </w:pPr>
    </w:p>
    <w:tbl>
      <w:tblPr>
        <w:tblStyle w:val="TableGrid220"/>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953"/>
      </w:tblGrid>
      <w:tr w:rsidRPr="001D1C39" w:rsidR="00B612CA" w:rsidTr="00FE3058" w14:paraId="18CAAF03" w14:textId="77777777">
        <w:tc>
          <w:tcPr>
            <w:tcW w:w="1258" w:type="pct"/>
          </w:tcPr>
          <w:p w:rsidRPr="001D1C39" w:rsidR="00B612CA" w:rsidP="006A5684" w:rsidRDefault="00B612CA" w14:paraId="7DF9E2A6" w14:textId="77777777">
            <w:pPr>
              <w:tabs>
                <w:tab w:val="center" w:pos="284"/>
              </w:tabs>
              <w:ind w:left="266" w:hanging="266"/>
              <w:jc w:val="left"/>
              <w:rPr>
                <w:rFonts w:eastAsiaTheme="minorHAnsi"/>
                <w:b/>
                <w:sz w:val="22"/>
                <w:szCs w:val="22"/>
              </w:rPr>
            </w:pPr>
            <w:r w:rsidRPr="001D1C39">
              <w:rPr>
                <w:b/>
                <w:sz w:val="22"/>
                <w:szCs w:val="22"/>
              </w:rPr>
              <w:t>Ordfører</w:t>
            </w:r>
          </w:p>
        </w:tc>
        <w:tc>
          <w:tcPr>
            <w:tcW w:w="3742" w:type="pct"/>
          </w:tcPr>
          <w:p w:rsidRPr="001D1C39" w:rsidR="00B612CA" w:rsidP="006A5684" w:rsidRDefault="00B612CA" w14:paraId="7678F137" w14:textId="77777777">
            <w:pPr>
              <w:tabs>
                <w:tab w:val="center" w:pos="33"/>
              </w:tabs>
              <w:ind w:left="33" w:hanging="33"/>
              <w:jc w:val="left"/>
              <w:rPr>
                <w:rFonts w:eastAsiaTheme="minorHAnsi"/>
                <w:sz w:val="22"/>
                <w:szCs w:val="22"/>
              </w:rPr>
            </w:pPr>
            <w:r w:rsidRPr="001D1C39">
              <w:rPr>
                <w:sz w:val="22"/>
                <w:szCs w:val="22"/>
              </w:rPr>
              <w:t xml:space="preserve">Tomasz Andrzej </w:t>
            </w:r>
            <w:proofErr w:type="spellStart"/>
            <w:r w:rsidRPr="001D1C39">
              <w:rPr>
                <w:sz w:val="22"/>
                <w:szCs w:val="22"/>
              </w:rPr>
              <w:t>Wróblewski</w:t>
            </w:r>
            <w:proofErr w:type="spellEnd"/>
            <w:r w:rsidRPr="001D1C39">
              <w:rPr>
                <w:sz w:val="22"/>
                <w:szCs w:val="22"/>
              </w:rPr>
              <w:t xml:space="preserve"> (Arbejdsgivergruppen – PL)</w:t>
            </w:r>
          </w:p>
        </w:tc>
      </w:tr>
      <w:tr w:rsidRPr="001D1C39" w:rsidR="00B612CA" w:rsidTr="00FE3058" w14:paraId="02CD892C" w14:textId="77777777">
        <w:tc>
          <w:tcPr>
            <w:tcW w:w="1258" w:type="pct"/>
          </w:tcPr>
          <w:p w:rsidRPr="001D1C39" w:rsidR="00B612CA" w:rsidP="006A5684" w:rsidRDefault="00B612CA" w14:paraId="32A8CC73" w14:textId="77777777">
            <w:pPr>
              <w:tabs>
                <w:tab w:val="center" w:pos="284"/>
              </w:tabs>
              <w:ind w:left="266" w:hanging="266"/>
              <w:jc w:val="left"/>
              <w:rPr>
                <w:rFonts w:eastAsiaTheme="minorHAnsi"/>
                <w:b/>
                <w:sz w:val="22"/>
                <w:szCs w:val="22"/>
              </w:rPr>
            </w:pPr>
            <w:r w:rsidRPr="001D1C39">
              <w:rPr>
                <w:b/>
                <w:sz w:val="22"/>
                <w:szCs w:val="22"/>
              </w:rPr>
              <w:t>Medordfører</w:t>
            </w:r>
          </w:p>
        </w:tc>
        <w:tc>
          <w:tcPr>
            <w:tcW w:w="3742" w:type="pct"/>
          </w:tcPr>
          <w:p w:rsidRPr="001D1C39" w:rsidR="00B612CA" w:rsidP="006A5684" w:rsidRDefault="00B612CA" w14:paraId="10B820C3" w14:textId="4AB00E12">
            <w:pPr>
              <w:tabs>
                <w:tab w:val="center" w:pos="284"/>
              </w:tabs>
              <w:ind w:left="266" w:hanging="266"/>
              <w:jc w:val="left"/>
              <w:rPr>
                <w:rFonts w:eastAsiaTheme="minorHAnsi"/>
                <w:sz w:val="22"/>
                <w:szCs w:val="22"/>
              </w:rPr>
            </w:pPr>
            <w:r w:rsidRPr="001D1C39">
              <w:rPr>
                <w:sz w:val="22"/>
                <w:szCs w:val="22"/>
              </w:rPr>
              <w:t xml:space="preserve">Franck </w:t>
            </w:r>
            <w:proofErr w:type="spellStart"/>
            <w:r w:rsidRPr="001D1C39">
              <w:rPr>
                <w:sz w:val="22"/>
                <w:szCs w:val="22"/>
              </w:rPr>
              <w:t>Uhlig</w:t>
            </w:r>
            <w:proofErr w:type="spellEnd"/>
            <w:r w:rsidRPr="001D1C39">
              <w:rPr>
                <w:sz w:val="22"/>
                <w:szCs w:val="22"/>
              </w:rPr>
              <w:t xml:space="preserve"> (Kat. 2 – FR)</w:t>
            </w:r>
          </w:p>
        </w:tc>
      </w:tr>
      <w:tr w:rsidRPr="001D1C39" w:rsidR="00B612CA" w:rsidTr="00FE3058" w14:paraId="77B12610" w14:textId="77777777">
        <w:tc>
          <w:tcPr>
            <w:tcW w:w="5000" w:type="pct"/>
            <w:gridSpan w:val="2"/>
          </w:tcPr>
          <w:p w:rsidRPr="001D1C39" w:rsidR="00B612CA" w:rsidP="006A5684" w:rsidRDefault="00B612CA" w14:paraId="22141688" w14:textId="77777777">
            <w:pPr>
              <w:tabs>
                <w:tab w:val="center" w:pos="284"/>
              </w:tabs>
              <w:ind w:left="266" w:hanging="266"/>
              <w:jc w:val="left"/>
              <w:rPr>
                <w:rFonts w:eastAsiaTheme="minorHAnsi"/>
                <w:sz w:val="22"/>
                <w:szCs w:val="22"/>
              </w:rPr>
            </w:pPr>
          </w:p>
        </w:tc>
      </w:tr>
      <w:tr w:rsidRPr="001D1C39" w:rsidR="00B612CA" w:rsidTr="00FE3058" w14:paraId="366D3A3A" w14:textId="77777777">
        <w:tc>
          <w:tcPr>
            <w:tcW w:w="1258" w:type="pct"/>
            <w:vMerge w:val="restart"/>
          </w:tcPr>
          <w:p w:rsidRPr="001D1C39" w:rsidR="00B612CA" w:rsidP="006A5684" w:rsidRDefault="00B612CA" w14:paraId="620E2FAB" w14:textId="77777777">
            <w:pPr>
              <w:tabs>
                <w:tab w:val="center" w:pos="284"/>
              </w:tabs>
              <w:ind w:left="266" w:hanging="266"/>
              <w:jc w:val="left"/>
              <w:rPr>
                <w:rFonts w:eastAsiaTheme="minorHAnsi"/>
                <w:b/>
                <w:sz w:val="22"/>
                <w:szCs w:val="22"/>
              </w:rPr>
            </w:pPr>
            <w:r w:rsidRPr="001D1C39">
              <w:rPr>
                <w:b/>
                <w:sz w:val="22"/>
                <w:szCs w:val="22"/>
              </w:rPr>
              <w:t>Ref.</w:t>
            </w:r>
          </w:p>
        </w:tc>
        <w:tc>
          <w:tcPr>
            <w:tcW w:w="3742" w:type="pct"/>
          </w:tcPr>
          <w:p w:rsidRPr="001D1C39" w:rsidR="00B612CA" w:rsidP="006A5684" w:rsidRDefault="00B612CA" w14:paraId="554796B3" w14:textId="77777777">
            <w:pPr>
              <w:tabs>
                <w:tab w:val="center" w:pos="284"/>
              </w:tabs>
              <w:ind w:left="266" w:hanging="266"/>
              <w:jc w:val="left"/>
              <w:rPr>
                <w:rFonts w:eastAsiaTheme="minorHAnsi"/>
                <w:sz w:val="22"/>
                <w:szCs w:val="22"/>
              </w:rPr>
            </w:pPr>
            <w:r w:rsidRPr="001D1C39">
              <w:rPr>
                <w:sz w:val="22"/>
                <w:szCs w:val="22"/>
              </w:rPr>
              <w:t>COM(2024) 150 final</w:t>
            </w:r>
          </w:p>
        </w:tc>
      </w:tr>
      <w:tr w:rsidRPr="001D1C39" w:rsidR="00B612CA" w:rsidTr="00FE3058" w14:paraId="10E2BB82" w14:textId="77777777">
        <w:tc>
          <w:tcPr>
            <w:tcW w:w="1258" w:type="pct"/>
            <w:vMerge/>
          </w:tcPr>
          <w:p w:rsidRPr="001D1C39" w:rsidR="00B612CA" w:rsidP="006A5684" w:rsidRDefault="00B612CA" w14:paraId="175F9DD0" w14:textId="77777777">
            <w:pPr>
              <w:tabs>
                <w:tab w:val="center" w:pos="284"/>
              </w:tabs>
              <w:ind w:left="266" w:hanging="266"/>
              <w:jc w:val="left"/>
              <w:rPr>
                <w:rFonts w:eastAsiaTheme="minorHAnsi"/>
                <w:b/>
                <w:sz w:val="22"/>
                <w:szCs w:val="22"/>
              </w:rPr>
            </w:pPr>
          </w:p>
        </w:tc>
        <w:tc>
          <w:tcPr>
            <w:tcW w:w="3742" w:type="pct"/>
          </w:tcPr>
          <w:p w:rsidRPr="001D1C39" w:rsidR="00B612CA" w:rsidP="006A5684" w:rsidRDefault="00B612CA" w14:paraId="4A35E6C4" w14:textId="77777777">
            <w:pPr>
              <w:tabs>
                <w:tab w:val="center" w:pos="284"/>
              </w:tabs>
              <w:ind w:left="266" w:hanging="266"/>
              <w:jc w:val="left"/>
              <w:rPr>
                <w:rFonts w:eastAsiaTheme="minorHAnsi"/>
                <w:sz w:val="22"/>
                <w:szCs w:val="22"/>
              </w:rPr>
            </w:pPr>
            <w:r w:rsidRPr="001D1C39">
              <w:rPr>
                <w:sz w:val="22"/>
                <w:szCs w:val="22"/>
              </w:rPr>
              <w:t>EESC-2024-00813-00-00-AC</w:t>
            </w:r>
          </w:p>
        </w:tc>
      </w:tr>
    </w:tbl>
    <w:p w:rsidRPr="001D1C39" w:rsidR="00B612CA" w:rsidP="006A5684" w:rsidRDefault="00B612CA" w14:paraId="65401695" w14:textId="77777777">
      <w:pPr>
        <w:widowControl w:val="0"/>
        <w:tabs>
          <w:tab w:val="center" w:pos="284"/>
        </w:tabs>
        <w:overflowPunct w:val="0"/>
        <w:autoSpaceDE w:val="0"/>
        <w:autoSpaceDN w:val="0"/>
        <w:adjustRightInd w:val="0"/>
        <w:textAlignment w:val="baseline"/>
        <w:rPr>
          <w:rFonts w:eastAsiaTheme="minorHAnsi"/>
          <w:b/>
          <w:lang w:val="en-US"/>
        </w:rPr>
      </w:pPr>
    </w:p>
    <w:p w:rsidRPr="001D1C39" w:rsidR="00B612CA" w:rsidP="006A5684" w:rsidRDefault="00B612CA" w14:paraId="66AF4059" w14:textId="103542FE">
      <w:pPr>
        <w:keepNext/>
        <w:keepLines/>
        <w:ind w:left="142" w:hanging="142"/>
        <w:jc w:val="left"/>
        <w:rPr>
          <w:rFonts w:eastAsiaTheme="minorHAnsi"/>
          <w:b/>
        </w:rPr>
      </w:pPr>
      <w:r w:rsidRPr="001D1C39">
        <w:rPr>
          <w:b/>
        </w:rPr>
        <w:t>Hovedpunkter</w:t>
      </w:r>
    </w:p>
    <w:p w:rsidRPr="001D1C39" w:rsidR="007724A0" w:rsidP="006A5684" w:rsidRDefault="007724A0" w14:paraId="6657CF81" w14:textId="77777777">
      <w:pPr>
        <w:keepNext/>
        <w:keepLines/>
        <w:ind w:left="142" w:hanging="142"/>
        <w:jc w:val="left"/>
        <w:rPr>
          <w:rFonts w:eastAsiaTheme="minorHAnsi"/>
          <w:b/>
          <w:lang w:val="en-US"/>
        </w:rPr>
      </w:pPr>
    </w:p>
    <w:p w:rsidRPr="001D1C39" w:rsidR="00B612CA" w:rsidP="006A5684" w:rsidRDefault="00B612CA" w14:paraId="6C447796" w14:textId="188E9CB3">
      <w:pPr>
        <w:ind w:left="142" w:hanging="142"/>
        <w:jc w:val="left"/>
        <w:rPr>
          <w:rFonts w:eastAsiaTheme="minorHAnsi"/>
        </w:rPr>
      </w:pPr>
      <w:r w:rsidRPr="001D1C39">
        <w:t>EØSU:</w:t>
      </w:r>
    </w:p>
    <w:p w:rsidRPr="001D1C39" w:rsidR="00B612CA" w:rsidP="006A5684" w:rsidRDefault="00B612CA" w14:paraId="19ACACDB" w14:textId="77777777">
      <w:pPr>
        <w:numPr>
          <w:ilvl w:val="0"/>
          <w:numId w:val="24"/>
        </w:numPr>
        <w:ind w:left="284" w:hanging="284"/>
        <w:contextualSpacing/>
        <w:rPr>
          <w:rFonts w:eastAsiaTheme="minorHAnsi"/>
        </w:rPr>
      </w:pPr>
      <w:r w:rsidRPr="001D1C39">
        <w:t>anbefaler, at Kommissionen</w:t>
      </w:r>
      <w:r w:rsidRPr="001D1C39">
        <w:rPr>
          <w:b/>
        </w:rPr>
        <w:t xml:space="preserve"> kommunikerer indgående med de europæiske borgere for generelt at formidle udfordringerne i forbindelse med fælles forsvarsfinansiering</w:t>
      </w:r>
      <w:r w:rsidRPr="001D1C39">
        <w:t xml:space="preserve"> i den nuværende geopolitiske kontekst og med henblik på at opbygge en fælles sikkerhed, samtidig med at den europæiske integration fortsat baseres på et freds- og solidaritetsprojekt</w:t>
      </w:r>
    </w:p>
    <w:p w:rsidRPr="001D1C39" w:rsidR="00B612CA" w:rsidP="006A5684" w:rsidRDefault="00B612CA" w14:paraId="10700EAD" w14:textId="77777777">
      <w:pPr>
        <w:numPr>
          <w:ilvl w:val="0"/>
          <w:numId w:val="24"/>
        </w:numPr>
        <w:ind w:left="284" w:hanging="284"/>
        <w:contextualSpacing/>
        <w:rPr>
          <w:rFonts w:eastAsiaTheme="minorHAnsi"/>
        </w:rPr>
      </w:pPr>
      <w:r w:rsidRPr="001D1C39">
        <w:t xml:space="preserve">anmoder om en </w:t>
      </w:r>
      <w:r w:rsidRPr="001D1C39">
        <w:rPr>
          <w:b/>
        </w:rPr>
        <w:t>forhøjelse af den nuværende begrænsede finansiering (1,5 mia. EUR)</w:t>
      </w:r>
      <w:r w:rsidRPr="001D1C39">
        <w:t xml:space="preserve"> på mellemlang sigt</w:t>
      </w:r>
    </w:p>
    <w:p w:rsidRPr="001D1C39" w:rsidR="00B612CA" w:rsidP="006A5684" w:rsidRDefault="00B612CA" w14:paraId="35EFB068" w14:textId="77777777">
      <w:pPr>
        <w:numPr>
          <w:ilvl w:val="0"/>
          <w:numId w:val="24"/>
        </w:numPr>
        <w:ind w:left="284" w:hanging="284"/>
        <w:contextualSpacing/>
        <w:rPr>
          <w:rFonts w:eastAsiaTheme="minorHAnsi"/>
        </w:rPr>
      </w:pPr>
      <w:r w:rsidRPr="001D1C39">
        <w:t xml:space="preserve">understreger, at EDIP ud over den nødvendige opfyldelse af Ukraines presserende behov må føre til en </w:t>
      </w:r>
      <w:r w:rsidRPr="001D1C39">
        <w:rPr>
          <w:b/>
        </w:rPr>
        <w:t>strukturel udvikling af den europæiske tilgang til forsvar</w:t>
      </w:r>
      <w:r w:rsidRPr="001D1C39">
        <w:t xml:space="preserve"> og den europæiske forsvarsteknologiske og -industrielle base (EDTIB)</w:t>
      </w:r>
    </w:p>
    <w:p w:rsidRPr="001D1C39" w:rsidR="00B612CA" w:rsidP="006A5684" w:rsidRDefault="00B612CA" w14:paraId="474F4A0A" w14:textId="77777777">
      <w:pPr>
        <w:numPr>
          <w:ilvl w:val="0"/>
          <w:numId w:val="24"/>
        </w:numPr>
        <w:ind w:left="284" w:hanging="284"/>
        <w:contextualSpacing/>
        <w:rPr>
          <w:rFonts w:eastAsiaTheme="minorHAnsi"/>
        </w:rPr>
      </w:pPr>
      <w:r w:rsidRPr="001D1C39">
        <w:t xml:space="preserve">anbefaler, at Europa-Parlamentet, medlemsstaterne, den offentlige og private finansielle sektor og Kommissionen fremlægger en </w:t>
      </w:r>
      <w:r w:rsidRPr="001D1C39">
        <w:rPr>
          <w:b/>
        </w:rPr>
        <w:t>langsigtet plan for øgede våbenudgifter og -indkøb</w:t>
      </w:r>
      <w:r w:rsidRPr="001D1C39">
        <w:t xml:space="preserve">, som vil lette den private sektors langsigtede investeringer og støtte </w:t>
      </w:r>
      <w:proofErr w:type="spellStart"/>
      <w:r w:rsidRPr="001D1C39">
        <w:t>EDTIB's</w:t>
      </w:r>
      <w:proofErr w:type="spellEnd"/>
      <w:r w:rsidRPr="001D1C39">
        <w:t xml:space="preserve"> produktionsplaner for militært udstyr og yde støtte til den forsvarsteknologiske og -industrielle base for Ukraine</w:t>
      </w:r>
    </w:p>
    <w:p w:rsidRPr="001D1C39" w:rsidR="00B612CA" w:rsidP="006A5684" w:rsidRDefault="00B612CA" w14:paraId="47D84DAE" w14:textId="77777777">
      <w:pPr>
        <w:numPr>
          <w:ilvl w:val="0"/>
          <w:numId w:val="24"/>
        </w:numPr>
        <w:ind w:left="284" w:hanging="284"/>
        <w:contextualSpacing/>
        <w:rPr>
          <w:rFonts w:eastAsiaTheme="minorHAnsi"/>
        </w:rPr>
      </w:pPr>
      <w:r w:rsidRPr="001D1C39">
        <w:t xml:space="preserve">anbefaler, at Kommissionen </w:t>
      </w:r>
      <w:r w:rsidRPr="001D1C39">
        <w:rPr>
          <w:b/>
        </w:rPr>
        <w:t>præciserer oprindelsen og anvendelsen af de midler, der er øremærket til EDIP</w:t>
      </w:r>
    </w:p>
    <w:p w:rsidRPr="001D1C39" w:rsidR="00B612CA" w:rsidP="006A5684" w:rsidRDefault="00B612CA" w14:paraId="5028E334" w14:textId="77777777">
      <w:pPr>
        <w:numPr>
          <w:ilvl w:val="0"/>
          <w:numId w:val="24"/>
        </w:numPr>
        <w:ind w:left="284" w:hanging="284"/>
        <w:contextualSpacing/>
        <w:rPr>
          <w:rFonts w:eastAsiaTheme="minorHAnsi"/>
        </w:rPr>
      </w:pPr>
      <w:r w:rsidRPr="001D1C39">
        <w:t xml:space="preserve">anbefaler, at </w:t>
      </w:r>
      <w:r w:rsidRPr="001D1C39">
        <w:rPr>
          <w:b/>
        </w:rPr>
        <w:t>EDTIB-virksomheder styrker samarbejdet, navnlig med SMV'er og på tværs af grænserne</w:t>
      </w:r>
    </w:p>
    <w:p w:rsidRPr="001D1C39" w:rsidR="00B612CA" w:rsidP="006A5684" w:rsidRDefault="00B612CA" w14:paraId="4BA1174F" w14:textId="77777777">
      <w:pPr>
        <w:numPr>
          <w:ilvl w:val="0"/>
          <w:numId w:val="24"/>
        </w:numPr>
        <w:ind w:left="284" w:hanging="284"/>
        <w:contextualSpacing/>
        <w:rPr>
          <w:rFonts w:eastAsiaTheme="minorHAnsi"/>
        </w:rPr>
      </w:pPr>
      <w:r w:rsidRPr="001D1C39">
        <w:t xml:space="preserve">fremhæver betydningen af </w:t>
      </w:r>
      <w:r w:rsidRPr="001D1C39">
        <w:rPr>
          <w:b/>
        </w:rPr>
        <w:t>industrielt samarbejde med Ukraine</w:t>
      </w:r>
      <w:r w:rsidRPr="001D1C39">
        <w:t xml:space="preserve"> inden for rammerne af EDIP</w:t>
      </w:r>
    </w:p>
    <w:p w:rsidRPr="001D1C39" w:rsidR="00B612CA" w:rsidP="006A5684" w:rsidRDefault="00B612CA" w14:paraId="7E080E3B" w14:textId="77777777">
      <w:pPr>
        <w:numPr>
          <w:ilvl w:val="0"/>
          <w:numId w:val="24"/>
        </w:numPr>
        <w:ind w:left="284" w:hanging="284"/>
        <w:contextualSpacing/>
        <w:rPr>
          <w:rFonts w:eastAsiaTheme="minorHAnsi"/>
        </w:rPr>
      </w:pPr>
      <w:r w:rsidRPr="001D1C39">
        <w:t xml:space="preserve">foreslår yderligere at fremme </w:t>
      </w:r>
      <w:r w:rsidRPr="001D1C39">
        <w:rPr>
          <w:b/>
        </w:rPr>
        <w:t>synergier mellem forsvarsindustrien og den civile industri</w:t>
      </w:r>
      <w:r w:rsidRPr="001D1C39">
        <w:t>, herunder SMV'er og nystartede virksomheder</w:t>
      </w:r>
    </w:p>
    <w:p w:rsidRPr="001D1C39" w:rsidR="00B612CA" w:rsidP="006A5684" w:rsidRDefault="00B612CA" w14:paraId="1616FA27" w14:textId="77777777">
      <w:pPr>
        <w:numPr>
          <w:ilvl w:val="0"/>
          <w:numId w:val="24"/>
        </w:numPr>
        <w:ind w:left="284" w:hanging="284"/>
        <w:contextualSpacing/>
        <w:rPr>
          <w:rFonts w:eastAsiaTheme="minorHAnsi"/>
        </w:rPr>
      </w:pPr>
      <w:r w:rsidRPr="001D1C39">
        <w:t xml:space="preserve">anbefaler, at </w:t>
      </w:r>
      <w:r w:rsidRPr="001D1C39">
        <w:rPr>
          <w:b/>
        </w:rPr>
        <w:t>den procentsats for samarbejdsbaserede og europæiske indkøbsmål</w:t>
      </w:r>
      <w:r w:rsidRPr="001D1C39">
        <w:t xml:space="preserve">, der fremgår af EDIS-meddelelsen, </w:t>
      </w:r>
      <w:r w:rsidRPr="001D1C39">
        <w:rPr>
          <w:b/>
        </w:rPr>
        <w:t>integreres</w:t>
      </w:r>
      <w:r w:rsidRPr="001D1C39">
        <w:t xml:space="preserve"> i EDIP-lovgivningsdokumentet.</w:t>
      </w:r>
    </w:p>
    <w:p w:rsidRPr="001D1C39" w:rsidR="00B612CA" w:rsidP="006A5684" w:rsidRDefault="00B612CA" w14:paraId="0A876271" w14:textId="1EEC993C">
      <w:pPr>
        <w:ind w:left="720"/>
        <w:contextualSpacing/>
        <w:rPr>
          <w:rFonts w:eastAsiaTheme="minorHAnsi"/>
        </w:rPr>
      </w:pPr>
    </w:p>
    <w:p w:rsidRPr="001D1C39" w:rsidR="007724A0" w:rsidP="006A5684" w:rsidRDefault="007724A0" w14:paraId="75BF54F5" w14:textId="77777777">
      <w:pPr>
        <w:ind w:left="720"/>
        <w:contextualSpacing/>
        <w:rPr>
          <w:rFonts w:eastAsiaTheme="minorHAnsi"/>
        </w:rPr>
      </w:pPr>
    </w:p>
    <w:tbl>
      <w:tblPr>
        <w:tblStyle w:val="TableGrid220"/>
        <w:tblW w:w="377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5386"/>
      </w:tblGrid>
      <w:tr w:rsidRPr="001D1C39" w:rsidR="00B612CA" w:rsidTr="001D1C39" w14:paraId="0A0E04CE" w14:textId="77777777">
        <w:tc>
          <w:tcPr>
            <w:tcW w:w="1104" w:type="pct"/>
          </w:tcPr>
          <w:p w:rsidRPr="001D1C39" w:rsidR="00B612CA" w:rsidP="006A5684" w:rsidRDefault="00B612CA" w14:paraId="06D84C57" w14:textId="77777777">
            <w:pPr>
              <w:jc w:val="left"/>
              <w:rPr>
                <w:rFonts w:eastAsiaTheme="minorHAnsi"/>
                <w:i/>
                <w:sz w:val="22"/>
                <w:szCs w:val="22"/>
              </w:rPr>
            </w:pPr>
            <w:r w:rsidRPr="001D1C39">
              <w:rPr>
                <w:b/>
                <w:i/>
                <w:sz w:val="22"/>
                <w:szCs w:val="22"/>
              </w:rPr>
              <w:t>Kontakt</w:t>
            </w:r>
          </w:p>
        </w:tc>
        <w:tc>
          <w:tcPr>
            <w:tcW w:w="3896" w:type="pct"/>
            <w:tcBorders>
              <w:left w:val="nil"/>
            </w:tcBorders>
          </w:tcPr>
          <w:p w:rsidRPr="001D1C39" w:rsidR="00B612CA" w:rsidP="006A5684" w:rsidRDefault="00B612CA" w14:paraId="32F55D6E" w14:textId="496A8A95">
            <w:pPr>
              <w:ind w:firstLine="177"/>
              <w:jc w:val="left"/>
              <w:rPr>
                <w:rFonts w:eastAsiaTheme="minorHAnsi"/>
                <w:i/>
                <w:sz w:val="22"/>
                <w:szCs w:val="22"/>
              </w:rPr>
            </w:pPr>
            <w:r w:rsidRPr="001D1C39">
              <w:rPr>
                <w:i/>
                <w:sz w:val="22"/>
                <w:szCs w:val="22"/>
              </w:rPr>
              <w:t xml:space="preserve">Ioannis </w:t>
            </w:r>
            <w:proofErr w:type="spellStart"/>
            <w:r w:rsidRPr="001D1C39">
              <w:rPr>
                <w:i/>
                <w:sz w:val="22"/>
                <w:szCs w:val="22"/>
              </w:rPr>
              <w:t>Diamantopoulos</w:t>
            </w:r>
            <w:proofErr w:type="spellEnd"/>
          </w:p>
        </w:tc>
      </w:tr>
      <w:tr w:rsidRPr="001D1C39" w:rsidR="00B612CA" w:rsidTr="001D1C39" w14:paraId="170A473F" w14:textId="77777777">
        <w:tc>
          <w:tcPr>
            <w:tcW w:w="1104" w:type="pct"/>
          </w:tcPr>
          <w:p w:rsidRPr="001D1C39" w:rsidR="00B612CA" w:rsidP="006A5684" w:rsidRDefault="00B612CA" w14:paraId="56DAFD05" w14:textId="77777777">
            <w:pPr>
              <w:jc w:val="left"/>
              <w:rPr>
                <w:rFonts w:eastAsiaTheme="minorHAnsi"/>
                <w:i/>
                <w:sz w:val="22"/>
                <w:szCs w:val="22"/>
              </w:rPr>
            </w:pPr>
            <w:r w:rsidRPr="001D1C39">
              <w:rPr>
                <w:i/>
                <w:sz w:val="22"/>
                <w:szCs w:val="22"/>
              </w:rPr>
              <w:t xml:space="preserve">Tlf. </w:t>
            </w:r>
          </w:p>
        </w:tc>
        <w:tc>
          <w:tcPr>
            <w:tcW w:w="3896" w:type="pct"/>
            <w:tcBorders>
              <w:left w:val="nil"/>
            </w:tcBorders>
          </w:tcPr>
          <w:p w:rsidRPr="001D1C39" w:rsidR="00B612CA" w:rsidP="006A5684" w:rsidRDefault="00B612CA" w14:paraId="2A298CC6" w14:textId="77777777">
            <w:pPr>
              <w:ind w:firstLine="177"/>
              <w:jc w:val="left"/>
              <w:rPr>
                <w:rFonts w:eastAsiaTheme="minorHAnsi"/>
                <w:i/>
                <w:sz w:val="22"/>
                <w:szCs w:val="22"/>
              </w:rPr>
            </w:pPr>
            <w:r w:rsidRPr="001D1C39">
              <w:rPr>
                <w:i/>
                <w:sz w:val="22"/>
                <w:szCs w:val="22"/>
              </w:rPr>
              <w:t>00 32 2 546 91 70</w:t>
            </w:r>
          </w:p>
        </w:tc>
      </w:tr>
      <w:tr w:rsidRPr="001D1C39" w:rsidR="00B612CA" w:rsidTr="001D1C39" w14:paraId="279B24AC" w14:textId="77777777">
        <w:tc>
          <w:tcPr>
            <w:tcW w:w="1104" w:type="pct"/>
          </w:tcPr>
          <w:p w:rsidRPr="001D1C39" w:rsidR="00B612CA" w:rsidP="006A5684" w:rsidRDefault="007724A0" w14:paraId="005C0206" w14:textId="59684306">
            <w:pPr>
              <w:jc w:val="left"/>
              <w:rPr>
                <w:rFonts w:eastAsiaTheme="minorHAnsi"/>
                <w:i/>
                <w:iCs/>
                <w:sz w:val="22"/>
                <w:szCs w:val="22"/>
              </w:rPr>
            </w:pPr>
            <w:r w:rsidRPr="001D1C39">
              <w:rPr>
                <w:i/>
                <w:sz w:val="22"/>
                <w:szCs w:val="22"/>
              </w:rPr>
              <w:t>E-mail</w:t>
            </w:r>
          </w:p>
        </w:tc>
        <w:tc>
          <w:tcPr>
            <w:tcW w:w="3896" w:type="pct"/>
            <w:tcBorders>
              <w:left w:val="nil"/>
            </w:tcBorders>
          </w:tcPr>
          <w:p w:rsidRPr="001D1C39" w:rsidR="00B612CA" w:rsidP="006A5684" w:rsidRDefault="003D1988" w14:paraId="64C65441" w14:textId="2972B3EB">
            <w:pPr>
              <w:ind w:firstLine="177"/>
              <w:jc w:val="left"/>
              <w:rPr>
                <w:rFonts w:eastAsiaTheme="minorHAnsi"/>
                <w:i/>
                <w:iCs/>
                <w:sz w:val="22"/>
                <w:szCs w:val="22"/>
              </w:rPr>
            </w:pPr>
            <w:hyperlink w:history="1" r:id="rId37">
              <w:proofErr w:type="spellStart"/>
              <w:r w:rsidRPr="001D1C39" w:rsidR="005C28F2">
                <w:rPr>
                  <w:rStyle w:val="Hyperlink"/>
                  <w:sz w:val="22"/>
                  <w:szCs w:val="22"/>
                </w:rPr>
                <w:t>Ioannis.Diamantopoulos@eesc.europa.eu</w:t>
              </w:r>
              <w:proofErr w:type="spellEnd"/>
            </w:hyperlink>
          </w:p>
        </w:tc>
      </w:tr>
    </w:tbl>
    <w:p w:rsidRPr="001D1C39" w:rsidR="00B612CA" w:rsidP="006A5684" w:rsidRDefault="00B612CA" w14:paraId="1175548C" w14:textId="715AB7C7">
      <w:pPr>
        <w:overflowPunct w:val="0"/>
        <w:autoSpaceDE w:val="0"/>
        <w:autoSpaceDN w:val="0"/>
        <w:adjustRightInd w:val="0"/>
        <w:jc w:val="left"/>
        <w:textAlignment w:val="baseline"/>
        <w:rPr>
          <w:lang w:val="nl-BE"/>
        </w:rPr>
      </w:pPr>
    </w:p>
    <w:p w:rsidR="00B612CA" w:rsidP="006A5684" w:rsidRDefault="00B612CA" w14:paraId="4049531D" w14:textId="77777777">
      <w:pPr>
        <w:jc w:val="left"/>
      </w:pPr>
      <w:r w:rsidRPr="001D1C39">
        <w:br w:type="page"/>
      </w:r>
    </w:p>
    <w:p w:rsidRPr="00B612CA" w:rsidR="00B612CA" w:rsidP="006A5684" w:rsidRDefault="003D1988" w14:paraId="2A9B1900" w14:textId="09925451">
      <w:pPr>
        <w:widowControl w:val="0"/>
        <w:numPr>
          <w:ilvl w:val="0"/>
          <w:numId w:val="4"/>
        </w:numPr>
        <w:tabs>
          <w:tab w:val="center" w:pos="567"/>
        </w:tabs>
        <w:overflowPunct w:val="0"/>
        <w:autoSpaceDE w:val="0"/>
        <w:autoSpaceDN w:val="0"/>
        <w:adjustRightInd w:val="0"/>
        <w:ind w:left="567" w:hanging="567"/>
        <w:jc w:val="left"/>
        <w:textAlignment w:val="baseline"/>
        <w:rPr>
          <w:rFonts w:eastAsiaTheme="minorHAnsi"/>
          <w:b/>
          <w:sz w:val="28"/>
          <w:szCs w:val="28"/>
        </w:rPr>
      </w:pPr>
      <w:hyperlink w:history="1" r:id="rId38">
        <w:r w:rsidR="00D97A3B">
          <w:rPr>
            <w:b/>
            <w:color w:val="0000FF"/>
            <w:sz w:val="28"/>
            <w:u w:val="single"/>
          </w:rPr>
          <w:t>Droneindustrien: et casestudie om strategisk autonomi</w:t>
        </w:r>
      </w:hyperlink>
    </w:p>
    <w:p w:rsidRPr="00B612CA" w:rsidR="00DD6D07" w:rsidP="006A5684" w:rsidRDefault="00DD6D07" w14:paraId="4DADB4F0" w14:textId="77777777">
      <w:pPr>
        <w:widowControl w:val="0"/>
        <w:overflowPunct w:val="0"/>
        <w:autoSpaceDE w:val="0"/>
        <w:autoSpaceDN w:val="0"/>
        <w:adjustRightInd w:val="0"/>
        <w:textAlignment w:val="baseline"/>
        <w:rPr>
          <w:rFonts w:eastAsiaTheme="minorHAnsi"/>
          <w:b/>
          <w:sz w:val="16"/>
          <w:szCs w:val="16"/>
          <w:lang w:val="en-US"/>
        </w:rPr>
      </w:pPr>
    </w:p>
    <w:tbl>
      <w:tblPr>
        <w:tblStyle w:val="TableGrid221"/>
        <w:tblW w:w="46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471"/>
      </w:tblGrid>
      <w:tr w:rsidRPr="001D1C39" w:rsidR="00B612CA" w:rsidTr="001D1C39" w14:paraId="3BDDEC70" w14:textId="77777777">
        <w:tc>
          <w:tcPr>
            <w:tcW w:w="1181" w:type="pct"/>
          </w:tcPr>
          <w:p w:rsidRPr="001D1C39" w:rsidR="00B612CA" w:rsidP="006A5684" w:rsidRDefault="00B612CA" w14:paraId="72524AE6" w14:textId="77777777">
            <w:pPr>
              <w:tabs>
                <w:tab w:val="center" w:pos="284"/>
              </w:tabs>
              <w:ind w:left="266" w:hanging="266"/>
              <w:jc w:val="left"/>
              <w:rPr>
                <w:rFonts w:eastAsiaTheme="minorHAnsi"/>
                <w:b/>
                <w:sz w:val="22"/>
                <w:szCs w:val="22"/>
              </w:rPr>
            </w:pPr>
            <w:r w:rsidRPr="001D1C39">
              <w:rPr>
                <w:b/>
                <w:sz w:val="22"/>
                <w:szCs w:val="22"/>
              </w:rPr>
              <w:t>Ordfører</w:t>
            </w:r>
          </w:p>
        </w:tc>
        <w:tc>
          <w:tcPr>
            <w:tcW w:w="3819" w:type="pct"/>
          </w:tcPr>
          <w:p w:rsidRPr="001D1C39" w:rsidR="00B612CA" w:rsidP="006A5684" w:rsidRDefault="00B612CA" w14:paraId="5A103C16" w14:textId="77777777">
            <w:pPr>
              <w:tabs>
                <w:tab w:val="center" w:pos="0"/>
              </w:tabs>
              <w:ind w:left="27" w:hanging="27"/>
              <w:jc w:val="left"/>
              <w:rPr>
                <w:rFonts w:eastAsiaTheme="minorHAnsi"/>
                <w:sz w:val="22"/>
                <w:szCs w:val="22"/>
              </w:rPr>
            </w:pPr>
            <w:r w:rsidRPr="001D1C39">
              <w:rPr>
                <w:sz w:val="22"/>
                <w:szCs w:val="22"/>
              </w:rPr>
              <w:t xml:space="preserve">Panagiotis </w:t>
            </w:r>
            <w:proofErr w:type="spellStart"/>
            <w:r w:rsidRPr="001D1C39">
              <w:rPr>
                <w:sz w:val="22"/>
                <w:szCs w:val="22"/>
              </w:rPr>
              <w:t>Gkofas</w:t>
            </w:r>
            <w:proofErr w:type="spellEnd"/>
            <w:r w:rsidRPr="001D1C39">
              <w:rPr>
                <w:sz w:val="22"/>
                <w:szCs w:val="22"/>
              </w:rPr>
              <w:t xml:space="preserve"> (Gruppen af civilsamfundsorganisationer – EL)</w:t>
            </w:r>
          </w:p>
        </w:tc>
      </w:tr>
      <w:tr w:rsidRPr="001D1C39" w:rsidR="00B612CA" w:rsidTr="001D1C39" w14:paraId="4789CE29" w14:textId="77777777">
        <w:tc>
          <w:tcPr>
            <w:tcW w:w="1181" w:type="pct"/>
          </w:tcPr>
          <w:p w:rsidRPr="001D1C39" w:rsidR="00B612CA" w:rsidP="006A5684" w:rsidRDefault="00B612CA" w14:paraId="4BC4535D" w14:textId="77777777">
            <w:pPr>
              <w:tabs>
                <w:tab w:val="center" w:pos="284"/>
              </w:tabs>
              <w:ind w:left="266" w:hanging="266"/>
              <w:jc w:val="left"/>
              <w:rPr>
                <w:rFonts w:eastAsiaTheme="minorHAnsi"/>
                <w:b/>
                <w:sz w:val="22"/>
                <w:szCs w:val="22"/>
              </w:rPr>
            </w:pPr>
            <w:r w:rsidRPr="001D1C39">
              <w:rPr>
                <w:b/>
                <w:sz w:val="22"/>
                <w:szCs w:val="22"/>
              </w:rPr>
              <w:t>Medordfører</w:t>
            </w:r>
          </w:p>
        </w:tc>
        <w:tc>
          <w:tcPr>
            <w:tcW w:w="3819" w:type="pct"/>
          </w:tcPr>
          <w:p w:rsidRPr="001D1C39" w:rsidR="00B612CA" w:rsidP="006A5684" w:rsidRDefault="00B612CA" w14:paraId="45BEE5FC" w14:textId="77777777">
            <w:pPr>
              <w:tabs>
                <w:tab w:val="center" w:pos="284"/>
              </w:tabs>
              <w:ind w:left="266" w:hanging="266"/>
              <w:jc w:val="left"/>
              <w:rPr>
                <w:rFonts w:eastAsiaTheme="minorHAnsi"/>
                <w:sz w:val="22"/>
                <w:szCs w:val="22"/>
              </w:rPr>
            </w:pPr>
            <w:r w:rsidRPr="001D1C39">
              <w:rPr>
                <w:sz w:val="22"/>
                <w:szCs w:val="22"/>
              </w:rPr>
              <w:t xml:space="preserve">Patrice François </w:t>
            </w:r>
            <w:proofErr w:type="spellStart"/>
            <w:r w:rsidRPr="001D1C39">
              <w:rPr>
                <w:sz w:val="22"/>
                <w:szCs w:val="22"/>
              </w:rPr>
              <w:t>Chazerand</w:t>
            </w:r>
            <w:proofErr w:type="spellEnd"/>
            <w:r w:rsidRPr="001D1C39">
              <w:rPr>
                <w:sz w:val="22"/>
                <w:szCs w:val="22"/>
              </w:rPr>
              <w:t xml:space="preserve"> (Kat. 1 – FR)</w:t>
            </w:r>
          </w:p>
        </w:tc>
      </w:tr>
      <w:tr w:rsidRPr="001D1C39" w:rsidR="00B612CA" w:rsidTr="001D1C39" w14:paraId="5E7071EE" w14:textId="77777777">
        <w:tc>
          <w:tcPr>
            <w:tcW w:w="5000" w:type="pct"/>
            <w:gridSpan w:val="2"/>
          </w:tcPr>
          <w:p w:rsidRPr="001D1C39" w:rsidR="00B612CA" w:rsidP="006A5684" w:rsidRDefault="00B612CA" w14:paraId="0CB6DE07" w14:textId="77777777">
            <w:pPr>
              <w:tabs>
                <w:tab w:val="center" w:pos="284"/>
              </w:tabs>
              <w:ind w:left="266" w:hanging="266"/>
              <w:jc w:val="left"/>
              <w:rPr>
                <w:rFonts w:eastAsiaTheme="minorHAnsi"/>
                <w:sz w:val="22"/>
                <w:szCs w:val="22"/>
              </w:rPr>
            </w:pPr>
          </w:p>
        </w:tc>
      </w:tr>
      <w:tr w:rsidRPr="001D1C39" w:rsidR="00B612CA" w:rsidTr="001D1C39" w14:paraId="5C97F1F0" w14:textId="77777777">
        <w:tc>
          <w:tcPr>
            <w:tcW w:w="1181" w:type="pct"/>
            <w:vMerge w:val="restart"/>
          </w:tcPr>
          <w:p w:rsidRPr="001D1C39" w:rsidR="00B612CA" w:rsidP="006A5684" w:rsidRDefault="00B612CA" w14:paraId="1ACFAAEE" w14:textId="77777777">
            <w:pPr>
              <w:tabs>
                <w:tab w:val="center" w:pos="284"/>
              </w:tabs>
              <w:ind w:left="266" w:hanging="266"/>
              <w:jc w:val="left"/>
              <w:rPr>
                <w:rFonts w:eastAsiaTheme="minorHAnsi"/>
                <w:b/>
                <w:sz w:val="22"/>
                <w:szCs w:val="22"/>
              </w:rPr>
            </w:pPr>
            <w:r w:rsidRPr="001D1C39">
              <w:rPr>
                <w:b/>
                <w:sz w:val="22"/>
                <w:szCs w:val="22"/>
              </w:rPr>
              <w:t>Ref.</w:t>
            </w:r>
          </w:p>
        </w:tc>
        <w:tc>
          <w:tcPr>
            <w:tcW w:w="3819" w:type="pct"/>
          </w:tcPr>
          <w:p w:rsidRPr="001D1C39" w:rsidR="008E5F1F" w:rsidP="006A5684" w:rsidRDefault="008E5F1F" w14:paraId="4FD72709" w14:textId="77777777">
            <w:pPr>
              <w:tabs>
                <w:tab w:val="center" w:pos="284"/>
              </w:tabs>
              <w:ind w:left="266" w:hanging="266"/>
              <w:jc w:val="left"/>
              <w:rPr>
                <w:rFonts w:eastAsiaTheme="minorHAnsi"/>
                <w:sz w:val="22"/>
                <w:szCs w:val="22"/>
              </w:rPr>
            </w:pPr>
            <w:r w:rsidRPr="001D1C39">
              <w:rPr>
                <w:sz w:val="22"/>
                <w:szCs w:val="22"/>
              </w:rPr>
              <w:t>Initiativudtalelse</w:t>
            </w:r>
          </w:p>
          <w:p w:rsidRPr="001D1C39" w:rsidR="00B612CA" w:rsidP="006A5684" w:rsidRDefault="00B612CA" w14:paraId="2BDD1C6B" w14:textId="29BCECDA">
            <w:pPr>
              <w:tabs>
                <w:tab w:val="center" w:pos="284"/>
              </w:tabs>
              <w:ind w:left="266" w:hanging="266"/>
              <w:jc w:val="left"/>
              <w:rPr>
                <w:rFonts w:eastAsiaTheme="minorHAnsi"/>
                <w:sz w:val="22"/>
                <w:szCs w:val="22"/>
              </w:rPr>
            </w:pPr>
            <w:r w:rsidRPr="001D1C39">
              <w:rPr>
                <w:sz w:val="22"/>
                <w:szCs w:val="22"/>
              </w:rPr>
              <w:t>EESC-2024-00046-00-00-AC</w:t>
            </w:r>
          </w:p>
        </w:tc>
      </w:tr>
      <w:tr w:rsidRPr="001D1C39" w:rsidR="00B612CA" w:rsidTr="001D1C39" w14:paraId="262D674B" w14:textId="77777777">
        <w:tc>
          <w:tcPr>
            <w:tcW w:w="1181" w:type="pct"/>
            <w:vMerge/>
          </w:tcPr>
          <w:p w:rsidRPr="001D1C39" w:rsidR="00B612CA" w:rsidP="006A5684" w:rsidRDefault="00B612CA" w14:paraId="4C295F73" w14:textId="77777777">
            <w:pPr>
              <w:tabs>
                <w:tab w:val="center" w:pos="284"/>
              </w:tabs>
              <w:ind w:left="266" w:hanging="266"/>
              <w:jc w:val="left"/>
              <w:rPr>
                <w:rFonts w:asciiTheme="minorHAnsi" w:hAnsiTheme="minorHAnsi" w:eastAsiaTheme="minorHAnsi" w:cstheme="minorBidi"/>
                <w:b/>
                <w:sz w:val="22"/>
                <w:szCs w:val="22"/>
              </w:rPr>
            </w:pPr>
          </w:p>
        </w:tc>
        <w:tc>
          <w:tcPr>
            <w:tcW w:w="3819" w:type="pct"/>
          </w:tcPr>
          <w:p w:rsidRPr="001D1C39" w:rsidR="00B612CA" w:rsidP="006A5684" w:rsidRDefault="00B612CA" w14:paraId="6A3FA1C1" w14:textId="77777777">
            <w:pPr>
              <w:tabs>
                <w:tab w:val="center" w:pos="284"/>
              </w:tabs>
              <w:ind w:left="266" w:hanging="266"/>
              <w:jc w:val="left"/>
              <w:rPr>
                <w:rFonts w:asciiTheme="minorHAnsi" w:hAnsiTheme="minorHAnsi" w:eastAsiaTheme="minorHAnsi" w:cstheme="minorBidi"/>
                <w:sz w:val="22"/>
                <w:szCs w:val="22"/>
              </w:rPr>
            </w:pPr>
          </w:p>
        </w:tc>
      </w:tr>
    </w:tbl>
    <w:p w:rsidR="00B612CA" w:rsidP="006A5684" w:rsidRDefault="00B612CA" w14:paraId="5D3EDF6C" w14:textId="0085EEAF">
      <w:pPr>
        <w:keepNext/>
        <w:keepLines/>
        <w:ind w:left="142" w:hanging="142"/>
        <w:jc w:val="left"/>
        <w:rPr>
          <w:b/>
        </w:rPr>
      </w:pPr>
      <w:r w:rsidRPr="001D1C39">
        <w:rPr>
          <w:b/>
        </w:rPr>
        <w:t>Hovedpunkter</w:t>
      </w:r>
    </w:p>
    <w:p w:rsidRPr="001D1C39" w:rsidR="001D1C39" w:rsidP="006A5684" w:rsidRDefault="001D1C39" w14:paraId="2D22545E" w14:textId="77777777">
      <w:pPr>
        <w:keepNext/>
        <w:keepLines/>
        <w:ind w:left="142" w:hanging="142"/>
        <w:jc w:val="left"/>
        <w:rPr>
          <w:rFonts w:eastAsiaTheme="minorHAnsi"/>
          <w:b/>
        </w:rPr>
      </w:pPr>
    </w:p>
    <w:p w:rsidRPr="001D1C39" w:rsidR="00B612CA" w:rsidP="006A5684" w:rsidRDefault="00B612CA" w14:paraId="500E1CB5" w14:textId="1961B0BC">
      <w:pPr>
        <w:ind w:left="142" w:hanging="142"/>
        <w:jc w:val="left"/>
        <w:rPr>
          <w:rFonts w:eastAsiaTheme="minorHAnsi"/>
        </w:rPr>
      </w:pPr>
      <w:r w:rsidRPr="001D1C39">
        <w:t>EØSU:</w:t>
      </w:r>
    </w:p>
    <w:p w:rsidRPr="001D1C39" w:rsidR="00B612CA" w:rsidP="006A5684" w:rsidRDefault="00B612CA" w14:paraId="487029DD" w14:textId="3EF6556A">
      <w:pPr>
        <w:numPr>
          <w:ilvl w:val="0"/>
          <w:numId w:val="25"/>
        </w:numPr>
        <w:ind w:left="284" w:hanging="284"/>
        <w:rPr>
          <w:rFonts w:eastAsiaTheme="minorHAnsi"/>
        </w:rPr>
      </w:pPr>
      <w:r w:rsidRPr="001D1C39">
        <w:t xml:space="preserve">mener, at forbindelsen mellem </w:t>
      </w:r>
      <w:r w:rsidRPr="001D1C39">
        <w:rPr>
          <w:b/>
        </w:rPr>
        <w:t>den europæiske dronestrategi</w:t>
      </w:r>
      <w:r w:rsidRPr="001D1C39">
        <w:t xml:space="preserve"> og </w:t>
      </w:r>
      <w:r w:rsidRPr="001D1C39">
        <w:rPr>
          <w:b/>
        </w:rPr>
        <w:t>strategien for den europæiske forsvarsindustri</w:t>
      </w:r>
      <w:r w:rsidRPr="001D1C39">
        <w:t xml:space="preserve"> og integrationen af </w:t>
      </w:r>
      <w:r w:rsidRPr="001D1C39">
        <w:rPr>
          <w:b/>
        </w:rPr>
        <w:t xml:space="preserve">den europæiske forsvarsteknologiske og </w:t>
      </w:r>
      <w:r w:rsidR="006A5684">
        <w:rPr>
          <w:b/>
        </w:rPr>
        <w:noBreakHyphen/>
      </w:r>
      <w:r w:rsidRPr="001D1C39">
        <w:rPr>
          <w:b/>
        </w:rPr>
        <w:t>industrielle base (EDTIB)</w:t>
      </w:r>
      <w:r w:rsidRPr="001D1C39">
        <w:t xml:space="preserve"> for at støtte </w:t>
      </w:r>
      <w:r w:rsidRPr="001D1C39">
        <w:rPr>
          <w:b/>
        </w:rPr>
        <w:t>indenlandsk produktion af droner af høj kvalitet/med høj kapacitet</w:t>
      </w:r>
      <w:r w:rsidRPr="001D1C39">
        <w:t xml:space="preserve"> gennem </w:t>
      </w:r>
      <w:r w:rsidRPr="001D1C39">
        <w:rPr>
          <w:b/>
        </w:rPr>
        <w:t>en stabil strøm af offentlige indkøb</w:t>
      </w:r>
      <w:r w:rsidRPr="001D1C39">
        <w:t xml:space="preserve"> er afgørende for Europas kritiske uafhængighed</w:t>
      </w:r>
    </w:p>
    <w:p w:rsidRPr="001D1C39" w:rsidR="00B612CA" w:rsidP="006A5684" w:rsidRDefault="00B612CA" w14:paraId="1202E286" w14:textId="77777777">
      <w:pPr>
        <w:numPr>
          <w:ilvl w:val="0"/>
          <w:numId w:val="25"/>
        </w:numPr>
        <w:ind w:left="284" w:hanging="284"/>
        <w:rPr>
          <w:rFonts w:eastAsiaTheme="minorHAnsi"/>
        </w:rPr>
      </w:pPr>
      <w:r w:rsidRPr="001D1C39">
        <w:t xml:space="preserve">går fortsat ind for </w:t>
      </w:r>
      <w:r w:rsidRPr="001D1C39">
        <w:rPr>
          <w:b/>
        </w:rPr>
        <w:t>forbedret samarbejde og innovation</w:t>
      </w:r>
      <w:r w:rsidRPr="001D1C39">
        <w:t xml:space="preserve"> og mobilisering af lovgivning såsom forordningen om kunstig intelligens og mikrochipforordningen for at </w:t>
      </w:r>
      <w:r w:rsidRPr="001D1C39">
        <w:rPr>
          <w:b/>
        </w:rPr>
        <w:t>øge den strategiske autonomi</w:t>
      </w:r>
      <w:r w:rsidRPr="001D1C39">
        <w:t xml:space="preserve"> og styrke den nationale sikkerhed og den økonomiske vækst</w:t>
      </w:r>
    </w:p>
    <w:p w:rsidRPr="001D1C39" w:rsidR="00B612CA" w:rsidP="006A5684" w:rsidRDefault="00B612CA" w14:paraId="13B8DCFD" w14:textId="77777777">
      <w:pPr>
        <w:numPr>
          <w:ilvl w:val="0"/>
          <w:numId w:val="25"/>
        </w:numPr>
        <w:ind w:left="284" w:hanging="284"/>
        <w:rPr>
          <w:rFonts w:eastAsiaTheme="minorHAnsi"/>
        </w:rPr>
      </w:pPr>
      <w:r w:rsidRPr="001D1C39">
        <w:t xml:space="preserve">understreger, at behovet for </w:t>
      </w:r>
      <w:r w:rsidRPr="001D1C39">
        <w:rPr>
          <w:b/>
        </w:rPr>
        <w:t xml:space="preserve">sammenhæng mellem militær og civil </w:t>
      </w:r>
      <w:proofErr w:type="spellStart"/>
      <w:r w:rsidRPr="001D1C39">
        <w:rPr>
          <w:b/>
        </w:rPr>
        <w:t>FoU</w:t>
      </w:r>
      <w:proofErr w:type="spellEnd"/>
      <w:r w:rsidRPr="001D1C39">
        <w:t xml:space="preserve"> kun vil blive større, da droner vil anvende mere automatisering, maskinlæring og kunstig intelligens (AI)</w:t>
      </w:r>
    </w:p>
    <w:p w:rsidRPr="001D1C39" w:rsidR="00B612CA" w:rsidP="006A5684" w:rsidRDefault="00B612CA" w14:paraId="36029321" w14:textId="77777777">
      <w:pPr>
        <w:numPr>
          <w:ilvl w:val="0"/>
          <w:numId w:val="25"/>
        </w:numPr>
        <w:ind w:left="284" w:hanging="284"/>
        <w:rPr>
          <w:rFonts w:eastAsiaTheme="minorHAnsi"/>
        </w:rPr>
      </w:pPr>
      <w:r w:rsidRPr="001D1C39">
        <w:t xml:space="preserve">mener, at en </w:t>
      </w:r>
      <w:r w:rsidRPr="001D1C39">
        <w:rPr>
          <w:b/>
        </w:rPr>
        <w:t>strategisk droneteknologikøreplan for Europa</w:t>
      </w:r>
      <w:r w:rsidRPr="001D1C39">
        <w:t xml:space="preserve"> er afgørende for kritiske droneteknologier og dronesystemer med dobbelt anvendelse, og kan sandsynligvis sikre en struktureret tilgang til fremme af droneteknologi</w:t>
      </w:r>
    </w:p>
    <w:p w:rsidRPr="001D1C39" w:rsidR="00B612CA" w:rsidP="006A5684" w:rsidRDefault="00B612CA" w14:paraId="1BD31BD4" w14:textId="77777777">
      <w:pPr>
        <w:numPr>
          <w:ilvl w:val="0"/>
          <w:numId w:val="25"/>
        </w:numPr>
        <w:ind w:left="284" w:hanging="284"/>
        <w:rPr>
          <w:rFonts w:eastAsiaTheme="minorHAnsi"/>
        </w:rPr>
      </w:pPr>
      <w:r w:rsidRPr="001D1C39">
        <w:t xml:space="preserve">understreger, at det bør overvejes nøje at yde </w:t>
      </w:r>
      <w:r w:rsidRPr="001D1C39">
        <w:rPr>
          <w:b/>
        </w:rPr>
        <w:t>finansiel støtte til potentielle investeringer i droneproduktion og i integrationen af forsynings- og værdikæderne</w:t>
      </w:r>
    </w:p>
    <w:p w:rsidRPr="001D1C39" w:rsidR="00B612CA" w:rsidP="006A5684" w:rsidRDefault="00B612CA" w14:paraId="0CDF4865" w14:textId="77777777">
      <w:pPr>
        <w:numPr>
          <w:ilvl w:val="0"/>
          <w:numId w:val="25"/>
        </w:numPr>
        <w:ind w:left="284" w:hanging="284"/>
        <w:rPr>
          <w:rFonts w:eastAsiaTheme="minorHAnsi"/>
        </w:rPr>
      </w:pPr>
      <w:r w:rsidRPr="001D1C39">
        <w:t>understreger, at EU bør engagere sig mere aktivt på globalt plan, navnlig med hensyn til certificeringsprocedurer</w:t>
      </w:r>
    </w:p>
    <w:p w:rsidRPr="001D1C39" w:rsidR="00B612CA" w:rsidP="006A5684" w:rsidRDefault="00B612CA" w14:paraId="6CE8FCE4" w14:textId="77777777">
      <w:pPr>
        <w:numPr>
          <w:ilvl w:val="0"/>
          <w:numId w:val="25"/>
        </w:numPr>
        <w:ind w:left="284" w:hanging="284"/>
        <w:rPr>
          <w:rFonts w:eastAsiaTheme="minorHAnsi"/>
        </w:rPr>
      </w:pPr>
      <w:r w:rsidRPr="001D1C39">
        <w:t xml:space="preserve">bemærker, at </w:t>
      </w:r>
      <w:r w:rsidRPr="001D1C39">
        <w:rPr>
          <w:b/>
        </w:rPr>
        <w:t>samfundets accept</w:t>
      </w:r>
      <w:r w:rsidRPr="001D1C39">
        <w:t xml:space="preserve"> af innovative luftmobilitetsoperationer er af afgørende betydning: EU-støtte kan styrke det overordnede luftfartsøkosystem og bidrage til dets vækst og bæredygtighed</w:t>
      </w:r>
    </w:p>
    <w:p w:rsidRPr="001D1C39" w:rsidR="00B612CA" w:rsidP="006A5684" w:rsidRDefault="00B612CA" w14:paraId="413AAB7E" w14:textId="77777777">
      <w:pPr>
        <w:numPr>
          <w:ilvl w:val="0"/>
          <w:numId w:val="25"/>
        </w:numPr>
        <w:ind w:left="284" w:hanging="284"/>
        <w:rPr>
          <w:rFonts w:eastAsiaTheme="minorHAnsi"/>
        </w:rPr>
      </w:pPr>
      <w:r w:rsidRPr="001D1C39">
        <w:t xml:space="preserve">understreger, at EU også bør være parat til at udarbejde en konsolideret </w:t>
      </w:r>
      <w:r w:rsidRPr="001D1C39">
        <w:rPr>
          <w:b/>
        </w:rPr>
        <w:t>strategi for udvikling af en fælles overordnet ramme for dronebekæmpelse</w:t>
      </w:r>
      <w:r w:rsidRPr="001D1C39">
        <w:t xml:space="preserve"> for at imødegå de mange risici forbundet med hybride trusler, terrorhandlinger, aggressioner fra andre stater og sågar misbrug på civilt plan.</w:t>
      </w:r>
    </w:p>
    <w:p w:rsidRPr="001D1C39" w:rsidR="00B612CA" w:rsidP="006A5684" w:rsidRDefault="00B612CA" w14:paraId="46AE56DD" w14:textId="77777777">
      <w:pPr>
        <w:ind w:left="714"/>
        <w:rPr>
          <w:rFonts w:eastAsiaTheme="minorHAnsi"/>
        </w:rPr>
      </w:pPr>
    </w:p>
    <w:tbl>
      <w:tblPr>
        <w:tblStyle w:val="TableGrid22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60"/>
        <w:gridCol w:w="3871"/>
      </w:tblGrid>
      <w:tr w:rsidRPr="001D1C39" w:rsidR="00B612CA" w:rsidTr="00FE3058" w14:paraId="4B20577C" w14:textId="77777777">
        <w:tc>
          <w:tcPr>
            <w:tcW w:w="2089" w:type="pct"/>
          </w:tcPr>
          <w:p w:rsidRPr="001D1C39" w:rsidR="00B612CA" w:rsidP="006A5684" w:rsidRDefault="00B612CA" w14:paraId="2947396D" w14:textId="77777777">
            <w:pPr>
              <w:jc w:val="left"/>
              <w:rPr>
                <w:rFonts w:eastAsiaTheme="minorHAnsi"/>
                <w:i/>
                <w:sz w:val="22"/>
                <w:szCs w:val="22"/>
              </w:rPr>
            </w:pPr>
            <w:r w:rsidRPr="001D1C39">
              <w:rPr>
                <w:b/>
                <w:i/>
                <w:sz w:val="22"/>
                <w:szCs w:val="22"/>
              </w:rPr>
              <w:t>Kontakt</w:t>
            </w:r>
          </w:p>
        </w:tc>
        <w:tc>
          <w:tcPr>
            <w:tcW w:w="2911" w:type="pct"/>
            <w:tcBorders>
              <w:left w:val="nil"/>
            </w:tcBorders>
          </w:tcPr>
          <w:p w:rsidRPr="001D1C39" w:rsidR="00B612CA" w:rsidP="006A5684" w:rsidRDefault="00B612CA" w14:paraId="2C72CC9C" w14:textId="59DEF34B">
            <w:pPr>
              <w:jc w:val="left"/>
              <w:rPr>
                <w:rFonts w:eastAsiaTheme="minorHAnsi"/>
                <w:i/>
                <w:sz w:val="22"/>
                <w:szCs w:val="22"/>
              </w:rPr>
            </w:pPr>
            <w:r w:rsidRPr="001D1C39">
              <w:rPr>
                <w:i/>
                <w:sz w:val="22"/>
                <w:szCs w:val="22"/>
              </w:rPr>
              <w:t xml:space="preserve">Ioannis </w:t>
            </w:r>
            <w:proofErr w:type="spellStart"/>
            <w:r w:rsidRPr="001D1C39">
              <w:rPr>
                <w:i/>
                <w:sz w:val="22"/>
                <w:szCs w:val="22"/>
              </w:rPr>
              <w:t>Diamantopoulos</w:t>
            </w:r>
            <w:proofErr w:type="spellEnd"/>
          </w:p>
        </w:tc>
      </w:tr>
      <w:tr w:rsidRPr="001D1C39" w:rsidR="00B612CA" w:rsidTr="00FE3058" w14:paraId="2E3E56CC" w14:textId="77777777">
        <w:tc>
          <w:tcPr>
            <w:tcW w:w="2089" w:type="pct"/>
          </w:tcPr>
          <w:p w:rsidRPr="001D1C39" w:rsidR="00B612CA" w:rsidP="006A5684" w:rsidRDefault="00B612CA" w14:paraId="32C90F95" w14:textId="77777777">
            <w:pPr>
              <w:jc w:val="left"/>
              <w:rPr>
                <w:rFonts w:eastAsiaTheme="minorHAnsi"/>
                <w:i/>
                <w:sz w:val="22"/>
                <w:szCs w:val="22"/>
              </w:rPr>
            </w:pPr>
            <w:r w:rsidRPr="001D1C39">
              <w:rPr>
                <w:i/>
                <w:sz w:val="22"/>
                <w:szCs w:val="22"/>
              </w:rPr>
              <w:t xml:space="preserve">Tlf. </w:t>
            </w:r>
          </w:p>
        </w:tc>
        <w:tc>
          <w:tcPr>
            <w:tcW w:w="2911" w:type="pct"/>
            <w:tcBorders>
              <w:left w:val="nil"/>
            </w:tcBorders>
          </w:tcPr>
          <w:p w:rsidRPr="001D1C39" w:rsidR="00B612CA" w:rsidP="006A5684" w:rsidRDefault="00B612CA" w14:paraId="6667914E" w14:textId="77777777">
            <w:pPr>
              <w:jc w:val="left"/>
              <w:rPr>
                <w:rFonts w:eastAsiaTheme="minorHAnsi"/>
                <w:i/>
                <w:sz w:val="22"/>
                <w:szCs w:val="22"/>
              </w:rPr>
            </w:pPr>
            <w:r w:rsidRPr="001D1C39">
              <w:rPr>
                <w:i/>
                <w:sz w:val="22"/>
                <w:szCs w:val="22"/>
              </w:rPr>
              <w:t>00 32 2 546 91 70</w:t>
            </w:r>
          </w:p>
        </w:tc>
      </w:tr>
      <w:tr w:rsidRPr="001D1C39" w:rsidR="00B612CA" w:rsidTr="00FE3058" w14:paraId="5E62AD0C" w14:textId="77777777">
        <w:tc>
          <w:tcPr>
            <w:tcW w:w="2089" w:type="pct"/>
          </w:tcPr>
          <w:p w:rsidRPr="001D1C39" w:rsidR="00B612CA" w:rsidP="006A5684" w:rsidRDefault="00B612CA" w14:paraId="28949472" w14:textId="77777777">
            <w:pPr>
              <w:jc w:val="left"/>
              <w:rPr>
                <w:rFonts w:eastAsiaTheme="minorHAnsi"/>
                <w:i/>
                <w:iCs/>
                <w:sz w:val="22"/>
                <w:szCs w:val="22"/>
              </w:rPr>
            </w:pPr>
            <w:r w:rsidRPr="001D1C39">
              <w:rPr>
                <w:i/>
                <w:sz w:val="22"/>
                <w:szCs w:val="22"/>
              </w:rPr>
              <w:t>E-mail</w:t>
            </w:r>
          </w:p>
        </w:tc>
        <w:tc>
          <w:tcPr>
            <w:tcW w:w="2911" w:type="pct"/>
            <w:tcBorders>
              <w:left w:val="nil"/>
            </w:tcBorders>
          </w:tcPr>
          <w:p w:rsidRPr="001D1C39" w:rsidR="00B612CA" w:rsidP="006A5684" w:rsidRDefault="003D1988" w14:paraId="670FA610" w14:textId="3DD50747">
            <w:pPr>
              <w:jc w:val="left"/>
              <w:rPr>
                <w:rFonts w:eastAsiaTheme="minorHAnsi"/>
                <w:i/>
                <w:iCs/>
                <w:sz w:val="22"/>
                <w:szCs w:val="22"/>
              </w:rPr>
            </w:pPr>
            <w:hyperlink w:history="1" r:id="rId39">
              <w:proofErr w:type="spellStart"/>
              <w:r w:rsidRPr="001D1C39" w:rsidR="005C28F2">
                <w:rPr>
                  <w:rStyle w:val="Hyperlink"/>
                  <w:sz w:val="22"/>
                  <w:szCs w:val="22"/>
                </w:rPr>
                <w:t>Ioannis.Diamantopoulos@eesc.europa.eu</w:t>
              </w:r>
              <w:proofErr w:type="spellEnd"/>
            </w:hyperlink>
          </w:p>
        </w:tc>
      </w:tr>
    </w:tbl>
    <w:p w:rsidR="00DD6D07" w:rsidP="006A5684" w:rsidRDefault="00DD6D07" w14:paraId="4B14A069" w14:textId="5E80731A">
      <w:pPr>
        <w:overflowPunct w:val="0"/>
        <w:autoSpaceDE w:val="0"/>
        <w:autoSpaceDN w:val="0"/>
        <w:adjustRightInd w:val="0"/>
        <w:jc w:val="left"/>
        <w:textAlignment w:val="baseline"/>
        <w:rPr>
          <w:lang w:val="nl-BE"/>
        </w:rPr>
      </w:pPr>
    </w:p>
    <w:p w:rsidR="00DD6D07" w:rsidP="006A5684" w:rsidRDefault="00DD6D07" w14:paraId="00CC9B58" w14:textId="77777777">
      <w:pPr>
        <w:jc w:val="left"/>
      </w:pPr>
      <w:r>
        <w:br w:type="page"/>
      </w:r>
    </w:p>
    <w:p w:rsidRPr="000120E1" w:rsidR="000120E1" w:rsidP="006A5684" w:rsidRDefault="003D1988" w14:paraId="55A70BD2" w14:textId="705E33C5">
      <w:pPr>
        <w:widowControl w:val="0"/>
        <w:numPr>
          <w:ilvl w:val="0"/>
          <w:numId w:val="4"/>
        </w:numPr>
        <w:tabs>
          <w:tab w:val="center" w:pos="567"/>
        </w:tabs>
        <w:overflowPunct w:val="0"/>
        <w:autoSpaceDE w:val="0"/>
        <w:autoSpaceDN w:val="0"/>
        <w:adjustRightInd w:val="0"/>
        <w:ind w:left="567" w:hanging="567"/>
        <w:contextualSpacing/>
        <w:jc w:val="left"/>
        <w:textAlignment w:val="baseline"/>
        <w:rPr>
          <w:rFonts w:eastAsiaTheme="minorHAnsi"/>
          <w:b/>
          <w:i/>
          <w:iCs/>
          <w:sz w:val="28"/>
          <w:szCs w:val="28"/>
        </w:rPr>
      </w:pPr>
      <w:hyperlink w:history="1" r:id="rId40">
        <w:r w:rsidR="00D97A3B">
          <w:rPr>
            <w:b/>
            <w:i/>
            <w:color w:val="0000FF"/>
            <w:sz w:val="28"/>
            <w:u w:val="single"/>
          </w:rPr>
          <w:t>Meddelelse om industriel CO</w:t>
        </w:r>
        <w:r w:rsidR="00D97A3B">
          <w:rPr>
            <w:b/>
            <w:i/>
            <w:color w:val="0000FF"/>
            <w:sz w:val="28"/>
            <w:u w:val="single"/>
            <w:vertAlign w:val="subscript"/>
          </w:rPr>
          <w:t>2</w:t>
        </w:r>
        <w:r w:rsidR="00D97A3B">
          <w:rPr>
            <w:b/>
            <w:i/>
            <w:color w:val="0000FF"/>
            <w:sz w:val="28"/>
            <w:u w:val="single"/>
          </w:rPr>
          <w:t>-forvaltning</w:t>
        </w:r>
      </w:hyperlink>
    </w:p>
    <w:p w:rsidRPr="000120E1" w:rsidR="000120E1" w:rsidP="006A5684" w:rsidRDefault="000120E1" w14:paraId="047D66DC" w14:textId="726FFD6D">
      <w:pPr>
        <w:widowControl w:val="0"/>
        <w:tabs>
          <w:tab w:val="center" w:pos="284"/>
        </w:tabs>
        <w:overflowPunct w:val="0"/>
        <w:autoSpaceDE w:val="0"/>
        <w:autoSpaceDN w:val="0"/>
        <w:adjustRightInd w:val="0"/>
        <w:textAlignment w:val="baseline"/>
        <w:rPr>
          <w:rFonts w:eastAsiaTheme="minorHAnsi"/>
          <w:b/>
          <w:lang w:val="en-US"/>
        </w:rPr>
      </w:pPr>
    </w:p>
    <w:tbl>
      <w:tblPr>
        <w:tblStyle w:val="TableGrid222"/>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0"/>
        <w:gridCol w:w="6225"/>
      </w:tblGrid>
      <w:tr w:rsidRPr="001D1C39" w:rsidR="000120E1" w:rsidTr="00FE3058" w14:paraId="7AA7740B" w14:textId="77777777">
        <w:tc>
          <w:tcPr>
            <w:tcW w:w="1216" w:type="pct"/>
          </w:tcPr>
          <w:p w:rsidRPr="001D1C39" w:rsidR="000120E1" w:rsidP="006A5684" w:rsidRDefault="000120E1" w14:paraId="59DFCB28" w14:textId="77777777">
            <w:pPr>
              <w:tabs>
                <w:tab w:val="center" w:pos="284"/>
              </w:tabs>
              <w:ind w:left="266" w:hanging="266"/>
              <w:jc w:val="left"/>
              <w:rPr>
                <w:rFonts w:eastAsiaTheme="minorHAnsi"/>
                <w:b/>
                <w:sz w:val="22"/>
                <w:szCs w:val="22"/>
              </w:rPr>
            </w:pPr>
            <w:r w:rsidRPr="001D1C39">
              <w:rPr>
                <w:b/>
                <w:sz w:val="22"/>
                <w:szCs w:val="22"/>
              </w:rPr>
              <w:t>Ordfører</w:t>
            </w:r>
          </w:p>
        </w:tc>
        <w:tc>
          <w:tcPr>
            <w:tcW w:w="3784" w:type="pct"/>
          </w:tcPr>
          <w:p w:rsidRPr="001D1C39" w:rsidR="000120E1" w:rsidP="006A5684" w:rsidRDefault="000120E1" w14:paraId="79819113" w14:textId="77777777">
            <w:pPr>
              <w:tabs>
                <w:tab w:val="center" w:pos="284"/>
              </w:tabs>
              <w:ind w:left="266" w:hanging="266"/>
              <w:jc w:val="left"/>
              <w:rPr>
                <w:rFonts w:eastAsiaTheme="minorHAnsi"/>
                <w:sz w:val="22"/>
                <w:szCs w:val="22"/>
              </w:rPr>
            </w:pPr>
            <w:proofErr w:type="spellStart"/>
            <w:r w:rsidRPr="001D1C39">
              <w:rPr>
                <w:sz w:val="22"/>
                <w:szCs w:val="22"/>
              </w:rPr>
              <w:t>Gonçalo</w:t>
            </w:r>
            <w:proofErr w:type="spellEnd"/>
            <w:r w:rsidRPr="001D1C39">
              <w:rPr>
                <w:sz w:val="22"/>
                <w:szCs w:val="22"/>
              </w:rPr>
              <w:t xml:space="preserve"> </w:t>
            </w:r>
            <w:proofErr w:type="spellStart"/>
            <w:r w:rsidRPr="001D1C39">
              <w:rPr>
                <w:sz w:val="22"/>
                <w:szCs w:val="22"/>
              </w:rPr>
              <w:t>Lobo</w:t>
            </w:r>
            <w:proofErr w:type="spellEnd"/>
            <w:r w:rsidRPr="001D1C39">
              <w:rPr>
                <w:sz w:val="22"/>
                <w:szCs w:val="22"/>
              </w:rPr>
              <w:t xml:space="preserve"> Xavier (Arbejdsgivergruppen – PT)</w:t>
            </w:r>
          </w:p>
        </w:tc>
      </w:tr>
      <w:tr w:rsidRPr="001D1C39" w:rsidR="000120E1" w:rsidTr="00FE3058" w14:paraId="2A3124EA" w14:textId="77777777">
        <w:tc>
          <w:tcPr>
            <w:tcW w:w="1216" w:type="pct"/>
          </w:tcPr>
          <w:p w:rsidRPr="001D1C39" w:rsidR="000120E1" w:rsidP="006A5684" w:rsidRDefault="000120E1" w14:paraId="051BCACD" w14:textId="77777777">
            <w:pPr>
              <w:tabs>
                <w:tab w:val="center" w:pos="284"/>
              </w:tabs>
              <w:ind w:left="266" w:hanging="266"/>
              <w:jc w:val="left"/>
              <w:rPr>
                <w:rFonts w:eastAsiaTheme="minorHAnsi"/>
                <w:b/>
                <w:sz w:val="22"/>
                <w:szCs w:val="22"/>
              </w:rPr>
            </w:pPr>
            <w:r w:rsidRPr="001D1C39">
              <w:rPr>
                <w:b/>
                <w:sz w:val="22"/>
                <w:szCs w:val="22"/>
              </w:rPr>
              <w:t>Medordfører</w:t>
            </w:r>
          </w:p>
        </w:tc>
        <w:tc>
          <w:tcPr>
            <w:tcW w:w="3784" w:type="pct"/>
          </w:tcPr>
          <w:p w:rsidRPr="001D1C39" w:rsidR="000120E1" w:rsidP="006A5684" w:rsidRDefault="000120E1" w14:paraId="163FD73E" w14:textId="77777777">
            <w:pPr>
              <w:tabs>
                <w:tab w:val="center" w:pos="284"/>
              </w:tabs>
              <w:ind w:left="266" w:hanging="266"/>
              <w:jc w:val="left"/>
              <w:rPr>
                <w:rFonts w:eastAsiaTheme="minorHAnsi"/>
                <w:sz w:val="22"/>
                <w:szCs w:val="22"/>
              </w:rPr>
            </w:pPr>
            <w:r w:rsidRPr="001D1C39">
              <w:rPr>
                <w:sz w:val="22"/>
                <w:szCs w:val="22"/>
              </w:rPr>
              <w:t xml:space="preserve">Jean-Michel </w:t>
            </w:r>
            <w:proofErr w:type="spellStart"/>
            <w:r w:rsidRPr="001D1C39">
              <w:rPr>
                <w:sz w:val="22"/>
                <w:szCs w:val="22"/>
              </w:rPr>
              <w:t>Pourteau</w:t>
            </w:r>
            <w:proofErr w:type="spellEnd"/>
            <w:r w:rsidRPr="001D1C39">
              <w:rPr>
                <w:sz w:val="22"/>
                <w:szCs w:val="22"/>
              </w:rPr>
              <w:t xml:space="preserve"> (Kat. 2-FR)</w:t>
            </w:r>
          </w:p>
        </w:tc>
      </w:tr>
      <w:tr w:rsidRPr="001D1C39" w:rsidR="000120E1" w:rsidTr="00FE3058" w14:paraId="5A91F27D" w14:textId="77777777">
        <w:tc>
          <w:tcPr>
            <w:tcW w:w="5000" w:type="pct"/>
            <w:gridSpan w:val="2"/>
          </w:tcPr>
          <w:p w:rsidRPr="001D1C39" w:rsidR="000120E1" w:rsidP="006A5684" w:rsidRDefault="000120E1" w14:paraId="3A61F21C" w14:textId="77777777">
            <w:pPr>
              <w:tabs>
                <w:tab w:val="center" w:pos="284"/>
              </w:tabs>
              <w:ind w:left="266" w:hanging="266"/>
              <w:jc w:val="left"/>
              <w:rPr>
                <w:rFonts w:eastAsiaTheme="minorHAnsi"/>
                <w:sz w:val="22"/>
                <w:szCs w:val="22"/>
              </w:rPr>
            </w:pPr>
          </w:p>
        </w:tc>
      </w:tr>
      <w:tr w:rsidRPr="001D1C39" w:rsidR="000120E1" w:rsidTr="00FE3058" w14:paraId="70AFA820" w14:textId="77777777">
        <w:tc>
          <w:tcPr>
            <w:tcW w:w="1216" w:type="pct"/>
            <w:vMerge w:val="restart"/>
          </w:tcPr>
          <w:p w:rsidRPr="001D1C39" w:rsidR="000120E1" w:rsidP="006A5684" w:rsidRDefault="000120E1" w14:paraId="2C1088D7" w14:textId="77777777">
            <w:pPr>
              <w:tabs>
                <w:tab w:val="center" w:pos="284"/>
              </w:tabs>
              <w:ind w:left="266" w:hanging="266"/>
              <w:jc w:val="left"/>
              <w:rPr>
                <w:rFonts w:eastAsiaTheme="minorHAnsi"/>
                <w:b/>
                <w:sz w:val="22"/>
                <w:szCs w:val="22"/>
              </w:rPr>
            </w:pPr>
            <w:r w:rsidRPr="001D1C39">
              <w:rPr>
                <w:b/>
                <w:sz w:val="22"/>
                <w:szCs w:val="22"/>
              </w:rPr>
              <w:t>Ref.</w:t>
            </w:r>
          </w:p>
        </w:tc>
        <w:tc>
          <w:tcPr>
            <w:tcW w:w="3784" w:type="pct"/>
          </w:tcPr>
          <w:p w:rsidRPr="001D1C39" w:rsidR="000120E1" w:rsidP="006A5684" w:rsidRDefault="000120E1" w14:paraId="115E7B5F" w14:textId="77777777">
            <w:pPr>
              <w:tabs>
                <w:tab w:val="center" w:pos="284"/>
              </w:tabs>
              <w:ind w:left="266" w:hanging="266"/>
              <w:jc w:val="left"/>
              <w:rPr>
                <w:rFonts w:eastAsiaTheme="minorHAnsi"/>
                <w:sz w:val="22"/>
                <w:szCs w:val="22"/>
              </w:rPr>
            </w:pPr>
            <w:r w:rsidRPr="001D1C39">
              <w:rPr>
                <w:sz w:val="22"/>
                <w:szCs w:val="22"/>
              </w:rPr>
              <w:t>COM(2024) 62 final</w:t>
            </w:r>
          </w:p>
        </w:tc>
      </w:tr>
      <w:tr w:rsidRPr="001D1C39" w:rsidR="000120E1" w:rsidTr="00FE3058" w14:paraId="36B63748" w14:textId="77777777">
        <w:tc>
          <w:tcPr>
            <w:tcW w:w="1216" w:type="pct"/>
            <w:vMerge/>
          </w:tcPr>
          <w:p w:rsidRPr="001D1C39" w:rsidR="000120E1" w:rsidP="006A5684" w:rsidRDefault="000120E1" w14:paraId="1DD1D1CF" w14:textId="77777777">
            <w:pPr>
              <w:tabs>
                <w:tab w:val="center" w:pos="284"/>
              </w:tabs>
              <w:ind w:left="266" w:hanging="266"/>
              <w:jc w:val="left"/>
              <w:rPr>
                <w:rFonts w:asciiTheme="minorHAnsi" w:hAnsiTheme="minorHAnsi" w:eastAsiaTheme="minorHAnsi" w:cstheme="minorBidi"/>
                <w:b/>
                <w:sz w:val="22"/>
                <w:szCs w:val="22"/>
              </w:rPr>
            </w:pPr>
          </w:p>
        </w:tc>
        <w:tc>
          <w:tcPr>
            <w:tcW w:w="3784" w:type="pct"/>
          </w:tcPr>
          <w:p w:rsidRPr="001D1C39" w:rsidR="000120E1" w:rsidP="006A5684" w:rsidRDefault="000120E1" w14:paraId="156AA12F" w14:textId="77777777">
            <w:pPr>
              <w:tabs>
                <w:tab w:val="center" w:pos="284"/>
              </w:tabs>
              <w:ind w:left="266" w:hanging="266"/>
              <w:jc w:val="left"/>
              <w:rPr>
                <w:rFonts w:eastAsiaTheme="minorHAnsi"/>
                <w:sz w:val="22"/>
                <w:szCs w:val="22"/>
              </w:rPr>
            </w:pPr>
            <w:r w:rsidRPr="001D1C39">
              <w:rPr>
                <w:sz w:val="22"/>
                <w:szCs w:val="22"/>
              </w:rPr>
              <w:t>EESC-2024-00878-00-00-AC</w:t>
            </w:r>
          </w:p>
        </w:tc>
      </w:tr>
    </w:tbl>
    <w:p w:rsidRPr="001D1C39" w:rsidR="000120E1" w:rsidP="006A5684" w:rsidRDefault="000120E1" w14:paraId="07738945" w14:textId="77777777">
      <w:pPr>
        <w:widowControl w:val="0"/>
        <w:tabs>
          <w:tab w:val="left" w:pos="1843"/>
        </w:tabs>
        <w:overflowPunct w:val="0"/>
        <w:autoSpaceDE w:val="0"/>
        <w:autoSpaceDN w:val="0"/>
        <w:adjustRightInd w:val="0"/>
        <w:textAlignment w:val="baseline"/>
        <w:rPr>
          <w:rFonts w:eastAsiaTheme="minorHAnsi"/>
          <w:b/>
          <w:lang w:val="en-US"/>
        </w:rPr>
      </w:pPr>
    </w:p>
    <w:p w:rsidR="000120E1" w:rsidP="006A5684" w:rsidRDefault="000120E1" w14:paraId="7665D3CF" w14:textId="52BAA191">
      <w:pPr>
        <w:keepNext/>
        <w:keepLines/>
        <w:ind w:left="142" w:hanging="142"/>
        <w:jc w:val="left"/>
        <w:rPr>
          <w:b/>
        </w:rPr>
      </w:pPr>
      <w:r w:rsidRPr="001D1C39">
        <w:rPr>
          <w:b/>
        </w:rPr>
        <w:t>Hovedpunkter</w:t>
      </w:r>
    </w:p>
    <w:p w:rsidRPr="001D1C39" w:rsidR="001D1C39" w:rsidP="006A5684" w:rsidRDefault="001D1C39" w14:paraId="5CD51483" w14:textId="77777777">
      <w:pPr>
        <w:keepNext/>
        <w:keepLines/>
        <w:ind w:left="142" w:hanging="142"/>
        <w:jc w:val="left"/>
        <w:rPr>
          <w:rFonts w:eastAsiaTheme="minorHAnsi"/>
          <w:b/>
        </w:rPr>
      </w:pPr>
    </w:p>
    <w:p w:rsidRPr="001D1C39" w:rsidR="000120E1" w:rsidP="006A5684" w:rsidRDefault="000120E1" w14:paraId="3B7BB1CC" w14:textId="77777777">
      <w:pPr>
        <w:jc w:val="left"/>
        <w:rPr>
          <w:rFonts w:eastAsiaTheme="minorHAnsi"/>
        </w:rPr>
      </w:pPr>
      <w:r w:rsidRPr="001D1C39">
        <w:t>EØSU:</w:t>
      </w:r>
    </w:p>
    <w:p w:rsidRPr="001D1C39" w:rsidR="000120E1" w:rsidP="006A5684" w:rsidRDefault="000120E1" w14:paraId="1360B3DB" w14:textId="0411039A">
      <w:pPr>
        <w:numPr>
          <w:ilvl w:val="0"/>
          <w:numId w:val="26"/>
        </w:numPr>
        <w:ind w:left="284" w:hanging="284"/>
        <w:contextualSpacing/>
        <w:rPr>
          <w:rFonts w:eastAsiaTheme="minorHAnsi"/>
        </w:rPr>
      </w:pPr>
      <w:r w:rsidRPr="001D1C39">
        <w:t xml:space="preserve">mener, at </w:t>
      </w:r>
      <w:r w:rsidRPr="001D1C39">
        <w:rPr>
          <w:b/>
        </w:rPr>
        <w:t>strategien for industriel CO</w:t>
      </w:r>
      <w:r w:rsidRPr="001D1C39">
        <w:rPr>
          <w:b/>
          <w:vertAlign w:val="subscript"/>
        </w:rPr>
        <w:t>2</w:t>
      </w:r>
      <w:r w:rsidRPr="001D1C39">
        <w:rPr>
          <w:b/>
        </w:rPr>
        <w:t>-forvaltning er meget velkommen og afbalanceret</w:t>
      </w:r>
      <w:r w:rsidRPr="001D1C39">
        <w:t xml:space="preserve">, idet den omfatter aspekter, som er af afgørende betydning for </w:t>
      </w:r>
      <w:r w:rsidRPr="001D1C39">
        <w:rPr>
          <w:b/>
        </w:rPr>
        <w:t>indførelsen af CO</w:t>
      </w:r>
      <w:r w:rsidRPr="001D1C39">
        <w:rPr>
          <w:b/>
          <w:vertAlign w:val="subscript"/>
        </w:rPr>
        <w:t>2</w:t>
      </w:r>
      <w:r w:rsidRPr="001D1C39">
        <w:rPr>
          <w:b/>
        </w:rPr>
        <w:t xml:space="preserve">-opsamling og </w:t>
      </w:r>
      <w:r w:rsidR="001D1C39">
        <w:rPr>
          <w:b/>
        </w:rPr>
        <w:noBreakHyphen/>
      </w:r>
      <w:r w:rsidRPr="001D1C39">
        <w:rPr>
          <w:b/>
        </w:rPr>
        <w:t>lagring (CCS) samt CO</w:t>
      </w:r>
      <w:r w:rsidRPr="001D1C39">
        <w:rPr>
          <w:b/>
          <w:vertAlign w:val="subscript"/>
        </w:rPr>
        <w:t>2</w:t>
      </w:r>
      <w:r w:rsidRPr="001D1C39">
        <w:rPr>
          <w:b/>
        </w:rPr>
        <w:t>-opsamling og -anvendelse (CCU) i industriel målestok i EU</w:t>
      </w:r>
    </w:p>
    <w:p w:rsidRPr="001D1C39" w:rsidR="000120E1" w:rsidP="006A5684" w:rsidRDefault="000120E1" w14:paraId="7FE09CBD" w14:textId="77777777">
      <w:pPr>
        <w:numPr>
          <w:ilvl w:val="0"/>
          <w:numId w:val="26"/>
        </w:numPr>
        <w:ind w:left="284" w:hanging="284"/>
        <w:contextualSpacing/>
        <w:rPr>
          <w:rFonts w:eastAsiaTheme="minorHAnsi"/>
        </w:rPr>
      </w:pPr>
      <w:r w:rsidRPr="001D1C39">
        <w:t xml:space="preserve">anerkender, at oprettelsen af </w:t>
      </w:r>
      <w:r w:rsidRPr="001D1C39">
        <w:rPr>
          <w:b/>
        </w:rPr>
        <w:t>et indre marked for CO</w:t>
      </w:r>
      <w:r w:rsidRPr="001D1C39">
        <w:rPr>
          <w:b/>
          <w:vertAlign w:val="subscript"/>
        </w:rPr>
        <w:t>2</w:t>
      </w:r>
      <w:r w:rsidRPr="001D1C39">
        <w:rPr>
          <w:b/>
        </w:rPr>
        <w:t xml:space="preserve"> </w:t>
      </w:r>
      <w:r w:rsidRPr="001D1C39">
        <w:t xml:space="preserve">forudsætter, at der </w:t>
      </w:r>
      <w:r w:rsidRPr="001D1C39">
        <w:rPr>
          <w:b/>
        </w:rPr>
        <w:t>etableres lagrings- og transportinfrastruktur (herunder på tværs af grænser) og fastsættes markedsregler</w:t>
      </w:r>
      <w:r w:rsidRPr="001D1C39">
        <w:t xml:space="preserve"> </w:t>
      </w:r>
    </w:p>
    <w:p w:rsidRPr="001D1C39" w:rsidR="000120E1" w:rsidP="006A5684" w:rsidRDefault="000120E1" w14:paraId="66EA0A1A" w14:textId="77777777">
      <w:pPr>
        <w:numPr>
          <w:ilvl w:val="0"/>
          <w:numId w:val="26"/>
        </w:numPr>
        <w:ind w:left="284" w:hanging="284"/>
        <w:contextualSpacing/>
        <w:rPr>
          <w:rFonts w:eastAsiaTheme="minorHAnsi"/>
        </w:rPr>
      </w:pPr>
      <w:r w:rsidRPr="001D1C39">
        <w:t xml:space="preserve">fremhæver, at der er behov for at </w:t>
      </w:r>
      <w:r w:rsidRPr="001D1C39">
        <w:rPr>
          <w:b/>
        </w:rPr>
        <w:t>skræddersy strategier for CO</w:t>
      </w:r>
      <w:r w:rsidRPr="001D1C39">
        <w:rPr>
          <w:b/>
          <w:vertAlign w:val="subscript"/>
        </w:rPr>
        <w:t>2</w:t>
      </w:r>
      <w:r w:rsidRPr="001D1C39">
        <w:rPr>
          <w:b/>
        </w:rPr>
        <w:t>-forvaltning for specifikke industrisektorer</w:t>
      </w:r>
    </w:p>
    <w:p w:rsidRPr="001D1C39" w:rsidR="000120E1" w:rsidP="006A5684" w:rsidRDefault="000120E1" w14:paraId="3B9262A2" w14:textId="77777777">
      <w:pPr>
        <w:numPr>
          <w:ilvl w:val="0"/>
          <w:numId w:val="26"/>
        </w:numPr>
        <w:ind w:left="284" w:hanging="284"/>
        <w:contextualSpacing/>
        <w:rPr>
          <w:rFonts w:eastAsiaTheme="minorHAnsi"/>
        </w:rPr>
      </w:pPr>
      <w:r w:rsidRPr="001D1C39">
        <w:t xml:space="preserve">fastholder, at det er afgørende </w:t>
      </w:r>
      <w:r w:rsidRPr="001D1C39">
        <w:rPr>
          <w:b/>
        </w:rPr>
        <w:t>at kortlægge de hindringer, der underminerer en effektiv gennemførelse af den eksisterende praksis for CO</w:t>
      </w:r>
      <w:r w:rsidRPr="001D1C39">
        <w:rPr>
          <w:b/>
          <w:vertAlign w:val="subscript"/>
        </w:rPr>
        <w:t>2</w:t>
      </w:r>
      <w:r w:rsidRPr="001D1C39">
        <w:rPr>
          <w:b/>
        </w:rPr>
        <w:t>-forvaltning</w:t>
      </w:r>
      <w:r w:rsidRPr="001D1C39">
        <w:t>, med henblik på at kunne gennemføre ændringer og udvikle strategier</w:t>
      </w:r>
    </w:p>
    <w:p w:rsidRPr="001D1C39" w:rsidR="000120E1" w:rsidP="006A5684" w:rsidRDefault="000120E1" w14:paraId="79DEBCDC" w14:textId="77777777">
      <w:pPr>
        <w:numPr>
          <w:ilvl w:val="0"/>
          <w:numId w:val="26"/>
        </w:numPr>
        <w:ind w:left="284" w:hanging="284"/>
        <w:contextualSpacing/>
        <w:rPr>
          <w:rFonts w:eastAsiaTheme="minorHAnsi"/>
        </w:rPr>
      </w:pPr>
      <w:r w:rsidRPr="001D1C39">
        <w:t xml:space="preserve">mener, at EU har brug for en </w:t>
      </w:r>
      <w:r w:rsidRPr="001D1C39">
        <w:rPr>
          <w:b/>
        </w:rPr>
        <w:t>industristrategi for CO</w:t>
      </w:r>
      <w:r w:rsidRPr="001D1C39">
        <w:rPr>
          <w:b/>
          <w:vertAlign w:val="subscript"/>
        </w:rPr>
        <w:t>2</w:t>
      </w:r>
      <w:r w:rsidRPr="001D1C39">
        <w:rPr>
          <w:b/>
        </w:rPr>
        <w:t>, der fremmer vækst på en bæredygtig måde</w:t>
      </w:r>
      <w:r w:rsidRPr="001D1C39">
        <w:t xml:space="preserve">, og som ikke blot </w:t>
      </w:r>
      <w:r w:rsidRPr="001D1C39">
        <w:rPr>
          <w:b/>
        </w:rPr>
        <w:t>gennemfører den grønne pagt</w:t>
      </w:r>
      <w:r w:rsidRPr="001D1C39">
        <w:t xml:space="preserve">, men også </w:t>
      </w:r>
      <w:r w:rsidRPr="001D1C39">
        <w:rPr>
          <w:b/>
        </w:rPr>
        <w:t xml:space="preserve">sikrer kvalitetsjob og en retfærdig omstilling for arbejdstagerne </w:t>
      </w:r>
      <w:r w:rsidRPr="001D1C39">
        <w:t xml:space="preserve">samt afdækker </w:t>
      </w:r>
      <w:r w:rsidRPr="001D1C39">
        <w:rPr>
          <w:b/>
        </w:rPr>
        <w:t>mangler på arbejdskraft og færdigheder, der kan afbødes ved hjælp af omskoling og opkvalificering</w:t>
      </w:r>
    </w:p>
    <w:p w:rsidRPr="001D1C39" w:rsidR="000120E1" w:rsidP="006A5684" w:rsidRDefault="000120E1" w14:paraId="71004638" w14:textId="77777777">
      <w:pPr>
        <w:numPr>
          <w:ilvl w:val="0"/>
          <w:numId w:val="26"/>
        </w:numPr>
        <w:ind w:left="284" w:hanging="284"/>
        <w:contextualSpacing/>
        <w:rPr>
          <w:rFonts w:eastAsiaTheme="minorHAnsi"/>
        </w:rPr>
      </w:pPr>
      <w:r w:rsidRPr="001D1C39">
        <w:t xml:space="preserve">anbefaler </w:t>
      </w:r>
      <w:r w:rsidRPr="001D1C39">
        <w:rPr>
          <w:b/>
        </w:rPr>
        <w:t>en klar investeringsplan for udvikling af CCS-/CCU-teknologier</w:t>
      </w:r>
      <w:r w:rsidRPr="001D1C39">
        <w:t xml:space="preserve">, men mener samtidig, at </w:t>
      </w:r>
      <w:r w:rsidRPr="001D1C39">
        <w:rPr>
          <w:b/>
        </w:rPr>
        <w:t xml:space="preserve">offentlig finansiering bør have en mekanisme vedrørende social </w:t>
      </w:r>
      <w:proofErr w:type="spellStart"/>
      <w:r w:rsidRPr="001D1C39">
        <w:rPr>
          <w:b/>
        </w:rPr>
        <w:t>konditionalitet</w:t>
      </w:r>
      <w:proofErr w:type="spellEnd"/>
      <w:r w:rsidRPr="001D1C39">
        <w:rPr>
          <w:b/>
        </w:rPr>
        <w:t>, der har til formål at skabe og opretholde kvalitetsjob</w:t>
      </w:r>
    </w:p>
    <w:p w:rsidRPr="001D1C39" w:rsidR="000120E1" w:rsidP="006A5684" w:rsidRDefault="000120E1" w14:paraId="3292CDC0" w14:textId="77777777">
      <w:pPr>
        <w:numPr>
          <w:ilvl w:val="0"/>
          <w:numId w:val="26"/>
        </w:numPr>
        <w:ind w:left="284" w:hanging="284"/>
        <w:contextualSpacing/>
        <w:rPr>
          <w:rFonts w:eastAsiaTheme="minorHAnsi"/>
        </w:rPr>
      </w:pPr>
      <w:r w:rsidRPr="001D1C39">
        <w:t>mener, at projekter for reduktion af CO</w:t>
      </w:r>
      <w:r w:rsidRPr="001D1C39">
        <w:rPr>
          <w:vertAlign w:val="subscript"/>
        </w:rPr>
        <w:t>2</w:t>
      </w:r>
      <w:r w:rsidRPr="001D1C39">
        <w:t xml:space="preserve"> på en afbalanceret måde bør omfatte både </w:t>
      </w:r>
      <w:r w:rsidRPr="001D1C39">
        <w:rPr>
          <w:b/>
        </w:rPr>
        <w:t>forebyggelse og fjernelse af CO</w:t>
      </w:r>
      <w:r w:rsidRPr="001D1C39">
        <w:rPr>
          <w:b/>
          <w:vertAlign w:val="subscript"/>
        </w:rPr>
        <w:t>2</w:t>
      </w:r>
      <w:r w:rsidRPr="001D1C39">
        <w:t xml:space="preserve">, men at </w:t>
      </w:r>
      <w:r w:rsidRPr="001D1C39">
        <w:rPr>
          <w:b/>
        </w:rPr>
        <w:t>forebyggelse af CO</w:t>
      </w:r>
      <w:r w:rsidRPr="001D1C39">
        <w:rPr>
          <w:b/>
          <w:vertAlign w:val="subscript"/>
        </w:rPr>
        <w:t>2</w:t>
      </w:r>
      <w:r w:rsidRPr="001D1C39">
        <w:rPr>
          <w:b/>
        </w:rPr>
        <w:t xml:space="preserve"> i øjeblikket ikke i tilstrækkelig grad støttes</w:t>
      </w:r>
    </w:p>
    <w:p w:rsidRPr="001D1C39" w:rsidR="000120E1" w:rsidP="006A5684" w:rsidRDefault="000120E1" w14:paraId="44EC1EE2" w14:textId="77777777">
      <w:pPr>
        <w:numPr>
          <w:ilvl w:val="0"/>
          <w:numId w:val="26"/>
        </w:numPr>
        <w:ind w:left="284" w:hanging="284"/>
        <w:contextualSpacing/>
        <w:rPr>
          <w:rFonts w:eastAsiaTheme="minorHAnsi"/>
        </w:rPr>
      </w:pPr>
      <w:r w:rsidRPr="001D1C39">
        <w:t xml:space="preserve">anbefaler, at der </w:t>
      </w:r>
      <w:r w:rsidRPr="001D1C39">
        <w:rPr>
          <w:b/>
        </w:rPr>
        <w:t>oprettes en ny, særskilt, veludformet og robust kreditordning med høj integritet for at forebygge CO</w:t>
      </w:r>
      <w:r w:rsidRPr="001D1C39">
        <w:rPr>
          <w:b/>
          <w:vertAlign w:val="subscript"/>
        </w:rPr>
        <w:t>2</w:t>
      </w:r>
      <w:r w:rsidRPr="001D1C39">
        <w:rPr>
          <w:b/>
        </w:rPr>
        <w:t>-emissioner</w:t>
      </w:r>
      <w:r w:rsidRPr="001D1C39">
        <w:t xml:space="preserve">, hvorved der gives incitamenter til at </w:t>
      </w:r>
      <w:proofErr w:type="spellStart"/>
      <w:r w:rsidRPr="001D1C39">
        <w:t>dekarbonisere</w:t>
      </w:r>
      <w:proofErr w:type="spellEnd"/>
    </w:p>
    <w:p w:rsidRPr="001D1C39" w:rsidR="000120E1" w:rsidP="006A5684" w:rsidRDefault="000120E1" w14:paraId="31699FAA" w14:textId="6909C543">
      <w:pPr>
        <w:numPr>
          <w:ilvl w:val="0"/>
          <w:numId w:val="26"/>
        </w:numPr>
        <w:ind w:left="284" w:hanging="284"/>
        <w:contextualSpacing/>
        <w:rPr>
          <w:rFonts w:eastAsiaTheme="minorHAnsi"/>
        </w:rPr>
      </w:pPr>
      <w:r w:rsidRPr="001D1C39">
        <w:t xml:space="preserve">påpeger, at </w:t>
      </w:r>
      <w:r w:rsidRPr="001D1C39">
        <w:rPr>
          <w:b/>
        </w:rPr>
        <w:t>kvoter fra EU's emissionshandelssystem (ETS) ikke bør anvendes som "kreditter"</w:t>
      </w:r>
      <w:r w:rsidRPr="001D1C39">
        <w:t>, da dette kan underminere den nuværende markedsbaserede karakter af EU's CO</w:t>
      </w:r>
      <w:r w:rsidRPr="001D1C39">
        <w:rPr>
          <w:vertAlign w:val="subscript"/>
        </w:rPr>
        <w:t>2</w:t>
      </w:r>
      <w:r w:rsidR="001D1C39">
        <w:noBreakHyphen/>
      </w:r>
      <w:r w:rsidRPr="001D1C39">
        <w:t>handelssystem.</w:t>
      </w:r>
    </w:p>
    <w:p w:rsidRPr="001D1C39" w:rsidR="00DD6D07" w:rsidP="006A5684" w:rsidRDefault="00DD6D07" w14:paraId="4FF166B9" w14:textId="77777777">
      <w:pPr>
        <w:ind w:left="720"/>
        <w:contextualSpacing/>
        <w:jc w:val="left"/>
        <w:rPr>
          <w:rFonts w:eastAsiaTheme="minorHAnsi"/>
        </w:rPr>
      </w:pPr>
    </w:p>
    <w:tbl>
      <w:tblPr>
        <w:tblStyle w:val="TableGrid22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0"/>
        <w:gridCol w:w="3321"/>
      </w:tblGrid>
      <w:tr w:rsidRPr="001D1C39" w:rsidR="000120E1" w:rsidTr="00FE3058" w14:paraId="5D2D90F0" w14:textId="77777777">
        <w:tc>
          <w:tcPr>
            <w:tcW w:w="3998" w:type="pct"/>
          </w:tcPr>
          <w:p w:rsidRPr="001D1C39" w:rsidR="000120E1" w:rsidP="006A5684" w:rsidRDefault="000120E1" w14:paraId="0F7EFF96" w14:textId="77777777">
            <w:pPr>
              <w:jc w:val="left"/>
              <w:rPr>
                <w:rFonts w:eastAsiaTheme="minorHAnsi"/>
                <w:i/>
                <w:sz w:val="22"/>
                <w:szCs w:val="22"/>
              </w:rPr>
            </w:pPr>
            <w:r w:rsidRPr="001D1C39">
              <w:rPr>
                <w:b/>
                <w:i/>
                <w:sz w:val="22"/>
                <w:szCs w:val="22"/>
              </w:rPr>
              <w:t>Kontakt</w:t>
            </w:r>
          </w:p>
        </w:tc>
        <w:tc>
          <w:tcPr>
            <w:tcW w:w="1002" w:type="pct"/>
            <w:tcBorders>
              <w:left w:val="nil"/>
            </w:tcBorders>
          </w:tcPr>
          <w:p w:rsidRPr="001D1C39" w:rsidR="000120E1" w:rsidP="006A5684" w:rsidRDefault="000120E1" w14:paraId="161FCDF9" w14:textId="041A1233">
            <w:pPr>
              <w:jc w:val="left"/>
              <w:rPr>
                <w:rFonts w:eastAsiaTheme="minorHAnsi"/>
                <w:i/>
                <w:sz w:val="22"/>
                <w:szCs w:val="22"/>
              </w:rPr>
            </w:pPr>
            <w:r w:rsidRPr="001D1C39">
              <w:rPr>
                <w:i/>
                <w:sz w:val="22"/>
                <w:szCs w:val="22"/>
              </w:rPr>
              <w:t xml:space="preserve">Adam </w:t>
            </w:r>
            <w:proofErr w:type="spellStart"/>
            <w:r w:rsidRPr="001D1C39">
              <w:rPr>
                <w:i/>
                <w:sz w:val="22"/>
                <w:szCs w:val="22"/>
              </w:rPr>
              <w:t>Dorywalski</w:t>
            </w:r>
            <w:proofErr w:type="spellEnd"/>
          </w:p>
        </w:tc>
      </w:tr>
      <w:tr w:rsidRPr="001D1C39" w:rsidR="000120E1" w:rsidTr="00FE3058" w14:paraId="4F400A68" w14:textId="77777777">
        <w:tc>
          <w:tcPr>
            <w:tcW w:w="3998" w:type="pct"/>
          </w:tcPr>
          <w:p w:rsidRPr="001D1C39" w:rsidR="000120E1" w:rsidP="006A5684" w:rsidRDefault="000120E1" w14:paraId="381E2BF8" w14:textId="77777777">
            <w:pPr>
              <w:jc w:val="left"/>
              <w:rPr>
                <w:rFonts w:eastAsiaTheme="minorHAnsi"/>
                <w:i/>
                <w:sz w:val="22"/>
                <w:szCs w:val="22"/>
              </w:rPr>
            </w:pPr>
            <w:r w:rsidRPr="001D1C39">
              <w:rPr>
                <w:i/>
                <w:sz w:val="22"/>
                <w:szCs w:val="22"/>
              </w:rPr>
              <w:t xml:space="preserve">Tlf. </w:t>
            </w:r>
          </w:p>
        </w:tc>
        <w:tc>
          <w:tcPr>
            <w:tcW w:w="1002" w:type="pct"/>
            <w:tcBorders>
              <w:left w:val="nil"/>
            </w:tcBorders>
          </w:tcPr>
          <w:p w:rsidRPr="001D1C39" w:rsidR="000120E1" w:rsidP="006A5684" w:rsidRDefault="000120E1" w14:paraId="78898855" w14:textId="77777777">
            <w:pPr>
              <w:jc w:val="left"/>
              <w:rPr>
                <w:rFonts w:eastAsiaTheme="minorHAnsi"/>
                <w:i/>
                <w:sz w:val="22"/>
                <w:szCs w:val="22"/>
              </w:rPr>
            </w:pPr>
            <w:r w:rsidRPr="001D1C39">
              <w:rPr>
                <w:i/>
                <w:sz w:val="22"/>
                <w:szCs w:val="22"/>
              </w:rPr>
              <w:t>00 32 2 546 93 97</w:t>
            </w:r>
          </w:p>
        </w:tc>
      </w:tr>
      <w:tr w:rsidRPr="001D1C39" w:rsidR="000120E1" w:rsidTr="00FE3058" w14:paraId="63DC3EB7" w14:textId="77777777">
        <w:tc>
          <w:tcPr>
            <w:tcW w:w="3998" w:type="pct"/>
          </w:tcPr>
          <w:p w:rsidRPr="001D1C39" w:rsidR="000120E1" w:rsidP="006A5684" w:rsidRDefault="00DD6D07" w14:paraId="66DC166A" w14:textId="68F50A4B">
            <w:pPr>
              <w:jc w:val="left"/>
              <w:rPr>
                <w:rFonts w:eastAsiaTheme="minorHAnsi"/>
                <w:i/>
                <w:iCs/>
                <w:sz w:val="22"/>
                <w:szCs w:val="22"/>
              </w:rPr>
            </w:pPr>
            <w:r w:rsidRPr="001D1C39">
              <w:rPr>
                <w:i/>
                <w:sz w:val="22"/>
                <w:szCs w:val="22"/>
              </w:rPr>
              <w:t>E-mail</w:t>
            </w:r>
          </w:p>
        </w:tc>
        <w:tc>
          <w:tcPr>
            <w:tcW w:w="1002" w:type="pct"/>
            <w:tcBorders>
              <w:left w:val="nil"/>
            </w:tcBorders>
          </w:tcPr>
          <w:p w:rsidRPr="001D1C39" w:rsidR="000120E1" w:rsidP="006A5684" w:rsidRDefault="003D1988" w14:paraId="2454CA29" w14:textId="77777777">
            <w:pPr>
              <w:jc w:val="left"/>
              <w:rPr>
                <w:rFonts w:eastAsiaTheme="minorHAnsi"/>
                <w:i/>
                <w:iCs/>
                <w:sz w:val="22"/>
                <w:szCs w:val="22"/>
              </w:rPr>
            </w:pPr>
            <w:hyperlink w:history="1" r:id="rId41">
              <w:proofErr w:type="spellStart"/>
              <w:r w:rsidRPr="001D1C39" w:rsidR="00D63208">
                <w:rPr>
                  <w:i/>
                  <w:color w:val="0000FF"/>
                  <w:sz w:val="22"/>
                  <w:szCs w:val="22"/>
                  <w:u w:val="single"/>
                </w:rPr>
                <w:t>Adam.Dorywalski@eesc.europa.eu</w:t>
              </w:r>
              <w:proofErr w:type="spellEnd"/>
            </w:hyperlink>
          </w:p>
        </w:tc>
      </w:tr>
    </w:tbl>
    <w:p w:rsidR="00B612CA" w:rsidP="006A5684" w:rsidRDefault="00B612CA" w14:paraId="761EE0FB" w14:textId="19A9F226">
      <w:pPr>
        <w:overflowPunct w:val="0"/>
        <w:autoSpaceDE w:val="0"/>
        <w:autoSpaceDN w:val="0"/>
        <w:adjustRightInd w:val="0"/>
        <w:jc w:val="left"/>
        <w:textAlignment w:val="baseline"/>
        <w:rPr>
          <w:lang w:val="nl-BE"/>
        </w:rPr>
      </w:pPr>
    </w:p>
    <w:p w:rsidR="003C2FB3" w:rsidP="006A5684" w:rsidRDefault="003C2FB3" w14:paraId="27BB641D" w14:textId="1147CAD7">
      <w:pPr>
        <w:jc w:val="left"/>
      </w:pPr>
      <w:r>
        <w:br w:type="page"/>
      </w:r>
    </w:p>
    <w:p w:rsidRPr="003C2FB3" w:rsidR="003C2FB3" w:rsidP="006A5684" w:rsidRDefault="003D1988" w14:paraId="2D57F018" w14:textId="51961DE6">
      <w:pPr>
        <w:widowControl w:val="0"/>
        <w:numPr>
          <w:ilvl w:val="0"/>
          <w:numId w:val="7"/>
        </w:numPr>
        <w:overflowPunct w:val="0"/>
        <w:autoSpaceDE w:val="0"/>
        <w:autoSpaceDN w:val="0"/>
        <w:adjustRightInd w:val="0"/>
        <w:ind w:hanging="567"/>
        <w:textAlignment w:val="baseline"/>
        <w:rPr>
          <w:sz w:val="20"/>
          <w:szCs w:val="20"/>
        </w:rPr>
      </w:pPr>
      <w:hyperlink w:history="1" r:id="rId42">
        <w:r w:rsidR="00D97A3B">
          <w:rPr>
            <w:b/>
            <w:i/>
            <w:color w:val="0000FF"/>
            <w:sz w:val="28"/>
            <w:u w:val="single"/>
          </w:rPr>
          <w:t>Strategi for den europæiske forsvarsindustri</w:t>
        </w:r>
      </w:hyperlink>
    </w:p>
    <w:p w:rsidR="003C2FB3" w:rsidP="006A5684" w:rsidRDefault="003C2FB3" w14:paraId="21A2A52F" w14:textId="2BFA8D76">
      <w:pPr>
        <w:tabs>
          <w:tab w:val="center" w:pos="284"/>
        </w:tabs>
        <w:overflowPunct w:val="0"/>
        <w:autoSpaceDE w:val="0"/>
        <w:autoSpaceDN w:val="0"/>
        <w:adjustRightInd w:val="0"/>
        <w:ind w:left="266" w:hanging="266"/>
        <w:textAlignment w:val="baseline"/>
        <w:rPr>
          <w:b/>
        </w:rPr>
      </w:pPr>
    </w:p>
    <w:tbl>
      <w:tblPr>
        <w:tblStyle w:val="TableGrid22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1D1C39" w:rsidR="003C2FB3" w:rsidTr="00FE3058" w14:paraId="30A6177E" w14:textId="77777777">
        <w:tc>
          <w:tcPr>
            <w:tcW w:w="1148" w:type="pct"/>
          </w:tcPr>
          <w:p w:rsidRPr="001D1C39" w:rsidR="003C2FB3" w:rsidP="006A5684" w:rsidRDefault="003C2FB3" w14:paraId="77A7B517"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Ordfører</w:t>
            </w:r>
          </w:p>
        </w:tc>
        <w:tc>
          <w:tcPr>
            <w:tcW w:w="3852" w:type="pct"/>
          </w:tcPr>
          <w:p w:rsidRPr="001D1C39" w:rsidR="003C2FB3" w:rsidP="006A5684" w:rsidRDefault="003C2FB3" w14:paraId="77DB3C52" w14:textId="0705E08B">
            <w:pPr>
              <w:tabs>
                <w:tab w:val="center" w:pos="284"/>
              </w:tabs>
              <w:overflowPunct w:val="0"/>
              <w:autoSpaceDE w:val="0"/>
              <w:autoSpaceDN w:val="0"/>
              <w:adjustRightInd w:val="0"/>
              <w:ind w:left="266" w:hanging="266"/>
              <w:textAlignment w:val="baseline"/>
              <w:rPr>
                <w:sz w:val="22"/>
                <w:szCs w:val="22"/>
              </w:rPr>
            </w:pPr>
            <w:r w:rsidRPr="001D1C39">
              <w:rPr>
                <w:sz w:val="22"/>
                <w:szCs w:val="22"/>
              </w:rPr>
              <w:t xml:space="preserve">Maurizio </w:t>
            </w:r>
            <w:proofErr w:type="spellStart"/>
            <w:r w:rsidRPr="001D1C39">
              <w:rPr>
                <w:sz w:val="22"/>
                <w:szCs w:val="22"/>
              </w:rPr>
              <w:t>Mensi</w:t>
            </w:r>
            <w:proofErr w:type="spellEnd"/>
            <w:r w:rsidRPr="001D1C39">
              <w:rPr>
                <w:sz w:val="22"/>
                <w:szCs w:val="22"/>
              </w:rPr>
              <w:t xml:space="preserve"> (Gruppen af civilsamfundsorganisationer – IT)</w:t>
            </w:r>
          </w:p>
        </w:tc>
      </w:tr>
      <w:tr w:rsidRPr="001D1C39" w:rsidR="003C2FB3" w:rsidTr="00FE3058" w14:paraId="4330C7A8" w14:textId="77777777">
        <w:tc>
          <w:tcPr>
            <w:tcW w:w="1148" w:type="pct"/>
          </w:tcPr>
          <w:p w:rsidRPr="001D1C39" w:rsidR="003C2FB3" w:rsidP="006A5684" w:rsidRDefault="003C2FB3" w14:paraId="6EE0006E"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Medordfører</w:t>
            </w:r>
          </w:p>
        </w:tc>
        <w:tc>
          <w:tcPr>
            <w:tcW w:w="3852" w:type="pct"/>
          </w:tcPr>
          <w:p w:rsidRPr="001D1C39" w:rsidR="003C2FB3" w:rsidP="006A5684" w:rsidRDefault="003C2FB3" w14:paraId="227D7CFD" w14:textId="0783DBC3">
            <w:pPr>
              <w:tabs>
                <w:tab w:val="center" w:pos="284"/>
              </w:tabs>
              <w:overflowPunct w:val="0"/>
              <w:autoSpaceDE w:val="0"/>
              <w:autoSpaceDN w:val="0"/>
              <w:adjustRightInd w:val="0"/>
              <w:ind w:left="266" w:hanging="266"/>
              <w:textAlignment w:val="baseline"/>
              <w:rPr>
                <w:sz w:val="22"/>
                <w:szCs w:val="22"/>
              </w:rPr>
            </w:pPr>
            <w:r w:rsidRPr="001D1C39">
              <w:rPr>
                <w:sz w:val="22"/>
                <w:szCs w:val="22"/>
              </w:rPr>
              <w:t>Jan Pie (Kat. 1-SE)</w:t>
            </w:r>
          </w:p>
        </w:tc>
      </w:tr>
      <w:tr w:rsidRPr="001D1C39" w:rsidR="003C2FB3" w:rsidTr="00FE3058" w14:paraId="5B13BE6E" w14:textId="77777777">
        <w:tc>
          <w:tcPr>
            <w:tcW w:w="5000" w:type="pct"/>
            <w:gridSpan w:val="2"/>
          </w:tcPr>
          <w:p w:rsidRPr="001D1C39" w:rsidR="003C2FB3" w:rsidP="006A5684" w:rsidRDefault="003C2FB3" w14:paraId="41685864" w14:textId="77777777">
            <w:pPr>
              <w:tabs>
                <w:tab w:val="center" w:pos="284"/>
              </w:tabs>
              <w:overflowPunct w:val="0"/>
              <w:autoSpaceDE w:val="0"/>
              <w:autoSpaceDN w:val="0"/>
              <w:adjustRightInd w:val="0"/>
              <w:ind w:left="266" w:hanging="266"/>
              <w:textAlignment w:val="baseline"/>
              <w:rPr>
                <w:sz w:val="22"/>
                <w:szCs w:val="22"/>
              </w:rPr>
            </w:pPr>
          </w:p>
        </w:tc>
      </w:tr>
      <w:tr w:rsidRPr="001D1C39" w:rsidR="003C2FB3" w:rsidTr="00FE3058" w14:paraId="53790FDC" w14:textId="77777777">
        <w:tc>
          <w:tcPr>
            <w:tcW w:w="1148" w:type="pct"/>
          </w:tcPr>
          <w:p w:rsidRPr="001D1C39" w:rsidR="003C2FB3" w:rsidP="006A5684" w:rsidRDefault="003C2FB3" w14:paraId="1F7D7474"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Ref.</w:t>
            </w:r>
          </w:p>
        </w:tc>
        <w:tc>
          <w:tcPr>
            <w:tcW w:w="3852" w:type="pct"/>
          </w:tcPr>
          <w:p w:rsidRPr="001D1C39" w:rsidR="00DD6911" w:rsidP="006A5684" w:rsidRDefault="00DD6911" w14:paraId="716A7B7A" w14:textId="397FFFB3">
            <w:pPr>
              <w:tabs>
                <w:tab w:val="center" w:pos="284"/>
              </w:tabs>
              <w:overflowPunct w:val="0"/>
              <w:autoSpaceDE w:val="0"/>
              <w:autoSpaceDN w:val="0"/>
              <w:adjustRightInd w:val="0"/>
              <w:ind w:left="266" w:hanging="266"/>
              <w:textAlignment w:val="baseline"/>
              <w:rPr>
                <w:sz w:val="22"/>
                <w:szCs w:val="22"/>
              </w:rPr>
            </w:pPr>
            <w:r w:rsidRPr="001D1C39">
              <w:rPr>
                <w:sz w:val="22"/>
                <w:szCs w:val="22"/>
              </w:rPr>
              <w:t>JOIN(2024) 10 final</w:t>
            </w:r>
          </w:p>
          <w:p w:rsidRPr="001D1C39" w:rsidR="003C2FB3" w:rsidP="006A5684" w:rsidRDefault="003C2FB3" w14:paraId="2AE94E99" w14:textId="68928235">
            <w:pPr>
              <w:tabs>
                <w:tab w:val="center" w:pos="284"/>
              </w:tabs>
              <w:overflowPunct w:val="0"/>
              <w:autoSpaceDE w:val="0"/>
              <w:autoSpaceDN w:val="0"/>
              <w:adjustRightInd w:val="0"/>
              <w:ind w:left="266" w:hanging="266"/>
              <w:textAlignment w:val="baseline"/>
              <w:rPr>
                <w:sz w:val="22"/>
                <w:szCs w:val="22"/>
              </w:rPr>
            </w:pPr>
            <w:r w:rsidRPr="001D1C39">
              <w:rPr>
                <w:sz w:val="22"/>
                <w:szCs w:val="22"/>
              </w:rPr>
              <w:t>EESC-2024-00782-00-00-AC</w:t>
            </w:r>
          </w:p>
        </w:tc>
      </w:tr>
    </w:tbl>
    <w:p w:rsidRPr="001D1C39" w:rsidR="003C2FB3" w:rsidP="006A5684" w:rsidRDefault="003C2FB3" w14:paraId="66624150" w14:textId="77777777">
      <w:pPr>
        <w:tabs>
          <w:tab w:val="center" w:pos="284"/>
        </w:tabs>
        <w:overflowPunct w:val="0"/>
        <w:autoSpaceDE w:val="0"/>
        <w:autoSpaceDN w:val="0"/>
        <w:adjustRightInd w:val="0"/>
        <w:ind w:left="266" w:hanging="266"/>
        <w:textAlignment w:val="baseline"/>
      </w:pPr>
    </w:p>
    <w:p w:rsidRPr="001D1C39" w:rsidR="003C2FB3" w:rsidP="006A5684" w:rsidRDefault="003C2FB3" w14:paraId="62708475" w14:textId="77777777">
      <w:pPr>
        <w:keepNext/>
        <w:keepLines/>
        <w:tabs>
          <w:tab w:val="center" w:pos="284"/>
        </w:tabs>
        <w:overflowPunct w:val="0"/>
        <w:autoSpaceDE w:val="0"/>
        <w:autoSpaceDN w:val="0"/>
        <w:adjustRightInd w:val="0"/>
        <w:ind w:left="266" w:hanging="266"/>
        <w:textAlignment w:val="baseline"/>
        <w:rPr>
          <w:b/>
        </w:rPr>
      </w:pPr>
      <w:r w:rsidRPr="001D1C39">
        <w:rPr>
          <w:b/>
        </w:rPr>
        <w:t>Hovedpunkter</w:t>
      </w:r>
    </w:p>
    <w:p w:rsidRPr="001D1C39" w:rsidR="003C2FB3" w:rsidP="006A5684" w:rsidRDefault="003C2FB3" w14:paraId="11967A03" w14:textId="77777777">
      <w:pPr>
        <w:keepNext/>
        <w:keepLines/>
        <w:tabs>
          <w:tab w:val="center" w:pos="284"/>
        </w:tabs>
        <w:overflowPunct w:val="0"/>
        <w:autoSpaceDE w:val="0"/>
        <w:autoSpaceDN w:val="0"/>
        <w:adjustRightInd w:val="0"/>
        <w:ind w:left="266" w:hanging="266"/>
        <w:textAlignment w:val="baseline"/>
        <w:rPr>
          <w:b/>
        </w:rPr>
      </w:pPr>
    </w:p>
    <w:p w:rsidRPr="001D1C39" w:rsidR="003C2FB3" w:rsidP="006A5684" w:rsidRDefault="003C2FB3" w14:paraId="54D38215" w14:textId="77777777">
      <w:pPr>
        <w:overflowPunct w:val="0"/>
        <w:autoSpaceDE w:val="0"/>
        <w:autoSpaceDN w:val="0"/>
        <w:adjustRightInd w:val="0"/>
        <w:textAlignment w:val="baseline"/>
        <w:rPr>
          <w:bCs/>
          <w:iCs/>
        </w:rPr>
      </w:pPr>
      <w:r w:rsidRPr="001D1C39">
        <w:t>EØSU:</w:t>
      </w:r>
    </w:p>
    <w:p w:rsidRPr="001D1C39" w:rsidR="003C2FB3" w:rsidP="006A5684" w:rsidRDefault="003C2FB3" w14:paraId="0DFECBD7" w14:textId="77777777">
      <w:pPr>
        <w:widowControl w:val="0"/>
        <w:numPr>
          <w:ilvl w:val="0"/>
          <w:numId w:val="27"/>
        </w:numPr>
        <w:overflowPunct w:val="0"/>
        <w:autoSpaceDE w:val="0"/>
        <w:autoSpaceDN w:val="0"/>
        <w:adjustRightInd w:val="0"/>
        <w:ind w:left="284" w:hanging="284"/>
        <w:textAlignment w:val="baseline"/>
        <w:rPr>
          <w:bCs/>
          <w:iCs/>
        </w:rPr>
      </w:pPr>
      <w:r w:rsidRPr="001D1C39">
        <w:t>glæder sig over strategien for den europæiske forsvarsindustri, der er et vigtigt skridt i retning af at styrke Europas forsvarsberedskab og dermed evnen til at beskytte sine borgere, territorier og kerneværdier samt sin måde at leve på</w:t>
      </w:r>
    </w:p>
    <w:p w:rsidRPr="001D1C39" w:rsidR="003C2FB3" w:rsidP="006A5684" w:rsidRDefault="003C2FB3" w14:paraId="02DEA830" w14:textId="77777777">
      <w:pPr>
        <w:widowControl w:val="0"/>
        <w:numPr>
          <w:ilvl w:val="0"/>
          <w:numId w:val="27"/>
        </w:numPr>
        <w:overflowPunct w:val="0"/>
        <w:autoSpaceDE w:val="0"/>
        <w:autoSpaceDN w:val="0"/>
        <w:adjustRightInd w:val="0"/>
        <w:ind w:left="284" w:hanging="284"/>
        <w:textAlignment w:val="baseline"/>
        <w:rPr>
          <w:bCs/>
          <w:iCs/>
        </w:rPr>
      </w:pPr>
      <w:r w:rsidRPr="001D1C39">
        <w:t>bifalder skiftet i tilgangen fra nødforanstaltninger til en mere langsigtet strukturel indsats. Udvalget glæder sig navnlig over, at der fokuseres på behovet for at øge europæiske indkøb til at dække europæiske behov</w:t>
      </w:r>
    </w:p>
    <w:p w:rsidRPr="001D1C39" w:rsidR="003C2FB3" w:rsidP="006A5684" w:rsidRDefault="003C2FB3" w14:paraId="32E6EBF1" w14:textId="77777777">
      <w:pPr>
        <w:widowControl w:val="0"/>
        <w:numPr>
          <w:ilvl w:val="0"/>
          <w:numId w:val="27"/>
        </w:numPr>
        <w:overflowPunct w:val="0"/>
        <w:autoSpaceDE w:val="0"/>
        <w:autoSpaceDN w:val="0"/>
        <w:adjustRightInd w:val="0"/>
        <w:ind w:left="284" w:hanging="284"/>
        <w:textAlignment w:val="baseline"/>
        <w:rPr>
          <w:bCs/>
          <w:iCs/>
        </w:rPr>
      </w:pPr>
      <w:r w:rsidRPr="001D1C39">
        <w:t>fremhæver betydningen af at styrke partnerskaberne med venligtsindede lande med fælles værdier for at opfylde strategiens mål</w:t>
      </w:r>
    </w:p>
    <w:p w:rsidRPr="001D1C39" w:rsidR="003C2FB3" w:rsidP="006A5684" w:rsidRDefault="003C2FB3" w14:paraId="5FF6405D" w14:textId="77777777">
      <w:pPr>
        <w:widowControl w:val="0"/>
        <w:numPr>
          <w:ilvl w:val="0"/>
          <w:numId w:val="27"/>
        </w:numPr>
        <w:overflowPunct w:val="0"/>
        <w:autoSpaceDE w:val="0"/>
        <w:autoSpaceDN w:val="0"/>
        <w:adjustRightInd w:val="0"/>
        <w:ind w:left="284" w:hanging="284"/>
        <w:textAlignment w:val="baseline"/>
        <w:rPr>
          <w:bCs/>
          <w:iCs/>
        </w:rPr>
      </w:pPr>
      <w:r w:rsidRPr="001D1C39">
        <w:t>beklager, at strategien ikke tager højde for den offentlige holdning, da dette er en nøglefaktor i demokratiske samfund</w:t>
      </w:r>
    </w:p>
    <w:p w:rsidRPr="001D1C39" w:rsidR="003C2FB3" w:rsidP="006A5684" w:rsidRDefault="003C2FB3" w14:paraId="05100907" w14:textId="77777777">
      <w:pPr>
        <w:widowControl w:val="0"/>
        <w:numPr>
          <w:ilvl w:val="0"/>
          <w:numId w:val="27"/>
        </w:numPr>
        <w:overflowPunct w:val="0"/>
        <w:autoSpaceDE w:val="0"/>
        <w:autoSpaceDN w:val="0"/>
        <w:adjustRightInd w:val="0"/>
        <w:ind w:left="284" w:hanging="284"/>
        <w:textAlignment w:val="baseline"/>
        <w:rPr>
          <w:bCs/>
          <w:iCs/>
        </w:rPr>
      </w:pPr>
      <w:r w:rsidRPr="001D1C39">
        <w:t>bemærker, at det centrale instrument for gennemførelsen af strategien (EDIP) sandsynligvis ikke være operationelt før udgangen af 2025. Strategien skal derfor suppleres med andre kortsigtede foranstaltninger, der tager sigte på at imødekomme de umiddelbare behov</w:t>
      </w:r>
    </w:p>
    <w:p w:rsidRPr="001D1C39" w:rsidR="003C2FB3" w:rsidP="006A5684" w:rsidRDefault="003C2FB3" w14:paraId="533711D5" w14:textId="77777777">
      <w:pPr>
        <w:widowControl w:val="0"/>
        <w:numPr>
          <w:ilvl w:val="0"/>
          <w:numId w:val="27"/>
        </w:numPr>
        <w:overflowPunct w:val="0"/>
        <w:autoSpaceDE w:val="0"/>
        <w:autoSpaceDN w:val="0"/>
        <w:adjustRightInd w:val="0"/>
        <w:ind w:left="284" w:hanging="284"/>
        <w:textAlignment w:val="baseline"/>
        <w:rPr>
          <w:bCs/>
          <w:iCs/>
        </w:rPr>
      </w:pPr>
      <w:r w:rsidRPr="001D1C39">
        <w:t xml:space="preserve">opfordrer medlemsstaterne til at acceptere Kommissionens opfordring til på kort sigt at undersøge mulighederne for gennem de tilgængelige instrumenter at fremme omfattende fælles indkøb af forsvarsmateriel, storstilet </w:t>
      </w:r>
      <w:proofErr w:type="spellStart"/>
      <w:r w:rsidRPr="001D1C39">
        <w:t>opskalering</w:t>
      </w:r>
      <w:proofErr w:type="spellEnd"/>
      <w:r w:rsidRPr="001D1C39">
        <w:t xml:space="preserve"> af EDTIB og lancering af flagskibsprojekter på forsvarsområdet</w:t>
      </w:r>
    </w:p>
    <w:p w:rsidRPr="001D1C39" w:rsidR="003C2FB3" w:rsidP="006A5684" w:rsidRDefault="003C2FB3" w14:paraId="02B3EC61" w14:textId="77777777">
      <w:pPr>
        <w:widowControl w:val="0"/>
        <w:numPr>
          <w:ilvl w:val="0"/>
          <w:numId w:val="27"/>
        </w:numPr>
        <w:overflowPunct w:val="0"/>
        <w:autoSpaceDE w:val="0"/>
        <w:autoSpaceDN w:val="0"/>
        <w:adjustRightInd w:val="0"/>
        <w:ind w:left="284" w:hanging="284"/>
        <w:textAlignment w:val="baseline"/>
        <w:rPr>
          <w:bCs/>
          <w:iCs/>
        </w:rPr>
      </w:pPr>
      <w:r w:rsidRPr="001D1C39">
        <w:t>er af den opfattelse, at det er afgørende at sikre forsvarsindustriens adgang til kvalificeret arbejdskraft, teknologi og forskning både ud fra et industrielt og et strategisk perspektiv</w:t>
      </w:r>
    </w:p>
    <w:p w:rsidRPr="001D1C39" w:rsidR="003C2FB3" w:rsidP="006A5684" w:rsidRDefault="003C2FB3" w14:paraId="4B7FEA1A" w14:textId="77777777">
      <w:pPr>
        <w:widowControl w:val="0"/>
        <w:numPr>
          <w:ilvl w:val="0"/>
          <w:numId w:val="27"/>
        </w:numPr>
        <w:overflowPunct w:val="0"/>
        <w:autoSpaceDE w:val="0"/>
        <w:autoSpaceDN w:val="0"/>
        <w:adjustRightInd w:val="0"/>
        <w:ind w:left="284" w:hanging="284"/>
        <w:textAlignment w:val="baseline"/>
        <w:rPr>
          <w:bCs/>
          <w:iCs/>
        </w:rPr>
      </w:pPr>
      <w:r w:rsidRPr="001D1C39">
        <w:t>understreger, at strategiens succes først og fremmest afhænger af medlemsstaternes fulde engagement og anerkendelse af merværdien af en europæisk tilgang.</w:t>
      </w:r>
    </w:p>
    <w:p w:rsidRPr="001D1C39" w:rsidR="003C2FB3" w:rsidP="006A5684" w:rsidRDefault="003C2FB3" w14:paraId="0544CF61" w14:textId="77777777">
      <w:pPr>
        <w:widowControl w:val="0"/>
        <w:overflowPunct w:val="0"/>
        <w:autoSpaceDE w:val="0"/>
        <w:autoSpaceDN w:val="0"/>
        <w:adjustRightInd w:val="0"/>
        <w:ind w:left="709"/>
        <w:textAlignment w:val="baseline"/>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D1C39" w:rsidR="003C2FB3" w:rsidTr="00FE3058" w14:paraId="0D2CEC95" w14:textId="77777777">
        <w:tc>
          <w:tcPr>
            <w:tcW w:w="1556" w:type="pct"/>
          </w:tcPr>
          <w:p w:rsidRPr="001D1C39" w:rsidR="003C2FB3" w:rsidP="006A5684" w:rsidRDefault="003C2FB3" w14:paraId="3BD45DE2" w14:textId="77777777">
            <w:pPr>
              <w:overflowPunct w:val="0"/>
              <w:autoSpaceDE w:val="0"/>
              <w:autoSpaceDN w:val="0"/>
              <w:adjustRightInd w:val="0"/>
              <w:textAlignment w:val="baseline"/>
              <w:rPr>
                <w:i/>
                <w:sz w:val="22"/>
                <w:szCs w:val="22"/>
              </w:rPr>
            </w:pPr>
            <w:r w:rsidRPr="001D1C39">
              <w:rPr>
                <w:b/>
                <w:i/>
                <w:sz w:val="22"/>
                <w:szCs w:val="22"/>
              </w:rPr>
              <w:t>Kontakt</w:t>
            </w:r>
          </w:p>
        </w:tc>
        <w:tc>
          <w:tcPr>
            <w:tcW w:w="3444" w:type="pct"/>
          </w:tcPr>
          <w:p w:rsidRPr="001D1C39" w:rsidR="003C2FB3" w:rsidP="006A5684" w:rsidRDefault="003C2FB3" w14:paraId="5D226FEE" w14:textId="7F8C40FE">
            <w:pPr>
              <w:overflowPunct w:val="0"/>
              <w:autoSpaceDE w:val="0"/>
              <w:autoSpaceDN w:val="0"/>
              <w:adjustRightInd w:val="0"/>
              <w:textAlignment w:val="baseline"/>
              <w:rPr>
                <w:i/>
                <w:sz w:val="22"/>
                <w:szCs w:val="22"/>
              </w:rPr>
            </w:pPr>
            <w:r w:rsidRPr="001D1C39">
              <w:rPr>
                <w:i/>
                <w:sz w:val="22"/>
                <w:szCs w:val="22"/>
              </w:rPr>
              <w:t xml:space="preserve">Ioannis </w:t>
            </w:r>
            <w:proofErr w:type="spellStart"/>
            <w:r w:rsidRPr="001D1C39">
              <w:rPr>
                <w:i/>
                <w:sz w:val="22"/>
                <w:szCs w:val="22"/>
              </w:rPr>
              <w:t>Diamantopoulos</w:t>
            </w:r>
            <w:proofErr w:type="spellEnd"/>
          </w:p>
        </w:tc>
      </w:tr>
      <w:tr w:rsidRPr="001D1C39" w:rsidR="003C2FB3" w:rsidTr="00FE3058" w14:paraId="596191B0" w14:textId="77777777">
        <w:tc>
          <w:tcPr>
            <w:tcW w:w="1556" w:type="pct"/>
          </w:tcPr>
          <w:p w:rsidRPr="001D1C39" w:rsidR="003C2FB3" w:rsidP="006A5684" w:rsidRDefault="003C2FB3" w14:paraId="0F7CD1EB" w14:textId="77777777">
            <w:pPr>
              <w:overflowPunct w:val="0"/>
              <w:autoSpaceDE w:val="0"/>
              <w:autoSpaceDN w:val="0"/>
              <w:adjustRightInd w:val="0"/>
              <w:textAlignment w:val="baseline"/>
              <w:rPr>
                <w:i/>
                <w:sz w:val="22"/>
                <w:szCs w:val="22"/>
              </w:rPr>
            </w:pPr>
            <w:r w:rsidRPr="001D1C39">
              <w:rPr>
                <w:i/>
                <w:sz w:val="22"/>
                <w:szCs w:val="22"/>
              </w:rPr>
              <w:t>Tlf.</w:t>
            </w:r>
          </w:p>
        </w:tc>
        <w:tc>
          <w:tcPr>
            <w:tcW w:w="3444" w:type="pct"/>
          </w:tcPr>
          <w:p w:rsidRPr="001D1C39" w:rsidR="003C2FB3" w:rsidP="006A5684" w:rsidRDefault="003C2FB3" w14:paraId="428DEA48" w14:textId="77777777">
            <w:pPr>
              <w:overflowPunct w:val="0"/>
              <w:autoSpaceDE w:val="0"/>
              <w:autoSpaceDN w:val="0"/>
              <w:adjustRightInd w:val="0"/>
              <w:textAlignment w:val="baseline"/>
              <w:rPr>
                <w:i/>
                <w:sz w:val="22"/>
                <w:szCs w:val="22"/>
              </w:rPr>
            </w:pPr>
            <w:r w:rsidRPr="001D1C39">
              <w:rPr>
                <w:i/>
                <w:sz w:val="22"/>
                <w:szCs w:val="22"/>
              </w:rPr>
              <w:t>00 32 2 546 91 70</w:t>
            </w:r>
          </w:p>
        </w:tc>
      </w:tr>
      <w:tr w:rsidRPr="001D1C39" w:rsidR="003C2FB3" w:rsidTr="00FE3058" w14:paraId="2628CAA2" w14:textId="77777777">
        <w:tc>
          <w:tcPr>
            <w:tcW w:w="1556" w:type="pct"/>
          </w:tcPr>
          <w:p w:rsidRPr="001D1C39" w:rsidR="003C2FB3" w:rsidP="006A5684" w:rsidRDefault="003C2FB3" w14:paraId="0F1EFC5C" w14:textId="77777777">
            <w:pPr>
              <w:overflowPunct w:val="0"/>
              <w:autoSpaceDE w:val="0"/>
              <w:autoSpaceDN w:val="0"/>
              <w:adjustRightInd w:val="0"/>
              <w:textAlignment w:val="baseline"/>
              <w:rPr>
                <w:i/>
                <w:sz w:val="22"/>
                <w:szCs w:val="22"/>
              </w:rPr>
            </w:pPr>
            <w:r w:rsidRPr="001D1C39">
              <w:rPr>
                <w:i/>
                <w:sz w:val="22"/>
                <w:szCs w:val="22"/>
              </w:rPr>
              <w:t>E-mail</w:t>
            </w:r>
          </w:p>
        </w:tc>
        <w:tc>
          <w:tcPr>
            <w:tcW w:w="3444" w:type="pct"/>
          </w:tcPr>
          <w:p w:rsidRPr="001D1C39" w:rsidR="003C2FB3" w:rsidP="006A5684" w:rsidRDefault="003D1988" w14:paraId="32C40CB8" w14:textId="77777777">
            <w:pPr>
              <w:overflowPunct w:val="0"/>
              <w:autoSpaceDE w:val="0"/>
              <w:autoSpaceDN w:val="0"/>
              <w:adjustRightInd w:val="0"/>
              <w:textAlignment w:val="baseline"/>
              <w:rPr>
                <w:i/>
                <w:sz w:val="22"/>
                <w:szCs w:val="22"/>
              </w:rPr>
            </w:pPr>
            <w:hyperlink w:history="1" r:id="rId43">
              <w:proofErr w:type="spellStart"/>
              <w:r w:rsidRPr="001D1C39" w:rsidR="00D97A3B">
                <w:rPr>
                  <w:i/>
                  <w:color w:val="0000FF"/>
                  <w:sz w:val="22"/>
                  <w:szCs w:val="22"/>
                  <w:u w:val="single"/>
                </w:rPr>
                <w:t>Ioannis.Diamantopoulos@eesc.europa.eu</w:t>
              </w:r>
              <w:proofErr w:type="spellEnd"/>
            </w:hyperlink>
          </w:p>
        </w:tc>
      </w:tr>
    </w:tbl>
    <w:p w:rsidRPr="001D1C39" w:rsidR="00B612CA" w:rsidP="006A5684" w:rsidRDefault="00B612CA" w14:paraId="0A3D4AF6" w14:textId="77777777">
      <w:pPr>
        <w:overflowPunct w:val="0"/>
        <w:autoSpaceDE w:val="0"/>
        <w:autoSpaceDN w:val="0"/>
        <w:adjustRightInd w:val="0"/>
        <w:jc w:val="left"/>
        <w:textAlignment w:val="baseline"/>
        <w:rPr>
          <w:lang w:val="nl-BE"/>
        </w:rPr>
      </w:pPr>
    </w:p>
    <w:p w:rsidR="00C26C81" w:rsidP="006A5684" w:rsidRDefault="00C26C81" w14:paraId="209CF203" w14:textId="6268DD8D">
      <w:pPr>
        <w:jc w:val="left"/>
      </w:pPr>
      <w:r>
        <w:br w:type="page"/>
      </w:r>
    </w:p>
    <w:p w:rsidRPr="00C26C81" w:rsidR="00C26C81" w:rsidP="006A5684" w:rsidRDefault="003D1988" w14:paraId="216DA7D4" w14:textId="4D9F3A69">
      <w:pPr>
        <w:widowControl w:val="0"/>
        <w:numPr>
          <w:ilvl w:val="0"/>
          <w:numId w:val="7"/>
        </w:numPr>
        <w:overflowPunct w:val="0"/>
        <w:autoSpaceDE w:val="0"/>
        <w:autoSpaceDN w:val="0"/>
        <w:adjustRightInd w:val="0"/>
        <w:ind w:hanging="567"/>
        <w:textAlignment w:val="baseline"/>
        <w:rPr>
          <w:sz w:val="20"/>
          <w:szCs w:val="20"/>
        </w:rPr>
      </w:pPr>
      <w:hyperlink w:history="1" r:id="rId44">
        <w:r w:rsidR="00D97A3B">
          <w:rPr>
            <w:b/>
            <w:i/>
            <w:color w:val="0000FF"/>
            <w:sz w:val="28"/>
            <w:u w:val="single"/>
          </w:rPr>
          <w:t>Industrielle og teknologiske strategier og bedste praksis for et samfund, der er modstandsdygtigt på vandområdet</w:t>
        </w:r>
      </w:hyperlink>
    </w:p>
    <w:p w:rsidRPr="001D1C39" w:rsidR="00DF1937" w:rsidP="006A5684" w:rsidRDefault="00DF1937" w14:paraId="48918DB7" w14:textId="77777777">
      <w:pPr>
        <w:tabs>
          <w:tab w:val="center" w:pos="284"/>
        </w:tabs>
        <w:overflowPunct w:val="0"/>
        <w:autoSpaceDE w:val="0"/>
        <w:autoSpaceDN w:val="0"/>
        <w:adjustRightInd w:val="0"/>
        <w:ind w:left="266" w:hanging="266"/>
        <w:textAlignment w:val="baseline"/>
        <w:rPr>
          <w:b/>
        </w:rPr>
      </w:pPr>
    </w:p>
    <w:tbl>
      <w:tblPr>
        <w:tblStyle w:val="TableGrid224"/>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1D1C39" w:rsidR="00C26C81" w:rsidTr="00FE3058" w14:paraId="120DFBE2" w14:textId="77777777">
        <w:tc>
          <w:tcPr>
            <w:tcW w:w="1148" w:type="pct"/>
          </w:tcPr>
          <w:p w:rsidRPr="001D1C39" w:rsidR="00C26C81" w:rsidP="006A5684" w:rsidRDefault="00C26C81" w14:paraId="622F56C9"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Ordfører</w:t>
            </w:r>
          </w:p>
        </w:tc>
        <w:tc>
          <w:tcPr>
            <w:tcW w:w="3852" w:type="pct"/>
          </w:tcPr>
          <w:p w:rsidRPr="001D1C39" w:rsidR="00C26C81" w:rsidP="006A5684" w:rsidRDefault="00C26C81" w14:paraId="4D21502F" w14:textId="7090BED6">
            <w:pPr>
              <w:tabs>
                <w:tab w:val="center" w:pos="284"/>
              </w:tabs>
              <w:overflowPunct w:val="0"/>
              <w:autoSpaceDE w:val="0"/>
              <w:autoSpaceDN w:val="0"/>
              <w:adjustRightInd w:val="0"/>
              <w:ind w:left="266" w:hanging="266"/>
              <w:textAlignment w:val="baseline"/>
              <w:rPr>
                <w:sz w:val="22"/>
                <w:szCs w:val="22"/>
              </w:rPr>
            </w:pPr>
            <w:r w:rsidRPr="001D1C39">
              <w:rPr>
                <w:sz w:val="22"/>
                <w:szCs w:val="22"/>
              </w:rPr>
              <w:t>Florian Marin (Arbejdstagergruppen – RO)</w:t>
            </w:r>
          </w:p>
        </w:tc>
      </w:tr>
      <w:tr w:rsidRPr="001D1C39" w:rsidR="00C26C81" w:rsidTr="00FE3058" w14:paraId="1F60F708" w14:textId="77777777">
        <w:tc>
          <w:tcPr>
            <w:tcW w:w="1148" w:type="pct"/>
          </w:tcPr>
          <w:p w:rsidRPr="001D1C39" w:rsidR="00C26C81" w:rsidP="006A5684" w:rsidRDefault="00C26C81" w14:paraId="3D84DAA7"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Medordfører</w:t>
            </w:r>
          </w:p>
        </w:tc>
        <w:tc>
          <w:tcPr>
            <w:tcW w:w="3852" w:type="pct"/>
          </w:tcPr>
          <w:p w:rsidRPr="001D1C39" w:rsidR="00C26C81" w:rsidP="006A5684" w:rsidRDefault="00C26C81" w14:paraId="2CC5126F" w14:textId="7BF5F8C5">
            <w:pPr>
              <w:tabs>
                <w:tab w:val="center" w:pos="284"/>
              </w:tabs>
              <w:overflowPunct w:val="0"/>
              <w:autoSpaceDE w:val="0"/>
              <w:autoSpaceDN w:val="0"/>
              <w:adjustRightInd w:val="0"/>
              <w:ind w:left="266" w:hanging="266"/>
              <w:textAlignment w:val="baseline"/>
              <w:rPr>
                <w:sz w:val="22"/>
                <w:szCs w:val="22"/>
              </w:rPr>
            </w:pPr>
            <w:r w:rsidRPr="001D1C39">
              <w:rPr>
                <w:sz w:val="22"/>
                <w:szCs w:val="22"/>
              </w:rPr>
              <w:t>John Bryan (Kat. 3 – IE)</w:t>
            </w:r>
          </w:p>
        </w:tc>
      </w:tr>
      <w:tr w:rsidRPr="001D1C39" w:rsidR="00C26C81" w:rsidTr="00FE3058" w14:paraId="0255D7F1" w14:textId="77777777">
        <w:tc>
          <w:tcPr>
            <w:tcW w:w="5000" w:type="pct"/>
            <w:gridSpan w:val="2"/>
          </w:tcPr>
          <w:p w:rsidRPr="001D1C39" w:rsidR="00C26C81" w:rsidP="006A5684" w:rsidRDefault="00C26C81" w14:paraId="65F1A50D" w14:textId="77777777">
            <w:pPr>
              <w:tabs>
                <w:tab w:val="center" w:pos="284"/>
              </w:tabs>
              <w:overflowPunct w:val="0"/>
              <w:autoSpaceDE w:val="0"/>
              <w:autoSpaceDN w:val="0"/>
              <w:adjustRightInd w:val="0"/>
              <w:ind w:left="266" w:hanging="266"/>
              <w:textAlignment w:val="baseline"/>
              <w:rPr>
                <w:sz w:val="22"/>
                <w:szCs w:val="22"/>
              </w:rPr>
            </w:pPr>
          </w:p>
        </w:tc>
      </w:tr>
      <w:tr w:rsidRPr="001D1C39" w:rsidR="00C26C81" w:rsidTr="00FE3058" w14:paraId="6490CDCA" w14:textId="77777777">
        <w:tc>
          <w:tcPr>
            <w:tcW w:w="1148" w:type="pct"/>
            <w:vMerge w:val="restart"/>
          </w:tcPr>
          <w:p w:rsidRPr="001D1C39" w:rsidR="00C26C81" w:rsidP="006A5684" w:rsidRDefault="00C26C81" w14:paraId="3249E176" w14:textId="77777777">
            <w:pPr>
              <w:tabs>
                <w:tab w:val="center" w:pos="284"/>
              </w:tabs>
              <w:overflowPunct w:val="0"/>
              <w:autoSpaceDE w:val="0"/>
              <w:autoSpaceDN w:val="0"/>
              <w:adjustRightInd w:val="0"/>
              <w:ind w:left="266" w:hanging="266"/>
              <w:textAlignment w:val="baseline"/>
              <w:rPr>
                <w:b/>
                <w:sz w:val="22"/>
                <w:szCs w:val="22"/>
              </w:rPr>
            </w:pPr>
            <w:r w:rsidRPr="001D1C39">
              <w:rPr>
                <w:b/>
                <w:sz w:val="22"/>
                <w:szCs w:val="22"/>
              </w:rPr>
              <w:t>Ref.</w:t>
            </w:r>
          </w:p>
        </w:tc>
        <w:tc>
          <w:tcPr>
            <w:tcW w:w="3852" w:type="pct"/>
          </w:tcPr>
          <w:p w:rsidRPr="001D1C39" w:rsidR="00DF1937" w:rsidP="006A5684" w:rsidRDefault="00DF1937" w14:paraId="62B42CB3" w14:textId="689EBFFE">
            <w:pPr>
              <w:tabs>
                <w:tab w:val="center" w:pos="284"/>
              </w:tabs>
              <w:overflowPunct w:val="0"/>
              <w:autoSpaceDE w:val="0"/>
              <w:autoSpaceDN w:val="0"/>
              <w:adjustRightInd w:val="0"/>
              <w:ind w:left="266" w:hanging="266"/>
              <w:textAlignment w:val="baseline"/>
              <w:rPr>
                <w:sz w:val="22"/>
                <w:szCs w:val="22"/>
              </w:rPr>
            </w:pPr>
            <w:r w:rsidRPr="001D1C39">
              <w:rPr>
                <w:sz w:val="22"/>
                <w:szCs w:val="22"/>
              </w:rPr>
              <w:t>Sonderende udtalelse på anmodning af Kommissionen</w:t>
            </w:r>
          </w:p>
          <w:p w:rsidRPr="001D1C39" w:rsidR="00C26C81" w:rsidP="006A5684" w:rsidRDefault="00C26C81" w14:paraId="575B4C73" w14:textId="570E8293">
            <w:pPr>
              <w:tabs>
                <w:tab w:val="center" w:pos="284"/>
              </w:tabs>
              <w:overflowPunct w:val="0"/>
              <w:autoSpaceDE w:val="0"/>
              <w:autoSpaceDN w:val="0"/>
              <w:adjustRightInd w:val="0"/>
              <w:ind w:left="266" w:hanging="266"/>
              <w:textAlignment w:val="baseline"/>
              <w:rPr>
                <w:sz w:val="22"/>
                <w:szCs w:val="22"/>
              </w:rPr>
            </w:pPr>
            <w:r w:rsidRPr="001D1C39">
              <w:rPr>
                <w:sz w:val="22"/>
                <w:szCs w:val="22"/>
              </w:rPr>
              <w:t>EESC-2024-00209-00-00-AC</w:t>
            </w:r>
          </w:p>
        </w:tc>
      </w:tr>
      <w:tr w:rsidRPr="001D1C39" w:rsidR="00C26C81" w:rsidTr="00FE3058" w14:paraId="7D13EFEC" w14:textId="77777777">
        <w:tc>
          <w:tcPr>
            <w:tcW w:w="1148" w:type="pct"/>
            <w:vMerge/>
          </w:tcPr>
          <w:p w:rsidRPr="001D1C39" w:rsidR="00C26C81" w:rsidP="006A5684" w:rsidRDefault="00C26C81" w14:paraId="22339B72" w14:textId="77777777">
            <w:pPr>
              <w:tabs>
                <w:tab w:val="center" w:pos="284"/>
              </w:tabs>
              <w:overflowPunct w:val="0"/>
              <w:autoSpaceDE w:val="0"/>
              <w:autoSpaceDN w:val="0"/>
              <w:adjustRightInd w:val="0"/>
              <w:ind w:left="266" w:hanging="266"/>
              <w:textAlignment w:val="baseline"/>
              <w:rPr>
                <w:b/>
                <w:sz w:val="22"/>
                <w:szCs w:val="22"/>
              </w:rPr>
            </w:pPr>
          </w:p>
        </w:tc>
        <w:tc>
          <w:tcPr>
            <w:tcW w:w="3852" w:type="pct"/>
          </w:tcPr>
          <w:p w:rsidRPr="001D1C39" w:rsidR="00C26C81" w:rsidP="006A5684" w:rsidRDefault="00C26C81" w14:paraId="30DF2ED2" w14:textId="77777777">
            <w:pPr>
              <w:tabs>
                <w:tab w:val="center" w:pos="284"/>
              </w:tabs>
              <w:overflowPunct w:val="0"/>
              <w:autoSpaceDE w:val="0"/>
              <w:autoSpaceDN w:val="0"/>
              <w:adjustRightInd w:val="0"/>
              <w:ind w:left="266" w:hanging="266"/>
              <w:textAlignment w:val="baseline"/>
              <w:rPr>
                <w:sz w:val="22"/>
                <w:szCs w:val="22"/>
              </w:rPr>
            </w:pPr>
          </w:p>
        </w:tc>
      </w:tr>
    </w:tbl>
    <w:p w:rsidRPr="001D1C39" w:rsidR="00C26C81" w:rsidP="006A5684" w:rsidRDefault="00C26C81" w14:paraId="6756B12C" w14:textId="77777777">
      <w:pPr>
        <w:keepNext/>
        <w:keepLines/>
        <w:tabs>
          <w:tab w:val="center" w:pos="284"/>
        </w:tabs>
        <w:overflowPunct w:val="0"/>
        <w:autoSpaceDE w:val="0"/>
        <w:autoSpaceDN w:val="0"/>
        <w:adjustRightInd w:val="0"/>
        <w:ind w:left="266" w:hanging="266"/>
        <w:textAlignment w:val="baseline"/>
        <w:rPr>
          <w:b/>
        </w:rPr>
      </w:pPr>
      <w:r w:rsidRPr="001D1C39">
        <w:rPr>
          <w:b/>
        </w:rPr>
        <w:t>Hovedpunkter</w:t>
      </w:r>
    </w:p>
    <w:p w:rsidRPr="001D1C39" w:rsidR="00C26C81" w:rsidP="006A5684" w:rsidRDefault="00C26C81" w14:paraId="03D7DAA1" w14:textId="77777777">
      <w:pPr>
        <w:keepNext/>
        <w:keepLines/>
        <w:tabs>
          <w:tab w:val="center" w:pos="284"/>
        </w:tabs>
        <w:overflowPunct w:val="0"/>
        <w:autoSpaceDE w:val="0"/>
        <w:autoSpaceDN w:val="0"/>
        <w:adjustRightInd w:val="0"/>
        <w:ind w:left="266" w:hanging="266"/>
        <w:textAlignment w:val="baseline"/>
        <w:rPr>
          <w:b/>
        </w:rPr>
      </w:pPr>
    </w:p>
    <w:p w:rsidRPr="001D1C39" w:rsidR="00C26C81" w:rsidP="006A5684" w:rsidRDefault="00C26C81" w14:paraId="0AEAF1D0" w14:textId="370DE955">
      <w:pPr>
        <w:overflowPunct w:val="0"/>
        <w:autoSpaceDE w:val="0"/>
        <w:autoSpaceDN w:val="0"/>
        <w:adjustRightInd w:val="0"/>
        <w:textAlignment w:val="baseline"/>
        <w:rPr>
          <w:bCs/>
          <w:iCs/>
        </w:rPr>
      </w:pPr>
      <w:r w:rsidRPr="001D1C39">
        <w:t>EØSU:</w:t>
      </w:r>
    </w:p>
    <w:p w:rsidRPr="001D1C39" w:rsidR="00C26C81" w:rsidP="006A5684" w:rsidRDefault="00C26C81" w14:paraId="724B6930" w14:textId="77777777">
      <w:pPr>
        <w:numPr>
          <w:ilvl w:val="0"/>
          <w:numId w:val="28"/>
        </w:numPr>
        <w:overflowPunct w:val="0"/>
        <w:autoSpaceDE w:val="0"/>
        <w:autoSpaceDN w:val="0"/>
        <w:adjustRightInd w:val="0"/>
        <w:ind w:left="284" w:hanging="284"/>
        <w:contextualSpacing/>
        <w:textAlignment w:val="baseline"/>
        <w:rPr>
          <w:bCs/>
          <w:iCs/>
        </w:rPr>
      </w:pPr>
      <w:r w:rsidRPr="001D1C39">
        <w:t xml:space="preserve">opfordrer til en </w:t>
      </w:r>
      <w:r w:rsidRPr="001D1C39">
        <w:rPr>
          <w:b/>
        </w:rPr>
        <w:t>selvstændig strategi</w:t>
      </w:r>
      <w:r w:rsidRPr="001D1C39">
        <w:t xml:space="preserve"> – en blå EU-pagt – og til en handlingsplan </w:t>
      </w:r>
      <w:r w:rsidRPr="001D1C39">
        <w:rPr>
          <w:b/>
        </w:rPr>
        <w:t>for vand for at sikre vandmodstandsdygtighed, -sikkerhed og -bæredygtighed som supplement til EU's grønne pagt</w:t>
      </w:r>
    </w:p>
    <w:p w:rsidRPr="001D1C39" w:rsidR="00C26C81" w:rsidP="006A5684" w:rsidRDefault="00C26C81" w14:paraId="520F5238" w14:textId="77777777">
      <w:pPr>
        <w:numPr>
          <w:ilvl w:val="0"/>
          <w:numId w:val="28"/>
        </w:numPr>
        <w:overflowPunct w:val="0"/>
        <w:autoSpaceDE w:val="0"/>
        <w:autoSpaceDN w:val="0"/>
        <w:adjustRightInd w:val="0"/>
        <w:ind w:left="284" w:hanging="284"/>
        <w:contextualSpacing/>
        <w:textAlignment w:val="baseline"/>
        <w:rPr>
          <w:bCs/>
          <w:iCs/>
        </w:rPr>
      </w:pPr>
      <w:r w:rsidRPr="001D1C39">
        <w:t xml:space="preserve">opfordrer indtrængende EU til at </w:t>
      </w:r>
      <w:r w:rsidRPr="001D1C39">
        <w:rPr>
          <w:b/>
        </w:rPr>
        <w:t>integrere vand i en revideret industriel strategisk ramme</w:t>
      </w:r>
      <w:r w:rsidRPr="001D1C39">
        <w:t xml:space="preserve"> og i omstillingsforløbet med en sektorspecifik tilgang</w:t>
      </w:r>
    </w:p>
    <w:p w:rsidRPr="001D1C39" w:rsidR="00C26C81" w:rsidP="006A5684" w:rsidRDefault="00C26C81" w14:paraId="30D20AE2" w14:textId="77777777">
      <w:pPr>
        <w:numPr>
          <w:ilvl w:val="0"/>
          <w:numId w:val="28"/>
        </w:numPr>
        <w:overflowPunct w:val="0"/>
        <w:autoSpaceDE w:val="0"/>
        <w:autoSpaceDN w:val="0"/>
        <w:adjustRightInd w:val="0"/>
        <w:ind w:left="284" w:hanging="284"/>
        <w:contextualSpacing/>
        <w:textAlignment w:val="baseline"/>
        <w:rPr>
          <w:bCs/>
          <w:iCs/>
        </w:rPr>
      </w:pPr>
      <w:r w:rsidRPr="001D1C39">
        <w:t xml:space="preserve">bemærker, at denne revision skulle undersøge idéen om at indgå en </w:t>
      </w:r>
      <w:r w:rsidRPr="001D1C39">
        <w:rPr>
          <w:b/>
        </w:rPr>
        <w:t>ny industriel aftale for at tilbyde den europæiske industri en konsolideret strategi</w:t>
      </w:r>
      <w:r w:rsidRPr="001D1C39">
        <w:t>, der forholder sig til de mange udfordringer, den står over for (med hensyn til vand, energi, kritiske råstoffer, digitalisering og strategisk autonomi) inden for fire år</w:t>
      </w:r>
    </w:p>
    <w:p w:rsidRPr="001D1C39" w:rsidR="00C26C81" w:rsidP="006A5684" w:rsidRDefault="00C26C81" w14:paraId="04F84018" w14:textId="77777777">
      <w:pPr>
        <w:numPr>
          <w:ilvl w:val="0"/>
          <w:numId w:val="28"/>
        </w:numPr>
        <w:overflowPunct w:val="0"/>
        <w:autoSpaceDE w:val="0"/>
        <w:autoSpaceDN w:val="0"/>
        <w:adjustRightInd w:val="0"/>
        <w:ind w:left="284" w:hanging="284"/>
        <w:contextualSpacing/>
        <w:textAlignment w:val="baseline"/>
        <w:rPr>
          <w:bCs/>
          <w:iCs/>
        </w:rPr>
      </w:pPr>
      <w:r w:rsidRPr="001D1C39">
        <w:t>understreger, at industriel og teknologisk tilgang for et vandintelligent samfund skal være solidt strukturerede omkring</w:t>
      </w:r>
      <w:r w:rsidRPr="001D1C39">
        <w:rPr>
          <w:b/>
        </w:rPr>
        <w:t xml:space="preserve"> en omfattende bæredygtig vandforvaltningspolitik for industrier</w:t>
      </w:r>
      <w:r w:rsidRPr="001D1C39">
        <w:t xml:space="preserve"> baseret på reduktion, genbrug og genanvendelse af vand, øget lagring, nedbringelse af vandforureningen og herunder gradvis indførelse og anvendelse af vandeffektive teknologier, samtidig med at der sikres en retfærdig omstilling, der </w:t>
      </w:r>
      <w:r w:rsidRPr="001D1C39">
        <w:rPr>
          <w:b/>
        </w:rPr>
        <w:t>sikrer industriens konkurrenceevne</w:t>
      </w:r>
    </w:p>
    <w:p w:rsidRPr="001D1C39" w:rsidR="00C26C81" w:rsidP="006A5684" w:rsidRDefault="00C26C81" w14:paraId="42BF90D7" w14:textId="77777777">
      <w:pPr>
        <w:numPr>
          <w:ilvl w:val="0"/>
          <w:numId w:val="28"/>
        </w:numPr>
        <w:overflowPunct w:val="0"/>
        <w:autoSpaceDE w:val="0"/>
        <w:autoSpaceDN w:val="0"/>
        <w:adjustRightInd w:val="0"/>
        <w:ind w:left="284" w:hanging="284"/>
        <w:contextualSpacing/>
        <w:textAlignment w:val="baseline"/>
        <w:rPr>
          <w:bCs/>
          <w:iCs/>
        </w:rPr>
      </w:pPr>
      <w:r w:rsidRPr="001D1C39">
        <w:t xml:space="preserve">understreger behovet for et </w:t>
      </w:r>
      <w:r w:rsidRPr="001D1C39">
        <w:rPr>
          <w:b/>
        </w:rPr>
        <w:t>europæisk økosystem for vanddataforvaltning</w:t>
      </w:r>
      <w:r w:rsidRPr="001D1C39">
        <w:t xml:space="preserve"> samt behovet for at måle vandforbruget gennem alle produktionsprocesserne og minimere brugen af drikkevand til industrielle formål</w:t>
      </w:r>
    </w:p>
    <w:p w:rsidRPr="001D1C39" w:rsidR="00C26C81" w:rsidP="006A5684" w:rsidRDefault="00C26C81" w14:paraId="4A2463D1" w14:textId="77777777">
      <w:pPr>
        <w:numPr>
          <w:ilvl w:val="0"/>
          <w:numId w:val="28"/>
        </w:numPr>
        <w:overflowPunct w:val="0"/>
        <w:autoSpaceDE w:val="0"/>
        <w:autoSpaceDN w:val="0"/>
        <w:adjustRightInd w:val="0"/>
        <w:ind w:left="284" w:hanging="284"/>
        <w:contextualSpacing/>
        <w:textAlignment w:val="baseline"/>
        <w:rPr>
          <w:bCs/>
          <w:iCs/>
        </w:rPr>
      </w:pPr>
      <w:r w:rsidRPr="001D1C39">
        <w:t xml:space="preserve">fremhæver behovet for at </w:t>
      </w:r>
      <w:r w:rsidRPr="001D1C39">
        <w:rPr>
          <w:b/>
        </w:rPr>
        <w:t>sikre adgang til vand for de vigtigste industrier i krisesituationer</w:t>
      </w:r>
    </w:p>
    <w:p w:rsidRPr="001D1C39" w:rsidR="00C26C81" w:rsidP="006A5684" w:rsidRDefault="00C26C81" w14:paraId="71162F5A" w14:textId="77777777">
      <w:pPr>
        <w:numPr>
          <w:ilvl w:val="0"/>
          <w:numId w:val="28"/>
        </w:numPr>
        <w:overflowPunct w:val="0"/>
        <w:autoSpaceDE w:val="0"/>
        <w:autoSpaceDN w:val="0"/>
        <w:adjustRightInd w:val="0"/>
        <w:ind w:left="284" w:hanging="284"/>
        <w:contextualSpacing/>
        <w:textAlignment w:val="baseline"/>
        <w:rPr>
          <w:bCs/>
          <w:iCs/>
        </w:rPr>
      </w:pPr>
      <w:r w:rsidRPr="001D1C39">
        <w:t>opfordrer til et</w:t>
      </w:r>
      <w:r w:rsidRPr="001D1C39">
        <w:rPr>
          <w:b/>
        </w:rPr>
        <w:t xml:space="preserve"> omstillingsforløb til udvikling af en ren og vandeffektiv teknologisektor</w:t>
      </w:r>
      <w:r w:rsidRPr="001D1C39">
        <w:t>, herunder en køreplan for den menneskelige dimension for at sikre tilgængeligheden af de nødvendige færdigheder, kvalitetsjob og anstændige arbejdsvilkår.</w:t>
      </w:r>
    </w:p>
    <w:p w:rsidRPr="001D1C39" w:rsidR="00C26C81" w:rsidP="006A5684" w:rsidRDefault="00C26C81" w14:paraId="7B237525" w14:textId="77777777">
      <w:pPr>
        <w:numPr>
          <w:ilvl w:val="0"/>
          <w:numId w:val="28"/>
        </w:numPr>
        <w:overflowPunct w:val="0"/>
        <w:autoSpaceDE w:val="0"/>
        <w:autoSpaceDN w:val="0"/>
        <w:adjustRightInd w:val="0"/>
        <w:ind w:left="284" w:hanging="284"/>
        <w:contextualSpacing/>
        <w:textAlignment w:val="baseline"/>
        <w:rPr>
          <w:bCs/>
          <w:iCs/>
        </w:rPr>
      </w:pPr>
      <w:r w:rsidRPr="001D1C39">
        <w:t xml:space="preserve">foreslår foranstaltninger til støtte for </w:t>
      </w:r>
      <w:r w:rsidRPr="001D1C39">
        <w:rPr>
          <w:b/>
        </w:rPr>
        <w:t>gennemførelsen af fonden for blå omstilling på EU-plan</w:t>
      </w:r>
      <w:r w:rsidRPr="001D1C39">
        <w:t xml:space="preserve"> på det industrielle område</w:t>
      </w:r>
    </w:p>
    <w:p w:rsidRPr="001D1C39" w:rsidR="00C26C81" w:rsidP="006A5684" w:rsidRDefault="00C26C81" w14:paraId="1A520A8C" w14:textId="77777777">
      <w:pPr>
        <w:numPr>
          <w:ilvl w:val="0"/>
          <w:numId w:val="28"/>
        </w:numPr>
        <w:overflowPunct w:val="0"/>
        <w:autoSpaceDE w:val="0"/>
        <w:autoSpaceDN w:val="0"/>
        <w:adjustRightInd w:val="0"/>
        <w:ind w:left="284" w:hanging="284"/>
        <w:contextualSpacing/>
        <w:textAlignment w:val="baseline"/>
        <w:rPr>
          <w:bCs/>
          <w:iCs/>
        </w:rPr>
      </w:pPr>
      <w:r w:rsidRPr="001D1C39">
        <w:t xml:space="preserve">støtter, oprettelsen af </w:t>
      </w:r>
      <w:r w:rsidRPr="001D1C39">
        <w:rPr>
          <w:b/>
        </w:rPr>
        <w:t>videns- og innovationsfællesskabet (VIF)</w:t>
      </w:r>
      <w:r w:rsidRPr="001D1C39">
        <w:t xml:space="preserve"> for vand af Det Europæiske Institut for Innovation og Teknologi.</w:t>
      </w:r>
    </w:p>
    <w:p w:rsidRPr="001D1C39" w:rsidR="00C26C81" w:rsidP="006A5684" w:rsidRDefault="00C26C81" w14:paraId="586B6B4F" w14:textId="6B11469E">
      <w:pPr>
        <w:ind w:left="1276"/>
        <w:contextualSpacing/>
        <w:rPr>
          <w:bCs/>
          <w:iCs/>
          <w:lang w:eastAsia="zh-CN"/>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D1C39" w:rsidR="004F1302" w:rsidTr="0066006A" w14:paraId="598DD9AC" w14:textId="77777777">
        <w:tc>
          <w:tcPr>
            <w:tcW w:w="1556" w:type="pct"/>
          </w:tcPr>
          <w:p w:rsidRPr="001D1C39" w:rsidR="004F1302" w:rsidP="006A5684" w:rsidRDefault="004F1302" w14:paraId="15B56178" w14:textId="77777777">
            <w:pPr>
              <w:overflowPunct w:val="0"/>
              <w:autoSpaceDE w:val="0"/>
              <w:autoSpaceDN w:val="0"/>
              <w:adjustRightInd w:val="0"/>
              <w:textAlignment w:val="baseline"/>
              <w:rPr>
                <w:i/>
                <w:sz w:val="22"/>
                <w:szCs w:val="22"/>
              </w:rPr>
            </w:pPr>
            <w:r w:rsidRPr="001D1C39">
              <w:rPr>
                <w:b/>
                <w:i/>
                <w:sz w:val="22"/>
                <w:szCs w:val="22"/>
              </w:rPr>
              <w:t>Kontakt</w:t>
            </w:r>
          </w:p>
        </w:tc>
        <w:tc>
          <w:tcPr>
            <w:tcW w:w="3444" w:type="pct"/>
          </w:tcPr>
          <w:p w:rsidRPr="001D1C39" w:rsidR="004F1302" w:rsidP="006A5684" w:rsidRDefault="004F1302" w14:paraId="6A690265" w14:textId="1C17A6F4">
            <w:pPr>
              <w:overflowPunct w:val="0"/>
              <w:autoSpaceDE w:val="0"/>
              <w:autoSpaceDN w:val="0"/>
              <w:adjustRightInd w:val="0"/>
              <w:textAlignment w:val="baseline"/>
              <w:rPr>
                <w:i/>
                <w:sz w:val="22"/>
                <w:szCs w:val="22"/>
              </w:rPr>
            </w:pPr>
            <w:r w:rsidRPr="001D1C39">
              <w:rPr>
                <w:i/>
                <w:sz w:val="22"/>
                <w:szCs w:val="22"/>
              </w:rPr>
              <w:t xml:space="preserve">Heli </w:t>
            </w:r>
            <w:proofErr w:type="spellStart"/>
            <w:r w:rsidRPr="001D1C39">
              <w:rPr>
                <w:i/>
                <w:sz w:val="22"/>
                <w:szCs w:val="22"/>
              </w:rPr>
              <w:t>Niemelä-Farrer</w:t>
            </w:r>
            <w:proofErr w:type="spellEnd"/>
          </w:p>
        </w:tc>
      </w:tr>
      <w:tr w:rsidRPr="001D1C39" w:rsidR="004F1302" w:rsidTr="0066006A" w14:paraId="2972FB5B" w14:textId="77777777">
        <w:tc>
          <w:tcPr>
            <w:tcW w:w="1556" w:type="pct"/>
          </w:tcPr>
          <w:p w:rsidRPr="001D1C39" w:rsidR="004F1302" w:rsidP="006A5684" w:rsidRDefault="004F1302" w14:paraId="31E4746D" w14:textId="77777777">
            <w:pPr>
              <w:overflowPunct w:val="0"/>
              <w:autoSpaceDE w:val="0"/>
              <w:autoSpaceDN w:val="0"/>
              <w:adjustRightInd w:val="0"/>
              <w:textAlignment w:val="baseline"/>
              <w:rPr>
                <w:i/>
                <w:sz w:val="22"/>
                <w:szCs w:val="22"/>
              </w:rPr>
            </w:pPr>
            <w:r w:rsidRPr="001D1C39">
              <w:rPr>
                <w:i/>
                <w:sz w:val="22"/>
                <w:szCs w:val="22"/>
              </w:rPr>
              <w:t>Tlf.</w:t>
            </w:r>
          </w:p>
        </w:tc>
        <w:tc>
          <w:tcPr>
            <w:tcW w:w="3444" w:type="pct"/>
          </w:tcPr>
          <w:p w:rsidRPr="001D1C39" w:rsidR="004F1302" w:rsidP="006A5684" w:rsidRDefault="004F1302" w14:paraId="24534461" w14:textId="0D1989E1">
            <w:pPr>
              <w:overflowPunct w:val="0"/>
              <w:autoSpaceDE w:val="0"/>
              <w:autoSpaceDN w:val="0"/>
              <w:adjustRightInd w:val="0"/>
              <w:textAlignment w:val="baseline"/>
              <w:rPr>
                <w:i/>
                <w:sz w:val="22"/>
                <w:szCs w:val="22"/>
              </w:rPr>
            </w:pPr>
            <w:r w:rsidRPr="001D1C39">
              <w:rPr>
                <w:i/>
                <w:sz w:val="22"/>
                <w:szCs w:val="22"/>
              </w:rPr>
              <w:t>00 32 2 282 24 64</w:t>
            </w:r>
          </w:p>
        </w:tc>
      </w:tr>
      <w:tr w:rsidRPr="001D1C39" w:rsidR="004F1302" w:rsidTr="0066006A" w14:paraId="40A463F8" w14:textId="77777777">
        <w:tc>
          <w:tcPr>
            <w:tcW w:w="1556" w:type="pct"/>
          </w:tcPr>
          <w:p w:rsidRPr="001D1C39" w:rsidR="004F1302" w:rsidP="006A5684" w:rsidRDefault="004F1302" w14:paraId="3B219BCA" w14:textId="77777777">
            <w:pPr>
              <w:overflowPunct w:val="0"/>
              <w:autoSpaceDE w:val="0"/>
              <w:autoSpaceDN w:val="0"/>
              <w:adjustRightInd w:val="0"/>
              <w:textAlignment w:val="baseline"/>
              <w:rPr>
                <w:i/>
                <w:sz w:val="22"/>
                <w:szCs w:val="22"/>
              </w:rPr>
            </w:pPr>
            <w:r w:rsidRPr="001D1C39">
              <w:rPr>
                <w:i/>
                <w:sz w:val="22"/>
                <w:szCs w:val="22"/>
              </w:rPr>
              <w:t>E-mail</w:t>
            </w:r>
          </w:p>
        </w:tc>
        <w:tc>
          <w:tcPr>
            <w:tcW w:w="3444" w:type="pct"/>
          </w:tcPr>
          <w:p w:rsidRPr="001D1C39" w:rsidR="004F1302" w:rsidP="006A5684" w:rsidRDefault="003D1988" w14:paraId="0FED9690" w14:textId="7A8281DF">
            <w:pPr>
              <w:overflowPunct w:val="0"/>
              <w:autoSpaceDE w:val="0"/>
              <w:autoSpaceDN w:val="0"/>
              <w:adjustRightInd w:val="0"/>
              <w:textAlignment w:val="baseline"/>
              <w:rPr>
                <w:i/>
                <w:color w:val="0000FF"/>
                <w:sz w:val="22"/>
                <w:szCs w:val="22"/>
                <w:u w:val="single"/>
              </w:rPr>
            </w:pPr>
            <w:hyperlink w:history="1" r:id="rId45">
              <w:proofErr w:type="spellStart"/>
              <w:r w:rsidRPr="001D1C39" w:rsidR="004F1302">
                <w:rPr>
                  <w:rStyle w:val="Hyperlink"/>
                  <w:sz w:val="22"/>
                  <w:szCs w:val="22"/>
                </w:rPr>
                <w:t>Heli.Niemela-Farrer</w:t>
              </w:r>
              <w:r w:rsidRPr="001D1C39" w:rsidR="004F1302">
                <w:rPr>
                  <w:rStyle w:val="Hyperlink"/>
                  <w:i/>
                  <w:sz w:val="22"/>
                  <w:szCs w:val="22"/>
                </w:rPr>
                <w:t>@eesc.europa.eu</w:t>
              </w:r>
              <w:proofErr w:type="spellEnd"/>
            </w:hyperlink>
          </w:p>
          <w:p w:rsidRPr="001D1C39" w:rsidR="004F1302" w:rsidP="006A5684" w:rsidRDefault="004F1302" w14:paraId="13626409" w14:textId="51178F9F">
            <w:pPr>
              <w:overflowPunct w:val="0"/>
              <w:autoSpaceDE w:val="0"/>
              <w:autoSpaceDN w:val="0"/>
              <w:adjustRightInd w:val="0"/>
              <w:textAlignment w:val="baseline"/>
              <w:rPr>
                <w:i/>
                <w:sz w:val="22"/>
                <w:szCs w:val="22"/>
              </w:rPr>
            </w:pPr>
          </w:p>
        </w:tc>
      </w:tr>
    </w:tbl>
    <w:p w:rsidRPr="006C7863" w:rsidR="0092772D" w:rsidP="006A5684"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6391" w14:textId="77777777" w:rsidR="00631992" w:rsidRDefault="00631992" w:rsidP="005C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DCC470F" w:rsidR="00765C4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rsidR="00DC0FAE">
      <w:t>1</w:t>
    </w:r>
    <w:r>
      <w:fldChar w:fldCharType="end"/>
    </w:r>
    <w:r>
      <w:t>/</w:t>
    </w:r>
    <w:fldSimple w:instr=" NUMPAGES ">
      <w:r w:rsidR="00DC0FA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63DF" w14:textId="77777777" w:rsidR="00631992" w:rsidRDefault="00631992" w:rsidP="005C2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5C2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DACB8BF" w:rsidR="00E4258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5C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5E2" w14:textId="77777777" w:rsidR="00631992" w:rsidRDefault="0063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5AEF" w14:textId="77777777" w:rsidR="00631992" w:rsidRDefault="00631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7C3B" w14:textId="77777777" w:rsidR="00631992" w:rsidRDefault="00631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2"/>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1"/>
  </w:num>
  <w:num w:numId="9">
    <w:abstractNumId w:val="26"/>
  </w:num>
  <w:num w:numId="10">
    <w:abstractNumId w:val="25"/>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0"/>
  </w:num>
  <w:num w:numId="13">
    <w:abstractNumId w:val="24"/>
  </w:num>
  <w:num w:numId="14">
    <w:abstractNumId w:val="15"/>
  </w:num>
  <w:num w:numId="15">
    <w:abstractNumId w:val="6"/>
  </w:num>
  <w:num w:numId="16">
    <w:abstractNumId w:val="11"/>
  </w:num>
  <w:num w:numId="17">
    <w:abstractNumId w:val="13"/>
  </w:num>
  <w:num w:numId="18">
    <w:abstractNumId w:val="17"/>
  </w:num>
  <w:num w:numId="19">
    <w:abstractNumId w:val="18"/>
  </w:num>
  <w:num w:numId="20">
    <w:abstractNumId w:val="23"/>
  </w:num>
  <w:num w:numId="21">
    <w:abstractNumId w:val="12"/>
  </w:num>
  <w:num w:numId="22">
    <w:abstractNumId w:val="1"/>
  </w:num>
  <w:num w:numId="23">
    <w:abstractNumId w:val="4"/>
  </w:num>
  <w:num w:numId="24">
    <w:abstractNumId w:val="9"/>
  </w:num>
  <w:num w:numId="25">
    <w:abstractNumId w:val="19"/>
  </w:num>
  <w:num w:numId="26">
    <w:abstractNumId w:val="8"/>
  </w:num>
  <w:num w:numId="27">
    <w:abstractNumId w:val="16"/>
  </w:num>
  <w:num w:numId="28">
    <w:abstractNumId w:val="3"/>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3FAE"/>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C39"/>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2F5B"/>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D1E"/>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311"/>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684"/>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3B"/>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da-DK"/>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da/our-work/opinions-information-reports/opinions/revision-de-la-directive-relative-au-comite-dentreprise-europeen" TargetMode="External"/><Relationship Id="rId39" Type="http://schemas.openxmlformats.org/officeDocument/2006/relationships/hyperlink" Target="mailto:Ioannis.Diamantopoulos@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da/our-work/opinions-information-reports/opinions/europes-beating-cancer-plan-driving-forces-security-medical-radioisotopes-supply" TargetMode="External"/><Relationship Id="rId42" Type="http://schemas.openxmlformats.org/officeDocument/2006/relationships/hyperlink" Target="https://www.eesc.europa.eu/da/our-work/opinions-information-reports/opinions/european-defence-industrial-strategy"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11" Type="http://schemas.openxmlformats.org/officeDocument/2006/relationships/image" Target="media/image1.jpeg"/><Relationship Id="rId24" Type="http://schemas.openxmlformats.org/officeDocument/2006/relationships/hyperlink" Target="https://www.eesc.europa.eu/da/our-work/opinions-information-reports/opinions/vaccine-preventable-cancers" TargetMode="External"/><Relationship Id="rId32" Type="http://schemas.openxmlformats.org/officeDocument/2006/relationships/hyperlink" Target="https://www.eesc.europa.eu/da/our-work/opinions-information-reports/opinions/revision-animal-welfare-legislation" TargetMode="External"/><Relationship Id="rId37" Type="http://schemas.openxmlformats.org/officeDocument/2006/relationships/hyperlink" Target="mailto:Ioannis.Diamantopoulos@eesc.europa.eu" TargetMode="External"/><Relationship Id="rId40" Type="http://schemas.openxmlformats.org/officeDocument/2006/relationships/hyperlink" Target="https://www.eesc.europa.eu/da/our-work/opinions-information-reports/opinions/communication-industrial-carbon-management" TargetMode="External"/><Relationship Id="rId45" Type="http://schemas.openxmlformats.org/officeDocument/2006/relationships/hyperlink" Target="mailto:Heli.Niemela-Farrer@eesc.europa.e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Judit.CarrerasGarcia@eesc.europa.eu" TargetMode="External"/><Relationship Id="rId44" Type="http://schemas.openxmlformats.org/officeDocument/2006/relationships/hyperlink" Target="https://www.eesc.europa.eu/da/our-work/opinions-information-reports/opinions/industrial-and-technological-approaches-and-best-practices-supporting-water-resilient-society" TargetMode="External"/><Relationship Id="rId5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da/our-work/opinions-information-reports/opinions/ninth-report-economic-social-and-territorial-cohesion"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da/our-work/opinions-information-reports/opinions/eu-climate-target-2040" TargetMode="External"/><Relationship Id="rId35" Type="http://schemas.openxmlformats.org/officeDocument/2006/relationships/hyperlink" Target="mailto:Maja.Radman@eesc.europa.eu" TargetMode="External"/><Relationship Id="rId43" Type="http://schemas.openxmlformats.org/officeDocument/2006/relationships/hyperlink" Target="mailto:Ioannis.Diamantopoulos@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footer" Target="footer6.xml"/><Relationship Id="rId12" Type="http://schemas.openxmlformats.org/officeDocument/2006/relationships/hyperlink" Target="https://www.eesc.europa.eu/da/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da/our-work/opinions-information-reports/opinions/drone-manufacturing-industry-case-study-assess-outcome-strategic-sector-different-policies-place-enhance-european" TargetMode="External"/><Relationship Id="rId46" Type="http://schemas.openxmlformats.org/officeDocument/2006/relationships/header" Target="header4.xml"/><Relationship Id="rId20" Type="http://schemas.openxmlformats.org/officeDocument/2006/relationships/hyperlink" Target="https://www.eesc.europa.eu/da/our-work/opinions-information-reports/opinions/role-cohesion-policy-upcoming-rounds-eu-enlargement" TargetMode="External"/><Relationship Id="rId41" Type="http://schemas.openxmlformats.org/officeDocument/2006/relationships/hyperlink" Target="mailto:Adam.Dorywalski@eesc.europa.eu" TargetMode="External"/><Relationship Id="rId54"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da/our-work/opinions-information-reports/opinions/no-place-hate-europe-united-against-hatred" TargetMode="External"/><Relationship Id="rId36" Type="http://schemas.openxmlformats.org/officeDocument/2006/relationships/hyperlink" Target="https://www.eesc.europa.eu/da/our-work/opinions-information-reports/opinions/european-defence-industry-programme" TargetMode="External"/><Relationship Id="rId49" Type="http://schemas.openxmlformats.org/officeDocument/2006/relationships/footer" Target="footer5.xml"/><Relationship Id="rId5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F7M6YNZUATRX-917472228-6115</_dlc_DocId>
    <_dlc_DocIdUrl xmlns="59ace41b-6786-4ce3-be71-52c27066c6ef">
      <Url>http://dm/eesc/2024/_layouts/15/DocIdRedir.aspx?ID=F7M6YNZUATRX-917472228-6115</Url>
      <Description>F7M6YNZUATRX-917472228-6115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2024-06-20T12:00:00+00:00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Rossen Jette</DisplayName>
        <AccountId>1138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34BA8-D4D1-45DC-9927-6963F3DC3D61}"/>
</file>

<file path=customXml/itemProps2.xml><?xml version="1.0" encoding="utf-8"?>
<ds:datastoreItem xmlns:ds="http://schemas.openxmlformats.org/officeDocument/2006/customXml" ds:itemID="{6C8E4792-7AF0-47B1-BE9E-6BC423FB46D1}"/>
</file>

<file path=customXml/itemProps3.xml><?xml version="1.0" encoding="utf-8"?>
<ds:datastoreItem xmlns:ds="http://schemas.openxmlformats.org/officeDocument/2006/customXml" ds:itemID="{359ADC24-85B6-4197-AA6B-7AFBD491F928}"/>
</file>

<file path=customXml/itemProps4.xml><?xml version="1.0" encoding="utf-8"?>
<ds:datastoreItem xmlns:ds="http://schemas.openxmlformats.org/officeDocument/2006/customXml" ds:itemID="{6AF49A25-2373-473E-939F-FD8FD3030D1B}"/>
</file>

<file path=docProps/app.xml><?xml version="1.0" encoding="utf-8"?>
<Properties xmlns="http://schemas.openxmlformats.org/officeDocument/2006/extended-properties" xmlns:vt="http://schemas.openxmlformats.org/officeDocument/2006/docPropsVTypes">
  <Template>Normal.dotm</Template>
  <TotalTime>0</TotalTime>
  <Pages>19</Pages>
  <Words>5764</Words>
  <Characters>31707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37397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 af udtalelser - 588. plenarforsamling - maj 2024  </dc:title>
  <dc:subject>TCD</dc:subject>
  <dc:creator>Nieddu Emma</dc:creator>
  <cp:keywords>EESC-2024-01704-00-00-TCD-TRA-EN</cp:keywords>
  <dc:description>Rapporteur:  - Original language: EN - Date of document: 20/06/2024 - Date of meeting: 30/10/2024 14:30 - External documents:  - Administrator: MME TAMASAUSKIENE Julija</dc:description>
  <cp:lastModifiedBy>Rossen Jette</cp:lastModifiedBy>
  <cp:revision>11</cp:revision>
  <cp:lastPrinted>2023-06-15T08:00:00Z</cp:lastPrinted>
  <dcterms:created xsi:type="dcterms:W3CDTF">2024-06-14T14:52:00Z</dcterms:created>
  <dcterms:modified xsi:type="dcterms:W3CDTF">2024-06-20T13:39:00Z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685135a1-c762-4fc3-a143-dc2218730074</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NL|55c6556c-b4f4-441d-9acf-c498d4f838bd;SV|c2ed69e7-a339-43d7-8f22-d93680a92aa0;ES|e7a6b05b-ae16-40c8-add9-68b64b03aeba;DE|f6b31e5a-26fa-4935-b661-318e46daf27e;LV|46f7e311-5d9f-4663-b433-18aeccb7ace7;CS|72f9705b-0217-4fd3-bea2-cbc7ed80e26e;HR|2f555653-ed1a-4fe6-8362-9082d95989e5;PT|50ccc04a-eadd-42ae-a0cb-acaf45f812ba;FR|d2afafd3-4c81-4f60-8f52-ee33f2f54ff3;EL|6d4f4d51-af9b-4650-94b4-4276bee85c91;SL|98a412ae-eb01-49e9-ae3d-585a81724cfc;HU|6b229040-c589-4408-b4c1-4285663d20a8;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32;#HU|6b229040-c589-4408-b4c1-4285663d20a8;#31;#NL|55c6556c-b4f4-441d-9acf-c498d4f838bd;#43;#CS|72f9705b-0217-4fd3-bea2-cbc7ed80e26e;#29;#EL|6d4f4d51-af9b-4650-94b4-4276bee85c91;#28;#LV|46f7e311-5d9f-4663-b433-18aeccb7ace7;#27;#SL|98a412ae-eb01-49e9-ae3d-585a81724cfc;#25;#DE|f6b31e5a-26fa-4935-b661-318e46daf27e;#24;#ES|e7a6b05b-ae16-40c8-add9-68b64b03aeba;#21;#SV|c2ed69e7-a339-43d7-8f22-d93680a92aa0;#17;#PL|1e03da61-4678-4e07-b136-b5024ca9197b;#14;#FR|d2afafd3-4c81-4f60-8f52-ee33f2f54ff3;#13;#TCD|cd9d6eb6-3f4f-424a-b2d1-57c9d450eaaf;#8;#Final|ea5e6674-7b27-4bac-b091-73adbb394efe;#7;#SPL-CES|32d8cb1f-c9ec-4365-95c7-8385a18618ac;#6;#Unrestricted|826e22d7-d029-4ec0-a450-0c28ff673572;#5;#EN|f2175f21-25d7-44a3-96da-d6a61b075e1b;#3;#TRA|150d2a88-1431-44e6-a8ca-0bb753ab8672;#1;#EESC|422833ec-8d7e-4e65-8e4e-8bed07ffb729;#30;#HR|2f555653-ed1a-4fe6-8362-9082d95989e5</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16;#DA|5d49c027-8956-412b-aa16-e85a0f96ad0e</vt:lpwstr>
  </property>
</Properties>
</file>