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171CE5" w14:paraId="785AE44C" w14:textId="60ACB94E">
      <w:pPr>
        <w:jc w:val="center"/>
      </w:pPr>
      <w:r>
        <w:rPr>
          <w:noProof/>
        </w:rPr>
        <w:drawing>
          <wp:inline distT="0" distB="0" distL="0" distR="0" wp14:anchorId="42C5E469" wp14:editId="43C466E8">
            <wp:extent cx="1792605" cy="1239520"/>
            <wp:effectExtent l="0" t="0" r="0" b="0"/>
            <wp:docPr id="2" name="Picture 2" title="EESCLogo_BG"/>
            <wp:cNvGraphicFramePr/>
            <a:graphic xmlns:a="http://schemas.openxmlformats.org/drawingml/2006/main">
              <a:graphicData uri="http://schemas.openxmlformats.org/drawingml/2006/picture">
                <pic:pic xmlns:pic="http://schemas.openxmlformats.org/drawingml/2006/picture">
                  <pic:nvPicPr>
                    <pic:cNvPr id="2" name="Picture 2" title="EESCLogo_B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5D4DDC2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DA65CCD">
      <w:pPr>
        <w:jc w:val="right"/>
      </w:pPr>
      <w:r>
        <w:t>Брюксел, 21 юни 2024 г.</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24300EF">
            <w:pPr>
              <w:snapToGrid w:val="0"/>
              <w:jc w:val="center"/>
              <w:rPr>
                <w:b/>
                <w:sz w:val="32"/>
              </w:rPr>
            </w:pPr>
            <w:r>
              <w:rPr>
                <w:b/>
                <w:sz w:val="32"/>
              </w:rPr>
              <w:t>588-а ПЛЕНАРНА СЕСИЯ</w:t>
            </w:r>
          </w:p>
          <w:p w:rsidRPr="00094B6B" w:rsidR="001760E9" w:rsidP="00775FC4" w:rsidRDefault="001760E9" w14:paraId="6C87A626" w14:textId="0AE2882C">
            <w:pPr>
              <w:snapToGrid w:val="0"/>
              <w:jc w:val="center"/>
              <w:rPr>
                <w:b/>
                <w:sz w:val="32"/>
              </w:rPr>
            </w:pPr>
          </w:p>
          <w:p w:rsidRPr="00094B6B" w:rsidR="001760E9" w:rsidP="00775FC4" w:rsidRDefault="005E7838" w14:paraId="6CF7229C" w14:textId="287F4AF2">
            <w:pPr>
              <w:snapToGrid w:val="0"/>
              <w:jc w:val="center"/>
              <w:rPr>
                <w:b/>
                <w:sz w:val="32"/>
              </w:rPr>
            </w:pPr>
            <w:r>
              <w:rPr>
                <w:b/>
                <w:sz w:val="32"/>
              </w:rPr>
              <w:t>30 и 31 май 2024 г.</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ОБОБЩЕНИЕ НА ПРИЕТИТЕ СТАНОВИЩА, РЕЗОЛЮЦИИ И ИНФОРМАЦИОННИ ДОКЛАДИ / ДОКЛАДИ ЗА ОЦЕНКА</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Настоящият документ е достъпен на официалните езици на уебсайта на ЕИСК на следния адрес:</w:t>
            </w:r>
          </w:p>
          <w:p w:rsidRPr="00094B6B" w:rsidR="00B16284" w:rsidP="00775FC4" w:rsidRDefault="00B16284" w14:paraId="4F26A4CE" w14:textId="77777777">
            <w:pPr>
              <w:snapToGrid w:val="0"/>
              <w:jc w:val="center"/>
            </w:pPr>
          </w:p>
          <w:p w:rsidRPr="00094B6B" w:rsidR="004D7AC0" w:rsidP="00775FC4" w:rsidRDefault="00606C04" w14:paraId="2A9352A2" w14:textId="0680ADB6">
            <w:pPr>
              <w:snapToGrid w:val="0"/>
              <w:jc w:val="center"/>
            </w:pPr>
            <w:hyperlink w:history="1" r:id="rId12">
              <w:r w:rsidR="00171CE5">
                <w:rPr>
                  <w:rStyle w:val="Hyperlink"/>
                  <w:highlight w:val="yellow"/>
                </w:rPr>
                <w:t>https://www.eesc.europa.eu/bg/our-work/opinions-information-reports/plenary-session-summarie</w:t>
              </w:r>
            </w:hyperlink>
            <w:r w:rsidR="00171CE5">
              <w:t>s</w:t>
            </w:r>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Изброените становища могат да бъдат намерени онлайн чрез търсачката на ЕИСК:</w:t>
            </w:r>
          </w:p>
          <w:p w:rsidRPr="00094B6B" w:rsidR="00B16284" w:rsidP="00775FC4" w:rsidRDefault="00B16284" w14:paraId="7A5411A5" w14:textId="77777777">
            <w:pPr>
              <w:snapToGrid w:val="0"/>
              <w:jc w:val="center"/>
            </w:pPr>
          </w:p>
          <w:p w:rsidRPr="00094B6B" w:rsidR="004D7AC0" w:rsidP="00775FC4" w:rsidRDefault="00606C04" w14:paraId="441AC4DD" w14:textId="1194D751">
            <w:pPr>
              <w:snapToGrid w:val="0"/>
              <w:jc w:val="center"/>
            </w:pPr>
            <w:hyperlink w:history="1" r:id="rId13">
              <w:r w:rsidR="00171CE5">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Съдържание</w:t>
      </w:r>
    </w:p>
    <w:p w:rsidR="00812E63" w:rsidP="00812E63" w:rsidRDefault="008772F9" w14:paraId="6E6DC916" w14:textId="3CE410BA">
      <w:pPr>
        <w:pStyle w:val="TOC1"/>
        <w:ind w:left="440" w:hanging="440"/>
        <w:rPr>
          <w:rFonts w:asciiTheme="minorHAnsi" w:hAnsiTheme="minorHAnsi" w:eastAsiaTheme="minorEastAsia" w:cstheme="minorBidi"/>
          <w:bCs w:val="0"/>
          <w:sz w:val="22"/>
          <w:szCs w:val="22"/>
          <w:lang w:val="en-GB" w:eastAsia="en-GB"/>
        </w:rPr>
      </w:pPr>
      <w:r>
        <w:fldChar w:fldCharType="begin"/>
      </w:r>
      <w:r>
        <w:instrText xml:space="preserve"> TOC \o "1-1" \h \z \u </w:instrText>
      </w:r>
      <w:r>
        <w:fldChar w:fldCharType="separate"/>
      </w:r>
      <w:hyperlink w:history="1" w:anchor="_Toc169623429">
        <w:r w:rsidRPr="00066834" w:rsidR="00812E63">
          <w:rPr>
            <w:rStyle w:val="Hyperlink"/>
            <w14:scene3d>
              <w14:camera w14:prst="orthographicFront"/>
              <w14:lightRig w14:rig="threePt" w14:dir="t">
                <w14:rot w14:lat="0" w14:lon="0" w14:rev="0"/>
              </w14:lightRig>
            </w14:scene3d>
          </w:rPr>
          <w:t>1.</w:t>
        </w:r>
        <w:r w:rsidR="00812E63">
          <w:rPr>
            <w:rFonts w:asciiTheme="minorHAnsi" w:hAnsiTheme="minorHAnsi" w:eastAsiaTheme="minorEastAsia" w:cstheme="minorBidi"/>
            <w:bCs w:val="0"/>
            <w:sz w:val="22"/>
            <w:szCs w:val="22"/>
            <w:lang w:val="en-GB" w:eastAsia="en-GB"/>
          </w:rPr>
          <w:tab/>
        </w:r>
        <w:r w:rsidRPr="00066834" w:rsidR="00812E63">
          <w:rPr>
            <w:rStyle w:val="Hyperlink"/>
            <w:b/>
          </w:rPr>
          <w:t>ИКОНОМИЧЕСКИ И ПАРИЧЕН СЪЮЗ, ИКОНОМИЧЕСКО И СОЦИАЛНО СБЛИЖАВАНЕ</w:t>
        </w:r>
        <w:r w:rsidR="00812E63">
          <w:rPr>
            <w:rStyle w:val="Hyperlink"/>
            <w:b/>
          </w:rPr>
          <w:t> </w:t>
        </w:r>
        <w:r w:rsidR="00812E63">
          <w:rPr>
            <w:webHidden/>
          </w:rPr>
          <w:tab/>
        </w:r>
        <w:r w:rsidR="00812E63">
          <w:rPr>
            <w:webHidden/>
          </w:rPr>
          <w:fldChar w:fldCharType="begin"/>
        </w:r>
        <w:r w:rsidR="00812E63">
          <w:rPr>
            <w:webHidden/>
          </w:rPr>
          <w:instrText xml:space="preserve"> PAGEREF _Toc169623429 \h </w:instrText>
        </w:r>
        <w:r w:rsidR="00812E63">
          <w:rPr>
            <w:webHidden/>
          </w:rPr>
        </w:r>
        <w:r w:rsidR="00812E63">
          <w:rPr>
            <w:webHidden/>
          </w:rPr>
          <w:fldChar w:fldCharType="separate"/>
        </w:r>
        <w:r w:rsidR="00625332">
          <w:rPr>
            <w:webHidden/>
          </w:rPr>
          <w:t>3</w:t>
        </w:r>
        <w:r w:rsidR="00812E63">
          <w:rPr>
            <w:webHidden/>
          </w:rPr>
          <w:fldChar w:fldCharType="end"/>
        </w:r>
      </w:hyperlink>
    </w:p>
    <w:p w:rsidR="00812E63" w:rsidRDefault="00606C04" w14:paraId="04C84955" w14:textId="2A68AAD9">
      <w:pPr>
        <w:pStyle w:val="TOC1"/>
        <w:rPr>
          <w:rFonts w:asciiTheme="minorHAnsi" w:hAnsiTheme="minorHAnsi" w:eastAsiaTheme="minorEastAsia" w:cstheme="minorBidi"/>
          <w:bCs w:val="0"/>
          <w:sz w:val="22"/>
          <w:szCs w:val="22"/>
          <w:lang w:val="en-GB" w:eastAsia="en-GB"/>
        </w:rPr>
      </w:pPr>
      <w:hyperlink w:history="1" w:anchor="_Toc169623430">
        <w:r w:rsidRPr="00066834" w:rsidR="00812E63">
          <w:rPr>
            <w:rStyle w:val="Hyperlink"/>
            <w14:scene3d>
              <w14:camera w14:prst="orthographicFront"/>
              <w14:lightRig w14:rig="threePt" w14:dir="t">
                <w14:rot w14:lat="0" w14:lon="0" w14:rev="0"/>
              </w14:lightRig>
            </w14:scene3d>
          </w:rPr>
          <w:t>2.</w:t>
        </w:r>
        <w:r w:rsidR="00812E63">
          <w:rPr>
            <w:rFonts w:asciiTheme="minorHAnsi" w:hAnsiTheme="minorHAnsi" w:eastAsiaTheme="minorEastAsia" w:cstheme="minorBidi"/>
            <w:bCs w:val="0"/>
            <w:sz w:val="22"/>
            <w:szCs w:val="22"/>
            <w:lang w:val="en-GB" w:eastAsia="en-GB"/>
          </w:rPr>
          <w:tab/>
        </w:r>
        <w:r w:rsidRPr="00066834" w:rsidR="00812E63">
          <w:rPr>
            <w:rStyle w:val="Hyperlink"/>
            <w:b/>
          </w:rPr>
          <w:t>ЗАЕТОСТ, СОЦИАЛНИ ВЪПРОСИ И ГРАЖДАНСТВО</w:t>
        </w:r>
        <w:r w:rsidR="00812E63">
          <w:rPr>
            <w:webHidden/>
          </w:rPr>
          <w:tab/>
        </w:r>
        <w:r w:rsidR="00812E63">
          <w:rPr>
            <w:webHidden/>
          </w:rPr>
          <w:fldChar w:fldCharType="begin"/>
        </w:r>
        <w:r w:rsidR="00812E63">
          <w:rPr>
            <w:webHidden/>
          </w:rPr>
          <w:instrText xml:space="preserve"> PAGEREF _Toc169623430 \h </w:instrText>
        </w:r>
        <w:r w:rsidR="00812E63">
          <w:rPr>
            <w:webHidden/>
          </w:rPr>
        </w:r>
        <w:r w:rsidR="00812E63">
          <w:rPr>
            <w:webHidden/>
          </w:rPr>
          <w:fldChar w:fldCharType="separate"/>
        </w:r>
        <w:r w:rsidR="00625332">
          <w:rPr>
            <w:webHidden/>
          </w:rPr>
          <w:t>7</w:t>
        </w:r>
        <w:r w:rsidR="00812E63">
          <w:rPr>
            <w:webHidden/>
          </w:rPr>
          <w:fldChar w:fldCharType="end"/>
        </w:r>
      </w:hyperlink>
    </w:p>
    <w:p w:rsidR="00812E63" w:rsidRDefault="00606C04" w14:paraId="12B1EA91" w14:textId="1D25C517">
      <w:pPr>
        <w:pStyle w:val="TOC1"/>
        <w:rPr>
          <w:rFonts w:asciiTheme="minorHAnsi" w:hAnsiTheme="minorHAnsi" w:eastAsiaTheme="minorEastAsia" w:cstheme="minorBidi"/>
          <w:bCs w:val="0"/>
          <w:sz w:val="22"/>
          <w:szCs w:val="22"/>
          <w:lang w:val="en-GB" w:eastAsia="en-GB"/>
        </w:rPr>
      </w:pPr>
      <w:hyperlink w:history="1" w:anchor="_Toc169623431">
        <w:r w:rsidRPr="00066834" w:rsidR="00812E63">
          <w:rPr>
            <w:rStyle w:val="Hyperlink"/>
            <w14:scene3d>
              <w14:camera w14:prst="orthographicFront"/>
              <w14:lightRig w14:rig="threePt" w14:dir="t">
                <w14:rot w14:lat="0" w14:lon="0" w14:rev="0"/>
              </w14:lightRig>
            </w14:scene3d>
          </w:rPr>
          <w:t>3.</w:t>
        </w:r>
        <w:r w:rsidR="00812E63">
          <w:rPr>
            <w:rFonts w:asciiTheme="minorHAnsi" w:hAnsiTheme="minorHAnsi" w:eastAsiaTheme="minorEastAsia" w:cstheme="minorBidi"/>
            <w:bCs w:val="0"/>
            <w:sz w:val="22"/>
            <w:szCs w:val="22"/>
            <w:lang w:val="en-GB" w:eastAsia="en-GB"/>
          </w:rPr>
          <w:tab/>
        </w:r>
        <w:r w:rsidRPr="00066834" w:rsidR="00812E63">
          <w:rPr>
            <w:rStyle w:val="Hyperlink"/>
            <w:b/>
          </w:rPr>
          <w:t>ЗЕМЕДЕЛИЕ, РАЗВИТИЕ НА СЕЛСКИТЕ РАЙОНИ, ОКОЛНА СРЕДА</w:t>
        </w:r>
        <w:r w:rsidR="00812E63">
          <w:rPr>
            <w:webHidden/>
          </w:rPr>
          <w:tab/>
        </w:r>
        <w:r w:rsidR="00812E63">
          <w:rPr>
            <w:webHidden/>
          </w:rPr>
          <w:fldChar w:fldCharType="begin"/>
        </w:r>
        <w:r w:rsidR="00812E63">
          <w:rPr>
            <w:webHidden/>
          </w:rPr>
          <w:instrText xml:space="preserve"> PAGEREF _Toc169623431 \h </w:instrText>
        </w:r>
        <w:r w:rsidR="00812E63">
          <w:rPr>
            <w:webHidden/>
          </w:rPr>
        </w:r>
        <w:r w:rsidR="00812E63">
          <w:rPr>
            <w:webHidden/>
          </w:rPr>
          <w:fldChar w:fldCharType="separate"/>
        </w:r>
        <w:r w:rsidR="00625332">
          <w:rPr>
            <w:webHidden/>
          </w:rPr>
          <w:t>12</w:t>
        </w:r>
        <w:r w:rsidR="00812E63">
          <w:rPr>
            <w:webHidden/>
          </w:rPr>
          <w:fldChar w:fldCharType="end"/>
        </w:r>
      </w:hyperlink>
    </w:p>
    <w:p w:rsidR="00812E63" w:rsidRDefault="00606C04" w14:paraId="4E80885A" w14:textId="19D3EAAF">
      <w:pPr>
        <w:pStyle w:val="TOC1"/>
        <w:rPr>
          <w:rFonts w:asciiTheme="minorHAnsi" w:hAnsiTheme="minorHAnsi" w:eastAsiaTheme="minorEastAsia" w:cstheme="minorBidi"/>
          <w:bCs w:val="0"/>
          <w:sz w:val="22"/>
          <w:szCs w:val="22"/>
          <w:lang w:val="en-GB" w:eastAsia="en-GB"/>
        </w:rPr>
      </w:pPr>
      <w:hyperlink w:history="1" w:anchor="_Toc169623432">
        <w:r w:rsidRPr="00066834" w:rsidR="00812E63">
          <w:rPr>
            <w:rStyle w:val="Hyperlink"/>
            <w14:scene3d>
              <w14:camera w14:prst="orthographicFront"/>
              <w14:lightRig w14:rig="threePt" w14:dir="t">
                <w14:rot w14:lat="0" w14:lon="0" w14:rev="0"/>
              </w14:lightRig>
            </w14:scene3d>
          </w:rPr>
          <w:t>4.</w:t>
        </w:r>
        <w:r w:rsidR="00812E63">
          <w:rPr>
            <w:rFonts w:asciiTheme="minorHAnsi" w:hAnsiTheme="minorHAnsi" w:eastAsiaTheme="minorEastAsia" w:cstheme="minorBidi"/>
            <w:bCs w:val="0"/>
            <w:sz w:val="22"/>
            <w:szCs w:val="22"/>
            <w:lang w:val="en-GB" w:eastAsia="en-GB"/>
          </w:rPr>
          <w:tab/>
        </w:r>
        <w:r w:rsidRPr="00066834" w:rsidR="00812E63">
          <w:rPr>
            <w:rStyle w:val="Hyperlink"/>
            <w:b/>
          </w:rPr>
          <w:t>ТРАНСПОРТ, ЕНЕРГЕТИКА, ИНФРАСТРУКТУРИ, ИНФОРМАЦИОННО ОБЩЕСТВО</w:t>
        </w:r>
        <w:r w:rsidR="00812E63">
          <w:rPr>
            <w:webHidden/>
          </w:rPr>
          <w:tab/>
        </w:r>
        <w:r w:rsidR="00812E63">
          <w:rPr>
            <w:webHidden/>
          </w:rPr>
          <w:fldChar w:fldCharType="begin"/>
        </w:r>
        <w:r w:rsidR="00812E63">
          <w:rPr>
            <w:webHidden/>
          </w:rPr>
          <w:instrText xml:space="preserve"> PAGEREF _Toc169623432 \h </w:instrText>
        </w:r>
        <w:r w:rsidR="00812E63">
          <w:rPr>
            <w:webHidden/>
          </w:rPr>
        </w:r>
        <w:r w:rsidR="00812E63">
          <w:rPr>
            <w:webHidden/>
          </w:rPr>
          <w:fldChar w:fldCharType="separate"/>
        </w:r>
        <w:r w:rsidR="00625332">
          <w:rPr>
            <w:webHidden/>
          </w:rPr>
          <w:t>16</w:t>
        </w:r>
        <w:r w:rsidR="00812E63">
          <w:rPr>
            <w:webHidden/>
          </w:rPr>
          <w:fldChar w:fldCharType="end"/>
        </w:r>
      </w:hyperlink>
    </w:p>
    <w:p w:rsidR="00812E63" w:rsidRDefault="00606C04" w14:paraId="33FBD012" w14:textId="15316199">
      <w:pPr>
        <w:pStyle w:val="TOC1"/>
        <w:rPr>
          <w:rFonts w:asciiTheme="minorHAnsi" w:hAnsiTheme="minorHAnsi" w:eastAsiaTheme="minorEastAsia" w:cstheme="minorBidi"/>
          <w:bCs w:val="0"/>
          <w:sz w:val="22"/>
          <w:szCs w:val="22"/>
          <w:lang w:val="en-GB" w:eastAsia="en-GB"/>
        </w:rPr>
      </w:pPr>
      <w:hyperlink w:history="1" w:anchor="_Toc169623433">
        <w:r w:rsidRPr="00066834" w:rsidR="00812E63">
          <w:rPr>
            <w:rStyle w:val="Hyperlink"/>
            <w14:scene3d>
              <w14:camera w14:prst="orthographicFront"/>
              <w14:lightRig w14:rig="threePt" w14:dir="t">
                <w14:rot w14:lat="0" w14:lon="0" w14:rev="0"/>
              </w14:lightRig>
            </w14:scene3d>
          </w:rPr>
          <w:t>5.</w:t>
        </w:r>
        <w:r w:rsidR="00812E63">
          <w:rPr>
            <w:rFonts w:asciiTheme="minorHAnsi" w:hAnsiTheme="minorHAnsi" w:eastAsiaTheme="minorEastAsia" w:cstheme="minorBidi"/>
            <w:bCs w:val="0"/>
            <w:sz w:val="22"/>
            <w:szCs w:val="22"/>
            <w:lang w:val="en-GB" w:eastAsia="en-GB"/>
          </w:rPr>
          <w:tab/>
        </w:r>
        <w:r w:rsidRPr="00066834" w:rsidR="00812E63">
          <w:rPr>
            <w:rStyle w:val="Hyperlink"/>
            <w:b/>
          </w:rPr>
          <w:t>КОНСУЛТАТИВНА КОМИСИЯ ПО ИНДУСТРИАЛНИ ПРОМЕНИ</w:t>
        </w:r>
        <w:r w:rsidR="00812E63">
          <w:rPr>
            <w:webHidden/>
          </w:rPr>
          <w:tab/>
        </w:r>
        <w:r w:rsidR="00812E63">
          <w:rPr>
            <w:webHidden/>
          </w:rPr>
          <w:fldChar w:fldCharType="begin"/>
        </w:r>
        <w:r w:rsidR="00812E63">
          <w:rPr>
            <w:webHidden/>
          </w:rPr>
          <w:instrText xml:space="preserve"> PAGEREF _Toc169623433 \h </w:instrText>
        </w:r>
        <w:r w:rsidR="00812E63">
          <w:rPr>
            <w:webHidden/>
          </w:rPr>
        </w:r>
        <w:r w:rsidR="00812E63">
          <w:rPr>
            <w:webHidden/>
          </w:rPr>
          <w:fldChar w:fldCharType="separate"/>
        </w:r>
        <w:r w:rsidR="00625332">
          <w:rPr>
            <w:webHidden/>
          </w:rPr>
          <w:t>17</w:t>
        </w:r>
        <w:r w:rsidR="00812E63">
          <w:rPr>
            <w:webHidden/>
          </w:rPr>
          <w:fldChar w:fldCharType="end"/>
        </w:r>
      </w:hyperlink>
    </w:p>
    <w:p w:rsidR="00C86ABD" w:rsidRDefault="008772F9" w14:paraId="4EDE006A" w14:textId="5E6A012D">
      <w:pPr>
        <w:jc w:val="left"/>
      </w:pPr>
      <w:r>
        <w:fldChar w:fldCharType="end"/>
      </w:r>
      <w:r>
        <w:br w:type="page"/>
      </w:r>
    </w:p>
    <w:p w:rsidRPr="00EE2FBD" w:rsidR="0038273B" w:rsidP="00770F41" w:rsidRDefault="0038273B" w14:paraId="62CE6920" w14:textId="4AB21D19">
      <w:pPr>
        <w:pStyle w:val="Heading1"/>
        <w:tabs>
          <w:tab w:val="clear" w:pos="440"/>
          <w:tab w:val="left" w:pos="567"/>
        </w:tabs>
        <w:ind w:left="567" w:hanging="567"/>
        <w:rPr>
          <w:b/>
          <w:bCs/>
        </w:rPr>
      </w:pPr>
      <w:bookmarkStart w:name="_Toc169623429" w:id="0"/>
      <w:r>
        <w:rPr>
          <w:b/>
        </w:rPr>
        <w:lastRenderedPageBreak/>
        <w:t>ИКОНОМИЧЕСКИ И ПАРИЧЕН СЪЮЗ, ИКОНОМИЧЕСКО И СОЦИАЛНО СБЛИЖАВАНЕ</w:t>
      </w:r>
      <w:bookmarkEnd w:id="0"/>
    </w:p>
    <w:p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DC0FAE" w:rsidR="006C19F4" w:rsidP="00C26C81" w:rsidRDefault="00606C04" w14:paraId="3A82A886" w14:textId="11A0A9D6">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20">
        <w:r w:rsidR="00171CE5">
          <w:rPr>
            <w:b/>
            <w:i/>
            <w:color w:val="0000FF"/>
            <w:sz w:val="28"/>
            <w:u w:val="single"/>
          </w:rPr>
          <w:t>Ролята на политиката на сближаване в предстоящите разширявания на ЕС</w:t>
        </w:r>
      </w:hyperlink>
    </w:p>
    <w:p w:rsidRPr="006C19F4" w:rsidR="00190D28" w:rsidP="00DC0FAE" w:rsidRDefault="00190D28" w14:paraId="647D4419" w14:textId="77777777">
      <w:pPr>
        <w:widowControl w:val="0"/>
        <w:overflowPunct w:val="0"/>
        <w:autoSpaceDE w:val="0"/>
        <w:autoSpaceDN w:val="0"/>
        <w:adjustRightInd w:val="0"/>
        <w:spacing w:after="12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7087"/>
      </w:tblGrid>
      <w:tr w:rsidRPr="006C19F4" w:rsidR="006C19F4" w:rsidTr="00FC48A9" w14:paraId="7BA389F8" w14:textId="77777777">
        <w:tc>
          <w:tcPr>
            <w:tcW w:w="2235" w:type="dxa"/>
          </w:tcPr>
          <w:p w:rsidRPr="006C19F4" w:rsidR="006C19F4" w:rsidP="006C19F4" w:rsidRDefault="006C19F4" w14:paraId="4187F6BE" w14:textId="77777777">
            <w:pPr>
              <w:tabs>
                <w:tab w:val="center" w:pos="284"/>
              </w:tabs>
              <w:overflowPunct w:val="0"/>
              <w:autoSpaceDE w:val="0"/>
              <w:autoSpaceDN w:val="0"/>
              <w:adjustRightInd w:val="0"/>
              <w:ind w:left="266" w:hanging="266"/>
              <w:textAlignment w:val="baseline"/>
              <w:rPr>
                <w:b/>
              </w:rPr>
            </w:pPr>
            <w:r>
              <w:rPr>
                <w:b/>
              </w:rPr>
              <w:t>Докладчик</w:t>
            </w:r>
          </w:p>
        </w:tc>
        <w:tc>
          <w:tcPr>
            <w:tcW w:w="7087" w:type="dxa"/>
          </w:tcPr>
          <w:p w:rsidRPr="006C19F4" w:rsidR="006C19F4" w:rsidP="006C19F4" w:rsidRDefault="006C19F4" w14:paraId="1811BD9A" w14:textId="77777777">
            <w:pPr>
              <w:tabs>
                <w:tab w:val="center" w:pos="284"/>
              </w:tabs>
              <w:overflowPunct w:val="0"/>
              <w:autoSpaceDE w:val="0"/>
              <w:autoSpaceDN w:val="0"/>
              <w:adjustRightInd w:val="0"/>
              <w:ind w:left="266" w:hanging="266"/>
              <w:textAlignment w:val="baseline"/>
              <w:rPr>
                <w:bCs/>
              </w:rPr>
            </w:pPr>
            <w:r>
              <w:t>Maria del Carmen BARRERA CHAMORRO (група „Работници“ — ES)</w:t>
            </w:r>
          </w:p>
        </w:tc>
      </w:tr>
      <w:tr w:rsidRPr="006C19F4" w:rsidR="006C19F4" w:rsidTr="00FE3058" w14:paraId="73869A75" w14:textId="77777777">
        <w:tc>
          <w:tcPr>
            <w:tcW w:w="9322" w:type="dxa"/>
            <w:gridSpan w:val="2"/>
          </w:tcPr>
          <w:p w:rsidRPr="006C19F4" w:rsidR="006C19F4" w:rsidP="006C19F4" w:rsidRDefault="006C19F4" w14:paraId="4BF0E4CE" w14:textId="77777777">
            <w:pPr>
              <w:tabs>
                <w:tab w:val="center" w:pos="284"/>
              </w:tabs>
              <w:overflowPunct w:val="0"/>
              <w:autoSpaceDE w:val="0"/>
              <w:autoSpaceDN w:val="0"/>
              <w:adjustRightInd w:val="0"/>
              <w:spacing w:line="160" w:lineRule="exact"/>
              <w:ind w:left="266" w:hanging="266"/>
              <w:textAlignment w:val="baseline"/>
            </w:pPr>
          </w:p>
        </w:tc>
      </w:tr>
      <w:tr w:rsidRPr="006C19F4" w:rsidR="006C19F4" w:rsidTr="00FC48A9" w14:paraId="232B8808" w14:textId="77777777">
        <w:tc>
          <w:tcPr>
            <w:tcW w:w="2235" w:type="dxa"/>
          </w:tcPr>
          <w:p w:rsidRPr="006C19F4" w:rsidR="006C19F4" w:rsidP="006C19F4" w:rsidRDefault="006C19F4" w14:paraId="0DE082BA"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7087" w:type="dxa"/>
          </w:tcPr>
          <w:p w:rsidRPr="00DC0FAE" w:rsidR="00ED5F1D" w:rsidP="00ED5F1D" w:rsidRDefault="00ED5F1D" w14:paraId="6C26CE56" w14:textId="7EC335DB">
            <w:pPr>
              <w:pStyle w:val="Default"/>
              <w:jc w:val="both"/>
              <w:rPr>
                <w:sz w:val="20"/>
                <w:szCs w:val="20"/>
              </w:rPr>
            </w:pPr>
            <w:r>
              <w:rPr>
                <w:sz w:val="20"/>
              </w:rPr>
              <w:t xml:space="preserve">Проучвателно становище по искане на Европейската комисия </w:t>
            </w:r>
          </w:p>
          <w:p w:rsidRPr="006C19F4" w:rsidR="006C19F4" w:rsidP="006C19F4" w:rsidRDefault="006C19F4" w14:paraId="7903D5BC" w14:textId="592052F7">
            <w:pPr>
              <w:tabs>
                <w:tab w:val="center" w:pos="284"/>
              </w:tabs>
              <w:overflowPunct w:val="0"/>
              <w:autoSpaceDE w:val="0"/>
              <w:autoSpaceDN w:val="0"/>
              <w:adjustRightInd w:val="0"/>
              <w:ind w:left="266" w:hanging="266"/>
              <w:textAlignment w:val="baseline"/>
            </w:pPr>
            <w:r>
              <w:t>EESC-2024-00535-00-00-AC</w:t>
            </w:r>
          </w:p>
        </w:tc>
      </w:tr>
    </w:tbl>
    <w:p w:rsidR="00556279" w:rsidP="006C19F4" w:rsidRDefault="00556279" w14:paraId="3EB4A714"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580E62C3" w14:textId="193AC286">
      <w:pPr>
        <w:keepNext/>
        <w:keepLines/>
        <w:tabs>
          <w:tab w:val="center" w:pos="284"/>
        </w:tabs>
        <w:overflowPunct w:val="0"/>
        <w:autoSpaceDE w:val="0"/>
        <w:autoSpaceDN w:val="0"/>
        <w:adjustRightInd w:val="0"/>
        <w:spacing w:before="120"/>
        <w:ind w:left="266" w:hanging="266"/>
        <w:textAlignment w:val="baseline"/>
        <w:rPr>
          <w:b/>
        </w:rPr>
      </w:pPr>
      <w:r>
        <w:rPr>
          <w:b/>
        </w:rPr>
        <w:t>Основни аспекти</w:t>
      </w:r>
    </w:p>
    <w:p w:rsidRPr="006C19F4" w:rsidR="00ED5F1D" w:rsidP="006C19F4" w:rsidRDefault="00ED5F1D" w14:paraId="7E453C4F" w14:textId="77777777">
      <w:pPr>
        <w:keepNext/>
        <w:keepLines/>
        <w:tabs>
          <w:tab w:val="center" w:pos="284"/>
        </w:tabs>
        <w:overflowPunct w:val="0"/>
        <w:autoSpaceDE w:val="0"/>
        <w:autoSpaceDN w:val="0"/>
        <w:adjustRightInd w:val="0"/>
        <w:spacing w:before="120"/>
        <w:ind w:left="266" w:hanging="266"/>
        <w:textAlignment w:val="baseline"/>
        <w:rPr>
          <w:b/>
        </w:rPr>
      </w:pPr>
    </w:p>
    <w:p w:rsidR="006C19F4" w:rsidP="006C19F4" w:rsidRDefault="006C19F4" w14:paraId="3AEFB419" w14:textId="78037879">
      <w:pPr>
        <w:overflowPunct w:val="0"/>
        <w:autoSpaceDE w:val="0"/>
        <w:autoSpaceDN w:val="0"/>
        <w:adjustRightInd w:val="0"/>
        <w:textAlignment w:val="baseline"/>
        <w:rPr>
          <w:bCs/>
          <w:iCs/>
        </w:rPr>
      </w:pPr>
      <w:r>
        <w:t>ЕИСК:</w:t>
      </w:r>
    </w:p>
    <w:p w:rsidRPr="006C19F4" w:rsidR="007A51DE" w:rsidP="006C19F4" w:rsidRDefault="007A51DE" w14:paraId="3831A5EE" w14:textId="77777777">
      <w:pPr>
        <w:overflowPunct w:val="0"/>
        <w:autoSpaceDE w:val="0"/>
        <w:autoSpaceDN w:val="0"/>
        <w:adjustRightInd w:val="0"/>
        <w:textAlignment w:val="baseline"/>
        <w:rPr>
          <w:bCs/>
          <w:iCs/>
        </w:rPr>
      </w:pPr>
    </w:p>
    <w:p w:rsidRPr="006C19F4" w:rsidR="006C19F4" w:rsidP="00DC0FAE" w:rsidRDefault="006C19F4" w14:paraId="18DCF415" w14:textId="77777777">
      <w:pPr>
        <w:numPr>
          <w:ilvl w:val="0"/>
          <w:numId w:val="13"/>
        </w:numPr>
        <w:overflowPunct w:val="0"/>
        <w:autoSpaceDE w:val="0"/>
        <w:autoSpaceDN w:val="0"/>
        <w:adjustRightInd w:val="0"/>
        <w:spacing w:after="200" w:line="276" w:lineRule="auto"/>
        <w:contextualSpacing/>
        <w:textAlignment w:val="baseline"/>
        <w:rPr>
          <w:bCs/>
          <w:iCs/>
        </w:rPr>
      </w:pPr>
      <w:r>
        <w:t>подчертава, че политиката на предприсъединителна помощ е необходим инструмент на политиката на разширяване, чието влияние може да бъде засилено, за да се насърчат мирът и просперитетът на европейския континент, по-специално в регионите, в които мирът и стабилността напоследък са изправени пред предизвикателства;</w:t>
      </w:r>
    </w:p>
    <w:p w:rsidRPr="006C19F4" w:rsidR="006C19F4" w:rsidP="00DC0FAE" w:rsidRDefault="006C19F4" w14:paraId="6F8C8AAA" w14:textId="77777777">
      <w:pPr>
        <w:numPr>
          <w:ilvl w:val="0"/>
          <w:numId w:val="13"/>
        </w:numPr>
        <w:overflowPunct w:val="0"/>
        <w:autoSpaceDE w:val="0"/>
        <w:autoSpaceDN w:val="0"/>
        <w:adjustRightInd w:val="0"/>
        <w:spacing w:after="200" w:line="276" w:lineRule="auto"/>
        <w:contextualSpacing/>
        <w:textAlignment w:val="baseline"/>
        <w:rPr>
          <w:bCs/>
          <w:iCs/>
        </w:rPr>
      </w:pPr>
      <w:r>
        <w:t>отбелязва, че за да се подготвят страните кандидатки да прилагат пълноценно инструментите на политиката на сближаване в бъдеще, политиката на предприсъединителна помощ следва да бъде по-добре адаптирана към силните страни, предизвикателствата и нуждите на съответните региони, както и към граничните региони на държавите — членки на ЕС;</w:t>
      </w:r>
    </w:p>
    <w:p w:rsidRPr="006C19F4" w:rsidR="006C19F4" w:rsidP="00DC0FAE" w:rsidRDefault="006C19F4" w14:paraId="7DB08F12" w14:textId="77777777">
      <w:pPr>
        <w:numPr>
          <w:ilvl w:val="0"/>
          <w:numId w:val="13"/>
        </w:numPr>
        <w:overflowPunct w:val="0"/>
        <w:autoSpaceDE w:val="0"/>
        <w:autoSpaceDN w:val="0"/>
        <w:adjustRightInd w:val="0"/>
        <w:spacing w:after="200" w:line="276" w:lineRule="auto"/>
        <w:contextualSpacing/>
        <w:textAlignment w:val="baseline"/>
        <w:rPr>
          <w:bCs/>
          <w:iCs/>
        </w:rPr>
      </w:pPr>
      <w:r>
        <w:t>препоръчва в рамките на политиката на предприсъединителна помощ в страните кандидатки да се инвестира по-систематично в развитието на човешкия капитал, в образованието и социалната интеграция, за да се предотвратят и намалят социалните неравенства. Насърчаването на връзките с ОГО за по-добро планиране на политиката на предприсъединителна помощ е от основно значение;</w:t>
      </w:r>
    </w:p>
    <w:p w:rsidRPr="006C19F4" w:rsidR="006C19F4" w:rsidP="00DC0FAE" w:rsidRDefault="006C19F4" w14:paraId="796D945B" w14:textId="77777777">
      <w:pPr>
        <w:numPr>
          <w:ilvl w:val="0"/>
          <w:numId w:val="13"/>
        </w:numPr>
        <w:overflowPunct w:val="0"/>
        <w:autoSpaceDE w:val="0"/>
        <w:autoSpaceDN w:val="0"/>
        <w:adjustRightInd w:val="0"/>
        <w:spacing w:after="200" w:line="276" w:lineRule="auto"/>
        <w:contextualSpacing/>
        <w:textAlignment w:val="baseline"/>
        <w:rPr>
          <w:bCs/>
          <w:iCs/>
        </w:rPr>
      </w:pPr>
      <w:r>
        <w:t>отбелязва, че с бъдещата политика на сближаване следва да се даде приоритет на защитата на уязвимите групи, които се сблъскват с огромни допълнителни пречки пред икономическото и социалното си развитие и могат да бъдат изправени пред допълнителни предизвикателства в процеса на бъдещото присъединяване;</w:t>
      </w:r>
    </w:p>
    <w:p w:rsidRPr="006C19F4" w:rsidR="006C19F4" w:rsidP="00DC0FAE" w:rsidRDefault="006C19F4" w14:paraId="7BE159C5" w14:textId="77777777">
      <w:pPr>
        <w:numPr>
          <w:ilvl w:val="0"/>
          <w:numId w:val="13"/>
        </w:numPr>
        <w:overflowPunct w:val="0"/>
        <w:autoSpaceDE w:val="0"/>
        <w:autoSpaceDN w:val="0"/>
        <w:adjustRightInd w:val="0"/>
        <w:spacing w:after="200" w:line="276" w:lineRule="auto"/>
        <w:contextualSpacing/>
        <w:textAlignment w:val="baseline"/>
        <w:rPr>
          <w:bCs/>
          <w:iCs/>
        </w:rPr>
      </w:pPr>
      <w:r>
        <w:t>подчертава, че по-силните партньорства с ОГО в държавите кандидатки са не само безценни с оглед на популярзирането на целите на разширяването, но са и в съответствие с ефективните и приобщаващи стратегии за развитие, като използват установените принципи на стабилно партньорство и споделено управление;</w:t>
      </w:r>
    </w:p>
    <w:p w:rsidRPr="006C19F4" w:rsidR="006C19F4" w:rsidP="00DC0FAE" w:rsidRDefault="006C19F4" w14:paraId="0F3DDE5E" w14:textId="77777777">
      <w:pPr>
        <w:numPr>
          <w:ilvl w:val="0"/>
          <w:numId w:val="13"/>
        </w:numPr>
        <w:overflowPunct w:val="0"/>
        <w:autoSpaceDE w:val="0"/>
        <w:autoSpaceDN w:val="0"/>
        <w:adjustRightInd w:val="0"/>
        <w:spacing w:after="200" w:line="276" w:lineRule="auto"/>
        <w:contextualSpacing/>
        <w:textAlignment w:val="baseline"/>
        <w:rPr>
          <w:bCs/>
          <w:iCs/>
        </w:rPr>
      </w:pPr>
      <w:r>
        <w:t>подчертава, че ролята на политиката на сближаване трябва да обхваща много повече от основните инвестиции. Тя трябва да е насочена към изграждането на институции и капацитет, включително програми за побратимяване и подкрепа за гражданското общество и социалните партньори;</w:t>
      </w:r>
    </w:p>
    <w:p w:rsidRPr="006C19F4" w:rsidR="006C19F4" w:rsidP="00DC0FAE" w:rsidRDefault="006C19F4" w14:paraId="5388831B" w14:textId="77777777">
      <w:pPr>
        <w:numPr>
          <w:ilvl w:val="0"/>
          <w:numId w:val="13"/>
        </w:numPr>
        <w:overflowPunct w:val="0"/>
        <w:autoSpaceDE w:val="0"/>
        <w:autoSpaceDN w:val="0"/>
        <w:adjustRightInd w:val="0"/>
        <w:spacing w:after="200" w:line="276" w:lineRule="auto"/>
        <w:contextualSpacing/>
        <w:textAlignment w:val="baseline"/>
        <w:rPr>
          <w:bCs/>
          <w:iCs/>
        </w:rPr>
      </w:pPr>
      <w:r>
        <w:t xml:space="preserve">подчертава факта, че вълните на разширяване оказаха въздействие и върху настоящите държави членки и техните региони, тъй като новите държави членки се присъединяват </w:t>
      </w:r>
      <w:r>
        <w:lastRenderedPageBreak/>
        <w:t>към единния пазар и оказват въздействие върху международната верига за създаване на стойност и трудовата миграция в ЕС. Поради това са необходими допълнителни средства за инвестиции в регионите, граничещи с държавите кандидатки, както и в регионите на настоящите държави членки, които са сериозно засегнати от промените в ЕС и световните вериги за създаване на стойност, настъпили в резултат на разширяването;</w:t>
      </w:r>
    </w:p>
    <w:p w:rsidRPr="006C19F4" w:rsidR="006C19F4" w:rsidP="00DC0FAE" w:rsidRDefault="006C19F4" w14:paraId="371A7D2C" w14:textId="77777777">
      <w:pPr>
        <w:numPr>
          <w:ilvl w:val="0"/>
          <w:numId w:val="13"/>
        </w:numPr>
        <w:overflowPunct w:val="0"/>
        <w:autoSpaceDE w:val="0"/>
        <w:autoSpaceDN w:val="0"/>
        <w:adjustRightInd w:val="0"/>
        <w:spacing w:after="200" w:line="276" w:lineRule="auto"/>
        <w:contextualSpacing/>
        <w:textAlignment w:val="baseline"/>
        <w:rPr>
          <w:bCs/>
          <w:iCs/>
        </w:rPr>
      </w:pPr>
      <w:r>
        <w:t>счита, че ЕК следва да насочи реформите на бъдещата си политика на сближаване, успоредно с процеса на разширяване, към повишаване на ефективността на настоящите политики въз основа на засилена специализация и диверсификация, свързани с по-голяма гъвкавост и финансова специализация. Никоя финансова помощ не може да доведе до разгръщане на икономическия просперитет без паралелни усилия за институционално изграждане, реформа на управлението и ангажираност на гражданското общество;</w:t>
      </w:r>
    </w:p>
    <w:p w:rsidRPr="006C19F4" w:rsidR="006C19F4" w:rsidP="00DC0FAE" w:rsidRDefault="006C19F4" w14:paraId="0E40DD13" w14:textId="77777777">
      <w:pPr>
        <w:numPr>
          <w:ilvl w:val="0"/>
          <w:numId w:val="13"/>
        </w:numPr>
        <w:overflowPunct w:val="0"/>
        <w:autoSpaceDE w:val="0"/>
        <w:autoSpaceDN w:val="0"/>
        <w:adjustRightInd w:val="0"/>
        <w:spacing w:after="200" w:line="276" w:lineRule="auto"/>
        <w:contextualSpacing/>
        <w:textAlignment w:val="baseline"/>
        <w:rPr>
          <w:bCs/>
          <w:iCs/>
        </w:rPr>
      </w:pPr>
      <w:r>
        <w:t>подчертава необходимостта от спешни действия за спиране на вълната на емиграция от страните кандидатки за членство в ЕС, която заплашва да разруши потенциала за икономическо и социално развитие, като за целта се предприемат различни политически мерки, включително инвестиции в човешки капитал;</w:t>
      </w:r>
    </w:p>
    <w:p w:rsidRPr="006C19F4" w:rsidR="006C19F4" w:rsidP="00DC0FAE" w:rsidRDefault="006C19F4" w14:paraId="696DDE71" w14:textId="77777777">
      <w:pPr>
        <w:numPr>
          <w:ilvl w:val="0"/>
          <w:numId w:val="13"/>
        </w:numPr>
        <w:overflowPunct w:val="0"/>
        <w:autoSpaceDE w:val="0"/>
        <w:autoSpaceDN w:val="0"/>
        <w:adjustRightInd w:val="0"/>
        <w:spacing w:after="200" w:line="276" w:lineRule="auto"/>
        <w:contextualSpacing/>
        <w:textAlignment w:val="baseline"/>
        <w:rPr>
          <w:bCs/>
          <w:iCs/>
        </w:rPr>
      </w:pPr>
      <w:r>
        <w:t>счита, че е от съществено значение да се подобри положението на младите хора в страните кандидатки. Необходими са усилия за подобряване на уменията и заетостта на младите хора и за увеличаване на възможностите на младите хора за образование и качествена заетост, както и решения за жилищно настаняване. Диалогът и участието на младите хора в инициативи, свързани с гаранцията за младежта, също следва да се насърчават;</w:t>
      </w:r>
    </w:p>
    <w:p w:rsidR="006C19F4" w:rsidP="00ED5F1D" w:rsidRDefault="006C19F4" w14:paraId="36FB8C43" w14:textId="60DCA5EA">
      <w:pPr>
        <w:numPr>
          <w:ilvl w:val="0"/>
          <w:numId w:val="13"/>
        </w:numPr>
        <w:overflowPunct w:val="0"/>
        <w:autoSpaceDE w:val="0"/>
        <w:autoSpaceDN w:val="0"/>
        <w:adjustRightInd w:val="0"/>
        <w:spacing w:after="200" w:line="276" w:lineRule="auto"/>
        <w:contextualSpacing/>
        <w:textAlignment w:val="baseline"/>
        <w:rPr>
          <w:bCs/>
          <w:iCs/>
        </w:rPr>
      </w:pPr>
      <w:r>
        <w:t>препоръчва да се увеличат усилията за полагане на грижи за най-уязвимите лица и за уязвимите групи в страните кандидатки, като те бъдат включени не само в системите за закрила, но и в процеса на вземане на решения, тъй като това е най-добрият начин за постигане на първия основен принцип на политиката на сближаване „да не се пренебрегва никой“.</w:t>
      </w:r>
    </w:p>
    <w:p w:rsidRPr="006C19F4" w:rsidR="00ED5F1D" w:rsidP="00DC0FAE" w:rsidRDefault="00ED5F1D" w14:paraId="0BD5F507" w14:textId="77777777">
      <w:pPr>
        <w:overflowPunct w:val="0"/>
        <w:autoSpaceDE w:val="0"/>
        <w:autoSpaceDN w:val="0"/>
        <w:adjustRightInd w:val="0"/>
        <w:spacing w:after="200" w:line="276" w:lineRule="auto"/>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6C19F4" w:rsidR="006C19F4" w:rsidTr="00FC48A9" w14:paraId="7A7F559C" w14:textId="77777777">
        <w:tc>
          <w:tcPr>
            <w:tcW w:w="1809" w:type="dxa"/>
          </w:tcPr>
          <w:p w:rsidRPr="006C19F4" w:rsidR="006C19F4" w:rsidP="006C19F4" w:rsidRDefault="006C19F4" w14:paraId="6B40BFCD" w14:textId="58DA9E5A">
            <w:pPr>
              <w:overflowPunct w:val="0"/>
              <w:autoSpaceDE w:val="0"/>
              <w:autoSpaceDN w:val="0"/>
              <w:adjustRightInd w:val="0"/>
              <w:spacing w:line="240" w:lineRule="auto"/>
              <w:textAlignment w:val="baseline"/>
              <w:rPr>
                <w:i/>
              </w:rPr>
            </w:pPr>
            <w:r>
              <w:rPr>
                <w:b/>
                <w:i/>
              </w:rPr>
              <w:t>За контакт</w:t>
            </w:r>
            <w:r w:rsidR="00FC48A9">
              <w:rPr>
                <w:b/>
                <w:i/>
              </w:rPr>
              <w:t>и</w:t>
            </w:r>
          </w:p>
        </w:tc>
        <w:tc>
          <w:tcPr>
            <w:tcW w:w="5279" w:type="dxa"/>
          </w:tcPr>
          <w:p w:rsidRPr="006C19F4" w:rsidR="006C19F4" w:rsidP="006C19F4" w:rsidRDefault="006C19F4" w14:paraId="2E0B1708" w14:textId="77777777">
            <w:pPr>
              <w:overflowPunct w:val="0"/>
              <w:autoSpaceDE w:val="0"/>
              <w:autoSpaceDN w:val="0"/>
              <w:adjustRightInd w:val="0"/>
              <w:spacing w:line="240" w:lineRule="auto"/>
              <w:textAlignment w:val="baseline"/>
              <w:rPr>
                <w:i/>
              </w:rPr>
            </w:pPr>
            <w:r>
              <w:rPr>
                <w:i/>
              </w:rPr>
              <w:t>Georgios Meleas</w:t>
            </w:r>
          </w:p>
        </w:tc>
      </w:tr>
      <w:tr w:rsidRPr="006C19F4" w:rsidR="006C19F4" w:rsidTr="00FC48A9" w14:paraId="1C00A944" w14:textId="77777777">
        <w:tc>
          <w:tcPr>
            <w:tcW w:w="1809" w:type="dxa"/>
          </w:tcPr>
          <w:p w:rsidRPr="006C19F4" w:rsidR="006C19F4" w:rsidP="006C19F4" w:rsidRDefault="006C19F4" w14:paraId="02043B5C" w14:textId="77777777">
            <w:pPr>
              <w:overflowPunct w:val="0"/>
              <w:autoSpaceDE w:val="0"/>
              <w:autoSpaceDN w:val="0"/>
              <w:adjustRightInd w:val="0"/>
              <w:spacing w:line="240" w:lineRule="auto"/>
              <w:textAlignment w:val="baseline"/>
              <w:rPr>
                <w:i/>
              </w:rPr>
            </w:pPr>
            <w:r>
              <w:rPr>
                <w:i/>
              </w:rPr>
              <w:t>Тел</w:t>
            </w:r>
            <w:r>
              <w:rPr>
                <w:i/>
                <w:iCs/>
              </w:rPr>
              <w:t>.</w:t>
            </w:r>
          </w:p>
        </w:tc>
        <w:tc>
          <w:tcPr>
            <w:tcW w:w="5279" w:type="dxa"/>
          </w:tcPr>
          <w:p w:rsidRPr="006C19F4" w:rsidR="006C19F4" w:rsidP="006C19F4" w:rsidRDefault="006C19F4" w14:paraId="7765EB4C" w14:textId="77777777">
            <w:pPr>
              <w:overflowPunct w:val="0"/>
              <w:autoSpaceDE w:val="0"/>
              <w:autoSpaceDN w:val="0"/>
              <w:adjustRightInd w:val="0"/>
              <w:spacing w:line="240" w:lineRule="auto"/>
              <w:textAlignment w:val="baseline"/>
              <w:rPr>
                <w:i/>
              </w:rPr>
            </w:pPr>
            <w:r>
              <w:rPr>
                <w:i/>
              </w:rPr>
              <w:t>+32 25469795</w:t>
            </w:r>
          </w:p>
        </w:tc>
      </w:tr>
      <w:tr w:rsidRPr="006C19F4" w:rsidR="006C19F4" w:rsidTr="00FC48A9" w14:paraId="13E41AD9" w14:textId="77777777">
        <w:tc>
          <w:tcPr>
            <w:tcW w:w="1809" w:type="dxa"/>
          </w:tcPr>
          <w:p w:rsidRPr="006C19F4" w:rsidR="006C19F4" w:rsidP="006C19F4" w:rsidRDefault="006C19F4" w14:paraId="606A5A69" w14:textId="77777777">
            <w:pPr>
              <w:overflowPunct w:val="0"/>
              <w:autoSpaceDE w:val="0"/>
              <w:autoSpaceDN w:val="0"/>
              <w:adjustRightInd w:val="0"/>
              <w:spacing w:line="240" w:lineRule="auto"/>
              <w:textAlignment w:val="baseline"/>
              <w:rPr>
                <w:i/>
              </w:rPr>
            </w:pPr>
            <w:r>
              <w:rPr>
                <w:i/>
              </w:rPr>
              <w:t>Електронен адрес</w:t>
            </w:r>
          </w:p>
        </w:tc>
        <w:tc>
          <w:tcPr>
            <w:tcW w:w="5279" w:type="dxa"/>
          </w:tcPr>
          <w:p w:rsidRPr="006C19F4" w:rsidR="006C19F4" w:rsidP="006C19F4" w:rsidRDefault="00606C04" w14:paraId="6B1B5DA3" w14:textId="77777777">
            <w:pPr>
              <w:overflowPunct w:val="0"/>
              <w:autoSpaceDE w:val="0"/>
              <w:autoSpaceDN w:val="0"/>
              <w:adjustRightInd w:val="0"/>
              <w:spacing w:line="240" w:lineRule="auto"/>
              <w:textAlignment w:val="baseline"/>
              <w:rPr>
                <w:i/>
              </w:rPr>
            </w:pPr>
            <w:hyperlink w:history="1" r:id="rId21">
              <w:r w:rsidR="00171CE5">
                <w:rPr>
                  <w:i/>
                  <w:color w:val="0000FF"/>
                  <w:u w:val="single"/>
                </w:rPr>
                <w:t>Georgios.Meleas@eesc.europa.eu</w:t>
              </w:r>
            </w:hyperlink>
          </w:p>
        </w:tc>
      </w:tr>
    </w:tbl>
    <w:p w:rsidR="001A5EC5" w:rsidP="00770F41"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001A5EC5" w:rsidRDefault="001A5EC5" w14:paraId="17F9882E" w14:textId="77777777">
      <w:pPr>
        <w:spacing w:after="160" w:line="259" w:lineRule="auto"/>
        <w:jc w:val="left"/>
        <w:rPr>
          <w:b/>
          <w:sz w:val="24"/>
          <w:szCs w:val="24"/>
        </w:rPr>
      </w:pPr>
      <w:r>
        <w:br w:type="page"/>
      </w:r>
    </w:p>
    <w:p w:rsidRPr="00DC0FAE" w:rsidR="001A5EC5" w:rsidP="00C26C81" w:rsidRDefault="00606C04" w14:paraId="5AEA0F19" w14:textId="7A5418D6">
      <w:pPr>
        <w:widowControl w:val="0"/>
        <w:numPr>
          <w:ilvl w:val="0"/>
          <w:numId w:val="7"/>
        </w:numPr>
        <w:overflowPunct w:val="0"/>
        <w:autoSpaceDE w:val="0"/>
        <w:autoSpaceDN w:val="0"/>
        <w:adjustRightInd w:val="0"/>
        <w:spacing w:after="120"/>
        <w:ind w:left="283"/>
        <w:textAlignment w:val="baseline"/>
        <w:rPr>
          <w:b/>
          <w:i/>
          <w:iCs/>
          <w:sz w:val="28"/>
          <w:szCs w:val="28"/>
        </w:rPr>
      </w:pPr>
      <w:hyperlink w:history="1" r:id="rId22">
        <w:r w:rsidR="00171CE5">
          <w:rPr>
            <w:b/>
            <w:i/>
            <w:color w:val="0000FF"/>
            <w:sz w:val="28"/>
            <w:u w:val="single"/>
          </w:rPr>
          <w:t>Девети доклад относно икономическото, социалното и териториалното сближаване</w:t>
        </w:r>
      </w:hyperlink>
    </w:p>
    <w:p w:rsidRPr="001A5EC5" w:rsidR="00444F0D" w:rsidP="00DC0FAE" w:rsidRDefault="00444F0D" w14:paraId="5992C072" w14:textId="77777777">
      <w:pPr>
        <w:widowControl w:val="0"/>
        <w:overflowPunct w:val="0"/>
        <w:autoSpaceDE w:val="0"/>
        <w:autoSpaceDN w:val="0"/>
        <w:adjustRightInd w:val="0"/>
        <w:spacing w:after="120"/>
        <w:ind w:left="284"/>
        <w:textAlignment w:val="baseline"/>
        <w:rPr>
          <w:b/>
          <w:i/>
          <w:iCs/>
          <w:sz w:val="28"/>
          <w:szCs w:val="28"/>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1A5EC5" w:rsidR="001A5EC5" w:rsidTr="00FC48A9" w14:paraId="44793051" w14:textId="77777777">
        <w:tc>
          <w:tcPr>
            <w:tcW w:w="2235" w:type="dxa"/>
          </w:tcPr>
          <w:p w:rsidRPr="001A5EC5" w:rsidR="001A5EC5" w:rsidP="00DC0FAE" w:rsidRDefault="001A5EC5" w14:paraId="463E72CE" w14:textId="77777777">
            <w:pPr>
              <w:overflowPunct w:val="0"/>
              <w:autoSpaceDE w:val="0"/>
              <w:autoSpaceDN w:val="0"/>
              <w:adjustRightInd w:val="0"/>
              <w:ind w:left="174" w:hanging="266"/>
              <w:textAlignment w:val="baseline"/>
              <w:rPr>
                <w:b/>
              </w:rPr>
            </w:pPr>
            <w:r>
              <w:rPr>
                <w:b/>
              </w:rPr>
              <w:t>Докладчик</w:t>
            </w:r>
          </w:p>
        </w:tc>
        <w:tc>
          <w:tcPr>
            <w:tcW w:w="4853" w:type="dxa"/>
          </w:tcPr>
          <w:p w:rsidRPr="001A5EC5" w:rsidR="001A5EC5" w:rsidP="00DC0FAE" w:rsidRDefault="001A5EC5" w14:paraId="64C714E3" w14:textId="1E978EFE">
            <w:pPr>
              <w:overflowPunct w:val="0"/>
              <w:autoSpaceDE w:val="0"/>
              <w:autoSpaceDN w:val="0"/>
              <w:adjustRightInd w:val="0"/>
              <w:ind w:left="174" w:hanging="266"/>
              <w:textAlignment w:val="baseline"/>
              <w:rPr>
                <w:bCs/>
              </w:rPr>
            </w:pPr>
            <w:r>
              <w:t xml:space="preserve">Matteo Carlo </w:t>
            </w:r>
            <w:r w:rsidR="0041790D">
              <w:t>BORSANI</w:t>
            </w:r>
            <w:r>
              <w:t xml:space="preserve"> (група „Работодатели“ — IT)</w:t>
            </w:r>
          </w:p>
        </w:tc>
      </w:tr>
      <w:tr w:rsidRPr="001A5EC5" w:rsidR="001A5EC5" w:rsidTr="00FE3058" w14:paraId="32E56BAC" w14:textId="77777777">
        <w:tc>
          <w:tcPr>
            <w:tcW w:w="7088" w:type="dxa"/>
            <w:gridSpan w:val="2"/>
          </w:tcPr>
          <w:p w:rsidRPr="001A5EC5" w:rsidR="001A5EC5" w:rsidP="00DC0FAE" w:rsidRDefault="001A5EC5" w14:paraId="783F63D2" w14:textId="77777777">
            <w:pPr>
              <w:overflowPunct w:val="0"/>
              <w:autoSpaceDE w:val="0"/>
              <w:autoSpaceDN w:val="0"/>
              <w:adjustRightInd w:val="0"/>
              <w:spacing w:line="160" w:lineRule="exact"/>
              <w:ind w:left="174" w:hanging="266"/>
              <w:textAlignment w:val="baseline"/>
            </w:pPr>
          </w:p>
        </w:tc>
      </w:tr>
      <w:tr w:rsidRPr="001A5EC5" w:rsidR="001A5EC5" w:rsidTr="00FC48A9" w14:paraId="2A351EBF" w14:textId="77777777">
        <w:tc>
          <w:tcPr>
            <w:tcW w:w="2235" w:type="dxa"/>
          </w:tcPr>
          <w:p w:rsidRPr="001A5EC5" w:rsidR="001A5EC5" w:rsidP="00DC0FAE" w:rsidRDefault="001A5EC5" w14:paraId="26606D0B" w14:textId="77777777">
            <w:pPr>
              <w:overflowPunct w:val="0"/>
              <w:autoSpaceDE w:val="0"/>
              <w:autoSpaceDN w:val="0"/>
              <w:adjustRightInd w:val="0"/>
              <w:ind w:left="174" w:hanging="266"/>
              <w:textAlignment w:val="baseline"/>
              <w:rPr>
                <w:b/>
              </w:rPr>
            </w:pPr>
            <w:r>
              <w:rPr>
                <w:b/>
              </w:rPr>
              <w:t>Отправни документи</w:t>
            </w:r>
          </w:p>
        </w:tc>
        <w:tc>
          <w:tcPr>
            <w:tcW w:w="4853" w:type="dxa"/>
          </w:tcPr>
          <w:p w:rsidRPr="001A5EC5" w:rsidR="001A5EC5" w:rsidP="00DC0FAE" w:rsidRDefault="001A5EC5" w14:paraId="5C440461" w14:textId="77777777">
            <w:pPr>
              <w:overflowPunct w:val="0"/>
              <w:autoSpaceDE w:val="0"/>
              <w:autoSpaceDN w:val="0"/>
              <w:adjustRightInd w:val="0"/>
              <w:ind w:left="174" w:hanging="266"/>
              <w:textAlignment w:val="baseline"/>
            </w:pPr>
            <w:r>
              <w:t>COM(2024) 149 final</w:t>
            </w:r>
          </w:p>
          <w:p w:rsidRPr="001A5EC5" w:rsidR="001A5EC5" w:rsidP="00DC0FAE" w:rsidRDefault="001A5EC5" w14:paraId="3868DEB9" w14:textId="77777777">
            <w:pPr>
              <w:overflowPunct w:val="0"/>
              <w:autoSpaceDE w:val="0"/>
              <w:autoSpaceDN w:val="0"/>
              <w:adjustRightInd w:val="0"/>
              <w:ind w:left="174" w:hanging="266"/>
              <w:textAlignment w:val="baseline"/>
            </w:pPr>
            <w:r>
              <w:t>EESC-2024-00987-00-00-AC</w:t>
            </w:r>
          </w:p>
        </w:tc>
      </w:tr>
    </w:tbl>
    <w:p w:rsidRPr="001A5EC5" w:rsidR="001A5EC5" w:rsidP="001A5EC5" w:rsidRDefault="001A5EC5" w14:paraId="52E9606C" w14:textId="77777777">
      <w:pPr>
        <w:keepNext/>
        <w:keepLines/>
        <w:tabs>
          <w:tab w:val="center" w:pos="284"/>
        </w:tabs>
        <w:overflowPunct w:val="0"/>
        <w:autoSpaceDE w:val="0"/>
        <w:autoSpaceDN w:val="0"/>
        <w:adjustRightInd w:val="0"/>
        <w:spacing w:before="120"/>
        <w:ind w:left="266" w:hanging="266"/>
        <w:textAlignment w:val="baseline"/>
        <w:rPr>
          <w:b/>
        </w:rPr>
      </w:pPr>
      <w:r>
        <w:rPr>
          <w:b/>
        </w:rPr>
        <w:t>Основни аспекти</w:t>
      </w:r>
    </w:p>
    <w:p w:rsidRPr="001A5EC5" w:rsidR="001A5EC5" w:rsidP="001A5EC5" w:rsidRDefault="001A5EC5" w14:paraId="5E2503AC" w14:textId="77777777">
      <w:pPr>
        <w:overflowPunct w:val="0"/>
        <w:autoSpaceDE w:val="0"/>
        <w:autoSpaceDN w:val="0"/>
        <w:adjustRightInd w:val="0"/>
        <w:textAlignment w:val="baseline"/>
        <w:rPr>
          <w:bCs/>
          <w:iCs/>
        </w:rPr>
      </w:pPr>
    </w:p>
    <w:p w:rsidR="001A5EC5" w:rsidP="001A5EC5" w:rsidRDefault="001A5EC5" w14:paraId="4D0AC1AA" w14:textId="6DEDCE45">
      <w:pPr>
        <w:overflowPunct w:val="0"/>
        <w:autoSpaceDE w:val="0"/>
        <w:autoSpaceDN w:val="0"/>
        <w:adjustRightInd w:val="0"/>
        <w:textAlignment w:val="baseline"/>
        <w:rPr>
          <w:bCs/>
          <w:iCs/>
        </w:rPr>
      </w:pPr>
      <w:r>
        <w:t>ЕИСК:</w:t>
      </w:r>
    </w:p>
    <w:p w:rsidRPr="001A5EC5" w:rsidR="00444F0D" w:rsidP="001A5EC5" w:rsidRDefault="00444F0D" w14:paraId="570F2CBE" w14:textId="77777777">
      <w:pPr>
        <w:overflowPunct w:val="0"/>
        <w:autoSpaceDE w:val="0"/>
        <w:autoSpaceDN w:val="0"/>
        <w:adjustRightInd w:val="0"/>
        <w:textAlignment w:val="baseline"/>
        <w:rPr>
          <w:bCs/>
          <w:iCs/>
        </w:rPr>
      </w:pPr>
    </w:p>
    <w:p w:rsidRPr="001A5EC5" w:rsidR="001A5EC5" w:rsidP="00DC0FAE" w:rsidRDefault="001A5EC5" w14:paraId="1478D8F5" w14:textId="77777777">
      <w:pPr>
        <w:numPr>
          <w:ilvl w:val="0"/>
          <w:numId w:val="14"/>
        </w:numPr>
        <w:overflowPunct w:val="0"/>
        <w:autoSpaceDE w:val="0"/>
        <w:autoSpaceDN w:val="0"/>
        <w:adjustRightInd w:val="0"/>
        <w:spacing w:after="200" w:line="276" w:lineRule="auto"/>
        <w:contextualSpacing/>
        <w:jc w:val="left"/>
        <w:textAlignment w:val="baseline"/>
        <w:rPr>
          <w:bCs/>
          <w:iCs/>
        </w:rPr>
      </w:pPr>
      <w:r>
        <w:t xml:space="preserve">приветства представянето на Деветия доклад за сближаването и счита, че описанието на резултатите от него е изчерпателно, както и полезна отправна точка за преглед на извлечените поуки; </w:t>
      </w:r>
    </w:p>
    <w:p w:rsidRPr="001A5EC5" w:rsidR="001A5EC5" w:rsidP="00DC0FAE" w:rsidRDefault="001A5EC5" w14:paraId="7B27E433" w14:textId="77777777">
      <w:pPr>
        <w:numPr>
          <w:ilvl w:val="0"/>
          <w:numId w:val="14"/>
        </w:numPr>
        <w:overflowPunct w:val="0"/>
        <w:autoSpaceDE w:val="0"/>
        <w:autoSpaceDN w:val="0"/>
        <w:adjustRightInd w:val="0"/>
        <w:spacing w:after="200" w:line="276" w:lineRule="auto"/>
        <w:contextualSpacing/>
        <w:textAlignment w:val="baseline"/>
        <w:rPr>
          <w:bCs/>
          <w:iCs/>
        </w:rPr>
      </w:pPr>
      <w:r>
        <w:t>препоръчва инвестициите и политиките да се съсредоточат върху укрепването на производствената база, за да се засили териториалното сближаване във възходяща посока, като подчертава, че положителната взаимовръзка между растежа на производителността и увеличаването на БВП на глава от населението се оказа единственото сходство при растежа във всички видове региони;</w:t>
      </w:r>
    </w:p>
    <w:p w:rsidRPr="001A5EC5" w:rsidR="001A5EC5" w:rsidP="00DC0FAE" w:rsidRDefault="001A5EC5" w14:paraId="446A7762" w14:textId="77777777">
      <w:pPr>
        <w:numPr>
          <w:ilvl w:val="0"/>
          <w:numId w:val="14"/>
        </w:numPr>
        <w:overflowPunct w:val="0"/>
        <w:autoSpaceDE w:val="0"/>
        <w:autoSpaceDN w:val="0"/>
        <w:adjustRightInd w:val="0"/>
        <w:spacing w:after="200" w:line="276" w:lineRule="auto"/>
        <w:contextualSpacing/>
        <w:textAlignment w:val="baseline"/>
        <w:rPr>
          <w:rFonts w:ascii="Calibri" w:hAnsi="Calibri"/>
        </w:rPr>
      </w:pPr>
      <w:r>
        <w:t>подчертава значението на конкурентоспособността за засилване на икономическото сближаване и на производствените инвестиции за стимулиране на конкурентоспособност и икономически растеж, което от своя страна има положително въздействие върху териториалното и социалното сближаване. ЕИСК подчертава още и значението на разширяването на достъпа до фондовете на политиката на сближаване за производствени инвестиции, така че да бъдат обхванати големите предприятия, които са част от екосистемата на МСП, при определени условия, свързани с каскадния му ефект върху територията и обществото. Резултатите от икономическото сближаване следва да се измерват не само по отношение на размера на икономическите инвестиции в определен район, но и по отношение на териториалните и социалните резултати;</w:t>
      </w:r>
    </w:p>
    <w:p w:rsidRPr="001A5EC5" w:rsidR="001A5EC5" w:rsidP="00DC0FAE" w:rsidRDefault="001A5EC5" w14:paraId="4372B202" w14:textId="77777777">
      <w:pPr>
        <w:numPr>
          <w:ilvl w:val="0"/>
          <w:numId w:val="14"/>
        </w:numPr>
        <w:overflowPunct w:val="0"/>
        <w:autoSpaceDE w:val="0"/>
        <w:autoSpaceDN w:val="0"/>
        <w:adjustRightInd w:val="0"/>
        <w:spacing w:after="200" w:line="276" w:lineRule="auto"/>
        <w:contextualSpacing/>
        <w:textAlignment w:val="baseline"/>
        <w:rPr>
          <w:bCs/>
          <w:iCs/>
        </w:rPr>
      </w:pPr>
      <w:r>
        <w:t>подчертава значението на функциониращия и приобщаващ пазар на труда за увеличаване на социалното сближаване чрез мерки, насочени към предоставяне на гражданите и работниците на ЕС на необходимия набор от умения, за да навлязат на пазара на труда и да се движат на него. В този контекст препоръчва да се съчетаят политиките за насърчаване на заетостта с политиките за стимулиране на пригодността за заетост, включително чрез насочване към онази част от обществото, за която съществува опасност да бъде пренебрегната, и насърчаване на приобщаването на хората, които понастоящем не са част от пазара на труда;</w:t>
      </w:r>
    </w:p>
    <w:p w:rsidRPr="001A5EC5" w:rsidR="001A5EC5" w:rsidP="00DC0FAE" w:rsidRDefault="001A5EC5" w14:paraId="2223D48A" w14:textId="77777777">
      <w:pPr>
        <w:numPr>
          <w:ilvl w:val="0"/>
          <w:numId w:val="14"/>
        </w:numPr>
        <w:overflowPunct w:val="0"/>
        <w:autoSpaceDE w:val="0"/>
        <w:autoSpaceDN w:val="0"/>
        <w:adjustRightInd w:val="0"/>
        <w:spacing w:after="200" w:line="276" w:lineRule="auto"/>
        <w:contextualSpacing/>
        <w:textAlignment w:val="baseline"/>
        <w:rPr>
          <w:bCs/>
          <w:iCs/>
        </w:rPr>
      </w:pPr>
      <w:r>
        <w:t>препоръчва да се насърчават стратегическите инвестиции в местната и регионалната администрация, за да се укрепи системата, която играе централна роля в изпълнението на програмите. Всъщност социалното, икономическото и териториалното сближаване не могат да се постигнат, без първо да се постигне сближаване в капацитета на публичните администрации;</w:t>
      </w:r>
    </w:p>
    <w:p w:rsidRPr="001A5EC5" w:rsidR="001A5EC5" w:rsidP="00DC0FAE" w:rsidRDefault="001A5EC5" w14:paraId="539D757E" w14:textId="77777777">
      <w:pPr>
        <w:numPr>
          <w:ilvl w:val="0"/>
          <w:numId w:val="14"/>
        </w:numPr>
        <w:overflowPunct w:val="0"/>
        <w:autoSpaceDE w:val="0"/>
        <w:autoSpaceDN w:val="0"/>
        <w:adjustRightInd w:val="0"/>
        <w:spacing w:after="200" w:line="276" w:lineRule="auto"/>
        <w:contextualSpacing/>
        <w:textAlignment w:val="baseline"/>
        <w:rPr>
          <w:bCs/>
          <w:iCs/>
        </w:rPr>
      </w:pPr>
      <w:r>
        <w:t>препоръчва да се гарантира участието на регионалните и местните власти, като се спазва принципът на партньорство и социалните партньори и организациите на гражданското общество се включват във всички процеси на размисъл относно бъдещето на политиката на сближаване;</w:t>
      </w:r>
    </w:p>
    <w:p w:rsidRPr="001A5EC5" w:rsidR="001A5EC5" w:rsidP="00DC0FAE" w:rsidRDefault="001A5EC5" w14:paraId="5AB147ED" w14:textId="77777777">
      <w:pPr>
        <w:numPr>
          <w:ilvl w:val="0"/>
          <w:numId w:val="14"/>
        </w:numPr>
        <w:overflowPunct w:val="0"/>
        <w:autoSpaceDE w:val="0"/>
        <w:autoSpaceDN w:val="0"/>
        <w:adjustRightInd w:val="0"/>
        <w:spacing w:after="200" w:line="276" w:lineRule="auto"/>
        <w:contextualSpacing/>
        <w:textAlignment w:val="baseline"/>
        <w:rPr>
          <w:bCs/>
          <w:iCs/>
        </w:rPr>
      </w:pPr>
      <w:r>
        <w:lastRenderedPageBreak/>
        <w:t>призовава съзаконодателите да изготвят по-амбициозен бюджет за цялостната МФР и да гарантират подходящо финансиране за политиката на сближаване, включително с оглед на бъдещата необходимост от инвестиции на ЕС в отбраната и в Европейски съюз с над 27 държави членки;</w:t>
      </w:r>
    </w:p>
    <w:p w:rsidR="001A5EC5" w:rsidP="00444F0D" w:rsidRDefault="001A5EC5" w14:paraId="5E21312D" w14:textId="7C3462A4">
      <w:pPr>
        <w:numPr>
          <w:ilvl w:val="0"/>
          <w:numId w:val="14"/>
        </w:numPr>
        <w:overflowPunct w:val="0"/>
        <w:autoSpaceDE w:val="0"/>
        <w:autoSpaceDN w:val="0"/>
        <w:adjustRightInd w:val="0"/>
        <w:spacing w:after="200" w:line="276" w:lineRule="auto"/>
        <w:contextualSpacing/>
        <w:textAlignment w:val="baseline"/>
        <w:rPr>
          <w:bCs/>
          <w:iCs/>
        </w:rPr>
      </w:pPr>
      <w:r>
        <w:t>в този контекст препоръчва да се има предвид, че бъдещите разширявания, предвидени от ЕС, ще изискват ефективна и добре функционираща политика на сближаване, за да се гарантира безпроблемната интеграция на бъдещите държави членки, без да се излагат на риск инвестициите в настоящите развиващи се региони;</w:t>
      </w:r>
    </w:p>
    <w:p w:rsidRPr="001A5EC5" w:rsidR="00444F0D" w:rsidP="00DC0FAE" w:rsidRDefault="00444F0D" w14:paraId="00B923D2" w14:textId="77777777">
      <w:pPr>
        <w:overflowPunct w:val="0"/>
        <w:autoSpaceDE w:val="0"/>
        <w:autoSpaceDN w:val="0"/>
        <w:adjustRightInd w:val="0"/>
        <w:spacing w:after="200" w:line="276" w:lineRule="auto"/>
        <w:contextualSpacing/>
        <w:textAlignment w:val="baseline"/>
        <w:rPr>
          <w:bCs/>
          <w:iCs/>
        </w:rPr>
      </w:pPr>
    </w:p>
    <w:p w:rsidRPr="00DC0FAE" w:rsidR="001A5EC5" w:rsidP="00444F0D" w:rsidRDefault="001A5EC5" w14:paraId="3A6882A2" w14:textId="6ED2155C">
      <w:pPr>
        <w:numPr>
          <w:ilvl w:val="0"/>
          <w:numId w:val="14"/>
        </w:numPr>
        <w:overflowPunct w:val="0"/>
        <w:autoSpaceDE w:val="0"/>
        <w:autoSpaceDN w:val="0"/>
        <w:adjustRightInd w:val="0"/>
        <w:spacing w:after="200" w:line="276" w:lineRule="auto"/>
        <w:contextualSpacing/>
        <w:textAlignment w:val="baseline"/>
        <w:rPr>
          <w:bCs/>
          <w:iCs/>
        </w:rPr>
      </w:pPr>
      <w:r>
        <w:t>и накрая, препоръчва да се използват автоматични и лесни за прилагане инвестиционни инструменти за прехода към по-интелигентна и по-екологична Европа. Предизвикателствата, породени от справедливия екологичен и цифров преход, и амбициозните цели, свързани с тях, изискват бързина и готовност.</w:t>
      </w:r>
      <w:r>
        <w:rPr>
          <w:rFonts w:ascii="Calibri" w:hAnsi="Calibri"/>
        </w:rPr>
        <w:t xml:space="preserve"> </w:t>
      </w:r>
    </w:p>
    <w:p w:rsidRPr="001A5EC5" w:rsidR="00444F0D" w:rsidP="00DC0FAE" w:rsidRDefault="00444F0D" w14:paraId="0C8A63CF" w14:textId="77777777">
      <w:pPr>
        <w:overflowPunct w:val="0"/>
        <w:autoSpaceDE w:val="0"/>
        <w:autoSpaceDN w:val="0"/>
        <w:adjustRightInd w:val="0"/>
        <w:spacing w:after="200" w:line="276" w:lineRule="auto"/>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1A5EC5" w:rsidR="001A5EC5" w:rsidTr="00FC48A9" w14:paraId="3FFBD53A" w14:textId="77777777">
        <w:tc>
          <w:tcPr>
            <w:tcW w:w="2093" w:type="dxa"/>
          </w:tcPr>
          <w:p w:rsidRPr="001A5EC5" w:rsidR="001A5EC5" w:rsidP="001A5EC5" w:rsidRDefault="001A5EC5" w14:paraId="56686149" w14:textId="0CE8C502">
            <w:pPr>
              <w:overflowPunct w:val="0"/>
              <w:autoSpaceDE w:val="0"/>
              <w:autoSpaceDN w:val="0"/>
              <w:adjustRightInd w:val="0"/>
              <w:spacing w:line="240" w:lineRule="auto"/>
              <w:textAlignment w:val="baseline"/>
              <w:rPr>
                <w:i/>
              </w:rPr>
            </w:pPr>
            <w:r>
              <w:rPr>
                <w:b/>
                <w:i/>
              </w:rPr>
              <w:t>За контакт</w:t>
            </w:r>
            <w:r w:rsidR="00FC48A9">
              <w:rPr>
                <w:b/>
                <w:i/>
              </w:rPr>
              <w:t>и</w:t>
            </w:r>
          </w:p>
        </w:tc>
        <w:tc>
          <w:tcPr>
            <w:tcW w:w="4995" w:type="dxa"/>
          </w:tcPr>
          <w:p w:rsidRPr="001A5EC5" w:rsidR="001A5EC5" w:rsidP="001A5EC5" w:rsidRDefault="001A5EC5" w14:paraId="7D68FE97" w14:textId="77777777">
            <w:pPr>
              <w:overflowPunct w:val="0"/>
              <w:autoSpaceDE w:val="0"/>
              <w:autoSpaceDN w:val="0"/>
              <w:adjustRightInd w:val="0"/>
              <w:spacing w:line="240" w:lineRule="auto"/>
              <w:textAlignment w:val="baseline"/>
              <w:rPr>
                <w:i/>
              </w:rPr>
            </w:pPr>
            <w:r>
              <w:rPr>
                <w:i/>
              </w:rPr>
              <w:t>Georgios Meleas</w:t>
            </w:r>
          </w:p>
        </w:tc>
      </w:tr>
      <w:tr w:rsidRPr="001A5EC5" w:rsidR="001A5EC5" w:rsidTr="00FC48A9" w14:paraId="654D5086" w14:textId="77777777">
        <w:tc>
          <w:tcPr>
            <w:tcW w:w="2093" w:type="dxa"/>
          </w:tcPr>
          <w:p w:rsidRPr="001A5EC5" w:rsidR="001A5EC5" w:rsidP="001A5EC5" w:rsidRDefault="001A5EC5" w14:paraId="3B2FDAFA" w14:textId="77777777">
            <w:pPr>
              <w:overflowPunct w:val="0"/>
              <w:autoSpaceDE w:val="0"/>
              <w:autoSpaceDN w:val="0"/>
              <w:adjustRightInd w:val="0"/>
              <w:spacing w:line="240" w:lineRule="auto"/>
              <w:textAlignment w:val="baseline"/>
              <w:rPr>
                <w:i/>
              </w:rPr>
            </w:pPr>
            <w:r>
              <w:rPr>
                <w:i/>
              </w:rPr>
              <w:t>Тел</w:t>
            </w:r>
            <w:r>
              <w:rPr>
                <w:i/>
                <w:iCs/>
              </w:rPr>
              <w:t>.</w:t>
            </w:r>
          </w:p>
        </w:tc>
        <w:tc>
          <w:tcPr>
            <w:tcW w:w="4995" w:type="dxa"/>
          </w:tcPr>
          <w:p w:rsidRPr="001A5EC5" w:rsidR="001A5EC5" w:rsidP="001A5EC5" w:rsidRDefault="001A5EC5" w14:paraId="35F0788C" w14:textId="77777777">
            <w:pPr>
              <w:overflowPunct w:val="0"/>
              <w:autoSpaceDE w:val="0"/>
              <w:autoSpaceDN w:val="0"/>
              <w:adjustRightInd w:val="0"/>
              <w:spacing w:line="240" w:lineRule="auto"/>
              <w:textAlignment w:val="baseline"/>
              <w:rPr>
                <w:i/>
              </w:rPr>
            </w:pPr>
            <w:r>
              <w:rPr>
                <w:i/>
              </w:rPr>
              <w:t>+32 25469795</w:t>
            </w:r>
          </w:p>
        </w:tc>
      </w:tr>
      <w:tr w:rsidRPr="001A5EC5" w:rsidR="001A5EC5" w:rsidTr="00FC48A9" w14:paraId="710F66DA" w14:textId="77777777">
        <w:tc>
          <w:tcPr>
            <w:tcW w:w="2093" w:type="dxa"/>
          </w:tcPr>
          <w:p w:rsidRPr="001A5EC5" w:rsidR="001A5EC5" w:rsidP="001A5EC5" w:rsidRDefault="001A5EC5" w14:paraId="62171153" w14:textId="77777777">
            <w:pPr>
              <w:overflowPunct w:val="0"/>
              <w:autoSpaceDE w:val="0"/>
              <w:autoSpaceDN w:val="0"/>
              <w:adjustRightInd w:val="0"/>
              <w:spacing w:line="240" w:lineRule="auto"/>
              <w:textAlignment w:val="baseline"/>
              <w:rPr>
                <w:i/>
              </w:rPr>
            </w:pPr>
            <w:r>
              <w:rPr>
                <w:i/>
              </w:rPr>
              <w:t>Електронен адрес</w:t>
            </w:r>
          </w:p>
        </w:tc>
        <w:tc>
          <w:tcPr>
            <w:tcW w:w="4995" w:type="dxa"/>
          </w:tcPr>
          <w:p w:rsidRPr="001A5EC5" w:rsidR="001A5EC5" w:rsidP="001A5EC5" w:rsidRDefault="00606C04" w14:paraId="2A008587" w14:textId="77777777">
            <w:pPr>
              <w:overflowPunct w:val="0"/>
              <w:autoSpaceDE w:val="0"/>
              <w:autoSpaceDN w:val="0"/>
              <w:adjustRightInd w:val="0"/>
              <w:spacing w:line="240" w:lineRule="auto"/>
              <w:textAlignment w:val="baseline"/>
              <w:rPr>
                <w:i/>
              </w:rPr>
            </w:pPr>
            <w:hyperlink w:history="1" r:id="rId23">
              <w:r w:rsidR="00171CE5">
                <w:rPr>
                  <w:i/>
                  <w:color w:val="0000FF"/>
                  <w:u w:val="single"/>
                </w:rPr>
                <w:t>Georgios.Meleas@eesc.europa.eu</w:t>
              </w:r>
            </w:hyperlink>
            <w:r w:rsidR="00171CE5">
              <w:rPr>
                <w:i/>
              </w:rPr>
              <w:t xml:space="preserve"> </w:t>
            </w:r>
          </w:p>
        </w:tc>
      </w:tr>
    </w:tbl>
    <w:p w:rsidR="005C28F2" w:rsidP="00770F41"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005C28F2" w:rsidRDefault="005C28F2" w14:paraId="566BFFD9" w14:textId="77777777">
      <w:pPr>
        <w:spacing w:after="160" w:line="259" w:lineRule="auto"/>
        <w:jc w:val="left"/>
        <w:rPr>
          <w:b/>
          <w:sz w:val="24"/>
          <w:szCs w:val="24"/>
        </w:rPr>
      </w:pPr>
      <w:r>
        <w:br w:type="page"/>
      </w:r>
    </w:p>
    <w:p w:rsidRPr="00502E1F" w:rsidR="00502E1F" w:rsidP="00DC0FAE" w:rsidRDefault="00606C04" w14:paraId="26F82B31" w14:textId="13D21940">
      <w:pPr>
        <w:pStyle w:val="Heading1"/>
        <w:tabs>
          <w:tab w:val="clear" w:pos="440"/>
          <w:tab w:val="left" w:pos="567"/>
        </w:tabs>
        <w:ind w:left="567" w:hanging="567"/>
        <w:rPr>
          <w:color w:val="000000" w:themeColor="text1"/>
        </w:rPr>
      </w:pPr>
      <w:hyperlink w:history="1" w:anchor="_Toc159831769">
        <w:bookmarkStart w:name="_Toc169623430" w:id="1"/>
        <w:r w:rsidR="005C28F2">
          <w:rPr>
            <w:rStyle w:val="Hyperlink"/>
            <w:b/>
            <w:color w:val="000000" w:themeColor="text1"/>
            <w:u w:val="none"/>
          </w:rPr>
          <w:t>ЗАЕТОСТ, СОЦИАЛНИ ВЪПРОСИ И ГРАЖДАНСТВО</w:t>
        </w:r>
        <w:bookmarkEnd w:id="1"/>
      </w:hyperlink>
    </w:p>
    <w:p w:rsidR="00502E1F" w:rsidP="00502E1F" w:rsidRDefault="00502E1F" w14:paraId="7FCC1962" w14:textId="6F84DBB9"/>
    <w:p w:rsidR="005C28F2" w:rsidP="00502E1F" w:rsidRDefault="005C28F2" w14:paraId="56EE42DD" w14:textId="77777777"/>
    <w:p w:rsidRPr="004E7105" w:rsidR="004E7105" w:rsidP="00C26C81" w:rsidRDefault="00606C04" w14:paraId="7766257F" w14:textId="31A79F30">
      <w:pPr>
        <w:widowControl w:val="0"/>
        <w:numPr>
          <w:ilvl w:val="0"/>
          <w:numId w:val="7"/>
        </w:numPr>
        <w:overflowPunct w:val="0"/>
        <w:autoSpaceDE w:val="0"/>
        <w:autoSpaceDN w:val="0"/>
        <w:adjustRightInd w:val="0"/>
        <w:ind w:hanging="567"/>
        <w:textAlignment w:val="baseline"/>
        <w:rPr>
          <w:b/>
          <w:bCs/>
          <w:i/>
          <w:iCs/>
          <w:color w:val="0000FF"/>
          <w:sz w:val="28"/>
          <w:szCs w:val="28"/>
          <w:u w:val="single"/>
        </w:rPr>
      </w:pPr>
      <w:hyperlink w:history="1" r:id="rId24">
        <w:r w:rsidR="00171CE5">
          <w:rPr>
            <w:b/>
            <w:i/>
            <w:color w:val="0000FF"/>
            <w:sz w:val="28"/>
            <w:u w:val="single"/>
          </w:rPr>
          <w:t>Ракови заболявания, предотвратими чрез ваксинация</w:t>
        </w:r>
      </w:hyperlink>
      <w:r w:rsidRPr="004E7105" w:rsidR="004E7105">
        <w:rPr>
          <w:b/>
          <w:i/>
          <w:sz w:val="28"/>
        </w:rPr>
        <w:fldChar w:fldCharType="begin"/>
      </w:r>
      <w:r w:rsidRPr="004E7105" w:rsidR="004E7105">
        <w:rPr>
          <w:b/>
          <w:i/>
          <w:sz w:val="28"/>
        </w:rPr>
        <w:instrText xml:space="preserve"> HYPERLINK "https://www.eesc.europa.eu/bg/our-work/opinions-information-reports/opinions/anti-smuggling-package" </w:instrText>
      </w:r>
      <w:r w:rsidRPr="004E7105" w:rsidR="004E7105">
        <w:rPr>
          <w:b/>
          <w:i/>
          <w:sz w:val="28"/>
        </w:rPr>
        <w:fldChar w:fldCharType="separate"/>
      </w:r>
    </w:p>
    <w:p w:rsidRPr="004E7105" w:rsidR="004E7105" w:rsidP="004E7105" w:rsidRDefault="004E7105" w14:paraId="24B983D5" w14:textId="763F0B12">
      <w:pPr>
        <w:widowControl w:val="0"/>
        <w:overflowPunct w:val="0"/>
        <w:autoSpaceDE w:val="0"/>
        <w:autoSpaceDN w:val="0"/>
        <w:adjustRightInd w:val="0"/>
        <w:ind w:left="567"/>
        <w:textAlignment w:val="baseline"/>
        <w:rPr>
          <w:b/>
          <w:i/>
          <w:sz w:val="28"/>
        </w:rPr>
      </w:pPr>
      <w:r w:rsidRPr="004E7105">
        <w:rPr>
          <w:b/>
          <w:i/>
          <w:sz w:val="28"/>
        </w:rPr>
        <w:fldChar w:fldCharType="end"/>
      </w:r>
    </w:p>
    <w:tbl>
      <w:tblPr>
        <w:tblStyle w:val="TableGrid214"/>
        <w:tblW w:w="40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7"/>
        <w:gridCol w:w="4962"/>
      </w:tblGrid>
      <w:tr w:rsidRPr="004E7105" w:rsidR="004E7105" w:rsidTr="00FC48A9" w14:paraId="71118AAD" w14:textId="77777777">
        <w:tc>
          <w:tcPr>
            <w:tcW w:w="1683" w:type="pct"/>
          </w:tcPr>
          <w:p w:rsidRPr="004E7105" w:rsidR="004E7105" w:rsidP="004E7105" w:rsidRDefault="004E7105" w14:paraId="7C033E3E" w14:textId="77777777">
            <w:pPr>
              <w:widowControl w:val="0"/>
              <w:overflowPunct w:val="0"/>
              <w:autoSpaceDE w:val="0"/>
              <w:autoSpaceDN w:val="0"/>
              <w:adjustRightInd w:val="0"/>
              <w:ind w:left="-113"/>
              <w:textAlignment w:val="baseline"/>
              <w:rPr>
                <w:b/>
              </w:rPr>
            </w:pPr>
            <w:r>
              <w:rPr>
                <w:b/>
              </w:rPr>
              <w:t>Докладчик</w:t>
            </w:r>
          </w:p>
          <w:p w:rsidRPr="004E7105" w:rsidR="004E7105" w:rsidP="004E7105" w:rsidRDefault="004E7105" w14:paraId="2377D5BF" w14:textId="77777777">
            <w:pPr>
              <w:widowControl w:val="0"/>
              <w:overflowPunct w:val="0"/>
              <w:autoSpaceDE w:val="0"/>
              <w:autoSpaceDN w:val="0"/>
              <w:adjustRightInd w:val="0"/>
              <w:ind w:left="-113"/>
              <w:textAlignment w:val="baseline"/>
              <w:rPr>
                <w:b/>
              </w:rPr>
            </w:pPr>
            <w:r>
              <w:rPr>
                <w:b/>
              </w:rPr>
              <w:t>Съдокладчик</w:t>
            </w:r>
          </w:p>
          <w:p w:rsidRPr="004E7105" w:rsidR="004E7105" w:rsidP="004E7105" w:rsidRDefault="004E7105" w14:paraId="474FD8BA" w14:textId="77777777">
            <w:pPr>
              <w:widowControl w:val="0"/>
              <w:overflowPunct w:val="0"/>
              <w:autoSpaceDE w:val="0"/>
              <w:autoSpaceDN w:val="0"/>
              <w:adjustRightInd w:val="0"/>
              <w:ind w:left="-113"/>
              <w:textAlignment w:val="baseline"/>
              <w:rPr>
                <w:b/>
              </w:rPr>
            </w:pPr>
          </w:p>
        </w:tc>
        <w:tc>
          <w:tcPr>
            <w:tcW w:w="3317" w:type="pct"/>
          </w:tcPr>
          <w:p w:rsidRPr="004E7105" w:rsidR="004E7105" w:rsidP="004E7105" w:rsidRDefault="004E7105" w14:paraId="5D3A3754" w14:textId="77777777">
            <w:pPr>
              <w:widowControl w:val="0"/>
              <w:tabs>
                <w:tab w:val="left" w:pos="4572"/>
              </w:tabs>
              <w:overflowPunct w:val="0"/>
              <w:autoSpaceDE w:val="0"/>
              <w:autoSpaceDN w:val="0"/>
              <w:adjustRightInd w:val="0"/>
              <w:ind w:left="-113" w:right="-823"/>
              <w:textAlignment w:val="baseline"/>
            </w:pPr>
            <w:r>
              <w:t>Милена АНГЕЛОВА (група „Работодатели“ — BG)</w:t>
            </w:r>
          </w:p>
          <w:p w:rsidRPr="004E7105" w:rsidR="004E7105" w:rsidP="004E7105" w:rsidRDefault="004E7105" w14:paraId="1D69709A" w14:textId="14AC218D">
            <w:pPr>
              <w:widowControl w:val="0"/>
              <w:tabs>
                <w:tab w:val="left" w:pos="4572"/>
              </w:tabs>
              <w:overflowPunct w:val="0"/>
              <w:autoSpaceDE w:val="0"/>
              <w:autoSpaceDN w:val="0"/>
              <w:adjustRightInd w:val="0"/>
              <w:ind w:left="-113" w:right="-823"/>
              <w:textAlignment w:val="baseline"/>
            </w:pPr>
            <w:r>
              <w:t xml:space="preserve">Sára </w:t>
            </w:r>
            <w:r w:rsidR="00FC48A9">
              <w:t>FELSZEGHI</w:t>
            </w:r>
            <w:r>
              <w:t xml:space="preserve"> (група „Работници“ — HU)</w:t>
            </w:r>
          </w:p>
        </w:tc>
      </w:tr>
      <w:tr w:rsidRPr="004E7105" w:rsidR="004E7105" w:rsidTr="00FC48A9" w14:paraId="7E7454B0" w14:textId="77777777">
        <w:tc>
          <w:tcPr>
            <w:tcW w:w="1683" w:type="pct"/>
            <w:vMerge w:val="restart"/>
          </w:tcPr>
          <w:p w:rsidRPr="004E7105" w:rsidR="004E7105" w:rsidP="004E7105" w:rsidRDefault="004E7105" w14:paraId="4901FAAB" w14:textId="77777777">
            <w:pPr>
              <w:widowControl w:val="0"/>
              <w:overflowPunct w:val="0"/>
              <w:autoSpaceDE w:val="0"/>
              <w:autoSpaceDN w:val="0"/>
              <w:adjustRightInd w:val="0"/>
              <w:ind w:left="-113"/>
              <w:textAlignment w:val="baseline"/>
              <w:rPr>
                <w:b/>
              </w:rPr>
            </w:pPr>
            <w:r>
              <w:rPr>
                <w:b/>
              </w:rPr>
              <w:t>Отправни документи</w:t>
            </w:r>
          </w:p>
        </w:tc>
        <w:tc>
          <w:tcPr>
            <w:tcW w:w="3317" w:type="pct"/>
          </w:tcPr>
          <w:p w:rsidRPr="004E7105" w:rsidR="004E7105" w:rsidP="004E7105" w:rsidRDefault="004E7105" w14:paraId="6BFA5AA5" w14:textId="77777777">
            <w:pPr>
              <w:widowControl w:val="0"/>
              <w:tabs>
                <w:tab w:val="left" w:pos="4430"/>
              </w:tabs>
              <w:overflowPunct w:val="0"/>
              <w:autoSpaceDE w:val="0"/>
              <w:autoSpaceDN w:val="0"/>
              <w:adjustRightInd w:val="0"/>
              <w:ind w:left="-113" w:right="-823"/>
              <w:textAlignment w:val="baseline"/>
            </w:pPr>
            <w:r>
              <w:t>COM(2024) 45 final</w:t>
            </w:r>
          </w:p>
        </w:tc>
      </w:tr>
      <w:tr w:rsidRPr="004E7105" w:rsidR="004E7105" w:rsidTr="00FC48A9" w14:paraId="75B0E482" w14:textId="77777777">
        <w:tc>
          <w:tcPr>
            <w:tcW w:w="1683" w:type="pct"/>
            <w:vMerge/>
          </w:tcPr>
          <w:p w:rsidRPr="004E7105" w:rsidR="004E7105" w:rsidP="004E7105" w:rsidRDefault="004E7105" w14:paraId="4FE1E1BE" w14:textId="77777777">
            <w:pPr>
              <w:widowControl w:val="0"/>
              <w:tabs>
                <w:tab w:val="center" w:pos="284"/>
              </w:tabs>
              <w:overflowPunct w:val="0"/>
              <w:autoSpaceDE w:val="0"/>
              <w:autoSpaceDN w:val="0"/>
              <w:adjustRightInd w:val="0"/>
              <w:ind w:left="266" w:hanging="266"/>
              <w:textAlignment w:val="baseline"/>
              <w:rPr>
                <w:b/>
              </w:rPr>
            </w:pPr>
          </w:p>
        </w:tc>
        <w:tc>
          <w:tcPr>
            <w:tcW w:w="3317" w:type="pct"/>
          </w:tcPr>
          <w:p w:rsidRPr="004E7105" w:rsidR="004E7105" w:rsidP="004E7105" w:rsidRDefault="004E7105" w14:paraId="279E0EF7" w14:textId="0692B6D4">
            <w:pPr>
              <w:widowControl w:val="0"/>
              <w:tabs>
                <w:tab w:val="center" w:pos="38"/>
                <w:tab w:val="left" w:pos="4430"/>
              </w:tabs>
              <w:overflowPunct w:val="0"/>
              <w:autoSpaceDE w:val="0"/>
              <w:autoSpaceDN w:val="0"/>
              <w:adjustRightInd w:val="0"/>
              <w:ind w:left="266" w:right="-823" w:hanging="370"/>
              <w:textAlignment w:val="baseline"/>
            </w:pPr>
            <w:r>
              <w:t>EESC-2024-00425-00-00-AC</w:t>
            </w:r>
          </w:p>
        </w:tc>
      </w:tr>
    </w:tbl>
    <w:p w:rsidRPr="004E7105" w:rsidR="004E7105" w:rsidP="004E7105"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603B708E" w14:textId="77777777">
      <w:pPr>
        <w:widowControl w:val="0"/>
        <w:tabs>
          <w:tab w:val="center" w:pos="284"/>
        </w:tabs>
        <w:overflowPunct w:val="0"/>
        <w:autoSpaceDE w:val="0"/>
        <w:autoSpaceDN w:val="0"/>
        <w:adjustRightInd w:val="0"/>
        <w:ind w:left="266" w:hanging="266"/>
        <w:textAlignment w:val="baseline"/>
        <w:rPr>
          <w:b/>
        </w:rPr>
      </w:pPr>
      <w:r>
        <w:rPr>
          <w:b/>
        </w:rPr>
        <w:t>Основни аспекти</w:t>
      </w:r>
    </w:p>
    <w:p w:rsidRPr="004E7105" w:rsidR="004E7105" w:rsidP="004E7105"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4E7105" w:rsidR="004E7105" w:rsidP="004E7105"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r>
        <w:t>ЕИСК:</w:t>
      </w:r>
    </w:p>
    <w:p w:rsidRPr="004E7105" w:rsidR="004E7105" w:rsidP="004E7105"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C17044" w:rsidR="004E7105" w:rsidP="00DC0FAE"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насърчава обмена на опит, добри практики и интензивно сътрудничество между държавите членки;</w:t>
      </w:r>
    </w:p>
    <w:p w:rsidRPr="00C17044" w:rsidR="004E7105" w:rsidP="00DC0FAE" w:rsidRDefault="004E7105" w14:paraId="00661456" w14:textId="7869AB85">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препоръчва увеличаване както на търсенето, така и на предлагането и изтъква необходимостта от подходяща информация, образование и комуникация, и подчертава ролята на училищната здравна система и родителите в това начинание. Профилактиката на раковите заболявания следва да се превърне в приоритет на политическо равнище и да бъде придружена от необходимите финансови, материални и човешки ресурси;</w:t>
      </w:r>
    </w:p>
    <w:p w:rsidRPr="00C17044" w:rsidR="004E7105" w:rsidP="00DC0FAE"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призовава за сериозни усилия за борба с невярната информация и дезинформацията чрез придобиване на научно обосновани доказателства, както и чрез разпространяване на основана на факти информация по различни канали, включително социалните медии;</w:t>
      </w:r>
    </w:p>
    <w:p w:rsidRPr="00C17044" w:rsidR="004E7105" w:rsidP="00DC0FAE"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счита, че общопрактикуващите, семейните и училищните лекари, както и организациите на гражданското общество могат да играят важна роля за предоставянето на подходяща информация, намаляването на страховете и скептицизма и насочването на хората към ваксинации. За да се гарантира, че посланията са привлекателни за по-младите хора, ЕИСК призовава за повече усилия в областта на комуникацията от страна на организации, ръководени от младите хора;</w:t>
      </w:r>
    </w:p>
    <w:p w:rsidRPr="00C17044" w:rsidR="004E7105" w:rsidP="00DC0FAE"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подчертава необходимостта от равенство между половете по отношение на мерките за профилактика на рака и призовава за осигуряване на ваксинация срещу HPV за всички момичета и момчета на определена възраст, засилване на комуникацията относно наличието на ваксинация срещу HPV за момчетата и събиране и публикуване на информация относно равнищата на ваксинационното покритие както на момчетата, така и на момичетата в различните държави членки;</w:t>
      </w:r>
    </w:p>
    <w:p w:rsidRPr="004E7105" w:rsidR="004E7105" w:rsidP="00DC0FAE"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pPr>
      <w:r>
        <w:t>подчертава значението на лесния достъп до ваксинация от гледна точка на географското местоположение, както и необходимостта от целенасочени действия за достигане до хора от различни групи в неравностойно положение и хора със специфични рискове.</w:t>
      </w:r>
    </w:p>
    <w:p w:rsidRPr="004E7105" w:rsidR="004E7105" w:rsidP="004E7105" w:rsidRDefault="004E7105" w14:paraId="451AD803" w14:textId="77777777">
      <w:pPr>
        <w:widowControl w:val="0"/>
        <w:overflowPunct w:val="0"/>
        <w:autoSpaceDE w:val="0"/>
        <w:autoSpaceDN w:val="0"/>
        <w:adjustRightInd w:val="0"/>
        <w:ind w:left="709"/>
        <w:textAlignment w:val="baseline"/>
        <w:rPr>
          <w:sz w:val="16"/>
          <w:szCs w:val="16"/>
        </w:rPr>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4E7105" w:rsidR="004E7105" w:rsidTr="00FE3058" w14:paraId="649C5F6D" w14:textId="77777777">
        <w:tc>
          <w:tcPr>
            <w:tcW w:w="1556" w:type="pct"/>
          </w:tcPr>
          <w:p w:rsidRPr="004E7105" w:rsidR="004E7105" w:rsidP="004E7105" w:rsidRDefault="004E7105" w14:paraId="31DDC109" w14:textId="338192C8">
            <w:pPr>
              <w:widowControl w:val="0"/>
              <w:overflowPunct w:val="0"/>
              <w:autoSpaceDE w:val="0"/>
              <w:autoSpaceDN w:val="0"/>
              <w:adjustRightInd w:val="0"/>
              <w:textAlignment w:val="baseline"/>
              <w:rPr>
                <w:i/>
              </w:rPr>
            </w:pPr>
            <w:r>
              <w:rPr>
                <w:b/>
                <w:i/>
              </w:rPr>
              <w:t>За контакт</w:t>
            </w:r>
            <w:r w:rsidR="00FC48A9">
              <w:rPr>
                <w:b/>
                <w:i/>
              </w:rPr>
              <w:t>и</w:t>
            </w:r>
          </w:p>
        </w:tc>
        <w:tc>
          <w:tcPr>
            <w:tcW w:w="3444" w:type="pct"/>
          </w:tcPr>
          <w:p w:rsidRPr="004E7105" w:rsidR="004E7105" w:rsidP="004E7105" w:rsidRDefault="004E7105" w14:paraId="234336DC" w14:textId="3DE03174">
            <w:pPr>
              <w:widowControl w:val="0"/>
              <w:overflowPunct w:val="0"/>
              <w:autoSpaceDE w:val="0"/>
              <w:autoSpaceDN w:val="0"/>
              <w:adjustRightInd w:val="0"/>
              <w:textAlignment w:val="baseline"/>
              <w:rPr>
                <w:i/>
              </w:rPr>
            </w:pPr>
            <w:r>
              <w:rPr>
                <w:i/>
              </w:rPr>
              <w:t>Valeria Atzori</w:t>
            </w:r>
          </w:p>
        </w:tc>
      </w:tr>
      <w:tr w:rsidRPr="004E7105" w:rsidR="004E7105" w:rsidTr="00FE3058" w14:paraId="77487634" w14:textId="77777777">
        <w:tc>
          <w:tcPr>
            <w:tcW w:w="1556" w:type="pct"/>
          </w:tcPr>
          <w:p w:rsidRPr="004E7105" w:rsidR="004E7105" w:rsidP="004E7105" w:rsidRDefault="004E7105" w14:paraId="5E05B9B4" w14:textId="77777777">
            <w:pPr>
              <w:widowControl w:val="0"/>
              <w:overflowPunct w:val="0"/>
              <w:autoSpaceDE w:val="0"/>
              <w:autoSpaceDN w:val="0"/>
              <w:adjustRightInd w:val="0"/>
              <w:textAlignment w:val="baseline"/>
              <w:rPr>
                <w:i/>
              </w:rPr>
            </w:pPr>
            <w:r>
              <w:rPr>
                <w:i/>
              </w:rPr>
              <w:t>Тел</w:t>
            </w:r>
            <w:r>
              <w:rPr>
                <w:i/>
                <w:iCs/>
              </w:rPr>
              <w:t>.</w:t>
            </w:r>
          </w:p>
        </w:tc>
        <w:tc>
          <w:tcPr>
            <w:tcW w:w="3444" w:type="pct"/>
          </w:tcPr>
          <w:p w:rsidRPr="004E7105" w:rsidR="004E7105" w:rsidP="004E7105" w:rsidRDefault="004E7105" w14:paraId="1CB217D1" w14:textId="77777777">
            <w:pPr>
              <w:widowControl w:val="0"/>
              <w:overflowPunct w:val="0"/>
              <w:autoSpaceDE w:val="0"/>
              <w:autoSpaceDN w:val="0"/>
              <w:adjustRightInd w:val="0"/>
              <w:textAlignment w:val="baseline"/>
              <w:rPr>
                <w:i/>
              </w:rPr>
            </w:pPr>
            <w:r>
              <w:rPr>
                <w:i/>
              </w:rPr>
              <w:t>+32 25468774</w:t>
            </w:r>
          </w:p>
        </w:tc>
      </w:tr>
      <w:tr w:rsidRPr="004E7105" w:rsidR="004E7105" w:rsidTr="00FE3058" w14:paraId="00AFAE0F" w14:textId="77777777">
        <w:tc>
          <w:tcPr>
            <w:tcW w:w="1556" w:type="pct"/>
          </w:tcPr>
          <w:p w:rsidRPr="004E7105" w:rsidR="004E7105" w:rsidP="004E7105" w:rsidRDefault="004E7105" w14:paraId="31EB9B75" w14:textId="77777777">
            <w:pPr>
              <w:widowControl w:val="0"/>
              <w:overflowPunct w:val="0"/>
              <w:autoSpaceDE w:val="0"/>
              <w:autoSpaceDN w:val="0"/>
              <w:adjustRightInd w:val="0"/>
              <w:textAlignment w:val="baseline"/>
              <w:rPr>
                <w:i/>
              </w:rPr>
            </w:pPr>
            <w:r>
              <w:rPr>
                <w:i/>
              </w:rPr>
              <w:t>Електронен адрес</w:t>
            </w:r>
          </w:p>
        </w:tc>
        <w:tc>
          <w:tcPr>
            <w:tcW w:w="3444" w:type="pct"/>
          </w:tcPr>
          <w:p w:rsidRPr="004E7105" w:rsidR="004E7105" w:rsidP="00FC48A9" w:rsidRDefault="00606C04" w14:paraId="3E8EA07D" w14:textId="0B152E5E">
            <w:pPr>
              <w:widowControl w:val="0"/>
              <w:overflowPunct w:val="0"/>
              <w:autoSpaceDE w:val="0"/>
              <w:autoSpaceDN w:val="0"/>
              <w:adjustRightInd w:val="0"/>
              <w:textAlignment w:val="baseline"/>
              <w:rPr>
                <w:color w:val="0000FF"/>
                <w:u w:val="single"/>
              </w:rPr>
            </w:pPr>
            <w:hyperlink w:history="1" r:id="rId25">
              <w:r w:rsidR="00171CE5">
                <w:rPr>
                  <w:i/>
                  <w:color w:val="0000FF"/>
                  <w:u w:val="single"/>
                </w:rPr>
                <w:t>Valeria.Atzori@eesc.europa.eu</w:t>
              </w:r>
            </w:hyperlink>
          </w:p>
        </w:tc>
      </w:tr>
    </w:tbl>
    <w:p w:rsidR="0010484C" w:rsidRDefault="0010484C" w14:paraId="6CA58907" w14:textId="77777777">
      <w:pPr>
        <w:spacing w:after="160" w:line="259" w:lineRule="auto"/>
        <w:jc w:val="left"/>
        <w:rPr>
          <w:sz w:val="14"/>
          <w:szCs w:val="14"/>
        </w:rPr>
      </w:pPr>
    </w:p>
    <w:p w:rsidR="0010484C" w:rsidRDefault="0010484C" w14:paraId="3C32ABDC" w14:textId="77777777">
      <w:pPr>
        <w:spacing w:after="160" w:line="259" w:lineRule="auto"/>
        <w:jc w:val="left"/>
        <w:rPr>
          <w:sz w:val="14"/>
          <w:szCs w:val="14"/>
        </w:rPr>
      </w:pPr>
      <w:r>
        <w:br w:type="page"/>
      </w:r>
    </w:p>
    <w:p w:rsidRPr="0010484C" w:rsidR="0010484C" w:rsidP="00C26C81" w:rsidRDefault="00606C04" w14:paraId="3ECE05AC" w14:textId="7B22D080">
      <w:pPr>
        <w:widowControl w:val="0"/>
        <w:numPr>
          <w:ilvl w:val="0"/>
          <w:numId w:val="7"/>
        </w:numPr>
        <w:overflowPunct w:val="0"/>
        <w:autoSpaceDE w:val="0"/>
        <w:autoSpaceDN w:val="0"/>
        <w:adjustRightInd w:val="0"/>
        <w:ind w:hanging="567"/>
        <w:textAlignment w:val="baseline"/>
        <w:rPr>
          <w:sz w:val="24"/>
          <w:szCs w:val="24"/>
        </w:rPr>
      </w:pPr>
      <w:hyperlink w:history="1" r:id="rId26">
        <w:r w:rsidR="00171CE5">
          <w:rPr>
            <w:b/>
            <w:i/>
            <w:color w:val="0000FF"/>
            <w:sz w:val="28"/>
            <w:u w:val="single"/>
          </w:rPr>
          <w:t>Преразглеждане на Директивата за европейските работнически съвети</w:t>
        </w:r>
      </w:hyperlink>
    </w:p>
    <w:p w:rsidRPr="00DC0FAE" w:rsidR="0010484C" w:rsidP="0010484C" w:rsidRDefault="0010484C" w14:paraId="00BC5CCC" w14:textId="690E0BC3">
      <w:pPr>
        <w:tabs>
          <w:tab w:val="center" w:pos="284"/>
        </w:tabs>
        <w:overflowPunct w:val="0"/>
        <w:autoSpaceDE w:val="0"/>
        <w:autoSpaceDN w:val="0"/>
        <w:adjustRightInd w:val="0"/>
        <w:ind w:left="266" w:hanging="266"/>
        <w:textAlignment w:val="baseline"/>
        <w:rPr>
          <w:b/>
          <w:sz w:val="18"/>
          <w:szCs w:val="18"/>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10484C" w:rsidR="0010484C" w:rsidTr="00FC48A9" w14:paraId="561F7E20" w14:textId="77777777">
        <w:tc>
          <w:tcPr>
            <w:tcW w:w="2093" w:type="dxa"/>
          </w:tcPr>
          <w:p w:rsidRPr="0010484C" w:rsidR="0010484C" w:rsidP="00DC0FAE" w:rsidRDefault="0010484C" w14:paraId="5540B242" w14:textId="77777777">
            <w:pPr>
              <w:tabs>
                <w:tab w:val="center" w:pos="284"/>
              </w:tabs>
              <w:overflowPunct w:val="0"/>
              <w:autoSpaceDE w:val="0"/>
              <w:autoSpaceDN w:val="0"/>
              <w:adjustRightInd w:val="0"/>
              <w:ind w:left="266" w:hanging="376"/>
              <w:textAlignment w:val="baseline"/>
              <w:rPr>
                <w:b/>
              </w:rPr>
            </w:pPr>
            <w:r>
              <w:rPr>
                <w:b/>
              </w:rPr>
              <w:t>Докладчик</w:t>
            </w:r>
          </w:p>
        </w:tc>
        <w:tc>
          <w:tcPr>
            <w:tcW w:w="4995" w:type="dxa"/>
          </w:tcPr>
          <w:p w:rsidRPr="0010484C" w:rsidR="0010484C" w:rsidP="00DC0FAE" w:rsidRDefault="0010484C" w14:paraId="2E037801" w14:textId="01A5B710">
            <w:pPr>
              <w:tabs>
                <w:tab w:val="center" w:pos="284"/>
              </w:tabs>
              <w:overflowPunct w:val="0"/>
              <w:autoSpaceDE w:val="0"/>
              <w:autoSpaceDN w:val="0"/>
              <w:adjustRightInd w:val="0"/>
              <w:ind w:left="266" w:hanging="376"/>
              <w:textAlignment w:val="baseline"/>
            </w:pPr>
            <w:r>
              <w:t>Sophia REISECKER (група „Работници“ — AT)</w:t>
            </w:r>
          </w:p>
        </w:tc>
      </w:tr>
      <w:tr w:rsidRPr="0010484C" w:rsidR="0010484C" w:rsidTr="00FE3058" w14:paraId="73157FC0" w14:textId="77777777">
        <w:tc>
          <w:tcPr>
            <w:tcW w:w="7088" w:type="dxa"/>
            <w:gridSpan w:val="2"/>
          </w:tcPr>
          <w:p w:rsidRPr="0010484C" w:rsidR="0010484C" w:rsidP="00DC0FAE" w:rsidRDefault="0010484C" w14:paraId="11368192" w14:textId="77777777">
            <w:pPr>
              <w:tabs>
                <w:tab w:val="center" w:pos="284"/>
              </w:tabs>
              <w:overflowPunct w:val="0"/>
              <w:autoSpaceDE w:val="0"/>
              <w:autoSpaceDN w:val="0"/>
              <w:adjustRightInd w:val="0"/>
              <w:ind w:left="266" w:hanging="376"/>
              <w:textAlignment w:val="baseline"/>
            </w:pPr>
          </w:p>
        </w:tc>
      </w:tr>
      <w:tr w:rsidRPr="0010484C" w:rsidR="0010484C" w:rsidTr="00FC48A9" w14:paraId="08B719B5" w14:textId="77777777">
        <w:tc>
          <w:tcPr>
            <w:tcW w:w="2093" w:type="dxa"/>
            <w:vMerge w:val="restart"/>
          </w:tcPr>
          <w:p w:rsidRPr="0010484C" w:rsidR="0010484C" w:rsidP="00DC0FAE" w:rsidRDefault="0010484C" w14:paraId="1AD2CE0E" w14:textId="77777777">
            <w:pPr>
              <w:tabs>
                <w:tab w:val="center" w:pos="284"/>
              </w:tabs>
              <w:overflowPunct w:val="0"/>
              <w:autoSpaceDE w:val="0"/>
              <w:autoSpaceDN w:val="0"/>
              <w:adjustRightInd w:val="0"/>
              <w:ind w:left="266" w:hanging="376"/>
              <w:textAlignment w:val="baseline"/>
              <w:rPr>
                <w:b/>
              </w:rPr>
            </w:pPr>
            <w:r>
              <w:rPr>
                <w:b/>
              </w:rPr>
              <w:t>Отправeн документ</w:t>
            </w:r>
          </w:p>
        </w:tc>
        <w:tc>
          <w:tcPr>
            <w:tcW w:w="4995" w:type="dxa"/>
          </w:tcPr>
          <w:p w:rsidRPr="0010484C" w:rsidR="0010484C" w:rsidP="00DC0FAE" w:rsidRDefault="0010484C" w14:paraId="2437B8BE" w14:textId="4FE32139">
            <w:pPr>
              <w:tabs>
                <w:tab w:val="center" w:pos="284"/>
              </w:tabs>
              <w:overflowPunct w:val="0"/>
              <w:autoSpaceDE w:val="0"/>
              <w:autoSpaceDN w:val="0"/>
              <w:adjustRightInd w:val="0"/>
              <w:ind w:left="266" w:hanging="376"/>
              <w:textAlignment w:val="baseline"/>
            </w:pPr>
            <w:r>
              <w:t>COM(2024) 14 final</w:t>
            </w:r>
          </w:p>
        </w:tc>
      </w:tr>
      <w:tr w:rsidRPr="0010484C" w:rsidR="0010484C" w:rsidTr="00FC48A9" w14:paraId="5820FB7B" w14:textId="77777777">
        <w:tc>
          <w:tcPr>
            <w:tcW w:w="2093" w:type="dxa"/>
            <w:vMerge/>
          </w:tcPr>
          <w:p w:rsidRPr="0010484C" w:rsidR="0010484C" w:rsidP="00DC0FAE" w:rsidRDefault="0010484C" w14:paraId="7361EF92" w14:textId="77777777">
            <w:pPr>
              <w:tabs>
                <w:tab w:val="center" w:pos="284"/>
              </w:tabs>
              <w:overflowPunct w:val="0"/>
              <w:autoSpaceDE w:val="0"/>
              <w:autoSpaceDN w:val="0"/>
              <w:adjustRightInd w:val="0"/>
              <w:ind w:left="266" w:hanging="376"/>
              <w:textAlignment w:val="baseline"/>
              <w:rPr>
                <w:b/>
              </w:rPr>
            </w:pPr>
          </w:p>
        </w:tc>
        <w:tc>
          <w:tcPr>
            <w:tcW w:w="4995" w:type="dxa"/>
          </w:tcPr>
          <w:p w:rsidRPr="0010484C" w:rsidR="0010484C" w:rsidP="00DC0FAE" w:rsidRDefault="0010484C" w14:paraId="0F30A46F" w14:textId="4D6C9E54">
            <w:pPr>
              <w:tabs>
                <w:tab w:val="center" w:pos="284"/>
              </w:tabs>
              <w:overflowPunct w:val="0"/>
              <w:autoSpaceDE w:val="0"/>
              <w:autoSpaceDN w:val="0"/>
              <w:adjustRightInd w:val="0"/>
              <w:ind w:left="266" w:hanging="376"/>
              <w:textAlignment w:val="baseline"/>
            </w:pPr>
            <w:r>
              <w:t>EESC-2024-00543-00-00-AC</w:t>
            </w:r>
          </w:p>
        </w:tc>
      </w:tr>
    </w:tbl>
    <w:p w:rsidRPr="00DC0FAE" w:rsidR="0010484C" w:rsidP="0010484C" w:rsidRDefault="0010484C" w14:paraId="045C90A1" w14:textId="77777777">
      <w:pPr>
        <w:tabs>
          <w:tab w:val="center" w:pos="284"/>
        </w:tabs>
        <w:overflowPunct w:val="0"/>
        <w:autoSpaceDE w:val="0"/>
        <w:autoSpaceDN w:val="0"/>
        <w:adjustRightInd w:val="0"/>
        <w:ind w:left="266" w:hanging="266"/>
        <w:textAlignment w:val="baseline"/>
        <w:rPr>
          <w:sz w:val="18"/>
          <w:szCs w:val="18"/>
        </w:rPr>
      </w:pPr>
    </w:p>
    <w:p w:rsidRPr="0010484C" w:rsidR="0010484C" w:rsidP="0010484C" w:rsidRDefault="0010484C" w14:paraId="6E251606" w14:textId="2D871D73">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DC0FAE" w:rsidR="0010484C" w:rsidP="0010484C" w:rsidRDefault="0010484C" w14:paraId="1FCAE476" w14:textId="77777777">
      <w:pPr>
        <w:keepNext/>
        <w:keepLines/>
        <w:tabs>
          <w:tab w:val="center" w:pos="284"/>
        </w:tabs>
        <w:overflowPunct w:val="0"/>
        <w:autoSpaceDE w:val="0"/>
        <w:autoSpaceDN w:val="0"/>
        <w:adjustRightInd w:val="0"/>
        <w:ind w:left="266" w:hanging="266"/>
        <w:textAlignment w:val="baseline"/>
        <w:rPr>
          <w:b/>
          <w:sz w:val="16"/>
          <w:szCs w:val="16"/>
        </w:rPr>
      </w:pPr>
    </w:p>
    <w:p w:rsidR="0010484C" w:rsidP="0010484C" w:rsidRDefault="0010484C" w14:paraId="45AB3525" w14:textId="1202BA36">
      <w:pPr>
        <w:overflowPunct w:val="0"/>
        <w:autoSpaceDE w:val="0"/>
        <w:autoSpaceDN w:val="0"/>
        <w:adjustRightInd w:val="0"/>
        <w:textAlignment w:val="baseline"/>
        <w:rPr>
          <w:bCs/>
          <w:iCs/>
        </w:rPr>
      </w:pPr>
      <w:r>
        <w:t>ЕИСК:</w:t>
      </w:r>
    </w:p>
    <w:p w:rsidRPr="00DC0FAE" w:rsidR="002F6E84" w:rsidP="0010484C" w:rsidRDefault="002F6E84" w14:paraId="0DAE7107" w14:textId="77777777">
      <w:pPr>
        <w:overflowPunct w:val="0"/>
        <w:autoSpaceDE w:val="0"/>
        <w:autoSpaceDN w:val="0"/>
        <w:adjustRightInd w:val="0"/>
        <w:textAlignment w:val="baseline"/>
        <w:rPr>
          <w:bCs/>
          <w:iCs/>
          <w:sz w:val="16"/>
          <w:szCs w:val="16"/>
        </w:rPr>
      </w:pPr>
    </w:p>
    <w:p w:rsidRPr="00DC0FAE" w:rsidR="0010484C" w:rsidP="00DC0FAE" w:rsidRDefault="0010484C" w14:paraId="5422A1B5" w14:textId="77777777">
      <w:pPr>
        <w:widowControl w:val="0"/>
        <w:numPr>
          <w:ilvl w:val="0"/>
          <w:numId w:val="16"/>
        </w:numPr>
        <w:overflowPunct w:val="0"/>
        <w:autoSpaceDE w:val="0"/>
        <w:autoSpaceDN w:val="0"/>
        <w:adjustRightInd w:val="0"/>
        <w:ind w:left="284" w:hanging="284"/>
        <w:textAlignment w:val="baseline"/>
        <w:rPr>
          <w:szCs w:val="20"/>
        </w:rPr>
      </w:pPr>
      <w:r>
        <w:t>приветства законодателните стъпки, предприети от Европейската комисия, за преразглеждане на Директива 2009/38/ЕО по отношение на минималните стандарти за създаване на европейски работнически съвети (ЕРС) и за осигуряване на ефективното им функциониране;</w:t>
      </w:r>
    </w:p>
    <w:p w:rsidRPr="00DC0FAE" w:rsidR="0010484C" w:rsidP="00DC0FAE" w:rsidRDefault="0010484C" w14:paraId="4FA291B7" w14:textId="77777777">
      <w:pPr>
        <w:widowControl w:val="0"/>
        <w:numPr>
          <w:ilvl w:val="0"/>
          <w:numId w:val="16"/>
        </w:numPr>
        <w:overflowPunct w:val="0"/>
        <w:autoSpaceDE w:val="0"/>
        <w:autoSpaceDN w:val="0"/>
        <w:adjustRightInd w:val="0"/>
        <w:ind w:left="284" w:hanging="284"/>
        <w:textAlignment w:val="baseline"/>
        <w:rPr>
          <w:szCs w:val="20"/>
        </w:rPr>
      </w:pPr>
      <w:r>
        <w:t>признава целта за повишаване на ефективността и прилагането на правата на ЕРС, за да се осигури правна сигурност чрез изясняване на ключови понятия от Директивата за ЕРС. Това се отнася по-специално до определението за транснационалност, подходящите ресурси, с които разполагат ЕРС, достъпа до правосъдие и повишаването на ангажимента на държавите членки да предвидят ефективни и достатъчно възпиращи санкции за нарушения на правата на ЕРС;</w:t>
      </w:r>
    </w:p>
    <w:p w:rsidRPr="00DC0FAE" w:rsidR="0010484C" w:rsidP="00DC0FAE" w:rsidRDefault="0010484C" w14:paraId="2ABD0814" w14:textId="77777777">
      <w:pPr>
        <w:widowControl w:val="0"/>
        <w:numPr>
          <w:ilvl w:val="0"/>
          <w:numId w:val="16"/>
        </w:numPr>
        <w:overflowPunct w:val="0"/>
        <w:autoSpaceDE w:val="0"/>
        <w:autoSpaceDN w:val="0"/>
        <w:adjustRightInd w:val="0"/>
        <w:ind w:left="284" w:hanging="284"/>
        <w:textAlignment w:val="baseline"/>
        <w:rPr>
          <w:szCs w:val="20"/>
        </w:rPr>
      </w:pPr>
      <w:r>
        <w:t>изразява задоволство от целите на Комисията за преразглеждане на стандарта за по-ефективен и съдържателен процес на информиране и консултиране, като предлага допълнения към субсидиарните изисквания, увеличаване на честотата на редовните заседания на ЕРС и въвеждане на мотивиран отговор от страна на ръководството на становищата на ЕРС. Също така Комитетът признава и засилването на ролята на представителите на синдикалните организации като подпомагащи експерти в ЕРС;</w:t>
      </w:r>
    </w:p>
    <w:p w:rsidRPr="005C28F2" w:rsidR="0010484C" w:rsidP="00DC0FAE" w:rsidRDefault="0010484C" w14:paraId="30EB9EA4" w14:textId="77777777">
      <w:pPr>
        <w:widowControl w:val="0"/>
        <w:numPr>
          <w:ilvl w:val="0"/>
          <w:numId w:val="16"/>
        </w:numPr>
        <w:overflowPunct w:val="0"/>
        <w:autoSpaceDE w:val="0"/>
        <w:autoSpaceDN w:val="0"/>
        <w:adjustRightInd w:val="0"/>
        <w:ind w:left="284" w:hanging="284"/>
        <w:textAlignment w:val="baseline"/>
        <w:rPr>
          <w:szCs w:val="20"/>
        </w:rPr>
      </w:pPr>
      <w:r>
        <w:t>подкрепя важните изменения, свързани с възможността на ЕРС и техните членове да изпълняват задълженията си. В частност това се отнася до ресурсите, които трябва да бъдат предоставени от ръководството, подробностите за които трябва да бъдат определени съвместно в съответното споразумение за ЕРС във връзка с обучението, експертите и процесуалното представителство, както и предвидените разяснения относно поверителността;</w:t>
      </w:r>
    </w:p>
    <w:p w:rsidRPr="00DC0FAE" w:rsidR="0010484C" w:rsidP="00DC0FAE" w:rsidRDefault="0010484C" w14:paraId="5A31B5F8" w14:textId="77777777">
      <w:pPr>
        <w:widowControl w:val="0"/>
        <w:numPr>
          <w:ilvl w:val="0"/>
          <w:numId w:val="16"/>
        </w:numPr>
        <w:overflowPunct w:val="0"/>
        <w:autoSpaceDE w:val="0"/>
        <w:autoSpaceDN w:val="0"/>
        <w:adjustRightInd w:val="0"/>
        <w:ind w:left="284" w:hanging="284"/>
        <w:textAlignment w:val="baseline"/>
        <w:rPr>
          <w:szCs w:val="20"/>
        </w:rPr>
      </w:pPr>
      <w:r>
        <w:t>призовава законодателните институции бързо да пристъпят към преразглеждане на Директивата за ЕРС в съответствие с предложението на Комисията, като вземат предвид и препоръките, предложени в настоящото становище;</w:t>
      </w:r>
    </w:p>
    <w:p w:rsidRPr="00DC0FAE" w:rsidR="0010484C" w:rsidP="00DC0FAE" w:rsidRDefault="0010484C" w14:paraId="401ED45E" w14:textId="77777777">
      <w:pPr>
        <w:widowControl w:val="0"/>
        <w:numPr>
          <w:ilvl w:val="0"/>
          <w:numId w:val="16"/>
        </w:numPr>
        <w:overflowPunct w:val="0"/>
        <w:autoSpaceDE w:val="0"/>
        <w:autoSpaceDN w:val="0"/>
        <w:adjustRightInd w:val="0"/>
        <w:ind w:left="284" w:hanging="284"/>
        <w:textAlignment w:val="baseline"/>
        <w:rPr>
          <w:szCs w:val="20"/>
        </w:rPr>
      </w:pPr>
      <w:r>
        <w:t>подчертава необходимостта да се гарантира правилното транспониране и прилагане на преразгледаната директива с ефективни инструменти за мониторинг и прилагане, които да се използват от Комисията в този процес.</w:t>
      </w:r>
    </w:p>
    <w:p w:rsidRPr="00DC0FAE" w:rsidR="0010484C" w:rsidP="0010484C" w:rsidRDefault="0010484C" w14:paraId="79C5FBDA" w14:textId="77777777">
      <w:pPr>
        <w:widowControl w:val="0"/>
        <w:overflowPunct w:val="0"/>
        <w:autoSpaceDE w:val="0"/>
        <w:autoSpaceDN w:val="0"/>
        <w:adjustRightInd w:val="0"/>
        <w:ind w:left="709"/>
        <w:textAlignment w:val="baseline"/>
        <w:rPr>
          <w:sz w:val="12"/>
          <w:szCs w:val="10"/>
        </w:rPr>
      </w:pPr>
    </w:p>
    <w:p w:rsidRPr="005C28F2" w:rsidR="0010484C" w:rsidP="0010484C" w:rsidRDefault="0010484C" w14:paraId="3B5BD501" w14:textId="77777777">
      <w:pPr>
        <w:widowControl w:val="0"/>
        <w:overflowPunct w:val="0"/>
        <w:autoSpaceDE w:val="0"/>
        <w:autoSpaceDN w:val="0"/>
        <w:adjustRightInd w:val="0"/>
        <w:textAlignment w:val="baseline"/>
        <w:rPr>
          <w:b/>
          <w:bCs/>
          <w:szCs w:val="20"/>
        </w:rPr>
      </w:pPr>
      <w:r>
        <w:rPr>
          <w:b/>
        </w:rPr>
        <w:t xml:space="preserve">Поради различните възгледи, изразени от организациите на работодателите, членовете на група „Работодатели“ на ЕИСК внесоха контрастановище. По-конкретно те изразиха опасения, че преразглеждането на директивата би могло да усложни функционирането на ЕРС и да доведе до трансформирането им от ефективни канали за информиране и консултации на равнището на дружествата в източници на спорове и правна несигурност. Група „Работодатели“ на ЕИСК счита, че това потенциално би могло да </w:t>
      </w:r>
      <w:r>
        <w:rPr>
          <w:b/>
        </w:rPr>
        <w:lastRenderedPageBreak/>
        <w:t>подкопае основното сътрудничество и доверие на работното място. Контрастановището беше отхвърлено от ЕИСК (104 гласа „за“/125 гласа „против“/11 гласа „въздържал се“), но тъй като получи повече от една четвърт от подадените гласове, в съответствие с Правилника за дейността на ЕИСК, то е приложено към становището.</w:t>
      </w:r>
    </w:p>
    <w:p w:rsidR="0010484C" w:rsidP="0010484C" w:rsidRDefault="0010484C" w14:paraId="4D07561D" w14:textId="10666C39">
      <w:pPr>
        <w:widowControl w:val="0"/>
        <w:overflowPunct w:val="0"/>
        <w:autoSpaceDE w:val="0"/>
        <w:autoSpaceDN w:val="0"/>
        <w:adjustRightInd w:val="0"/>
        <w:textAlignment w:val="baseline"/>
        <w:rPr>
          <w:sz w:val="18"/>
          <w:szCs w:val="16"/>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10484C" w:rsidR="005C28F2" w:rsidTr="00FC48A9" w14:paraId="60D176FD" w14:textId="77777777">
        <w:tc>
          <w:tcPr>
            <w:tcW w:w="1951" w:type="dxa"/>
          </w:tcPr>
          <w:p w:rsidRPr="0010484C" w:rsidR="005C28F2" w:rsidP="00405FFF" w:rsidRDefault="005C28F2" w14:paraId="585CB7BA" w14:textId="77777777">
            <w:pPr>
              <w:overflowPunct w:val="0"/>
              <w:autoSpaceDE w:val="0"/>
              <w:autoSpaceDN w:val="0"/>
              <w:adjustRightInd w:val="0"/>
              <w:ind w:hanging="110"/>
              <w:textAlignment w:val="baseline"/>
              <w:rPr>
                <w:i/>
              </w:rPr>
            </w:pPr>
            <w:r>
              <w:rPr>
                <w:b/>
                <w:i/>
              </w:rPr>
              <w:t>За контакти</w:t>
            </w:r>
          </w:p>
        </w:tc>
        <w:tc>
          <w:tcPr>
            <w:tcW w:w="5137" w:type="dxa"/>
          </w:tcPr>
          <w:p w:rsidRPr="0010484C" w:rsidR="005C28F2" w:rsidP="00405FFF" w:rsidRDefault="005C28F2" w14:paraId="78013169" w14:textId="77777777">
            <w:pPr>
              <w:overflowPunct w:val="0"/>
              <w:autoSpaceDE w:val="0"/>
              <w:autoSpaceDN w:val="0"/>
              <w:adjustRightInd w:val="0"/>
              <w:ind w:hanging="110"/>
              <w:textAlignment w:val="baseline"/>
              <w:rPr>
                <w:i/>
              </w:rPr>
            </w:pPr>
            <w:r>
              <w:rPr>
                <w:i/>
              </w:rPr>
              <w:t>Bartek Bednarowicz</w:t>
            </w:r>
          </w:p>
        </w:tc>
      </w:tr>
      <w:tr w:rsidRPr="0010484C" w:rsidR="005C28F2" w:rsidTr="00FC48A9" w14:paraId="02718472" w14:textId="77777777">
        <w:tc>
          <w:tcPr>
            <w:tcW w:w="1951" w:type="dxa"/>
          </w:tcPr>
          <w:p w:rsidRPr="0010484C" w:rsidR="005C28F2" w:rsidP="00405FFF" w:rsidRDefault="005C28F2" w14:paraId="5ECEACD6" w14:textId="77777777">
            <w:pPr>
              <w:overflowPunct w:val="0"/>
              <w:autoSpaceDE w:val="0"/>
              <w:autoSpaceDN w:val="0"/>
              <w:adjustRightInd w:val="0"/>
              <w:ind w:hanging="110"/>
              <w:textAlignment w:val="baseline"/>
              <w:rPr>
                <w:i/>
              </w:rPr>
            </w:pPr>
            <w:r>
              <w:rPr>
                <w:i/>
              </w:rPr>
              <w:t>Тел</w:t>
            </w:r>
            <w:r>
              <w:rPr>
                <w:i/>
                <w:iCs/>
              </w:rPr>
              <w:t>.</w:t>
            </w:r>
          </w:p>
        </w:tc>
        <w:tc>
          <w:tcPr>
            <w:tcW w:w="5137" w:type="dxa"/>
          </w:tcPr>
          <w:p w:rsidRPr="0010484C" w:rsidR="005C28F2" w:rsidP="00405FFF" w:rsidRDefault="005C28F2" w14:paraId="39C98148" w14:textId="77777777">
            <w:pPr>
              <w:overflowPunct w:val="0"/>
              <w:autoSpaceDE w:val="0"/>
              <w:autoSpaceDN w:val="0"/>
              <w:adjustRightInd w:val="0"/>
              <w:ind w:hanging="110"/>
              <w:textAlignment w:val="baseline"/>
              <w:rPr>
                <w:i/>
              </w:rPr>
            </w:pPr>
            <w:r>
              <w:rPr>
                <w:i/>
              </w:rPr>
              <w:t>+32 25469229</w:t>
            </w:r>
          </w:p>
        </w:tc>
      </w:tr>
      <w:tr w:rsidRPr="0010484C" w:rsidR="005C28F2" w:rsidTr="00FC48A9" w14:paraId="6D0F78E9" w14:textId="77777777">
        <w:tc>
          <w:tcPr>
            <w:tcW w:w="1951" w:type="dxa"/>
          </w:tcPr>
          <w:p w:rsidRPr="0010484C" w:rsidR="005C28F2" w:rsidP="00405FFF" w:rsidRDefault="005C28F2" w14:paraId="57F2C25C" w14:textId="77777777">
            <w:pPr>
              <w:overflowPunct w:val="0"/>
              <w:autoSpaceDE w:val="0"/>
              <w:autoSpaceDN w:val="0"/>
              <w:adjustRightInd w:val="0"/>
              <w:ind w:hanging="110"/>
              <w:textAlignment w:val="baseline"/>
              <w:rPr>
                <w:i/>
              </w:rPr>
            </w:pPr>
            <w:r>
              <w:rPr>
                <w:i/>
              </w:rPr>
              <w:t>Електронен адрес</w:t>
            </w:r>
          </w:p>
        </w:tc>
        <w:tc>
          <w:tcPr>
            <w:tcW w:w="5137" w:type="dxa"/>
          </w:tcPr>
          <w:p w:rsidRPr="0010484C" w:rsidR="005C28F2" w:rsidP="00405FFF" w:rsidRDefault="00606C04" w14:paraId="17171F10" w14:textId="77777777">
            <w:pPr>
              <w:overflowPunct w:val="0"/>
              <w:autoSpaceDE w:val="0"/>
              <w:autoSpaceDN w:val="0"/>
              <w:adjustRightInd w:val="0"/>
              <w:ind w:hanging="110"/>
              <w:textAlignment w:val="baseline"/>
              <w:rPr>
                <w:i/>
                <w:iCs/>
              </w:rPr>
            </w:pPr>
            <w:hyperlink w:history="1" r:id="rId27">
              <w:r w:rsidR="005C28F2">
                <w:rPr>
                  <w:i/>
                  <w:color w:val="0000FF"/>
                  <w:u w:val="single"/>
                </w:rPr>
                <w:t>Bartek.Bednarowicz@eesc.europa.eu</w:t>
              </w:r>
            </w:hyperlink>
          </w:p>
        </w:tc>
      </w:tr>
    </w:tbl>
    <w:p w:rsidR="00FC48A9" w:rsidP="00FC48A9" w:rsidRDefault="00FC48A9" w14:paraId="69B58A79" w14:textId="55629320">
      <w:pPr>
        <w:widowControl w:val="0"/>
        <w:overflowPunct w:val="0"/>
        <w:autoSpaceDE w:val="0"/>
        <w:autoSpaceDN w:val="0"/>
        <w:adjustRightInd w:val="0"/>
        <w:ind w:left="284"/>
        <w:textAlignment w:val="baseline"/>
        <w:rPr>
          <w:b/>
        </w:rPr>
      </w:pPr>
    </w:p>
    <w:p w:rsidR="00FC48A9" w:rsidRDefault="00FC48A9" w14:paraId="41B317DA" w14:textId="0EA6EF40">
      <w:pPr>
        <w:spacing w:after="160" w:line="259" w:lineRule="auto"/>
        <w:jc w:val="left"/>
        <w:rPr>
          <w:b/>
        </w:rPr>
      </w:pPr>
      <w:r>
        <w:rPr>
          <w:b/>
        </w:rPr>
        <w:br w:type="page"/>
      </w:r>
    </w:p>
    <w:p w:rsidRPr="00FC48A9" w:rsidR="00FC48A9" w:rsidP="00FC48A9" w:rsidRDefault="00FC48A9" w14:paraId="353510B0" w14:textId="77777777">
      <w:pPr>
        <w:widowControl w:val="0"/>
        <w:overflowPunct w:val="0"/>
        <w:autoSpaceDE w:val="0"/>
        <w:autoSpaceDN w:val="0"/>
        <w:adjustRightInd w:val="0"/>
        <w:ind w:left="284"/>
        <w:textAlignment w:val="baseline"/>
        <w:rPr>
          <w:b/>
        </w:rPr>
      </w:pPr>
    </w:p>
    <w:p w:rsidRPr="005C28F2" w:rsidR="00025343" w:rsidP="00DC0FAE" w:rsidRDefault="00606C04" w14:paraId="05A78CB9" w14:textId="55F9C2DD">
      <w:pPr>
        <w:widowControl w:val="0"/>
        <w:numPr>
          <w:ilvl w:val="0"/>
          <w:numId w:val="7"/>
        </w:numPr>
        <w:overflowPunct w:val="0"/>
        <w:autoSpaceDE w:val="0"/>
        <w:autoSpaceDN w:val="0"/>
        <w:adjustRightInd w:val="0"/>
        <w:ind w:hanging="567"/>
        <w:textAlignment w:val="baseline"/>
        <w:rPr>
          <w:b/>
        </w:rPr>
      </w:pPr>
      <w:hyperlink w:history="1" r:id="rId28">
        <w:r w:rsidR="005C28F2">
          <w:rPr>
            <w:b/>
            <w:i/>
            <w:color w:val="0000FF"/>
            <w:sz w:val="28"/>
            <w:u w:val="single"/>
          </w:rPr>
          <w:t>Няма място за омраза: Европа, обединена срещу омразата</w:t>
        </w:r>
      </w:hyperlink>
    </w:p>
    <w:p w:rsidRPr="00025343" w:rsidR="00025343" w:rsidP="00025343" w:rsidRDefault="00025343" w14:paraId="07CE56B3" w14:textId="576C118A">
      <w:pPr>
        <w:widowControl w:val="0"/>
        <w:overflowPunct w:val="0"/>
        <w:autoSpaceDE w:val="0"/>
        <w:autoSpaceDN w:val="0"/>
        <w:adjustRightInd w:val="0"/>
        <w:ind w:left="266"/>
        <w:textAlignment w:val="baseline"/>
        <w:rPr>
          <w:b/>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2"/>
        <w:gridCol w:w="6117"/>
      </w:tblGrid>
      <w:tr w:rsidRPr="00025343" w:rsidR="00025343" w:rsidTr="00FE3058" w14:paraId="2AF8F4F0" w14:textId="77777777">
        <w:trPr>
          <w:trHeight w:val="337"/>
        </w:trPr>
        <w:tc>
          <w:tcPr>
            <w:tcW w:w="1310" w:type="pct"/>
          </w:tcPr>
          <w:p w:rsidRPr="00025343" w:rsidR="00025343" w:rsidP="00DC0FAE" w:rsidRDefault="00025343" w14:paraId="11E0BB11" w14:textId="77777777">
            <w:pPr>
              <w:tabs>
                <w:tab w:val="center" w:pos="284"/>
              </w:tabs>
              <w:overflowPunct w:val="0"/>
              <w:autoSpaceDE w:val="0"/>
              <w:autoSpaceDN w:val="0"/>
              <w:adjustRightInd w:val="0"/>
              <w:ind w:left="266" w:hanging="92"/>
              <w:textAlignment w:val="baseline"/>
              <w:rPr>
                <w:b/>
              </w:rPr>
            </w:pPr>
            <w:r>
              <w:rPr>
                <w:b/>
              </w:rPr>
              <w:t>Докладчик</w:t>
            </w:r>
          </w:p>
        </w:tc>
        <w:tc>
          <w:tcPr>
            <w:tcW w:w="3690" w:type="pct"/>
          </w:tcPr>
          <w:p w:rsidRPr="00025343" w:rsidR="00025343" w:rsidP="0012073D" w:rsidRDefault="00025343" w14:paraId="75752AD4" w14:textId="7ACD3C64">
            <w:pPr>
              <w:overflowPunct w:val="0"/>
              <w:autoSpaceDE w:val="0"/>
              <w:autoSpaceDN w:val="0"/>
              <w:adjustRightInd w:val="0"/>
              <w:textAlignment w:val="baseline"/>
            </w:pPr>
            <w:r>
              <w:t>Cristian PÎRVULESCU (група „Организации на гражданското общество“ — RO)</w:t>
            </w:r>
          </w:p>
        </w:tc>
      </w:tr>
      <w:tr w:rsidRPr="00025343" w:rsidR="00025343" w:rsidTr="00FE3058" w14:paraId="1760181D" w14:textId="77777777">
        <w:trPr>
          <w:trHeight w:val="350"/>
        </w:trPr>
        <w:tc>
          <w:tcPr>
            <w:tcW w:w="1310" w:type="pct"/>
          </w:tcPr>
          <w:p w:rsidRPr="00025343" w:rsidR="00025343" w:rsidP="00DC0FAE" w:rsidRDefault="00025343" w14:paraId="2BD960A6" w14:textId="77777777">
            <w:pPr>
              <w:tabs>
                <w:tab w:val="center" w:pos="284"/>
              </w:tabs>
              <w:overflowPunct w:val="0"/>
              <w:autoSpaceDE w:val="0"/>
              <w:autoSpaceDN w:val="0"/>
              <w:adjustRightInd w:val="0"/>
              <w:ind w:left="266" w:hanging="92"/>
              <w:textAlignment w:val="baseline"/>
              <w:rPr>
                <w:b/>
              </w:rPr>
            </w:pPr>
            <w:r>
              <w:rPr>
                <w:b/>
              </w:rPr>
              <w:t>Съдокладчик</w:t>
            </w:r>
          </w:p>
        </w:tc>
        <w:tc>
          <w:tcPr>
            <w:tcW w:w="3690" w:type="pct"/>
          </w:tcPr>
          <w:p w:rsidRPr="00025343" w:rsidR="00025343" w:rsidP="00FC48A9" w:rsidRDefault="00025343" w14:paraId="4D5D8264" w14:textId="0F078110">
            <w:pPr>
              <w:overflowPunct w:val="0"/>
              <w:autoSpaceDE w:val="0"/>
              <w:autoSpaceDN w:val="0"/>
              <w:adjustRightInd w:val="0"/>
              <w:textAlignment w:val="baseline"/>
            </w:pPr>
            <w:r>
              <w:t>Милена АНГЕЛОВА (група „Работодатели“ — BG)</w:t>
            </w:r>
          </w:p>
        </w:tc>
      </w:tr>
      <w:tr w:rsidRPr="00025343" w:rsidR="00025343" w:rsidTr="00FE3058" w14:paraId="2C6DD60C" w14:textId="77777777">
        <w:trPr>
          <w:trHeight w:val="180"/>
        </w:trPr>
        <w:tc>
          <w:tcPr>
            <w:tcW w:w="5000" w:type="pct"/>
            <w:gridSpan w:val="2"/>
          </w:tcPr>
          <w:p w:rsidRPr="00025343" w:rsidR="00025343" w:rsidP="00DC0FAE" w:rsidRDefault="00025343" w14:paraId="5C89C595" w14:textId="77777777">
            <w:pPr>
              <w:tabs>
                <w:tab w:val="center" w:pos="284"/>
              </w:tabs>
              <w:overflowPunct w:val="0"/>
              <w:autoSpaceDE w:val="0"/>
              <w:autoSpaceDN w:val="0"/>
              <w:adjustRightInd w:val="0"/>
              <w:spacing w:line="160" w:lineRule="exact"/>
              <w:ind w:left="266" w:hanging="92"/>
              <w:textAlignment w:val="baseline"/>
            </w:pPr>
          </w:p>
        </w:tc>
      </w:tr>
      <w:tr w:rsidRPr="00025343" w:rsidR="00025343" w:rsidTr="00FE3058" w14:paraId="6FBC34E5" w14:textId="77777777">
        <w:trPr>
          <w:trHeight w:val="337"/>
        </w:trPr>
        <w:tc>
          <w:tcPr>
            <w:tcW w:w="1310" w:type="pct"/>
          </w:tcPr>
          <w:p w:rsidRPr="00025343" w:rsidR="00025343" w:rsidP="00DC0FAE" w:rsidRDefault="00025343" w14:paraId="0CB959F0" w14:textId="77777777">
            <w:pPr>
              <w:tabs>
                <w:tab w:val="center" w:pos="284"/>
              </w:tabs>
              <w:overflowPunct w:val="0"/>
              <w:autoSpaceDE w:val="0"/>
              <w:autoSpaceDN w:val="0"/>
              <w:adjustRightInd w:val="0"/>
              <w:ind w:left="266" w:hanging="92"/>
              <w:textAlignment w:val="baseline"/>
              <w:rPr>
                <w:b/>
              </w:rPr>
            </w:pPr>
            <w:r>
              <w:rPr>
                <w:b/>
              </w:rPr>
              <w:t>Отправни документи</w:t>
            </w:r>
          </w:p>
        </w:tc>
        <w:tc>
          <w:tcPr>
            <w:tcW w:w="3690" w:type="pct"/>
          </w:tcPr>
          <w:p w:rsidR="00073B39" w:rsidRDefault="00073B39" w14:paraId="4E56704D" w14:textId="77D55C36">
            <w:pPr>
              <w:overflowPunct w:val="0"/>
              <w:autoSpaceDE w:val="0"/>
              <w:autoSpaceDN w:val="0"/>
              <w:adjustRightInd w:val="0"/>
              <w:ind w:left="38" w:hanging="92"/>
              <w:textAlignment w:val="baseline"/>
            </w:pPr>
            <w:r>
              <w:t>JOIN(2023) 51 final</w:t>
            </w:r>
          </w:p>
          <w:p w:rsidRPr="00025343" w:rsidR="00025343" w:rsidP="00DC0FAE" w:rsidRDefault="00025343" w14:paraId="3DBBFBEB" w14:textId="41A0BBEE">
            <w:pPr>
              <w:overflowPunct w:val="0"/>
              <w:autoSpaceDE w:val="0"/>
              <w:autoSpaceDN w:val="0"/>
              <w:adjustRightInd w:val="0"/>
              <w:ind w:left="38" w:hanging="92"/>
              <w:textAlignment w:val="baseline"/>
            </w:pPr>
            <w:r>
              <w:t>EESC-2024-00795-00-00-AC</w:t>
            </w:r>
          </w:p>
        </w:tc>
      </w:tr>
    </w:tbl>
    <w:p w:rsidRPr="00025343" w:rsidR="00025343" w:rsidP="00025343" w:rsidRDefault="00025343" w14:paraId="22461CD2" w14:textId="77777777">
      <w:pPr>
        <w:tabs>
          <w:tab w:val="center" w:pos="284"/>
        </w:tabs>
        <w:overflowPunct w:val="0"/>
        <w:autoSpaceDE w:val="0"/>
        <w:autoSpaceDN w:val="0"/>
        <w:adjustRightInd w:val="0"/>
        <w:ind w:left="266" w:hanging="266"/>
        <w:textAlignment w:val="baseline"/>
        <w:rPr>
          <w:b/>
        </w:rPr>
      </w:pPr>
    </w:p>
    <w:p w:rsidRPr="00025343" w:rsidR="00025343" w:rsidP="00025343" w:rsidRDefault="00025343" w14:paraId="76CC5FDB" w14:textId="77777777">
      <w:pPr>
        <w:tabs>
          <w:tab w:val="center" w:pos="284"/>
        </w:tabs>
        <w:overflowPunct w:val="0"/>
        <w:autoSpaceDE w:val="0"/>
        <w:autoSpaceDN w:val="0"/>
        <w:adjustRightInd w:val="0"/>
        <w:ind w:left="266" w:hanging="266"/>
        <w:textAlignment w:val="baseline"/>
        <w:rPr>
          <w:b/>
        </w:rPr>
      </w:pPr>
      <w:r>
        <w:rPr>
          <w:b/>
        </w:rPr>
        <w:t>Основни аспекти</w:t>
      </w:r>
    </w:p>
    <w:p w:rsidRPr="00025343" w:rsidR="00025343" w:rsidP="00025343" w:rsidRDefault="00025343" w14:paraId="19863DE9" w14:textId="77777777">
      <w:pPr>
        <w:tabs>
          <w:tab w:val="center" w:pos="284"/>
        </w:tabs>
        <w:overflowPunct w:val="0"/>
        <w:autoSpaceDE w:val="0"/>
        <w:autoSpaceDN w:val="0"/>
        <w:adjustRightInd w:val="0"/>
        <w:ind w:left="266" w:hanging="266"/>
        <w:textAlignment w:val="baseline"/>
        <w:rPr>
          <w:b/>
        </w:rPr>
      </w:pPr>
    </w:p>
    <w:p w:rsidR="00025343" w:rsidP="00025343" w:rsidRDefault="00025343" w14:paraId="4E01D61B" w14:textId="1C55CBF5">
      <w:pPr>
        <w:overflowPunct w:val="0"/>
        <w:autoSpaceDE w:val="0"/>
        <w:autoSpaceDN w:val="0"/>
        <w:adjustRightInd w:val="0"/>
        <w:textAlignment w:val="baseline"/>
        <w:rPr>
          <w:bCs/>
          <w:iCs/>
        </w:rPr>
      </w:pPr>
      <w:r>
        <w:t>ЕИСК:</w:t>
      </w:r>
    </w:p>
    <w:p w:rsidRPr="00025343" w:rsidR="00360C2F" w:rsidP="00025343" w:rsidRDefault="00360C2F" w14:paraId="227E2908" w14:textId="77777777">
      <w:pPr>
        <w:overflowPunct w:val="0"/>
        <w:autoSpaceDE w:val="0"/>
        <w:autoSpaceDN w:val="0"/>
        <w:adjustRightInd w:val="0"/>
        <w:textAlignment w:val="baseline"/>
        <w:rPr>
          <w:bCs/>
          <w:iCs/>
        </w:rPr>
      </w:pPr>
    </w:p>
    <w:p w:rsidRPr="00025343" w:rsidR="00025343" w:rsidP="00DC0FAE"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t>приветства съобщението, като същевременно подчертава необходимостта от по-всеобхватно партньорство с организациите на гражданското общество. Призовава за кампании за повишаване на осведомеността и усилия за борба с „екосистемите“ на омразата в реалния живот и в интернет и припомня отговорността на политиците да избягват език, подбуждащ към омраза;</w:t>
      </w:r>
    </w:p>
    <w:p w:rsidRPr="00025343" w:rsidR="00025343" w:rsidP="00DC0FAE"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t>призовава ЕС да възприеме всеобхватен подход и да се бори срещу омразата, основана на всяка една от защитените човешки характеристики, да прилага ефективно съществуващите стратегии и инициативи за насърчаване на равенството и недискриминацията и да използва преди всичко един и същ подход за борба с всички видове омраза. Призовава държавите членки да преследват престъпленията, основани на омраза, да насърчават подаването на сигнали и да обучават правоприлагащите органи да разглеждат тези случаи по подходящ начин, като зачитат надлежно жертвите;</w:t>
      </w:r>
    </w:p>
    <w:p w:rsidRPr="00025343" w:rsidR="00025343" w:rsidP="00DC0FAE"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t>изразява съжаление, че мащабът и въздействието на противодействието на омразата не са достатъчни. Ролята и експертният опит на подателите на сигнали следва да бъдат разширени, за да обхванат последователно всички видове онлайн предубеждения, подбуждащи към омраза. Медийната и цифровата грамотност следва да бъдат подобрени, за да се гарантира по-ефективно докладване;</w:t>
      </w:r>
    </w:p>
    <w:p w:rsidRPr="00025343" w:rsidR="00025343" w:rsidP="00DC0FAE" w:rsidRDefault="00025343" w14:paraId="0FED99CF" w14:textId="77777777">
      <w:pPr>
        <w:widowControl w:val="0"/>
        <w:numPr>
          <w:ilvl w:val="0"/>
          <w:numId w:val="17"/>
        </w:numPr>
        <w:overflowPunct w:val="0"/>
        <w:autoSpaceDE w:val="0"/>
        <w:autoSpaceDN w:val="0"/>
        <w:adjustRightInd w:val="0"/>
        <w:ind w:left="284" w:hanging="284"/>
        <w:textAlignment w:val="baseline"/>
        <w:rPr>
          <w:bCs/>
          <w:iCs/>
        </w:rPr>
      </w:pPr>
      <w:r>
        <w:t>счита, че работата на групата на високо равнище за борба с речта на омразата и престъпленията от омраза следва да се води по-добре, да се подобрят обучението и изграждането на капацитет за гражданското общество, а докладването да стане по-ефективно. Докладването и сравнителният анализ следва да се използват за установяване на напредъка. Докладването на престъпления от омраза следва да бъде стандартизирано и институционализирано на равнището на ЕС. Механизмите за докладване трябва да бъдат налични и достъпни, отправя се призив към Комисията да създаде онлайн платформа за бързо докладване от страна на ОГО и защитниците на правата на човека на инциденти;</w:t>
      </w:r>
    </w:p>
    <w:p w:rsidRPr="00025343" w:rsidR="00025343" w:rsidP="00DC0FAE"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t xml:space="preserve">подчертава, че Комисията следва да организира преглед на работата на ОГО, както и на доверените податели на сигнали и да предложи мерки за повишаване на тяхната ефективност и съобразяване на тяхната работа с настоящите предизвикателства. ЕС следва да настоява големите онлайн платформи да не допускат техните алгоритми да засилват омразата и да използват средства от програмата „Граждани, равенство, права и ценности“ и „Хоризонт Европа“ за идентифициране и борба с екосистемите на омраза в интернет, което ще позволи на съществуващия образователен и научноизследователски капацитет да </w:t>
      </w:r>
      <w:r>
        <w:lastRenderedPageBreak/>
        <w:t>допринесе за постигането на тази цел, а гражданското образование по програма „Еразъм+“ също би могло да допринесе за постигането на тази цел.</w:t>
      </w:r>
    </w:p>
    <w:p w:rsidRPr="00025343" w:rsidR="00025343" w:rsidP="00025343" w:rsidRDefault="00025343" w14:paraId="0B19C92B" w14:textId="77777777">
      <w:pPr>
        <w:widowControl w:val="0"/>
        <w:overflowPunct w:val="0"/>
        <w:autoSpaceDE w:val="0"/>
        <w:autoSpaceDN w:val="0"/>
        <w:adjustRightInd w:val="0"/>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25343" w:rsidR="00025343" w:rsidTr="00FE3058" w14:paraId="2383B5F9" w14:textId="77777777">
        <w:trPr>
          <w:trHeight w:val="60"/>
        </w:trPr>
        <w:tc>
          <w:tcPr>
            <w:tcW w:w="1556" w:type="pct"/>
          </w:tcPr>
          <w:p w:rsidRPr="00025343" w:rsidR="00025343" w:rsidP="00025343" w:rsidRDefault="00025343" w14:paraId="77472C91" w14:textId="77777777">
            <w:pPr>
              <w:overflowPunct w:val="0"/>
              <w:autoSpaceDE w:val="0"/>
              <w:autoSpaceDN w:val="0"/>
              <w:adjustRightInd w:val="0"/>
              <w:spacing w:line="240" w:lineRule="auto"/>
              <w:textAlignment w:val="baseline"/>
              <w:rPr>
                <w:i/>
              </w:rPr>
            </w:pPr>
            <w:r>
              <w:rPr>
                <w:b/>
                <w:i/>
              </w:rPr>
              <w:t>За контакти</w:t>
            </w:r>
          </w:p>
        </w:tc>
        <w:tc>
          <w:tcPr>
            <w:tcW w:w="3444" w:type="pct"/>
          </w:tcPr>
          <w:p w:rsidRPr="00025343" w:rsidR="00025343" w:rsidP="00025343" w:rsidRDefault="00025343" w14:paraId="0085AE7E" w14:textId="77777777">
            <w:pPr>
              <w:overflowPunct w:val="0"/>
              <w:autoSpaceDE w:val="0"/>
              <w:autoSpaceDN w:val="0"/>
              <w:adjustRightInd w:val="0"/>
              <w:spacing w:line="240" w:lineRule="auto"/>
              <w:textAlignment w:val="baseline"/>
              <w:rPr>
                <w:i/>
              </w:rPr>
            </w:pPr>
            <w:r>
              <w:rPr>
                <w:i/>
              </w:rPr>
              <w:t>June Bedaton</w:t>
            </w:r>
          </w:p>
        </w:tc>
      </w:tr>
      <w:tr w:rsidRPr="00025343" w:rsidR="00025343" w:rsidTr="00FE3058" w14:paraId="5D5A7669" w14:textId="77777777">
        <w:tc>
          <w:tcPr>
            <w:tcW w:w="1556" w:type="pct"/>
          </w:tcPr>
          <w:p w:rsidRPr="00025343" w:rsidR="00025343" w:rsidP="00025343" w:rsidRDefault="00025343" w14:paraId="0EE8CCA8" w14:textId="77777777">
            <w:pPr>
              <w:overflowPunct w:val="0"/>
              <w:autoSpaceDE w:val="0"/>
              <w:autoSpaceDN w:val="0"/>
              <w:adjustRightInd w:val="0"/>
              <w:spacing w:line="240" w:lineRule="auto"/>
              <w:textAlignment w:val="baseline"/>
              <w:rPr>
                <w:i/>
              </w:rPr>
            </w:pPr>
            <w:r>
              <w:rPr>
                <w:i/>
              </w:rPr>
              <w:t>Тел</w:t>
            </w:r>
            <w:r>
              <w:rPr>
                <w:i/>
                <w:iCs/>
              </w:rPr>
              <w:t>.</w:t>
            </w:r>
          </w:p>
        </w:tc>
        <w:tc>
          <w:tcPr>
            <w:tcW w:w="3444" w:type="pct"/>
          </w:tcPr>
          <w:p w:rsidRPr="00025343" w:rsidR="00025343" w:rsidP="00025343" w:rsidRDefault="00025343" w14:paraId="13FFF4AE" w14:textId="77777777">
            <w:pPr>
              <w:overflowPunct w:val="0"/>
              <w:autoSpaceDE w:val="0"/>
              <w:autoSpaceDN w:val="0"/>
              <w:adjustRightInd w:val="0"/>
              <w:spacing w:line="240" w:lineRule="auto"/>
              <w:textAlignment w:val="baseline"/>
              <w:rPr>
                <w:i/>
              </w:rPr>
            </w:pPr>
            <w:r>
              <w:rPr>
                <w:i/>
              </w:rPr>
              <w:t>+32 25468134</w:t>
            </w:r>
          </w:p>
        </w:tc>
      </w:tr>
      <w:tr w:rsidRPr="00025343" w:rsidR="00025343" w:rsidTr="00FE3058" w14:paraId="3F8348DB" w14:textId="77777777">
        <w:tc>
          <w:tcPr>
            <w:tcW w:w="1556" w:type="pct"/>
          </w:tcPr>
          <w:p w:rsidRPr="00025343" w:rsidR="00025343" w:rsidP="00025343" w:rsidRDefault="00025343" w14:paraId="727D8F5E"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025343" w:rsidR="00025343" w:rsidP="00025343" w:rsidRDefault="00606C04" w14:paraId="55F1FCFD" w14:textId="77777777">
            <w:pPr>
              <w:overflowPunct w:val="0"/>
              <w:autoSpaceDE w:val="0"/>
              <w:autoSpaceDN w:val="0"/>
              <w:adjustRightInd w:val="0"/>
              <w:spacing w:line="240" w:lineRule="auto"/>
              <w:textAlignment w:val="baseline"/>
              <w:rPr>
                <w:i/>
              </w:rPr>
            </w:pPr>
            <w:hyperlink w:history="1" r:id="rId29">
              <w:r w:rsidR="00171CE5">
                <w:rPr>
                  <w:i/>
                  <w:color w:val="0000FF"/>
                  <w:u w:val="single"/>
                </w:rPr>
                <w:t>June.Bedaton@eesc.europa.eu</w:t>
              </w:r>
            </w:hyperlink>
          </w:p>
        </w:tc>
      </w:tr>
    </w:tbl>
    <w:p w:rsidRPr="00D71D11" w:rsidR="00502E1F" w:rsidRDefault="00502E1F" w14:paraId="3D58FF9D" w14:textId="2586B74C">
      <w:pPr>
        <w:spacing w:after="160" w:line="259" w:lineRule="auto"/>
        <w:jc w:val="left"/>
        <w:rPr>
          <w:sz w:val="14"/>
          <w:szCs w:val="14"/>
        </w:rPr>
      </w:pPr>
      <w:r>
        <w:br w:type="page"/>
      </w:r>
    </w:p>
    <w:p w:rsidRPr="00EE2FBD" w:rsidR="004C3902" w:rsidP="00770F41" w:rsidRDefault="008E2A59" w14:paraId="7AD922B6" w14:textId="2BABB602">
      <w:pPr>
        <w:pStyle w:val="Heading1"/>
        <w:tabs>
          <w:tab w:val="clear" w:pos="440"/>
          <w:tab w:val="left" w:pos="567"/>
        </w:tabs>
        <w:ind w:left="567" w:hanging="567"/>
        <w:rPr>
          <w:b/>
          <w:bCs/>
        </w:rPr>
      </w:pPr>
      <w:bookmarkStart w:name="_Toc166847134" w:id="2"/>
      <w:bookmarkStart w:name="_Toc169623431" w:id="3"/>
      <w:bookmarkEnd w:id="2"/>
      <w:r>
        <w:rPr>
          <w:b/>
        </w:rPr>
        <w:lastRenderedPageBreak/>
        <w:t>ЗЕМЕДЕЛИЕ, РАЗВИТИЕ НА СЕЛСКИТЕ РАЙОНИ, ОКОЛНА СРЕДА</w:t>
      </w:r>
      <w:bookmarkEnd w:id="3"/>
    </w:p>
    <w:p w:rsidR="005C28F2" w:rsidRDefault="005C28F2" w14:paraId="70C7CB4F" w14:textId="77777777">
      <w:pPr>
        <w:spacing w:after="160" w:line="259" w:lineRule="auto"/>
        <w:jc w:val="left"/>
        <w:rPr>
          <w:b/>
          <w:bCs/>
        </w:rPr>
      </w:pPr>
    </w:p>
    <w:p w:rsidR="00A329C8" w:rsidRDefault="00A329C8" w14:paraId="207163CE" w14:textId="67E9BB6A">
      <w:pPr>
        <w:spacing w:after="160" w:line="259" w:lineRule="auto"/>
        <w:jc w:val="left"/>
        <w:rPr>
          <w:b/>
          <w:bCs/>
        </w:rPr>
      </w:pPr>
    </w:p>
    <w:p w:rsidRPr="00A329C8" w:rsidR="00A329C8" w:rsidP="00DC0FAE" w:rsidRDefault="00606C04" w14:paraId="54725696" w14:textId="5958EFA0">
      <w:pPr>
        <w:numPr>
          <w:ilvl w:val="0"/>
          <w:numId w:val="2"/>
        </w:numPr>
        <w:overflowPunct w:val="0"/>
        <w:autoSpaceDE w:val="0"/>
        <w:autoSpaceDN w:val="0"/>
        <w:adjustRightInd w:val="0"/>
        <w:spacing w:line="276" w:lineRule="auto"/>
        <w:contextualSpacing/>
        <w:jc w:val="left"/>
        <w:textAlignment w:val="baseline"/>
        <w:rPr>
          <w:i/>
          <w:iCs/>
        </w:rPr>
      </w:pPr>
      <w:hyperlink w:history="1" r:id="rId30">
        <w:r w:rsidR="004C1520">
          <w:rPr>
            <w:b/>
            <w:i/>
            <w:color w:val="0000FF"/>
            <w:sz w:val="28"/>
            <w:u w:val="single"/>
          </w:rPr>
          <w:t>Целта на ЕС в областта на климата за 2040 г.</w:t>
        </w:r>
      </w:hyperlink>
    </w:p>
    <w:p w:rsidRPr="00A329C8" w:rsidR="00A329C8" w:rsidP="00A329C8" w:rsidRDefault="00A329C8" w14:paraId="41709063" w14:textId="77777777">
      <w:pPr>
        <w:widowControl w:val="0"/>
        <w:overflowPunct w:val="0"/>
        <w:autoSpaceDE w:val="0"/>
        <w:autoSpaceDN w:val="0"/>
        <w:adjustRightInd w:val="0"/>
        <w:ind w:left="567"/>
        <w:textAlignment w:val="baseline"/>
        <w:rPr>
          <w:bCs/>
          <w:sz w:val="16"/>
          <w:szCs w:val="16"/>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5421"/>
      </w:tblGrid>
      <w:tr w:rsidRPr="00A329C8" w:rsidR="00A329C8" w:rsidTr="0012073D" w14:paraId="1072566D" w14:textId="77777777">
        <w:tc>
          <w:tcPr>
            <w:tcW w:w="2376" w:type="dxa"/>
          </w:tcPr>
          <w:p w:rsidRPr="00A329C8" w:rsidR="00A329C8" w:rsidRDefault="00A329C8" w14:paraId="165FF2EB" w14:textId="77777777">
            <w:pPr>
              <w:tabs>
                <w:tab w:val="center" w:pos="284"/>
              </w:tabs>
              <w:overflowPunct w:val="0"/>
              <w:autoSpaceDE w:val="0"/>
              <w:autoSpaceDN w:val="0"/>
              <w:adjustRightInd w:val="0"/>
              <w:ind w:left="266" w:hanging="266"/>
              <w:textAlignment w:val="baseline"/>
              <w:rPr>
                <w:b/>
              </w:rPr>
            </w:pPr>
            <w:r>
              <w:rPr>
                <w:b/>
              </w:rPr>
              <w:t>Докладчик</w:t>
            </w:r>
          </w:p>
        </w:tc>
        <w:tc>
          <w:tcPr>
            <w:tcW w:w="5421" w:type="dxa"/>
          </w:tcPr>
          <w:p w:rsidRPr="00A329C8" w:rsidR="00A329C8" w:rsidRDefault="00A329C8" w14:paraId="79F6E9C0" w14:textId="43EDADDC">
            <w:pPr>
              <w:tabs>
                <w:tab w:val="center" w:pos="284"/>
              </w:tabs>
              <w:overflowPunct w:val="0"/>
              <w:autoSpaceDE w:val="0"/>
              <w:autoSpaceDN w:val="0"/>
              <w:adjustRightInd w:val="0"/>
              <w:ind w:left="266" w:hanging="266"/>
              <w:textAlignment w:val="baseline"/>
              <w:rPr>
                <w:bCs/>
              </w:rPr>
            </w:pPr>
            <w:r>
              <w:t>Teppo SÄKKINEN (група „Работодатели“ — FI)</w:t>
            </w:r>
          </w:p>
        </w:tc>
      </w:tr>
      <w:tr w:rsidRPr="00A329C8" w:rsidR="00A329C8" w:rsidTr="00FE3058" w14:paraId="41523448" w14:textId="77777777">
        <w:tc>
          <w:tcPr>
            <w:tcW w:w="7797" w:type="dxa"/>
            <w:gridSpan w:val="2"/>
          </w:tcPr>
          <w:p w:rsidRPr="00A329C8" w:rsidR="00A329C8" w:rsidRDefault="00A329C8" w14:paraId="0D6A47D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329C8" w:rsidR="00A329C8" w:rsidTr="0012073D" w14:paraId="4CD963E6" w14:textId="77777777">
        <w:tc>
          <w:tcPr>
            <w:tcW w:w="2376" w:type="dxa"/>
            <w:vMerge w:val="restart"/>
          </w:tcPr>
          <w:p w:rsidRPr="00A329C8" w:rsidR="00A329C8" w:rsidRDefault="00A329C8" w14:paraId="09AC84B4"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5421" w:type="dxa"/>
          </w:tcPr>
          <w:p w:rsidRPr="00A329C8" w:rsidR="00A329C8" w:rsidRDefault="00A329C8" w14:paraId="3A6B9900" w14:textId="77777777">
            <w:pPr>
              <w:tabs>
                <w:tab w:val="center" w:pos="284"/>
              </w:tabs>
              <w:overflowPunct w:val="0"/>
              <w:autoSpaceDE w:val="0"/>
              <w:autoSpaceDN w:val="0"/>
              <w:adjustRightInd w:val="0"/>
              <w:ind w:left="266" w:hanging="266"/>
              <w:textAlignment w:val="baseline"/>
            </w:pPr>
            <w:r>
              <w:t>COM(2024) 63 final</w:t>
            </w:r>
          </w:p>
        </w:tc>
      </w:tr>
      <w:tr w:rsidRPr="00A329C8" w:rsidR="00A329C8" w:rsidTr="0012073D" w14:paraId="42B3A032" w14:textId="77777777">
        <w:tc>
          <w:tcPr>
            <w:tcW w:w="2376" w:type="dxa"/>
            <w:vMerge/>
          </w:tcPr>
          <w:p w:rsidRPr="00A329C8" w:rsidR="00A329C8" w:rsidRDefault="00A329C8" w14:paraId="4ADA52A9" w14:textId="77777777">
            <w:pPr>
              <w:tabs>
                <w:tab w:val="center" w:pos="284"/>
              </w:tabs>
              <w:overflowPunct w:val="0"/>
              <w:autoSpaceDE w:val="0"/>
              <w:autoSpaceDN w:val="0"/>
              <w:adjustRightInd w:val="0"/>
              <w:ind w:left="266" w:hanging="266"/>
              <w:textAlignment w:val="baseline"/>
              <w:rPr>
                <w:b/>
              </w:rPr>
            </w:pPr>
          </w:p>
        </w:tc>
        <w:tc>
          <w:tcPr>
            <w:tcW w:w="5421" w:type="dxa"/>
          </w:tcPr>
          <w:p w:rsidRPr="00A329C8" w:rsidR="00A329C8" w:rsidRDefault="00A329C8" w14:paraId="34A1EAA6" w14:textId="10339782">
            <w:pPr>
              <w:tabs>
                <w:tab w:val="center" w:pos="284"/>
              </w:tabs>
              <w:overflowPunct w:val="0"/>
              <w:autoSpaceDE w:val="0"/>
              <w:autoSpaceDN w:val="0"/>
              <w:adjustRightInd w:val="0"/>
              <w:ind w:left="266" w:hanging="266"/>
              <w:textAlignment w:val="baseline"/>
            </w:pPr>
            <w:r>
              <w:t>EESC-2024-00418-00-00-AC</w:t>
            </w:r>
          </w:p>
        </w:tc>
      </w:tr>
    </w:tbl>
    <w:p w:rsidRPr="00A329C8" w:rsidR="00A329C8" w:rsidP="00A329C8" w:rsidRDefault="00A329C8" w14:paraId="0015795B" w14:textId="77777777">
      <w:pPr>
        <w:keepNext/>
        <w:keepLines/>
        <w:tabs>
          <w:tab w:val="center" w:pos="284"/>
        </w:tabs>
        <w:overflowPunct w:val="0"/>
        <w:autoSpaceDE w:val="0"/>
        <w:autoSpaceDN w:val="0"/>
        <w:adjustRightInd w:val="0"/>
        <w:ind w:left="266" w:hanging="266"/>
        <w:textAlignment w:val="baseline"/>
        <w:rPr>
          <w:b/>
          <w:sz w:val="10"/>
          <w:szCs w:val="10"/>
        </w:rPr>
      </w:pPr>
    </w:p>
    <w:p w:rsidRPr="00A329C8" w:rsidR="00A329C8" w:rsidP="00A329C8" w:rsidRDefault="00A329C8" w14:paraId="52DD4DB5"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Основни аспекти</w:t>
      </w:r>
    </w:p>
    <w:p w:rsidRPr="00A329C8" w:rsidR="00A329C8" w:rsidP="00A329C8" w:rsidRDefault="00A329C8" w14:paraId="0EFAF4B2"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A329C8" w:rsidP="00A329C8" w:rsidRDefault="00A329C8" w14:paraId="4C8A0CE8" w14:textId="68F5BE87">
      <w:pPr>
        <w:overflowPunct w:val="0"/>
        <w:autoSpaceDE w:val="0"/>
        <w:autoSpaceDN w:val="0"/>
        <w:adjustRightInd w:val="0"/>
        <w:spacing w:line="240" w:lineRule="auto"/>
        <w:textAlignment w:val="baseline"/>
        <w:rPr>
          <w:bCs/>
          <w:iCs/>
        </w:rPr>
      </w:pPr>
      <w:r>
        <w:t>ЕИСК:</w:t>
      </w:r>
    </w:p>
    <w:p w:rsidRPr="00A329C8" w:rsidR="00D12B39" w:rsidP="00A329C8" w:rsidRDefault="00D12B39" w14:paraId="369B2779" w14:textId="77777777">
      <w:pPr>
        <w:overflowPunct w:val="0"/>
        <w:autoSpaceDE w:val="0"/>
        <w:autoSpaceDN w:val="0"/>
        <w:adjustRightInd w:val="0"/>
        <w:spacing w:line="240" w:lineRule="auto"/>
        <w:textAlignment w:val="baseline"/>
        <w:rPr>
          <w:bCs/>
          <w:iCs/>
        </w:rPr>
      </w:pPr>
    </w:p>
    <w:p w:rsidRPr="00DC0FAE" w:rsidR="00A329C8" w:rsidP="00DC0FAE"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szCs w:val="20"/>
        </w:rPr>
      </w:pPr>
      <w:r>
        <w:rPr>
          <w:b/>
        </w:rPr>
        <w:t>подкрепя препоръчаната цел от 90 % до 2040 г.</w:t>
      </w:r>
      <w:r>
        <w:t xml:space="preserve">, тъй като тя е в съответствие с научните данни за справедливия дял на Европа в постигането на целта за 1,5 градуса. ЕИСК подчертава, че </w:t>
      </w:r>
      <w:r>
        <w:rPr>
          <w:b/>
        </w:rPr>
        <w:t>целта е амбициозна</w:t>
      </w:r>
      <w:r>
        <w:t xml:space="preserve"> и може да бъде постигната единствено ако са налице благоприятстващи политики, които да гарантират </w:t>
      </w:r>
      <w:r>
        <w:rPr>
          <w:b/>
        </w:rPr>
        <w:t>конкурентоспособността на европейските промишлени отрасли</w:t>
      </w:r>
      <w:r>
        <w:t xml:space="preserve"> и </w:t>
      </w:r>
      <w:r>
        <w:rPr>
          <w:b/>
        </w:rPr>
        <w:t>справедлив преход</w:t>
      </w:r>
      <w:r>
        <w:t>, както и чрез използването по икономически ефективен начин на всички технологии с нулеви и ниски въглеродни емисии;</w:t>
      </w:r>
    </w:p>
    <w:p w:rsidRPr="00DC0FAE" w:rsidR="00A329C8" w:rsidP="00DC0FAE"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szCs w:val="20"/>
        </w:rPr>
      </w:pPr>
      <w:r>
        <w:rPr>
          <w:b/>
        </w:rPr>
        <w:t>набляга на значението на действителното намаляване на емисиите чрез постепенното премахване на изкопаемите горива</w:t>
      </w:r>
      <w:r>
        <w:t>. Въпреки че поглъщанията на въглероден диоксид играят все по-голяма роля за постигането на целите на ЕС в областта на климата, прекомерното разчитане на поглътители води до несигурност и рискове от запазване на зависимостта от изкопаеми горива или загуба на поглътители поради горски пожари, вредители и други опасности;</w:t>
      </w:r>
    </w:p>
    <w:p w:rsidRPr="00DC0FAE" w:rsidR="00A329C8" w:rsidP="00DC0FAE"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rPr>
          <w:szCs w:val="20"/>
        </w:rPr>
      </w:pPr>
      <w:r>
        <w:t xml:space="preserve">призовава Комисията да направи научна и икономическа оценка на </w:t>
      </w:r>
      <w:r>
        <w:rPr>
          <w:b/>
        </w:rPr>
        <w:t>баланса между намаленията и поглъщанията</w:t>
      </w:r>
      <w:r>
        <w:t>;</w:t>
      </w:r>
    </w:p>
    <w:p w:rsidRPr="00DC0FAE" w:rsidR="00A329C8" w:rsidP="00DC0FAE"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t>подчертава, че трябва да се постави акцент върху прилагането на законодателството по пакета „Подготвени за цел 55“ и да се предостави подкрепа на европейските предприятия и домакинства при адаптирането им към новата регулаторна среда;</w:t>
      </w:r>
    </w:p>
    <w:p w:rsidRPr="00DC0FAE" w:rsidR="00A329C8" w:rsidP="00DC0FAE" w:rsidRDefault="00A329C8" w14:paraId="5FDA81D5" w14:textId="26480DC0">
      <w:pPr>
        <w:pStyle w:val="ListParagraph"/>
        <w:numPr>
          <w:ilvl w:val="0"/>
          <w:numId w:val="20"/>
        </w:numPr>
        <w:overflowPunct w:val="0"/>
        <w:autoSpaceDE w:val="0"/>
        <w:autoSpaceDN w:val="0"/>
        <w:adjustRightInd w:val="0"/>
        <w:ind w:left="284" w:hanging="284"/>
        <w:textAlignment w:val="baseline"/>
        <w:outlineLvl w:val="1"/>
        <w:rPr>
          <w:szCs w:val="20"/>
        </w:rPr>
      </w:pPr>
      <w:r>
        <w:t xml:space="preserve">отбелязва, че целите в областта на климата изискват </w:t>
      </w:r>
      <w:r>
        <w:rPr>
          <w:b/>
        </w:rPr>
        <w:t>безпрецедентно равнище на инвестиции в декарбонизацията</w:t>
      </w:r>
      <w:r>
        <w:t>;</w:t>
      </w:r>
    </w:p>
    <w:p w:rsidRPr="00DC0FAE" w:rsidR="00A329C8" w:rsidP="00DC0FAE"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t>призовава Комисията да проследява и определя цели за растежа на износа на европейски продукти и услуги в областта на чистите технологии;</w:t>
      </w:r>
    </w:p>
    <w:p w:rsidRPr="00DC0FAE" w:rsidR="00A329C8" w:rsidP="00DC0FAE"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szCs w:val="20"/>
        </w:rPr>
      </w:pPr>
      <w:r>
        <w:t xml:space="preserve">призовава </w:t>
      </w:r>
      <w:r>
        <w:rPr>
          <w:b/>
        </w:rPr>
        <w:t>до 2040 г.</w:t>
      </w:r>
      <w:r>
        <w:t xml:space="preserve"> </w:t>
      </w:r>
      <w:r>
        <w:rPr>
          <w:b/>
        </w:rPr>
        <w:t>производството на електроенергия</w:t>
      </w:r>
      <w:r>
        <w:t xml:space="preserve"> в ЕС да стане </w:t>
      </w:r>
      <w:r>
        <w:rPr>
          <w:b/>
        </w:rPr>
        <w:t>безвъглеродно</w:t>
      </w:r>
      <w:r>
        <w:t>, следвано плътно от секторите на отоплението и охлаждането. Наличието на чиста и достъпна енергия и подготвена за бъдещето енергийна инфраструктура е в основата на декарбонизацията на други сектори като промишлеността, сградите и транспорта;</w:t>
      </w:r>
    </w:p>
    <w:p w:rsidRPr="00DC0FAE" w:rsidR="00A329C8" w:rsidP="00DC0FAE"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rPr>
          <w:szCs w:val="20"/>
        </w:rPr>
      </w:pPr>
      <w:r>
        <w:t xml:space="preserve">предлага да се определи индикативна </w:t>
      </w:r>
      <w:r>
        <w:rPr>
          <w:b/>
        </w:rPr>
        <w:t>цел за намаляване на емисиите</w:t>
      </w:r>
      <w:r>
        <w:t xml:space="preserve"> </w:t>
      </w:r>
      <w:r>
        <w:rPr>
          <w:b/>
        </w:rPr>
        <w:t>за хранително-вкусовия сектор</w:t>
      </w:r>
      <w:r>
        <w:t xml:space="preserve"> чрез тесен, научно обоснован диалог със земеделските стопани и други заинтересовани страни, която да гарантира европейската продоволствена сигурност и да отчита различните природни условия в ЕС;</w:t>
      </w:r>
    </w:p>
    <w:p w:rsidRPr="00DC0FAE" w:rsidR="00A329C8" w:rsidP="00DC0FAE"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szCs w:val="20"/>
        </w:rPr>
      </w:pPr>
      <w:r>
        <w:lastRenderedPageBreak/>
        <w:t>подчертава значението на широкия диалог със заинтересованите страни, включително социалните партньори и гражданското общество, и участието на гражданите в определянето на целта за 2040 г. и разработването на съпътстващите политики;</w:t>
      </w:r>
    </w:p>
    <w:p w:rsidRPr="00DC0FAE" w:rsidR="00A329C8" w:rsidP="00DC0FAE"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rPr>
          <w:szCs w:val="20"/>
        </w:rPr>
      </w:pPr>
      <w:r>
        <w:t xml:space="preserve">подчертава възможността за по-голямо намаляване на емисиите и намаляване на търсенето на материали и енергия чрез </w:t>
      </w:r>
      <w:r>
        <w:rPr>
          <w:b/>
        </w:rPr>
        <w:t>предоставяне на повече права на потребителите за избор на устойчив начин на живот</w:t>
      </w:r>
      <w:r>
        <w:t>;</w:t>
      </w:r>
    </w:p>
    <w:p w:rsidRPr="00DC0FAE" w:rsidR="00A329C8" w:rsidP="00DC0FAE" w:rsidRDefault="00A329C8" w14:paraId="33E21B11" w14:textId="77777777">
      <w:pPr>
        <w:pStyle w:val="ListParagraph"/>
        <w:numPr>
          <w:ilvl w:val="0"/>
          <w:numId w:val="21"/>
        </w:numPr>
        <w:overflowPunct w:val="0"/>
        <w:autoSpaceDE w:val="0"/>
        <w:autoSpaceDN w:val="0"/>
        <w:adjustRightInd w:val="0"/>
        <w:spacing w:line="240" w:lineRule="auto"/>
        <w:ind w:left="284" w:hanging="284"/>
        <w:textAlignment w:val="baseline"/>
        <w:outlineLvl w:val="1"/>
        <w:rPr>
          <w:szCs w:val="20"/>
        </w:rPr>
      </w:pPr>
      <w:r>
        <w:t xml:space="preserve">призовава Комисията да </w:t>
      </w:r>
      <w:r>
        <w:rPr>
          <w:b/>
        </w:rPr>
        <w:t>разшири проверката на конкурентоспособността</w:t>
      </w:r>
      <w:r>
        <w:t xml:space="preserve"> по отношение на други големи икономики, включително техните политики в областта на климата, енергетиката и промишлеността и икономическите им показатели, за да представи предложения относно начините за укрепване на глобалната конкурентоспособност и промишлената база на Европа и за запазване на нашия модел на отворена пазарна икономика с високи екологични и социални стандарти.</w:t>
      </w:r>
    </w:p>
    <w:p w:rsidRPr="00A329C8" w:rsidR="0073462A" w:rsidP="00A329C8" w:rsidRDefault="0073462A" w14:paraId="0EED3D8E" w14:textId="77777777">
      <w:pPr>
        <w:overflowPunct w:val="0"/>
        <w:autoSpaceDE w:val="0"/>
        <w:autoSpaceDN w:val="0"/>
        <w:adjustRightInd w:val="0"/>
        <w:spacing w:line="240" w:lineRule="auto"/>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211"/>
      </w:tblGrid>
      <w:tr w:rsidRPr="00A329C8" w:rsidR="00A329C8" w:rsidTr="0012073D" w14:paraId="2C0A0929" w14:textId="77777777">
        <w:tc>
          <w:tcPr>
            <w:tcW w:w="2093" w:type="dxa"/>
          </w:tcPr>
          <w:p w:rsidRPr="00A329C8" w:rsidR="00A329C8" w:rsidP="00DC0FAE" w:rsidRDefault="00A329C8" w14:paraId="0961FF11" w14:textId="77777777">
            <w:pPr>
              <w:overflowPunct w:val="0"/>
              <w:autoSpaceDE w:val="0"/>
              <w:autoSpaceDN w:val="0"/>
              <w:adjustRightInd w:val="0"/>
              <w:spacing w:line="240" w:lineRule="auto"/>
              <w:ind w:left="709" w:hanging="819"/>
              <w:textAlignment w:val="baseline"/>
              <w:rPr>
                <w:i/>
              </w:rPr>
            </w:pPr>
            <w:r>
              <w:rPr>
                <w:b/>
                <w:i/>
              </w:rPr>
              <w:t>За контакти</w:t>
            </w:r>
          </w:p>
        </w:tc>
        <w:tc>
          <w:tcPr>
            <w:tcW w:w="5211" w:type="dxa"/>
          </w:tcPr>
          <w:p w:rsidRPr="00DC0FAE" w:rsidR="00A329C8" w:rsidP="00DC0FAE" w:rsidRDefault="00A329C8" w14:paraId="0F82E7FA" w14:textId="268094B7">
            <w:pPr>
              <w:overflowPunct w:val="0"/>
              <w:autoSpaceDE w:val="0"/>
              <w:autoSpaceDN w:val="0"/>
              <w:adjustRightInd w:val="0"/>
              <w:spacing w:line="240" w:lineRule="auto"/>
              <w:ind w:left="709" w:hanging="819"/>
              <w:textAlignment w:val="baseline"/>
              <w:rPr>
                <w:i/>
                <w:iCs/>
              </w:rPr>
            </w:pPr>
            <w:r>
              <w:rPr>
                <w:i/>
              </w:rPr>
              <w:t>Judit Carreras Garcia</w:t>
            </w:r>
          </w:p>
        </w:tc>
      </w:tr>
      <w:tr w:rsidRPr="00A329C8" w:rsidR="00A329C8" w:rsidTr="0012073D" w14:paraId="1A5C453D" w14:textId="77777777">
        <w:tc>
          <w:tcPr>
            <w:tcW w:w="2093" w:type="dxa"/>
          </w:tcPr>
          <w:p w:rsidRPr="00A329C8" w:rsidR="00A329C8" w:rsidP="00DC0FAE" w:rsidRDefault="00A329C8" w14:paraId="180E2B3C" w14:textId="77777777">
            <w:pPr>
              <w:overflowPunct w:val="0"/>
              <w:autoSpaceDE w:val="0"/>
              <w:autoSpaceDN w:val="0"/>
              <w:adjustRightInd w:val="0"/>
              <w:spacing w:line="240" w:lineRule="auto"/>
              <w:ind w:left="709" w:hanging="819"/>
              <w:textAlignment w:val="baseline"/>
              <w:rPr>
                <w:i/>
              </w:rPr>
            </w:pPr>
            <w:r>
              <w:rPr>
                <w:i/>
              </w:rPr>
              <w:t>Тел</w:t>
            </w:r>
            <w:r>
              <w:rPr>
                <w:i/>
                <w:iCs/>
              </w:rPr>
              <w:t>.</w:t>
            </w:r>
          </w:p>
        </w:tc>
        <w:tc>
          <w:tcPr>
            <w:tcW w:w="5211" w:type="dxa"/>
          </w:tcPr>
          <w:p w:rsidRPr="00A329C8" w:rsidR="00A329C8" w:rsidP="00DC0FAE" w:rsidRDefault="00A329C8" w14:paraId="729D5F41" w14:textId="77777777">
            <w:pPr>
              <w:overflowPunct w:val="0"/>
              <w:autoSpaceDE w:val="0"/>
              <w:autoSpaceDN w:val="0"/>
              <w:adjustRightInd w:val="0"/>
              <w:spacing w:line="240" w:lineRule="auto"/>
              <w:ind w:left="709" w:hanging="819"/>
              <w:textAlignment w:val="baseline"/>
              <w:rPr>
                <w:i/>
                <w:iCs/>
              </w:rPr>
            </w:pPr>
            <w:r>
              <w:rPr>
                <w:i/>
              </w:rPr>
              <w:t>+32 25468421</w:t>
            </w:r>
          </w:p>
        </w:tc>
      </w:tr>
      <w:tr w:rsidRPr="00A329C8" w:rsidR="00A329C8" w:rsidTr="0012073D" w14:paraId="4404176D" w14:textId="77777777">
        <w:tc>
          <w:tcPr>
            <w:tcW w:w="2093" w:type="dxa"/>
          </w:tcPr>
          <w:p w:rsidRPr="00A329C8" w:rsidR="00A329C8" w:rsidP="00DC0FAE" w:rsidRDefault="007607A9" w14:paraId="60D8FC1E" w14:textId="35444914">
            <w:pPr>
              <w:overflowPunct w:val="0"/>
              <w:autoSpaceDE w:val="0"/>
              <w:autoSpaceDN w:val="0"/>
              <w:adjustRightInd w:val="0"/>
              <w:spacing w:line="240" w:lineRule="auto"/>
              <w:ind w:left="709" w:hanging="819"/>
              <w:textAlignment w:val="baseline"/>
              <w:rPr>
                <w:i/>
              </w:rPr>
            </w:pPr>
            <w:r>
              <w:rPr>
                <w:i/>
              </w:rPr>
              <w:t>Електронен адрес</w:t>
            </w:r>
          </w:p>
        </w:tc>
        <w:tc>
          <w:tcPr>
            <w:tcW w:w="5211" w:type="dxa"/>
          </w:tcPr>
          <w:p w:rsidRPr="00A329C8" w:rsidR="00A329C8" w:rsidP="00DC0FAE" w:rsidRDefault="00606C04" w14:paraId="7F4CE542" w14:textId="77777777">
            <w:pPr>
              <w:overflowPunct w:val="0"/>
              <w:autoSpaceDE w:val="0"/>
              <w:autoSpaceDN w:val="0"/>
              <w:adjustRightInd w:val="0"/>
              <w:spacing w:line="240" w:lineRule="auto"/>
              <w:ind w:left="709" w:hanging="819"/>
              <w:textAlignment w:val="baseline"/>
              <w:rPr>
                <w:i/>
                <w:iCs/>
                <w:color w:val="0000FF"/>
                <w:u w:val="single"/>
              </w:rPr>
            </w:pPr>
            <w:hyperlink w:history="1" r:id="rId31">
              <w:r w:rsidR="00D63208">
                <w:rPr>
                  <w:i/>
                  <w:color w:val="0000FF"/>
                  <w:u w:val="single"/>
                </w:rPr>
                <w:t>Judit.CarrerasGarcia@eesc.europa.eu</w:t>
              </w:r>
            </w:hyperlink>
          </w:p>
        </w:tc>
      </w:tr>
    </w:tbl>
    <w:p w:rsidR="00A329C8" w:rsidRDefault="00A329C8" w14:paraId="78CB8038" w14:textId="77777777">
      <w:pPr>
        <w:spacing w:after="160" w:line="259" w:lineRule="auto"/>
        <w:jc w:val="left"/>
        <w:rPr>
          <w:b/>
          <w:bCs/>
        </w:rPr>
      </w:pPr>
      <w:r>
        <w:br w:type="page"/>
      </w:r>
    </w:p>
    <w:p w:rsidRPr="00A14846" w:rsidR="00A329C8" w:rsidP="00C26C81" w:rsidRDefault="00606C04" w14:paraId="29FCBD43" w14:textId="33791494">
      <w:pPr>
        <w:widowControl w:val="0"/>
        <w:numPr>
          <w:ilvl w:val="0"/>
          <w:numId w:val="6"/>
        </w:numPr>
        <w:overflowPunct w:val="0"/>
        <w:autoSpaceDE w:val="0"/>
        <w:autoSpaceDN w:val="0"/>
        <w:adjustRightInd w:val="0"/>
        <w:textAlignment w:val="baseline"/>
        <w:rPr>
          <w:b/>
          <w:i/>
          <w:sz w:val="28"/>
          <w:szCs w:val="20"/>
        </w:rPr>
      </w:pPr>
      <w:hyperlink w:history="1" r:id="rId32">
        <w:r w:rsidR="00171CE5">
          <w:rPr>
            <w:b/>
            <w:i/>
            <w:color w:val="0000FF"/>
            <w:sz w:val="28"/>
            <w:u w:val="single"/>
          </w:rPr>
          <w:t>Преразглеждане на законодателството в областта на хуманното отношение към животните</w:t>
        </w:r>
      </w:hyperlink>
    </w:p>
    <w:p w:rsidRPr="00A14846" w:rsidR="00A329C8" w:rsidP="00A329C8"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6413"/>
      </w:tblGrid>
      <w:tr w:rsidRPr="00A14846" w:rsidR="00A329C8" w:rsidTr="0012073D" w14:paraId="5D60937D" w14:textId="77777777">
        <w:tc>
          <w:tcPr>
            <w:tcW w:w="2518" w:type="dxa"/>
          </w:tcPr>
          <w:p w:rsidRPr="00A14846" w:rsidR="00A329C8" w:rsidP="00FE3058" w:rsidRDefault="00A329C8" w14:paraId="661CBE96" w14:textId="77777777">
            <w:pPr>
              <w:tabs>
                <w:tab w:val="center" w:pos="284"/>
              </w:tabs>
              <w:overflowPunct w:val="0"/>
              <w:autoSpaceDE w:val="0"/>
              <w:autoSpaceDN w:val="0"/>
              <w:adjustRightInd w:val="0"/>
              <w:ind w:left="266" w:hanging="266"/>
              <w:textAlignment w:val="baseline"/>
              <w:rPr>
                <w:b/>
              </w:rPr>
            </w:pPr>
            <w:r>
              <w:rPr>
                <w:b/>
              </w:rPr>
              <w:t xml:space="preserve">Докладчик </w:t>
            </w:r>
          </w:p>
        </w:tc>
        <w:tc>
          <w:tcPr>
            <w:tcW w:w="6413" w:type="dxa"/>
          </w:tcPr>
          <w:p w:rsidRPr="00A14846" w:rsidR="00A329C8" w:rsidP="0012073D" w:rsidRDefault="00A329C8" w14:paraId="77C861E5" w14:textId="47173DAB">
            <w:pPr>
              <w:overflowPunct w:val="0"/>
              <w:autoSpaceDE w:val="0"/>
              <w:autoSpaceDN w:val="0"/>
              <w:adjustRightInd w:val="0"/>
              <w:ind w:left="32"/>
              <w:textAlignment w:val="baseline"/>
            </w:pPr>
            <w:r>
              <w:t>Jaume BERNIS CASTELLS (група „Организации на гражданското общество“ — ES)</w:t>
            </w:r>
          </w:p>
        </w:tc>
      </w:tr>
      <w:tr w:rsidRPr="00A14846" w:rsidR="00A329C8" w:rsidTr="00FE3058" w14:paraId="70D6EB9C" w14:textId="77777777">
        <w:tc>
          <w:tcPr>
            <w:tcW w:w="8931" w:type="dxa"/>
            <w:gridSpan w:val="2"/>
          </w:tcPr>
          <w:p w:rsidRPr="00A14846" w:rsidR="00A329C8" w:rsidP="00FE3058" w:rsidRDefault="00A329C8" w14:paraId="5D0701A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A14846" w:rsidR="00A329C8" w:rsidTr="0012073D" w14:paraId="67C57163" w14:textId="77777777">
        <w:tc>
          <w:tcPr>
            <w:tcW w:w="2518" w:type="dxa"/>
          </w:tcPr>
          <w:p w:rsidRPr="00A14846" w:rsidR="00A329C8" w:rsidP="00FE3058" w:rsidRDefault="00A329C8" w14:paraId="0019A341"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6413" w:type="dxa"/>
          </w:tcPr>
          <w:p w:rsidR="00D704BD" w:rsidP="00FE3058" w:rsidRDefault="00D704BD" w14:paraId="466B0FCB" w14:textId="138FF299">
            <w:pPr>
              <w:tabs>
                <w:tab w:val="center" w:pos="284"/>
              </w:tabs>
              <w:overflowPunct w:val="0"/>
              <w:autoSpaceDE w:val="0"/>
              <w:autoSpaceDN w:val="0"/>
              <w:adjustRightInd w:val="0"/>
              <w:ind w:left="266" w:hanging="266"/>
              <w:textAlignment w:val="baseline"/>
            </w:pPr>
            <w:r>
              <w:t>COM(2023) 770 final</w:t>
            </w:r>
          </w:p>
          <w:p w:rsidRPr="00A14846" w:rsidR="00A329C8" w:rsidP="00FE3058" w:rsidRDefault="00A329C8" w14:paraId="7298B786" w14:textId="063BFD24">
            <w:pPr>
              <w:tabs>
                <w:tab w:val="center" w:pos="284"/>
              </w:tabs>
              <w:overflowPunct w:val="0"/>
              <w:autoSpaceDE w:val="0"/>
              <w:autoSpaceDN w:val="0"/>
              <w:adjustRightInd w:val="0"/>
              <w:ind w:left="266" w:hanging="266"/>
              <w:textAlignment w:val="baseline"/>
            </w:pPr>
            <w:r>
              <w:t>EESC-2023-05464-00-00-AC</w:t>
            </w:r>
          </w:p>
        </w:tc>
      </w:tr>
    </w:tbl>
    <w:p w:rsidRPr="00A14846" w:rsidR="00A329C8" w:rsidP="00A329C8" w:rsidRDefault="00A329C8" w14:paraId="1C9BC533" w14:textId="77777777">
      <w:pPr>
        <w:keepNext/>
        <w:keepLines/>
        <w:tabs>
          <w:tab w:val="center" w:pos="284"/>
        </w:tabs>
        <w:overflowPunct w:val="0"/>
        <w:autoSpaceDE w:val="0"/>
        <w:autoSpaceDN w:val="0"/>
        <w:adjustRightInd w:val="0"/>
        <w:ind w:left="266" w:hanging="266"/>
        <w:textAlignment w:val="baseline"/>
        <w:rPr>
          <w:b/>
          <w:szCs w:val="20"/>
        </w:rPr>
      </w:pPr>
    </w:p>
    <w:p w:rsidRPr="00A14846" w:rsidR="00A329C8" w:rsidP="00A329C8" w:rsidRDefault="00A329C8" w14:paraId="1EE8EE07"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A14846" w:rsidR="00A329C8" w:rsidP="00A329C8" w:rsidRDefault="00A329C8" w14:paraId="6900345E" w14:textId="77777777">
      <w:pPr>
        <w:keepNext/>
        <w:keepLines/>
        <w:tabs>
          <w:tab w:val="center" w:pos="284"/>
        </w:tabs>
        <w:overflowPunct w:val="0"/>
        <w:autoSpaceDE w:val="0"/>
        <w:autoSpaceDN w:val="0"/>
        <w:adjustRightInd w:val="0"/>
        <w:ind w:left="266" w:hanging="266"/>
        <w:textAlignment w:val="baseline"/>
      </w:pPr>
    </w:p>
    <w:p w:rsidR="00A329C8" w:rsidP="00A329C8"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r>
        <w:t>ЕИСК:</w:t>
      </w:r>
    </w:p>
    <w:p w:rsidRPr="00A14846" w:rsidR="00D704BD" w:rsidP="00A329C8" w:rsidRDefault="00D704BD" w14:paraId="72E89559" w14:textId="77777777">
      <w:pPr>
        <w:keepNext/>
        <w:keepLines/>
        <w:tabs>
          <w:tab w:val="center" w:pos="284"/>
        </w:tabs>
        <w:overflowPunct w:val="0"/>
        <w:autoSpaceDE w:val="0"/>
        <w:autoSpaceDN w:val="0"/>
        <w:adjustRightInd w:val="0"/>
        <w:ind w:left="266" w:hanging="266"/>
        <w:textAlignment w:val="baseline"/>
      </w:pPr>
    </w:p>
    <w:p w:rsidRPr="00A14846" w:rsidR="00A329C8" w:rsidP="00DC0FAE" w:rsidRDefault="00A329C8" w14:paraId="5B8E8E34" w14:textId="77777777">
      <w:pPr>
        <w:numPr>
          <w:ilvl w:val="0"/>
          <w:numId w:val="22"/>
        </w:numPr>
        <w:overflowPunct w:val="0"/>
        <w:autoSpaceDE w:val="0"/>
        <w:autoSpaceDN w:val="0"/>
        <w:adjustRightInd w:val="0"/>
        <w:textAlignment w:val="baseline"/>
        <w:outlineLvl w:val="1"/>
        <w:rPr>
          <w:szCs w:val="20"/>
        </w:rPr>
      </w:pPr>
      <w:r>
        <w:t>предлага за въвеждането и хармонизирането на разпоредбите Комисията да вземе предвид практическите познания на животновъдите, превозвачите и ветеринарните лекари;</w:t>
      </w:r>
    </w:p>
    <w:p w:rsidRPr="00A14846" w:rsidR="00A329C8" w:rsidP="00DC0FAE" w:rsidRDefault="00A329C8" w14:paraId="06F24D3E" w14:textId="77777777">
      <w:pPr>
        <w:numPr>
          <w:ilvl w:val="0"/>
          <w:numId w:val="22"/>
        </w:numPr>
        <w:overflowPunct w:val="0"/>
        <w:autoSpaceDE w:val="0"/>
        <w:autoSpaceDN w:val="0"/>
        <w:adjustRightInd w:val="0"/>
        <w:textAlignment w:val="baseline"/>
        <w:outlineLvl w:val="1"/>
        <w:rPr>
          <w:szCs w:val="20"/>
        </w:rPr>
      </w:pPr>
      <w:r>
        <w:t xml:space="preserve">счита, че </w:t>
      </w:r>
      <w:r>
        <w:rPr>
          <w:b/>
        </w:rPr>
        <w:t>законодателство, което не може да се адаптира</w:t>
      </w:r>
      <w:r>
        <w:t xml:space="preserve"> към различните реалности на 27-те държави членки, </w:t>
      </w:r>
      <w:r>
        <w:rPr>
          <w:b/>
        </w:rPr>
        <w:t>ще открие възможности за асиметрични ситуации</w:t>
      </w:r>
      <w:r>
        <w:t>;</w:t>
      </w:r>
    </w:p>
    <w:p w:rsidRPr="00A14846" w:rsidR="00A329C8" w:rsidP="00DC0FAE" w:rsidRDefault="00A329C8" w14:paraId="1889E9AA" w14:textId="77777777">
      <w:pPr>
        <w:numPr>
          <w:ilvl w:val="0"/>
          <w:numId w:val="22"/>
        </w:numPr>
        <w:overflowPunct w:val="0"/>
        <w:autoSpaceDE w:val="0"/>
        <w:autoSpaceDN w:val="0"/>
        <w:adjustRightInd w:val="0"/>
        <w:textAlignment w:val="baseline"/>
        <w:outlineLvl w:val="1"/>
        <w:rPr>
          <w:szCs w:val="20"/>
        </w:rPr>
      </w:pPr>
      <w:r>
        <w:t xml:space="preserve">призовава Комисията да </w:t>
      </w:r>
      <w:r>
        <w:rPr>
          <w:b/>
        </w:rPr>
        <w:t>гарантира</w:t>
      </w:r>
      <w:r>
        <w:t xml:space="preserve">, че </w:t>
      </w:r>
      <w:r>
        <w:rPr>
          <w:b/>
        </w:rPr>
        <w:t>разходите, свързани с прилагането</w:t>
      </w:r>
      <w:r>
        <w:t xml:space="preserve"> на този регламент, </w:t>
      </w:r>
      <w:r>
        <w:rPr>
          <w:b/>
        </w:rPr>
        <w:t>няма да се поемат от участниците</w:t>
      </w:r>
      <w:r>
        <w:t xml:space="preserve"> в сектора;</w:t>
      </w:r>
    </w:p>
    <w:p w:rsidRPr="00A14846" w:rsidR="00A329C8" w:rsidP="00DC0FAE" w:rsidRDefault="00A329C8" w14:paraId="7DD5E3B0" w14:textId="77777777">
      <w:pPr>
        <w:numPr>
          <w:ilvl w:val="0"/>
          <w:numId w:val="22"/>
        </w:numPr>
        <w:overflowPunct w:val="0"/>
        <w:autoSpaceDE w:val="0"/>
        <w:autoSpaceDN w:val="0"/>
        <w:adjustRightInd w:val="0"/>
        <w:textAlignment w:val="baseline"/>
        <w:outlineLvl w:val="1"/>
        <w:rPr>
          <w:szCs w:val="20"/>
        </w:rPr>
      </w:pPr>
      <w:r>
        <w:t>изтъква, че</w:t>
      </w:r>
      <w:r>
        <w:rPr>
          <w:b/>
        </w:rPr>
        <w:t xml:space="preserve"> разпоредбите</w:t>
      </w:r>
      <w:r>
        <w:t xml:space="preserve"> на предложението за регламент </w:t>
      </w:r>
      <w:r>
        <w:rPr>
          <w:b/>
        </w:rPr>
        <w:t>задължават операторите да работят на нощни смени</w:t>
      </w:r>
      <w:r>
        <w:t xml:space="preserve"> (по-специално животновъдите, водачите и ветеринарните лекари);</w:t>
      </w:r>
    </w:p>
    <w:p w:rsidRPr="00A14846" w:rsidR="00A329C8" w:rsidP="00DC0FAE" w:rsidRDefault="00A329C8" w14:paraId="118CDB57" w14:textId="77777777">
      <w:pPr>
        <w:numPr>
          <w:ilvl w:val="0"/>
          <w:numId w:val="22"/>
        </w:numPr>
        <w:overflowPunct w:val="0"/>
        <w:autoSpaceDE w:val="0"/>
        <w:autoSpaceDN w:val="0"/>
        <w:adjustRightInd w:val="0"/>
        <w:textAlignment w:val="baseline"/>
        <w:outlineLvl w:val="1"/>
        <w:rPr>
          <w:szCs w:val="20"/>
        </w:rPr>
      </w:pPr>
      <w:r>
        <w:t xml:space="preserve">призовава Комисията да </w:t>
      </w:r>
      <w:r>
        <w:rPr>
          <w:b/>
        </w:rPr>
        <w:t>разгледа въздействието, което настоящото предложение би оказало върху веригите на доставки</w:t>
      </w:r>
      <w:r>
        <w:t>, изградени и разпределени през годините въз основа на действащите времеви ограничения;</w:t>
      </w:r>
    </w:p>
    <w:p w:rsidRPr="00A14846" w:rsidR="00A329C8" w:rsidP="00DC0FAE" w:rsidRDefault="00A329C8" w14:paraId="63C74A95" w14:textId="77777777">
      <w:pPr>
        <w:numPr>
          <w:ilvl w:val="0"/>
          <w:numId w:val="22"/>
        </w:numPr>
        <w:overflowPunct w:val="0"/>
        <w:autoSpaceDE w:val="0"/>
        <w:autoSpaceDN w:val="0"/>
        <w:adjustRightInd w:val="0"/>
        <w:textAlignment w:val="baseline"/>
        <w:outlineLvl w:val="1"/>
        <w:rPr>
          <w:szCs w:val="20"/>
        </w:rPr>
      </w:pPr>
      <w:r>
        <w:t>предупреждава за последиците от ограничаването на продължителността на транспортирането на животни за клане до девет часа;</w:t>
      </w:r>
    </w:p>
    <w:p w:rsidRPr="00A14846" w:rsidR="00A329C8" w:rsidP="00DC0FAE" w:rsidRDefault="00A329C8" w14:paraId="6F8515E2" w14:textId="77777777">
      <w:pPr>
        <w:numPr>
          <w:ilvl w:val="0"/>
          <w:numId w:val="22"/>
        </w:numPr>
        <w:overflowPunct w:val="0"/>
        <w:autoSpaceDE w:val="0"/>
        <w:autoSpaceDN w:val="0"/>
        <w:adjustRightInd w:val="0"/>
        <w:textAlignment w:val="baseline"/>
        <w:outlineLvl w:val="1"/>
        <w:rPr>
          <w:szCs w:val="20"/>
        </w:rPr>
      </w:pPr>
      <w:r>
        <w:t xml:space="preserve">счита, че </w:t>
      </w:r>
      <w:r>
        <w:rPr>
          <w:b/>
        </w:rPr>
        <w:t>предложените</w:t>
      </w:r>
      <w:r>
        <w:t xml:space="preserve"> нови </w:t>
      </w:r>
      <w:r>
        <w:rPr>
          <w:b/>
        </w:rPr>
        <w:t>технически стандарти</w:t>
      </w:r>
      <w:r>
        <w:t xml:space="preserve"> относно годността за транспортиране на сухоземни животни </w:t>
      </w:r>
      <w:r>
        <w:rPr>
          <w:b/>
        </w:rPr>
        <w:t>биха могли да доведат до затварянето на много животновъдни стопанства</w:t>
      </w:r>
      <w:r>
        <w:t>;</w:t>
      </w:r>
    </w:p>
    <w:p w:rsidRPr="00A14846" w:rsidR="00A329C8" w:rsidP="00DC0FAE" w:rsidRDefault="00A329C8" w14:paraId="5FA5848C" w14:textId="77777777">
      <w:pPr>
        <w:numPr>
          <w:ilvl w:val="0"/>
          <w:numId w:val="22"/>
        </w:numPr>
        <w:overflowPunct w:val="0"/>
        <w:autoSpaceDE w:val="0"/>
        <w:autoSpaceDN w:val="0"/>
        <w:adjustRightInd w:val="0"/>
        <w:textAlignment w:val="baseline"/>
        <w:outlineLvl w:val="1"/>
        <w:rPr>
          <w:szCs w:val="20"/>
        </w:rPr>
      </w:pPr>
      <w:r>
        <w:t xml:space="preserve">счита, че </w:t>
      </w:r>
      <w:r>
        <w:rPr>
          <w:b/>
        </w:rPr>
        <w:t>забраната за транспортиране на млади животни</w:t>
      </w:r>
      <w:r>
        <w:t xml:space="preserve"> като телета, агнета, козлета, прасенца и кончета, които не са отбити, </w:t>
      </w:r>
      <w:r>
        <w:rPr>
          <w:b/>
        </w:rPr>
        <w:t>на дълги разстояния с автомобилен транспорт оказва значително въздействие върху вноса на породи животни</w:t>
      </w:r>
      <w:r>
        <w:t xml:space="preserve"> от други държави — членки на Европейския съюз;</w:t>
      </w:r>
    </w:p>
    <w:p w:rsidRPr="00A14846" w:rsidR="00A329C8" w:rsidP="00DC0FAE" w:rsidRDefault="00A329C8" w14:paraId="6BDADC07" w14:textId="77777777">
      <w:pPr>
        <w:numPr>
          <w:ilvl w:val="0"/>
          <w:numId w:val="22"/>
        </w:numPr>
        <w:overflowPunct w:val="0"/>
        <w:autoSpaceDE w:val="0"/>
        <w:autoSpaceDN w:val="0"/>
        <w:adjustRightInd w:val="0"/>
        <w:textAlignment w:val="baseline"/>
        <w:outlineLvl w:val="1"/>
        <w:rPr>
          <w:szCs w:val="20"/>
        </w:rPr>
      </w:pPr>
      <w:r>
        <w:t xml:space="preserve">призовава Комисията да </w:t>
      </w:r>
      <w:r>
        <w:rPr>
          <w:b/>
        </w:rPr>
        <w:t>вземе предвид климатичните особености</w:t>
      </w:r>
      <w:r>
        <w:t xml:space="preserve"> на всяка държава членка във връзка с разпоредбите на член 31 от предложението;</w:t>
      </w:r>
    </w:p>
    <w:p w:rsidRPr="00A14846" w:rsidR="00A329C8" w:rsidP="00DC0FAE" w:rsidRDefault="00A329C8" w14:paraId="4637EB55" w14:textId="77777777">
      <w:pPr>
        <w:numPr>
          <w:ilvl w:val="0"/>
          <w:numId w:val="22"/>
        </w:numPr>
        <w:overflowPunct w:val="0"/>
        <w:autoSpaceDE w:val="0"/>
        <w:autoSpaceDN w:val="0"/>
        <w:adjustRightInd w:val="0"/>
        <w:textAlignment w:val="baseline"/>
        <w:outlineLvl w:val="1"/>
        <w:rPr>
          <w:szCs w:val="20"/>
        </w:rPr>
      </w:pPr>
      <w:r>
        <w:t xml:space="preserve">счита, че е от съществено значение да се </w:t>
      </w:r>
      <w:r>
        <w:rPr>
          <w:b/>
        </w:rPr>
        <w:t>насърчават късите канали за търговска реализация</w:t>
      </w:r>
      <w:r>
        <w:t xml:space="preserve"> като ефективно решение за намаляване на необходимостта от пътувания с дълга продължителност чрез съкращаване на разстоянието между местата, където животните се отглеждат, угояват, колят и консумират;</w:t>
      </w:r>
    </w:p>
    <w:p w:rsidRPr="00A14846" w:rsidR="00A329C8" w:rsidP="00DC0FAE" w:rsidRDefault="00A329C8" w14:paraId="6A4C0035" w14:textId="77777777">
      <w:pPr>
        <w:numPr>
          <w:ilvl w:val="0"/>
          <w:numId w:val="22"/>
        </w:numPr>
        <w:overflowPunct w:val="0"/>
        <w:autoSpaceDE w:val="0"/>
        <w:autoSpaceDN w:val="0"/>
        <w:adjustRightInd w:val="0"/>
        <w:textAlignment w:val="baseline"/>
        <w:outlineLvl w:val="1"/>
      </w:pPr>
      <w:r>
        <w:t xml:space="preserve">подкрепя инициативи за насърчаване на санитарни, икономически и правни лостове за </w:t>
      </w:r>
      <w:r>
        <w:rPr>
          <w:b/>
        </w:rPr>
        <w:t>опазване на местните кланици и насърчаване на клането в стопанствата</w:t>
      </w:r>
      <w:r>
        <w:t>, когато това е целесъобразно с оглед на мащаба на стопанството и в местния контекст.</w:t>
      </w:r>
    </w:p>
    <w:p w:rsidRPr="00A14846" w:rsidR="00A329C8" w:rsidP="00A329C8" w:rsidRDefault="00A329C8" w14:paraId="00B0D36A" w14:textId="77777777">
      <w:pPr>
        <w:widowControl w:val="0"/>
        <w:overflowPunct w:val="0"/>
        <w:autoSpaceDE w:val="0"/>
        <w:autoSpaceDN w:val="0"/>
        <w:adjustRightInd w:val="0"/>
        <w:textAlignment w:val="baseline"/>
        <w:rPr>
          <w:sz w:val="16"/>
          <w:szCs w:val="16"/>
        </w:rPr>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14846" w:rsidR="00A329C8" w:rsidTr="00FE3058" w14:paraId="6B2AC513" w14:textId="77777777">
        <w:tc>
          <w:tcPr>
            <w:tcW w:w="2127" w:type="dxa"/>
          </w:tcPr>
          <w:p w:rsidRPr="00A14846" w:rsidR="00A329C8" w:rsidP="0012073D" w:rsidRDefault="00A329C8" w14:paraId="1AAB3B0A" w14:textId="77777777">
            <w:pPr>
              <w:keepNext/>
              <w:overflowPunct w:val="0"/>
              <w:autoSpaceDE w:val="0"/>
              <w:autoSpaceDN w:val="0"/>
              <w:adjustRightInd w:val="0"/>
              <w:spacing w:line="240" w:lineRule="auto"/>
              <w:textAlignment w:val="baseline"/>
              <w:rPr>
                <w:i/>
              </w:rPr>
            </w:pPr>
            <w:r>
              <w:rPr>
                <w:b/>
                <w:i/>
              </w:rPr>
              <w:lastRenderedPageBreak/>
              <w:t xml:space="preserve">За контакти </w:t>
            </w:r>
          </w:p>
        </w:tc>
        <w:tc>
          <w:tcPr>
            <w:tcW w:w="4252" w:type="dxa"/>
          </w:tcPr>
          <w:p w:rsidRPr="00A14846" w:rsidR="00A329C8" w:rsidP="0012073D" w:rsidRDefault="00A329C8" w14:paraId="3604A495" w14:textId="158CA49A">
            <w:pPr>
              <w:keepNext/>
              <w:overflowPunct w:val="0"/>
              <w:autoSpaceDE w:val="0"/>
              <w:autoSpaceDN w:val="0"/>
              <w:adjustRightInd w:val="0"/>
              <w:spacing w:line="240" w:lineRule="auto"/>
              <w:textAlignment w:val="baseline"/>
              <w:rPr>
                <w:i/>
              </w:rPr>
            </w:pPr>
            <w:r>
              <w:rPr>
                <w:i/>
              </w:rPr>
              <w:t>Arturo Íñiguez</w:t>
            </w:r>
          </w:p>
        </w:tc>
      </w:tr>
      <w:tr w:rsidRPr="00A14846" w:rsidR="00A329C8" w:rsidTr="00FE3058" w14:paraId="54FCBA8B" w14:textId="77777777">
        <w:tc>
          <w:tcPr>
            <w:tcW w:w="2127" w:type="dxa"/>
          </w:tcPr>
          <w:p w:rsidRPr="00A14846" w:rsidR="00A329C8" w:rsidP="0012073D" w:rsidRDefault="00A329C8" w14:paraId="62D7636F" w14:textId="77777777">
            <w:pPr>
              <w:keepNext/>
              <w:overflowPunct w:val="0"/>
              <w:autoSpaceDE w:val="0"/>
              <w:autoSpaceDN w:val="0"/>
              <w:adjustRightInd w:val="0"/>
              <w:spacing w:line="240" w:lineRule="auto"/>
              <w:textAlignment w:val="baseline"/>
              <w:rPr>
                <w:i/>
              </w:rPr>
            </w:pPr>
            <w:r>
              <w:rPr>
                <w:i/>
              </w:rPr>
              <w:t>Тел</w:t>
            </w:r>
            <w:r>
              <w:rPr>
                <w:i/>
                <w:iCs/>
              </w:rPr>
              <w:t>.</w:t>
            </w:r>
          </w:p>
        </w:tc>
        <w:tc>
          <w:tcPr>
            <w:tcW w:w="4252" w:type="dxa"/>
          </w:tcPr>
          <w:p w:rsidRPr="00A14846" w:rsidR="00A329C8" w:rsidP="0012073D" w:rsidRDefault="00A329C8" w14:paraId="7C0E8B23" w14:textId="77777777">
            <w:pPr>
              <w:keepNext/>
              <w:overflowPunct w:val="0"/>
              <w:autoSpaceDE w:val="0"/>
              <w:autoSpaceDN w:val="0"/>
              <w:adjustRightInd w:val="0"/>
              <w:spacing w:line="240" w:lineRule="auto"/>
              <w:textAlignment w:val="baseline"/>
              <w:rPr>
                <w:i/>
              </w:rPr>
            </w:pPr>
            <w:r>
              <w:rPr>
                <w:i/>
              </w:rPr>
              <w:t>+32 25468768</w:t>
            </w:r>
          </w:p>
        </w:tc>
      </w:tr>
      <w:tr w:rsidRPr="00A14846" w:rsidR="00A329C8" w:rsidTr="00FE3058" w14:paraId="485043FF" w14:textId="77777777">
        <w:tc>
          <w:tcPr>
            <w:tcW w:w="2127" w:type="dxa"/>
          </w:tcPr>
          <w:p w:rsidRPr="00A14846" w:rsidR="00A329C8" w:rsidP="00FE3058" w:rsidRDefault="00D704BD" w14:paraId="7E8D5802" w14:textId="61A5A309">
            <w:pPr>
              <w:overflowPunct w:val="0"/>
              <w:autoSpaceDE w:val="0"/>
              <w:autoSpaceDN w:val="0"/>
              <w:adjustRightInd w:val="0"/>
              <w:spacing w:line="240" w:lineRule="auto"/>
              <w:textAlignment w:val="baseline"/>
              <w:rPr>
                <w:i/>
              </w:rPr>
            </w:pPr>
            <w:r>
              <w:rPr>
                <w:i/>
              </w:rPr>
              <w:t>Електронен адрес</w:t>
            </w:r>
          </w:p>
        </w:tc>
        <w:tc>
          <w:tcPr>
            <w:tcW w:w="4252" w:type="dxa"/>
          </w:tcPr>
          <w:p w:rsidRPr="00A14846" w:rsidR="00A329C8" w:rsidP="00FE3058" w:rsidRDefault="00606C04" w14:paraId="0F764C0D" w14:textId="77777777">
            <w:pPr>
              <w:overflowPunct w:val="0"/>
              <w:autoSpaceDE w:val="0"/>
              <w:autoSpaceDN w:val="0"/>
              <w:adjustRightInd w:val="0"/>
              <w:spacing w:line="240" w:lineRule="auto"/>
              <w:textAlignment w:val="baseline"/>
              <w:rPr>
                <w:i/>
                <w:iCs/>
              </w:rPr>
            </w:pPr>
            <w:hyperlink w:history="1" r:id="rId33">
              <w:r w:rsidR="00171CE5">
                <w:rPr>
                  <w:i/>
                  <w:color w:val="0000FF"/>
                  <w:u w:val="single"/>
                </w:rPr>
                <w:t>Arturo.Iniguez@eesc.europa.eu</w:t>
              </w:r>
            </w:hyperlink>
          </w:p>
        </w:tc>
      </w:tr>
    </w:tbl>
    <w:p w:rsidR="00A329C8" w:rsidP="00A329C8" w:rsidRDefault="00A329C8" w14:paraId="4A4D6D18" w14:textId="77777777">
      <w:pPr>
        <w:spacing w:after="160" w:line="259" w:lineRule="auto"/>
        <w:jc w:val="left"/>
        <w:rPr>
          <w:b/>
          <w:bCs/>
        </w:rPr>
      </w:pPr>
    </w:p>
    <w:p w:rsidR="00386C01" w:rsidRDefault="00386C01" w14:paraId="783F6CD8" w14:textId="765D6A7F">
      <w:pPr>
        <w:spacing w:after="160" w:line="259" w:lineRule="auto"/>
        <w:jc w:val="left"/>
        <w:rPr>
          <w:b/>
          <w:bCs/>
        </w:rPr>
      </w:pPr>
      <w:r>
        <w:br w:type="page"/>
      </w:r>
    </w:p>
    <w:p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9623432" w:id="5"/>
      <w:bookmarkEnd w:id="4"/>
      <w:r>
        <w:rPr>
          <w:b/>
        </w:rPr>
        <w:lastRenderedPageBreak/>
        <w:t>ТРАНСПОРТ, ЕНЕРГЕТИКА, ИНФРАСТРУКТУРИ, ИНФОРМАЦИОННО ОБЩЕСТВО</w:t>
      </w:r>
      <w:bookmarkEnd w:id="5"/>
    </w:p>
    <w:p w:rsidR="005C28F2" w:rsidP="00895853" w:rsidRDefault="005C28F2" w14:paraId="089CB383" w14:textId="77777777"/>
    <w:p w:rsidR="00EC48BE" w:rsidP="00895853" w:rsidRDefault="00EC48BE" w14:paraId="2F9D2873" w14:textId="2ADBE64F"/>
    <w:p w:rsidRPr="00EC48BE" w:rsidR="00EC48BE" w:rsidP="00C26C81" w:rsidRDefault="00606C04" w14:paraId="50FF3C6A" w14:textId="1C0187EA">
      <w:pPr>
        <w:widowControl w:val="0"/>
        <w:numPr>
          <w:ilvl w:val="0"/>
          <w:numId w:val="7"/>
        </w:numPr>
        <w:overflowPunct w:val="0"/>
        <w:autoSpaceDE w:val="0"/>
        <w:autoSpaceDN w:val="0"/>
        <w:adjustRightInd w:val="0"/>
        <w:ind w:hanging="567"/>
        <w:textAlignment w:val="baseline"/>
        <w:rPr>
          <w:sz w:val="20"/>
          <w:szCs w:val="20"/>
        </w:rPr>
      </w:pPr>
      <w:hyperlink w:history="1" r:id="rId34">
        <w:r w:rsidR="00171CE5">
          <w:rPr>
            <w:b/>
            <w:i/>
            <w:color w:val="0000FF"/>
            <w:sz w:val="28"/>
            <w:u w:val="single"/>
          </w:rPr>
          <w:t>Европейски план за борба с рака: движещи сили за сигурността на доставките на радиоизотопи за медицински цели</w:t>
        </w:r>
      </w:hyperlink>
    </w:p>
    <w:p w:rsidRPr="00EC48BE" w:rsidR="00EC48BE" w:rsidP="00EC48BE"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9"/>
        <w:gridCol w:w="5322"/>
      </w:tblGrid>
      <w:tr w:rsidRPr="00EC48BE" w:rsidR="00EC48BE" w:rsidTr="0012073D" w14:paraId="5D69D1D6" w14:textId="77777777">
        <w:tc>
          <w:tcPr>
            <w:tcW w:w="1606" w:type="pct"/>
          </w:tcPr>
          <w:p w:rsidRPr="00EC48BE" w:rsidR="00EC48BE" w:rsidP="00EC48BE" w:rsidRDefault="00EC48BE" w14:paraId="0629F8BB" w14:textId="77777777">
            <w:pPr>
              <w:tabs>
                <w:tab w:val="center" w:pos="284"/>
              </w:tabs>
              <w:overflowPunct w:val="0"/>
              <w:autoSpaceDE w:val="0"/>
              <w:autoSpaceDN w:val="0"/>
              <w:adjustRightInd w:val="0"/>
              <w:ind w:left="266" w:right="318" w:hanging="266"/>
              <w:textAlignment w:val="baseline"/>
              <w:rPr>
                <w:b/>
              </w:rPr>
            </w:pPr>
            <w:r>
              <w:rPr>
                <w:b/>
              </w:rPr>
              <w:t>Докладчик</w:t>
            </w:r>
          </w:p>
        </w:tc>
        <w:tc>
          <w:tcPr>
            <w:tcW w:w="3394" w:type="pct"/>
          </w:tcPr>
          <w:p w:rsidRPr="00EC48BE" w:rsidR="00EC48BE" w:rsidP="00EC48BE" w:rsidRDefault="00EC48BE" w14:paraId="1337C413" w14:textId="09970351">
            <w:pPr>
              <w:tabs>
                <w:tab w:val="center" w:pos="284"/>
              </w:tabs>
              <w:overflowPunct w:val="0"/>
              <w:autoSpaceDE w:val="0"/>
              <w:autoSpaceDN w:val="0"/>
              <w:adjustRightInd w:val="0"/>
              <w:ind w:left="266" w:hanging="266"/>
              <w:textAlignment w:val="baseline"/>
            </w:pPr>
            <w:r>
              <w:t xml:space="preserve">Alena </w:t>
            </w:r>
            <w:r w:rsidR="0012073D">
              <w:t>MASTANTUONO</w:t>
            </w:r>
            <w:r>
              <w:t xml:space="preserve"> (група „Работодатели“ — CZ)</w:t>
            </w:r>
          </w:p>
        </w:tc>
      </w:tr>
      <w:tr w:rsidRPr="00EC48BE" w:rsidR="00EC48BE" w:rsidTr="0012073D" w14:paraId="63F1C4BD" w14:textId="77777777">
        <w:tc>
          <w:tcPr>
            <w:tcW w:w="1606" w:type="pct"/>
          </w:tcPr>
          <w:p w:rsidRPr="00EC48BE" w:rsidR="00EC48BE" w:rsidP="00EC48BE" w:rsidRDefault="00EC48BE" w14:paraId="3FA3DCC7"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3394" w:type="pct"/>
          </w:tcPr>
          <w:p w:rsidRPr="00EC48BE" w:rsidR="00EC48BE" w:rsidP="00EC48BE" w:rsidRDefault="00EC48BE" w14:paraId="0C599690" w14:textId="628B4211">
            <w:pPr>
              <w:tabs>
                <w:tab w:val="center" w:pos="284"/>
              </w:tabs>
              <w:overflowPunct w:val="0"/>
              <w:autoSpaceDE w:val="0"/>
              <w:autoSpaceDN w:val="0"/>
              <w:adjustRightInd w:val="0"/>
              <w:ind w:left="266" w:hanging="266"/>
              <w:textAlignment w:val="baseline"/>
            </w:pPr>
            <w:r>
              <w:t xml:space="preserve">Philippe </w:t>
            </w:r>
            <w:r w:rsidR="0012073D">
              <w:t>CHARRY</w:t>
            </w:r>
            <w:r>
              <w:t xml:space="preserve"> (група „Работници“ — FR)</w:t>
            </w:r>
          </w:p>
        </w:tc>
      </w:tr>
      <w:tr w:rsidRPr="00EC48BE" w:rsidR="00EC48BE" w:rsidTr="00DC0FAE" w14:paraId="498B3001" w14:textId="77777777">
        <w:tc>
          <w:tcPr>
            <w:tcW w:w="5000" w:type="pct"/>
            <w:gridSpan w:val="2"/>
          </w:tcPr>
          <w:p w:rsidRPr="00EC48BE" w:rsidR="00EC48BE" w:rsidP="00EC48BE" w:rsidRDefault="00EC48BE" w14:paraId="4D1569DD" w14:textId="77777777">
            <w:pPr>
              <w:tabs>
                <w:tab w:val="center" w:pos="284"/>
              </w:tabs>
              <w:overflowPunct w:val="0"/>
              <w:autoSpaceDE w:val="0"/>
              <w:autoSpaceDN w:val="0"/>
              <w:adjustRightInd w:val="0"/>
              <w:spacing w:line="160" w:lineRule="exact"/>
              <w:ind w:left="266" w:hanging="266"/>
              <w:textAlignment w:val="baseline"/>
            </w:pPr>
          </w:p>
        </w:tc>
      </w:tr>
      <w:tr w:rsidRPr="00EC48BE" w:rsidR="00EC48BE" w:rsidTr="0012073D" w14:paraId="3524C066" w14:textId="77777777">
        <w:tc>
          <w:tcPr>
            <w:tcW w:w="1606" w:type="pct"/>
            <w:vMerge w:val="restart"/>
          </w:tcPr>
          <w:p w:rsidRPr="00EC48BE" w:rsidR="00EC48BE" w:rsidP="00EC48BE" w:rsidRDefault="00EC48BE" w14:paraId="7BBD85B4"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394" w:type="pct"/>
          </w:tcPr>
          <w:p w:rsidR="00802E2B" w:rsidP="00EC48BE" w:rsidRDefault="00802E2B" w14:paraId="3EA8129C" w14:textId="253FD17D">
            <w:pPr>
              <w:tabs>
                <w:tab w:val="center" w:pos="284"/>
              </w:tabs>
              <w:overflowPunct w:val="0"/>
              <w:autoSpaceDE w:val="0"/>
              <w:autoSpaceDN w:val="0"/>
              <w:adjustRightInd w:val="0"/>
              <w:ind w:left="266" w:hanging="266"/>
              <w:textAlignment w:val="baseline"/>
            </w:pPr>
            <w:r>
              <w:t>Становище по собствена инициатива</w:t>
            </w:r>
          </w:p>
          <w:p w:rsidRPr="00EC48BE" w:rsidR="00EC48BE" w:rsidP="00EC48BE" w:rsidRDefault="00EC48BE" w14:paraId="30BF4772" w14:textId="5A3BAEA7">
            <w:pPr>
              <w:tabs>
                <w:tab w:val="center" w:pos="284"/>
              </w:tabs>
              <w:overflowPunct w:val="0"/>
              <w:autoSpaceDE w:val="0"/>
              <w:autoSpaceDN w:val="0"/>
              <w:adjustRightInd w:val="0"/>
              <w:ind w:left="266" w:hanging="266"/>
              <w:textAlignment w:val="baseline"/>
            </w:pPr>
            <w:r>
              <w:t>EESC-2024-00265-00-00-AC</w:t>
            </w:r>
          </w:p>
        </w:tc>
      </w:tr>
      <w:tr w:rsidRPr="00EC48BE" w:rsidR="00EC48BE" w:rsidTr="0012073D" w14:paraId="2F6C577F" w14:textId="77777777">
        <w:tc>
          <w:tcPr>
            <w:tcW w:w="1606" w:type="pct"/>
            <w:vMerge/>
          </w:tcPr>
          <w:p w:rsidRPr="00EC48BE" w:rsidR="00EC48BE" w:rsidP="00EC48BE" w:rsidRDefault="00EC48BE" w14:paraId="5DF5D6AE" w14:textId="77777777">
            <w:pPr>
              <w:tabs>
                <w:tab w:val="center" w:pos="284"/>
              </w:tabs>
              <w:overflowPunct w:val="0"/>
              <w:autoSpaceDE w:val="0"/>
              <w:autoSpaceDN w:val="0"/>
              <w:adjustRightInd w:val="0"/>
              <w:ind w:left="266" w:hanging="266"/>
              <w:textAlignment w:val="baseline"/>
              <w:rPr>
                <w:b/>
              </w:rPr>
            </w:pPr>
          </w:p>
        </w:tc>
        <w:tc>
          <w:tcPr>
            <w:tcW w:w="3394" w:type="pct"/>
          </w:tcPr>
          <w:p w:rsidRPr="00EC48BE" w:rsidR="00EC48BE" w:rsidP="00EC48BE" w:rsidRDefault="00EC48BE" w14:paraId="3B39B1F2" w14:textId="77777777">
            <w:pPr>
              <w:tabs>
                <w:tab w:val="center" w:pos="284"/>
              </w:tabs>
              <w:overflowPunct w:val="0"/>
              <w:autoSpaceDE w:val="0"/>
              <w:autoSpaceDN w:val="0"/>
              <w:adjustRightInd w:val="0"/>
              <w:ind w:left="266" w:hanging="266"/>
              <w:textAlignment w:val="baseline"/>
            </w:pPr>
          </w:p>
        </w:tc>
      </w:tr>
    </w:tbl>
    <w:p w:rsidRPr="00EC48BE" w:rsidR="00EC48BE" w:rsidP="00EC48BE" w:rsidRDefault="00EC48BE" w14:paraId="6A658105" w14:textId="77777777">
      <w:pPr>
        <w:tabs>
          <w:tab w:val="center" w:pos="284"/>
        </w:tabs>
        <w:overflowPunct w:val="0"/>
        <w:autoSpaceDE w:val="0"/>
        <w:autoSpaceDN w:val="0"/>
        <w:adjustRightInd w:val="0"/>
        <w:ind w:left="266" w:hanging="266"/>
        <w:textAlignment w:val="baseline"/>
      </w:pPr>
    </w:p>
    <w:p w:rsidRPr="00EC48BE" w:rsidR="00EC48BE" w:rsidP="00EC48BE" w:rsidRDefault="00EC48BE" w14:paraId="53138D82"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C48BE" w:rsidR="00EC48BE" w:rsidP="00EC48BE"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EC48BE" w:rsidR="00EC48BE" w:rsidP="00EC48BE" w:rsidRDefault="00EC48BE" w14:paraId="1FF2E76F" w14:textId="77777777">
      <w:pPr>
        <w:overflowPunct w:val="0"/>
        <w:autoSpaceDE w:val="0"/>
        <w:autoSpaceDN w:val="0"/>
        <w:adjustRightInd w:val="0"/>
        <w:textAlignment w:val="baseline"/>
        <w:rPr>
          <w:bCs/>
          <w:iCs/>
        </w:rPr>
      </w:pPr>
      <w:r>
        <w:t>ЕИСК:</w:t>
      </w:r>
    </w:p>
    <w:p w:rsidRPr="00EC48BE" w:rsidR="00EC48BE" w:rsidP="00EC48BE" w:rsidRDefault="00EC48BE" w14:paraId="44A55ABA" w14:textId="77777777">
      <w:pPr>
        <w:overflowPunct w:val="0"/>
        <w:autoSpaceDE w:val="0"/>
        <w:autoSpaceDN w:val="0"/>
        <w:adjustRightInd w:val="0"/>
        <w:textAlignment w:val="baseline"/>
        <w:rPr>
          <w:bCs/>
          <w:iCs/>
        </w:rPr>
      </w:pPr>
    </w:p>
    <w:p w:rsidRPr="00EC48BE" w:rsidR="00EC48BE" w:rsidP="00DC0FAE"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t>подчертава, че ядрената медицина спасява живота на милиони хора и на нея се възлагат огромни надежди в рамките на борбата с рака. Комитетът подчертава необходимостта да се отговори на нуждите на пациентите в Европа и да се гарантира, че всички пациенти имат равен достъп до подходящи методи за лечение на рак;</w:t>
      </w:r>
    </w:p>
    <w:p w:rsidRPr="00EC48BE" w:rsidR="00EC48BE" w:rsidP="00DC0FAE"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t>в Европа 10 милиона интервенции за диагностика и терапия годишно се основават на радиофармацевтици. Трябва да се даде приоритет на таргетните радионуклидни терапии, които са точни и често по-малко вредни от други лечения;</w:t>
      </w:r>
    </w:p>
    <w:p w:rsidRPr="00EC48BE" w:rsidR="00EC48BE" w:rsidP="00DC0FAE" w:rsidRDefault="00EC48BE" w14:paraId="42230DC3" w14:textId="26B7ACA2">
      <w:pPr>
        <w:widowControl w:val="0"/>
        <w:numPr>
          <w:ilvl w:val="0"/>
          <w:numId w:val="23"/>
        </w:numPr>
        <w:overflowPunct w:val="0"/>
        <w:autoSpaceDE w:val="0"/>
        <w:autoSpaceDN w:val="0"/>
        <w:adjustRightInd w:val="0"/>
        <w:ind w:left="284" w:hanging="284"/>
        <w:textAlignment w:val="baseline"/>
        <w:rPr>
          <w:bCs/>
          <w:iCs/>
        </w:rPr>
      </w:pPr>
      <w:r>
        <w:t>призовава за стимули за производството, като се гарантира по-голяма стратегическа автономност при доставките на радиоизотопи. Европа е световен лидер в доставката на радиоизотопи за медицината. В същото време тя е критично зависима от трети страни по отношение на специфични ключови суровини и дейности за преработка. Ето защо Комитетът призовава Алианса за критично важните лекарства да наблюдава внимателно доставките на радиоизотопи в Европа и да подкрепя повишаването на конкурентоспособността на промишлеността в този сектор</w:t>
      </w:r>
      <w:r w:rsidR="0012073D">
        <w:t>;</w:t>
      </w:r>
    </w:p>
    <w:p w:rsidRPr="00EC48BE" w:rsidR="00EC48BE" w:rsidP="00DC0FAE"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t>призовава да се обърне необходимото внимание, за да се гарантира, че мерките за безопасност и сигурност на персонала се спазват по цялата верига на доставки и призовава за спешни инвестиции в планирането, образованието и обучението на хората, необходими в този сектор, и в мобилност на персонала.</w:t>
      </w:r>
    </w:p>
    <w:p w:rsidRPr="00EC48BE" w:rsidR="00EC48BE" w:rsidP="00EC48BE" w:rsidRDefault="00EC48BE" w14:paraId="387BEC6B" w14:textId="77777777">
      <w:pPr>
        <w:widowControl w:val="0"/>
        <w:overflowPunct w:val="0"/>
        <w:autoSpaceDE w:val="0"/>
        <w:autoSpaceDN w:val="0"/>
        <w:adjustRightInd w:val="0"/>
        <w:ind w:left="709"/>
        <w:textAlignment w:val="baseline"/>
      </w:pPr>
    </w:p>
    <w:p w:rsidRPr="00EC48BE" w:rsidR="00EC48BE" w:rsidP="00EC48BE" w:rsidRDefault="00EC48BE" w14:paraId="0529A1B6" w14:textId="77777777">
      <w:pPr>
        <w:widowControl w:val="0"/>
        <w:overflowPunct w:val="0"/>
        <w:autoSpaceDE w:val="0"/>
        <w:autoSpaceDN w:val="0"/>
        <w:adjustRightInd w:val="0"/>
        <w:ind w:left="709"/>
        <w:textAlignment w:val="baseline"/>
        <w:rPr>
          <w:szCs w:val="20"/>
        </w:rPr>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C48BE" w:rsidR="00EC48BE" w:rsidTr="00FE3058" w14:paraId="4FEA0D44" w14:textId="77777777">
        <w:tc>
          <w:tcPr>
            <w:tcW w:w="1556" w:type="pct"/>
          </w:tcPr>
          <w:p w:rsidRPr="00EC48BE" w:rsidR="00EC48BE" w:rsidP="00EC48BE" w:rsidRDefault="00EC48BE" w14:paraId="292D789E" w14:textId="77777777">
            <w:pPr>
              <w:overflowPunct w:val="0"/>
              <w:autoSpaceDE w:val="0"/>
              <w:autoSpaceDN w:val="0"/>
              <w:adjustRightInd w:val="0"/>
              <w:spacing w:line="240" w:lineRule="auto"/>
              <w:textAlignment w:val="baseline"/>
              <w:rPr>
                <w:i/>
              </w:rPr>
            </w:pPr>
            <w:r>
              <w:rPr>
                <w:b/>
                <w:i/>
              </w:rPr>
              <w:t>За контакти</w:t>
            </w:r>
          </w:p>
        </w:tc>
        <w:tc>
          <w:tcPr>
            <w:tcW w:w="3444" w:type="pct"/>
          </w:tcPr>
          <w:p w:rsidRPr="00EC48BE" w:rsidR="00EC48BE" w:rsidP="00EC48BE" w:rsidRDefault="00EC48BE" w14:paraId="50791366" w14:textId="2071A688">
            <w:pPr>
              <w:overflowPunct w:val="0"/>
              <w:autoSpaceDE w:val="0"/>
              <w:autoSpaceDN w:val="0"/>
              <w:adjustRightInd w:val="0"/>
              <w:spacing w:line="240" w:lineRule="auto"/>
              <w:textAlignment w:val="baseline"/>
              <w:rPr>
                <w:i/>
              </w:rPr>
            </w:pPr>
            <w:r>
              <w:rPr>
                <w:i/>
              </w:rPr>
              <w:t>Maja Radman</w:t>
            </w:r>
          </w:p>
        </w:tc>
      </w:tr>
      <w:tr w:rsidRPr="00EC48BE" w:rsidR="00EC48BE" w:rsidTr="00FE3058" w14:paraId="35A36E33" w14:textId="77777777">
        <w:tc>
          <w:tcPr>
            <w:tcW w:w="1556" w:type="pct"/>
          </w:tcPr>
          <w:p w:rsidRPr="00EC48BE" w:rsidR="00EC48BE" w:rsidP="00EC48BE" w:rsidRDefault="00EC48BE" w14:paraId="610BC20B" w14:textId="77777777">
            <w:pPr>
              <w:overflowPunct w:val="0"/>
              <w:autoSpaceDE w:val="0"/>
              <w:autoSpaceDN w:val="0"/>
              <w:adjustRightInd w:val="0"/>
              <w:spacing w:line="240" w:lineRule="auto"/>
              <w:textAlignment w:val="baseline"/>
              <w:rPr>
                <w:i/>
              </w:rPr>
            </w:pPr>
            <w:r>
              <w:rPr>
                <w:i/>
              </w:rPr>
              <w:t>Тел</w:t>
            </w:r>
            <w:r>
              <w:rPr>
                <w:i/>
                <w:iCs/>
              </w:rPr>
              <w:t>.</w:t>
            </w:r>
          </w:p>
        </w:tc>
        <w:tc>
          <w:tcPr>
            <w:tcW w:w="3444" w:type="pct"/>
          </w:tcPr>
          <w:p w:rsidRPr="00EC48BE" w:rsidR="00EC48BE" w:rsidP="00EC48BE" w:rsidRDefault="00EC48BE" w14:paraId="1B1FFFC2" w14:textId="77777777">
            <w:pPr>
              <w:overflowPunct w:val="0"/>
              <w:autoSpaceDE w:val="0"/>
              <w:autoSpaceDN w:val="0"/>
              <w:adjustRightInd w:val="0"/>
              <w:spacing w:line="240" w:lineRule="auto"/>
              <w:textAlignment w:val="baseline"/>
              <w:rPr>
                <w:i/>
              </w:rPr>
            </w:pPr>
            <w:r>
              <w:rPr>
                <w:i/>
              </w:rPr>
              <w:t>+32 25469051</w:t>
            </w:r>
          </w:p>
        </w:tc>
      </w:tr>
      <w:tr w:rsidRPr="00EC48BE" w:rsidR="00EC48BE" w:rsidTr="00FE3058" w14:paraId="6456D68F" w14:textId="77777777">
        <w:tc>
          <w:tcPr>
            <w:tcW w:w="1556" w:type="pct"/>
          </w:tcPr>
          <w:p w:rsidRPr="00EC48BE" w:rsidR="00EC48BE" w:rsidP="00EC48BE" w:rsidRDefault="00EC48BE" w14:paraId="59C76142"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EC48BE" w:rsidR="00EC48BE" w:rsidP="00EC48BE" w:rsidRDefault="00606C04" w14:paraId="50EB0CCC" w14:textId="77777777">
            <w:pPr>
              <w:overflowPunct w:val="0"/>
              <w:autoSpaceDE w:val="0"/>
              <w:autoSpaceDN w:val="0"/>
              <w:adjustRightInd w:val="0"/>
              <w:spacing w:line="240" w:lineRule="auto"/>
              <w:textAlignment w:val="baseline"/>
              <w:rPr>
                <w:i/>
              </w:rPr>
            </w:pPr>
            <w:hyperlink w:history="1" r:id="rId35">
              <w:r w:rsidR="00171CE5">
                <w:rPr>
                  <w:i/>
                  <w:color w:val="0000FF"/>
                  <w:u w:val="single"/>
                </w:rPr>
                <w:t>Maja.Radman@eesc.europa.eu</w:t>
              </w:r>
            </w:hyperlink>
            <w:r w:rsidR="00171CE5">
              <w:rPr>
                <w:i/>
              </w:rPr>
              <w:t xml:space="preserve"> </w:t>
            </w:r>
          </w:p>
        </w:tc>
      </w:tr>
    </w:tbl>
    <w:p w:rsidR="00516A59" w:rsidRDefault="00516A59" w14:paraId="7DD6A790" w14:textId="77777777">
      <w:pPr>
        <w:spacing w:after="160" w:line="259" w:lineRule="auto"/>
        <w:jc w:val="left"/>
      </w:pPr>
    </w:p>
    <w:p w:rsidR="00516A59" w:rsidRDefault="00516A59" w14:paraId="77C764C5" w14:textId="77777777">
      <w:pPr>
        <w:spacing w:after="160" w:line="259" w:lineRule="auto"/>
        <w:jc w:val="left"/>
      </w:pPr>
      <w: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9623433" w:id="7"/>
      <w:bookmarkEnd w:id="6"/>
      <w:r>
        <w:rPr>
          <w:b/>
        </w:rPr>
        <w:lastRenderedPageBreak/>
        <w:t>КОНСУЛТАТИВНА КОМИСИЯ ПО ИНДУСТРИАЛНИ ПРОМЕНИ</w:t>
      </w:r>
      <w:bookmarkEnd w:id="7"/>
    </w:p>
    <w:p w:rsidR="004351D4" w:rsidP="00895853" w:rsidRDefault="004351D4" w14:paraId="0AE04AB9" w14:textId="7E9F637B">
      <w:pPr>
        <w:overflowPunct w:val="0"/>
        <w:autoSpaceDE w:val="0"/>
        <w:autoSpaceDN w:val="0"/>
        <w:adjustRightInd w:val="0"/>
        <w:jc w:val="left"/>
        <w:textAlignment w:val="baseline"/>
        <w:rPr>
          <w:lang w:val="nl-BE"/>
        </w:rPr>
      </w:pPr>
    </w:p>
    <w:p w:rsidR="005C28F2" w:rsidP="00895853" w:rsidRDefault="005C28F2" w14:paraId="43B85D0B" w14:textId="77777777">
      <w:pPr>
        <w:overflowPunct w:val="0"/>
        <w:autoSpaceDE w:val="0"/>
        <w:autoSpaceDN w:val="0"/>
        <w:adjustRightInd w:val="0"/>
        <w:jc w:val="left"/>
        <w:textAlignment w:val="baseline"/>
        <w:rPr>
          <w:lang w:val="nl-BE"/>
        </w:rPr>
      </w:pPr>
    </w:p>
    <w:p w:rsidRPr="00B612CA" w:rsidR="00B612CA" w:rsidP="00C26C81" w:rsidRDefault="00606C04" w14:paraId="3FFD2060" w14:textId="4C32F184">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36">
        <w:r w:rsidR="00171CE5">
          <w:rPr>
            <w:b/>
            <w:i/>
            <w:color w:val="0000FF"/>
            <w:sz w:val="28"/>
            <w:u w:val="single"/>
          </w:rPr>
          <w:t>Програма за европейската отбранителна промишленост</w:t>
        </w:r>
      </w:hyperlink>
    </w:p>
    <w:p w:rsidRPr="00B612CA" w:rsidR="00B612CA" w:rsidP="00B612CA" w:rsidRDefault="00B612CA" w14:paraId="6CCFE10F" w14:textId="59BC7F1E">
      <w:pPr>
        <w:widowControl w:val="0"/>
        <w:tabs>
          <w:tab w:val="center" w:pos="284"/>
        </w:tabs>
        <w:overflowPunct w:val="0"/>
        <w:autoSpaceDE w:val="0"/>
        <w:autoSpaceDN w:val="0"/>
        <w:adjustRightInd w:val="0"/>
        <w:textAlignment w:val="baseline"/>
        <w:rPr>
          <w:rFonts w:eastAsiaTheme="minorHAnsi"/>
          <w:b/>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7"/>
        <w:gridCol w:w="5577"/>
      </w:tblGrid>
      <w:tr w:rsidRPr="00B612CA" w:rsidR="00B612CA" w:rsidTr="0012073D" w14:paraId="18CAAF03" w14:textId="77777777">
        <w:tc>
          <w:tcPr>
            <w:tcW w:w="1494" w:type="pct"/>
          </w:tcPr>
          <w:p w:rsidRPr="00DC0FAE" w:rsidR="00B612CA" w:rsidP="00DC0FAE" w:rsidRDefault="00B612CA" w14:paraId="7DF9E2A6" w14:textId="77777777">
            <w:pPr>
              <w:tabs>
                <w:tab w:val="center" w:pos="284"/>
              </w:tabs>
              <w:spacing w:line="259" w:lineRule="auto"/>
              <w:ind w:left="266" w:hanging="266"/>
              <w:jc w:val="left"/>
              <w:rPr>
                <w:rFonts w:eastAsiaTheme="minorHAnsi"/>
                <w:b/>
                <w:szCs w:val="24"/>
              </w:rPr>
            </w:pPr>
            <w:r>
              <w:rPr>
                <w:b/>
              </w:rPr>
              <w:t>Докладчик</w:t>
            </w:r>
          </w:p>
        </w:tc>
        <w:tc>
          <w:tcPr>
            <w:tcW w:w="3506" w:type="pct"/>
          </w:tcPr>
          <w:p w:rsidRPr="00DC0FAE" w:rsidR="00B612CA" w:rsidP="00DC0FAE" w:rsidRDefault="00B612CA" w14:paraId="7678F137" w14:textId="4BC1A490">
            <w:pPr>
              <w:tabs>
                <w:tab w:val="center" w:pos="33"/>
              </w:tabs>
              <w:spacing w:line="259" w:lineRule="auto"/>
              <w:ind w:left="33" w:hanging="33"/>
              <w:jc w:val="left"/>
              <w:rPr>
                <w:rFonts w:eastAsiaTheme="minorHAnsi"/>
                <w:szCs w:val="24"/>
              </w:rPr>
            </w:pPr>
            <w:r>
              <w:t xml:space="preserve">Tomasz Andrzej </w:t>
            </w:r>
            <w:r w:rsidR="0012073D">
              <w:t>WRÓBLEWSKI</w:t>
            </w:r>
            <w:r>
              <w:t xml:space="preserve"> (група „Работодатели“ — PL)</w:t>
            </w:r>
          </w:p>
        </w:tc>
      </w:tr>
      <w:tr w:rsidRPr="00B612CA" w:rsidR="00B612CA" w:rsidTr="0012073D" w14:paraId="02CD892C" w14:textId="77777777">
        <w:tc>
          <w:tcPr>
            <w:tcW w:w="1494" w:type="pct"/>
          </w:tcPr>
          <w:p w:rsidRPr="00DC0FAE" w:rsidR="00B612CA" w:rsidP="00DC0FAE" w:rsidRDefault="00B612CA" w14:paraId="32A8CC73" w14:textId="77777777">
            <w:pPr>
              <w:tabs>
                <w:tab w:val="center" w:pos="284"/>
              </w:tabs>
              <w:spacing w:line="259" w:lineRule="auto"/>
              <w:ind w:left="266" w:hanging="266"/>
              <w:jc w:val="left"/>
              <w:rPr>
                <w:rFonts w:eastAsiaTheme="minorHAnsi"/>
                <w:b/>
                <w:szCs w:val="24"/>
              </w:rPr>
            </w:pPr>
            <w:r>
              <w:rPr>
                <w:b/>
              </w:rPr>
              <w:t>Съдокладчик</w:t>
            </w:r>
          </w:p>
        </w:tc>
        <w:tc>
          <w:tcPr>
            <w:tcW w:w="3506" w:type="pct"/>
          </w:tcPr>
          <w:p w:rsidRPr="00DC0FAE" w:rsidR="00B612CA" w:rsidP="00DC0FAE" w:rsidRDefault="00B612CA" w14:paraId="10B820C3" w14:textId="4AB00E12">
            <w:pPr>
              <w:tabs>
                <w:tab w:val="center" w:pos="284"/>
              </w:tabs>
              <w:spacing w:line="259" w:lineRule="auto"/>
              <w:ind w:left="266" w:hanging="266"/>
              <w:jc w:val="left"/>
              <w:rPr>
                <w:rFonts w:eastAsiaTheme="minorHAnsi"/>
                <w:szCs w:val="24"/>
              </w:rPr>
            </w:pPr>
            <w:r>
              <w:t>Franck UHLIG (Кат. 2 — FR)</w:t>
            </w:r>
          </w:p>
        </w:tc>
      </w:tr>
      <w:tr w:rsidRPr="00B612CA" w:rsidR="00B612CA" w:rsidTr="00FE3058" w14:paraId="77B12610" w14:textId="77777777">
        <w:tc>
          <w:tcPr>
            <w:tcW w:w="5000" w:type="pct"/>
            <w:gridSpan w:val="2"/>
          </w:tcPr>
          <w:p w:rsidRPr="00DC0FAE" w:rsidR="00B612CA" w:rsidP="00B612CA" w:rsidRDefault="00B612CA" w14:paraId="22141688" w14:textId="77777777">
            <w:pPr>
              <w:tabs>
                <w:tab w:val="center" w:pos="284"/>
              </w:tabs>
              <w:spacing w:after="160" w:line="160" w:lineRule="exact"/>
              <w:ind w:left="266" w:hanging="266"/>
              <w:jc w:val="left"/>
              <w:rPr>
                <w:rFonts w:eastAsiaTheme="minorHAnsi"/>
                <w:szCs w:val="24"/>
              </w:rPr>
            </w:pPr>
          </w:p>
        </w:tc>
      </w:tr>
      <w:tr w:rsidRPr="00B612CA" w:rsidR="00B612CA" w:rsidTr="0012073D" w14:paraId="366D3A3A" w14:textId="77777777">
        <w:tc>
          <w:tcPr>
            <w:tcW w:w="1494" w:type="pct"/>
            <w:vMerge w:val="restart"/>
          </w:tcPr>
          <w:p w:rsidRPr="00DC0FAE" w:rsidR="00B612CA" w:rsidP="00DC0FAE" w:rsidRDefault="00B612CA" w14:paraId="620E2FAB" w14:textId="77777777">
            <w:pPr>
              <w:tabs>
                <w:tab w:val="center" w:pos="284"/>
              </w:tabs>
              <w:spacing w:line="259" w:lineRule="auto"/>
              <w:ind w:left="266" w:hanging="266"/>
              <w:jc w:val="left"/>
              <w:rPr>
                <w:rFonts w:eastAsiaTheme="minorHAnsi"/>
                <w:b/>
                <w:szCs w:val="24"/>
              </w:rPr>
            </w:pPr>
            <w:r>
              <w:rPr>
                <w:b/>
              </w:rPr>
              <w:t>Отправни документи</w:t>
            </w:r>
          </w:p>
        </w:tc>
        <w:tc>
          <w:tcPr>
            <w:tcW w:w="3506" w:type="pct"/>
          </w:tcPr>
          <w:p w:rsidRPr="00DC0FAE" w:rsidR="00B612CA" w:rsidP="00DC0FAE" w:rsidRDefault="00B612CA" w14:paraId="554796B3" w14:textId="77777777">
            <w:pPr>
              <w:tabs>
                <w:tab w:val="center" w:pos="284"/>
              </w:tabs>
              <w:spacing w:line="259" w:lineRule="auto"/>
              <w:ind w:left="266" w:hanging="266"/>
              <w:jc w:val="left"/>
              <w:rPr>
                <w:rFonts w:eastAsiaTheme="minorHAnsi"/>
                <w:szCs w:val="24"/>
              </w:rPr>
            </w:pPr>
            <w:r>
              <w:t>COM(2024) 150 final</w:t>
            </w:r>
          </w:p>
        </w:tc>
      </w:tr>
      <w:tr w:rsidRPr="00B612CA" w:rsidR="00B612CA" w:rsidTr="0012073D" w14:paraId="10E2BB82" w14:textId="77777777">
        <w:tc>
          <w:tcPr>
            <w:tcW w:w="1494" w:type="pct"/>
            <w:vMerge/>
          </w:tcPr>
          <w:p w:rsidRPr="00DC0FAE" w:rsidR="00B612CA" w:rsidP="00DC0FAE" w:rsidRDefault="00B612CA" w14:paraId="175F9DD0" w14:textId="77777777">
            <w:pPr>
              <w:tabs>
                <w:tab w:val="center" w:pos="284"/>
              </w:tabs>
              <w:spacing w:line="259" w:lineRule="auto"/>
              <w:ind w:left="266" w:hanging="266"/>
              <w:jc w:val="left"/>
              <w:rPr>
                <w:rFonts w:eastAsiaTheme="minorHAnsi"/>
                <w:b/>
                <w:szCs w:val="24"/>
              </w:rPr>
            </w:pPr>
          </w:p>
        </w:tc>
        <w:tc>
          <w:tcPr>
            <w:tcW w:w="3506" w:type="pct"/>
          </w:tcPr>
          <w:p w:rsidRPr="00DC0FAE" w:rsidR="00B612CA" w:rsidP="00DC0FAE" w:rsidRDefault="00B612CA" w14:paraId="4A35E6C4" w14:textId="77777777">
            <w:pPr>
              <w:tabs>
                <w:tab w:val="center" w:pos="284"/>
              </w:tabs>
              <w:spacing w:line="259" w:lineRule="auto"/>
              <w:ind w:left="266" w:hanging="266"/>
              <w:jc w:val="left"/>
              <w:rPr>
                <w:rFonts w:eastAsiaTheme="minorHAnsi"/>
                <w:szCs w:val="24"/>
              </w:rPr>
            </w:pPr>
            <w:r>
              <w:t>EESC-2024-00813-00-00-AC</w:t>
            </w:r>
          </w:p>
        </w:tc>
      </w:tr>
    </w:tbl>
    <w:p w:rsidRPr="00B612CA" w:rsidR="00B612CA" w:rsidP="00B612CA" w:rsidRDefault="00B612CA" w14:paraId="65401695" w14:textId="77777777">
      <w:pPr>
        <w:widowControl w:val="0"/>
        <w:tabs>
          <w:tab w:val="center" w:pos="284"/>
        </w:tabs>
        <w:overflowPunct w:val="0"/>
        <w:autoSpaceDE w:val="0"/>
        <w:autoSpaceDN w:val="0"/>
        <w:adjustRightInd w:val="0"/>
        <w:textAlignment w:val="baseline"/>
        <w:rPr>
          <w:rFonts w:eastAsiaTheme="minorHAnsi"/>
          <w:b/>
          <w:lang w:val="en-US"/>
        </w:rPr>
      </w:pPr>
    </w:p>
    <w:p w:rsidR="00B612CA" w:rsidP="00B612CA" w:rsidRDefault="00B612CA" w14:paraId="66AF4059" w14:textId="103542FE">
      <w:pPr>
        <w:keepNext/>
        <w:keepLines/>
        <w:spacing w:after="160" w:line="259" w:lineRule="auto"/>
        <w:ind w:left="142" w:hanging="142"/>
        <w:jc w:val="left"/>
        <w:rPr>
          <w:rFonts w:eastAsiaTheme="minorHAnsi"/>
          <w:b/>
        </w:rPr>
      </w:pPr>
      <w:r>
        <w:rPr>
          <w:b/>
        </w:rPr>
        <w:t>Основни аспекти</w:t>
      </w:r>
    </w:p>
    <w:p w:rsidRPr="00B612CA" w:rsidR="007724A0" w:rsidP="00B612CA" w:rsidRDefault="007724A0" w14:paraId="6657CF81" w14:textId="77777777">
      <w:pPr>
        <w:keepNext/>
        <w:keepLines/>
        <w:spacing w:after="160" w:line="259" w:lineRule="auto"/>
        <w:ind w:left="142" w:hanging="142"/>
        <w:jc w:val="left"/>
        <w:rPr>
          <w:rFonts w:eastAsiaTheme="minorHAnsi"/>
          <w:b/>
          <w:lang w:val="en-US"/>
        </w:rPr>
      </w:pPr>
    </w:p>
    <w:p w:rsidR="00B612CA" w:rsidP="00DC0FAE" w:rsidRDefault="00B612CA" w14:paraId="6C447796" w14:textId="188E9CB3">
      <w:pPr>
        <w:spacing w:after="160" w:line="259" w:lineRule="auto"/>
        <w:ind w:left="142" w:hanging="142"/>
        <w:jc w:val="left"/>
        <w:rPr>
          <w:rFonts w:eastAsiaTheme="minorHAnsi"/>
        </w:rPr>
      </w:pPr>
      <w:r>
        <w:t>ЕИСК:</w:t>
      </w:r>
    </w:p>
    <w:p w:rsidRPr="00B612CA" w:rsidR="00B612CA" w:rsidP="00DC0FAE" w:rsidRDefault="00B612CA" w14:paraId="19ACACDB" w14:textId="77777777">
      <w:pPr>
        <w:numPr>
          <w:ilvl w:val="0"/>
          <w:numId w:val="24"/>
        </w:numPr>
        <w:spacing w:after="160" w:line="259" w:lineRule="auto"/>
        <w:ind w:left="284" w:hanging="284"/>
        <w:contextualSpacing/>
        <w:rPr>
          <w:rFonts w:eastAsiaTheme="minorHAnsi"/>
        </w:rPr>
      </w:pPr>
      <w:r>
        <w:t xml:space="preserve">препоръчва на Европейската комисия </w:t>
      </w:r>
      <w:r>
        <w:rPr>
          <w:b/>
        </w:rPr>
        <w:t>да</w:t>
      </w:r>
      <w:r>
        <w:t xml:space="preserve"> </w:t>
      </w:r>
      <w:r>
        <w:rPr>
          <w:b/>
        </w:rPr>
        <w:t>осъществява обстойна комуникация с европейските граждани, за да представи в широк план предизвикателствата на съвместното финансиране в областта на отбраната</w:t>
      </w:r>
      <w:r>
        <w:t xml:space="preserve"> в настоящия геополитически контекст и с оглед на изграждането на обща сигурност, като същевременно продължи да основава европейската интеграция на проект за мир и солидарност;</w:t>
      </w:r>
    </w:p>
    <w:p w:rsidRPr="00B612CA" w:rsidR="00B612CA" w:rsidP="00DC0FAE" w:rsidRDefault="00B612CA" w14:paraId="10700EAD" w14:textId="77777777">
      <w:pPr>
        <w:numPr>
          <w:ilvl w:val="0"/>
          <w:numId w:val="24"/>
        </w:numPr>
        <w:spacing w:after="160" w:line="259" w:lineRule="auto"/>
        <w:ind w:left="284" w:hanging="284"/>
        <w:contextualSpacing/>
        <w:rPr>
          <w:rFonts w:eastAsiaTheme="minorHAnsi"/>
        </w:rPr>
      </w:pPr>
      <w:r>
        <w:t xml:space="preserve">отправя искане за </w:t>
      </w:r>
      <w:r>
        <w:rPr>
          <w:b/>
        </w:rPr>
        <w:t>увеличаване на настоящото ограничено финансиране (1,5 млрд. евро)</w:t>
      </w:r>
      <w:r>
        <w:t xml:space="preserve"> в средносрочен план;</w:t>
      </w:r>
    </w:p>
    <w:p w:rsidRPr="00B612CA" w:rsidR="00B612CA" w:rsidP="00DC0FAE" w:rsidRDefault="00B612CA" w14:paraId="35EFB068" w14:textId="77777777">
      <w:pPr>
        <w:numPr>
          <w:ilvl w:val="0"/>
          <w:numId w:val="24"/>
        </w:numPr>
        <w:spacing w:after="160" w:line="259" w:lineRule="auto"/>
        <w:ind w:left="284" w:hanging="284"/>
        <w:contextualSpacing/>
        <w:rPr>
          <w:rFonts w:eastAsiaTheme="minorHAnsi"/>
        </w:rPr>
      </w:pPr>
      <w:r>
        <w:t xml:space="preserve">подчертава, че в допълнение към необходимия отговор на неотложните нужди на Украйна ПЕОП трябва да доведе до </w:t>
      </w:r>
      <w:r>
        <w:rPr>
          <w:b/>
        </w:rPr>
        <w:t>структурно развитие на европейския подход към отбраната</w:t>
      </w:r>
      <w:r>
        <w:t xml:space="preserve"> и съответната европейска отбранителна технологична и индустриална база (ЕОТИБ);</w:t>
      </w:r>
    </w:p>
    <w:p w:rsidRPr="00B612CA" w:rsidR="00B612CA" w:rsidP="00DC0FAE" w:rsidRDefault="00B612CA" w14:paraId="474F4A0A" w14:textId="77777777">
      <w:pPr>
        <w:numPr>
          <w:ilvl w:val="0"/>
          <w:numId w:val="24"/>
        </w:numPr>
        <w:spacing w:after="160" w:line="259" w:lineRule="auto"/>
        <w:ind w:left="284" w:hanging="284"/>
        <w:contextualSpacing/>
        <w:rPr>
          <w:rFonts w:eastAsiaTheme="minorHAnsi"/>
        </w:rPr>
      </w:pPr>
      <w:r>
        <w:t xml:space="preserve">препоръчва на Европейския парламент, държавите членки, публичния и частния финансов сектор и Европейската комисия да изготвят </w:t>
      </w:r>
      <w:r>
        <w:rPr>
          <w:b/>
        </w:rPr>
        <w:t>дългосрочен план за увеличаване на разходите за въоръжаване и закупуване на оръжия</w:t>
      </w:r>
      <w:r>
        <w:t>, който ще улесни дългосрочните инвестиции на частния сектор и ще подкрепи плановете за производство на военно оборудване от ЕОТИБ, както и да предоставят подкрепа на ОТИБ за Украйна;</w:t>
      </w:r>
    </w:p>
    <w:p w:rsidRPr="00B612CA" w:rsidR="00B612CA" w:rsidP="00DC0FAE" w:rsidRDefault="00B612CA" w14:paraId="47D84DAE" w14:textId="77777777">
      <w:pPr>
        <w:numPr>
          <w:ilvl w:val="0"/>
          <w:numId w:val="24"/>
        </w:numPr>
        <w:spacing w:after="160" w:line="259" w:lineRule="auto"/>
        <w:ind w:left="284" w:hanging="284"/>
        <w:contextualSpacing/>
        <w:rPr>
          <w:rFonts w:eastAsiaTheme="minorHAnsi"/>
        </w:rPr>
      </w:pPr>
      <w:r>
        <w:t xml:space="preserve">препоръчва на Европейската комисия </w:t>
      </w:r>
      <w:r>
        <w:rPr>
          <w:b/>
        </w:rPr>
        <w:t>да</w:t>
      </w:r>
      <w:r>
        <w:t xml:space="preserve"> </w:t>
      </w:r>
      <w:r>
        <w:rPr>
          <w:b/>
        </w:rPr>
        <w:t>изясни произхода и използването на средствата, предназначени за ПЕОП</w:t>
      </w:r>
      <w:r>
        <w:t>;</w:t>
      </w:r>
    </w:p>
    <w:p w:rsidRPr="00B612CA" w:rsidR="00B612CA" w:rsidP="00DC0FAE" w:rsidRDefault="00B612CA" w14:paraId="5028E334" w14:textId="77777777">
      <w:pPr>
        <w:numPr>
          <w:ilvl w:val="0"/>
          <w:numId w:val="24"/>
        </w:numPr>
        <w:spacing w:after="160" w:line="259" w:lineRule="auto"/>
        <w:ind w:left="284" w:hanging="284"/>
        <w:contextualSpacing/>
        <w:rPr>
          <w:rFonts w:eastAsiaTheme="minorHAnsi"/>
        </w:rPr>
      </w:pPr>
      <w:r>
        <w:t xml:space="preserve">препоръчва на </w:t>
      </w:r>
      <w:r>
        <w:rPr>
          <w:b/>
        </w:rPr>
        <w:t>дружествата в рамките на ЕОТИБ да засилят сътрудничеството, особено с МСП и в трансграничен план</w:t>
      </w:r>
      <w:r>
        <w:t>;</w:t>
      </w:r>
    </w:p>
    <w:p w:rsidRPr="00B612CA" w:rsidR="00B612CA" w:rsidP="00DC0FAE" w:rsidRDefault="00B612CA" w14:paraId="4BA1174F" w14:textId="77777777">
      <w:pPr>
        <w:numPr>
          <w:ilvl w:val="0"/>
          <w:numId w:val="24"/>
        </w:numPr>
        <w:spacing w:after="160" w:line="259" w:lineRule="auto"/>
        <w:ind w:left="284" w:hanging="284"/>
        <w:contextualSpacing/>
        <w:rPr>
          <w:rFonts w:eastAsiaTheme="minorHAnsi"/>
        </w:rPr>
      </w:pPr>
      <w:r>
        <w:t xml:space="preserve">подчертава значението на </w:t>
      </w:r>
      <w:r>
        <w:rPr>
          <w:b/>
        </w:rPr>
        <w:t>промишленото сътрудничество с Украйна</w:t>
      </w:r>
      <w:r>
        <w:t xml:space="preserve"> в рамките на ПЕОП;</w:t>
      </w:r>
    </w:p>
    <w:p w:rsidRPr="00B612CA" w:rsidR="00B612CA" w:rsidP="00DC0FAE" w:rsidRDefault="00B612CA" w14:paraId="7E080E3B" w14:textId="77777777">
      <w:pPr>
        <w:numPr>
          <w:ilvl w:val="0"/>
          <w:numId w:val="24"/>
        </w:numPr>
        <w:spacing w:after="160" w:line="259" w:lineRule="auto"/>
        <w:ind w:left="284" w:hanging="284"/>
        <w:contextualSpacing/>
        <w:rPr>
          <w:rFonts w:eastAsiaTheme="minorHAnsi"/>
        </w:rPr>
      </w:pPr>
      <w:r>
        <w:t xml:space="preserve">предлага по-нататъшно насърчаване на </w:t>
      </w:r>
      <w:r>
        <w:rPr>
          <w:b/>
        </w:rPr>
        <w:t>полезните взаимодействия между отбранителната и гражданската промишленост</w:t>
      </w:r>
      <w:r>
        <w:t>, включително МСП и новосъздадени предприятия;</w:t>
      </w:r>
    </w:p>
    <w:p w:rsidRPr="00B612CA" w:rsidR="00B612CA" w:rsidP="00DC0FAE" w:rsidRDefault="00B612CA" w14:paraId="1616FA27" w14:textId="77777777">
      <w:pPr>
        <w:numPr>
          <w:ilvl w:val="0"/>
          <w:numId w:val="24"/>
        </w:numPr>
        <w:spacing w:after="160" w:line="259" w:lineRule="auto"/>
        <w:ind w:left="284" w:hanging="284"/>
        <w:contextualSpacing/>
        <w:rPr>
          <w:rFonts w:eastAsiaTheme="minorHAnsi"/>
        </w:rPr>
      </w:pPr>
      <w:r>
        <w:t xml:space="preserve">препоръчва в регулаторния документ за ПЕОП </w:t>
      </w:r>
      <w:r>
        <w:rPr>
          <w:b/>
        </w:rPr>
        <w:t>да се включи процентът на целите за съвместно и вътрешноевропейско закупуване</w:t>
      </w:r>
      <w:r>
        <w:t>, както е определено в съобщението относно СЕОП.</w:t>
      </w:r>
    </w:p>
    <w:p w:rsidRPr="00B612CA" w:rsidR="007724A0" w:rsidP="00DC0FAE" w:rsidRDefault="007724A0" w14:paraId="75BF54F5" w14:textId="77777777">
      <w:pPr>
        <w:spacing w:after="160" w:line="259" w:lineRule="auto"/>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3781"/>
      </w:tblGrid>
      <w:tr w:rsidRPr="00B612CA" w:rsidR="00B612CA" w:rsidTr="00DC0FAE" w14:paraId="0A0E04CE" w14:textId="77777777">
        <w:tc>
          <w:tcPr>
            <w:tcW w:w="2148" w:type="pct"/>
          </w:tcPr>
          <w:p w:rsidRPr="00DC0FAE" w:rsidR="00B612CA" w:rsidP="00DC0FAE" w:rsidRDefault="00B612CA" w14:paraId="06D84C57" w14:textId="77777777">
            <w:pPr>
              <w:spacing w:line="240" w:lineRule="auto"/>
              <w:jc w:val="left"/>
              <w:rPr>
                <w:rFonts w:eastAsiaTheme="minorHAnsi"/>
                <w:i/>
              </w:rPr>
            </w:pPr>
            <w:r>
              <w:rPr>
                <w:b/>
                <w:i/>
              </w:rPr>
              <w:t>За контакти</w:t>
            </w:r>
          </w:p>
        </w:tc>
        <w:tc>
          <w:tcPr>
            <w:tcW w:w="2852" w:type="pct"/>
            <w:tcBorders>
              <w:left w:val="nil"/>
            </w:tcBorders>
          </w:tcPr>
          <w:p w:rsidRPr="00DC0FAE" w:rsidR="00B612CA" w:rsidP="00DC0FAE" w:rsidRDefault="00B612CA" w14:paraId="32F55D6E" w14:textId="496A8A95">
            <w:pPr>
              <w:spacing w:line="240" w:lineRule="auto"/>
              <w:ind w:firstLine="177"/>
              <w:jc w:val="left"/>
              <w:rPr>
                <w:rFonts w:eastAsiaTheme="minorHAnsi"/>
                <w:i/>
              </w:rPr>
            </w:pPr>
            <w:r>
              <w:rPr>
                <w:i/>
              </w:rPr>
              <w:t>Ioannis Diamantopoulos</w:t>
            </w:r>
          </w:p>
        </w:tc>
      </w:tr>
      <w:tr w:rsidRPr="00B612CA" w:rsidR="00B612CA" w:rsidTr="00DC0FAE" w14:paraId="170A473F" w14:textId="77777777">
        <w:tc>
          <w:tcPr>
            <w:tcW w:w="2148" w:type="pct"/>
          </w:tcPr>
          <w:p w:rsidRPr="00DC0FAE" w:rsidR="00B612CA" w:rsidP="00DC0FAE" w:rsidRDefault="00B612CA" w14:paraId="56DAFD05" w14:textId="77777777">
            <w:pPr>
              <w:spacing w:line="240" w:lineRule="auto"/>
              <w:jc w:val="left"/>
              <w:rPr>
                <w:rFonts w:eastAsiaTheme="minorHAnsi"/>
                <w:i/>
              </w:rPr>
            </w:pPr>
            <w:r>
              <w:rPr>
                <w:i/>
              </w:rPr>
              <w:t>Тел</w:t>
            </w:r>
            <w:r>
              <w:rPr>
                <w:i/>
                <w:iCs/>
              </w:rPr>
              <w:t>.</w:t>
            </w:r>
            <w:r>
              <w:rPr>
                <w:i/>
              </w:rPr>
              <w:t xml:space="preserve"> </w:t>
            </w:r>
          </w:p>
        </w:tc>
        <w:tc>
          <w:tcPr>
            <w:tcW w:w="2852" w:type="pct"/>
            <w:tcBorders>
              <w:left w:val="nil"/>
            </w:tcBorders>
          </w:tcPr>
          <w:p w:rsidRPr="00DC0FAE" w:rsidR="00B612CA" w:rsidP="00DC0FAE" w:rsidRDefault="00B612CA" w14:paraId="2A298CC6" w14:textId="77777777">
            <w:pPr>
              <w:spacing w:line="240" w:lineRule="auto"/>
              <w:ind w:firstLine="177"/>
              <w:jc w:val="left"/>
              <w:rPr>
                <w:rFonts w:eastAsiaTheme="minorHAnsi"/>
                <w:i/>
              </w:rPr>
            </w:pPr>
            <w:r>
              <w:rPr>
                <w:i/>
              </w:rPr>
              <w:t>+32 25469170</w:t>
            </w:r>
          </w:p>
        </w:tc>
      </w:tr>
      <w:tr w:rsidRPr="00B612CA" w:rsidR="00B612CA" w:rsidTr="00DC0FAE" w14:paraId="279B24AC" w14:textId="77777777">
        <w:tc>
          <w:tcPr>
            <w:tcW w:w="2148" w:type="pct"/>
          </w:tcPr>
          <w:p w:rsidRPr="00DC0FAE" w:rsidR="00B612CA" w:rsidP="00DC0FAE" w:rsidRDefault="007724A0" w14:paraId="005C0206" w14:textId="59684306">
            <w:pPr>
              <w:spacing w:line="240" w:lineRule="auto"/>
              <w:jc w:val="left"/>
              <w:rPr>
                <w:rFonts w:eastAsiaTheme="minorHAnsi"/>
                <w:i/>
                <w:iCs/>
              </w:rPr>
            </w:pPr>
            <w:r>
              <w:rPr>
                <w:i/>
              </w:rPr>
              <w:t>Електронен адрес</w:t>
            </w:r>
          </w:p>
        </w:tc>
        <w:tc>
          <w:tcPr>
            <w:tcW w:w="2852" w:type="pct"/>
            <w:tcBorders>
              <w:left w:val="nil"/>
            </w:tcBorders>
          </w:tcPr>
          <w:p w:rsidRPr="00DC0FAE" w:rsidR="00B612CA" w:rsidP="00DC0FAE" w:rsidRDefault="00606C04" w14:paraId="64C65441" w14:textId="2972B3EB">
            <w:pPr>
              <w:spacing w:line="240" w:lineRule="auto"/>
              <w:ind w:firstLine="177"/>
              <w:jc w:val="left"/>
              <w:rPr>
                <w:rFonts w:eastAsiaTheme="minorHAnsi"/>
                <w:i/>
                <w:iCs/>
              </w:rPr>
            </w:pPr>
            <w:hyperlink w:history="1" r:id="rId37">
              <w:r w:rsidR="005C28F2">
                <w:rPr>
                  <w:rStyle w:val="Hyperlink"/>
                </w:rPr>
                <w:t>Ioannis.Diamantopoulos@eesc.europa.eu</w:t>
              </w:r>
            </w:hyperlink>
          </w:p>
        </w:tc>
      </w:tr>
    </w:tbl>
    <w:p w:rsidR="00B612CA" w:rsidP="00895853" w:rsidRDefault="00B612CA" w14:paraId="1175548C" w14:textId="715AB7C7">
      <w:pPr>
        <w:overflowPunct w:val="0"/>
        <w:autoSpaceDE w:val="0"/>
        <w:autoSpaceDN w:val="0"/>
        <w:adjustRightInd w:val="0"/>
        <w:jc w:val="left"/>
        <w:textAlignment w:val="baseline"/>
        <w:rPr>
          <w:lang w:val="nl-BE"/>
        </w:rPr>
      </w:pPr>
    </w:p>
    <w:p w:rsidR="00B612CA" w:rsidRDefault="00B612CA" w14:paraId="4049531D" w14:textId="77777777">
      <w:pPr>
        <w:spacing w:after="160" w:line="259" w:lineRule="auto"/>
        <w:jc w:val="left"/>
      </w:pPr>
      <w:r>
        <w:br w:type="page"/>
      </w:r>
    </w:p>
    <w:p w:rsidRPr="00B612CA" w:rsidR="00B612CA" w:rsidP="0012073D" w:rsidRDefault="00606C04" w14:paraId="2A9B1900" w14:textId="09925451">
      <w:pPr>
        <w:widowControl w:val="0"/>
        <w:numPr>
          <w:ilvl w:val="0"/>
          <w:numId w:val="4"/>
        </w:numPr>
        <w:tabs>
          <w:tab w:val="center" w:pos="567"/>
        </w:tabs>
        <w:overflowPunct w:val="0"/>
        <w:autoSpaceDE w:val="0"/>
        <w:autoSpaceDN w:val="0"/>
        <w:adjustRightInd w:val="0"/>
        <w:spacing w:line="259" w:lineRule="auto"/>
        <w:ind w:left="567" w:hanging="567"/>
        <w:jc w:val="left"/>
        <w:textAlignment w:val="baseline"/>
        <w:rPr>
          <w:rFonts w:eastAsiaTheme="minorHAnsi"/>
          <w:b/>
          <w:sz w:val="28"/>
          <w:szCs w:val="28"/>
        </w:rPr>
      </w:pPr>
      <w:hyperlink w:history="1" r:id="rId38">
        <w:r w:rsidR="00171CE5">
          <w:rPr>
            <w:b/>
            <w:color w:val="0000FF"/>
            <w:sz w:val="28"/>
            <w:u w:val="single"/>
          </w:rPr>
          <w:t>Производството на безпилотни летателни апарати: проучване на практически казус с оглед постигането на стратегическа автономност</w:t>
        </w:r>
      </w:hyperlink>
    </w:p>
    <w:p w:rsidRPr="00B612CA" w:rsidR="00DD6D07" w:rsidP="00DC0FAE" w:rsidRDefault="00DD6D07" w14:paraId="4DADB4F0" w14:textId="77777777">
      <w:pPr>
        <w:widowControl w:val="0"/>
        <w:overflowPunct w:val="0"/>
        <w:autoSpaceDE w:val="0"/>
        <w:autoSpaceDN w:val="0"/>
        <w:adjustRightInd w:val="0"/>
        <w:textAlignment w:val="baseline"/>
        <w:rPr>
          <w:rFonts w:eastAsiaTheme="minorHAnsi"/>
          <w:b/>
          <w:sz w:val="16"/>
          <w:szCs w:val="16"/>
          <w:lang w:val="en-US"/>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436"/>
      </w:tblGrid>
      <w:tr w:rsidRPr="00B612CA" w:rsidR="00B612CA" w:rsidTr="0012073D" w14:paraId="3BDDEC70" w14:textId="77777777">
        <w:tc>
          <w:tcPr>
            <w:tcW w:w="1583" w:type="pct"/>
          </w:tcPr>
          <w:p w:rsidRPr="00DC0FAE" w:rsidR="00B612CA" w:rsidP="00DC0FAE" w:rsidRDefault="00B612CA" w14:paraId="72524AE6" w14:textId="77777777">
            <w:pPr>
              <w:tabs>
                <w:tab w:val="center" w:pos="284"/>
              </w:tabs>
              <w:ind w:left="266" w:hanging="266"/>
              <w:jc w:val="left"/>
              <w:rPr>
                <w:rFonts w:eastAsiaTheme="minorHAnsi"/>
                <w:b/>
                <w:szCs w:val="24"/>
              </w:rPr>
            </w:pPr>
            <w:r>
              <w:rPr>
                <w:b/>
              </w:rPr>
              <w:t>Докладчик</w:t>
            </w:r>
          </w:p>
        </w:tc>
        <w:tc>
          <w:tcPr>
            <w:tcW w:w="3417" w:type="pct"/>
          </w:tcPr>
          <w:p w:rsidRPr="00DC0FAE" w:rsidR="00B612CA" w:rsidP="00DC0FAE" w:rsidRDefault="00B612CA" w14:paraId="5A103C16" w14:textId="77777777">
            <w:pPr>
              <w:tabs>
                <w:tab w:val="center" w:pos="0"/>
              </w:tabs>
              <w:ind w:left="27" w:hanging="27"/>
              <w:jc w:val="left"/>
              <w:rPr>
                <w:rFonts w:eastAsiaTheme="minorHAnsi"/>
                <w:szCs w:val="24"/>
              </w:rPr>
            </w:pPr>
            <w:r>
              <w:t>Panagiotis GKOFAS (група „Организации на гражданското общество“ — EL)</w:t>
            </w:r>
          </w:p>
        </w:tc>
      </w:tr>
      <w:tr w:rsidRPr="00B612CA" w:rsidR="00B612CA" w:rsidTr="0012073D" w14:paraId="4789CE29" w14:textId="77777777">
        <w:tc>
          <w:tcPr>
            <w:tcW w:w="1583" w:type="pct"/>
          </w:tcPr>
          <w:p w:rsidRPr="00DC0FAE" w:rsidR="00B612CA" w:rsidP="00DC0FAE" w:rsidRDefault="00B612CA" w14:paraId="4BC4535D" w14:textId="77777777">
            <w:pPr>
              <w:tabs>
                <w:tab w:val="center" w:pos="284"/>
              </w:tabs>
              <w:ind w:left="266" w:hanging="266"/>
              <w:jc w:val="left"/>
              <w:rPr>
                <w:rFonts w:eastAsiaTheme="minorHAnsi"/>
                <w:b/>
                <w:szCs w:val="24"/>
              </w:rPr>
            </w:pPr>
            <w:r>
              <w:rPr>
                <w:b/>
              </w:rPr>
              <w:t>Съдокладчик</w:t>
            </w:r>
          </w:p>
        </w:tc>
        <w:tc>
          <w:tcPr>
            <w:tcW w:w="3417" w:type="pct"/>
          </w:tcPr>
          <w:p w:rsidRPr="00DC0FAE" w:rsidR="00B612CA" w:rsidP="00DC0FAE" w:rsidRDefault="00B612CA" w14:paraId="45BEE5FC" w14:textId="77777777">
            <w:pPr>
              <w:tabs>
                <w:tab w:val="center" w:pos="284"/>
              </w:tabs>
              <w:ind w:left="266" w:hanging="266"/>
              <w:jc w:val="left"/>
              <w:rPr>
                <w:rFonts w:eastAsiaTheme="minorHAnsi"/>
                <w:szCs w:val="24"/>
              </w:rPr>
            </w:pPr>
            <w:r>
              <w:t>Patrice François CHAZERAND (Кат. 1 — FR)</w:t>
            </w:r>
          </w:p>
        </w:tc>
      </w:tr>
      <w:tr w:rsidRPr="00B612CA" w:rsidR="00B612CA" w:rsidTr="00FE3058" w14:paraId="5E7071EE" w14:textId="77777777">
        <w:tc>
          <w:tcPr>
            <w:tcW w:w="5000" w:type="pct"/>
            <w:gridSpan w:val="2"/>
          </w:tcPr>
          <w:p w:rsidRPr="00DC0FAE" w:rsidR="00B612CA" w:rsidP="00B612CA" w:rsidRDefault="00B612CA" w14:paraId="0CB6DE07" w14:textId="77777777">
            <w:pPr>
              <w:tabs>
                <w:tab w:val="center" w:pos="284"/>
              </w:tabs>
              <w:spacing w:after="160"/>
              <w:ind w:left="266" w:hanging="266"/>
              <w:jc w:val="left"/>
              <w:rPr>
                <w:rFonts w:eastAsiaTheme="minorHAnsi"/>
                <w:sz w:val="16"/>
                <w:szCs w:val="18"/>
              </w:rPr>
            </w:pPr>
          </w:p>
        </w:tc>
      </w:tr>
      <w:tr w:rsidRPr="00B612CA" w:rsidR="00B612CA" w:rsidTr="0012073D" w14:paraId="5C97F1F0" w14:textId="77777777">
        <w:tc>
          <w:tcPr>
            <w:tcW w:w="1583" w:type="pct"/>
            <w:vMerge w:val="restart"/>
          </w:tcPr>
          <w:p w:rsidRPr="00DC0FAE" w:rsidR="00B612CA" w:rsidP="00B612CA" w:rsidRDefault="00B612CA" w14:paraId="1ACFAAEE" w14:textId="77777777">
            <w:pPr>
              <w:tabs>
                <w:tab w:val="center" w:pos="284"/>
              </w:tabs>
              <w:spacing w:after="160"/>
              <w:ind w:left="266" w:hanging="266"/>
              <w:jc w:val="left"/>
              <w:rPr>
                <w:rFonts w:eastAsiaTheme="minorHAnsi"/>
                <w:b/>
                <w:szCs w:val="24"/>
              </w:rPr>
            </w:pPr>
            <w:r>
              <w:rPr>
                <w:b/>
              </w:rPr>
              <w:t>Отправни документи</w:t>
            </w:r>
          </w:p>
        </w:tc>
        <w:tc>
          <w:tcPr>
            <w:tcW w:w="3417" w:type="pct"/>
          </w:tcPr>
          <w:p w:rsidR="008E5F1F" w:rsidP="00DC0FAE" w:rsidRDefault="008E5F1F" w14:paraId="4FD72709" w14:textId="77777777">
            <w:pPr>
              <w:tabs>
                <w:tab w:val="center" w:pos="284"/>
              </w:tabs>
              <w:ind w:left="266" w:hanging="266"/>
              <w:jc w:val="left"/>
              <w:rPr>
                <w:rFonts w:eastAsiaTheme="minorHAnsi"/>
                <w:szCs w:val="24"/>
              </w:rPr>
            </w:pPr>
            <w:r>
              <w:t>Становище по собствена инициатива</w:t>
            </w:r>
          </w:p>
          <w:p w:rsidRPr="00DC0FAE" w:rsidR="00B612CA" w:rsidP="00DC0FAE" w:rsidRDefault="00B612CA" w14:paraId="2BDD1C6B" w14:textId="29BCECDA">
            <w:pPr>
              <w:tabs>
                <w:tab w:val="center" w:pos="284"/>
              </w:tabs>
              <w:ind w:left="266" w:hanging="266"/>
              <w:jc w:val="left"/>
              <w:rPr>
                <w:rFonts w:eastAsiaTheme="minorHAnsi"/>
                <w:szCs w:val="24"/>
              </w:rPr>
            </w:pPr>
            <w:r>
              <w:t>EESC-2024-00046-00-00-AC</w:t>
            </w:r>
          </w:p>
        </w:tc>
      </w:tr>
      <w:tr w:rsidRPr="00B612CA" w:rsidR="00B612CA" w:rsidTr="0012073D" w14:paraId="262D674B" w14:textId="77777777">
        <w:tc>
          <w:tcPr>
            <w:tcW w:w="1583" w:type="pct"/>
            <w:vMerge/>
          </w:tcPr>
          <w:p w:rsidRPr="00B612CA" w:rsidR="00B612CA" w:rsidP="00B612CA" w:rsidRDefault="00B612CA" w14:paraId="4C295F73" w14:textId="77777777">
            <w:pPr>
              <w:tabs>
                <w:tab w:val="center" w:pos="284"/>
              </w:tabs>
              <w:spacing w:after="160"/>
              <w:ind w:left="266" w:hanging="266"/>
              <w:jc w:val="left"/>
              <w:rPr>
                <w:rFonts w:asciiTheme="minorHAnsi" w:hAnsiTheme="minorHAnsi" w:eastAsiaTheme="minorHAnsi" w:cstheme="minorBidi"/>
                <w:b/>
                <w:szCs w:val="24"/>
              </w:rPr>
            </w:pPr>
          </w:p>
        </w:tc>
        <w:tc>
          <w:tcPr>
            <w:tcW w:w="3417" w:type="pct"/>
          </w:tcPr>
          <w:p w:rsidRPr="00B612CA" w:rsidR="00B612CA" w:rsidP="00B612CA" w:rsidRDefault="00B612CA" w14:paraId="6A3FA1C1" w14:textId="77777777">
            <w:pPr>
              <w:tabs>
                <w:tab w:val="center" w:pos="284"/>
              </w:tabs>
              <w:spacing w:after="160"/>
              <w:ind w:left="266" w:hanging="266"/>
              <w:jc w:val="left"/>
              <w:rPr>
                <w:rFonts w:asciiTheme="minorHAnsi" w:hAnsiTheme="minorHAnsi" w:eastAsiaTheme="minorHAnsi" w:cstheme="minorBidi"/>
                <w:szCs w:val="24"/>
              </w:rPr>
            </w:pPr>
          </w:p>
        </w:tc>
      </w:tr>
    </w:tbl>
    <w:p w:rsidRPr="00B612CA" w:rsidR="00B612CA" w:rsidP="00B612CA" w:rsidRDefault="00B612CA" w14:paraId="5D3EDF6C" w14:textId="77777777">
      <w:pPr>
        <w:keepNext/>
        <w:keepLines/>
        <w:spacing w:after="160"/>
        <w:ind w:left="142" w:hanging="142"/>
        <w:jc w:val="left"/>
        <w:rPr>
          <w:rFonts w:eastAsiaTheme="minorHAnsi"/>
          <w:b/>
        </w:rPr>
      </w:pPr>
      <w:r>
        <w:rPr>
          <w:b/>
        </w:rPr>
        <w:t>Основни аспекти</w:t>
      </w:r>
    </w:p>
    <w:p w:rsidR="00B612CA" w:rsidP="002F57E9" w:rsidRDefault="00B612CA" w14:paraId="500E1CB5" w14:textId="1961B0BC">
      <w:pPr>
        <w:spacing w:after="160"/>
        <w:ind w:left="142" w:hanging="142"/>
        <w:jc w:val="left"/>
        <w:rPr>
          <w:rFonts w:eastAsiaTheme="minorHAnsi"/>
        </w:rPr>
      </w:pPr>
      <w:r>
        <w:t>ЕИСК:</w:t>
      </w:r>
    </w:p>
    <w:p w:rsidRPr="00B612CA" w:rsidR="00B612CA" w:rsidP="00DC0FAE" w:rsidRDefault="00B612CA" w14:paraId="487029DD" w14:textId="77777777">
      <w:pPr>
        <w:numPr>
          <w:ilvl w:val="0"/>
          <w:numId w:val="25"/>
        </w:numPr>
        <w:spacing w:line="259" w:lineRule="auto"/>
        <w:ind w:left="284" w:hanging="284"/>
        <w:rPr>
          <w:rFonts w:eastAsiaTheme="minorHAnsi"/>
        </w:rPr>
      </w:pPr>
      <w:r>
        <w:t xml:space="preserve">счита, че връзката на </w:t>
      </w:r>
      <w:r>
        <w:rPr>
          <w:b/>
        </w:rPr>
        <w:t>Европейската стратегия за безпилотните летателни апарати</w:t>
      </w:r>
      <w:r>
        <w:t xml:space="preserve"> със </w:t>
      </w:r>
      <w:r>
        <w:rPr>
          <w:b/>
        </w:rPr>
        <w:t>стратегията за европейската отбранителна промишленост</w:t>
      </w:r>
      <w:r>
        <w:t xml:space="preserve"> и интегрирането на </w:t>
      </w:r>
      <w:r>
        <w:rPr>
          <w:b/>
        </w:rPr>
        <w:t>Европейската отбранителна технологична и индустриална база (ЕОТИБ)</w:t>
      </w:r>
      <w:r>
        <w:t xml:space="preserve"> в подкрепа на </w:t>
      </w:r>
      <w:r>
        <w:rPr>
          <w:b/>
        </w:rPr>
        <w:t>местното производство на висококачествени безпилотни летателни апарати с голям капацитет</w:t>
      </w:r>
      <w:r>
        <w:t xml:space="preserve"> чрез </w:t>
      </w:r>
      <w:r>
        <w:rPr>
          <w:b/>
        </w:rPr>
        <w:t>постоянен поток от договори за обществени поръчки</w:t>
      </w:r>
      <w:r>
        <w:t xml:space="preserve"> е от съществено значение за критичната независимост на Европа;</w:t>
      </w:r>
    </w:p>
    <w:p w:rsidRPr="00B612CA" w:rsidR="00B612CA" w:rsidP="00DC0FAE" w:rsidRDefault="00B612CA" w14:paraId="1202E286" w14:textId="77777777">
      <w:pPr>
        <w:numPr>
          <w:ilvl w:val="0"/>
          <w:numId w:val="25"/>
        </w:numPr>
        <w:spacing w:line="259" w:lineRule="auto"/>
        <w:ind w:left="284" w:hanging="284"/>
        <w:rPr>
          <w:rFonts w:eastAsiaTheme="minorHAnsi"/>
        </w:rPr>
      </w:pPr>
      <w:r>
        <w:t xml:space="preserve">продължава да се застъпва за </w:t>
      </w:r>
      <w:r>
        <w:rPr>
          <w:b/>
        </w:rPr>
        <w:t>подобрено сътрудничество и иновации</w:t>
      </w:r>
      <w:r>
        <w:t xml:space="preserve">, както и за използване на законодателство като Законодателния акт за изкуствения интелект и Законодателния акт за интегралните схеми, за да </w:t>
      </w:r>
      <w:r>
        <w:rPr>
          <w:b/>
        </w:rPr>
        <w:t>се повиши стратегическата автономност</w:t>
      </w:r>
      <w:r>
        <w:t xml:space="preserve"> и да се подкрепят националната сигурност и икономическият растеж;</w:t>
      </w:r>
    </w:p>
    <w:p w:rsidRPr="00B612CA" w:rsidR="00B612CA" w:rsidP="00DC0FAE" w:rsidRDefault="00B612CA" w14:paraId="13B8DCFD" w14:textId="77777777">
      <w:pPr>
        <w:numPr>
          <w:ilvl w:val="0"/>
          <w:numId w:val="25"/>
        </w:numPr>
        <w:spacing w:line="259" w:lineRule="auto"/>
        <w:ind w:left="284" w:hanging="284"/>
        <w:rPr>
          <w:rFonts w:eastAsiaTheme="minorHAnsi"/>
        </w:rPr>
      </w:pPr>
      <w:r>
        <w:t xml:space="preserve">подчертава, че необходимостта от </w:t>
      </w:r>
      <w:r>
        <w:rPr>
          <w:b/>
        </w:rPr>
        <w:t>съгласуваност между военната и гражданската научноизследователска и развойна дейност (НИРД)</w:t>
      </w:r>
      <w:r>
        <w:t xml:space="preserve"> само ще нараства, тъй като в безпилотните летателни апарати ще се използват все повече автоматизация, машинно самообучение и изкуствен интелект (ИИ);</w:t>
      </w:r>
    </w:p>
    <w:p w:rsidRPr="00B612CA" w:rsidR="00B612CA" w:rsidP="00DC0FAE" w:rsidRDefault="00B612CA" w14:paraId="36029321" w14:textId="77777777">
      <w:pPr>
        <w:numPr>
          <w:ilvl w:val="0"/>
          <w:numId w:val="25"/>
        </w:numPr>
        <w:spacing w:line="259" w:lineRule="auto"/>
        <w:ind w:left="284" w:hanging="284"/>
        <w:rPr>
          <w:rFonts w:eastAsiaTheme="minorHAnsi"/>
        </w:rPr>
      </w:pPr>
      <w:r>
        <w:t xml:space="preserve">счита, че </w:t>
      </w:r>
      <w:r>
        <w:rPr>
          <w:b/>
        </w:rPr>
        <w:t>стратегическа пътна карта за технологиите за безпилотни летателни апарати за Европа</w:t>
      </w:r>
      <w:r>
        <w:t xml:space="preserve"> е от съществено значение за критичните технологии за безпилотни летателни апарати и безпилотните системи с двойна употреба, като вероятно ще осигури структуриран подход към напредъка на технологиите за безпилотни летателни апарати;</w:t>
      </w:r>
    </w:p>
    <w:p w:rsidRPr="00B612CA" w:rsidR="00B612CA" w:rsidP="00DC0FAE" w:rsidRDefault="00B612CA" w14:paraId="1BD31BD4" w14:textId="77777777">
      <w:pPr>
        <w:numPr>
          <w:ilvl w:val="0"/>
          <w:numId w:val="25"/>
        </w:numPr>
        <w:spacing w:line="259" w:lineRule="auto"/>
        <w:ind w:left="284" w:hanging="284"/>
        <w:rPr>
          <w:rFonts w:eastAsiaTheme="minorHAnsi"/>
        </w:rPr>
      </w:pPr>
      <w:r>
        <w:t xml:space="preserve">подчертава, че следва да се обмисли задълбочено </w:t>
      </w:r>
      <w:r>
        <w:rPr>
          <w:b/>
        </w:rPr>
        <w:t>финансовото подпомагане на потенциалните инвестиции в производството на безпилотни летателни апарати и в интегрирането на веригите за доставки и създаване на стойност</w:t>
      </w:r>
      <w:r>
        <w:t>;</w:t>
      </w:r>
    </w:p>
    <w:p w:rsidRPr="00B612CA" w:rsidR="00B612CA" w:rsidP="00DC0FAE" w:rsidRDefault="00B612CA" w14:paraId="0CDF4865" w14:textId="77777777">
      <w:pPr>
        <w:numPr>
          <w:ilvl w:val="0"/>
          <w:numId w:val="25"/>
        </w:numPr>
        <w:spacing w:line="259" w:lineRule="auto"/>
        <w:ind w:left="284" w:hanging="284"/>
        <w:rPr>
          <w:rFonts w:eastAsiaTheme="minorHAnsi"/>
        </w:rPr>
      </w:pPr>
      <w:r>
        <w:t>изтъква, че ЕС следва да работи по-активно на световно равнище, по-специално по отношение на процедурите за сертифициране;</w:t>
      </w:r>
    </w:p>
    <w:p w:rsidRPr="00B612CA" w:rsidR="00B612CA" w:rsidP="00DC0FAE" w:rsidRDefault="00B612CA" w14:paraId="6CE8FCE4" w14:textId="77777777">
      <w:pPr>
        <w:numPr>
          <w:ilvl w:val="0"/>
          <w:numId w:val="25"/>
        </w:numPr>
        <w:spacing w:line="259" w:lineRule="auto"/>
        <w:ind w:left="284" w:hanging="284"/>
        <w:rPr>
          <w:rFonts w:eastAsiaTheme="minorHAnsi"/>
        </w:rPr>
      </w:pPr>
      <w:r>
        <w:t xml:space="preserve">отбелязва, че </w:t>
      </w:r>
      <w:r>
        <w:rPr>
          <w:b/>
        </w:rPr>
        <w:t>приемането от обществото</w:t>
      </w:r>
      <w:r>
        <w:t xml:space="preserve"> на иновативните операции за въздушна мобилност е от съществено значение: подкрепата на ЕС може да укрепи цялостната екосистема на въздухоплаването, като допринесе за нейния растеж и устойчивост;</w:t>
      </w:r>
    </w:p>
    <w:p w:rsidRPr="00B612CA" w:rsidR="00B612CA" w:rsidP="00DC0FAE" w:rsidRDefault="00B612CA" w14:paraId="413AAB7E" w14:textId="77777777">
      <w:pPr>
        <w:numPr>
          <w:ilvl w:val="0"/>
          <w:numId w:val="25"/>
        </w:numPr>
        <w:spacing w:line="259" w:lineRule="auto"/>
        <w:ind w:left="284" w:hanging="284"/>
        <w:rPr>
          <w:rFonts w:eastAsiaTheme="minorHAnsi"/>
        </w:rPr>
      </w:pPr>
      <w:r>
        <w:t xml:space="preserve">изтъква, че ЕС следва също така да бъде готов да създаде консолидирана </w:t>
      </w:r>
      <w:r>
        <w:rPr>
          <w:b/>
        </w:rPr>
        <w:t>стратегия за разработване на обща рамка за противодействие срещу безпилотни летателни апарати</w:t>
      </w:r>
      <w:r>
        <w:t xml:space="preserve"> за справяне с множество рискове, свързани с хибридни заплахи, терористични действия, агресия от други държави и дори злоупотреби на гражданско равнище.</w:t>
      </w:r>
    </w:p>
    <w:p w:rsidRPr="00B612CA" w:rsidR="00B612CA" w:rsidP="00B612CA"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7"/>
        <w:gridCol w:w="3744"/>
      </w:tblGrid>
      <w:tr w:rsidRPr="00B612CA" w:rsidR="00B612CA" w:rsidTr="00FE3058" w14:paraId="4B20577C" w14:textId="77777777">
        <w:tc>
          <w:tcPr>
            <w:tcW w:w="2089" w:type="pct"/>
          </w:tcPr>
          <w:p w:rsidRPr="00DC0FAE" w:rsidR="00B612CA" w:rsidP="0012073D" w:rsidRDefault="00B612CA" w14:paraId="2947396D" w14:textId="77777777">
            <w:pPr>
              <w:keepNext/>
              <w:spacing w:line="259" w:lineRule="auto"/>
              <w:jc w:val="left"/>
              <w:rPr>
                <w:rFonts w:eastAsiaTheme="minorHAnsi"/>
                <w:i/>
              </w:rPr>
            </w:pPr>
            <w:r>
              <w:rPr>
                <w:b/>
                <w:i/>
              </w:rPr>
              <w:t>За контакти</w:t>
            </w:r>
          </w:p>
        </w:tc>
        <w:tc>
          <w:tcPr>
            <w:tcW w:w="2911" w:type="pct"/>
            <w:tcBorders>
              <w:left w:val="nil"/>
            </w:tcBorders>
          </w:tcPr>
          <w:p w:rsidRPr="00DC0FAE" w:rsidR="00B612CA" w:rsidP="0012073D" w:rsidRDefault="00B612CA" w14:paraId="2C72CC9C" w14:textId="59DEF34B">
            <w:pPr>
              <w:keepNext/>
              <w:spacing w:line="259" w:lineRule="auto"/>
              <w:jc w:val="left"/>
              <w:rPr>
                <w:rFonts w:eastAsiaTheme="minorHAnsi"/>
                <w:i/>
              </w:rPr>
            </w:pPr>
            <w:r>
              <w:rPr>
                <w:i/>
              </w:rPr>
              <w:t>Ioannis Diamantopoulos</w:t>
            </w:r>
          </w:p>
        </w:tc>
      </w:tr>
      <w:tr w:rsidRPr="00B612CA" w:rsidR="00B612CA" w:rsidTr="00FE3058" w14:paraId="2E3E56CC" w14:textId="77777777">
        <w:tc>
          <w:tcPr>
            <w:tcW w:w="2089" w:type="pct"/>
          </w:tcPr>
          <w:p w:rsidRPr="00DC0FAE" w:rsidR="00B612CA" w:rsidP="00DC0FAE" w:rsidRDefault="00B612CA" w14:paraId="32C90F95" w14:textId="77777777">
            <w:pPr>
              <w:spacing w:line="259" w:lineRule="auto"/>
              <w:jc w:val="left"/>
              <w:rPr>
                <w:rFonts w:eastAsiaTheme="minorHAnsi"/>
                <w:i/>
              </w:rPr>
            </w:pPr>
            <w:r>
              <w:rPr>
                <w:i/>
              </w:rPr>
              <w:t>Тел</w:t>
            </w:r>
            <w:r>
              <w:rPr>
                <w:i/>
                <w:iCs/>
              </w:rPr>
              <w:t>.</w:t>
            </w:r>
            <w:r>
              <w:rPr>
                <w:i/>
              </w:rPr>
              <w:t xml:space="preserve"> </w:t>
            </w:r>
          </w:p>
        </w:tc>
        <w:tc>
          <w:tcPr>
            <w:tcW w:w="2911" w:type="pct"/>
            <w:tcBorders>
              <w:left w:val="nil"/>
            </w:tcBorders>
          </w:tcPr>
          <w:p w:rsidRPr="00DC0FAE" w:rsidR="00B612CA" w:rsidP="00DC0FAE" w:rsidRDefault="00B612CA" w14:paraId="6667914E" w14:textId="77777777">
            <w:pPr>
              <w:spacing w:line="259" w:lineRule="auto"/>
              <w:jc w:val="left"/>
              <w:rPr>
                <w:rFonts w:eastAsiaTheme="minorHAnsi"/>
                <w:i/>
              </w:rPr>
            </w:pPr>
            <w:r>
              <w:rPr>
                <w:i/>
              </w:rPr>
              <w:t>+32 25469170</w:t>
            </w:r>
          </w:p>
        </w:tc>
      </w:tr>
      <w:tr w:rsidRPr="00B612CA" w:rsidR="00B612CA" w:rsidTr="00FE3058" w14:paraId="5E62AD0C" w14:textId="77777777">
        <w:tc>
          <w:tcPr>
            <w:tcW w:w="2089" w:type="pct"/>
          </w:tcPr>
          <w:p w:rsidRPr="00DC0FAE" w:rsidR="00B612CA" w:rsidP="00DC0FAE" w:rsidRDefault="00B612CA" w14:paraId="28949472" w14:textId="77777777">
            <w:pPr>
              <w:spacing w:line="259" w:lineRule="auto"/>
              <w:jc w:val="left"/>
              <w:rPr>
                <w:rFonts w:eastAsiaTheme="minorHAnsi"/>
                <w:i/>
                <w:iCs/>
              </w:rPr>
            </w:pPr>
            <w:r>
              <w:rPr>
                <w:i/>
              </w:rPr>
              <w:t>Електронен адрес</w:t>
            </w:r>
          </w:p>
        </w:tc>
        <w:tc>
          <w:tcPr>
            <w:tcW w:w="2911" w:type="pct"/>
            <w:tcBorders>
              <w:left w:val="nil"/>
            </w:tcBorders>
          </w:tcPr>
          <w:p w:rsidRPr="00DC0FAE" w:rsidR="00B612CA" w:rsidP="00DC0FAE" w:rsidRDefault="00606C04" w14:paraId="670FA610" w14:textId="3DD50747">
            <w:pPr>
              <w:spacing w:line="259" w:lineRule="auto"/>
              <w:jc w:val="left"/>
              <w:rPr>
                <w:rFonts w:eastAsiaTheme="minorHAnsi"/>
                <w:i/>
                <w:iCs/>
              </w:rPr>
            </w:pPr>
            <w:hyperlink w:history="1" r:id="rId39">
              <w:r w:rsidR="005C28F2">
                <w:rPr>
                  <w:rStyle w:val="Hyperlink"/>
                </w:rPr>
                <w:t>Ioannis.Diamantopoulos@eesc.europa.eu</w:t>
              </w:r>
            </w:hyperlink>
          </w:p>
        </w:tc>
      </w:tr>
    </w:tbl>
    <w:p w:rsidR="00DD6D07" w:rsidP="0012073D" w:rsidRDefault="00DD6D07" w14:paraId="00CC9B58" w14:textId="77777777">
      <w:pPr>
        <w:spacing w:after="160" w:line="120" w:lineRule="auto"/>
        <w:jc w:val="left"/>
      </w:pPr>
      <w:r>
        <w:br w:type="page"/>
      </w:r>
    </w:p>
    <w:p w:rsidR="00B612CA" w:rsidP="00895853" w:rsidRDefault="00B612CA" w14:paraId="57B89030" w14:textId="77777777">
      <w:pPr>
        <w:overflowPunct w:val="0"/>
        <w:autoSpaceDE w:val="0"/>
        <w:autoSpaceDN w:val="0"/>
        <w:adjustRightInd w:val="0"/>
        <w:jc w:val="left"/>
        <w:textAlignment w:val="baseline"/>
        <w:rPr>
          <w:lang w:val="nl-BE"/>
        </w:rPr>
      </w:pPr>
    </w:p>
    <w:p w:rsidRPr="000120E1" w:rsidR="000120E1" w:rsidP="00C26C81" w:rsidRDefault="00606C04" w14:paraId="55A70BD2" w14:textId="705E33C5">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40">
        <w:r w:rsidR="00171CE5">
          <w:rPr>
            <w:b/>
            <w:i/>
            <w:color w:val="0000FF"/>
            <w:sz w:val="28"/>
            <w:u w:val="single"/>
          </w:rPr>
          <w:t>Съобщение относно промишленото управление на въглеродните емисии</w:t>
        </w:r>
      </w:hyperlink>
    </w:p>
    <w:p w:rsidRPr="000120E1" w:rsidR="000120E1" w:rsidP="000120E1" w:rsidRDefault="000120E1" w14:paraId="047D66DC" w14:textId="726FFD6D">
      <w:pPr>
        <w:widowControl w:val="0"/>
        <w:tabs>
          <w:tab w:val="center" w:pos="284"/>
        </w:tabs>
        <w:overflowPunct w:val="0"/>
        <w:autoSpaceDE w:val="0"/>
        <w:autoSpaceDN w:val="0"/>
        <w:adjustRightInd w:val="0"/>
        <w:textAlignment w:val="baseline"/>
        <w:rPr>
          <w:rFonts w:eastAsiaTheme="minorHAnsi"/>
          <w:b/>
          <w:lang w:val="en-US"/>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5"/>
        <w:gridCol w:w="5850"/>
      </w:tblGrid>
      <w:tr w:rsidRPr="000120E1" w:rsidR="000120E1" w:rsidTr="0012073D" w14:paraId="7AA7740B" w14:textId="77777777">
        <w:tc>
          <w:tcPr>
            <w:tcW w:w="1444" w:type="pct"/>
          </w:tcPr>
          <w:p w:rsidRPr="00DC0FAE" w:rsidR="000120E1" w:rsidP="00DC0FAE" w:rsidRDefault="000120E1" w14:paraId="59DFCB28" w14:textId="77777777">
            <w:pPr>
              <w:tabs>
                <w:tab w:val="center" w:pos="284"/>
              </w:tabs>
              <w:spacing w:line="259" w:lineRule="auto"/>
              <w:ind w:left="266" w:hanging="266"/>
              <w:jc w:val="left"/>
              <w:rPr>
                <w:rFonts w:eastAsiaTheme="minorHAnsi"/>
                <w:b/>
                <w:szCs w:val="24"/>
              </w:rPr>
            </w:pPr>
            <w:r>
              <w:rPr>
                <w:b/>
              </w:rPr>
              <w:t>Докладчик</w:t>
            </w:r>
          </w:p>
        </w:tc>
        <w:tc>
          <w:tcPr>
            <w:tcW w:w="3556" w:type="pct"/>
          </w:tcPr>
          <w:p w:rsidRPr="00DC0FAE" w:rsidR="000120E1" w:rsidP="00DC0FAE" w:rsidRDefault="000120E1" w14:paraId="79819113" w14:textId="77777777">
            <w:pPr>
              <w:tabs>
                <w:tab w:val="center" w:pos="284"/>
              </w:tabs>
              <w:spacing w:line="259" w:lineRule="auto"/>
              <w:ind w:left="266" w:hanging="266"/>
              <w:jc w:val="left"/>
              <w:rPr>
                <w:rFonts w:eastAsiaTheme="minorHAnsi"/>
                <w:szCs w:val="24"/>
              </w:rPr>
            </w:pPr>
            <w:r>
              <w:t>Gonçalo LOBO XAVIER (група „Работодатели“ — PT)</w:t>
            </w:r>
          </w:p>
        </w:tc>
      </w:tr>
      <w:tr w:rsidRPr="000120E1" w:rsidR="000120E1" w:rsidTr="0012073D" w14:paraId="2A3124EA" w14:textId="77777777">
        <w:tc>
          <w:tcPr>
            <w:tcW w:w="1444" w:type="pct"/>
          </w:tcPr>
          <w:p w:rsidRPr="00DC0FAE" w:rsidR="000120E1" w:rsidP="00DC0FAE" w:rsidRDefault="000120E1" w14:paraId="051BCACD" w14:textId="77777777">
            <w:pPr>
              <w:tabs>
                <w:tab w:val="center" w:pos="284"/>
              </w:tabs>
              <w:spacing w:line="259" w:lineRule="auto"/>
              <w:ind w:left="266" w:hanging="266"/>
              <w:jc w:val="left"/>
              <w:rPr>
                <w:rFonts w:eastAsiaTheme="minorHAnsi"/>
                <w:b/>
                <w:szCs w:val="24"/>
              </w:rPr>
            </w:pPr>
            <w:r>
              <w:rPr>
                <w:b/>
              </w:rPr>
              <w:t>Съдокладчик</w:t>
            </w:r>
          </w:p>
        </w:tc>
        <w:tc>
          <w:tcPr>
            <w:tcW w:w="3556" w:type="pct"/>
          </w:tcPr>
          <w:p w:rsidRPr="00DC0FAE" w:rsidR="000120E1" w:rsidP="00DC0FAE" w:rsidRDefault="000120E1" w14:paraId="163FD73E" w14:textId="77777777">
            <w:pPr>
              <w:tabs>
                <w:tab w:val="center" w:pos="284"/>
              </w:tabs>
              <w:spacing w:line="259" w:lineRule="auto"/>
              <w:ind w:left="266" w:hanging="266"/>
              <w:jc w:val="left"/>
              <w:rPr>
                <w:rFonts w:eastAsiaTheme="minorHAnsi"/>
                <w:szCs w:val="24"/>
              </w:rPr>
            </w:pPr>
            <w:r>
              <w:t>Jean-Michel POURTEAU (Кат. 2 — FR)</w:t>
            </w:r>
          </w:p>
        </w:tc>
      </w:tr>
      <w:tr w:rsidRPr="000120E1" w:rsidR="000120E1" w:rsidTr="00FE3058" w14:paraId="5A91F27D" w14:textId="77777777">
        <w:tc>
          <w:tcPr>
            <w:tcW w:w="5000" w:type="pct"/>
            <w:gridSpan w:val="2"/>
          </w:tcPr>
          <w:p w:rsidRPr="00DC0FAE" w:rsidR="000120E1" w:rsidP="000120E1" w:rsidRDefault="000120E1" w14:paraId="3A61F21C" w14:textId="77777777">
            <w:pPr>
              <w:tabs>
                <w:tab w:val="center" w:pos="284"/>
              </w:tabs>
              <w:spacing w:after="160" w:line="160" w:lineRule="exact"/>
              <w:ind w:left="266" w:hanging="266"/>
              <w:jc w:val="left"/>
              <w:rPr>
                <w:rFonts w:eastAsiaTheme="minorHAnsi"/>
                <w:szCs w:val="24"/>
              </w:rPr>
            </w:pPr>
          </w:p>
        </w:tc>
      </w:tr>
      <w:tr w:rsidRPr="000120E1" w:rsidR="000120E1" w:rsidTr="0012073D" w14:paraId="70AFA820" w14:textId="77777777">
        <w:tc>
          <w:tcPr>
            <w:tcW w:w="1444" w:type="pct"/>
            <w:vMerge w:val="restart"/>
          </w:tcPr>
          <w:p w:rsidRPr="00DC0FAE" w:rsidR="000120E1" w:rsidP="00DC0FAE" w:rsidRDefault="000120E1" w14:paraId="2C1088D7" w14:textId="77777777">
            <w:pPr>
              <w:tabs>
                <w:tab w:val="center" w:pos="284"/>
              </w:tabs>
              <w:spacing w:line="259" w:lineRule="auto"/>
              <w:ind w:left="266" w:hanging="266"/>
              <w:jc w:val="left"/>
              <w:rPr>
                <w:rFonts w:eastAsiaTheme="minorHAnsi"/>
                <w:b/>
                <w:szCs w:val="24"/>
              </w:rPr>
            </w:pPr>
            <w:r>
              <w:rPr>
                <w:b/>
              </w:rPr>
              <w:t>Отправни документи</w:t>
            </w:r>
          </w:p>
        </w:tc>
        <w:tc>
          <w:tcPr>
            <w:tcW w:w="3556" w:type="pct"/>
          </w:tcPr>
          <w:p w:rsidRPr="00DC0FAE" w:rsidR="000120E1" w:rsidP="00DC0FAE" w:rsidRDefault="000120E1" w14:paraId="115E7B5F" w14:textId="77777777">
            <w:pPr>
              <w:tabs>
                <w:tab w:val="center" w:pos="284"/>
              </w:tabs>
              <w:spacing w:line="259" w:lineRule="auto"/>
              <w:ind w:left="266" w:hanging="266"/>
              <w:jc w:val="left"/>
              <w:rPr>
                <w:rFonts w:eastAsiaTheme="minorHAnsi"/>
                <w:szCs w:val="24"/>
              </w:rPr>
            </w:pPr>
            <w:r>
              <w:t>COM(2024) 62 final</w:t>
            </w:r>
          </w:p>
        </w:tc>
      </w:tr>
      <w:tr w:rsidRPr="000120E1" w:rsidR="000120E1" w:rsidTr="0012073D" w14:paraId="36B63748" w14:textId="77777777">
        <w:tc>
          <w:tcPr>
            <w:tcW w:w="1444" w:type="pct"/>
            <w:vMerge/>
          </w:tcPr>
          <w:p w:rsidRPr="000120E1" w:rsidR="000120E1" w:rsidP="00DC0FAE" w:rsidRDefault="000120E1" w14:paraId="1DD1D1CF" w14:textId="77777777">
            <w:pPr>
              <w:tabs>
                <w:tab w:val="center" w:pos="284"/>
              </w:tabs>
              <w:spacing w:line="259" w:lineRule="auto"/>
              <w:ind w:left="266" w:hanging="266"/>
              <w:jc w:val="left"/>
              <w:rPr>
                <w:rFonts w:asciiTheme="minorHAnsi" w:hAnsiTheme="minorHAnsi" w:eastAsiaTheme="minorHAnsi" w:cstheme="minorBidi"/>
                <w:b/>
                <w:szCs w:val="24"/>
              </w:rPr>
            </w:pPr>
          </w:p>
        </w:tc>
        <w:tc>
          <w:tcPr>
            <w:tcW w:w="3556" w:type="pct"/>
          </w:tcPr>
          <w:p w:rsidRPr="00DC0FAE" w:rsidR="000120E1" w:rsidP="00DC0FAE" w:rsidRDefault="000120E1" w14:paraId="156AA12F" w14:textId="77777777">
            <w:pPr>
              <w:tabs>
                <w:tab w:val="center" w:pos="284"/>
              </w:tabs>
              <w:spacing w:line="259" w:lineRule="auto"/>
              <w:ind w:left="266" w:hanging="266"/>
              <w:jc w:val="left"/>
              <w:rPr>
                <w:rFonts w:eastAsiaTheme="minorHAnsi"/>
                <w:szCs w:val="24"/>
              </w:rPr>
            </w:pPr>
            <w:r>
              <w:t>EESC-2024-00878-00-00-AC</w:t>
            </w:r>
          </w:p>
        </w:tc>
      </w:tr>
    </w:tbl>
    <w:p w:rsidRPr="000120E1" w:rsidR="000120E1" w:rsidP="000120E1" w:rsidRDefault="000120E1" w14:paraId="07738945" w14:textId="77777777">
      <w:pPr>
        <w:widowControl w:val="0"/>
        <w:tabs>
          <w:tab w:val="left" w:pos="1843"/>
        </w:tabs>
        <w:overflowPunct w:val="0"/>
        <w:autoSpaceDE w:val="0"/>
        <w:autoSpaceDN w:val="0"/>
        <w:adjustRightInd w:val="0"/>
        <w:textAlignment w:val="baseline"/>
        <w:rPr>
          <w:rFonts w:eastAsiaTheme="minorHAnsi"/>
          <w:b/>
          <w:lang w:val="en-US"/>
        </w:rPr>
      </w:pPr>
    </w:p>
    <w:p w:rsidRPr="000120E1" w:rsidR="000120E1" w:rsidP="000120E1" w:rsidRDefault="000120E1" w14:paraId="7665D3CF" w14:textId="77777777">
      <w:pPr>
        <w:keepNext/>
        <w:keepLines/>
        <w:spacing w:after="160" w:line="259" w:lineRule="auto"/>
        <w:ind w:left="142" w:hanging="142"/>
        <w:jc w:val="left"/>
        <w:rPr>
          <w:rFonts w:eastAsiaTheme="minorHAnsi"/>
          <w:b/>
        </w:rPr>
      </w:pPr>
      <w:r>
        <w:rPr>
          <w:b/>
        </w:rPr>
        <w:t>Основни аспекти</w:t>
      </w:r>
    </w:p>
    <w:p w:rsidRPr="000120E1" w:rsidR="000120E1" w:rsidP="00DC0FAE" w:rsidRDefault="000120E1" w14:paraId="3B7BB1CC" w14:textId="77777777">
      <w:pPr>
        <w:spacing w:after="160" w:line="259" w:lineRule="auto"/>
        <w:jc w:val="left"/>
        <w:rPr>
          <w:rFonts w:eastAsiaTheme="minorHAnsi"/>
        </w:rPr>
      </w:pPr>
      <w:r>
        <w:t>ЕИСК:</w:t>
      </w:r>
    </w:p>
    <w:p w:rsidRPr="000120E1" w:rsidR="000120E1" w:rsidP="00DC0FAE" w:rsidRDefault="000120E1" w14:paraId="1360B3DB" w14:textId="77777777">
      <w:pPr>
        <w:numPr>
          <w:ilvl w:val="0"/>
          <w:numId w:val="26"/>
        </w:numPr>
        <w:spacing w:after="160" w:line="259" w:lineRule="auto"/>
        <w:ind w:left="284" w:hanging="284"/>
        <w:contextualSpacing/>
        <w:rPr>
          <w:rFonts w:eastAsiaTheme="minorHAnsi"/>
        </w:rPr>
      </w:pPr>
      <w:r>
        <w:t xml:space="preserve">счита, че </w:t>
      </w:r>
      <w:r>
        <w:rPr>
          <w:b/>
        </w:rPr>
        <w:t>стратегията за промишлено управление на въглеродните емисии е много навременна и балансирана</w:t>
      </w:r>
      <w:r>
        <w:t xml:space="preserve">, обхващаща много елементи, които са от решаващо значение за </w:t>
      </w:r>
      <w:r>
        <w:rPr>
          <w:b/>
        </w:rPr>
        <w:t>внедряването на технологии за улавяне и съхранение на въглероден диоксид (УСВ) и улавяне и използване на въглероден диоксид (УИВ) в промишлен мащаб в ЕС</w:t>
      </w:r>
      <w:r>
        <w:t>;</w:t>
      </w:r>
    </w:p>
    <w:p w:rsidRPr="000120E1" w:rsidR="000120E1" w:rsidP="00DC0FAE" w:rsidRDefault="000120E1" w14:paraId="7FE09CBD" w14:textId="77777777">
      <w:pPr>
        <w:numPr>
          <w:ilvl w:val="0"/>
          <w:numId w:val="26"/>
        </w:numPr>
        <w:spacing w:after="160" w:line="259" w:lineRule="auto"/>
        <w:ind w:left="284" w:hanging="284"/>
        <w:contextualSpacing/>
        <w:rPr>
          <w:rFonts w:eastAsiaTheme="minorHAnsi"/>
        </w:rPr>
      </w:pPr>
      <w:r>
        <w:t xml:space="preserve">признава, че за да се изгради </w:t>
      </w:r>
      <w:r>
        <w:rPr>
          <w:b/>
        </w:rPr>
        <w:t>единен пазар на въглеродни емисии, е необходимо да се създаде инфраструктура за съхранение и транспорт (включително трансгранична), заедно с пазарни правила</w:t>
      </w:r>
      <w:r>
        <w:t xml:space="preserve">; </w:t>
      </w:r>
    </w:p>
    <w:p w:rsidRPr="000120E1" w:rsidR="000120E1" w:rsidP="00DC0FAE" w:rsidRDefault="000120E1" w14:paraId="66EA0A1A" w14:textId="77777777">
      <w:pPr>
        <w:numPr>
          <w:ilvl w:val="0"/>
          <w:numId w:val="26"/>
        </w:numPr>
        <w:spacing w:after="160" w:line="259" w:lineRule="auto"/>
        <w:ind w:left="284" w:hanging="284"/>
        <w:contextualSpacing/>
        <w:rPr>
          <w:rFonts w:eastAsiaTheme="minorHAnsi"/>
        </w:rPr>
      </w:pPr>
      <w:r>
        <w:t xml:space="preserve">обръща внимание на необходимостта от </w:t>
      </w:r>
      <w:r>
        <w:rPr>
          <w:b/>
        </w:rPr>
        <w:t>адаптиране на стратегиите за управление на въглеродните емисии към конкретни промишлени сектори</w:t>
      </w:r>
      <w:r>
        <w:t>;</w:t>
      </w:r>
    </w:p>
    <w:p w:rsidRPr="000120E1" w:rsidR="000120E1" w:rsidP="00DC0FAE" w:rsidRDefault="000120E1" w14:paraId="3B9262A2" w14:textId="77777777">
      <w:pPr>
        <w:numPr>
          <w:ilvl w:val="0"/>
          <w:numId w:val="26"/>
        </w:numPr>
        <w:spacing w:after="160" w:line="259" w:lineRule="auto"/>
        <w:ind w:left="284" w:hanging="284"/>
        <w:contextualSpacing/>
        <w:rPr>
          <w:rFonts w:eastAsiaTheme="minorHAnsi"/>
        </w:rPr>
      </w:pPr>
      <w:r>
        <w:t xml:space="preserve">счита, че от основно значение е </w:t>
      </w:r>
      <w:r>
        <w:rPr>
          <w:b/>
        </w:rPr>
        <w:t>да се установят пречките, които подкопават ефективното прилагане на съществуващите практики за управление на въглеродните емисии</w:t>
      </w:r>
      <w:r>
        <w:t>, за да може да се осъществят промени и да се определят стратегии;</w:t>
      </w:r>
    </w:p>
    <w:p w:rsidRPr="000120E1" w:rsidR="000120E1" w:rsidP="00DC0FAE" w:rsidRDefault="000120E1" w14:paraId="79DEBCDC" w14:textId="77777777">
      <w:pPr>
        <w:numPr>
          <w:ilvl w:val="0"/>
          <w:numId w:val="26"/>
        </w:numPr>
        <w:spacing w:after="160" w:line="259" w:lineRule="auto"/>
        <w:ind w:left="284" w:hanging="284"/>
        <w:contextualSpacing/>
        <w:rPr>
          <w:rFonts w:eastAsiaTheme="minorHAnsi"/>
        </w:rPr>
      </w:pPr>
      <w:r>
        <w:t xml:space="preserve">счита, че ЕС се нуждае от </w:t>
      </w:r>
      <w:r>
        <w:rPr>
          <w:b/>
        </w:rPr>
        <w:t>промишлена стратегия за въглерода, насърчаваща растежа по устойчив начин, която не само изпълнява Зеления пакт, но и гарантира качествени работни места и справедлив преход за работниците, като същевременно идентифицира недостига на работна ръка и умения, смекчен чрез преквалификация и повишаване на квалификацията</w:t>
      </w:r>
      <w:r>
        <w:t>;</w:t>
      </w:r>
    </w:p>
    <w:p w:rsidRPr="000120E1" w:rsidR="000120E1" w:rsidP="00DC0FAE" w:rsidRDefault="000120E1" w14:paraId="71004638" w14:textId="77777777">
      <w:pPr>
        <w:numPr>
          <w:ilvl w:val="0"/>
          <w:numId w:val="26"/>
        </w:numPr>
        <w:spacing w:after="160" w:line="259" w:lineRule="auto"/>
        <w:ind w:left="284" w:hanging="284"/>
        <w:contextualSpacing/>
        <w:rPr>
          <w:rFonts w:eastAsiaTheme="minorHAnsi"/>
        </w:rPr>
      </w:pPr>
      <w:r>
        <w:t xml:space="preserve">препоръчва </w:t>
      </w:r>
      <w:r>
        <w:rPr>
          <w:b/>
        </w:rPr>
        <w:t>ясен инвестиционен план за разработване на технологии за УСВ/УИВ</w:t>
      </w:r>
      <w:r>
        <w:t xml:space="preserve">, а </w:t>
      </w:r>
      <w:r>
        <w:rPr>
          <w:b/>
        </w:rPr>
        <w:t>публичното финансиране следва да има механизъм за обвързване със социални условия, насочен към създаването и поддържането на качествени работни места</w:t>
      </w:r>
      <w:r>
        <w:t>;</w:t>
      </w:r>
    </w:p>
    <w:p w:rsidRPr="000120E1" w:rsidR="000120E1" w:rsidP="00DC0FAE" w:rsidRDefault="000120E1" w14:paraId="3292CDC0" w14:textId="77777777">
      <w:pPr>
        <w:numPr>
          <w:ilvl w:val="0"/>
          <w:numId w:val="26"/>
        </w:numPr>
        <w:spacing w:after="160" w:line="259" w:lineRule="auto"/>
        <w:ind w:left="284" w:hanging="284"/>
        <w:contextualSpacing/>
        <w:rPr>
          <w:rFonts w:eastAsiaTheme="minorHAnsi"/>
        </w:rPr>
      </w:pPr>
      <w:r>
        <w:t xml:space="preserve">счита, че проектите за намаляване на въглеродните емисии следва да включват по балансиран начин </w:t>
      </w:r>
      <w:r>
        <w:rPr>
          <w:b/>
        </w:rPr>
        <w:t>поглъщането на въглерод и избягването на въглерод, но понастоящем избягването на въглерод не се подкрепя в достатъчна степен</w:t>
      </w:r>
      <w:r>
        <w:t>;</w:t>
      </w:r>
    </w:p>
    <w:p w:rsidRPr="000120E1" w:rsidR="000120E1" w:rsidP="00DC0FAE" w:rsidRDefault="000120E1" w14:paraId="44EC1EE2" w14:textId="77777777">
      <w:pPr>
        <w:numPr>
          <w:ilvl w:val="0"/>
          <w:numId w:val="26"/>
        </w:numPr>
        <w:spacing w:after="160" w:line="259" w:lineRule="auto"/>
        <w:ind w:left="284" w:hanging="284"/>
        <w:contextualSpacing/>
        <w:rPr>
          <w:rFonts w:eastAsiaTheme="minorHAnsi"/>
        </w:rPr>
      </w:pPr>
      <w:r>
        <w:t xml:space="preserve">препоръчва </w:t>
      </w:r>
      <w:r>
        <w:rPr>
          <w:b/>
        </w:rPr>
        <w:t>създаването на нова, отделна, добре проектирана, с висока степен на интегритет и стабилна кредитна схема за избягване на въглеродни емисии</w:t>
      </w:r>
      <w:r>
        <w:t>, която да предлага стимули за декарбонизация;</w:t>
      </w:r>
    </w:p>
    <w:p w:rsidRPr="000120E1" w:rsidR="000120E1" w:rsidP="00DC0FAE" w:rsidRDefault="000120E1" w14:paraId="31699FAA" w14:textId="77777777">
      <w:pPr>
        <w:numPr>
          <w:ilvl w:val="0"/>
          <w:numId w:val="26"/>
        </w:numPr>
        <w:spacing w:after="160" w:line="259" w:lineRule="auto"/>
        <w:ind w:left="284" w:hanging="284"/>
        <w:contextualSpacing/>
        <w:rPr>
          <w:rFonts w:eastAsiaTheme="minorHAnsi"/>
        </w:rPr>
      </w:pPr>
      <w:r>
        <w:t xml:space="preserve">твърди, че </w:t>
      </w:r>
      <w:r>
        <w:rPr>
          <w:b/>
        </w:rPr>
        <w:t>квотите по схемата на ЕС за търговия с емисии (СТЕ) не следва да се използват като „кредити“</w:t>
      </w:r>
      <w:r>
        <w:t>, тъй като това би могло да подкопае настоящия пазарен характер на системата на ЕС за търговия с въглеродни емисии.</w:t>
      </w:r>
    </w:p>
    <w:p w:rsidRPr="000120E1" w:rsidR="00DD6D07" w:rsidP="000120E1" w:rsidRDefault="00DD6D07" w14:paraId="4FF166B9" w14:textId="77777777">
      <w:pPr>
        <w:spacing w:after="160" w:line="259" w:lineRule="auto"/>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2"/>
        <w:gridCol w:w="3039"/>
      </w:tblGrid>
      <w:tr w:rsidRPr="000120E1" w:rsidR="000120E1" w:rsidTr="00FE3058" w14:paraId="5D2D90F0" w14:textId="77777777">
        <w:tc>
          <w:tcPr>
            <w:tcW w:w="3998" w:type="pct"/>
          </w:tcPr>
          <w:p w:rsidRPr="00DC0FAE" w:rsidR="000120E1" w:rsidP="00DC0FAE" w:rsidRDefault="000120E1" w14:paraId="0F7EFF96" w14:textId="77777777">
            <w:pPr>
              <w:spacing w:line="259" w:lineRule="auto"/>
              <w:jc w:val="left"/>
              <w:rPr>
                <w:rFonts w:eastAsiaTheme="minorHAnsi"/>
                <w:i/>
              </w:rPr>
            </w:pPr>
            <w:r>
              <w:rPr>
                <w:b/>
                <w:i/>
              </w:rPr>
              <w:t>За контакти</w:t>
            </w:r>
          </w:p>
        </w:tc>
        <w:tc>
          <w:tcPr>
            <w:tcW w:w="1002" w:type="pct"/>
            <w:tcBorders>
              <w:left w:val="nil"/>
            </w:tcBorders>
          </w:tcPr>
          <w:p w:rsidRPr="00DC0FAE" w:rsidR="000120E1" w:rsidP="00DC0FAE" w:rsidRDefault="000120E1" w14:paraId="161FCDF9" w14:textId="041A1233">
            <w:pPr>
              <w:spacing w:line="259" w:lineRule="auto"/>
              <w:jc w:val="left"/>
              <w:rPr>
                <w:rFonts w:eastAsiaTheme="minorHAnsi"/>
                <w:i/>
              </w:rPr>
            </w:pPr>
            <w:r>
              <w:rPr>
                <w:i/>
              </w:rPr>
              <w:t>Adam Dorywalski</w:t>
            </w:r>
          </w:p>
        </w:tc>
      </w:tr>
      <w:tr w:rsidRPr="000120E1" w:rsidR="000120E1" w:rsidTr="00FE3058" w14:paraId="4F400A68" w14:textId="77777777">
        <w:tc>
          <w:tcPr>
            <w:tcW w:w="3998" w:type="pct"/>
          </w:tcPr>
          <w:p w:rsidRPr="00DC0FAE" w:rsidR="000120E1" w:rsidP="00DC0FAE" w:rsidRDefault="000120E1" w14:paraId="381E2BF8" w14:textId="77777777">
            <w:pPr>
              <w:spacing w:line="259" w:lineRule="auto"/>
              <w:jc w:val="left"/>
              <w:rPr>
                <w:rFonts w:eastAsiaTheme="minorHAnsi"/>
                <w:i/>
              </w:rPr>
            </w:pPr>
            <w:r>
              <w:rPr>
                <w:i/>
              </w:rPr>
              <w:t>Тел</w:t>
            </w:r>
            <w:r>
              <w:rPr>
                <w:i/>
                <w:iCs/>
              </w:rPr>
              <w:t>.</w:t>
            </w:r>
            <w:r>
              <w:rPr>
                <w:i/>
              </w:rPr>
              <w:t xml:space="preserve"> </w:t>
            </w:r>
          </w:p>
        </w:tc>
        <w:tc>
          <w:tcPr>
            <w:tcW w:w="1002" w:type="pct"/>
            <w:tcBorders>
              <w:left w:val="nil"/>
            </w:tcBorders>
          </w:tcPr>
          <w:p w:rsidRPr="00DC0FAE" w:rsidR="000120E1" w:rsidP="00DC0FAE" w:rsidRDefault="000120E1" w14:paraId="78898855" w14:textId="77777777">
            <w:pPr>
              <w:spacing w:line="259" w:lineRule="auto"/>
              <w:jc w:val="left"/>
              <w:rPr>
                <w:rFonts w:eastAsiaTheme="minorHAnsi"/>
                <w:i/>
              </w:rPr>
            </w:pPr>
            <w:r>
              <w:rPr>
                <w:i/>
              </w:rPr>
              <w:t>+32 25469397</w:t>
            </w:r>
          </w:p>
        </w:tc>
      </w:tr>
      <w:tr w:rsidRPr="000120E1" w:rsidR="000120E1" w:rsidTr="00FE3058" w14:paraId="63DC3EB7" w14:textId="77777777">
        <w:tc>
          <w:tcPr>
            <w:tcW w:w="3998" w:type="pct"/>
          </w:tcPr>
          <w:p w:rsidRPr="00DC0FAE" w:rsidR="000120E1" w:rsidP="00DC0FAE" w:rsidRDefault="00DD6D07" w14:paraId="66DC166A" w14:textId="68F50A4B">
            <w:pPr>
              <w:spacing w:line="259" w:lineRule="auto"/>
              <w:jc w:val="left"/>
              <w:rPr>
                <w:rFonts w:eastAsiaTheme="minorHAnsi"/>
                <w:i/>
                <w:iCs/>
              </w:rPr>
            </w:pPr>
            <w:r>
              <w:rPr>
                <w:i/>
              </w:rPr>
              <w:t>Електронен адрес</w:t>
            </w:r>
          </w:p>
        </w:tc>
        <w:tc>
          <w:tcPr>
            <w:tcW w:w="1002" w:type="pct"/>
            <w:tcBorders>
              <w:left w:val="nil"/>
            </w:tcBorders>
          </w:tcPr>
          <w:p w:rsidRPr="00DC0FAE" w:rsidR="000120E1" w:rsidP="00DC0FAE" w:rsidRDefault="00606C04" w14:paraId="2454CA29" w14:textId="77777777">
            <w:pPr>
              <w:spacing w:line="259" w:lineRule="auto"/>
              <w:jc w:val="left"/>
              <w:rPr>
                <w:rFonts w:eastAsiaTheme="minorHAnsi"/>
                <w:i/>
                <w:iCs/>
              </w:rPr>
            </w:pPr>
            <w:hyperlink w:history="1" r:id="rId41">
              <w:r w:rsidR="00D63208">
                <w:rPr>
                  <w:i/>
                  <w:color w:val="0000FF"/>
                  <w:u w:val="single"/>
                </w:rPr>
                <w:t>Adam.Dorywalski@eesc.europa.eu</w:t>
              </w:r>
            </w:hyperlink>
          </w:p>
        </w:tc>
      </w:tr>
    </w:tbl>
    <w:p w:rsidR="00B612CA" w:rsidP="00895853" w:rsidRDefault="00B612CA" w14:paraId="761EE0FB" w14:textId="19A9F226">
      <w:pPr>
        <w:overflowPunct w:val="0"/>
        <w:autoSpaceDE w:val="0"/>
        <w:autoSpaceDN w:val="0"/>
        <w:adjustRightInd w:val="0"/>
        <w:jc w:val="left"/>
        <w:textAlignment w:val="baseline"/>
        <w:rPr>
          <w:lang w:val="nl-BE"/>
        </w:rPr>
      </w:pPr>
    </w:p>
    <w:p w:rsidR="003C2FB3" w:rsidRDefault="003C2FB3" w14:paraId="27BB641D" w14:textId="1147CAD7">
      <w:pPr>
        <w:spacing w:after="160" w:line="259" w:lineRule="auto"/>
        <w:jc w:val="left"/>
      </w:pPr>
      <w:r>
        <w:br w:type="page"/>
      </w:r>
    </w:p>
    <w:p w:rsidRPr="003C2FB3" w:rsidR="003C2FB3" w:rsidP="00C26C81" w:rsidRDefault="00606C04" w14:paraId="2D57F018" w14:textId="51961DE6">
      <w:pPr>
        <w:widowControl w:val="0"/>
        <w:numPr>
          <w:ilvl w:val="0"/>
          <w:numId w:val="7"/>
        </w:numPr>
        <w:overflowPunct w:val="0"/>
        <w:autoSpaceDE w:val="0"/>
        <w:autoSpaceDN w:val="0"/>
        <w:adjustRightInd w:val="0"/>
        <w:ind w:hanging="567"/>
        <w:textAlignment w:val="baseline"/>
        <w:rPr>
          <w:sz w:val="20"/>
          <w:szCs w:val="20"/>
        </w:rPr>
      </w:pPr>
      <w:hyperlink w:history="1" r:id="rId42">
        <w:r w:rsidR="00171CE5">
          <w:rPr>
            <w:b/>
            <w:i/>
            <w:color w:val="0000FF"/>
            <w:sz w:val="28"/>
            <w:u w:val="single"/>
          </w:rPr>
          <w:t>Европейска стратегия за отбранителната промишленост</w:t>
        </w:r>
      </w:hyperlink>
    </w:p>
    <w:p w:rsidR="003C2FB3" w:rsidP="003C2FB3" w:rsidRDefault="003C2FB3" w14:paraId="21A2A52F" w14:textId="2BFA8D76">
      <w:pPr>
        <w:tabs>
          <w:tab w:val="center" w:pos="284"/>
        </w:tabs>
        <w:overflowPunct w:val="0"/>
        <w:autoSpaceDE w:val="0"/>
        <w:autoSpaceDN w:val="0"/>
        <w:adjustRightInd w:val="0"/>
        <w:ind w:left="266" w:hanging="266"/>
        <w:textAlignment w:val="baseline"/>
        <w:rPr>
          <w:b/>
        </w:rPr>
      </w:pPr>
    </w:p>
    <w:p w:rsidRPr="003C2FB3" w:rsidR="003C2FB3" w:rsidP="003C2FB3" w:rsidRDefault="003C2FB3" w14:paraId="4611B857" w14:textId="0220734C">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482"/>
      </w:tblGrid>
      <w:tr w:rsidRPr="003C2FB3" w:rsidR="003C2FB3" w:rsidTr="004C0336" w14:paraId="30A6177E" w14:textId="77777777">
        <w:tc>
          <w:tcPr>
            <w:tcW w:w="1282" w:type="pct"/>
          </w:tcPr>
          <w:p w:rsidRPr="003C2FB3" w:rsidR="003C2FB3" w:rsidP="003C2FB3" w:rsidRDefault="003C2FB3" w14:paraId="77A7B517"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718" w:type="pct"/>
          </w:tcPr>
          <w:p w:rsidRPr="00DC0FAE" w:rsidR="003C2FB3" w:rsidP="004C0336" w:rsidRDefault="003C2FB3" w14:paraId="77DB3C52" w14:textId="607E5D12">
            <w:pPr>
              <w:overflowPunct w:val="0"/>
              <w:autoSpaceDE w:val="0"/>
              <w:autoSpaceDN w:val="0"/>
              <w:adjustRightInd w:val="0"/>
              <w:ind w:left="34"/>
              <w:textAlignment w:val="baseline"/>
            </w:pPr>
            <w:r>
              <w:t xml:space="preserve">Maurizio </w:t>
            </w:r>
            <w:r w:rsidR="004C0336">
              <w:t>MENSI</w:t>
            </w:r>
            <w:r>
              <w:t xml:space="preserve"> (група „Организации на гражданското общество“ — IT)</w:t>
            </w:r>
          </w:p>
        </w:tc>
      </w:tr>
      <w:tr w:rsidRPr="003C2FB3" w:rsidR="003C2FB3" w:rsidTr="004C0336" w14:paraId="4330C7A8" w14:textId="77777777">
        <w:tc>
          <w:tcPr>
            <w:tcW w:w="1282" w:type="pct"/>
          </w:tcPr>
          <w:p w:rsidRPr="003C2FB3" w:rsidR="003C2FB3" w:rsidP="003C2FB3" w:rsidRDefault="003C2FB3" w14:paraId="6EE0006E"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3718" w:type="pct"/>
          </w:tcPr>
          <w:p w:rsidRPr="00DC0FAE" w:rsidR="003C2FB3" w:rsidP="003C2FB3" w:rsidRDefault="003C2FB3" w14:paraId="227D7CFD" w14:textId="0783DBC3">
            <w:pPr>
              <w:tabs>
                <w:tab w:val="center" w:pos="284"/>
              </w:tabs>
              <w:overflowPunct w:val="0"/>
              <w:autoSpaceDE w:val="0"/>
              <w:autoSpaceDN w:val="0"/>
              <w:adjustRightInd w:val="0"/>
              <w:ind w:left="266" w:hanging="266"/>
              <w:textAlignment w:val="baseline"/>
            </w:pPr>
            <w:r>
              <w:t>Jan PIE (Кат. 1 — SE)</w:t>
            </w:r>
          </w:p>
        </w:tc>
      </w:tr>
      <w:tr w:rsidRPr="003C2FB3" w:rsidR="003C2FB3" w:rsidTr="00FE3058" w14:paraId="5B13BE6E" w14:textId="77777777">
        <w:tc>
          <w:tcPr>
            <w:tcW w:w="5000" w:type="pct"/>
            <w:gridSpan w:val="2"/>
          </w:tcPr>
          <w:p w:rsidRPr="003C2FB3" w:rsidR="003C2FB3" w:rsidP="003C2FB3" w:rsidRDefault="003C2FB3" w14:paraId="41685864" w14:textId="77777777">
            <w:pPr>
              <w:tabs>
                <w:tab w:val="center" w:pos="284"/>
              </w:tabs>
              <w:overflowPunct w:val="0"/>
              <w:autoSpaceDE w:val="0"/>
              <w:autoSpaceDN w:val="0"/>
              <w:adjustRightInd w:val="0"/>
              <w:spacing w:line="160" w:lineRule="exact"/>
              <w:ind w:left="266" w:hanging="266"/>
              <w:textAlignment w:val="baseline"/>
            </w:pPr>
          </w:p>
        </w:tc>
      </w:tr>
      <w:tr w:rsidRPr="003C2FB3" w:rsidR="003C2FB3" w:rsidTr="004C0336" w14:paraId="53790FDC" w14:textId="77777777">
        <w:tc>
          <w:tcPr>
            <w:tcW w:w="1282" w:type="pct"/>
          </w:tcPr>
          <w:p w:rsidRPr="003C2FB3" w:rsidR="003C2FB3" w:rsidP="003C2FB3" w:rsidRDefault="003C2FB3" w14:paraId="1F7D7474"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718" w:type="pct"/>
          </w:tcPr>
          <w:p w:rsidR="00DD6911" w:rsidP="003C2FB3" w:rsidRDefault="00DD6911" w14:paraId="716A7B7A" w14:textId="397FFFB3">
            <w:pPr>
              <w:tabs>
                <w:tab w:val="center" w:pos="284"/>
              </w:tabs>
              <w:overflowPunct w:val="0"/>
              <w:autoSpaceDE w:val="0"/>
              <w:autoSpaceDN w:val="0"/>
              <w:adjustRightInd w:val="0"/>
              <w:ind w:left="266" w:hanging="266"/>
              <w:textAlignment w:val="baseline"/>
            </w:pPr>
            <w:r>
              <w:t>JOIN(2024) 10 final</w:t>
            </w:r>
          </w:p>
          <w:p w:rsidRPr="003C2FB3" w:rsidR="003C2FB3" w:rsidP="003C2FB3" w:rsidRDefault="003C2FB3" w14:paraId="2AE94E99" w14:textId="68928235">
            <w:pPr>
              <w:tabs>
                <w:tab w:val="center" w:pos="284"/>
              </w:tabs>
              <w:overflowPunct w:val="0"/>
              <w:autoSpaceDE w:val="0"/>
              <w:autoSpaceDN w:val="0"/>
              <w:adjustRightInd w:val="0"/>
              <w:ind w:left="266" w:hanging="266"/>
              <w:textAlignment w:val="baseline"/>
            </w:pPr>
            <w:r>
              <w:t>EESC-2024-00782-00-00-AC</w:t>
            </w:r>
          </w:p>
        </w:tc>
      </w:tr>
    </w:tbl>
    <w:p w:rsidRPr="003C2FB3" w:rsidR="003C2FB3" w:rsidP="003C2FB3" w:rsidRDefault="003C2FB3" w14:paraId="66624150" w14:textId="77777777">
      <w:pPr>
        <w:tabs>
          <w:tab w:val="center" w:pos="284"/>
        </w:tabs>
        <w:overflowPunct w:val="0"/>
        <w:autoSpaceDE w:val="0"/>
        <w:autoSpaceDN w:val="0"/>
        <w:adjustRightInd w:val="0"/>
        <w:ind w:left="266" w:hanging="266"/>
        <w:textAlignment w:val="baseline"/>
      </w:pPr>
    </w:p>
    <w:p w:rsidRPr="003C2FB3" w:rsidR="003C2FB3" w:rsidP="003C2FB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3C2FB3" w:rsidR="003C2FB3" w:rsidP="003C2FB3"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3C2FB3" w:rsidR="003C2FB3" w:rsidP="003C2FB3" w:rsidRDefault="003C2FB3" w14:paraId="54D38215" w14:textId="77777777">
      <w:pPr>
        <w:overflowPunct w:val="0"/>
        <w:autoSpaceDE w:val="0"/>
        <w:autoSpaceDN w:val="0"/>
        <w:adjustRightInd w:val="0"/>
        <w:textAlignment w:val="baseline"/>
        <w:rPr>
          <w:bCs/>
          <w:iCs/>
        </w:rPr>
      </w:pPr>
      <w:r>
        <w:t>ЕИСК:</w:t>
      </w:r>
    </w:p>
    <w:p w:rsidRPr="003C2FB3" w:rsidR="003C2FB3" w:rsidP="003C2FB3" w:rsidRDefault="003C2FB3" w14:paraId="513233EC" w14:textId="77777777">
      <w:pPr>
        <w:overflowPunct w:val="0"/>
        <w:autoSpaceDE w:val="0"/>
        <w:autoSpaceDN w:val="0"/>
        <w:adjustRightInd w:val="0"/>
        <w:ind w:left="567" w:hanging="567"/>
        <w:textAlignment w:val="baseline"/>
        <w:rPr>
          <w:szCs w:val="20"/>
        </w:rPr>
      </w:pPr>
    </w:p>
    <w:p w:rsidRPr="003C2FB3" w:rsidR="003C2FB3" w:rsidP="00DC0FAE"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t>приветства Стратегията за европейската отбранителна промишленост като важна стъпка към укрепване на отбранителната готовност на Европа, а следователно и на капацитета ѝ за защита на нейните граждани, нейните територии и нейните основни ценности и начин на живот;</w:t>
      </w:r>
    </w:p>
    <w:p w:rsidRPr="003C2FB3" w:rsidR="003C2FB3" w:rsidP="00DC0FAE"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t>приветства промяната в подхода от спешни мерки към по-дългосрочна, структурна реакция. По-специално той приветства поставянето на акцент върху необходимостта от увеличаване на европейското снабдяване за нуждите на Европа;</w:t>
      </w:r>
    </w:p>
    <w:p w:rsidRPr="003C2FB3" w:rsidR="003C2FB3" w:rsidP="00DC0FAE"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t>изтъква, че за да се постигнат целите на стратегията, е важно да се използват ефективно партньорствата с приятелски държави с общи цели;</w:t>
      </w:r>
    </w:p>
    <w:p w:rsidRPr="003C2FB3" w:rsidR="003C2FB3" w:rsidP="00DC0FAE"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t>изразява съжаление, че в стратегията не се разглежда възприемането от обществото, тъй като то е ключов фактор в демократичните общества;</w:t>
      </w:r>
    </w:p>
    <w:p w:rsidRPr="003C2FB3" w:rsidR="003C2FB3" w:rsidP="00DC0FAE"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t>отбелязва, че е малко вероятно основният инструмент за изпълнение на стратегията (ПЕОП) да започне да функционира преди края на 2025 г. Поради това стратегията трябва да бъде допълнена с други, краткосрочни мерки, насочени към справяне с непосредствените нужди;</w:t>
      </w:r>
    </w:p>
    <w:p w:rsidRPr="003C2FB3" w:rsidR="003C2FB3" w:rsidP="00DC0FAE"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t>призовава държавите членки да приемат поканата на Комисията да разгледат краткосрочните възможности за насърчаване с помощта на наличните инструменти, мащабни съвместни поръчки в областта на отбраната, мащабното разрастване на ЕОТИБ и стартирането на водещи проекти в областта на отбраната.</w:t>
      </w:r>
    </w:p>
    <w:p w:rsidRPr="003C2FB3" w:rsidR="003C2FB3" w:rsidP="00DC0FAE"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t>счита, че гарантирането на достъпа на отбранителната промишленост до умения, технологии и научноизследователска дейност е от решаващо значение както от гледна точка на промишлеността, така и от стратегическа гледна точка;</w:t>
      </w:r>
    </w:p>
    <w:p w:rsidRPr="003C2FB3" w:rsidR="003C2FB3" w:rsidP="00DC0FAE"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t>подчертава, че успехът на стратегията ще зависи основно от цялостния ангажимент на държавите членки и тяхното признаване на добавената стойност от един европейски подход.</w:t>
      </w:r>
    </w:p>
    <w:p w:rsidRPr="003C2FB3" w:rsidR="003C2FB3" w:rsidP="003C2FB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3C2FB3" w:rsidTr="00FE3058" w14:paraId="0D2CEC95" w14:textId="77777777">
        <w:tc>
          <w:tcPr>
            <w:tcW w:w="1556" w:type="pct"/>
          </w:tcPr>
          <w:p w:rsidRPr="003C2FB3" w:rsidR="003C2FB3" w:rsidP="003C2FB3" w:rsidRDefault="003C2FB3" w14:paraId="3BD45DE2" w14:textId="77777777">
            <w:pPr>
              <w:overflowPunct w:val="0"/>
              <w:autoSpaceDE w:val="0"/>
              <w:autoSpaceDN w:val="0"/>
              <w:adjustRightInd w:val="0"/>
              <w:spacing w:line="240" w:lineRule="auto"/>
              <w:textAlignment w:val="baseline"/>
              <w:rPr>
                <w:i/>
              </w:rPr>
            </w:pPr>
            <w:r>
              <w:rPr>
                <w:b/>
                <w:i/>
              </w:rPr>
              <w:t>За контакти</w:t>
            </w:r>
          </w:p>
        </w:tc>
        <w:tc>
          <w:tcPr>
            <w:tcW w:w="3444" w:type="pct"/>
          </w:tcPr>
          <w:p w:rsidRPr="00DC0FAE" w:rsidR="003C2FB3" w:rsidP="003C2FB3" w:rsidRDefault="003C2FB3" w14:paraId="5D226FEE" w14:textId="7F8C40FE">
            <w:pPr>
              <w:overflowPunct w:val="0"/>
              <w:autoSpaceDE w:val="0"/>
              <w:autoSpaceDN w:val="0"/>
              <w:adjustRightInd w:val="0"/>
              <w:spacing w:line="240" w:lineRule="auto"/>
              <w:textAlignment w:val="baseline"/>
              <w:rPr>
                <w:i/>
              </w:rPr>
            </w:pPr>
            <w:r>
              <w:rPr>
                <w:i/>
              </w:rPr>
              <w:t>Ioannis Diamantopoulos</w:t>
            </w:r>
          </w:p>
        </w:tc>
      </w:tr>
      <w:tr w:rsidRPr="003C2FB3" w:rsidR="003C2FB3" w:rsidTr="00FE3058" w14:paraId="596191B0" w14:textId="77777777">
        <w:tc>
          <w:tcPr>
            <w:tcW w:w="1556" w:type="pct"/>
          </w:tcPr>
          <w:p w:rsidRPr="003C2FB3" w:rsidR="003C2FB3" w:rsidP="003C2FB3" w:rsidRDefault="003C2FB3" w14:paraId="0F7CD1EB" w14:textId="77777777">
            <w:pPr>
              <w:overflowPunct w:val="0"/>
              <w:autoSpaceDE w:val="0"/>
              <w:autoSpaceDN w:val="0"/>
              <w:adjustRightInd w:val="0"/>
              <w:spacing w:line="240" w:lineRule="auto"/>
              <w:textAlignment w:val="baseline"/>
              <w:rPr>
                <w:i/>
              </w:rPr>
            </w:pPr>
            <w:r>
              <w:rPr>
                <w:i/>
              </w:rPr>
              <w:t>Тел</w:t>
            </w:r>
            <w:r>
              <w:rPr>
                <w:i/>
                <w:iCs/>
              </w:rPr>
              <w:t>.</w:t>
            </w:r>
          </w:p>
        </w:tc>
        <w:tc>
          <w:tcPr>
            <w:tcW w:w="3444" w:type="pct"/>
          </w:tcPr>
          <w:p w:rsidRPr="003C2FB3" w:rsidR="003C2FB3" w:rsidP="003C2FB3" w:rsidRDefault="003C2FB3" w14:paraId="428DEA48" w14:textId="77777777">
            <w:pPr>
              <w:overflowPunct w:val="0"/>
              <w:autoSpaceDE w:val="0"/>
              <w:autoSpaceDN w:val="0"/>
              <w:adjustRightInd w:val="0"/>
              <w:spacing w:line="240" w:lineRule="auto"/>
              <w:textAlignment w:val="baseline"/>
              <w:rPr>
                <w:i/>
              </w:rPr>
            </w:pPr>
            <w:r>
              <w:rPr>
                <w:i/>
              </w:rPr>
              <w:t>+32 25469170</w:t>
            </w:r>
          </w:p>
        </w:tc>
      </w:tr>
      <w:tr w:rsidRPr="003C2FB3" w:rsidR="003C2FB3" w:rsidTr="00FE3058" w14:paraId="2628CAA2" w14:textId="77777777">
        <w:tc>
          <w:tcPr>
            <w:tcW w:w="1556" w:type="pct"/>
          </w:tcPr>
          <w:p w:rsidRPr="003C2FB3" w:rsidR="003C2FB3" w:rsidP="003C2FB3" w:rsidRDefault="003C2FB3" w14:paraId="0F1EFC5C"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3C2FB3" w:rsidR="003C2FB3" w:rsidP="003C2FB3" w:rsidRDefault="00606C04" w14:paraId="32C40CB8" w14:textId="77777777">
            <w:pPr>
              <w:overflowPunct w:val="0"/>
              <w:autoSpaceDE w:val="0"/>
              <w:autoSpaceDN w:val="0"/>
              <w:adjustRightInd w:val="0"/>
              <w:spacing w:line="240" w:lineRule="auto"/>
              <w:textAlignment w:val="baseline"/>
              <w:rPr>
                <w:i/>
              </w:rPr>
            </w:pPr>
            <w:hyperlink w:history="1" r:id="rId43">
              <w:r w:rsidR="00171CE5">
                <w:rPr>
                  <w:i/>
                  <w:color w:val="0000FF"/>
                  <w:u w:val="single"/>
                </w:rPr>
                <w:t>Ioannis.Diamantopoulos@eesc.europa.eu</w:t>
              </w:r>
            </w:hyperlink>
          </w:p>
        </w:tc>
      </w:tr>
    </w:tbl>
    <w:p w:rsidR="00B612CA" w:rsidP="00895853" w:rsidRDefault="00B612CA" w14:paraId="0A3D4AF6" w14:textId="77777777">
      <w:pPr>
        <w:overflowPunct w:val="0"/>
        <w:autoSpaceDE w:val="0"/>
        <w:autoSpaceDN w:val="0"/>
        <w:adjustRightInd w:val="0"/>
        <w:jc w:val="left"/>
        <w:textAlignment w:val="baseline"/>
        <w:rPr>
          <w:lang w:val="nl-BE"/>
        </w:rPr>
      </w:pPr>
    </w:p>
    <w:p w:rsidR="00C26C81" w:rsidRDefault="00C26C81" w14:paraId="209CF203" w14:textId="6268DD8D">
      <w:pPr>
        <w:spacing w:after="160" w:line="259" w:lineRule="auto"/>
        <w:jc w:val="left"/>
      </w:pPr>
      <w:r>
        <w:br w:type="page"/>
      </w:r>
    </w:p>
    <w:p w:rsidRPr="00C26C81" w:rsidR="00C26C81" w:rsidP="00C26C81" w:rsidRDefault="00606C04"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44">
        <w:r w:rsidR="00171CE5">
          <w:rPr>
            <w:b/>
            <w:i/>
            <w:color w:val="0000FF"/>
            <w:sz w:val="28"/>
            <w:u w:val="single"/>
          </w:rPr>
          <w:t>Промишлени и технологични подходи и най-добри практики в подкрепа на издръжливо от гледна точка на водните ресурси общество</w:t>
        </w:r>
      </w:hyperlink>
    </w:p>
    <w:p w:rsidR="00DF1937" w:rsidP="00C26C81" w:rsidRDefault="00DF1937" w14:paraId="48918DB7" w14:textId="77777777">
      <w:pPr>
        <w:tabs>
          <w:tab w:val="center" w:pos="284"/>
        </w:tabs>
        <w:overflowPunct w:val="0"/>
        <w:autoSpaceDE w:val="0"/>
        <w:autoSpaceDN w:val="0"/>
        <w:adjustRightInd w:val="0"/>
        <w:ind w:left="266" w:hanging="266"/>
        <w:textAlignment w:val="baseline"/>
        <w:rPr>
          <w:b/>
          <w:sz w:val="16"/>
          <w:szCs w:val="16"/>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6341"/>
      </w:tblGrid>
      <w:tr w:rsidRPr="00C26C81" w:rsidR="00C26C81" w:rsidTr="004C0336" w14:paraId="120DFBE2" w14:textId="77777777">
        <w:tc>
          <w:tcPr>
            <w:tcW w:w="1363" w:type="pct"/>
          </w:tcPr>
          <w:p w:rsidRPr="00C26C81" w:rsidR="00C26C81" w:rsidP="00C26C81" w:rsidRDefault="00C26C81" w14:paraId="622F56C9"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637" w:type="pct"/>
          </w:tcPr>
          <w:p w:rsidRPr="00DC0FAE" w:rsidR="00C26C81" w:rsidP="00C26C81" w:rsidRDefault="00C26C81" w14:paraId="4D21502F" w14:textId="39A3E18E">
            <w:pPr>
              <w:tabs>
                <w:tab w:val="center" w:pos="284"/>
              </w:tabs>
              <w:overflowPunct w:val="0"/>
              <w:autoSpaceDE w:val="0"/>
              <w:autoSpaceDN w:val="0"/>
              <w:adjustRightInd w:val="0"/>
              <w:ind w:left="266" w:hanging="266"/>
              <w:textAlignment w:val="baseline"/>
            </w:pPr>
            <w:r>
              <w:t xml:space="preserve">Florian </w:t>
            </w:r>
            <w:r w:rsidR="004C0336">
              <w:t>MARIN</w:t>
            </w:r>
            <w:r>
              <w:t xml:space="preserve"> (група „Работници“ — RO)</w:t>
            </w:r>
          </w:p>
        </w:tc>
      </w:tr>
      <w:tr w:rsidRPr="00C26C81" w:rsidR="00C26C81" w:rsidTr="004C0336" w14:paraId="1F60F708" w14:textId="77777777">
        <w:tc>
          <w:tcPr>
            <w:tcW w:w="1363" w:type="pct"/>
          </w:tcPr>
          <w:p w:rsidRPr="00C26C81" w:rsidR="00C26C81" w:rsidP="00C26C81" w:rsidRDefault="00C26C81" w14:paraId="3D84DAA7"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3637" w:type="pct"/>
          </w:tcPr>
          <w:p w:rsidRPr="00DC0FAE" w:rsidR="00C26C81" w:rsidP="00C26C81" w:rsidRDefault="00C26C81" w14:paraId="2CC5126F" w14:textId="7BF5F8C5">
            <w:pPr>
              <w:tabs>
                <w:tab w:val="center" w:pos="284"/>
              </w:tabs>
              <w:overflowPunct w:val="0"/>
              <w:autoSpaceDE w:val="0"/>
              <w:autoSpaceDN w:val="0"/>
              <w:adjustRightInd w:val="0"/>
              <w:ind w:left="266" w:hanging="266"/>
              <w:textAlignment w:val="baseline"/>
            </w:pPr>
            <w:r>
              <w:t>John BRYAN (Кат. 3 — IE)</w:t>
            </w:r>
          </w:p>
        </w:tc>
      </w:tr>
      <w:tr w:rsidRPr="00C26C81" w:rsidR="00C26C81" w:rsidTr="00FE3058" w14:paraId="0255D7F1" w14:textId="77777777">
        <w:tc>
          <w:tcPr>
            <w:tcW w:w="5000" w:type="pct"/>
            <w:gridSpan w:val="2"/>
          </w:tcPr>
          <w:p w:rsidRPr="00C26C81" w:rsidR="00C26C81" w:rsidP="00C26C81" w:rsidRDefault="00C26C81" w14:paraId="65F1A50D" w14:textId="77777777">
            <w:pPr>
              <w:tabs>
                <w:tab w:val="center" w:pos="284"/>
              </w:tabs>
              <w:overflowPunct w:val="0"/>
              <w:autoSpaceDE w:val="0"/>
              <w:autoSpaceDN w:val="0"/>
              <w:adjustRightInd w:val="0"/>
              <w:spacing w:line="160" w:lineRule="exact"/>
              <w:ind w:left="266" w:hanging="266"/>
              <w:textAlignment w:val="baseline"/>
            </w:pPr>
          </w:p>
        </w:tc>
      </w:tr>
      <w:tr w:rsidRPr="00C26C81" w:rsidR="00C26C81" w:rsidTr="004C0336" w14:paraId="6490CDCA" w14:textId="77777777">
        <w:tc>
          <w:tcPr>
            <w:tcW w:w="1363" w:type="pct"/>
            <w:vMerge w:val="restart"/>
          </w:tcPr>
          <w:p w:rsidRPr="00C26C81" w:rsidR="00C26C81" w:rsidP="00C26C81" w:rsidRDefault="00C26C81" w14:paraId="3249E176"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637" w:type="pct"/>
          </w:tcPr>
          <w:p w:rsidR="00DF1937" w:rsidP="00C26C81" w:rsidRDefault="00DF1937" w14:paraId="62B42CB3" w14:textId="689EBFFE">
            <w:pPr>
              <w:tabs>
                <w:tab w:val="center" w:pos="284"/>
              </w:tabs>
              <w:overflowPunct w:val="0"/>
              <w:autoSpaceDE w:val="0"/>
              <w:autoSpaceDN w:val="0"/>
              <w:adjustRightInd w:val="0"/>
              <w:ind w:left="266" w:hanging="266"/>
              <w:textAlignment w:val="baseline"/>
            </w:pPr>
            <w:r>
              <w:t>Проучвателно становище по искане на Европейската комисия</w:t>
            </w:r>
          </w:p>
          <w:p w:rsidRPr="00C26C81" w:rsidR="00C26C81" w:rsidP="00C26C81" w:rsidRDefault="00C26C81" w14:paraId="575B4C73" w14:textId="570E8293">
            <w:pPr>
              <w:tabs>
                <w:tab w:val="center" w:pos="284"/>
              </w:tabs>
              <w:overflowPunct w:val="0"/>
              <w:autoSpaceDE w:val="0"/>
              <w:autoSpaceDN w:val="0"/>
              <w:adjustRightInd w:val="0"/>
              <w:ind w:left="266" w:hanging="266"/>
              <w:textAlignment w:val="baseline"/>
            </w:pPr>
            <w:r>
              <w:t>EESC-2024-00209-00-00-AC</w:t>
            </w:r>
          </w:p>
        </w:tc>
      </w:tr>
      <w:tr w:rsidRPr="00C26C81" w:rsidR="00C26C81" w:rsidTr="004C0336" w14:paraId="7D13EFEC" w14:textId="77777777">
        <w:tc>
          <w:tcPr>
            <w:tcW w:w="1363" w:type="pct"/>
            <w:vMerge/>
          </w:tcPr>
          <w:p w:rsidRPr="00C26C81" w:rsidR="00C26C81" w:rsidP="00C26C81" w:rsidRDefault="00C26C81" w14:paraId="22339B72" w14:textId="77777777">
            <w:pPr>
              <w:tabs>
                <w:tab w:val="center" w:pos="284"/>
              </w:tabs>
              <w:overflowPunct w:val="0"/>
              <w:autoSpaceDE w:val="0"/>
              <w:autoSpaceDN w:val="0"/>
              <w:adjustRightInd w:val="0"/>
              <w:ind w:left="266" w:hanging="266"/>
              <w:textAlignment w:val="baseline"/>
              <w:rPr>
                <w:b/>
              </w:rPr>
            </w:pPr>
          </w:p>
        </w:tc>
        <w:tc>
          <w:tcPr>
            <w:tcW w:w="3637" w:type="pct"/>
          </w:tcPr>
          <w:p w:rsidRPr="00C26C81" w:rsidR="00C26C81" w:rsidP="00C26C81" w:rsidRDefault="00C26C81" w14:paraId="30DF2ED2" w14:textId="77777777">
            <w:pPr>
              <w:tabs>
                <w:tab w:val="center" w:pos="284"/>
              </w:tabs>
              <w:overflowPunct w:val="0"/>
              <w:autoSpaceDE w:val="0"/>
              <w:autoSpaceDN w:val="0"/>
              <w:adjustRightInd w:val="0"/>
              <w:ind w:left="266" w:hanging="266"/>
              <w:textAlignment w:val="baseline"/>
            </w:pPr>
          </w:p>
        </w:tc>
      </w:tr>
    </w:tbl>
    <w:p w:rsidRPr="00C26C81" w:rsidR="00C26C81" w:rsidP="00C26C81" w:rsidRDefault="00C26C81" w14:paraId="6756B12C"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C26C81" w:rsidR="00C26C81" w:rsidP="00C26C81" w:rsidRDefault="00C26C81" w14:paraId="03D7DAA1" w14:textId="77777777">
      <w:pPr>
        <w:keepNext/>
        <w:keepLines/>
        <w:tabs>
          <w:tab w:val="center" w:pos="284"/>
        </w:tabs>
        <w:overflowPunct w:val="0"/>
        <w:autoSpaceDE w:val="0"/>
        <w:autoSpaceDN w:val="0"/>
        <w:adjustRightInd w:val="0"/>
        <w:ind w:left="266" w:hanging="266"/>
        <w:textAlignment w:val="baseline"/>
        <w:rPr>
          <w:b/>
          <w:sz w:val="16"/>
          <w:szCs w:val="16"/>
        </w:rPr>
      </w:pPr>
    </w:p>
    <w:p w:rsidR="00C26C81" w:rsidP="00C26C81" w:rsidRDefault="00C26C81" w14:paraId="0AEAF1D0" w14:textId="370DE955">
      <w:pPr>
        <w:overflowPunct w:val="0"/>
        <w:autoSpaceDE w:val="0"/>
        <w:autoSpaceDN w:val="0"/>
        <w:adjustRightInd w:val="0"/>
        <w:textAlignment w:val="baseline"/>
        <w:rPr>
          <w:bCs/>
          <w:iCs/>
        </w:rPr>
      </w:pPr>
      <w:r>
        <w:t>ЕИСК:</w:t>
      </w:r>
    </w:p>
    <w:p w:rsidRPr="00C26C81" w:rsidR="002B7841" w:rsidP="00C26C81" w:rsidRDefault="002B7841" w14:paraId="2BBD3487" w14:textId="77777777">
      <w:pPr>
        <w:overflowPunct w:val="0"/>
        <w:autoSpaceDE w:val="0"/>
        <w:autoSpaceDN w:val="0"/>
        <w:adjustRightInd w:val="0"/>
        <w:textAlignment w:val="baseline"/>
        <w:rPr>
          <w:bCs/>
          <w:iCs/>
        </w:rPr>
      </w:pPr>
    </w:p>
    <w:p w:rsidRPr="00C26C81" w:rsidR="00C26C81" w:rsidP="00DC0FAE" w:rsidRDefault="00C26C81" w14:paraId="724B6930"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призовава за </w:t>
      </w:r>
      <w:r>
        <w:rPr>
          <w:b/>
        </w:rPr>
        <w:t>самостоятелна стратегия</w:t>
      </w:r>
      <w:r>
        <w:t xml:space="preserve"> — Син пакт на ЕС — и за план за действие </w:t>
      </w:r>
      <w:r>
        <w:rPr>
          <w:b/>
        </w:rPr>
        <w:t>относно водите, за да се гарантира издръжливост на водните ресурси, сигурност и устойчивост, които да допълнят Зеления пакт на ЕС</w:t>
      </w:r>
      <w:r>
        <w:t>;</w:t>
      </w:r>
    </w:p>
    <w:p w:rsidRPr="00C26C81" w:rsidR="00C26C81" w:rsidP="00DC0FAE" w:rsidRDefault="00C26C81" w14:paraId="520F523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настоятелно призовава ЕС да </w:t>
      </w:r>
      <w:r>
        <w:rPr>
          <w:b/>
        </w:rPr>
        <w:t>интегрира водата в преразгледана промишлена стратегическа рамка</w:t>
      </w:r>
      <w:r>
        <w:t xml:space="preserve"> и в пътищата за преход със секторен подход;</w:t>
      </w:r>
    </w:p>
    <w:p w:rsidRPr="00C26C81" w:rsidR="00C26C81" w:rsidP="00DC0FAE" w:rsidRDefault="00C26C81" w14:paraId="30D20AE2"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отбелязва, че при това преразглеждане следва да се проучи идеята за създаване на </w:t>
      </w:r>
      <w:r>
        <w:rPr>
          <w:b/>
        </w:rPr>
        <w:t>нов промишлен пакт, за да се предложи на европейската промишленост консолидирана стратегия</w:t>
      </w:r>
      <w:r>
        <w:t>, която да отговаря на многобройните предизвикателства, пред които е изправена (по отношение на водата, енергетиката, суровините от критично значение, цифровизацията и стратегическата автономност) в рамките на четири години;</w:t>
      </w:r>
    </w:p>
    <w:p w:rsidRPr="00C26C81" w:rsidR="00C26C81" w:rsidP="00DC0FAE" w:rsidRDefault="00C26C81" w14:paraId="04F8401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подчертава, че промишлените и технологичните подходи, както и най-добрите практики в подкрепа на интелигентното от гледна точка на водните ресурси общество, трябва да бъдат надеждно структурирани около </w:t>
      </w:r>
      <w:r>
        <w:rPr>
          <w:b/>
        </w:rPr>
        <w:t>всеобхватна политика за устойчиво управление на водните ресурси за промишленост</w:t>
      </w:r>
      <w:r>
        <w:t xml:space="preserve">, която да се основава на намаляване, повторно използване и рециклиране на водата, намаляване на замърсяването и включване на постепенното въвеждане и използване на водноефективни технологии, като същевременно да се гарантира справедлив преход, който </w:t>
      </w:r>
      <w:r>
        <w:rPr>
          <w:b/>
        </w:rPr>
        <w:t>запазва конкурентоспособността на промишлеността</w:t>
      </w:r>
      <w:r>
        <w:t>;</w:t>
      </w:r>
    </w:p>
    <w:p w:rsidRPr="00C26C81" w:rsidR="00C26C81" w:rsidP="00DC0FAE" w:rsidRDefault="00C26C81" w14:paraId="42BF90D7"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подчертава необходимостта от </w:t>
      </w:r>
      <w:r>
        <w:rPr>
          <w:b/>
        </w:rPr>
        <w:t>европейска екосистема за управление на данните за водите</w:t>
      </w:r>
      <w:r>
        <w:t>, както и необходимостта да се измерва потреблението на вода по време на производствените процеси и да се сведе до минимум използването на питейна вода за промишлени цели;</w:t>
      </w:r>
    </w:p>
    <w:p w:rsidRPr="00C26C81" w:rsidR="00C26C81" w:rsidP="00DC0FAE" w:rsidRDefault="00C26C81" w14:paraId="4A2463D1"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подчертава необходимостта </w:t>
      </w:r>
      <w:r>
        <w:rPr>
          <w:b/>
        </w:rPr>
        <w:t>да се гарантира достъп до вода за най-критичните отрасли по време на кризисни ситуации</w:t>
      </w:r>
      <w:r>
        <w:t>;</w:t>
      </w:r>
    </w:p>
    <w:p w:rsidRPr="00C26C81" w:rsidR="00C26C81" w:rsidP="00DC0FAE" w:rsidRDefault="00C26C81" w14:paraId="71162F5A"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призовава за </w:t>
      </w:r>
      <w:r>
        <w:rPr>
          <w:b/>
        </w:rPr>
        <w:t>преходен път за развитие на сектора на чистите и водноефективните технологии</w:t>
      </w:r>
      <w:r>
        <w:t>, включително пътна карта за човешкото измерение, за да се гарантира наличието на необходимите умения, качествени работни места и достойни условия на труд;</w:t>
      </w:r>
    </w:p>
    <w:p w:rsidRPr="00C26C81" w:rsidR="00C26C81" w:rsidP="00DC0FAE" w:rsidRDefault="00C26C81" w14:paraId="7B237525"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t xml:space="preserve">предлага мерки в подкрепа на </w:t>
      </w:r>
      <w:r>
        <w:rPr>
          <w:b/>
        </w:rPr>
        <w:t>прилагането на фонда на ЕС за преход към Син пакт</w:t>
      </w:r>
      <w:r>
        <w:t xml:space="preserve"> в областта на промишлеността;</w:t>
      </w:r>
    </w:p>
    <w:p w:rsidRPr="00C26C81" w:rsidR="00C26C81" w:rsidP="00DC0FAE" w:rsidRDefault="00C26C81" w14:paraId="1A520A8C" w14:textId="77777777">
      <w:pPr>
        <w:numPr>
          <w:ilvl w:val="0"/>
          <w:numId w:val="28"/>
        </w:numPr>
        <w:overflowPunct w:val="0"/>
        <w:autoSpaceDE w:val="0"/>
        <w:autoSpaceDN w:val="0"/>
        <w:adjustRightInd w:val="0"/>
        <w:spacing w:after="40" w:line="276" w:lineRule="auto"/>
        <w:ind w:left="284" w:hanging="284"/>
        <w:contextualSpacing/>
        <w:textAlignment w:val="baseline"/>
        <w:rPr>
          <w:bCs/>
          <w:iCs/>
        </w:rPr>
      </w:pPr>
      <w:r>
        <w:t>подкрепя създаването на</w:t>
      </w:r>
      <w:r>
        <w:rPr>
          <w:b/>
        </w:rPr>
        <w:t xml:space="preserve"> общност за знания и иновации в областта на водите (ОЗИ)</w:t>
      </w:r>
      <w:r>
        <w:t xml:space="preserve"> от Европейския институт за иновации и технологии (EIT).</w:t>
      </w:r>
    </w:p>
    <w:p w:rsidRPr="00C26C81" w:rsidR="00C26C81" w:rsidP="00C26C81" w:rsidRDefault="00C26C81" w14:paraId="586B6B4F" w14:textId="6B11469E">
      <w:pPr>
        <w:spacing w:after="40" w:line="276" w:lineRule="auto"/>
        <w:ind w:left="1276"/>
        <w:contextualSpacing/>
        <w:rPr>
          <w:bCs/>
          <w:iCs/>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4F1302" w:rsidTr="0066006A" w14:paraId="598DD9AC" w14:textId="77777777">
        <w:tc>
          <w:tcPr>
            <w:tcW w:w="1556" w:type="pct"/>
          </w:tcPr>
          <w:p w:rsidRPr="003C2FB3" w:rsidR="004F1302" w:rsidP="0066006A" w:rsidRDefault="004F1302" w14:paraId="15B56178" w14:textId="77777777">
            <w:pPr>
              <w:overflowPunct w:val="0"/>
              <w:autoSpaceDE w:val="0"/>
              <w:autoSpaceDN w:val="0"/>
              <w:adjustRightInd w:val="0"/>
              <w:spacing w:line="240" w:lineRule="auto"/>
              <w:textAlignment w:val="baseline"/>
              <w:rPr>
                <w:i/>
              </w:rPr>
            </w:pPr>
            <w:r>
              <w:rPr>
                <w:b/>
                <w:i/>
              </w:rPr>
              <w:lastRenderedPageBreak/>
              <w:t>За контакти</w:t>
            </w:r>
          </w:p>
        </w:tc>
        <w:tc>
          <w:tcPr>
            <w:tcW w:w="3444" w:type="pct"/>
          </w:tcPr>
          <w:p w:rsidRPr="0066006A" w:rsidR="004F1302" w:rsidP="0066006A" w:rsidRDefault="004F1302" w14:paraId="6A690265" w14:textId="1C17A6F4">
            <w:pPr>
              <w:overflowPunct w:val="0"/>
              <w:autoSpaceDE w:val="0"/>
              <w:autoSpaceDN w:val="0"/>
              <w:adjustRightInd w:val="0"/>
              <w:spacing w:line="240" w:lineRule="auto"/>
              <w:textAlignment w:val="baseline"/>
              <w:rPr>
                <w:i/>
              </w:rPr>
            </w:pPr>
            <w:r>
              <w:rPr>
                <w:i/>
              </w:rPr>
              <w:t>Heli Niemelä-Farrer</w:t>
            </w:r>
          </w:p>
        </w:tc>
      </w:tr>
      <w:tr w:rsidRPr="003C2FB3" w:rsidR="004F1302" w:rsidTr="0066006A" w14:paraId="2972FB5B" w14:textId="77777777">
        <w:tc>
          <w:tcPr>
            <w:tcW w:w="1556" w:type="pct"/>
          </w:tcPr>
          <w:p w:rsidRPr="003C2FB3" w:rsidR="004F1302" w:rsidP="0066006A" w:rsidRDefault="004F1302" w14:paraId="31E4746D" w14:textId="77777777">
            <w:pPr>
              <w:overflowPunct w:val="0"/>
              <w:autoSpaceDE w:val="0"/>
              <w:autoSpaceDN w:val="0"/>
              <w:adjustRightInd w:val="0"/>
              <w:spacing w:line="240" w:lineRule="auto"/>
              <w:textAlignment w:val="baseline"/>
              <w:rPr>
                <w:i/>
              </w:rPr>
            </w:pPr>
            <w:r>
              <w:rPr>
                <w:i/>
              </w:rPr>
              <w:t>Тел</w:t>
            </w:r>
            <w:r>
              <w:rPr>
                <w:i/>
                <w:iCs/>
              </w:rPr>
              <w:t>.</w:t>
            </w:r>
          </w:p>
        </w:tc>
        <w:tc>
          <w:tcPr>
            <w:tcW w:w="3444" w:type="pct"/>
          </w:tcPr>
          <w:p w:rsidRPr="003C2FB3" w:rsidR="004F1302" w:rsidP="0066006A" w:rsidRDefault="004F1302" w14:paraId="24534461" w14:textId="0D1989E1">
            <w:pPr>
              <w:overflowPunct w:val="0"/>
              <w:autoSpaceDE w:val="0"/>
              <w:autoSpaceDN w:val="0"/>
              <w:adjustRightInd w:val="0"/>
              <w:spacing w:line="240" w:lineRule="auto"/>
              <w:textAlignment w:val="baseline"/>
              <w:rPr>
                <w:i/>
              </w:rPr>
            </w:pPr>
            <w:r>
              <w:rPr>
                <w:i/>
              </w:rPr>
              <w:t>+32 22822464</w:t>
            </w:r>
          </w:p>
        </w:tc>
      </w:tr>
      <w:tr w:rsidRPr="003C2FB3" w:rsidR="004F1302" w:rsidTr="0066006A" w14:paraId="40A463F8" w14:textId="77777777">
        <w:tc>
          <w:tcPr>
            <w:tcW w:w="1556" w:type="pct"/>
          </w:tcPr>
          <w:p w:rsidRPr="003C2FB3" w:rsidR="004F1302" w:rsidP="0066006A" w:rsidRDefault="004F1302" w14:paraId="3B219BCA"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004F1302" w:rsidP="0066006A" w:rsidRDefault="00606C04" w14:paraId="0FED9690" w14:textId="7A8281DF">
            <w:pPr>
              <w:overflowPunct w:val="0"/>
              <w:autoSpaceDE w:val="0"/>
              <w:autoSpaceDN w:val="0"/>
              <w:adjustRightInd w:val="0"/>
              <w:spacing w:line="240" w:lineRule="auto"/>
              <w:textAlignment w:val="baseline"/>
              <w:rPr>
                <w:i/>
                <w:color w:val="0000FF"/>
                <w:u w:val="single"/>
              </w:rPr>
            </w:pPr>
            <w:hyperlink w:history="1" r:id="rId45">
              <w:r w:rsidR="004F1302">
                <w:rPr>
                  <w:rStyle w:val="Hyperlink"/>
                </w:rPr>
                <w:t>Heli.Niemela-Farrer</w:t>
              </w:r>
              <w:r w:rsidR="004F1302">
                <w:rPr>
                  <w:rStyle w:val="Hyperlink"/>
                  <w:i/>
                </w:rPr>
                <w:t>@eesc.europa.eu</w:t>
              </w:r>
            </w:hyperlink>
          </w:p>
          <w:p w:rsidRPr="003C2FB3" w:rsidR="004F1302" w:rsidP="0066006A" w:rsidRDefault="004F1302" w14:paraId="13626409" w14:textId="51178F9F">
            <w:pPr>
              <w:overflowPunct w:val="0"/>
              <w:autoSpaceDE w:val="0"/>
              <w:autoSpaceDN w:val="0"/>
              <w:adjustRightInd w:val="0"/>
              <w:spacing w:line="240" w:lineRule="auto"/>
              <w:textAlignment w:val="baseline"/>
              <w:rPr>
                <w:i/>
              </w:rPr>
            </w:pPr>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Default="00631992" w:rsidP="005C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r w:rsidR="00606C04">
      <w:fldChar w:fldCharType="begin"/>
    </w:r>
    <w:r w:rsidR="00606C04">
      <w:instrText xml:space="preserve"> NUMPAGES </w:instrText>
    </w:r>
    <w:r w:rsidR="00606C04">
      <w:fldChar w:fldCharType="separate"/>
    </w:r>
    <w:r w:rsidR="00DC0FAE">
      <w:t>1</w:t>
    </w:r>
    <w:r w:rsidR="00606C0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Default="00631992" w:rsidP="005C2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r w:rsidR="00606C04">
      <w:fldChar w:fldCharType="begin"/>
    </w:r>
    <w:r w:rsidR="00606C04">
      <w:instrText xml:space="preserve"> NUMPAGES </w:instrText>
    </w:r>
    <w:r w:rsidR="00606C04">
      <w:fldChar w:fldCharType="separate"/>
    </w:r>
    <w:r>
      <w:t>1</w:t>
    </w:r>
    <w:r w:rsidR="00606C0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Default="006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Default="006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Default="00631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73D"/>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1CE5"/>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1790D"/>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336"/>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6C04"/>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332"/>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2E63"/>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54D1"/>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5A4E"/>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48A9"/>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bg-BG"/>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bg/our-work/opinions-information-reports/opinions/revision-de-la-directive-relative-au-comite-dentreprise-europeen"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bg/our-work/opinions-information-reports/opinions/plan-europeen-pour-vaincre-le-cancer-vers-un-approvisionnement-sur-en-radio-isotopes-usage-medical" TargetMode="External"/><Relationship Id="rId42" Type="http://schemas.openxmlformats.org/officeDocument/2006/relationships/hyperlink" Target="https://www.eesc.europa.eu/bg/our-work/opinions-information-reports/opinions/european-defence-industrial-strategy"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bg/our-work/opinions-information-reports/opinions/vaccine-preventable-cancers" TargetMode="External"/><Relationship Id="rId32" Type="http://schemas.openxmlformats.org/officeDocument/2006/relationships/hyperlink" Target="https://www.eesc.europa.eu/bg/our-work/opinions-information-reports/opinions/revision-animal-welfare-legislation" TargetMode="External"/><Relationship Id="rId37" Type="http://schemas.openxmlformats.org/officeDocument/2006/relationships/hyperlink" Target="mailto:Ioannis.Diamantopoulos@eesc.europa.eu" TargetMode="External"/><Relationship Id="rId40" Type="http://schemas.openxmlformats.org/officeDocument/2006/relationships/hyperlink" Target="https://www.eesc.europa.eu/bg/our-work/opinions-information-reports/opinions/communication-sur-la-gestion-industrielle-du-carbone"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yperlink" Target="https://www.eesc.europa.eu/bg/our-work/opinions-information-reports/opinions/industrial-and-technological-approaches-and-best-practices-supporting-water-resilient-society"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bg/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bg/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Ioannis.Diamantopoulos@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bg/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bg/our-work/opinions-information-reports/opinions/drone-manufacturing-industry-case-study-assess-outcome-strategic-sector-different-policies-place-enhance-european" TargetMode="External"/><Relationship Id="rId46" Type="http://schemas.openxmlformats.org/officeDocument/2006/relationships/header" Target="header4.xml"/><Relationship Id="rId20" Type="http://schemas.openxmlformats.org/officeDocument/2006/relationships/hyperlink" Target="https://www.eesc.europa.eu/bg/our-work/opinions-information-reports/opinions/role-cohesion-policy-upcoming-rounds-eu-enlargement" TargetMode="External"/><Relationship Id="rId41" Type="http://schemas.openxmlformats.org/officeDocument/2006/relationships/hyperlink" Target="mailto:Adam.Dorywalski@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bg/our-work/opinions-information-reports/opinions/un-lieu-ou-il-est-exclu-de-hair-une-europe-unie-contre-la-haine" TargetMode="External"/><Relationship Id="rId36" Type="http://schemas.openxmlformats.org/officeDocument/2006/relationships/hyperlink" Target="https://www.eesc.europa.eu/bg/our-work/opinions-information-reports/opinions/european-defence-industry-programme"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F7M6YNZUATRX-917472228-6202</_dlc_DocId>
    <_dlc_DocIdUrl xmlns="59ace41b-6786-4ce3-be71-52c27066c6ef">
      <Url>http://dm/eesc/2024/_layouts/15/DocIdRedir.aspx?ID=F7M6YNZUATRX-917472228-6202</Url>
      <Description>F7M6YNZUATRX-917472228-6202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2024-06-21T12:00:00+00:00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Ilieva Albena</DisplayName>
        <AccountId>1557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C3E27-E844-4E85-8B15-60C7B54452E4}"/>
</file>

<file path=customXml/itemProps2.xml><?xml version="1.0" encoding="utf-8"?>
<ds:datastoreItem xmlns:ds="http://schemas.openxmlformats.org/officeDocument/2006/customXml" ds:itemID="{4AC976FD-606A-437A-8EEF-7E42DB7D9FA1}"/>
</file>

<file path=customXml/itemProps3.xml><?xml version="1.0" encoding="utf-8"?>
<ds:datastoreItem xmlns:ds="http://schemas.openxmlformats.org/officeDocument/2006/customXml" ds:itemID="{C95A296B-2C97-4691-896C-99B7ACA76045}"/>
</file>

<file path=customXml/itemProps4.xml><?xml version="1.0" encoding="utf-8"?>
<ds:datastoreItem xmlns:ds="http://schemas.openxmlformats.org/officeDocument/2006/customXml" ds:itemID="{DD24FF70-0B18-4D1F-88A7-7633E89D836B}"/>
</file>

<file path=docProps/app.xml><?xml version="1.0" encoding="utf-8"?>
<Properties xmlns="http://schemas.openxmlformats.org/officeDocument/2006/extended-properties" xmlns:vt="http://schemas.openxmlformats.org/officeDocument/2006/docPropsVTypes">
  <Template>Normal.dotm</Template>
  <TotalTime>0</TotalTime>
  <Pages>22</Pages>
  <Words>6038</Words>
  <Characters>34419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40377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приетите становища - 588-а пленарна сесия - май 2024 г.</dc:title>
  <dc:subject>TCD</dc:subject>
  <dc:creator>Nieddu Emma</dc:creator>
  <cp:keywords>EESC-2024-01704-00-00-TCD-TRA-EN</cp:keywords>
  <dc:description>Rapporteur:  - Original language: EN - Date of document: 21/06/2024 - Date of meeting: 30/10/2024 14:30 - External documents:  - Administrator: MME TAMASAUSKIENE Julija</dc:description>
  <cp:lastModifiedBy>Ilieva Albena</cp:lastModifiedBy>
  <cp:revision>8</cp:revision>
  <cp:lastPrinted>2023-06-15T08:00:00Z</cp:lastPrinted>
  <dcterms:created xsi:type="dcterms:W3CDTF">2024-06-18T15:04:00Z</dcterms:created>
  <dcterms:modified xsi:type="dcterms:W3CDTF">2024-06-21T12:44:00Z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2b6ccb93-6f20-4a61-b56a-b11c042e661d</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NL|55c6556c-b4f4-441d-9acf-c498d4f838bd;IT|0774613c-01ed-4e5d-a25d-11d2388de825;SV|c2ed69e7-a339-43d7-8f22-d93680a92aa0;ES|e7a6b05b-ae16-40c8-add9-68b64b03aeba;DE|f6b31e5a-26fa-4935-b661-318e46daf27e;LV|46f7e311-5d9f-4663-b433-18aeccb7ace7;CS|72f9705b-0217-4fd3-bea2-cbc7ed80e26e;HR|2f555653-ed1a-4fe6-8362-9082d95989e5;FI|87606a43-d45f-42d6-b8c9-e1a3457db5b7;PT|50ccc04a-eadd-42ae-a0cb-acaf45f812ba;ET|ff6c3f4c-b02c-4c3c-ab07-2c37995a7a0a;FR|d2afafd3-4c81-4f60-8f52-ee33f2f54ff3;EL|6d4f4d51-af9b-4650-94b4-4276bee85c91;DA|5d49c027-8956-412b-aa16-e85a0f96ad0e;SL|98a412ae-eb01-49e9-ae3d-585a81724cfc;SK|46d9fce0-ef79-4f71-b89b-cd6aa82426b8;LT|a7ff5ce7-6123-4f68-865a-a57c31810414;HU|6b229040-c589-4408-b4c1-4285663d20a8;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32;#HU|6b229040-c589-4408-b4c1-4285663d20a8;#31;#NL|55c6556c-b4f4-441d-9acf-c498d4f838bd;#43;#CS|72f9705b-0217-4fd3-bea2-cbc7ed80e26e;#29;#EL|6d4f4d51-af9b-4650-94b4-4276bee85c91;#28;#LV|46f7e311-5d9f-4663-b433-18aeccb7ace7;#27;#SL|98a412ae-eb01-49e9-ae3d-585a81724cfc;#26;#SK|46d9fce0-ef79-4f71-b89b-cd6aa82426b8;#25;#DE|f6b31e5a-26fa-4935-b661-318e46daf27e;#24;#ES|e7a6b05b-ae16-40c8-add9-68b64b03aeba;#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30;#HR|2f555653-ed1a-4fe6-8362-9082d95989e5</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22;#BG|1a1b3951-7821-4e6a-85f5-5673fc08bd2c</vt:lpwstr>
  </property>
</Properties>
</file>