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2908" w:rsidR="002C6D7D" w:rsidP="002C6D7D" w:rsidRDefault="005F6A61" w14:paraId="46F231A8" w14:textId="09A36B58">
      <w:pPr>
        <w:jc w:val="center"/>
        <w:rPr>
          <w:rFonts w:ascii="Verdana" w:hAnsi="Verdana"/>
          <w:b/>
          <w:bCs/>
          <w:sz w:val="24"/>
          <w:szCs w:val="24"/>
        </w:rPr>
      </w:pPr>
      <w:r>
        <w:rPr>
          <w:rFonts w:ascii="Verdana" w:hAnsi="Verdana"/>
          <w:b/>
          <w:sz w:val="24"/>
        </w:rPr>
        <w:t xml:space="preserve">Planul de creștere și Mecanismul de reformă și creștere: un sprijin concret pentru dezvoltarea economică în Balcanii de Vest </w:t>
      </w:r>
    </w:p>
    <w:p w:rsidRPr="00646386" w:rsidR="002C6D7D" w:rsidRDefault="002C6D7D" w14:paraId="2EA7FEA4" w14:textId="77777777">
      <w:pPr>
        <w:rPr>
          <w:rFonts w:ascii="Verdana" w:hAnsi="Verdana"/>
          <w:b/>
          <w:bCs/>
          <w:sz w:val="18"/>
          <w:szCs w:val="18"/>
          <w:lang w:val="en-GB"/>
        </w:rPr>
      </w:pPr>
    </w:p>
    <w:p w:rsidRPr="00646386" w:rsidR="002C6D7D" w:rsidRDefault="002C6D7D" w14:paraId="292E0531" w14:textId="7DE0ABB2">
      <w:pPr>
        <w:rPr>
          <w:rFonts w:ascii="Verdana" w:hAnsi="Verdana"/>
          <w:b/>
          <w:bCs/>
          <w:sz w:val="18"/>
          <w:szCs w:val="18"/>
          <w:lang w:val="en-GB"/>
        </w:rPr>
      </w:pPr>
    </w:p>
    <w:p w:rsidRPr="003F2143" w:rsidR="000D46A4" w:rsidRDefault="00217FD0" w14:paraId="3AC6F8D6" w14:textId="6F8E5E41">
      <w:pPr>
        <w:rPr>
          <w:rFonts w:ascii="Verdana" w:hAnsi="Verdana"/>
          <w:b/>
          <w:bCs/>
          <w:sz w:val="20"/>
          <w:szCs w:val="20"/>
        </w:rPr>
      </w:pPr>
      <w:r>
        <w:rPr>
          <w:rFonts w:ascii="Verdana" w:hAnsi="Verdana"/>
          <w:b/>
          <w:sz w:val="20"/>
        </w:rPr>
        <w:t xml:space="preserve">CESE a adoptat </w:t>
      </w:r>
      <w:hyperlink w:history="1" r:id="rId7">
        <w:r>
          <w:rPr>
            <w:rStyle w:val="Hyperlink"/>
            <w:rFonts w:ascii="Verdana" w:hAnsi="Verdana"/>
            <w:b/>
            <w:sz w:val="20"/>
          </w:rPr>
          <w:t>un aviz</w:t>
        </w:r>
      </w:hyperlink>
      <w:r>
        <w:rPr>
          <w:rFonts w:ascii="Verdana" w:hAnsi="Verdana"/>
          <w:b/>
          <w:sz w:val="20"/>
        </w:rPr>
        <w:t xml:space="preserve"> privind noul </w:t>
      </w:r>
      <w:r>
        <w:rPr>
          <w:rFonts w:ascii="Verdana" w:hAnsi="Verdana"/>
          <w:b/>
          <w:i/>
          <w:sz w:val="20"/>
        </w:rPr>
        <w:t>Mecanism de reformă și creștere pentru Balcanii de Vest</w:t>
      </w:r>
      <w:r>
        <w:rPr>
          <w:rFonts w:ascii="Verdana" w:hAnsi="Verdana"/>
          <w:b/>
          <w:sz w:val="20"/>
        </w:rPr>
        <w:t>, la solicitarea Comisiei. Planul va sprijini Balcanii de Vest să accelereze cooperarea economică regională. Este pentru prima dată când UE s-a concentrat pe dezvoltarea economică și convergența socioeconomică în regiune.</w:t>
      </w:r>
    </w:p>
    <w:p w:rsidRPr="00646386" w:rsidR="000D46A4" w:rsidRDefault="000D46A4" w14:paraId="39C98FBD" w14:textId="77777777">
      <w:pPr>
        <w:rPr>
          <w:rFonts w:ascii="Verdana" w:hAnsi="Verdana"/>
          <w:b/>
          <w:bCs/>
          <w:sz w:val="18"/>
          <w:szCs w:val="18"/>
          <w:lang w:val="en-GB"/>
        </w:rPr>
      </w:pPr>
    </w:p>
    <w:p w:rsidRPr="003F2143" w:rsidR="00C52E87" w:rsidRDefault="00217FD0" w14:paraId="4B8C5954" w14:textId="197855C8">
      <w:pPr>
        <w:rPr>
          <w:rFonts w:ascii="Verdana" w:hAnsi="Verdana"/>
          <w:sz w:val="20"/>
          <w:szCs w:val="20"/>
        </w:rPr>
      </w:pPr>
      <w:r>
        <w:rPr>
          <w:rFonts w:ascii="Verdana" w:hAnsi="Verdana"/>
          <w:sz w:val="20"/>
        </w:rPr>
        <w:t>Propus recent de Comisie, Mecanismul de reformă și creștere pentru Balcanii de Vest, care reprezintă pilonul financiar al planului de creștere, va sprijini o serie de reforme socioeconomice și fundamentale în regiune. În plus, acesta va sprijini economiile din Balcanii de Vest să accelereze cooperarea economică regională ca piatră de temelie pentru lanțurile valorice europene și pentru o mai mare competitivitate. Acest demers ar trebui să le ajute să se integreze fără probleme în piața unică a UE.</w:t>
      </w:r>
    </w:p>
    <w:p w:rsidRPr="00646386" w:rsidR="00C52E87" w:rsidRDefault="00C52E87" w14:paraId="11465591" w14:textId="77777777">
      <w:pPr>
        <w:rPr>
          <w:rFonts w:ascii="Verdana" w:hAnsi="Verdana"/>
          <w:sz w:val="18"/>
          <w:szCs w:val="18"/>
          <w:lang w:val="en-GB"/>
        </w:rPr>
      </w:pPr>
    </w:p>
    <w:p w:rsidRPr="003F2143" w:rsidR="00C52E87" w:rsidP="00C52E87" w:rsidRDefault="000F65D9" w14:paraId="44159C0F" w14:textId="057BC193">
      <w:pPr>
        <w:rPr>
          <w:rFonts w:ascii="Verdana" w:hAnsi="Verdana"/>
          <w:sz w:val="20"/>
          <w:szCs w:val="20"/>
        </w:rPr>
      </w:pPr>
      <w:r>
        <w:rPr>
          <w:rFonts w:ascii="Verdana" w:hAnsi="Verdana"/>
          <w:sz w:val="20"/>
        </w:rPr>
        <w:t>După cum a declarat dl</w:t>
      </w:r>
      <w:r w:rsidR="002574EC">
        <w:rPr>
          <w:rFonts w:ascii="Verdana" w:hAnsi="Verdana"/>
          <w:sz w:val="20"/>
        </w:rPr>
        <w:t> </w:t>
      </w:r>
      <w:r>
        <w:rPr>
          <w:rFonts w:ascii="Verdana" w:hAnsi="Verdana"/>
          <w:b/>
          <w:sz w:val="20"/>
        </w:rPr>
        <w:t>Ionuț</w:t>
      </w:r>
      <w:r w:rsidR="007E4D06">
        <w:rPr>
          <w:rFonts w:ascii="Verdana" w:hAnsi="Verdana"/>
          <w:b/>
          <w:sz w:val="20"/>
        </w:rPr>
        <w:t> SIBIAN</w:t>
      </w:r>
      <w:r>
        <w:rPr>
          <w:rFonts w:ascii="Verdana" w:hAnsi="Verdana"/>
          <w:sz w:val="20"/>
        </w:rPr>
        <w:t>, membru al CESE și raportorul avizului, „pe baza experienței dobândite în ceea ce privește punerea în aplicare a Mecanismului de redresare și reziliență (MRR) în statele membre ale UE, recomandăm instituirea unui tablou de bord al planului de creștere și a unor comitete naționale de monitorizare menite să consolideze punerea în aplicare și coordonarea planului, și să monitorizeze funcționarea sa. Desigur,</w:t>
      </w:r>
      <w:r w:rsidR="005200CC">
        <w:rPr>
          <w:rFonts w:ascii="Verdana" w:hAnsi="Verdana"/>
          <w:sz w:val="20"/>
        </w:rPr>
        <w:t> </w:t>
      </w:r>
      <w:r>
        <w:rPr>
          <w:rFonts w:ascii="Verdana" w:hAnsi="Verdana"/>
          <w:sz w:val="20"/>
        </w:rPr>
        <w:t xml:space="preserve">aceste comitete ar trebui să includă parteneri sociali, precum și organizații specializate ale societății civile din țările beneficiare.” </w:t>
      </w:r>
    </w:p>
    <w:p w:rsidRPr="00646386" w:rsidR="00C52E87" w:rsidP="00C52E87" w:rsidRDefault="00C52E87" w14:paraId="05FC7971" w14:textId="0C10D0D5">
      <w:pPr>
        <w:rPr>
          <w:rFonts w:ascii="Verdana" w:hAnsi="Verdana"/>
          <w:sz w:val="18"/>
          <w:szCs w:val="18"/>
          <w:lang w:val="en-GB"/>
        </w:rPr>
      </w:pPr>
    </w:p>
    <w:p w:rsidRPr="003F2143" w:rsidR="000F65D9" w:rsidP="000F65D9" w:rsidRDefault="000F65D9" w14:paraId="3EA5E5EE" w14:textId="7A434DA0">
      <w:pPr>
        <w:rPr>
          <w:rFonts w:ascii="Verdana" w:hAnsi="Verdana"/>
          <w:sz w:val="20"/>
          <w:szCs w:val="20"/>
        </w:rPr>
      </w:pPr>
      <w:r>
        <w:rPr>
          <w:rFonts w:ascii="Verdana" w:hAnsi="Verdana"/>
          <w:sz w:val="20"/>
        </w:rPr>
        <w:t xml:space="preserve">În </w:t>
      </w:r>
      <w:hyperlink w:history="1" r:id="rId8">
        <w:r>
          <w:rPr>
            <w:rStyle w:val="Hyperlink"/>
            <w:rFonts w:ascii="Verdana" w:hAnsi="Verdana"/>
            <w:sz w:val="20"/>
          </w:rPr>
          <w:t>av</w:t>
        </w:r>
        <w:r>
          <w:rPr>
            <w:rStyle w:val="Hyperlink"/>
            <w:rFonts w:ascii="Verdana" w:hAnsi="Verdana"/>
            <w:sz w:val="20"/>
          </w:rPr>
          <w:t>i</w:t>
        </w:r>
        <w:r>
          <w:rPr>
            <w:rStyle w:val="Hyperlink"/>
            <w:rFonts w:ascii="Verdana" w:hAnsi="Verdana"/>
            <w:sz w:val="20"/>
          </w:rPr>
          <w:t>zul</w:t>
        </w:r>
      </w:hyperlink>
      <w:r>
        <w:rPr>
          <w:rFonts w:ascii="Verdana" w:hAnsi="Verdana"/>
          <w:sz w:val="20"/>
        </w:rPr>
        <w:t xml:space="preserve"> său, CESE afirmă că o abordare treptată, previzibilă și bazată pe merit în ceea ce privește obținerea de beneficii în timpul procesului de aderare la UE, inclusiv sprijinul financiar, integrarea pe piața unică a UE și participarea la activitatea instituțiilor UE, este cea mai bună modalitate de a avansa în direcția extinderii UE. </w:t>
      </w:r>
    </w:p>
    <w:p w:rsidRPr="00646386" w:rsidR="000F65D9" w:rsidP="00C52E87" w:rsidRDefault="000F65D9" w14:paraId="4A1910CA" w14:textId="77777777">
      <w:pPr>
        <w:rPr>
          <w:rFonts w:ascii="Verdana" w:hAnsi="Verdana"/>
          <w:sz w:val="18"/>
          <w:szCs w:val="18"/>
          <w:lang w:val="en-GB"/>
        </w:rPr>
      </w:pPr>
    </w:p>
    <w:p w:rsidRPr="003F2143" w:rsidR="00A87101" w:rsidP="00C52E87" w:rsidRDefault="000E02AC" w14:paraId="1D043EB6" w14:textId="4411FDFA">
      <w:pPr>
        <w:rPr>
          <w:rFonts w:ascii="Verdana" w:hAnsi="Verdana"/>
          <w:sz w:val="20"/>
          <w:szCs w:val="20"/>
        </w:rPr>
      </w:pPr>
      <w:r>
        <w:rPr>
          <w:rFonts w:ascii="Verdana" w:hAnsi="Verdana"/>
          <w:sz w:val="20"/>
        </w:rPr>
        <w:t>În discursul rostit în sesiunea plenară din</w:t>
      </w:r>
      <w:r w:rsidR="005200CC">
        <w:rPr>
          <w:rFonts w:ascii="Verdana" w:hAnsi="Verdana"/>
          <w:sz w:val="20"/>
        </w:rPr>
        <w:t> </w:t>
      </w:r>
      <w:r>
        <w:rPr>
          <w:rFonts w:ascii="Verdana" w:hAnsi="Verdana"/>
          <w:sz w:val="20"/>
        </w:rPr>
        <w:t>aprilie, dna</w:t>
      </w:r>
      <w:r w:rsidR="002574EC">
        <w:rPr>
          <w:rFonts w:ascii="Verdana" w:hAnsi="Verdana"/>
          <w:sz w:val="20"/>
        </w:rPr>
        <w:t> </w:t>
      </w:r>
      <w:proofErr w:type="spellStart"/>
      <w:r>
        <w:rPr>
          <w:rFonts w:ascii="Verdana" w:hAnsi="Verdana"/>
          <w:b/>
          <w:sz w:val="20"/>
        </w:rPr>
        <w:t>Dragica</w:t>
      </w:r>
      <w:proofErr w:type="spellEnd"/>
      <w:r w:rsidR="007E4D06">
        <w:rPr>
          <w:rFonts w:ascii="Verdana" w:hAnsi="Verdana"/>
          <w:b/>
          <w:sz w:val="20"/>
        </w:rPr>
        <w:t> MARTINOVIĆ</w:t>
      </w:r>
      <w:r>
        <w:rPr>
          <w:rFonts w:ascii="Verdana" w:hAnsi="Verdana"/>
          <w:sz w:val="20"/>
        </w:rPr>
        <w:t>, membră a CESE și coraportoare a avizului, a subliniat decalajul de convergență socioeconomică dintre țările din Balcanii de Vest și media UE. „Acest decalaj este și va rămâne o provocare dacă nu este eliminat treptat. Noul plan de creștere și Mecanismul de reformă pentru Balcanii de Vest modifică regulile jocului, deoarece este prima dată când UE pune accentul pe dezvoltarea economică și convergența socioeconomică în regiune.”</w:t>
      </w:r>
    </w:p>
    <w:p w:rsidRPr="00646386" w:rsidR="00A87101" w:rsidP="00C52E87" w:rsidRDefault="00A87101" w14:paraId="1582C755" w14:textId="77777777">
      <w:pPr>
        <w:rPr>
          <w:rFonts w:ascii="Verdana" w:hAnsi="Verdana"/>
          <w:sz w:val="18"/>
          <w:szCs w:val="18"/>
          <w:lang w:val="en-GB"/>
        </w:rPr>
      </w:pPr>
    </w:p>
    <w:p w:rsidRPr="003F2143" w:rsidR="00C52E87" w:rsidP="00C52E87" w:rsidRDefault="000D46A4" w14:paraId="7AE3FC70" w14:textId="447DFB09">
      <w:pPr>
        <w:rPr>
          <w:rFonts w:ascii="Verdana" w:hAnsi="Verdana"/>
          <w:sz w:val="20"/>
          <w:szCs w:val="20"/>
        </w:rPr>
      </w:pPr>
      <w:r>
        <w:rPr>
          <w:rFonts w:ascii="Verdana" w:hAnsi="Verdana"/>
          <w:sz w:val="20"/>
        </w:rPr>
        <w:t>„Cooperarea regională și relațiile de bună vecinătate pe tot parcursul procesului de aderare la UE și accentul pus pe dezvoltarea pieței regionale comune (MPC) sunt, de asemenea, de o importanță crucială”, a adăugat dna</w:t>
      </w:r>
      <w:r w:rsidR="007E4D06">
        <w:rPr>
          <w:rFonts w:ascii="Verdana" w:hAnsi="Verdana"/>
          <w:sz w:val="20"/>
        </w:rPr>
        <w:t> MARTINOVIĆ</w:t>
      </w:r>
      <w:r>
        <w:rPr>
          <w:rFonts w:ascii="Verdana" w:hAnsi="Verdana"/>
          <w:sz w:val="20"/>
        </w:rPr>
        <w:t>.</w:t>
      </w:r>
    </w:p>
    <w:p w:rsidRPr="00646386" w:rsidR="003269C4" w:rsidRDefault="003269C4" w14:paraId="198CCE67" w14:textId="13ADFC17">
      <w:pPr>
        <w:rPr>
          <w:rFonts w:ascii="Verdana" w:hAnsi="Verdana"/>
          <w:sz w:val="18"/>
          <w:szCs w:val="18"/>
          <w:lang w:val="en-GB"/>
        </w:rPr>
      </w:pPr>
    </w:p>
    <w:p w:rsidRPr="003F2143" w:rsidR="005F6A61" w:rsidP="005F6A61" w:rsidRDefault="005F6A61" w14:paraId="5908291B" w14:textId="17494308">
      <w:pPr>
        <w:rPr>
          <w:rFonts w:ascii="Verdana" w:hAnsi="Verdana"/>
          <w:sz w:val="20"/>
          <w:szCs w:val="20"/>
        </w:rPr>
      </w:pPr>
      <w:r>
        <w:rPr>
          <w:rFonts w:ascii="Verdana" w:hAnsi="Verdana"/>
          <w:sz w:val="20"/>
        </w:rPr>
        <w:t>Comitetul solicită orientări clare și transparente cu privire la modul de aplicare a pachetului de condiționalitate propus. El reiterează, de asemenea, că este important să se garanteze că accentul pus de UE pe stabilitate și pe interesele geopolitice nu subminează statul de drept și democrația. De aceea, ar trebui solicitate în timp util contribuțiile partenerilor sociali și ale organizațiilor societății civile, iar acestea ar trebui să se bucure de atenția cuvenită pe parcursul etapei de punere în aplicare a planului.</w:t>
      </w:r>
    </w:p>
    <w:p w:rsidRPr="003F2143" w:rsidR="005F6A61" w:rsidRDefault="005F6A61" w14:paraId="14ACBE1F" w14:textId="77777777">
      <w:pPr>
        <w:rPr>
          <w:rFonts w:ascii="Verdana" w:hAnsi="Verdana"/>
          <w:sz w:val="20"/>
          <w:szCs w:val="20"/>
          <w:lang w:val="en-GB"/>
        </w:rPr>
      </w:pPr>
    </w:p>
    <w:sectPr w:rsidRPr="003F2143" w:rsidR="005F6A61" w:rsidSect="00DB31ED">
      <w:headerReference w:type="even" r:id="rId9"/>
      <w:headerReference w:type="default" r:id="rId10"/>
      <w:footerReference w:type="even" r:id="rId11"/>
      <w:footerReference w:type="default" r:id="rId12"/>
      <w:headerReference w:type="first" r:id="rId13"/>
      <w:footerReference w:type="first" r:id="rId14"/>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16E0" w14:textId="77777777" w:rsidR="00F91B45" w:rsidRDefault="00F91B45" w:rsidP="00F91B45">
      <w:pPr>
        <w:spacing w:line="240" w:lineRule="auto"/>
      </w:pPr>
      <w:r>
        <w:separator/>
      </w:r>
    </w:p>
  </w:endnote>
  <w:endnote w:type="continuationSeparator" w:id="0">
    <w:p w14:paraId="489A2FCB" w14:textId="77777777" w:rsidR="00F91B45" w:rsidRDefault="00F91B45" w:rsidP="00F91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9F53" w14:textId="77777777" w:rsidR="00F91B45" w:rsidRPr="00DB31ED" w:rsidRDefault="00F91B45" w:rsidP="00DB3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C0AA" w14:textId="76048900" w:rsidR="00F91B45" w:rsidRPr="00DB31ED" w:rsidRDefault="00DB31ED" w:rsidP="00DB31ED">
    <w:pPr>
      <w:pStyle w:val="Footer"/>
    </w:pPr>
    <w:r>
      <w:t xml:space="preserve">EESC-2024-01829-00-00-CP-TRA (EN) </w:t>
    </w:r>
    <w:r>
      <w:fldChar w:fldCharType="begin"/>
    </w:r>
    <w:r>
      <w:instrText xml:space="preserve"> PAGE  \* Arabic  \* MERGEFORMAT </w:instrText>
    </w:r>
    <w:r>
      <w:fldChar w:fldCharType="separate"/>
    </w:r>
    <w:r>
      <w:t>1</w:t>
    </w:r>
    <w:r>
      <w:fldChar w:fldCharType="end"/>
    </w:r>
    <w:r>
      <w:t>/</w:t>
    </w:r>
    <w:r w:rsidR="000A69ED">
      <w:fldChar w:fldCharType="begin"/>
    </w:r>
    <w:r w:rsidR="000A69ED">
      <w:instrText xml:space="preserve"> NUMPAGES </w:instrText>
    </w:r>
    <w:r w:rsidR="000A69ED">
      <w:fldChar w:fldCharType="separate"/>
    </w:r>
    <w:r>
      <w:t>1</w:t>
    </w:r>
    <w:r w:rsidR="000A69E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C455" w14:textId="77777777" w:rsidR="00F91B45" w:rsidRPr="00DB31ED" w:rsidRDefault="00F91B45" w:rsidP="00DB3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2A7D" w14:textId="77777777" w:rsidR="00F91B45" w:rsidRDefault="00F91B45" w:rsidP="00F91B45">
      <w:pPr>
        <w:spacing w:line="240" w:lineRule="auto"/>
      </w:pPr>
      <w:r>
        <w:separator/>
      </w:r>
    </w:p>
  </w:footnote>
  <w:footnote w:type="continuationSeparator" w:id="0">
    <w:p w14:paraId="2E35A871" w14:textId="77777777" w:rsidR="00F91B45" w:rsidRDefault="00F91B45" w:rsidP="00F91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75F0" w14:textId="77777777" w:rsidR="00F91B45" w:rsidRPr="00DB31ED" w:rsidRDefault="00F91B45" w:rsidP="00DB3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9CD6" w14:textId="6EE467A4" w:rsidR="00F91B45" w:rsidRPr="00DB31ED" w:rsidRDefault="00F91B45" w:rsidP="00DB3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E454" w14:textId="77777777" w:rsidR="00F91B45" w:rsidRPr="00DB31ED" w:rsidRDefault="00F91B45" w:rsidP="00DB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C4"/>
    <w:rsid w:val="000A69ED"/>
    <w:rsid w:val="000D46A4"/>
    <w:rsid w:val="000E02AC"/>
    <w:rsid w:val="000F65D9"/>
    <w:rsid w:val="000F6E2C"/>
    <w:rsid w:val="001049C5"/>
    <w:rsid w:val="00152908"/>
    <w:rsid w:val="001A69D3"/>
    <w:rsid w:val="001E6D3A"/>
    <w:rsid w:val="00217FD0"/>
    <w:rsid w:val="002574EC"/>
    <w:rsid w:val="002C6D7D"/>
    <w:rsid w:val="00301471"/>
    <w:rsid w:val="003269C4"/>
    <w:rsid w:val="003E7D12"/>
    <w:rsid w:val="003F2143"/>
    <w:rsid w:val="004D5702"/>
    <w:rsid w:val="005200CC"/>
    <w:rsid w:val="005F6A61"/>
    <w:rsid w:val="00646386"/>
    <w:rsid w:val="006D0041"/>
    <w:rsid w:val="00776102"/>
    <w:rsid w:val="00796188"/>
    <w:rsid w:val="007D74D3"/>
    <w:rsid w:val="007E4D06"/>
    <w:rsid w:val="00A618ED"/>
    <w:rsid w:val="00A8670C"/>
    <w:rsid w:val="00A87101"/>
    <w:rsid w:val="00B84D2A"/>
    <w:rsid w:val="00BF7206"/>
    <w:rsid w:val="00C4239F"/>
    <w:rsid w:val="00C52E87"/>
    <w:rsid w:val="00DB31ED"/>
    <w:rsid w:val="00E77677"/>
    <w:rsid w:val="00F91B45"/>
    <w:rsid w:val="00FB7312"/>
    <w:rsid w:val="00FB7C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BD95"/>
  <w15:chartTrackingRefBased/>
  <w15:docId w15:val="{A8E57C18-955A-4ED0-B743-B2E7ED44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C4"/>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3269C4"/>
    <w:pPr>
      <w:numPr>
        <w:numId w:val="1"/>
      </w:numPr>
      <w:ind w:left="567" w:hanging="567"/>
      <w:outlineLvl w:val="0"/>
    </w:pPr>
    <w:rPr>
      <w:kern w:val="28"/>
    </w:rPr>
  </w:style>
  <w:style w:type="paragraph" w:styleId="Heading2">
    <w:name w:val="heading 2"/>
    <w:basedOn w:val="Normal"/>
    <w:next w:val="Normal"/>
    <w:link w:val="Heading2Char"/>
    <w:qFormat/>
    <w:rsid w:val="003269C4"/>
    <w:pPr>
      <w:numPr>
        <w:ilvl w:val="1"/>
        <w:numId w:val="1"/>
      </w:numPr>
      <w:ind w:left="567" w:hanging="567"/>
      <w:outlineLvl w:val="1"/>
    </w:pPr>
  </w:style>
  <w:style w:type="paragraph" w:styleId="Heading3">
    <w:name w:val="heading 3"/>
    <w:basedOn w:val="Normal"/>
    <w:next w:val="Normal"/>
    <w:link w:val="Heading3Char"/>
    <w:qFormat/>
    <w:rsid w:val="003269C4"/>
    <w:pPr>
      <w:numPr>
        <w:ilvl w:val="2"/>
        <w:numId w:val="1"/>
      </w:numPr>
      <w:ind w:left="567" w:hanging="567"/>
      <w:outlineLvl w:val="2"/>
    </w:pPr>
  </w:style>
  <w:style w:type="paragraph" w:styleId="Heading4">
    <w:name w:val="heading 4"/>
    <w:basedOn w:val="Normal"/>
    <w:next w:val="Normal"/>
    <w:link w:val="Heading4Char"/>
    <w:qFormat/>
    <w:rsid w:val="003269C4"/>
    <w:pPr>
      <w:numPr>
        <w:ilvl w:val="3"/>
        <w:numId w:val="1"/>
      </w:numPr>
      <w:ind w:left="567" w:hanging="567"/>
      <w:outlineLvl w:val="3"/>
    </w:pPr>
  </w:style>
  <w:style w:type="paragraph" w:styleId="Heading5">
    <w:name w:val="heading 5"/>
    <w:basedOn w:val="Normal"/>
    <w:next w:val="Normal"/>
    <w:link w:val="Heading5Char"/>
    <w:qFormat/>
    <w:rsid w:val="003269C4"/>
    <w:pPr>
      <w:numPr>
        <w:ilvl w:val="4"/>
        <w:numId w:val="1"/>
      </w:numPr>
      <w:ind w:left="567" w:hanging="567"/>
      <w:outlineLvl w:val="4"/>
    </w:pPr>
  </w:style>
  <w:style w:type="paragraph" w:styleId="Heading6">
    <w:name w:val="heading 6"/>
    <w:basedOn w:val="Normal"/>
    <w:next w:val="Normal"/>
    <w:link w:val="Heading6Char"/>
    <w:qFormat/>
    <w:rsid w:val="003269C4"/>
    <w:pPr>
      <w:numPr>
        <w:ilvl w:val="5"/>
        <w:numId w:val="1"/>
      </w:numPr>
      <w:ind w:left="567" w:hanging="567"/>
      <w:outlineLvl w:val="5"/>
    </w:pPr>
  </w:style>
  <w:style w:type="paragraph" w:styleId="Heading7">
    <w:name w:val="heading 7"/>
    <w:basedOn w:val="Normal"/>
    <w:next w:val="Normal"/>
    <w:link w:val="Heading7Char"/>
    <w:qFormat/>
    <w:rsid w:val="003269C4"/>
    <w:pPr>
      <w:numPr>
        <w:ilvl w:val="6"/>
        <w:numId w:val="1"/>
      </w:numPr>
      <w:ind w:left="567" w:hanging="567"/>
      <w:outlineLvl w:val="6"/>
    </w:pPr>
  </w:style>
  <w:style w:type="paragraph" w:styleId="Heading8">
    <w:name w:val="heading 8"/>
    <w:basedOn w:val="Normal"/>
    <w:next w:val="Normal"/>
    <w:link w:val="Heading8Char"/>
    <w:qFormat/>
    <w:rsid w:val="003269C4"/>
    <w:pPr>
      <w:numPr>
        <w:ilvl w:val="7"/>
        <w:numId w:val="1"/>
      </w:numPr>
      <w:ind w:left="567" w:hanging="567"/>
      <w:outlineLvl w:val="7"/>
    </w:pPr>
  </w:style>
  <w:style w:type="paragraph" w:styleId="Heading9">
    <w:name w:val="heading 9"/>
    <w:basedOn w:val="Normal"/>
    <w:next w:val="Normal"/>
    <w:link w:val="Heading9Char"/>
    <w:qFormat/>
    <w:rsid w:val="003269C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9C4"/>
    <w:rPr>
      <w:rFonts w:ascii="Times New Roman" w:eastAsia="Times New Roman" w:hAnsi="Times New Roman" w:cs="Times New Roman"/>
      <w:kern w:val="28"/>
      <w:lang w:val="ro-RO"/>
    </w:rPr>
  </w:style>
  <w:style w:type="character" w:customStyle="1" w:styleId="Heading2Char">
    <w:name w:val="Heading 2 Char"/>
    <w:basedOn w:val="DefaultParagraphFont"/>
    <w:link w:val="Heading2"/>
    <w:rsid w:val="003269C4"/>
    <w:rPr>
      <w:rFonts w:ascii="Times New Roman" w:eastAsia="Times New Roman" w:hAnsi="Times New Roman" w:cs="Times New Roman"/>
      <w:lang w:val="ro-RO"/>
    </w:rPr>
  </w:style>
  <w:style w:type="character" w:customStyle="1" w:styleId="Heading3Char">
    <w:name w:val="Heading 3 Char"/>
    <w:basedOn w:val="DefaultParagraphFont"/>
    <w:link w:val="Heading3"/>
    <w:rsid w:val="003269C4"/>
    <w:rPr>
      <w:rFonts w:ascii="Times New Roman" w:eastAsia="Times New Roman" w:hAnsi="Times New Roman" w:cs="Times New Roman"/>
      <w:lang w:val="ro-RO"/>
    </w:rPr>
  </w:style>
  <w:style w:type="character" w:customStyle="1" w:styleId="Heading4Char">
    <w:name w:val="Heading 4 Char"/>
    <w:basedOn w:val="DefaultParagraphFont"/>
    <w:link w:val="Heading4"/>
    <w:rsid w:val="003269C4"/>
    <w:rPr>
      <w:rFonts w:ascii="Times New Roman" w:eastAsia="Times New Roman" w:hAnsi="Times New Roman" w:cs="Times New Roman"/>
      <w:lang w:val="ro-RO"/>
    </w:rPr>
  </w:style>
  <w:style w:type="character" w:customStyle="1" w:styleId="Heading5Char">
    <w:name w:val="Heading 5 Char"/>
    <w:basedOn w:val="DefaultParagraphFont"/>
    <w:link w:val="Heading5"/>
    <w:rsid w:val="003269C4"/>
    <w:rPr>
      <w:rFonts w:ascii="Times New Roman" w:eastAsia="Times New Roman" w:hAnsi="Times New Roman" w:cs="Times New Roman"/>
      <w:lang w:val="ro-RO"/>
    </w:rPr>
  </w:style>
  <w:style w:type="character" w:customStyle="1" w:styleId="Heading6Char">
    <w:name w:val="Heading 6 Char"/>
    <w:basedOn w:val="DefaultParagraphFont"/>
    <w:link w:val="Heading6"/>
    <w:rsid w:val="003269C4"/>
    <w:rPr>
      <w:rFonts w:ascii="Times New Roman" w:eastAsia="Times New Roman" w:hAnsi="Times New Roman" w:cs="Times New Roman"/>
      <w:lang w:val="ro-RO"/>
    </w:rPr>
  </w:style>
  <w:style w:type="character" w:customStyle="1" w:styleId="Heading7Char">
    <w:name w:val="Heading 7 Char"/>
    <w:basedOn w:val="DefaultParagraphFont"/>
    <w:link w:val="Heading7"/>
    <w:rsid w:val="003269C4"/>
    <w:rPr>
      <w:rFonts w:ascii="Times New Roman" w:eastAsia="Times New Roman" w:hAnsi="Times New Roman" w:cs="Times New Roman"/>
      <w:lang w:val="ro-RO"/>
    </w:rPr>
  </w:style>
  <w:style w:type="character" w:customStyle="1" w:styleId="Heading8Char">
    <w:name w:val="Heading 8 Char"/>
    <w:basedOn w:val="DefaultParagraphFont"/>
    <w:link w:val="Heading8"/>
    <w:rsid w:val="003269C4"/>
    <w:rPr>
      <w:rFonts w:ascii="Times New Roman" w:eastAsia="Times New Roman" w:hAnsi="Times New Roman" w:cs="Times New Roman"/>
      <w:lang w:val="ro-RO"/>
    </w:rPr>
  </w:style>
  <w:style w:type="character" w:customStyle="1" w:styleId="Heading9Char">
    <w:name w:val="Heading 9 Char"/>
    <w:basedOn w:val="DefaultParagraphFont"/>
    <w:link w:val="Heading9"/>
    <w:rsid w:val="003269C4"/>
    <w:rPr>
      <w:rFonts w:ascii="Times New Roman" w:eastAsia="Times New Roman" w:hAnsi="Times New Roman" w:cs="Times New Roman"/>
      <w:lang w:val="ro-RO"/>
    </w:rPr>
  </w:style>
  <w:style w:type="paragraph" w:styleId="Footer">
    <w:name w:val="footer"/>
    <w:basedOn w:val="Normal"/>
    <w:link w:val="FooterChar"/>
    <w:qFormat/>
    <w:rsid w:val="003269C4"/>
  </w:style>
  <w:style w:type="character" w:customStyle="1" w:styleId="FooterChar">
    <w:name w:val="Footer Char"/>
    <w:basedOn w:val="DefaultParagraphFont"/>
    <w:link w:val="Footer"/>
    <w:rsid w:val="003269C4"/>
    <w:rPr>
      <w:rFonts w:ascii="Times New Roman" w:eastAsia="Times New Roman" w:hAnsi="Times New Roman" w:cs="Times New Roman"/>
      <w:lang w:val="ro-RO"/>
    </w:rPr>
  </w:style>
  <w:style w:type="paragraph" w:styleId="FootnoteText">
    <w:name w:val="footnote text"/>
    <w:basedOn w:val="Normal"/>
    <w:link w:val="FootnoteTextChar"/>
    <w:qFormat/>
    <w:rsid w:val="003269C4"/>
    <w:pPr>
      <w:keepLines/>
      <w:spacing w:after="60" w:line="240" w:lineRule="auto"/>
      <w:ind w:left="567" w:hanging="567"/>
    </w:pPr>
    <w:rPr>
      <w:sz w:val="16"/>
    </w:rPr>
  </w:style>
  <w:style w:type="character" w:customStyle="1" w:styleId="FootnoteTextChar">
    <w:name w:val="Footnote Text Char"/>
    <w:basedOn w:val="DefaultParagraphFont"/>
    <w:link w:val="FootnoteText"/>
    <w:rsid w:val="003269C4"/>
    <w:rPr>
      <w:rFonts w:ascii="Times New Roman" w:eastAsia="Times New Roman" w:hAnsi="Times New Roman" w:cs="Times New Roman"/>
      <w:sz w:val="16"/>
      <w:lang w:val="ro-RO"/>
    </w:rPr>
  </w:style>
  <w:style w:type="paragraph" w:styleId="Header">
    <w:name w:val="header"/>
    <w:basedOn w:val="Normal"/>
    <w:link w:val="HeaderChar"/>
    <w:qFormat/>
    <w:rsid w:val="003269C4"/>
  </w:style>
  <w:style w:type="character" w:customStyle="1" w:styleId="HeaderChar">
    <w:name w:val="Header Char"/>
    <w:basedOn w:val="DefaultParagraphFont"/>
    <w:link w:val="Header"/>
    <w:rsid w:val="003269C4"/>
    <w:rPr>
      <w:rFonts w:ascii="Times New Roman" w:eastAsia="Times New Roman" w:hAnsi="Times New Roman" w:cs="Times New Roman"/>
      <w:lang w:val="ro-RO"/>
    </w:rPr>
  </w:style>
  <w:style w:type="paragraph" w:customStyle="1" w:styleId="quotes">
    <w:name w:val="quotes"/>
    <w:basedOn w:val="Normal"/>
    <w:next w:val="Normal"/>
    <w:rsid w:val="003269C4"/>
    <w:pPr>
      <w:ind w:left="720"/>
    </w:pPr>
    <w:rPr>
      <w:i/>
    </w:rPr>
  </w:style>
  <w:style w:type="character" w:styleId="FootnoteReference">
    <w:name w:val="footnote reference"/>
    <w:basedOn w:val="DefaultParagraphFont"/>
    <w:unhideWhenUsed/>
    <w:qFormat/>
    <w:rsid w:val="003269C4"/>
    <w:rPr>
      <w:sz w:val="24"/>
      <w:vertAlign w:val="superscript"/>
    </w:rPr>
  </w:style>
  <w:style w:type="character" w:styleId="Hyperlink">
    <w:name w:val="Hyperlink"/>
    <w:basedOn w:val="DefaultParagraphFont"/>
    <w:uiPriority w:val="99"/>
    <w:unhideWhenUsed/>
    <w:rsid w:val="00C52E87"/>
    <w:rPr>
      <w:color w:val="0563C1" w:themeColor="hyperlink"/>
      <w:u w:val="single"/>
    </w:rPr>
  </w:style>
  <w:style w:type="character" w:styleId="UnresolvedMention">
    <w:name w:val="Unresolved Mention"/>
    <w:basedOn w:val="DefaultParagraphFont"/>
    <w:uiPriority w:val="99"/>
    <w:semiHidden/>
    <w:unhideWhenUsed/>
    <w:rsid w:val="00C52E87"/>
    <w:rPr>
      <w:color w:val="605E5C"/>
      <w:shd w:val="clear" w:color="auto" w:fill="E1DFDD"/>
    </w:rPr>
  </w:style>
  <w:style w:type="character" w:styleId="FollowedHyperlink">
    <w:name w:val="FollowedHyperlink"/>
    <w:basedOn w:val="DefaultParagraphFont"/>
    <w:uiPriority w:val="99"/>
    <w:semiHidden/>
    <w:unhideWhenUsed/>
    <w:rsid w:val="00B84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8888">
      <w:bodyDiv w:val="1"/>
      <w:marLeft w:val="0"/>
      <w:marRight w:val="0"/>
      <w:marTop w:val="0"/>
      <w:marBottom w:val="0"/>
      <w:divBdr>
        <w:top w:val="none" w:sz="0" w:space="0" w:color="auto"/>
        <w:left w:val="none" w:sz="0" w:space="0" w:color="auto"/>
        <w:bottom w:val="none" w:sz="0" w:space="0" w:color="auto"/>
        <w:right w:val="none" w:sz="0" w:space="0" w:color="auto"/>
      </w:divBdr>
    </w:div>
    <w:div w:id="85704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sc.europa.eu/ro/our-work/opinions-information-reports/opinions/new-growth-plan-and-reform-and-growth-facility-western-balkan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esc.europa.eu/ro/our-work/opinions-information-reports/opinions/new-growth-plan-and-reform-and-growth-facility-western-balkans"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F7M6YNZUATRX-917472228-3334</_dlc_DocId>
    <_dlc_DocIdUrl xmlns="59ace41b-6786-4ce3-be71-52c27066c6ef">
      <Url>http://dm/eesc/2024/_layouts/15/DocIdRedir.aspx?ID=F7M6YNZUATRX-917472228-3334</Url>
      <Description>F7M6YNZUATRX-917472228-3334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2024-05-15T12:00:00+00:00</ProductionDate>
    <DocumentNumber xmlns="14d11ec3-fd82-4994-a217-1a91de9b2d2a">1829</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37</Value>
      <Value>30</Value>
      <Value>8</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5132</FicheNumber>
    <OriginalSender xmlns="59ace41b-6786-4ce3-be71-52c27066c6ef">
      <UserInfo>
        <DisplayName>Ion Irina-Ioana</DisplayName>
        <AccountId>1869</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79F58-262F-4FBD-ABB0-18CC61840EC4}"/>
</file>

<file path=customXml/itemProps2.xml><?xml version="1.0" encoding="utf-8"?>
<ds:datastoreItem xmlns:ds="http://schemas.openxmlformats.org/officeDocument/2006/customXml" ds:itemID="{F598B5E6-8C7B-44DC-BF8B-3FBA16182431}"/>
</file>

<file path=customXml/itemProps3.xml><?xml version="1.0" encoding="utf-8"?>
<ds:datastoreItem xmlns:ds="http://schemas.openxmlformats.org/officeDocument/2006/customXml" ds:itemID="{D5C316D5-B0AA-4F76-BAE8-106ED9FCFBF5}"/>
</file>

<file path=customXml/itemProps4.xml><?xml version="1.0" encoding="utf-8"?>
<ds:datastoreItem xmlns:ds="http://schemas.openxmlformats.org/officeDocument/2006/customXml" ds:itemID="{4CFEEC68-1B65-48D5-BD0D-D76A0F1AD9A1}"/>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Planul de creștere și Mecanismul de reformă și creștere: un sprijin concret pentru dezvoltarea economică în Balcanii de Vest</dc:title>
  <dc:subject>CP</dc:subject>
  <dc:creator>Tsoumani Amalia</dc:creator>
  <cp:keywords>EESC-2024-01829-00-00-CP-TRA-EN</cp:keywords>
  <dc:description>Rapporteur:  - Original language: EN - Date of document: 15/05/2024 - Date of meeting:  - External documents:  - Administrator:  TSOUMANI AMALIA</dc:description>
  <cp:lastModifiedBy>Ion Irina-Ioana</cp:lastModifiedBy>
  <cp:revision>14</cp:revision>
  <dcterms:created xsi:type="dcterms:W3CDTF">2024-05-14T14:11:00Z</dcterms:created>
  <dcterms:modified xsi:type="dcterms:W3CDTF">2024-05-15T08:49:00Z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13/05/2024</vt:lpwstr>
  </property>
  <property fmtid="{D5CDD505-2E9C-101B-9397-08002B2CF9AE}" pid="4" name="Pref_Time">
    <vt:lpwstr>12:00:50</vt:lpwstr>
  </property>
  <property fmtid="{D5CDD505-2E9C-101B-9397-08002B2CF9AE}" pid="5" name="Pref_User">
    <vt:lpwstr>jhvi</vt:lpwstr>
  </property>
  <property fmtid="{D5CDD505-2E9C-101B-9397-08002B2CF9AE}" pid="6" name="Pref_FileName">
    <vt:lpwstr>EESC-2024-01829-00-00-CP-ORI.docx</vt:lpwstr>
  </property>
  <property fmtid="{D5CDD505-2E9C-101B-9397-08002B2CF9AE}" pid="7" name="ContentTypeId">
    <vt:lpwstr>0x010100EA97B91038054C99906057A708A1480A00C3F19A95DDE2574C950D6652ED703BFE</vt:lpwstr>
  </property>
  <property fmtid="{D5CDD505-2E9C-101B-9397-08002B2CF9AE}" pid="8" name="_dlc_DocIdItemGuid">
    <vt:lpwstr>7167964a-6287-4c6d-82eb-aea8f73c4da7</vt:lpwstr>
  </property>
  <property fmtid="{D5CDD505-2E9C-101B-9397-08002B2CF9AE}" pid="9" name="AvailableTranslations">
    <vt:lpwstr>14;#FR|d2afafd3-4c81-4f60-8f52-ee33f2f54ff3;#5;#EN|f2175f21-25d7-44a3-96da-d6a61b075e1b;#37;#RO|feb747a2-64cd-4299-af12-4833ddc30497;#30;#HR|2f555653-ed1a-4fe6-8362-9082d95989e5</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1829</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FR|d2afafd3-4c81-4f60-8f52-ee33f2f54ff3;EN|f2175f21-25d7-44a3-96da-d6a61b075e1b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48;#CP|de8ad211-9e8d-408b-8324-674d21bb7d18;#8;#Final|ea5e6674-7b27-4bac-b091-73adbb394efe;#6;#Unrestricted|826e22d7-d029-4ec0-a450-0c28ff673572;#5;#EN|f2175f21-25d7-44a3-96da-d6a61b075e1b;#14;#FR|d2afafd3-4c81-4f60-8f52-ee33f2f54ff3;#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5132</vt:i4>
  </property>
  <property fmtid="{D5CDD505-2E9C-101B-9397-08002B2CF9AE}" pid="36" name="DocumentLanguage">
    <vt:lpwstr>37;#RO|feb747a2-64cd-4299-af12-4833ddc30497</vt:lpwstr>
  </property>
  <property fmtid="{D5CDD505-2E9C-101B-9397-08002B2CF9AE}" pid="37" name="_docset_NoMedatataSyncRequired">
    <vt:lpwstr>False</vt:lpwstr>
  </property>
</Properties>
</file>