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B56" w:rsidRDefault="00395B56" w14:paraId="63E1BFED" w14:textId="77777777">
      <w:pPr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14A00297" wp14:anchorId="3F6EB19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395B56" w:rsidRDefault="00395B56" w14:paraId="5551B43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6EB199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395B56" w:rsidRDefault="00395B56" w14:paraId="5551B43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BG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21B60" w:rsidR="005F67A8" w:rsidRDefault="005F67A8" w14:paraId="668CCEB9" w14:textId="77777777">
      <w:pPr>
        <w:rPr>
          <w:rFonts w:ascii="Verdana" w:hAnsi="Verdana"/>
          <w:b/>
          <w:bCs/>
        </w:rPr>
      </w:pPr>
      <w:r>
        <w:rPr>
          <w:rFonts w:ascii="Verdana" w:hAnsi="Verdana"/>
          <w:b/>
        </w:rPr>
        <w:t xml:space="preserve">Комисар </w:t>
      </w:r>
      <w:proofErr w:type="spellStart"/>
      <w:r>
        <w:rPr>
          <w:rFonts w:ascii="Verdana" w:hAnsi="Verdana"/>
          <w:b/>
        </w:rPr>
        <w:t>Johansson</w:t>
      </w:r>
      <w:proofErr w:type="spellEnd"/>
      <w:r>
        <w:rPr>
          <w:rFonts w:ascii="Verdana" w:hAnsi="Verdana"/>
          <w:b/>
        </w:rPr>
        <w:t xml:space="preserve"> призовава Европейският икономически и социален комитет да подкрепи подхода „Екип Европа“ в сферата на трудовата миграция</w:t>
      </w:r>
    </w:p>
    <w:p w:rsidRPr="00021B60" w:rsidR="00E373F7" w:rsidRDefault="00E373F7" w14:paraId="42E37110" w14:textId="77777777">
      <w:pPr>
        <w:rPr>
          <w:rFonts w:ascii="Verdana" w:hAnsi="Verdana"/>
          <w:lang w:val="en-GB"/>
        </w:rPr>
      </w:pPr>
    </w:p>
    <w:p w:rsidR="00A50377" w:rsidRDefault="009E063F" w14:paraId="2A755532" w14:textId="77777777">
      <w:pPr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sz w:val="21"/>
        </w:rPr>
        <w:t>На априлската си пленарна сесия Европейският икономически и социален комитет (ЕИСК) обсъди пакета за мобилност на талантите. Тази инициатива включва редица нови мерки, предназначени да направят Съюза по-привлекателен за таланти от държави извън ЕС и да улеснят мобилността в неговите рамки.</w:t>
      </w:r>
    </w:p>
    <w:p w:rsidR="00A50377" w:rsidRDefault="00A50377" w14:paraId="72522598" w14:textId="77777777">
      <w:pPr>
        <w:rPr>
          <w:rFonts w:ascii="Verdana" w:hAnsi="Verdana"/>
          <w:b/>
          <w:bCs/>
          <w:sz w:val="21"/>
          <w:szCs w:val="21"/>
        </w:rPr>
      </w:pPr>
    </w:p>
    <w:p w:rsidRPr="00014277" w:rsidR="00417837" w:rsidP="00417837" w:rsidRDefault="00417837" w14:paraId="54792E88" w14:textId="77777777">
      <w:pPr>
        <w:rPr>
          <w:rFonts w:ascii="Verdana" w:hAnsi="Verdana"/>
          <w:sz w:val="21"/>
          <w:szCs w:val="21"/>
        </w:rPr>
      </w:pPr>
      <w:r w:rsidRPr="00014277">
        <w:rPr>
          <w:rFonts w:ascii="Verdana" w:hAnsi="Verdana"/>
          <w:sz w:val="21"/>
          <w:szCs w:val="21"/>
        </w:rPr>
        <w:t xml:space="preserve">Гост-ораторът </w:t>
      </w:r>
      <w:proofErr w:type="spellStart"/>
      <w:r w:rsidRPr="00014277">
        <w:rPr>
          <w:rFonts w:ascii="Verdana" w:hAnsi="Verdana"/>
          <w:b/>
          <w:sz w:val="21"/>
          <w:szCs w:val="21"/>
        </w:rPr>
        <w:t>Ylva</w:t>
      </w:r>
      <w:proofErr w:type="spellEnd"/>
      <w:r w:rsidRPr="00014277">
        <w:rPr>
          <w:rFonts w:ascii="Verdana" w:hAnsi="Verdana"/>
          <w:b/>
          <w:sz w:val="21"/>
          <w:szCs w:val="21"/>
        </w:rPr>
        <w:t xml:space="preserve"> </w:t>
      </w:r>
      <w:proofErr w:type="spellStart"/>
      <w:r w:rsidRPr="00014277">
        <w:rPr>
          <w:rFonts w:ascii="Verdana" w:hAnsi="Verdana"/>
          <w:b/>
          <w:sz w:val="21"/>
          <w:szCs w:val="21"/>
        </w:rPr>
        <w:t>Johansson</w:t>
      </w:r>
      <w:proofErr w:type="spellEnd"/>
      <w:r w:rsidRPr="00014277">
        <w:rPr>
          <w:rFonts w:ascii="Verdana" w:hAnsi="Verdana"/>
          <w:sz w:val="21"/>
          <w:szCs w:val="21"/>
        </w:rPr>
        <w:t xml:space="preserve">, комисар по вътрешните работи, призова за подкрепа от страна на ЕИСК чрез обединяване на държавите членки и организациите на гражданското общество с цел възприемане на тази иновация и гарантиране на ефективна политика в областта на трудовата миграция. </w:t>
      </w:r>
    </w:p>
    <w:p w:rsidRPr="00417837" w:rsidR="00417837" w:rsidP="00417837" w:rsidRDefault="00417837" w14:paraId="47FAEA0D" w14:textId="77777777">
      <w:pPr>
        <w:rPr>
          <w:rFonts w:ascii="Verdana" w:hAnsi="Verdana"/>
          <w:sz w:val="21"/>
          <w:szCs w:val="21"/>
          <w:lang w:val="en-GB"/>
        </w:rPr>
      </w:pPr>
    </w:p>
    <w:p w:rsidR="002154FC" w:rsidP="002154FC" w:rsidRDefault="00417837" w14:paraId="7FF1DBF8" w14:textId="77777777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</w:rPr>
        <w:t xml:space="preserve">Една от основните мерки в пакета за мобилност на талантите е инициативата „Резерв от таланти“ — първият доброволен резерв за намиране на съответствия на равнището на ЕС, в който заинтересованите държави членки могат да обединят работодатели от ЕС и търсещи работа лица от трети държави. </w:t>
      </w:r>
    </w:p>
    <w:p w:rsidRPr="002154FC" w:rsidR="002154FC" w:rsidP="002154FC" w:rsidRDefault="002154FC" w14:paraId="7C90C4D5" w14:textId="77777777">
      <w:pPr>
        <w:rPr>
          <w:rFonts w:ascii="Verdana" w:hAnsi="Verdana"/>
          <w:sz w:val="21"/>
          <w:szCs w:val="21"/>
        </w:rPr>
      </w:pPr>
    </w:p>
    <w:p w:rsidR="002154FC" w:rsidP="002154FC" w:rsidRDefault="002154FC" w14:paraId="58DC1670" w14:textId="77777777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</w:rPr>
        <w:t>Очаква се инициативата „Резерв от таланти“ да окаже положително въздействие върху БВП на ЕС, като до 4,2 милиарда евро бъдат генерирани от допълнителни заплати и 20 държави членки се включат за участие до 2030 г. Както, обаче, ЕИСК подчерта в становището си на тема</w:t>
      </w:r>
      <w:r>
        <w:t xml:space="preserve"> </w:t>
      </w:r>
      <w:hyperlink w:history="1" r:id="rId8">
        <w:r>
          <w:rPr>
            <w:rStyle w:val="Hyperlink"/>
            <w:rFonts w:ascii="Verdana" w:hAnsi="Verdana"/>
            <w:i/>
            <w:sz w:val="21"/>
          </w:rPr>
          <w:t>Пакет за мобилност на талантите</w:t>
        </w:r>
      </w:hyperlink>
      <w:r>
        <w:t>,</w:t>
      </w:r>
      <w:r>
        <w:rPr>
          <w:rFonts w:ascii="Verdana" w:hAnsi="Verdana"/>
          <w:sz w:val="21"/>
        </w:rPr>
        <w:t xml:space="preserve"> прието на тази пленарна сесия, резервът на ЕС от таланти трябва да бъде инструмент, който да е лесен за използване, надежден, практичен и привлекателен за работниците и работодателите. Същевременно тази инициатива трябва да подкрепя справедливата и етична законна трудова миграция. </w:t>
      </w:r>
    </w:p>
    <w:p w:rsidR="002154FC" w:rsidP="002154FC" w:rsidRDefault="002154FC" w14:paraId="0E55B8A8" w14:textId="77777777">
      <w:pPr>
        <w:rPr>
          <w:rFonts w:ascii="Verdana" w:hAnsi="Verdana"/>
          <w:sz w:val="21"/>
          <w:szCs w:val="21"/>
          <w:lang w:val="en-GB"/>
        </w:rPr>
      </w:pPr>
    </w:p>
    <w:p w:rsidRPr="002154FC" w:rsidR="002154FC" w:rsidP="002154FC" w:rsidRDefault="002154FC" w14:paraId="0999C313" w14:textId="77777777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</w:rPr>
        <w:t xml:space="preserve">Председателят на ЕИСК </w:t>
      </w:r>
      <w:proofErr w:type="spellStart"/>
      <w:r>
        <w:rPr>
          <w:rFonts w:ascii="Verdana" w:hAnsi="Verdana"/>
          <w:b/>
          <w:sz w:val="21"/>
        </w:rPr>
        <w:t>Oliver</w:t>
      </w:r>
      <w:proofErr w:type="spellEnd"/>
      <w:r>
        <w:rPr>
          <w:rFonts w:ascii="Verdana" w:hAnsi="Verdana"/>
          <w:b/>
          <w:sz w:val="21"/>
        </w:rPr>
        <w:t xml:space="preserve"> </w:t>
      </w:r>
      <w:proofErr w:type="spellStart"/>
      <w:r>
        <w:rPr>
          <w:rFonts w:ascii="Verdana" w:hAnsi="Verdana"/>
          <w:b/>
          <w:sz w:val="21"/>
        </w:rPr>
        <w:t>Röpke</w:t>
      </w:r>
      <w:proofErr w:type="spellEnd"/>
      <w:r>
        <w:rPr>
          <w:rFonts w:ascii="Verdana" w:hAnsi="Verdana"/>
          <w:sz w:val="21"/>
        </w:rPr>
        <w:t xml:space="preserve"> подчерта, че „ЕС е изправен пред сериозен недостиг на работна ръка и умения поради прехода към екологична и цифрова икономика и демографските предизвикателства. Наред с останалите, пакетът за мобилност на талантите може да бъде един от инструментите за посрещане на тези предизвикателства. В същото време са необходими квалификация и преквалификация, както и адекватна защита на работниците и дружествата срещу експлоатация и нелоялна конкуренция.“</w:t>
      </w:r>
    </w:p>
    <w:p w:rsidRPr="002154FC" w:rsidR="002154FC" w:rsidP="002154FC" w:rsidRDefault="002154FC" w14:paraId="6ADD72A9" w14:textId="77777777">
      <w:pPr>
        <w:rPr>
          <w:rFonts w:ascii="Verdana" w:hAnsi="Verdana"/>
          <w:sz w:val="21"/>
          <w:szCs w:val="21"/>
          <w:lang w:val="en-GB"/>
        </w:rPr>
      </w:pPr>
    </w:p>
    <w:p w:rsidRPr="00953956" w:rsidR="00A62FF3" w:rsidP="00C87111" w:rsidRDefault="00BC4EB6" w14:paraId="4C84B787" w14:textId="77777777">
      <w:pPr>
        <w:rPr>
          <w:rFonts w:ascii="Verdana" w:hAnsi="Verdana"/>
          <w:sz w:val="21"/>
          <w:szCs w:val="21"/>
        </w:rPr>
      </w:pPr>
      <w:r w:rsidRPr="00953956">
        <w:rPr>
          <w:rFonts w:ascii="Verdana" w:hAnsi="Verdana"/>
          <w:sz w:val="21"/>
          <w:szCs w:val="21"/>
        </w:rPr>
        <w:t xml:space="preserve">Тази инициатива има за цел да осигури всеобхватна рамка на политиката за справяне с недостига на работна ръка и умения в цяла Европа. Този недостиг се дължи на различни фактори, които сериозно възпрепятстват оперативните равнища на европейските предприятия, като 75 % от МСП съобщават за трудности при намирането на квалифицирани работници. </w:t>
      </w:r>
    </w:p>
    <w:p w:rsidRPr="00953956" w:rsidR="000A171C" w:rsidP="000A171C" w:rsidRDefault="000A171C" w14:paraId="1A8192E2" w14:textId="77777777">
      <w:pPr>
        <w:rPr>
          <w:rFonts w:ascii="Verdana" w:hAnsi="Verdana"/>
          <w:sz w:val="21"/>
          <w:szCs w:val="21"/>
          <w:lang w:val="en-GB"/>
        </w:rPr>
      </w:pPr>
    </w:p>
    <w:p w:rsidRPr="00953956" w:rsidR="00315B7A" w:rsidP="00C87111" w:rsidRDefault="00AA689F" w14:paraId="77EC9D99" w14:textId="77777777">
      <w:pPr>
        <w:rPr>
          <w:rFonts w:ascii="Verdana" w:hAnsi="Verdana"/>
          <w:sz w:val="21"/>
          <w:szCs w:val="21"/>
        </w:rPr>
      </w:pPr>
      <w:r w:rsidRPr="00953956">
        <w:rPr>
          <w:rFonts w:ascii="Verdana" w:hAnsi="Verdana"/>
          <w:sz w:val="21"/>
          <w:szCs w:val="21"/>
        </w:rPr>
        <w:lastRenderedPageBreak/>
        <w:t xml:space="preserve">Европейският комисар по вътрешните работи </w:t>
      </w:r>
      <w:proofErr w:type="spellStart"/>
      <w:r w:rsidRPr="00953956">
        <w:rPr>
          <w:rFonts w:ascii="Verdana" w:hAnsi="Verdana"/>
          <w:b/>
          <w:sz w:val="21"/>
          <w:szCs w:val="21"/>
        </w:rPr>
        <w:t>Ylva</w:t>
      </w:r>
      <w:proofErr w:type="spellEnd"/>
      <w:r w:rsidRPr="00953956">
        <w:rPr>
          <w:rFonts w:ascii="Verdana" w:hAnsi="Verdana"/>
          <w:b/>
          <w:sz w:val="21"/>
          <w:szCs w:val="21"/>
        </w:rPr>
        <w:t xml:space="preserve"> </w:t>
      </w:r>
      <w:proofErr w:type="spellStart"/>
      <w:r w:rsidRPr="00953956">
        <w:rPr>
          <w:rFonts w:ascii="Verdana" w:hAnsi="Verdana"/>
          <w:b/>
          <w:sz w:val="21"/>
          <w:szCs w:val="21"/>
        </w:rPr>
        <w:t>Johansson</w:t>
      </w:r>
      <w:proofErr w:type="spellEnd"/>
      <w:r w:rsidRPr="00953956">
        <w:rPr>
          <w:rFonts w:ascii="Verdana" w:hAnsi="Verdana"/>
          <w:sz w:val="21"/>
          <w:szCs w:val="21"/>
        </w:rPr>
        <w:t xml:space="preserve"> призова към трудовата миграция да се прилага подход „Екип Европа“ с по-широко европейско измерение. „Трудовата миграция главно е национално правомощие и ще продължи да бъде такова, а държавите членки една след друга увеличават квотите за трудова миграция. Ние, обаче, трябва да създадем подход „Екип Европа „, като институциите на ЕС, държавите членки и организациите на гражданското общество работят заедно, за да съберем нови инициативи и да улесним прилагането на политиките за трудова мобилност.“</w:t>
      </w:r>
    </w:p>
    <w:p w:rsidRPr="00953956" w:rsidR="006D1265" w:rsidP="00C87111" w:rsidRDefault="006D1265" w14:paraId="4B66EAF2" w14:textId="77777777">
      <w:pPr>
        <w:rPr>
          <w:rFonts w:ascii="Verdana" w:hAnsi="Verdana"/>
          <w:sz w:val="21"/>
          <w:szCs w:val="21"/>
          <w:lang w:val="en-GB"/>
        </w:rPr>
      </w:pPr>
    </w:p>
    <w:p w:rsidRPr="00953956" w:rsidR="000A171C" w:rsidP="000A171C" w:rsidRDefault="000A171C" w14:paraId="46502333" w14:textId="77777777">
      <w:pPr>
        <w:rPr>
          <w:rFonts w:ascii="Verdana" w:hAnsi="Verdana"/>
          <w:sz w:val="21"/>
          <w:szCs w:val="21"/>
        </w:rPr>
      </w:pPr>
      <w:r w:rsidRPr="00953956">
        <w:rPr>
          <w:rFonts w:ascii="Verdana" w:hAnsi="Verdana"/>
          <w:sz w:val="21"/>
          <w:szCs w:val="21"/>
        </w:rPr>
        <w:t xml:space="preserve">Членовете на ЕИСК говориха и за експлоатацията, подходящите заплати и достойните условия на труд, както и за безопасността на труда, което би гарантирало привлекателни възможности за работа за работниците мигранти и бежанци. </w:t>
      </w:r>
    </w:p>
    <w:p w:rsidRPr="00953956" w:rsidR="009853A6" w:rsidP="006D1265" w:rsidRDefault="006D1265" w14:paraId="0B633AD7" w14:textId="77777777">
      <w:pPr>
        <w:rPr>
          <w:rFonts w:ascii="Verdana" w:hAnsi="Verdana"/>
          <w:sz w:val="21"/>
          <w:szCs w:val="21"/>
        </w:rPr>
      </w:pPr>
      <w:r w:rsidRPr="00953956">
        <w:rPr>
          <w:rFonts w:ascii="Verdana" w:hAnsi="Verdana"/>
          <w:sz w:val="21"/>
          <w:szCs w:val="21"/>
        </w:rPr>
        <w:t xml:space="preserve">Членът на ЕИСК </w:t>
      </w:r>
      <w:proofErr w:type="spellStart"/>
      <w:r w:rsidRPr="00953956">
        <w:rPr>
          <w:rFonts w:ascii="Verdana" w:hAnsi="Verdana"/>
          <w:b/>
          <w:sz w:val="21"/>
          <w:szCs w:val="21"/>
        </w:rPr>
        <w:t>Tatjana</w:t>
      </w:r>
      <w:proofErr w:type="spellEnd"/>
      <w:r w:rsidRPr="00953956">
        <w:rPr>
          <w:rFonts w:ascii="Verdana" w:hAnsi="Verdana"/>
          <w:b/>
          <w:sz w:val="21"/>
          <w:szCs w:val="21"/>
        </w:rPr>
        <w:t xml:space="preserve"> </w:t>
      </w:r>
      <w:proofErr w:type="spellStart"/>
      <w:r w:rsidRPr="00953956">
        <w:rPr>
          <w:rFonts w:ascii="Verdana" w:hAnsi="Verdana"/>
          <w:b/>
          <w:sz w:val="21"/>
          <w:szCs w:val="21"/>
        </w:rPr>
        <w:t>Babrauskienė</w:t>
      </w:r>
      <w:proofErr w:type="spellEnd"/>
      <w:r w:rsidRPr="00953956">
        <w:rPr>
          <w:rFonts w:ascii="Verdana" w:hAnsi="Verdana"/>
          <w:b/>
          <w:sz w:val="21"/>
          <w:szCs w:val="21"/>
        </w:rPr>
        <w:t xml:space="preserve">, </w:t>
      </w:r>
      <w:r w:rsidRPr="00953956">
        <w:rPr>
          <w:rFonts w:ascii="Verdana" w:hAnsi="Verdana"/>
          <w:sz w:val="21"/>
          <w:szCs w:val="21"/>
        </w:rPr>
        <w:t xml:space="preserve">докладчик по становището отбеляза, че „Трябва да има един общ за ЕС уебсайт за работниците и работодателите, на който да се предоставя прозрачна и надеждна информация относно достъпа до работни места в държавите от ЕС и относно изискванията, включително признаването на квалификациите.“ </w:t>
      </w:r>
    </w:p>
    <w:p w:rsidRPr="00953956" w:rsidR="009853A6" w:rsidP="006D1265" w:rsidRDefault="009853A6" w14:paraId="78D4FF60" w14:textId="77777777">
      <w:pPr>
        <w:rPr>
          <w:rFonts w:ascii="Verdana" w:hAnsi="Verdana"/>
          <w:sz w:val="21"/>
          <w:szCs w:val="21"/>
          <w:lang w:val="en-GB"/>
        </w:rPr>
      </w:pPr>
    </w:p>
    <w:p w:rsidRPr="00953956" w:rsidR="006D1265" w:rsidP="006D1265" w:rsidRDefault="009853A6" w14:paraId="1E560BB3" w14:textId="77777777">
      <w:pPr>
        <w:rPr>
          <w:rFonts w:ascii="Verdana" w:hAnsi="Verdana"/>
          <w:sz w:val="21"/>
          <w:szCs w:val="21"/>
        </w:rPr>
      </w:pPr>
      <w:r w:rsidRPr="00953956">
        <w:rPr>
          <w:rFonts w:ascii="Verdana" w:hAnsi="Verdana"/>
          <w:sz w:val="21"/>
          <w:szCs w:val="21"/>
        </w:rPr>
        <w:t xml:space="preserve">Що се отнася до подпомагането на граждани на трети държави да намерят добри работни места в ЕС и на работодателите да наемат тези работници, г-жа </w:t>
      </w:r>
      <w:proofErr w:type="spellStart"/>
      <w:r w:rsidRPr="00953956">
        <w:rPr>
          <w:rFonts w:ascii="Verdana" w:hAnsi="Verdana"/>
          <w:sz w:val="21"/>
          <w:szCs w:val="21"/>
        </w:rPr>
        <w:t>Babrauskienė</w:t>
      </w:r>
      <w:proofErr w:type="spellEnd"/>
      <w:r w:rsidRPr="00953956">
        <w:rPr>
          <w:rFonts w:ascii="Verdana" w:hAnsi="Verdana"/>
          <w:sz w:val="21"/>
          <w:szCs w:val="21"/>
        </w:rPr>
        <w:t xml:space="preserve"> добави, че „уменията и компетентностите на работниците от трети държави би да бъдат оценявани и бързо валидирани, за да се гарантира, че техните умения са сертифицирани и могат да получат квалификациите си, когато е необходимо“.</w:t>
      </w:r>
    </w:p>
    <w:p w:rsidRPr="00953956" w:rsidR="009853A6" w:rsidP="006D1265" w:rsidRDefault="009853A6" w14:paraId="660B9563" w14:textId="77777777">
      <w:pPr>
        <w:rPr>
          <w:rFonts w:ascii="Verdana" w:hAnsi="Verdana"/>
          <w:sz w:val="21"/>
          <w:szCs w:val="21"/>
          <w:lang w:val="en-GB"/>
        </w:rPr>
      </w:pPr>
    </w:p>
    <w:p w:rsidRPr="00953956" w:rsidR="009853A6" w:rsidP="009853A6" w:rsidRDefault="009853A6" w14:paraId="656EDC1E" w14:textId="77777777">
      <w:pPr>
        <w:rPr>
          <w:rFonts w:ascii="Verdana" w:hAnsi="Verdana"/>
          <w:strike/>
          <w:sz w:val="21"/>
          <w:szCs w:val="21"/>
        </w:rPr>
      </w:pPr>
      <w:r w:rsidRPr="00953956">
        <w:rPr>
          <w:rFonts w:ascii="Verdana" w:hAnsi="Verdana"/>
          <w:sz w:val="21"/>
          <w:szCs w:val="21"/>
        </w:rPr>
        <w:t xml:space="preserve">Членът на ЕИСК и съдокладчик </w:t>
      </w:r>
      <w:r w:rsidRPr="00953956">
        <w:rPr>
          <w:rFonts w:ascii="Verdana" w:hAnsi="Verdana"/>
          <w:b/>
          <w:sz w:val="21"/>
          <w:szCs w:val="21"/>
        </w:rPr>
        <w:t>Мария Минчева</w:t>
      </w:r>
      <w:r w:rsidRPr="00953956">
        <w:rPr>
          <w:rFonts w:ascii="Verdana" w:hAnsi="Verdana"/>
          <w:sz w:val="21"/>
          <w:szCs w:val="21"/>
        </w:rPr>
        <w:t xml:space="preserve"> посочи, че „резервът на ЕС от таланти не би трябвало да води до увеличаване на административната тежест за работодателите. </w:t>
      </w:r>
      <w:proofErr w:type="spellStart"/>
      <w:r w:rsidRPr="00953956">
        <w:rPr>
          <w:rFonts w:ascii="Verdana" w:hAnsi="Verdana"/>
          <w:sz w:val="21"/>
          <w:szCs w:val="21"/>
        </w:rPr>
        <w:t>Би</w:t>
      </w:r>
      <w:proofErr w:type="spellEnd"/>
      <w:r w:rsidRPr="00953956">
        <w:rPr>
          <w:rFonts w:ascii="Verdana" w:hAnsi="Verdana"/>
          <w:sz w:val="21"/>
          <w:szCs w:val="21"/>
        </w:rPr>
        <w:t xml:space="preserve"> трябвало да бъде лесно свободните работни места от националните публични служби по заетостта да се прехвърлят към резерва на ЕС от таланти.“ </w:t>
      </w:r>
    </w:p>
    <w:p w:rsidRPr="00953956" w:rsidR="009853A6" w:rsidP="009853A6" w:rsidRDefault="009853A6" w14:paraId="68FF4CFA" w14:textId="77777777">
      <w:pPr>
        <w:rPr>
          <w:rFonts w:ascii="Verdana" w:hAnsi="Verdana"/>
          <w:strike/>
          <w:sz w:val="21"/>
          <w:szCs w:val="21"/>
          <w:lang w:val="en-GB"/>
        </w:rPr>
      </w:pPr>
    </w:p>
    <w:p w:rsidRPr="00021B60" w:rsidR="00BC4EB6" w:rsidP="009853A6" w:rsidRDefault="00BC4EB6" w14:paraId="25390A1C" w14:textId="77777777">
      <w:pPr>
        <w:rPr>
          <w:rFonts w:ascii="Verdana" w:hAnsi="Verdana"/>
          <w:sz w:val="20"/>
          <w:szCs w:val="20"/>
          <w:lang w:val="en-GB"/>
        </w:rPr>
      </w:pPr>
    </w:p>
    <w:p w:rsidRPr="00021B60" w:rsidR="003704B4" w:rsidP="00E373F7" w:rsidRDefault="003704B4" w14:paraId="18458E3E" w14:textId="77777777">
      <w:pPr>
        <w:rPr>
          <w:rFonts w:ascii="Verdana" w:hAnsi="Verdana"/>
          <w:lang w:val="en-GB"/>
        </w:rPr>
      </w:pPr>
    </w:p>
    <w:sectPr w:rsidRPr="00021B60" w:rsidR="003704B4" w:rsidSect="00395B56">
      <w:footerReference w:type="default" r:id="rId9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6A92" w14:textId="77777777" w:rsidR="00395B56" w:rsidRDefault="00395B56" w:rsidP="00395B56">
      <w:pPr>
        <w:spacing w:line="240" w:lineRule="auto"/>
      </w:pPr>
      <w:r>
        <w:separator/>
      </w:r>
    </w:p>
  </w:endnote>
  <w:endnote w:type="continuationSeparator" w:id="0">
    <w:p w14:paraId="3729AC6E" w14:textId="77777777" w:rsidR="00395B56" w:rsidRDefault="00395B56" w:rsidP="00395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39A8" w14:textId="77777777" w:rsidR="00395B56" w:rsidRPr="00395B56" w:rsidRDefault="00395B56" w:rsidP="00395B56">
    <w:pPr>
      <w:pStyle w:val="Footer"/>
    </w:pPr>
    <w:r>
      <w:t xml:space="preserve">EESC-2024-01709-00-00-CP-TRA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7174" w14:textId="77777777" w:rsidR="00395B56" w:rsidRDefault="00395B56" w:rsidP="00395B56">
      <w:pPr>
        <w:spacing w:line="240" w:lineRule="auto"/>
      </w:pPr>
      <w:r>
        <w:separator/>
      </w:r>
    </w:p>
  </w:footnote>
  <w:footnote w:type="continuationSeparator" w:id="0">
    <w:p w14:paraId="02E3F943" w14:textId="77777777" w:rsidR="00395B56" w:rsidRDefault="00395B56" w:rsidP="00395B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7196BF1"/>
    <w:multiLevelType w:val="hybridMultilevel"/>
    <w:tmpl w:val="8FB46176"/>
    <w:lvl w:ilvl="0" w:tplc="08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32"/>
    <w:rsid w:val="00014277"/>
    <w:rsid w:val="00021B60"/>
    <w:rsid w:val="0005419A"/>
    <w:rsid w:val="000A171C"/>
    <w:rsid w:val="00120E8D"/>
    <w:rsid w:val="00125EEB"/>
    <w:rsid w:val="00136FC7"/>
    <w:rsid w:val="002154FC"/>
    <w:rsid w:val="00261618"/>
    <w:rsid w:val="002A35C2"/>
    <w:rsid w:val="00315B7A"/>
    <w:rsid w:val="00330C7C"/>
    <w:rsid w:val="003704B4"/>
    <w:rsid w:val="003920C3"/>
    <w:rsid w:val="00392A04"/>
    <w:rsid w:val="00395B56"/>
    <w:rsid w:val="003D236D"/>
    <w:rsid w:val="00417837"/>
    <w:rsid w:val="00453BA7"/>
    <w:rsid w:val="004568B3"/>
    <w:rsid w:val="0048736C"/>
    <w:rsid w:val="00491663"/>
    <w:rsid w:val="004A224C"/>
    <w:rsid w:val="004F0821"/>
    <w:rsid w:val="00567185"/>
    <w:rsid w:val="005A4A44"/>
    <w:rsid w:val="005B1BE4"/>
    <w:rsid w:val="005F3F49"/>
    <w:rsid w:val="005F67A8"/>
    <w:rsid w:val="0061440F"/>
    <w:rsid w:val="006575EE"/>
    <w:rsid w:val="006817C8"/>
    <w:rsid w:val="006B09AC"/>
    <w:rsid w:val="006B222D"/>
    <w:rsid w:val="006D1265"/>
    <w:rsid w:val="006E3E3F"/>
    <w:rsid w:val="007D56DC"/>
    <w:rsid w:val="007E3CB5"/>
    <w:rsid w:val="0082278C"/>
    <w:rsid w:val="008C0B6C"/>
    <w:rsid w:val="00953956"/>
    <w:rsid w:val="00984F3C"/>
    <w:rsid w:val="009853A6"/>
    <w:rsid w:val="009C3A8E"/>
    <w:rsid w:val="009C3E75"/>
    <w:rsid w:val="009E063F"/>
    <w:rsid w:val="00A15D81"/>
    <w:rsid w:val="00A50377"/>
    <w:rsid w:val="00A62FF3"/>
    <w:rsid w:val="00A81E89"/>
    <w:rsid w:val="00A954EE"/>
    <w:rsid w:val="00AA689F"/>
    <w:rsid w:val="00AB6489"/>
    <w:rsid w:val="00B06F60"/>
    <w:rsid w:val="00B1622C"/>
    <w:rsid w:val="00B23BF5"/>
    <w:rsid w:val="00B40132"/>
    <w:rsid w:val="00B71B7E"/>
    <w:rsid w:val="00B93284"/>
    <w:rsid w:val="00BC4EB6"/>
    <w:rsid w:val="00BF3616"/>
    <w:rsid w:val="00C0364A"/>
    <w:rsid w:val="00C06A9F"/>
    <w:rsid w:val="00C730FE"/>
    <w:rsid w:val="00C86767"/>
    <w:rsid w:val="00C87111"/>
    <w:rsid w:val="00CF04CA"/>
    <w:rsid w:val="00CF4CE8"/>
    <w:rsid w:val="00D5110D"/>
    <w:rsid w:val="00D6703C"/>
    <w:rsid w:val="00D87718"/>
    <w:rsid w:val="00DC3E96"/>
    <w:rsid w:val="00E322D0"/>
    <w:rsid w:val="00E373F7"/>
    <w:rsid w:val="00E44134"/>
    <w:rsid w:val="00F42F9C"/>
    <w:rsid w:val="00F5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398BC"/>
  <w15:chartTrackingRefBased/>
  <w15:docId w15:val="{F764E539-C625-412D-8C88-18971FDF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32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40132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40132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40132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40132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40132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132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40132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40132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40132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0132"/>
    <w:rPr>
      <w:rFonts w:ascii="Times New Roman" w:eastAsia="Times New Roman" w:hAnsi="Times New Roman" w:cs="Times New Roman"/>
      <w:kern w:val="28"/>
      <w:lang w:val="bg-BG"/>
    </w:rPr>
  </w:style>
  <w:style w:type="character" w:customStyle="1" w:styleId="Heading2Char">
    <w:name w:val="Heading 2 Char"/>
    <w:basedOn w:val="DefaultParagraphFont"/>
    <w:link w:val="Heading2"/>
    <w:rsid w:val="00B40132"/>
    <w:rPr>
      <w:rFonts w:ascii="Times New Roman" w:eastAsia="Times New Roman" w:hAnsi="Times New Roman" w:cs="Times New Roman"/>
      <w:lang w:val="bg-BG"/>
    </w:rPr>
  </w:style>
  <w:style w:type="character" w:customStyle="1" w:styleId="Heading3Char">
    <w:name w:val="Heading 3 Char"/>
    <w:basedOn w:val="DefaultParagraphFont"/>
    <w:link w:val="Heading3"/>
    <w:rsid w:val="00B40132"/>
    <w:rPr>
      <w:rFonts w:ascii="Times New Roman" w:eastAsia="Times New Roman" w:hAnsi="Times New Roman" w:cs="Times New Roman"/>
      <w:lang w:val="bg-BG"/>
    </w:rPr>
  </w:style>
  <w:style w:type="character" w:customStyle="1" w:styleId="Heading4Char">
    <w:name w:val="Heading 4 Char"/>
    <w:basedOn w:val="DefaultParagraphFont"/>
    <w:link w:val="Heading4"/>
    <w:rsid w:val="00B40132"/>
    <w:rPr>
      <w:rFonts w:ascii="Times New Roman" w:eastAsia="Times New Roman" w:hAnsi="Times New Roman" w:cs="Times New Roman"/>
      <w:lang w:val="bg-BG"/>
    </w:rPr>
  </w:style>
  <w:style w:type="character" w:customStyle="1" w:styleId="Heading5Char">
    <w:name w:val="Heading 5 Char"/>
    <w:basedOn w:val="DefaultParagraphFont"/>
    <w:link w:val="Heading5"/>
    <w:rsid w:val="00B40132"/>
    <w:rPr>
      <w:rFonts w:ascii="Times New Roman" w:eastAsia="Times New Roman" w:hAnsi="Times New Roman" w:cs="Times New Roman"/>
      <w:lang w:val="bg-BG"/>
    </w:rPr>
  </w:style>
  <w:style w:type="character" w:customStyle="1" w:styleId="Heading6Char">
    <w:name w:val="Heading 6 Char"/>
    <w:basedOn w:val="DefaultParagraphFont"/>
    <w:link w:val="Heading6"/>
    <w:rsid w:val="00B40132"/>
    <w:rPr>
      <w:rFonts w:ascii="Times New Roman" w:eastAsia="Times New Roman" w:hAnsi="Times New Roman" w:cs="Times New Roman"/>
      <w:lang w:val="bg-BG"/>
    </w:rPr>
  </w:style>
  <w:style w:type="character" w:customStyle="1" w:styleId="Heading7Char">
    <w:name w:val="Heading 7 Char"/>
    <w:basedOn w:val="DefaultParagraphFont"/>
    <w:link w:val="Heading7"/>
    <w:rsid w:val="00B40132"/>
    <w:rPr>
      <w:rFonts w:ascii="Times New Roman" w:eastAsia="Times New Roman" w:hAnsi="Times New Roman" w:cs="Times New Roman"/>
      <w:lang w:val="bg-BG"/>
    </w:rPr>
  </w:style>
  <w:style w:type="character" w:customStyle="1" w:styleId="Heading8Char">
    <w:name w:val="Heading 8 Char"/>
    <w:basedOn w:val="DefaultParagraphFont"/>
    <w:link w:val="Heading8"/>
    <w:rsid w:val="00B40132"/>
    <w:rPr>
      <w:rFonts w:ascii="Times New Roman" w:eastAsia="Times New Roman" w:hAnsi="Times New Roman" w:cs="Times New Roman"/>
      <w:lang w:val="bg-BG"/>
    </w:rPr>
  </w:style>
  <w:style w:type="character" w:customStyle="1" w:styleId="Heading9Char">
    <w:name w:val="Heading 9 Char"/>
    <w:basedOn w:val="DefaultParagraphFont"/>
    <w:link w:val="Heading9"/>
    <w:rsid w:val="00B40132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qFormat/>
    <w:rsid w:val="00B40132"/>
  </w:style>
  <w:style w:type="character" w:customStyle="1" w:styleId="FooterChar">
    <w:name w:val="Footer Char"/>
    <w:basedOn w:val="DefaultParagraphFont"/>
    <w:link w:val="Footer"/>
    <w:rsid w:val="00B40132"/>
    <w:rPr>
      <w:rFonts w:ascii="Times New Roman" w:eastAsia="Times New Roman" w:hAnsi="Times New Roman" w:cs="Times New Roman"/>
      <w:lang w:val="bg-BG"/>
    </w:rPr>
  </w:style>
  <w:style w:type="paragraph" w:styleId="FootnoteText">
    <w:name w:val="footnote text"/>
    <w:basedOn w:val="Normal"/>
    <w:link w:val="FootnoteTextChar"/>
    <w:qFormat/>
    <w:rsid w:val="00B40132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40132"/>
    <w:rPr>
      <w:rFonts w:ascii="Times New Roman" w:eastAsia="Times New Roman" w:hAnsi="Times New Roman" w:cs="Times New Roman"/>
      <w:sz w:val="16"/>
      <w:lang w:val="bg-BG"/>
    </w:rPr>
  </w:style>
  <w:style w:type="paragraph" w:styleId="Header">
    <w:name w:val="header"/>
    <w:basedOn w:val="Normal"/>
    <w:link w:val="HeaderChar"/>
    <w:qFormat/>
    <w:rsid w:val="00B40132"/>
  </w:style>
  <w:style w:type="character" w:customStyle="1" w:styleId="HeaderChar">
    <w:name w:val="Header Char"/>
    <w:basedOn w:val="DefaultParagraphFont"/>
    <w:link w:val="Header"/>
    <w:rsid w:val="00B40132"/>
    <w:rPr>
      <w:rFonts w:ascii="Times New Roman" w:eastAsia="Times New Roman" w:hAnsi="Times New Roman" w:cs="Times New Roman"/>
      <w:lang w:val="bg-BG"/>
    </w:rPr>
  </w:style>
  <w:style w:type="paragraph" w:customStyle="1" w:styleId="quotes">
    <w:name w:val="quotes"/>
    <w:basedOn w:val="Normal"/>
    <w:next w:val="Normal"/>
    <w:rsid w:val="00B40132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40132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370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4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6D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DC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Revision">
    <w:name w:val="Revision"/>
    <w:hidden/>
    <w:uiPriority w:val="99"/>
    <w:semiHidden/>
    <w:rsid w:val="007D56D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2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sc.europa.eu/bg/our-work/opinions-information-reports/opinions/talent-mobility-packag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F7M6YNZUATRX-917472228-2964</_dlc_DocId>
    <_dlc_DocIdUrl xmlns="59ace41b-6786-4ce3-be71-52c27066c6ef">
      <Url>http://dm/eesc/2024/_layouts/15/DocIdRedir.aspx?ID=F7M6YNZUATRX-917472228-2964</Url>
      <Description>F7M6YNZUATRX-917472228-2964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2024-05-06T12:00:00+00:00</ProductionDate>
    <DocumentNumber xmlns="14d11ec3-fd82-4994-a217-1a91de9b2d2a">1709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22</Value>
      <Value>48</Value>
      <Value>8</Value>
      <Value>6</Value>
      <Value>5</Value>
      <Value>14</Value>
      <Value>3</Value>
      <Value>1</Value>
      <Value>34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4918</FicheNumber>
    <OriginalSender xmlns="59ace41b-6786-4ce3-be71-52c27066c6ef">
      <UserInfo>
        <DisplayName>Toskov Ventsislav</DisplayName>
        <AccountId>1571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E06F4-431D-497E-8BCC-EE8397DD942D}"/>
</file>

<file path=customXml/itemProps2.xml><?xml version="1.0" encoding="utf-8"?>
<ds:datastoreItem xmlns:ds="http://schemas.openxmlformats.org/officeDocument/2006/customXml" ds:itemID="{51F3F85D-44AC-4422-835A-A3F2426DD4B6}"/>
</file>

<file path=customXml/itemProps3.xml><?xml version="1.0" encoding="utf-8"?>
<ds:datastoreItem xmlns:ds="http://schemas.openxmlformats.org/officeDocument/2006/customXml" ds:itemID="{FB1D4C42-91CF-47A1-8100-D078BF412C2F}"/>
</file>

<file path=customXml/itemProps4.xml><?xml version="1.0" encoding="utf-8"?>
<ds:datastoreItem xmlns:ds="http://schemas.openxmlformats.org/officeDocument/2006/customXml" ds:itemID="{FF64C890-2B93-4E1D-9E5B-23877F89F3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Пакет за мобилност на талантите в сферата на трудовата миграция</dc:title>
  <dc:subject>CP</dc:subject>
  <dc:creator>Tsoumani Amalia</dc:creator>
  <cp:keywords>EESC-2024-01709-00-00-CP-TRA-EN</cp:keywords>
  <dc:description>Rapporteur:  - Original language: EN - Date of document: 06/05/2024 - Date of meeting:  - External documents:  - Administrator:  TSOUMANI AMALIA</dc:description>
  <cp:lastModifiedBy>Toskov Ventsislav</cp:lastModifiedBy>
  <cp:revision>10</cp:revision>
  <cp:lastPrinted>2024-04-24T15:05:00Z</cp:lastPrinted>
  <dcterms:created xsi:type="dcterms:W3CDTF">2024-05-03T11:56:00Z</dcterms:created>
  <dcterms:modified xsi:type="dcterms:W3CDTF">2024-05-06T11:31:00Z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02/05/2024</vt:lpwstr>
  </property>
  <property fmtid="{D5CDD505-2E9C-101B-9397-08002B2CF9AE}" pid="4" name="Pref_Time">
    <vt:lpwstr>14:27:42</vt:lpwstr>
  </property>
  <property fmtid="{D5CDD505-2E9C-101B-9397-08002B2CF9AE}" pid="5" name="Pref_User">
    <vt:lpwstr>amett</vt:lpwstr>
  </property>
  <property fmtid="{D5CDD505-2E9C-101B-9397-08002B2CF9AE}" pid="6" name="Pref_FileName">
    <vt:lpwstr>EESC-2024-01709-00-00-CP-ORI.docx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07c04930-2530-4a83-8c44-d776ae5141db</vt:lpwstr>
  </property>
  <property fmtid="{D5CDD505-2E9C-101B-9397-08002B2CF9AE}" pid="9" name="AvailableTranslations">
    <vt:lpwstr>34;#LT|a7ff5ce7-6123-4f68-865a-a57c31810414;#5;#EN|f2175f21-25d7-44a3-96da-d6a61b075e1b;#14;#FR|d2afafd3-4c81-4f60-8f52-ee33f2f54ff3;#22;#BG|1a1b3951-7821-4e6a-85f5-5673fc08bd2c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1709</vt:i4>
  </property>
  <property fmtid="{D5CDD505-2E9C-101B-9397-08002B2CF9AE}" pid="14" name="DocumentVersion">
    <vt:i4>0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Presse</vt:lpwstr>
  </property>
  <property fmtid="{D5CDD505-2E9C-101B-9397-08002B2CF9AE}" pid="22" name="Confidentiality">
    <vt:lpwstr>6;#Unrestricted|826e22d7-d029-4ec0-a450-0c28ff673572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LT|a7ff5ce7-6123-4f68-865a-a57c31810414;EN|f2175f21-25d7-44a3-96da-d6a61b075e1b;FR|d2afafd3-4c81-4f60-8f52-ee33f2f54ff3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48;#CP|de8ad211-9e8d-408b-8324-674d21bb7d18;#8;#Final|ea5e6674-7b27-4bac-b091-73adbb394efe;#6;#Unrestricted|826e22d7-d029-4ec0-a450-0c28ff673572;#5;#EN|f2175f21-25d7-44a3-96da-d6a61b075e1b;#14;#FR|d2afafd3-4c81-4f60-8f52-ee33f2f54ff3;#3;#TRA|150d2a88-1431-44e6-a8ca-0bb753ab8672;#1;#EESC|422833ec-8d7e-4e65-8e4e-8bed07ffb729;#34;#LT|a7ff5ce7-6123-4f68-865a-a57c31810414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4918</vt:i4>
  </property>
  <property fmtid="{D5CDD505-2E9C-101B-9397-08002B2CF9AE}" pid="36" name="DocumentLanguage">
    <vt:lpwstr>22;#BG|1a1b3951-7821-4e6a-85f5-5673fc08bd2c</vt:lpwstr>
  </property>
  <property fmtid="{D5CDD505-2E9C-101B-9397-08002B2CF9AE}" pid="37" name="_docset_NoMedatataSyncRequired">
    <vt:lpwstr>False</vt:lpwstr>
  </property>
</Properties>
</file>