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6A9D" w:rsidR="004D7AC0" w:rsidP="00775FC4" w:rsidRDefault="00F76B5D" w14:paraId="785AE44C" w14:textId="6B67E3CB">
      <w:pPr>
        <w:jc w:val="center"/>
      </w:pPr>
      <w:r w:rsidRPr="00316A9D">
        <w:rPr>
          <w:noProof/>
        </w:rPr>
        <w:drawing>
          <wp:inline distT="0" distB="0" distL="0" distR="0" wp14:anchorId="7D2AEE1F" wp14:editId="1EB04586">
            <wp:extent cx="1792605" cy="1239520"/>
            <wp:effectExtent l="0" t="0" r="0" b="0"/>
            <wp:docPr id="2" name="Picture 2" title="EESCLogo_IT"/>
            <wp:cNvGraphicFramePr/>
            <a:graphic xmlns:a="http://schemas.openxmlformats.org/drawingml/2006/main">
              <a:graphicData uri="http://schemas.openxmlformats.org/drawingml/2006/picture">
                <pic:pic xmlns:pic="http://schemas.openxmlformats.org/drawingml/2006/picture">
                  <pic:nvPicPr>
                    <pic:cNvPr id="2" name="Picture 2" title="EESCLogo_I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316A9D" w:rsidR="00721342">
        <w:rPr>
          <w:noProof/>
          <w:sz w:val="20"/>
        </w:rPr>
        <mc:AlternateContent>
          <mc:Choice Requires="wps">
            <w:drawing>
              <wp:anchor distT="0" distB="0" distL="114300" distR="114300" simplePos="0" relativeHeight="251656704" behindDoc="1" locked="0" layoutInCell="0" allowOverlap="1" wp14:editId="0B9AD2D8"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IT</w:t>
                      </w:r>
                    </w:p>
                  </w:txbxContent>
                </v:textbox>
                <w10:wrap anchorx="page" anchory="page"/>
              </v:shape>
            </w:pict>
          </mc:Fallback>
        </mc:AlternateContent>
      </w:r>
    </w:p>
    <w:p w:rsidRPr="00316A9D" w:rsidR="004D7AC0" w:rsidP="00775FC4" w:rsidRDefault="004D7AC0" w14:paraId="51F52D79" w14:textId="77777777"/>
    <w:p w:rsidRPr="00316A9D" w:rsidR="004D7AC0" w:rsidP="00775FC4" w:rsidRDefault="00014C93" w14:paraId="45DE4A28" w14:textId="037C462B">
      <w:pPr>
        <w:jc w:val="right"/>
      </w:pPr>
      <w:r w:rsidRPr="00316A9D">
        <w:t>Bruxelles, 27 maggio 2024</w:t>
      </w:r>
    </w:p>
    <w:p w:rsidRPr="00316A9D" w:rsidR="004D7AC0" w:rsidP="00775FC4" w:rsidRDefault="004D7AC0" w14:paraId="6B250092" w14:textId="77777777"/>
    <w:p w:rsidRPr="00316A9D" w:rsidR="004D7AC0" w:rsidP="00775FC4" w:rsidRDefault="004D7AC0" w14:paraId="0593C6DF" w14:textId="77777777"/>
    <w:tbl>
      <w:tblPr>
        <w:tblW w:w="9498" w:type="dxa"/>
        <w:tblInd w:w="-142" w:type="dxa"/>
        <w:tblLook w:val="04A0" w:firstRow="1" w:lastRow="0" w:firstColumn="1" w:lastColumn="0" w:noHBand="0" w:noVBand="1"/>
      </w:tblPr>
      <w:tblGrid>
        <w:gridCol w:w="9498"/>
      </w:tblGrid>
      <w:tr w:rsidRPr="00316A9D" w:rsidR="004D7AC0" w:rsidTr="00144211" w14:paraId="6D7B3453" w14:textId="77777777">
        <w:tc>
          <w:tcPr>
            <w:tcW w:w="9498" w:type="dxa"/>
            <w:tcBorders>
              <w:bottom w:val="double" w:color="auto" w:sz="4" w:space="0"/>
            </w:tcBorders>
          </w:tcPr>
          <w:p w:rsidRPr="00316A9D" w:rsidR="001760E9" w:rsidP="00775FC4" w:rsidRDefault="00DA2D88" w14:paraId="3B286D4E" w14:textId="519C8097">
            <w:pPr>
              <w:snapToGrid w:val="0"/>
              <w:jc w:val="center"/>
              <w:rPr>
                <w:b/>
                <w:sz w:val="32"/>
              </w:rPr>
            </w:pPr>
            <w:r w:rsidRPr="00316A9D">
              <w:rPr>
                <w:b/>
                <w:sz w:val="32"/>
              </w:rPr>
              <w:t>587ª SESSIONE PLENARIA</w:t>
            </w:r>
          </w:p>
          <w:p w:rsidRPr="00316A9D" w:rsidR="001760E9" w:rsidP="00775FC4" w:rsidRDefault="001760E9" w14:paraId="6C87A626" w14:textId="0AE2882C">
            <w:pPr>
              <w:snapToGrid w:val="0"/>
              <w:jc w:val="center"/>
              <w:rPr>
                <w:b/>
                <w:sz w:val="32"/>
              </w:rPr>
            </w:pPr>
          </w:p>
          <w:p w:rsidRPr="00316A9D" w:rsidR="001760E9" w:rsidP="00775FC4" w:rsidRDefault="00025304" w14:paraId="6CF7229C" w14:textId="22CD68B6">
            <w:pPr>
              <w:snapToGrid w:val="0"/>
              <w:jc w:val="center"/>
              <w:rPr>
                <w:b/>
                <w:sz w:val="32"/>
              </w:rPr>
            </w:pPr>
            <w:r w:rsidRPr="00316A9D">
              <w:rPr>
                <w:b/>
                <w:sz w:val="32"/>
              </w:rPr>
              <w:t>24 e 25 aprile 2024</w:t>
            </w:r>
          </w:p>
          <w:p w:rsidRPr="00316A9D" w:rsidR="001760E9" w:rsidP="00775FC4" w:rsidRDefault="001760E9" w14:paraId="0C44BD01" w14:textId="2F8EBB07">
            <w:pPr>
              <w:snapToGrid w:val="0"/>
              <w:jc w:val="center"/>
              <w:rPr>
                <w:b/>
                <w:sz w:val="32"/>
              </w:rPr>
            </w:pPr>
          </w:p>
          <w:p w:rsidRPr="00316A9D" w:rsidR="004D7AC0" w:rsidP="00775FC4" w:rsidRDefault="00CF2F88" w14:paraId="114106CC" w14:textId="559FF399">
            <w:pPr>
              <w:snapToGrid w:val="0"/>
              <w:jc w:val="center"/>
              <w:rPr>
                <w:rFonts w:eastAsia="MS Mincho"/>
                <w:b/>
                <w:sz w:val="32"/>
                <w:szCs w:val="32"/>
              </w:rPr>
            </w:pPr>
            <w:r w:rsidRPr="00316A9D">
              <w:rPr>
                <w:b/>
                <w:sz w:val="32"/>
              </w:rPr>
              <w:t xml:space="preserve">SINTESI DEI PARERI, DELLE RISOLUZIONI </w:t>
            </w:r>
            <w:r w:rsidRPr="00316A9D" w:rsidR="003D1AF1">
              <w:rPr>
                <w:b/>
                <w:sz w:val="32"/>
              </w:rPr>
              <w:t>E</w:t>
            </w:r>
            <w:r w:rsidRPr="00316A9D">
              <w:rPr>
                <w:b/>
                <w:sz w:val="32"/>
              </w:rPr>
              <w:t xml:space="preserve"> DELLE RELAZIONI INFORMATIVE/DI VALUTAZIONE ADOTTATI</w:t>
            </w:r>
          </w:p>
          <w:p w:rsidRPr="00316A9D" w:rsidR="004D7AC0" w:rsidP="00775FC4" w:rsidRDefault="004D7AC0" w14:paraId="084359C5" w14:textId="77777777">
            <w:pPr>
              <w:snapToGrid w:val="0"/>
            </w:pPr>
          </w:p>
          <w:p w:rsidRPr="00316A9D" w:rsidR="00144211" w:rsidP="00775FC4" w:rsidRDefault="00144211" w14:paraId="06AE72EA" w14:textId="675A24D1">
            <w:pPr>
              <w:snapToGrid w:val="0"/>
            </w:pPr>
          </w:p>
        </w:tc>
      </w:tr>
      <w:tr w:rsidRPr="00316A9D" w:rsidR="004D7AC0" w:rsidTr="00144211" w14:paraId="45EAB22F" w14:textId="77777777">
        <w:tc>
          <w:tcPr>
            <w:tcW w:w="9498" w:type="dxa"/>
            <w:tcBorders>
              <w:top w:val="double" w:color="auto" w:sz="4" w:space="0"/>
              <w:left w:val="double" w:color="auto" w:sz="4" w:space="0"/>
              <w:bottom w:val="double" w:color="auto" w:sz="4" w:space="0"/>
              <w:right w:val="double" w:color="auto" w:sz="4" w:space="0"/>
            </w:tcBorders>
          </w:tcPr>
          <w:p w:rsidRPr="00316A9D" w:rsidR="00144211" w:rsidP="00775FC4" w:rsidRDefault="00144211" w14:paraId="65FC2207" w14:textId="77777777">
            <w:pPr>
              <w:snapToGrid w:val="0"/>
              <w:jc w:val="center"/>
            </w:pPr>
          </w:p>
          <w:p w:rsidRPr="00316A9D" w:rsidR="00B16284" w:rsidP="00775FC4" w:rsidRDefault="004D7AC0" w14:paraId="0A87E35B" w14:textId="7DEF722D">
            <w:pPr>
              <w:snapToGrid w:val="0"/>
              <w:jc w:val="center"/>
            </w:pPr>
            <w:r w:rsidRPr="00316A9D">
              <w:t>Il presente documento è accessibile nelle lingue ufficiali sul sito Internet del CESE al seguente indirizzo:</w:t>
            </w:r>
          </w:p>
          <w:p w:rsidRPr="00316A9D" w:rsidR="00B16284" w:rsidP="00775FC4" w:rsidRDefault="00B16284" w14:paraId="4F26A4CE" w14:textId="77777777">
            <w:pPr>
              <w:snapToGrid w:val="0"/>
              <w:jc w:val="center"/>
            </w:pPr>
          </w:p>
          <w:p w:rsidRPr="00316A9D" w:rsidR="004D7AC0" w:rsidP="00775FC4" w:rsidRDefault="003A440F" w14:paraId="2A9352A2" w14:textId="0680ADB6">
            <w:pPr>
              <w:snapToGrid w:val="0"/>
              <w:jc w:val="center"/>
            </w:pPr>
            <w:hyperlink w:history="1" r:id="rId13">
              <w:r w:rsidRPr="00316A9D" w:rsidR="00F76B5D">
                <w:rPr>
                  <w:rStyle w:val="Hyperlink"/>
                  <w:highlight w:val="yellow"/>
                </w:rPr>
                <w:t>https://www.eesc.europa.eu/it/our-work/opinions-information-reports/plenary-session-summaries</w:t>
              </w:r>
            </w:hyperlink>
          </w:p>
          <w:p w:rsidRPr="00316A9D" w:rsidR="004D7AC0" w:rsidP="00775FC4" w:rsidRDefault="004D7AC0" w14:paraId="70D5DBB4" w14:textId="77777777">
            <w:pPr>
              <w:snapToGrid w:val="0"/>
              <w:jc w:val="center"/>
            </w:pPr>
          </w:p>
          <w:p w:rsidRPr="00316A9D" w:rsidR="004D7AC0" w:rsidP="00775FC4" w:rsidRDefault="004D7AC0" w14:paraId="575A73D6" w14:textId="77777777">
            <w:pPr>
              <w:snapToGrid w:val="0"/>
              <w:jc w:val="center"/>
              <w:rPr>
                <w:rFonts w:eastAsia="SimSun"/>
              </w:rPr>
            </w:pPr>
          </w:p>
          <w:p w:rsidRPr="00316A9D" w:rsidR="00B16284" w:rsidP="00775FC4" w:rsidRDefault="004D7AC0" w14:paraId="1C64BC20" w14:textId="77777777">
            <w:pPr>
              <w:snapToGrid w:val="0"/>
              <w:jc w:val="center"/>
            </w:pPr>
            <w:r w:rsidRPr="00316A9D">
              <w:t>I pareri menzionati possono essere consultati online tramite il motore di ricerca del CESE:</w:t>
            </w:r>
          </w:p>
          <w:p w:rsidRPr="00316A9D" w:rsidR="00B16284" w:rsidP="00775FC4" w:rsidRDefault="00B16284" w14:paraId="7A5411A5" w14:textId="77777777">
            <w:pPr>
              <w:snapToGrid w:val="0"/>
              <w:jc w:val="center"/>
            </w:pPr>
          </w:p>
          <w:p w:rsidRPr="00316A9D" w:rsidR="004D7AC0" w:rsidP="00775FC4" w:rsidRDefault="003A440F" w14:paraId="441AC4DD" w14:textId="1194D751">
            <w:pPr>
              <w:snapToGrid w:val="0"/>
              <w:jc w:val="center"/>
            </w:pPr>
            <w:hyperlink w:history="1" r:id="rId14">
              <w:r w:rsidRPr="00316A9D" w:rsidR="00F76B5D">
                <w:rPr>
                  <w:rStyle w:val="Hyperlink"/>
                </w:rPr>
                <w:t>https://dmsearch.eesc.europa.eu/search/opinion</w:t>
              </w:r>
            </w:hyperlink>
          </w:p>
          <w:p w:rsidRPr="00316A9D" w:rsidR="004D7AC0" w:rsidP="00775FC4" w:rsidRDefault="004D7AC0" w14:paraId="51FF303F" w14:textId="77777777">
            <w:pPr>
              <w:snapToGrid w:val="0"/>
              <w:jc w:val="center"/>
            </w:pPr>
          </w:p>
        </w:tc>
      </w:tr>
    </w:tbl>
    <w:p w:rsidRPr="00316A9D" w:rsidR="004D7AC0" w:rsidP="00775FC4" w:rsidRDefault="004D7AC0" w14:paraId="57C291FC" w14:textId="77777777"/>
    <w:p w:rsidRPr="00316A9D" w:rsidR="004D7AC0" w:rsidP="00775FC4" w:rsidRDefault="004D7AC0" w14:paraId="5E675360" w14:textId="77777777"/>
    <w:p w:rsidRPr="00316A9D" w:rsidR="005A29D5" w:rsidP="00775FC4" w:rsidRDefault="005A29D5" w14:paraId="3CF67A1E" w14:textId="77777777">
      <w:pPr>
        <w:sectPr w:rsidRPr="00316A9D" w:rsidR="005A29D5" w:rsidSect="00386C01">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316A9D"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sidRPr="00316A9D">
        <w:rPr>
          <w:rFonts w:asciiTheme="majorHAnsi" w:hAnsiTheme="majorHAnsi"/>
          <w:color w:val="2E74B5" w:themeColor="accent1" w:themeShade="BF"/>
          <w:sz w:val="32"/>
        </w:rPr>
        <w:lastRenderedPageBreak/>
        <w:t>Indice</w:t>
      </w:r>
    </w:p>
    <w:p w:rsidRPr="00316A9D" w:rsidR="00B8375E" w:rsidRDefault="008772F9" w14:paraId="3C61117D" w14:textId="16E5997B">
      <w:pPr>
        <w:pStyle w:val="TOC1"/>
        <w:rPr>
          <w:rFonts w:asciiTheme="minorHAnsi" w:hAnsiTheme="minorHAnsi" w:eastAsiaTheme="minorEastAsia" w:cstheme="minorBidi"/>
          <w:bCs w:val="0"/>
          <w:sz w:val="22"/>
          <w:szCs w:val="22"/>
          <w:lang w:val="en-US"/>
        </w:rPr>
      </w:pPr>
      <w:r w:rsidRPr="00316A9D">
        <w:fldChar w:fldCharType="begin"/>
      </w:r>
      <w:r w:rsidRPr="00316A9D">
        <w:instrText xml:space="preserve"> TOC \o "1-1" \h \z \u </w:instrText>
      </w:r>
      <w:r w:rsidRPr="00316A9D">
        <w:fldChar w:fldCharType="separate"/>
      </w:r>
      <w:hyperlink w:history="1" w:anchor="_Toc166851132">
        <w:r w:rsidRPr="00316A9D" w:rsidR="00B8375E">
          <w:rPr>
            <w:rStyle w:val="Hyperlink"/>
            <w14:scene3d>
              <w14:camera w14:prst="orthographicFront"/>
              <w14:lightRig w14:rig="threePt" w14:dir="t">
                <w14:rot w14:lat="0" w14:lon="0" w14:rev="0"/>
              </w14:lightRig>
            </w14:scene3d>
          </w:rPr>
          <w:t>1.</w:t>
        </w:r>
        <w:r w:rsidRPr="00316A9D" w:rsidR="00B8375E">
          <w:rPr>
            <w:rFonts w:asciiTheme="minorHAnsi" w:hAnsiTheme="minorHAnsi" w:eastAsiaTheme="minorEastAsia" w:cstheme="minorBidi"/>
            <w:bCs w:val="0"/>
            <w:sz w:val="22"/>
            <w:szCs w:val="22"/>
            <w:lang w:val="en-US"/>
          </w:rPr>
          <w:tab/>
        </w:r>
        <w:r w:rsidRPr="00316A9D" w:rsidR="00B8375E">
          <w:rPr>
            <w:rStyle w:val="Hyperlink"/>
            <w:b/>
          </w:rPr>
          <w:t xml:space="preserve">UNIONE ECONOMICA </w:t>
        </w:r>
        <w:r w:rsidRPr="00316A9D" w:rsidR="003D1AF1">
          <w:rPr>
            <w:rStyle w:val="Hyperlink"/>
            <w:b/>
          </w:rPr>
          <w:t>E</w:t>
        </w:r>
        <w:r w:rsidRPr="00316A9D" w:rsidR="00B8375E">
          <w:rPr>
            <w:rStyle w:val="Hyperlink"/>
            <w:b/>
          </w:rPr>
          <w:t xml:space="preserve"> MONETARIA, COESIONE ECONOMICA </w:t>
        </w:r>
        <w:r w:rsidRPr="00316A9D" w:rsidR="003D1AF1">
          <w:rPr>
            <w:rStyle w:val="Hyperlink"/>
            <w:b/>
          </w:rPr>
          <w:t>E</w:t>
        </w:r>
        <w:r w:rsidRPr="00316A9D" w:rsidR="00B8375E">
          <w:rPr>
            <w:rStyle w:val="Hyperlink"/>
            <w:b/>
          </w:rPr>
          <w:t xml:space="preserve"> SOCIALE</w:t>
        </w:r>
        <w:r w:rsidRPr="00316A9D" w:rsidR="00B8375E">
          <w:rPr>
            <w:webHidden/>
          </w:rPr>
          <w:tab/>
        </w:r>
        <w:r w:rsidRPr="00316A9D" w:rsidR="00B8375E">
          <w:rPr>
            <w:webHidden/>
          </w:rPr>
          <w:fldChar w:fldCharType="begin"/>
        </w:r>
        <w:r w:rsidRPr="00316A9D" w:rsidR="00B8375E">
          <w:rPr>
            <w:webHidden/>
          </w:rPr>
          <w:instrText xml:space="preserve"> PAGEREF _Toc166851132 \h </w:instrText>
        </w:r>
        <w:r w:rsidRPr="00316A9D" w:rsidR="00B8375E">
          <w:rPr>
            <w:webHidden/>
          </w:rPr>
        </w:r>
        <w:r w:rsidRPr="00316A9D" w:rsidR="00B8375E">
          <w:rPr>
            <w:webHidden/>
          </w:rPr>
          <w:fldChar w:fldCharType="separate"/>
        </w:r>
        <w:r w:rsidR="00EB3707">
          <w:rPr>
            <w:webHidden/>
          </w:rPr>
          <w:t>3</w:t>
        </w:r>
        <w:r w:rsidRPr="00316A9D" w:rsidR="00B8375E">
          <w:rPr>
            <w:webHidden/>
          </w:rPr>
          <w:fldChar w:fldCharType="end"/>
        </w:r>
      </w:hyperlink>
    </w:p>
    <w:p w:rsidRPr="00316A9D" w:rsidR="00B8375E" w:rsidRDefault="003A440F" w14:paraId="72E8C04C" w14:textId="24C78D4C">
      <w:pPr>
        <w:pStyle w:val="TOC1"/>
        <w:rPr>
          <w:rFonts w:asciiTheme="minorHAnsi" w:hAnsiTheme="minorHAnsi" w:eastAsiaTheme="minorEastAsia" w:cstheme="minorBidi"/>
          <w:bCs w:val="0"/>
          <w:sz w:val="22"/>
          <w:szCs w:val="22"/>
          <w:lang w:val="en-US"/>
        </w:rPr>
      </w:pPr>
      <w:hyperlink w:history="1" w:anchor="_Toc166851133">
        <w:r w:rsidRPr="00316A9D" w:rsidR="00B8375E">
          <w:rPr>
            <w:rStyle w:val="Hyperlink"/>
            <w14:scene3d>
              <w14:camera w14:prst="orthographicFront"/>
              <w14:lightRig w14:rig="threePt" w14:dir="t">
                <w14:rot w14:lat="0" w14:lon="0" w14:rev="0"/>
              </w14:lightRig>
            </w14:scene3d>
          </w:rPr>
          <w:t>2.</w:t>
        </w:r>
        <w:r w:rsidRPr="00316A9D" w:rsidR="00B8375E">
          <w:rPr>
            <w:rFonts w:asciiTheme="minorHAnsi" w:hAnsiTheme="minorHAnsi" w:eastAsiaTheme="minorEastAsia" w:cstheme="minorBidi"/>
            <w:bCs w:val="0"/>
            <w:sz w:val="22"/>
            <w:szCs w:val="22"/>
            <w:lang w:val="en-US"/>
          </w:rPr>
          <w:tab/>
        </w:r>
        <w:r w:rsidRPr="00316A9D" w:rsidR="00B8375E">
          <w:rPr>
            <w:rStyle w:val="Hyperlink"/>
            <w:b/>
          </w:rPr>
          <w:t xml:space="preserve">OCCUPAZIONE, AFFARI SOCIALI </w:t>
        </w:r>
        <w:r w:rsidRPr="00316A9D" w:rsidR="003D1AF1">
          <w:rPr>
            <w:rStyle w:val="Hyperlink"/>
            <w:b/>
          </w:rPr>
          <w:t>E</w:t>
        </w:r>
        <w:r w:rsidRPr="00316A9D" w:rsidR="00B8375E">
          <w:rPr>
            <w:rStyle w:val="Hyperlink"/>
            <w:b/>
          </w:rPr>
          <w:t xml:space="preserve"> CITTADINANZA</w:t>
        </w:r>
        <w:r w:rsidRPr="00316A9D" w:rsidR="00B8375E">
          <w:rPr>
            <w:webHidden/>
          </w:rPr>
          <w:tab/>
        </w:r>
        <w:r w:rsidRPr="00316A9D" w:rsidR="00B8375E">
          <w:rPr>
            <w:webHidden/>
          </w:rPr>
          <w:fldChar w:fldCharType="begin"/>
        </w:r>
        <w:r w:rsidRPr="00316A9D" w:rsidR="00B8375E">
          <w:rPr>
            <w:webHidden/>
          </w:rPr>
          <w:instrText xml:space="preserve"> PAGEREF _Toc166851133 \h </w:instrText>
        </w:r>
        <w:r w:rsidRPr="00316A9D" w:rsidR="00B8375E">
          <w:rPr>
            <w:webHidden/>
          </w:rPr>
        </w:r>
        <w:r w:rsidRPr="00316A9D" w:rsidR="00B8375E">
          <w:rPr>
            <w:webHidden/>
          </w:rPr>
          <w:fldChar w:fldCharType="separate"/>
        </w:r>
        <w:r w:rsidR="00EB3707">
          <w:rPr>
            <w:webHidden/>
          </w:rPr>
          <w:t>7</w:t>
        </w:r>
        <w:r w:rsidRPr="00316A9D" w:rsidR="00B8375E">
          <w:rPr>
            <w:webHidden/>
          </w:rPr>
          <w:fldChar w:fldCharType="end"/>
        </w:r>
      </w:hyperlink>
    </w:p>
    <w:p w:rsidRPr="00316A9D" w:rsidR="00B8375E" w:rsidRDefault="003A440F" w14:paraId="66262648" w14:textId="6EBEB99E">
      <w:pPr>
        <w:pStyle w:val="TOC1"/>
        <w:rPr>
          <w:rFonts w:asciiTheme="minorHAnsi" w:hAnsiTheme="minorHAnsi" w:eastAsiaTheme="minorEastAsia" w:cstheme="minorBidi"/>
          <w:bCs w:val="0"/>
          <w:sz w:val="22"/>
          <w:szCs w:val="22"/>
          <w:lang w:val="en-US"/>
        </w:rPr>
      </w:pPr>
      <w:hyperlink w:history="1" w:anchor="_Toc166851134">
        <w:r w:rsidRPr="00316A9D" w:rsidR="00B8375E">
          <w:rPr>
            <w:rStyle w:val="Hyperlink"/>
            <w14:scene3d>
              <w14:camera w14:prst="orthographicFront"/>
              <w14:lightRig w14:rig="threePt" w14:dir="t">
                <w14:rot w14:lat="0" w14:lon="0" w14:rev="0"/>
              </w14:lightRig>
            </w14:scene3d>
          </w:rPr>
          <w:t>3.</w:t>
        </w:r>
        <w:r w:rsidRPr="00316A9D" w:rsidR="00B8375E">
          <w:rPr>
            <w:rFonts w:asciiTheme="minorHAnsi" w:hAnsiTheme="minorHAnsi" w:eastAsiaTheme="minorEastAsia" w:cstheme="minorBidi"/>
            <w:bCs w:val="0"/>
            <w:sz w:val="22"/>
            <w:szCs w:val="22"/>
            <w:lang w:val="en-US"/>
          </w:rPr>
          <w:tab/>
        </w:r>
        <w:r w:rsidRPr="00316A9D" w:rsidR="00B8375E">
          <w:rPr>
            <w:rStyle w:val="Hyperlink"/>
            <w:b/>
          </w:rPr>
          <w:t xml:space="preserve">MERCATO UNICO, PRODUZIONE </w:t>
        </w:r>
        <w:r w:rsidRPr="00316A9D" w:rsidR="003D1AF1">
          <w:rPr>
            <w:rStyle w:val="Hyperlink"/>
            <w:b/>
          </w:rPr>
          <w:t>E</w:t>
        </w:r>
        <w:r w:rsidRPr="00316A9D" w:rsidR="00B8375E">
          <w:rPr>
            <w:rStyle w:val="Hyperlink"/>
            <w:b/>
          </w:rPr>
          <w:t xml:space="preserve"> CONSUMO</w:t>
        </w:r>
        <w:r w:rsidRPr="00316A9D" w:rsidR="00B8375E">
          <w:rPr>
            <w:webHidden/>
          </w:rPr>
          <w:tab/>
        </w:r>
        <w:r w:rsidRPr="00316A9D" w:rsidR="00B8375E">
          <w:rPr>
            <w:webHidden/>
          </w:rPr>
          <w:fldChar w:fldCharType="begin"/>
        </w:r>
        <w:r w:rsidRPr="00316A9D" w:rsidR="00B8375E">
          <w:rPr>
            <w:webHidden/>
          </w:rPr>
          <w:instrText xml:space="preserve"> PAGEREF _Toc166851134 \h </w:instrText>
        </w:r>
        <w:r w:rsidRPr="00316A9D" w:rsidR="00B8375E">
          <w:rPr>
            <w:webHidden/>
          </w:rPr>
        </w:r>
        <w:r w:rsidRPr="00316A9D" w:rsidR="00B8375E">
          <w:rPr>
            <w:webHidden/>
          </w:rPr>
          <w:fldChar w:fldCharType="separate"/>
        </w:r>
        <w:r w:rsidR="00EB3707">
          <w:rPr>
            <w:webHidden/>
          </w:rPr>
          <w:t>12</w:t>
        </w:r>
        <w:r w:rsidRPr="00316A9D" w:rsidR="00B8375E">
          <w:rPr>
            <w:webHidden/>
          </w:rPr>
          <w:fldChar w:fldCharType="end"/>
        </w:r>
      </w:hyperlink>
    </w:p>
    <w:p w:rsidRPr="00316A9D" w:rsidR="00B8375E" w:rsidRDefault="003A440F" w14:paraId="60978FF7" w14:textId="2EAA8B76">
      <w:pPr>
        <w:pStyle w:val="TOC1"/>
        <w:rPr>
          <w:rFonts w:asciiTheme="minorHAnsi" w:hAnsiTheme="minorHAnsi" w:eastAsiaTheme="minorEastAsia" w:cstheme="minorBidi"/>
          <w:bCs w:val="0"/>
          <w:sz w:val="22"/>
          <w:szCs w:val="22"/>
          <w:lang w:val="en-US"/>
        </w:rPr>
      </w:pPr>
      <w:hyperlink w:history="1" w:anchor="_Toc166851135">
        <w:r w:rsidRPr="00316A9D" w:rsidR="00B8375E">
          <w:rPr>
            <w:rStyle w:val="Hyperlink"/>
            <w14:scene3d>
              <w14:camera w14:prst="orthographicFront"/>
              <w14:lightRig w14:rig="threePt" w14:dir="t">
                <w14:rot w14:lat="0" w14:lon="0" w14:rev="0"/>
              </w14:lightRig>
            </w14:scene3d>
          </w:rPr>
          <w:t>4.</w:t>
        </w:r>
        <w:r w:rsidRPr="00316A9D" w:rsidR="00B8375E">
          <w:rPr>
            <w:rFonts w:asciiTheme="minorHAnsi" w:hAnsiTheme="minorHAnsi" w:eastAsiaTheme="minorEastAsia" w:cstheme="minorBidi"/>
            <w:bCs w:val="0"/>
            <w:sz w:val="22"/>
            <w:szCs w:val="22"/>
            <w:lang w:val="en-US"/>
          </w:rPr>
          <w:tab/>
        </w:r>
        <w:r w:rsidRPr="00316A9D" w:rsidR="00B8375E">
          <w:rPr>
            <w:rStyle w:val="Hyperlink"/>
            <w:b/>
          </w:rPr>
          <w:t>AGRICOLTURA, SVILUPPO RURALE, AMBIENTE</w:t>
        </w:r>
        <w:r w:rsidRPr="00316A9D" w:rsidR="00B8375E">
          <w:rPr>
            <w:webHidden/>
          </w:rPr>
          <w:tab/>
        </w:r>
        <w:r w:rsidRPr="00316A9D" w:rsidR="00B8375E">
          <w:rPr>
            <w:webHidden/>
          </w:rPr>
          <w:fldChar w:fldCharType="begin"/>
        </w:r>
        <w:r w:rsidRPr="00316A9D" w:rsidR="00B8375E">
          <w:rPr>
            <w:webHidden/>
          </w:rPr>
          <w:instrText xml:space="preserve"> PAGEREF _Toc166851135 \h </w:instrText>
        </w:r>
        <w:r w:rsidRPr="00316A9D" w:rsidR="00B8375E">
          <w:rPr>
            <w:webHidden/>
          </w:rPr>
        </w:r>
        <w:r w:rsidRPr="00316A9D" w:rsidR="00B8375E">
          <w:rPr>
            <w:webHidden/>
          </w:rPr>
          <w:fldChar w:fldCharType="separate"/>
        </w:r>
        <w:r w:rsidR="00EB3707">
          <w:rPr>
            <w:webHidden/>
          </w:rPr>
          <w:t>15</w:t>
        </w:r>
        <w:r w:rsidRPr="00316A9D" w:rsidR="00B8375E">
          <w:rPr>
            <w:webHidden/>
          </w:rPr>
          <w:fldChar w:fldCharType="end"/>
        </w:r>
      </w:hyperlink>
    </w:p>
    <w:p w:rsidRPr="00316A9D" w:rsidR="00B8375E" w:rsidRDefault="003A440F" w14:paraId="317AE194" w14:textId="3B88C3DF">
      <w:pPr>
        <w:pStyle w:val="TOC1"/>
        <w:rPr>
          <w:rFonts w:asciiTheme="minorHAnsi" w:hAnsiTheme="minorHAnsi" w:eastAsiaTheme="minorEastAsia" w:cstheme="minorBidi"/>
          <w:bCs w:val="0"/>
          <w:sz w:val="22"/>
          <w:szCs w:val="22"/>
          <w:lang w:val="en-US"/>
        </w:rPr>
      </w:pPr>
      <w:hyperlink w:history="1" w:anchor="_Toc166851136">
        <w:r w:rsidRPr="00316A9D" w:rsidR="00B8375E">
          <w:rPr>
            <w:rStyle w:val="Hyperlink"/>
            <w14:scene3d>
              <w14:camera w14:prst="orthographicFront"/>
              <w14:lightRig w14:rig="threePt" w14:dir="t">
                <w14:rot w14:lat="0" w14:lon="0" w14:rev="0"/>
              </w14:lightRig>
            </w14:scene3d>
          </w:rPr>
          <w:t>5.</w:t>
        </w:r>
        <w:r w:rsidRPr="00316A9D" w:rsidR="00B8375E">
          <w:rPr>
            <w:rFonts w:asciiTheme="minorHAnsi" w:hAnsiTheme="minorHAnsi" w:eastAsiaTheme="minorEastAsia" w:cstheme="minorBidi"/>
            <w:bCs w:val="0"/>
            <w:sz w:val="22"/>
            <w:szCs w:val="22"/>
            <w:lang w:val="en-US"/>
          </w:rPr>
          <w:tab/>
        </w:r>
        <w:r w:rsidRPr="00316A9D" w:rsidR="00B8375E">
          <w:rPr>
            <w:rStyle w:val="Hyperlink"/>
            <w:b/>
          </w:rPr>
          <w:t>RELAZIONI ESTERNE</w:t>
        </w:r>
        <w:r w:rsidRPr="00316A9D" w:rsidR="00B8375E">
          <w:rPr>
            <w:webHidden/>
          </w:rPr>
          <w:tab/>
        </w:r>
        <w:r w:rsidRPr="00316A9D" w:rsidR="00B8375E">
          <w:rPr>
            <w:webHidden/>
          </w:rPr>
          <w:fldChar w:fldCharType="begin"/>
        </w:r>
        <w:r w:rsidRPr="00316A9D" w:rsidR="00B8375E">
          <w:rPr>
            <w:webHidden/>
          </w:rPr>
          <w:instrText xml:space="preserve"> PAGEREF _Toc166851136 \h </w:instrText>
        </w:r>
        <w:r w:rsidRPr="00316A9D" w:rsidR="00B8375E">
          <w:rPr>
            <w:webHidden/>
          </w:rPr>
        </w:r>
        <w:r w:rsidRPr="00316A9D" w:rsidR="00B8375E">
          <w:rPr>
            <w:webHidden/>
          </w:rPr>
          <w:fldChar w:fldCharType="separate"/>
        </w:r>
        <w:r w:rsidR="00EB3707">
          <w:rPr>
            <w:webHidden/>
          </w:rPr>
          <w:t>18</w:t>
        </w:r>
        <w:r w:rsidRPr="00316A9D" w:rsidR="00B8375E">
          <w:rPr>
            <w:webHidden/>
          </w:rPr>
          <w:fldChar w:fldCharType="end"/>
        </w:r>
      </w:hyperlink>
    </w:p>
    <w:p w:rsidRPr="00316A9D" w:rsidR="00B8375E" w:rsidRDefault="003A440F" w14:paraId="522CC55A" w14:textId="0AFF3C4C">
      <w:pPr>
        <w:pStyle w:val="TOC1"/>
        <w:rPr>
          <w:rFonts w:asciiTheme="minorHAnsi" w:hAnsiTheme="minorHAnsi" w:eastAsiaTheme="minorEastAsia" w:cstheme="minorBidi"/>
          <w:bCs w:val="0"/>
          <w:sz w:val="22"/>
          <w:szCs w:val="22"/>
          <w:lang w:val="en-US"/>
        </w:rPr>
      </w:pPr>
      <w:hyperlink w:history="1" w:anchor="_Toc166851137">
        <w:r w:rsidRPr="00316A9D" w:rsidR="00B8375E">
          <w:rPr>
            <w:rStyle w:val="Hyperlink"/>
            <w14:scene3d>
              <w14:camera w14:prst="orthographicFront"/>
              <w14:lightRig w14:rig="threePt" w14:dir="t">
                <w14:rot w14:lat="0" w14:lon="0" w14:rev="0"/>
              </w14:lightRig>
            </w14:scene3d>
          </w:rPr>
          <w:t>6.</w:t>
        </w:r>
        <w:r w:rsidRPr="00316A9D" w:rsidR="00B8375E">
          <w:rPr>
            <w:rFonts w:asciiTheme="minorHAnsi" w:hAnsiTheme="minorHAnsi" w:eastAsiaTheme="minorEastAsia" w:cstheme="minorBidi"/>
            <w:bCs w:val="0"/>
            <w:sz w:val="22"/>
            <w:szCs w:val="22"/>
            <w:lang w:val="en-US"/>
          </w:rPr>
          <w:tab/>
        </w:r>
        <w:r w:rsidRPr="00316A9D" w:rsidR="00B8375E">
          <w:rPr>
            <w:rStyle w:val="Hyperlink"/>
            <w:b/>
          </w:rPr>
          <w:t>TRASPORTI, ENERGIA, INFRASTRUTTURE, SOCIETÀ DELL'INFORMAZIONE</w:t>
        </w:r>
        <w:r w:rsidRPr="00316A9D" w:rsidR="00B8375E">
          <w:rPr>
            <w:webHidden/>
          </w:rPr>
          <w:tab/>
        </w:r>
        <w:r w:rsidRPr="00316A9D" w:rsidR="00B8375E">
          <w:rPr>
            <w:webHidden/>
          </w:rPr>
          <w:fldChar w:fldCharType="begin"/>
        </w:r>
        <w:r w:rsidRPr="00316A9D" w:rsidR="00B8375E">
          <w:rPr>
            <w:webHidden/>
          </w:rPr>
          <w:instrText xml:space="preserve"> PAGEREF _Toc166851137 \h </w:instrText>
        </w:r>
        <w:r w:rsidRPr="00316A9D" w:rsidR="00B8375E">
          <w:rPr>
            <w:webHidden/>
          </w:rPr>
        </w:r>
        <w:r w:rsidRPr="00316A9D" w:rsidR="00B8375E">
          <w:rPr>
            <w:webHidden/>
          </w:rPr>
          <w:fldChar w:fldCharType="separate"/>
        </w:r>
        <w:r w:rsidR="00EB3707">
          <w:rPr>
            <w:webHidden/>
          </w:rPr>
          <w:t>21</w:t>
        </w:r>
        <w:r w:rsidRPr="00316A9D" w:rsidR="00B8375E">
          <w:rPr>
            <w:webHidden/>
          </w:rPr>
          <w:fldChar w:fldCharType="end"/>
        </w:r>
      </w:hyperlink>
    </w:p>
    <w:p w:rsidRPr="00316A9D" w:rsidR="00B8375E" w:rsidRDefault="003A440F" w14:paraId="1A9BFEB1" w14:textId="59CD4D1B">
      <w:pPr>
        <w:pStyle w:val="TOC1"/>
        <w:rPr>
          <w:rFonts w:asciiTheme="minorHAnsi" w:hAnsiTheme="minorHAnsi" w:eastAsiaTheme="minorEastAsia" w:cstheme="minorBidi"/>
          <w:bCs w:val="0"/>
          <w:sz w:val="22"/>
          <w:szCs w:val="22"/>
          <w:lang w:val="en-US"/>
        </w:rPr>
      </w:pPr>
      <w:hyperlink w:history="1" w:anchor="_Toc166851138">
        <w:r w:rsidRPr="00316A9D" w:rsidR="00B8375E">
          <w:rPr>
            <w:rStyle w:val="Hyperlink"/>
            <w14:scene3d>
              <w14:camera w14:prst="orthographicFront"/>
              <w14:lightRig w14:rig="threePt" w14:dir="t">
                <w14:rot w14:lat="0" w14:lon="0" w14:rev="0"/>
              </w14:lightRig>
            </w14:scene3d>
          </w:rPr>
          <w:t>7.</w:t>
        </w:r>
        <w:r w:rsidRPr="00316A9D" w:rsidR="00B8375E">
          <w:rPr>
            <w:rFonts w:asciiTheme="minorHAnsi" w:hAnsiTheme="minorHAnsi" w:eastAsiaTheme="minorEastAsia" w:cstheme="minorBidi"/>
            <w:bCs w:val="0"/>
            <w:sz w:val="22"/>
            <w:szCs w:val="22"/>
            <w:lang w:val="en-US"/>
          </w:rPr>
          <w:tab/>
        </w:r>
        <w:r w:rsidRPr="00316A9D" w:rsidR="00B8375E">
          <w:rPr>
            <w:rStyle w:val="Hyperlink"/>
            <w:b/>
          </w:rPr>
          <w:t>COMMISSIONE CONSULTIVA PER LE TRASFORMAZIONI INDUSTRIALI</w:t>
        </w:r>
        <w:r w:rsidRPr="00316A9D" w:rsidR="00B8375E">
          <w:rPr>
            <w:webHidden/>
          </w:rPr>
          <w:tab/>
        </w:r>
        <w:r w:rsidRPr="00316A9D" w:rsidR="00B8375E">
          <w:rPr>
            <w:webHidden/>
          </w:rPr>
          <w:fldChar w:fldCharType="begin"/>
        </w:r>
        <w:r w:rsidRPr="00316A9D" w:rsidR="00B8375E">
          <w:rPr>
            <w:webHidden/>
          </w:rPr>
          <w:instrText xml:space="preserve"> PAGEREF _Toc166851138 \h </w:instrText>
        </w:r>
        <w:r w:rsidRPr="00316A9D" w:rsidR="00B8375E">
          <w:rPr>
            <w:webHidden/>
          </w:rPr>
        </w:r>
        <w:r w:rsidRPr="00316A9D" w:rsidR="00B8375E">
          <w:rPr>
            <w:webHidden/>
          </w:rPr>
          <w:fldChar w:fldCharType="separate"/>
        </w:r>
        <w:r w:rsidR="00EB3707">
          <w:rPr>
            <w:webHidden/>
          </w:rPr>
          <w:t>23</w:t>
        </w:r>
        <w:r w:rsidRPr="00316A9D" w:rsidR="00B8375E">
          <w:rPr>
            <w:webHidden/>
          </w:rPr>
          <w:fldChar w:fldCharType="end"/>
        </w:r>
      </w:hyperlink>
    </w:p>
    <w:p w:rsidRPr="00316A9D" w:rsidR="00C86ABD" w:rsidRDefault="008772F9" w14:paraId="4EDE006A" w14:textId="6D867C7A">
      <w:pPr>
        <w:jc w:val="left"/>
      </w:pPr>
      <w:r w:rsidRPr="00316A9D">
        <w:fldChar w:fldCharType="end"/>
      </w:r>
      <w:r w:rsidRPr="00316A9D">
        <w:br w:type="page"/>
      </w:r>
    </w:p>
    <w:p w:rsidRPr="00316A9D" w:rsidR="0038273B" w:rsidP="00401E8F" w:rsidRDefault="0038273B" w14:paraId="62CE6920" w14:textId="30402AA9">
      <w:pPr>
        <w:pStyle w:val="Heading1"/>
        <w:tabs>
          <w:tab w:val="clear" w:pos="440"/>
          <w:tab w:val="left" w:pos="567"/>
        </w:tabs>
        <w:ind w:left="567" w:hanging="567"/>
        <w:rPr>
          <w:b/>
          <w:bCs/>
        </w:rPr>
      </w:pPr>
      <w:bookmarkStart w:name="_Toc166851132" w:id="0"/>
      <w:r w:rsidRPr="00316A9D">
        <w:rPr>
          <w:b/>
        </w:rPr>
        <w:lastRenderedPageBreak/>
        <w:t xml:space="preserve">UNIONE ECONOMICA </w:t>
      </w:r>
      <w:r w:rsidRPr="00316A9D" w:rsidR="003D1AF1">
        <w:rPr>
          <w:b/>
        </w:rPr>
        <w:t>E</w:t>
      </w:r>
      <w:r w:rsidRPr="00316A9D">
        <w:rPr>
          <w:b/>
        </w:rPr>
        <w:t xml:space="preserve"> MONETARIA, COESIONE ECONOMICA </w:t>
      </w:r>
      <w:r w:rsidRPr="00316A9D" w:rsidR="003D1AF1">
        <w:rPr>
          <w:b/>
        </w:rPr>
        <w:t>E</w:t>
      </w:r>
      <w:r w:rsidRPr="00316A9D">
        <w:rPr>
          <w:b/>
        </w:rPr>
        <w:t xml:space="preserve"> SOCIALE</w:t>
      </w:r>
      <w:bookmarkEnd w:id="0"/>
    </w:p>
    <w:p w:rsidRPr="00316A9D" w:rsidR="00105700" w:rsidP="00401E8F" w:rsidRDefault="00105700" w14:paraId="72AAE541" w14:textId="307FF14A">
      <w:pPr>
        <w:tabs>
          <w:tab w:val="center" w:pos="284"/>
        </w:tabs>
        <w:overflowPunct w:val="0"/>
        <w:autoSpaceDE w:val="0"/>
        <w:autoSpaceDN w:val="0"/>
        <w:adjustRightInd w:val="0"/>
        <w:ind w:left="266" w:hanging="266"/>
        <w:textAlignment w:val="baseline"/>
        <w:rPr>
          <w:b/>
          <w:sz w:val="24"/>
          <w:szCs w:val="24"/>
        </w:rPr>
      </w:pPr>
    </w:p>
    <w:p w:rsidRPr="00316A9D" w:rsidR="00EC0628" w:rsidP="00401E8F" w:rsidRDefault="003A440F" w14:paraId="7AD48A8F" w14:textId="7937AFAE">
      <w:pPr>
        <w:widowControl w:val="0"/>
        <w:numPr>
          <w:ilvl w:val="0"/>
          <w:numId w:val="25"/>
        </w:numPr>
        <w:overflowPunct w:val="0"/>
        <w:autoSpaceDE w:val="0"/>
        <w:autoSpaceDN w:val="0"/>
        <w:adjustRightInd w:val="0"/>
        <w:ind w:left="567" w:hanging="567"/>
        <w:textAlignment w:val="baseline"/>
        <w:rPr>
          <w:sz w:val="32"/>
          <w:szCs w:val="32"/>
        </w:rPr>
      </w:pPr>
      <w:hyperlink w:history="1" r:id="rId21">
        <w:r w:rsidRPr="00316A9D" w:rsidR="008772F9">
          <w:rPr>
            <w:b/>
            <w:i/>
            <w:color w:val="0000FF"/>
            <w:sz w:val="32"/>
            <w:u w:val="single"/>
          </w:rPr>
          <w:t>Imprese in Europa: quadro per l'imposizione dei redditi (BEFIT)</w:t>
        </w:r>
      </w:hyperlink>
    </w:p>
    <w:p w:rsidRPr="00316A9D" w:rsidR="00EC0628" w:rsidP="00EC0628" w:rsidRDefault="00EC0628" w14:paraId="46D48D74" w14:textId="728DA4DB">
      <w:pPr>
        <w:tabs>
          <w:tab w:val="center" w:pos="284"/>
        </w:tabs>
        <w:overflowPunct w:val="0"/>
        <w:autoSpaceDE w:val="0"/>
        <w:autoSpaceDN w:val="0"/>
        <w:adjustRightInd w:val="0"/>
        <w:ind w:left="266" w:hanging="266"/>
        <w:textAlignment w:val="baseline"/>
        <w:rPr>
          <w:b/>
          <w:sz w:val="24"/>
          <w:szCs w:val="24"/>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316A9D" w:rsidR="00EC0628" w:rsidTr="009839A2" w14:paraId="64A2A6F3" w14:textId="77777777">
        <w:tc>
          <w:tcPr>
            <w:tcW w:w="1701" w:type="dxa"/>
          </w:tcPr>
          <w:p w:rsidRPr="00316A9D" w:rsidR="00EC0628" w:rsidP="00EC0628" w:rsidRDefault="003D1AF1" w14:paraId="63437E92" w14:textId="308E1D04">
            <w:pPr>
              <w:tabs>
                <w:tab w:val="center" w:pos="284"/>
              </w:tabs>
              <w:overflowPunct w:val="0"/>
              <w:autoSpaceDE w:val="0"/>
              <w:autoSpaceDN w:val="0"/>
              <w:adjustRightInd w:val="0"/>
              <w:ind w:left="266" w:hanging="266"/>
              <w:textAlignment w:val="baseline"/>
              <w:rPr>
                <w:b/>
              </w:rPr>
            </w:pPr>
            <w:r w:rsidRPr="00316A9D">
              <w:rPr>
                <w:b/>
              </w:rPr>
              <w:t>Relatore</w:t>
            </w:r>
          </w:p>
        </w:tc>
        <w:tc>
          <w:tcPr>
            <w:tcW w:w="6663" w:type="dxa"/>
          </w:tcPr>
          <w:p w:rsidRPr="00316A9D" w:rsidR="00EC0628" w:rsidP="00EC0628" w:rsidRDefault="00EC0628" w14:paraId="2F5B824E" w14:textId="5E732AB8">
            <w:pPr>
              <w:tabs>
                <w:tab w:val="center" w:pos="284"/>
              </w:tabs>
              <w:overflowPunct w:val="0"/>
              <w:autoSpaceDE w:val="0"/>
              <w:autoSpaceDN w:val="0"/>
              <w:adjustRightInd w:val="0"/>
              <w:ind w:left="266" w:hanging="266"/>
              <w:textAlignment w:val="baseline"/>
            </w:pPr>
            <w:r w:rsidRPr="00316A9D">
              <w:t>Petru Sorin DANDEA (Lavoratori - RO)</w:t>
            </w:r>
          </w:p>
        </w:tc>
      </w:tr>
      <w:tr w:rsidRPr="00316A9D" w:rsidR="00EC0628" w:rsidTr="009839A2" w14:paraId="43C37BD9" w14:textId="77777777">
        <w:trPr>
          <w:trHeight w:val="240"/>
        </w:trPr>
        <w:tc>
          <w:tcPr>
            <w:tcW w:w="8364" w:type="dxa"/>
            <w:gridSpan w:val="2"/>
          </w:tcPr>
          <w:p w:rsidRPr="00316A9D" w:rsidR="00EC0628" w:rsidP="00EC0628" w:rsidRDefault="00EC0628" w14:paraId="4EEBB675" w14:textId="77777777">
            <w:pPr>
              <w:tabs>
                <w:tab w:val="center" w:pos="284"/>
              </w:tabs>
              <w:overflowPunct w:val="0"/>
              <w:autoSpaceDE w:val="0"/>
              <w:autoSpaceDN w:val="0"/>
              <w:adjustRightInd w:val="0"/>
              <w:spacing w:line="160" w:lineRule="exact"/>
              <w:ind w:left="266" w:hanging="266"/>
              <w:textAlignment w:val="baseline"/>
            </w:pPr>
          </w:p>
        </w:tc>
      </w:tr>
      <w:tr w:rsidRPr="00316A9D" w:rsidR="00EC0628" w:rsidTr="009839A2" w14:paraId="04E10468" w14:textId="77777777">
        <w:tc>
          <w:tcPr>
            <w:tcW w:w="1701" w:type="dxa"/>
            <w:vMerge w:val="restart"/>
          </w:tcPr>
          <w:p w:rsidRPr="00316A9D" w:rsidR="00EC0628" w:rsidP="00EC0628" w:rsidRDefault="00EC0628" w14:paraId="3D730967" w14:textId="77777777">
            <w:pPr>
              <w:tabs>
                <w:tab w:val="center" w:pos="284"/>
              </w:tabs>
              <w:overflowPunct w:val="0"/>
              <w:autoSpaceDE w:val="0"/>
              <w:autoSpaceDN w:val="0"/>
              <w:adjustRightInd w:val="0"/>
              <w:ind w:left="266" w:hanging="266"/>
              <w:textAlignment w:val="baseline"/>
              <w:rPr>
                <w:b/>
              </w:rPr>
            </w:pPr>
            <w:r w:rsidRPr="00316A9D">
              <w:rPr>
                <w:b/>
              </w:rPr>
              <w:t>Riferimenti</w:t>
            </w:r>
          </w:p>
        </w:tc>
        <w:tc>
          <w:tcPr>
            <w:tcW w:w="6663" w:type="dxa"/>
          </w:tcPr>
          <w:p w:rsidRPr="00316A9D" w:rsidR="00EC0628" w:rsidP="00EC0628" w:rsidRDefault="00EC0628" w14:paraId="013C7888" w14:textId="1F17C560">
            <w:pPr>
              <w:tabs>
                <w:tab w:val="center" w:pos="284"/>
              </w:tabs>
              <w:overflowPunct w:val="0"/>
              <w:autoSpaceDE w:val="0"/>
              <w:autoSpaceDN w:val="0"/>
              <w:adjustRightInd w:val="0"/>
              <w:ind w:left="266" w:hanging="266"/>
              <w:textAlignment w:val="baseline"/>
            </w:pPr>
            <w:r w:rsidRPr="00316A9D">
              <w:t xml:space="preserve">COM(2023) 532 final </w:t>
            </w:r>
          </w:p>
          <w:p w:rsidRPr="00316A9D" w:rsidR="00EC0628" w:rsidP="00EC0628" w:rsidRDefault="00EC0628" w14:paraId="07E8B128" w14:textId="6DFBC41F">
            <w:pPr>
              <w:tabs>
                <w:tab w:val="center" w:pos="284"/>
              </w:tabs>
              <w:overflowPunct w:val="0"/>
              <w:autoSpaceDE w:val="0"/>
              <w:autoSpaceDN w:val="0"/>
              <w:adjustRightInd w:val="0"/>
              <w:ind w:left="266" w:hanging="266"/>
              <w:textAlignment w:val="baseline"/>
            </w:pPr>
            <w:r w:rsidRPr="00316A9D">
              <w:t xml:space="preserve">COM(2023) 529 final </w:t>
            </w:r>
          </w:p>
        </w:tc>
      </w:tr>
      <w:tr w:rsidRPr="00316A9D" w:rsidR="00EC0628" w:rsidTr="009839A2" w14:paraId="0920D37F" w14:textId="77777777">
        <w:tc>
          <w:tcPr>
            <w:tcW w:w="1701" w:type="dxa"/>
            <w:vMerge/>
          </w:tcPr>
          <w:p w:rsidRPr="00316A9D" w:rsidR="00EC0628" w:rsidP="00EC0628" w:rsidRDefault="00EC0628" w14:paraId="4772C397" w14:textId="77777777">
            <w:pPr>
              <w:tabs>
                <w:tab w:val="center" w:pos="284"/>
              </w:tabs>
              <w:overflowPunct w:val="0"/>
              <w:autoSpaceDE w:val="0"/>
              <w:autoSpaceDN w:val="0"/>
              <w:adjustRightInd w:val="0"/>
              <w:ind w:left="266" w:hanging="266"/>
              <w:textAlignment w:val="baseline"/>
              <w:rPr>
                <w:b/>
              </w:rPr>
            </w:pPr>
          </w:p>
        </w:tc>
        <w:tc>
          <w:tcPr>
            <w:tcW w:w="6663" w:type="dxa"/>
          </w:tcPr>
          <w:p w:rsidRPr="00316A9D" w:rsidR="00EC0628" w:rsidP="00EC0628" w:rsidRDefault="00EC0628" w14:paraId="18C643B9" w14:textId="6E9FC7B4">
            <w:pPr>
              <w:tabs>
                <w:tab w:val="center" w:pos="284"/>
              </w:tabs>
              <w:overflowPunct w:val="0"/>
              <w:autoSpaceDE w:val="0"/>
              <w:autoSpaceDN w:val="0"/>
              <w:adjustRightInd w:val="0"/>
              <w:ind w:left="266" w:hanging="266"/>
              <w:textAlignment w:val="baseline"/>
            </w:pPr>
            <w:r w:rsidRPr="00316A9D">
              <w:t>EESC-2023-04143-00-00-AC</w:t>
            </w:r>
          </w:p>
        </w:tc>
      </w:tr>
    </w:tbl>
    <w:p w:rsidRPr="00316A9D" w:rsidR="001A60BB" w:rsidP="00EC0628" w:rsidRDefault="001A60BB" w14:paraId="21CD3236" w14:textId="77777777">
      <w:pPr>
        <w:keepNext/>
        <w:keepLines/>
        <w:tabs>
          <w:tab w:val="center" w:pos="284"/>
        </w:tabs>
        <w:overflowPunct w:val="0"/>
        <w:autoSpaceDE w:val="0"/>
        <w:autoSpaceDN w:val="0"/>
        <w:adjustRightInd w:val="0"/>
        <w:ind w:left="266" w:hanging="266"/>
        <w:textAlignment w:val="baseline"/>
        <w:rPr>
          <w:b/>
        </w:rPr>
      </w:pPr>
    </w:p>
    <w:p w:rsidRPr="00316A9D" w:rsidR="00EC0628" w:rsidP="00EC0628" w:rsidRDefault="00EC0628" w14:paraId="4B5E66F5" w14:textId="7F34A5E5">
      <w:pPr>
        <w:keepNext/>
        <w:keepLines/>
        <w:tabs>
          <w:tab w:val="center" w:pos="284"/>
        </w:tabs>
        <w:overflowPunct w:val="0"/>
        <w:autoSpaceDE w:val="0"/>
        <w:autoSpaceDN w:val="0"/>
        <w:adjustRightInd w:val="0"/>
        <w:ind w:left="266" w:hanging="266"/>
        <w:textAlignment w:val="baseline"/>
        <w:rPr>
          <w:b/>
        </w:rPr>
      </w:pPr>
      <w:r w:rsidRPr="00316A9D">
        <w:rPr>
          <w:b/>
        </w:rPr>
        <w:t>Punti principali</w:t>
      </w:r>
    </w:p>
    <w:p w:rsidRPr="00316A9D" w:rsidR="00EC0628" w:rsidP="00EC0628" w:rsidRDefault="00EC0628" w14:paraId="7FA0AB34" w14:textId="77777777">
      <w:pPr>
        <w:keepNext/>
        <w:keepLines/>
        <w:tabs>
          <w:tab w:val="center" w:pos="284"/>
        </w:tabs>
        <w:overflowPunct w:val="0"/>
        <w:autoSpaceDE w:val="0"/>
        <w:autoSpaceDN w:val="0"/>
        <w:adjustRightInd w:val="0"/>
        <w:ind w:left="266" w:hanging="266"/>
        <w:textAlignment w:val="baseline"/>
        <w:rPr>
          <w:b/>
          <w:sz w:val="16"/>
          <w:szCs w:val="16"/>
        </w:rPr>
      </w:pPr>
    </w:p>
    <w:p w:rsidRPr="00316A9D" w:rsidR="00EC0628" w:rsidP="00EC0628" w:rsidRDefault="00EC0628" w14:paraId="51D4E0CD" w14:textId="76302DAA">
      <w:pPr>
        <w:overflowPunct w:val="0"/>
        <w:autoSpaceDE w:val="0"/>
        <w:autoSpaceDN w:val="0"/>
        <w:adjustRightInd w:val="0"/>
        <w:textAlignment w:val="baseline"/>
        <w:rPr>
          <w:szCs w:val="20"/>
        </w:rPr>
      </w:pPr>
      <w:r w:rsidRPr="00316A9D">
        <w:t>Il CESE:</w:t>
      </w:r>
    </w:p>
    <w:p w:rsidRPr="00316A9D" w:rsidR="001A60BB" w:rsidP="00EC0628" w:rsidRDefault="001A60BB" w14:paraId="3154BEA8" w14:textId="77777777">
      <w:pPr>
        <w:overflowPunct w:val="0"/>
        <w:autoSpaceDE w:val="0"/>
        <w:autoSpaceDN w:val="0"/>
        <w:adjustRightInd w:val="0"/>
        <w:textAlignment w:val="baseline"/>
      </w:pPr>
    </w:p>
    <w:p w:rsidRPr="00316A9D" w:rsidR="00EC0628" w:rsidP="00AA5F9C" w:rsidRDefault="00EC0628" w14:paraId="6EC0FC80"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316A9D">
        <w:t>plaude ai continui sforzi profusi dalla Commissione per sviluppare un quadro comune per l'imposta sulle società a sostegno del consolidamento del mercato interno;</w:t>
      </w:r>
    </w:p>
    <w:p w:rsidRPr="00316A9D" w:rsidR="00EC0628" w:rsidP="00AA5F9C" w:rsidRDefault="00EC0628" w14:paraId="7CA3A725"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316A9D">
        <w:t>appoggia la decisione della Commissione di proporre il quadro BEFIT attraverso una direttiva dell'UE, in quanto l'attuale variegato ventaglio delle normative nazionali ha come risultato frammentazione e discrepanze, e ostacola le attività transfrontaliere sul mercato interno a causa dei costi elevati che le imprese sostengono per conformarsi a una pluralità di quadri giuridici;</w:t>
      </w:r>
    </w:p>
    <w:p w:rsidRPr="00316A9D" w:rsidR="00EC0628" w:rsidP="00AA5F9C" w:rsidRDefault="00EC0628" w14:paraId="2D501EF8"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316A9D">
        <w:t>osserva che – a norma dell'articolo 48, paragrafo 2, della proposta BEFIT – gli Stati membri avranno il diritto di applicare aumenti della base imponibile, deduzioni o incentivi fiscali alle loro parti assegnate. Pur riconoscendo il pregio di lasciare agli Stati membri un margine di manovra, ritiene tuttavia che tale flessibilità possa essere in contrasto con l'obiettivo della Commissione di ridurre i costi di conformità che gravano sulle imprese;</w:t>
      </w:r>
    </w:p>
    <w:p w:rsidRPr="00316A9D" w:rsidR="00EC0628" w:rsidP="00AA5F9C" w:rsidRDefault="00EC0628" w14:paraId="75C0D28D"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316A9D">
        <w:t>condivide il giudizio della Commissione secondo cui l'accordo sul secondo pilastro potrebbe contribuire alla realizzazione di un quadro giuridico comune dell'UE in materia di tassazione delle imprese. Ritiene che fini di una vera semplificazione e di un'autentica riduzione dei costi, il quadro BEFIT andrebbe allineato alle norme del secondo pilastro dell'OCSE;</w:t>
      </w:r>
    </w:p>
    <w:p w:rsidRPr="00316A9D" w:rsidR="00EC0628" w:rsidP="00AA5F9C" w:rsidRDefault="00EC0628" w14:paraId="015A6FDA"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316A9D">
        <w:t>raccomanda che qualsiasi trattamento dei dati relativo al quadro BEFIT sia effettuato conformemente al principio di "minimizzazione dei dati" di cui al regolamento generale sulla protezione dei dati, limitando quindi la raccolta di informazioni personali a quanto direttamente pertinente e necessario per conseguire le finalità specifiche della proposta BEFIT e conservando i dati solo per il periodo minimo necessario per conseguire tali finalità;</w:t>
      </w:r>
    </w:p>
    <w:p w:rsidRPr="00316A9D" w:rsidR="00EC0628" w:rsidP="00AA5F9C" w:rsidRDefault="00EC0628" w14:paraId="05819ECB"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316A9D">
        <w:t>sottolinea l'importanza di effettuare un'attenta valutazione dei costi di conformità e degli oneri amministrativi a carico delle imprese interessate dalla proposta BEFIT, affinché esse comprendano i vantaggi reali del nuovo quadro fiscale per le imprese in tutta Europa.</w:t>
      </w:r>
    </w:p>
    <w:p w:rsidRPr="00316A9D" w:rsidR="00EC0628" w:rsidP="00EC0628" w:rsidRDefault="00EC0628" w14:paraId="58B585BF" w14:textId="77777777">
      <w:pPr>
        <w:ind w:left="850"/>
        <w:contextualSpacing/>
        <w:rPr>
          <w:rFonts w:ascii="Calibri" w:hAnsi="Calibri"/>
          <w:sz w:val="16"/>
          <w:szCs w:val="16"/>
          <w:lang w:eastAsia="zh-CN"/>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16A9D" w:rsidR="00EC0628" w:rsidTr="009839A2" w14:paraId="0B338CB2" w14:textId="77777777">
        <w:tc>
          <w:tcPr>
            <w:tcW w:w="1418" w:type="dxa"/>
          </w:tcPr>
          <w:p w:rsidRPr="00316A9D" w:rsidR="00EC0628" w:rsidP="00EC0628" w:rsidRDefault="00EC0628" w14:paraId="46D8D7F8" w14:textId="77777777">
            <w:pPr>
              <w:overflowPunct w:val="0"/>
              <w:autoSpaceDE w:val="0"/>
              <w:autoSpaceDN w:val="0"/>
              <w:adjustRightInd w:val="0"/>
              <w:spacing w:line="240" w:lineRule="auto"/>
              <w:textAlignment w:val="baseline"/>
              <w:rPr>
                <w:i/>
              </w:rPr>
            </w:pPr>
            <w:r w:rsidRPr="00316A9D">
              <w:rPr>
                <w:b/>
                <w:i/>
              </w:rPr>
              <w:t>Contatto</w:t>
            </w:r>
          </w:p>
        </w:tc>
        <w:tc>
          <w:tcPr>
            <w:tcW w:w="5670" w:type="dxa"/>
          </w:tcPr>
          <w:p w:rsidRPr="00316A9D" w:rsidR="00EC0628" w:rsidP="00EC0628" w:rsidRDefault="00EC0628" w14:paraId="07E22F0C" w14:textId="77777777">
            <w:pPr>
              <w:overflowPunct w:val="0"/>
              <w:autoSpaceDE w:val="0"/>
              <w:autoSpaceDN w:val="0"/>
              <w:adjustRightInd w:val="0"/>
              <w:spacing w:line="240" w:lineRule="auto"/>
              <w:textAlignment w:val="baseline"/>
              <w:rPr>
                <w:i/>
              </w:rPr>
            </w:pPr>
            <w:r w:rsidRPr="00316A9D">
              <w:rPr>
                <w:i/>
              </w:rPr>
              <w:t>Jüri SOOSAAR</w:t>
            </w:r>
          </w:p>
        </w:tc>
      </w:tr>
      <w:tr w:rsidRPr="00316A9D" w:rsidR="00EC0628" w:rsidTr="009839A2" w14:paraId="58D69927" w14:textId="77777777">
        <w:tc>
          <w:tcPr>
            <w:tcW w:w="1418" w:type="dxa"/>
          </w:tcPr>
          <w:p w:rsidRPr="00316A9D" w:rsidR="00EC0628" w:rsidP="00EC0628" w:rsidRDefault="00EC0628" w14:paraId="53A93805" w14:textId="77777777">
            <w:pPr>
              <w:overflowPunct w:val="0"/>
              <w:autoSpaceDE w:val="0"/>
              <w:autoSpaceDN w:val="0"/>
              <w:adjustRightInd w:val="0"/>
              <w:spacing w:line="240" w:lineRule="auto"/>
              <w:textAlignment w:val="baseline"/>
              <w:rPr>
                <w:i/>
              </w:rPr>
            </w:pPr>
            <w:r w:rsidRPr="00316A9D">
              <w:rPr>
                <w:i/>
              </w:rPr>
              <w:t>Tel.</w:t>
            </w:r>
          </w:p>
        </w:tc>
        <w:tc>
          <w:tcPr>
            <w:tcW w:w="5670" w:type="dxa"/>
          </w:tcPr>
          <w:p w:rsidRPr="00316A9D" w:rsidR="00EC0628" w:rsidP="00EC0628" w:rsidRDefault="00EC0628" w14:paraId="1DD6E9DE" w14:textId="77777777">
            <w:pPr>
              <w:overflowPunct w:val="0"/>
              <w:autoSpaceDE w:val="0"/>
              <w:autoSpaceDN w:val="0"/>
              <w:adjustRightInd w:val="0"/>
              <w:spacing w:line="240" w:lineRule="auto"/>
              <w:textAlignment w:val="baseline"/>
              <w:rPr>
                <w:i/>
              </w:rPr>
            </w:pPr>
            <w:r w:rsidRPr="00316A9D">
              <w:rPr>
                <w:i/>
              </w:rPr>
              <w:t>+32 25469628</w:t>
            </w:r>
          </w:p>
        </w:tc>
      </w:tr>
      <w:tr w:rsidRPr="00316A9D" w:rsidR="00EC0628" w:rsidTr="009839A2" w14:paraId="0FB2B27B" w14:textId="77777777">
        <w:tc>
          <w:tcPr>
            <w:tcW w:w="1418" w:type="dxa"/>
          </w:tcPr>
          <w:p w:rsidRPr="00316A9D" w:rsidR="00EC0628" w:rsidP="00EC0628" w:rsidRDefault="003D1AF1" w14:paraId="3BBE4D27" w14:textId="446D12CC">
            <w:pPr>
              <w:overflowPunct w:val="0"/>
              <w:autoSpaceDE w:val="0"/>
              <w:autoSpaceDN w:val="0"/>
              <w:adjustRightInd w:val="0"/>
              <w:spacing w:line="240" w:lineRule="auto"/>
              <w:textAlignment w:val="baseline"/>
              <w:rPr>
                <w:i/>
              </w:rPr>
            </w:pPr>
            <w:r w:rsidRPr="00316A9D">
              <w:rPr>
                <w:i/>
              </w:rPr>
              <w:t>E</w:t>
            </w:r>
            <w:r w:rsidRPr="00316A9D" w:rsidR="00EC0628">
              <w:rPr>
                <w:i/>
              </w:rPr>
              <w:t>-mail</w:t>
            </w:r>
          </w:p>
        </w:tc>
        <w:tc>
          <w:tcPr>
            <w:tcW w:w="5670" w:type="dxa"/>
          </w:tcPr>
          <w:p w:rsidRPr="00316A9D" w:rsidR="00EC0628" w:rsidP="00EC0628" w:rsidRDefault="003A440F" w14:paraId="0EA29ECC" w14:textId="77777777">
            <w:pPr>
              <w:overflowPunct w:val="0"/>
              <w:autoSpaceDE w:val="0"/>
              <w:autoSpaceDN w:val="0"/>
              <w:adjustRightInd w:val="0"/>
              <w:spacing w:line="240" w:lineRule="auto"/>
              <w:textAlignment w:val="baseline"/>
              <w:rPr>
                <w:i/>
              </w:rPr>
            </w:pPr>
            <w:hyperlink w:history="1" r:id="rId22">
              <w:r w:rsidRPr="00316A9D" w:rsidR="00F76B5D">
                <w:rPr>
                  <w:i/>
                  <w:color w:val="0000FF"/>
                  <w:u w:val="single"/>
                </w:rPr>
                <w:t>Juri.Soosaar@eesc.europa.eu</w:t>
              </w:r>
            </w:hyperlink>
          </w:p>
        </w:tc>
      </w:tr>
    </w:tbl>
    <w:p w:rsidRPr="00316A9D" w:rsidR="00502E1F" w:rsidRDefault="00502E1F" w14:paraId="55CB372F" w14:textId="77777777">
      <w:pPr>
        <w:spacing w:after="160" w:line="259" w:lineRule="auto"/>
        <w:jc w:val="left"/>
        <w:rPr>
          <w:b/>
          <w:bCs/>
        </w:rPr>
      </w:pPr>
    </w:p>
    <w:p w:rsidRPr="00316A9D" w:rsidR="00B42FA1" w:rsidRDefault="00B42FA1" w14:paraId="38E4145C" w14:textId="7127D923">
      <w:pPr>
        <w:spacing w:after="160" w:line="259" w:lineRule="auto"/>
        <w:jc w:val="left"/>
        <w:rPr>
          <w:b/>
          <w:bCs/>
        </w:rPr>
      </w:pPr>
      <w:r w:rsidRPr="00316A9D">
        <w:br w:type="page"/>
      </w:r>
    </w:p>
    <w:p w:rsidRPr="00316A9D" w:rsidR="005C6F8B" w:rsidP="00386C01" w:rsidRDefault="003A440F" w14:paraId="0D3CDDC1" w14:textId="033AC16B">
      <w:pPr>
        <w:widowControl w:val="0"/>
        <w:numPr>
          <w:ilvl w:val="0"/>
          <w:numId w:val="25"/>
        </w:numPr>
        <w:overflowPunct w:val="0"/>
        <w:autoSpaceDE w:val="0"/>
        <w:autoSpaceDN w:val="0"/>
        <w:adjustRightInd w:val="0"/>
        <w:ind w:left="567" w:hanging="567"/>
        <w:textAlignment w:val="baseline"/>
        <w:rPr>
          <w:b/>
          <w:i/>
          <w:iCs/>
          <w:sz w:val="28"/>
          <w:szCs w:val="28"/>
        </w:rPr>
      </w:pPr>
      <w:hyperlink w:history="1" r:id="rId23">
        <w:r w:rsidRPr="00316A9D" w:rsidR="00F76B5D">
          <w:rPr>
            <w:b/>
            <w:i/>
            <w:color w:val="0000FF"/>
            <w:sz w:val="28"/>
            <w:u w:val="single"/>
          </w:rPr>
          <w:t>Facilitare le soluzioni transfrontaliere</w:t>
        </w:r>
      </w:hyperlink>
    </w:p>
    <w:p w:rsidRPr="00316A9D" w:rsidR="00386C01" w:rsidP="00401E8F" w:rsidRDefault="00386C01" w14:paraId="312BF134" w14:textId="77777777">
      <w:pPr>
        <w:widowControl w:val="0"/>
        <w:overflowPunct w:val="0"/>
        <w:autoSpaceDE w:val="0"/>
        <w:autoSpaceDN w:val="0"/>
        <w:adjustRightInd w:val="0"/>
        <w:ind w:left="567"/>
        <w:textAlignment w:val="baseline"/>
        <w:rPr>
          <w:b/>
          <w:i/>
          <w:iCs/>
          <w:sz w:val="28"/>
          <w:szCs w:val="28"/>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316A9D" w:rsidR="005C6F8B" w:rsidTr="009839A2" w14:paraId="31A2CBD5" w14:textId="77777777">
        <w:tc>
          <w:tcPr>
            <w:tcW w:w="1701" w:type="dxa"/>
          </w:tcPr>
          <w:p w:rsidRPr="00316A9D" w:rsidR="006917E2" w:rsidP="00AA5F9C" w:rsidRDefault="006917E2" w14:paraId="27CD388B" w14:textId="77777777">
            <w:pPr>
              <w:tabs>
                <w:tab w:val="center" w:pos="284"/>
              </w:tabs>
              <w:overflowPunct w:val="0"/>
              <w:autoSpaceDE w:val="0"/>
              <w:autoSpaceDN w:val="0"/>
              <w:adjustRightInd w:val="0"/>
              <w:ind w:left="266" w:hanging="376"/>
              <w:textAlignment w:val="baseline"/>
              <w:rPr>
                <w:b/>
              </w:rPr>
            </w:pPr>
          </w:p>
          <w:p w:rsidRPr="00316A9D" w:rsidR="005C6F8B" w:rsidP="00AA5F9C" w:rsidRDefault="003D1AF1" w14:paraId="7313E4FD" w14:textId="7FABFB62">
            <w:pPr>
              <w:tabs>
                <w:tab w:val="center" w:pos="284"/>
              </w:tabs>
              <w:overflowPunct w:val="0"/>
              <w:autoSpaceDE w:val="0"/>
              <w:autoSpaceDN w:val="0"/>
              <w:adjustRightInd w:val="0"/>
              <w:ind w:left="266" w:hanging="376"/>
              <w:textAlignment w:val="baseline"/>
              <w:rPr>
                <w:b/>
              </w:rPr>
            </w:pPr>
            <w:r w:rsidRPr="00316A9D">
              <w:rPr>
                <w:b/>
              </w:rPr>
              <w:t>Relatore</w:t>
            </w:r>
          </w:p>
        </w:tc>
        <w:tc>
          <w:tcPr>
            <w:tcW w:w="6804" w:type="dxa"/>
            <w:gridSpan w:val="2"/>
          </w:tcPr>
          <w:p w:rsidRPr="00316A9D" w:rsidR="006917E2" w:rsidP="00AA5F9C" w:rsidRDefault="006917E2" w14:paraId="00890415" w14:textId="77777777">
            <w:pPr>
              <w:tabs>
                <w:tab w:val="center" w:pos="284"/>
              </w:tabs>
              <w:overflowPunct w:val="0"/>
              <w:autoSpaceDE w:val="0"/>
              <w:autoSpaceDN w:val="0"/>
              <w:adjustRightInd w:val="0"/>
              <w:ind w:left="266" w:hanging="376"/>
              <w:textAlignment w:val="baseline"/>
              <w:rPr>
                <w:bCs/>
              </w:rPr>
            </w:pPr>
          </w:p>
          <w:p w:rsidRPr="00316A9D" w:rsidR="005C6F8B" w:rsidP="00AA5F9C" w:rsidRDefault="005C6F8B" w14:paraId="5D44C0BC" w14:textId="06FF05AA">
            <w:pPr>
              <w:tabs>
                <w:tab w:val="center" w:pos="284"/>
              </w:tabs>
              <w:overflowPunct w:val="0"/>
              <w:autoSpaceDE w:val="0"/>
              <w:autoSpaceDN w:val="0"/>
              <w:adjustRightInd w:val="0"/>
              <w:ind w:left="266" w:hanging="376"/>
              <w:textAlignment w:val="baseline"/>
              <w:rPr>
                <w:bCs/>
              </w:rPr>
            </w:pPr>
            <w:r w:rsidRPr="00316A9D">
              <w:t>Athanasios IOANNIDIS (Organizzazioni della società civile - EL)</w:t>
            </w:r>
          </w:p>
        </w:tc>
      </w:tr>
      <w:tr w:rsidRPr="00316A9D" w:rsidR="005C6F8B" w:rsidTr="009839A2" w14:paraId="3AEE650C" w14:textId="77777777">
        <w:trPr>
          <w:gridAfter w:val="1"/>
          <w:wAfter w:w="1417" w:type="dxa"/>
        </w:trPr>
        <w:tc>
          <w:tcPr>
            <w:tcW w:w="7088" w:type="dxa"/>
            <w:gridSpan w:val="2"/>
          </w:tcPr>
          <w:p w:rsidRPr="00316A9D" w:rsidR="005C6F8B" w:rsidP="00AA5F9C" w:rsidRDefault="005C6F8B" w14:paraId="4D72748F" w14:textId="77777777">
            <w:pPr>
              <w:tabs>
                <w:tab w:val="center" w:pos="284"/>
              </w:tabs>
              <w:overflowPunct w:val="0"/>
              <w:autoSpaceDE w:val="0"/>
              <w:autoSpaceDN w:val="0"/>
              <w:adjustRightInd w:val="0"/>
              <w:spacing w:line="160" w:lineRule="exact"/>
              <w:ind w:left="266" w:hanging="376"/>
              <w:textAlignment w:val="baseline"/>
            </w:pPr>
          </w:p>
        </w:tc>
      </w:tr>
      <w:tr w:rsidRPr="00316A9D" w:rsidR="005C6F8B" w:rsidTr="009839A2" w14:paraId="67B4F44B" w14:textId="77777777">
        <w:trPr>
          <w:gridAfter w:val="1"/>
          <w:wAfter w:w="1417" w:type="dxa"/>
        </w:trPr>
        <w:tc>
          <w:tcPr>
            <w:tcW w:w="1701" w:type="dxa"/>
          </w:tcPr>
          <w:p w:rsidRPr="00316A9D" w:rsidR="005C6F8B" w:rsidP="00AA5F9C" w:rsidRDefault="005C6F8B" w14:paraId="66A741B1" w14:textId="568E9596">
            <w:pPr>
              <w:tabs>
                <w:tab w:val="center" w:pos="284"/>
              </w:tabs>
              <w:overflowPunct w:val="0"/>
              <w:autoSpaceDE w:val="0"/>
              <w:autoSpaceDN w:val="0"/>
              <w:adjustRightInd w:val="0"/>
              <w:ind w:left="266" w:hanging="376"/>
              <w:textAlignment w:val="baseline"/>
              <w:rPr>
                <w:b/>
              </w:rPr>
            </w:pPr>
            <w:r w:rsidRPr="00316A9D">
              <w:rPr>
                <w:b/>
              </w:rPr>
              <w:t>Riferiment</w:t>
            </w:r>
            <w:r w:rsidRPr="00316A9D" w:rsidR="003D1AF1">
              <w:rPr>
                <w:b/>
              </w:rPr>
              <w:t>i</w:t>
            </w:r>
          </w:p>
        </w:tc>
        <w:tc>
          <w:tcPr>
            <w:tcW w:w="5387" w:type="dxa"/>
          </w:tcPr>
          <w:p w:rsidRPr="00316A9D" w:rsidR="002D5381" w:rsidP="00AA5F9C" w:rsidRDefault="002D5381" w14:paraId="7A6FE5F5" w14:textId="40FBE726">
            <w:pPr>
              <w:tabs>
                <w:tab w:val="center" w:pos="284"/>
              </w:tabs>
              <w:overflowPunct w:val="0"/>
              <w:autoSpaceDE w:val="0"/>
              <w:autoSpaceDN w:val="0"/>
              <w:adjustRightInd w:val="0"/>
              <w:ind w:left="266" w:hanging="376"/>
              <w:textAlignment w:val="baseline"/>
            </w:pPr>
            <w:r w:rsidRPr="00316A9D">
              <w:t>COM(2023) 790 final</w:t>
            </w:r>
          </w:p>
          <w:p w:rsidRPr="00316A9D" w:rsidR="005C6F8B" w:rsidP="00AA5F9C" w:rsidRDefault="005C6F8B" w14:paraId="39901651" w14:textId="557812A3">
            <w:pPr>
              <w:tabs>
                <w:tab w:val="center" w:pos="284"/>
              </w:tabs>
              <w:overflowPunct w:val="0"/>
              <w:autoSpaceDE w:val="0"/>
              <w:autoSpaceDN w:val="0"/>
              <w:adjustRightInd w:val="0"/>
              <w:ind w:left="266" w:hanging="376"/>
              <w:textAlignment w:val="baseline"/>
            </w:pPr>
            <w:r w:rsidRPr="00316A9D">
              <w:t>EESC-2024-00120-00-00-AC</w:t>
            </w:r>
          </w:p>
        </w:tc>
      </w:tr>
    </w:tbl>
    <w:p w:rsidRPr="00316A9D" w:rsidR="005C6F8B" w:rsidP="005C6F8B" w:rsidRDefault="005C6F8B" w14:paraId="1C96916F" w14:textId="77777777">
      <w:pPr>
        <w:keepNext/>
        <w:keepLines/>
        <w:tabs>
          <w:tab w:val="center" w:pos="284"/>
        </w:tabs>
        <w:overflowPunct w:val="0"/>
        <w:autoSpaceDE w:val="0"/>
        <w:autoSpaceDN w:val="0"/>
        <w:adjustRightInd w:val="0"/>
        <w:spacing w:before="120"/>
        <w:ind w:left="266" w:hanging="266"/>
        <w:textAlignment w:val="baseline"/>
        <w:rPr>
          <w:b/>
        </w:rPr>
      </w:pPr>
      <w:r w:rsidRPr="00316A9D">
        <w:rPr>
          <w:b/>
        </w:rPr>
        <w:t>Punti principali</w:t>
      </w:r>
    </w:p>
    <w:p w:rsidRPr="00316A9D" w:rsidR="005C6F8B" w:rsidP="005C6F8B" w:rsidRDefault="005C6F8B" w14:paraId="57562112" w14:textId="77777777">
      <w:pPr>
        <w:keepNext/>
        <w:keepLines/>
        <w:tabs>
          <w:tab w:val="center" w:pos="284"/>
        </w:tabs>
        <w:overflowPunct w:val="0"/>
        <w:autoSpaceDE w:val="0"/>
        <w:autoSpaceDN w:val="0"/>
        <w:adjustRightInd w:val="0"/>
        <w:spacing w:before="120"/>
        <w:ind w:left="266" w:hanging="266"/>
        <w:textAlignment w:val="baseline"/>
        <w:rPr>
          <w:b/>
        </w:rPr>
      </w:pPr>
    </w:p>
    <w:p w:rsidRPr="00316A9D" w:rsidR="005C6F8B" w:rsidP="005C6F8B" w:rsidRDefault="005C6F8B" w14:paraId="1E3F8FE6" w14:textId="648E36D4">
      <w:pPr>
        <w:overflowPunct w:val="0"/>
        <w:autoSpaceDE w:val="0"/>
        <w:autoSpaceDN w:val="0"/>
        <w:adjustRightInd w:val="0"/>
        <w:textAlignment w:val="baseline"/>
        <w:rPr>
          <w:bCs/>
          <w:iCs/>
        </w:rPr>
      </w:pPr>
      <w:r w:rsidRPr="00316A9D">
        <w:t>Il CESE:</w:t>
      </w:r>
    </w:p>
    <w:p w:rsidRPr="00316A9D" w:rsidR="005C6F8B" w:rsidP="00AA5F9C" w:rsidRDefault="005C6F8B" w14:paraId="078034AA" w14:textId="77777777">
      <w:pPr>
        <w:numPr>
          <w:ilvl w:val="0"/>
          <w:numId w:val="41"/>
        </w:numPr>
        <w:overflowPunct w:val="0"/>
        <w:autoSpaceDE w:val="0"/>
        <w:autoSpaceDN w:val="0"/>
        <w:adjustRightInd w:val="0"/>
        <w:spacing w:after="200" w:line="276" w:lineRule="auto"/>
        <w:contextualSpacing/>
        <w:textAlignment w:val="baseline"/>
        <w:rPr>
          <w:szCs w:val="20"/>
        </w:rPr>
      </w:pPr>
      <w:r w:rsidRPr="00316A9D">
        <w:t>appoggia la proposta modificata – presentata dalla Commissione europea (CE) – di regolamento relativo a un meccanismo per eliminare gli ostacoli giuridici e amministrativi in ambito transfrontaliero quale tentativo di rafforzare ulteriormente il processo di integrazione nel quadro del mercato interno dell'Unione europea;</w:t>
      </w:r>
    </w:p>
    <w:p w:rsidRPr="00316A9D" w:rsidR="005C6F8B" w:rsidP="00AA5F9C" w:rsidRDefault="005C6F8B" w14:paraId="5C710385" w14:textId="77777777">
      <w:pPr>
        <w:numPr>
          <w:ilvl w:val="0"/>
          <w:numId w:val="41"/>
        </w:numPr>
        <w:overflowPunct w:val="0"/>
        <w:autoSpaceDE w:val="0"/>
        <w:autoSpaceDN w:val="0"/>
        <w:adjustRightInd w:val="0"/>
        <w:spacing w:after="200" w:line="276" w:lineRule="auto"/>
        <w:contextualSpacing/>
        <w:textAlignment w:val="baseline"/>
        <w:rPr>
          <w:szCs w:val="20"/>
        </w:rPr>
      </w:pPr>
      <w:r w:rsidRPr="00316A9D">
        <w:t>plaude alla perseveranza della CE, che ha ripresentato una proposta – modificata – di regolamento per eliminare gli ostacoli giuridici e amministrativi in ambito transfrontaliero, introducendo la creazione obbligatoria di punti di coordinamento transfrontaliero da parte degli Stati membri ma lasciando a questi ultimi la scelta di applicare volontariamente lo strumento risolutivo che accompagna il meccanismo o qualsiasi altro strumento che essi considerino opportuno;</w:t>
      </w:r>
    </w:p>
    <w:p w:rsidRPr="00316A9D" w:rsidR="005C6F8B" w:rsidP="00AA5F9C" w:rsidRDefault="005C6F8B" w14:paraId="76A0F422" w14:textId="77777777">
      <w:pPr>
        <w:numPr>
          <w:ilvl w:val="0"/>
          <w:numId w:val="41"/>
        </w:numPr>
        <w:overflowPunct w:val="0"/>
        <w:autoSpaceDE w:val="0"/>
        <w:autoSpaceDN w:val="0"/>
        <w:adjustRightInd w:val="0"/>
        <w:spacing w:after="200" w:line="276" w:lineRule="auto"/>
        <w:contextualSpacing/>
        <w:textAlignment w:val="baseline"/>
        <w:rPr>
          <w:szCs w:val="20"/>
        </w:rPr>
      </w:pPr>
      <w:r w:rsidRPr="00316A9D">
        <w:t>ritiene che il precedente sforzo in tal senso abbia rappresentato un'esperienza molto istruttiva al fine di individuare e porre rimedio alle carenze della proposta originaria, ed è di tale esperienza che si avvale per elaborare il parere sulla proposta modificata di regolamento;</w:t>
      </w:r>
    </w:p>
    <w:p w:rsidRPr="00316A9D" w:rsidR="005C6F8B" w:rsidP="00AA5F9C" w:rsidRDefault="005C6F8B" w14:paraId="17C2AEFF" w14:textId="77777777">
      <w:pPr>
        <w:numPr>
          <w:ilvl w:val="0"/>
          <w:numId w:val="41"/>
        </w:numPr>
        <w:overflowPunct w:val="0"/>
        <w:autoSpaceDE w:val="0"/>
        <w:autoSpaceDN w:val="0"/>
        <w:adjustRightInd w:val="0"/>
        <w:spacing w:after="200" w:line="276" w:lineRule="auto"/>
        <w:contextualSpacing/>
        <w:textAlignment w:val="baseline"/>
        <w:rPr>
          <w:szCs w:val="20"/>
        </w:rPr>
      </w:pPr>
      <w:r w:rsidRPr="00316A9D">
        <w:t>ritiene che la procedura proposta sia, in linea di principio, complementare ai regimi di sostegno per le attività transfrontaliere già esistenti e operativi nell'Unione, e crei le condizioni per istituire un quadro globale inteso ad affrontare gli ostacoli giuridici e amministrativi transfrontalieri;</w:t>
      </w:r>
    </w:p>
    <w:p w:rsidRPr="00316A9D" w:rsidR="005C6F8B" w:rsidP="00AA5F9C" w:rsidRDefault="005C6F8B" w14:paraId="22C01CD1" w14:textId="77777777">
      <w:pPr>
        <w:numPr>
          <w:ilvl w:val="0"/>
          <w:numId w:val="41"/>
        </w:numPr>
        <w:overflowPunct w:val="0"/>
        <w:autoSpaceDE w:val="0"/>
        <w:autoSpaceDN w:val="0"/>
        <w:adjustRightInd w:val="0"/>
        <w:spacing w:after="200" w:line="276" w:lineRule="auto"/>
        <w:contextualSpacing/>
        <w:textAlignment w:val="baseline"/>
        <w:rPr>
          <w:szCs w:val="20"/>
        </w:rPr>
      </w:pPr>
      <w:r w:rsidRPr="00316A9D">
        <w:t>accoglie con favore l'intenzione di semplificare le procedure nell'ambito del meccanismo proposto rendendo obbligatoria l'istituzione, in ciascuno Stato membro, di punti di coordinamento transfrontaliero sotto forma di "sportelli unici";</w:t>
      </w:r>
    </w:p>
    <w:p w:rsidRPr="00316A9D" w:rsidR="005C6F8B" w:rsidP="00AA5F9C" w:rsidRDefault="005C6F8B" w14:paraId="3F1E4FE6" w14:textId="77777777">
      <w:pPr>
        <w:numPr>
          <w:ilvl w:val="0"/>
          <w:numId w:val="41"/>
        </w:numPr>
        <w:overflowPunct w:val="0"/>
        <w:autoSpaceDE w:val="0"/>
        <w:autoSpaceDN w:val="0"/>
        <w:adjustRightInd w:val="0"/>
        <w:spacing w:after="200" w:line="276" w:lineRule="auto"/>
        <w:contextualSpacing/>
        <w:textAlignment w:val="baseline"/>
        <w:rPr>
          <w:szCs w:val="20"/>
        </w:rPr>
      </w:pPr>
      <w:r w:rsidRPr="00316A9D">
        <w:t>ritiene che l'introduzione dello strumento di facilitazione transfrontaliera costituisca un processo importante, ma che il suo impiego facoltativo non dovrebbe ridurne il valore aggiunto quale elemento della procedura;</w:t>
      </w:r>
    </w:p>
    <w:p w:rsidRPr="00316A9D" w:rsidR="005C6F8B" w:rsidP="00AA5F9C" w:rsidRDefault="005C6F8B" w14:paraId="08EBF975" w14:textId="77777777">
      <w:pPr>
        <w:numPr>
          <w:ilvl w:val="0"/>
          <w:numId w:val="41"/>
        </w:numPr>
        <w:overflowPunct w:val="0"/>
        <w:autoSpaceDE w:val="0"/>
        <w:autoSpaceDN w:val="0"/>
        <w:adjustRightInd w:val="0"/>
        <w:spacing w:after="200" w:line="276" w:lineRule="auto"/>
        <w:contextualSpacing/>
        <w:textAlignment w:val="baseline"/>
        <w:rPr>
          <w:szCs w:val="20"/>
        </w:rPr>
      </w:pPr>
      <w:r w:rsidRPr="00316A9D">
        <w:t>ritiene che la creazione di un registro pubblico dei fascicoli transfrontalieri a livello dell'UE contribuirà alla preparazione di un inventario completo degli ostacoli giuridici e amministrativi pertinenti e al successivo scambio di opinioni ed esperienze tra le autorità competenti, al fine di creare delle prospettive per l'eliminazione di tali ostacoli, soprattutto nel caso in cui la CE considerasse la possibilità di elaborare una relazione annuale sugli ostacoli e sulle soluzioni proposte sulla base dei dati contenuti nel registro;</w:t>
      </w:r>
    </w:p>
    <w:p w:rsidRPr="00316A9D" w:rsidR="006917E2" w:rsidP="00EE6F60" w:rsidRDefault="005C6F8B" w14:paraId="7B9B9362" w14:textId="012FE687">
      <w:pPr>
        <w:numPr>
          <w:ilvl w:val="0"/>
          <w:numId w:val="41"/>
        </w:numPr>
        <w:overflowPunct w:val="0"/>
        <w:autoSpaceDE w:val="0"/>
        <w:autoSpaceDN w:val="0"/>
        <w:adjustRightInd w:val="0"/>
        <w:spacing w:after="200" w:line="276" w:lineRule="auto"/>
        <w:contextualSpacing/>
        <w:textAlignment w:val="baseline"/>
        <w:rPr>
          <w:szCs w:val="20"/>
        </w:rPr>
      </w:pPr>
      <w:r w:rsidRPr="00316A9D">
        <w:t>condivide la logica, che traspare dalla proposta modificata di regolamento, di una procedura "dal basso verso l'alto" per affrontare gli ostacoli transfrontalieri, in quanto si rafforza così, presso i cittadini, la percezione dell'importanza di completare il mercato interno dell'UE; rileva la necessità di coinvolgere le autorità delle regioni in cui si svolgono le attività transfrontaliere e di permettere loro di esprimere la volontà politica locale come mezzo per mobilitare le autorità nazionali affinché attivino la procedura proposta e ne sfruttino il potenziale; sottolinea che, per mettere in risalto il valore aggiunto della procedura proposta, occorre creare incentivi chiari intesi a far sì che gli Stati membri vi facciano ricorso, fornendo informazioni dettagliate sull'impatto degli ostacoli transfrontalieri e sui vantaggi in termini di sviluppo per le regioni interessate;</w:t>
      </w:r>
    </w:p>
    <w:p w:rsidRPr="00316A9D" w:rsidR="006917E2" w:rsidP="00EE6F60" w:rsidRDefault="006917E2" w14:paraId="277E533D" w14:textId="7C33375E">
      <w:pPr>
        <w:numPr>
          <w:ilvl w:val="0"/>
          <w:numId w:val="41"/>
        </w:numPr>
        <w:overflowPunct w:val="0"/>
        <w:autoSpaceDE w:val="0"/>
        <w:autoSpaceDN w:val="0"/>
        <w:adjustRightInd w:val="0"/>
        <w:spacing w:after="200" w:line="276" w:lineRule="auto"/>
        <w:contextualSpacing/>
        <w:textAlignment w:val="baseline"/>
        <w:rPr>
          <w:szCs w:val="20"/>
        </w:rPr>
      </w:pPr>
      <w:r w:rsidRPr="00316A9D">
        <w:lastRenderedPageBreak/>
        <w:t xml:space="preserve">ritiene infine che l'importante decisione di istituire e attivare la procedura proposta apparirà ancora di più come una scelta politica seria a livello dell'UE se sarà previsto un sostegno finanziario alle strutture nazionali (punti di coordinamento transfrontaliero). </w:t>
      </w:r>
    </w:p>
    <w:p w:rsidRPr="00316A9D" w:rsidR="006917E2" w:rsidP="006917E2" w:rsidRDefault="006917E2" w14:paraId="53DFFEEB" w14:textId="77777777">
      <w:pPr>
        <w:overflowPunct w:val="0"/>
        <w:autoSpaceDE w:val="0"/>
        <w:autoSpaceDN w:val="0"/>
        <w:adjustRightInd w:val="0"/>
        <w:spacing w:after="200" w:line="276" w:lineRule="auto"/>
        <w:contextualSpacing/>
        <w:textAlignment w:val="baseline"/>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16A9D" w:rsidR="006917E2" w:rsidTr="00787531" w14:paraId="631E7AF1" w14:textId="77777777">
        <w:tc>
          <w:tcPr>
            <w:tcW w:w="1418" w:type="dxa"/>
          </w:tcPr>
          <w:p w:rsidRPr="00316A9D" w:rsidR="006917E2" w:rsidP="00787531" w:rsidRDefault="006917E2" w14:paraId="344C16C4" w14:textId="77777777">
            <w:pPr>
              <w:spacing w:line="240" w:lineRule="auto"/>
              <w:rPr>
                <w:i/>
                <w:sz w:val="20"/>
                <w:szCs w:val="20"/>
              </w:rPr>
            </w:pPr>
            <w:r w:rsidRPr="00316A9D">
              <w:rPr>
                <w:b/>
                <w:i/>
                <w:sz w:val="20"/>
              </w:rPr>
              <w:t>Contatto</w:t>
            </w:r>
          </w:p>
        </w:tc>
        <w:tc>
          <w:tcPr>
            <w:tcW w:w="5670" w:type="dxa"/>
          </w:tcPr>
          <w:p w:rsidRPr="00316A9D" w:rsidR="006917E2" w:rsidP="00787531" w:rsidRDefault="006917E2" w14:paraId="6612323F" w14:textId="77777777">
            <w:pPr>
              <w:spacing w:line="240" w:lineRule="auto"/>
              <w:rPr>
                <w:bCs/>
                <w:i/>
                <w:sz w:val="20"/>
                <w:szCs w:val="20"/>
              </w:rPr>
            </w:pPr>
            <w:r w:rsidRPr="00316A9D">
              <w:rPr>
                <w:bCs/>
                <w:i/>
                <w:sz w:val="20"/>
              </w:rPr>
              <w:t>Georgios MELEAS</w:t>
            </w:r>
          </w:p>
        </w:tc>
      </w:tr>
      <w:tr w:rsidRPr="00316A9D" w:rsidR="006917E2" w:rsidTr="00787531" w14:paraId="1002D411" w14:textId="77777777">
        <w:tc>
          <w:tcPr>
            <w:tcW w:w="1418" w:type="dxa"/>
          </w:tcPr>
          <w:p w:rsidRPr="00316A9D" w:rsidR="006917E2" w:rsidP="00787531" w:rsidRDefault="006917E2" w14:paraId="235F6A83" w14:textId="77777777">
            <w:pPr>
              <w:spacing w:line="240" w:lineRule="auto"/>
              <w:rPr>
                <w:i/>
                <w:sz w:val="20"/>
                <w:szCs w:val="20"/>
              </w:rPr>
            </w:pPr>
            <w:r w:rsidRPr="00316A9D">
              <w:rPr>
                <w:i/>
                <w:sz w:val="20"/>
              </w:rPr>
              <w:t>Tel.</w:t>
            </w:r>
          </w:p>
        </w:tc>
        <w:tc>
          <w:tcPr>
            <w:tcW w:w="5670" w:type="dxa"/>
          </w:tcPr>
          <w:p w:rsidRPr="00316A9D" w:rsidR="006917E2" w:rsidP="00787531" w:rsidRDefault="006917E2" w14:paraId="1E85D9D7" w14:textId="77777777">
            <w:pPr>
              <w:spacing w:line="240" w:lineRule="auto"/>
              <w:rPr>
                <w:i/>
                <w:sz w:val="20"/>
                <w:szCs w:val="20"/>
              </w:rPr>
            </w:pPr>
            <w:r w:rsidRPr="00316A9D">
              <w:rPr>
                <w:i/>
                <w:sz w:val="20"/>
              </w:rPr>
              <w:t>+32 25469795</w:t>
            </w:r>
          </w:p>
        </w:tc>
      </w:tr>
      <w:tr w:rsidRPr="00316A9D" w:rsidR="006917E2" w:rsidTr="00787531" w14:paraId="5CFFDB3A" w14:textId="77777777">
        <w:tc>
          <w:tcPr>
            <w:tcW w:w="1418" w:type="dxa"/>
          </w:tcPr>
          <w:p w:rsidRPr="00316A9D" w:rsidR="006917E2" w:rsidP="00787531" w:rsidRDefault="003D1AF1" w14:paraId="578E442D" w14:textId="44727A82">
            <w:pPr>
              <w:spacing w:line="240" w:lineRule="auto"/>
              <w:rPr>
                <w:i/>
                <w:sz w:val="20"/>
                <w:szCs w:val="20"/>
              </w:rPr>
            </w:pPr>
            <w:r w:rsidRPr="00316A9D">
              <w:rPr>
                <w:i/>
                <w:sz w:val="20"/>
              </w:rPr>
              <w:t>E</w:t>
            </w:r>
            <w:r w:rsidRPr="00316A9D" w:rsidR="006917E2">
              <w:rPr>
                <w:i/>
                <w:sz w:val="20"/>
              </w:rPr>
              <w:t>-mail</w:t>
            </w:r>
          </w:p>
        </w:tc>
        <w:tc>
          <w:tcPr>
            <w:tcW w:w="5670" w:type="dxa"/>
          </w:tcPr>
          <w:p w:rsidRPr="00316A9D" w:rsidR="006917E2" w:rsidP="00787531" w:rsidRDefault="003D1AF1" w14:paraId="07DA4E70" w14:textId="744F1D68">
            <w:pPr>
              <w:spacing w:line="240" w:lineRule="auto"/>
              <w:rPr>
                <w:i/>
                <w:sz w:val="20"/>
                <w:szCs w:val="20"/>
              </w:rPr>
            </w:pPr>
            <w:hyperlink w:history="1" r:id="rId24">
              <w:r w:rsidRPr="00316A9D">
                <w:rPr>
                  <w:rStyle w:val="Hyperlink"/>
                  <w:i/>
                  <w:sz w:val="20"/>
                </w:rPr>
                <w:t>Georgios.Meleas@eesc.europa.eu</w:t>
              </w:r>
            </w:hyperlink>
          </w:p>
        </w:tc>
      </w:tr>
    </w:tbl>
    <w:p w:rsidRPr="00316A9D" w:rsidR="005C6F8B" w:rsidP="00AA5F9C" w:rsidRDefault="005C6F8B" w14:paraId="72952D23" w14:textId="5E8A3748">
      <w:pPr>
        <w:overflowPunct w:val="0"/>
        <w:autoSpaceDE w:val="0"/>
        <w:autoSpaceDN w:val="0"/>
        <w:adjustRightInd w:val="0"/>
        <w:spacing w:after="200" w:line="276" w:lineRule="auto"/>
        <w:contextualSpacing/>
        <w:textAlignment w:val="baseline"/>
        <w:rPr>
          <w:szCs w:val="20"/>
        </w:rPr>
      </w:pPr>
    </w:p>
    <w:p w:rsidRPr="00316A9D" w:rsidR="00386C01" w:rsidRDefault="00386C01" w14:paraId="631FC2FA" w14:textId="4DF56F8B">
      <w:pPr>
        <w:spacing w:after="160" w:line="259" w:lineRule="auto"/>
        <w:jc w:val="left"/>
        <w:rPr>
          <w:b/>
          <w:bCs/>
          <w:i/>
          <w:iCs/>
          <w:sz w:val="28"/>
          <w:szCs w:val="28"/>
        </w:rPr>
      </w:pPr>
      <w:r w:rsidRPr="00316A9D">
        <w:br w:type="page"/>
      </w:r>
    </w:p>
    <w:p w:rsidRPr="00316A9D" w:rsidR="00A91E27" w:rsidP="00AA5F9C" w:rsidRDefault="003A440F" w14:paraId="4C2208D8" w14:textId="22334FF2">
      <w:pPr>
        <w:pStyle w:val="ListParagraph"/>
        <w:widowControl w:val="0"/>
        <w:numPr>
          <w:ilvl w:val="0"/>
          <w:numId w:val="44"/>
        </w:numPr>
        <w:overflowPunct w:val="0"/>
        <w:autoSpaceDE w:val="0"/>
        <w:autoSpaceDN w:val="0"/>
        <w:adjustRightInd w:val="0"/>
        <w:spacing w:line="240" w:lineRule="auto"/>
        <w:ind w:left="567" w:hanging="567"/>
        <w:textAlignment w:val="baseline"/>
        <w:rPr>
          <w:b/>
          <w:bCs/>
          <w:i/>
          <w:iCs/>
          <w:sz w:val="28"/>
          <w:szCs w:val="28"/>
        </w:rPr>
      </w:pPr>
      <w:hyperlink w:history="1" r:id="rId25">
        <w:r w:rsidRPr="00316A9D" w:rsidR="00F76B5D">
          <w:rPr>
            <w:b/>
            <w:i/>
            <w:color w:val="0000FF"/>
            <w:sz w:val="28"/>
            <w:u w:val="single"/>
          </w:rPr>
          <w:t>Le proposte di riforma e di investimento e la loro attuazione negli Stati membri (Ciclo del semestre europeo 2023-2024)</w:t>
        </w:r>
      </w:hyperlink>
    </w:p>
    <w:p w:rsidRPr="00316A9D" w:rsidR="00C649E2" w:rsidP="00A91E27" w:rsidRDefault="00C649E2" w14:paraId="043D644A" w14:textId="77777777">
      <w:pPr>
        <w:widowControl w:val="0"/>
        <w:overflowPunct w:val="0"/>
        <w:autoSpaceDE w:val="0"/>
        <w:autoSpaceDN w:val="0"/>
        <w:adjustRightInd w:val="0"/>
        <w:ind w:left="266"/>
        <w:textAlignment w:val="baseline"/>
        <w:rPr>
          <w:b/>
        </w:rPr>
      </w:pPr>
    </w:p>
    <w:tbl>
      <w:tblPr>
        <w:tblStyle w:val="TableGrid19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316A9D" w:rsidR="00A91E27" w:rsidTr="009839A2" w14:paraId="2A3F7A6D" w14:textId="77777777">
        <w:tc>
          <w:tcPr>
            <w:tcW w:w="1701" w:type="dxa"/>
          </w:tcPr>
          <w:p w:rsidRPr="00316A9D" w:rsidR="00A91E27" w:rsidP="00A91E27" w:rsidRDefault="00A91E27" w14:paraId="0F622948" w14:textId="290576F2">
            <w:pPr>
              <w:overflowPunct w:val="0"/>
              <w:autoSpaceDE w:val="0"/>
              <w:autoSpaceDN w:val="0"/>
              <w:adjustRightInd w:val="0"/>
              <w:ind w:left="176" w:hanging="284"/>
              <w:textAlignment w:val="baseline"/>
              <w:rPr>
                <w:b/>
              </w:rPr>
            </w:pPr>
            <w:r w:rsidRPr="00316A9D">
              <w:rPr>
                <w:b/>
              </w:rPr>
              <w:t>Relatori</w:t>
            </w:r>
          </w:p>
          <w:p w:rsidRPr="00316A9D" w:rsidR="00A91E27" w:rsidP="00A91E27" w:rsidRDefault="00A91E27" w14:paraId="43D658AB" w14:textId="51B0F4DC">
            <w:pPr>
              <w:overflowPunct w:val="0"/>
              <w:autoSpaceDE w:val="0"/>
              <w:autoSpaceDN w:val="0"/>
              <w:adjustRightInd w:val="0"/>
              <w:ind w:left="266" w:hanging="374"/>
              <w:textAlignment w:val="baseline"/>
              <w:rPr>
                <w:b/>
              </w:rPr>
            </w:pPr>
          </w:p>
          <w:p w:rsidRPr="00316A9D" w:rsidR="00A91E27" w:rsidP="00A91E27" w:rsidRDefault="00A91E27" w14:paraId="111463BA" w14:textId="0CAE78B0">
            <w:pPr>
              <w:tabs>
                <w:tab w:val="center" w:pos="284"/>
              </w:tabs>
              <w:overflowPunct w:val="0"/>
              <w:autoSpaceDE w:val="0"/>
              <w:autoSpaceDN w:val="0"/>
              <w:adjustRightInd w:val="0"/>
              <w:ind w:left="266" w:hanging="374"/>
              <w:textAlignment w:val="baseline"/>
              <w:rPr>
                <w:b/>
              </w:rPr>
            </w:pPr>
          </w:p>
        </w:tc>
        <w:tc>
          <w:tcPr>
            <w:tcW w:w="7088" w:type="dxa"/>
          </w:tcPr>
          <w:p w:rsidRPr="00316A9D" w:rsidR="00A91E27" w:rsidP="00A91E27" w:rsidRDefault="00A91E27" w14:paraId="5642949C" w14:textId="740F03BE">
            <w:pPr>
              <w:tabs>
                <w:tab w:val="center" w:pos="284"/>
              </w:tabs>
              <w:overflowPunct w:val="0"/>
              <w:autoSpaceDE w:val="0"/>
              <w:autoSpaceDN w:val="0"/>
              <w:adjustRightInd w:val="0"/>
              <w:textAlignment w:val="baseline"/>
            </w:pPr>
            <w:r w:rsidRPr="00316A9D">
              <w:t>Gonçalo LOBO XAVIER (Datori di lavoro - PT)</w:t>
            </w:r>
          </w:p>
          <w:p w:rsidRPr="00316A9D" w:rsidR="00A91E27" w:rsidP="00A91E27" w:rsidRDefault="00A91E27" w14:paraId="534C0DCC" w14:textId="196864B0">
            <w:pPr>
              <w:tabs>
                <w:tab w:val="center" w:pos="284"/>
              </w:tabs>
              <w:overflowPunct w:val="0"/>
              <w:autoSpaceDE w:val="0"/>
              <w:autoSpaceDN w:val="0"/>
              <w:adjustRightInd w:val="0"/>
              <w:textAlignment w:val="baseline"/>
            </w:pPr>
            <w:r w:rsidRPr="00316A9D">
              <w:t>Javier DOZ ORRIT (Lavoratori - ES)</w:t>
            </w:r>
          </w:p>
          <w:p w:rsidRPr="00316A9D" w:rsidR="00A91E27" w:rsidP="00A91E27" w:rsidRDefault="00A91E27" w14:paraId="27BA1EE2" w14:textId="671611BA">
            <w:pPr>
              <w:tabs>
                <w:tab w:val="center" w:pos="284"/>
              </w:tabs>
              <w:overflowPunct w:val="0"/>
              <w:autoSpaceDE w:val="0"/>
              <w:autoSpaceDN w:val="0"/>
              <w:adjustRightInd w:val="0"/>
              <w:textAlignment w:val="baseline"/>
            </w:pPr>
            <w:r w:rsidRPr="00316A9D">
              <w:t>Luca JAHIER (Organizzazioni della società civile - IT)</w:t>
            </w:r>
          </w:p>
        </w:tc>
      </w:tr>
      <w:tr w:rsidRPr="00316A9D" w:rsidR="00A91E27" w:rsidTr="009839A2" w14:paraId="56D16BEC" w14:textId="77777777">
        <w:tc>
          <w:tcPr>
            <w:tcW w:w="8789" w:type="dxa"/>
            <w:gridSpan w:val="2"/>
          </w:tcPr>
          <w:p w:rsidRPr="00316A9D" w:rsidR="00A91E27" w:rsidP="00A91E27" w:rsidRDefault="00A91E27" w14:paraId="60487585" w14:textId="77777777">
            <w:pPr>
              <w:tabs>
                <w:tab w:val="center" w:pos="284"/>
              </w:tabs>
              <w:overflowPunct w:val="0"/>
              <w:autoSpaceDE w:val="0"/>
              <w:autoSpaceDN w:val="0"/>
              <w:adjustRightInd w:val="0"/>
              <w:spacing w:line="160" w:lineRule="exact"/>
              <w:ind w:left="266" w:hanging="266"/>
              <w:textAlignment w:val="baseline"/>
            </w:pPr>
          </w:p>
        </w:tc>
      </w:tr>
      <w:tr w:rsidRPr="00316A9D" w:rsidR="00A91E27" w:rsidTr="009839A2" w14:paraId="2FB44777" w14:textId="77777777">
        <w:tc>
          <w:tcPr>
            <w:tcW w:w="1701" w:type="dxa"/>
          </w:tcPr>
          <w:p w:rsidRPr="00316A9D" w:rsidR="00A91E27" w:rsidP="00A91E27" w:rsidRDefault="00A91E27" w14:paraId="3B261932" w14:textId="77777777">
            <w:pPr>
              <w:tabs>
                <w:tab w:val="center" w:pos="284"/>
              </w:tabs>
              <w:overflowPunct w:val="0"/>
              <w:autoSpaceDE w:val="0"/>
              <w:autoSpaceDN w:val="0"/>
              <w:adjustRightInd w:val="0"/>
              <w:ind w:left="266" w:hanging="374"/>
              <w:textAlignment w:val="baseline"/>
              <w:rPr>
                <w:b/>
              </w:rPr>
            </w:pPr>
            <w:r w:rsidRPr="00316A9D">
              <w:rPr>
                <w:b/>
              </w:rPr>
              <w:t>Riferimento</w:t>
            </w:r>
          </w:p>
        </w:tc>
        <w:tc>
          <w:tcPr>
            <w:tcW w:w="7088" w:type="dxa"/>
          </w:tcPr>
          <w:p w:rsidRPr="00316A9D" w:rsidR="003A2E3A" w:rsidP="00A91E27" w:rsidRDefault="00A91E27" w14:paraId="72EFA5C1" w14:textId="77777777">
            <w:pPr>
              <w:tabs>
                <w:tab w:val="center" w:pos="284"/>
              </w:tabs>
              <w:overflowPunct w:val="0"/>
              <w:autoSpaceDE w:val="0"/>
              <w:autoSpaceDN w:val="0"/>
              <w:adjustRightInd w:val="0"/>
              <w:textAlignment w:val="baseline"/>
            </w:pPr>
            <w:r w:rsidRPr="00316A9D">
              <w:t>Parere d'iniziativa</w:t>
            </w:r>
          </w:p>
          <w:p w:rsidRPr="00316A9D" w:rsidR="00A91E27" w:rsidP="00A91E27" w:rsidRDefault="00A91E27" w14:paraId="3FA1728C" w14:textId="6D59319B">
            <w:pPr>
              <w:tabs>
                <w:tab w:val="center" w:pos="284"/>
              </w:tabs>
              <w:overflowPunct w:val="0"/>
              <w:autoSpaceDE w:val="0"/>
              <w:autoSpaceDN w:val="0"/>
              <w:adjustRightInd w:val="0"/>
              <w:textAlignment w:val="baseline"/>
            </w:pPr>
            <w:r w:rsidRPr="00316A9D">
              <w:t>EESC-2023-04860-00-AC</w:t>
            </w:r>
          </w:p>
        </w:tc>
      </w:tr>
    </w:tbl>
    <w:p w:rsidRPr="00316A9D" w:rsidR="00A91E27" w:rsidP="00A91E27" w:rsidRDefault="00A91E27" w14:paraId="32267B92" w14:textId="31720E2E">
      <w:pPr>
        <w:keepNext/>
        <w:keepLines/>
        <w:tabs>
          <w:tab w:val="center" w:pos="284"/>
        </w:tabs>
        <w:overflowPunct w:val="0"/>
        <w:autoSpaceDE w:val="0"/>
        <w:autoSpaceDN w:val="0"/>
        <w:adjustRightInd w:val="0"/>
        <w:ind w:left="266" w:hanging="266"/>
        <w:textAlignment w:val="baseline"/>
        <w:rPr>
          <w:b/>
        </w:rPr>
      </w:pPr>
    </w:p>
    <w:p w:rsidRPr="00316A9D" w:rsidR="00A91E27" w:rsidP="00A91E27" w:rsidRDefault="00A91E27" w14:paraId="095F53A1" w14:textId="77777777">
      <w:pPr>
        <w:keepNext/>
        <w:keepLines/>
        <w:tabs>
          <w:tab w:val="center" w:pos="284"/>
        </w:tabs>
        <w:overflowPunct w:val="0"/>
        <w:autoSpaceDE w:val="0"/>
        <w:autoSpaceDN w:val="0"/>
        <w:adjustRightInd w:val="0"/>
        <w:ind w:left="266" w:hanging="266"/>
        <w:textAlignment w:val="baseline"/>
        <w:rPr>
          <w:b/>
        </w:rPr>
      </w:pPr>
      <w:r w:rsidRPr="00316A9D">
        <w:rPr>
          <w:b/>
        </w:rPr>
        <w:t>Punti principali</w:t>
      </w:r>
    </w:p>
    <w:p w:rsidRPr="00316A9D" w:rsidR="00A91E27" w:rsidP="00A91E27" w:rsidRDefault="00A91E27" w14:paraId="2917F4D2" w14:textId="77777777">
      <w:pPr>
        <w:keepNext/>
        <w:keepLines/>
        <w:tabs>
          <w:tab w:val="center" w:pos="284"/>
        </w:tabs>
        <w:overflowPunct w:val="0"/>
        <w:autoSpaceDE w:val="0"/>
        <w:autoSpaceDN w:val="0"/>
        <w:adjustRightInd w:val="0"/>
        <w:ind w:left="266" w:hanging="266"/>
        <w:textAlignment w:val="baseline"/>
        <w:rPr>
          <w:b/>
          <w:sz w:val="16"/>
          <w:szCs w:val="16"/>
        </w:rPr>
      </w:pPr>
    </w:p>
    <w:p w:rsidRPr="00316A9D" w:rsidR="00A91E27" w:rsidP="00A91E27" w:rsidRDefault="00A91E27" w14:paraId="1717F203" w14:textId="17091443">
      <w:pPr>
        <w:overflowPunct w:val="0"/>
        <w:autoSpaceDE w:val="0"/>
        <w:autoSpaceDN w:val="0"/>
        <w:adjustRightInd w:val="0"/>
        <w:ind w:left="425" w:hanging="425"/>
        <w:textAlignment w:val="baseline"/>
        <w:rPr>
          <w:szCs w:val="20"/>
        </w:rPr>
      </w:pPr>
      <w:r w:rsidRPr="00316A9D">
        <w:t>Il CESE:</w:t>
      </w:r>
    </w:p>
    <w:p w:rsidRPr="00316A9D" w:rsidR="00147108" w:rsidP="00A91E27" w:rsidRDefault="00147108" w14:paraId="525B0B1B" w14:textId="77777777">
      <w:pPr>
        <w:overflowPunct w:val="0"/>
        <w:autoSpaceDE w:val="0"/>
        <w:autoSpaceDN w:val="0"/>
        <w:adjustRightInd w:val="0"/>
        <w:ind w:left="425" w:hanging="425"/>
        <w:textAlignment w:val="baseline"/>
        <w:rPr>
          <w:szCs w:val="20"/>
        </w:rPr>
      </w:pPr>
    </w:p>
    <w:p w:rsidRPr="00316A9D" w:rsidR="00A91E27" w:rsidP="00AA5F9C" w:rsidRDefault="00A91E27" w14:paraId="0CAC08C7" w14:textId="77777777">
      <w:pPr>
        <w:numPr>
          <w:ilvl w:val="0"/>
          <w:numId w:val="42"/>
        </w:numPr>
        <w:overflowPunct w:val="0"/>
        <w:autoSpaceDE w:val="0"/>
        <w:autoSpaceDN w:val="0"/>
        <w:adjustRightInd w:val="0"/>
        <w:spacing w:after="200" w:line="276" w:lineRule="auto"/>
        <w:contextualSpacing/>
        <w:textAlignment w:val="baseline"/>
        <w:rPr>
          <w:szCs w:val="20"/>
        </w:rPr>
      </w:pPr>
      <w:r w:rsidRPr="00316A9D">
        <w:t>afferma che l'integrazione delle raccomandazioni specifiche per paese (RSP) nei piani nazionali per la ripresa e la resilienza (PNRR) ha rafforzato la consapevolezza delle RSP e ha migliorato il loro tasso di attuazione, benché resti ancora molto da fare per completare l'esecuzione dei piani;</w:t>
      </w:r>
    </w:p>
    <w:p w:rsidRPr="00316A9D" w:rsidR="00A91E27" w:rsidP="00AA5F9C" w:rsidRDefault="00A91E27" w14:paraId="3ED969CC" w14:textId="77777777">
      <w:pPr>
        <w:numPr>
          <w:ilvl w:val="0"/>
          <w:numId w:val="42"/>
        </w:numPr>
        <w:overflowPunct w:val="0"/>
        <w:autoSpaceDE w:val="0"/>
        <w:autoSpaceDN w:val="0"/>
        <w:adjustRightInd w:val="0"/>
        <w:spacing w:after="200" w:line="276" w:lineRule="auto"/>
        <w:contextualSpacing/>
        <w:textAlignment w:val="baseline"/>
        <w:rPr>
          <w:szCs w:val="20"/>
        </w:rPr>
      </w:pPr>
      <w:r w:rsidRPr="00316A9D">
        <w:t>sottolinea che il duplice insegnamento tratto (quanto alla logica dei PNRR basata sulle prestazioni e al rafforzamento della titolarità nazionale) dovrebbe diventare un elemento chiave per l'attuazione delle nuove norme di governance economica e per il futuro semestre europeo;</w:t>
      </w:r>
    </w:p>
    <w:p w:rsidRPr="00316A9D" w:rsidR="00A91E27" w:rsidP="00AA5F9C" w:rsidRDefault="00A91E27" w14:paraId="35BC9718" w14:textId="07D857C2">
      <w:pPr>
        <w:numPr>
          <w:ilvl w:val="0"/>
          <w:numId w:val="42"/>
        </w:numPr>
        <w:overflowPunct w:val="0"/>
        <w:autoSpaceDE w:val="0"/>
        <w:autoSpaceDN w:val="0"/>
        <w:adjustRightInd w:val="0"/>
        <w:spacing w:after="200" w:line="276" w:lineRule="auto"/>
        <w:contextualSpacing/>
        <w:textAlignment w:val="baseline"/>
        <w:rPr>
          <w:szCs w:val="20"/>
        </w:rPr>
      </w:pPr>
      <w:r w:rsidRPr="00316A9D">
        <w:t>sottolinea che la nuova flessibilità introdotta nella revisione della governance economica e la prospettiva a medio-lungo termine dei piani strutturali nazionali di bilancio programmati potrebbero essere più efficaci nell'incoraggiare le riforme e gli investimenti necessari.</w:t>
      </w:r>
      <w:r w:rsidR="00812D3C">
        <w:t xml:space="preserve"> </w:t>
      </w:r>
      <w:r w:rsidRPr="00316A9D">
        <w:t>A tal fine dovrebbero essere soddisfatte tre condizioni: i) disporre di un margine di bilancio sufficiente a livello nazionale, che consenta un livello adeguato di investimenti, compresi gli investimenti sociali; ii) un livello massimo di spesa di tutti i fondi UE esistenti; e iii) un processo più solido, che realizzi il potenziale della titolarità nazionale pianificata;</w:t>
      </w:r>
    </w:p>
    <w:p w:rsidRPr="00316A9D" w:rsidR="00A91E27" w:rsidP="00AA5F9C" w:rsidRDefault="00A91E27" w14:paraId="1EFD4159" w14:textId="77777777">
      <w:pPr>
        <w:numPr>
          <w:ilvl w:val="0"/>
          <w:numId w:val="42"/>
        </w:numPr>
        <w:overflowPunct w:val="0"/>
        <w:autoSpaceDE w:val="0"/>
        <w:autoSpaceDN w:val="0"/>
        <w:adjustRightInd w:val="0"/>
        <w:spacing w:after="200" w:line="276" w:lineRule="auto"/>
        <w:contextualSpacing/>
        <w:textAlignment w:val="baseline"/>
        <w:rPr>
          <w:szCs w:val="20"/>
        </w:rPr>
      </w:pPr>
      <w:r w:rsidRPr="00316A9D">
        <w:t>ritiene che il rafforzamento della titolarità nazionale attraverso un maggiore coinvolgimento dei parlamenti nazionali, degli enti regionali e locali, delle parti sociali e della società civile necessiti di disposizioni più chiare nel processo formale unionale e nazionale di attuazione del nuovo quadro di governance economica;</w:t>
      </w:r>
    </w:p>
    <w:p w:rsidRPr="00316A9D" w:rsidR="00A91E27" w:rsidP="00AA5F9C" w:rsidRDefault="00A91E27" w14:paraId="74C0ADB3" w14:textId="77777777">
      <w:pPr>
        <w:numPr>
          <w:ilvl w:val="0"/>
          <w:numId w:val="42"/>
        </w:numPr>
        <w:overflowPunct w:val="0"/>
        <w:autoSpaceDE w:val="0"/>
        <w:autoSpaceDN w:val="0"/>
        <w:adjustRightInd w:val="0"/>
        <w:spacing w:after="200" w:line="276" w:lineRule="auto"/>
        <w:contextualSpacing/>
        <w:textAlignment w:val="baseline"/>
        <w:rPr>
          <w:szCs w:val="20"/>
        </w:rPr>
      </w:pPr>
      <w:r w:rsidRPr="00316A9D">
        <w:t>chiede un processo di consultazione formale, permanente e strutturato, nell'ambito del quale il governo nazionale collabori strettamente con le autorità a tutti i livelli e in partenariato con i sindacati, i datori di lavoro, le OSC e altri organismi responsabili durante l'intero ciclo di preparazione, attuazione, monitoraggio e valutazione del processo politico;</w:t>
      </w:r>
    </w:p>
    <w:p w:rsidRPr="00316A9D" w:rsidR="00A91E27" w:rsidP="00AA5F9C" w:rsidRDefault="00A91E27" w14:paraId="1ED498FA" w14:textId="77777777">
      <w:pPr>
        <w:numPr>
          <w:ilvl w:val="0"/>
          <w:numId w:val="42"/>
        </w:numPr>
        <w:overflowPunct w:val="0"/>
        <w:autoSpaceDE w:val="0"/>
        <w:autoSpaceDN w:val="0"/>
        <w:adjustRightInd w:val="0"/>
        <w:spacing w:after="200" w:line="276" w:lineRule="auto"/>
        <w:contextualSpacing/>
        <w:textAlignment w:val="baseline"/>
        <w:rPr>
          <w:szCs w:val="20"/>
        </w:rPr>
      </w:pPr>
      <w:r w:rsidRPr="00316A9D">
        <w:t>chiede criteri chiari riguardanti ciò che dovrebbe essere incluso negli investimenti verdi e sociali negli anni venire, al fine di orientare gli Stati membri nella formulazione dei loro piani strutturali di bilancio;</w:t>
      </w:r>
    </w:p>
    <w:p w:rsidRPr="00316A9D" w:rsidR="00A91E27" w:rsidP="00AA5F9C" w:rsidRDefault="00A91E27" w14:paraId="5CFD667E" w14:textId="37EF63E9">
      <w:pPr>
        <w:numPr>
          <w:ilvl w:val="0"/>
          <w:numId w:val="42"/>
        </w:numPr>
        <w:overflowPunct w:val="0"/>
        <w:autoSpaceDE w:val="0"/>
        <w:autoSpaceDN w:val="0"/>
        <w:adjustRightInd w:val="0"/>
        <w:spacing w:after="200" w:line="276" w:lineRule="auto"/>
        <w:contextualSpacing/>
        <w:textAlignment w:val="baseline"/>
        <w:rPr>
          <w:szCs w:val="20"/>
        </w:rPr>
      </w:pPr>
      <w:r w:rsidRPr="00316A9D">
        <w:t>rinnova la sua richiesta che, a tempo debito e al più tardi entro il 2026, la Commissione europea e i colegislatori definiscano i nuovi strumenti finanziari necessari al livello dell'UE per sostenere il finanziamento di beni comuni strategici, vale a dire i fondi sovrani dell'UE recentemente annunciati, le nuove risorse proprie, la capacità (finanziaria) di bilancio propria, il prossimo quadro finanziario pluriennale (QFP), ecc. In tale contesto sarà fondamentale anche un ruolo rafforzato della BEI nel mobilitare gli investimenti privati e nel migliorare i partenariati pubblico-privato.</w:t>
      </w:r>
    </w:p>
    <w:p w:rsidRPr="00316A9D" w:rsidR="00A91E27" w:rsidP="00A91E27" w:rsidRDefault="00A91E27" w14:paraId="75D8C359" w14:textId="77777777">
      <w:pPr>
        <w:overflowPunct w:val="0"/>
        <w:autoSpaceDE w:val="0"/>
        <w:autoSpaceDN w:val="0"/>
        <w:adjustRightInd w:val="0"/>
        <w:spacing w:after="200" w:line="276" w:lineRule="auto"/>
        <w:contextualSpacing/>
        <w:textAlignment w:val="baseline"/>
        <w:rPr>
          <w:szCs w:val="20"/>
        </w:rPr>
      </w:pPr>
    </w:p>
    <w:tbl>
      <w:tblPr>
        <w:tblStyle w:val="TableGrid197"/>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316A9D" w:rsidR="00A91E27" w:rsidTr="009839A2" w14:paraId="69411270" w14:textId="77777777">
        <w:tc>
          <w:tcPr>
            <w:tcW w:w="1173" w:type="dxa"/>
          </w:tcPr>
          <w:p w:rsidRPr="00316A9D" w:rsidR="00A91E27" w:rsidP="00A91E27" w:rsidRDefault="00A91E27" w14:paraId="0051C80B" w14:textId="77777777">
            <w:pPr>
              <w:overflowPunct w:val="0"/>
              <w:autoSpaceDE w:val="0"/>
              <w:autoSpaceDN w:val="0"/>
              <w:adjustRightInd w:val="0"/>
              <w:textAlignment w:val="baseline"/>
              <w:rPr>
                <w:i/>
              </w:rPr>
            </w:pPr>
            <w:r w:rsidRPr="00316A9D">
              <w:rPr>
                <w:b/>
                <w:i/>
              </w:rPr>
              <w:t>Contatto</w:t>
            </w:r>
          </w:p>
        </w:tc>
        <w:tc>
          <w:tcPr>
            <w:tcW w:w="4518" w:type="dxa"/>
          </w:tcPr>
          <w:p w:rsidRPr="00316A9D" w:rsidR="00A91E27" w:rsidP="00A91E27" w:rsidRDefault="00A91E27" w14:paraId="5C74006C" w14:textId="77777777">
            <w:pPr>
              <w:overflowPunct w:val="0"/>
              <w:autoSpaceDE w:val="0"/>
              <w:autoSpaceDN w:val="0"/>
              <w:adjustRightInd w:val="0"/>
              <w:textAlignment w:val="baseline"/>
              <w:rPr>
                <w:bCs/>
                <w:i/>
                <w:iCs/>
              </w:rPr>
            </w:pPr>
            <w:r w:rsidRPr="00316A9D">
              <w:rPr>
                <w:bCs/>
                <w:i/>
              </w:rPr>
              <w:t>Colombe GRÉGOIRE</w:t>
            </w:r>
          </w:p>
        </w:tc>
      </w:tr>
      <w:tr w:rsidRPr="00316A9D" w:rsidR="00A91E27" w:rsidTr="009839A2" w14:paraId="6344D553" w14:textId="77777777">
        <w:tc>
          <w:tcPr>
            <w:tcW w:w="1173" w:type="dxa"/>
          </w:tcPr>
          <w:p w:rsidRPr="00316A9D" w:rsidR="00A91E27" w:rsidP="00A91E27" w:rsidRDefault="00A91E27" w14:paraId="006D4DCD" w14:textId="77777777">
            <w:pPr>
              <w:overflowPunct w:val="0"/>
              <w:autoSpaceDE w:val="0"/>
              <w:autoSpaceDN w:val="0"/>
              <w:adjustRightInd w:val="0"/>
              <w:textAlignment w:val="baseline"/>
              <w:rPr>
                <w:i/>
              </w:rPr>
            </w:pPr>
            <w:r w:rsidRPr="00316A9D">
              <w:rPr>
                <w:i/>
              </w:rPr>
              <w:t>Tel.</w:t>
            </w:r>
          </w:p>
        </w:tc>
        <w:tc>
          <w:tcPr>
            <w:tcW w:w="4518" w:type="dxa"/>
          </w:tcPr>
          <w:p w:rsidRPr="00316A9D" w:rsidR="00A91E27" w:rsidP="00A91E27" w:rsidRDefault="00A91E27" w14:paraId="7C4E4F4A" w14:textId="77777777">
            <w:pPr>
              <w:overflowPunct w:val="0"/>
              <w:autoSpaceDE w:val="0"/>
              <w:autoSpaceDN w:val="0"/>
              <w:adjustRightInd w:val="0"/>
              <w:textAlignment w:val="baseline"/>
              <w:rPr>
                <w:i/>
                <w:iCs/>
              </w:rPr>
            </w:pPr>
            <w:r w:rsidRPr="00316A9D">
              <w:rPr>
                <w:i/>
              </w:rPr>
              <w:t>+32 25469286</w:t>
            </w:r>
          </w:p>
        </w:tc>
      </w:tr>
      <w:tr w:rsidRPr="00316A9D" w:rsidR="00A91E27" w:rsidTr="009839A2" w14:paraId="4FE1797F" w14:textId="77777777">
        <w:tc>
          <w:tcPr>
            <w:tcW w:w="1173" w:type="dxa"/>
          </w:tcPr>
          <w:p w:rsidRPr="00316A9D" w:rsidR="00A91E27" w:rsidP="00A91E27" w:rsidRDefault="003D1AF1" w14:paraId="62B8B7E1" w14:textId="3689569A">
            <w:pPr>
              <w:overflowPunct w:val="0"/>
              <w:autoSpaceDE w:val="0"/>
              <w:autoSpaceDN w:val="0"/>
              <w:adjustRightInd w:val="0"/>
              <w:textAlignment w:val="baseline"/>
              <w:rPr>
                <w:i/>
              </w:rPr>
            </w:pPr>
            <w:r w:rsidRPr="00316A9D">
              <w:rPr>
                <w:i/>
              </w:rPr>
              <w:t>E</w:t>
            </w:r>
            <w:r w:rsidRPr="00316A9D" w:rsidR="00A91E27">
              <w:rPr>
                <w:i/>
              </w:rPr>
              <w:t>-mail</w:t>
            </w:r>
          </w:p>
        </w:tc>
        <w:tc>
          <w:tcPr>
            <w:tcW w:w="4518" w:type="dxa"/>
          </w:tcPr>
          <w:p w:rsidRPr="00316A9D" w:rsidR="00A91E27" w:rsidP="00A91E27" w:rsidRDefault="003A440F" w14:paraId="63730DB3" w14:textId="77777777">
            <w:pPr>
              <w:overflowPunct w:val="0"/>
              <w:autoSpaceDE w:val="0"/>
              <w:autoSpaceDN w:val="0"/>
              <w:adjustRightInd w:val="0"/>
              <w:textAlignment w:val="baseline"/>
              <w:rPr>
                <w:i/>
                <w:iCs/>
              </w:rPr>
            </w:pPr>
            <w:hyperlink w:history="1" r:id="rId26">
              <w:r w:rsidRPr="00316A9D" w:rsidR="00F76B5D">
                <w:rPr>
                  <w:color w:val="0000FF"/>
                  <w:u w:val="single"/>
                </w:rPr>
                <w:t>Colombe.Gregoire@eesc.europa.eu</w:t>
              </w:r>
            </w:hyperlink>
            <w:r w:rsidRPr="00316A9D" w:rsidR="00F76B5D">
              <w:t xml:space="preserve"> </w:t>
            </w:r>
          </w:p>
        </w:tc>
      </w:tr>
    </w:tbl>
    <w:p w:rsidRPr="00316A9D" w:rsidR="00502E1F" w:rsidP="00401E8F" w:rsidRDefault="003A440F" w14:paraId="26F82B31" w14:textId="599CB6C8">
      <w:pPr>
        <w:pStyle w:val="Heading1"/>
        <w:pageBreakBefore/>
        <w:tabs>
          <w:tab w:val="clear" w:pos="440"/>
          <w:tab w:val="left" w:pos="567"/>
        </w:tabs>
        <w:ind w:left="567" w:hanging="567"/>
        <w:rPr>
          <w:color w:val="000000" w:themeColor="text1"/>
        </w:rPr>
      </w:pPr>
      <w:hyperlink w:history="1" w:anchor="_Toc159831769">
        <w:bookmarkStart w:name="_Toc166851133" w:id="1"/>
        <w:r w:rsidRPr="00316A9D" w:rsidR="00502E1F">
          <w:rPr>
            <w:rStyle w:val="Hyperlink"/>
            <w:b/>
            <w:color w:val="000000" w:themeColor="text1"/>
            <w:u w:val="none"/>
          </w:rPr>
          <w:t xml:space="preserve">OCCUPAZIONE, AFFARI SOCIALI </w:t>
        </w:r>
        <w:r w:rsidRPr="00316A9D" w:rsidR="003D1AF1">
          <w:rPr>
            <w:rStyle w:val="Hyperlink"/>
            <w:b/>
            <w:color w:val="000000" w:themeColor="text1"/>
            <w:u w:val="none"/>
          </w:rPr>
          <w:t>E</w:t>
        </w:r>
        <w:r w:rsidRPr="00316A9D" w:rsidR="00502E1F">
          <w:rPr>
            <w:rStyle w:val="Hyperlink"/>
            <w:b/>
            <w:color w:val="000000" w:themeColor="text1"/>
            <w:u w:val="none"/>
          </w:rPr>
          <w:t xml:space="preserve"> CITTADINANZA</w:t>
        </w:r>
        <w:bookmarkEnd w:id="1"/>
      </w:hyperlink>
    </w:p>
    <w:p w:rsidRPr="00316A9D" w:rsidR="00502E1F" w:rsidP="00502E1F" w:rsidRDefault="00502E1F" w14:paraId="7FCC1962" w14:textId="53F6C7BA"/>
    <w:p w:rsidRPr="00316A9D" w:rsidR="00174253" w:rsidP="00401E8F" w:rsidRDefault="003A440F" w14:paraId="36269B9B" w14:textId="0E7FF48D">
      <w:pPr>
        <w:widowControl w:val="0"/>
        <w:numPr>
          <w:ilvl w:val="0"/>
          <w:numId w:val="25"/>
        </w:numPr>
        <w:overflowPunct w:val="0"/>
        <w:autoSpaceDE w:val="0"/>
        <w:autoSpaceDN w:val="0"/>
        <w:adjustRightInd w:val="0"/>
        <w:ind w:left="567" w:hanging="567"/>
        <w:textAlignment w:val="baseline"/>
        <w:rPr>
          <w:sz w:val="20"/>
          <w:szCs w:val="20"/>
        </w:rPr>
      </w:pPr>
      <w:hyperlink w:history="1" r:id="rId27">
        <w:r w:rsidRPr="00316A9D" w:rsidR="008772F9">
          <w:rPr>
            <w:b/>
            <w:i/>
            <w:color w:val="0000FF"/>
            <w:sz w:val="28"/>
            <w:u w:val="single"/>
          </w:rPr>
          <w:t>Pacchetto per la difesa della democrazia</w:t>
        </w:r>
      </w:hyperlink>
    </w:p>
    <w:p w:rsidRPr="00316A9D" w:rsidR="00174253" w:rsidP="00174253" w:rsidRDefault="00174253" w14:paraId="022C6447" w14:textId="7F96B933">
      <w:pPr>
        <w:tabs>
          <w:tab w:val="center" w:pos="284"/>
        </w:tabs>
        <w:overflowPunct w:val="0"/>
        <w:autoSpaceDE w:val="0"/>
        <w:autoSpaceDN w:val="0"/>
        <w:adjustRightInd w:val="0"/>
        <w:ind w:left="266" w:hanging="266"/>
        <w:textAlignment w:val="baseline"/>
        <w:rPr>
          <w:b/>
        </w:rPr>
      </w:pPr>
    </w:p>
    <w:tbl>
      <w:tblPr>
        <w:tblStyle w:val="TableGrid198"/>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3"/>
        <w:gridCol w:w="6838"/>
      </w:tblGrid>
      <w:tr w:rsidRPr="00316A9D" w:rsidR="00174253" w:rsidTr="009839A2" w14:paraId="404BA576" w14:textId="77777777">
        <w:tc>
          <w:tcPr>
            <w:tcW w:w="1111" w:type="pct"/>
          </w:tcPr>
          <w:p w:rsidRPr="00316A9D" w:rsidR="00174253" w:rsidP="00174253" w:rsidRDefault="003D1AF1" w14:paraId="7C0F9889" w14:textId="2086849B">
            <w:pPr>
              <w:tabs>
                <w:tab w:val="center" w:pos="284"/>
              </w:tabs>
              <w:overflowPunct w:val="0"/>
              <w:autoSpaceDE w:val="0"/>
              <w:autoSpaceDN w:val="0"/>
              <w:adjustRightInd w:val="0"/>
              <w:ind w:left="266" w:hanging="266"/>
              <w:textAlignment w:val="baseline"/>
              <w:rPr>
                <w:b/>
              </w:rPr>
            </w:pPr>
            <w:r w:rsidRPr="00316A9D">
              <w:rPr>
                <w:b/>
              </w:rPr>
              <w:t>Relatore</w:t>
            </w:r>
            <w:r w:rsidRPr="00316A9D" w:rsidR="00174253">
              <w:rPr>
                <w:b/>
              </w:rPr>
              <w:t xml:space="preserve"> </w:t>
            </w:r>
          </w:p>
        </w:tc>
        <w:tc>
          <w:tcPr>
            <w:tcW w:w="3889" w:type="pct"/>
          </w:tcPr>
          <w:p w:rsidRPr="00316A9D" w:rsidR="00174253" w:rsidP="00174253" w:rsidRDefault="00174253" w14:paraId="7D5BA812" w14:textId="5DD56E6F">
            <w:pPr>
              <w:tabs>
                <w:tab w:val="center" w:pos="284"/>
              </w:tabs>
              <w:overflowPunct w:val="0"/>
              <w:autoSpaceDE w:val="0"/>
              <w:autoSpaceDN w:val="0"/>
              <w:adjustRightInd w:val="0"/>
              <w:ind w:left="266" w:hanging="266"/>
              <w:textAlignment w:val="baseline"/>
            </w:pPr>
            <w:r w:rsidRPr="00316A9D">
              <w:t>Christian MOOS (Organizzazioni della società civile - DE)</w:t>
            </w:r>
          </w:p>
        </w:tc>
      </w:tr>
      <w:tr w:rsidRPr="00316A9D" w:rsidR="00174253" w:rsidTr="009839A2" w14:paraId="59C3C19D" w14:textId="77777777">
        <w:tc>
          <w:tcPr>
            <w:tcW w:w="1111" w:type="pct"/>
          </w:tcPr>
          <w:p w:rsidRPr="00316A9D" w:rsidR="00174253" w:rsidP="00174253" w:rsidRDefault="003D1AF1" w14:paraId="31178180" w14:textId="0CD76207">
            <w:pPr>
              <w:tabs>
                <w:tab w:val="center" w:pos="284"/>
              </w:tabs>
              <w:overflowPunct w:val="0"/>
              <w:autoSpaceDE w:val="0"/>
              <w:autoSpaceDN w:val="0"/>
              <w:adjustRightInd w:val="0"/>
              <w:ind w:left="266" w:hanging="266"/>
              <w:textAlignment w:val="baseline"/>
              <w:rPr>
                <w:b/>
              </w:rPr>
            </w:pPr>
            <w:r w:rsidRPr="00316A9D">
              <w:rPr>
                <w:b/>
              </w:rPr>
              <w:t>Correlatore</w:t>
            </w:r>
          </w:p>
        </w:tc>
        <w:tc>
          <w:tcPr>
            <w:tcW w:w="3889" w:type="pct"/>
          </w:tcPr>
          <w:p w:rsidRPr="00316A9D" w:rsidR="00174253" w:rsidP="00174253" w:rsidRDefault="00174253" w14:paraId="6DCFD8F9" w14:textId="5FFA6E6A">
            <w:pPr>
              <w:tabs>
                <w:tab w:val="center" w:pos="284"/>
              </w:tabs>
              <w:overflowPunct w:val="0"/>
              <w:autoSpaceDE w:val="0"/>
              <w:autoSpaceDN w:val="0"/>
              <w:adjustRightInd w:val="0"/>
              <w:ind w:left="266" w:hanging="266"/>
              <w:textAlignment w:val="baseline"/>
            </w:pPr>
            <w:r w:rsidRPr="00316A9D">
              <w:t>José Antonio MORENO DÍAZ (Lavoratori - ES)</w:t>
            </w:r>
          </w:p>
        </w:tc>
      </w:tr>
      <w:tr w:rsidRPr="00316A9D" w:rsidR="00174253" w:rsidTr="009839A2" w14:paraId="60F0DCB6" w14:textId="77777777">
        <w:tc>
          <w:tcPr>
            <w:tcW w:w="5000" w:type="pct"/>
            <w:gridSpan w:val="2"/>
          </w:tcPr>
          <w:p w:rsidRPr="00316A9D" w:rsidR="00174253" w:rsidP="00174253" w:rsidRDefault="00174253" w14:paraId="45E7994C" w14:textId="77777777">
            <w:pPr>
              <w:tabs>
                <w:tab w:val="center" w:pos="284"/>
              </w:tabs>
              <w:overflowPunct w:val="0"/>
              <w:autoSpaceDE w:val="0"/>
              <w:autoSpaceDN w:val="0"/>
              <w:adjustRightInd w:val="0"/>
              <w:spacing w:line="160" w:lineRule="exact"/>
              <w:ind w:left="266" w:hanging="266"/>
              <w:textAlignment w:val="baseline"/>
            </w:pPr>
          </w:p>
        </w:tc>
      </w:tr>
      <w:tr w:rsidRPr="00316A9D" w:rsidR="00174253" w:rsidTr="009839A2" w14:paraId="7BEB1B9F" w14:textId="77777777">
        <w:tc>
          <w:tcPr>
            <w:tcW w:w="1111" w:type="pct"/>
          </w:tcPr>
          <w:p w:rsidRPr="00316A9D" w:rsidR="00174253" w:rsidP="00174253" w:rsidRDefault="00174253" w14:paraId="135025BC" w14:textId="77777777">
            <w:pPr>
              <w:tabs>
                <w:tab w:val="center" w:pos="284"/>
              </w:tabs>
              <w:overflowPunct w:val="0"/>
              <w:autoSpaceDE w:val="0"/>
              <w:autoSpaceDN w:val="0"/>
              <w:adjustRightInd w:val="0"/>
              <w:ind w:left="266" w:hanging="266"/>
              <w:textAlignment w:val="baseline"/>
              <w:rPr>
                <w:b/>
              </w:rPr>
            </w:pPr>
            <w:r w:rsidRPr="00316A9D">
              <w:rPr>
                <w:b/>
              </w:rPr>
              <w:t>Riferimenti</w:t>
            </w:r>
          </w:p>
        </w:tc>
        <w:tc>
          <w:tcPr>
            <w:tcW w:w="3889" w:type="pct"/>
          </w:tcPr>
          <w:p w:rsidRPr="00316A9D" w:rsidR="007A1E2D" w:rsidP="00174253" w:rsidRDefault="007A1E2D" w14:paraId="03206622" w14:textId="6E285877">
            <w:pPr>
              <w:tabs>
                <w:tab w:val="center" w:pos="284"/>
              </w:tabs>
              <w:overflowPunct w:val="0"/>
              <w:autoSpaceDE w:val="0"/>
              <w:autoSpaceDN w:val="0"/>
              <w:adjustRightInd w:val="0"/>
              <w:ind w:left="266" w:hanging="266"/>
              <w:textAlignment w:val="baseline"/>
            </w:pPr>
            <w:r w:rsidRPr="00316A9D">
              <w:t>COM(2023) 630 final</w:t>
            </w:r>
          </w:p>
          <w:p w:rsidRPr="00316A9D" w:rsidR="007A1E2D" w:rsidP="00174253" w:rsidRDefault="007A1E2D" w14:paraId="1CD6C4F8" w14:textId="1432A2DC">
            <w:pPr>
              <w:tabs>
                <w:tab w:val="center" w:pos="284"/>
              </w:tabs>
              <w:overflowPunct w:val="0"/>
              <w:autoSpaceDE w:val="0"/>
              <w:autoSpaceDN w:val="0"/>
              <w:adjustRightInd w:val="0"/>
              <w:ind w:left="266" w:hanging="266"/>
              <w:textAlignment w:val="baseline"/>
            </w:pPr>
            <w:r w:rsidRPr="00316A9D">
              <w:t>COM(2023) 636 final</w:t>
            </w:r>
          </w:p>
          <w:p w:rsidRPr="00316A9D" w:rsidR="007A1E2D" w:rsidP="00174253" w:rsidRDefault="007A1E2D" w14:paraId="759E9CEC" w14:textId="0BF412C7">
            <w:pPr>
              <w:tabs>
                <w:tab w:val="center" w:pos="284"/>
              </w:tabs>
              <w:overflowPunct w:val="0"/>
              <w:autoSpaceDE w:val="0"/>
              <w:autoSpaceDN w:val="0"/>
              <w:adjustRightInd w:val="0"/>
              <w:ind w:left="266" w:hanging="266"/>
              <w:textAlignment w:val="baseline"/>
            </w:pPr>
            <w:r w:rsidRPr="00316A9D">
              <w:t>COM(2023) 637 final</w:t>
            </w:r>
          </w:p>
          <w:p w:rsidRPr="00316A9D" w:rsidR="00174253" w:rsidP="00174253" w:rsidRDefault="00174253" w14:paraId="04C45B31" w14:textId="270843DE">
            <w:pPr>
              <w:tabs>
                <w:tab w:val="center" w:pos="284"/>
              </w:tabs>
              <w:overflowPunct w:val="0"/>
              <w:autoSpaceDE w:val="0"/>
              <w:autoSpaceDN w:val="0"/>
              <w:adjustRightInd w:val="0"/>
              <w:ind w:left="266" w:hanging="266"/>
              <w:textAlignment w:val="baseline"/>
            </w:pPr>
            <w:r w:rsidRPr="00316A9D">
              <w:t>EESC-2024-00092-00-00-AC</w:t>
            </w:r>
          </w:p>
        </w:tc>
      </w:tr>
    </w:tbl>
    <w:p w:rsidRPr="00316A9D" w:rsidR="00174253" w:rsidP="00174253" w:rsidRDefault="00174253" w14:paraId="058FA524" w14:textId="77777777">
      <w:pPr>
        <w:keepNext/>
        <w:keepLines/>
        <w:tabs>
          <w:tab w:val="center" w:pos="284"/>
        </w:tabs>
        <w:overflowPunct w:val="0"/>
        <w:autoSpaceDE w:val="0"/>
        <w:autoSpaceDN w:val="0"/>
        <w:adjustRightInd w:val="0"/>
        <w:ind w:left="266" w:hanging="266"/>
        <w:textAlignment w:val="baseline"/>
        <w:rPr>
          <w:b/>
        </w:rPr>
      </w:pPr>
    </w:p>
    <w:p w:rsidRPr="00316A9D" w:rsidR="00174253" w:rsidP="00174253" w:rsidRDefault="00174253" w14:paraId="72BF0BA6" w14:textId="77777777">
      <w:pPr>
        <w:keepNext/>
        <w:keepLines/>
        <w:tabs>
          <w:tab w:val="center" w:pos="284"/>
        </w:tabs>
        <w:overflowPunct w:val="0"/>
        <w:autoSpaceDE w:val="0"/>
        <w:autoSpaceDN w:val="0"/>
        <w:adjustRightInd w:val="0"/>
        <w:ind w:left="266" w:hanging="266"/>
        <w:textAlignment w:val="baseline"/>
        <w:rPr>
          <w:b/>
        </w:rPr>
      </w:pPr>
      <w:r w:rsidRPr="00316A9D">
        <w:rPr>
          <w:b/>
        </w:rPr>
        <w:t>Punti principali</w:t>
      </w:r>
    </w:p>
    <w:p w:rsidRPr="00316A9D" w:rsidR="00174253" w:rsidP="00174253" w:rsidRDefault="00174253" w14:paraId="262EDAA3" w14:textId="77777777">
      <w:pPr>
        <w:keepNext/>
        <w:keepLines/>
        <w:tabs>
          <w:tab w:val="center" w:pos="284"/>
        </w:tabs>
        <w:overflowPunct w:val="0"/>
        <w:autoSpaceDE w:val="0"/>
        <w:autoSpaceDN w:val="0"/>
        <w:adjustRightInd w:val="0"/>
        <w:ind w:left="266" w:hanging="266"/>
        <w:textAlignment w:val="baseline"/>
        <w:rPr>
          <w:b/>
          <w:sz w:val="16"/>
          <w:szCs w:val="16"/>
        </w:rPr>
      </w:pPr>
    </w:p>
    <w:p w:rsidRPr="00316A9D" w:rsidR="00174253" w:rsidP="00174253" w:rsidRDefault="00174253" w14:paraId="6E867874" w14:textId="77777777">
      <w:pPr>
        <w:overflowPunct w:val="0"/>
        <w:autoSpaceDE w:val="0"/>
        <w:autoSpaceDN w:val="0"/>
        <w:adjustRightInd w:val="0"/>
        <w:textAlignment w:val="baseline"/>
        <w:rPr>
          <w:bCs/>
          <w:iCs/>
        </w:rPr>
      </w:pPr>
      <w:r w:rsidRPr="00316A9D">
        <w:t>Il CESE:</w:t>
      </w:r>
    </w:p>
    <w:p w:rsidRPr="00316A9D" w:rsidR="00174253" w:rsidP="00AA5F9C" w:rsidRDefault="00174253" w14:paraId="37C7E0CB" w14:textId="6E907249">
      <w:pPr>
        <w:numPr>
          <w:ilvl w:val="0"/>
          <w:numId w:val="45"/>
        </w:numPr>
        <w:overflowPunct w:val="0"/>
        <w:autoSpaceDE w:val="0"/>
        <w:autoSpaceDN w:val="0"/>
        <w:adjustRightInd w:val="0"/>
        <w:spacing w:after="200"/>
        <w:ind w:left="284" w:hanging="284"/>
        <w:contextualSpacing/>
        <w:textAlignment w:val="baseline"/>
        <w:rPr>
          <w:rFonts w:ascii="Calibri" w:hAnsi="Calibri"/>
        </w:rPr>
      </w:pPr>
      <w:r w:rsidRPr="00316A9D">
        <w:t xml:space="preserve">si rammarica che il </w:t>
      </w:r>
      <w:r w:rsidRPr="00316A9D">
        <w:rPr>
          <w:b/>
        </w:rPr>
        <w:t>pacchetto per la difesa della democrazia</w:t>
      </w:r>
      <w:r w:rsidRPr="00316A9D">
        <w:t xml:space="preserve"> non sia stato presentato in tempo per garantirne la corretta attuazione prima delle elezioni europee del 2024 e non tenga conto dei suggerimenti formulati dallo stesso CESE </w:t>
      </w:r>
      <w:r w:rsidRPr="00316A9D" w:rsidR="003D1AF1">
        <w:t>in merito al</w:t>
      </w:r>
      <w:r w:rsidRPr="00316A9D">
        <w:t xml:space="preserve"> piano d'azione per la democrazia europea;</w:t>
      </w:r>
    </w:p>
    <w:p w:rsidRPr="00316A9D" w:rsidR="00174253" w:rsidP="00AA5F9C" w:rsidRDefault="00174253" w14:paraId="0A079FE5"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rsidRPr="00316A9D">
        <w:t xml:space="preserve">esprime il suo pieno appoggio agli obiettivi della proposta di </w:t>
      </w:r>
      <w:r w:rsidRPr="00316A9D">
        <w:rPr>
          <w:b/>
        </w:rPr>
        <w:t>direttiva rappresentanza d'interessi esercitata per conto di paesi terzi</w:t>
      </w:r>
      <w:r w:rsidRPr="00316A9D">
        <w:t>, ma è fortemente in disaccordo con i mezzi proposti;</w:t>
      </w:r>
    </w:p>
    <w:p w:rsidRPr="00316A9D" w:rsidR="00174253" w:rsidP="00AA5F9C" w:rsidRDefault="00174253" w14:paraId="618DC6FE"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rsidRPr="00316A9D">
        <w:t xml:space="preserve">chiede un approccio a tutto campo a livello dell'UE che </w:t>
      </w:r>
      <w:r w:rsidRPr="00316A9D">
        <w:rPr>
          <w:i/>
        </w:rPr>
        <w:t>non</w:t>
      </w:r>
      <w:r w:rsidRPr="00316A9D">
        <w:t>:</w:t>
      </w:r>
    </w:p>
    <w:p w:rsidRPr="00316A9D" w:rsidR="00174253" w:rsidP="00AA5F9C" w:rsidRDefault="00174253" w14:paraId="1717DDF6"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rsidRPr="00316A9D">
        <w:t>comporti costi o rischi aggiuntivi,</w:t>
      </w:r>
    </w:p>
    <w:p w:rsidRPr="00316A9D" w:rsidR="00174253" w:rsidP="00AA5F9C" w:rsidRDefault="00174253" w14:paraId="09AAD820"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rsidRPr="00316A9D">
        <w:t>stigmatizzi i prestatori di servizi di rappresentanza d'interessi e non riduca gli spazi civici nell'UE,</w:t>
      </w:r>
    </w:p>
    <w:p w:rsidRPr="00316A9D" w:rsidR="00174253" w:rsidP="00AA5F9C" w:rsidRDefault="00174253" w14:paraId="7A31E81D"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rsidRPr="00316A9D">
        <w:t>diminuisca il campo di applicazione dei registri per la trasparenza esistenti a livello nazionale,</w:t>
      </w:r>
    </w:p>
    <w:p w:rsidRPr="00316A9D" w:rsidR="00174253" w:rsidP="00AA5F9C" w:rsidRDefault="00174253" w14:paraId="67A28BFB"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rsidRPr="00316A9D">
        <w:t>comprometta la credibilità dell'UE in quanto attore internazionale,</w:t>
      </w:r>
    </w:p>
    <w:p w:rsidRPr="00316A9D" w:rsidR="00174253" w:rsidP="00AA5F9C" w:rsidRDefault="00174253" w14:paraId="61E1084E" w14:textId="77777777">
      <w:pPr>
        <w:numPr>
          <w:ilvl w:val="0"/>
          <w:numId w:val="47"/>
        </w:numPr>
        <w:overflowPunct w:val="0"/>
        <w:autoSpaceDE w:val="0"/>
        <w:autoSpaceDN w:val="0"/>
        <w:adjustRightInd w:val="0"/>
        <w:spacing w:after="200"/>
        <w:ind w:left="284" w:hanging="284"/>
        <w:contextualSpacing/>
        <w:textAlignment w:val="baseline"/>
        <w:rPr>
          <w:rFonts w:ascii="Calibri" w:hAnsi="Calibri"/>
        </w:rPr>
      </w:pPr>
      <w:r w:rsidRPr="00316A9D">
        <w:t>ma:</w:t>
      </w:r>
    </w:p>
    <w:p w:rsidRPr="00316A9D" w:rsidR="00174253" w:rsidP="00AA5F9C" w:rsidRDefault="00174253" w14:paraId="1108764D"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rsidRPr="00316A9D">
        <w:t>definisca chiaramente i termini utilizzati, soprattutto per quanto riguarda il concetto di "attività di rappresentanza d'interessi",</w:t>
      </w:r>
    </w:p>
    <w:p w:rsidRPr="00316A9D" w:rsidR="00174253" w:rsidP="00AA5F9C" w:rsidRDefault="00174253" w14:paraId="0CAF12E9"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rsidRPr="00316A9D">
        <w:t>fornisca criteri chiari per valutare quali soggetti stranieri siano sottoposti alla normativa,</w:t>
      </w:r>
    </w:p>
    <w:p w:rsidRPr="00316A9D" w:rsidR="00174253" w:rsidP="00AA5F9C" w:rsidRDefault="00174253" w14:paraId="33752B3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rsidRPr="00316A9D">
        <w:t>includa tutti i subcontraenti nell'UE,</w:t>
      </w:r>
    </w:p>
    <w:p w:rsidRPr="00316A9D" w:rsidR="00174253" w:rsidP="00AA5F9C" w:rsidRDefault="00174253" w14:paraId="3106D9A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rsidRPr="00316A9D">
        <w:t>colmi le lacune esistenti in relazione a talune forme specifiche di finanziamento;</w:t>
      </w:r>
    </w:p>
    <w:p w:rsidRPr="00316A9D" w:rsidR="00174253" w:rsidP="00AA5F9C" w:rsidRDefault="00174253" w14:paraId="6ED7E5BA" w14:textId="77777777">
      <w:pPr>
        <w:numPr>
          <w:ilvl w:val="0"/>
          <w:numId w:val="49"/>
        </w:numPr>
        <w:overflowPunct w:val="0"/>
        <w:autoSpaceDE w:val="0"/>
        <w:autoSpaceDN w:val="0"/>
        <w:adjustRightInd w:val="0"/>
        <w:spacing w:after="200"/>
        <w:ind w:left="284" w:hanging="284"/>
        <w:contextualSpacing/>
        <w:textAlignment w:val="baseline"/>
        <w:rPr>
          <w:bCs/>
          <w:iCs/>
        </w:rPr>
      </w:pPr>
      <w:r w:rsidRPr="00316A9D">
        <w:rPr>
          <w:b/>
        </w:rPr>
        <w:t>(per quanto riguarda la raccomandazione relativa alle elezioni)</w:t>
      </w:r>
      <w:r w:rsidRPr="00316A9D">
        <w:t xml:space="preserve"> chiede di armonizzare il processo elettorale in tutti gli Stati membri per renderlo maggiormente inclusivo, resiliente e pienamente accessibile a tutti i cittadini dell'UE con disabilità;</w:t>
      </w:r>
    </w:p>
    <w:p w:rsidRPr="00316A9D" w:rsidR="00174253" w:rsidP="00AA5F9C" w:rsidRDefault="00174253" w14:paraId="6B951484" w14:textId="77777777">
      <w:pPr>
        <w:numPr>
          <w:ilvl w:val="0"/>
          <w:numId w:val="49"/>
        </w:numPr>
        <w:overflowPunct w:val="0"/>
        <w:autoSpaceDE w:val="0"/>
        <w:autoSpaceDN w:val="0"/>
        <w:adjustRightInd w:val="0"/>
        <w:ind w:left="284" w:hanging="284"/>
        <w:contextualSpacing/>
        <w:textAlignment w:val="baseline"/>
        <w:rPr>
          <w:bCs/>
          <w:iCs/>
        </w:rPr>
      </w:pPr>
      <w:r w:rsidRPr="00316A9D">
        <w:rPr>
          <w:b/>
        </w:rPr>
        <w:t>(per quanto riguarda la raccomandazione relativa alla partecipazione)</w:t>
      </w:r>
      <w:r w:rsidRPr="00316A9D">
        <w:t xml:space="preserve"> chiede di rafforzare la democrazia partecipativa e le forme innovative di impegno civico, di riformare l'iniziativa dei cittadini europei (ICE) e di istituire un quadro a livello dell'UE per una partecipazione effettiva.</w:t>
      </w:r>
    </w:p>
    <w:p w:rsidRPr="00316A9D" w:rsidR="00174253" w:rsidP="00174253" w:rsidRDefault="00174253" w14:paraId="51410736" w14:textId="77777777">
      <w:pPr>
        <w:widowControl w:val="0"/>
        <w:overflowPunct w:val="0"/>
        <w:autoSpaceDE w:val="0"/>
        <w:autoSpaceDN w:val="0"/>
        <w:adjustRightInd w:val="0"/>
        <w:ind w:left="709"/>
        <w:textAlignment w:val="baseline"/>
        <w:rPr>
          <w:szCs w:val="20"/>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316A9D" w:rsidR="00174253" w:rsidTr="009839A2" w14:paraId="378374E4" w14:textId="77777777">
        <w:tc>
          <w:tcPr>
            <w:tcW w:w="1556" w:type="pct"/>
          </w:tcPr>
          <w:p w:rsidRPr="00316A9D" w:rsidR="00174253" w:rsidP="00174253" w:rsidRDefault="00174253" w14:paraId="46BE74D0" w14:textId="77777777">
            <w:pPr>
              <w:overflowPunct w:val="0"/>
              <w:autoSpaceDE w:val="0"/>
              <w:autoSpaceDN w:val="0"/>
              <w:adjustRightInd w:val="0"/>
              <w:textAlignment w:val="baseline"/>
              <w:rPr>
                <w:i/>
              </w:rPr>
            </w:pPr>
            <w:r w:rsidRPr="00316A9D">
              <w:rPr>
                <w:b/>
                <w:i/>
              </w:rPr>
              <w:t>Contatto</w:t>
            </w:r>
          </w:p>
        </w:tc>
        <w:tc>
          <w:tcPr>
            <w:tcW w:w="3444" w:type="pct"/>
          </w:tcPr>
          <w:p w:rsidRPr="00316A9D" w:rsidR="00174253" w:rsidP="00174253" w:rsidRDefault="00174253" w14:paraId="1394335F" w14:textId="77777777">
            <w:pPr>
              <w:overflowPunct w:val="0"/>
              <w:autoSpaceDE w:val="0"/>
              <w:autoSpaceDN w:val="0"/>
              <w:adjustRightInd w:val="0"/>
              <w:textAlignment w:val="baseline"/>
              <w:rPr>
                <w:i/>
              </w:rPr>
            </w:pPr>
            <w:r w:rsidRPr="00316A9D">
              <w:rPr>
                <w:i/>
              </w:rPr>
              <w:t>Jean-Marie ROGUE</w:t>
            </w:r>
          </w:p>
        </w:tc>
      </w:tr>
      <w:tr w:rsidRPr="00316A9D" w:rsidR="00174253" w:rsidTr="009839A2" w14:paraId="32E270DD" w14:textId="77777777">
        <w:tc>
          <w:tcPr>
            <w:tcW w:w="1556" w:type="pct"/>
          </w:tcPr>
          <w:p w:rsidRPr="00316A9D" w:rsidR="00174253" w:rsidP="00174253" w:rsidRDefault="00174253" w14:paraId="49281D34" w14:textId="77777777">
            <w:pPr>
              <w:overflowPunct w:val="0"/>
              <w:autoSpaceDE w:val="0"/>
              <w:autoSpaceDN w:val="0"/>
              <w:adjustRightInd w:val="0"/>
              <w:textAlignment w:val="baseline"/>
              <w:rPr>
                <w:i/>
              </w:rPr>
            </w:pPr>
            <w:r w:rsidRPr="00316A9D">
              <w:rPr>
                <w:i/>
              </w:rPr>
              <w:t>Tel.</w:t>
            </w:r>
          </w:p>
        </w:tc>
        <w:tc>
          <w:tcPr>
            <w:tcW w:w="3444" w:type="pct"/>
          </w:tcPr>
          <w:p w:rsidRPr="00316A9D" w:rsidR="00174253" w:rsidP="00174253" w:rsidRDefault="00174253" w14:paraId="22F52D95" w14:textId="77777777">
            <w:pPr>
              <w:overflowPunct w:val="0"/>
              <w:autoSpaceDE w:val="0"/>
              <w:autoSpaceDN w:val="0"/>
              <w:adjustRightInd w:val="0"/>
              <w:textAlignment w:val="baseline"/>
              <w:rPr>
                <w:i/>
              </w:rPr>
            </w:pPr>
            <w:r w:rsidRPr="00316A9D">
              <w:rPr>
                <w:i/>
              </w:rPr>
              <w:t>+32 25468909</w:t>
            </w:r>
          </w:p>
        </w:tc>
      </w:tr>
      <w:tr w:rsidRPr="00316A9D" w:rsidR="00174253" w:rsidTr="009839A2" w14:paraId="5F8332A0" w14:textId="77777777">
        <w:tc>
          <w:tcPr>
            <w:tcW w:w="1556" w:type="pct"/>
          </w:tcPr>
          <w:p w:rsidRPr="00316A9D" w:rsidR="00174253" w:rsidP="00174253" w:rsidRDefault="003D1AF1" w14:paraId="3410AFEB" w14:textId="5AB826B5">
            <w:pPr>
              <w:overflowPunct w:val="0"/>
              <w:autoSpaceDE w:val="0"/>
              <w:autoSpaceDN w:val="0"/>
              <w:adjustRightInd w:val="0"/>
              <w:textAlignment w:val="baseline"/>
              <w:rPr>
                <w:i/>
              </w:rPr>
            </w:pPr>
            <w:r w:rsidRPr="00316A9D">
              <w:rPr>
                <w:i/>
              </w:rPr>
              <w:t>E</w:t>
            </w:r>
            <w:r w:rsidRPr="00316A9D" w:rsidR="00174253">
              <w:rPr>
                <w:i/>
              </w:rPr>
              <w:t>-mail</w:t>
            </w:r>
          </w:p>
        </w:tc>
        <w:tc>
          <w:tcPr>
            <w:tcW w:w="3444" w:type="pct"/>
          </w:tcPr>
          <w:p w:rsidRPr="00316A9D" w:rsidR="00174253" w:rsidP="00174253" w:rsidRDefault="003A440F" w14:paraId="7F3997D8" w14:textId="77777777">
            <w:pPr>
              <w:overflowPunct w:val="0"/>
              <w:autoSpaceDE w:val="0"/>
              <w:autoSpaceDN w:val="0"/>
              <w:adjustRightInd w:val="0"/>
              <w:textAlignment w:val="baseline"/>
              <w:rPr>
                <w:i/>
              </w:rPr>
            </w:pPr>
            <w:hyperlink w:history="1" r:id="rId28">
              <w:r w:rsidRPr="00316A9D" w:rsidR="00F76B5D">
                <w:rPr>
                  <w:i/>
                  <w:color w:val="0000FF"/>
                  <w:u w:val="single"/>
                </w:rPr>
                <w:t>JeanMarie.Rogue@eesc.europa.eu</w:t>
              </w:r>
            </w:hyperlink>
            <w:r w:rsidRPr="00316A9D" w:rsidR="00F76B5D">
              <w:rPr>
                <w:i/>
              </w:rPr>
              <w:t xml:space="preserve"> </w:t>
            </w:r>
          </w:p>
        </w:tc>
      </w:tr>
    </w:tbl>
    <w:p w:rsidRPr="00316A9D" w:rsidR="00502E1F" w:rsidRDefault="00502E1F" w14:paraId="5A6F606B" w14:textId="2F809D68">
      <w:pPr>
        <w:spacing w:after="160" w:line="259" w:lineRule="auto"/>
        <w:jc w:val="left"/>
      </w:pPr>
    </w:p>
    <w:p w:rsidRPr="00316A9D" w:rsidR="00502E1F" w:rsidRDefault="00502E1F" w14:paraId="18AFDB5D" w14:textId="77777777">
      <w:pPr>
        <w:spacing w:after="160" w:line="259" w:lineRule="auto"/>
        <w:jc w:val="left"/>
      </w:pPr>
    </w:p>
    <w:p w:rsidRPr="00316A9D" w:rsidR="00502E1F" w:rsidRDefault="00502E1F" w14:paraId="035C0A27" w14:textId="77777777">
      <w:pPr>
        <w:spacing w:after="160" w:line="259" w:lineRule="auto"/>
        <w:jc w:val="left"/>
      </w:pPr>
      <w:r w:rsidRPr="00316A9D">
        <w:br w:type="page"/>
      </w:r>
    </w:p>
    <w:p w:rsidRPr="00316A9D" w:rsidR="00C12284" w:rsidP="00401E8F" w:rsidRDefault="003A440F" w14:paraId="36B5E58D" w14:textId="256ACD66">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29">
        <w:r w:rsidRPr="00316A9D" w:rsidR="008772F9">
          <w:rPr>
            <w:b/>
            <w:i/>
            <w:color w:val="0000FF"/>
            <w:sz w:val="28"/>
            <w:u w:val="single"/>
          </w:rPr>
          <w:t>Valutazione del Fondo sociale europeo per il periodo 2014-2020</w:t>
        </w:r>
      </w:hyperlink>
    </w:p>
    <w:p w:rsidRPr="00316A9D" w:rsidR="00C12284" w:rsidP="00C12284" w:rsidRDefault="00C12284" w14:paraId="7B3419C7" w14:textId="77777777">
      <w:pPr>
        <w:tabs>
          <w:tab w:val="center" w:pos="284"/>
        </w:tabs>
        <w:overflowPunct w:val="0"/>
        <w:autoSpaceDE w:val="0"/>
        <w:autoSpaceDN w:val="0"/>
        <w:adjustRightInd w:val="0"/>
        <w:ind w:left="266" w:hanging="266"/>
        <w:textAlignment w:val="baseline"/>
        <w:rPr>
          <w:b/>
        </w:rPr>
      </w:pPr>
    </w:p>
    <w:tbl>
      <w:tblPr>
        <w:tblStyle w:val="TableGrid199"/>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441"/>
      </w:tblGrid>
      <w:tr w:rsidRPr="00316A9D" w:rsidR="00C12284" w:rsidTr="009839A2" w14:paraId="45055B20" w14:textId="77777777">
        <w:tc>
          <w:tcPr>
            <w:tcW w:w="1321" w:type="pct"/>
          </w:tcPr>
          <w:p w:rsidRPr="00316A9D" w:rsidR="00C12284" w:rsidP="00C12284" w:rsidRDefault="00C12284" w14:paraId="18CDD30B" w14:textId="77777777">
            <w:pPr>
              <w:overflowPunct w:val="0"/>
              <w:autoSpaceDE w:val="0"/>
              <w:autoSpaceDN w:val="0"/>
              <w:adjustRightInd w:val="0"/>
              <w:ind w:left="-113"/>
              <w:textAlignment w:val="baseline"/>
              <w:rPr>
                <w:b/>
              </w:rPr>
            </w:pPr>
            <w:r w:rsidRPr="00316A9D">
              <w:rPr>
                <w:b/>
              </w:rPr>
              <w:t xml:space="preserve">Relatori </w:t>
            </w:r>
          </w:p>
        </w:tc>
        <w:tc>
          <w:tcPr>
            <w:tcW w:w="3679" w:type="pct"/>
          </w:tcPr>
          <w:p w:rsidRPr="00316A9D" w:rsidR="00C12284" w:rsidP="00C12284" w:rsidRDefault="00C12284" w14:paraId="2B260844" w14:textId="4AF89C48">
            <w:pPr>
              <w:overflowPunct w:val="0"/>
              <w:autoSpaceDE w:val="0"/>
              <w:autoSpaceDN w:val="0"/>
              <w:adjustRightInd w:val="0"/>
              <w:ind w:left="-113" w:right="-1815"/>
              <w:textAlignment w:val="baseline"/>
            </w:pPr>
            <w:r w:rsidRPr="00316A9D">
              <w:t>Krzysztof BALON (Organizzazioni della società civile - PL)</w:t>
            </w:r>
          </w:p>
          <w:p w:rsidRPr="00316A9D" w:rsidR="00C12284" w:rsidP="00C12284" w:rsidRDefault="00C12284" w14:paraId="6D17E62D" w14:textId="3E90588A">
            <w:pPr>
              <w:overflowPunct w:val="0"/>
              <w:autoSpaceDE w:val="0"/>
              <w:autoSpaceDN w:val="0"/>
              <w:adjustRightInd w:val="0"/>
              <w:ind w:left="-113"/>
              <w:textAlignment w:val="baseline"/>
            </w:pPr>
            <w:r w:rsidRPr="00316A9D">
              <w:t>Cinzia DEL RIO (Lavoratori - IT)</w:t>
            </w:r>
          </w:p>
          <w:p w:rsidRPr="00316A9D" w:rsidR="00C12284" w:rsidP="00C12284" w:rsidRDefault="00C12284" w14:paraId="48E64582" w14:textId="42A16C91">
            <w:pPr>
              <w:overflowPunct w:val="0"/>
              <w:autoSpaceDE w:val="0"/>
              <w:autoSpaceDN w:val="0"/>
              <w:adjustRightInd w:val="0"/>
              <w:ind w:left="-113"/>
              <w:textAlignment w:val="baseline"/>
            </w:pPr>
            <w:r w:rsidRPr="00316A9D">
              <w:t>David SVENTEK (Datori di lavoro - CZ)</w:t>
            </w:r>
          </w:p>
        </w:tc>
      </w:tr>
      <w:tr w:rsidRPr="00316A9D" w:rsidR="00C12284" w:rsidTr="009839A2" w14:paraId="1AF2D930" w14:textId="77777777">
        <w:tc>
          <w:tcPr>
            <w:tcW w:w="5000" w:type="pct"/>
            <w:gridSpan w:val="2"/>
          </w:tcPr>
          <w:p w:rsidRPr="00316A9D" w:rsidR="00C12284" w:rsidP="00C12284" w:rsidRDefault="00C12284" w14:paraId="7985BEBA" w14:textId="77777777">
            <w:pPr>
              <w:overflowPunct w:val="0"/>
              <w:autoSpaceDE w:val="0"/>
              <w:autoSpaceDN w:val="0"/>
              <w:adjustRightInd w:val="0"/>
              <w:spacing w:line="160" w:lineRule="exact"/>
              <w:ind w:left="-113"/>
              <w:textAlignment w:val="baseline"/>
            </w:pPr>
          </w:p>
        </w:tc>
      </w:tr>
      <w:tr w:rsidRPr="00316A9D" w:rsidR="00C12284" w:rsidTr="009839A2" w14:paraId="0ED23072" w14:textId="77777777">
        <w:tc>
          <w:tcPr>
            <w:tcW w:w="1321" w:type="pct"/>
          </w:tcPr>
          <w:p w:rsidRPr="00316A9D" w:rsidR="00C12284" w:rsidP="00C12284" w:rsidRDefault="00C12284" w14:paraId="7182C467" w14:textId="77777777">
            <w:pPr>
              <w:overflowPunct w:val="0"/>
              <w:autoSpaceDE w:val="0"/>
              <w:autoSpaceDN w:val="0"/>
              <w:adjustRightInd w:val="0"/>
              <w:ind w:left="-113"/>
              <w:textAlignment w:val="baseline"/>
              <w:rPr>
                <w:b/>
              </w:rPr>
            </w:pPr>
            <w:r w:rsidRPr="00316A9D">
              <w:rPr>
                <w:b/>
              </w:rPr>
              <w:t>Riferimento</w:t>
            </w:r>
          </w:p>
        </w:tc>
        <w:tc>
          <w:tcPr>
            <w:tcW w:w="3679" w:type="pct"/>
          </w:tcPr>
          <w:p w:rsidRPr="00316A9D" w:rsidR="00D6320E" w:rsidP="00C12284" w:rsidRDefault="00D6320E" w14:paraId="7B8587E5" w14:textId="364BCE43">
            <w:pPr>
              <w:overflowPunct w:val="0"/>
              <w:autoSpaceDE w:val="0"/>
              <w:autoSpaceDN w:val="0"/>
              <w:adjustRightInd w:val="0"/>
              <w:ind w:left="-113"/>
              <w:textAlignment w:val="baseline"/>
            </w:pPr>
            <w:r w:rsidRPr="00316A9D">
              <w:t>Relazione di valutazione</w:t>
            </w:r>
          </w:p>
          <w:p w:rsidRPr="00316A9D" w:rsidR="00C12284" w:rsidP="00C12284" w:rsidRDefault="00C12284" w14:paraId="40B58593" w14:textId="1698B5DC">
            <w:pPr>
              <w:overflowPunct w:val="0"/>
              <w:autoSpaceDE w:val="0"/>
              <w:autoSpaceDN w:val="0"/>
              <w:adjustRightInd w:val="0"/>
              <w:ind w:left="-113"/>
              <w:textAlignment w:val="baseline"/>
            </w:pPr>
            <w:r w:rsidRPr="00316A9D">
              <w:t>EESC-2023-02717-00-00-RE-TRA</w:t>
            </w:r>
          </w:p>
        </w:tc>
      </w:tr>
    </w:tbl>
    <w:p w:rsidRPr="00316A9D" w:rsidR="006B73D6" w:rsidP="00C12284" w:rsidRDefault="006B73D6" w14:paraId="6FFC8590" w14:textId="77777777">
      <w:pPr>
        <w:keepNext/>
        <w:keepLines/>
        <w:tabs>
          <w:tab w:val="center" w:pos="284"/>
        </w:tabs>
        <w:overflowPunct w:val="0"/>
        <w:autoSpaceDE w:val="0"/>
        <w:autoSpaceDN w:val="0"/>
        <w:adjustRightInd w:val="0"/>
        <w:ind w:left="266" w:hanging="266"/>
        <w:textAlignment w:val="baseline"/>
        <w:rPr>
          <w:b/>
        </w:rPr>
      </w:pPr>
    </w:p>
    <w:p w:rsidRPr="00316A9D" w:rsidR="00C12284" w:rsidP="00C12284" w:rsidRDefault="00C12284" w14:paraId="039DD82E" w14:textId="00CDBDF1">
      <w:pPr>
        <w:keepNext/>
        <w:keepLines/>
        <w:tabs>
          <w:tab w:val="center" w:pos="284"/>
        </w:tabs>
        <w:overflowPunct w:val="0"/>
        <w:autoSpaceDE w:val="0"/>
        <w:autoSpaceDN w:val="0"/>
        <w:adjustRightInd w:val="0"/>
        <w:ind w:left="266" w:hanging="266"/>
        <w:textAlignment w:val="baseline"/>
        <w:rPr>
          <w:b/>
        </w:rPr>
      </w:pPr>
      <w:r w:rsidRPr="00316A9D">
        <w:rPr>
          <w:b/>
        </w:rPr>
        <w:t>Punti principali</w:t>
      </w:r>
    </w:p>
    <w:p w:rsidRPr="00316A9D" w:rsidR="00C12284" w:rsidP="00C12284" w:rsidRDefault="00C12284" w14:paraId="597B21F2" w14:textId="77777777">
      <w:pPr>
        <w:keepNext/>
        <w:keepLines/>
        <w:tabs>
          <w:tab w:val="center" w:pos="284"/>
        </w:tabs>
        <w:overflowPunct w:val="0"/>
        <w:autoSpaceDE w:val="0"/>
        <w:autoSpaceDN w:val="0"/>
        <w:adjustRightInd w:val="0"/>
        <w:ind w:left="266" w:hanging="266"/>
        <w:textAlignment w:val="baseline"/>
        <w:rPr>
          <w:b/>
          <w:sz w:val="16"/>
          <w:szCs w:val="16"/>
        </w:rPr>
      </w:pPr>
    </w:p>
    <w:p w:rsidRPr="00316A9D" w:rsidR="00C12284" w:rsidP="00C12284" w:rsidRDefault="00C12284" w14:paraId="63D21475" w14:textId="60C405F1">
      <w:pPr>
        <w:overflowPunct w:val="0"/>
        <w:autoSpaceDE w:val="0"/>
        <w:autoSpaceDN w:val="0"/>
        <w:adjustRightInd w:val="0"/>
        <w:textAlignment w:val="baseline"/>
        <w:rPr>
          <w:bCs/>
          <w:iCs/>
        </w:rPr>
      </w:pPr>
      <w:r w:rsidRPr="00316A9D">
        <w:t>Il CESE:</w:t>
      </w:r>
    </w:p>
    <w:p w:rsidRPr="00316A9D" w:rsidR="006B73D6" w:rsidP="00C12284" w:rsidRDefault="006B73D6" w14:paraId="5B24CB3C" w14:textId="77777777">
      <w:pPr>
        <w:overflowPunct w:val="0"/>
        <w:autoSpaceDE w:val="0"/>
        <w:autoSpaceDN w:val="0"/>
        <w:adjustRightInd w:val="0"/>
        <w:textAlignment w:val="baseline"/>
        <w:rPr>
          <w:bCs/>
          <w:iCs/>
          <w:lang w:val="en-US"/>
        </w:rPr>
      </w:pPr>
    </w:p>
    <w:p w:rsidRPr="00316A9D" w:rsidR="00C12284" w:rsidP="00AA5F9C" w:rsidRDefault="00C12284" w14:paraId="0D67BAA7" w14:textId="77777777">
      <w:pPr>
        <w:numPr>
          <w:ilvl w:val="0"/>
          <w:numId w:val="50"/>
        </w:numPr>
        <w:overflowPunct w:val="0"/>
        <w:autoSpaceDE w:val="0"/>
        <w:autoSpaceDN w:val="0"/>
        <w:adjustRightInd w:val="0"/>
        <w:spacing w:after="200" w:line="276" w:lineRule="auto"/>
        <w:ind w:left="284" w:hanging="284"/>
        <w:contextualSpacing/>
        <w:textAlignment w:val="baseline"/>
      </w:pPr>
      <w:r w:rsidRPr="00316A9D">
        <w:rPr>
          <w:b/>
        </w:rPr>
        <w:t>concorda</w:t>
      </w:r>
      <w:r w:rsidRPr="00316A9D">
        <w:t xml:space="preserve"> sul fatto che nel periodo 2014-2020 il Fondo sociale europeo (FSE) ha dato un contributo significativo alla promozione dell'occupabilità, dell'istruzione/educazione e della formazione, oltre che alla lotta all'esclusione sociale; </w:t>
      </w:r>
    </w:p>
    <w:p w:rsidRPr="00316A9D" w:rsidR="00C12284" w:rsidP="00AA5F9C" w:rsidRDefault="00C12284" w14:paraId="5F704C97" w14:textId="77777777">
      <w:pPr>
        <w:numPr>
          <w:ilvl w:val="0"/>
          <w:numId w:val="50"/>
        </w:numPr>
        <w:overflowPunct w:val="0"/>
        <w:autoSpaceDE w:val="0"/>
        <w:autoSpaceDN w:val="0"/>
        <w:adjustRightInd w:val="0"/>
        <w:spacing w:after="200" w:line="276" w:lineRule="auto"/>
        <w:ind w:left="284" w:hanging="284"/>
        <w:contextualSpacing/>
        <w:textAlignment w:val="baseline"/>
      </w:pPr>
      <w:r w:rsidRPr="00316A9D">
        <w:rPr>
          <w:b/>
        </w:rPr>
        <w:t>chiede</w:t>
      </w:r>
      <w:r w:rsidRPr="00316A9D">
        <w:t xml:space="preserve"> maggiori investimenti per affrontare gli squilibri tra domanda e offerta sul mercato del lavoro, in particolare per quanto riguarda le donne, i giovani, i disoccupati di lungo periodo, i migranti e i gruppi vulnerabili, tra cui le persone con disabilità; </w:t>
      </w:r>
    </w:p>
    <w:p w:rsidRPr="00316A9D" w:rsidR="00C12284" w:rsidP="00AA5F9C" w:rsidRDefault="00C12284" w14:paraId="72373856" w14:textId="77777777">
      <w:pPr>
        <w:numPr>
          <w:ilvl w:val="0"/>
          <w:numId w:val="50"/>
        </w:numPr>
        <w:overflowPunct w:val="0"/>
        <w:autoSpaceDE w:val="0"/>
        <w:autoSpaceDN w:val="0"/>
        <w:adjustRightInd w:val="0"/>
        <w:spacing w:after="200" w:line="276" w:lineRule="auto"/>
        <w:ind w:left="284" w:hanging="284"/>
        <w:contextualSpacing/>
        <w:textAlignment w:val="baseline"/>
      </w:pPr>
      <w:r w:rsidRPr="00316A9D">
        <w:rPr>
          <w:b/>
        </w:rPr>
        <w:t>ritiene</w:t>
      </w:r>
      <w:r w:rsidRPr="00316A9D">
        <w:t xml:space="preserve"> che le risorse assegnate ai servizi pubblici per l'impiego e le risorse per la governance e la capacità amministrativa del settore pubblico debbano essere incrementate in misura adeguata per raggiungere detti obiettivi;</w:t>
      </w:r>
    </w:p>
    <w:p w:rsidRPr="00316A9D" w:rsidR="00C12284" w:rsidP="00AA5F9C" w:rsidRDefault="00C12284" w14:paraId="4B792245" w14:textId="77777777">
      <w:pPr>
        <w:numPr>
          <w:ilvl w:val="0"/>
          <w:numId w:val="50"/>
        </w:numPr>
        <w:overflowPunct w:val="0"/>
        <w:autoSpaceDE w:val="0"/>
        <w:autoSpaceDN w:val="0"/>
        <w:adjustRightInd w:val="0"/>
        <w:spacing w:after="200" w:line="276" w:lineRule="auto"/>
        <w:ind w:left="284" w:hanging="284"/>
        <w:contextualSpacing/>
        <w:textAlignment w:val="baseline"/>
      </w:pPr>
      <w:r w:rsidRPr="00316A9D">
        <w:rPr>
          <w:b/>
        </w:rPr>
        <w:t>sottolinea</w:t>
      </w:r>
      <w:r w:rsidRPr="00316A9D">
        <w:t xml:space="preserve"> la necessità di intensificare gli investimenti in un sistema di istruzione/educazione e di formazione inclusivo e di elevata qualità onde affrontare i problemi della carenza di competenze e della sottoccupazione, nonché di garantire condizioni di lavoro eque ai lavoratori, soprattutto quelli occupati nelle nuove forme di lavoro;</w:t>
      </w:r>
    </w:p>
    <w:p w:rsidRPr="00316A9D" w:rsidR="00C12284" w:rsidP="00AA5F9C" w:rsidRDefault="00C12284" w14:paraId="0124819E" w14:textId="77777777">
      <w:pPr>
        <w:numPr>
          <w:ilvl w:val="0"/>
          <w:numId w:val="50"/>
        </w:numPr>
        <w:overflowPunct w:val="0"/>
        <w:autoSpaceDE w:val="0"/>
        <w:autoSpaceDN w:val="0"/>
        <w:adjustRightInd w:val="0"/>
        <w:spacing w:after="200" w:line="276" w:lineRule="auto"/>
        <w:ind w:left="284" w:hanging="284"/>
        <w:contextualSpacing/>
        <w:textAlignment w:val="baseline"/>
      </w:pPr>
      <w:r w:rsidRPr="00316A9D">
        <w:rPr>
          <w:b/>
        </w:rPr>
        <w:t>fa presente</w:t>
      </w:r>
      <w:r w:rsidRPr="00316A9D">
        <w:t xml:space="preserve"> che occorre sostenere l'autentico spirito imprenditoriale e il vero lavoro autonomo, anche attraverso l'accesso al credito e la formazione finanziaria, stanziando al contempo una quota adeguata delle risorse dell'FSE per progetti guidati da organizzazioni più piccole;</w:t>
      </w:r>
    </w:p>
    <w:p w:rsidRPr="00316A9D" w:rsidR="00C12284" w:rsidP="00AA5F9C" w:rsidRDefault="00C12284" w14:paraId="708D47FD" w14:textId="77777777">
      <w:pPr>
        <w:numPr>
          <w:ilvl w:val="0"/>
          <w:numId w:val="50"/>
        </w:numPr>
        <w:overflowPunct w:val="0"/>
        <w:autoSpaceDE w:val="0"/>
        <w:autoSpaceDN w:val="0"/>
        <w:adjustRightInd w:val="0"/>
        <w:spacing w:after="200" w:line="276" w:lineRule="auto"/>
        <w:ind w:left="284" w:hanging="284"/>
        <w:contextualSpacing/>
        <w:textAlignment w:val="baseline"/>
      </w:pPr>
      <w:r w:rsidRPr="00316A9D">
        <w:rPr>
          <w:b/>
        </w:rPr>
        <w:t>suggerisce</w:t>
      </w:r>
      <w:r w:rsidRPr="00316A9D">
        <w:t xml:space="preserve"> che i programmi cofinanziati dall'FSE siano integrati nel semestre europeo per far fronte in maniera efficace alle sfide economiche e sociali degli Stati membri;</w:t>
      </w:r>
    </w:p>
    <w:p w:rsidRPr="00316A9D" w:rsidR="00C12284" w:rsidP="00AA5F9C" w:rsidRDefault="00C12284" w14:paraId="770F9A96" w14:textId="77777777">
      <w:pPr>
        <w:numPr>
          <w:ilvl w:val="0"/>
          <w:numId w:val="50"/>
        </w:numPr>
        <w:overflowPunct w:val="0"/>
        <w:autoSpaceDE w:val="0"/>
        <w:autoSpaceDN w:val="0"/>
        <w:adjustRightInd w:val="0"/>
        <w:spacing w:after="200" w:line="276" w:lineRule="auto"/>
        <w:ind w:left="284" w:hanging="284"/>
        <w:contextualSpacing/>
        <w:textAlignment w:val="baseline"/>
      </w:pPr>
      <w:r w:rsidRPr="00316A9D">
        <w:rPr>
          <w:b/>
        </w:rPr>
        <w:t>raccomanda</w:t>
      </w:r>
      <w:r w:rsidRPr="00316A9D">
        <w:t xml:space="preserve"> un migliore coordinamento tra le autorità nazionali per evitare doppioni tra i programmi dell'FSE e altri fondi europei;</w:t>
      </w:r>
    </w:p>
    <w:p w:rsidRPr="00316A9D" w:rsidR="00C12284" w:rsidP="00AA5F9C" w:rsidRDefault="00C12284" w14:paraId="2CAA649B" w14:textId="77777777">
      <w:pPr>
        <w:numPr>
          <w:ilvl w:val="0"/>
          <w:numId w:val="50"/>
        </w:numPr>
        <w:overflowPunct w:val="0"/>
        <w:autoSpaceDE w:val="0"/>
        <w:autoSpaceDN w:val="0"/>
        <w:adjustRightInd w:val="0"/>
        <w:spacing w:after="200" w:line="276" w:lineRule="auto"/>
        <w:ind w:left="284" w:hanging="284"/>
        <w:contextualSpacing/>
        <w:textAlignment w:val="baseline"/>
      </w:pPr>
      <w:r w:rsidRPr="00316A9D">
        <w:rPr>
          <w:b/>
        </w:rPr>
        <w:t>sostiene</w:t>
      </w:r>
      <w:r w:rsidRPr="00316A9D">
        <w:t xml:space="preserve"> la necessità di un coinvolgimento significativo delle parti sociali e della società civile in tutte le fasi del processo decisionale e invoca fondi adeguati dell'FSE per migliorare le capacità di tali soggetti in materia di dialogo sociale e civile;</w:t>
      </w:r>
    </w:p>
    <w:p w:rsidRPr="00316A9D" w:rsidR="00C12284" w:rsidP="00AA5F9C" w:rsidRDefault="00C12284" w14:paraId="1FE24861" w14:textId="77777777">
      <w:pPr>
        <w:numPr>
          <w:ilvl w:val="0"/>
          <w:numId w:val="50"/>
        </w:numPr>
        <w:overflowPunct w:val="0"/>
        <w:autoSpaceDE w:val="0"/>
        <w:autoSpaceDN w:val="0"/>
        <w:adjustRightInd w:val="0"/>
        <w:spacing w:after="200" w:line="276" w:lineRule="auto"/>
        <w:ind w:left="284" w:hanging="284"/>
        <w:contextualSpacing/>
        <w:textAlignment w:val="baseline"/>
      </w:pPr>
      <w:r w:rsidRPr="00316A9D">
        <w:rPr>
          <w:b/>
        </w:rPr>
        <w:t>chiede</w:t>
      </w:r>
      <w:r w:rsidRPr="00316A9D">
        <w:t xml:space="preserve"> procedure più semplici e un approccio meno burocratico, al fine di migliorare l'accesso ai finanziamenti dell'FSE per iniziative in materia di occupazione, formazione e istruzione/educazione, oltre che di lotta alla povertà; </w:t>
      </w:r>
    </w:p>
    <w:p w:rsidRPr="00316A9D" w:rsidR="00C12284" w:rsidP="006B73D6" w:rsidRDefault="00C12284" w14:paraId="46FF8250" w14:textId="081F24B1">
      <w:pPr>
        <w:numPr>
          <w:ilvl w:val="0"/>
          <w:numId w:val="50"/>
        </w:numPr>
        <w:overflowPunct w:val="0"/>
        <w:autoSpaceDE w:val="0"/>
        <w:autoSpaceDN w:val="0"/>
        <w:adjustRightInd w:val="0"/>
        <w:spacing w:after="200" w:line="276" w:lineRule="auto"/>
        <w:ind w:left="284" w:hanging="284"/>
        <w:contextualSpacing/>
        <w:textAlignment w:val="baseline"/>
      </w:pPr>
      <w:r w:rsidRPr="00316A9D">
        <w:rPr>
          <w:b/>
        </w:rPr>
        <w:t>ritiene</w:t>
      </w:r>
      <w:r w:rsidRPr="00316A9D">
        <w:t xml:space="preserve"> che una comunicazione trasparente a tutti i livelli debba essere parte integrante della programmazione dell'FSE.</w:t>
      </w:r>
    </w:p>
    <w:p w:rsidRPr="00316A9D" w:rsidR="006B73D6" w:rsidP="00AA5F9C" w:rsidRDefault="006B73D6" w14:paraId="2DCF47A2" w14:textId="77777777">
      <w:pPr>
        <w:overflowPunct w:val="0"/>
        <w:autoSpaceDE w:val="0"/>
        <w:autoSpaceDN w:val="0"/>
        <w:adjustRightInd w:val="0"/>
        <w:spacing w:after="20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316A9D" w:rsidR="00C12284" w:rsidTr="009839A2" w14:paraId="6D6DEB44" w14:textId="77777777">
        <w:tc>
          <w:tcPr>
            <w:tcW w:w="1556" w:type="pct"/>
          </w:tcPr>
          <w:p w:rsidRPr="00316A9D" w:rsidR="00C12284" w:rsidP="00AA5F9C" w:rsidRDefault="00C12284" w14:paraId="5336FF11" w14:textId="77777777">
            <w:pPr>
              <w:overflowPunct w:val="0"/>
              <w:autoSpaceDE w:val="0"/>
              <w:autoSpaceDN w:val="0"/>
              <w:adjustRightInd w:val="0"/>
              <w:spacing w:line="240" w:lineRule="auto"/>
              <w:ind w:hanging="110"/>
              <w:textAlignment w:val="baseline"/>
              <w:rPr>
                <w:i/>
              </w:rPr>
            </w:pPr>
            <w:r w:rsidRPr="00316A9D">
              <w:rPr>
                <w:b/>
                <w:i/>
              </w:rPr>
              <w:t>Contatto</w:t>
            </w:r>
          </w:p>
        </w:tc>
        <w:tc>
          <w:tcPr>
            <w:tcW w:w="3444" w:type="pct"/>
          </w:tcPr>
          <w:p w:rsidRPr="00316A9D" w:rsidR="00C12284" w:rsidP="00AA5F9C" w:rsidRDefault="00C12284" w14:paraId="7FE41E5E" w14:textId="019E466E">
            <w:pPr>
              <w:overflowPunct w:val="0"/>
              <w:autoSpaceDE w:val="0"/>
              <w:autoSpaceDN w:val="0"/>
              <w:adjustRightInd w:val="0"/>
              <w:spacing w:line="240" w:lineRule="auto"/>
              <w:ind w:hanging="110"/>
              <w:textAlignment w:val="baseline"/>
              <w:rPr>
                <w:i/>
              </w:rPr>
            </w:pPr>
            <w:r w:rsidRPr="00316A9D">
              <w:rPr>
                <w:i/>
              </w:rPr>
              <w:t>Bartek BEDNAROWICZ</w:t>
            </w:r>
          </w:p>
        </w:tc>
      </w:tr>
      <w:tr w:rsidRPr="00316A9D" w:rsidR="00C12284" w:rsidTr="009839A2" w14:paraId="1AF954E4" w14:textId="77777777">
        <w:tc>
          <w:tcPr>
            <w:tcW w:w="1556" w:type="pct"/>
          </w:tcPr>
          <w:p w:rsidRPr="00316A9D" w:rsidR="00C12284" w:rsidP="00AA5F9C" w:rsidRDefault="00C12284" w14:paraId="2CE777EE" w14:textId="77777777">
            <w:pPr>
              <w:overflowPunct w:val="0"/>
              <w:autoSpaceDE w:val="0"/>
              <w:autoSpaceDN w:val="0"/>
              <w:adjustRightInd w:val="0"/>
              <w:spacing w:line="240" w:lineRule="auto"/>
              <w:ind w:hanging="110"/>
              <w:textAlignment w:val="baseline"/>
              <w:rPr>
                <w:i/>
              </w:rPr>
            </w:pPr>
            <w:r w:rsidRPr="00316A9D">
              <w:rPr>
                <w:i/>
              </w:rPr>
              <w:t>Tel.</w:t>
            </w:r>
          </w:p>
        </w:tc>
        <w:tc>
          <w:tcPr>
            <w:tcW w:w="3444" w:type="pct"/>
          </w:tcPr>
          <w:p w:rsidRPr="00316A9D" w:rsidR="00C12284" w:rsidP="00AA5F9C" w:rsidRDefault="00C12284" w14:paraId="46F0B26A" w14:textId="77777777">
            <w:pPr>
              <w:overflowPunct w:val="0"/>
              <w:autoSpaceDE w:val="0"/>
              <w:autoSpaceDN w:val="0"/>
              <w:adjustRightInd w:val="0"/>
              <w:spacing w:line="240" w:lineRule="auto"/>
              <w:ind w:hanging="110"/>
              <w:textAlignment w:val="baseline"/>
              <w:rPr>
                <w:i/>
              </w:rPr>
            </w:pPr>
            <w:r w:rsidRPr="00316A9D">
              <w:rPr>
                <w:i/>
              </w:rPr>
              <w:t>+32 25469229</w:t>
            </w:r>
          </w:p>
        </w:tc>
      </w:tr>
      <w:tr w:rsidRPr="00316A9D" w:rsidR="00C12284" w:rsidTr="009839A2" w14:paraId="3BE7C418" w14:textId="77777777">
        <w:tc>
          <w:tcPr>
            <w:tcW w:w="1556" w:type="pct"/>
          </w:tcPr>
          <w:p w:rsidRPr="00316A9D" w:rsidR="00C12284" w:rsidP="00AA5F9C" w:rsidRDefault="003D1AF1" w14:paraId="6A3A7422" w14:textId="216BC61B">
            <w:pPr>
              <w:overflowPunct w:val="0"/>
              <w:autoSpaceDE w:val="0"/>
              <w:autoSpaceDN w:val="0"/>
              <w:adjustRightInd w:val="0"/>
              <w:spacing w:line="240" w:lineRule="auto"/>
              <w:ind w:hanging="110"/>
              <w:textAlignment w:val="baseline"/>
              <w:rPr>
                <w:i/>
              </w:rPr>
            </w:pPr>
            <w:r w:rsidRPr="00316A9D">
              <w:rPr>
                <w:i/>
              </w:rPr>
              <w:t>E</w:t>
            </w:r>
            <w:r w:rsidRPr="00316A9D" w:rsidR="00C12284">
              <w:rPr>
                <w:i/>
              </w:rPr>
              <w:t>-mail</w:t>
            </w:r>
          </w:p>
        </w:tc>
        <w:tc>
          <w:tcPr>
            <w:tcW w:w="3444" w:type="pct"/>
          </w:tcPr>
          <w:p w:rsidRPr="00316A9D" w:rsidR="00C12284" w:rsidP="00AA5F9C" w:rsidRDefault="003A440F" w14:paraId="5F863D3A" w14:textId="77777777">
            <w:pPr>
              <w:overflowPunct w:val="0"/>
              <w:autoSpaceDE w:val="0"/>
              <w:autoSpaceDN w:val="0"/>
              <w:adjustRightInd w:val="0"/>
              <w:spacing w:line="240" w:lineRule="auto"/>
              <w:ind w:hanging="110"/>
              <w:textAlignment w:val="baseline"/>
              <w:rPr>
                <w:i/>
              </w:rPr>
            </w:pPr>
            <w:hyperlink w:history="1" r:id="rId30">
              <w:r w:rsidRPr="00316A9D" w:rsidR="00F76B5D">
                <w:rPr>
                  <w:i/>
                  <w:color w:val="0000FF"/>
                  <w:u w:val="single"/>
                </w:rPr>
                <w:t>Bartek.Bednarowicz@eesc.europa.eu</w:t>
              </w:r>
            </w:hyperlink>
          </w:p>
        </w:tc>
      </w:tr>
    </w:tbl>
    <w:p w:rsidRPr="00316A9D" w:rsidR="00502E1F" w:rsidRDefault="00502E1F" w14:paraId="18E16120" w14:textId="59CCBC8F">
      <w:pPr>
        <w:spacing w:after="160" w:line="259" w:lineRule="auto"/>
        <w:jc w:val="left"/>
      </w:pPr>
    </w:p>
    <w:p w:rsidRPr="00316A9D" w:rsidR="00502E1F" w:rsidRDefault="00502E1F" w14:paraId="54E96DDA" w14:textId="77777777">
      <w:pPr>
        <w:spacing w:after="160" w:line="259" w:lineRule="auto"/>
        <w:jc w:val="left"/>
      </w:pPr>
      <w:r w:rsidRPr="00316A9D">
        <w:br w:type="page"/>
      </w:r>
    </w:p>
    <w:p w:rsidRPr="00316A9D" w:rsidR="00C02246" w:rsidP="00401E8F" w:rsidRDefault="003A440F" w14:paraId="44B592B0" w14:textId="45CEC6A0">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31">
        <w:r w:rsidRPr="00316A9D" w:rsidR="008772F9">
          <w:rPr>
            <w:b/>
            <w:i/>
            <w:color w:val="0000FF"/>
            <w:sz w:val="28"/>
            <w:u w:val="single"/>
          </w:rPr>
          <w:t>Pacchetto sulla mobilità dei talenti</w:t>
        </w:r>
      </w:hyperlink>
    </w:p>
    <w:p w:rsidRPr="00316A9D" w:rsidR="005D7A1C" w:rsidP="00C02246" w:rsidRDefault="005D7A1C" w14:paraId="2B6E4CBE" w14:textId="77777777">
      <w:pPr>
        <w:tabs>
          <w:tab w:val="center" w:pos="284"/>
        </w:tabs>
        <w:overflowPunct w:val="0"/>
        <w:autoSpaceDE w:val="0"/>
        <w:autoSpaceDN w:val="0"/>
        <w:adjustRightInd w:val="0"/>
        <w:ind w:left="266" w:hanging="266"/>
        <w:textAlignment w:val="baseline"/>
        <w:rPr>
          <w:b/>
        </w:rPr>
      </w:pPr>
    </w:p>
    <w:tbl>
      <w:tblPr>
        <w:tblStyle w:val="TableGrid200"/>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4717"/>
      </w:tblGrid>
      <w:tr w:rsidRPr="00316A9D" w:rsidR="00C02246" w:rsidTr="00AA5F9C" w14:paraId="6EF9E13E" w14:textId="77777777">
        <w:tc>
          <w:tcPr>
            <w:tcW w:w="1325" w:type="pct"/>
          </w:tcPr>
          <w:p w:rsidRPr="00316A9D" w:rsidR="00C02246" w:rsidP="00C02246" w:rsidRDefault="003D1AF1" w14:paraId="370668CE" w14:textId="69ED97CB">
            <w:pPr>
              <w:overflowPunct w:val="0"/>
              <w:autoSpaceDE w:val="0"/>
              <w:autoSpaceDN w:val="0"/>
              <w:adjustRightInd w:val="0"/>
              <w:ind w:left="-113"/>
              <w:textAlignment w:val="baseline"/>
              <w:rPr>
                <w:b/>
              </w:rPr>
            </w:pPr>
            <w:r w:rsidRPr="00316A9D">
              <w:rPr>
                <w:b/>
              </w:rPr>
              <w:t>Relatrice</w:t>
            </w:r>
          </w:p>
          <w:p w:rsidRPr="00316A9D" w:rsidR="00C02246" w:rsidP="00C02246" w:rsidRDefault="003D1AF1" w14:paraId="0BEF6CD3" w14:textId="11C420EB">
            <w:pPr>
              <w:overflowPunct w:val="0"/>
              <w:autoSpaceDE w:val="0"/>
              <w:autoSpaceDN w:val="0"/>
              <w:adjustRightInd w:val="0"/>
              <w:ind w:left="-113"/>
              <w:textAlignment w:val="baseline"/>
              <w:rPr>
                <w:b/>
              </w:rPr>
            </w:pPr>
            <w:r w:rsidRPr="00316A9D">
              <w:rPr>
                <w:b/>
              </w:rPr>
              <w:t>Correlatrice</w:t>
            </w:r>
          </w:p>
        </w:tc>
        <w:tc>
          <w:tcPr>
            <w:tcW w:w="3675" w:type="pct"/>
          </w:tcPr>
          <w:p w:rsidRPr="00316A9D" w:rsidR="00C02246" w:rsidP="00C02246" w:rsidRDefault="00C02246" w14:paraId="7B2E80CA" w14:textId="77777777">
            <w:pPr>
              <w:tabs>
                <w:tab w:val="left" w:pos="4572"/>
              </w:tabs>
              <w:overflowPunct w:val="0"/>
              <w:autoSpaceDE w:val="0"/>
              <w:autoSpaceDN w:val="0"/>
              <w:adjustRightInd w:val="0"/>
              <w:ind w:left="-113" w:right="-823"/>
              <w:textAlignment w:val="baseline"/>
            </w:pPr>
            <w:r w:rsidRPr="00316A9D">
              <w:t>Tatjana BABRAUSKIENĖ (Lavoratori - LT)</w:t>
            </w:r>
          </w:p>
          <w:p w:rsidRPr="00316A9D" w:rsidR="00C02246" w:rsidP="00C02246" w:rsidRDefault="00C02246" w14:paraId="420FB0AE" w14:textId="77777777">
            <w:pPr>
              <w:tabs>
                <w:tab w:val="left" w:pos="4430"/>
              </w:tabs>
              <w:overflowPunct w:val="0"/>
              <w:autoSpaceDE w:val="0"/>
              <w:autoSpaceDN w:val="0"/>
              <w:adjustRightInd w:val="0"/>
              <w:ind w:left="-113" w:right="-823"/>
              <w:textAlignment w:val="baseline"/>
            </w:pPr>
            <w:r w:rsidRPr="00316A9D">
              <w:t>Mariya MINCHEVA (Datori di lavoro- BG)</w:t>
            </w:r>
          </w:p>
        </w:tc>
      </w:tr>
      <w:tr w:rsidRPr="00316A9D" w:rsidR="00C02246" w:rsidTr="009839A2" w14:paraId="3D4FDF1C" w14:textId="77777777">
        <w:tc>
          <w:tcPr>
            <w:tcW w:w="5000" w:type="pct"/>
            <w:gridSpan w:val="2"/>
          </w:tcPr>
          <w:p w:rsidRPr="00316A9D" w:rsidR="00C02246" w:rsidP="00C02246" w:rsidRDefault="00C02246" w14:paraId="03430628" w14:textId="77777777">
            <w:pPr>
              <w:tabs>
                <w:tab w:val="left" w:pos="4430"/>
              </w:tabs>
              <w:overflowPunct w:val="0"/>
              <w:autoSpaceDE w:val="0"/>
              <w:autoSpaceDN w:val="0"/>
              <w:adjustRightInd w:val="0"/>
              <w:spacing w:line="160" w:lineRule="exact"/>
              <w:ind w:left="-113" w:right="-823"/>
              <w:textAlignment w:val="baseline"/>
            </w:pPr>
          </w:p>
        </w:tc>
      </w:tr>
      <w:tr w:rsidRPr="00316A9D" w:rsidR="00C02246" w:rsidTr="00AA5F9C" w14:paraId="0542E182" w14:textId="77777777">
        <w:tc>
          <w:tcPr>
            <w:tcW w:w="1325" w:type="pct"/>
            <w:vMerge w:val="restart"/>
          </w:tcPr>
          <w:p w:rsidRPr="00316A9D" w:rsidR="00C02246" w:rsidP="00C02246" w:rsidRDefault="00C02246" w14:paraId="3C2EFFF4" w14:textId="77777777">
            <w:pPr>
              <w:overflowPunct w:val="0"/>
              <w:autoSpaceDE w:val="0"/>
              <w:autoSpaceDN w:val="0"/>
              <w:adjustRightInd w:val="0"/>
              <w:ind w:left="-113"/>
              <w:textAlignment w:val="baseline"/>
              <w:rPr>
                <w:b/>
              </w:rPr>
            </w:pPr>
            <w:r w:rsidRPr="00316A9D">
              <w:rPr>
                <w:b/>
              </w:rPr>
              <w:t>Riferimenti</w:t>
            </w:r>
          </w:p>
        </w:tc>
        <w:tc>
          <w:tcPr>
            <w:tcW w:w="3675" w:type="pct"/>
          </w:tcPr>
          <w:p w:rsidRPr="00316A9D" w:rsidR="005A0D46" w:rsidP="00C02246" w:rsidRDefault="005A0D46" w14:paraId="3C7D2FE5" w14:textId="4E6798BE">
            <w:pPr>
              <w:tabs>
                <w:tab w:val="left" w:pos="4430"/>
              </w:tabs>
              <w:overflowPunct w:val="0"/>
              <w:autoSpaceDE w:val="0"/>
              <w:autoSpaceDN w:val="0"/>
              <w:adjustRightInd w:val="0"/>
              <w:ind w:left="-113" w:right="-823"/>
              <w:textAlignment w:val="baseline"/>
            </w:pPr>
            <w:r w:rsidRPr="00316A9D">
              <w:t>COM(2023) 715 final</w:t>
            </w:r>
          </w:p>
          <w:p w:rsidRPr="00316A9D" w:rsidR="005A0D46" w:rsidP="00C02246" w:rsidRDefault="005A0D46" w14:paraId="775B841E" w14:textId="2FE50257">
            <w:pPr>
              <w:tabs>
                <w:tab w:val="left" w:pos="4430"/>
              </w:tabs>
              <w:overflowPunct w:val="0"/>
              <w:autoSpaceDE w:val="0"/>
              <w:autoSpaceDN w:val="0"/>
              <w:adjustRightInd w:val="0"/>
              <w:ind w:left="-113" w:right="-823"/>
              <w:textAlignment w:val="baseline"/>
            </w:pPr>
            <w:r w:rsidRPr="00316A9D">
              <w:t>COM(2023) 716 final</w:t>
            </w:r>
          </w:p>
          <w:p w:rsidRPr="00316A9D" w:rsidR="005A0D46" w:rsidP="00C02246" w:rsidRDefault="005A0D46" w14:paraId="7F979E57" w14:textId="56F83962">
            <w:pPr>
              <w:tabs>
                <w:tab w:val="left" w:pos="4430"/>
              </w:tabs>
              <w:overflowPunct w:val="0"/>
              <w:autoSpaceDE w:val="0"/>
              <w:autoSpaceDN w:val="0"/>
              <w:adjustRightInd w:val="0"/>
              <w:ind w:left="-113" w:right="-823"/>
              <w:textAlignment w:val="baseline"/>
            </w:pPr>
            <w:r w:rsidRPr="00316A9D">
              <w:t>COM(2023) 719 final</w:t>
            </w:r>
          </w:p>
          <w:p w:rsidRPr="00316A9D" w:rsidR="00C02246" w:rsidP="00C02246" w:rsidRDefault="00C02246" w14:paraId="721E08C2" w14:textId="5C6F7F8D">
            <w:pPr>
              <w:tabs>
                <w:tab w:val="left" w:pos="4430"/>
              </w:tabs>
              <w:overflowPunct w:val="0"/>
              <w:autoSpaceDE w:val="0"/>
              <w:autoSpaceDN w:val="0"/>
              <w:adjustRightInd w:val="0"/>
              <w:ind w:left="-113" w:right="-823"/>
              <w:textAlignment w:val="baseline"/>
            </w:pPr>
            <w:r w:rsidRPr="00316A9D">
              <w:t>EESC-2024-00050-00-00-AC-TRA</w:t>
            </w:r>
          </w:p>
        </w:tc>
      </w:tr>
      <w:tr w:rsidRPr="00316A9D" w:rsidR="00C02246" w:rsidTr="00AA5F9C" w14:paraId="23DB36E9" w14:textId="77777777">
        <w:tc>
          <w:tcPr>
            <w:tcW w:w="1325" w:type="pct"/>
            <w:vMerge/>
          </w:tcPr>
          <w:p w:rsidRPr="00316A9D" w:rsidR="00C02246" w:rsidP="00C02246" w:rsidRDefault="00C02246" w14:paraId="71D1E269" w14:textId="77777777">
            <w:pPr>
              <w:tabs>
                <w:tab w:val="center" w:pos="284"/>
              </w:tabs>
              <w:overflowPunct w:val="0"/>
              <w:autoSpaceDE w:val="0"/>
              <w:autoSpaceDN w:val="0"/>
              <w:adjustRightInd w:val="0"/>
              <w:ind w:left="266" w:hanging="266"/>
              <w:textAlignment w:val="baseline"/>
              <w:rPr>
                <w:b/>
              </w:rPr>
            </w:pPr>
          </w:p>
        </w:tc>
        <w:tc>
          <w:tcPr>
            <w:tcW w:w="3675" w:type="pct"/>
          </w:tcPr>
          <w:p w:rsidRPr="00316A9D" w:rsidR="00C02246" w:rsidP="00C02246" w:rsidRDefault="00C02246" w14:paraId="1BE7BA1A" w14:textId="77777777">
            <w:pPr>
              <w:tabs>
                <w:tab w:val="center" w:pos="284"/>
                <w:tab w:val="left" w:pos="4430"/>
              </w:tabs>
              <w:overflowPunct w:val="0"/>
              <w:autoSpaceDE w:val="0"/>
              <w:autoSpaceDN w:val="0"/>
              <w:adjustRightInd w:val="0"/>
              <w:ind w:left="266" w:right="-823" w:hanging="266"/>
              <w:textAlignment w:val="baseline"/>
            </w:pPr>
          </w:p>
        </w:tc>
      </w:tr>
    </w:tbl>
    <w:p w:rsidRPr="00316A9D" w:rsidR="00C02246" w:rsidP="00C02246" w:rsidRDefault="00C02246" w14:paraId="2BD65CB7" w14:textId="77777777">
      <w:pPr>
        <w:keepNext/>
        <w:keepLines/>
        <w:tabs>
          <w:tab w:val="center" w:pos="284"/>
        </w:tabs>
        <w:overflowPunct w:val="0"/>
        <w:autoSpaceDE w:val="0"/>
        <w:autoSpaceDN w:val="0"/>
        <w:adjustRightInd w:val="0"/>
        <w:ind w:left="266" w:hanging="266"/>
        <w:textAlignment w:val="baseline"/>
        <w:rPr>
          <w:b/>
        </w:rPr>
      </w:pPr>
      <w:r w:rsidRPr="00316A9D">
        <w:rPr>
          <w:b/>
        </w:rPr>
        <w:t>Punti principali</w:t>
      </w:r>
    </w:p>
    <w:p w:rsidRPr="00316A9D" w:rsidR="00C02246" w:rsidP="00C02246" w:rsidRDefault="00C02246" w14:paraId="59AFAAAD" w14:textId="13885E73">
      <w:pPr>
        <w:keepNext/>
        <w:keepLines/>
        <w:tabs>
          <w:tab w:val="center" w:pos="284"/>
        </w:tabs>
        <w:overflowPunct w:val="0"/>
        <w:autoSpaceDE w:val="0"/>
        <w:autoSpaceDN w:val="0"/>
        <w:adjustRightInd w:val="0"/>
        <w:ind w:left="266" w:hanging="266"/>
        <w:textAlignment w:val="baseline"/>
        <w:rPr>
          <w:b/>
        </w:rPr>
      </w:pPr>
    </w:p>
    <w:p w:rsidRPr="00316A9D" w:rsidR="00C02246" w:rsidP="00C02246" w:rsidRDefault="00C02246" w14:paraId="433392A7" w14:textId="3B02742C">
      <w:pPr>
        <w:keepNext/>
        <w:keepLines/>
        <w:tabs>
          <w:tab w:val="center" w:pos="284"/>
        </w:tabs>
        <w:overflowPunct w:val="0"/>
        <w:autoSpaceDE w:val="0"/>
        <w:autoSpaceDN w:val="0"/>
        <w:adjustRightInd w:val="0"/>
        <w:ind w:left="266" w:hanging="266"/>
        <w:textAlignment w:val="baseline"/>
        <w:rPr>
          <w:szCs w:val="20"/>
        </w:rPr>
      </w:pPr>
      <w:r w:rsidRPr="00316A9D">
        <w:t>Il CESE:</w:t>
      </w:r>
    </w:p>
    <w:p w:rsidRPr="00316A9D" w:rsidR="00C02246" w:rsidP="00AA5F9C" w:rsidRDefault="00C02246" w14:paraId="2C8DE869" w14:textId="77777777">
      <w:pPr>
        <w:numPr>
          <w:ilvl w:val="0"/>
          <w:numId w:val="51"/>
        </w:numPr>
        <w:overflowPunct w:val="0"/>
        <w:autoSpaceDE w:val="0"/>
        <w:autoSpaceDN w:val="0"/>
        <w:adjustRightInd w:val="0"/>
        <w:ind w:left="426" w:hanging="426"/>
        <w:textAlignment w:val="baseline"/>
        <w:outlineLvl w:val="1"/>
        <w:rPr>
          <w:szCs w:val="20"/>
        </w:rPr>
      </w:pPr>
      <w:r w:rsidRPr="00316A9D">
        <w:t xml:space="preserve">sottolinea che è estremamente importante che il bacino di talenti dell'UE sia uno </w:t>
      </w:r>
      <w:r w:rsidRPr="00316A9D">
        <w:rPr>
          <w:b/>
        </w:rPr>
        <w:t>strumento pratico, affidabile, di facile utilizzo e</w:t>
      </w:r>
      <w:r w:rsidRPr="00316A9D">
        <w:t xml:space="preserve"> </w:t>
      </w:r>
      <w:r w:rsidRPr="00316A9D">
        <w:rPr>
          <w:b/>
        </w:rPr>
        <w:t>attraente per i lavoratori e i datori di lavoro</w:t>
      </w:r>
      <w:r w:rsidRPr="00316A9D">
        <w:t xml:space="preserve">, e che sia in grado di sostenere una </w:t>
      </w:r>
      <w:r w:rsidRPr="00316A9D">
        <w:rPr>
          <w:b/>
        </w:rPr>
        <w:t xml:space="preserve">migrazione legale di manodopera </w:t>
      </w:r>
      <w:r w:rsidRPr="00316A9D">
        <w:t>equa ed etica nell'Unione europea;</w:t>
      </w:r>
    </w:p>
    <w:p w:rsidRPr="00316A9D" w:rsidR="00C02246" w:rsidP="00AA5F9C" w:rsidRDefault="00C02246" w14:paraId="5B19D285" w14:textId="77777777">
      <w:pPr>
        <w:numPr>
          <w:ilvl w:val="0"/>
          <w:numId w:val="51"/>
        </w:numPr>
        <w:overflowPunct w:val="0"/>
        <w:autoSpaceDE w:val="0"/>
        <w:autoSpaceDN w:val="0"/>
        <w:adjustRightInd w:val="0"/>
        <w:ind w:left="426" w:hanging="426"/>
        <w:textAlignment w:val="baseline"/>
        <w:outlineLvl w:val="1"/>
        <w:rPr>
          <w:szCs w:val="20"/>
        </w:rPr>
      </w:pPr>
      <w:r w:rsidRPr="00316A9D">
        <w:t xml:space="preserve">sottolinea che </w:t>
      </w:r>
      <w:r w:rsidRPr="00316A9D">
        <w:rPr>
          <w:b/>
        </w:rPr>
        <w:t>i cittadini di paesi terzi già presenti sul territorio dell'UE</w:t>
      </w:r>
      <w:r w:rsidRPr="00316A9D">
        <w:t xml:space="preserve"> (richiedenti asilo, persone senza permesso di lavoro, persone che sono entrate nell'UE per motivi di ricongiungimento familiare) costituiscono </w:t>
      </w:r>
      <w:r w:rsidRPr="00316A9D">
        <w:rPr>
          <w:b/>
        </w:rPr>
        <w:t>un bacino di potenziali lavoratori sottoutilizzato</w:t>
      </w:r>
      <w:r w:rsidRPr="00316A9D">
        <w:t xml:space="preserve"> che può contribuire a soddisfare le esigenze del mercato del lavoro. È indispensabile sostenere queste persone per facilitare la loro integrazione nel mercato del lavoro;</w:t>
      </w:r>
    </w:p>
    <w:p w:rsidRPr="00316A9D" w:rsidR="00C02246" w:rsidP="00AA5F9C" w:rsidRDefault="00C02246" w14:paraId="08AE1202" w14:textId="77777777">
      <w:pPr>
        <w:numPr>
          <w:ilvl w:val="0"/>
          <w:numId w:val="51"/>
        </w:numPr>
        <w:overflowPunct w:val="0"/>
        <w:autoSpaceDE w:val="0"/>
        <w:autoSpaceDN w:val="0"/>
        <w:adjustRightInd w:val="0"/>
        <w:ind w:left="426" w:hanging="426"/>
        <w:textAlignment w:val="baseline"/>
        <w:outlineLvl w:val="1"/>
        <w:rPr>
          <w:szCs w:val="20"/>
        </w:rPr>
      </w:pPr>
      <w:r w:rsidRPr="00316A9D">
        <w:t xml:space="preserve">invita gli Stati membri a </w:t>
      </w:r>
      <w:r w:rsidRPr="00316A9D">
        <w:rPr>
          <w:b/>
        </w:rPr>
        <w:t>garantire che vi sia un ambiente accogliente per i lavoratori migranti e rifugiati in tutti gli Stati membri</w:t>
      </w:r>
      <w:r w:rsidRPr="00316A9D">
        <w:t xml:space="preserve">, a </w:t>
      </w:r>
      <w:r w:rsidRPr="00316A9D">
        <w:rPr>
          <w:b/>
        </w:rPr>
        <w:t>collaborare con le parti sociali</w:t>
      </w:r>
      <w:r w:rsidRPr="00316A9D">
        <w:t xml:space="preserve"> e le </w:t>
      </w:r>
      <w:r w:rsidRPr="00316A9D">
        <w:rPr>
          <w:b/>
        </w:rPr>
        <w:t>organizzazioni della società civile</w:t>
      </w:r>
      <w:r w:rsidRPr="00316A9D">
        <w:t xml:space="preserve"> per modificare le dichiarazioni e la narrazione negative relative alla migrazione legale;</w:t>
      </w:r>
    </w:p>
    <w:p w:rsidRPr="00316A9D" w:rsidR="00C02246" w:rsidP="00AA5F9C" w:rsidRDefault="00C02246" w14:paraId="18F59A77" w14:textId="77777777">
      <w:pPr>
        <w:numPr>
          <w:ilvl w:val="0"/>
          <w:numId w:val="51"/>
        </w:numPr>
        <w:overflowPunct w:val="0"/>
        <w:autoSpaceDE w:val="0"/>
        <w:autoSpaceDN w:val="0"/>
        <w:adjustRightInd w:val="0"/>
        <w:ind w:left="426" w:hanging="426"/>
        <w:textAlignment w:val="baseline"/>
        <w:outlineLvl w:val="1"/>
        <w:rPr>
          <w:szCs w:val="20"/>
        </w:rPr>
      </w:pPr>
      <w:r w:rsidRPr="00316A9D">
        <w:t xml:space="preserve">raccomanda di attuare l'iniziativa relativa al bacino di talenti parallelamente all'iniziativa dell'UE </w:t>
      </w:r>
      <w:r w:rsidRPr="00316A9D">
        <w:rPr>
          <w:i/>
        </w:rPr>
        <w:t>Utilizzo dei talenti nelle regioni d'Europa</w:t>
      </w:r>
      <w:r w:rsidRPr="00316A9D">
        <w:t xml:space="preserve"> per </w:t>
      </w:r>
      <w:r w:rsidRPr="00316A9D">
        <w:rPr>
          <w:b/>
        </w:rPr>
        <w:t>evitare una fuga di cervelli</w:t>
      </w:r>
      <w:r w:rsidRPr="00316A9D">
        <w:t xml:space="preserve"> (all'interno e all'esterno dell'UE) nelle professioni in cui si registra una carenza di manodopera. Anche la </w:t>
      </w:r>
      <w:r w:rsidRPr="00316A9D">
        <w:rPr>
          <w:b/>
        </w:rPr>
        <w:t>migrazione circolare</w:t>
      </w:r>
      <w:r w:rsidRPr="00316A9D">
        <w:t xml:space="preserve"> può rappresentare uno strumento utile a tale riguardo;</w:t>
      </w:r>
    </w:p>
    <w:p w:rsidRPr="00316A9D" w:rsidR="00C02246" w:rsidP="00AA5F9C" w:rsidRDefault="00C02246" w14:paraId="21338280" w14:textId="77777777">
      <w:pPr>
        <w:numPr>
          <w:ilvl w:val="0"/>
          <w:numId w:val="51"/>
        </w:numPr>
        <w:overflowPunct w:val="0"/>
        <w:autoSpaceDE w:val="0"/>
        <w:autoSpaceDN w:val="0"/>
        <w:adjustRightInd w:val="0"/>
        <w:ind w:left="426" w:hanging="426"/>
        <w:textAlignment w:val="baseline"/>
        <w:outlineLvl w:val="1"/>
        <w:rPr>
          <w:szCs w:val="20"/>
        </w:rPr>
      </w:pPr>
      <w:r w:rsidRPr="00316A9D">
        <w:t xml:space="preserve">sottolinea la necessità che le </w:t>
      </w:r>
      <w:r w:rsidRPr="00316A9D">
        <w:rPr>
          <w:b/>
        </w:rPr>
        <w:t>abilità e le competenze dei lavoratori di paesi terzi</w:t>
      </w:r>
      <w:r w:rsidRPr="00316A9D">
        <w:t xml:space="preserve"> siano </w:t>
      </w:r>
      <w:r w:rsidRPr="00316A9D">
        <w:rPr>
          <w:b/>
        </w:rPr>
        <w:t>valutate e convalidate rapidamente</w:t>
      </w:r>
      <w:r w:rsidRPr="00316A9D">
        <w:t xml:space="preserve">, per garantire che le loro </w:t>
      </w:r>
      <w:r w:rsidRPr="00316A9D">
        <w:rPr>
          <w:b/>
        </w:rPr>
        <w:t>competenze siano certificate</w:t>
      </w:r>
      <w:r w:rsidRPr="00316A9D">
        <w:t xml:space="preserve"> e che possano ottenere le loro </w:t>
      </w:r>
      <w:r w:rsidRPr="00316A9D">
        <w:rPr>
          <w:b/>
        </w:rPr>
        <w:t>qualifiche quando necessario</w:t>
      </w:r>
      <w:r w:rsidRPr="00316A9D">
        <w:t xml:space="preserve">. Le procedure dovrebbero mirare a </w:t>
      </w:r>
      <w:r w:rsidRPr="00316A9D">
        <w:rPr>
          <w:b/>
        </w:rPr>
        <w:t>ridurre l'onere amministrativo della prova</w:t>
      </w:r>
      <w:r w:rsidRPr="00316A9D">
        <w:t xml:space="preserve"> per i richiedenti, in particolare nei casi in cui i documenti siano stati dimenticati o smarriti durante il viaggio di migrazione;</w:t>
      </w:r>
    </w:p>
    <w:p w:rsidRPr="00316A9D" w:rsidR="00C02246" w:rsidP="00AA5F9C" w:rsidRDefault="00C02246" w14:paraId="502235FA" w14:textId="77777777">
      <w:pPr>
        <w:numPr>
          <w:ilvl w:val="0"/>
          <w:numId w:val="51"/>
        </w:numPr>
        <w:overflowPunct w:val="0"/>
        <w:autoSpaceDE w:val="0"/>
        <w:autoSpaceDN w:val="0"/>
        <w:adjustRightInd w:val="0"/>
        <w:ind w:left="426" w:hanging="426"/>
        <w:textAlignment w:val="baseline"/>
        <w:outlineLvl w:val="1"/>
        <w:rPr>
          <w:szCs w:val="20"/>
        </w:rPr>
      </w:pPr>
      <w:r w:rsidRPr="00316A9D">
        <w:t xml:space="preserve">invita gli Stati membri a </w:t>
      </w:r>
      <w:r w:rsidRPr="00316A9D">
        <w:rPr>
          <w:b/>
        </w:rPr>
        <w:t>garantire investimenti pubblici nelle scuole e negli istituti di istruzione</w:t>
      </w:r>
      <w:r w:rsidRPr="00316A9D">
        <w:t xml:space="preserve"> affinché siano in grado di fornire </w:t>
      </w:r>
      <w:r w:rsidRPr="00316A9D">
        <w:rPr>
          <w:b/>
        </w:rPr>
        <w:t>orientamento e consulenza affidabili e di qualità</w:t>
      </w:r>
      <w:r w:rsidRPr="00316A9D">
        <w:t xml:space="preserve"> sulle opportunità di mobilità ai fini dell'apprendimento a sostegno dello sviluppo professionale e dell'apprendimento permanente; tali servizi devono essere disponibili a titolo gratuito, al fine di motivare i discenti a richiedere la mobilità ai fini dell'apprendimento in un altro Stato membro dell'UE;</w:t>
      </w:r>
    </w:p>
    <w:p w:rsidRPr="00316A9D" w:rsidR="00C02246" w:rsidP="00AA5F9C" w:rsidRDefault="00C02246" w14:paraId="2A3B9E3A" w14:textId="55760352">
      <w:pPr>
        <w:keepNext/>
        <w:keepLines/>
        <w:widowControl w:val="0"/>
        <w:numPr>
          <w:ilvl w:val="0"/>
          <w:numId w:val="51"/>
        </w:numPr>
        <w:overflowPunct w:val="0"/>
        <w:autoSpaceDE w:val="0"/>
        <w:autoSpaceDN w:val="0"/>
        <w:adjustRightInd w:val="0"/>
        <w:ind w:left="709" w:hanging="426"/>
        <w:textAlignment w:val="baseline"/>
        <w:outlineLvl w:val="2"/>
        <w:rPr>
          <w:sz w:val="16"/>
          <w:szCs w:val="16"/>
        </w:rPr>
      </w:pPr>
      <w:r w:rsidRPr="00316A9D">
        <w:lastRenderedPageBreak/>
        <w:t xml:space="preserve">chiede agli Stati membri di </w:t>
      </w:r>
      <w:r w:rsidRPr="00316A9D">
        <w:rPr>
          <w:b/>
        </w:rPr>
        <w:t>garantire la mobilità degli insegnanti ai fini dell'apprendimento</w:t>
      </w:r>
      <w:r w:rsidRPr="00316A9D">
        <w:t xml:space="preserve">, </w:t>
      </w:r>
      <w:r w:rsidRPr="00316A9D">
        <w:rPr>
          <w:b/>
        </w:rPr>
        <w:t>risolvendo i problemi legati alle sostituzioni e alla carenza di docenti</w:t>
      </w:r>
      <w:r w:rsidRPr="00316A9D">
        <w:t>. La professione deve essere resa attraente, offrendo buone condizioni di lavoro, retribuzioni eque, l'accesso a un'istruzione iniziale di qualità, uno sviluppo professionale continuo e lo sviluppo della carriera per assicurare un'istruzione di qualità.</w:t>
      </w:r>
    </w:p>
    <w:p w:rsidRPr="00316A9D" w:rsidR="00316A9D" w:rsidP="00316A9D" w:rsidRDefault="00316A9D" w14:paraId="2B6A427F" w14:textId="77777777">
      <w:pPr>
        <w:keepNext/>
        <w:keepLines/>
        <w:widowControl w:val="0"/>
        <w:overflowPunct w:val="0"/>
        <w:autoSpaceDE w:val="0"/>
        <w:autoSpaceDN w:val="0"/>
        <w:adjustRightInd w:val="0"/>
        <w:ind w:left="709"/>
        <w:textAlignment w:val="baseline"/>
        <w:outlineLvl w:val="2"/>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316A9D" w:rsidR="00C02246" w:rsidTr="009839A2" w14:paraId="3A0423FC" w14:textId="77777777">
        <w:tc>
          <w:tcPr>
            <w:tcW w:w="1556" w:type="pct"/>
          </w:tcPr>
          <w:p w:rsidRPr="00316A9D" w:rsidR="00C02246" w:rsidP="00C02246" w:rsidRDefault="00C02246" w14:paraId="4C31CDD8" w14:textId="688A86F3">
            <w:pPr>
              <w:keepNext/>
              <w:keepLines/>
              <w:overflowPunct w:val="0"/>
              <w:autoSpaceDE w:val="0"/>
              <w:autoSpaceDN w:val="0"/>
              <w:adjustRightInd w:val="0"/>
              <w:spacing w:line="240" w:lineRule="auto"/>
              <w:textAlignment w:val="baseline"/>
              <w:rPr>
                <w:i/>
              </w:rPr>
            </w:pPr>
            <w:r w:rsidRPr="00316A9D">
              <w:rPr>
                <w:b/>
                <w:i/>
              </w:rPr>
              <w:t>Contatto</w:t>
            </w:r>
          </w:p>
        </w:tc>
        <w:tc>
          <w:tcPr>
            <w:tcW w:w="3444" w:type="pct"/>
          </w:tcPr>
          <w:p w:rsidRPr="00316A9D" w:rsidR="00C02246" w:rsidP="00C02246" w:rsidRDefault="00C02246" w14:paraId="2DB2A8D8" w14:textId="4182F0F6">
            <w:pPr>
              <w:keepNext/>
              <w:keepLines/>
              <w:overflowPunct w:val="0"/>
              <w:autoSpaceDE w:val="0"/>
              <w:autoSpaceDN w:val="0"/>
              <w:adjustRightInd w:val="0"/>
              <w:spacing w:line="240" w:lineRule="auto"/>
              <w:textAlignment w:val="baseline"/>
              <w:rPr>
                <w:i/>
              </w:rPr>
            </w:pPr>
            <w:r w:rsidRPr="00316A9D">
              <w:rPr>
                <w:i/>
              </w:rPr>
              <w:t>Triin AASMAA GOMES</w:t>
            </w:r>
          </w:p>
        </w:tc>
      </w:tr>
      <w:tr w:rsidRPr="00316A9D" w:rsidR="00C02246" w:rsidTr="009839A2" w14:paraId="20EEC880" w14:textId="77777777">
        <w:tc>
          <w:tcPr>
            <w:tcW w:w="1556" w:type="pct"/>
          </w:tcPr>
          <w:p w:rsidRPr="00316A9D" w:rsidR="00C02246" w:rsidP="00C02246" w:rsidRDefault="00C02246" w14:paraId="4BE55941" w14:textId="77777777">
            <w:pPr>
              <w:keepNext/>
              <w:keepLines/>
              <w:overflowPunct w:val="0"/>
              <w:autoSpaceDE w:val="0"/>
              <w:autoSpaceDN w:val="0"/>
              <w:adjustRightInd w:val="0"/>
              <w:spacing w:line="240" w:lineRule="auto"/>
              <w:textAlignment w:val="baseline"/>
              <w:rPr>
                <w:i/>
              </w:rPr>
            </w:pPr>
            <w:r w:rsidRPr="00316A9D">
              <w:rPr>
                <w:i/>
              </w:rPr>
              <w:t>Tel.</w:t>
            </w:r>
          </w:p>
        </w:tc>
        <w:tc>
          <w:tcPr>
            <w:tcW w:w="3444" w:type="pct"/>
          </w:tcPr>
          <w:p w:rsidRPr="00316A9D" w:rsidR="00C02246" w:rsidP="00C02246" w:rsidRDefault="00C02246" w14:paraId="389E033B" w14:textId="77777777">
            <w:pPr>
              <w:keepNext/>
              <w:keepLines/>
              <w:overflowPunct w:val="0"/>
              <w:autoSpaceDE w:val="0"/>
              <w:autoSpaceDN w:val="0"/>
              <w:adjustRightInd w:val="0"/>
              <w:spacing w:line="240" w:lineRule="auto"/>
              <w:textAlignment w:val="baseline"/>
              <w:rPr>
                <w:i/>
              </w:rPr>
            </w:pPr>
            <w:r w:rsidRPr="00316A9D">
              <w:rPr>
                <w:i/>
              </w:rPr>
              <w:t>+32 25469524</w:t>
            </w:r>
          </w:p>
        </w:tc>
      </w:tr>
      <w:tr w:rsidRPr="00316A9D" w:rsidR="00C02246" w:rsidTr="009839A2" w14:paraId="657C7FF4" w14:textId="77777777">
        <w:tc>
          <w:tcPr>
            <w:tcW w:w="1556" w:type="pct"/>
          </w:tcPr>
          <w:p w:rsidRPr="00316A9D" w:rsidR="00C02246" w:rsidP="00C02246" w:rsidRDefault="003D1AF1" w14:paraId="038E96B8" w14:textId="2C17288E">
            <w:pPr>
              <w:keepNext/>
              <w:keepLines/>
              <w:overflowPunct w:val="0"/>
              <w:autoSpaceDE w:val="0"/>
              <w:autoSpaceDN w:val="0"/>
              <w:adjustRightInd w:val="0"/>
              <w:spacing w:line="240" w:lineRule="auto"/>
              <w:textAlignment w:val="baseline"/>
              <w:rPr>
                <w:i/>
              </w:rPr>
            </w:pPr>
            <w:r w:rsidRPr="00316A9D">
              <w:rPr>
                <w:i/>
              </w:rPr>
              <w:t>E</w:t>
            </w:r>
            <w:r w:rsidRPr="00316A9D" w:rsidR="00C02246">
              <w:rPr>
                <w:i/>
              </w:rPr>
              <w:t>-mail</w:t>
            </w:r>
          </w:p>
        </w:tc>
        <w:tc>
          <w:tcPr>
            <w:tcW w:w="3444" w:type="pct"/>
          </w:tcPr>
          <w:p w:rsidRPr="00316A9D" w:rsidR="00C02246" w:rsidP="00C02246" w:rsidRDefault="003A440F" w14:paraId="1038B783" w14:textId="77777777">
            <w:pPr>
              <w:keepNext/>
              <w:keepLines/>
              <w:overflowPunct w:val="0"/>
              <w:autoSpaceDE w:val="0"/>
              <w:autoSpaceDN w:val="0"/>
              <w:adjustRightInd w:val="0"/>
              <w:spacing w:line="240" w:lineRule="auto"/>
              <w:textAlignment w:val="baseline"/>
              <w:rPr>
                <w:i/>
              </w:rPr>
            </w:pPr>
            <w:hyperlink w:history="1" r:id="rId32">
              <w:r w:rsidRPr="00316A9D" w:rsidR="00F76B5D">
                <w:rPr>
                  <w:i/>
                  <w:color w:val="0000FF"/>
                  <w:u w:val="single"/>
                </w:rPr>
                <w:t>Triin.AasmaaGomes@eesc.europa.eu</w:t>
              </w:r>
            </w:hyperlink>
          </w:p>
          <w:p w:rsidRPr="00316A9D" w:rsidR="00C02246" w:rsidP="00C02246" w:rsidRDefault="00C02246" w14:paraId="6AE4C593" w14:textId="77777777">
            <w:pPr>
              <w:keepNext/>
              <w:keepLines/>
              <w:overflowPunct w:val="0"/>
              <w:autoSpaceDE w:val="0"/>
              <w:autoSpaceDN w:val="0"/>
              <w:adjustRightInd w:val="0"/>
              <w:spacing w:line="240" w:lineRule="auto"/>
              <w:textAlignment w:val="baseline"/>
              <w:rPr>
                <w:i/>
              </w:rPr>
            </w:pPr>
          </w:p>
        </w:tc>
      </w:tr>
    </w:tbl>
    <w:p w:rsidRPr="00316A9D" w:rsidR="00502E1F" w:rsidRDefault="00502E1F" w14:paraId="540440D8" w14:textId="77777777">
      <w:pPr>
        <w:spacing w:after="160" w:line="259" w:lineRule="auto"/>
        <w:jc w:val="left"/>
      </w:pPr>
      <w:r w:rsidRPr="00316A9D">
        <w:br w:type="page"/>
      </w:r>
    </w:p>
    <w:p w:rsidRPr="00316A9D" w:rsidR="00E038A6" w:rsidP="00401E8F" w:rsidRDefault="003A440F" w14:paraId="5C95610E" w14:textId="7F0F7626">
      <w:pPr>
        <w:widowControl w:val="0"/>
        <w:numPr>
          <w:ilvl w:val="0"/>
          <w:numId w:val="25"/>
        </w:numPr>
        <w:overflowPunct w:val="0"/>
        <w:autoSpaceDE w:val="0"/>
        <w:autoSpaceDN w:val="0"/>
        <w:adjustRightInd w:val="0"/>
        <w:ind w:left="567" w:hanging="567"/>
        <w:textAlignment w:val="baseline"/>
        <w:rPr>
          <w:b/>
        </w:rPr>
      </w:pPr>
      <w:hyperlink w:history="1" r:id="rId33">
        <w:r w:rsidRPr="00316A9D" w:rsidR="008772F9">
          <w:rPr>
            <w:b/>
            <w:i/>
            <w:color w:val="0000FF"/>
            <w:sz w:val="28"/>
            <w:u w:val="single"/>
          </w:rPr>
          <w:t>Tabella di marcia per contrastare il traffico di droga</w:t>
        </w:r>
      </w:hyperlink>
    </w:p>
    <w:p w:rsidRPr="00316A9D" w:rsidR="00546217" w:rsidP="00AA5F9C" w:rsidRDefault="00546217" w14:paraId="075DB64D" w14:textId="77777777">
      <w:pPr>
        <w:widowControl w:val="0"/>
        <w:overflowPunct w:val="0"/>
        <w:autoSpaceDE w:val="0"/>
        <w:autoSpaceDN w:val="0"/>
        <w:adjustRightInd w:val="0"/>
        <w:ind w:left="360"/>
        <w:textAlignment w:val="baseline"/>
        <w:rPr>
          <w:b/>
          <w:sz w:val="18"/>
          <w:szCs w:val="18"/>
        </w:rPr>
      </w:pPr>
    </w:p>
    <w:tbl>
      <w:tblPr>
        <w:tblStyle w:val="TableGrid201"/>
        <w:tblW w:w="45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5"/>
        <w:gridCol w:w="6614"/>
      </w:tblGrid>
      <w:tr w:rsidRPr="00316A9D" w:rsidR="00E038A6" w:rsidTr="009839A2" w14:paraId="2DD5210D" w14:textId="77777777">
        <w:trPr>
          <w:trHeight w:val="399"/>
        </w:trPr>
        <w:tc>
          <w:tcPr>
            <w:tcW w:w="942" w:type="pct"/>
          </w:tcPr>
          <w:p w:rsidRPr="00316A9D" w:rsidR="00E038A6" w:rsidP="00E038A6" w:rsidRDefault="003D1AF1" w14:paraId="69B94B46" w14:textId="26DA0677">
            <w:pPr>
              <w:tabs>
                <w:tab w:val="center" w:pos="284"/>
              </w:tabs>
              <w:overflowPunct w:val="0"/>
              <w:autoSpaceDE w:val="0"/>
              <w:autoSpaceDN w:val="0"/>
              <w:adjustRightInd w:val="0"/>
              <w:ind w:left="266" w:hanging="266"/>
              <w:textAlignment w:val="baseline"/>
              <w:rPr>
                <w:b/>
              </w:rPr>
            </w:pPr>
            <w:r w:rsidRPr="00316A9D">
              <w:rPr>
                <w:b/>
              </w:rPr>
              <w:t>Relatore</w:t>
            </w:r>
          </w:p>
        </w:tc>
        <w:tc>
          <w:tcPr>
            <w:tcW w:w="4058" w:type="pct"/>
          </w:tcPr>
          <w:p w:rsidRPr="00316A9D" w:rsidR="00E038A6" w:rsidP="00E038A6" w:rsidRDefault="00E038A6" w14:paraId="04899992" w14:textId="1F91136A">
            <w:pPr>
              <w:overflowPunct w:val="0"/>
              <w:autoSpaceDE w:val="0"/>
              <w:autoSpaceDN w:val="0"/>
              <w:adjustRightInd w:val="0"/>
              <w:textAlignment w:val="baseline"/>
            </w:pPr>
            <w:r w:rsidRPr="00316A9D">
              <w:t>Christian MOOS (Organizzazioni della società civile - DE)</w:t>
            </w:r>
          </w:p>
        </w:tc>
      </w:tr>
      <w:tr w:rsidRPr="00316A9D" w:rsidR="00E038A6" w:rsidTr="009839A2" w14:paraId="36E2C444" w14:textId="77777777">
        <w:trPr>
          <w:trHeight w:val="255"/>
        </w:trPr>
        <w:tc>
          <w:tcPr>
            <w:tcW w:w="942" w:type="pct"/>
            <w:vMerge w:val="restart"/>
          </w:tcPr>
          <w:p w:rsidRPr="00316A9D" w:rsidR="00E038A6" w:rsidP="00E038A6" w:rsidRDefault="00E038A6" w14:paraId="6461AD3D" w14:textId="77777777">
            <w:pPr>
              <w:tabs>
                <w:tab w:val="center" w:pos="284"/>
              </w:tabs>
              <w:overflowPunct w:val="0"/>
              <w:autoSpaceDE w:val="0"/>
              <w:autoSpaceDN w:val="0"/>
              <w:adjustRightInd w:val="0"/>
              <w:ind w:left="266" w:hanging="266"/>
              <w:textAlignment w:val="baseline"/>
              <w:rPr>
                <w:b/>
              </w:rPr>
            </w:pPr>
            <w:r w:rsidRPr="00316A9D">
              <w:rPr>
                <w:b/>
              </w:rPr>
              <w:t>Riferimenti</w:t>
            </w:r>
          </w:p>
        </w:tc>
        <w:tc>
          <w:tcPr>
            <w:tcW w:w="4058" w:type="pct"/>
          </w:tcPr>
          <w:p w:rsidRPr="00316A9D" w:rsidR="00E038A6" w:rsidP="00E038A6" w:rsidRDefault="003D1AF1" w14:paraId="123FDBDF" w14:textId="2685D695">
            <w:pPr>
              <w:tabs>
                <w:tab w:val="center" w:pos="284"/>
              </w:tabs>
              <w:overflowPunct w:val="0"/>
              <w:autoSpaceDE w:val="0"/>
              <w:autoSpaceDN w:val="0"/>
              <w:adjustRightInd w:val="0"/>
              <w:ind w:left="266" w:hanging="266"/>
              <w:textAlignment w:val="baseline"/>
            </w:pPr>
            <w:r w:rsidRPr="00316A9D">
              <w:t>COM(</w:t>
            </w:r>
            <w:r w:rsidRPr="00316A9D" w:rsidR="00E038A6">
              <w:t>2023) 641 final</w:t>
            </w:r>
          </w:p>
        </w:tc>
      </w:tr>
      <w:tr w:rsidRPr="00316A9D" w:rsidR="00E038A6" w:rsidTr="009839A2" w14:paraId="44CA84AF" w14:textId="77777777">
        <w:trPr>
          <w:trHeight w:val="262"/>
        </w:trPr>
        <w:tc>
          <w:tcPr>
            <w:tcW w:w="942" w:type="pct"/>
            <w:vMerge/>
          </w:tcPr>
          <w:p w:rsidRPr="00316A9D" w:rsidR="00E038A6" w:rsidP="00E038A6" w:rsidRDefault="00E038A6" w14:paraId="34903EC5" w14:textId="77777777">
            <w:pPr>
              <w:tabs>
                <w:tab w:val="center" w:pos="284"/>
              </w:tabs>
              <w:overflowPunct w:val="0"/>
              <w:autoSpaceDE w:val="0"/>
              <w:autoSpaceDN w:val="0"/>
              <w:adjustRightInd w:val="0"/>
              <w:ind w:left="266" w:hanging="266"/>
              <w:textAlignment w:val="baseline"/>
              <w:rPr>
                <w:b/>
              </w:rPr>
            </w:pPr>
          </w:p>
        </w:tc>
        <w:tc>
          <w:tcPr>
            <w:tcW w:w="4058" w:type="pct"/>
          </w:tcPr>
          <w:p w:rsidRPr="00316A9D" w:rsidR="00E038A6" w:rsidP="00E038A6" w:rsidRDefault="00E038A6" w14:paraId="1CC4CBC8" w14:textId="77777777">
            <w:pPr>
              <w:tabs>
                <w:tab w:val="center" w:pos="284"/>
              </w:tabs>
              <w:overflowPunct w:val="0"/>
              <w:autoSpaceDE w:val="0"/>
              <w:autoSpaceDN w:val="0"/>
              <w:adjustRightInd w:val="0"/>
              <w:ind w:left="266" w:hanging="266"/>
              <w:textAlignment w:val="baseline"/>
            </w:pPr>
            <w:r w:rsidRPr="00316A9D">
              <w:t>EESC-2023-05604-00-00-AC-TRA</w:t>
            </w:r>
          </w:p>
        </w:tc>
      </w:tr>
    </w:tbl>
    <w:p w:rsidRPr="00316A9D" w:rsidR="00E038A6" w:rsidP="00E038A6" w:rsidRDefault="00E038A6" w14:paraId="2850FCED" w14:textId="719C1CAB">
      <w:pPr>
        <w:tabs>
          <w:tab w:val="center" w:pos="284"/>
        </w:tabs>
        <w:overflowPunct w:val="0"/>
        <w:autoSpaceDE w:val="0"/>
        <w:autoSpaceDN w:val="0"/>
        <w:adjustRightInd w:val="0"/>
        <w:ind w:left="266" w:hanging="266"/>
        <w:textAlignment w:val="baseline"/>
        <w:rPr>
          <w:sz w:val="20"/>
          <w:szCs w:val="20"/>
        </w:rPr>
      </w:pPr>
    </w:p>
    <w:p w:rsidRPr="00316A9D" w:rsidR="00E038A6" w:rsidP="00E038A6" w:rsidRDefault="00E038A6" w14:paraId="4603D149" w14:textId="77777777">
      <w:pPr>
        <w:keepNext/>
        <w:keepLines/>
        <w:tabs>
          <w:tab w:val="center" w:pos="284"/>
        </w:tabs>
        <w:overflowPunct w:val="0"/>
        <w:autoSpaceDE w:val="0"/>
        <w:autoSpaceDN w:val="0"/>
        <w:adjustRightInd w:val="0"/>
        <w:ind w:left="266" w:hanging="266"/>
        <w:textAlignment w:val="baseline"/>
        <w:rPr>
          <w:b/>
        </w:rPr>
      </w:pPr>
      <w:r w:rsidRPr="00316A9D">
        <w:rPr>
          <w:b/>
        </w:rPr>
        <w:t>Punti principali</w:t>
      </w:r>
    </w:p>
    <w:p w:rsidRPr="00316A9D" w:rsidR="00546217" w:rsidP="00E038A6" w:rsidRDefault="00546217" w14:paraId="483B392A" w14:textId="77777777">
      <w:pPr>
        <w:overflowPunct w:val="0"/>
        <w:autoSpaceDE w:val="0"/>
        <w:autoSpaceDN w:val="0"/>
        <w:adjustRightInd w:val="0"/>
        <w:textAlignment w:val="baseline"/>
        <w:rPr>
          <w:bCs/>
          <w:iCs/>
          <w:sz w:val="20"/>
          <w:szCs w:val="20"/>
        </w:rPr>
      </w:pPr>
    </w:p>
    <w:p w:rsidRPr="00316A9D" w:rsidR="00E038A6" w:rsidP="00E038A6" w:rsidRDefault="00E038A6" w14:paraId="1B80B869" w14:textId="0DB6B59F">
      <w:pPr>
        <w:overflowPunct w:val="0"/>
        <w:autoSpaceDE w:val="0"/>
        <w:autoSpaceDN w:val="0"/>
        <w:adjustRightInd w:val="0"/>
        <w:textAlignment w:val="baseline"/>
        <w:rPr>
          <w:bCs/>
          <w:iCs/>
        </w:rPr>
      </w:pPr>
      <w:r w:rsidRPr="00316A9D">
        <w:t>Il CESE:</w:t>
      </w:r>
    </w:p>
    <w:p w:rsidRPr="00316A9D" w:rsidR="00546217" w:rsidP="00E038A6" w:rsidRDefault="00546217" w14:paraId="35624BE9" w14:textId="77777777">
      <w:pPr>
        <w:overflowPunct w:val="0"/>
        <w:autoSpaceDE w:val="0"/>
        <w:autoSpaceDN w:val="0"/>
        <w:adjustRightInd w:val="0"/>
        <w:textAlignment w:val="baseline"/>
        <w:rPr>
          <w:bCs/>
          <w:iCs/>
          <w:sz w:val="20"/>
          <w:szCs w:val="20"/>
        </w:rPr>
      </w:pPr>
    </w:p>
    <w:p w:rsidRPr="00316A9D" w:rsidR="00E038A6" w:rsidP="00AA5F9C" w:rsidRDefault="00E038A6" w14:paraId="342F5449" w14:textId="77777777">
      <w:pPr>
        <w:widowControl w:val="0"/>
        <w:numPr>
          <w:ilvl w:val="0"/>
          <w:numId w:val="52"/>
        </w:numPr>
        <w:overflowPunct w:val="0"/>
        <w:autoSpaceDE w:val="0"/>
        <w:autoSpaceDN w:val="0"/>
        <w:adjustRightInd w:val="0"/>
        <w:ind w:left="426" w:hanging="426"/>
        <w:textAlignment w:val="baseline"/>
        <w:rPr>
          <w:bCs/>
          <w:iCs/>
        </w:rPr>
      </w:pPr>
      <w:r w:rsidRPr="00316A9D">
        <w:t>raccomanda agli Stati membri di dotare le amministrazioni doganali e le forze dell'ordine di risorse umane e tecniche appropriate, garantire loro condizioni salariali e del lavoro dignitose e assicurarne la formazione continua;</w:t>
      </w:r>
    </w:p>
    <w:p w:rsidRPr="00316A9D" w:rsidR="00E038A6" w:rsidP="00AA5F9C" w:rsidRDefault="00E038A6" w14:paraId="16C13A95" w14:textId="77777777">
      <w:pPr>
        <w:widowControl w:val="0"/>
        <w:numPr>
          <w:ilvl w:val="0"/>
          <w:numId w:val="52"/>
        </w:numPr>
        <w:overflowPunct w:val="0"/>
        <w:autoSpaceDE w:val="0"/>
        <w:autoSpaceDN w:val="0"/>
        <w:adjustRightInd w:val="0"/>
        <w:ind w:left="426" w:hanging="426"/>
        <w:textAlignment w:val="baseline"/>
        <w:rPr>
          <w:bCs/>
          <w:iCs/>
        </w:rPr>
      </w:pPr>
      <w:r w:rsidRPr="00316A9D">
        <w:t>sottolinea che la lotta contro l'abuso di droghe, comprese quelle pesanti, richiede un approccio più differenziato ed esteso a tutta la società. Il consumo di droga dovrebbe essere affrontato preferendo le misure preventive e di accompagnamento a quelle repressive;</w:t>
      </w:r>
    </w:p>
    <w:p w:rsidRPr="00316A9D" w:rsidR="00E038A6" w:rsidP="00AA5F9C" w:rsidRDefault="00E038A6" w14:paraId="0DF1133D" w14:textId="77777777">
      <w:pPr>
        <w:widowControl w:val="0"/>
        <w:numPr>
          <w:ilvl w:val="0"/>
          <w:numId w:val="52"/>
        </w:numPr>
        <w:overflowPunct w:val="0"/>
        <w:autoSpaceDE w:val="0"/>
        <w:autoSpaceDN w:val="0"/>
        <w:adjustRightInd w:val="0"/>
        <w:ind w:left="426" w:hanging="426"/>
        <w:textAlignment w:val="baseline"/>
        <w:rPr>
          <w:bCs/>
          <w:iCs/>
        </w:rPr>
      </w:pPr>
      <w:r w:rsidRPr="00316A9D">
        <w:t>osserva che non può esservi un impegno minore nei confronti di altre rotte e altri punti di accesso per i traffici illeciti, quali aeroporti, strade e ferrovie;</w:t>
      </w:r>
    </w:p>
    <w:p w:rsidRPr="00316A9D" w:rsidR="00E038A6" w:rsidP="00AA5F9C" w:rsidRDefault="00E038A6" w14:paraId="747BCBF8" w14:textId="77777777">
      <w:pPr>
        <w:widowControl w:val="0"/>
        <w:numPr>
          <w:ilvl w:val="0"/>
          <w:numId w:val="52"/>
        </w:numPr>
        <w:overflowPunct w:val="0"/>
        <w:autoSpaceDE w:val="0"/>
        <w:autoSpaceDN w:val="0"/>
        <w:adjustRightInd w:val="0"/>
        <w:ind w:left="426" w:hanging="426"/>
        <w:textAlignment w:val="baseline"/>
        <w:rPr>
          <w:bCs/>
          <w:iCs/>
        </w:rPr>
      </w:pPr>
      <w:r w:rsidRPr="00316A9D">
        <w:t>ritiene che in questo contesto l'uso del termine "partenariato pubblico-privato" (PPP) risulti particolarmente inopportuno in riferimento alla cooperazione tra autorità pubbliche e soggetti privati, e raccomanda alla Commissione di parlare piuttosto di un approccio multilaterale;</w:t>
      </w:r>
    </w:p>
    <w:p w:rsidRPr="00316A9D" w:rsidR="00E038A6" w:rsidP="00AA5F9C" w:rsidRDefault="00E038A6" w14:paraId="4C4CEDDE" w14:textId="77777777">
      <w:pPr>
        <w:widowControl w:val="0"/>
        <w:numPr>
          <w:ilvl w:val="0"/>
          <w:numId w:val="52"/>
        </w:numPr>
        <w:overflowPunct w:val="0"/>
        <w:autoSpaceDE w:val="0"/>
        <w:autoSpaceDN w:val="0"/>
        <w:adjustRightInd w:val="0"/>
        <w:ind w:left="426" w:hanging="426"/>
        <w:textAlignment w:val="baseline"/>
        <w:rPr>
          <w:bCs/>
          <w:iCs/>
        </w:rPr>
      </w:pPr>
      <w:r w:rsidRPr="00316A9D">
        <w:t>accoglie con favore tutte le iniziative efficaci tese a smantellare le reti criminali, sottolineando che il segreto bancario e l'esistenza dei paradisi fiscali, del riciclaggio di denaro e della corruzione rivestono la massima importanza per la criminalità organizzata;</w:t>
      </w:r>
    </w:p>
    <w:p w:rsidRPr="00316A9D" w:rsidR="00E038A6" w:rsidP="00AA5F9C" w:rsidRDefault="00E038A6" w14:paraId="3E4E3265" w14:textId="77777777">
      <w:pPr>
        <w:widowControl w:val="0"/>
        <w:numPr>
          <w:ilvl w:val="0"/>
          <w:numId w:val="52"/>
        </w:numPr>
        <w:overflowPunct w:val="0"/>
        <w:autoSpaceDE w:val="0"/>
        <w:autoSpaceDN w:val="0"/>
        <w:adjustRightInd w:val="0"/>
        <w:ind w:left="426" w:hanging="426"/>
        <w:textAlignment w:val="baseline"/>
        <w:rPr>
          <w:bCs/>
          <w:iCs/>
        </w:rPr>
      </w:pPr>
      <w:r w:rsidRPr="00316A9D">
        <w:t>raccomanda un migliore coordinamento transfrontaliero delle attività di contrasto tra le forze di polizia e le autorità doganali e una cooperazione intensificata tra le autorità di contrasto, giudiziarie e fiscali, affinché la lotta alla criminalità organizzata sia quanto più efficace;</w:t>
      </w:r>
    </w:p>
    <w:p w:rsidRPr="00316A9D" w:rsidR="00E038A6" w:rsidP="00AA5F9C" w:rsidRDefault="00E038A6" w14:paraId="58F010E0" w14:textId="77777777">
      <w:pPr>
        <w:widowControl w:val="0"/>
        <w:numPr>
          <w:ilvl w:val="0"/>
          <w:numId w:val="52"/>
        </w:numPr>
        <w:overflowPunct w:val="0"/>
        <w:autoSpaceDE w:val="0"/>
        <w:autoSpaceDN w:val="0"/>
        <w:adjustRightInd w:val="0"/>
        <w:ind w:left="426" w:hanging="426"/>
        <w:textAlignment w:val="baseline"/>
        <w:rPr>
          <w:bCs/>
          <w:iCs/>
        </w:rPr>
      </w:pPr>
      <w:r w:rsidRPr="00316A9D">
        <w:t>esorta gli Stati membri a investire in misura sufficiente nelle rispettive pubbliche amministrazioni e ad accelerarne la digitalizzazione ai fini della lotta alla criminalità organizzata;</w:t>
      </w:r>
    </w:p>
    <w:p w:rsidRPr="00316A9D" w:rsidR="00E038A6" w:rsidP="00AA5F9C" w:rsidRDefault="00E038A6" w14:paraId="0CC44675" w14:textId="77777777">
      <w:pPr>
        <w:widowControl w:val="0"/>
        <w:numPr>
          <w:ilvl w:val="0"/>
          <w:numId w:val="52"/>
        </w:numPr>
        <w:overflowPunct w:val="0"/>
        <w:autoSpaceDE w:val="0"/>
        <w:autoSpaceDN w:val="0"/>
        <w:adjustRightInd w:val="0"/>
        <w:ind w:left="426" w:hanging="426"/>
        <w:textAlignment w:val="baseline"/>
        <w:rPr>
          <w:bCs/>
          <w:iCs/>
        </w:rPr>
      </w:pPr>
      <w:r w:rsidRPr="00316A9D">
        <w:t>raccomanda di coinvolgere le rappresentanze sindacali dei funzionari di polizia e doganali al fine di individuare adeguatamente le esigenze umane e materiali e di tenere conto delle loro competenze;</w:t>
      </w:r>
    </w:p>
    <w:p w:rsidRPr="00316A9D" w:rsidR="00E038A6" w:rsidP="00AA5F9C" w:rsidRDefault="00E038A6" w14:paraId="60CFAB40" w14:textId="77777777">
      <w:pPr>
        <w:widowControl w:val="0"/>
        <w:numPr>
          <w:ilvl w:val="0"/>
          <w:numId w:val="52"/>
        </w:numPr>
        <w:overflowPunct w:val="0"/>
        <w:autoSpaceDE w:val="0"/>
        <w:autoSpaceDN w:val="0"/>
        <w:adjustRightInd w:val="0"/>
        <w:ind w:left="426" w:hanging="426"/>
        <w:textAlignment w:val="baseline"/>
        <w:rPr>
          <w:bCs/>
          <w:iCs/>
        </w:rPr>
      </w:pPr>
      <w:r w:rsidRPr="00316A9D">
        <w:t>rammenta che i tossicodipendenti sono vittime e non colpevoli, purché il loro consumo di droghe non dia luogo a reati connessi all'acquisto di tali droghe o a pericoli per terzi. Raccomanda vivamente di studiare le esperienze dei paesi e delle regioni in cui l'uso di determinate droghe è tollerato o il consumo di cannabis è stato depenalizzato;</w:t>
      </w:r>
    </w:p>
    <w:p w:rsidRPr="00316A9D" w:rsidR="00E038A6" w:rsidP="00546217" w:rsidRDefault="00E038A6" w14:paraId="19E9B1A9" w14:textId="1706F77F">
      <w:pPr>
        <w:widowControl w:val="0"/>
        <w:numPr>
          <w:ilvl w:val="0"/>
          <w:numId w:val="52"/>
        </w:numPr>
        <w:overflowPunct w:val="0"/>
        <w:autoSpaceDE w:val="0"/>
        <w:autoSpaceDN w:val="0"/>
        <w:adjustRightInd w:val="0"/>
        <w:ind w:left="426" w:hanging="426"/>
        <w:textAlignment w:val="baseline"/>
        <w:rPr>
          <w:bCs/>
          <w:iCs/>
        </w:rPr>
      </w:pPr>
      <w:r w:rsidRPr="00316A9D">
        <w:t>raccomanda di moltiplicare il numero delle iniziative preventive volte a proteggere i cittadini europei dai pericoli della dipendenza e di non concentrare tali iniziative esclusivamente sulle droghe pesanti, e chiede in particolare che i fondi sequestrati siano utilizzati per progetti di prevenzione.</w:t>
      </w:r>
    </w:p>
    <w:p w:rsidRPr="00316A9D" w:rsidR="00E038A6" w:rsidP="00E038A6" w:rsidRDefault="00E038A6" w14:paraId="35515A17" w14:textId="111DBECF">
      <w:pPr>
        <w:widowControl w:val="0"/>
        <w:overflowPunct w:val="0"/>
        <w:autoSpaceDE w:val="0"/>
        <w:autoSpaceDN w:val="0"/>
        <w:adjustRightInd w:val="0"/>
        <w:textAlignment w:val="baseline"/>
        <w:rPr>
          <w:bCs/>
          <w:iCs/>
          <w:sz w:val="10"/>
          <w:szCs w:val="10"/>
        </w:rPr>
      </w:pPr>
    </w:p>
    <w:p w:rsidRPr="00316A9D" w:rsidR="007B2CAF" w:rsidP="00E038A6" w:rsidRDefault="007B2CAF" w14:paraId="3D2DB7DB" w14:textId="77777777">
      <w:pPr>
        <w:widowControl w:val="0"/>
        <w:overflowPunct w:val="0"/>
        <w:autoSpaceDE w:val="0"/>
        <w:autoSpaceDN w:val="0"/>
        <w:adjustRightInd w:val="0"/>
        <w:textAlignment w:val="baseline"/>
        <w:rPr>
          <w:bCs/>
          <w:iCs/>
          <w:sz w:val="10"/>
          <w:szCs w:val="10"/>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316A9D" w:rsidR="00E038A6" w:rsidTr="009839A2" w14:paraId="10D517CA" w14:textId="77777777">
        <w:tc>
          <w:tcPr>
            <w:tcW w:w="1556" w:type="pct"/>
          </w:tcPr>
          <w:p w:rsidRPr="00316A9D" w:rsidR="00E038A6" w:rsidP="00E038A6" w:rsidRDefault="00E038A6" w14:paraId="0CF9F8F4" w14:textId="77777777">
            <w:pPr>
              <w:overflowPunct w:val="0"/>
              <w:autoSpaceDE w:val="0"/>
              <w:autoSpaceDN w:val="0"/>
              <w:adjustRightInd w:val="0"/>
              <w:spacing w:line="240" w:lineRule="auto"/>
              <w:textAlignment w:val="baseline"/>
              <w:rPr>
                <w:i/>
              </w:rPr>
            </w:pPr>
            <w:r w:rsidRPr="00316A9D">
              <w:rPr>
                <w:b/>
                <w:i/>
              </w:rPr>
              <w:t>Contatto</w:t>
            </w:r>
          </w:p>
        </w:tc>
        <w:tc>
          <w:tcPr>
            <w:tcW w:w="3444" w:type="pct"/>
          </w:tcPr>
          <w:p w:rsidRPr="00316A9D" w:rsidR="00E038A6" w:rsidP="00E038A6" w:rsidRDefault="00E038A6" w14:paraId="6CD05EE3" w14:textId="184A1212">
            <w:pPr>
              <w:overflowPunct w:val="0"/>
              <w:autoSpaceDE w:val="0"/>
              <w:autoSpaceDN w:val="0"/>
              <w:adjustRightInd w:val="0"/>
              <w:spacing w:line="240" w:lineRule="auto"/>
              <w:textAlignment w:val="baseline"/>
              <w:rPr>
                <w:i/>
              </w:rPr>
            </w:pPr>
            <w:r w:rsidRPr="00316A9D">
              <w:rPr>
                <w:i/>
              </w:rPr>
              <w:t>Alessia COVA</w:t>
            </w:r>
          </w:p>
        </w:tc>
      </w:tr>
      <w:tr w:rsidRPr="00316A9D" w:rsidR="00E038A6" w:rsidTr="009839A2" w14:paraId="11C51FBD" w14:textId="77777777">
        <w:tc>
          <w:tcPr>
            <w:tcW w:w="1556" w:type="pct"/>
          </w:tcPr>
          <w:p w:rsidRPr="00316A9D" w:rsidR="00E038A6" w:rsidP="00E038A6" w:rsidRDefault="00E038A6" w14:paraId="59FE5475" w14:textId="77777777">
            <w:pPr>
              <w:overflowPunct w:val="0"/>
              <w:autoSpaceDE w:val="0"/>
              <w:autoSpaceDN w:val="0"/>
              <w:adjustRightInd w:val="0"/>
              <w:spacing w:line="240" w:lineRule="auto"/>
              <w:textAlignment w:val="baseline"/>
              <w:rPr>
                <w:i/>
              </w:rPr>
            </w:pPr>
            <w:r w:rsidRPr="00316A9D">
              <w:rPr>
                <w:i/>
              </w:rPr>
              <w:t>Tel.</w:t>
            </w:r>
          </w:p>
        </w:tc>
        <w:tc>
          <w:tcPr>
            <w:tcW w:w="3444" w:type="pct"/>
          </w:tcPr>
          <w:p w:rsidRPr="00316A9D" w:rsidR="00E038A6" w:rsidP="00E038A6" w:rsidRDefault="00E038A6" w14:paraId="0CFAEF90" w14:textId="77777777">
            <w:pPr>
              <w:overflowPunct w:val="0"/>
              <w:autoSpaceDE w:val="0"/>
              <w:autoSpaceDN w:val="0"/>
              <w:adjustRightInd w:val="0"/>
              <w:spacing w:line="240" w:lineRule="auto"/>
              <w:textAlignment w:val="baseline"/>
              <w:rPr>
                <w:i/>
              </w:rPr>
            </w:pPr>
            <w:r w:rsidRPr="00316A9D">
              <w:rPr>
                <w:i/>
              </w:rPr>
              <w:t>+32 25469426</w:t>
            </w:r>
          </w:p>
        </w:tc>
      </w:tr>
      <w:tr w:rsidRPr="00316A9D" w:rsidR="00E038A6" w:rsidTr="009839A2" w14:paraId="121F3EEE" w14:textId="77777777">
        <w:tc>
          <w:tcPr>
            <w:tcW w:w="1556" w:type="pct"/>
          </w:tcPr>
          <w:p w:rsidRPr="00316A9D" w:rsidR="00E038A6" w:rsidP="00E038A6" w:rsidRDefault="003D1AF1" w14:paraId="525F4085" w14:textId="35E7274D">
            <w:pPr>
              <w:overflowPunct w:val="0"/>
              <w:autoSpaceDE w:val="0"/>
              <w:autoSpaceDN w:val="0"/>
              <w:adjustRightInd w:val="0"/>
              <w:spacing w:line="240" w:lineRule="auto"/>
              <w:textAlignment w:val="baseline"/>
              <w:rPr>
                <w:i/>
              </w:rPr>
            </w:pPr>
            <w:r w:rsidRPr="00316A9D">
              <w:rPr>
                <w:i/>
              </w:rPr>
              <w:t>E</w:t>
            </w:r>
            <w:r w:rsidRPr="00316A9D" w:rsidR="002062DF">
              <w:rPr>
                <w:i/>
              </w:rPr>
              <w:t>-mail</w:t>
            </w:r>
          </w:p>
        </w:tc>
        <w:tc>
          <w:tcPr>
            <w:tcW w:w="3444" w:type="pct"/>
          </w:tcPr>
          <w:p w:rsidRPr="00316A9D" w:rsidR="00E038A6" w:rsidP="00E038A6" w:rsidRDefault="003A440F" w14:paraId="2B3B0443" w14:textId="77777777">
            <w:pPr>
              <w:overflowPunct w:val="0"/>
              <w:autoSpaceDE w:val="0"/>
              <w:autoSpaceDN w:val="0"/>
              <w:adjustRightInd w:val="0"/>
              <w:spacing w:line="240" w:lineRule="auto"/>
              <w:textAlignment w:val="baseline"/>
              <w:rPr>
                <w:i/>
              </w:rPr>
            </w:pPr>
            <w:hyperlink w:history="1" r:id="rId34">
              <w:r w:rsidRPr="00316A9D" w:rsidR="00F76B5D">
                <w:rPr>
                  <w:i/>
                  <w:color w:val="0000FF"/>
                  <w:u w:val="single"/>
                </w:rPr>
                <w:t>Alessia.Cova@eesc.europa.eu</w:t>
              </w:r>
            </w:hyperlink>
          </w:p>
        </w:tc>
      </w:tr>
    </w:tbl>
    <w:p w:rsidRPr="00316A9D" w:rsidR="00502E1F" w:rsidRDefault="00502E1F" w14:paraId="3D58FF9D" w14:textId="5C62FD1E">
      <w:pPr>
        <w:spacing w:after="160" w:line="259" w:lineRule="auto"/>
        <w:jc w:val="left"/>
        <w:rPr>
          <w:sz w:val="14"/>
          <w:szCs w:val="14"/>
        </w:rPr>
      </w:pPr>
      <w:r w:rsidRPr="00316A9D">
        <w:br w:type="page"/>
      </w:r>
    </w:p>
    <w:p w:rsidRPr="00316A9D" w:rsidR="005A67F3" w:rsidP="00401E8F" w:rsidRDefault="004C3902" w14:paraId="3792A077" w14:textId="611C2EB1">
      <w:pPr>
        <w:pStyle w:val="Heading1"/>
        <w:tabs>
          <w:tab w:val="clear" w:pos="440"/>
          <w:tab w:val="left" w:pos="567"/>
        </w:tabs>
        <w:ind w:left="567" w:hanging="567"/>
        <w:rPr>
          <w:b/>
          <w:bCs/>
        </w:rPr>
      </w:pPr>
      <w:bookmarkStart w:name="_Toc166847134" w:id="2"/>
      <w:bookmarkStart w:name="_Toc166851134" w:id="3"/>
      <w:bookmarkEnd w:id="2"/>
      <w:r w:rsidRPr="00316A9D">
        <w:rPr>
          <w:b/>
        </w:rPr>
        <w:lastRenderedPageBreak/>
        <w:t xml:space="preserve">MERCATO UNICO, PRODUZIONE </w:t>
      </w:r>
      <w:r w:rsidRPr="00316A9D" w:rsidR="003D1AF1">
        <w:rPr>
          <w:b/>
        </w:rPr>
        <w:t>E</w:t>
      </w:r>
      <w:r w:rsidRPr="00316A9D">
        <w:rPr>
          <w:b/>
        </w:rPr>
        <w:t xml:space="preserve"> CONSUMO</w:t>
      </w:r>
      <w:bookmarkEnd w:id="3"/>
    </w:p>
    <w:p w:rsidRPr="00316A9D" w:rsidR="0007457E" w:rsidRDefault="0007457E" w14:paraId="4DDD08C3" w14:textId="77777777">
      <w:pPr>
        <w:spacing w:after="160" w:line="259" w:lineRule="auto"/>
        <w:jc w:val="left"/>
        <w:rPr>
          <w:b/>
          <w:iCs/>
        </w:rPr>
      </w:pPr>
    </w:p>
    <w:p w:rsidRPr="00316A9D" w:rsidR="000F4139" w:rsidP="00401E8F" w:rsidRDefault="003A440F" w14:paraId="77AA9006" w14:textId="7E3FD30E">
      <w:pPr>
        <w:widowControl w:val="0"/>
        <w:numPr>
          <w:ilvl w:val="0"/>
          <w:numId w:val="25"/>
        </w:numPr>
        <w:overflowPunct w:val="0"/>
        <w:autoSpaceDE w:val="0"/>
        <w:autoSpaceDN w:val="0"/>
        <w:adjustRightInd w:val="0"/>
        <w:ind w:left="567" w:hanging="567"/>
        <w:textAlignment w:val="baseline"/>
        <w:rPr>
          <w:b/>
        </w:rPr>
      </w:pPr>
      <w:hyperlink w:history="1" r:id="rId35">
        <w:r w:rsidRPr="00316A9D" w:rsidR="003D1AF1">
          <w:rPr>
            <w:b/>
            <w:i/>
            <w:color w:val="0000FF"/>
            <w:sz w:val="28"/>
            <w:u w:val="single"/>
          </w:rPr>
          <w:t>Strategia</w:t>
        </w:r>
        <w:r w:rsidRPr="00316A9D" w:rsidR="008772F9">
          <w:rPr>
            <w:b/>
            <w:i/>
            <w:color w:val="0000FF"/>
            <w:sz w:val="28"/>
            <w:u w:val="single"/>
          </w:rPr>
          <w:t xml:space="preserve"> per la competitività a lungo termine</w:t>
        </w:r>
      </w:hyperlink>
    </w:p>
    <w:p w:rsidRPr="00316A9D" w:rsidR="000F4139" w:rsidP="000F4139" w:rsidRDefault="000F4139" w14:paraId="65642958" w14:textId="77777777">
      <w:pPr>
        <w:widowControl w:val="0"/>
        <w:overflowPunct w:val="0"/>
        <w:autoSpaceDE w:val="0"/>
        <w:autoSpaceDN w:val="0"/>
        <w:adjustRightInd w:val="0"/>
        <w:spacing w:line="264" w:lineRule="auto"/>
        <w:ind w:left="567"/>
        <w:textAlignment w:val="baseline"/>
        <w:rPr>
          <w:b/>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0"/>
        <w:gridCol w:w="7239"/>
      </w:tblGrid>
      <w:tr w:rsidRPr="00316A9D" w:rsidR="000F4139" w:rsidTr="009839A2" w14:paraId="7CD0833F" w14:textId="77777777">
        <w:trPr>
          <w:trHeight w:val="265"/>
        </w:trPr>
        <w:tc>
          <w:tcPr>
            <w:tcW w:w="1701" w:type="dxa"/>
          </w:tcPr>
          <w:p w:rsidRPr="00316A9D" w:rsidR="000F4139" w:rsidP="000F4139" w:rsidRDefault="003D1AF1" w14:paraId="4E92F5DA" w14:textId="2926984D">
            <w:pPr>
              <w:tabs>
                <w:tab w:val="center" w:pos="284"/>
              </w:tabs>
              <w:overflowPunct w:val="0"/>
              <w:autoSpaceDE w:val="0"/>
              <w:autoSpaceDN w:val="0"/>
              <w:adjustRightInd w:val="0"/>
              <w:spacing w:line="264" w:lineRule="auto"/>
              <w:ind w:left="266" w:hanging="266"/>
              <w:textAlignment w:val="baseline"/>
              <w:rPr>
                <w:b/>
              </w:rPr>
            </w:pPr>
            <w:r w:rsidRPr="00316A9D">
              <w:rPr>
                <w:b/>
              </w:rPr>
              <w:t>Relatrice</w:t>
            </w:r>
          </w:p>
          <w:p w:rsidRPr="00316A9D" w:rsidR="000F4139" w:rsidP="000F4139" w:rsidRDefault="003D1AF1" w14:paraId="76EE80B6" w14:textId="146F377D">
            <w:pPr>
              <w:tabs>
                <w:tab w:val="center" w:pos="284"/>
              </w:tabs>
              <w:overflowPunct w:val="0"/>
              <w:autoSpaceDE w:val="0"/>
              <w:autoSpaceDN w:val="0"/>
              <w:adjustRightInd w:val="0"/>
              <w:spacing w:line="264" w:lineRule="auto"/>
              <w:ind w:left="266" w:hanging="266"/>
              <w:textAlignment w:val="baseline"/>
              <w:rPr>
                <w:b/>
              </w:rPr>
            </w:pPr>
            <w:r w:rsidRPr="00316A9D">
              <w:rPr>
                <w:b/>
              </w:rPr>
              <w:t>Correlatore</w:t>
            </w:r>
          </w:p>
        </w:tc>
        <w:tc>
          <w:tcPr>
            <w:tcW w:w="7372" w:type="dxa"/>
          </w:tcPr>
          <w:p w:rsidRPr="00316A9D" w:rsidR="000F4139" w:rsidP="000F4139" w:rsidRDefault="000F4139" w14:paraId="36CCC220" w14:textId="3F08CA20">
            <w:pPr>
              <w:tabs>
                <w:tab w:val="center" w:pos="284"/>
              </w:tabs>
              <w:overflowPunct w:val="0"/>
              <w:autoSpaceDE w:val="0"/>
              <w:autoSpaceDN w:val="0"/>
              <w:adjustRightInd w:val="0"/>
              <w:spacing w:line="264" w:lineRule="auto"/>
              <w:ind w:left="266" w:hanging="266"/>
              <w:textAlignment w:val="baseline"/>
            </w:pPr>
            <w:r w:rsidRPr="00316A9D">
              <w:t>Emilie PROUZET (Datori di lavoro - FR)</w:t>
            </w:r>
          </w:p>
          <w:p w:rsidRPr="00316A9D" w:rsidR="000F4139" w:rsidP="000F4139" w:rsidRDefault="000F4139" w14:paraId="684010C7" w14:textId="424A382B">
            <w:pPr>
              <w:tabs>
                <w:tab w:val="center" w:pos="284"/>
              </w:tabs>
              <w:overflowPunct w:val="0"/>
              <w:autoSpaceDE w:val="0"/>
              <w:autoSpaceDN w:val="0"/>
              <w:adjustRightInd w:val="0"/>
              <w:spacing w:line="264" w:lineRule="auto"/>
              <w:ind w:left="266" w:hanging="266"/>
              <w:textAlignment w:val="baseline"/>
            </w:pPr>
            <w:r w:rsidRPr="00316A9D">
              <w:t>Stefano PALMIERI (Lavoratori - IT)</w:t>
            </w:r>
          </w:p>
        </w:tc>
      </w:tr>
      <w:tr w:rsidRPr="00316A9D" w:rsidR="000F4139" w:rsidTr="009839A2" w14:paraId="4894DB66" w14:textId="77777777">
        <w:trPr>
          <w:trHeight w:val="265"/>
        </w:trPr>
        <w:tc>
          <w:tcPr>
            <w:tcW w:w="1701" w:type="dxa"/>
          </w:tcPr>
          <w:p w:rsidRPr="00316A9D" w:rsidR="000F4139" w:rsidP="000F4139" w:rsidRDefault="000F4139" w14:paraId="664809BC" w14:textId="77777777">
            <w:pPr>
              <w:tabs>
                <w:tab w:val="center" w:pos="284"/>
              </w:tabs>
              <w:overflowPunct w:val="0"/>
              <w:autoSpaceDE w:val="0"/>
              <w:autoSpaceDN w:val="0"/>
              <w:adjustRightInd w:val="0"/>
              <w:spacing w:line="264" w:lineRule="auto"/>
              <w:ind w:left="266" w:hanging="266"/>
              <w:textAlignment w:val="baseline"/>
              <w:rPr>
                <w:b/>
              </w:rPr>
            </w:pPr>
          </w:p>
        </w:tc>
        <w:tc>
          <w:tcPr>
            <w:tcW w:w="7372" w:type="dxa"/>
          </w:tcPr>
          <w:p w:rsidRPr="00316A9D" w:rsidR="000F4139" w:rsidP="000F4139" w:rsidRDefault="000F4139" w14:paraId="74AA6941" w14:textId="77777777">
            <w:pPr>
              <w:tabs>
                <w:tab w:val="center" w:pos="284"/>
              </w:tabs>
              <w:overflowPunct w:val="0"/>
              <w:autoSpaceDE w:val="0"/>
              <w:autoSpaceDN w:val="0"/>
              <w:adjustRightInd w:val="0"/>
              <w:spacing w:line="264" w:lineRule="auto"/>
              <w:ind w:left="266" w:hanging="266"/>
              <w:textAlignment w:val="baseline"/>
            </w:pPr>
          </w:p>
        </w:tc>
      </w:tr>
      <w:tr w:rsidRPr="00316A9D" w:rsidR="000F4139" w:rsidTr="009839A2" w14:paraId="139048CD" w14:textId="77777777">
        <w:trPr>
          <w:trHeight w:val="289"/>
        </w:trPr>
        <w:tc>
          <w:tcPr>
            <w:tcW w:w="1701" w:type="dxa"/>
            <w:vMerge w:val="restart"/>
          </w:tcPr>
          <w:p w:rsidRPr="00316A9D" w:rsidR="000F4139" w:rsidP="000F4139" w:rsidRDefault="000F4139" w14:paraId="11B1AA67" w14:textId="77777777">
            <w:pPr>
              <w:tabs>
                <w:tab w:val="center" w:pos="284"/>
              </w:tabs>
              <w:overflowPunct w:val="0"/>
              <w:autoSpaceDE w:val="0"/>
              <w:autoSpaceDN w:val="0"/>
              <w:adjustRightInd w:val="0"/>
              <w:spacing w:line="264" w:lineRule="auto"/>
              <w:ind w:left="266" w:hanging="266"/>
              <w:textAlignment w:val="baseline"/>
              <w:rPr>
                <w:b/>
              </w:rPr>
            </w:pPr>
            <w:r w:rsidRPr="00316A9D">
              <w:rPr>
                <w:b/>
              </w:rPr>
              <w:t>Riferimenti</w:t>
            </w:r>
          </w:p>
        </w:tc>
        <w:tc>
          <w:tcPr>
            <w:tcW w:w="7372" w:type="dxa"/>
          </w:tcPr>
          <w:p w:rsidRPr="00316A9D" w:rsidR="000F4139" w:rsidP="000F4139" w:rsidRDefault="000F4139" w14:paraId="67E2FCCB" w14:textId="77777777">
            <w:pPr>
              <w:tabs>
                <w:tab w:val="center" w:pos="284"/>
              </w:tabs>
              <w:overflowPunct w:val="0"/>
              <w:autoSpaceDE w:val="0"/>
              <w:autoSpaceDN w:val="0"/>
              <w:adjustRightInd w:val="0"/>
              <w:spacing w:line="264" w:lineRule="auto"/>
              <w:ind w:left="266" w:hanging="266"/>
              <w:textAlignment w:val="baseline"/>
            </w:pPr>
            <w:r w:rsidRPr="00316A9D">
              <w:t>COM(2023) 162 final</w:t>
            </w:r>
          </w:p>
          <w:p w:rsidRPr="00316A9D" w:rsidR="000F4139" w:rsidP="000F4139" w:rsidRDefault="000F4139" w14:paraId="0A08ED9D" w14:textId="77777777">
            <w:pPr>
              <w:tabs>
                <w:tab w:val="center" w:pos="284"/>
              </w:tabs>
              <w:overflowPunct w:val="0"/>
              <w:autoSpaceDE w:val="0"/>
              <w:autoSpaceDN w:val="0"/>
              <w:adjustRightInd w:val="0"/>
              <w:spacing w:line="264" w:lineRule="auto"/>
              <w:ind w:left="266" w:hanging="266"/>
              <w:textAlignment w:val="baseline"/>
            </w:pPr>
            <w:r w:rsidRPr="00316A9D">
              <w:t>COM(2023) 168 final</w:t>
            </w:r>
          </w:p>
        </w:tc>
      </w:tr>
      <w:tr w:rsidRPr="00316A9D" w:rsidR="000F4139" w:rsidTr="009839A2" w14:paraId="1A95682A" w14:textId="77777777">
        <w:trPr>
          <w:trHeight w:val="289"/>
        </w:trPr>
        <w:tc>
          <w:tcPr>
            <w:tcW w:w="1701" w:type="dxa"/>
            <w:vMerge/>
          </w:tcPr>
          <w:p w:rsidRPr="00316A9D" w:rsidR="000F4139" w:rsidP="000F4139" w:rsidRDefault="000F4139" w14:paraId="21458CC2" w14:textId="77777777">
            <w:pPr>
              <w:tabs>
                <w:tab w:val="center" w:pos="284"/>
              </w:tabs>
              <w:overflowPunct w:val="0"/>
              <w:autoSpaceDE w:val="0"/>
              <w:autoSpaceDN w:val="0"/>
              <w:adjustRightInd w:val="0"/>
              <w:spacing w:line="264" w:lineRule="auto"/>
              <w:ind w:left="266" w:hanging="266"/>
              <w:textAlignment w:val="baseline"/>
              <w:rPr>
                <w:b/>
              </w:rPr>
            </w:pPr>
          </w:p>
        </w:tc>
        <w:tc>
          <w:tcPr>
            <w:tcW w:w="7372" w:type="dxa"/>
          </w:tcPr>
          <w:p w:rsidRPr="00316A9D" w:rsidR="000F4139" w:rsidP="000F4139" w:rsidRDefault="000F4139" w14:paraId="0435AF5E" w14:textId="77777777">
            <w:pPr>
              <w:tabs>
                <w:tab w:val="center" w:pos="284"/>
              </w:tabs>
              <w:overflowPunct w:val="0"/>
              <w:autoSpaceDE w:val="0"/>
              <w:autoSpaceDN w:val="0"/>
              <w:adjustRightInd w:val="0"/>
              <w:spacing w:line="264" w:lineRule="auto"/>
              <w:ind w:left="266" w:hanging="266"/>
              <w:textAlignment w:val="baseline"/>
            </w:pPr>
            <w:r w:rsidRPr="00316A9D">
              <w:t>EESC-2023-02172-00-00-AC-TRA</w:t>
            </w:r>
          </w:p>
        </w:tc>
      </w:tr>
    </w:tbl>
    <w:p w:rsidRPr="00316A9D" w:rsidR="000F4139" w:rsidP="000F4139" w:rsidRDefault="000F4139" w14:paraId="70C9E3E1" w14:textId="0D04C37C">
      <w:pPr>
        <w:keepNext/>
        <w:keepLines/>
        <w:tabs>
          <w:tab w:val="center" w:pos="284"/>
        </w:tabs>
        <w:overflowPunct w:val="0"/>
        <w:autoSpaceDE w:val="0"/>
        <w:autoSpaceDN w:val="0"/>
        <w:adjustRightInd w:val="0"/>
        <w:spacing w:line="264" w:lineRule="auto"/>
        <w:ind w:left="266" w:hanging="266"/>
        <w:textAlignment w:val="baseline"/>
        <w:rPr>
          <w:b/>
        </w:rPr>
      </w:pPr>
    </w:p>
    <w:p w:rsidRPr="00316A9D" w:rsidR="000F4139" w:rsidP="000F4139" w:rsidRDefault="000F4139" w14:paraId="0C3819AA" w14:textId="77777777">
      <w:pPr>
        <w:keepNext/>
        <w:keepLines/>
        <w:tabs>
          <w:tab w:val="center" w:pos="284"/>
        </w:tabs>
        <w:overflowPunct w:val="0"/>
        <w:autoSpaceDE w:val="0"/>
        <w:autoSpaceDN w:val="0"/>
        <w:adjustRightInd w:val="0"/>
        <w:spacing w:line="264" w:lineRule="auto"/>
        <w:ind w:left="266" w:hanging="266"/>
        <w:textAlignment w:val="baseline"/>
        <w:rPr>
          <w:b/>
        </w:rPr>
      </w:pPr>
      <w:r w:rsidRPr="00316A9D">
        <w:rPr>
          <w:b/>
        </w:rPr>
        <w:t>Punti principali</w:t>
      </w:r>
    </w:p>
    <w:p w:rsidRPr="00316A9D" w:rsidR="000F4139" w:rsidP="000F4139" w:rsidRDefault="000F4139" w14:paraId="5F3D4A06" w14:textId="77777777">
      <w:pPr>
        <w:spacing w:line="264" w:lineRule="auto"/>
        <w:contextualSpacing/>
        <w:rPr>
          <w:bCs/>
          <w:iCs/>
          <w:lang w:eastAsia="zh-CN"/>
        </w:rPr>
      </w:pPr>
    </w:p>
    <w:p w:rsidRPr="00316A9D" w:rsidR="000F4139" w:rsidP="000F4139" w:rsidRDefault="000F4139" w14:paraId="4D4DBC05" w14:textId="77777777">
      <w:pPr>
        <w:spacing w:line="264" w:lineRule="auto"/>
        <w:contextualSpacing/>
        <w:rPr>
          <w:bCs/>
          <w:iCs/>
        </w:rPr>
      </w:pPr>
      <w:r w:rsidRPr="00316A9D">
        <w:t xml:space="preserve">Il CESE: </w:t>
      </w:r>
    </w:p>
    <w:p w:rsidRPr="00316A9D" w:rsidR="000F4139" w:rsidP="000F4139" w:rsidRDefault="000F4139" w14:paraId="3A32DE9D" w14:textId="77777777">
      <w:pPr>
        <w:spacing w:line="264" w:lineRule="auto"/>
        <w:contextualSpacing/>
        <w:rPr>
          <w:bCs/>
          <w:iCs/>
          <w:lang w:eastAsia="zh-CN"/>
        </w:rPr>
      </w:pPr>
    </w:p>
    <w:p w:rsidRPr="00316A9D" w:rsidR="000F4139" w:rsidP="00AA5F9C" w:rsidRDefault="000F4139" w14:paraId="4C92FBDC" w14:textId="77777777">
      <w:pPr>
        <w:numPr>
          <w:ilvl w:val="0"/>
          <w:numId w:val="53"/>
        </w:numPr>
        <w:overflowPunct w:val="0"/>
        <w:autoSpaceDE w:val="0"/>
        <w:autoSpaceDN w:val="0"/>
        <w:adjustRightInd w:val="0"/>
        <w:spacing w:line="264" w:lineRule="auto"/>
        <w:ind w:left="284" w:hanging="284"/>
        <w:contextualSpacing/>
        <w:textAlignment w:val="baseline"/>
        <w:rPr>
          <w:bCs/>
          <w:iCs/>
        </w:rPr>
      </w:pPr>
      <w:r w:rsidRPr="00316A9D">
        <w:t>ritiene che l'UE debba adottare un'</w:t>
      </w:r>
      <w:r w:rsidRPr="00316A9D">
        <w:rPr>
          <w:b/>
        </w:rPr>
        <w:t>agenda per la competitività</w:t>
      </w:r>
      <w:r w:rsidRPr="00316A9D">
        <w:t xml:space="preserve"> che, in linea con i principi del mercato unico e dell'</w:t>
      </w:r>
      <w:r w:rsidRPr="00316A9D">
        <w:rPr>
          <w:b/>
        </w:rPr>
        <w:t>economia sociale di mercato</w:t>
      </w:r>
      <w:r w:rsidRPr="00316A9D">
        <w:t>, sia lungimirante, ben definita e coordinata, promuova la prosperità delle imprese, posti di lavoro di qualità, il miglioramento del tenore di vita dei cittadini dell'UE e l'inclusività, migliorando nel contempo la capacità del sistema dell'UE di innovare, investire e commerciare, nonché di competere sul mercato globale per il bene comune e di guidare la nostra transizione verso la neutralità climatica;</w:t>
      </w:r>
    </w:p>
    <w:p w:rsidRPr="00316A9D" w:rsidR="000F4139" w:rsidP="00AA5F9C" w:rsidRDefault="000F4139" w14:paraId="3DD5040F" w14:textId="77777777">
      <w:pPr>
        <w:numPr>
          <w:ilvl w:val="0"/>
          <w:numId w:val="53"/>
        </w:numPr>
        <w:overflowPunct w:val="0"/>
        <w:autoSpaceDE w:val="0"/>
        <w:autoSpaceDN w:val="0"/>
        <w:adjustRightInd w:val="0"/>
        <w:spacing w:line="264" w:lineRule="auto"/>
        <w:ind w:left="284" w:hanging="284"/>
        <w:contextualSpacing/>
        <w:textAlignment w:val="baseline"/>
        <w:rPr>
          <w:bCs/>
          <w:iCs/>
        </w:rPr>
      </w:pPr>
      <w:r w:rsidRPr="00316A9D">
        <w:t xml:space="preserve">ritiene che per rilanciare la competitività dell'UE sia necessario attivare una </w:t>
      </w:r>
      <w:r w:rsidRPr="00316A9D">
        <w:rPr>
          <w:b/>
        </w:rPr>
        <w:t>strategia industriale europea integrata</w:t>
      </w:r>
      <w:r w:rsidRPr="00316A9D">
        <w:t xml:space="preserve"> che, promuovendo un sistema industriale europeo integrato, abbia come protagonisti l'impresa e i suoi lavoratori;</w:t>
      </w:r>
    </w:p>
    <w:p w:rsidRPr="00316A9D" w:rsidR="000F4139" w:rsidP="00AA5F9C" w:rsidRDefault="000F4139" w14:paraId="300984D3" w14:textId="77777777">
      <w:pPr>
        <w:numPr>
          <w:ilvl w:val="0"/>
          <w:numId w:val="53"/>
        </w:numPr>
        <w:overflowPunct w:val="0"/>
        <w:autoSpaceDE w:val="0"/>
        <w:autoSpaceDN w:val="0"/>
        <w:adjustRightInd w:val="0"/>
        <w:spacing w:line="264" w:lineRule="auto"/>
        <w:ind w:left="284" w:hanging="284"/>
        <w:contextualSpacing/>
        <w:textAlignment w:val="baseline"/>
        <w:rPr>
          <w:bCs/>
          <w:iCs/>
        </w:rPr>
      </w:pPr>
      <w:r w:rsidRPr="00316A9D">
        <w:t xml:space="preserve">raccomanda un'adeguata fornitura di </w:t>
      </w:r>
      <w:r w:rsidRPr="00316A9D">
        <w:rPr>
          <w:b/>
        </w:rPr>
        <w:t>infrastrutture fisiche e sociali</w:t>
      </w:r>
      <w:r w:rsidRPr="00316A9D">
        <w:t xml:space="preserve">, che riveste un valore strategico per garantire la competitività dell'ecosistema dell'UE. Questa azione strategica richiede: i) una </w:t>
      </w:r>
      <w:r w:rsidRPr="00316A9D">
        <w:rPr>
          <w:b/>
        </w:rPr>
        <w:t>politica di coesione</w:t>
      </w:r>
      <w:r w:rsidRPr="00316A9D">
        <w:t xml:space="preserve"> che promuova la convergenza economica e la resilienza; ii) </w:t>
      </w:r>
      <w:r w:rsidRPr="00316A9D">
        <w:rPr>
          <w:b/>
        </w:rPr>
        <w:t>investimenti in servizi pubblici di qualità e in reti di trasporto, energia e dati adeguate alle esigenze future</w:t>
      </w:r>
      <w:r w:rsidRPr="00316A9D">
        <w:t xml:space="preserve">; e iii) </w:t>
      </w:r>
      <w:r w:rsidRPr="00316A9D">
        <w:rPr>
          <w:b/>
        </w:rPr>
        <w:t>investimenti nell'istruzione e nell'apprendimento permanente</w:t>
      </w:r>
      <w:r w:rsidRPr="00316A9D">
        <w:t xml:space="preserve"> per una forza lavoro qualificata preparata alle sfide di domani, in un </w:t>
      </w:r>
      <w:r w:rsidRPr="00316A9D">
        <w:rPr>
          <w:b/>
        </w:rPr>
        <w:t>sistema sanitario</w:t>
      </w:r>
      <w:r w:rsidRPr="00316A9D">
        <w:t xml:space="preserve"> di qualità, nell'</w:t>
      </w:r>
      <w:r w:rsidRPr="00316A9D">
        <w:rPr>
          <w:b/>
        </w:rPr>
        <w:t>assistenza a lungo termine</w:t>
      </w:r>
      <w:r w:rsidRPr="00316A9D">
        <w:t xml:space="preserve"> </w:t>
      </w:r>
      <w:r w:rsidRPr="00316A9D">
        <w:rPr>
          <w:b/>
        </w:rPr>
        <w:t>e</w:t>
      </w:r>
      <w:r w:rsidRPr="00316A9D">
        <w:t xml:space="preserve"> nell'</w:t>
      </w:r>
      <w:r w:rsidRPr="00316A9D">
        <w:rPr>
          <w:b/>
        </w:rPr>
        <w:t>assistenza sociale</w:t>
      </w:r>
      <w:r w:rsidRPr="00316A9D">
        <w:t xml:space="preserve">, nonché in </w:t>
      </w:r>
      <w:r w:rsidRPr="00316A9D">
        <w:rPr>
          <w:b/>
        </w:rPr>
        <w:t>alloggi a prezzi accessibili</w:t>
      </w:r>
      <w:r w:rsidRPr="00316A9D">
        <w:t>;</w:t>
      </w:r>
    </w:p>
    <w:p w:rsidRPr="00316A9D" w:rsidR="000F4139" w:rsidP="00AA5F9C" w:rsidRDefault="000F4139" w14:paraId="7839502A" w14:textId="77777777">
      <w:pPr>
        <w:numPr>
          <w:ilvl w:val="0"/>
          <w:numId w:val="53"/>
        </w:numPr>
        <w:overflowPunct w:val="0"/>
        <w:autoSpaceDE w:val="0"/>
        <w:autoSpaceDN w:val="0"/>
        <w:adjustRightInd w:val="0"/>
        <w:spacing w:line="264" w:lineRule="auto"/>
        <w:ind w:left="284" w:hanging="284"/>
        <w:contextualSpacing/>
        <w:textAlignment w:val="baseline"/>
        <w:rPr>
          <w:bCs/>
          <w:iCs/>
        </w:rPr>
      </w:pPr>
      <w:r w:rsidRPr="00316A9D">
        <w:t xml:space="preserve">esorta in particolare gli Stati membri a impegnarsi fermamente ad attuare e applicare correttamente la </w:t>
      </w:r>
      <w:r w:rsidRPr="00316A9D">
        <w:rPr>
          <w:b/>
        </w:rPr>
        <w:t>legislazione dell'UE sul mercato unico</w:t>
      </w:r>
      <w:r w:rsidRPr="00316A9D">
        <w:t>. Tutto ciò deve essere accompagnato da adeguati strumenti di controllo e protezione per quanto riguarda la qualità del lavoro, la parità di condizioni per tutte le imprese, i diritti dei cittadini e la protezione dei consumatori;</w:t>
      </w:r>
    </w:p>
    <w:p w:rsidRPr="00316A9D" w:rsidR="000F4139" w:rsidP="00AA5F9C" w:rsidRDefault="000F4139" w14:paraId="49C56055" w14:textId="77777777">
      <w:pPr>
        <w:numPr>
          <w:ilvl w:val="0"/>
          <w:numId w:val="53"/>
        </w:numPr>
        <w:overflowPunct w:val="0"/>
        <w:autoSpaceDE w:val="0"/>
        <w:autoSpaceDN w:val="0"/>
        <w:adjustRightInd w:val="0"/>
        <w:spacing w:line="264" w:lineRule="auto"/>
        <w:ind w:left="284" w:hanging="284"/>
        <w:contextualSpacing/>
        <w:textAlignment w:val="baseline"/>
        <w:rPr>
          <w:bCs/>
          <w:iCs/>
        </w:rPr>
      </w:pPr>
      <w:r w:rsidRPr="00316A9D">
        <w:t>ritiene che l'</w:t>
      </w:r>
      <w:r w:rsidRPr="00316A9D">
        <w:rPr>
          <w:b/>
        </w:rPr>
        <w:t>autonomia strategica aperta</w:t>
      </w:r>
      <w:r w:rsidRPr="00316A9D">
        <w:t xml:space="preserve"> dell'UE debba essere sviluppata come elemento chiave del progetto europeo, la cui unicità e i cui punti di forza si basano sulla combinazione di integrazione economica e sociale.</w:t>
      </w:r>
    </w:p>
    <w:p w:rsidRPr="00316A9D" w:rsidR="000F4139" w:rsidP="000F4139" w:rsidRDefault="000F4139" w14:paraId="340D6722" w14:textId="77777777">
      <w:pPr>
        <w:widowControl w:val="0"/>
        <w:overflowPunct w:val="0"/>
        <w:autoSpaceDE w:val="0"/>
        <w:autoSpaceDN w:val="0"/>
        <w:adjustRightInd w:val="0"/>
        <w:spacing w:line="264" w:lineRule="auto"/>
        <w:ind w:left="709"/>
        <w:textAlignment w:val="baseline"/>
        <w:rPr>
          <w:szCs w:val="20"/>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16A9D" w:rsidR="000F4139" w:rsidTr="009839A2" w14:paraId="2AD72305" w14:textId="77777777">
        <w:tc>
          <w:tcPr>
            <w:tcW w:w="1418" w:type="dxa"/>
          </w:tcPr>
          <w:p w:rsidRPr="00316A9D" w:rsidR="000F4139" w:rsidP="000F4139" w:rsidRDefault="000F4139" w14:paraId="013A5D6B" w14:textId="77777777">
            <w:pPr>
              <w:overflowPunct w:val="0"/>
              <w:autoSpaceDE w:val="0"/>
              <w:autoSpaceDN w:val="0"/>
              <w:adjustRightInd w:val="0"/>
              <w:spacing w:line="264" w:lineRule="auto"/>
              <w:textAlignment w:val="baseline"/>
              <w:rPr>
                <w:i/>
              </w:rPr>
            </w:pPr>
            <w:r w:rsidRPr="00316A9D">
              <w:rPr>
                <w:b/>
                <w:i/>
              </w:rPr>
              <w:t>Contatto</w:t>
            </w:r>
          </w:p>
        </w:tc>
        <w:tc>
          <w:tcPr>
            <w:tcW w:w="5670" w:type="dxa"/>
          </w:tcPr>
          <w:p w:rsidRPr="00316A9D" w:rsidR="000F4139" w:rsidP="000F4139" w:rsidRDefault="000F4139" w14:paraId="371E9216" w14:textId="122E03A1">
            <w:pPr>
              <w:overflowPunct w:val="0"/>
              <w:autoSpaceDE w:val="0"/>
              <w:autoSpaceDN w:val="0"/>
              <w:adjustRightInd w:val="0"/>
              <w:spacing w:line="264" w:lineRule="auto"/>
              <w:textAlignment w:val="baseline"/>
              <w:rPr>
                <w:i/>
              </w:rPr>
            </w:pPr>
            <w:r w:rsidRPr="00316A9D">
              <w:rPr>
                <w:i/>
              </w:rPr>
              <w:t>Silvia STAFFA</w:t>
            </w:r>
          </w:p>
        </w:tc>
      </w:tr>
      <w:tr w:rsidRPr="00316A9D" w:rsidR="000F4139" w:rsidTr="009839A2" w14:paraId="666A495B" w14:textId="77777777">
        <w:tc>
          <w:tcPr>
            <w:tcW w:w="1418" w:type="dxa"/>
          </w:tcPr>
          <w:p w:rsidRPr="00316A9D" w:rsidR="000F4139" w:rsidP="000F4139" w:rsidRDefault="000F4139" w14:paraId="1A6751A2" w14:textId="77777777">
            <w:pPr>
              <w:overflowPunct w:val="0"/>
              <w:autoSpaceDE w:val="0"/>
              <w:autoSpaceDN w:val="0"/>
              <w:adjustRightInd w:val="0"/>
              <w:spacing w:line="264" w:lineRule="auto"/>
              <w:textAlignment w:val="baseline"/>
              <w:rPr>
                <w:i/>
              </w:rPr>
            </w:pPr>
            <w:r w:rsidRPr="00316A9D">
              <w:rPr>
                <w:i/>
              </w:rPr>
              <w:t>Tel.</w:t>
            </w:r>
          </w:p>
        </w:tc>
        <w:tc>
          <w:tcPr>
            <w:tcW w:w="5670" w:type="dxa"/>
          </w:tcPr>
          <w:p w:rsidRPr="00316A9D" w:rsidR="000F4139" w:rsidP="000F4139" w:rsidRDefault="000F4139" w14:paraId="08B36D07" w14:textId="77777777">
            <w:pPr>
              <w:overflowPunct w:val="0"/>
              <w:autoSpaceDE w:val="0"/>
              <w:autoSpaceDN w:val="0"/>
              <w:adjustRightInd w:val="0"/>
              <w:spacing w:line="264" w:lineRule="auto"/>
              <w:textAlignment w:val="baseline"/>
              <w:rPr>
                <w:i/>
              </w:rPr>
            </w:pPr>
            <w:r w:rsidRPr="00316A9D">
              <w:rPr>
                <w:i/>
              </w:rPr>
              <w:t>+32 25468378</w:t>
            </w:r>
          </w:p>
        </w:tc>
      </w:tr>
      <w:tr w:rsidRPr="00316A9D" w:rsidR="000F4139" w:rsidTr="009839A2" w14:paraId="559E6652" w14:textId="77777777">
        <w:tc>
          <w:tcPr>
            <w:tcW w:w="1418" w:type="dxa"/>
          </w:tcPr>
          <w:p w:rsidRPr="00316A9D" w:rsidR="000F4139" w:rsidP="000F4139" w:rsidRDefault="003D1AF1" w14:paraId="168D2185" w14:textId="356F4C8F">
            <w:pPr>
              <w:overflowPunct w:val="0"/>
              <w:autoSpaceDE w:val="0"/>
              <w:autoSpaceDN w:val="0"/>
              <w:adjustRightInd w:val="0"/>
              <w:spacing w:line="264" w:lineRule="auto"/>
              <w:textAlignment w:val="baseline"/>
              <w:rPr>
                <w:i/>
              </w:rPr>
            </w:pPr>
            <w:r w:rsidRPr="00316A9D">
              <w:rPr>
                <w:i/>
              </w:rPr>
              <w:t>E</w:t>
            </w:r>
            <w:r w:rsidRPr="00316A9D" w:rsidR="000F4139">
              <w:rPr>
                <w:i/>
              </w:rPr>
              <w:t>-mail</w:t>
            </w:r>
          </w:p>
        </w:tc>
        <w:tc>
          <w:tcPr>
            <w:tcW w:w="5670" w:type="dxa"/>
          </w:tcPr>
          <w:p w:rsidRPr="00316A9D" w:rsidR="000F4139" w:rsidP="000F4139" w:rsidRDefault="003A440F" w14:paraId="3F4BAFA7" w14:textId="77777777">
            <w:pPr>
              <w:overflowPunct w:val="0"/>
              <w:autoSpaceDE w:val="0"/>
              <w:autoSpaceDN w:val="0"/>
              <w:adjustRightInd w:val="0"/>
              <w:spacing w:line="264" w:lineRule="auto"/>
              <w:textAlignment w:val="baseline"/>
              <w:rPr>
                <w:i/>
                <w:iCs/>
              </w:rPr>
            </w:pPr>
            <w:hyperlink w:history="1" r:id="rId36">
              <w:r w:rsidRPr="00316A9D" w:rsidR="00F76B5D">
                <w:rPr>
                  <w:i/>
                  <w:color w:val="0000FF"/>
                  <w:u w:val="single"/>
                </w:rPr>
                <w:t>Silvia.Staffa@eesc.europa.eu</w:t>
              </w:r>
            </w:hyperlink>
          </w:p>
        </w:tc>
      </w:tr>
    </w:tbl>
    <w:p w:rsidRPr="00316A9D" w:rsidR="0054035C" w:rsidRDefault="0054035C" w14:paraId="2FD9A932" w14:textId="77777777">
      <w:pPr>
        <w:spacing w:after="160" w:line="259" w:lineRule="auto"/>
        <w:jc w:val="left"/>
        <w:rPr>
          <w:b/>
          <w:iCs/>
        </w:rPr>
      </w:pPr>
      <w:r w:rsidRPr="00316A9D">
        <w:br w:type="page"/>
      </w:r>
    </w:p>
    <w:p w:rsidRPr="00316A9D" w:rsidR="00EC69D1" w:rsidP="00401E8F" w:rsidRDefault="003A440F" w14:paraId="49E4A578" w14:textId="3459948D">
      <w:pPr>
        <w:widowControl w:val="0"/>
        <w:numPr>
          <w:ilvl w:val="0"/>
          <w:numId w:val="25"/>
        </w:numPr>
        <w:overflowPunct w:val="0"/>
        <w:autoSpaceDE w:val="0"/>
        <w:autoSpaceDN w:val="0"/>
        <w:adjustRightInd w:val="0"/>
        <w:ind w:left="567" w:hanging="567"/>
        <w:textAlignment w:val="baseline"/>
        <w:rPr>
          <w:sz w:val="20"/>
          <w:szCs w:val="20"/>
        </w:rPr>
      </w:pPr>
      <w:hyperlink w:history="1" r:id="rId37">
        <w:r w:rsidRPr="00316A9D" w:rsidR="008772F9">
          <w:rPr>
            <w:b/>
            <w:i/>
            <w:color w:val="0000FF"/>
            <w:sz w:val="28"/>
            <w:u w:val="single"/>
          </w:rPr>
          <w:t>Relazione di previsione strategica 2023</w:t>
        </w:r>
      </w:hyperlink>
    </w:p>
    <w:p w:rsidRPr="00316A9D" w:rsidR="00EC69D1" w:rsidP="00EC69D1" w:rsidRDefault="00EC69D1" w14:paraId="63ACBE30" w14:textId="77777777">
      <w:pPr>
        <w:tabs>
          <w:tab w:val="center" w:pos="284"/>
        </w:tabs>
        <w:overflowPunct w:val="0"/>
        <w:autoSpaceDE w:val="0"/>
        <w:autoSpaceDN w:val="0"/>
        <w:adjustRightInd w:val="0"/>
        <w:ind w:left="266" w:hanging="266"/>
        <w:textAlignment w:val="baseline"/>
        <w:rPr>
          <w:b/>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16A9D" w:rsidR="00EC69D1" w:rsidTr="009839A2" w14:paraId="1A465D8B" w14:textId="77777777">
        <w:tc>
          <w:tcPr>
            <w:tcW w:w="1701" w:type="dxa"/>
          </w:tcPr>
          <w:p w:rsidRPr="00316A9D" w:rsidR="00EC69D1" w:rsidP="00EC69D1" w:rsidRDefault="003D1AF1" w14:paraId="75093038" w14:textId="75BCD346">
            <w:pPr>
              <w:tabs>
                <w:tab w:val="center" w:pos="284"/>
              </w:tabs>
              <w:overflowPunct w:val="0"/>
              <w:autoSpaceDE w:val="0"/>
              <w:autoSpaceDN w:val="0"/>
              <w:adjustRightInd w:val="0"/>
              <w:ind w:left="266" w:hanging="266"/>
              <w:textAlignment w:val="baseline"/>
              <w:rPr>
                <w:b/>
              </w:rPr>
            </w:pPr>
            <w:r w:rsidRPr="00316A9D">
              <w:rPr>
                <w:b/>
              </w:rPr>
              <w:t>Relatore</w:t>
            </w:r>
          </w:p>
        </w:tc>
        <w:tc>
          <w:tcPr>
            <w:tcW w:w="5387" w:type="dxa"/>
          </w:tcPr>
          <w:p w:rsidRPr="00316A9D" w:rsidR="00EC69D1" w:rsidP="00EC69D1" w:rsidRDefault="00EC69D1" w14:paraId="7C8BCD0D" w14:textId="6BA4B146">
            <w:pPr>
              <w:tabs>
                <w:tab w:val="center" w:pos="284"/>
              </w:tabs>
              <w:overflowPunct w:val="0"/>
              <w:autoSpaceDE w:val="0"/>
              <w:autoSpaceDN w:val="0"/>
              <w:adjustRightInd w:val="0"/>
              <w:ind w:left="266" w:hanging="266"/>
              <w:textAlignment w:val="baseline"/>
            </w:pPr>
            <w:r w:rsidRPr="00316A9D">
              <w:t>Stefano PALMIERI (Lavoratori - IT)</w:t>
            </w:r>
          </w:p>
        </w:tc>
      </w:tr>
      <w:tr w:rsidRPr="00316A9D" w:rsidR="00EC69D1" w:rsidTr="009839A2" w14:paraId="633FC230" w14:textId="77777777">
        <w:tc>
          <w:tcPr>
            <w:tcW w:w="1701" w:type="dxa"/>
          </w:tcPr>
          <w:p w:rsidRPr="00316A9D" w:rsidR="00EC69D1" w:rsidP="00EC69D1" w:rsidRDefault="003D1AF1" w14:paraId="187F4DAD" w14:textId="4FD77546">
            <w:pPr>
              <w:tabs>
                <w:tab w:val="center" w:pos="284"/>
              </w:tabs>
              <w:overflowPunct w:val="0"/>
              <w:autoSpaceDE w:val="0"/>
              <w:autoSpaceDN w:val="0"/>
              <w:adjustRightInd w:val="0"/>
              <w:ind w:left="266" w:hanging="266"/>
              <w:textAlignment w:val="baseline"/>
              <w:rPr>
                <w:b/>
              </w:rPr>
            </w:pPr>
            <w:r w:rsidRPr="00316A9D">
              <w:rPr>
                <w:b/>
              </w:rPr>
              <w:t>Correlatore</w:t>
            </w:r>
          </w:p>
        </w:tc>
        <w:tc>
          <w:tcPr>
            <w:tcW w:w="5387" w:type="dxa"/>
          </w:tcPr>
          <w:p w:rsidRPr="00316A9D" w:rsidR="00EC69D1" w:rsidP="00EC69D1" w:rsidRDefault="00EC69D1" w14:paraId="66D3B7D1" w14:textId="2831B248">
            <w:pPr>
              <w:tabs>
                <w:tab w:val="center" w:pos="284"/>
              </w:tabs>
              <w:overflowPunct w:val="0"/>
              <w:autoSpaceDE w:val="0"/>
              <w:autoSpaceDN w:val="0"/>
              <w:adjustRightInd w:val="0"/>
              <w:ind w:left="266" w:hanging="266"/>
              <w:textAlignment w:val="baseline"/>
            </w:pPr>
            <w:r w:rsidRPr="00316A9D">
              <w:t xml:space="preserve">Gonçalo LOBO XAVIER (Datori di lavoro - PT) </w:t>
            </w:r>
          </w:p>
        </w:tc>
      </w:tr>
      <w:tr w:rsidRPr="00316A9D" w:rsidR="00EC69D1" w:rsidTr="009839A2" w14:paraId="29D494C0" w14:textId="77777777">
        <w:tc>
          <w:tcPr>
            <w:tcW w:w="7088" w:type="dxa"/>
            <w:gridSpan w:val="2"/>
          </w:tcPr>
          <w:p w:rsidRPr="00316A9D" w:rsidR="00EC69D1" w:rsidP="00EC69D1" w:rsidRDefault="00EC69D1" w14:paraId="20098F8B" w14:textId="77777777">
            <w:pPr>
              <w:tabs>
                <w:tab w:val="center" w:pos="284"/>
              </w:tabs>
              <w:overflowPunct w:val="0"/>
              <w:autoSpaceDE w:val="0"/>
              <w:autoSpaceDN w:val="0"/>
              <w:adjustRightInd w:val="0"/>
              <w:spacing w:line="160" w:lineRule="exact"/>
              <w:ind w:left="266" w:hanging="266"/>
              <w:textAlignment w:val="baseline"/>
            </w:pPr>
          </w:p>
        </w:tc>
      </w:tr>
      <w:tr w:rsidRPr="00316A9D" w:rsidR="00EC69D1" w:rsidTr="009839A2" w14:paraId="1D2CF038" w14:textId="77777777">
        <w:tc>
          <w:tcPr>
            <w:tcW w:w="1701" w:type="dxa"/>
            <w:vMerge w:val="restart"/>
          </w:tcPr>
          <w:p w:rsidRPr="00316A9D" w:rsidR="00EC69D1" w:rsidP="00EC69D1" w:rsidRDefault="00EC69D1" w14:paraId="5B5B47A4" w14:textId="77777777">
            <w:pPr>
              <w:tabs>
                <w:tab w:val="center" w:pos="284"/>
              </w:tabs>
              <w:overflowPunct w:val="0"/>
              <w:autoSpaceDE w:val="0"/>
              <w:autoSpaceDN w:val="0"/>
              <w:adjustRightInd w:val="0"/>
              <w:ind w:left="266" w:hanging="266"/>
              <w:textAlignment w:val="baseline"/>
              <w:rPr>
                <w:b/>
              </w:rPr>
            </w:pPr>
            <w:r w:rsidRPr="00316A9D">
              <w:rPr>
                <w:b/>
              </w:rPr>
              <w:t>Riferimenti</w:t>
            </w:r>
          </w:p>
        </w:tc>
        <w:tc>
          <w:tcPr>
            <w:tcW w:w="5387" w:type="dxa"/>
          </w:tcPr>
          <w:p w:rsidRPr="00316A9D" w:rsidR="00EC69D1" w:rsidP="00EC69D1" w:rsidRDefault="003B496D" w14:paraId="57D839C4" w14:textId="3B07F637">
            <w:pPr>
              <w:tabs>
                <w:tab w:val="center" w:pos="284"/>
              </w:tabs>
              <w:overflowPunct w:val="0"/>
              <w:autoSpaceDE w:val="0"/>
              <w:autoSpaceDN w:val="0"/>
              <w:adjustRightInd w:val="0"/>
              <w:ind w:left="266" w:hanging="266"/>
              <w:textAlignment w:val="baseline"/>
            </w:pPr>
            <w:r w:rsidRPr="00316A9D">
              <w:rPr>
                <w:color w:val="000000" w:themeColor="text1"/>
              </w:rPr>
              <w:t>COM(2023) 376 final</w:t>
            </w:r>
          </w:p>
        </w:tc>
      </w:tr>
      <w:tr w:rsidRPr="00316A9D" w:rsidR="00EC69D1" w:rsidTr="009839A2" w14:paraId="18BC8FB3" w14:textId="77777777">
        <w:tc>
          <w:tcPr>
            <w:tcW w:w="1701" w:type="dxa"/>
            <w:vMerge/>
          </w:tcPr>
          <w:p w:rsidRPr="00316A9D" w:rsidR="00EC69D1" w:rsidP="00EC69D1" w:rsidRDefault="00EC69D1" w14:paraId="600849EA" w14:textId="77777777">
            <w:pPr>
              <w:tabs>
                <w:tab w:val="center" w:pos="284"/>
              </w:tabs>
              <w:overflowPunct w:val="0"/>
              <w:autoSpaceDE w:val="0"/>
              <w:autoSpaceDN w:val="0"/>
              <w:adjustRightInd w:val="0"/>
              <w:ind w:left="266" w:hanging="266"/>
              <w:textAlignment w:val="baseline"/>
              <w:rPr>
                <w:b/>
              </w:rPr>
            </w:pPr>
          </w:p>
        </w:tc>
        <w:tc>
          <w:tcPr>
            <w:tcW w:w="5387" w:type="dxa"/>
          </w:tcPr>
          <w:p w:rsidRPr="00316A9D" w:rsidR="00EC69D1" w:rsidP="00EC69D1" w:rsidRDefault="00EC69D1" w14:paraId="39089157" w14:textId="77777777">
            <w:pPr>
              <w:tabs>
                <w:tab w:val="center" w:pos="284"/>
              </w:tabs>
              <w:overflowPunct w:val="0"/>
              <w:autoSpaceDE w:val="0"/>
              <w:autoSpaceDN w:val="0"/>
              <w:adjustRightInd w:val="0"/>
              <w:ind w:left="266" w:hanging="266"/>
              <w:textAlignment w:val="baseline"/>
            </w:pPr>
            <w:r w:rsidRPr="00316A9D">
              <w:t>EESC-2023-04844-00-00-AC</w:t>
            </w:r>
          </w:p>
        </w:tc>
      </w:tr>
    </w:tbl>
    <w:p w:rsidRPr="00316A9D" w:rsidR="00EC69D1" w:rsidP="00EC69D1" w:rsidRDefault="00EC69D1" w14:paraId="14E17862" w14:textId="38726176">
      <w:pPr>
        <w:tabs>
          <w:tab w:val="center" w:pos="284"/>
        </w:tabs>
        <w:overflowPunct w:val="0"/>
        <w:autoSpaceDE w:val="0"/>
        <w:autoSpaceDN w:val="0"/>
        <w:adjustRightInd w:val="0"/>
        <w:ind w:left="266" w:hanging="266"/>
        <w:textAlignment w:val="baseline"/>
      </w:pPr>
    </w:p>
    <w:p w:rsidRPr="00316A9D" w:rsidR="00EC69D1" w:rsidP="00EC69D1" w:rsidRDefault="00EC69D1" w14:paraId="28D3FD7A" w14:textId="77777777">
      <w:pPr>
        <w:keepNext/>
        <w:keepLines/>
        <w:tabs>
          <w:tab w:val="center" w:pos="284"/>
        </w:tabs>
        <w:overflowPunct w:val="0"/>
        <w:autoSpaceDE w:val="0"/>
        <w:autoSpaceDN w:val="0"/>
        <w:adjustRightInd w:val="0"/>
        <w:ind w:left="266" w:hanging="266"/>
        <w:textAlignment w:val="baseline"/>
        <w:rPr>
          <w:b/>
        </w:rPr>
      </w:pPr>
      <w:r w:rsidRPr="00316A9D">
        <w:rPr>
          <w:b/>
        </w:rPr>
        <w:t>Punti principali</w:t>
      </w:r>
    </w:p>
    <w:p w:rsidRPr="00316A9D" w:rsidR="00EC69D1" w:rsidP="00EC69D1" w:rsidRDefault="00EC69D1" w14:paraId="67AFFBCC" w14:textId="77777777">
      <w:pPr>
        <w:keepNext/>
        <w:keepLines/>
        <w:tabs>
          <w:tab w:val="center" w:pos="284"/>
        </w:tabs>
        <w:overflowPunct w:val="0"/>
        <w:autoSpaceDE w:val="0"/>
        <w:autoSpaceDN w:val="0"/>
        <w:adjustRightInd w:val="0"/>
        <w:ind w:left="266" w:hanging="266"/>
        <w:textAlignment w:val="baseline"/>
        <w:rPr>
          <w:b/>
        </w:rPr>
      </w:pPr>
    </w:p>
    <w:p w:rsidRPr="00316A9D" w:rsidR="00EC69D1" w:rsidP="00EC69D1" w:rsidRDefault="00EC69D1" w14:paraId="655BB014" w14:textId="03BCDFEC">
      <w:pPr>
        <w:overflowPunct w:val="0"/>
        <w:autoSpaceDE w:val="0"/>
        <w:autoSpaceDN w:val="0"/>
        <w:adjustRightInd w:val="0"/>
        <w:textAlignment w:val="baseline"/>
        <w:rPr>
          <w:bCs/>
          <w:iCs/>
        </w:rPr>
      </w:pPr>
      <w:r w:rsidRPr="00316A9D">
        <w:t>Il CESE:</w:t>
      </w:r>
    </w:p>
    <w:p w:rsidRPr="00316A9D" w:rsidR="00EC3E58" w:rsidP="00EC69D1" w:rsidRDefault="00EC3E58" w14:paraId="7FE7018D" w14:textId="77777777">
      <w:pPr>
        <w:overflowPunct w:val="0"/>
        <w:autoSpaceDE w:val="0"/>
        <w:autoSpaceDN w:val="0"/>
        <w:adjustRightInd w:val="0"/>
        <w:textAlignment w:val="baseline"/>
        <w:rPr>
          <w:bCs/>
          <w:iCs/>
        </w:rPr>
      </w:pPr>
    </w:p>
    <w:p w:rsidRPr="00316A9D" w:rsidR="00EC69D1" w:rsidP="00AA5F9C" w:rsidRDefault="00EC69D1" w14:paraId="097EC97C" w14:textId="77777777">
      <w:pPr>
        <w:widowControl w:val="0"/>
        <w:numPr>
          <w:ilvl w:val="0"/>
          <w:numId w:val="54"/>
        </w:numPr>
        <w:overflowPunct w:val="0"/>
        <w:autoSpaceDE w:val="0"/>
        <w:autoSpaceDN w:val="0"/>
        <w:adjustRightInd w:val="0"/>
        <w:ind w:left="284" w:hanging="284"/>
        <w:textAlignment w:val="baseline"/>
        <w:rPr>
          <w:bCs/>
          <w:iCs/>
        </w:rPr>
      </w:pPr>
      <w:r w:rsidRPr="00316A9D">
        <w:t xml:space="preserve">ravvisa nella previsione un ausilio essenziale ai processi decisionali e prende atto degli sforzi compiuti a livello di Unione europea per assegnare alla previsione un ruolo istituzionale strategico e prenderla in considerazione ai fini del processo decisionale dell'UE; </w:t>
      </w:r>
    </w:p>
    <w:p w:rsidRPr="00316A9D" w:rsidR="00EC69D1" w:rsidP="00AA5F9C" w:rsidRDefault="00EC69D1" w14:paraId="600441D5" w14:textId="77777777">
      <w:pPr>
        <w:widowControl w:val="0"/>
        <w:numPr>
          <w:ilvl w:val="0"/>
          <w:numId w:val="54"/>
        </w:numPr>
        <w:overflowPunct w:val="0"/>
        <w:autoSpaceDE w:val="0"/>
        <w:autoSpaceDN w:val="0"/>
        <w:adjustRightInd w:val="0"/>
        <w:ind w:left="284" w:hanging="284"/>
        <w:textAlignment w:val="baseline"/>
        <w:rPr>
          <w:bCs/>
          <w:iCs/>
        </w:rPr>
      </w:pPr>
      <w:r w:rsidRPr="00316A9D">
        <w:t>chiede che la nuova Commissione nomini un commissario responsabile della previsione, analogamente a quanto avviene nell'attuale mandato;</w:t>
      </w:r>
    </w:p>
    <w:p w:rsidRPr="00316A9D" w:rsidR="00EC69D1" w:rsidP="00AA5F9C" w:rsidRDefault="00EC69D1" w14:paraId="1E5E7387" w14:textId="77777777">
      <w:pPr>
        <w:widowControl w:val="0"/>
        <w:numPr>
          <w:ilvl w:val="0"/>
          <w:numId w:val="54"/>
        </w:numPr>
        <w:overflowPunct w:val="0"/>
        <w:autoSpaceDE w:val="0"/>
        <w:autoSpaceDN w:val="0"/>
        <w:adjustRightInd w:val="0"/>
        <w:ind w:left="284" w:hanging="284"/>
        <w:textAlignment w:val="baseline"/>
        <w:rPr>
          <w:bCs/>
          <w:iCs/>
        </w:rPr>
      </w:pPr>
      <w:r w:rsidRPr="00316A9D">
        <w:t xml:space="preserve">chiede di essere maggiormente coinvolto al fine di rafforzare le capacità di analisi e di previsione dell'UE e di contribuire a individuare tendenze e possibili soluzioni all'interno di una società trasformativa; </w:t>
      </w:r>
    </w:p>
    <w:p w:rsidRPr="00316A9D" w:rsidR="00EC69D1" w:rsidP="00AA5F9C" w:rsidRDefault="00EC69D1" w14:paraId="2882D225" w14:textId="77777777">
      <w:pPr>
        <w:widowControl w:val="0"/>
        <w:numPr>
          <w:ilvl w:val="0"/>
          <w:numId w:val="54"/>
        </w:numPr>
        <w:overflowPunct w:val="0"/>
        <w:autoSpaceDE w:val="0"/>
        <w:autoSpaceDN w:val="0"/>
        <w:adjustRightInd w:val="0"/>
        <w:ind w:left="284" w:hanging="284"/>
        <w:textAlignment w:val="baseline"/>
        <w:rPr>
          <w:bCs/>
          <w:iCs/>
        </w:rPr>
      </w:pPr>
      <w:r w:rsidRPr="00316A9D">
        <w:t xml:space="preserve">dovrebbe coordinare una procedura interna intesa a condurre un esercizio di previsione volto a individuare le tendenze, gli scenari, le priorità e le azioni principali, nel contesto delle elezioni del Parlamento europeo e della nomina della nuova Commissione europea; </w:t>
      </w:r>
    </w:p>
    <w:p w:rsidRPr="00316A9D" w:rsidR="00EC69D1" w:rsidP="00AA5F9C" w:rsidRDefault="00EC69D1" w14:paraId="3DC48F96" w14:textId="77777777">
      <w:pPr>
        <w:widowControl w:val="0"/>
        <w:numPr>
          <w:ilvl w:val="0"/>
          <w:numId w:val="54"/>
        </w:numPr>
        <w:overflowPunct w:val="0"/>
        <w:autoSpaceDE w:val="0"/>
        <w:autoSpaceDN w:val="0"/>
        <w:adjustRightInd w:val="0"/>
        <w:ind w:left="284" w:hanging="284"/>
        <w:textAlignment w:val="baseline"/>
        <w:rPr>
          <w:bCs/>
          <w:iCs/>
        </w:rPr>
      </w:pPr>
      <w:r w:rsidRPr="00316A9D">
        <w:t>condivide l'impostazione della Commissione che consiste nell'individuare opzioni di nuovi modelli economici praticabili ed efficaci al fine di garantire una competitività inclusiva e sostenibile mantenendo al tempo stesso un livello di protezione sociale e ambientale elevato, posti di lavoro di qualità e condizioni di equità e solidarietà, e di preservare così il modello europeo di un'economia sociale di mercato altamente competitiva;</w:t>
      </w:r>
    </w:p>
    <w:p w:rsidRPr="00316A9D" w:rsidR="00EC69D1" w:rsidP="00AA5F9C" w:rsidRDefault="00EC69D1" w14:paraId="38C54589" w14:textId="77777777">
      <w:pPr>
        <w:widowControl w:val="0"/>
        <w:numPr>
          <w:ilvl w:val="0"/>
          <w:numId w:val="54"/>
        </w:numPr>
        <w:overflowPunct w:val="0"/>
        <w:autoSpaceDE w:val="0"/>
        <w:autoSpaceDN w:val="0"/>
        <w:adjustRightInd w:val="0"/>
        <w:ind w:left="284" w:hanging="284"/>
        <w:textAlignment w:val="baseline"/>
        <w:rPr>
          <w:bCs/>
          <w:iCs/>
        </w:rPr>
      </w:pPr>
      <w:r w:rsidRPr="00316A9D">
        <w:t>invoca una politica industriale europea rinnovata e ampliata, che punti a coordinare le decisioni e gli interventi per orientare meglio i diversi settori e i vari Stati membri all'obiettivo, da perseguire con coerenza, di garantire una competitività sostenibile per l'Unione europea;</w:t>
      </w:r>
    </w:p>
    <w:p w:rsidRPr="00316A9D" w:rsidR="00EC69D1" w:rsidP="00AA5F9C" w:rsidRDefault="00EC69D1" w14:paraId="03095CA9" w14:textId="77777777">
      <w:pPr>
        <w:widowControl w:val="0"/>
        <w:numPr>
          <w:ilvl w:val="0"/>
          <w:numId w:val="54"/>
        </w:numPr>
        <w:overflowPunct w:val="0"/>
        <w:autoSpaceDE w:val="0"/>
        <w:autoSpaceDN w:val="0"/>
        <w:adjustRightInd w:val="0"/>
        <w:ind w:left="284" w:hanging="284"/>
        <w:textAlignment w:val="baseline"/>
        <w:rPr>
          <w:bCs/>
          <w:iCs/>
        </w:rPr>
      </w:pPr>
      <w:r w:rsidRPr="00316A9D">
        <w:t>chiede che siano elaborati indicatori complementari al PIL, da tradurre in misure strategiche;</w:t>
      </w:r>
    </w:p>
    <w:p w:rsidRPr="00316A9D" w:rsidR="00EC69D1" w:rsidP="00AA5F9C" w:rsidRDefault="00EC69D1" w14:paraId="1934623D" w14:textId="77777777">
      <w:pPr>
        <w:widowControl w:val="0"/>
        <w:numPr>
          <w:ilvl w:val="0"/>
          <w:numId w:val="54"/>
        </w:numPr>
        <w:overflowPunct w:val="0"/>
        <w:autoSpaceDE w:val="0"/>
        <w:autoSpaceDN w:val="0"/>
        <w:adjustRightInd w:val="0"/>
        <w:ind w:left="284" w:hanging="284"/>
        <w:textAlignment w:val="baseline"/>
        <w:rPr>
          <w:bCs/>
          <w:iCs/>
        </w:rPr>
      </w:pPr>
      <w:r w:rsidRPr="00316A9D">
        <w:t>chiede alle istituzioni europee e nazionali, al settore privato e ai portatori locali d'interesse di lavorare alla definizione e all'adozione di un nuovo contratto sociale europeo adeguato;</w:t>
      </w:r>
    </w:p>
    <w:p w:rsidRPr="00316A9D" w:rsidR="00EC69D1" w:rsidP="00AA5F9C" w:rsidRDefault="00EC69D1" w14:paraId="09A98366" w14:textId="77777777">
      <w:pPr>
        <w:widowControl w:val="0"/>
        <w:numPr>
          <w:ilvl w:val="0"/>
          <w:numId w:val="54"/>
        </w:numPr>
        <w:overflowPunct w:val="0"/>
        <w:autoSpaceDE w:val="0"/>
        <w:autoSpaceDN w:val="0"/>
        <w:adjustRightInd w:val="0"/>
        <w:ind w:left="284" w:hanging="284"/>
        <w:textAlignment w:val="baseline"/>
        <w:rPr>
          <w:bCs/>
          <w:iCs/>
        </w:rPr>
      </w:pPr>
      <w:r w:rsidRPr="00316A9D">
        <w:t xml:space="preserve">chiede all'Unione europea e agli Stati membri di unire le forze per garantire l'approvvigionamento dei beni - e l'erogazione dei servizi - pubblici europei, anche adeguando il bilancio dell'UE al nuovo scenario. Beni e servizi che garantiscano la difesa, la sicurezza, la salute, l'istruzione e il benessere sono cruciali per mettere "l'ecosistema globale di resilienza" dell'UE in condizioni di assicurare e preservare una competitività e una democrazia sostenibili e inclusive. </w:t>
      </w:r>
    </w:p>
    <w:p w:rsidRPr="00316A9D" w:rsidR="00EC69D1" w:rsidP="00EC69D1" w:rsidRDefault="00EC69D1" w14:paraId="4722A43D" w14:textId="77777777">
      <w:pPr>
        <w:widowControl w:val="0"/>
        <w:overflowPunct w:val="0"/>
        <w:autoSpaceDE w:val="0"/>
        <w:autoSpaceDN w:val="0"/>
        <w:adjustRightInd w:val="0"/>
        <w:ind w:left="709"/>
        <w:textAlignment w:val="baseline"/>
        <w:rPr>
          <w:szCs w:val="20"/>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16A9D" w:rsidR="00EC69D1" w:rsidTr="009839A2" w14:paraId="15AE3A7A" w14:textId="77777777">
        <w:tc>
          <w:tcPr>
            <w:tcW w:w="1418" w:type="dxa"/>
          </w:tcPr>
          <w:p w:rsidRPr="00316A9D" w:rsidR="00EC69D1" w:rsidP="00EC69D1" w:rsidRDefault="00EC69D1" w14:paraId="17039D3E" w14:textId="77777777">
            <w:pPr>
              <w:overflowPunct w:val="0"/>
              <w:autoSpaceDE w:val="0"/>
              <w:autoSpaceDN w:val="0"/>
              <w:adjustRightInd w:val="0"/>
              <w:spacing w:line="240" w:lineRule="auto"/>
              <w:textAlignment w:val="baseline"/>
              <w:rPr>
                <w:i/>
              </w:rPr>
            </w:pPr>
            <w:r w:rsidRPr="00316A9D">
              <w:rPr>
                <w:b/>
                <w:i/>
              </w:rPr>
              <w:t>Contatto</w:t>
            </w:r>
          </w:p>
        </w:tc>
        <w:tc>
          <w:tcPr>
            <w:tcW w:w="5670" w:type="dxa"/>
          </w:tcPr>
          <w:p w:rsidRPr="00316A9D" w:rsidR="00EC69D1" w:rsidP="00EC69D1" w:rsidRDefault="00EC69D1" w14:paraId="00B40847" w14:textId="4324468A">
            <w:pPr>
              <w:overflowPunct w:val="0"/>
              <w:autoSpaceDE w:val="0"/>
              <w:autoSpaceDN w:val="0"/>
              <w:adjustRightInd w:val="0"/>
              <w:spacing w:line="240" w:lineRule="auto"/>
              <w:textAlignment w:val="baseline"/>
              <w:rPr>
                <w:i/>
              </w:rPr>
            </w:pPr>
            <w:r w:rsidRPr="00316A9D">
              <w:rPr>
                <w:i/>
              </w:rPr>
              <w:t>Raúl Muriel CARRASCO</w:t>
            </w:r>
          </w:p>
        </w:tc>
      </w:tr>
      <w:tr w:rsidRPr="00316A9D" w:rsidR="00EC69D1" w:rsidTr="009839A2" w14:paraId="74868F27" w14:textId="77777777">
        <w:tc>
          <w:tcPr>
            <w:tcW w:w="1418" w:type="dxa"/>
          </w:tcPr>
          <w:p w:rsidRPr="00316A9D" w:rsidR="00EC69D1" w:rsidP="00EC69D1" w:rsidRDefault="00EC69D1" w14:paraId="58061404" w14:textId="77777777">
            <w:pPr>
              <w:overflowPunct w:val="0"/>
              <w:autoSpaceDE w:val="0"/>
              <w:autoSpaceDN w:val="0"/>
              <w:adjustRightInd w:val="0"/>
              <w:spacing w:line="240" w:lineRule="auto"/>
              <w:textAlignment w:val="baseline"/>
              <w:rPr>
                <w:i/>
              </w:rPr>
            </w:pPr>
            <w:r w:rsidRPr="00316A9D">
              <w:rPr>
                <w:i/>
              </w:rPr>
              <w:t>Tel.</w:t>
            </w:r>
          </w:p>
        </w:tc>
        <w:tc>
          <w:tcPr>
            <w:tcW w:w="5670" w:type="dxa"/>
          </w:tcPr>
          <w:p w:rsidRPr="00316A9D" w:rsidR="00EC69D1" w:rsidP="00EC69D1" w:rsidRDefault="00EC69D1" w14:paraId="7C3ABD8C" w14:textId="77777777">
            <w:pPr>
              <w:overflowPunct w:val="0"/>
              <w:autoSpaceDE w:val="0"/>
              <w:autoSpaceDN w:val="0"/>
              <w:adjustRightInd w:val="0"/>
              <w:spacing w:line="240" w:lineRule="auto"/>
              <w:textAlignment w:val="baseline"/>
              <w:rPr>
                <w:i/>
              </w:rPr>
            </w:pPr>
            <w:r w:rsidRPr="00316A9D">
              <w:rPr>
                <w:i/>
              </w:rPr>
              <w:t>+32 25468270</w:t>
            </w:r>
          </w:p>
        </w:tc>
      </w:tr>
      <w:tr w:rsidRPr="00316A9D" w:rsidR="00EC69D1" w:rsidTr="009839A2" w14:paraId="2E026737" w14:textId="77777777">
        <w:tc>
          <w:tcPr>
            <w:tcW w:w="1418" w:type="dxa"/>
          </w:tcPr>
          <w:p w:rsidRPr="00316A9D" w:rsidR="00EC69D1" w:rsidP="00EC69D1" w:rsidRDefault="003D1AF1" w14:paraId="692ECF90" w14:textId="19271539">
            <w:pPr>
              <w:overflowPunct w:val="0"/>
              <w:autoSpaceDE w:val="0"/>
              <w:autoSpaceDN w:val="0"/>
              <w:adjustRightInd w:val="0"/>
              <w:spacing w:line="240" w:lineRule="auto"/>
              <w:textAlignment w:val="baseline"/>
              <w:rPr>
                <w:i/>
              </w:rPr>
            </w:pPr>
            <w:r w:rsidRPr="00316A9D">
              <w:rPr>
                <w:i/>
              </w:rPr>
              <w:t>E</w:t>
            </w:r>
            <w:r w:rsidRPr="00316A9D" w:rsidR="00EC69D1">
              <w:rPr>
                <w:i/>
              </w:rPr>
              <w:t>-mail</w:t>
            </w:r>
          </w:p>
        </w:tc>
        <w:tc>
          <w:tcPr>
            <w:tcW w:w="5670" w:type="dxa"/>
          </w:tcPr>
          <w:p w:rsidRPr="00316A9D" w:rsidR="00EC69D1" w:rsidP="00EC69D1" w:rsidRDefault="003A440F" w14:paraId="43DDC604" w14:textId="77777777">
            <w:pPr>
              <w:overflowPunct w:val="0"/>
              <w:autoSpaceDE w:val="0"/>
              <w:autoSpaceDN w:val="0"/>
              <w:adjustRightInd w:val="0"/>
              <w:spacing w:line="240" w:lineRule="auto"/>
              <w:textAlignment w:val="baseline"/>
              <w:rPr>
                <w:i/>
              </w:rPr>
            </w:pPr>
            <w:hyperlink w:history="1" r:id="rId38">
              <w:r w:rsidRPr="00316A9D" w:rsidR="00F76B5D">
                <w:rPr>
                  <w:i/>
                  <w:color w:val="0000FF"/>
                  <w:u w:val="single"/>
                </w:rPr>
                <w:t>Raul.MurielCarrasco@eesc.europa.eu</w:t>
              </w:r>
            </w:hyperlink>
            <w:r w:rsidRPr="00316A9D" w:rsidR="00F76B5D">
              <w:rPr>
                <w:i/>
              </w:rPr>
              <w:t xml:space="preserve"> </w:t>
            </w:r>
          </w:p>
        </w:tc>
      </w:tr>
    </w:tbl>
    <w:p w:rsidRPr="00316A9D" w:rsidR="0054035C" w:rsidRDefault="0054035C" w14:paraId="7B4F369C" w14:textId="77777777">
      <w:pPr>
        <w:spacing w:after="160" w:line="259" w:lineRule="auto"/>
        <w:jc w:val="left"/>
        <w:rPr>
          <w:b/>
          <w:iCs/>
        </w:rPr>
      </w:pPr>
      <w:r w:rsidRPr="00316A9D">
        <w:br w:type="page"/>
      </w:r>
    </w:p>
    <w:p w:rsidRPr="00316A9D" w:rsidR="005E3A6F" w:rsidP="00401E8F" w:rsidRDefault="003A440F" w14:paraId="6364747F" w14:textId="01059159">
      <w:pPr>
        <w:widowControl w:val="0"/>
        <w:numPr>
          <w:ilvl w:val="0"/>
          <w:numId w:val="25"/>
        </w:numPr>
        <w:overflowPunct w:val="0"/>
        <w:autoSpaceDE w:val="0"/>
        <w:autoSpaceDN w:val="0"/>
        <w:adjustRightInd w:val="0"/>
        <w:ind w:left="567" w:hanging="567"/>
        <w:textAlignment w:val="baseline"/>
        <w:rPr>
          <w:sz w:val="24"/>
          <w:szCs w:val="24"/>
        </w:rPr>
      </w:pPr>
      <w:hyperlink w:tgtFrame="_blank" w:history="1" r:id="rId39">
        <w:r w:rsidRPr="00316A9D" w:rsidR="008772F9">
          <w:rPr>
            <w:b/>
            <w:i/>
            <w:color w:val="0000FF"/>
            <w:sz w:val="28"/>
            <w:u w:val="single"/>
          </w:rPr>
          <w:t>Revisione della direttiva sui pacchetti turistici</w:t>
        </w:r>
      </w:hyperlink>
    </w:p>
    <w:p w:rsidRPr="00316A9D" w:rsidR="005E3A6F" w:rsidP="005E3A6F" w:rsidRDefault="005E3A6F" w14:paraId="1FD62932" w14:textId="77777777">
      <w:pPr>
        <w:tabs>
          <w:tab w:val="center" w:pos="284"/>
        </w:tabs>
        <w:overflowPunct w:val="0"/>
        <w:autoSpaceDE w:val="0"/>
        <w:autoSpaceDN w:val="0"/>
        <w:adjustRightInd w:val="0"/>
        <w:ind w:left="266" w:hanging="266"/>
        <w:textAlignment w:val="baseline"/>
        <w:rPr>
          <w:b/>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16A9D" w:rsidR="005E3A6F" w:rsidTr="009839A2" w14:paraId="5D2FE8DB" w14:textId="77777777">
        <w:tc>
          <w:tcPr>
            <w:tcW w:w="1701" w:type="dxa"/>
          </w:tcPr>
          <w:p w:rsidRPr="00316A9D" w:rsidR="005E3A6F" w:rsidP="005E3A6F" w:rsidRDefault="003D1AF1" w14:paraId="75F71CB5" w14:textId="0B5D09C8">
            <w:pPr>
              <w:tabs>
                <w:tab w:val="center" w:pos="284"/>
              </w:tabs>
              <w:overflowPunct w:val="0"/>
              <w:autoSpaceDE w:val="0"/>
              <w:autoSpaceDN w:val="0"/>
              <w:adjustRightInd w:val="0"/>
              <w:ind w:left="266" w:hanging="266"/>
              <w:textAlignment w:val="baseline"/>
              <w:rPr>
                <w:b/>
              </w:rPr>
            </w:pPr>
            <w:r w:rsidRPr="00316A9D">
              <w:rPr>
                <w:b/>
              </w:rPr>
              <w:t>Relatore</w:t>
            </w:r>
          </w:p>
        </w:tc>
        <w:tc>
          <w:tcPr>
            <w:tcW w:w="5387" w:type="dxa"/>
          </w:tcPr>
          <w:p w:rsidRPr="00316A9D" w:rsidR="005E3A6F" w:rsidP="005E3A6F" w:rsidRDefault="005E3A6F" w14:paraId="241538C7" w14:textId="4DA5C2A5">
            <w:pPr>
              <w:tabs>
                <w:tab w:val="center" w:pos="284"/>
              </w:tabs>
              <w:overflowPunct w:val="0"/>
              <w:autoSpaceDE w:val="0"/>
              <w:autoSpaceDN w:val="0"/>
              <w:adjustRightInd w:val="0"/>
              <w:ind w:left="266" w:hanging="266"/>
              <w:textAlignment w:val="baseline"/>
            </w:pPr>
            <w:r w:rsidRPr="00316A9D">
              <w:t>Philip VON BROCKDORFF (Lavoratori - MT)</w:t>
            </w:r>
          </w:p>
        </w:tc>
      </w:tr>
      <w:tr w:rsidRPr="00316A9D" w:rsidR="005E3A6F" w:rsidTr="009839A2" w14:paraId="66D4555E" w14:textId="77777777">
        <w:tc>
          <w:tcPr>
            <w:tcW w:w="7088" w:type="dxa"/>
            <w:gridSpan w:val="2"/>
          </w:tcPr>
          <w:p w:rsidRPr="00316A9D" w:rsidR="005E3A6F" w:rsidP="005E3A6F" w:rsidRDefault="005E3A6F" w14:paraId="12050D1A" w14:textId="77777777">
            <w:pPr>
              <w:tabs>
                <w:tab w:val="center" w:pos="284"/>
              </w:tabs>
              <w:overflowPunct w:val="0"/>
              <w:autoSpaceDE w:val="0"/>
              <w:autoSpaceDN w:val="0"/>
              <w:adjustRightInd w:val="0"/>
              <w:spacing w:line="160" w:lineRule="exact"/>
              <w:ind w:left="266" w:hanging="266"/>
              <w:textAlignment w:val="baseline"/>
            </w:pPr>
          </w:p>
        </w:tc>
      </w:tr>
      <w:tr w:rsidRPr="00316A9D" w:rsidR="005E3A6F" w:rsidTr="009839A2" w14:paraId="658D9E9C" w14:textId="77777777">
        <w:tc>
          <w:tcPr>
            <w:tcW w:w="1701" w:type="dxa"/>
            <w:vMerge w:val="restart"/>
          </w:tcPr>
          <w:p w:rsidRPr="00316A9D" w:rsidR="005E3A6F" w:rsidP="005E3A6F" w:rsidRDefault="005E3A6F" w14:paraId="7ADBD674" w14:textId="77777777">
            <w:pPr>
              <w:tabs>
                <w:tab w:val="center" w:pos="284"/>
              </w:tabs>
              <w:overflowPunct w:val="0"/>
              <w:autoSpaceDE w:val="0"/>
              <w:autoSpaceDN w:val="0"/>
              <w:adjustRightInd w:val="0"/>
              <w:ind w:left="266" w:hanging="266"/>
              <w:textAlignment w:val="baseline"/>
              <w:rPr>
                <w:b/>
              </w:rPr>
            </w:pPr>
            <w:r w:rsidRPr="00316A9D">
              <w:rPr>
                <w:b/>
              </w:rPr>
              <w:t xml:space="preserve">Riferimenti </w:t>
            </w:r>
          </w:p>
        </w:tc>
        <w:tc>
          <w:tcPr>
            <w:tcW w:w="5387" w:type="dxa"/>
          </w:tcPr>
          <w:p w:rsidRPr="00316A9D" w:rsidR="005E3A6F" w:rsidP="005E3A6F" w:rsidRDefault="005E3A6F" w14:paraId="5EBF2224" w14:textId="6B292070">
            <w:pPr>
              <w:tabs>
                <w:tab w:val="center" w:pos="284"/>
              </w:tabs>
              <w:overflowPunct w:val="0"/>
              <w:autoSpaceDE w:val="0"/>
              <w:autoSpaceDN w:val="0"/>
              <w:adjustRightInd w:val="0"/>
              <w:ind w:left="266" w:hanging="266"/>
              <w:textAlignment w:val="baseline"/>
            </w:pPr>
            <w:r w:rsidRPr="00316A9D">
              <w:t>COM(2023) 905 final</w:t>
            </w:r>
          </w:p>
        </w:tc>
      </w:tr>
      <w:tr w:rsidRPr="00316A9D" w:rsidR="005E3A6F" w:rsidTr="009839A2" w14:paraId="79C19F99" w14:textId="77777777">
        <w:tc>
          <w:tcPr>
            <w:tcW w:w="1701" w:type="dxa"/>
            <w:vMerge/>
          </w:tcPr>
          <w:p w:rsidRPr="00316A9D" w:rsidR="005E3A6F" w:rsidP="005E3A6F" w:rsidRDefault="005E3A6F" w14:paraId="050AB738" w14:textId="77777777">
            <w:pPr>
              <w:tabs>
                <w:tab w:val="center" w:pos="284"/>
              </w:tabs>
              <w:overflowPunct w:val="0"/>
              <w:autoSpaceDE w:val="0"/>
              <w:autoSpaceDN w:val="0"/>
              <w:adjustRightInd w:val="0"/>
              <w:ind w:left="266" w:hanging="266"/>
              <w:textAlignment w:val="baseline"/>
              <w:rPr>
                <w:b/>
              </w:rPr>
            </w:pPr>
          </w:p>
        </w:tc>
        <w:tc>
          <w:tcPr>
            <w:tcW w:w="5387" w:type="dxa"/>
          </w:tcPr>
          <w:p w:rsidRPr="00316A9D" w:rsidR="005E3A6F" w:rsidP="005E3A6F" w:rsidRDefault="005E3A6F" w14:paraId="07238C14" w14:textId="77777777">
            <w:pPr>
              <w:tabs>
                <w:tab w:val="center" w:pos="284"/>
              </w:tabs>
              <w:overflowPunct w:val="0"/>
              <w:autoSpaceDE w:val="0"/>
              <w:autoSpaceDN w:val="0"/>
              <w:adjustRightInd w:val="0"/>
              <w:ind w:left="266" w:hanging="266"/>
              <w:textAlignment w:val="baseline"/>
            </w:pPr>
            <w:r w:rsidRPr="00316A9D">
              <w:t>EESC-2024-05478-00-00-AC</w:t>
            </w:r>
          </w:p>
        </w:tc>
      </w:tr>
    </w:tbl>
    <w:p w:rsidRPr="00316A9D" w:rsidR="005E3A6F" w:rsidP="005E3A6F" w:rsidRDefault="005E3A6F" w14:paraId="1414A39A" w14:textId="1711C75C">
      <w:pPr>
        <w:tabs>
          <w:tab w:val="center" w:pos="284"/>
        </w:tabs>
        <w:overflowPunct w:val="0"/>
        <w:autoSpaceDE w:val="0"/>
        <w:autoSpaceDN w:val="0"/>
        <w:adjustRightInd w:val="0"/>
        <w:ind w:left="266" w:hanging="266"/>
        <w:textAlignment w:val="baseline"/>
      </w:pPr>
    </w:p>
    <w:p w:rsidRPr="00316A9D" w:rsidR="005E3A6F" w:rsidP="005E3A6F" w:rsidRDefault="005E3A6F" w14:paraId="76D4F786" w14:textId="77777777">
      <w:pPr>
        <w:keepNext/>
        <w:keepLines/>
        <w:tabs>
          <w:tab w:val="center" w:pos="284"/>
        </w:tabs>
        <w:overflowPunct w:val="0"/>
        <w:autoSpaceDE w:val="0"/>
        <w:autoSpaceDN w:val="0"/>
        <w:adjustRightInd w:val="0"/>
        <w:ind w:left="266" w:hanging="266"/>
        <w:textAlignment w:val="baseline"/>
        <w:rPr>
          <w:b/>
        </w:rPr>
      </w:pPr>
      <w:r w:rsidRPr="00316A9D">
        <w:rPr>
          <w:b/>
        </w:rPr>
        <w:t>Punti principali</w:t>
      </w:r>
    </w:p>
    <w:p w:rsidRPr="00316A9D" w:rsidR="005E3A6F" w:rsidP="005E3A6F" w:rsidRDefault="005E3A6F" w14:paraId="6328D2CD" w14:textId="77777777">
      <w:pPr>
        <w:keepNext/>
        <w:keepLines/>
        <w:tabs>
          <w:tab w:val="center" w:pos="284"/>
        </w:tabs>
        <w:overflowPunct w:val="0"/>
        <w:autoSpaceDE w:val="0"/>
        <w:autoSpaceDN w:val="0"/>
        <w:adjustRightInd w:val="0"/>
        <w:ind w:left="266" w:hanging="266"/>
        <w:textAlignment w:val="baseline"/>
        <w:rPr>
          <w:b/>
        </w:rPr>
      </w:pPr>
    </w:p>
    <w:p w:rsidRPr="00316A9D" w:rsidR="005E3A6F" w:rsidP="005E3A6F" w:rsidRDefault="005E3A6F" w14:paraId="302BFDE1" w14:textId="77777777">
      <w:pPr>
        <w:overflowPunct w:val="0"/>
        <w:autoSpaceDE w:val="0"/>
        <w:autoSpaceDN w:val="0"/>
        <w:adjustRightInd w:val="0"/>
        <w:textAlignment w:val="baseline"/>
        <w:rPr>
          <w:bCs/>
          <w:iCs/>
        </w:rPr>
      </w:pPr>
      <w:r w:rsidRPr="00316A9D">
        <w:t>Il CESE:</w:t>
      </w:r>
    </w:p>
    <w:p w:rsidRPr="00316A9D" w:rsidR="005E3A6F" w:rsidP="005E3A6F" w:rsidRDefault="005E3A6F" w14:paraId="22B780CC" w14:textId="77777777">
      <w:pPr>
        <w:overflowPunct w:val="0"/>
        <w:autoSpaceDE w:val="0"/>
        <w:autoSpaceDN w:val="0"/>
        <w:adjustRightInd w:val="0"/>
        <w:textAlignment w:val="baseline"/>
        <w:rPr>
          <w:bCs/>
          <w:iCs/>
        </w:rPr>
      </w:pPr>
    </w:p>
    <w:p w:rsidRPr="00316A9D" w:rsidR="005E3A6F" w:rsidP="00AA5F9C" w:rsidRDefault="005E3A6F" w14:paraId="74D4E6B3" w14:textId="77777777">
      <w:pPr>
        <w:pStyle w:val="ListParagraph"/>
        <w:widowControl w:val="0"/>
        <w:numPr>
          <w:ilvl w:val="0"/>
          <w:numId w:val="55"/>
        </w:numPr>
        <w:overflowPunct w:val="0"/>
        <w:autoSpaceDE w:val="0"/>
        <w:autoSpaceDN w:val="0"/>
        <w:adjustRightInd w:val="0"/>
        <w:ind w:left="284" w:hanging="284"/>
        <w:textAlignment w:val="baseline"/>
      </w:pPr>
      <w:r w:rsidRPr="00316A9D">
        <w:t xml:space="preserve">ritiene che una revisione della direttiva sui pacchetti turistici sia tanto </w:t>
      </w:r>
      <w:r w:rsidRPr="00316A9D">
        <w:rPr>
          <w:b/>
        </w:rPr>
        <w:t>opportuna</w:t>
      </w:r>
      <w:r w:rsidRPr="00316A9D">
        <w:t xml:space="preserve"> quanto </w:t>
      </w:r>
      <w:r w:rsidRPr="00316A9D">
        <w:rPr>
          <w:b/>
        </w:rPr>
        <w:t>necessaria</w:t>
      </w:r>
      <w:r w:rsidRPr="00316A9D">
        <w:t xml:space="preserve"> e, in generale, </w:t>
      </w:r>
      <w:r w:rsidRPr="00316A9D">
        <w:rPr>
          <w:b/>
        </w:rPr>
        <w:t>accoglie con favore la direttiva sui pacchetti turistici riveduta</w:t>
      </w:r>
      <w:r w:rsidRPr="00316A9D">
        <w:t>, volta a codificare i sistemi di buoni e a fornire informazioni chiare e garanzie legali ai viaggiatori, offrendo nel contempo maggiore flessibilità alle imprese del settore;</w:t>
      </w:r>
    </w:p>
    <w:p w:rsidRPr="00316A9D" w:rsidR="005E3A6F" w:rsidP="00AA5F9C" w:rsidRDefault="005E3A6F" w14:paraId="26A36401" w14:textId="77777777">
      <w:pPr>
        <w:pStyle w:val="ListParagraph"/>
        <w:widowControl w:val="0"/>
        <w:numPr>
          <w:ilvl w:val="0"/>
          <w:numId w:val="55"/>
        </w:numPr>
        <w:overflowPunct w:val="0"/>
        <w:autoSpaceDE w:val="0"/>
        <w:autoSpaceDN w:val="0"/>
        <w:adjustRightInd w:val="0"/>
        <w:ind w:left="284" w:hanging="284"/>
        <w:textAlignment w:val="baseline"/>
      </w:pPr>
      <w:r w:rsidRPr="00316A9D">
        <w:t>accoglie con favore l'</w:t>
      </w:r>
      <w:r w:rsidRPr="00316A9D">
        <w:rPr>
          <w:b/>
        </w:rPr>
        <w:t>eliminazione della sovrapposizione tra la definizione di "pacchetto turistico" e quella di "servizio turistico collegato"</w:t>
      </w:r>
      <w:r w:rsidRPr="00316A9D">
        <w:t>. Questo significa che, quando tipi diversi di servizi turistici sono acquistati contemporaneamente per lo stesso viaggio o la stessa vacanza e presso il medesimo punto vendita, ciò che è stato acquistato sarà considerato un pacchetto turistico;</w:t>
      </w:r>
    </w:p>
    <w:p w:rsidRPr="00316A9D" w:rsidR="005E3A6F" w:rsidP="00AA5F9C" w:rsidRDefault="005E3A6F" w14:paraId="65404152" w14:textId="77777777">
      <w:pPr>
        <w:pStyle w:val="ListParagraph"/>
        <w:widowControl w:val="0"/>
        <w:numPr>
          <w:ilvl w:val="0"/>
          <w:numId w:val="55"/>
        </w:numPr>
        <w:overflowPunct w:val="0"/>
        <w:autoSpaceDE w:val="0"/>
        <w:autoSpaceDN w:val="0"/>
        <w:adjustRightInd w:val="0"/>
        <w:ind w:left="284" w:hanging="284"/>
        <w:textAlignment w:val="baseline"/>
      </w:pPr>
      <w:r w:rsidRPr="00316A9D">
        <w:t xml:space="preserve">ritiene che la revisione della direttiva sui pacchetti turistici proposta dalla Commissione introduca </w:t>
      </w:r>
      <w:r w:rsidRPr="00316A9D">
        <w:rPr>
          <w:b/>
        </w:rPr>
        <w:t>cambiamenti significativi positivi</w:t>
      </w:r>
      <w:r w:rsidRPr="00316A9D">
        <w:t xml:space="preserve"> intesi a trovare un </w:t>
      </w:r>
      <w:r w:rsidRPr="00316A9D">
        <w:rPr>
          <w:b/>
        </w:rPr>
        <w:t>equilibrio tra</w:t>
      </w:r>
      <w:r w:rsidRPr="00316A9D">
        <w:t xml:space="preserve">, da un lato, </w:t>
      </w:r>
      <w:r w:rsidRPr="00316A9D">
        <w:rPr>
          <w:b/>
        </w:rPr>
        <w:t>la protezione dei viaggiatori e</w:t>
      </w:r>
      <w:r w:rsidRPr="00316A9D">
        <w:t xml:space="preserve">, dall'altro, </w:t>
      </w:r>
      <w:r w:rsidRPr="00316A9D">
        <w:rPr>
          <w:b/>
        </w:rPr>
        <w:t>gli interessi degli operatori di pacchetti turistici</w:t>
      </w:r>
      <w:r w:rsidRPr="00316A9D">
        <w:t>;</w:t>
      </w:r>
    </w:p>
    <w:p w:rsidRPr="00316A9D" w:rsidR="005E3A6F" w:rsidP="00AA5F9C" w:rsidRDefault="005E3A6F" w14:paraId="6D16C126" w14:textId="77777777">
      <w:pPr>
        <w:pStyle w:val="ListParagraph"/>
        <w:widowControl w:val="0"/>
        <w:numPr>
          <w:ilvl w:val="0"/>
          <w:numId w:val="55"/>
        </w:numPr>
        <w:overflowPunct w:val="0"/>
        <w:autoSpaceDE w:val="0"/>
        <w:autoSpaceDN w:val="0"/>
        <w:adjustRightInd w:val="0"/>
        <w:ind w:left="284" w:hanging="284"/>
        <w:textAlignment w:val="baseline"/>
      </w:pPr>
      <w:r w:rsidRPr="00316A9D">
        <w:t xml:space="preserve">è tuttavia dell'avviso che i </w:t>
      </w:r>
      <w:r w:rsidRPr="00316A9D">
        <w:rPr>
          <w:b/>
        </w:rPr>
        <w:t>tempi proposti</w:t>
      </w:r>
      <w:r w:rsidRPr="00316A9D">
        <w:t xml:space="preserve"> per il rimborso dei viaggiatori </w:t>
      </w:r>
      <w:r w:rsidRPr="00316A9D">
        <w:rPr>
          <w:b/>
        </w:rPr>
        <w:t>non tengano sufficientemente conto delle limitazioni nei flussi di cassa</w:t>
      </w:r>
      <w:r w:rsidRPr="00316A9D">
        <w:t xml:space="preserve"> di cui i fornitori di servizi risentono </w:t>
      </w:r>
      <w:r w:rsidRPr="00316A9D">
        <w:rPr>
          <w:b/>
        </w:rPr>
        <w:t>in situazioni eccezionali</w:t>
      </w:r>
      <w:r w:rsidRPr="00316A9D">
        <w:t>, come quelle verificatesi di recente durante la pandemia di COVID-19;</w:t>
      </w:r>
    </w:p>
    <w:p w:rsidRPr="00316A9D" w:rsidR="005E3A6F" w:rsidP="00AA5F9C" w:rsidRDefault="005E3A6F" w14:paraId="1CFCD142" w14:textId="77777777">
      <w:pPr>
        <w:pStyle w:val="ListParagraph"/>
        <w:widowControl w:val="0"/>
        <w:numPr>
          <w:ilvl w:val="0"/>
          <w:numId w:val="55"/>
        </w:numPr>
        <w:overflowPunct w:val="0"/>
        <w:autoSpaceDE w:val="0"/>
        <w:autoSpaceDN w:val="0"/>
        <w:adjustRightInd w:val="0"/>
        <w:ind w:left="284" w:hanging="284"/>
        <w:textAlignment w:val="baseline"/>
      </w:pPr>
      <w:r w:rsidRPr="00316A9D">
        <w:t xml:space="preserve">raccomanda che la proposta della Commissione produca </w:t>
      </w:r>
      <w:r w:rsidRPr="00316A9D">
        <w:rPr>
          <w:b/>
        </w:rPr>
        <w:t>effetti il più possibile equilibrati</w:t>
      </w:r>
      <w:r w:rsidRPr="00316A9D">
        <w:t xml:space="preserve"> assicurando che i pacchetti turistici nell'UE rimangano quanto più competitivi possibile e garantendo nel contempo la protezione dei consumatori con un impatto minimo sui prezzi e sugli oneri a carico delle imprese.</w:t>
      </w:r>
    </w:p>
    <w:p w:rsidRPr="00316A9D" w:rsidR="005E3A6F" w:rsidP="00AA5F9C" w:rsidRDefault="005E3A6F" w14:paraId="29F48D98" w14:textId="77777777">
      <w:pPr>
        <w:widowControl w:val="0"/>
        <w:overflowPunct w:val="0"/>
        <w:autoSpaceDE w:val="0"/>
        <w:autoSpaceDN w:val="0"/>
        <w:adjustRightInd w:val="0"/>
        <w:ind w:left="284" w:hanging="284"/>
        <w:textAlignment w:val="baseline"/>
        <w:rPr>
          <w:szCs w:val="20"/>
        </w:rPr>
      </w:pPr>
    </w:p>
    <w:p w:rsidRPr="00316A9D" w:rsidR="005E3A6F" w:rsidP="005E3A6F" w:rsidRDefault="005E3A6F" w14:paraId="25E8D809" w14:textId="77777777">
      <w:pPr>
        <w:widowControl w:val="0"/>
        <w:overflowPunct w:val="0"/>
        <w:autoSpaceDE w:val="0"/>
        <w:autoSpaceDN w:val="0"/>
        <w:adjustRightInd w:val="0"/>
        <w:ind w:left="709"/>
        <w:textAlignment w:val="baseline"/>
        <w:rPr>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16A9D" w:rsidR="005E3A6F" w:rsidTr="009839A2" w14:paraId="1365C092" w14:textId="77777777">
        <w:tc>
          <w:tcPr>
            <w:tcW w:w="1418" w:type="dxa"/>
          </w:tcPr>
          <w:p w:rsidRPr="00316A9D" w:rsidR="005E3A6F" w:rsidP="005E3A6F" w:rsidRDefault="005E3A6F" w14:paraId="70B4A69C" w14:textId="77777777">
            <w:pPr>
              <w:overflowPunct w:val="0"/>
              <w:autoSpaceDE w:val="0"/>
              <w:autoSpaceDN w:val="0"/>
              <w:adjustRightInd w:val="0"/>
              <w:spacing w:line="240" w:lineRule="auto"/>
              <w:textAlignment w:val="baseline"/>
              <w:rPr>
                <w:i/>
              </w:rPr>
            </w:pPr>
            <w:r w:rsidRPr="00316A9D">
              <w:rPr>
                <w:b/>
                <w:i/>
              </w:rPr>
              <w:t>Contatto</w:t>
            </w:r>
          </w:p>
        </w:tc>
        <w:tc>
          <w:tcPr>
            <w:tcW w:w="5670" w:type="dxa"/>
          </w:tcPr>
          <w:p w:rsidRPr="00316A9D" w:rsidR="005E3A6F" w:rsidP="005E3A6F" w:rsidRDefault="005E3A6F" w14:paraId="5D68AA9A" w14:textId="77777777">
            <w:pPr>
              <w:overflowPunct w:val="0"/>
              <w:autoSpaceDE w:val="0"/>
              <w:autoSpaceDN w:val="0"/>
              <w:adjustRightInd w:val="0"/>
              <w:spacing w:line="240" w:lineRule="auto"/>
              <w:textAlignment w:val="baseline"/>
              <w:rPr>
                <w:i/>
              </w:rPr>
            </w:pPr>
            <w:r w:rsidRPr="00316A9D">
              <w:rPr>
                <w:i/>
              </w:rPr>
              <w:t>Radoslava STEFANKOVA</w:t>
            </w:r>
          </w:p>
        </w:tc>
      </w:tr>
      <w:tr w:rsidRPr="00316A9D" w:rsidR="005E3A6F" w:rsidTr="009839A2" w14:paraId="59EFDFF2" w14:textId="77777777">
        <w:tc>
          <w:tcPr>
            <w:tcW w:w="1418" w:type="dxa"/>
          </w:tcPr>
          <w:p w:rsidRPr="00316A9D" w:rsidR="005E3A6F" w:rsidP="005E3A6F" w:rsidRDefault="005E3A6F" w14:paraId="419966B9" w14:textId="77777777">
            <w:pPr>
              <w:overflowPunct w:val="0"/>
              <w:autoSpaceDE w:val="0"/>
              <w:autoSpaceDN w:val="0"/>
              <w:adjustRightInd w:val="0"/>
              <w:spacing w:line="240" w:lineRule="auto"/>
              <w:textAlignment w:val="baseline"/>
              <w:rPr>
                <w:i/>
              </w:rPr>
            </w:pPr>
            <w:r w:rsidRPr="00316A9D">
              <w:rPr>
                <w:i/>
              </w:rPr>
              <w:t>Tel.</w:t>
            </w:r>
          </w:p>
        </w:tc>
        <w:tc>
          <w:tcPr>
            <w:tcW w:w="5670" w:type="dxa"/>
          </w:tcPr>
          <w:p w:rsidRPr="00316A9D" w:rsidR="005E3A6F" w:rsidP="005E3A6F" w:rsidRDefault="005E3A6F" w14:paraId="35069E33" w14:textId="77777777">
            <w:pPr>
              <w:overflowPunct w:val="0"/>
              <w:autoSpaceDE w:val="0"/>
              <w:autoSpaceDN w:val="0"/>
              <w:adjustRightInd w:val="0"/>
              <w:spacing w:line="240" w:lineRule="auto"/>
              <w:textAlignment w:val="baseline"/>
              <w:rPr>
                <w:i/>
              </w:rPr>
            </w:pPr>
            <w:r w:rsidRPr="00316A9D">
              <w:rPr>
                <w:i/>
              </w:rPr>
              <w:t>+ 32 25468188</w:t>
            </w:r>
          </w:p>
        </w:tc>
      </w:tr>
      <w:tr w:rsidRPr="00316A9D" w:rsidR="005E3A6F" w:rsidTr="009839A2" w14:paraId="15BDEEAC" w14:textId="77777777">
        <w:tc>
          <w:tcPr>
            <w:tcW w:w="1418" w:type="dxa"/>
          </w:tcPr>
          <w:p w:rsidRPr="00316A9D" w:rsidR="005E3A6F" w:rsidP="005E3A6F" w:rsidRDefault="003D1AF1" w14:paraId="626F2373" w14:textId="59352083">
            <w:pPr>
              <w:overflowPunct w:val="0"/>
              <w:autoSpaceDE w:val="0"/>
              <w:autoSpaceDN w:val="0"/>
              <w:adjustRightInd w:val="0"/>
              <w:spacing w:line="240" w:lineRule="auto"/>
              <w:textAlignment w:val="baseline"/>
              <w:rPr>
                <w:i/>
              </w:rPr>
            </w:pPr>
            <w:r w:rsidRPr="00316A9D">
              <w:rPr>
                <w:i/>
              </w:rPr>
              <w:t>E</w:t>
            </w:r>
            <w:r w:rsidRPr="00316A9D" w:rsidR="005E3A6F">
              <w:rPr>
                <w:i/>
              </w:rPr>
              <w:t>-mail</w:t>
            </w:r>
          </w:p>
        </w:tc>
        <w:tc>
          <w:tcPr>
            <w:tcW w:w="5670" w:type="dxa"/>
          </w:tcPr>
          <w:p w:rsidRPr="00316A9D" w:rsidR="005E3A6F" w:rsidP="005E3A6F" w:rsidRDefault="003A440F" w14:paraId="5CAFD921" w14:textId="77777777">
            <w:pPr>
              <w:overflowPunct w:val="0"/>
              <w:autoSpaceDE w:val="0"/>
              <w:autoSpaceDN w:val="0"/>
              <w:adjustRightInd w:val="0"/>
              <w:spacing w:line="240" w:lineRule="auto"/>
              <w:textAlignment w:val="baseline"/>
              <w:rPr>
                <w:i/>
                <w:iCs/>
              </w:rPr>
            </w:pPr>
            <w:hyperlink w:history="1" r:id="rId40">
              <w:r w:rsidRPr="00316A9D" w:rsidR="00F76B5D">
                <w:rPr>
                  <w:i/>
                  <w:color w:val="0000FF"/>
                  <w:u w:val="single"/>
                </w:rPr>
                <w:t>Radoslava.Stefankova@eesc.europa.eu</w:t>
              </w:r>
            </w:hyperlink>
          </w:p>
          <w:p w:rsidRPr="00316A9D" w:rsidR="005E3A6F" w:rsidP="005E3A6F" w:rsidRDefault="005E3A6F" w14:paraId="6129A579" w14:textId="77777777">
            <w:pPr>
              <w:overflowPunct w:val="0"/>
              <w:autoSpaceDE w:val="0"/>
              <w:autoSpaceDN w:val="0"/>
              <w:adjustRightInd w:val="0"/>
              <w:spacing w:line="240" w:lineRule="auto"/>
              <w:textAlignment w:val="baseline"/>
            </w:pPr>
          </w:p>
        </w:tc>
      </w:tr>
    </w:tbl>
    <w:p w:rsidRPr="00316A9D" w:rsidR="0054035C" w:rsidRDefault="0054035C" w14:paraId="1C17048C" w14:textId="77777777">
      <w:pPr>
        <w:spacing w:after="160" w:line="259" w:lineRule="auto"/>
        <w:jc w:val="left"/>
        <w:rPr>
          <w:b/>
          <w:iCs/>
        </w:rPr>
      </w:pPr>
      <w:r w:rsidRPr="00316A9D">
        <w:br w:type="page"/>
      </w:r>
    </w:p>
    <w:p w:rsidRPr="00316A9D" w:rsidR="004C3902" w:rsidP="00401E8F" w:rsidRDefault="008E2A59" w14:paraId="7AD922B6" w14:textId="2BABB602">
      <w:pPr>
        <w:pStyle w:val="Heading1"/>
        <w:tabs>
          <w:tab w:val="clear" w:pos="440"/>
          <w:tab w:val="left" w:pos="567"/>
        </w:tabs>
        <w:ind w:left="567" w:hanging="567"/>
        <w:rPr>
          <w:b/>
          <w:bCs/>
        </w:rPr>
      </w:pPr>
      <w:bookmarkStart w:name="_Toc166851135" w:id="4"/>
      <w:r w:rsidRPr="00316A9D">
        <w:rPr>
          <w:b/>
        </w:rPr>
        <w:lastRenderedPageBreak/>
        <w:t>AGRICOLTURA, SVILUPPO RURALE, AMBIENTE</w:t>
      </w:r>
      <w:bookmarkEnd w:id="4"/>
    </w:p>
    <w:p w:rsidRPr="00316A9D" w:rsidR="002D10D5" w:rsidP="00996E9C" w:rsidRDefault="002D10D5" w14:paraId="63FA541F" w14:textId="77777777">
      <w:pPr>
        <w:pStyle w:val="Heading1"/>
        <w:keepNext/>
        <w:keepLines/>
        <w:numPr>
          <w:ilvl w:val="0"/>
          <w:numId w:val="0"/>
        </w:numPr>
        <w:spacing w:before="0"/>
        <w:ind w:left="568"/>
        <w:rPr>
          <w:b/>
          <w:bCs/>
        </w:rPr>
      </w:pPr>
    </w:p>
    <w:p w:rsidRPr="00316A9D" w:rsidR="001801FC" w:rsidP="00401E8F" w:rsidRDefault="003A440F" w14:paraId="10CCFBBC" w14:textId="23CE4E98">
      <w:pPr>
        <w:widowControl w:val="0"/>
        <w:numPr>
          <w:ilvl w:val="0"/>
          <w:numId w:val="25"/>
        </w:numPr>
        <w:overflowPunct w:val="0"/>
        <w:autoSpaceDE w:val="0"/>
        <w:autoSpaceDN w:val="0"/>
        <w:adjustRightInd w:val="0"/>
        <w:ind w:left="567" w:hanging="567"/>
        <w:textAlignment w:val="baseline"/>
        <w:rPr>
          <w:sz w:val="20"/>
          <w:szCs w:val="20"/>
        </w:rPr>
      </w:pPr>
      <w:hyperlink w:history="1" r:id="rId41">
        <w:r w:rsidRPr="00316A9D" w:rsidR="008772F9">
          <w:rPr>
            <w:b/>
            <w:i/>
            <w:color w:val="0000FF"/>
            <w:sz w:val="28"/>
            <w:u w:val="single"/>
          </w:rPr>
          <w:t>Modifica degli atti di base della PAC – semplificazione</w:t>
        </w:r>
      </w:hyperlink>
    </w:p>
    <w:p w:rsidRPr="00316A9D" w:rsidR="001801FC" w:rsidP="001801FC" w:rsidRDefault="001801FC" w14:paraId="22E21DAF" w14:textId="77777777">
      <w:pPr>
        <w:tabs>
          <w:tab w:val="center" w:pos="284"/>
        </w:tabs>
        <w:overflowPunct w:val="0"/>
        <w:autoSpaceDE w:val="0"/>
        <w:autoSpaceDN w:val="0"/>
        <w:adjustRightInd w:val="0"/>
        <w:ind w:left="266" w:hanging="266"/>
        <w:textAlignment w:val="baseline"/>
        <w:rPr>
          <w:b/>
          <w:sz w:val="16"/>
          <w:szCs w:val="16"/>
        </w:rPr>
      </w:pPr>
    </w:p>
    <w:tbl>
      <w:tblPr>
        <w:tblStyle w:val="TableGrid205"/>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2"/>
        <w:gridCol w:w="6280"/>
      </w:tblGrid>
      <w:tr w:rsidRPr="00316A9D" w:rsidR="001801FC" w:rsidTr="009839A2" w14:paraId="25A68DD2" w14:textId="77777777">
        <w:tc>
          <w:tcPr>
            <w:tcW w:w="1371" w:type="pct"/>
          </w:tcPr>
          <w:p w:rsidRPr="00316A9D" w:rsidR="001801FC" w:rsidP="001801FC" w:rsidRDefault="003D1AF1" w14:paraId="579999DD" w14:textId="5E440E47">
            <w:pPr>
              <w:tabs>
                <w:tab w:val="center" w:pos="284"/>
              </w:tabs>
              <w:overflowPunct w:val="0"/>
              <w:autoSpaceDE w:val="0"/>
              <w:autoSpaceDN w:val="0"/>
              <w:adjustRightInd w:val="0"/>
              <w:ind w:left="266" w:hanging="266"/>
              <w:textAlignment w:val="baseline"/>
              <w:rPr>
                <w:b/>
              </w:rPr>
            </w:pPr>
            <w:r w:rsidRPr="00316A9D">
              <w:rPr>
                <w:b/>
              </w:rPr>
              <w:t>Relatore</w:t>
            </w:r>
            <w:r w:rsidRPr="00316A9D" w:rsidR="001801FC">
              <w:rPr>
                <w:b/>
              </w:rPr>
              <w:t xml:space="preserve"> generale</w:t>
            </w:r>
          </w:p>
        </w:tc>
        <w:tc>
          <w:tcPr>
            <w:tcW w:w="3629" w:type="pct"/>
          </w:tcPr>
          <w:p w:rsidRPr="00316A9D" w:rsidR="001801FC" w:rsidP="001801FC" w:rsidRDefault="001801FC" w14:paraId="3AB0A494" w14:textId="2D7A5E12">
            <w:pPr>
              <w:tabs>
                <w:tab w:val="center" w:pos="284"/>
              </w:tabs>
              <w:overflowPunct w:val="0"/>
              <w:autoSpaceDE w:val="0"/>
              <w:autoSpaceDN w:val="0"/>
              <w:adjustRightInd w:val="0"/>
              <w:ind w:left="266" w:hanging="266"/>
              <w:textAlignment w:val="baseline"/>
            </w:pPr>
            <w:r w:rsidRPr="00316A9D">
              <w:t>Stoyan TCHOUKANOV (Organizzazioni della società civile - BG)</w:t>
            </w:r>
          </w:p>
        </w:tc>
      </w:tr>
      <w:tr w:rsidRPr="00316A9D" w:rsidR="001801FC" w:rsidTr="009839A2" w14:paraId="438F0CB1" w14:textId="77777777">
        <w:tc>
          <w:tcPr>
            <w:tcW w:w="5000" w:type="pct"/>
            <w:gridSpan w:val="2"/>
          </w:tcPr>
          <w:p w:rsidRPr="00316A9D" w:rsidR="001801FC" w:rsidP="001801FC" w:rsidRDefault="001801FC" w14:paraId="019B72C8" w14:textId="77777777">
            <w:pPr>
              <w:tabs>
                <w:tab w:val="center" w:pos="284"/>
              </w:tabs>
              <w:overflowPunct w:val="0"/>
              <w:autoSpaceDE w:val="0"/>
              <w:autoSpaceDN w:val="0"/>
              <w:adjustRightInd w:val="0"/>
              <w:spacing w:line="160" w:lineRule="exact"/>
              <w:ind w:left="266" w:hanging="266"/>
              <w:textAlignment w:val="baseline"/>
            </w:pPr>
          </w:p>
        </w:tc>
      </w:tr>
      <w:tr w:rsidRPr="00316A9D" w:rsidR="001801FC" w:rsidTr="009839A2" w14:paraId="29718CEE" w14:textId="77777777">
        <w:tc>
          <w:tcPr>
            <w:tcW w:w="1371" w:type="pct"/>
          </w:tcPr>
          <w:p w:rsidRPr="00316A9D" w:rsidR="001801FC" w:rsidP="001801FC" w:rsidRDefault="001801FC" w14:paraId="61E6B851" w14:textId="660E0E08">
            <w:pPr>
              <w:tabs>
                <w:tab w:val="center" w:pos="284"/>
              </w:tabs>
              <w:overflowPunct w:val="0"/>
              <w:autoSpaceDE w:val="0"/>
              <w:autoSpaceDN w:val="0"/>
              <w:adjustRightInd w:val="0"/>
              <w:ind w:left="266" w:hanging="266"/>
              <w:textAlignment w:val="baseline"/>
              <w:rPr>
                <w:b/>
              </w:rPr>
            </w:pPr>
            <w:r w:rsidRPr="00316A9D">
              <w:rPr>
                <w:b/>
              </w:rPr>
              <w:t>Riferiment</w:t>
            </w:r>
            <w:r w:rsidRPr="00316A9D" w:rsidR="00316A9D">
              <w:rPr>
                <w:b/>
              </w:rPr>
              <w:t>i</w:t>
            </w:r>
          </w:p>
        </w:tc>
        <w:tc>
          <w:tcPr>
            <w:tcW w:w="3629" w:type="pct"/>
          </w:tcPr>
          <w:p w:rsidRPr="00316A9D" w:rsidR="000077FC" w:rsidP="001801FC" w:rsidRDefault="000077FC" w14:paraId="689957BC" w14:textId="209C8108">
            <w:pPr>
              <w:tabs>
                <w:tab w:val="center" w:pos="284"/>
              </w:tabs>
              <w:overflowPunct w:val="0"/>
              <w:autoSpaceDE w:val="0"/>
              <w:autoSpaceDN w:val="0"/>
              <w:adjustRightInd w:val="0"/>
              <w:ind w:left="266" w:hanging="266"/>
              <w:textAlignment w:val="baseline"/>
            </w:pPr>
            <w:r w:rsidRPr="00316A9D">
              <w:t>COM(2024) 139 final</w:t>
            </w:r>
          </w:p>
          <w:p w:rsidRPr="00316A9D" w:rsidR="001801FC" w:rsidP="001801FC" w:rsidRDefault="001801FC" w14:paraId="6B39F4CF" w14:textId="4A7794EE">
            <w:pPr>
              <w:tabs>
                <w:tab w:val="center" w:pos="284"/>
              </w:tabs>
              <w:overflowPunct w:val="0"/>
              <w:autoSpaceDE w:val="0"/>
              <w:autoSpaceDN w:val="0"/>
              <w:adjustRightInd w:val="0"/>
              <w:ind w:left="266" w:hanging="266"/>
              <w:textAlignment w:val="baseline"/>
            </w:pPr>
            <w:r w:rsidRPr="00316A9D">
              <w:t>EESC-2024-01216-00-00-AC</w:t>
            </w:r>
          </w:p>
        </w:tc>
      </w:tr>
    </w:tbl>
    <w:p w:rsidRPr="00316A9D" w:rsidR="001801FC" w:rsidP="00AA5F9C" w:rsidRDefault="001801FC" w14:paraId="04385750" w14:textId="77777777">
      <w:pPr>
        <w:keepNext/>
        <w:keepLines/>
        <w:tabs>
          <w:tab w:val="center" w:pos="284"/>
        </w:tabs>
        <w:overflowPunct w:val="0"/>
        <w:autoSpaceDE w:val="0"/>
        <w:autoSpaceDN w:val="0"/>
        <w:adjustRightInd w:val="0"/>
        <w:ind w:left="266" w:hanging="124"/>
        <w:textAlignment w:val="baseline"/>
        <w:rPr>
          <w:b/>
        </w:rPr>
      </w:pPr>
      <w:r w:rsidRPr="00316A9D">
        <w:rPr>
          <w:b/>
        </w:rPr>
        <w:t>Punti principali</w:t>
      </w:r>
    </w:p>
    <w:p w:rsidRPr="00316A9D" w:rsidR="00414E65" w:rsidP="001801FC" w:rsidRDefault="00414E65" w14:paraId="01FC36EC" w14:textId="77777777">
      <w:pPr>
        <w:overflowPunct w:val="0"/>
        <w:autoSpaceDE w:val="0"/>
        <w:autoSpaceDN w:val="0"/>
        <w:adjustRightInd w:val="0"/>
        <w:textAlignment w:val="baseline"/>
        <w:rPr>
          <w:bCs/>
          <w:iCs/>
        </w:rPr>
      </w:pPr>
    </w:p>
    <w:p w:rsidRPr="00316A9D" w:rsidR="001801FC" w:rsidP="000077FC" w:rsidRDefault="001801FC" w14:paraId="6EA25F73" w14:textId="25BE6E4D">
      <w:pPr>
        <w:overflowPunct w:val="0"/>
        <w:autoSpaceDE w:val="0"/>
        <w:autoSpaceDN w:val="0"/>
        <w:adjustRightInd w:val="0"/>
        <w:ind w:firstLine="142"/>
        <w:textAlignment w:val="baseline"/>
        <w:rPr>
          <w:bCs/>
          <w:iCs/>
        </w:rPr>
      </w:pPr>
      <w:r w:rsidRPr="00316A9D">
        <w:t>Il CESE:</w:t>
      </w:r>
    </w:p>
    <w:p w:rsidRPr="00316A9D" w:rsidR="000077FC" w:rsidP="00AA5F9C" w:rsidRDefault="000077FC" w14:paraId="159A4FA0" w14:textId="77777777">
      <w:pPr>
        <w:overflowPunct w:val="0"/>
        <w:autoSpaceDE w:val="0"/>
        <w:autoSpaceDN w:val="0"/>
        <w:adjustRightInd w:val="0"/>
        <w:ind w:firstLine="142"/>
        <w:textAlignment w:val="baseline"/>
        <w:rPr>
          <w:bCs/>
          <w:iCs/>
        </w:rPr>
      </w:pPr>
    </w:p>
    <w:p w:rsidRPr="00316A9D" w:rsidR="001801FC" w:rsidP="00AA5F9C" w:rsidRDefault="001801FC" w14:paraId="6634ACC5" w14:textId="77777777">
      <w:pPr>
        <w:widowControl w:val="0"/>
        <w:numPr>
          <w:ilvl w:val="0"/>
          <w:numId w:val="56"/>
        </w:numPr>
        <w:overflowPunct w:val="0"/>
        <w:autoSpaceDE w:val="0"/>
        <w:autoSpaceDN w:val="0"/>
        <w:adjustRightInd w:val="0"/>
        <w:ind w:left="567" w:hanging="425"/>
        <w:textAlignment w:val="baseline"/>
        <w:rPr>
          <w:bCs/>
          <w:iCs/>
        </w:rPr>
      </w:pPr>
      <w:r w:rsidRPr="00316A9D">
        <w:t>accoglie con favore il fatto che la Commissione, in linea con quanto raccomandato dal Comitato stesso nei suoi precedenti pareri in materia, abbia proposto diverse misure per aumentare la flessibilità e alleggerire gli oneri amministrativi a carico degli agricoltori dell'UE al fine di rafforzare la sovranità alimentare e migliorare i redditi agricoli;</w:t>
      </w:r>
    </w:p>
    <w:p w:rsidRPr="00316A9D" w:rsidR="001801FC" w:rsidP="00AA5F9C" w:rsidRDefault="001801FC" w14:paraId="0DD4FFD3" w14:textId="77777777">
      <w:pPr>
        <w:widowControl w:val="0"/>
        <w:numPr>
          <w:ilvl w:val="0"/>
          <w:numId w:val="56"/>
        </w:numPr>
        <w:overflowPunct w:val="0"/>
        <w:autoSpaceDE w:val="0"/>
        <w:autoSpaceDN w:val="0"/>
        <w:adjustRightInd w:val="0"/>
        <w:ind w:left="567" w:hanging="425"/>
        <w:textAlignment w:val="baseline"/>
        <w:rPr>
          <w:bCs/>
          <w:iCs/>
        </w:rPr>
      </w:pPr>
      <w:r w:rsidRPr="00316A9D">
        <w:t>evidenzia alcuni limiti e incertezze della proposta in esame:</w:t>
      </w:r>
    </w:p>
    <w:p w:rsidRPr="00316A9D" w:rsidR="001801FC" w:rsidP="00AA5F9C" w:rsidRDefault="001801FC" w14:paraId="3F66F79A" w14:textId="3B7D7A64">
      <w:pPr>
        <w:pStyle w:val="ListParagraph"/>
        <w:widowControl w:val="0"/>
        <w:numPr>
          <w:ilvl w:val="0"/>
          <w:numId w:val="57"/>
        </w:numPr>
        <w:overflowPunct w:val="0"/>
        <w:autoSpaceDE w:val="0"/>
        <w:autoSpaceDN w:val="0"/>
        <w:adjustRightInd w:val="0"/>
        <w:spacing w:line="276" w:lineRule="auto"/>
        <w:ind w:left="851" w:hanging="284"/>
        <w:textAlignment w:val="baseline"/>
        <w:rPr>
          <w:bCs/>
          <w:iCs/>
        </w:rPr>
      </w:pPr>
      <w:r w:rsidRPr="00316A9D">
        <w:t>sottolinea che la proposta non risolverà il problema principale che incontrano gli agricoltori, ossia l'iniqua distribuzione del valore lungo la filiera, che impedisce loro di ottenere un reddito equo per la loro produzione alimentare e chiede che gli altri elementi proposti dalla Commissione nel pacchetto siano presentati e adottati rapidamente;</w:t>
      </w:r>
    </w:p>
    <w:p w:rsidRPr="00316A9D" w:rsidR="001801FC" w:rsidP="00AA5F9C" w:rsidRDefault="001801FC" w14:paraId="6C35A064" w14:textId="77777777">
      <w:pPr>
        <w:widowControl w:val="0"/>
        <w:numPr>
          <w:ilvl w:val="0"/>
          <w:numId w:val="58"/>
        </w:numPr>
        <w:overflowPunct w:val="0"/>
        <w:autoSpaceDE w:val="0"/>
        <w:autoSpaceDN w:val="0"/>
        <w:adjustRightInd w:val="0"/>
        <w:ind w:left="567" w:hanging="425"/>
        <w:textAlignment w:val="baseline"/>
        <w:rPr>
          <w:bCs/>
          <w:iCs/>
          <w:szCs w:val="20"/>
        </w:rPr>
      </w:pPr>
      <w:r w:rsidRPr="00316A9D">
        <w:t>osserva che la flessibilità non dovrebbe significare una riduzione delle ambizioni e un indebolimento dell'architettura verde della PAC riformata; solo se gli agricoltori potranno contare sulla sostenibilità economica sarà possibile perseguire obiettivi ambientali più ambiziosi, anche attraverso la condizionalità;</w:t>
      </w:r>
    </w:p>
    <w:p w:rsidRPr="00316A9D" w:rsidR="001801FC" w:rsidP="00AA5F9C" w:rsidRDefault="001801FC" w14:paraId="6057072D"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316A9D">
        <w:t>ritiene che gli agricoltori dovrebbero essere adeguatamente sostenuti per l'intera durata della transizione e che le misure proposte riguardo ai cosiddetti "elementi non produttivi" potrebbero dare luogo a risultati ancora migliori di quelli inizialmente previsti dalla PAC, purché siano disponibili risorse finanziarie supplementari sufficienti e adeguate;</w:t>
      </w:r>
    </w:p>
    <w:p w:rsidRPr="00316A9D" w:rsidR="001801FC" w:rsidP="00AA5F9C" w:rsidRDefault="001801FC" w14:paraId="05BB2417"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316A9D">
        <w:t>raccomanda che l'impatto di tali semplificazioni sia valutato il prima possibile nel 2025 a livello degli Stati membri, esaminando in particolare gli effetti sui redditi degli agricoltori e sulla quantità totale di superfici o elementi che favoriscono la biodiversità;</w:t>
      </w:r>
    </w:p>
    <w:p w:rsidRPr="00316A9D" w:rsidR="001801FC" w:rsidP="00AA5F9C" w:rsidRDefault="001801FC" w14:paraId="7764388E" w14:textId="11AB5112">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316A9D">
        <w:t>sottolinea la necessità di programmi di formazione adeguati, volti a migliorare le conoscenze relative alle misure di inverdimento per i consulenti delle aziende agricole e gli agricoltori stessi;</w:t>
      </w:r>
    </w:p>
    <w:p w:rsidRPr="00316A9D" w:rsidR="001801FC" w:rsidP="00AA5F9C" w:rsidRDefault="001801FC" w14:paraId="5ADA943F"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316A9D">
        <w:t>rinnova la sua raccomandazione di fornire maggiore sostegno agli agricoltori affinché possano far fronte ai controlli necessari, ma non è convinto della proposta di esentare gli agricoltori con meno di 10 ettari dai controlli e dalle sanzioni; sottolinea che i controlli e le sanzioni rimangono un problema per tutti i tipi di aziende agricole e che tale misura dividerebbe gli agricoltori europei su basi giuridicamente ingiustificate, ritiene tuttavia che alcune esenzioni o una riduzione della relativa frequenza possano essere appropriate, in particolare per i piccoli agricoltori;</w:t>
      </w:r>
    </w:p>
    <w:p w:rsidRPr="00316A9D" w:rsidR="001801FC" w:rsidP="00AA5F9C" w:rsidRDefault="001801FC" w14:paraId="0E762E0D" w14:textId="54E30398">
      <w:pPr>
        <w:pStyle w:val="ListParagraph"/>
        <w:widowControl w:val="0"/>
        <w:numPr>
          <w:ilvl w:val="0"/>
          <w:numId w:val="59"/>
        </w:numPr>
        <w:overflowPunct w:val="0"/>
        <w:autoSpaceDE w:val="0"/>
        <w:autoSpaceDN w:val="0"/>
        <w:adjustRightInd w:val="0"/>
        <w:spacing w:line="276" w:lineRule="auto"/>
        <w:ind w:left="851" w:hanging="284"/>
        <w:textAlignment w:val="baseline"/>
        <w:rPr>
          <w:bCs/>
          <w:iCs/>
        </w:rPr>
      </w:pPr>
      <w:r w:rsidRPr="00316A9D">
        <w:t xml:space="preserve">pur concordando con l'urgenza di queste proposte, sottolinea che la società civile avrebbe dovuto essere consultata in modo diverso al riguardo, ed esorta la Commissione a garantire che tutte le parti interessate siano adeguatamente consultate </w:t>
      </w:r>
      <w:r w:rsidRPr="00316A9D" w:rsidR="003D1AF1">
        <w:t>in merito al</w:t>
      </w:r>
      <w:r w:rsidRPr="00316A9D">
        <w:t>l'attuazione di tali misure e agli altri elementi proposti nel pacchetto.</w:t>
      </w:r>
    </w:p>
    <w:p w:rsidRPr="00316A9D" w:rsidR="000077FC" w:rsidP="00AA5F9C" w:rsidRDefault="000077FC" w14:paraId="23881AE1" w14:textId="77777777">
      <w:pPr>
        <w:widowControl w:val="0"/>
        <w:overflowPunct w:val="0"/>
        <w:autoSpaceDE w:val="0"/>
        <w:autoSpaceDN w:val="0"/>
        <w:adjustRightInd w:val="0"/>
        <w:spacing w:line="276" w:lineRule="auto"/>
        <w:ind w:left="927"/>
        <w:textAlignment w:val="baseline"/>
        <w:rPr>
          <w:bCs/>
          <w:iCs/>
        </w:rPr>
      </w:pPr>
    </w:p>
    <w:tbl>
      <w:tblPr>
        <w:tblStyle w:val="TableGrid20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316A9D" w:rsidR="001801FC" w:rsidTr="009839A2" w14:paraId="17E5C9FE" w14:textId="77777777">
        <w:tc>
          <w:tcPr>
            <w:tcW w:w="1556" w:type="pct"/>
          </w:tcPr>
          <w:p w:rsidRPr="00316A9D" w:rsidR="001801FC" w:rsidP="001801FC" w:rsidRDefault="001801FC" w14:paraId="66D1512F" w14:textId="77777777">
            <w:pPr>
              <w:overflowPunct w:val="0"/>
              <w:autoSpaceDE w:val="0"/>
              <w:autoSpaceDN w:val="0"/>
              <w:adjustRightInd w:val="0"/>
              <w:spacing w:line="240" w:lineRule="auto"/>
              <w:textAlignment w:val="baseline"/>
              <w:rPr>
                <w:i/>
              </w:rPr>
            </w:pPr>
            <w:r w:rsidRPr="00316A9D">
              <w:rPr>
                <w:b/>
                <w:i/>
              </w:rPr>
              <w:lastRenderedPageBreak/>
              <w:t>Contatto</w:t>
            </w:r>
          </w:p>
        </w:tc>
        <w:tc>
          <w:tcPr>
            <w:tcW w:w="3444" w:type="pct"/>
          </w:tcPr>
          <w:p w:rsidRPr="00316A9D" w:rsidR="001801FC" w:rsidP="001801FC" w:rsidRDefault="001801FC" w14:paraId="07245537" w14:textId="77777777">
            <w:pPr>
              <w:overflowPunct w:val="0"/>
              <w:autoSpaceDE w:val="0"/>
              <w:autoSpaceDN w:val="0"/>
              <w:adjustRightInd w:val="0"/>
              <w:spacing w:line="240" w:lineRule="auto"/>
              <w:textAlignment w:val="baseline"/>
              <w:rPr>
                <w:i/>
              </w:rPr>
            </w:pPr>
            <w:r w:rsidRPr="00316A9D">
              <w:rPr>
                <w:i/>
              </w:rPr>
              <w:t>Martine DELANOY</w:t>
            </w:r>
          </w:p>
        </w:tc>
      </w:tr>
      <w:tr w:rsidRPr="00316A9D" w:rsidR="001801FC" w:rsidTr="009839A2" w14:paraId="57D558F9" w14:textId="77777777">
        <w:tc>
          <w:tcPr>
            <w:tcW w:w="1556" w:type="pct"/>
          </w:tcPr>
          <w:p w:rsidRPr="00316A9D" w:rsidR="001801FC" w:rsidP="001801FC" w:rsidRDefault="001801FC" w14:paraId="6582D2CA" w14:textId="77777777">
            <w:pPr>
              <w:overflowPunct w:val="0"/>
              <w:autoSpaceDE w:val="0"/>
              <w:autoSpaceDN w:val="0"/>
              <w:adjustRightInd w:val="0"/>
              <w:spacing w:line="240" w:lineRule="auto"/>
              <w:textAlignment w:val="baseline"/>
              <w:rPr>
                <w:i/>
              </w:rPr>
            </w:pPr>
            <w:r w:rsidRPr="00316A9D">
              <w:rPr>
                <w:i/>
              </w:rPr>
              <w:t>Tel.</w:t>
            </w:r>
          </w:p>
        </w:tc>
        <w:tc>
          <w:tcPr>
            <w:tcW w:w="3444" w:type="pct"/>
          </w:tcPr>
          <w:p w:rsidRPr="00316A9D" w:rsidR="001801FC" w:rsidP="001801FC" w:rsidRDefault="001801FC" w14:paraId="66DD6E17" w14:textId="77777777">
            <w:pPr>
              <w:overflowPunct w:val="0"/>
              <w:autoSpaceDE w:val="0"/>
              <w:autoSpaceDN w:val="0"/>
              <w:adjustRightInd w:val="0"/>
              <w:spacing w:line="240" w:lineRule="auto"/>
              <w:textAlignment w:val="baseline"/>
              <w:rPr>
                <w:i/>
              </w:rPr>
            </w:pPr>
            <w:r w:rsidRPr="00316A9D">
              <w:rPr>
                <w:i/>
              </w:rPr>
              <w:t>+32 25469802</w:t>
            </w:r>
          </w:p>
        </w:tc>
      </w:tr>
      <w:tr w:rsidRPr="00316A9D" w:rsidR="001801FC" w:rsidTr="009839A2" w14:paraId="7AE3D437" w14:textId="77777777">
        <w:tc>
          <w:tcPr>
            <w:tcW w:w="1556" w:type="pct"/>
          </w:tcPr>
          <w:p w:rsidRPr="00316A9D" w:rsidR="001801FC" w:rsidP="001801FC" w:rsidRDefault="003D1AF1" w14:paraId="2EC32286" w14:textId="25230107">
            <w:pPr>
              <w:overflowPunct w:val="0"/>
              <w:autoSpaceDE w:val="0"/>
              <w:autoSpaceDN w:val="0"/>
              <w:adjustRightInd w:val="0"/>
              <w:spacing w:line="240" w:lineRule="auto"/>
              <w:textAlignment w:val="baseline"/>
              <w:rPr>
                <w:i/>
              </w:rPr>
            </w:pPr>
            <w:r w:rsidRPr="00316A9D">
              <w:rPr>
                <w:i/>
              </w:rPr>
              <w:t>E</w:t>
            </w:r>
            <w:r w:rsidRPr="00316A9D" w:rsidR="00AB425F">
              <w:rPr>
                <w:i/>
              </w:rPr>
              <w:t>-mail</w:t>
            </w:r>
          </w:p>
        </w:tc>
        <w:tc>
          <w:tcPr>
            <w:tcW w:w="3444" w:type="pct"/>
          </w:tcPr>
          <w:p w:rsidRPr="00316A9D" w:rsidR="001801FC" w:rsidP="001801FC" w:rsidRDefault="003A440F" w14:paraId="0F102EE6" w14:textId="77777777">
            <w:pPr>
              <w:tabs>
                <w:tab w:val="right" w:pos="4178"/>
              </w:tabs>
              <w:overflowPunct w:val="0"/>
              <w:autoSpaceDE w:val="0"/>
              <w:autoSpaceDN w:val="0"/>
              <w:adjustRightInd w:val="0"/>
              <w:spacing w:line="240" w:lineRule="auto"/>
              <w:textAlignment w:val="baseline"/>
              <w:rPr>
                <w:i/>
              </w:rPr>
            </w:pPr>
            <w:hyperlink w:history="1" r:id="rId42">
              <w:r w:rsidRPr="00316A9D" w:rsidR="00F76B5D">
                <w:rPr>
                  <w:i/>
                  <w:color w:val="0000FF"/>
                  <w:u w:val="single"/>
                </w:rPr>
                <w:t>Martine.Delanoy@eesc.europa.eu</w:t>
              </w:r>
            </w:hyperlink>
          </w:p>
        </w:tc>
      </w:tr>
    </w:tbl>
    <w:p w:rsidRPr="00316A9D" w:rsidR="00386C01" w:rsidRDefault="00386C01" w14:paraId="783F6CD8" w14:textId="77777777">
      <w:pPr>
        <w:spacing w:after="160" w:line="259" w:lineRule="auto"/>
        <w:jc w:val="left"/>
        <w:rPr>
          <w:b/>
          <w:bCs/>
        </w:rPr>
      </w:pPr>
      <w:r w:rsidRPr="00316A9D">
        <w:br w:type="page"/>
      </w:r>
    </w:p>
    <w:p w:rsidRPr="00316A9D" w:rsidR="009A61EE" w:rsidP="00401E8F" w:rsidRDefault="003A440F" w14:paraId="4659D57B" w14:textId="40046252">
      <w:pPr>
        <w:widowControl w:val="0"/>
        <w:numPr>
          <w:ilvl w:val="0"/>
          <w:numId w:val="35"/>
        </w:numPr>
        <w:overflowPunct w:val="0"/>
        <w:autoSpaceDE w:val="0"/>
        <w:autoSpaceDN w:val="0"/>
        <w:adjustRightInd w:val="0"/>
        <w:ind w:left="567" w:hanging="709"/>
        <w:textAlignment w:val="baseline"/>
        <w:rPr>
          <w:b/>
          <w:i/>
          <w:sz w:val="28"/>
          <w:szCs w:val="20"/>
        </w:rPr>
      </w:pPr>
      <w:hyperlink w:history="1" r:id="rId43">
        <w:r w:rsidRPr="00316A9D" w:rsidR="008772F9">
          <w:rPr>
            <w:b/>
            <w:i/>
            <w:color w:val="0000FF"/>
            <w:sz w:val="28"/>
            <w:u w:val="single"/>
          </w:rPr>
          <w:t>Verso un maggiore coinvolgimento degli Stati membri, delle regioni e degli attori della società civile nell'attuazione della visione a lungo termine per le zone rurali dell'UE</w:t>
        </w:r>
      </w:hyperlink>
    </w:p>
    <w:p w:rsidRPr="00316A9D" w:rsidR="009A61EE" w:rsidP="009A61EE" w:rsidRDefault="009A61EE" w14:paraId="7F5FBA61" w14:textId="77777777">
      <w:pPr>
        <w:tabs>
          <w:tab w:val="center" w:pos="284"/>
        </w:tabs>
        <w:overflowPunct w:val="0"/>
        <w:autoSpaceDE w:val="0"/>
        <w:autoSpaceDN w:val="0"/>
        <w:adjustRightInd w:val="0"/>
        <w:ind w:left="266" w:hanging="266"/>
        <w:textAlignment w:val="baseline"/>
      </w:pPr>
    </w:p>
    <w:tbl>
      <w:tblPr>
        <w:tblStyle w:val="TableGrid206"/>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316A9D" w:rsidR="009A61EE" w:rsidTr="009839A2" w14:paraId="770398B5" w14:textId="77777777">
        <w:tc>
          <w:tcPr>
            <w:tcW w:w="2127" w:type="dxa"/>
          </w:tcPr>
          <w:p w:rsidRPr="00316A9D" w:rsidR="009A61EE" w:rsidP="00AA5F9C" w:rsidRDefault="003D1AF1" w14:paraId="167E0E42" w14:textId="20416820">
            <w:pPr>
              <w:tabs>
                <w:tab w:val="center" w:pos="284"/>
              </w:tabs>
              <w:overflowPunct w:val="0"/>
              <w:autoSpaceDE w:val="0"/>
              <w:autoSpaceDN w:val="0"/>
              <w:adjustRightInd w:val="0"/>
              <w:ind w:left="266" w:hanging="376"/>
              <w:textAlignment w:val="baseline"/>
              <w:rPr>
                <w:b/>
              </w:rPr>
            </w:pPr>
            <w:r w:rsidRPr="00316A9D">
              <w:rPr>
                <w:b/>
              </w:rPr>
              <w:t>Relatore</w:t>
            </w:r>
            <w:r w:rsidRPr="00316A9D" w:rsidR="009A61EE">
              <w:rPr>
                <w:b/>
              </w:rPr>
              <w:t xml:space="preserve"> </w:t>
            </w:r>
          </w:p>
        </w:tc>
        <w:tc>
          <w:tcPr>
            <w:tcW w:w="6804" w:type="dxa"/>
          </w:tcPr>
          <w:p w:rsidRPr="00316A9D" w:rsidR="009A61EE" w:rsidP="00AA5F9C" w:rsidRDefault="009A61EE" w14:paraId="7CF5A68E" w14:textId="033CC3ED">
            <w:pPr>
              <w:tabs>
                <w:tab w:val="center" w:pos="284"/>
              </w:tabs>
              <w:overflowPunct w:val="0"/>
              <w:autoSpaceDE w:val="0"/>
              <w:autoSpaceDN w:val="0"/>
              <w:adjustRightInd w:val="0"/>
              <w:ind w:left="266" w:hanging="376"/>
              <w:textAlignment w:val="baseline"/>
            </w:pPr>
            <w:r w:rsidRPr="00316A9D">
              <w:t>Marc DECOSTER (Organizzazioni della società civile - BE)</w:t>
            </w:r>
          </w:p>
        </w:tc>
      </w:tr>
      <w:tr w:rsidRPr="00316A9D" w:rsidR="009A61EE" w:rsidTr="009839A2" w14:paraId="6DB12C06" w14:textId="77777777">
        <w:tc>
          <w:tcPr>
            <w:tcW w:w="8931" w:type="dxa"/>
            <w:gridSpan w:val="2"/>
          </w:tcPr>
          <w:p w:rsidRPr="00316A9D" w:rsidR="009A61EE" w:rsidP="00AA5F9C" w:rsidRDefault="009A61EE" w14:paraId="60065329" w14:textId="77777777">
            <w:pPr>
              <w:tabs>
                <w:tab w:val="center" w:pos="284"/>
              </w:tabs>
              <w:overflowPunct w:val="0"/>
              <w:autoSpaceDE w:val="0"/>
              <w:autoSpaceDN w:val="0"/>
              <w:adjustRightInd w:val="0"/>
              <w:spacing w:line="160" w:lineRule="exact"/>
              <w:ind w:left="266" w:hanging="376"/>
              <w:textAlignment w:val="baseline"/>
              <w:rPr>
                <w:lang w:val="en-US"/>
              </w:rPr>
            </w:pPr>
          </w:p>
        </w:tc>
      </w:tr>
      <w:tr w:rsidRPr="00316A9D" w:rsidR="009A61EE" w:rsidTr="009839A2" w14:paraId="5F21E90B" w14:textId="77777777">
        <w:tc>
          <w:tcPr>
            <w:tcW w:w="2127" w:type="dxa"/>
          </w:tcPr>
          <w:p w:rsidRPr="00316A9D" w:rsidR="009A61EE" w:rsidP="00AA5F9C" w:rsidRDefault="009A61EE" w14:paraId="40F2E41B" w14:textId="77777777">
            <w:pPr>
              <w:tabs>
                <w:tab w:val="center" w:pos="284"/>
              </w:tabs>
              <w:overflowPunct w:val="0"/>
              <w:autoSpaceDE w:val="0"/>
              <w:autoSpaceDN w:val="0"/>
              <w:adjustRightInd w:val="0"/>
              <w:ind w:left="266" w:hanging="376"/>
              <w:textAlignment w:val="baseline"/>
              <w:rPr>
                <w:b/>
              </w:rPr>
            </w:pPr>
            <w:r w:rsidRPr="00316A9D">
              <w:rPr>
                <w:b/>
              </w:rPr>
              <w:t>Riferimento</w:t>
            </w:r>
          </w:p>
        </w:tc>
        <w:tc>
          <w:tcPr>
            <w:tcW w:w="6804" w:type="dxa"/>
          </w:tcPr>
          <w:p w:rsidRPr="00316A9D" w:rsidR="00484ECA" w:rsidP="00AA5F9C" w:rsidRDefault="00484ECA" w14:paraId="62C59549" w14:textId="56AC1223">
            <w:pPr>
              <w:tabs>
                <w:tab w:val="center" w:pos="284"/>
              </w:tabs>
              <w:overflowPunct w:val="0"/>
              <w:autoSpaceDE w:val="0"/>
              <w:autoSpaceDN w:val="0"/>
              <w:adjustRightInd w:val="0"/>
              <w:ind w:left="266" w:hanging="376"/>
              <w:textAlignment w:val="baseline"/>
            </w:pPr>
            <w:r w:rsidRPr="00316A9D">
              <w:t>Parere d'iniziativa</w:t>
            </w:r>
          </w:p>
          <w:p w:rsidRPr="00316A9D" w:rsidR="009A61EE" w:rsidP="00AA5F9C" w:rsidRDefault="009A61EE" w14:paraId="4125B873" w14:textId="0C0624FC">
            <w:pPr>
              <w:tabs>
                <w:tab w:val="center" w:pos="284"/>
              </w:tabs>
              <w:overflowPunct w:val="0"/>
              <w:autoSpaceDE w:val="0"/>
              <w:autoSpaceDN w:val="0"/>
              <w:adjustRightInd w:val="0"/>
              <w:ind w:left="266" w:hanging="376"/>
              <w:textAlignment w:val="baseline"/>
            </w:pPr>
            <w:r w:rsidRPr="00316A9D">
              <w:t>EESC-2023-05063-00-00-AC</w:t>
            </w:r>
          </w:p>
        </w:tc>
      </w:tr>
    </w:tbl>
    <w:p w:rsidRPr="00316A9D" w:rsidR="0047416F" w:rsidP="009A61EE" w:rsidRDefault="0047416F" w14:paraId="50214CFF" w14:textId="77777777">
      <w:pPr>
        <w:keepNext/>
        <w:keepLines/>
        <w:tabs>
          <w:tab w:val="center" w:pos="284"/>
        </w:tabs>
        <w:overflowPunct w:val="0"/>
        <w:autoSpaceDE w:val="0"/>
        <w:autoSpaceDN w:val="0"/>
        <w:adjustRightInd w:val="0"/>
        <w:ind w:left="266" w:hanging="266"/>
        <w:textAlignment w:val="baseline"/>
        <w:rPr>
          <w:b/>
          <w:szCs w:val="20"/>
        </w:rPr>
      </w:pPr>
    </w:p>
    <w:p w:rsidRPr="00316A9D" w:rsidR="009A61EE" w:rsidP="009A61EE" w:rsidRDefault="009A61EE" w14:paraId="2C008899" w14:textId="77777777">
      <w:pPr>
        <w:keepNext/>
        <w:keepLines/>
        <w:tabs>
          <w:tab w:val="center" w:pos="284"/>
        </w:tabs>
        <w:overflowPunct w:val="0"/>
        <w:autoSpaceDE w:val="0"/>
        <w:autoSpaceDN w:val="0"/>
        <w:adjustRightInd w:val="0"/>
        <w:ind w:left="266" w:hanging="266"/>
        <w:textAlignment w:val="baseline"/>
        <w:rPr>
          <w:b/>
        </w:rPr>
      </w:pPr>
      <w:r w:rsidRPr="00316A9D">
        <w:rPr>
          <w:b/>
        </w:rPr>
        <w:t>Punti principali</w:t>
      </w:r>
    </w:p>
    <w:p w:rsidRPr="00316A9D" w:rsidR="009A61EE" w:rsidP="009A61EE" w:rsidRDefault="009A61EE" w14:paraId="2B853352" w14:textId="77777777">
      <w:pPr>
        <w:keepNext/>
        <w:keepLines/>
        <w:tabs>
          <w:tab w:val="center" w:pos="284"/>
        </w:tabs>
        <w:overflowPunct w:val="0"/>
        <w:autoSpaceDE w:val="0"/>
        <w:autoSpaceDN w:val="0"/>
        <w:adjustRightInd w:val="0"/>
        <w:ind w:left="266" w:hanging="266"/>
        <w:textAlignment w:val="baseline"/>
      </w:pPr>
    </w:p>
    <w:p w:rsidRPr="00316A9D" w:rsidR="009A61EE" w:rsidP="009A61EE" w:rsidRDefault="009A61EE" w14:paraId="300E8D2F" w14:textId="78C17552">
      <w:pPr>
        <w:keepNext/>
        <w:keepLines/>
        <w:tabs>
          <w:tab w:val="center" w:pos="284"/>
        </w:tabs>
        <w:overflowPunct w:val="0"/>
        <w:autoSpaceDE w:val="0"/>
        <w:autoSpaceDN w:val="0"/>
        <w:adjustRightInd w:val="0"/>
        <w:ind w:left="266" w:hanging="266"/>
        <w:textAlignment w:val="baseline"/>
        <w:rPr>
          <w:szCs w:val="20"/>
        </w:rPr>
      </w:pPr>
      <w:r w:rsidRPr="00316A9D">
        <w:t>Il CESE:</w:t>
      </w:r>
    </w:p>
    <w:p w:rsidRPr="00316A9D" w:rsidR="0047416F" w:rsidP="009A61EE" w:rsidRDefault="0047416F" w14:paraId="30BEC1A0" w14:textId="77777777">
      <w:pPr>
        <w:keepNext/>
        <w:keepLines/>
        <w:tabs>
          <w:tab w:val="center" w:pos="284"/>
        </w:tabs>
        <w:overflowPunct w:val="0"/>
        <w:autoSpaceDE w:val="0"/>
        <w:autoSpaceDN w:val="0"/>
        <w:adjustRightInd w:val="0"/>
        <w:ind w:left="266" w:hanging="266"/>
        <w:textAlignment w:val="baseline"/>
      </w:pPr>
    </w:p>
    <w:p w:rsidRPr="00316A9D" w:rsidR="009A61EE" w:rsidP="00AA5F9C" w:rsidRDefault="009A61EE" w14:paraId="394B06FC" w14:textId="77777777">
      <w:pPr>
        <w:numPr>
          <w:ilvl w:val="0"/>
          <w:numId w:val="60"/>
        </w:numPr>
        <w:overflowPunct w:val="0"/>
        <w:autoSpaceDE w:val="0"/>
        <w:autoSpaceDN w:val="0"/>
        <w:adjustRightInd w:val="0"/>
        <w:textAlignment w:val="baseline"/>
        <w:outlineLvl w:val="1"/>
        <w:rPr>
          <w:szCs w:val="20"/>
        </w:rPr>
      </w:pPr>
      <w:r w:rsidRPr="00316A9D">
        <w:t>ribadisce il suo sostegno alla visione a lungo termine per le zone rurali dell'UE e chiede che il piano d'azione rurale sia integrato da nuove misure e regolarmente valutato per rispondere meglio alle esigenze dell'ambiente rurale;</w:t>
      </w:r>
    </w:p>
    <w:p w:rsidRPr="00316A9D" w:rsidR="009A61EE" w:rsidP="00AA5F9C" w:rsidRDefault="009A61EE" w14:paraId="0E57D342" w14:textId="77777777">
      <w:pPr>
        <w:numPr>
          <w:ilvl w:val="0"/>
          <w:numId w:val="60"/>
        </w:numPr>
        <w:overflowPunct w:val="0"/>
        <w:autoSpaceDE w:val="0"/>
        <w:autoSpaceDN w:val="0"/>
        <w:adjustRightInd w:val="0"/>
        <w:textAlignment w:val="baseline"/>
        <w:outlineLvl w:val="1"/>
        <w:rPr>
          <w:szCs w:val="20"/>
        </w:rPr>
      </w:pPr>
      <w:r w:rsidRPr="00316A9D">
        <w:t>sottolinea l'importanza del coinvolgimento di vari attori a tutti i livelli per il successo della visione rurale a lungo termine e invita a rafforzare l'approccio di governance multilivello e multipartecipativa;</w:t>
      </w:r>
    </w:p>
    <w:p w:rsidRPr="00316A9D" w:rsidR="009A61EE" w:rsidP="00AA5F9C" w:rsidRDefault="009A61EE" w14:paraId="5A50390E" w14:textId="77777777">
      <w:pPr>
        <w:numPr>
          <w:ilvl w:val="0"/>
          <w:numId w:val="60"/>
        </w:numPr>
        <w:overflowPunct w:val="0"/>
        <w:autoSpaceDE w:val="0"/>
        <w:autoSpaceDN w:val="0"/>
        <w:adjustRightInd w:val="0"/>
        <w:textAlignment w:val="baseline"/>
        <w:outlineLvl w:val="1"/>
        <w:rPr>
          <w:szCs w:val="20"/>
        </w:rPr>
      </w:pPr>
      <w:r w:rsidRPr="00316A9D">
        <w:t>accoglie con favore l'adozione di programmi di sviluppo rurale da parte di diversi Stati membri e propone l'adozione di una Carta europea dei diritti e delle responsabilità delle zone rurali e urbane;</w:t>
      </w:r>
    </w:p>
    <w:p w:rsidRPr="00316A9D" w:rsidR="009A61EE" w:rsidP="00AA5F9C" w:rsidRDefault="009A61EE" w14:paraId="52A9C320" w14:textId="77777777">
      <w:pPr>
        <w:numPr>
          <w:ilvl w:val="0"/>
          <w:numId w:val="60"/>
        </w:numPr>
        <w:overflowPunct w:val="0"/>
        <w:autoSpaceDE w:val="0"/>
        <w:autoSpaceDN w:val="0"/>
        <w:adjustRightInd w:val="0"/>
        <w:textAlignment w:val="baseline"/>
        <w:outlineLvl w:val="1"/>
        <w:rPr>
          <w:szCs w:val="20"/>
        </w:rPr>
      </w:pPr>
      <w:r w:rsidRPr="00316A9D">
        <w:t>invita la Commissione a valutare la possibilità di creare una politica di sviluppo rurale per il periodo successivo al 2027, specificamente dedicata all'attuazione del piano d'azione rurale, con finanziamenti adeguati, basati su tutti i fondi disponibili, per garantire un'attuazione coerente delle disposizioni proposte nella visione rurale a lungo termine;</w:t>
      </w:r>
    </w:p>
    <w:p w:rsidRPr="00316A9D" w:rsidR="009A61EE" w:rsidP="00AA5F9C" w:rsidRDefault="009A61EE" w14:paraId="55AF71D3" w14:textId="77777777">
      <w:pPr>
        <w:numPr>
          <w:ilvl w:val="0"/>
          <w:numId w:val="60"/>
        </w:numPr>
        <w:overflowPunct w:val="0"/>
        <w:autoSpaceDE w:val="0"/>
        <w:autoSpaceDN w:val="0"/>
        <w:adjustRightInd w:val="0"/>
        <w:textAlignment w:val="baseline"/>
        <w:outlineLvl w:val="1"/>
        <w:rPr>
          <w:szCs w:val="20"/>
        </w:rPr>
      </w:pPr>
      <w:r w:rsidRPr="00316A9D">
        <w:t>sottolinea l'importanza di sostenere le strutture economiche familiari, le imprese di dimensioni umane e le attività a livello di comunità nella futura politica di sviluppo rurale;</w:t>
      </w:r>
    </w:p>
    <w:p w:rsidRPr="00316A9D" w:rsidR="009A61EE" w:rsidP="00AA5F9C" w:rsidRDefault="009A61EE" w14:paraId="46AE8544" w14:textId="77777777">
      <w:pPr>
        <w:numPr>
          <w:ilvl w:val="0"/>
          <w:numId w:val="60"/>
        </w:numPr>
        <w:overflowPunct w:val="0"/>
        <w:autoSpaceDE w:val="0"/>
        <w:autoSpaceDN w:val="0"/>
        <w:adjustRightInd w:val="0"/>
        <w:textAlignment w:val="baseline"/>
        <w:outlineLvl w:val="1"/>
        <w:rPr>
          <w:szCs w:val="20"/>
        </w:rPr>
      </w:pPr>
      <w:r w:rsidRPr="00316A9D">
        <w:t>sottolinea il ruolo cruciale dell'Osservatorio europeo per lo sviluppo rurale, e propone misure volte a rafforzare i finanziamenti, semplificare l'accesso ai fondi dell'UE e sostenere le organizzazioni intermediarie;</w:t>
      </w:r>
    </w:p>
    <w:p w:rsidRPr="00316A9D" w:rsidR="009A61EE" w:rsidP="00AA5F9C" w:rsidRDefault="009A61EE" w14:paraId="303B64D6" w14:textId="77777777">
      <w:pPr>
        <w:numPr>
          <w:ilvl w:val="0"/>
          <w:numId w:val="60"/>
        </w:numPr>
        <w:overflowPunct w:val="0"/>
        <w:autoSpaceDE w:val="0"/>
        <w:autoSpaceDN w:val="0"/>
        <w:adjustRightInd w:val="0"/>
        <w:textAlignment w:val="baseline"/>
        <w:outlineLvl w:val="1"/>
        <w:rPr>
          <w:szCs w:val="20"/>
        </w:rPr>
      </w:pPr>
      <w:r w:rsidRPr="00316A9D">
        <w:t>accoglie con favore l'adozione del "kit di strumenti di finanziamento" per le zone rurali, ma chiede un rafforzamento dei fondi dell'UE e misure di semplificazione per facilitare l'accesso a tali fondi;</w:t>
      </w:r>
    </w:p>
    <w:p w:rsidRPr="00316A9D" w:rsidR="009A61EE" w:rsidP="00AA5F9C" w:rsidRDefault="009A61EE" w14:paraId="71982521" w14:textId="77777777">
      <w:pPr>
        <w:numPr>
          <w:ilvl w:val="0"/>
          <w:numId w:val="60"/>
        </w:numPr>
        <w:overflowPunct w:val="0"/>
        <w:autoSpaceDE w:val="0"/>
        <w:autoSpaceDN w:val="0"/>
        <w:adjustRightInd w:val="0"/>
        <w:textAlignment w:val="baseline"/>
        <w:outlineLvl w:val="1"/>
        <w:rPr>
          <w:szCs w:val="20"/>
        </w:rPr>
      </w:pPr>
      <w:r w:rsidRPr="00316A9D">
        <w:t>sottolinea il ruolo essenziale delle organizzazioni locali e regionali nel sostenere gli attori rurali e chiede un rafforzamento delle azioni collettive e un maggiore accesso alla consulenza fornita da tali organizzazioni;</w:t>
      </w:r>
    </w:p>
    <w:p w:rsidRPr="00316A9D" w:rsidR="009A61EE" w:rsidP="00AA5F9C" w:rsidRDefault="009A61EE" w14:paraId="74D55673" w14:textId="77777777">
      <w:pPr>
        <w:numPr>
          <w:ilvl w:val="0"/>
          <w:numId w:val="60"/>
        </w:numPr>
        <w:overflowPunct w:val="0"/>
        <w:autoSpaceDE w:val="0"/>
        <w:autoSpaceDN w:val="0"/>
        <w:adjustRightInd w:val="0"/>
        <w:textAlignment w:val="baseline"/>
        <w:outlineLvl w:val="1"/>
      </w:pPr>
      <w:r w:rsidRPr="00316A9D">
        <w:t xml:space="preserve">chiede che vengano rafforzate le iniziative concertate di sviluppo locale e che sia migliorata la comunicazione della visione a lungo termine agli attori locali. </w:t>
      </w:r>
    </w:p>
    <w:p w:rsidRPr="00316A9D" w:rsidR="009A61EE" w:rsidP="009A61EE" w:rsidRDefault="009A61EE" w14:paraId="37627689" w14:textId="77777777">
      <w:pPr>
        <w:widowControl w:val="0"/>
        <w:overflowPunct w:val="0"/>
        <w:autoSpaceDE w:val="0"/>
        <w:autoSpaceDN w:val="0"/>
        <w:adjustRightInd w:val="0"/>
        <w:textAlignment w:val="baseline"/>
        <w:rPr>
          <w:sz w:val="16"/>
          <w:szCs w:val="16"/>
        </w:rPr>
      </w:pPr>
    </w:p>
    <w:tbl>
      <w:tblPr>
        <w:tblStyle w:val="TableGrid20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316A9D" w:rsidR="009A61EE" w:rsidTr="009839A2" w14:paraId="7ED6B610" w14:textId="77777777">
        <w:tc>
          <w:tcPr>
            <w:tcW w:w="2127" w:type="dxa"/>
          </w:tcPr>
          <w:p w:rsidRPr="00316A9D" w:rsidR="009A61EE" w:rsidP="009A61EE" w:rsidRDefault="009A61EE" w14:paraId="576A29E1" w14:textId="77777777">
            <w:pPr>
              <w:overflowPunct w:val="0"/>
              <w:autoSpaceDE w:val="0"/>
              <w:autoSpaceDN w:val="0"/>
              <w:adjustRightInd w:val="0"/>
              <w:spacing w:line="240" w:lineRule="auto"/>
              <w:textAlignment w:val="baseline"/>
              <w:rPr>
                <w:i/>
              </w:rPr>
            </w:pPr>
            <w:r w:rsidRPr="00316A9D">
              <w:rPr>
                <w:b/>
                <w:i/>
              </w:rPr>
              <w:t xml:space="preserve">Contatto </w:t>
            </w:r>
          </w:p>
        </w:tc>
        <w:tc>
          <w:tcPr>
            <w:tcW w:w="4252" w:type="dxa"/>
          </w:tcPr>
          <w:p w:rsidRPr="00316A9D" w:rsidR="009A61EE" w:rsidP="009A61EE" w:rsidRDefault="009A61EE" w14:paraId="1ED57ADA" w14:textId="77777777">
            <w:pPr>
              <w:overflowPunct w:val="0"/>
              <w:autoSpaceDE w:val="0"/>
              <w:autoSpaceDN w:val="0"/>
              <w:adjustRightInd w:val="0"/>
              <w:spacing w:line="240" w:lineRule="auto"/>
              <w:textAlignment w:val="baseline"/>
              <w:rPr>
                <w:i/>
              </w:rPr>
            </w:pPr>
            <w:r w:rsidRPr="00316A9D">
              <w:rPr>
                <w:i/>
              </w:rPr>
              <w:t>Nicolas STENGER</w:t>
            </w:r>
          </w:p>
        </w:tc>
      </w:tr>
      <w:tr w:rsidRPr="00316A9D" w:rsidR="009A61EE" w:rsidTr="009839A2" w14:paraId="25A55D4D" w14:textId="77777777">
        <w:tc>
          <w:tcPr>
            <w:tcW w:w="2127" w:type="dxa"/>
          </w:tcPr>
          <w:p w:rsidRPr="00316A9D" w:rsidR="009A61EE" w:rsidP="009A61EE" w:rsidRDefault="009A61EE" w14:paraId="0E137ED9" w14:textId="77777777">
            <w:pPr>
              <w:overflowPunct w:val="0"/>
              <w:autoSpaceDE w:val="0"/>
              <w:autoSpaceDN w:val="0"/>
              <w:adjustRightInd w:val="0"/>
              <w:spacing w:line="240" w:lineRule="auto"/>
              <w:textAlignment w:val="baseline"/>
              <w:rPr>
                <w:i/>
              </w:rPr>
            </w:pPr>
            <w:r w:rsidRPr="00316A9D">
              <w:rPr>
                <w:i/>
              </w:rPr>
              <w:t>Tel.</w:t>
            </w:r>
          </w:p>
        </w:tc>
        <w:tc>
          <w:tcPr>
            <w:tcW w:w="4252" w:type="dxa"/>
          </w:tcPr>
          <w:p w:rsidRPr="00316A9D" w:rsidR="009A61EE" w:rsidP="009A61EE" w:rsidRDefault="009A61EE" w14:paraId="1CF60833" w14:textId="77777777">
            <w:pPr>
              <w:overflowPunct w:val="0"/>
              <w:autoSpaceDE w:val="0"/>
              <w:autoSpaceDN w:val="0"/>
              <w:adjustRightInd w:val="0"/>
              <w:spacing w:line="240" w:lineRule="auto"/>
              <w:textAlignment w:val="baseline"/>
              <w:rPr>
                <w:i/>
              </w:rPr>
            </w:pPr>
            <w:r w:rsidRPr="00316A9D">
              <w:rPr>
                <w:i/>
              </w:rPr>
              <w:t>+32 25468152</w:t>
            </w:r>
          </w:p>
        </w:tc>
      </w:tr>
      <w:tr w:rsidRPr="00316A9D" w:rsidR="009A61EE" w:rsidTr="009839A2" w14:paraId="02C9C2E8" w14:textId="77777777">
        <w:tc>
          <w:tcPr>
            <w:tcW w:w="2127" w:type="dxa"/>
          </w:tcPr>
          <w:p w:rsidRPr="00316A9D" w:rsidR="009A61EE" w:rsidP="009A61EE" w:rsidRDefault="003D1AF1" w14:paraId="53F92578" w14:textId="6E147808">
            <w:pPr>
              <w:overflowPunct w:val="0"/>
              <w:autoSpaceDE w:val="0"/>
              <w:autoSpaceDN w:val="0"/>
              <w:adjustRightInd w:val="0"/>
              <w:spacing w:line="240" w:lineRule="auto"/>
              <w:textAlignment w:val="baseline"/>
              <w:rPr>
                <w:i/>
              </w:rPr>
            </w:pPr>
            <w:r w:rsidRPr="00316A9D">
              <w:rPr>
                <w:i/>
              </w:rPr>
              <w:t>E</w:t>
            </w:r>
            <w:r w:rsidRPr="00316A9D" w:rsidR="00C649E2">
              <w:rPr>
                <w:i/>
              </w:rPr>
              <w:t>-mail</w:t>
            </w:r>
          </w:p>
        </w:tc>
        <w:tc>
          <w:tcPr>
            <w:tcW w:w="4252" w:type="dxa"/>
          </w:tcPr>
          <w:p w:rsidRPr="00316A9D" w:rsidR="009A61EE" w:rsidP="009A61EE" w:rsidRDefault="003A440F" w14:paraId="181F45E9" w14:textId="77777777">
            <w:pPr>
              <w:overflowPunct w:val="0"/>
              <w:autoSpaceDE w:val="0"/>
              <w:autoSpaceDN w:val="0"/>
              <w:adjustRightInd w:val="0"/>
              <w:spacing w:line="240" w:lineRule="auto"/>
              <w:textAlignment w:val="baseline"/>
              <w:rPr>
                <w:i/>
                <w:iCs/>
              </w:rPr>
            </w:pPr>
            <w:hyperlink w:history="1" r:id="rId44">
              <w:r w:rsidRPr="00316A9D" w:rsidR="00F76B5D">
                <w:rPr>
                  <w:i/>
                  <w:color w:val="0000FF"/>
                  <w:u w:val="single"/>
                </w:rPr>
                <w:t>Nicolas.Stenger@eesc.europa.eu</w:t>
              </w:r>
            </w:hyperlink>
          </w:p>
        </w:tc>
      </w:tr>
    </w:tbl>
    <w:p w:rsidRPr="00316A9D" w:rsidR="00351248" w:rsidRDefault="00351248" w14:paraId="7D717691" w14:textId="25454AD7">
      <w:pPr>
        <w:spacing w:after="160" w:line="259" w:lineRule="auto"/>
        <w:jc w:val="left"/>
        <w:rPr>
          <w:b/>
          <w:bCs/>
          <w:i/>
          <w:iCs/>
          <w:sz w:val="28"/>
          <w:szCs w:val="28"/>
        </w:rPr>
      </w:pPr>
      <w:r w:rsidRPr="00316A9D">
        <w:br w:type="page"/>
      </w:r>
    </w:p>
    <w:p w:rsidRPr="00316A9D" w:rsidR="003D2CA9" w:rsidP="00401E8F" w:rsidRDefault="003D2CA9" w14:paraId="359263D7" w14:textId="6BF10C82">
      <w:pPr>
        <w:pStyle w:val="Heading1"/>
        <w:tabs>
          <w:tab w:val="clear" w:pos="440"/>
          <w:tab w:val="left" w:pos="567"/>
        </w:tabs>
        <w:ind w:left="567" w:hanging="567"/>
        <w:rPr>
          <w:b/>
          <w:bCs/>
        </w:rPr>
      </w:pPr>
      <w:bookmarkStart w:name="_Toc166851136" w:id="5"/>
      <w:r w:rsidRPr="00316A9D">
        <w:rPr>
          <w:b/>
        </w:rPr>
        <w:lastRenderedPageBreak/>
        <w:t>RELAZIONI ESTERNE</w:t>
      </w:r>
      <w:bookmarkEnd w:id="5"/>
    </w:p>
    <w:p w:rsidRPr="00316A9D" w:rsidR="003D2CA9" w:rsidP="003D2CA9" w:rsidRDefault="003D2CA9" w14:paraId="1979CC7E" w14:textId="70A6BB96"/>
    <w:p w:rsidRPr="00316A9D" w:rsidR="006F016B" w:rsidP="00401E8F" w:rsidRDefault="003A440F" w14:paraId="10C93267" w14:textId="72C2ED89">
      <w:pPr>
        <w:widowControl w:val="0"/>
        <w:numPr>
          <w:ilvl w:val="0"/>
          <w:numId w:val="25"/>
        </w:numPr>
        <w:overflowPunct w:val="0"/>
        <w:autoSpaceDE w:val="0"/>
        <w:autoSpaceDN w:val="0"/>
        <w:adjustRightInd w:val="0"/>
        <w:ind w:left="567" w:hanging="567"/>
        <w:textAlignment w:val="baseline"/>
        <w:rPr>
          <w:sz w:val="20"/>
          <w:szCs w:val="20"/>
        </w:rPr>
      </w:pPr>
      <w:hyperlink w:history="1" r:id="rId45">
        <w:r w:rsidR="00812D3C">
          <w:rPr>
            <w:b/>
            <w:i/>
            <w:color w:val="0000FF"/>
            <w:sz w:val="28"/>
            <w:u w:val="single"/>
          </w:rPr>
          <w:t>Coinvolgimento dei giovani UE-Regno Unito</w:t>
        </w:r>
      </w:hyperlink>
    </w:p>
    <w:p w:rsidRPr="00316A9D" w:rsidR="006F016B" w:rsidP="006F016B" w:rsidRDefault="006F016B" w14:paraId="119F4E2C" w14:textId="77777777">
      <w:pPr>
        <w:tabs>
          <w:tab w:val="center" w:pos="284"/>
        </w:tabs>
        <w:overflowPunct w:val="0"/>
        <w:autoSpaceDE w:val="0"/>
        <w:autoSpaceDN w:val="0"/>
        <w:adjustRightInd w:val="0"/>
        <w:ind w:left="266" w:hanging="266"/>
        <w:textAlignment w:val="baseline"/>
        <w:rPr>
          <w:b/>
        </w:rPr>
      </w:pPr>
    </w:p>
    <w:tbl>
      <w:tblPr>
        <w:tblStyle w:val="TableGrid207"/>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277"/>
      </w:tblGrid>
      <w:tr w:rsidRPr="00316A9D" w:rsidR="006F016B" w:rsidTr="009839A2" w14:paraId="772CF784" w14:textId="77777777">
        <w:tc>
          <w:tcPr>
            <w:tcW w:w="1187" w:type="pct"/>
          </w:tcPr>
          <w:p w:rsidRPr="00316A9D" w:rsidR="006F016B" w:rsidP="00AA5F9C" w:rsidRDefault="003D1AF1" w14:paraId="27869CAB" w14:textId="463517B3">
            <w:pPr>
              <w:tabs>
                <w:tab w:val="center" w:pos="284"/>
              </w:tabs>
              <w:overflowPunct w:val="0"/>
              <w:autoSpaceDE w:val="0"/>
              <w:autoSpaceDN w:val="0"/>
              <w:adjustRightInd w:val="0"/>
              <w:ind w:left="266" w:hanging="376"/>
              <w:textAlignment w:val="baseline"/>
              <w:rPr>
                <w:b/>
              </w:rPr>
            </w:pPr>
            <w:r w:rsidRPr="00316A9D">
              <w:rPr>
                <w:b/>
              </w:rPr>
              <w:t>Relatore</w:t>
            </w:r>
          </w:p>
        </w:tc>
        <w:tc>
          <w:tcPr>
            <w:tcW w:w="3813" w:type="pct"/>
          </w:tcPr>
          <w:p w:rsidRPr="00316A9D" w:rsidR="006F016B" w:rsidP="00AA5F9C" w:rsidRDefault="006F016B" w14:paraId="723505D0" w14:textId="47401FC8">
            <w:pPr>
              <w:tabs>
                <w:tab w:val="center" w:pos="284"/>
              </w:tabs>
              <w:overflowPunct w:val="0"/>
              <w:autoSpaceDE w:val="0"/>
              <w:autoSpaceDN w:val="0"/>
              <w:adjustRightInd w:val="0"/>
              <w:ind w:left="266" w:hanging="376"/>
              <w:textAlignment w:val="baseline"/>
            </w:pPr>
            <w:r w:rsidRPr="00316A9D">
              <w:t>Cillian LOHAN (Organizzazioni della società civile - IE)</w:t>
            </w:r>
          </w:p>
        </w:tc>
      </w:tr>
      <w:tr w:rsidRPr="00316A9D" w:rsidR="006F016B" w:rsidTr="009839A2" w14:paraId="61C1A25D" w14:textId="77777777">
        <w:tc>
          <w:tcPr>
            <w:tcW w:w="5000" w:type="pct"/>
            <w:gridSpan w:val="2"/>
          </w:tcPr>
          <w:p w:rsidRPr="00316A9D" w:rsidR="006F016B" w:rsidP="00AA5F9C" w:rsidRDefault="006F016B" w14:paraId="13208601" w14:textId="77777777">
            <w:pPr>
              <w:tabs>
                <w:tab w:val="center" w:pos="284"/>
              </w:tabs>
              <w:overflowPunct w:val="0"/>
              <w:autoSpaceDE w:val="0"/>
              <w:autoSpaceDN w:val="0"/>
              <w:adjustRightInd w:val="0"/>
              <w:spacing w:line="160" w:lineRule="exact"/>
              <w:ind w:left="266" w:hanging="376"/>
              <w:textAlignment w:val="baseline"/>
            </w:pPr>
          </w:p>
        </w:tc>
      </w:tr>
      <w:tr w:rsidRPr="00316A9D" w:rsidR="006F016B" w:rsidTr="009839A2" w14:paraId="0AD0C295" w14:textId="77777777">
        <w:tc>
          <w:tcPr>
            <w:tcW w:w="1187" w:type="pct"/>
            <w:vMerge w:val="restart"/>
          </w:tcPr>
          <w:p w:rsidRPr="00316A9D" w:rsidR="006F016B" w:rsidP="00AA5F9C" w:rsidRDefault="006F016B" w14:paraId="5C7EA6FF" w14:textId="77777777">
            <w:pPr>
              <w:tabs>
                <w:tab w:val="center" w:pos="284"/>
              </w:tabs>
              <w:overflowPunct w:val="0"/>
              <w:autoSpaceDE w:val="0"/>
              <w:autoSpaceDN w:val="0"/>
              <w:adjustRightInd w:val="0"/>
              <w:ind w:left="266" w:hanging="376"/>
              <w:textAlignment w:val="baseline"/>
              <w:rPr>
                <w:b/>
              </w:rPr>
            </w:pPr>
            <w:r w:rsidRPr="00316A9D">
              <w:rPr>
                <w:b/>
              </w:rPr>
              <w:t>Riferimento</w:t>
            </w:r>
          </w:p>
        </w:tc>
        <w:tc>
          <w:tcPr>
            <w:tcW w:w="3813" w:type="pct"/>
          </w:tcPr>
          <w:p w:rsidRPr="00316A9D" w:rsidR="00967B0B" w:rsidP="00AA5F9C" w:rsidRDefault="00967B0B" w14:paraId="77EB3D84" w14:textId="2ABE5A97">
            <w:pPr>
              <w:tabs>
                <w:tab w:val="center" w:pos="284"/>
              </w:tabs>
              <w:overflowPunct w:val="0"/>
              <w:autoSpaceDE w:val="0"/>
              <w:autoSpaceDN w:val="0"/>
              <w:adjustRightInd w:val="0"/>
              <w:ind w:left="266" w:hanging="376"/>
              <w:textAlignment w:val="baseline"/>
            </w:pPr>
            <w:r w:rsidRPr="00316A9D">
              <w:t>Parere d'iniziativa</w:t>
            </w:r>
          </w:p>
          <w:p w:rsidRPr="00316A9D" w:rsidR="006F016B" w:rsidP="00AA5F9C" w:rsidRDefault="006F016B" w14:paraId="01D95CFB" w14:textId="31753126">
            <w:pPr>
              <w:tabs>
                <w:tab w:val="center" w:pos="284"/>
              </w:tabs>
              <w:overflowPunct w:val="0"/>
              <w:autoSpaceDE w:val="0"/>
              <w:autoSpaceDN w:val="0"/>
              <w:adjustRightInd w:val="0"/>
              <w:ind w:left="266" w:hanging="376"/>
              <w:textAlignment w:val="baseline"/>
            </w:pPr>
            <w:r w:rsidRPr="00316A9D">
              <w:t>EESC-2023-04457-00-00-AC</w:t>
            </w:r>
          </w:p>
        </w:tc>
      </w:tr>
      <w:tr w:rsidRPr="00316A9D" w:rsidR="006F016B" w:rsidTr="009839A2" w14:paraId="12EECF3C" w14:textId="77777777">
        <w:tc>
          <w:tcPr>
            <w:tcW w:w="1187" w:type="pct"/>
            <w:vMerge/>
          </w:tcPr>
          <w:p w:rsidRPr="00316A9D" w:rsidR="006F016B" w:rsidP="006F016B" w:rsidRDefault="006F016B" w14:paraId="05C586DB" w14:textId="77777777">
            <w:pPr>
              <w:tabs>
                <w:tab w:val="center" w:pos="284"/>
              </w:tabs>
              <w:overflowPunct w:val="0"/>
              <w:autoSpaceDE w:val="0"/>
              <w:autoSpaceDN w:val="0"/>
              <w:adjustRightInd w:val="0"/>
              <w:ind w:left="266" w:hanging="266"/>
              <w:textAlignment w:val="baseline"/>
              <w:rPr>
                <w:b/>
              </w:rPr>
            </w:pPr>
          </w:p>
        </w:tc>
        <w:tc>
          <w:tcPr>
            <w:tcW w:w="3813" w:type="pct"/>
          </w:tcPr>
          <w:p w:rsidRPr="00316A9D" w:rsidR="006F016B" w:rsidP="006F016B" w:rsidRDefault="006F016B" w14:paraId="05D336ED" w14:textId="77777777">
            <w:pPr>
              <w:tabs>
                <w:tab w:val="center" w:pos="284"/>
              </w:tabs>
              <w:overflowPunct w:val="0"/>
              <w:autoSpaceDE w:val="0"/>
              <w:autoSpaceDN w:val="0"/>
              <w:adjustRightInd w:val="0"/>
              <w:ind w:left="266" w:hanging="266"/>
              <w:textAlignment w:val="baseline"/>
            </w:pPr>
          </w:p>
        </w:tc>
      </w:tr>
    </w:tbl>
    <w:p w:rsidRPr="00316A9D" w:rsidR="006F016B" w:rsidP="006F016B" w:rsidRDefault="006F016B" w14:paraId="6E90F904" w14:textId="693E106E">
      <w:pPr>
        <w:tabs>
          <w:tab w:val="center" w:pos="284"/>
        </w:tabs>
        <w:overflowPunct w:val="0"/>
        <w:autoSpaceDE w:val="0"/>
        <w:autoSpaceDN w:val="0"/>
        <w:adjustRightInd w:val="0"/>
        <w:ind w:left="266" w:hanging="266"/>
        <w:textAlignment w:val="baseline"/>
      </w:pPr>
    </w:p>
    <w:p w:rsidRPr="00316A9D" w:rsidR="006F016B" w:rsidP="006F016B" w:rsidRDefault="006F016B" w14:paraId="4AAE034E" w14:textId="77777777">
      <w:pPr>
        <w:keepNext/>
        <w:keepLines/>
        <w:tabs>
          <w:tab w:val="center" w:pos="284"/>
        </w:tabs>
        <w:overflowPunct w:val="0"/>
        <w:autoSpaceDE w:val="0"/>
        <w:autoSpaceDN w:val="0"/>
        <w:adjustRightInd w:val="0"/>
        <w:ind w:left="266" w:hanging="266"/>
        <w:textAlignment w:val="baseline"/>
        <w:rPr>
          <w:b/>
        </w:rPr>
      </w:pPr>
      <w:r w:rsidRPr="00316A9D">
        <w:rPr>
          <w:b/>
        </w:rPr>
        <w:t>Punti principali</w:t>
      </w:r>
    </w:p>
    <w:p w:rsidRPr="00316A9D" w:rsidR="006F016B" w:rsidP="006F016B" w:rsidRDefault="006F016B" w14:paraId="10C19856" w14:textId="77777777">
      <w:pPr>
        <w:keepNext/>
        <w:keepLines/>
        <w:tabs>
          <w:tab w:val="center" w:pos="284"/>
        </w:tabs>
        <w:overflowPunct w:val="0"/>
        <w:autoSpaceDE w:val="0"/>
        <w:autoSpaceDN w:val="0"/>
        <w:adjustRightInd w:val="0"/>
        <w:ind w:left="266" w:hanging="266"/>
        <w:textAlignment w:val="baseline"/>
        <w:rPr>
          <w:b/>
        </w:rPr>
      </w:pPr>
    </w:p>
    <w:p w:rsidRPr="00316A9D" w:rsidR="006F016B" w:rsidP="006F016B" w:rsidRDefault="006F016B" w14:paraId="6DFDDC47" w14:textId="77777777">
      <w:pPr>
        <w:overflowPunct w:val="0"/>
        <w:autoSpaceDE w:val="0"/>
        <w:autoSpaceDN w:val="0"/>
        <w:adjustRightInd w:val="0"/>
        <w:textAlignment w:val="baseline"/>
        <w:rPr>
          <w:bCs/>
          <w:iCs/>
        </w:rPr>
      </w:pPr>
      <w:r w:rsidRPr="00316A9D">
        <w:t>Il CESE:</w:t>
      </w:r>
    </w:p>
    <w:p w:rsidRPr="00316A9D" w:rsidR="006F016B" w:rsidP="006F016B" w:rsidRDefault="006F016B" w14:paraId="3EF8831C" w14:textId="77777777">
      <w:pPr>
        <w:overflowPunct w:val="0"/>
        <w:autoSpaceDE w:val="0"/>
        <w:autoSpaceDN w:val="0"/>
        <w:adjustRightInd w:val="0"/>
        <w:textAlignment w:val="baseline"/>
        <w:rPr>
          <w:bCs/>
          <w:iCs/>
        </w:rPr>
      </w:pPr>
    </w:p>
    <w:p w:rsidRPr="00316A9D" w:rsidR="006F016B" w:rsidP="00AA5F9C" w:rsidRDefault="006F016B" w14:paraId="5ECA91A0" w14:textId="77777777">
      <w:pPr>
        <w:widowControl w:val="0"/>
        <w:numPr>
          <w:ilvl w:val="0"/>
          <w:numId w:val="61"/>
        </w:numPr>
        <w:overflowPunct w:val="0"/>
        <w:autoSpaceDE w:val="0"/>
        <w:autoSpaceDN w:val="0"/>
        <w:adjustRightInd w:val="0"/>
        <w:ind w:left="426" w:hanging="426"/>
        <w:textAlignment w:val="baseline"/>
        <w:rPr>
          <w:bCs/>
          <w:iCs/>
        </w:rPr>
      </w:pPr>
      <w:r w:rsidRPr="00316A9D">
        <w:t xml:space="preserve">è convinto che le </w:t>
      </w:r>
      <w:r w:rsidRPr="00316A9D">
        <w:rPr>
          <w:b/>
        </w:rPr>
        <w:t>organizzazioni della società civile (OSC) sia dell'UE che del Regno Unito</w:t>
      </w:r>
      <w:r w:rsidRPr="00316A9D">
        <w:t xml:space="preserve"> siano in una posizione privilegiata per </w:t>
      </w:r>
      <w:r w:rsidRPr="00316A9D">
        <w:rPr>
          <w:b/>
        </w:rPr>
        <w:t>sostenere e agevolare l'impegno dei giovani tra l'UE e il Regno Unito</w:t>
      </w:r>
      <w:r w:rsidRPr="00316A9D">
        <w:t>;</w:t>
      </w:r>
    </w:p>
    <w:p w:rsidRPr="00316A9D" w:rsidR="006F016B" w:rsidP="00AA5F9C" w:rsidRDefault="006F016B" w14:paraId="1C4199C5" w14:textId="3BA7B2C4">
      <w:pPr>
        <w:widowControl w:val="0"/>
        <w:numPr>
          <w:ilvl w:val="0"/>
          <w:numId w:val="61"/>
        </w:numPr>
        <w:overflowPunct w:val="0"/>
        <w:autoSpaceDE w:val="0"/>
        <w:autoSpaceDN w:val="0"/>
        <w:adjustRightInd w:val="0"/>
        <w:ind w:left="426" w:hanging="426"/>
        <w:textAlignment w:val="baseline"/>
        <w:rPr>
          <w:bCs/>
          <w:iCs/>
        </w:rPr>
      </w:pPr>
      <w:r w:rsidRPr="00316A9D">
        <w:rPr>
          <w:b/>
        </w:rPr>
        <w:t>esorta</w:t>
      </w:r>
      <w:r w:rsidRPr="00316A9D">
        <w:t xml:space="preserve"> in primo luogo </w:t>
      </w:r>
      <w:r w:rsidRPr="00316A9D">
        <w:rPr>
          <w:b/>
        </w:rPr>
        <w:t xml:space="preserve">la Commissione europea (CE) a rivolgersi al Regno Unito </w:t>
      </w:r>
      <w:r w:rsidRPr="00316A9D" w:rsidR="003D1AF1">
        <w:rPr>
          <w:b/>
        </w:rPr>
        <w:t>in merito alla</w:t>
      </w:r>
      <w:r w:rsidRPr="00316A9D">
        <w:rPr>
          <w:b/>
        </w:rPr>
        <w:t xml:space="preserve"> possibilità di negoziare un ambizioso partenariato reciproco per la mobilità giovanile</w:t>
      </w:r>
      <w:r w:rsidRPr="00316A9D">
        <w:t>, che dovrebbe mirare a stabilire le condizioni di ingresso e di soggiorno per fini quali ricerca, studio, formazione e scambi di giovani;</w:t>
      </w:r>
    </w:p>
    <w:p w:rsidRPr="00316A9D" w:rsidR="006F016B" w:rsidP="00AA5F9C" w:rsidRDefault="006F016B" w14:paraId="1BB4CA99" w14:textId="57CD2312">
      <w:pPr>
        <w:widowControl w:val="0"/>
        <w:numPr>
          <w:ilvl w:val="0"/>
          <w:numId w:val="61"/>
        </w:numPr>
        <w:overflowPunct w:val="0"/>
        <w:autoSpaceDE w:val="0"/>
        <w:autoSpaceDN w:val="0"/>
        <w:adjustRightInd w:val="0"/>
        <w:ind w:left="426" w:hanging="426"/>
        <w:textAlignment w:val="baseline"/>
        <w:rPr>
          <w:bCs/>
          <w:iCs/>
        </w:rPr>
      </w:pPr>
      <w:r w:rsidRPr="00316A9D">
        <w:t xml:space="preserve">esorta la CE a </w:t>
      </w:r>
      <w:r w:rsidRPr="00316A9D">
        <w:rPr>
          <w:b/>
        </w:rPr>
        <w:t>rafforzare i negoziati con il Regno Unito per il suo pieno reinserimento nel programma Erasmus+</w:t>
      </w:r>
      <w:r w:rsidRPr="00316A9D">
        <w:t xml:space="preserve">: una posizione, questa, che è </w:t>
      </w:r>
      <w:r w:rsidRPr="00316A9D">
        <w:rPr>
          <w:b/>
        </w:rPr>
        <w:t>ufficialmente sostenuta sia dal Forum europeo della gioventù che dal British Youth Council</w:t>
      </w:r>
      <w:r w:rsidRPr="00316A9D">
        <w:t xml:space="preserve"> (Consiglio nazionale della gioventù del Regno Unito), nonché da molte altre organizzazioni giovanili presenti nel Regno Unito e nell'UE;</w:t>
      </w:r>
    </w:p>
    <w:p w:rsidRPr="00316A9D" w:rsidR="006F016B" w:rsidP="00AA5F9C" w:rsidRDefault="006F016B" w14:paraId="01CD139F" w14:textId="77777777">
      <w:pPr>
        <w:widowControl w:val="0"/>
        <w:numPr>
          <w:ilvl w:val="0"/>
          <w:numId w:val="61"/>
        </w:numPr>
        <w:overflowPunct w:val="0"/>
        <w:autoSpaceDE w:val="0"/>
        <w:autoSpaceDN w:val="0"/>
        <w:adjustRightInd w:val="0"/>
        <w:ind w:left="426" w:hanging="426"/>
        <w:textAlignment w:val="baseline"/>
        <w:rPr>
          <w:bCs/>
          <w:iCs/>
        </w:rPr>
      </w:pPr>
      <w:r w:rsidRPr="00316A9D">
        <w:rPr>
          <w:b/>
        </w:rPr>
        <w:t>sostiene</w:t>
      </w:r>
      <w:r w:rsidRPr="00316A9D">
        <w:t xml:space="preserve"> fermamente </w:t>
      </w:r>
      <w:r w:rsidRPr="00316A9D">
        <w:rPr>
          <w:b/>
        </w:rPr>
        <w:t>la creazione di un impegno strutturato tra l'UE, le autorità a livello del Regno Unito e le nazioni con poteri devoluti,</w:t>
      </w:r>
      <w:r w:rsidRPr="00316A9D">
        <w:t xml:space="preserve"> con un forte coinvolgimento dei giovani, comprendente l'animazione socioeducativa e l'apprendimento non formale, per rafforzare il dialogo e la cooperazione con i giovani a livello di società civile;</w:t>
      </w:r>
    </w:p>
    <w:p w:rsidRPr="00316A9D" w:rsidR="006F016B" w:rsidP="00AA5F9C" w:rsidRDefault="006F016B" w14:paraId="33766B8B" w14:textId="77777777">
      <w:pPr>
        <w:widowControl w:val="0"/>
        <w:numPr>
          <w:ilvl w:val="0"/>
          <w:numId w:val="61"/>
        </w:numPr>
        <w:overflowPunct w:val="0"/>
        <w:autoSpaceDE w:val="0"/>
        <w:autoSpaceDN w:val="0"/>
        <w:adjustRightInd w:val="0"/>
        <w:ind w:left="426" w:hanging="426"/>
        <w:textAlignment w:val="baseline"/>
        <w:rPr>
          <w:bCs/>
          <w:iCs/>
        </w:rPr>
      </w:pPr>
      <w:r w:rsidRPr="00316A9D">
        <w:t xml:space="preserve">incoraggia la Commissione a </w:t>
      </w:r>
      <w:r w:rsidRPr="00316A9D">
        <w:rPr>
          <w:b/>
        </w:rPr>
        <w:t>impegnarsi proattivamente con il Regno Unito per affrontare gli ostacoli alla mobilità dei professionisti creativi</w:t>
      </w:r>
      <w:r w:rsidRPr="00316A9D">
        <w:t>, eventualmente prevedendo un'</w:t>
      </w:r>
      <w:r w:rsidRPr="00316A9D">
        <w:rPr>
          <w:b/>
        </w:rPr>
        <w:t>esenzione reciproca dal visto per le industrie creative o un'"esenzione culturale" dall'accordo sugli scambi commerciali e la cooperazione tra l'UE e il Regno Unito</w:t>
      </w:r>
      <w:r w:rsidRPr="00316A9D">
        <w:t>;</w:t>
      </w:r>
    </w:p>
    <w:p w:rsidRPr="00316A9D" w:rsidR="006F016B" w:rsidP="00AA5F9C" w:rsidRDefault="006F016B" w14:paraId="6108707D" w14:textId="77777777">
      <w:pPr>
        <w:widowControl w:val="0"/>
        <w:numPr>
          <w:ilvl w:val="0"/>
          <w:numId w:val="61"/>
        </w:numPr>
        <w:overflowPunct w:val="0"/>
        <w:autoSpaceDE w:val="0"/>
        <w:autoSpaceDN w:val="0"/>
        <w:adjustRightInd w:val="0"/>
        <w:ind w:left="426" w:hanging="426"/>
        <w:textAlignment w:val="baseline"/>
        <w:rPr>
          <w:bCs/>
          <w:iCs/>
        </w:rPr>
      </w:pPr>
      <w:r w:rsidRPr="00316A9D">
        <w:rPr>
          <w:b/>
        </w:rPr>
        <w:t>raccomanda di effettuare una mappatura delle opportunità per i giovani</w:t>
      </w:r>
      <w:r w:rsidRPr="00316A9D">
        <w:t xml:space="preserve">. Tale esercizio potrebbe risultare particolarmente utile per </w:t>
      </w:r>
      <w:r w:rsidRPr="00316A9D">
        <w:rPr>
          <w:b/>
        </w:rPr>
        <w:t>sviluppare le capacità</w:t>
      </w:r>
      <w:r w:rsidRPr="00316A9D">
        <w:t xml:space="preserve"> di far conoscere ai giovani le opportunità pratiche a loro disposizione. </w:t>
      </w:r>
      <w:r w:rsidRPr="00316A9D">
        <w:rPr>
          <w:b/>
        </w:rPr>
        <w:t>Dovrebbero essere previsti percorsi professionali chiaramente articolati</w:t>
      </w:r>
      <w:r w:rsidRPr="00316A9D">
        <w:t xml:space="preserve">, tenendo conto della necessità di </w:t>
      </w:r>
      <w:r w:rsidRPr="00316A9D">
        <w:rPr>
          <w:b/>
        </w:rPr>
        <w:t>impartire ai giovani conoscenze specialistiche tramite i percorsi scolastici, le cooperative e le attività di orientamento professionale</w:t>
      </w:r>
      <w:r w:rsidRPr="00316A9D">
        <w:t xml:space="preserve">; </w:t>
      </w:r>
    </w:p>
    <w:p w:rsidRPr="00316A9D" w:rsidR="006F016B" w:rsidP="00AA5F9C" w:rsidRDefault="006F016B" w14:paraId="1BD056B6" w14:textId="77777777">
      <w:pPr>
        <w:widowControl w:val="0"/>
        <w:numPr>
          <w:ilvl w:val="0"/>
          <w:numId w:val="61"/>
        </w:numPr>
        <w:overflowPunct w:val="0"/>
        <w:autoSpaceDE w:val="0"/>
        <w:autoSpaceDN w:val="0"/>
        <w:adjustRightInd w:val="0"/>
        <w:ind w:left="426" w:hanging="426"/>
        <w:textAlignment w:val="baseline"/>
        <w:rPr>
          <w:bCs/>
          <w:iCs/>
        </w:rPr>
      </w:pPr>
      <w:r w:rsidRPr="00316A9D">
        <w:rPr>
          <w:b/>
        </w:rPr>
        <w:t>esorta la Commissione a collaborare con il Regno Unito per riesaminare la questione della fornitura di un servizio di supporto fisico e mantenere i finanziamenti</w:t>
      </w:r>
      <w:r w:rsidRPr="00316A9D">
        <w:t xml:space="preserve"> per consentire ai gruppi a livello di comunità, alle organizzazioni di sensibilizzazione e alle autorità pubbliche di fornire un sostegno;</w:t>
      </w:r>
    </w:p>
    <w:p w:rsidRPr="00316A9D" w:rsidR="006F016B" w:rsidP="00AA5F9C" w:rsidRDefault="006F016B" w14:paraId="229B3BCB" w14:textId="60714466">
      <w:pPr>
        <w:widowControl w:val="0"/>
        <w:numPr>
          <w:ilvl w:val="0"/>
          <w:numId w:val="61"/>
        </w:numPr>
        <w:overflowPunct w:val="0"/>
        <w:autoSpaceDE w:val="0"/>
        <w:autoSpaceDN w:val="0"/>
        <w:adjustRightInd w:val="0"/>
        <w:ind w:left="426" w:hanging="426"/>
        <w:textAlignment w:val="baseline"/>
        <w:rPr>
          <w:bCs/>
          <w:iCs/>
        </w:rPr>
      </w:pPr>
      <w:r w:rsidRPr="00316A9D">
        <w:rPr>
          <w:b/>
        </w:rPr>
        <w:t xml:space="preserve">incoraggia l'UE a coordinarsi con i governi britannico e irlandese e con l'esecutivo dell'Irlanda del Nord per unire le forze in una campagna di sensibilizzazione </w:t>
      </w:r>
      <w:r w:rsidRPr="00316A9D" w:rsidR="003D1AF1">
        <w:rPr>
          <w:b/>
        </w:rPr>
        <w:t>in merito alla</w:t>
      </w:r>
      <w:r w:rsidRPr="00316A9D">
        <w:rPr>
          <w:b/>
        </w:rPr>
        <w:t xml:space="preserve"> missione del programma transfrontaliero PEACE PLUS</w:t>
      </w:r>
      <w:r w:rsidRPr="00316A9D">
        <w:t xml:space="preserve">, volto a sostenere la pace e la </w:t>
      </w:r>
      <w:r w:rsidRPr="00316A9D">
        <w:lastRenderedPageBreak/>
        <w:t>prosperità in tutta l'Irlanda del Nord e nelle contee limitrofe dell'Irlanda.</w:t>
      </w:r>
    </w:p>
    <w:p w:rsidRPr="00316A9D" w:rsidR="006F016B" w:rsidP="006F016B" w:rsidRDefault="006F016B" w14:paraId="38518CA6" w14:textId="77777777">
      <w:pPr>
        <w:widowControl w:val="0"/>
        <w:overflowPunct w:val="0"/>
        <w:autoSpaceDE w:val="0"/>
        <w:autoSpaceDN w:val="0"/>
        <w:adjustRightInd w:val="0"/>
        <w:ind w:left="709"/>
        <w:textAlignment w:val="baseline"/>
        <w:rPr>
          <w:sz w:val="14"/>
          <w:szCs w:val="12"/>
        </w:rPr>
      </w:pPr>
    </w:p>
    <w:p w:rsidRPr="00316A9D" w:rsidR="006F016B" w:rsidP="006F016B" w:rsidRDefault="006F016B" w14:paraId="2B8D9519" w14:textId="77777777">
      <w:pPr>
        <w:widowControl w:val="0"/>
        <w:overflowPunct w:val="0"/>
        <w:autoSpaceDE w:val="0"/>
        <w:autoSpaceDN w:val="0"/>
        <w:adjustRightInd w:val="0"/>
        <w:ind w:left="709"/>
        <w:textAlignment w:val="baseline"/>
        <w:rPr>
          <w:sz w:val="14"/>
          <w:szCs w:val="12"/>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316A9D" w:rsidR="006F016B" w:rsidTr="009839A2" w14:paraId="1B90AF90" w14:textId="77777777">
        <w:tc>
          <w:tcPr>
            <w:tcW w:w="1556" w:type="pct"/>
          </w:tcPr>
          <w:p w:rsidRPr="00316A9D" w:rsidR="006F016B" w:rsidP="006F016B" w:rsidRDefault="006F016B" w14:paraId="719D9CEC" w14:textId="77777777">
            <w:pPr>
              <w:overflowPunct w:val="0"/>
              <w:autoSpaceDE w:val="0"/>
              <w:autoSpaceDN w:val="0"/>
              <w:adjustRightInd w:val="0"/>
              <w:spacing w:line="240" w:lineRule="auto"/>
              <w:textAlignment w:val="baseline"/>
              <w:rPr>
                <w:i/>
              </w:rPr>
            </w:pPr>
            <w:r w:rsidRPr="00316A9D">
              <w:rPr>
                <w:b/>
                <w:i/>
              </w:rPr>
              <w:t>Contatto</w:t>
            </w:r>
          </w:p>
        </w:tc>
        <w:tc>
          <w:tcPr>
            <w:tcW w:w="3444" w:type="pct"/>
          </w:tcPr>
          <w:p w:rsidRPr="00316A9D" w:rsidR="006F016B" w:rsidP="006F016B" w:rsidRDefault="006F016B" w14:paraId="4699F675" w14:textId="77777777">
            <w:pPr>
              <w:overflowPunct w:val="0"/>
              <w:autoSpaceDE w:val="0"/>
              <w:autoSpaceDN w:val="0"/>
              <w:adjustRightInd w:val="0"/>
              <w:spacing w:line="240" w:lineRule="auto"/>
              <w:textAlignment w:val="baseline"/>
              <w:rPr>
                <w:i/>
              </w:rPr>
            </w:pPr>
            <w:r w:rsidRPr="00316A9D">
              <w:rPr>
                <w:i/>
              </w:rPr>
              <w:t>Sveto TRAJKOVSKI</w:t>
            </w:r>
          </w:p>
        </w:tc>
      </w:tr>
      <w:tr w:rsidRPr="00316A9D" w:rsidR="006F016B" w:rsidTr="009839A2" w14:paraId="3C078FE6" w14:textId="77777777">
        <w:tc>
          <w:tcPr>
            <w:tcW w:w="1556" w:type="pct"/>
          </w:tcPr>
          <w:p w:rsidRPr="00316A9D" w:rsidR="006F016B" w:rsidP="006F016B" w:rsidRDefault="006F016B" w14:paraId="18ABDE9D" w14:textId="77777777">
            <w:pPr>
              <w:overflowPunct w:val="0"/>
              <w:autoSpaceDE w:val="0"/>
              <w:autoSpaceDN w:val="0"/>
              <w:adjustRightInd w:val="0"/>
              <w:spacing w:line="240" w:lineRule="auto"/>
              <w:textAlignment w:val="baseline"/>
              <w:rPr>
                <w:i/>
              </w:rPr>
            </w:pPr>
            <w:r w:rsidRPr="00316A9D">
              <w:rPr>
                <w:i/>
              </w:rPr>
              <w:t>Tel.</w:t>
            </w:r>
          </w:p>
        </w:tc>
        <w:tc>
          <w:tcPr>
            <w:tcW w:w="3444" w:type="pct"/>
          </w:tcPr>
          <w:p w:rsidRPr="00316A9D" w:rsidR="006F016B" w:rsidP="006F016B" w:rsidRDefault="006F016B" w14:paraId="1487E276" w14:textId="77777777">
            <w:pPr>
              <w:overflowPunct w:val="0"/>
              <w:autoSpaceDE w:val="0"/>
              <w:autoSpaceDN w:val="0"/>
              <w:adjustRightInd w:val="0"/>
              <w:spacing w:line="240" w:lineRule="auto"/>
              <w:textAlignment w:val="baseline"/>
              <w:rPr>
                <w:i/>
              </w:rPr>
            </w:pPr>
            <w:r w:rsidRPr="00316A9D">
              <w:rPr>
                <w:i/>
              </w:rPr>
              <w:t>+32 25469075</w:t>
            </w:r>
          </w:p>
        </w:tc>
      </w:tr>
      <w:tr w:rsidRPr="00316A9D" w:rsidR="006F016B" w:rsidTr="009839A2" w14:paraId="54CD2E3D" w14:textId="77777777">
        <w:tc>
          <w:tcPr>
            <w:tcW w:w="1556" w:type="pct"/>
          </w:tcPr>
          <w:p w:rsidRPr="00316A9D" w:rsidR="006F016B" w:rsidP="006F016B" w:rsidRDefault="003D1AF1" w14:paraId="09284BE4" w14:textId="3B658CFE">
            <w:pPr>
              <w:overflowPunct w:val="0"/>
              <w:autoSpaceDE w:val="0"/>
              <w:autoSpaceDN w:val="0"/>
              <w:adjustRightInd w:val="0"/>
              <w:spacing w:line="240" w:lineRule="auto"/>
              <w:textAlignment w:val="baseline"/>
              <w:rPr>
                <w:i/>
              </w:rPr>
            </w:pPr>
            <w:r w:rsidRPr="00316A9D">
              <w:rPr>
                <w:i/>
              </w:rPr>
              <w:t>E</w:t>
            </w:r>
            <w:r w:rsidRPr="00316A9D" w:rsidR="00B244E9">
              <w:rPr>
                <w:i/>
              </w:rPr>
              <w:t>-mail</w:t>
            </w:r>
          </w:p>
        </w:tc>
        <w:tc>
          <w:tcPr>
            <w:tcW w:w="3444" w:type="pct"/>
          </w:tcPr>
          <w:p w:rsidRPr="00316A9D" w:rsidR="006F016B" w:rsidP="006F016B" w:rsidRDefault="003A440F" w14:paraId="69F41B6E" w14:textId="77777777">
            <w:pPr>
              <w:overflowPunct w:val="0"/>
              <w:autoSpaceDE w:val="0"/>
              <w:autoSpaceDN w:val="0"/>
              <w:adjustRightInd w:val="0"/>
              <w:spacing w:line="240" w:lineRule="auto"/>
              <w:textAlignment w:val="baseline"/>
              <w:rPr>
                <w:i/>
              </w:rPr>
            </w:pPr>
            <w:hyperlink w:history="1" r:id="rId46">
              <w:r w:rsidRPr="00316A9D" w:rsidR="00F76B5D">
                <w:rPr>
                  <w:i/>
                  <w:color w:val="0000FF"/>
                  <w:u w:val="single"/>
                </w:rPr>
                <w:t>Sveto.Trajkovski@eesc.europa.eu</w:t>
              </w:r>
            </w:hyperlink>
          </w:p>
        </w:tc>
      </w:tr>
    </w:tbl>
    <w:p w:rsidRPr="00316A9D" w:rsidR="003D2CA9" w:rsidRDefault="003D2CA9" w14:paraId="453AC1F5" w14:textId="7A2F9DF4">
      <w:pPr>
        <w:spacing w:after="160" w:line="259" w:lineRule="auto"/>
        <w:jc w:val="left"/>
      </w:pPr>
      <w:r w:rsidRPr="00316A9D">
        <w:br w:type="page"/>
      </w:r>
    </w:p>
    <w:p w:rsidRPr="00316A9D" w:rsidR="006F016B" w:rsidP="00401E8F" w:rsidRDefault="003A440F" w14:paraId="514E2A22" w14:textId="3C46AFA1">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47">
        <w:r w:rsidRPr="00316A9D" w:rsidR="008772F9">
          <w:rPr>
            <w:b/>
            <w:i/>
            <w:color w:val="0000FF"/>
            <w:sz w:val="28"/>
            <w:u w:val="single"/>
          </w:rPr>
          <w:t>Nuovo piano di crescita e strumento per i Balcani occidentali</w:t>
        </w:r>
      </w:hyperlink>
    </w:p>
    <w:p w:rsidRPr="00316A9D" w:rsidR="006F016B" w:rsidP="006F016B" w:rsidRDefault="006F016B" w14:paraId="3EB333AB" w14:textId="77777777">
      <w:pPr>
        <w:tabs>
          <w:tab w:val="center" w:pos="284"/>
        </w:tabs>
        <w:overflowPunct w:val="0"/>
        <w:autoSpaceDE w:val="0"/>
        <w:autoSpaceDN w:val="0"/>
        <w:adjustRightInd w:val="0"/>
        <w:ind w:left="266" w:hanging="266"/>
        <w:textAlignment w:val="baseline"/>
        <w:rPr>
          <w:b/>
          <w:sz w:val="18"/>
          <w:szCs w:val="18"/>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316A9D" w:rsidR="006F016B" w:rsidTr="009839A2" w14:paraId="49C0574A" w14:textId="77777777">
        <w:tc>
          <w:tcPr>
            <w:tcW w:w="1701" w:type="dxa"/>
          </w:tcPr>
          <w:p w:rsidRPr="00316A9D" w:rsidR="006F016B" w:rsidP="006F016B" w:rsidRDefault="003D1AF1" w14:paraId="7BD1EE60" w14:textId="307F0427">
            <w:pPr>
              <w:tabs>
                <w:tab w:val="center" w:pos="284"/>
              </w:tabs>
              <w:overflowPunct w:val="0"/>
              <w:autoSpaceDE w:val="0"/>
              <w:autoSpaceDN w:val="0"/>
              <w:adjustRightInd w:val="0"/>
              <w:ind w:left="266" w:hanging="266"/>
              <w:textAlignment w:val="baseline"/>
              <w:rPr>
                <w:b/>
              </w:rPr>
            </w:pPr>
            <w:r w:rsidRPr="00316A9D">
              <w:rPr>
                <w:b/>
              </w:rPr>
              <w:t>Relatore</w:t>
            </w:r>
          </w:p>
        </w:tc>
        <w:tc>
          <w:tcPr>
            <w:tcW w:w="6663" w:type="dxa"/>
          </w:tcPr>
          <w:p w:rsidRPr="00316A9D" w:rsidR="006F016B" w:rsidP="006F016B" w:rsidRDefault="006F016B" w14:paraId="3FB2CF1D" w14:textId="09F78571">
            <w:pPr>
              <w:tabs>
                <w:tab w:val="center" w:pos="284"/>
              </w:tabs>
              <w:overflowPunct w:val="0"/>
              <w:autoSpaceDE w:val="0"/>
              <w:autoSpaceDN w:val="0"/>
              <w:adjustRightInd w:val="0"/>
              <w:ind w:left="266" w:hanging="266"/>
              <w:textAlignment w:val="baseline"/>
            </w:pPr>
            <w:r w:rsidRPr="00316A9D">
              <w:t>Ionuţ SIBIAN (Organizzazioni della società civile - RO)</w:t>
            </w:r>
          </w:p>
        </w:tc>
      </w:tr>
      <w:tr w:rsidRPr="00316A9D" w:rsidR="006F016B" w:rsidTr="009839A2" w14:paraId="3837506E" w14:textId="77777777">
        <w:tc>
          <w:tcPr>
            <w:tcW w:w="1701" w:type="dxa"/>
          </w:tcPr>
          <w:p w:rsidRPr="00316A9D" w:rsidR="006F016B" w:rsidP="006F016B" w:rsidRDefault="003D1AF1" w14:paraId="72E17DDB" w14:textId="54E0004A">
            <w:pPr>
              <w:tabs>
                <w:tab w:val="center" w:pos="284"/>
              </w:tabs>
              <w:overflowPunct w:val="0"/>
              <w:autoSpaceDE w:val="0"/>
              <w:autoSpaceDN w:val="0"/>
              <w:adjustRightInd w:val="0"/>
              <w:ind w:left="266" w:hanging="266"/>
              <w:textAlignment w:val="baseline"/>
              <w:rPr>
                <w:b/>
              </w:rPr>
            </w:pPr>
            <w:r w:rsidRPr="00316A9D">
              <w:rPr>
                <w:b/>
              </w:rPr>
              <w:t>Correlatrice</w:t>
            </w:r>
          </w:p>
        </w:tc>
        <w:tc>
          <w:tcPr>
            <w:tcW w:w="6663" w:type="dxa"/>
          </w:tcPr>
          <w:p w:rsidRPr="00316A9D" w:rsidR="006F016B" w:rsidP="006F016B" w:rsidRDefault="006F016B" w14:paraId="4FA641CE" w14:textId="77C6FA6B">
            <w:pPr>
              <w:tabs>
                <w:tab w:val="center" w:pos="284"/>
              </w:tabs>
              <w:overflowPunct w:val="0"/>
              <w:autoSpaceDE w:val="0"/>
              <w:autoSpaceDN w:val="0"/>
              <w:adjustRightInd w:val="0"/>
              <w:ind w:left="266" w:hanging="266"/>
              <w:textAlignment w:val="baseline"/>
            </w:pPr>
            <w:r w:rsidRPr="00316A9D">
              <w:t>Dragica MARTINOVIĆ DŽAMONJA (Datori di lavoro - HR)</w:t>
            </w:r>
          </w:p>
        </w:tc>
      </w:tr>
      <w:tr w:rsidRPr="00316A9D" w:rsidR="006F016B" w:rsidTr="009839A2" w14:paraId="7959965B" w14:textId="77777777">
        <w:tc>
          <w:tcPr>
            <w:tcW w:w="8364" w:type="dxa"/>
            <w:gridSpan w:val="2"/>
          </w:tcPr>
          <w:p w:rsidRPr="00316A9D" w:rsidR="006F016B" w:rsidP="006F016B" w:rsidRDefault="006F016B" w14:paraId="3D156893" w14:textId="77777777">
            <w:pPr>
              <w:tabs>
                <w:tab w:val="center" w:pos="284"/>
              </w:tabs>
              <w:overflowPunct w:val="0"/>
              <w:autoSpaceDE w:val="0"/>
              <w:autoSpaceDN w:val="0"/>
              <w:adjustRightInd w:val="0"/>
              <w:spacing w:line="160" w:lineRule="exact"/>
              <w:ind w:left="266" w:hanging="266"/>
              <w:textAlignment w:val="baseline"/>
            </w:pPr>
          </w:p>
        </w:tc>
      </w:tr>
      <w:tr w:rsidRPr="00316A9D" w:rsidR="006F016B" w:rsidTr="009839A2" w14:paraId="6826C687" w14:textId="77777777">
        <w:tc>
          <w:tcPr>
            <w:tcW w:w="1701" w:type="dxa"/>
            <w:vMerge w:val="restart"/>
          </w:tcPr>
          <w:p w:rsidRPr="00316A9D" w:rsidR="006F016B" w:rsidP="006F016B" w:rsidRDefault="006F016B" w14:paraId="7CEA21C8" w14:textId="77777777">
            <w:pPr>
              <w:tabs>
                <w:tab w:val="center" w:pos="284"/>
              </w:tabs>
              <w:overflowPunct w:val="0"/>
              <w:autoSpaceDE w:val="0"/>
              <w:autoSpaceDN w:val="0"/>
              <w:adjustRightInd w:val="0"/>
              <w:ind w:left="266" w:hanging="266"/>
              <w:textAlignment w:val="baseline"/>
              <w:rPr>
                <w:b/>
              </w:rPr>
            </w:pPr>
            <w:r w:rsidRPr="00316A9D">
              <w:rPr>
                <w:b/>
              </w:rPr>
              <w:t>Riferimenti</w:t>
            </w:r>
          </w:p>
        </w:tc>
        <w:tc>
          <w:tcPr>
            <w:tcW w:w="6663" w:type="dxa"/>
          </w:tcPr>
          <w:p w:rsidRPr="00316A9D" w:rsidR="009F62CB" w:rsidP="006F016B" w:rsidRDefault="009F62CB" w14:paraId="458F35A0" w14:textId="3FF1A242">
            <w:pPr>
              <w:tabs>
                <w:tab w:val="center" w:pos="284"/>
              </w:tabs>
              <w:overflowPunct w:val="0"/>
              <w:autoSpaceDE w:val="0"/>
              <w:autoSpaceDN w:val="0"/>
              <w:adjustRightInd w:val="0"/>
              <w:ind w:left="266" w:hanging="266"/>
              <w:textAlignment w:val="baseline"/>
            </w:pPr>
            <w:r w:rsidRPr="00316A9D">
              <w:t>COM(2023) 691 final</w:t>
            </w:r>
          </w:p>
          <w:p w:rsidRPr="00316A9D" w:rsidR="009F62CB" w:rsidP="006F016B" w:rsidRDefault="009F62CB" w14:paraId="33EA829D" w14:textId="767E6392">
            <w:pPr>
              <w:tabs>
                <w:tab w:val="center" w:pos="284"/>
              </w:tabs>
              <w:overflowPunct w:val="0"/>
              <w:autoSpaceDE w:val="0"/>
              <w:autoSpaceDN w:val="0"/>
              <w:adjustRightInd w:val="0"/>
              <w:ind w:left="266" w:hanging="266"/>
              <w:textAlignment w:val="baseline"/>
            </w:pPr>
            <w:r w:rsidRPr="00316A9D">
              <w:t>COM(2023) 692 final</w:t>
            </w:r>
          </w:p>
          <w:p w:rsidRPr="00316A9D" w:rsidR="006F016B" w:rsidP="006F016B" w:rsidRDefault="006F016B" w14:paraId="3D1EF842" w14:textId="61744BDD">
            <w:pPr>
              <w:tabs>
                <w:tab w:val="center" w:pos="284"/>
              </w:tabs>
              <w:overflowPunct w:val="0"/>
              <w:autoSpaceDE w:val="0"/>
              <w:autoSpaceDN w:val="0"/>
              <w:adjustRightInd w:val="0"/>
              <w:ind w:left="266" w:hanging="266"/>
              <w:textAlignment w:val="baseline"/>
            </w:pPr>
            <w:r w:rsidRPr="00316A9D">
              <w:t>EESC-2024-00176-00-00-AC</w:t>
            </w:r>
          </w:p>
        </w:tc>
      </w:tr>
      <w:tr w:rsidRPr="00316A9D" w:rsidR="006F016B" w:rsidTr="009839A2" w14:paraId="1C6DC752" w14:textId="77777777">
        <w:tc>
          <w:tcPr>
            <w:tcW w:w="1701" w:type="dxa"/>
            <w:vMerge/>
          </w:tcPr>
          <w:p w:rsidRPr="00316A9D" w:rsidR="006F016B" w:rsidP="006F016B" w:rsidRDefault="006F016B" w14:paraId="329B1EFB" w14:textId="77777777">
            <w:pPr>
              <w:tabs>
                <w:tab w:val="center" w:pos="284"/>
              </w:tabs>
              <w:overflowPunct w:val="0"/>
              <w:autoSpaceDE w:val="0"/>
              <w:autoSpaceDN w:val="0"/>
              <w:adjustRightInd w:val="0"/>
              <w:ind w:left="266" w:hanging="266"/>
              <w:textAlignment w:val="baseline"/>
              <w:rPr>
                <w:b/>
              </w:rPr>
            </w:pPr>
          </w:p>
        </w:tc>
        <w:tc>
          <w:tcPr>
            <w:tcW w:w="6663" w:type="dxa"/>
          </w:tcPr>
          <w:p w:rsidRPr="00316A9D" w:rsidR="006F016B" w:rsidP="006F016B" w:rsidRDefault="006F016B" w14:paraId="04005948" w14:textId="77777777">
            <w:pPr>
              <w:tabs>
                <w:tab w:val="center" w:pos="284"/>
              </w:tabs>
              <w:overflowPunct w:val="0"/>
              <w:autoSpaceDE w:val="0"/>
              <w:autoSpaceDN w:val="0"/>
              <w:adjustRightInd w:val="0"/>
              <w:ind w:left="266" w:hanging="266"/>
              <w:textAlignment w:val="baseline"/>
            </w:pPr>
          </w:p>
        </w:tc>
      </w:tr>
    </w:tbl>
    <w:p w:rsidRPr="00316A9D" w:rsidR="006F016B" w:rsidP="00AA5F9C" w:rsidRDefault="006F016B" w14:paraId="3A84560D" w14:textId="77777777">
      <w:pPr>
        <w:keepNext/>
        <w:keepLines/>
        <w:tabs>
          <w:tab w:val="center" w:pos="284"/>
        </w:tabs>
        <w:overflowPunct w:val="0"/>
        <w:autoSpaceDE w:val="0"/>
        <w:autoSpaceDN w:val="0"/>
        <w:adjustRightInd w:val="0"/>
        <w:ind w:left="266" w:hanging="124"/>
        <w:textAlignment w:val="baseline"/>
        <w:rPr>
          <w:b/>
        </w:rPr>
      </w:pPr>
      <w:r w:rsidRPr="00316A9D">
        <w:rPr>
          <w:b/>
        </w:rPr>
        <w:t xml:space="preserve">Punti principali </w:t>
      </w:r>
    </w:p>
    <w:p w:rsidRPr="00316A9D" w:rsidR="006F016B" w:rsidP="00AA5F9C" w:rsidRDefault="006F016B" w14:paraId="01E61295" w14:textId="0D8ED144">
      <w:pPr>
        <w:keepNext/>
        <w:keepLines/>
        <w:tabs>
          <w:tab w:val="center" w:pos="284"/>
        </w:tabs>
        <w:overflowPunct w:val="0"/>
        <w:autoSpaceDE w:val="0"/>
        <w:autoSpaceDN w:val="0"/>
        <w:adjustRightInd w:val="0"/>
        <w:ind w:left="266" w:hanging="124"/>
        <w:textAlignment w:val="baseline"/>
        <w:rPr>
          <w:b/>
          <w:sz w:val="18"/>
          <w:szCs w:val="18"/>
        </w:rPr>
      </w:pPr>
    </w:p>
    <w:p w:rsidRPr="00316A9D" w:rsidR="006F016B" w:rsidP="00AA5F9C" w:rsidRDefault="006F016B" w14:paraId="72639A25" w14:textId="77777777">
      <w:pPr>
        <w:overflowPunct w:val="0"/>
        <w:autoSpaceDE w:val="0"/>
        <w:autoSpaceDN w:val="0"/>
        <w:adjustRightInd w:val="0"/>
        <w:ind w:firstLine="142"/>
        <w:textAlignment w:val="baseline"/>
        <w:rPr>
          <w:bCs/>
          <w:iCs/>
        </w:rPr>
      </w:pPr>
      <w:r w:rsidRPr="00316A9D">
        <w:t>Il CESE:</w:t>
      </w:r>
    </w:p>
    <w:p w:rsidRPr="00316A9D" w:rsidR="006F016B" w:rsidP="006F016B" w:rsidRDefault="006F016B" w14:paraId="721D6A3D" w14:textId="77777777">
      <w:pPr>
        <w:overflowPunct w:val="0"/>
        <w:autoSpaceDE w:val="0"/>
        <w:autoSpaceDN w:val="0"/>
        <w:adjustRightInd w:val="0"/>
        <w:textAlignment w:val="baseline"/>
        <w:rPr>
          <w:bCs/>
          <w:iCs/>
          <w:sz w:val="18"/>
          <w:szCs w:val="18"/>
        </w:rPr>
      </w:pPr>
    </w:p>
    <w:p w:rsidRPr="00316A9D" w:rsidR="006F016B" w:rsidP="00AA5F9C" w:rsidRDefault="006F016B" w14:paraId="6D818D2F" w14:textId="77777777">
      <w:pPr>
        <w:widowControl w:val="0"/>
        <w:numPr>
          <w:ilvl w:val="0"/>
          <w:numId w:val="62"/>
        </w:numPr>
        <w:overflowPunct w:val="0"/>
        <w:autoSpaceDE w:val="0"/>
        <w:autoSpaceDN w:val="0"/>
        <w:adjustRightInd w:val="0"/>
        <w:ind w:left="426" w:hanging="284"/>
        <w:textAlignment w:val="baseline"/>
        <w:rPr>
          <w:bCs/>
          <w:iCs/>
        </w:rPr>
      </w:pPr>
      <w:r w:rsidRPr="00316A9D">
        <w:t>è fermamente convinto che adottare un approccio graduale, prevedibile e meritocratico all'acquisizione di vantaggi crescenti durante il processo di adesione all'UE – tra cui il sostegno finanziario, l'integrazione nel mercato unico dell'UE e la partecipazione dei lavori delle istituzioni europee – sia il modo migliore per procedere verso l'allargamento dell'Unione; è necessario colmare gradualmente il divario di convergenza socioeconomica che intercorre tra questi paesi e la media dell'UE;</w:t>
      </w:r>
    </w:p>
    <w:p w:rsidRPr="00316A9D" w:rsidR="006F016B" w:rsidP="00AA5F9C" w:rsidRDefault="006F016B" w14:paraId="1E123AFD" w14:textId="77777777">
      <w:pPr>
        <w:widowControl w:val="0"/>
        <w:numPr>
          <w:ilvl w:val="0"/>
          <w:numId w:val="62"/>
        </w:numPr>
        <w:overflowPunct w:val="0"/>
        <w:autoSpaceDE w:val="0"/>
        <w:autoSpaceDN w:val="0"/>
        <w:adjustRightInd w:val="0"/>
        <w:ind w:left="426" w:hanging="284"/>
        <w:textAlignment w:val="baseline"/>
        <w:rPr>
          <w:bCs/>
          <w:iCs/>
        </w:rPr>
      </w:pPr>
      <w:r w:rsidRPr="00316A9D">
        <w:t>raccomanda alla Commissione di pubblicare orientamenti chiari e trasparenti sulle modalità di applicazione del pacchetto di condizionalità proposto e insiste sull'importanza di garantire che l'attenzione dell'UE sulla stabilità e sugli interessi geopolitici non vada a scapito dello Stato di diritto e della democrazia;</w:t>
      </w:r>
    </w:p>
    <w:p w:rsidRPr="00316A9D" w:rsidR="006F016B" w:rsidP="00AA5F9C" w:rsidRDefault="006F016B" w14:paraId="3C6DB994" w14:textId="77777777">
      <w:pPr>
        <w:widowControl w:val="0"/>
        <w:numPr>
          <w:ilvl w:val="0"/>
          <w:numId w:val="62"/>
        </w:numPr>
        <w:overflowPunct w:val="0"/>
        <w:autoSpaceDE w:val="0"/>
        <w:autoSpaceDN w:val="0"/>
        <w:adjustRightInd w:val="0"/>
        <w:ind w:left="426" w:hanging="284"/>
        <w:textAlignment w:val="baseline"/>
        <w:rPr>
          <w:bCs/>
          <w:iCs/>
        </w:rPr>
      </w:pPr>
      <w:r w:rsidRPr="00316A9D">
        <w:t>invita la Commissione ad assistere i paesi candidati e potenziali candidati nella valutazione sia dei vantaggi sia degli svantaggi di un'integrazione del mercato rapida, individuando i paesi che ne sono danneggiati e attuando misure di mitigazione ad hoc; nell'elaborazione di tali misure, occorre che il contributo delle parti sociali e della società civile venga ricercato in maniera tempestiva e preso in debita considerazione;</w:t>
      </w:r>
    </w:p>
    <w:p w:rsidRPr="00316A9D" w:rsidR="006F016B" w:rsidP="00AA5F9C" w:rsidRDefault="006F016B" w14:paraId="5875290C" w14:textId="77777777">
      <w:pPr>
        <w:widowControl w:val="0"/>
        <w:numPr>
          <w:ilvl w:val="0"/>
          <w:numId w:val="62"/>
        </w:numPr>
        <w:overflowPunct w:val="0"/>
        <w:autoSpaceDE w:val="0"/>
        <w:autoSpaceDN w:val="0"/>
        <w:adjustRightInd w:val="0"/>
        <w:ind w:left="426" w:hanging="284"/>
        <w:textAlignment w:val="baseline"/>
        <w:rPr>
          <w:bCs/>
          <w:iCs/>
        </w:rPr>
      </w:pPr>
      <w:r w:rsidRPr="00316A9D">
        <w:t>sottolinea l'importanza di allineare il sostegno ai paesi candidati con gli strumenti finanziari degli Stati membri al fine di conseguire una transizione agevole verso l'adesione all'UE, unitamente alla preparazione delle loro istituzioni in vista dell'accesso ai finanziamenti della politica di coesione; sulla base dell'esperienza acquisita con l'attuazione del dispositivo per la ripresa e la resilienza negli Stati membri, il CESE raccomanda di istituire un quadro di valutazione del piano di crescita e comitati di monitoraggio dei paesi candidati al fine di migliorare l'attuazione, il coordinamento e il monitoraggio del piano. Detti comitati dovrebbero comprendere le parti sociali e le organizzazioni specializzate della società civile dei paesi beneficiari;</w:t>
      </w:r>
    </w:p>
    <w:p w:rsidRPr="00316A9D" w:rsidR="006F016B" w:rsidP="00AA5F9C" w:rsidRDefault="006F016B" w14:paraId="02C3BDB6" w14:textId="77777777">
      <w:pPr>
        <w:widowControl w:val="0"/>
        <w:numPr>
          <w:ilvl w:val="0"/>
          <w:numId w:val="62"/>
        </w:numPr>
        <w:overflowPunct w:val="0"/>
        <w:autoSpaceDE w:val="0"/>
        <w:autoSpaceDN w:val="0"/>
        <w:adjustRightInd w:val="0"/>
        <w:ind w:left="426" w:hanging="284"/>
        <w:textAlignment w:val="baseline"/>
        <w:rPr>
          <w:bCs/>
          <w:iCs/>
        </w:rPr>
      </w:pPr>
      <w:r w:rsidRPr="00316A9D">
        <w:t>insiste sull'importanza della cooperazione regionale e delle relazioni di buon vicinato durante l'intero processo di adesione all'UE e si compiace del fatto che la proposta della Commissione sia incentrata sullo sviluppo del mercato regionale comune (MRC); propone l'istituzione di un sistema di monitoraggio obiettivo e trasparente dell'adempimento degli impegni che includa le parti sociali e le organizzazioni della società civile nonché la volontà politica di applicare meccanismi di reversibilità ove necessario.</w:t>
      </w:r>
    </w:p>
    <w:p w:rsidRPr="00316A9D" w:rsidR="006F016B" w:rsidP="006F016B" w:rsidRDefault="006F016B" w14:paraId="2A5192EF" w14:textId="77777777">
      <w:pPr>
        <w:widowControl w:val="0"/>
        <w:overflowPunct w:val="0"/>
        <w:autoSpaceDE w:val="0"/>
        <w:autoSpaceDN w:val="0"/>
        <w:adjustRightInd w:val="0"/>
        <w:ind w:left="709"/>
        <w:textAlignment w:val="baseline"/>
        <w:rPr>
          <w:szCs w:val="20"/>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16A9D" w:rsidR="006F016B" w:rsidTr="009839A2" w14:paraId="6639267C" w14:textId="77777777">
        <w:tc>
          <w:tcPr>
            <w:tcW w:w="1418" w:type="dxa"/>
          </w:tcPr>
          <w:p w:rsidRPr="00316A9D" w:rsidR="006F016B" w:rsidP="006F016B" w:rsidRDefault="006F016B" w14:paraId="167EADED" w14:textId="77777777">
            <w:pPr>
              <w:overflowPunct w:val="0"/>
              <w:autoSpaceDE w:val="0"/>
              <w:autoSpaceDN w:val="0"/>
              <w:adjustRightInd w:val="0"/>
              <w:spacing w:line="240" w:lineRule="auto"/>
              <w:textAlignment w:val="baseline"/>
              <w:rPr>
                <w:i/>
              </w:rPr>
            </w:pPr>
            <w:r w:rsidRPr="00316A9D">
              <w:rPr>
                <w:b/>
                <w:i/>
              </w:rPr>
              <w:t>Contatto</w:t>
            </w:r>
          </w:p>
        </w:tc>
        <w:tc>
          <w:tcPr>
            <w:tcW w:w="5670" w:type="dxa"/>
          </w:tcPr>
          <w:p w:rsidRPr="00316A9D" w:rsidR="006F016B" w:rsidP="006F016B" w:rsidRDefault="006F016B" w14:paraId="14E31213" w14:textId="77777777">
            <w:pPr>
              <w:overflowPunct w:val="0"/>
              <w:autoSpaceDE w:val="0"/>
              <w:autoSpaceDN w:val="0"/>
              <w:adjustRightInd w:val="0"/>
              <w:spacing w:line="240" w:lineRule="auto"/>
              <w:textAlignment w:val="baseline"/>
              <w:rPr>
                <w:i/>
              </w:rPr>
            </w:pPr>
            <w:r w:rsidRPr="00316A9D">
              <w:rPr>
                <w:i/>
              </w:rPr>
              <w:t>David HOIĆ</w:t>
            </w:r>
          </w:p>
        </w:tc>
      </w:tr>
      <w:tr w:rsidRPr="00316A9D" w:rsidR="006F016B" w:rsidTr="009839A2" w14:paraId="31D0CF17" w14:textId="77777777">
        <w:tc>
          <w:tcPr>
            <w:tcW w:w="1418" w:type="dxa"/>
          </w:tcPr>
          <w:p w:rsidRPr="00316A9D" w:rsidR="006F016B" w:rsidP="006F016B" w:rsidRDefault="006F016B" w14:paraId="39865D1B" w14:textId="77777777">
            <w:pPr>
              <w:overflowPunct w:val="0"/>
              <w:autoSpaceDE w:val="0"/>
              <w:autoSpaceDN w:val="0"/>
              <w:adjustRightInd w:val="0"/>
              <w:spacing w:line="240" w:lineRule="auto"/>
              <w:textAlignment w:val="baseline"/>
              <w:rPr>
                <w:i/>
              </w:rPr>
            </w:pPr>
            <w:r w:rsidRPr="00316A9D">
              <w:rPr>
                <w:i/>
              </w:rPr>
              <w:t>Tel.</w:t>
            </w:r>
          </w:p>
        </w:tc>
        <w:tc>
          <w:tcPr>
            <w:tcW w:w="5670" w:type="dxa"/>
          </w:tcPr>
          <w:p w:rsidRPr="00316A9D" w:rsidR="006F016B" w:rsidP="006F016B" w:rsidRDefault="006F016B" w14:paraId="72AEAA86" w14:textId="77777777">
            <w:pPr>
              <w:overflowPunct w:val="0"/>
              <w:autoSpaceDE w:val="0"/>
              <w:autoSpaceDN w:val="0"/>
              <w:adjustRightInd w:val="0"/>
              <w:spacing w:line="240" w:lineRule="auto"/>
              <w:textAlignment w:val="baseline"/>
              <w:rPr>
                <w:i/>
              </w:rPr>
            </w:pPr>
            <w:r w:rsidRPr="00316A9D">
              <w:rPr>
                <w:i/>
              </w:rPr>
              <w:t>+32 25469069</w:t>
            </w:r>
          </w:p>
        </w:tc>
      </w:tr>
      <w:tr w:rsidRPr="00316A9D" w:rsidR="006F016B" w:rsidTr="009839A2" w14:paraId="42ADD2D1" w14:textId="77777777">
        <w:tc>
          <w:tcPr>
            <w:tcW w:w="1418" w:type="dxa"/>
          </w:tcPr>
          <w:p w:rsidRPr="00316A9D" w:rsidR="006F016B" w:rsidP="006F016B" w:rsidRDefault="003D1AF1" w14:paraId="32A57B4D" w14:textId="4E28E1C7">
            <w:pPr>
              <w:overflowPunct w:val="0"/>
              <w:autoSpaceDE w:val="0"/>
              <w:autoSpaceDN w:val="0"/>
              <w:adjustRightInd w:val="0"/>
              <w:spacing w:line="240" w:lineRule="auto"/>
              <w:textAlignment w:val="baseline"/>
              <w:rPr>
                <w:i/>
              </w:rPr>
            </w:pPr>
            <w:r w:rsidRPr="00316A9D">
              <w:rPr>
                <w:i/>
              </w:rPr>
              <w:t>E</w:t>
            </w:r>
            <w:r w:rsidRPr="00316A9D" w:rsidR="006F016B">
              <w:rPr>
                <w:i/>
              </w:rPr>
              <w:t>-mail</w:t>
            </w:r>
          </w:p>
        </w:tc>
        <w:tc>
          <w:tcPr>
            <w:tcW w:w="5670" w:type="dxa"/>
          </w:tcPr>
          <w:p w:rsidRPr="00316A9D" w:rsidR="006F016B" w:rsidP="006F016B" w:rsidRDefault="003A440F" w14:paraId="1177F990" w14:textId="77777777">
            <w:pPr>
              <w:overflowPunct w:val="0"/>
              <w:autoSpaceDE w:val="0"/>
              <w:autoSpaceDN w:val="0"/>
              <w:adjustRightInd w:val="0"/>
              <w:spacing w:line="240" w:lineRule="auto"/>
              <w:textAlignment w:val="baseline"/>
              <w:rPr>
                <w:i/>
              </w:rPr>
            </w:pPr>
            <w:hyperlink w:history="1" r:id="rId48">
              <w:r w:rsidRPr="00316A9D" w:rsidR="00F76B5D">
                <w:rPr>
                  <w:i/>
                  <w:color w:val="0000FF"/>
                  <w:u w:val="single"/>
                </w:rPr>
                <w:t>David.Hoic@eesc.europa.eu</w:t>
              </w:r>
            </w:hyperlink>
            <w:r w:rsidRPr="00316A9D" w:rsidR="00F76B5D">
              <w:rPr>
                <w:i/>
              </w:rPr>
              <w:t xml:space="preserve"> </w:t>
            </w:r>
          </w:p>
        </w:tc>
      </w:tr>
    </w:tbl>
    <w:p w:rsidRPr="00316A9D" w:rsidR="003D2CA9" w:rsidRDefault="003D2CA9" w14:paraId="16A9CDBB" w14:textId="0B4635B6">
      <w:pPr>
        <w:spacing w:after="160" w:line="259" w:lineRule="auto"/>
        <w:jc w:val="left"/>
      </w:pPr>
      <w:r w:rsidRPr="00316A9D">
        <w:br w:type="page"/>
      </w:r>
    </w:p>
    <w:p w:rsidRPr="00316A9D" w:rsidR="00895853" w:rsidP="00401E8F" w:rsidRDefault="00895853" w14:paraId="1C46B2C3" w14:textId="7E834008">
      <w:pPr>
        <w:pStyle w:val="Heading1"/>
        <w:tabs>
          <w:tab w:val="clear" w:pos="440"/>
          <w:tab w:val="left" w:pos="567"/>
        </w:tabs>
        <w:ind w:left="567" w:hanging="567"/>
        <w:rPr>
          <w:b/>
          <w:bCs/>
        </w:rPr>
      </w:pPr>
      <w:bookmarkStart w:name="_Toc166847138" w:id="6"/>
      <w:bookmarkStart w:name="_Toc166851137" w:id="7"/>
      <w:bookmarkEnd w:id="6"/>
      <w:r w:rsidRPr="00316A9D">
        <w:rPr>
          <w:b/>
        </w:rPr>
        <w:lastRenderedPageBreak/>
        <w:t>TRASPORTI, ENERGIA, INFRASTRUTTURE, SOCIETÀ DELL'INFORMAZIONE</w:t>
      </w:r>
      <w:bookmarkEnd w:id="7"/>
    </w:p>
    <w:p w:rsidRPr="00316A9D" w:rsidR="00895853" w:rsidP="00895853" w:rsidRDefault="00895853" w14:paraId="0C3C6E18" w14:textId="05583383"/>
    <w:p w:rsidRPr="00316A9D" w:rsidR="00E20D7C" w:rsidP="00401E8F" w:rsidRDefault="003A440F" w14:paraId="0801A5C2" w14:textId="38DB7AF6">
      <w:pPr>
        <w:widowControl w:val="0"/>
        <w:numPr>
          <w:ilvl w:val="0"/>
          <w:numId w:val="25"/>
        </w:numPr>
        <w:overflowPunct w:val="0"/>
        <w:autoSpaceDE w:val="0"/>
        <w:autoSpaceDN w:val="0"/>
        <w:adjustRightInd w:val="0"/>
        <w:ind w:left="567" w:hanging="567"/>
        <w:textAlignment w:val="baseline"/>
        <w:rPr>
          <w:bCs/>
          <w:iCs/>
          <w:sz w:val="28"/>
          <w:szCs w:val="28"/>
        </w:rPr>
      </w:pPr>
      <w:hyperlink w:history="1" r:id="rId49">
        <w:r w:rsidRPr="00316A9D" w:rsidR="008772F9">
          <w:rPr>
            <w:b/>
            <w:i/>
            <w:color w:val="0000FF"/>
            <w:sz w:val="28"/>
            <w:u w:val="single"/>
          </w:rPr>
          <w:t>Servizi armonizzati di informazione fluviale – revisione delle norme dell'UE</w:t>
        </w:r>
      </w:hyperlink>
    </w:p>
    <w:p w:rsidRPr="00316A9D" w:rsidR="00E20D7C" w:rsidP="00E20D7C" w:rsidRDefault="00E20D7C" w14:paraId="4240B035" w14:textId="3AFED573">
      <w:pPr>
        <w:tabs>
          <w:tab w:val="center" w:pos="284"/>
        </w:tabs>
        <w:overflowPunct w:val="0"/>
        <w:autoSpaceDE w:val="0"/>
        <w:autoSpaceDN w:val="0"/>
        <w:adjustRightInd w:val="0"/>
        <w:ind w:left="266" w:hanging="266"/>
        <w:textAlignment w:val="baseline"/>
        <w:rPr>
          <w:b/>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25"/>
      </w:tblGrid>
      <w:tr w:rsidRPr="00316A9D" w:rsidR="00E20D7C" w:rsidTr="009839A2" w14:paraId="42A73C1E" w14:textId="77777777">
        <w:tc>
          <w:tcPr>
            <w:tcW w:w="1701" w:type="dxa"/>
          </w:tcPr>
          <w:p w:rsidRPr="00316A9D" w:rsidR="00E20D7C" w:rsidP="00E20D7C" w:rsidRDefault="003D1AF1" w14:paraId="46B4CBF4" w14:textId="7FE8BA3A">
            <w:pPr>
              <w:tabs>
                <w:tab w:val="center" w:pos="284"/>
              </w:tabs>
              <w:overflowPunct w:val="0"/>
              <w:autoSpaceDE w:val="0"/>
              <w:autoSpaceDN w:val="0"/>
              <w:adjustRightInd w:val="0"/>
              <w:ind w:left="266" w:hanging="266"/>
              <w:textAlignment w:val="baseline"/>
              <w:rPr>
                <w:b/>
              </w:rPr>
            </w:pPr>
            <w:r w:rsidRPr="00316A9D">
              <w:rPr>
                <w:b/>
              </w:rPr>
              <w:t>Relatore</w:t>
            </w:r>
          </w:p>
        </w:tc>
        <w:tc>
          <w:tcPr>
            <w:tcW w:w="7225" w:type="dxa"/>
          </w:tcPr>
          <w:p w:rsidRPr="00316A9D" w:rsidR="00E20D7C" w:rsidP="00E20D7C" w:rsidRDefault="00E20D7C" w14:paraId="21011C4B" w14:textId="77777777">
            <w:pPr>
              <w:tabs>
                <w:tab w:val="center" w:pos="284"/>
              </w:tabs>
              <w:overflowPunct w:val="0"/>
              <w:autoSpaceDE w:val="0"/>
              <w:autoSpaceDN w:val="0"/>
              <w:adjustRightInd w:val="0"/>
              <w:ind w:left="266" w:hanging="266"/>
              <w:textAlignment w:val="baseline"/>
            </w:pPr>
            <w:r w:rsidRPr="00316A9D">
              <w:t>Mateusz SZYMAŃSKI (Lavoratori - PL)</w:t>
            </w:r>
          </w:p>
        </w:tc>
      </w:tr>
      <w:tr w:rsidRPr="00316A9D" w:rsidR="00E20D7C" w:rsidTr="00AA5F9C" w14:paraId="1384FF52" w14:textId="77777777">
        <w:trPr>
          <w:trHeight w:val="435"/>
        </w:trPr>
        <w:tc>
          <w:tcPr>
            <w:tcW w:w="8926" w:type="dxa"/>
            <w:gridSpan w:val="2"/>
          </w:tcPr>
          <w:p w:rsidRPr="00316A9D" w:rsidR="00E20D7C" w:rsidP="00E20D7C" w:rsidRDefault="00E20D7C" w14:paraId="24BA20B1" w14:textId="77777777">
            <w:pPr>
              <w:tabs>
                <w:tab w:val="center" w:pos="284"/>
              </w:tabs>
              <w:overflowPunct w:val="0"/>
              <w:autoSpaceDE w:val="0"/>
              <w:autoSpaceDN w:val="0"/>
              <w:adjustRightInd w:val="0"/>
              <w:spacing w:line="160" w:lineRule="exact"/>
              <w:ind w:left="266" w:hanging="266"/>
              <w:textAlignment w:val="baseline"/>
            </w:pPr>
          </w:p>
        </w:tc>
      </w:tr>
      <w:tr w:rsidRPr="00316A9D" w:rsidR="00E20D7C" w:rsidTr="009839A2" w14:paraId="4946EA39" w14:textId="77777777">
        <w:tc>
          <w:tcPr>
            <w:tcW w:w="1701" w:type="dxa"/>
            <w:vMerge w:val="restart"/>
          </w:tcPr>
          <w:p w:rsidRPr="00316A9D" w:rsidR="00E20D7C" w:rsidP="00E20D7C" w:rsidRDefault="00E20D7C" w14:paraId="7043982C" w14:textId="77777777">
            <w:pPr>
              <w:tabs>
                <w:tab w:val="center" w:pos="284"/>
              </w:tabs>
              <w:overflowPunct w:val="0"/>
              <w:autoSpaceDE w:val="0"/>
              <w:autoSpaceDN w:val="0"/>
              <w:adjustRightInd w:val="0"/>
              <w:ind w:left="266" w:hanging="266"/>
              <w:textAlignment w:val="baseline"/>
              <w:rPr>
                <w:b/>
              </w:rPr>
            </w:pPr>
            <w:r w:rsidRPr="00316A9D">
              <w:rPr>
                <w:b/>
              </w:rPr>
              <w:t>Riferimenti</w:t>
            </w:r>
          </w:p>
        </w:tc>
        <w:tc>
          <w:tcPr>
            <w:tcW w:w="7225" w:type="dxa"/>
          </w:tcPr>
          <w:p w:rsidRPr="00316A9D" w:rsidR="00BB3421" w:rsidP="00E20D7C" w:rsidRDefault="00E20D7C" w14:paraId="3439B7D2" w14:textId="570907A2">
            <w:pPr>
              <w:tabs>
                <w:tab w:val="center" w:pos="284"/>
              </w:tabs>
              <w:overflowPunct w:val="0"/>
              <w:autoSpaceDE w:val="0"/>
              <w:autoSpaceDN w:val="0"/>
              <w:adjustRightInd w:val="0"/>
              <w:ind w:left="266" w:hanging="266"/>
              <w:textAlignment w:val="baseline"/>
            </w:pPr>
            <w:r w:rsidRPr="00316A9D">
              <w:t xml:space="preserve">COM(2024) 33 final </w:t>
            </w:r>
          </w:p>
          <w:p w:rsidRPr="00316A9D" w:rsidR="00E20D7C" w:rsidP="00E20D7C" w:rsidRDefault="00E20D7C" w14:paraId="6C31B057" w14:textId="337D38C9">
            <w:pPr>
              <w:tabs>
                <w:tab w:val="center" w:pos="284"/>
              </w:tabs>
              <w:overflowPunct w:val="0"/>
              <w:autoSpaceDE w:val="0"/>
              <w:autoSpaceDN w:val="0"/>
              <w:adjustRightInd w:val="0"/>
              <w:ind w:left="266" w:hanging="266"/>
              <w:textAlignment w:val="baseline"/>
            </w:pPr>
            <w:r w:rsidRPr="00316A9D">
              <w:t>COM(2024) 59 final</w:t>
            </w:r>
          </w:p>
        </w:tc>
      </w:tr>
      <w:tr w:rsidRPr="00316A9D" w:rsidR="00E20D7C" w:rsidTr="009839A2" w14:paraId="119C145D" w14:textId="77777777">
        <w:tc>
          <w:tcPr>
            <w:tcW w:w="1701" w:type="dxa"/>
            <w:vMerge/>
          </w:tcPr>
          <w:p w:rsidRPr="00316A9D" w:rsidR="00E20D7C" w:rsidP="00E20D7C" w:rsidRDefault="00E20D7C" w14:paraId="409466D9" w14:textId="77777777">
            <w:pPr>
              <w:tabs>
                <w:tab w:val="center" w:pos="284"/>
              </w:tabs>
              <w:overflowPunct w:val="0"/>
              <w:autoSpaceDE w:val="0"/>
              <w:autoSpaceDN w:val="0"/>
              <w:adjustRightInd w:val="0"/>
              <w:ind w:left="266" w:hanging="266"/>
              <w:textAlignment w:val="baseline"/>
              <w:rPr>
                <w:b/>
              </w:rPr>
            </w:pPr>
          </w:p>
        </w:tc>
        <w:tc>
          <w:tcPr>
            <w:tcW w:w="7225" w:type="dxa"/>
          </w:tcPr>
          <w:p w:rsidRPr="00316A9D" w:rsidR="00E20D7C" w:rsidP="00E20D7C" w:rsidRDefault="00E20D7C" w14:paraId="183A5A04" w14:textId="77777777">
            <w:pPr>
              <w:tabs>
                <w:tab w:val="center" w:pos="284"/>
              </w:tabs>
              <w:overflowPunct w:val="0"/>
              <w:autoSpaceDE w:val="0"/>
              <w:autoSpaceDN w:val="0"/>
              <w:adjustRightInd w:val="0"/>
              <w:ind w:left="266" w:hanging="266"/>
              <w:textAlignment w:val="baseline"/>
            </w:pPr>
            <w:r w:rsidRPr="00316A9D">
              <w:t>EESC-2024-00722-00-00-AC-TRA</w:t>
            </w:r>
          </w:p>
        </w:tc>
      </w:tr>
    </w:tbl>
    <w:p w:rsidRPr="00316A9D" w:rsidR="00E20D7C" w:rsidP="00E20D7C" w:rsidRDefault="00E20D7C" w14:paraId="2BC5DD26" w14:textId="77777777">
      <w:pPr>
        <w:tabs>
          <w:tab w:val="center" w:pos="284"/>
        </w:tabs>
        <w:overflowPunct w:val="0"/>
        <w:autoSpaceDE w:val="0"/>
        <w:autoSpaceDN w:val="0"/>
        <w:adjustRightInd w:val="0"/>
        <w:ind w:left="266" w:hanging="266"/>
        <w:textAlignment w:val="baseline"/>
      </w:pPr>
    </w:p>
    <w:p w:rsidRPr="00316A9D" w:rsidR="00E20D7C" w:rsidP="00E20D7C" w:rsidRDefault="00E20D7C" w14:paraId="60C1B878" w14:textId="77777777">
      <w:pPr>
        <w:keepNext/>
        <w:keepLines/>
        <w:tabs>
          <w:tab w:val="center" w:pos="284"/>
        </w:tabs>
        <w:overflowPunct w:val="0"/>
        <w:autoSpaceDE w:val="0"/>
        <w:autoSpaceDN w:val="0"/>
        <w:adjustRightInd w:val="0"/>
        <w:ind w:left="266" w:hanging="266"/>
        <w:textAlignment w:val="baseline"/>
        <w:rPr>
          <w:b/>
        </w:rPr>
      </w:pPr>
      <w:r w:rsidRPr="00316A9D">
        <w:rPr>
          <w:b/>
        </w:rPr>
        <w:t>Punti principali</w:t>
      </w:r>
    </w:p>
    <w:p w:rsidRPr="00316A9D" w:rsidR="00E20D7C" w:rsidP="00E20D7C" w:rsidRDefault="00E20D7C" w14:paraId="02CEC03E" w14:textId="77777777">
      <w:pPr>
        <w:keepNext/>
        <w:keepLines/>
        <w:tabs>
          <w:tab w:val="center" w:pos="284"/>
        </w:tabs>
        <w:overflowPunct w:val="0"/>
        <w:autoSpaceDE w:val="0"/>
        <w:autoSpaceDN w:val="0"/>
        <w:adjustRightInd w:val="0"/>
        <w:ind w:left="266" w:hanging="266"/>
        <w:textAlignment w:val="baseline"/>
        <w:rPr>
          <w:b/>
        </w:rPr>
      </w:pPr>
    </w:p>
    <w:p w:rsidRPr="00316A9D" w:rsidR="00E20D7C" w:rsidP="00E20D7C" w:rsidRDefault="00E20D7C" w14:paraId="50B1CC89" w14:textId="77777777">
      <w:pPr>
        <w:overflowPunct w:val="0"/>
        <w:autoSpaceDE w:val="0"/>
        <w:autoSpaceDN w:val="0"/>
        <w:adjustRightInd w:val="0"/>
        <w:textAlignment w:val="baseline"/>
        <w:rPr>
          <w:bCs/>
          <w:iCs/>
        </w:rPr>
      </w:pPr>
      <w:r w:rsidRPr="00316A9D">
        <w:t>Il CESE:</w:t>
      </w:r>
    </w:p>
    <w:p w:rsidRPr="00316A9D" w:rsidR="00E20D7C" w:rsidP="00E20D7C" w:rsidRDefault="00E20D7C" w14:paraId="50007E96" w14:textId="77777777">
      <w:pPr>
        <w:overflowPunct w:val="0"/>
        <w:autoSpaceDE w:val="0"/>
        <w:autoSpaceDN w:val="0"/>
        <w:adjustRightInd w:val="0"/>
        <w:textAlignment w:val="baseline"/>
        <w:rPr>
          <w:bCs/>
          <w:iCs/>
        </w:rPr>
      </w:pPr>
    </w:p>
    <w:p w:rsidRPr="00316A9D" w:rsidR="00E20D7C" w:rsidP="00AA5F9C" w:rsidRDefault="00E20D7C" w14:paraId="3E0510AA" w14:textId="77777777">
      <w:pPr>
        <w:pStyle w:val="ListParagraph"/>
        <w:numPr>
          <w:ilvl w:val="0"/>
          <w:numId w:val="63"/>
        </w:numPr>
        <w:overflowPunct w:val="0"/>
        <w:autoSpaceDE w:val="0"/>
        <w:autoSpaceDN w:val="0"/>
        <w:adjustRightInd w:val="0"/>
        <w:ind w:left="284" w:hanging="284"/>
        <w:textAlignment w:val="baseline"/>
        <w:outlineLvl w:val="1"/>
        <w:rPr>
          <w:szCs w:val="20"/>
        </w:rPr>
      </w:pPr>
      <w:r w:rsidRPr="00316A9D">
        <w:t xml:space="preserve">ritiene che non soltanto in questo momento, ma anche in futuro, i </w:t>
      </w:r>
      <w:r w:rsidRPr="00316A9D">
        <w:rPr>
          <w:b/>
        </w:rPr>
        <w:t>servizi d'informazione fluviale (RIS)</w:t>
      </w:r>
      <w:r w:rsidRPr="00316A9D">
        <w:t xml:space="preserve"> in Europa </w:t>
      </w:r>
      <w:r w:rsidRPr="00316A9D">
        <w:rPr>
          <w:b/>
        </w:rPr>
        <w:t>dovrebbero perseguire tre obiettivi</w:t>
      </w:r>
      <w:r w:rsidRPr="00316A9D">
        <w:t>:</w:t>
      </w:r>
    </w:p>
    <w:p w:rsidRPr="00316A9D" w:rsidR="00E20D7C" w:rsidP="00AA5F9C" w:rsidRDefault="00E20D7C" w14:paraId="635D313B" w14:textId="77777777">
      <w:pPr>
        <w:numPr>
          <w:ilvl w:val="0"/>
          <w:numId w:val="36"/>
        </w:numPr>
        <w:overflowPunct w:val="0"/>
        <w:autoSpaceDE w:val="0"/>
        <w:autoSpaceDN w:val="0"/>
        <w:adjustRightInd w:val="0"/>
        <w:ind w:left="567" w:hanging="283"/>
        <w:textAlignment w:val="baseline"/>
        <w:outlineLvl w:val="1"/>
        <w:rPr>
          <w:szCs w:val="20"/>
        </w:rPr>
      </w:pPr>
      <w:r w:rsidRPr="00316A9D">
        <w:rPr>
          <w:b/>
        </w:rPr>
        <w:t>garantire la sicurezza</w:t>
      </w:r>
      <w:r w:rsidRPr="00316A9D">
        <w:t>,</w:t>
      </w:r>
    </w:p>
    <w:p w:rsidRPr="00316A9D" w:rsidR="00E20D7C" w:rsidP="00AA5F9C" w:rsidRDefault="00E20D7C" w14:paraId="09369EB8" w14:textId="77777777">
      <w:pPr>
        <w:numPr>
          <w:ilvl w:val="0"/>
          <w:numId w:val="36"/>
        </w:numPr>
        <w:overflowPunct w:val="0"/>
        <w:autoSpaceDE w:val="0"/>
        <w:autoSpaceDN w:val="0"/>
        <w:adjustRightInd w:val="0"/>
        <w:ind w:left="567" w:hanging="283"/>
        <w:textAlignment w:val="baseline"/>
        <w:outlineLvl w:val="1"/>
        <w:rPr>
          <w:szCs w:val="20"/>
        </w:rPr>
      </w:pPr>
      <w:r w:rsidRPr="00316A9D">
        <w:rPr>
          <w:b/>
        </w:rPr>
        <w:t>assicurare la sostenibilità</w:t>
      </w:r>
      <w:r w:rsidRPr="00316A9D">
        <w:t>, e</w:t>
      </w:r>
    </w:p>
    <w:p w:rsidRPr="00316A9D" w:rsidR="00E20D7C" w:rsidP="00AA5F9C" w:rsidRDefault="00E20D7C" w14:paraId="0F73BD1B" w14:textId="77777777">
      <w:pPr>
        <w:numPr>
          <w:ilvl w:val="0"/>
          <w:numId w:val="36"/>
        </w:numPr>
        <w:overflowPunct w:val="0"/>
        <w:autoSpaceDE w:val="0"/>
        <w:autoSpaceDN w:val="0"/>
        <w:adjustRightInd w:val="0"/>
        <w:ind w:left="567" w:hanging="283"/>
        <w:textAlignment w:val="baseline"/>
        <w:outlineLvl w:val="1"/>
        <w:rPr>
          <w:szCs w:val="20"/>
        </w:rPr>
      </w:pPr>
      <w:r w:rsidRPr="00316A9D">
        <w:rPr>
          <w:b/>
        </w:rPr>
        <w:t>consentire l'integrazione con diversi modi di trasporto</w:t>
      </w:r>
      <w:r w:rsidRPr="00316A9D">
        <w:t>;</w:t>
      </w:r>
    </w:p>
    <w:p w:rsidRPr="00316A9D" w:rsidR="00E20D7C" w:rsidP="00AA5F9C" w:rsidRDefault="00E20D7C" w14:paraId="06AA0AC5" w14:textId="77777777">
      <w:pPr>
        <w:numPr>
          <w:ilvl w:val="0"/>
          <w:numId w:val="64"/>
        </w:numPr>
        <w:overflowPunct w:val="0"/>
        <w:autoSpaceDE w:val="0"/>
        <w:autoSpaceDN w:val="0"/>
        <w:adjustRightInd w:val="0"/>
        <w:ind w:left="284" w:hanging="284"/>
        <w:textAlignment w:val="baseline"/>
        <w:outlineLvl w:val="1"/>
        <w:rPr>
          <w:szCs w:val="20"/>
        </w:rPr>
      </w:pPr>
      <w:r w:rsidRPr="00316A9D">
        <w:t xml:space="preserve">è pertanto del parere che, </w:t>
      </w:r>
      <w:r w:rsidRPr="00316A9D">
        <w:rPr>
          <w:b/>
        </w:rPr>
        <w:t>per essere in grado di adattarsi all'evoluzione delle sfide e delle opportunità</w:t>
      </w:r>
      <w:r w:rsidRPr="00316A9D">
        <w:t xml:space="preserve">, i sistemi pertinenti dovrebbero essere </w:t>
      </w:r>
      <w:r w:rsidRPr="00316A9D">
        <w:rPr>
          <w:b/>
        </w:rPr>
        <w:t>compatibili con i vari modi di trasporto ed essere di facile utilizzo</w:t>
      </w:r>
      <w:r w:rsidRPr="00316A9D">
        <w:t>;</w:t>
      </w:r>
    </w:p>
    <w:p w:rsidRPr="00316A9D" w:rsidR="00E20D7C" w:rsidP="00AA5F9C" w:rsidRDefault="00E20D7C" w14:paraId="78156E4C" w14:textId="77777777">
      <w:pPr>
        <w:numPr>
          <w:ilvl w:val="0"/>
          <w:numId w:val="64"/>
        </w:numPr>
        <w:overflowPunct w:val="0"/>
        <w:autoSpaceDE w:val="0"/>
        <w:autoSpaceDN w:val="0"/>
        <w:adjustRightInd w:val="0"/>
        <w:ind w:left="284" w:hanging="284"/>
        <w:textAlignment w:val="baseline"/>
        <w:outlineLvl w:val="1"/>
        <w:rPr>
          <w:szCs w:val="20"/>
        </w:rPr>
      </w:pPr>
      <w:r w:rsidRPr="00316A9D">
        <w:t xml:space="preserve">il CESE considera </w:t>
      </w:r>
      <w:r w:rsidRPr="00316A9D">
        <w:rPr>
          <w:b/>
        </w:rPr>
        <w:t>essenziale creare consapevolezza circa le nuove tecnologie digitali nel trasporto per vie navigabili interne, e insegnare agli interessati come utilizzarle</w:t>
      </w:r>
      <w:r w:rsidRPr="00316A9D">
        <w:t>. Bisogna garantire che gli addetti siano coinvolti nelle discussioni sulle modalità di attuazione dei RIS.</w:t>
      </w:r>
    </w:p>
    <w:p w:rsidRPr="00316A9D" w:rsidR="00E20D7C" w:rsidP="00E20D7C" w:rsidRDefault="00E20D7C" w14:paraId="69353FF6" w14:textId="77777777">
      <w:pPr>
        <w:widowControl w:val="0"/>
        <w:overflowPunct w:val="0"/>
        <w:autoSpaceDE w:val="0"/>
        <w:autoSpaceDN w:val="0"/>
        <w:adjustRightInd w:val="0"/>
        <w:ind w:left="709"/>
        <w:textAlignment w:val="baseline"/>
        <w:rPr>
          <w:rFonts w:asciiTheme="minorHAnsi" w:hAnsiTheme="minorHAnsi"/>
          <w:szCs w:val="20"/>
        </w:rPr>
      </w:pPr>
    </w:p>
    <w:p w:rsidRPr="00316A9D" w:rsidR="00E20D7C" w:rsidP="00E20D7C" w:rsidRDefault="00E20D7C" w14:paraId="3AE39F01" w14:textId="77777777">
      <w:pPr>
        <w:widowControl w:val="0"/>
        <w:overflowPunct w:val="0"/>
        <w:autoSpaceDE w:val="0"/>
        <w:autoSpaceDN w:val="0"/>
        <w:adjustRightInd w:val="0"/>
        <w:ind w:left="709"/>
        <w:textAlignment w:val="baseline"/>
        <w:rPr>
          <w:szCs w:val="20"/>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16A9D" w:rsidR="00E20D7C" w:rsidTr="009839A2" w14:paraId="35DBB39D" w14:textId="77777777">
        <w:tc>
          <w:tcPr>
            <w:tcW w:w="1418" w:type="dxa"/>
          </w:tcPr>
          <w:p w:rsidRPr="00316A9D" w:rsidR="00E20D7C" w:rsidP="00E20D7C" w:rsidRDefault="00E20D7C" w14:paraId="4957ACA6" w14:textId="77777777">
            <w:pPr>
              <w:overflowPunct w:val="0"/>
              <w:autoSpaceDE w:val="0"/>
              <w:autoSpaceDN w:val="0"/>
              <w:adjustRightInd w:val="0"/>
              <w:spacing w:line="240" w:lineRule="auto"/>
              <w:textAlignment w:val="baseline"/>
              <w:rPr>
                <w:i/>
              </w:rPr>
            </w:pPr>
            <w:r w:rsidRPr="00316A9D">
              <w:rPr>
                <w:b/>
                <w:i/>
              </w:rPr>
              <w:t>Contatto</w:t>
            </w:r>
          </w:p>
        </w:tc>
        <w:tc>
          <w:tcPr>
            <w:tcW w:w="5670" w:type="dxa"/>
          </w:tcPr>
          <w:p w:rsidRPr="00316A9D" w:rsidR="00E20D7C" w:rsidP="00E20D7C" w:rsidRDefault="00E20D7C" w14:paraId="43873A7D" w14:textId="0DCC9073">
            <w:pPr>
              <w:overflowPunct w:val="0"/>
              <w:autoSpaceDE w:val="0"/>
              <w:autoSpaceDN w:val="0"/>
              <w:adjustRightInd w:val="0"/>
              <w:spacing w:line="240" w:lineRule="auto"/>
              <w:textAlignment w:val="baseline"/>
              <w:rPr>
                <w:i/>
              </w:rPr>
            </w:pPr>
            <w:r w:rsidRPr="00316A9D">
              <w:rPr>
                <w:i/>
              </w:rPr>
              <w:t>António RIBEIRO PEREIRA</w:t>
            </w:r>
          </w:p>
        </w:tc>
      </w:tr>
      <w:tr w:rsidRPr="00316A9D" w:rsidR="00E20D7C" w:rsidTr="009839A2" w14:paraId="7811314E" w14:textId="77777777">
        <w:tc>
          <w:tcPr>
            <w:tcW w:w="1418" w:type="dxa"/>
          </w:tcPr>
          <w:p w:rsidRPr="00316A9D" w:rsidR="00E20D7C" w:rsidP="00E20D7C" w:rsidRDefault="00E20D7C" w14:paraId="48865E95" w14:textId="77777777">
            <w:pPr>
              <w:overflowPunct w:val="0"/>
              <w:autoSpaceDE w:val="0"/>
              <w:autoSpaceDN w:val="0"/>
              <w:adjustRightInd w:val="0"/>
              <w:spacing w:line="240" w:lineRule="auto"/>
              <w:textAlignment w:val="baseline"/>
              <w:rPr>
                <w:i/>
              </w:rPr>
            </w:pPr>
            <w:r w:rsidRPr="00316A9D">
              <w:rPr>
                <w:i/>
              </w:rPr>
              <w:t>Tel.</w:t>
            </w:r>
          </w:p>
        </w:tc>
        <w:tc>
          <w:tcPr>
            <w:tcW w:w="5670" w:type="dxa"/>
          </w:tcPr>
          <w:p w:rsidRPr="00316A9D" w:rsidR="00E20D7C" w:rsidP="00E20D7C" w:rsidRDefault="00E20D7C" w14:paraId="65E75E15" w14:textId="77777777">
            <w:pPr>
              <w:overflowPunct w:val="0"/>
              <w:autoSpaceDE w:val="0"/>
              <w:autoSpaceDN w:val="0"/>
              <w:adjustRightInd w:val="0"/>
              <w:spacing w:line="240" w:lineRule="auto"/>
              <w:textAlignment w:val="baseline"/>
              <w:rPr>
                <w:i/>
              </w:rPr>
            </w:pPr>
            <w:r w:rsidRPr="00316A9D">
              <w:rPr>
                <w:i/>
              </w:rPr>
              <w:t>+32 25469363</w:t>
            </w:r>
          </w:p>
        </w:tc>
      </w:tr>
      <w:tr w:rsidRPr="00316A9D" w:rsidR="00E20D7C" w:rsidTr="009839A2" w14:paraId="1ECA36FC" w14:textId="77777777">
        <w:tc>
          <w:tcPr>
            <w:tcW w:w="1418" w:type="dxa"/>
          </w:tcPr>
          <w:p w:rsidRPr="00316A9D" w:rsidR="00E20D7C" w:rsidP="00E20D7C" w:rsidRDefault="003D1AF1" w14:paraId="469D69D5" w14:textId="479063DD">
            <w:pPr>
              <w:overflowPunct w:val="0"/>
              <w:autoSpaceDE w:val="0"/>
              <w:autoSpaceDN w:val="0"/>
              <w:adjustRightInd w:val="0"/>
              <w:spacing w:line="240" w:lineRule="auto"/>
              <w:textAlignment w:val="baseline"/>
              <w:rPr>
                <w:i/>
              </w:rPr>
            </w:pPr>
            <w:r w:rsidRPr="00316A9D">
              <w:rPr>
                <w:i/>
              </w:rPr>
              <w:t>E</w:t>
            </w:r>
            <w:r w:rsidRPr="00316A9D" w:rsidR="00BB3421">
              <w:rPr>
                <w:i/>
              </w:rPr>
              <w:t>-mail</w:t>
            </w:r>
          </w:p>
        </w:tc>
        <w:tc>
          <w:tcPr>
            <w:tcW w:w="5670" w:type="dxa"/>
          </w:tcPr>
          <w:p w:rsidRPr="00316A9D" w:rsidR="00E20D7C" w:rsidP="00E20D7C" w:rsidRDefault="003A440F" w14:paraId="1FF1EAD2" w14:textId="77777777">
            <w:pPr>
              <w:overflowPunct w:val="0"/>
              <w:autoSpaceDE w:val="0"/>
              <w:autoSpaceDN w:val="0"/>
              <w:adjustRightInd w:val="0"/>
              <w:spacing w:line="240" w:lineRule="auto"/>
              <w:textAlignment w:val="baseline"/>
              <w:rPr>
                <w:i/>
              </w:rPr>
            </w:pPr>
            <w:hyperlink w:history="1" r:id="rId50">
              <w:r w:rsidRPr="00316A9D" w:rsidR="00F76B5D">
                <w:rPr>
                  <w:i/>
                  <w:color w:val="0000FF"/>
                  <w:u w:val="single"/>
                </w:rPr>
                <w:t>Antonio.RibeiroPereira@eesc.europa.eu</w:t>
              </w:r>
            </w:hyperlink>
            <w:r w:rsidRPr="00316A9D" w:rsidR="00F76B5D">
              <w:rPr>
                <w:i/>
              </w:rPr>
              <w:t xml:space="preserve"> </w:t>
            </w:r>
          </w:p>
        </w:tc>
      </w:tr>
    </w:tbl>
    <w:p w:rsidRPr="00316A9D" w:rsidR="00895853" w:rsidRDefault="00895853" w14:paraId="79A43486" w14:textId="77777777">
      <w:pPr>
        <w:spacing w:after="160" w:line="259" w:lineRule="auto"/>
        <w:jc w:val="left"/>
      </w:pPr>
      <w:r w:rsidRPr="00316A9D">
        <w:br w:type="page"/>
      </w:r>
    </w:p>
    <w:p w:rsidRPr="00316A9D" w:rsidR="00A1771A" w:rsidP="00401E8F" w:rsidRDefault="003A440F" w14:paraId="0FFB7519" w14:textId="7F577B37">
      <w:pPr>
        <w:widowControl w:val="0"/>
        <w:numPr>
          <w:ilvl w:val="0"/>
          <w:numId w:val="25"/>
        </w:numPr>
        <w:overflowPunct w:val="0"/>
        <w:autoSpaceDE w:val="0"/>
        <w:autoSpaceDN w:val="0"/>
        <w:adjustRightInd w:val="0"/>
        <w:ind w:left="567" w:hanging="567"/>
        <w:textAlignment w:val="baseline"/>
        <w:rPr>
          <w:sz w:val="20"/>
          <w:szCs w:val="20"/>
        </w:rPr>
      </w:pPr>
      <w:hyperlink w:history="1" r:id="rId51">
        <w:r w:rsidRPr="00316A9D" w:rsidR="008772F9">
          <w:rPr>
            <w:b/>
            <w:i/>
            <w:color w:val="0000FF"/>
            <w:sz w:val="28"/>
            <w:u w:val="single"/>
          </w:rPr>
          <w:t>Salvaguardare la democrazia dalla disinformazione</w:t>
        </w:r>
      </w:hyperlink>
    </w:p>
    <w:p w:rsidRPr="00316A9D" w:rsidR="00A1771A" w:rsidP="00A1771A" w:rsidRDefault="00A1771A" w14:paraId="3CC7FDC0" w14:textId="77777777">
      <w:pPr>
        <w:tabs>
          <w:tab w:val="center" w:pos="284"/>
        </w:tabs>
        <w:overflowPunct w:val="0"/>
        <w:autoSpaceDE w:val="0"/>
        <w:autoSpaceDN w:val="0"/>
        <w:adjustRightInd w:val="0"/>
        <w:ind w:left="266" w:hanging="266"/>
        <w:textAlignment w:val="baseline"/>
        <w:rPr>
          <w:b/>
          <w:sz w:val="16"/>
          <w:szCs w:val="16"/>
        </w:rPr>
      </w:pPr>
    </w:p>
    <w:tbl>
      <w:tblPr>
        <w:tblStyle w:val="TableGrid210"/>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6"/>
      </w:tblGrid>
      <w:tr w:rsidRPr="00316A9D" w:rsidR="00A1771A" w:rsidTr="009839A2" w14:paraId="596319A0" w14:textId="77777777">
        <w:tc>
          <w:tcPr>
            <w:tcW w:w="2235" w:type="dxa"/>
          </w:tcPr>
          <w:p w:rsidRPr="00316A9D" w:rsidR="00A1771A" w:rsidP="00A1771A" w:rsidRDefault="00A1771A" w14:paraId="5F5E7508" w14:textId="77777777">
            <w:pPr>
              <w:tabs>
                <w:tab w:val="center" w:pos="284"/>
              </w:tabs>
              <w:overflowPunct w:val="0"/>
              <w:autoSpaceDE w:val="0"/>
              <w:autoSpaceDN w:val="0"/>
              <w:adjustRightInd w:val="0"/>
              <w:ind w:left="266" w:hanging="266"/>
              <w:textAlignment w:val="baseline"/>
              <w:rPr>
                <w:b/>
              </w:rPr>
            </w:pPr>
            <w:r w:rsidRPr="00316A9D">
              <w:rPr>
                <w:b/>
              </w:rPr>
              <w:t>Relatori</w:t>
            </w:r>
          </w:p>
        </w:tc>
        <w:tc>
          <w:tcPr>
            <w:tcW w:w="6838" w:type="dxa"/>
          </w:tcPr>
          <w:p w:rsidRPr="00316A9D" w:rsidR="00A1771A" w:rsidP="00A1771A" w:rsidRDefault="00A1771A" w14:paraId="00621016" w14:textId="77777777">
            <w:pPr>
              <w:tabs>
                <w:tab w:val="center" w:pos="284"/>
              </w:tabs>
              <w:overflowPunct w:val="0"/>
              <w:autoSpaceDE w:val="0"/>
              <w:autoSpaceDN w:val="0"/>
              <w:adjustRightInd w:val="0"/>
              <w:ind w:left="266" w:hanging="266"/>
              <w:textAlignment w:val="baseline"/>
            </w:pPr>
            <w:r w:rsidRPr="00316A9D">
              <w:t>Carlos Manuel TRINDADE (Lavoratori - PT)</w:t>
            </w:r>
          </w:p>
          <w:p w:rsidRPr="00316A9D" w:rsidR="0057560E" w:rsidP="0057560E" w:rsidRDefault="0057560E" w14:paraId="4D0FC8A6" w14:textId="77777777">
            <w:pPr>
              <w:tabs>
                <w:tab w:val="center" w:pos="284"/>
              </w:tabs>
              <w:overflowPunct w:val="0"/>
              <w:autoSpaceDE w:val="0"/>
              <w:autoSpaceDN w:val="0"/>
              <w:adjustRightInd w:val="0"/>
              <w:ind w:left="266" w:hanging="266"/>
              <w:textAlignment w:val="baseline"/>
            </w:pPr>
            <w:r w:rsidRPr="00316A9D">
              <w:t>John COMER (Organizzazioni della società civile - IE)</w:t>
            </w:r>
          </w:p>
          <w:p w:rsidRPr="00316A9D" w:rsidR="0057560E" w:rsidP="00A1771A" w:rsidRDefault="0057560E" w14:paraId="6FC450F7" w14:textId="49D16024">
            <w:pPr>
              <w:tabs>
                <w:tab w:val="center" w:pos="284"/>
              </w:tabs>
              <w:overflowPunct w:val="0"/>
              <w:autoSpaceDE w:val="0"/>
              <w:autoSpaceDN w:val="0"/>
              <w:adjustRightInd w:val="0"/>
              <w:ind w:left="266" w:hanging="266"/>
              <w:textAlignment w:val="baseline"/>
            </w:pPr>
          </w:p>
        </w:tc>
      </w:tr>
      <w:tr w:rsidRPr="00316A9D" w:rsidR="00A1771A" w:rsidTr="009839A2" w14:paraId="7191F616" w14:textId="77777777">
        <w:tc>
          <w:tcPr>
            <w:tcW w:w="9073" w:type="dxa"/>
            <w:gridSpan w:val="2"/>
          </w:tcPr>
          <w:p w:rsidRPr="00316A9D" w:rsidR="00A1771A" w:rsidP="00A1771A" w:rsidRDefault="00A1771A" w14:paraId="49DAFFBE" w14:textId="77777777">
            <w:pPr>
              <w:tabs>
                <w:tab w:val="center" w:pos="284"/>
              </w:tabs>
              <w:overflowPunct w:val="0"/>
              <w:autoSpaceDE w:val="0"/>
              <w:autoSpaceDN w:val="0"/>
              <w:adjustRightInd w:val="0"/>
              <w:spacing w:line="160" w:lineRule="exact"/>
              <w:ind w:left="266" w:hanging="266"/>
              <w:textAlignment w:val="baseline"/>
            </w:pPr>
          </w:p>
        </w:tc>
      </w:tr>
      <w:tr w:rsidRPr="00316A9D" w:rsidR="00A1771A" w:rsidTr="009839A2" w14:paraId="76B2E31E" w14:textId="77777777">
        <w:tc>
          <w:tcPr>
            <w:tcW w:w="2235" w:type="dxa"/>
          </w:tcPr>
          <w:p w:rsidRPr="00316A9D" w:rsidR="00A1771A" w:rsidP="00A1771A" w:rsidRDefault="00A1771A" w14:paraId="079A9093" w14:textId="77777777">
            <w:pPr>
              <w:tabs>
                <w:tab w:val="center" w:pos="284"/>
              </w:tabs>
              <w:overflowPunct w:val="0"/>
              <w:autoSpaceDE w:val="0"/>
              <w:autoSpaceDN w:val="0"/>
              <w:adjustRightInd w:val="0"/>
              <w:ind w:left="266" w:hanging="266"/>
              <w:textAlignment w:val="baseline"/>
              <w:rPr>
                <w:b/>
              </w:rPr>
            </w:pPr>
            <w:r w:rsidRPr="00316A9D">
              <w:rPr>
                <w:b/>
              </w:rPr>
              <w:t>Riferimento</w:t>
            </w:r>
          </w:p>
        </w:tc>
        <w:tc>
          <w:tcPr>
            <w:tcW w:w="6838" w:type="dxa"/>
          </w:tcPr>
          <w:p w:rsidRPr="00316A9D" w:rsidR="00A1771A" w:rsidP="00A1771A" w:rsidRDefault="00A1771A" w14:paraId="4FA8FE24" w14:textId="77777777">
            <w:pPr>
              <w:tabs>
                <w:tab w:val="center" w:pos="0"/>
              </w:tabs>
              <w:overflowPunct w:val="0"/>
              <w:autoSpaceDE w:val="0"/>
              <w:autoSpaceDN w:val="0"/>
              <w:adjustRightInd w:val="0"/>
              <w:textAlignment w:val="baseline"/>
            </w:pPr>
            <w:r w:rsidRPr="00316A9D">
              <w:t>Parere d'iniziativa</w:t>
            </w:r>
          </w:p>
          <w:p w:rsidRPr="00316A9D" w:rsidR="00A1771A" w:rsidP="00A1771A" w:rsidRDefault="00A1771A" w14:paraId="212A8166" w14:textId="77777777">
            <w:pPr>
              <w:tabs>
                <w:tab w:val="center" w:pos="284"/>
              </w:tabs>
              <w:overflowPunct w:val="0"/>
              <w:autoSpaceDE w:val="0"/>
              <w:autoSpaceDN w:val="0"/>
              <w:adjustRightInd w:val="0"/>
              <w:ind w:left="266" w:hanging="266"/>
              <w:textAlignment w:val="baseline"/>
            </w:pPr>
            <w:r w:rsidRPr="00316A9D">
              <w:t>EESC-2024-00014-00-00-AC</w:t>
            </w:r>
          </w:p>
        </w:tc>
      </w:tr>
    </w:tbl>
    <w:p w:rsidRPr="00316A9D" w:rsidR="00A1771A" w:rsidP="00A1771A" w:rsidRDefault="00A1771A" w14:paraId="47BFF786" w14:textId="77777777">
      <w:pPr>
        <w:keepNext/>
        <w:keepLines/>
        <w:tabs>
          <w:tab w:val="center" w:pos="284"/>
        </w:tabs>
        <w:overflowPunct w:val="0"/>
        <w:autoSpaceDE w:val="0"/>
        <w:autoSpaceDN w:val="0"/>
        <w:adjustRightInd w:val="0"/>
        <w:ind w:left="266" w:hanging="266"/>
        <w:textAlignment w:val="baseline"/>
        <w:rPr>
          <w:b/>
        </w:rPr>
      </w:pPr>
      <w:r w:rsidRPr="00316A9D">
        <w:rPr>
          <w:b/>
        </w:rPr>
        <w:t>Punti principali</w:t>
      </w:r>
    </w:p>
    <w:p w:rsidRPr="00316A9D" w:rsidR="00A1771A" w:rsidP="00A1771A" w:rsidRDefault="00A1771A" w14:paraId="2A87B2D0" w14:textId="4E9F4CDB">
      <w:pPr>
        <w:keepNext/>
        <w:keepLines/>
        <w:tabs>
          <w:tab w:val="center" w:pos="284"/>
        </w:tabs>
        <w:overflowPunct w:val="0"/>
        <w:autoSpaceDE w:val="0"/>
        <w:autoSpaceDN w:val="0"/>
        <w:adjustRightInd w:val="0"/>
        <w:ind w:left="266" w:hanging="266"/>
        <w:textAlignment w:val="baseline"/>
        <w:rPr>
          <w:b/>
          <w:sz w:val="24"/>
          <w:szCs w:val="24"/>
        </w:rPr>
      </w:pPr>
    </w:p>
    <w:p w:rsidRPr="00316A9D" w:rsidR="00A1771A" w:rsidP="00A1771A" w:rsidRDefault="00A1771A" w14:paraId="32E394F4" w14:textId="77777777">
      <w:pPr>
        <w:overflowPunct w:val="0"/>
        <w:autoSpaceDE w:val="0"/>
        <w:autoSpaceDN w:val="0"/>
        <w:adjustRightInd w:val="0"/>
        <w:textAlignment w:val="baseline"/>
        <w:rPr>
          <w:bCs/>
          <w:iCs/>
        </w:rPr>
      </w:pPr>
      <w:r w:rsidRPr="00316A9D">
        <w:t>Il CESE:</w:t>
      </w:r>
    </w:p>
    <w:p w:rsidRPr="00316A9D" w:rsidR="00A1771A" w:rsidP="00A1771A" w:rsidRDefault="00A1771A" w14:paraId="5FD621BD" w14:textId="77777777">
      <w:pPr>
        <w:keepNext/>
        <w:keepLines/>
        <w:tabs>
          <w:tab w:val="center" w:pos="284"/>
        </w:tabs>
        <w:overflowPunct w:val="0"/>
        <w:autoSpaceDE w:val="0"/>
        <w:autoSpaceDN w:val="0"/>
        <w:adjustRightInd w:val="0"/>
        <w:ind w:left="266" w:hanging="266"/>
        <w:textAlignment w:val="baseline"/>
        <w:rPr>
          <w:b/>
          <w:sz w:val="16"/>
          <w:szCs w:val="16"/>
        </w:rPr>
      </w:pPr>
    </w:p>
    <w:p w:rsidRPr="00316A9D" w:rsidR="00A1771A" w:rsidP="00AA5F9C" w:rsidRDefault="00A1771A" w14:paraId="34D94C58" w14:textId="77777777">
      <w:pPr>
        <w:numPr>
          <w:ilvl w:val="0"/>
          <w:numId w:val="65"/>
        </w:numPr>
        <w:overflowPunct w:val="0"/>
        <w:autoSpaceDE w:val="0"/>
        <w:autoSpaceDN w:val="0"/>
        <w:adjustRightInd w:val="0"/>
        <w:ind w:left="284" w:hanging="284"/>
        <w:contextualSpacing/>
        <w:textAlignment w:val="baseline"/>
      </w:pPr>
      <w:r w:rsidRPr="00316A9D">
        <w:t>avverte le autorità europee che è necessario e urgente valutare i rischi di dipendenza che i social media e le piattaforme digitali provocano nei gruppi sociali vulnerabili e regolamentare l'uso commerciale dell'IA (intelligenza artificiale) e degli algoritmi;</w:t>
      </w:r>
    </w:p>
    <w:p w:rsidRPr="00316A9D" w:rsidR="00A1771A" w:rsidP="00AA5F9C" w:rsidRDefault="00A1771A" w14:paraId="0F52890A" w14:textId="77777777">
      <w:pPr>
        <w:numPr>
          <w:ilvl w:val="0"/>
          <w:numId w:val="65"/>
        </w:numPr>
        <w:overflowPunct w:val="0"/>
        <w:autoSpaceDE w:val="0"/>
        <w:autoSpaceDN w:val="0"/>
        <w:adjustRightInd w:val="0"/>
        <w:ind w:left="284" w:hanging="284"/>
        <w:contextualSpacing/>
        <w:textAlignment w:val="baseline"/>
      </w:pPr>
      <w:r w:rsidRPr="00316A9D">
        <w:t>suggerisce alle istituzioni dell'UE e a tutti gli Stati membri di impegnarsi per mettere in campo una strategia multifattoriale che rafforzi tutte le misure adottate in precedenza per combattere la disinformazione e impedisca che false identità create ad arte utilizzino le piattaforme digitali, e propone inoltre l'adozione di una serie di strumenti per promuovere la cooperazione tra mezzi di informazione nazionali, regionali e locali in Europa;</w:t>
      </w:r>
    </w:p>
    <w:p w:rsidRPr="00316A9D" w:rsidR="00A1771A" w:rsidP="00AA5F9C" w:rsidRDefault="00A1771A" w14:paraId="6C5FF988" w14:textId="77777777">
      <w:pPr>
        <w:numPr>
          <w:ilvl w:val="0"/>
          <w:numId w:val="65"/>
        </w:numPr>
        <w:overflowPunct w:val="0"/>
        <w:autoSpaceDE w:val="0"/>
        <w:autoSpaceDN w:val="0"/>
        <w:adjustRightInd w:val="0"/>
        <w:ind w:left="284" w:hanging="284"/>
        <w:contextualSpacing/>
        <w:textAlignment w:val="baseline"/>
      </w:pPr>
      <w:r w:rsidRPr="00316A9D">
        <w:t>chiede alla Commissione europea di valutare quali siano gli effetti delle normative in vigore applicate ai social media e alle piattaforme digitali in materia di disinformazione e di analizzare l'attuale livello di monetizzazione della disinformazione di cui beneficiano detti social media e piattaforme digitali;</w:t>
      </w:r>
    </w:p>
    <w:p w:rsidRPr="00316A9D" w:rsidR="00A1771A" w:rsidP="00AA5F9C" w:rsidRDefault="00A1771A" w14:paraId="38F4B963" w14:textId="77777777">
      <w:pPr>
        <w:numPr>
          <w:ilvl w:val="0"/>
          <w:numId w:val="65"/>
        </w:numPr>
        <w:overflowPunct w:val="0"/>
        <w:autoSpaceDE w:val="0"/>
        <w:autoSpaceDN w:val="0"/>
        <w:adjustRightInd w:val="0"/>
        <w:ind w:left="284" w:hanging="284"/>
        <w:contextualSpacing/>
        <w:textAlignment w:val="baseline"/>
      </w:pPr>
      <w:r w:rsidRPr="00316A9D">
        <w:t>chiede alla Commissione di elaborare un piano che garantisca la qualità delle informazioni a livello locale e regionale;</w:t>
      </w:r>
    </w:p>
    <w:p w:rsidRPr="00316A9D" w:rsidR="00A1771A" w:rsidP="00AA5F9C" w:rsidRDefault="00A1771A" w14:paraId="1F78E2DC" w14:textId="77777777">
      <w:pPr>
        <w:numPr>
          <w:ilvl w:val="0"/>
          <w:numId w:val="65"/>
        </w:numPr>
        <w:overflowPunct w:val="0"/>
        <w:autoSpaceDE w:val="0"/>
        <w:autoSpaceDN w:val="0"/>
        <w:adjustRightInd w:val="0"/>
        <w:spacing w:after="160" w:line="259" w:lineRule="auto"/>
        <w:ind w:left="284" w:hanging="284"/>
        <w:contextualSpacing/>
        <w:jc w:val="left"/>
        <w:textAlignment w:val="baseline"/>
      </w:pPr>
      <w:r w:rsidRPr="00316A9D">
        <w:t>chiede che il Servizio europeo per l'azione esterna (SEAE) sia dotato di risorse adeguate per contrastare e tenere sotto controllo le manipolazioni delle informazioni e le ingerenze da parte di attori stranieri;</w:t>
      </w:r>
    </w:p>
    <w:p w:rsidRPr="00316A9D" w:rsidR="00A1771A" w:rsidP="00AA5F9C" w:rsidRDefault="00A1771A" w14:paraId="7BA3C7DE" w14:textId="77777777">
      <w:pPr>
        <w:numPr>
          <w:ilvl w:val="0"/>
          <w:numId w:val="65"/>
        </w:numPr>
        <w:overflowPunct w:val="0"/>
        <w:autoSpaceDE w:val="0"/>
        <w:autoSpaceDN w:val="0"/>
        <w:adjustRightInd w:val="0"/>
        <w:spacing w:after="160" w:line="259" w:lineRule="auto"/>
        <w:ind w:left="284" w:hanging="284"/>
        <w:contextualSpacing/>
        <w:textAlignment w:val="baseline"/>
      </w:pPr>
      <w:r w:rsidRPr="00316A9D">
        <w:t>chiede di rafforzare l'Osservatorio europeo dei media digitali (</w:t>
      </w:r>
      <w:r w:rsidRPr="00316A9D">
        <w:rPr>
          <w:i/>
        </w:rPr>
        <w:t>European Digital Media Observatory</w:t>
      </w:r>
      <w:r w:rsidRPr="00316A9D">
        <w:t xml:space="preserve"> - EDMO) in modo che possa fungere da polo o centro per verificatori dei fatti (</w:t>
      </w:r>
      <w:r w:rsidRPr="00316A9D">
        <w:rPr>
          <w:i/>
        </w:rPr>
        <w:t>fact checker</w:t>
      </w:r>
      <w:r w:rsidRPr="00316A9D">
        <w:t>) indipendenti da qualsiasi autorità pubblica, con l'obiettivo di migliorare l'individuazione della disinformazione online e di dotare i cittadini delle capacità per reagirvi;</w:t>
      </w:r>
    </w:p>
    <w:p w:rsidRPr="00316A9D" w:rsidR="00A1771A" w:rsidP="00AA5F9C" w:rsidRDefault="00A1771A" w14:paraId="55378775" w14:textId="0DB407DD">
      <w:pPr>
        <w:numPr>
          <w:ilvl w:val="0"/>
          <w:numId w:val="65"/>
        </w:numPr>
        <w:overflowPunct w:val="0"/>
        <w:autoSpaceDE w:val="0"/>
        <w:autoSpaceDN w:val="0"/>
        <w:adjustRightInd w:val="0"/>
        <w:spacing w:after="160" w:line="259" w:lineRule="auto"/>
        <w:ind w:left="284" w:hanging="284"/>
        <w:contextualSpacing/>
        <w:textAlignment w:val="baseline"/>
      </w:pPr>
      <w:r w:rsidRPr="00316A9D">
        <w:t>sottolinea che un primo passo necessario per far sì che il pluralismo dei media non sia soggetto a rigorose regole di mercato è quello di considerare il giornalismo un "bene pubblico europeo", come proposto dall'</w:t>
      </w:r>
      <w:r w:rsidRPr="00316A9D" w:rsidR="003D1AF1">
        <w:t>UNESCO</w:t>
      </w:r>
      <w:r w:rsidRPr="00316A9D">
        <w:t>;</w:t>
      </w:r>
    </w:p>
    <w:p w:rsidRPr="00316A9D" w:rsidR="00A1771A" w:rsidP="00AA5F9C" w:rsidRDefault="00A1771A" w14:paraId="4E547E6D" w14:textId="77777777">
      <w:pPr>
        <w:numPr>
          <w:ilvl w:val="0"/>
          <w:numId w:val="65"/>
        </w:numPr>
        <w:overflowPunct w:val="0"/>
        <w:autoSpaceDE w:val="0"/>
        <w:autoSpaceDN w:val="0"/>
        <w:adjustRightInd w:val="0"/>
        <w:ind w:left="284" w:hanging="284"/>
        <w:contextualSpacing/>
        <w:textAlignment w:val="baseline"/>
      </w:pPr>
      <w:r w:rsidRPr="00316A9D">
        <w:t>raccomanda alla Commissione di studiare la fattibilità di un canale di informazione pubblico europeo disponibile su varie piattaforme e in tutte le lingue nazionali, caratterizzato dall'impegno e dall'indipendenza sul piano editoriale, per consentire ai cittadini europei di accedere a informazioni fattuali.</w:t>
      </w:r>
    </w:p>
    <w:p w:rsidRPr="00316A9D" w:rsidR="00A1771A" w:rsidP="00A1771A" w:rsidRDefault="00A1771A" w14:paraId="1A82FD28" w14:textId="77777777">
      <w:pPr>
        <w:overflowPunct w:val="0"/>
        <w:autoSpaceDE w:val="0"/>
        <w:autoSpaceDN w:val="0"/>
        <w:adjustRightInd w:val="0"/>
        <w:ind w:left="360"/>
        <w:textAlignment w:val="baseline"/>
        <w:rPr>
          <w:szCs w:val="20"/>
        </w:rPr>
      </w:pPr>
    </w:p>
    <w:tbl>
      <w:tblPr>
        <w:tblStyle w:val="TableGrid210"/>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16A9D" w:rsidR="00A1771A" w:rsidTr="009839A2" w14:paraId="097FCBAD" w14:textId="77777777">
        <w:tc>
          <w:tcPr>
            <w:tcW w:w="1418" w:type="dxa"/>
          </w:tcPr>
          <w:p w:rsidRPr="00316A9D" w:rsidR="00A1771A" w:rsidP="00A1771A" w:rsidRDefault="00A1771A" w14:paraId="2E36AE0A" w14:textId="77777777">
            <w:pPr>
              <w:overflowPunct w:val="0"/>
              <w:autoSpaceDE w:val="0"/>
              <w:autoSpaceDN w:val="0"/>
              <w:adjustRightInd w:val="0"/>
              <w:spacing w:line="240" w:lineRule="auto"/>
              <w:textAlignment w:val="baseline"/>
              <w:rPr>
                <w:i/>
              </w:rPr>
            </w:pPr>
            <w:r w:rsidRPr="00316A9D">
              <w:rPr>
                <w:b/>
                <w:i/>
              </w:rPr>
              <w:t>Contatto</w:t>
            </w:r>
          </w:p>
        </w:tc>
        <w:tc>
          <w:tcPr>
            <w:tcW w:w="5670" w:type="dxa"/>
          </w:tcPr>
          <w:p w:rsidRPr="00316A9D" w:rsidR="00A1771A" w:rsidP="00A1771A" w:rsidRDefault="00A1771A" w14:paraId="02BF8C8E" w14:textId="638250E6">
            <w:pPr>
              <w:overflowPunct w:val="0"/>
              <w:autoSpaceDE w:val="0"/>
              <w:autoSpaceDN w:val="0"/>
              <w:adjustRightInd w:val="0"/>
              <w:spacing w:line="240" w:lineRule="auto"/>
              <w:textAlignment w:val="baseline"/>
              <w:rPr>
                <w:i/>
              </w:rPr>
            </w:pPr>
            <w:r w:rsidRPr="00316A9D">
              <w:rPr>
                <w:i/>
              </w:rPr>
              <w:t>Francesco NAPOLITANO</w:t>
            </w:r>
          </w:p>
        </w:tc>
      </w:tr>
      <w:tr w:rsidRPr="00316A9D" w:rsidR="00A1771A" w:rsidTr="009839A2" w14:paraId="76036C67" w14:textId="77777777">
        <w:tc>
          <w:tcPr>
            <w:tcW w:w="1418" w:type="dxa"/>
          </w:tcPr>
          <w:p w:rsidRPr="00316A9D" w:rsidR="00A1771A" w:rsidP="00A1771A" w:rsidRDefault="00A1771A" w14:paraId="06B56626" w14:textId="77777777">
            <w:pPr>
              <w:overflowPunct w:val="0"/>
              <w:autoSpaceDE w:val="0"/>
              <w:autoSpaceDN w:val="0"/>
              <w:adjustRightInd w:val="0"/>
              <w:spacing w:line="240" w:lineRule="auto"/>
              <w:textAlignment w:val="baseline"/>
              <w:rPr>
                <w:i/>
              </w:rPr>
            </w:pPr>
            <w:r w:rsidRPr="00316A9D">
              <w:rPr>
                <w:i/>
              </w:rPr>
              <w:t>Tel.</w:t>
            </w:r>
          </w:p>
        </w:tc>
        <w:tc>
          <w:tcPr>
            <w:tcW w:w="5670" w:type="dxa"/>
          </w:tcPr>
          <w:p w:rsidRPr="00316A9D" w:rsidR="00A1771A" w:rsidP="00A1771A" w:rsidRDefault="00A1771A" w14:paraId="781C700C" w14:textId="77777777">
            <w:pPr>
              <w:overflowPunct w:val="0"/>
              <w:autoSpaceDE w:val="0"/>
              <w:autoSpaceDN w:val="0"/>
              <w:adjustRightInd w:val="0"/>
              <w:spacing w:line="240" w:lineRule="auto"/>
              <w:textAlignment w:val="baseline"/>
              <w:rPr>
                <w:i/>
              </w:rPr>
            </w:pPr>
            <w:r w:rsidRPr="00316A9D">
              <w:rPr>
                <w:i/>
              </w:rPr>
              <w:t>+32 25468921</w:t>
            </w:r>
          </w:p>
        </w:tc>
      </w:tr>
      <w:tr w:rsidRPr="00316A9D" w:rsidR="00A1771A" w:rsidTr="009839A2" w14:paraId="7EE3C9DF" w14:textId="77777777">
        <w:tc>
          <w:tcPr>
            <w:tcW w:w="1418" w:type="dxa"/>
          </w:tcPr>
          <w:p w:rsidRPr="00316A9D" w:rsidR="00A1771A" w:rsidP="00A1771A" w:rsidRDefault="003D1AF1" w14:paraId="7C62A1E0" w14:textId="5DCE821F">
            <w:pPr>
              <w:overflowPunct w:val="0"/>
              <w:autoSpaceDE w:val="0"/>
              <w:autoSpaceDN w:val="0"/>
              <w:adjustRightInd w:val="0"/>
              <w:spacing w:line="240" w:lineRule="auto"/>
              <w:textAlignment w:val="baseline"/>
              <w:rPr>
                <w:i/>
              </w:rPr>
            </w:pPr>
            <w:r w:rsidRPr="00316A9D">
              <w:rPr>
                <w:i/>
              </w:rPr>
              <w:t>E</w:t>
            </w:r>
            <w:r w:rsidRPr="00316A9D" w:rsidR="00965822">
              <w:rPr>
                <w:i/>
              </w:rPr>
              <w:t>-mail</w:t>
            </w:r>
          </w:p>
        </w:tc>
        <w:tc>
          <w:tcPr>
            <w:tcW w:w="5670" w:type="dxa"/>
          </w:tcPr>
          <w:p w:rsidRPr="00316A9D" w:rsidR="00A1771A" w:rsidP="00A1771A" w:rsidRDefault="003A440F" w14:paraId="6EE91551" w14:textId="77777777">
            <w:pPr>
              <w:overflowPunct w:val="0"/>
              <w:autoSpaceDE w:val="0"/>
              <w:autoSpaceDN w:val="0"/>
              <w:adjustRightInd w:val="0"/>
              <w:spacing w:line="240" w:lineRule="auto"/>
              <w:textAlignment w:val="baseline"/>
              <w:rPr>
                <w:i/>
                <w:iCs/>
              </w:rPr>
            </w:pPr>
            <w:hyperlink w:history="1" r:id="rId52">
              <w:r w:rsidRPr="00316A9D" w:rsidR="00F76B5D">
                <w:rPr>
                  <w:i/>
                  <w:color w:val="0000FF"/>
                  <w:u w:val="single"/>
                </w:rPr>
                <w:t>Francesco.Napolitano@eesc.europa.eu</w:t>
              </w:r>
            </w:hyperlink>
          </w:p>
        </w:tc>
      </w:tr>
    </w:tbl>
    <w:p w:rsidRPr="00316A9D" w:rsidR="00895853" w:rsidRDefault="00895853" w14:paraId="6120D501" w14:textId="6620F9E5">
      <w:pPr>
        <w:spacing w:after="160" w:line="259" w:lineRule="auto"/>
        <w:jc w:val="left"/>
      </w:pPr>
      <w:r w:rsidRPr="00316A9D">
        <w:br w:type="page"/>
      </w:r>
    </w:p>
    <w:p w:rsidRPr="00316A9D" w:rsidR="00E110D0" w:rsidP="00401E8F" w:rsidRDefault="00895853" w14:paraId="268D0B18" w14:textId="09AC0A5F">
      <w:pPr>
        <w:pStyle w:val="Heading1"/>
        <w:tabs>
          <w:tab w:val="clear" w:pos="440"/>
          <w:tab w:val="left" w:pos="567"/>
        </w:tabs>
        <w:ind w:left="567" w:hanging="567"/>
        <w:rPr>
          <w:b/>
          <w:bCs/>
        </w:rPr>
      </w:pPr>
      <w:bookmarkStart w:name="_Toc166847140" w:id="8"/>
      <w:bookmarkStart w:name="_Toc166851138" w:id="9"/>
      <w:bookmarkEnd w:id="8"/>
      <w:r w:rsidRPr="00316A9D">
        <w:rPr>
          <w:b/>
        </w:rPr>
        <w:lastRenderedPageBreak/>
        <w:t>COMMISSIONE CONSULTIVA PER LE TRASFORMAZIONI INDUSTRIALI</w:t>
      </w:r>
      <w:bookmarkEnd w:id="9"/>
    </w:p>
    <w:p w:rsidRPr="00316A9D" w:rsidR="004351D4" w:rsidP="00895853" w:rsidRDefault="004351D4" w14:paraId="0AE04AB9" w14:textId="65DEC642">
      <w:pPr>
        <w:overflowPunct w:val="0"/>
        <w:autoSpaceDE w:val="0"/>
        <w:autoSpaceDN w:val="0"/>
        <w:adjustRightInd w:val="0"/>
        <w:jc w:val="left"/>
        <w:textAlignment w:val="baseline"/>
        <w:rPr>
          <w:lang w:val="nl-BE"/>
        </w:rPr>
      </w:pPr>
    </w:p>
    <w:p w:rsidRPr="00316A9D" w:rsidR="003C7345" w:rsidP="00401E8F" w:rsidRDefault="003A440F" w14:paraId="7493C326" w14:textId="36BEFA3D">
      <w:pPr>
        <w:widowControl w:val="0"/>
        <w:numPr>
          <w:ilvl w:val="0"/>
          <w:numId w:val="25"/>
        </w:numPr>
        <w:overflowPunct w:val="0"/>
        <w:autoSpaceDE w:val="0"/>
        <w:autoSpaceDN w:val="0"/>
        <w:adjustRightInd w:val="0"/>
        <w:ind w:left="567" w:hanging="567"/>
        <w:textAlignment w:val="baseline"/>
        <w:rPr>
          <w:sz w:val="20"/>
          <w:szCs w:val="20"/>
        </w:rPr>
      </w:pPr>
      <w:hyperlink w:history="1" r:id="rId53">
        <w:r w:rsidRPr="00316A9D" w:rsidR="008772F9">
          <w:rPr>
            <w:b/>
            <w:i/>
            <w:color w:val="0000FF"/>
            <w:sz w:val="28"/>
            <w:u w:val="single"/>
          </w:rPr>
          <w:t>Verso un'Europa più resiliente, competitiva e sostenibile</w:t>
        </w:r>
      </w:hyperlink>
      <w:r w:rsidRPr="00316A9D" w:rsidR="008772F9">
        <w:rPr>
          <w:b/>
          <w:i/>
          <w:sz w:val="28"/>
        </w:rPr>
        <w:t xml:space="preserve"> </w:t>
      </w:r>
    </w:p>
    <w:p w:rsidRPr="00316A9D" w:rsidR="003C7345" w:rsidP="003C7345" w:rsidRDefault="003C7345" w14:paraId="63B2864F" w14:textId="77777777">
      <w:pPr>
        <w:tabs>
          <w:tab w:val="center" w:pos="284"/>
        </w:tabs>
        <w:overflowPunct w:val="0"/>
        <w:autoSpaceDE w:val="0"/>
        <w:autoSpaceDN w:val="0"/>
        <w:adjustRightInd w:val="0"/>
        <w:ind w:left="266" w:hanging="266"/>
        <w:textAlignment w:val="baseline"/>
        <w:rPr>
          <w:b/>
        </w:rPr>
      </w:pPr>
    </w:p>
    <w:tbl>
      <w:tblPr>
        <w:tblStyle w:val="TableGrid2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557"/>
      </w:tblGrid>
      <w:tr w:rsidRPr="00316A9D" w:rsidR="003C7345" w:rsidTr="009839A2" w14:paraId="3FE49B3B" w14:textId="77777777">
        <w:tc>
          <w:tcPr>
            <w:tcW w:w="1148" w:type="pct"/>
          </w:tcPr>
          <w:p w:rsidRPr="00316A9D" w:rsidR="003C7345" w:rsidP="003C7345" w:rsidRDefault="003D1AF1" w14:paraId="52D76821" w14:textId="5F47FD4E">
            <w:pPr>
              <w:tabs>
                <w:tab w:val="center" w:pos="284"/>
              </w:tabs>
              <w:overflowPunct w:val="0"/>
              <w:autoSpaceDE w:val="0"/>
              <w:autoSpaceDN w:val="0"/>
              <w:adjustRightInd w:val="0"/>
              <w:ind w:left="266" w:hanging="266"/>
              <w:textAlignment w:val="baseline"/>
              <w:rPr>
                <w:b/>
              </w:rPr>
            </w:pPr>
            <w:r w:rsidRPr="00316A9D">
              <w:rPr>
                <w:b/>
              </w:rPr>
              <w:t>Relatore</w:t>
            </w:r>
          </w:p>
        </w:tc>
        <w:tc>
          <w:tcPr>
            <w:tcW w:w="3852" w:type="pct"/>
          </w:tcPr>
          <w:p w:rsidRPr="00316A9D" w:rsidR="003C7345" w:rsidP="003C7345" w:rsidRDefault="003C7345" w14:paraId="2CC29541" w14:textId="5792D6E4">
            <w:pPr>
              <w:tabs>
                <w:tab w:val="center" w:pos="284"/>
              </w:tabs>
              <w:overflowPunct w:val="0"/>
              <w:autoSpaceDE w:val="0"/>
              <w:autoSpaceDN w:val="0"/>
              <w:adjustRightInd w:val="0"/>
              <w:ind w:left="266" w:hanging="266"/>
              <w:textAlignment w:val="baseline"/>
            </w:pPr>
            <w:r w:rsidRPr="00316A9D">
              <w:t>Alain COHEUR (Organizzazioni della società civile - BE)</w:t>
            </w:r>
          </w:p>
        </w:tc>
      </w:tr>
      <w:tr w:rsidRPr="00316A9D" w:rsidR="003C7345" w:rsidTr="009839A2" w14:paraId="371946CA" w14:textId="77777777">
        <w:tc>
          <w:tcPr>
            <w:tcW w:w="1148" w:type="pct"/>
          </w:tcPr>
          <w:p w:rsidRPr="00316A9D" w:rsidR="003C7345" w:rsidP="003C7345" w:rsidRDefault="003D1AF1" w14:paraId="4023FE40" w14:textId="015250CE">
            <w:pPr>
              <w:tabs>
                <w:tab w:val="center" w:pos="284"/>
              </w:tabs>
              <w:overflowPunct w:val="0"/>
              <w:autoSpaceDE w:val="0"/>
              <w:autoSpaceDN w:val="0"/>
              <w:adjustRightInd w:val="0"/>
              <w:ind w:left="266" w:hanging="266"/>
              <w:textAlignment w:val="baseline"/>
              <w:rPr>
                <w:b/>
              </w:rPr>
            </w:pPr>
            <w:r w:rsidRPr="00316A9D">
              <w:rPr>
                <w:b/>
              </w:rPr>
              <w:t>Correlatore</w:t>
            </w:r>
          </w:p>
        </w:tc>
        <w:tc>
          <w:tcPr>
            <w:tcW w:w="3852" w:type="pct"/>
          </w:tcPr>
          <w:p w:rsidRPr="00316A9D" w:rsidR="003C7345" w:rsidP="003C7345" w:rsidRDefault="003C7345" w14:paraId="3FDDB298" w14:textId="374AD5C6">
            <w:pPr>
              <w:tabs>
                <w:tab w:val="center" w:pos="284"/>
              </w:tabs>
              <w:overflowPunct w:val="0"/>
              <w:autoSpaceDE w:val="0"/>
              <w:autoSpaceDN w:val="0"/>
              <w:adjustRightInd w:val="0"/>
              <w:ind w:left="266" w:hanging="266"/>
              <w:textAlignment w:val="baseline"/>
            </w:pPr>
            <w:r w:rsidRPr="00316A9D">
              <w:t>Alain TACCOEN (Cat. 1 - FR)</w:t>
            </w:r>
          </w:p>
        </w:tc>
      </w:tr>
      <w:tr w:rsidRPr="00316A9D" w:rsidR="003C7345" w:rsidTr="009839A2" w14:paraId="029DFAE3" w14:textId="77777777">
        <w:tc>
          <w:tcPr>
            <w:tcW w:w="5000" w:type="pct"/>
            <w:gridSpan w:val="2"/>
          </w:tcPr>
          <w:p w:rsidRPr="00316A9D" w:rsidR="003C7345" w:rsidP="003C7345" w:rsidRDefault="003C7345" w14:paraId="5FBD777E" w14:textId="77777777">
            <w:pPr>
              <w:tabs>
                <w:tab w:val="center" w:pos="284"/>
              </w:tabs>
              <w:overflowPunct w:val="0"/>
              <w:autoSpaceDE w:val="0"/>
              <w:autoSpaceDN w:val="0"/>
              <w:adjustRightInd w:val="0"/>
              <w:spacing w:line="160" w:lineRule="exact"/>
              <w:ind w:left="266" w:hanging="266"/>
              <w:textAlignment w:val="baseline"/>
            </w:pPr>
          </w:p>
        </w:tc>
      </w:tr>
      <w:tr w:rsidRPr="00316A9D" w:rsidR="003C7345" w:rsidTr="009839A2" w14:paraId="2752A739" w14:textId="77777777">
        <w:tc>
          <w:tcPr>
            <w:tcW w:w="1148" w:type="pct"/>
            <w:vMerge w:val="restart"/>
          </w:tcPr>
          <w:p w:rsidRPr="00316A9D" w:rsidR="003C7345" w:rsidP="003C7345" w:rsidRDefault="003C7345" w14:paraId="01AE8F57" w14:textId="77777777">
            <w:pPr>
              <w:tabs>
                <w:tab w:val="center" w:pos="284"/>
              </w:tabs>
              <w:overflowPunct w:val="0"/>
              <w:autoSpaceDE w:val="0"/>
              <w:autoSpaceDN w:val="0"/>
              <w:adjustRightInd w:val="0"/>
              <w:ind w:left="266" w:hanging="266"/>
              <w:textAlignment w:val="baseline"/>
              <w:rPr>
                <w:b/>
              </w:rPr>
            </w:pPr>
            <w:r w:rsidRPr="00316A9D">
              <w:rPr>
                <w:b/>
              </w:rPr>
              <w:t>Riferimenti</w:t>
            </w:r>
          </w:p>
        </w:tc>
        <w:tc>
          <w:tcPr>
            <w:tcW w:w="3852" w:type="pct"/>
          </w:tcPr>
          <w:p w:rsidRPr="00316A9D" w:rsidR="000A4E0B" w:rsidP="003C7345" w:rsidRDefault="000A4E0B" w14:paraId="0B9712AD" w14:textId="3F9D5B6F">
            <w:pPr>
              <w:tabs>
                <w:tab w:val="center" w:pos="284"/>
              </w:tabs>
              <w:overflowPunct w:val="0"/>
              <w:autoSpaceDE w:val="0"/>
              <w:autoSpaceDN w:val="0"/>
              <w:adjustRightInd w:val="0"/>
              <w:ind w:left="266" w:hanging="266"/>
              <w:textAlignment w:val="baseline"/>
            </w:pPr>
            <w:r w:rsidRPr="00316A9D">
              <w:t>COM(2023) 558 final</w:t>
            </w:r>
          </w:p>
          <w:p w:rsidRPr="00316A9D" w:rsidR="003C7345" w:rsidP="003C7345" w:rsidRDefault="003C7345" w14:paraId="20BDAAEA" w14:textId="7CB6CB02">
            <w:pPr>
              <w:tabs>
                <w:tab w:val="center" w:pos="284"/>
              </w:tabs>
              <w:overflowPunct w:val="0"/>
              <w:autoSpaceDE w:val="0"/>
              <w:autoSpaceDN w:val="0"/>
              <w:adjustRightInd w:val="0"/>
              <w:ind w:left="266" w:hanging="266"/>
              <w:textAlignment w:val="baseline"/>
            </w:pPr>
            <w:r w:rsidRPr="00316A9D">
              <w:t>EESC-2023-05678-00-00-AC</w:t>
            </w:r>
          </w:p>
        </w:tc>
      </w:tr>
      <w:tr w:rsidRPr="00316A9D" w:rsidR="003C7345" w:rsidTr="009839A2" w14:paraId="6071ABC3" w14:textId="77777777">
        <w:tc>
          <w:tcPr>
            <w:tcW w:w="1148" w:type="pct"/>
            <w:vMerge/>
          </w:tcPr>
          <w:p w:rsidRPr="00316A9D" w:rsidR="003C7345" w:rsidP="003C7345" w:rsidRDefault="003C7345" w14:paraId="28E60E33" w14:textId="77777777">
            <w:pPr>
              <w:tabs>
                <w:tab w:val="center" w:pos="284"/>
              </w:tabs>
              <w:overflowPunct w:val="0"/>
              <w:autoSpaceDE w:val="0"/>
              <w:autoSpaceDN w:val="0"/>
              <w:adjustRightInd w:val="0"/>
              <w:ind w:left="266" w:hanging="266"/>
              <w:textAlignment w:val="baseline"/>
              <w:rPr>
                <w:b/>
              </w:rPr>
            </w:pPr>
          </w:p>
        </w:tc>
        <w:tc>
          <w:tcPr>
            <w:tcW w:w="3852" w:type="pct"/>
          </w:tcPr>
          <w:p w:rsidRPr="00316A9D" w:rsidR="003C7345" w:rsidP="003C7345" w:rsidRDefault="003C7345" w14:paraId="1CBB81DD" w14:textId="77777777">
            <w:pPr>
              <w:tabs>
                <w:tab w:val="center" w:pos="284"/>
              </w:tabs>
              <w:overflowPunct w:val="0"/>
              <w:autoSpaceDE w:val="0"/>
              <w:autoSpaceDN w:val="0"/>
              <w:adjustRightInd w:val="0"/>
              <w:ind w:left="266" w:hanging="266"/>
              <w:textAlignment w:val="baseline"/>
            </w:pPr>
          </w:p>
        </w:tc>
      </w:tr>
    </w:tbl>
    <w:p w:rsidRPr="00316A9D" w:rsidR="003C7345" w:rsidP="003C7345" w:rsidRDefault="003C7345" w14:paraId="03D745B0" w14:textId="50545C60">
      <w:pPr>
        <w:tabs>
          <w:tab w:val="center" w:pos="284"/>
        </w:tabs>
        <w:overflowPunct w:val="0"/>
        <w:autoSpaceDE w:val="0"/>
        <w:autoSpaceDN w:val="0"/>
        <w:adjustRightInd w:val="0"/>
        <w:ind w:left="266" w:hanging="266"/>
        <w:textAlignment w:val="baseline"/>
      </w:pPr>
    </w:p>
    <w:p w:rsidRPr="00316A9D" w:rsidR="003C7345" w:rsidP="003C7345" w:rsidRDefault="003C7345" w14:paraId="74992F5A" w14:textId="77777777">
      <w:pPr>
        <w:keepNext/>
        <w:keepLines/>
        <w:tabs>
          <w:tab w:val="center" w:pos="284"/>
        </w:tabs>
        <w:overflowPunct w:val="0"/>
        <w:autoSpaceDE w:val="0"/>
        <w:autoSpaceDN w:val="0"/>
        <w:adjustRightInd w:val="0"/>
        <w:ind w:left="266" w:hanging="266"/>
        <w:textAlignment w:val="baseline"/>
        <w:rPr>
          <w:b/>
        </w:rPr>
      </w:pPr>
      <w:r w:rsidRPr="00316A9D">
        <w:rPr>
          <w:b/>
        </w:rPr>
        <w:t>Punti principali</w:t>
      </w:r>
    </w:p>
    <w:p w:rsidRPr="00316A9D" w:rsidR="003C7345" w:rsidP="003C7345" w:rsidRDefault="003C7345" w14:paraId="33BA754D" w14:textId="77777777">
      <w:pPr>
        <w:keepNext/>
        <w:keepLines/>
        <w:tabs>
          <w:tab w:val="center" w:pos="284"/>
        </w:tabs>
        <w:overflowPunct w:val="0"/>
        <w:autoSpaceDE w:val="0"/>
        <w:autoSpaceDN w:val="0"/>
        <w:adjustRightInd w:val="0"/>
        <w:ind w:left="266" w:hanging="266"/>
        <w:textAlignment w:val="baseline"/>
        <w:rPr>
          <w:b/>
        </w:rPr>
      </w:pPr>
    </w:p>
    <w:p w:rsidRPr="00316A9D" w:rsidR="003C7345" w:rsidP="003C7345" w:rsidRDefault="003C7345" w14:paraId="1332CA24" w14:textId="77777777">
      <w:pPr>
        <w:overflowPunct w:val="0"/>
        <w:autoSpaceDE w:val="0"/>
        <w:autoSpaceDN w:val="0"/>
        <w:adjustRightInd w:val="0"/>
        <w:textAlignment w:val="baseline"/>
        <w:rPr>
          <w:bCs/>
          <w:iCs/>
        </w:rPr>
      </w:pPr>
      <w:r w:rsidRPr="00316A9D">
        <w:t>Il CESE:</w:t>
      </w:r>
    </w:p>
    <w:p w:rsidRPr="00316A9D" w:rsidR="003C7345" w:rsidP="003C7345" w:rsidRDefault="003C7345" w14:paraId="1E817F47" w14:textId="77777777">
      <w:pPr>
        <w:overflowPunct w:val="0"/>
        <w:autoSpaceDE w:val="0"/>
        <w:autoSpaceDN w:val="0"/>
        <w:adjustRightInd w:val="0"/>
        <w:ind w:left="567" w:hanging="567"/>
        <w:textAlignment w:val="baseline"/>
        <w:rPr>
          <w:szCs w:val="20"/>
        </w:rPr>
      </w:pPr>
    </w:p>
    <w:p w:rsidRPr="00316A9D" w:rsidR="003D1AF1" w:rsidP="00AA5F9C" w:rsidRDefault="003C7345" w14:paraId="2D646A27" w14:textId="77777777">
      <w:pPr>
        <w:widowControl w:val="0"/>
        <w:numPr>
          <w:ilvl w:val="0"/>
          <w:numId w:val="66"/>
        </w:numPr>
        <w:overflowPunct w:val="0"/>
        <w:autoSpaceDE w:val="0"/>
        <w:autoSpaceDN w:val="0"/>
        <w:adjustRightInd w:val="0"/>
        <w:ind w:left="284" w:hanging="284"/>
        <w:textAlignment w:val="baseline"/>
        <w:rPr>
          <w:bCs/>
          <w:iCs/>
        </w:rPr>
      </w:pPr>
      <w:r w:rsidRPr="00316A9D">
        <w:t xml:space="preserve">con il presente parere intende </w:t>
      </w:r>
      <w:r w:rsidRPr="00316A9D">
        <w:rPr>
          <w:b/>
        </w:rPr>
        <w:t>esprimere il suo punto di vista sulla comunicazione della Commissione europea adottata in vista del vertice di Granada</w:t>
      </w:r>
      <w:r w:rsidRPr="00316A9D">
        <w:t xml:space="preserve">, in modo tale che si tenga conto della sua posizione al riguardo nella </w:t>
      </w:r>
      <w:r w:rsidRPr="00316A9D">
        <w:rPr>
          <w:b/>
        </w:rPr>
        <w:t>preparazione del prossimo mandato delle istituzioni dell'Unione europea</w:t>
      </w:r>
      <w:r w:rsidRPr="00316A9D">
        <w:t xml:space="preserve"> (UE);</w:t>
      </w:r>
    </w:p>
    <w:p w:rsidRPr="00316A9D" w:rsidR="003C7345" w:rsidP="00AA5F9C" w:rsidRDefault="003D1AF1" w14:paraId="3A3EAB7A" w14:textId="443D48F5">
      <w:pPr>
        <w:widowControl w:val="0"/>
        <w:numPr>
          <w:ilvl w:val="0"/>
          <w:numId w:val="66"/>
        </w:numPr>
        <w:overflowPunct w:val="0"/>
        <w:autoSpaceDE w:val="0"/>
        <w:autoSpaceDN w:val="0"/>
        <w:adjustRightInd w:val="0"/>
        <w:ind w:left="284" w:hanging="284"/>
        <w:textAlignment w:val="baseline"/>
        <w:rPr>
          <w:bCs/>
          <w:iCs/>
        </w:rPr>
      </w:pPr>
      <w:r w:rsidRPr="00316A9D">
        <w:t>è</w:t>
      </w:r>
      <w:r w:rsidRPr="00316A9D" w:rsidR="003C7345">
        <w:t xml:space="preserve"> estremamente preoccupato per il </w:t>
      </w:r>
      <w:r w:rsidRPr="00316A9D" w:rsidR="003C7345">
        <w:rPr>
          <w:b/>
        </w:rPr>
        <w:t>ritardo accumulato dall'UE nei confronti degli Stati Uniti e della Cina in settori di importanza strategica</w:t>
      </w:r>
      <w:r w:rsidRPr="00316A9D" w:rsidR="003C7345">
        <w:t>. Questo ritardo mina ulteriormente l'indipendenza, la sovranità e il modello di società dell'Unione europea;</w:t>
      </w:r>
    </w:p>
    <w:p w:rsidRPr="00316A9D" w:rsidR="003C7345" w:rsidP="00AA5F9C" w:rsidRDefault="003C7345" w14:paraId="11454D27" w14:textId="77777777">
      <w:pPr>
        <w:widowControl w:val="0"/>
        <w:numPr>
          <w:ilvl w:val="0"/>
          <w:numId w:val="66"/>
        </w:numPr>
        <w:overflowPunct w:val="0"/>
        <w:autoSpaceDE w:val="0"/>
        <w:autoSpaceDN w:val="0"/>
        <w:adjustRightInd w:val="0"/>
        <w:ind w:left="284" w:hanging="284"/>
        <w:textAlignment w:val="baseline"/>
        <w:rPr>
          <w:bCs/>
          <w:iCs/>
        </w:rPr>
      </w:pPr>
      <w:r w:rsidRPr="00316A9D">
        <w:t>ritiene che per assicurare la transizione energetica dell'Europa sia necessario rafforzare il controllo esercitato dall'UE sulle</w:t>
      </w:r>
      <w:r w:rsidRPr="00316A9D">
        <w:rPr>
          <w:b/>
        </w:rPr>
        <w:t xml:space="preserve"> catene del valore di tutte le diverse tecnologie di decarbonizzazione</w:t>
      </w:r>
      <w:r w:rsidRPr="00316A9D">
        <w:t xml:space="preserve">, garantire una reale decarbonizzazione </w:t>
      </w:r>
      <w:r w:rsidRPr="00316A9D">
        <w:rPr>
          <w:b/>
        </w:rPr>
        <w:t>attraverso l'elettrificazione</w:t>
      </w:r>
      <w:r w:rsidRPr="00316A9D">
        <w:t xml:space="preserve">, </w:t>
      </w:r>
      <w:r w:rsidRPr="00316A9D">
        <w:rPr>
          <w:b/>
        </w:rPr>
        <w:t>garantire la coerenza tra i piani nazionali per l'energia e il clima (PNEC) e gli obiettivi a livello europeo</w:t>
      </w:r>
      <w:r w:rsidRPr="00316A9D">
        <w:t xml:space="preserve"> e </w:t>
      </w:r>
      <w:r w:rsidRPr="00316A9D">
        <w:rPr>
          <w:b/>
        </w:rPr>
        <w:t>creare posti di lavoro di valore per i lavoratori europei</w:t>
      </w:r>
      <w:r w:rsidRPr="00316A9D">
        <w:t>;</w:t>
      </w:r>
    </w:p>
    <w:p w:rsidRPr="00316A9D" w:rsidR="003C7345" w:rsidP="00AA5F9C" w:rsidRDefault="003C7345" w14:paraId="2AAD7EE0" w14:textId="77777777">
      <w:pPr>
        <w:widowControl w:val="0"/>
        <w:numPr>
          <w:ilvl w:val="0"/>
          <w:numId w:val="66"/>
        </w:numPr>
        <w:overflowPunct w:val="0"/>
        <w:autoSpaceDE w:val="0"/>
        <w:autoSpaceDN w:val="0"/>
        <w:adjustRightInd w:val="0"/>
        <w:ind w:left="284" w:hanging="284"/>
        <w:textAlignment w:val="baseline"/>
        <w:rPr>
          <w:bCs/>
          <w:iCs/>
        </w:rPr>
      </w:pPr>
      <w:r w:rsidRPr="00316A9D">
        <w:t xml:space="preserve">sostiene che </w:t>
      </w:r>
      <w:r w:rsidRPr="00316A9D">
        <w:rPr>
          <w:b/>
        </w:rPr>
        <w:t>l'indipendenza digitale europea</w:t>
      </w:r>
      <w:r w:rsidRPr="00316A9D">
        <w:t xml:space="preserve"> sarà basata su diversi fattori: la </w:t>
      </w:r>
      <w:r w:rsidRPr="00316A9D">
        <w:rPr>
          <w:b/>
        </w:rPr>
        <w:t>capacità dell'UE di sviluppare supercomputer</w:t>
      </w:r>
      <w:r w:rsidRPr="00316A9D">
        <w:t xml:space="preserve">, di </w:t>
      </w:r>
      <w:r w:rsidRPr="00316A9D">
        <w:rPr>
          <w:b/>
        </w:rPr>
        <w:t>stoccare dati sul suo territorio</w:t>
      </w:r>
      <w:r w:rsidRPr="00316A9D">
        <w:t xml:space="preserve">, di </w:t>
      </w:r>
      <w:r w:rsidRPr="00316A9D">
        <w:rPr>
          <w:b/>
        </w:rPr>
        <w:t>incoraggiare la nascita e la crescita di autentici campioni industriali</w:t>
      </w:r>
      <w:r w:rsidRPr="00316A9D">
        <w:t xml:space="preserve"> e di </w:t>
      </w:r>
      <w:r w:rsidRPr="00316A9D">
        <w:rPr>
          <w:b/>
        </w:rPr>
        <w:t>sviluppare</w:t>
      </w:r>
      <w:r w:rsidRPr="00316A9D">
        <w:t xml:space="preserve"> </w:t>
      </w:r>
      <w:r w:rsidRPr="00316A9D">
        <w:rPr>
          <w:b/>
        </w:rPr>
        <w:t>competenze digitali</w:t>
      </w:r>
      <w:r w:rsidRPr="00316A9D">
        <w:t>;</w:t>
      </w:r>
    </w:p>
    <w:p w:rsidRPr="00316A9D" w:rsidR="003C7345" w:rsidP="00AA5F9C" w:rsidRDefault="003C7345" w14:paraId="5CE92992" w14:textId="77777777">
      <w:pPr>
        <w:widowControl w:val="0"/>
        <w:numPr>
          <w:ilvl w:val="0"/>
          <w:numId w:val="66"/>
        </w:numPr>
        <w:overflowPunct w:val="0"/>
        <w:autoSpaceDE w:val="0"/>
        <w:autoSpaceDN w:val="0"/>
        <w:adjustRightInd w:val="0"/>
        <w:ind w:left="284" w:hanging="284"/>
        <w:textAlignment w:val="baseline"/>
        <w:rPr>
          <w:bCs/>
          <w:iCs/>
        </w:rPr>
      </w:pPr>
      <w:r w:rsidRPr="00316A9D">
        <w:t xml:space="preserve">ritiene che, </w:t>
      </w:r>
      <w:r w:rsidRPr="00316A9D">
        <w:rPr>
          <w:b/>
        </w:rPr>
        <w:t>per essere sostenibile e conservare la sua sovranità, l'industria spaziale europea dovrà affrontare tutta una serie di sfide</w:t>
      </w:r>
      <w:r w:rsidRPr="00316A9D">
        <w:t xml:space="preserve">. </w:t>
      </w:r>
      <w:r w:rsidRPr="00316A9D">
        <w:rPr>
          <w:b/>
        </w:rPr>
        <w:t>La frammentazione, la duplicazione e il volume insufficiente dei nostri principali mercati istituzionali sono tra le cause della debolezza dell'Unione europea</w:t>
      </w:r>
      <w:r w:rsidRPr="00316A9D">
        <w:t>, in una fase in cui il divario in termini di finanziamenti con gli Stati Uniti e la Cina si allarga e l'UE si trova a misurarsi con soggetti privati di dimensioni gigantesche che ottimizzano le loro catene di approvvigionamento interne; e infine</w:t>
      </w:r>
    </w:p>
    <w:p w:rsidRPr="00316A9D" w:rsidR="003C7345" w:rsidP="00AA5F9C" w:rsidRDefault="003C7345" w14:paraId="77ECA9D7" w14:textId="77777777">
      <w:pPr>
        <w:widowControl w:val="0"/>
        <w:numPr>
          <w:ilvl w:val="0"/>
          <w:numId w:val="66"/>
        </w:numPr>
        <w:overflowPunct w:val="0"/>
        <w:autoSpaceDE w:val="0"/>
        <w:autoSpaceDN w:val="0"/>
        <w:adjustRightInd w:val="0"/>
        <w:ind w:left="284" w:hanging="284"/>
        <w:textAlignment w:val="baseline"/>
        <w:rPr>
          <w:szCs w:val="20"/>
        </w:rPr>
      </w:pPr>
      <w:r w:rsidRPr="00316A9D">
        <w:t xml:space="preserve">prevede che nei prossimi anni </w:t>
      </w:r>
      <w:r w:rsidRPr="00316A9D">
        <w:rPr>
          <w:b/>
        </w:rPr>
        <w:t>l'industria europea della difesa</w:t>
      </w:r>
      <w:r w:rsidRPr="00316A9D">
        <w:t xml:space="preserve"> dovrà non solo fornire agli Stati membri e alle loro forze armate</w:t>
      </w:r>
      <w:r w:rsidRPr="00316A9D">
        <w:rPr>
          <w:b/>
        </w:rPr>
        <w:t xml:space="preserve"> materiali, attrezzature e capacità di difesa di qualità superiore e adeguati al nuovo contesto strategico</w:t>
      </w:r>
      <w:r w:rsidRPr="00316A9D">
        <w:t xml:space="preserve">, ma anche assicurare </w:t>
      </w:r>
      <w:r w:rsidRPr="00316A9D">
        <w:rPr>
          <w:b/>
        </w:rPr>
        <w:t>un'assistenza militare continua all'Ucraina e ad altri partner</w:t>
      </w:r>
      <w:r w:rsidRPr="00316A9D">
        <w:t xml:space="preserve">. </w:t>
      </w:r>
    </w:p>
    <w:p w:rsidRPr="00316A9D" w:rsidR="003C7345" w:rsidP="003C7345" w:rsidRDefault="003C7345" w14:paraId="4D3C9B36" w14:textId="77777777">
      <w:pPr>
        <w:widowControl w:val="0"/>
        <w:overflowPunct w:val="0"/>
        <w:autoSpaceDE w:val="0"/>
        <w:autoSpaceDN w:val="0"/>
        <w:adjustRightInd w:val="0"/>
        <w:ind w:left="709"/>
        <w:textAlignment w:val="baseline"/>
        <w:rPr>
          <w:szCs w:val="20"/>
        </w:rPr>
      </w:pPr>
    </w:p>
    <w:tbl>
      <w:tblPr>
        <w:tblStyle w:val="TableGrid2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316A9D" w:rsidR="003C7345" w:rsidTr="009839A2" w14:paraId="214CAA5C" w14:textId="77777777">
        <w:tc>
          <w:tcPr>
            <w:tcW w:w="1556" w:type="pct"/>
          </w:tcPr>
          <w:p w:rsidRPr="00316A9D" w:rsidR="003C7345" w:rsidP="003C7345" w:rsidRDefault="003C7345" w14:paraId="291B3512" w14:textId="77777777">
            <w:pPr>
              <w:overflowPunct w:val="0"/>
              <w:autoSpaceDE w:val="0"/>
              <w:autoSpaceDN w:val="0"/>
              <w:adjustRightInd w:val="0"/>
              <w:spacing w:line="240" w:lineRule="auto"/>
              <w:textAlignment w:val="baseline"/>
              <w:rPr>
                <w:i/>
              </w:rPr>
            </w:pPr>
            <w:r w:rsidRPr="00316A9D">
              <w:rPr>
                <w:b/>
                <w:i/>
              </w:rPr>
              <w:t>Contatto</w:t>
            </w:r>
          </w:p>
        </w:tc>
        <w:tc>
          <w:tcPr>
            <w:tcW w:w="3444" w:type="pct"/>
          </w:tcPr>
          <w:p w:rsidRPr="00316A9D" w:rsidR="003C7345" w:rsidP="003C7345" w:rsidRDefault="003C7345" w14:paraId="13CFADD6" w14:textId="7B173BD2">
            <w:pPr>
              <w:overflowPunct w:val="0"/>
              <w:autoSpaceDE w:val="0"/>
              <w:autoSpaceDN w:val="0"/>
              <w:adjustRightInd w:val="0"/>
              <w:spacing w:line="240" w:lineRule="auto"/>
              <w:textAlignment w:val="baseline"/>
              <w:rPr>
                <w:i/>
              </w:rPr>
            </w:pPr>
            <w:r w:rsidRPr="00316A9D">
              <w:rPr>
                <w:i/>
              </w:rPr>
              <w:t>Marie-Laurence DRILLON</w:t>
            </w:r>
          </w:p>
        </w:tc>
      </w:tr>
      <w:tr w:rsidRPr="00316A9D" w:rsidR="003C7345" w:rsidTr="009839A2" w14:paraId="76BAD38A" w14:textId="77777777">
        <w:tc>
          <w:tcPr>
            <w:tcW w:w="1556" w:type="pct"/>
          </w:tcPr>
          <w:p w:rsidRPr="00316A9D" w:rsidR="003C7345" w:rsidP="003C7345" w:rsidRDefault="003C7345" w14:paraId="15304711" w14:textId="77777777">
            <w:pPr>
              <w:overflowPunct w:val="0"/>
              <w:autoSpaceDE w:val="0"/>
              <w:autoSpaceDN w:val="0"/>
              <w:adjustRightInd w:val="0"/>
              <w:spacing w:line="240" w:lineRule="auto"/>
              <w:textAlignment w:val="baseline"/>
              <w:rPr>
                <w:i/>
              </w:rPr>
            </w:pPr>
            <w:r w:rsidRPr="00316A9D">
              <w:rPr>
                <w:i/>
              </w:rPr>
              <w:t>Tel.</w:t>
            </w:r>
          </w:p>
        </w:tc>
        <w:tc>
          <w:tcPr>
            <w:tcW w:w="3444" w:type="pct"/>
          </w:tcPr>
          <w:p w:rsidRPr="00316A9D" w:rsidR="003C7345" w:rsidP="003C7345" w:rsidRDefault="003C7345" w14:paraId="78232120" w14:textId="77777777">
            <w:pPr>
              <w:overflowPunct w:val="0"/>
              <w:autoSpaceDE w:val="0"/>
              <w:autoSpaceDN w:val="0"/>
              <w:adjustRightInd w:val="0"/>
              <w:spacing w:line="240" w:lineRule="auto"/>
              <w:textAlignment w:val="baseline"/>
              <w:rPr>
                <w:i/>
              </w:rPr>
            </w:pPr>
            <w:r w:rsidRPr="00316A9D">
              <w:rPr>
                <w:i/>
              </w:rPr>
              <w:t>+32 25468320</w:t>
            </w:r>
          </w:p>
        </w:tc>
      </w:tr>
      <w:tr w:rsidRPr="00316A9D" w:rsidR="003C7345" w:rsidTr="009839A2" w14:paraId="3FA54877" w14:textId="77777777">
        <w:tc>
          <w:tcPr>
            <w:tcW w:w="1556" w:type="pct"/>
          </w:tcPr>
          <w:p w:rsidRPr="00316A9D" w:rsidR="003C7345" w:rsidP="003C7345" w:rsidRDefault="003D1AF1" w14:paraId="78524C57" w14:textId="4F6A76E5">
            <w:pPr>
              <w:overflowPunct w:val="0"/>
              <w:autoSpaceDE w:val="0"/>
              <w:autoSpaceDN w:val="0"/>
              <w:adjustRightInd w:val="0"/>
              <w:spacing w:line="240" w:lineRule="auto"/>
              <w:textAlignment w:val="baseline"/>
              <w:rPr>
                <w:i/>
              </w:rPr>
            </w:pPr>
            <w:r w:rsidRPr="00316A9D">
              <w:rPr>
                <w:i/>
              </w:rPr>
              <w:t>E</w:t>
            </w:r>
            <w:r w:rsidRPr="00316A9D" w:rsidR="003C7345">
              <w:rPr>
                <w:i/>
              </w:rPr>
              <w:t>-mail</w:t>
            </w:r>
          </w:p>
        </w:tc>
        <w:tc>
          <w:tcPr>
            <w:tcW w:w="3444" w:type="pct"/>
          </w:tcPr>
          <w:p w:rsidRPr="00316A9D" w:rsidR="003C7345" w:rsidP="003C7345" w:rsidRDefault="003A440F" w14:paraId="0847A583" w14:textId="77777777">
            <w:pPr>
              <w:overflowPunct w:val="0"/>
              <w:autoSpaceDE w:val="0"/>
              <w:autoSpaceDN w:val="0"/>
              <w:adjustRightInd w:val="0"/>
              <w:spacing w:line="240" w:lineRule="auto"/>
              <w:textAlignment w:val="baseline"/>
              <w:rPr>
                <w:i/>
              </w:rPr>
            </w:pPr>
            <w:hyperlink w:history="1" r:id="rId54">
              <w:r w:rsidRPr="00316A9D" w:rsidR="00F76B5D">
                <w:rPr>
                  <w:i/>
                  <w:color w:val="0000FF"/>
                  <w:u w:val="single"/>
                </w:rPr>
                <w:t>Marie-Laurence.Drillon@eesc.europa.eu</w:t>
              </w:r>
            </w:hyperlink>
          </w:p>
        </w:tc>
      </w:tr>
    </w:tbl>
    <w:p w:rsidRPr="00316A9D" w:rsidR="0092772D" w:rsidP="006C7863" w:rsidRDefault="00556EDF" w14:paraId="7379A588" w14:textId="3EDEF816">
      <w:pPr>
        <w:overflowPunct w:val="0"/>
        <w:autoSpaceDE w:val="0"/>
        <w:autoSpaceDN w:val="0"/>
        <w:adjustRightInd w:val="0"/>
        <w:jc w:val="center"/>
        <w:textAlignment w:val="baseline"/>
      </w:pPr>
      <w:r w:rsidRPr="00316A9D">
        <w:t>_____________</w:t>
      </w:r>
    </w:p>
    <w:sectPr w:rsidRPr="00316A9D" w:rsidR="0092772D" w:rsidSect="00386C01">
      <w:headerReference w:type="even" r:id="rId55"/>
      <w:headerReference w:type="default" r:id="rId56"/>
      <w:footerReference w:type="even" r:id="rId57"/>
      <w:footerReference w:type="default" r:id="rId58"/>
      <w:headerReference w:type="first" r:id="rId59"/>
      <w:footerReference w:type="first" r:id="rId60"/>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9A1C" w14:textId="77777777" w:rsidR="008D3A30" w:rsidRPr="00386C01" w:rsidRDefault="008D3A30" w:rsidP="00386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FB7F2F9" w:rsidR="00765C4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rsidR="00401E8F">
      <w:t>1</w:t>
    </w:r>
    <w:r>
      <w:fldChar w:fldCharType="end"/>
    </w:r>
    <w:r>
      <w:t>/</w:t>
    </w:r>
    <w:fldSimple w:instr=" NUMPAGES ">
      <w:r w:rsidR="00401E8F">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DB2B" w14:textId="77777777" w:rsidR="008D3A30" w:rsidRPr="00386C01" w:rsidRDefault="008D3A30" w:rsidP="00386C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386C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3C8D74FE" w:rsidR="00E4258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t>2</w:t>
    </w:r>
    <w:r>
      <w:fldChar w:fldCharType="end"/>
    </w:r>
    <w:r>
      <w:t>/</w:t>
    </w:r>
    <w:fldSimple w:instr=" NUMPAGES ">
      <w:r>
        <w:t>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38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3E3D" w14:textId="77777777" w:rsidR="008D3A30" w:rsidRPr="00386C01" w:rsidRDefault="008D3A30" w:rsidP="00386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BC3F" w14:textId="4B5B1D16" w:rsidR="008D3A30" w:rsidRPr="00386C01" w:rsidRDefault="008D3A30" w:rsidP="00386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283F" w14:textId="77777777" w:rsidR="008D3A30" w:rsidRPr="00386C01" w:rsidRDefault="008D3A30" w:rsidP="00386C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787EB3"/>
    <w:multiLevelType w:val="hybridMultilevel"/>
    <w:tmpl w:val="D758F79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A0313A"/>
    <w:multiLevelType w:val="multilevel"/>
    <w:tmpl w:val="42341D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8"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9A1272"/>
    <w:multiLevelType w:val="hybridMultilevel"/>
    <w:tmpl w:val="A1E8D55E"/>
    <w:lvl w:ilvl="0" w:tplc="B1E65BE0">
      <w:start w:val="1"/>
      <w:numFmt w:val="bullet"/>
      <w:lvlText w:val=""/>
      <w:lvlJc w:val="left"/>
      <w:pPr>
        <w:ind w:left="720" w:hanging="360"/>
      </w:pPr>
      <w:rPr>
        <w:rFonts w:ascii="Symbol" w:hAnsi="Symbol" w:hint="default"/>
        <w:color w:val="auto"/>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811CE4"/>
    <w:multiLevelType w:val="hybridMultilevel"/>
    <w:tmpl w:val="30E8AA16"/>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35855"/>
    <w:multiLevelType w:val="hybridMultilevel"/>
    <w:tmpl w:val="1FFEA8FE"/>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3" w15:restartNumberingAfterBreak="0">
    <w:nsid w:val="11F45EFC"/>
    <w:multiLevelType w:val="hybridMultilevel"/>
    <w:tmpl w:val="74DC8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42CF8"/>
    <w:multiLevelType w:val="hybridMultilevel"/>
    <w:tmpl w:val="B756D7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1E05B3"/>
    <w:multiLevelType w:val="hybridMultilevel"/>
    <w:tmpl w:val="890AE7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0B6404"/>
    <w:multiLevelType w:val="hybridMultilevel"/>
    <w:tmpl w:val="50089ED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8401A9"/>
    <w:multiLevelType w:val="hybridMultilevel"/>
    <w:tmpl w:val="DC2AF47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1EBF2C0D"/>
    <w:multiLevelType w:val="hybridMultilevel"/>
    <w:tmpl w:val="6ABC3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0C3EBE"/>
    <w:multiLevelType w:val="hybridMultilevel"/>
    <w:tmpl w:val="6620305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E29E8"/>
    <w:multiLevelType w:val="hybridMultilevel"/>
    <w:tmpl w:val="A3B62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FC4"/>
    <w:multiLevelType w:val="hybridMultilevel"/>
    <w:tmpl w:val="B3A8B5E0"/>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E80565"/>
    <w:multiLevelType w:val="hybridMultilevel"/>
    <w:tmpl w:val="446A17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B59B6"/>
    <w:multiLevelType w:val="hybridMultilevel"/>
    <w:tmpl w:val="C6AA0E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52E76A2"/>
    <w:multiLevelType w:val="hybridMultilevel"/>
    <w:tmpl w:val="F796D28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362232"/>
    <w:multiLevelType w:val="hybridMultilevel"/>
    <w:tmpl w:val="29EEED0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6F74C1"/>
    <w:multiLevelType w:val="hybridMultilevel"/>
    <w:tmpl w:val="D68E838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732ECA"/>
    <w:multiLevelType w:val="hybridMultilevel"/>
    <w:tmpl w:val="811C836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3A1625F6"/>
    <w:multiLevelType w:val="hybridMultilevel"/>
    <w:tmpl w:val="FA5638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A615E41"/>
    <w:multiLevelType w:val="hybridMultilevel"/>
    <w:tmpl w:val="5A328BE8"/>
    <w:lvl w:ilvl="0" w:tplc="F6166D28">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40F64EF4"/>
    <w:multiLevelType w:val="multilevel"/>
    <w:tmpl w:val="5DD08F48"/>
    <w:lvl w:ilvl="0">
      <w:start w:val="1"/>
      <w:numFmt w:val="bullet"/>
      <w:lvlText w:val=""/>
      <w:lvlJc w:val="left"/>
      <w:rPr>
        <w:rFonts w:ascii="Symbol" w:hAnsi="Symbol" w:hint="default"/>
        <w:b w:val="0"/>
        <w:caps w:val="0"/>
        <w:strike w:val="0"/>
        <w:dstrike w:val="0"/>
        <w:vanish w:val="0"/>
        <w:sz w:val="22"/>
        <w:vertAlign w:val="baseli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3" w15:restartNumberingAfterBreak="0">
    <w:nsid w:val="45E93E66"/>
    <w:multiLevelType w:val="hybridMultilevel"/>
    <w:tmpl w:val="FC8085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4AC05A95"/>
    <w:multiLevelType w:val="hybridMultilevel"/>
    <w:tmpl w:val="A21A49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1241D5B"/>
    <w:multiLevelType w:val="hybridMultilevel"/>
    <w:tmpl w:val="E66A0F6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524F65E5"/>
    <w:multiLevelType w:val="hybridMultilevel"/>
    <w:tmpl w:val="7B6AF89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B440E80"/>
    <w:multiLevelType w:val="hybridMultilevel"/>
    <w:tmpl w:val="FD9CDB9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1A66135"/>
    <w:multiLevelType w:val="hybridMultilevel"/>
    <w:tmpl w:val="007E429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281A5F"/>
    <w:multiLevelType w:val="hybridMultilevel"/>
    <w:tmpl w:val="768EB3AC"/>
    <w:lvl w:ilvl="0" w:tplc="5608E820">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15:restartNumberingAfterBreak="0">
    <w:nsid w:val="671428B2"/>
    <w:multiLevelType w:val="hybridMultilevel"/>
    <w:tmpl w:val="BF2EEBD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4" w15:restartNumberingAfterBreak="0">
    <w:nsid w:val="685A0D57"/>
    <w:multiLevelType w:val="hybridMultilevel"/>
    <w:tmpl w:val="EEC818CE"/>
    <w:lvl w:ilvl="0" w:tplc="B1E65BE0">
      <w:start w:val="1"/>
      <w:numFmt w:val="bullet"/>
      <w:lvlText w:val=""/>
      <w:lvlJc w:val="left"/>
      <w:pPr>
        <w:ind w:left="1004" w:hanging="360"/>
      </w:pPr>
      <w:rPr>
        <w:rFonts w:ascii="Symbol" w:hAnsi="Symbol" w:hint="default"/>
        <w:color w:val="auto"/>
        <w:sz w:val="28"/>
        <w:szCs w:val="28"/>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5"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C3201B8"/>
    <w:multiLevelType w:val="hybridMultilevel"/>
    <w:tmpl w:val="20C450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34D17A2"/>
    <w:multiLevelType w:val="hybridMultilevel"/>
    <w:tmpl w:val="CD3CE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47D2390"/>
    <w:multiLevelType w:val="hybridMultilevel"/>
    <w:tmpl w:val="E2CAE77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9"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1"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7D864DA1"/>
    <w:multiLevelType w:val="hybridMultilevel"/>
    <w:tmpl w:val="C2AAA04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41"/>
  </w:num>
  <w:num w:numId="4">
    <w:abstractNumId w:val="24"/>
  </w:num>
  <w:num w:numId="5">
    <w:abstractNumId w:val="22"/>
  </w:num>
  <w:num w:numId="6">
    <w:abstractNumId w:val="11"/>
  </w:num>
  <w:num w:numId="7">
    <w:abstractNumId w:val="63"/>
  </w:num>
  <w:num w:numId="8">
    <w:abstractNumId w:val="60"/>
  </w:num>
  <w:num w:numId="9">
    <w:abstractNumId w:val="5"/>
  </w:num>
  <w:num w:numId="10">
    <w:abstractNumId w:val="39"/>
  </w:num>
  <w:num w:numId="11">
    <w:abstractNumId w:val="61"/>
  </w:num>
  <w:num w:numId="12">
    <w:abstractNumId w:val="21"/>
  </w:num>
  <w:num w:numId="13">
    <w:abstractNumId w:val="49"/>
  </w:num>
  <w:num w:numId="14">
    <w:abstractNumId w:val="8"/>
  </w:num>
  <w:num w:numId="15">
    <w:abstractNumId w:val="44"/>
  </w:num>
  <w:num w:numId="16">
    <w:abstractNumId w:val="31"/>
  </w:num>
  <w:num w:numId="17">
    <w:abstractNumId w:val="19"/>
  </w:num>
  <w:num w:numId="18">
    <w:abstractNumId w:val="10"/>
  </w:num>
  <w:num w:numId="19">
    <w:abstractNumId w:val="26"/>
  </w:num>
  <w:num w:numId="20">
    <w:abstractNumId w:val="2"/>
  </w:num>
  <w:num w:numId="21">
    <w:abstractNumId w:val="59"/>
  </w:num>
  <w:num w:numId="22">
    <w:abstractNumId w:val="51"/>
  </w:num>
  <w:num w:numId="23">
    <w:abstractNumId w:val="1"/>
  </w:num>
  <w:num w:numId="24">
    <w:abstractNumId w:val="14"/>
  </w:num>
  <w:num w:numId="25">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26">
    <w:abstractNumId w:val="12"/>
  </w:num>
  <w:num w:numId="27">
    <w:abstractNumId w:val="32"/>
  </w:num>
  <w:num w:numId="28">
    <w:abstractNumId w:val="25"/>
  </w:num>
  <w:num w:numId="29">
    <w:abstractNumId w:val="37"/>
  </w:num>
  <w:num w:numId="30">
    <w:abstractNumId w:val="55"/>
  </w:num>
  <w:num w:numId="31">
    <w:abstractNumId w:val="57"/>
  </w:num>
  <w:num w:numId="32">
    <w:abstractNumId w:val="30"/>
  </w:num>
  <w:num w:numId="33">
    <w:abstractNumId w:val="40"/>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6">
    <w:abstractNumId w:val="42"/>
  </w:num>
  <w:num w:numId="37">
    <w:abstractNumId w:val="29"/>
  </w:num>
  <w:num w:numId="38">
    <w:abstractNumId w:val="20"/>
  </w:num>
  <w:num w:numId="39">
    <w:abstractNumId w:val="7"/>
  </w:num>
  <w:num w:numId="40">
    <w:abstractNumId w:val="38"/>
  </w:num>
  <w:num w:numId="41">
    <w:abstractNumId w:val="58"/>
  </w:num>
  <w:num w:numId="42">
    <w:abstractNumId w:val="3"/>
  </w:num>
  <w:num w:numId="43">
    <w:abstractNumId w:val="6"/>
  </w:num>
  <w:num w:numId="44">
    <w:abstractNumId w:val="54"/>
  </w:num>
  <w:num w:numId="45">
    <w:abstractNumId w:val="34"/>
  </w:num>
  <w:num w:numId="46">
    <w:abstractNumId w:val="47"/>
  </w:num>
  <w:num w:numId="47">
    <w:abstractNumId w:val="35"/>
  </w:num>
  <w:num w:numId="48">
    <w:abstractNumId w:val="9"/>
  </w:num>
  <w:num w:numId="49">
    <w:abstractNumId w:val="17"/>
  </w:num>
  <w:num w:numId="50">
    <w:abstractNumId w:val="45"/>
  </w:num>
  <w:num w:numId="51">
    <w:abstractNumId w:val="27"/>
  </w:num>
  <w:num w:numId="52">
    <w:abstractNumId w:val="23"/>
  </w:num>
  <w:num w:numId="53">
    <w:abstractNumId w:val="33"/>
  </w:num>
  <w:num w:numId="54">
    <w:abstractNumId w:val="48"/>
  </w:num>
  <w:num w:numId="55">
    <w:abstractNumId w:val="56"/>
  </w:num>
  <w:num w:numId="56">
    <w:abstractNumId w:val="15"/>
  </w:num>
  <w:num w:numId="57">
    <w:abstractNumId w:val="53"/>
  </w:num>
  <w:num w:numId="58">
    <w:abstractNumId w:val="18"/>
  </w:num>
  <w:num w:numId="59">
    <w:abstractNumId w:val="46"/>
  </w:num>
  <w:num w:numId="60">
    <w:abstractNumId w:val="52"/>
  </w:num>
  <w:num w:numId="61">
    <w:abstractNumId w:val="13"/>
  </w:num>
  <w:num w:numId="62">
    <w:abstractNumId w:val="16"/>
  </w:num>
  <w:num w:numId="63">
    <w:abstractNumId w:val="36"/>
  </w:num>
  <w:num w:numId="64">
    <w:abstractNumId w:val="50"/>
  </w:num>
  <w:num w:numId="65">
    <w:abstractNumId w:val="43"/>
  </w:num>
  <w:num w:numId="66">
    <w:abstractNumId w:val="62"/>
  </w:num>
  <w:num w:numId="67">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211"/>
    <w:rsid w:val="001445A7"/>
    <w:rsid w:val="001455A1"/>
    <w:rsid w:val="0014589C"/>
    <w:rsid w:val="00145DCD"/>
    <w:rsid w:val="00147108"/>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60BB"/>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A9D"/>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440F"/>
    <w:rsid w:val="003A5C4C"/>
    <w:rsid w:val="003A7071"/>
    <w:rsid w:val="003B01EE"/>
    <w:rsid w:val="003B0516"/>
    <w:rsid w:val="003B1392"/>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345"/>
    <w:rsid w:val="003C7843"/>
    <w:rsid w:val="003D1AF1"/>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1E8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563"/>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2C16"/>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4DC4"/>
    <w:rsid w:val="007A4F58"/>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2D3C"/>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B792B"/>
    <w:rsid w:val="008C18DE"/>
    <w:rsid w:val="008C3DBE"/>
    <w:rsid w:val="008C3E09"/>
    <w:rsid w:val="008C4B50"/>
    <w:rsid w:val="008C4FD1"/>
    <w:rsid w:val="008C5358"/>
    <w:rsid w:val="008C5DF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1771A"/>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6922"/>
    <w:rsid w:val="00B772EE"/>
    <w:rsid w:val="00B77513"/>
    <w:rsid w:val="00B77F1B"/>
    <w:rsid w:val="00B80349"/>
    <w:rsid w:val="00B8063B"/>
    <w:rsid w:val="00B807B4"/>
    <w:rsid w:val="00B81D0F"/>
    <w:rsid w:val="00B8331B"/>
    <w:rsid w:val="00B8375E"/>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40FA"/>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E"/>
    <w:rsid w:val="00D633D2"/>
    <w:rsid w:val="00D63656"/>
    <w:rsid w:val="00D6423D"/>
    <w:rsid w:val="00D64E2D"/>
    <w:rsid w:val="00D65CD6"/>
    <w:rsid w:val="00D67943"/>
    <w:rsid w:val="00D67B5F"/>
    <w:rsid w:val="00D67CA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0F02"/>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707"/>
    <w:rsid w:val="00EB3927"/>
    <w:rsid w:val="00EB3D32"/>
    <w:rsid w:val="00EB46E1"/>
    <w:rsid w:val="00EB473F"/>
    <w:rsid w:val="00EB49CC"/>
    <w:rsid w:val="00EB7883"/>
    <w:rsid w:val="00EB7972"/>
    <w:rsid w:val="00EC0628"/>
    <w:rsid w:val="00EC13BB"/>
    <w:rsid w:val="00EC1820"/>
    <w:rsid w:val="00EC3E58"/>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6B5D"/>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it-IT"/>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character" w:styleId="UnresolvedMention">
    <w:name w:val="Unresolved Mention"/>
    <w:basedOn w:val="DefaultParagraphFont"/>
    <w:uiPriority w:val="99"/>
    <w:semiHidden/>
    <w:unhideWhenUsed/>
    <w:rsid w:val="003D1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it/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Colombe.Gregoire@eesc.europa.eu" TargetMode="External"/><Relationship Id="rId39" Type="http://schemas.openxmlformats.org/officeDocument/2006/relationships/hyperlink" Target="https://www.eesc.europa.eu/it/our-work/opinions-information-reports/opinions/revision-package-travel-directive" TargetMode="External"/><Relationship Id="rId21" Type="http://schemas.openxmlformats.org/officeDocument/2006/relationships/hyperlink" Target="https://www.eesc.europa.eu/it/our-work/opinions-information-reports/opinions/business-europe-framework-income-taxation-befit" TargetMode="External"/><Relationship Id="rId34" Type="http://schemas.openxmlformats.org/officeDocument/2006/relationships/hyperlink" Target="mailto:Alessia.Cova@eesc.europa.eu" TargetMode="External"/><Relationship Id="rId42" Type="http://schemas.openxmlformats.org/officeDocument/2006/relationships/hyperlink" Target="mailto:Martine.Delanoy@eesc.europa.eu" TargetMode="External"/><Relationship Id="rId47" Type="http://schemas.openxmlformats.org/officeDocument/2006/relationships/hyperlink" Target="https://www.eesc.europa.eu/it/our-work/opinions-information-reports/opinions/new-growth-plan-and-reform-and-growth-facility-western-balkans" TargetMode="External"/><Relationship Id="rId50" Type="http://schemas.openxmlformats.org/officeDocument/2006/relationships/hyperlink" Target="mailto:Antonio.RibeiroPereira@eesc.europa.eu" TargetMode="External"/><Relationship Id="rId55" Type="http://schemas.openxmlformats.org/officeDocument/2006/relationships/header" Target="header4.xml"/><Relationship Id="rId63" Type="http://schemas.openxmlformats.org/officeDocument/2006/relationships/customXml" Target="../customXml/item1.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www.eesc.europa.eu/it/our-work/opinions-information-reports/information-reports/evaluation-european-social-fund-2014-2020" TargetMode="External"/><Relationship Id="rId11" Type="http://schemas.openxmlformats.org/officeDocument/2006/relationships/endnotes" Target="endnotes.xml"/><Relationship Id="rId24" Type="http://schemas.openxmlformats.org/officeDocument/2006/relationships/hyperlink" Target="mailto:Georgios.Meleas@eesc.europa.eu" TargetMode="External"/><Relationship Id="rId32" Type="http://schemas.openxmlformats.org/officeDocument/2006/relationships/hyperlink" Target="mailto:Triin.AasmaaGomes@eesc.europa.eu" TargetMode="External"/><Relationship Id="rId37" Type="http://schemas.openxmlformats.org/officeDocument/2006/relationships/hyperlink" Target="https://www.eesc.europa.eu/it/our-work/opinions-information-reports/opinions/strategic-foresight-report-2023" TargetMode="External"/><Relationship Id="rId40" Type="http://schemas.openxmlformats.org/officeDocument/2006/relationships/hyperlink" Target="mailto:Radoslava.Stefankova@eesc.europa.eu" TargetMode="External"/><Relationship Id="rId45" Type="http://schemas.openxmlformats.org/officeDocument/2006/relationships/hyperlink" Target="https://www.eesc.europa.eu/it/our-work/opinions-information-reports/opinions/eu-uk-youth-engagement" TargetMode="External"/><Relationship Id="rId53" Type="http://schemas.openxmlformats.org/officeDocument/2006/relationships/hyperlink" Target="https://www.eesc.europa.eu/it/our-work/opinions-information-reports/opinions/towards-more-resilient-competitive-and-sustainable-europe" TargetMode="External"/><Relationship Id="rId58" Type="http://schemas.openxmlformats.org/officeDocument/2006/relationships/footer" Target="footer5.xml"/><Relationship Id="rId66" Type="http://schemas.openxmlformats.org/officeDocument/2006/relationships/customXml" Target="../customXml/item4.xml"/><Relationship Id="rId61" Type="http://schemas.openxmlformats.org/officeDocument/2006/relationships/fontTable" Target="fontTable.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https://www.eesc.europa.eu/it/our-work/opinions-information-reports/opinions/defence-democracy-package" TargetMode="External"/><Relationship Id="rId30" Type="http://schemas.openxmlformats.org/officeDocument/2006/relationships/hyperlink" Target="mailto:Bartek.Bednarowicz@eesc.europa.eu" TargetMode="External"/><Relationship Id="rId35" Type="http://schemas.openxmlformats.org/officeDocument/2006/relationships/hyperlink" Target="https://www.eesc.europa.eu/it/our-work/opinions-information-reports/opinions/long-term-competitiveness-strategy" TargetMode="External"/><Relationship Id="rId43" Type="http://schemas.openxmlformats.org/officeDocument/2006/relationships/hyperlink" Target="https://www.eesc.europa.eu/it/our-work/opinions-information-reports/opinions/towards-greater-involvement-member-states-regions-and-civil-society-actors-implementation-long-term-vision-eus-rural" TargetMode="External"/><Relationship Id="rId48" Type="http://schemas.openxmlformats.org/officeDocument/2006/relationships/hyperlink" Target="mailto:David.Hoic@eesc.europa.eu" TargetMode="External"/><Relationship Id="rId56" Type="http://schemas.openxmlformats.org/officeDocument/2006/relationships/header" Target="header5.xml"/><Relationship Id="rId64" Type="http://schemas.openxmlformats.org/officeDocument/2006/relationships/customXml" Target="../customXml/item2.xml"/><Relationship Id="rId8" Type="http://schemas.openxmlformats.org/officeDocument/2006/relationships/settings" Target="settings.xml"/><Relationship Id="rId51" Type="http://schemas.openxmlformats.org/officeDocument/2006/relationships/hyperlink" Target="https://www.eesc.europa.eu/it/our-work/opinions-information-reports/opinions/safeguarding-democracy-against-disinformation"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it/our-work/opinions-information-reports/opinions/reform-and-investment-proposals-and-their-implementation-member-states-what-opinion-organised-civil-society-2023-2024" TargetMode="External"/><Relationship Id="rId33" Type="http://schemas.openxmlformats.org/officeDocument/2006/relationships/hyperlink" Target="https://www.eesc.europa.eu/it/our-work/opinions-information-reports/opinions/roadmap-anti-drug-trafficking" TargetMode="External"/><Relationship Id="rId38" Type="http://schemas.openxmlformats.org/officeDocument/2006/relationships/hyperlink" Target="mailto:Raul.MurielCarrasco@eesc.europa.eu" TargetMode="External"/><Relationship Id="rId46" Type="http://schemas.openxmlformats.org/officeDocument/2006/relationships/hyperlink" Target="mailto:Sveto.Trajkovski@eesc.europa.eu" TargetMode="External"/><Relationship Id="rId59" Type="http://schemas.openxmlformats.org/officeDocument/2006/relationships/header" Target="header6.xml"/><Relationship Id="rId20" Type="http://schemas.openxmlformats.org/officeDocument/2006/relationships/footer" Target="footer3.xml"/><Relationship Id="rId41" Type="http://schemas.openxmlformats.org/officeDocument/2006/relationships/hyperlink" Target="https://www.eesc.europa.eu/it/our-work/opinions-information-reports/opinions/amendment-cap-basic-acts-simplification" TargetMode="External"/><Relationship Id="rId54" Type="http://schemas.openxmlformats.org/officeDocument/2006/relationships/hyperlink" Target="mailto:Marie-Laurence.Drillon@eesc.europa.eu" TargetMode="External"/><Relationship Id="rId62" Type="http://schemas.openxmlformats.org/officeDocument/2006/relationships/theme" Target="theme/theme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it/our-work/opinions-information-reports/opinions/facilitating-cross-border-solutions" TargetMode="External"/><Relationship Id="rId28" Type="http://schemas.openxmlformats.org/officeDocument/2006/relationships/hyperlink" Target="mailto:JeanMarie.Rogue@eesc.europa.eu" TargetMode="External"/><Relationship Id="rId36" Type="http://schemas.openxmlformats.org/officeDocument/2006/relationships/hyperlink" Target="mailto:Silvia.Staffa@eesc.europa.eu" TargetMode="External"/><Relationship Id="rId49" Type="http://schemas.openxmlformats.org/officeDocument/2006/relationships/hyperlink" Target="https://www.eesc.europa.eu/it/our-work/opinions-information-reports/opinions/harmonised-river-information-services-revision-eu-rules" TargetMode="External"/><Relationship Id="rId57" Type="http://schemas.openxmlformats.org/officeDocument/2006/relationships/footer" Target="footer4.xml"/><Relationship Id="rId10" Type="http://schemas.openxmlformats.org/officeDocument/2006/relationships/footnotes" Target="footnotes.xml"/><Relationship Id="rId31" Type="http://schemas.openxmlformats.org/officeDocument/2006/relationships/hyperlink" Target="https://www.eesc.europa.eu/it/our-work/opinions-information-reports/opinions/talent-mobility-package" TargetMode="External"/><Relationship Id="rId44" Type="http://schemas.openxmlformats.org/officeDocument/2006/relationships/hyperlink" Target="mailto:Nicolas.Stenger@eesc.europa.eu" TargetMode="External"/><Relationship Id="rId52" Type="http://schemas.openxmlformats.org/officeDocument/2006/relationships/hyperlink" Target="mailto:Francesco.Napolitano@eesc.europa.eu" TargetMode="External"/><Relationship Id="rId60" Type="http://schemas.openxmlformats.org/officeDocument/2006/relationships/footer" Target="footer6.xml"/><Relationship Id="rId65" Type="http://schemas.openxmlformats.org/officeDocument/2006/relationships/customXml" Target="../customXml/item3.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F7M6YNZUATRX-917472228-3704</_dlc_DocId>
    <_dlc_DocIdUrl xmlns="59ace41b-6786-4ce3-be71-52c27066c6ef">
      <Url>http://dm/eesc/2024/_layouts/15/DocIdRedir.aspx?ID=F7M6YNZUATRX-917472228-3704</Url>
      <Description>F7M6YNZUATRX-917472228-3704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2024-05-17T12:00:00+00:00</ProductionDate>
    <DocumentNumber xmlns="14d11ec3-fd82-4994-a217-1a91de9b2d2a">1233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2024-05-30T12:00:00+00:00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5338</FicheNumber>
    <OriginalSender xmlns="59ace41b-6786-4ce3-be71-52c27066c6ef">
      <UserInfo>
        <DisplayName>Bertocchi Massimo</DisplayName>
        <AccountId>1566</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588</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798872-C22B-4841-8ECC-812621F1B128}"/>
</file>

<file path=customXml/itemProps2.xml><?xml version="1.0" encoding="utf-8"?>
<ds:datastoreItem xmlns:ds="http://schemas.openxmlformats.org/officeDocument/2006/customXml" ds:itemID="{BFACD77F-E96E-4F81-AE58-242E2FB62627}"/>
</file>

<file path=customXml/itemProps3.xml><?xml version="1.0" encoding="utf-8"?>
<ds:datastoreItem xmlns:ds="http://schemas.openxmlformats.org/officeDocument/2006/customXml" ds:itemID="{BEC595A1-962A-4B8C-A21E-DEC59481F6F5}"/>
</file>

<file path=customXml/itemProps4.xml><?xml version="1.0" encoding="utf-8"?>
<ds:datastoreItem xmlns:ds="http://schemas.openxmlformats.org/officeDocument/2006/customXml" ds:itemID="{94DA65C9-CEEA-46C9-808F-DF368E6548FD}"/>
</file>

<file path=docProps/app.xml><?xml version="1.0" encoding="utf-8"?>
<Properties xmlns="http://schemas.openxmlformats.org/officeDocument/2006/extended-properties" xmlns:vt="http://schemas.openxmlformats.org/officeDocument/2006/docPropsVTypes">
  <Template>Normal.dotm</Template>
  <TotalTime>0</TotalTime>
  <Pages>23</Pages>
  <Words>7469</Words>
  <Characters>42575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49945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Sintesi dei pareri - 587ª sessione plenaria - aprile 2024  </dc:title>
  <dc:subject>TCD</dc:subject>
  <dc:creator>Nieddu Emma</dc:creator>
  <cp:keywords>EESC-2024-01233-00-01-TCD-TRA-EN</cp:keywords>
  <dc:description>Rapporteur:  - Original language: EN - Date of document: 17/05/2024 - Date of meeting: 30/30/2024 14:30 - External documents:  - Administrator: MME TAMASAUSKIENE Julija</dc:description>
  <cp:lastModifiedBy>Bertocchi Massimo</cp:lastModifiedBy>
  <cp:revision>9</cp:revision>
  <cp:lastPrinted>2023-06-15T08:00:00Z</cp:lastPrinted>
  <dcterms:created xsi:type="dcterms:W3CDTF">2024-05-17T13:12:00Z</dcterms:created>
  <dcterms:modified xsi:type="dcterms:W3CDTF">2024-05-17T14:55:00Z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17/05/2024, 13/05/2024, 09/04/2024, 27/03/2024, 03/01/2024, 13/11/2023, 25/09/2023, 25/07/2023, 30/06/2023, 23/06/2023, 26/05/2023, 07/03/2023, 11/01/2023, 10/01/2023, 29/03/2022, 04/03/2022, 15/12/2021, 13/09/2021, 03/09/2021, 28/06/2021</vt:lpwstr>
  </property>
  <property fmtid="{D5CDD505-2E9C-101B-9397-08002B2CF9AE}" pid="4" name="Pref_Time">
    <vt:lpwstr>13:50:35, 15:20:37,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EESC-2024-01233-00-01-TCD-TRA.docx, eesc-2024-01233-00-00-tcd-ori.docx,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d7e960d2-5e80-44d5-8321-86eac8a770f4</vt:lpwstr>
  </property>
  <property fmtid="{D5CDD505-2E9C-101B-9397-08002B2CF9AE}" pid="9" name="AvailableTranslations">
    <vt:lpwstr>36;#PT|50ccc04a-eadd-42ae-a0cb-acaf45f812ba;#26;#SK|46d9fce0-ef79-4f71-b89b-cd6aa82426b8;#24;#ES|e7a6b05b-ae16-40c8-add9-68b64b03aeba;#28;#LV|46f7e311-5d9f-4663-b433-18aeccb7ace7;#21;#SV|c2ed69e7-a339-43d7-8f22-d93680a92aa0;#22;#BG|1a1b3951-7821-4e6a-85f5-5673fc08bd2c;#14;#FR|d2afafd3-4c81-4f60-8f52-ee33f2f54ff3;#32;#HU|6b229040-c589-4408-b4c1-4285663d20a8;#25;#DE|f6b31e5a-26fa-4935-b661-318e46daf27e;#12;#IT|0774613c-01ed-4e5d-a25d-11d2388de825;#33;#ET|ff6c3f4c-b02c-4c3c-ab07-2c37995a7a0a;#29;#EL|6d4f4d51-af9b-4650-94b4-4276bee85c91;#16;#DA|5d49c027-8956-412b-aa16-e85a0f96ad0e;#35;#FI|87606a43-d45f-42d6-b8c9-e1a3457db5b7;#31;#NL|55c6556c-b4f4-441d-9acf-c498d4f838bd;#43;#CS|72f9705b-0217-4fd3-bea2-cbc7ed80e26e;#17;#PL|1e03da61-4678-4e07-b136-b5024ca9197b;#37;#RO|feb747a2-64cd-4299-af12-4833ddc30497;#30;#HR|2f555653-ed1a-4fe6-8362-9082d95989e5;#5;#EN|f2175f21-25d7-44a3-96da-d6a61b075e1b;#27;#SL|98a412ae-eb01-49e9-ae3d-585a81724cfc;#34;#LT|a7ff5ce7-6123-4f68-865a-a57c31810414</vt:lpwstr>
  </property>
  <property fmtid="{D5CDD505-2E9C-101B-9397-08002B2CF9AE}" pid="10" name="DocumentType_0">
    <vt:lpwstr>TCD|cd9d6eb6-3f4f-424a-b2d1-57c9d450eaaf</vt:lpwstr>
  </property>
  <property fmtid="{D5CDD505-2E9C-101B-9397-08002B2CF9AE}" pid="11" name="MeetingNumber">
    <vt:i4>588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1233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2024-05-30T12:00:00Z</vt:filetime>
  </property>
  <property fmtid="{D5CDD505-2E9C-101B-9397-08002B2CF9AE}" pid="29" name="AvailableTranslations_0">
    <vt:lpwstr>PT|50ccc04a-eadd-42ae-a0cb-acaf45f812ba;SK|46d9fce0-ef79-4f71-b89b-cd6aa82426b8;ES|e7a6b05b-ae16-40c8-add9-68b64b03aeba;LV|46f7e311-5d9f-4663-b433-18aeccb7ace7;SV|c2ed69e7-a339-43d7-8f22-d93680a92aa0;BG|1a1b3951-7821-4e6a-85f5-5673fc08bd2c;FR|d2afafd3-4c81-4f60-8f52-ee33f2f54ff3;HU|6b229040-c589-4408-b4c1-4285663d20a8;DE|f6b31e5a-26fa-4935-b661-318e46daf27e;ET|ff6c3f4c-b02c-4c3c-ab07-2c37995a7a0a;EL|6d4f4d51-af9b-4650-94b4-4276bee85c91;DA|5d49c027-8956-412b-aa16-e85a0f96ad0e;FI|87606a43-d45f-42d6-b8c9-e1a3457db5b7;NL|55c6556c-b4f4-441d-9acf-c498d4f838bd;PL|1e03da61-4678-4e07-b136-b5024ca9197b;RO|feb747a2-64cd-4299-af12-4833ddc30497;HR|2f555653-ed1a-4fe6-8362-9082d95989e5;EN|f2175f21-25d7-44a3-96da-d6a61b075e1b;SL|98a412ae-eb01-49e9-ae3d-585a81724cfc;LT|a7ff5ce7-6123-4f68-865a-a57c31810414</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33;#ET|ff6c3f4c-b02c-4c3c-ab07-2c37995a7a0a;#32;#HU|6b229040-c589-4408-b4c1-4285663d20a8;#31;#NL|55c6556c-b4f4-441d-9acf-c498d4f838bd;#30;#HR|2f555653-ed1a-4fe6-8362-9082d95989e5;#29;#EL|6d4f4d51-af9b-4650-94b4-4276bee85c91;#28;#LV|46f7e311-5d9f-4663-b433-18aeccb7ace7;#27;#SL|98a412ae-eb01-49e9-ae3d-585a81724cfc;#26;#SK|46d9fce0-ef79-4f71-b89b-cd6aa82426b8;#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8;#Final|ea5e6674-7b27-4bac-b091-73adbb394efe;#7;#SPL-CES|32d8cb1f-c9ec-4365-95c7-8385a18618ac;#6;#Unrestricted|826e22d7-d029-4ec0-a450-0c28ff673572;#5;#EN|f2175f21-25d7-44a3-96da-d6a61b075e1b;#3;#TRA|150d2a88-1431-44e6-a8ca-0bb753ab8672;#1;#EESC|422833ec-8d7e-4e65-8e4e-8bed07ffb729;#37;#RO|feb747a2-64cd-4299-af12-4833ddc30497</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5338</vt:i4>
  </property>
  <property fmtid="{D5CDD505-2E9C-101B-9397-08002B2CF9AE}" pid="37" name="DocumentLanguage">
    <vt:lpwstr>12;#IT|0774613c-01ed-4e5d-a25d-11d2388de825</vt:lpwstr>
  </property>
</Properties>
</file>