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C37C45" w14:paraId="785AE44C" w14:textId="346C92CB">
      <w:pPr>
        <w:jc w:val="center"/>
      </w:pPr>
      <w:r>
        <w:rPr>
          <w:noProof/>
        </w:rPr>
        <w:drawing>
          <wp:inline distT="0" distB="0" distL="0" distR="0" wp14:anchorId="1EEA0C1F" wp14:editId="72795987">
            <wp:extent cx="1792605" cy="1239520"/>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Picture 2" title="EESCLogo_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44484E3D"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37C462B">
      <w:pPr>
        <w:jc w:val="right"/>
      </w:pPr>
      <w:r>
        <w:t>Brüssel, den 27. Mai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19C8097">
            <w:pPr>
              <w:snapToGrid w:val="0"/>
              <w:jc w:val="center"/>
              <w:rPr>
                <w:b/>
                <w:sz w:val="32"/>
              </w:rPr>
            </w:pPr>
            <w:r>
              <w:rPr>
                <w:b/>
                <w:sz w:val="32"/>
              </w:rPr>
              <w:t>587. PLENARTAGUNG</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2CD68B6">
            <w:pPr>
              <w:snapToGrid w:val="0"/>
              <w:jc w:val="center"/>
              <w:rPr>
                <w:b/>
                <w:sz w:val="32"/>
              </w:rPr>
            </w:pPr>
            <w:r>
              <w:rPr>
                <w:b/>
                <w:sz w:val="32"/>
              </w:rPr>
              <w:t>24./25. April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ZUSAMMENFASSUNG DER VERABSCHIEDETEN STELLUNGNAHMEN, ENTSCHLIEẞUNGEN UND INFORMATIONS-/BEWERTUNGSBERICHTE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Dieses Dokument kann in den Amtssprachen auf den Internetseiten des EWSA unter folgender Adresse abgerufen werden:</w:t>
            </w:r>
          </w:p>
          <w:p w:rsidRPr="00094B6B" w:rsidR="00B16284" w:rsidP="00775FC4" w:rsidRDefault="00B16284" w14:paraId="4F26A4CE" w14:textId="77777777">
            <w:pPr>
              <w:snapToGrid w:val="0"/>
              <w:jc w:val="center"/>
            </w:pPr>
          </w:p>
          <w:p w:rsidRPr="00094B6B" w:rsidR="004D7AC0" w:rsidP="00775FC4" w:rsidRDefault="006C4E9A" w14:paraId="2A9352A2" w14:textId="0680ADB6">
            <w:pPr>
              <w:snapToGrid w:val="0"/>
              <w:jc w:val="center"/>
            </w:pPr>
            <w:hyperlink w:history="1" r:id="rId13">
              <w:r w:rsidR="00C37C45">
                <w:rPr>
                  <w:rStyle w:val="Hyperlink"/>
                  <w:highlight w:val="yellow"/>
                </w:rPr>
                <w:t>https://www.eesc.europa.eu/de/our-work/opinions-information-reports/plenary-session-summaries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Die aufgeführten Stellungnahmen können online über die Suchmaschine des EWSA abgerufen werden:</w:t>
            </w:r>
          </w:p>
          <w:p w:rsidRPr="00094B6B" w:rsidR="00B16284" w:rsidP="00775FC4" w:rsidRDefault="00B16284" w14:paraId="7A5411A5" w14:textId="77777777">
            <w:pPr>
              <w:snapToGrid w:val="0"/>
              <w:jc w:val="center"/>
            </w:pPr>
          </w:p>
          <w:p w:rsidRPr="00094B6B" w:rsidR="004D7AC0" w:rsidP="00775FC4" w:rsidRDefault="006C4E9A" w14:paraId="441AC4DD" w14:textId="1194D751">
            <w:pPr>
              <w:snapToGrid w:val="0"/>
              <w:jc w:val="center"/>
            </w:pPr>
            <w:hyperlink w:history="1" r:id="rId14">
              <w:r w:rsidR="00C37C45">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Inhalt</w:t>
      </w:r>
    </w:p>
    <w:p w:rsidR="004838F1" w:rsidP="004838F1" w:rsidRDefault="008772F9" w14:paraId="296EFC0C" w14:textId="1C3E4D83">
      <w:pPr>
        <w:pStyle w:val="TOC1"/>
        <w:ind w:left="440" w:hanging="440"/>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848517">
        <w:r w:rsidRPr="00360DDF" w:rsidR="004838F1">
          <w:rPr>
            <w:rStyle w:val="Hyperlink"/>
            <w14:scene3d>
              <w14:camera w14:prst="orthographicFront"/>
              <w14:lightRig w14:rig="threePt" w14:dir="t">
                <w14:rot w14:lat="0" w14:lon="0" w14:rev="0"/>
              </w14:lightRig>
            </w14:scene3d>
          </w:rPr>
          <w:t>1.</w:t>
        </w:r>
        <w:r w:rsidR="004838F1">
          <w:rPr>
            <w:rFonts w:asciiTheme="minorHAnsi" w:hAnsiTheme="minorHAnsi" w:eastAsiaTheme="minorEastAsia" w:cstheme="minorBidi"/>
            <w:bCs w:val="0"/>
            <w:sz w:val="22"/>
            <w:szCs w:val="22"/>
            <w:lang w:val="en-US"/>
          </w:rPr>
          <w:tab/>
        </w:r>
        <w:r w:rsidRPr="00360DDF" w:rsidR="004838F1">
          <w:rPr>
            <w:rStyle w:val="Hyperlink"/>
            <w:b/>
          </w:rPr>
          <w:t>WIRTSCHAFTS- UND WÄHRUNGSUNION, WIRTSCHAFTLICHER UND SOZIALER ZUSAMMENHALT</w:t>
        </w:r>
        <w:r w:rsidR="004838F1">
          <w:rPr>
            <w:webHidden/>
          </w:rPr>
          <w:tab/>
        </w:r>
        <w:r w:rsidR="004838F1">
          <w:rPr>
            <w:webHidden/>
          </w:rPr>
          <w:fldChar w:fldCharType="begin"/>
        </w:r>
        <w:r w:rsidR="004838F1">
          <w:rPr>
            <w:webHidden/>
          </w:rPr>
          <w:instrText xml:space="preserve"> PAGEREF _Toc166848517 \h </w:instrText>
        </w:r>
        <w:r w:rsidR="004838F1">
          <w:rPr>
            <w:webHidden/>
          </w:rPr>
        </w:r>
        <w:r w:rsidR="004838F1">
          <w:rPr>
            <w:webHidden/>
          </w:rPr>
          <w:fldChar w:fldCharType="separate"/>
        </w:r>
        <w:r w:rsidR="004838F1">
          <w:rPr>
            <w:webHidden/>
          </w:rPr>
          <w:t>3</w:t>
        </w:r>
        <w:r w:rsidR="004838F1">
          <w:rPr>
            <w:webHidden/>
          </w:rPr>
          <w:fldChar w:fldCharType="end"/>
        </w:r>
      </w:hyperlink>
    </w:p>
    <w:p w:rsidR="004838F1" w:rsidRDefault="004838F1" w14:paraId="21C81760" w14:textId="410DA103">
      <w:pPr>
        <w:pStyle w:val="TOC1"/>
        <w:rPr>
          <w:rFonts w:asciiTheme="minorHAnsi" w:hAnsiTheme="minorHAnsi" w:eastAsiaTheme="minorEastAsia" w:cstheme="minorBidi"/>
          <w:bCs w:val="0"/>
          <w:sz w:val="22"/>
          <w:szCs w:val="22"/>
          <w:lang w:val="en-US"/>
        </w:rPr>
      </w:pPr>
      <w:hyperlink w:history="1" w:anchor="_Toc166848518">
        <w:r w:rsidRPr="00360DDF">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360DDF">
          <w:rPr>
            <w:rStyle w:val="Hyperlink"/>
            <w:b/>
          </w:rPr>
          <w:t>BESCHÄFTIGUNG, SOZIALFRAGEN, UNIONSBÜRGERSCHAFT</w:t>
        </w:r>
        <w:r>
          <w:rPr>
            <w:webHidden/>
          </w:rPr>
          <w:tab/>
        </w:r>
        <w:r>
          <w:rPr>
            <w:webHidden/>
          </w:rPr>
          <w:fldChar w:fldCharType="begin"/>
        </w:r>
        <w:r>
          <w:rPr>
            <w:webHidden/>
          </w:rPr>
          <w:instrText xml:space="preserve"> PAGEREF _Toc166848518 \h </w:instrText>
        </w:r>
        <w:r>
          <w:rPr>
            <w:webHidden/>
          </w:rPr>
        </w:r>
        <w:r>
          <w:rPr>
            <w:webHidden/>
          </w:rPr>
          <w:fldChar w:fldCharType="separate"/>
        </w:r>
        <w:r>
          <w:rPr>
            <w:webHidden/>
          </w:rPr>
          <w:t>8</w:t>
        </w:r>
        <w:r>
          <w:rPr>
            <w:webHidden/>
          </w:rPr>
          <w:fldChar w:fldCharType="end"/>
        </w:r>
      </w:hyperlink>
    </w:p>
    <w:p w:rsidR="004838F1" w:rsidRDefault="004838F1" w14:paraId="14358E80" w14:textId="694665A6">
      <w:pPr>
        <w:pStyle w:val="TOC1"/>
        <w:rPr>
          <w:rFonts w:asciiTheme="minorHAnsi" w:hAnsiTheme="minorHAnsi" w:eastAsiaTheme="minorEastAsia" w:cstheme="minorBidi"/>
          <w:bCs w:val="0"/>
          <w:sz w:val="22"/>
          <w:szCs w:val="22"/>
          <w:lang w:val="en-US"/>
        </w:rPr>
      </w:pPr>
      <w:hyperlink w:history="1" w:anchor="_Toc166848519">
        <w:r w:rsidRPr="00360DDF">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360DDF">
          <w:rPr>
            <w:rStyle w:val="Hyperlink"/>
            <w:b/>
          </w:rPr>
          <w:t>BINNENMARKT, PRODUKTION, VERBRAUCH</w:t>
        </w:r>
        <w:r>
          <w:rPr>
            <w:webHidden/>
          </w:rPr>
          <w:tab/>
        </w:r>
        <w:r>
          <w:rPr>
            <w:webHidden/>
          </w:rPr>
          <w:fldChar w:fldCharType="begin"/>
        </w:r>
        <w:r>
          <w:rPr>
            <w:webHidden/>
          </w:rPr>
          <w:instrText xml:space="preserve"> PAGEREF _Toc166848519 \h </w:instrText>
        </w:r>
        <w:r>
          <w:rPr>
            <w:webHidden/>
          </w:rPr>
        </w:r>
        <w:r>
          <w:rPr>
            <w:webHidden/>
          </w:rPr>
          <w:fldChar w:fldCharType="separate"/>
        </w:r>
        <w:r>
          <w:rPr>
            <w:webHidden/>
          </w:rPr>
          <w:t>15</w:t>
        </w:r>
        <w:r>
          <w:rPr>
            <w:webHidden/>
          </w:rPr>
          <w:fldChar w:fldCharType="end"/>
        </w:r>
      </w:hyperlink>
    </w:p>
    <w:p w:rsidR="004838F1" w:rsidRDefault="004838F1" w14:paraId="65A8890F" w14:textId="3FC38683">
      <w:pPr>
        <w:pStyle w:val="TOC1"/>
        <w:rPr>
          <w:rFonts w:asciiTheme="minorHAnsi" w:hAnsiTheme="minorHAnsi" w:eastAsiaTheme="minorEastAsia" w:cstheme="minorBidi"/>
          <w:bCs w:val="0"/>
          <w:sz w:val="22"/>
          <w:szCs w:val="22"/>
          <w:lang w:val="en-US"/>
        </w:rPr>
      </w:pPr>
      <w:hyperlink w:history="1" w:anchor="_Toc166848520">
        <w:r w:rsidRPr="00360DDF">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360DDF">
          <w:rPr>
            <w:rStyle w:val="Hyperlink"/>
            <w:b/>
          </w:rPr>
          <w:t>LANDWIRTSCHAFT, LÄNDLICHE ENTWICKLUNG, UMWELT</w:t>
        </w:r>
        <w:r>
          <w:rPr>
            <w:webHidden/>
          </w:rPr>
          <w:tab/>
        </w:r>
        <w:r>
          <w:rPr>
            <w:webHidden/>
          </w:rPr>
          <w:fldChar w:fldCharType="begin"/>
        </w:r>
        <w:r>
          <w:rPr>
            <w:webHidden/>
          </w:rPr>
          <w:instrText xml:space="preserve"> PAGEREF _Toc166848520 \h </w:instrText>
        </w:r>
        <w:r>
          <w:rPr>
            <w:webHidden/>
          </w:rPr>
        </w:r>
        <w:r>
          <w:rPr>
            <w:webHidden/>
          </w:rPr>
          <w:fldChar w:fldCharType="separate"/>
        </w:r>
        <w:r>
          <w:rPr>
            <w:webHidden/>
          </w:rPr>
          <w:t>19</w:t>
        </w:r>
        <w:r>
          <w:rPr>
            <w:webHidden/>
          </w:rPr>
          <w:fldChar w:fldCharType="end"/>
        </w:r>
      </w:hyperlink>
    </w:p>
    <w:p w:rsidR="004838F1" w:rsidRDefault="004838F1" w14:paraId="0D9EE602" w14:textId="73C88F22">
      <w:pPr>
        <w:pStyle w:val="TOC1"/>
        <w:rPr>
          <w:rFonts w:asciiTheme="minorHAnsi" w:hAnsiTheme="minorHAnsi" w:eastAsiaTheme="minorEastAsia" w:cstheme="minorBidi"/>
          <w:bCs w:val="0"/>
          <w:sz w:val="22"/>
          <w:szCs w:val="22"/>
          <w:lang w:val="en-US"/>
        </w:rPr>
      </w:pPr>
      <w:hyperlink w:history="1" w:anchor="_Toc166848521">
        <w:r w:rsidRPr="00360DDF">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360DDF">
          <w:rPr>
            <w:rStyle w:val="Hyperlink"/>
            <w:b/>
          </w:rPr>
          <w:t>AUẞENBEZIEHUNGEN</w:t>
        </w:r>
        <w:r>
          <w:rPr>
            <w:webHidden/>
          </w:rPr>
          <w:tab/>
        </w:r>
        <w:r>
          <w:rPr>
            <w:webHidden/>
          </w:rPr>
          <w:fldChar w:fldCharType="begin"/>
        </w:r>
        <w:r>
          <w:rPr>
            <w:webHidden/>
          </w:rPr>
          <w:instrText xml:space="preserve"> PAGEREF _Toc166848521 \h </w:instrText>
        </w:r>
        <w:r>
          <w:rPr>
            <w:webHidden/>
          </w:rPr>
        </w:r>
        <w:r>
          <w:rPr>
            <w:webHidden/>
          </w:rPr>
          <w:fldChar w:fldCharType="separate"/>
        </w:r>
        <w:r>
          <w:rPr>
            <w:webHidden/>
          </w:rPr>
          <w:t>22</w:t>
        </w:r>
        <w:r>
          <w:rPr>
            <w:webHidden/>
          </w:rPr>
          <w:fldChar w:fldCharType="end"/>
        </w:r>
      </w:hyperlink>
    </w:p>
    <w:p w:rsidR="004838F1" w:rsidRDefault="004838F1" w14:paraId="23EAA13C" w14:textId="3F37A85F">
      <w:pPr>
        <w:pStyle w:val="TOC1"/>
        <w:rPr>
          <w:rFonts w:asciiTheme="minorHAnsi" w:hAnsiTheme="minorHAnsi" w:eastAsiaTheme="minorEastAsia" w:cstheme="minorBidi"/>
          <w:bCs w:val="0"/>
          <w:sz w:val="22"/>
          <w:szCs w:val="22"/>
          <w:lang w:val="en-US"/>
        </w:rPr>
      </w:pPr>
      <w:hyperlink w:history="1" w:anchor="_Toc166848522">
        <w:r w:rsidRPr="00360DDF">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360DDF">
          <w:rPr>
            <w:rStyle w:val="Hyperlink"/>
            <w:b/>
          </w:rPr>
          <w:t>VERKEHR, ENERGIE, INFRASTRUKTUREN, INFORMATIONSGESELLSCHAFT</w:t>
        </w:r>
        <w:r>
          <w:rPr>
            <w:webHidden/>
          </w:rPr>
          <w:tab/>
        </w:r>
        <w:r>
          <w:rPr>
            <w:webHidden/>
          </w:rPr>
          <w:fldChar w:fldCharType="begin"/>
        </w:r>
        <w:r>
          <w:rPr>
            <w:webHidden/>
          </w:rPr>
          <w:instrText xml:space="preserve"> PAGEREF _Toc166848522 \h </w:instrText>
        </w:r>
        <w:r>
          <w:rPr>
            <w:webHidden/>
          </w:rPr>
        </w:r>
        <w:r>
          <w:rPr>
            <w:webHidden/>
          </w:rPr>
          <w:fldChar w:fldCharType="separate"/>
        </w:r>
        <w:r>
          <w:rPr>
            <w:webHidden/>
          </w:rPr>
          <w:t>26</w:t>
        </w:r>
        <w:r>
          <w:rPr>
            <w:webHidden/>
          </w:rPr>
          <w:fldChar w:fldCharType="end"/>
        </w:r>
      </w:hyperlink>
    </w:p>
    <w:p w:rsidR="004838F1" w:rsidRDefault="004838F1" w14:paraId="7B3851B6" w14:textId="4B4B5466">
      <w:pPr>
        <w:pStyle w:val="TOC1"/>
        <w:rPr>
          <w:rFonts w:asciiTheme="minorHAnsi" w:hAnsiTheme="minorHAnsi" w:eastAsiaTheme="minorEastAsia" w:cstheme="minorBidi"/>
          <w:bCs w:val="0"/>
          <w:sz w:val="22"/>
          <w:szCs w:val="22"/>
          <w:lang w:val="en-US"/>
        </w:rPr>
      </w:pPr>
      <w:hyperlink w:history="1" w:anchor="_Toc166848523">
        <w:r w:rsidRPr="00360DDF">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360DDF">
          <w:rPr>
            <w:rStyle w:val="Hyperlink"/>
            <w:b/>
          </w:rPr>
          <w:t>BERATENDE KOMMISSION FÜR DEN INDUSTRIELLEN WANDEL</w:t>
        </w:r>
        <w:r>
          <w:rPr>
            <w:webHidden/>
          </w:rPr>
          <w:tab/>
        </w:r>
        <w:r>
          <w:rPr>
            <w:webHidden/>
          </w:rPr>
          <w:fldChar w:fldCharType="begin"/>
        </w:r>
        <w:r>
          <w:rPr>
            <w:webHidden/>
          </w:rPr>
          <w:instrText xml:space="preserve"> PAGEREF _Toc166848523 \h </w:instrText>
        </w:r>
        <w:r>
          <w:rPr>
            <w:webHidden/>
          </w:rPr>
        </w:r>
        <w:r>
          <w:rPr>
            <w:webHidden/>
          </w:rPr>
          <w:fldChar w:fldCharType="separate"/>
        </w:r>
        <w:r>
          <w:rPr>
            <w:webHidden/>
          </w:rPr>
          <w:t>28</w:t>
        </w:r>
        <w:r>
          <w:rPr>
            <w:webHidden/>
          </w:rPr>
          <w:fldChar w:fldCharType="end"/>
        </w:r>
      </w:hyperlink>
    </w:p>
    <w:p w:rsidR="00C86ABD" w:rsidRDefault="008772F9" w14:paraId="4EDE006A" w14:textId="3AA3A7EE">
      <w:pPr>
        <w:jc w:val="left"/>
      </w:pPr>
      <w:r>
        <w:fldChar w:fldCharType="end"/>
      </w:r>
      <w:r>
        <w:br w:type="page"/>
      </w:r>
    </w:p>
    <w:p w:rsidRPr="00EE2FBD" w:rsidR="0038273B" w:rsidP="00401E8F" w:rsidRDefault="0038273B" w14:paraId="62CE6920" w14:textId="4AB21D19">
      <w:pPr>
        <w:pStyle w:val="Heading1"/>
        <w:tabs>
          <w:tab w:val="clear" w:pos="440"/>
          <w:tab w:val="left" w:pos="567"/>
        </w:tabs>
        <w:ind w:left="567" w:hanging="567"/>
        <w:rPr>
          <w:b/>
          <w:bCs/>
        </w:rPr>
      </w:pPr>
      <w:bookmarkStart w:name="_Toc166848517" w:id="0"/>
      <w:r>
        <w:rPr>
          <w:b/>
        </w:rPr>
        <w:lastRenderedPageBreak/>
        <w:t>WIRTSCHAFTS- UND WÄHRUNGSUNION, WIRTSCHAFTLICHER UND SOZIALER ZUSAMMENHALT</w:t>
      </w:r>
      <w:bookmarkEnd w:id="0"/>
    </w:p>
    <w:p w:rsidRPr="00401E8F"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EC0628" w:rsidR="00EC0628" w:rsidP="00401E8F" w:rsidRDefault="006C4E9A"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008772F9">
          <w:rPr>
            <w:b/>
            <w:i/>
            <w:color w:val="0000FF"/>
            <w:sz w:val="32"/>
            <w:u w:val="single"/>
          </w:rPr>
          <w:t>Rahmen für die Unternehmensbesteuerung in Europa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663"/>
      </w:tblGrid>
      <w:tr w:rsidRPr="004838F1" w:rsidR="00EC0628" w:rsidTr="009839A2" w14:paraId="64A2A6F3" w14:textId="77777777">
        <w:tc>
          <w:tcPr>
            <w:tcW w:w="1701" w:type="dxa"/>
          </w:tcPr>
          <w:p w:rsidRPr="004838F1" w:rsidR="00EC0628" w:rsidP="00EC0628" w:rsidRDefault="00EC0628" w14:paraId="63437E92"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Berichterstatter</w:t>
            </w:r>
          </w:p>
        </w:tc>
        <w:tc>
          <w:tcPr>
            <w:tcW w:w="6663" w:type="dxa"/>
          </w:tcPr>
          <w:p w:rsidRPr="004838F1" w:rsidR="00EC0628" w:rsidP="00EC0628" w:rsidRDefault="00EC0628" w14:paraId="2F5B824E" w14:textId="5E732AB8">
            <w:pPr>
              <w:tabs>
                <w:tab w:val="center" w:pos="284"/>
              </w:tabs>
              <w:overflowPunct w:val="0"/>
              <w:autoSpaceDE w:val="0"/>
              <w:autoSpaceDN w:val="0"/>
              <w:adjustRightInd w:val="0"/>
              <w:ind w:left="266" w:hanging="266"/>
              <w:textAlignment w:val="baseline"/>
              <w:rPr>
                <w:sz w:val="22"/>
                <w:szCs w:val="22"/>
              </w:rPr>
            </w:pPr>
            <w:r w:rsidRPr="004838F1">
              <w:rPr>
                <w:sz w:val="22"/>
                <w:szCs w:val="22"/>
              </w:rPr>
              <w:t>Petru Sorin DANDEA (Workers' Group - RO)</w:t>
            </w:r>
          </w:p>
        </w:tc>
      </w:tr>
      <w:tr w:rsidRPr="004838F1" w:rsidR="00EC0628" w:rsidTr="009839A2" w14:paraId="43C37BD9" w14:textId="77777777">
        <w:trPr>
          <w:trHeight w:val="240"/>
        </w:trPr>
        <w:tc>
          <w:tcPr>
            <w:tcW w:w="8364" w:type="dxa"/>
            <w:gridSpan w:val="2"/>
          </w:tcPr>
          <w:p w:rsidRPr="004838F1"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838F1" w:rsidR="00EC0628" w:rsidTr="009839A2" w14:paraId="04E10468" w14:textId="77777777">
        <w:tc>
          <w:tcPr>
            <w:tcW w:w="1701" w:type="dxa"/>
            <w:vMerge w:val="restart"/>
          </w:tcPr>
          <w:p w:rsidRPr="004838F1" w:rsidR="00EC0628" w:rsidP="00EC0628" w:rsidRDefault="00EC0628" w14:paraId="3D730967"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Referenzdokumente</w:t>
            </w:r>
          </w:p>
        </w:tc>
        <w:tc>
          <w:tcPr>
            <w:tcW w:w="6663" w:type="dxa"/>
          </w:tcPr>
          <w:p w:rsidRPr="004838F1" w:rsidR="00EC0628" w:rsidP="00EC0628" w:rsidRDefault="00EC0628" w14:paraId="013C7888" w14:textId="1F17C560">
            <w:pPr>
              <w:tabs>
                <w:tab w:val="center" w:pos="284"/>
              </w:tabs>
              <w:overflowPunct w:val="0"/>
              <w:autoSpaceDE w:val="0"/>
              <w:autoSpaceDN w:val="0"/>
              <w:adjustRightInd w:val="0"/>
              <w:ind w:left="266" w:hanging="266"/>
              <w:textAlignment w:val="baseline"/>
              <w:rPr>
                <w:sz w:val="22"/>
                <w:szCs w:val="22"/>
              </w:rPr>
            </w:pPr>
            <w:r w:rsidRPr="004838F1">
              <w:rPr>
                <w:sz w:val="22"/>
                <w:szCs w:val="22"/>
              </w:rPr>
              <w:t xml:space="preserve">COM(2023) 532 final </w:t>
            </w:r>
          </w:p>
          <w:p w:rsidRPr="004838F1" w:rsidR="00EC0628" w:rsidP="00EC0628" w:rsidRDefault="00EC0628" w14:paraId="07E8B128" w14:textId="6DFBC41F">
            <w:pPr>
              <w:tabs>
                <w:tab w:val="center" w:pos="284"/>
              </w:tabs>
              <w:overflowPunct w:val="0"/>
              <w:autoSpaceDE w:val="0"/>
              <w:autoSpaceDN w:val="0"/>
              <w:adjustRightInd w:val="0"/>
              <w:ind w:left="266" w:hanging="266"/>
              <w:textAlignment w:val="baseline"/>
              <w:rPr>
                <w:sz w:val="22"/>
                <w:szCs w:val="22"/>
              </w:rPr>
            </w:pPr>
            <w:r w:rsidRPr="004838F1">
              <w:rPr>
                <w:sz w:val="22"/>
                <w:szCs w:val="22"/>
              </w:rPr>
              <w:t xml:space="preserve">COM(2023) 529 final </w:t>
            </w:r>
          </w:p>
        </w:tc>
      </w:tr>
      <w:tr w:rsidRPr="004838F1" w:rsidR="00EC0628" w:rsidTr="009839A2" w14:paraId="0920D37F" w14:textId="77777777">
        <w:tc>
          <w:tcPr>
            <w:tcW w:w="1701" w:type="dxa"/>
            <w:vMerge/>
          </w:tcPr>
          <w:p w:rsidRPr="004838F1" w:rsidR="00EC0628" w:rsidP="00EC0628" w:rsidRDefault="00EC0628" w14:paraId="4772C397" w14:textId="77777777">
            <w:pPr>
              <w:tabs>
                <w:tab w:val="center" w:pos="284"/>
              </w:tabs>
              <w:overflowPunct w:val="0"/>
              <w:autoSpaceDE w:val="0"/>
              <w:autoSpaceDN w:val="0"/>
              <w:adjustRightInd w:val="0"/>
              <w:ind w:left="266" w:hanging="266"/>
              <w:textAlignment w:val="baseline"/>
              <w:rPr>
                <w:b/>
                <w:sz w:val="22"/>
                <w:szCs w:val="22"/>
              </w:rPr>
            </w:pPr>
          </w:p>
        </w:tc>
        <w:tc>
          <w:tcPr>
            <w:tcW w:w="6663" w:type="dxa"/>
          </w:tcPr>
          <w:p w:rsidRPr="004838F1" w:rsidR="00EC0628" w:rsidP="00EC0628" w:rsidRDefault="00EC0628" w14:paraId="18C643B9" w14:textId="6E9FC7B4">
            <w:pPr>
              <w:tabs>
                <w:tab w:val="center" w:pos="284"/>
              </w:tabs>
              <w:overflowPunct w:val="0"/>
              <w:autoSpaceDE w:val="0"/>
              <w:autoSpaceDN w:val="0"/>
              <w:adjustRightInd w:val="0"/>
              <w:ind w:left="266" w:hanging="266"/>
              <w:textAlignment w:val="baseline"/>
              <w:rPr>
                <w:sz w:val="22"/>
                <w:szCs w:val="22"/>
              </w:rPr>
            </w:pPr>
            <w:r w:rsidRPr="004838F1">
              <w:rPr>
                <w:sz w:val="22"/>
                <w:szCs w:val="22"/>
              </w:rP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Kernaussagen</w:t>
      </w:r>
    </w:p>
    <w:p w:rsidRPr="004838F1"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rPr>
      </w:pPr>
    </w:p>
    <w:p w:rsidR="00EC0628" w:rsidP="00EC0628" w:rsidRDefault="00EC0628" w14:paraId="51D4E0CD" w14:textId="76302DAA">
      <w:pPr>
        <w:overflowPunct w:val="0"/>
        <w:autoSpaceDE w:val="0"/>
        <w:autoSpaceDN w:val="0"/>
        <w:adjustRightInd w:val="0"/>
        <w:textAlignment w:val="baseline"/>
        <w:rPr>
          <w:szCs w:val="20"/>
        </w:rPr>
      </w:pPr>
      <w:r>
        <w:t>Der EWSA</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begrüßt das kontinuierliche Engagement der Kommission für die Entwicklung eines gemeinsamen Rahmens für die Unternehmensbesteuerung (BEFIT) mit dem Ziel, die Konsolidierung des Binnenmarkts zu unterstützen;</w:t>
      </w:r>
    </w:p>
    <w:p w:rsidRPr="00EC0628"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unterstützt die Entscheidung der Kommission, BEFIT in Form einer EU-Richtlinie vorzuschlagen, da die derzeitige Vielfalt an unterschiedlichen nationalen Vorschriften zu Fragmentierung und Diskrepanzen führt und grenzüberschreitende Tätigkeiten im Binnenmarkt aufgrund der hohen Kosten, die den Unternehmen bei der Befolgung der Vorschriften mehrerer Rechtsrahmen entstehen, behindert;</w:t>
      </w:r>
    </w:p>
    <w:p w:rsidRPr="00EC0628"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stellt fest, dass die Mitgliedstaaten gemäß Artikel 48 Absatz 2 des BEFIT-Vorschlags berechtigt sind, den ihnen zugerechneten Anteilen Erhöhungen der Steuerbemessungsgrundlage, Steuerabzüge oder Steueranreize hinzuzufügen. Er erkennt zwar an, wie wichtig es ist, den Mitgliedstaaten Spielraum einzuräumen. Eine solche Flexibilität könnte jedoch dem Ziel der Kommission zuwiderlaufen, die Befolgungskosten für die Unternehmen zu verringern;</w:t>
      </w:r>
    </w:p>
    <w:p w:rsidRPr="00EC0628"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teilt die Auffassung der Kommission, dass die Einigung über Säule 2 zur Schaffung eines gemeinsamen EU-Rechtsrahmens für die Unternehmensbesteuerung beitragen könnte. Nach Ansicht des EWSA sollte im Sinne der Vereinfachung und der Kostensenkung BEFIT so weit wie möglich an die Vorschriften der zweiten Säule der OECD angeglichen werden;</w:t>
      </w:r>
    </w:p>
    <w:p w:rsidRPr="00EC0628"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empfiehlt, dass jede Datenverarbeitung im BEFIT-Rahmen im Einklang mit dem in der DSGVO verankerten Grundsatz der „Datenminimierung“ erfolgt. Dabei wird die Erhebung personenbezogener Daten auf das für die spezifischen Zwecke des BEFIT-Vorschlags unmittelbar relevante und erforderliche Maß beschränkt, und die Daten sind nur für den dafür erforderlichen Mindestzeitraum zu speichern;</w:t>
      </w:r>
    </w:p>
    <w:p w:rsidRPr="00EC0628"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betont, dass die Befolgungskosten und der Verwaltungsaufwand für Unternehmen, die am BEFIT-Vorschlag interessiert sind, sorgfältig bewertet werden müssen, damit sie die tatsächlichen Vorteile des neuen Rahmens für Unternehmen in ganz Europa verstehen können.</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0628" w:rsidR="00EC0628" w:rsidTr="009839A2" w14:paraId="0B338CB2" w14:textId="77777777">
        <w:tc>
          <w:tcPr>
            <w:tcW w:w="1418"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Kontakt</w:t>
            </w:r>
          </w:p>
        </w:tc>
        <w:tc>
          <w:tcPr>
            <w:tcW w:w="5670"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r>
              <w:rPr>
                <w:i/>
              </w:rPr>
              <w:t xml:space="preserve">Juri </w:t>
            </w:r>
            <w:proofErr w:type="spellStart"/>
            <w:r>
              <w:rPr>
                <w:i/>
              </w:rPr>
              <w:t>Soosaar</w:t>
            </w:r>
            <w:proofErr w:type="spellEnd"/>
          </w:p>
        </w:tc>
      </w:tr>
      <w:tr w:rsidRPr="00EC0628" w:rsidR="00EC0628" w:rsidTr="009839A2" w14:paraId="58D69927" w14:textId="77777777">
        <w:tc>
          <w:tcPr>
            <w:tcW w:w="1418"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Tel.</w:t>
            </w:r>
          </w:p>
        </w:tc>
        <w:tc>
          <w:tcPr>
            <w:tcW w:w="5670"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+32 25469628</w:t>
            </w:r>
          </w:p>
        </w:tc>
      </w:tr>
      <w:tr w:rsidRPr="00EC0628" w:rsidR="00EC0628" w:rsidTr="009839A2" w14:paraId="0FB2B27B" w14:textId="77777777">
        <w:tc>
          <w:tcPr>
            <w:tcW w:w="1418"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Pr>
                <w:i/>
              </w:rPr>
              <w:t>E-Mail</w:t>
            </w:r>
          </w:p>
        </w:tc>
        <w:tc>
          <w:tcPr>
            <w:tcW w:w="5670" w:type="dxa"/>
          </w:tcPr>
          <w:p w:rsidRPr="00EC0628" w:rsidR="00EC0628" w:rsidP="00EC0628" w:rsidRDefault="006C4E9A" w14:paraId="0EA29ECC" w14:textId="77777777">
            <w:pPr>
              <w:overflowPunct w:val="0"/>
              <w:autoSpaceDE w:val="0"/>
              <w:autoSpaceDN w:val="0"/>
              <w:adjustRightInd w:val="0"/>
              <w:spacing w:line="240" w:lineRule="auto"/>
              <w:textAlignment w:val="baseline"/>
              <w:rPr>
                <w:i/>
              </w:rPr>
            </w:pPr>
            <w:hyperlink w:history="1" r:id="rId22">
              <w:r w:rsidR="00C37C45">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Pr="004838F1" w:rsidR="00B42FA1" w:rsidRDefault="00B42FA1" w14:paraId="38E4145C" w14:textId="7127D923">
      <w:pPr>
        <w:spacing w:after="160" w:line="259" w:lineRule="auto"/>
        <w:jc w:val="left"/>
        <w:rPr>
          <w:b/>
          <w:bCs/>
          <w:sz w:val="2"/>
          <w:szCs w:val="2"/>
          <w:highlight w:val="yellow"/>
        </w:rPr>
      </w:pPr>
      <w:r w:rsidRPr="004838F1">
        <w:rPr>
          <w:sz w:val="2"/>
          <w:szCs w:val="2"/>
        </w:rPr>
        <w:br w:type="page"/>
      </w:r>
    </w:p>
    <w:p w:rsidRPr="00401E8F" w:rsidR="005C6F8B" w:rsidP="00386C01" w:rsidRDefault="006C4E9A" w14:paraId="0D3CDDC1" w14:textId="033AC16B">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00C37C45">
          <w:rPr>
            <w:b/>
            <w:i/>
            <w:color w:val="0000FF"/>
            <w:sz w:val="28"/>
            <w:u w:val="single"/>
          </w:rPr>
          <w:t>Erleichterung grenzübergreifender Lösungen</w:t>
        </w:r>
      </w:hyperlink>
    </w:p>
    <w:p w:rsidRPr="00AA5F9C" w:rsidR="00386C01" w:rsidP="00401E8F"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7039"/>
      </w:tblGrid>
      <w:tr w:rsidRPr="004838F1" w:rsidR="005C6F8B" w:rsidTr="004838F1" w14:paraId="31A2CBD5" w14:textId="77777777">
        <w:tc>
          <w:tcPr>
            <w:tcW w:w="2000" w:type="dxa"/>
          </w:tcPr>
          <w:p w:rsidRPr="004838F1" w:rsidR="005C6F8B" w:rsidP="00AA5F9C" w:rsidRDefault="005C6F8B" w14:paraId="7313E4FD" w14:textId="64F21A27">
            <w:pPr>
              <w:tabs>
                <w:tab w:val="center" w:pos="284"/>
              </w:tabs>
              <w:overflowPunct w:val="0"/>
              <w:autoSpaceDE w:val="0"/>
              <w:autoSpaceDN w:val="0"/>
              <w:adjustRightInd w:val="0"/>
              <w:ind w:left="266" w:hanging="376"/>
              <w:textAlignment w:val="baseline"/>
              <w:rPr>
                <w:b/>
                <w:sz w:val="22"/>
                <w:szCs w:val="22"/>
              </w:rPr>
            </w:pPr>
            <w:r w:rsidRPr="004838F1">
              <w:rPr>
                <w:b/>
                <w:sz w:val="22"/>
                <w:szCs w:val="22"/>
              </w:rPr>
              <w:t>Berichterstatter</w:t>
            </w:r>
          </w:p>
        </w:tc>
        <w:tc>
          <w:tcPr>
            <w:tcW w:w="7039" w:type="dxa"/>
          </w:tcPr>
          <w:p w:rsidRPr="004838F1" w:rsidR="005C6F8B" w:rsidP="00AA5F9C" w:rsidRDefault="005C6F8B" w14:paraId="5D44C0BC" w14:textId="06FF05AA">
            <w:pPr>
              <w:tabs>
                <w:tab w:val="center" w:pos="284"/>
              </w:tabs>
              <w:overflowPunct w:val="0"/>
              <w:autoSpaceDE w:val="0"/>
              <w:autoSpaceDN w:val="0"/>
              <w:adjustRightInd w:val="0"/>
              <w:ind w:left="266" w:hanging="376"/>
              <w:textAlignment w:val="baseline"/>
              <w:rPr>
                <w:bCs/>
                <w:sz w:val="22"/>
                <w:szCs w:val="22"/>
              </w:rPr>
            </w:pPr>
            <w:r w:rsidRPr="004838F1">
              <w:rPr>
                <w:sz w:val="22"/>
                <w:szCs w:val="22"/>
              </w:rPr>
              <w:t>Athanasios IOANNIDIS (Gruppe Organisationen der Zivilgesellschaft – EL)</w:t>
            </w:r>
          </w:p>
        </w:tc>
      </w:tr>
      <w:tr w:rsidRPr="004838F1" w:rsidR="005C6F8B" w:rsidTr="004838F1" w14:paraId="3AEE650C" w14:textId="77777777">
        <w:tc>
          <w:tcPr>
            <w:tcW w:w="9039" w:type="dxa"/>
            <w:gridSpan w:val="2"/>
          </w:tcPr>
          <w:p w:rsidRPr="004838F1"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rPr>
                <w:sz w:val="22"/>
                <w:szCs w:val="22"/>
              </w:rPr>
            </w:pPr>
          </w:p>
        </w:tc>
      </w:tr>
      <w:tr w:rsidRPr="004838F1" w:rsidR="005C6F8B" w:rsidTr="004838F1" w14:paraId="67B4F44B" w14:textId="77777777">
        <w:tc>
          <w:tcPr>
            <w:tcW w:w="2000" w:type="dxa"/>
          </w:tcPr>
          <w:p w:rsidRPr="004838F1" w:rsidR="005C6F8B" w:rsidP="00AA5F9C" w:rsidRDefault="005C6F8B" w14:paraId="66A741B1" w14:textId="77777777">
            <w:pPr>
              <w:tabs>
                <w:tab w:val="center" w:pos="284"/>
              </w:tabs>
              <w:overflowPunct w:val="0"/>
              <w:autoSpaceDE w:val="0"/>
              <w:autoSpaceDN w:val="0"/>
              <w:adjustRightInd w:val="0"/>
              <w:ind w:left="266" w:hanging="376"/>
              <w:textAlignment w:val="baseline"/>
              <w:rPr>
                <w:b/>
                <w:sz w:val="22"/>
                <w:szCs w:val="22"/>
              </w:rPr>
            </w:pPr>
            <w:r w:rsidRPr="004838F1">
              <w:rPr>
                <w:b/>
                <w:sz w:val="22"/>
                <w:szCs w:val="22"/>
              </w:rPr>
              <w:t>Referenzdokumente</w:t>
            </w:r>
          </w:p>
        </w:tc>
        <w:tc>
          <w:tcPr>
            <w:tcW w:w="7039" w:type="dxa"/>
          </w:tcPr>
          <w:p w:rsidRPr="004838F1" w:rsidR="002D5381" w:rsidP="00AA5F9C" w:rsidRDefault="002D5381" w14:paraId="7A6FE5F5" w14:textId="40FBE726">
            <w:pPr>
              <w:tabs>
                <w:tab w:val="center" w:pos="284"/>
              </w:tabs>
              <w:overflowPunct w:val="0"/>
              <w:autoSpaceDE w:val="0"/>
              <w:autoSpaceDN w:val="0"/>
              <w:adjustRightInd w:val="0"/>
              <w:ind w:left="266" w:hanging="376"/>
              <w:textAlignment w:val="baseline"/>
              <w:rPr>
                <w:sz w:val="22"/>
                <w:szCs w:val="22"/>
              </w:rPr>
            </w:pPr>
            <w:r w:rsidRPr="004838F1">
              <w:rPr>
                <w:sz w:val="22"/>
                <w:szCs w:val="22"/>
              </w:rPr>
              <w:t>COM(2023) 790 final</w:t>
            </w:r>
          </w:p>
          <w:p w:rsidRPr="004838F1" w:rsidR="005C6F8B" w:rsidP="00AA5F9C" w:rsidRDefault="005C6F8B" w14:paraId="39901651" w14:textId="557812A3">
            <w:pPr>
              <w:tabs>
                <w:tab w:val="center" w:pos="284"/>
              </w:tabs>
              <w:overflowPunct w:val="0"/>
              <w:autoSpaceDE w:val="0"/>
              <w:autoSpaceDN w:val="0"/>
              <w:adjustRightInd w:val="0"/>
              <w:ind w:left="266" w:hanging="376"/>
              <w:textAlignment w:val="baseline"/>
              <w:rPr>
                <w:sz w:val="22"/>
                <w:szCs w:val="22"/>
              </w:rPr>
            </w:pPr>
            <w:r w:rsidRPr="004838F1">
              <w:rPr>
                <w:sz w:val="22"/>
                <w:szCs w:val="22"/>
              </w:rPr>
              <w:t>EESC-2024-00120-00-00-AC</w:t>
            </w:r>
          </w:p>
        </w:tc>
      </w:tr>
    </w:tbl>
    <w:p w:rsidRPr="005C6F8B"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Pr>
          <w:b/>
        </w:rPr>
        <w:t>Kernaussagen</w:t>
      </w:r>
    </w:p>
    <w:p w:rsidRPr="005C6F8B"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005C6F8B" w:rsidP="005C6F8B" w:rsidRDefault="005C6F8B" w14:paraId="1E3F8FE6" w14:textId="648E36D4">
      <w:pPr>
        <w:overflowPunct w:val="0"/>
        <w:autoSpaceDE w:val="0"/>
        <w:autoSpaceDN w:val="0"/>
        <w:adjustRightInd w:val="0"/>
        <w:textAlignment w:val="baseline"/>
        <w:rPr>
          <w:bCs/>
          <w:iCs/>
        </w:rPr>
      </w:pPr>
      <w:r>
        <w:t>Der EWSA</w:t>
      </w:r>
    </w:p>
    <w:p w:rsidRPr="005C6F8B" w:rsidR="005C6F8B" w:rsidP="00AA5F9C" w:rsidRDefault="005C6F8B" w14:paraId="078034AA" w14:textId="24216916">
      <w:pPr>
        <w:numPr>
          <w:ilvl w:val="0"/>
          <w:numId w:val="41"/>
        </w:numPr>
        <w:overflowPunct w:val="0"/>
        <w:autoSpaceDE w:val="0"/>
        <w:autoSpaceDN w:val="0"/>
        <w:adjustRightInd w:val="0"/>
        <w:spacing w:after="200" w:line="276" w:lineRule="auto"/>
        <w:contextualSpacing/>
        <w:textAlignment w:val="baseline"/>
        <w:rPr>
          <w:szCs w:val="20"/>
        </w:rPr>
      </w:pPr>
      <w:r>
        <w:t>unterstützt den geänderten Vorschlag der Kommission für eine Verordnung über einen Mechanismus zur Überwindung rechtlicher und administrativer Hindernisse in einem grenzübergreifenden Kontext als Versuch, den Integrationsprozess im Rahmen des EU</w:t>
      </w:r>
      <w:r w:rsidR="004838F1">
        <w:noBreakHyphen/>
      </w:r>
      <w:r>
        <w:t>Binnenmarkts weiter zu stärken;</w:t>
      </w:r>
    </w:p>
    <w:p w:rsidRPr="005C6F8B"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begrüßt, dass die Kommission ihre Bemühungen konsequent fortgesetzt und den Vorschlag für eine Verordnung zur Überwindung rechtlicher und administrativer Hindernisse in einem grenzübergreifenden Kontext in geänderter Form erneut vorgelegt hat, mit der die Mitgliedstaaten zur Einrichtung von Stellen für grenzübergreifende Koordinierung verpflichtet werden, wobei es ihnen überlassen bleibt, das flankierende Instrument zur Überwindung von Hindernissen oder ein anderes Instrument ihrer Wahl freiwillig zu nutzen;</w:t>
      </w:r>
    </w:p>
    <w:p w:rsidRPr="005C6F8B"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vertritt die Auffassung, dass aus dem vorherigen einschlägigen Versuch nützliche Lehren gezogen und die Schwachpunkte des ursprünglichen Vorschlags ermittelt und behoben werden konnten, und stützt sich in seiner Stellungnahme zum geänderten Vorschlag für eine Verordnung auf diese Erfahrungen;</w:t>
      </w:r>
    </w:p>
    <w:p w:rsidRPr="005C6F8B"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ist der Ansicht, dass der vorgeschlagene Mechanismus die in der Europäischen Union bereits bestehenden und funktionierenden Strukturen für die Unterstützung grenzüberschreitender Tätigkeiten grundsätzlich ergänzt und die Voraussetzungen für die Gestaltung eines umfassenden Rahmens für die Bewältigung grenzübergreifender rechtlicher und administrativer Hindernisse schafft;</w:t>
      </w:r>
    </w:p>
    <w:p w:rsidRPr="005C6F8B"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befürwortet die angestrebte Vereinfachung der Verfahren im Rahmen des vorgeschlagenen Mechanismus, der die Einrichtung grenzübergreifender Koordinierungsstellen als zentrale Anlaufstellen in allen Mitgliedstaaten verpflichtend vorsieht;</w:t>
      </w:r>
    </w:p>
    <w:p w:rsidRPr="005C6F8B"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betrachtet die Bereitstellung des Instruments zur Erleichterung grenzübergreifender Lösungen als wichtigen Prozess, dessen Mehrwert jedoch nicht durch seinen fakultativen Charakter geschmälert werden darf;</w:t>
      </w:r>
    </w:p>
    <w:p w:rsidRPr="005C6F8B"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ist der Auffassung, dass die Einrichtung eines EU-weiten öffentlichen Registers grenzübergreifender Dossiers zu einer umfassenden Erfassung der einschlägigen rechtlichen und administrativen Hindernisse und im Anschluss zu einem Meinungs- und Erfahrungsaustausch zwischen den zuständigen Behörden beitragen wird, so dass Wege zur Beseitigung dieser Hindernisse aufgezeigt werden können; hält es für hilfreich, wenn die Europäische Kommission erwägt, auf der Grundlage der im Register enthaltenen Daten einen Jahresbericht über die Hindernisse und vorgeschlagenen Lösungen zu erstellen;</w:t>
      </w:r>
    </w:p>
    <w:p w:rsidR="006917E2" w:rsidP="00EE6F60" w:rsidRDefault="005C6F8B" w14:paraId="7B9B9362" w14:textId="012FE687">
      <w:pPr>
        <w:numPr>
          <w:ilvl w:val="0"/>
          <w:numId w:val="41"/>
        </w:numPr>
        <w:overflowPunct w:val="0"/>
        <w:autoSpaceDE w:val="0"/>
        <w:autoSpaceDN w:val="0"/>
        <w:adjustRightInd w:val="0"/>
        <w:spacing w:after="200" w:line="276" w:lineRule="auto"/>
        <w:contextualSpacing/>
        <w:textAlignment w:val="baseline"/>
        <w:rPr>
          <w:szCs w:val="20"/>
        </w:rPr>
      </w:pPr>
      <w:r>
        <w:t xml:space="preserve">schließt sich dem im geänderten Verordnungsvorschlag verwendeten Bottom-up-Ansatz für die Überwindung grenzübergreifender Hindernisse an, da er das Bewusstsein der Bürgerinnen und Bürger für die Bedeutung der Vollendung des EU-Binnenmarktes stärkt; stellt fest, dass die regionalen Gebietskörperschaften, in denen grenzüberschreitende Tätigkeiten stattfinden, einbezogen werden und dabei den politischen Willen der lokalen Ebene zum Ausdruck bringen </w:t>
      </w:r>
      <w:r>
        <w:lastRenderedPageBreak/>
        <w:t>müssen, um die nationalen Behörden zu veranlassen, den vorgeschlagenen Mechanismus zu aktivieren und seine Möglichkeiten zu nutzen; merkt an, dass klare Anreize für die Nutzung des vorgeschlagenen Mechanismus durch die Mitgliedstaaten geschaffen werden müssen, um dessen Mehrwert herauszustellen, wozu detaillierte Informationen über die Auswirkungen grenzübergreifender Hindernisse und über die erwarteten Vorteile für die betroffenen Regionen werden sollten;</w:t>
      </w:r>
    </w:p>
    <w:p w:rsidRPr="006917E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t xml:space="preserve">ist schließlich der Ansicht, dass die Einrichtung und Anwendung des vorgeschlagenen Mechanismus noch stärker als bedeutende politische Entscheidung auf EU-Ebene zu Tage treten kann, wenn die nationalen Strukturen (die Stellen für die grenzübergreifende Koordinierung) finanziell unterstützt werden. </w:t>
      </w:r>
    </w:p>
    <w:p w:rsidRPr="00AA5F9C"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49E2" w:rsidR="006917E2" w:rsidTr="00787531" w14:paraId="631E7AF1" w14:textId="77777777">
        <w:tc>
          <w:tcPr>
            <w:tcW w:w="1418" w:type="dxa"/>
          </w:tcPr>
          <w:p w:rsidRPr="00AA5F9C" w:rsidR="006917E2" w:rsidP="00787531" w:rsidRDefault="006917E2" w14:paraId="344C16C4" w14:textId="77777777">
            <w:pPr>
              <w:spacing w:line="240" w:lineRule="auto"/>
              <w:rPr>
                <w:i/>
                <w:sz w:val="20"/>
                <w:szCs w:val="20"/>
              </w:rPr>
            </w:pPr>
            <w:r>
              <w:rPr>
                <w:b/>
                <w:i/>
                <w:sz w:val="20"/>
              </w:rPr>
              <w:t>Kontakt</w:t>
            </w:r>
          </w:p>
        </w:tc>
        <w:tc>
          <w:tcPr>
            <w:tcW w:w="5670" w:type="dxa"/>
          </w:tcPr>
          <w:p w:rsidRPr="00AA5F9C" w:rsidR="006917E2" w:rsidP="00787531" w:rsidRDefault="006917E2" w14:paraId="6612323F" w14:textId="77777777">
            <w:pPr>
              <w:spacing w:line="240" w:lineRule="auto"/>
              <w:rPr>
                <w:b/>
                <w:bCs/>
                <w:i/>
                <w:sz w:val="20"/>
                <w:szCs w:val="20"/>
              </w:rPr>
            </w:pPr>
            <w:r>
              <w:rPr>
                <w:i/>
                <w:sz w:val="20"/>
              </w:rPr>
              <w:t xml:space="preserve">Georgios </w:t>
            </w:r>
            <w:proofErr w:type="spellStart"/>
            <w:r>
              <w:rPr>
                <w:i/>
                <w:sz w:val="20"/>
              </w:rPr>
              <w:t>Meleas</w:t>
            </w:r>
            <w:proofErr w:type="spellEnd"/>
          </w:p>
        </w:tc>
      </w:tr>
      <w:tr w:rsidRPr="00C649E2" w:rsidR="006917E2" w:rsidTr="00787531" w14:paraId="1002D411" w14:textId="77777777">
        <w:tc>
          <w:tcPr>
            <w:tcW w:w="1418" w:type="dxa"/>
          </w:tcPr>
          <w:p w:rsidRPr="00AA5F9C" w:rsidR="006917E2" w:rsidP="00787531" w:rsidRDefault="006917E2" w14:paraId="235F6A83" w14:textId="77777777">
            <w:pPr>
              <w:spacing w:line="240" w:lineRule="auto"/>
              <w:rPr>
                <w:i/>
                <w:sz w:val="20"/>
                <w:szCs w:val="20"/>
              </w:rPr>
            </w:pPr>
            <w:r>
              <w:rPr>
                <w:i/>
                <w:sz w:val="20"/>
              </w:rPr>
              <w:t>Tel.</w:t>
            </w:r>
          </w:p>
        </w:tc>
        <w:tc>
          <w:tcPr>
            <w:tcW w:w="5670" w:type="dxa"/>
          </w:tcPr>
          <w:p w:rsidRPr="00AA5F9C" w:rsidR="006917E2" w:rsidP="00787531" w:rsidRDefault="006917E2" w14:paraId="1E85D9D7" w14:textId="77777777">
            <w:pPr>
              <w:spacing w:line="240" w:lineRule="auto"/>
              <w:rPr>
                <w:i/>
                <w:sz w:val="20"/>
                <w:szCs w:val="20"/>
              </w:rPr>
            </w:pPr>
            <w:r>
              <w:rPr>
                <w:i/>
                <w:sz w:val="20"/>
              </w:rPr>
              <w:t>+32 25469795</w:t>
            </w:r>
          </w:p>
        </w:tc>
      </w:tr>
      <w:tr w:rsidRPr="00C649E2" w:rsidR="006917E2" w:rsidTr="00787531" w14:paraId="5CFFDB3A" w14:textId="77777777">
        <w:tc>
          <w:tcPr>
            <w:tcW w:w="1418" w:type="dxa"/>
          </w:tcPr>
          <w:p w:rsidRPr="00AA5F9C" w:rsidR="006917E2" w:rsidP="00787531" w:rsidRDefault="006917E2" w14:paraId="578E442D" w14:textId="11D0E8F1">
            <w:pPr>
              <w:spacing w:line="240" w:lineRule="auto"/>
              <w:rPr>
                <w:i/>
                <w:sz w:val="20"/>
                <w:szCs w:val="20"/>
              </w:rPr>
            </w:pPr>
            <w:r>
              <w:rPr>
                <w:i/>
                <w:sz w:val="20"/>
              </w:rPr>
              <w:t>E-Mail</w:t>
            </w:r>
          </w:p>
        </w:tc>
        <w:tc>
          <w:tcPr>
            <w:tcW w:w="5670" w:type="dxa"/>
          </w:tcPr>
          <w:p w:rsidRPr="00AA5F9C" w:rsidR="006917E2" w:rsidP="00787531" w:rsidRDefault="006917E2" w14:paraId="07DA4E70" w14:textId="77777777">
            <w:pPr>
              <w:spacing w:line="240" w:lineRule="auto"/>
              <w:rPr>
                <w:i/>
                <w:sz w:val="20"/>
                <w:szCs w:val="20"/>
              </w:rPr>
            </w:pPr>
            <w:r>
              <w:rPr>
                <w:i/>
                <w:sz w:val="20"/>
              </w:rPr>
              <w:t>Georgios.Meleas@eesc.europa.eu</w:t>
            </w:r>
          </w:p>
        </w:tc>
      </w:tr>
    </w:tbl>
    <w:p w:rsidRPr="005C6F8B"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00386C01" w:rsidRDefault="00386C01" w14:paraId="631FC2FA" w14:textId="4DF56F8B">
      <w:pPr>
        <w:spacing w:after="160" w:line="259" w:lineRule="auto"/>
        <w:jc w:val="left"/>
        <w:rPr>
          <w:b/>
          <w:bCs/>
          <w:i/>
          <w:iCs/>
          <w:sz w:val="28"/>
          <w:szCs w:val="28"/>
        </w:rPr>
      </w:pPr>
      <w:r>
        <w:br w:type="page"/>
      </w:r>
    </w:p>
    <w:p w:rsidRPr="00147108" w:rsidR="00A91E27" w:rsidP="00AA5F9C" w:rsidRDefault="006C4E9A" w14:paraId="4C2208D8" w14:textId="22334FF2">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4">
        <w:r w:rsidR="00C37C45">
          <w:rPr>
            <w:b/>
            <w:i/>
            <w:color w:val="0000FF"/>
            <w:sz w:val="28"/>
            <w:u w:val="single"/>
          </w:rPr>
          <w:t>Reform- und Investitionsvorschläge und ihre Durchführung in den Mitgliedstaaten (Zyklus des Europäischen Semesters 2023-2024)</w:t>
        </w:r>
      </w:hyperlink>
    </w:p>
    <w:p w:rsidRPr="004838F1" w:rsidR="00C649E2" w:rsidP="004838F1" w:rsidRDefault="00C649E2" w14:paraId="043D644A" w14:textId="77777777">
      <w:pPr>
        <w:widowControl w:val="0"/>
        <w:overflowPunct w:val="0"/>
        <w:autoSpaceDE w:val="0"/>
        <w:autoSpaceDN w:val="0"/>
        <w:adjustRightInd w:val="0"/>
        <w:spacing w:line="240" w:lineRule="auto"/>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2"/>
        <w:gridCol w:w="7088"/>
      </w:tblGrid>
      <w:tr w:rsidRPr="004838F1" w:rsidR="00A91E27" w:rsidTr="009839A2" w14:paraId="2A3F7A6D" w14:textId="77777777">
        <w:tc>
          <w:tcPr>
            <w:tcW w:w="1701" w:type="dxa"/>
          </w:tcPr>
          <w:p w:rsidRPr="004838F1" w:rsidR="00A91E27" w:rsidP="004838F1" w:rsidRDefault="00A91E27" w14:paraId="111463BA" w14:textId="41AB9AD3">
            <w:pPr>
              <w:overflowPunct w:val="0"/>
              <w:autoSpaceDE w:val="0"/>
              <w:autoSpaceDN w:val="0"/>
              <w:adjustRightInd w:val="0"/>
              <w:ind w:left="176" w:hanging="284"/>
              <w:textAlignment w:val="baseline"/>
              <w:rPr>
                <w:b/>
                <w:sz w:val="22"/>
                <w:szCs w:val="22"/>
              </w:rPr>
            </w:pPr>
            <w:r w:rsidRPr="004838F1">
              <w:rPr>
                <w:b/>
                <w:sz w:val="22"/>
                <w:szCs w:val="22"/>
              </w:rPr>
              <w:t>Berichterstatter</w:t>
            </w:r>
          </w:p>
        </w:tc>
        <w:tc>
          <w:tcPr>
            <w:tcW w:w="7088" w:type="dxa"/>
          </w:tcPr>
          <w:p w:rsidRPr="004838F1" w:rsidR="00A91E27" w:rsidP="00A91E27" w:rsidRDefault="00A91E27" w14:paraId="5642949C" w14:textId="740F03BE">
            <w:pPr>
              <w:tabs>
                <w:tab w:val="center" w:pos="284"/>
              </w:tabs>
              <w:overflowPunct w:val="0"/>
              <w:autoSpaceDE w:val="0"/>
              <w:autoSpaceDN w:val="0"/>
              <w:adjustRightInd w:val="0"/>
              <w:textAlignment w:val="baseline"/>
              <w:rPr>
                <w:sz w:val="22"/>
                <w:szCs w:val="22"/>
              </w:rPr>
            </w:pPr>
            <w:proofErr w:type="spellStart"/>
            <w:r w:rsidRPr="004838F1">
              <w:rPr>
                <w:sz w:val="22"/>
                <w:szCs w:val="22"/>
              </w:rPr>
              <w:t>Gonçalo</w:t>
            </w:r>
            <w:proofErr w:type="spellEnd"/>
            <w:r w:rsidRPr="004838F1">
              <w:rPr>
                <w:sz w:val="22"/>
                <w:szCs w:val="22"/>
              </w:rPr>
              <w:t xml:space="preserve"> LOBO XAVIER (Gruppe Arbeitgeber – PT)</w:t>
            </w:r>
          </w:p>
          <w:p w:rsidRPr="004838F1" w:rsidR="00A91E27" w:rsidP="00A91E27" w:rsidRDefault="00A91E27" w14:paraId="534C0DCC" w14:textId="196864B0">
            <w:pPr>
              <w:tabs>
                <w:tab w:val="center" w:pos="284"/>
              </w:tabs>
              <w:overflowPunct w:val="0"/>
              <w:autoSpaceDE w:val="0"/>
              <w:autoSpaceDN w:val="0"/>
              <w:adjustRightInd w:val="0"/>
              <w:textAlignment w:val="baseline"/>
              <w:rPr>
                <w:sz w:val="22"/>
                <w:szCs w:val="22"/>
              </w:rPr>
            </w:pPr>
            <w:r w:rsidRPr="004838F1">
              <w:rPr>
                <w:sz w:val="22"/>
                <w:szCs w:val="22"/>
              </w:rPr>
              <w:t>Javier DOZ ORRIT (Gruppe Arbeitnehmer – ES)</w:t>
            </w:r>
          </w:p>
          <w:p w:rsidRPr="004838F1" w:rsidR="00A91E27" w:rsidP="00A91E27" w:rsidRDefault="00A91E27" w14:paraId="27BA1EE2" w14:textId="671611BA">
            <w:pPr>
              <w:tabs>
                <w:tab w:val="center" w:pos="284"/>
              </w:tabs>
              <w:overflowPunct w:val="0"/>
              <w:autoSpaceDE w:val="0"/>
              <w:autoSpaceDN w:val="0"/>
              <w:adjustRightInd w:val="0"/>
              <w:textAlignment w:val="baseline"/>
              <w:rPr>
                <w:sz w:val="22"/>
                <w:szCs w:val="22"/>
              </w:rPr>
            </w:pPr>
            <w:r w:rsidRPr="004838F1">
              <w:rPr>
                <w:sz w:val="22"/>
                <w:szCs w:val="22"/>
              </w:rPr>
              <w:t>Luca JAHIER (Gruppe Organisationen der Zivilgesellschaft – IT)</w:t>
            </w:r>
          </w:p>
        </w:tc>
      </w:tr>
      <w:tr w:rsidRPr="004838F1" w:rsidR="00A91E27" w:rsidTr="004838F1" w14:paraId="56D16BEC" w14:textId="77777777">
        <w:trPr>
          <w:trHeight w:val="75"/>
        </w:trPr>
        <w:tc>
          <w:tcPr>
            <w:tcW w:w="8789" w:type="dxa"/>
            <w:gridSpan w:val="2"/>
          </w:tcPr>
          <w:p w:rsidRPr="004838F1" w:rsidR="00A91E27" w:rsidP="004838F1" w:rsidRDefault="00A91E27" w14:paraId="60487585" w14:textId="77777777">
            <w:pPr>
              <w:tabs>
                <w:tab w:val="center" w:pos="284"/>
              </w:tabs>
              <w:overflowPunct w:val="0"/>
              <w:autoSpaceDE w:val="0"/>
              <w:autoSpaceDN w:val="0"/>
              <w:adjustRightInd w:val="0"/>
              <w:spacing w:line="240" w:lineRule="auto"/>
              <w:ind w:left="266" w:hanging="266"/>
              <w:textAlignment w:val="baseline"/>
              <w:rPr>
                <w:sz w:val="22"/>
                <w:szCs w:val="22"/>
              </w:rPr>
            </w:pPr>
          </w:p>
        </w:tc>
      </w:tr>
      <w:tr w:rsidRPr="004838F1" w:rsidR="00A91E27" w:rsidTr="009839A2" w14:paraId="2FB44777" w14:textId="77777777">
        <w:tc>
          <w:tcPr>
            <w:tcW w:w="1701" w:type="dxa"/>
          </w:tcPr>
          <w:p w:rsidRPr="004838F1" w:rsidR="00A91E27" w:rsidP="00A91E27" w:rsidRDefault="00A91E27" w14:paraId="3B261932" w14:textId="77777777">
            <w:pPr>
              <w:tabs>
                <w:tab w:val="center" w:pos="284"/>
              </w:tabs>
              <w:overflowPunct w:val="0"/>
              <w:autoSpaceDE w:val="0"/>
              <w:autoSpaceDN w:val="0"/>
              <w:adjustRightInd w:val="0"/>
              <w:ind w:left="266" w:hanging="374"/>
              <w:textAlignment w:val="baseline"/>
              <w:rPr>
                <w:b/>
                <w:sz w:val="22"/>
                <w:szCs w:val="22"/>
              </w:rPr>
            </w:pPr>
            <w:r w:rsidRPr="004838F1">
              <w:rPr>
                <w:b/>
                <w:sz w:val="22"/>
                <w:szCs w:val="22"/>
              </w:rPr>
              <w:t>Referenzdokumente</w:t>
            </w:r>
          </w:p>
        </w:tc>
        <w:tc>
          <w:tcPr>
            <w:tcW w:w="7088" w:type="dxa"/>
          </w:tcPr>
          <w:p w:rsidRPr="004838F1" w:rsidR="003A2E3A" w:rsidP="00A91E27" w:rsidRDefault="00A91E27" w14:paraId="72EFA5C1" w14:textId="77777777">
            <w:pPr>
              <w:tabs>
                <w:tab w:val="center" w:pos="284"/>
              </w:tabs>
              <w:overflowPunct w:val="0"/>
              <w:autoSpaceDE w:val="0"/>
              <w:autoSpaceDN w:val="0"/>
              <w:adjustRightInd w:val="0"/>
              <w:textAlignment w:val="baseline"/>
              <w:rPr>
                <w:sz w:val="22"/>
                <w:szCs w:val="22"/>
              </w:rPr>
            </w:pPr>
            <w:r w:rsidRPr="004838F1">
              <w:rPr>
                <w:sz w:val="22"/>
                <w:szCs w:val="22"/>
              </w:rPr>
              <w:t>Initiativstellungnahme</w:t>
            </w:r>
          </w:p>
          <w:p w:rsidRPr="004838F1" w:rsidR="00A91E27" w:rsidP="00A91E27" w:rsidRDefault="00A91E27" w14:paraId="3FA1728C" w14:textId="6D59319B">
            <w:pPr>
              <w:tabs>
                <w:tab w:val="center" w:pos="284"/>
              </w:tabs>
              <w:overflowPunct w:val="0"/>
              <w:autoSpaceDE w:val="0"/>
              <w:autoSpaceDN w:val="0"/>
              <w:adjustRightInd w:val="0"/>
              <w:textAlignment w:val="baseline"/>
              <w:rPr>
                <w:sz w:val="22"/>
                <w:szCs w:val="22"/>
                <w:highlight w:val="yellow"/>
              </w:rPr>
            </w:pPr>
            <w:r w:rsidRPr="004838F1">
              <w:rPr>
                <w:sz w:val="22"/>
                <w:szCs w:val="22"/>
              </w:rPr>
              <w:t>EESC-2023-04860-00-AC</w:t>
            </w:r>
          </w:p>
        </w:tc>
      </w:tr>
    </w:tbl>
    <w:p w:rsidRPr="004838F1" w:rsidR="00A91E27" w:rsidP="004838F1" w:rsidRDefault="00A91E27" w14:paraId="32267B92" w14:textId="31720E2E">
      <w:pPr>
        <w:keepNext/>
        <w:keepLines/>
        <w:tabs>
          <w:tab w:val="center" w:pos="284"/>
        </w:tabs>
        <w:overflowPunct w:val="0"/>
        <w:autoSpaceDE w:val="0"/>
        <w:autoSpaceDN w:val="0"/>
        <w:adjustRightInd w:val="0"/>
        <w:spacing w:line="240" w:lineRule="auto"/>
        <w:ind w:left="266" w:hanging="266"/>
        <w:textAlignment w:val="baseline"/>
        <w:rPr>
          <w:b/>
        </w:rPr>
      </w:pPr>
    </w:p>
    <w:p w:rsidRPr="004838F1"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sidRPr="004838F1">
        <w:rPr>
          <w:b/>
        </w:rPr>
        <w:t>Kernaussagen</w:t>
      </w:r>
    </w:p>
    <w:p w:rsidRPr="004838F1" w:rsidR="00A91E27" w:rsidP="004838F1" w:rsidRDefault="00A91E27" w14:paraId="2917F4D2"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4838F1" w:rsidR="00A91E27" w:rsidP="00A91E27" w:rsidRDefault="00A91E27" w14:paraId="1717F203" w14:textId="17091443">
      <w:pPr>
        <w:overflowPunct w:val="0"/>
        <w:autoSpaceDE w:val="0"/>
        <w:autoSpaceDN w:val="0"/>
        <w:adjustRightInd w:val="0"/>
        <w:ind w:left="425" w:hanging="425"/>
        <w:textAlignment w:val="baseline"/>
      </w:pPr>
      <w:r w:rsidRPr="004838F1">
        <w:t>Der EWSA</w:t>
      </w:r>
    </w:p>
    <w:p w:rsidRPr="004838F1" w:rsidR="00147108" w:rsidP="004838F1" w:rsidRDefault="00147108" w14:paraId="525B0B1B" w14:textId="77777777">
      <w:pPr>
        <w:overflowPunct w:val="0"/>
        <w:autoSpaceDE w:val="0"/>
        <w:autoSpaceDN w:val="0"/>
        <w:adjustRightInd w:val="0"/>
        <w:spacing w:line="240" w:lineRule="auto"/>
        <w:ind w:left="425" w:hanging="425"/>
        <w:textAlignment w:val="baseline"/>
      </w:pPr>
    </w:p>
    <w:p w:rsidRPr="004838F1" w:rsidR="00A91E27" w:rsidP="00AA5F9C" w:rsidRDefault="00A91E27" w14:paraId="0CAC08C7" w14:textId="77777777">
      <w:pPr>
        <w:numPr>
          <w:ilvl w:val="0"/>
          <w:numId w:val="42"/>
        </w:numPr>
        <w:overflowPunct w:val="0"/>
        <w:autoSpaceDE w:val="0"/>
        <w:autoSpaceDN w:val="0"/>
        <w:adjustRightInd w:val="0"/>
        <w:spacing w:after="200" w:line="276" w:lineRule="auto"/>
        <w:contextualSpacing/>
        <w:textAlignment w:val="baseline"/>
      </w:pPr>
      <w:r w:rsidRPr="004838F1">
        <w:t xml:space="preserve">bekräftigt, dass die Aufnahme der länderspezifischen Empfehlungen in die Aufbau- und </w:t>
      </w:r>
      <w:proofErr w:type="spellStart"/>
      <w:r w:rsidRPr="004838F1">
        <w:t>Resilienzpläne</w:t>
      </w:r>
      <w:proofErr w:type="spellEnd"/>
      <w:r w:rsidRPr="004838F1">
        <w:t xml:space="preserve"> (ARP) die Transparenz der länderspezifischen Empfehlungen erhöht und ihre Umsetzungsrate verbessert hat. Gleichwohl bleibt zur vollständigen Umsetzung der Pläne noch viel zu tun;</w:t>
      </w:r>
    </w:p>
    <w:p w:rsidRPr="004838F1"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pPr>
      <w:r w:rsidRPr="004838F1">
        <w:t>unterstreicht, dass die zwei Lehren – leistungsorientierte ARP und verstärkte nationale Eigenverantwortung – bei der Umsetzung der neuen Regeln für die wirtschaftspolitische Steuerung und des künftigen Europäischen Semesters beherzigt werden sollten;</w:t>
      </w:r>
    </w:p>
    <w:p w:rsidRPr="00A91E27" w:rsidR="00A91E27" w:rsidP="00AA5F9C"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rsidRPr="004838F1">
        <w:t>betont, dass die im Zuge der Überprüfung der wirtschaftspolitischen Steuerung neu eingeführte Flexibilität</w:t>
      </w:r>
      <w:r>
        <w:t xml:space="preserve"> und die mittelfristige Perspektive der geplanten nationalen strukturellen finanzpolitischen Pläne die notwendigen Reformen und Investitionen wirksamer fördern könnten. Dafür müssen drei Voraussetzung erfüllt sein: a) ausreichender haushaltspolitischer Spielraum auf nationaler Ebene, um angemessene – auch soziale – Investitionen zu ermöglichen, b) maximale Ausschöpfung aller verfügbaren EU-Mittel und c) ein solideres Verfahren, um das Potenzial der geplanten nationalen Eigenverantwortung zum Tragen zu bringen;</w:t>
      </w:r>
    </w:p>
    <w:p w:rsidRPr="00A91E27"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ist der Auffassung, dass für die Stärkung der nationalen Eigenverantwortung durch eine engere Einbindung der nationalen Parlamente, der regionalen und lokalen Gebietskörperschaften, der Sozialpartner und der Zivilgesellschaft klarere Bestimmungen in den offiziellen Verfahren der EU und der Mitgliedstaaten zur Umsetzung des neuen Rahmens für die wirtschaftspolitische Steuerung erforderlich sind;</w:t>
      </w:r>
    </w:p>
    <w:p w:rsidRPr="00A91E27"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fordert formelle, kontinuierliche und strukturierte Konsultationen, bei denen die nationalen Regierungen während des gesamten politischen Zyklus der Vorbereitung, Durchführung, Überwachung und Evaluierung eng mit den Behörden aller Ebenen und partnerschaftlich mit Gewerkschaften, Arbeitgebern, OZG und anderen relevanten Stellen zusammenarbeiten;</w:t>
      </w:r>
    </w:p>
    <w:p w:rsidRPr="00A91E27"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t>fordert klare Kriterien für die grünen und sozialen Investitionen in den kommenden Jahren, um den Mitgliedstaaten bei der Formulierung ihrer strukturellen finanzpolitischen Pläne Orientierung zu geben;</w:t>
      </w:r>
    </w:p>
    <w:p w:rsidRPr="00A91E27" w:rsidR="00A91E27" w:rsidP="00AA5F9C" w:rsidRDefault="00A91E27" w14:paraId="5CFD667E" w14:textId="7177B981">
      <w:pPr>
        <w:numPr>
          <w:ilvl w:val="0"/>
          <w:numId w:val="42"/>
        </w:numPr>
        <w:overflowPunct w:val="0"/>
        <w:autoSpaceDE w:val="0"/>
        <w:autoSpaceDN w:val="0"/>
        <w:adjustRightInd w:val="0"/>
        <w:spacing w:after="200" w:line="276" w:lineRule="auto"/>
        <w:contextualSpacing/>
        <w:textAlignment w:val="baseline"/>
        <w:rPr>
          <w:szCs w:val="20"/>
        </w:rPr>
      </w:pPr>
      <w:r>
        <w:t>bekräftigt seine Forderung, dass die Kommission und die Mitgesetzgeber rechtzeitig, jedoch spätestens bis 2026 die neuen Finanzinstrumente festlegen, die auf EU-Ebene zur Finanzierung der strategischen Gemeingüter benötigt werden. Dies sind u. a. der unlängst angekündigte EU</w:t>
      </w:r>
      <w:r w:rsidR="004838F1">
        <w:noBreakHyphen/>
      </w:r>
      <w:r>
        <w:t>Souveränitätsfonds, neue Eigenmittel, eine eigene Fiskal- bzw. Finanzkapazität und der nächste mehrjährige Finanzrahmen (MFR). In diesem Zusammenhang kommt auch der EIB bei der Mobilisierung privater Investitionen und der Verbesserung öffentlich-privater Partnerschaften entscheidende Bedeutung zu.</w:t>
      </w:r>
    </w:p>
    <w:p w:rsidRPr="004838F1" w:rsidR="00A91E27" w:rsidP="004838F1" w:rsidRDefault="00A91E27" w14:paraId="75D8C359" w14:textId="77777777">
      <w:pPr>
        <w:overflowPunct w:val="0"/>
        <w:autoSpaceDE w:val="0"/>
        <w:autoSpaceDN w:val="0"/>
        <w:adjustRightInd w:val="0"/>
        <w:spacing w:after="200" w:line="240" w:lineRule="auto"/>
        <w:contextualSpacing/>
        <w:textAlignment w:val="baseline"/>
        <w:rPr>
          <w:sz w:val="16"/>
          <w:szCs w:val="16"/>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A91E27" w:rsidR="00A91E27" w:rsidTr="009839A2" w14:paraId="69411270" w14:textId="77777777">
        <w:tc>
          <w:tcPr>
            <w:tcW w:w="1173" w:type="dxa"/>
          </w:tcPr>
          <w:p w:rsidRPr="00A91E27" w:rsidR="00A91E27" w:rsidP="00A91E27" w:rsidRDefault="00A91E27" w14:paraId="0051C80B" w14:textId="77777777">
            <w:pPr>
              <w:overflowPunct w:val="0"/>
              <w:autoSpaceDE w:val="0"/>
              <w:autoSpaceDN w:val="0"/>
              <w:adjustRightInd w:val="0"/>
              <w:textAlignment w:val="baseline"/>
              <w:rPr>
                <w:i/>
              </w:rPr>
            </w:pPr>
            <w:r>
              <w:rPr>
                <w:b/>
                <w:i/>
              </w:rPr>
              <w:lastRenderedPageBreak/>
              <w:t>Kontakt</w:t>
            </w:r>
          </w:p>
        </w:tc>
        <w:tc>
          <w:tcPr>
            <w:tcW w:w="4518" w:type="dxa"/>
          </w:tcPr>
          <w:p w:rsidRPr="00A91E27" w:rsidR="00A91E27" w:rsidP="00A91E27" w:rsidRDefault="00A91E27" w14:paraId="5C74006C" w14:textId="77777777">
            <w:pPr>
              <w:overflowPunct w:val="0"/>
              <w:autoSpaceDE w:val="0"/>
              <w:autoSpaceDN w:val="0"/>
              <w:adjustRightInd w:val="0"/>
              <w:textAlignment w:val="baseline"/>
              <w:rPr>
                <w:b/>
                <w:bCs/>
                <w:i/>
                <w:iCs/>
              </w:rPr>
            </w:pPr>
            <w:r>
              <w:rPr>
                <w:i/>
              </w:rPr>
              <w:t>Colombe Grégoire</w:t>
            </w:r>
          </w:p>
        </w:tc>
      </w:tr>
      <w:tr w:rsidRPr="00A91E27" w:rsidR="00A91E27" w:rsidTr="009839A2" w14:paraId="6344D553" w14:textId="77777777">
        <w:tc>
          <w:tcPr>
            <w:tcW w:w="1173" w:type="dxa"/>
          </w:tcPr>
          <w:p w:rsidRPr="00A91E27" w:rsidR="00A91E27" w:rsidP="00A91E27" w:rsidRDefault="00A91E27" w14:paraId="006D4DCD" w14:textId="77777777">
            <w:pPr>
              <w:overflowPunct w:val="0"/>
              <w:autoSpaceDE w:val="0"/>
              <w:autoSpaceDN w:val="0"/>
              <w:adjustRightInd w:val="0"/>
              <w:textAlignment w:val="baseline"/>
              <w:rPr>
                <w:i/>
              </w:rPr>
            </w:pPr>
            <w:r>
              <w:rPr>
                <w:i/>
              </w:rPr>
              <w:t>Tel.</w:t>
            </w:r>
          </w:p>
        </w:tc>
        <w:tc>
          <w:tcPr>
            <w:tcW w:w="4518" w:type="dxa"/>
          </w:tcPr>
          <w:p w:rsidRPr="00A91E27" w:rsidR="00A91E27" w:rsidP="00A91E27" w:rsidRDefault="00A91E27" w14:paraId="7C4E4F4A" w14:textId="77777777">
            <w:pPr>
              <w:overflowPunct w:val="0"/>
              <w:autoSpaceDE w:val="0"/>
              <w:autoSpaceDN w:val="0"/>
              <w:adjustRightInd w:val="0"/>
              <w:textAlignment w:val="baseline"/>
              <w:rPr>
                <w:i/>
                <w:iCs/>
              </w:rPr>
            </w:pPr>
            <w:r>
              <w:rPr>
                <w:i/>
              </w:rPr>
              <w:t>+32 25469286</w:t>
            </w:r>
          </w:p>
        </w:tc>
      </w:tr>
      <w:tr w:rsidRPr="00A91E27" w:rsidR="00A91E27" w:rsidTr="009839A2" w14:paraId="4FE1797F" w14:textId="77777777">
        <w:tc>
          <w:tcPr>
            <w:tcW w:w="1173" w:type="dxa"/>
          </w:tcPr>
          <w:p w:rsidRPr="00A91E27" w:rsidR="00A91E27" w:rsidP="00A91E27" w:rsidRDefault="00A91E27" w14:paraId="62B8B7E1" w14:textId="77777777">
            <w:pPr>
              <w:overflowPunct w:val="0"/>
              <w:autoSpaceDE w:val="0"/>
              <w:autoSpaceDN w:val="0"/>
              <w:adjustRightInd w:val="0"/>
              <w:textAlignment w:val="baseline"/>
              <w:rPr>
                <w:i/>
              </w:rPr>
            </w:pPr>
            <w:r>
              <w:rPr>
                <w:i/>
              </w:rPr>
              <w:t>E-Mail</w:t>
            </w:r>
          </w:p>
        </w:tc>
        <w:tc>
          <w:tcPr>
            <w:tcW w:w="4518" w:type="dxa"/>
          </w:tcPr>
          <w:p w:rsidRPr="00A91E27" w:rsidR="00A91E27" w:rsidP="00A91E27" w:rsidRDefault="006C4E9A" w14:paraId="63730DB3" w14:textId="77777777">
            <w:pPr>
              <w:overflowPunct w:val="0"/>
              <w:autoSpaceDE w:val="0"/>
              <w:autoSpaceDN w:val="0"/>
              <w:adjustRightInd w:val="0"/>
              <w:textAlignment w:val="baseline"/>
              <w:rPr>
                <w:i/>
                <w:iCs/>
              </w:rPr>
            </w:pPr>
            <w:hyperlink w:history="1" r:id="rId25">
              <w:r w:rsidR="00C37C45">
                <w:rPr>
                  <w:color w:val="0000FF"/>
                  <w:u w:val="single"/>
                </w:rPr>
                <w:t>Colombe.Gregoire@eesc.europa.eu</w:t>
              </w:r>
            </w:hyperlink>
            <w:r w:rsidR="00C37C45">
              <w:t xml:space="preserve"> </w:t>
            </w:r>
          </w:p>
        </w:tc>
      </w:tr>
    </w:tbl>
    <w:p w:rsidRPr="00502E1F" w:rsidR="00502E1F" w:rsidP="00401E8F" w:rsidRDefault="00502E1F" w14:paraId="26F82B31" w14:textId="13D21940">
      <w:pPr>
        <w:pStyle w:val="Heading1"/>
        <w:pageBreakBefore/>
        <w:tabs>
          <w:tab w:val="clear" w:pos="440"/>
          <w:tab w:val="left" w:pos="567"/>
        </w:tabs>
        <w:ind w:left="567" w:hanging="567"/>
        <w:rPr>
          <w:color w:val="000000" w:themeColor="text1"/>
        </w:rPr>
      </w:pPr>
      <w:bookmarkStart w:name="_Toc166848518" w:id="1"/>
      <w:r>
        <w:rPr>
          <w:rStyle w:val="Hyperlink"/>
          <w:b/>
          <w:color w:val="000000" w:themeColor="text1"/>
          <w:u w:val="none"/>
        </w:rPr>
        <w:lastRenderedPageBreak/>
        <w:t>BESCHÄFTIGUNG, SOZIALFRAGEN, UNIONSBÜRGERSCHAFT</w:t>
      </w:r>
      <w:bookmarkEnd w:id="1"/>
    </w:p>
    <w:p w:rsidR="00502E1F" w:rsidP="00502E1F" w:rsidRDefault="00502E1F" w14:paraId="7FCC1962" w14:textId="53F6C7BA"/>
    <w:p w:rsidRPr="00174253" w:rsidR="00174253" w:rsidP="00401E8F" w:rsidRDefault="006C4E9A"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6">
        <w:r w:rsidR="008772F9">
          <w:rPr>
            <w:b/>
            <w:i/>
            <w:color w:val="0000FF"/>
            <w:sz w:val="28"/>
            <w:u w:val="single"/>
          </w:rPr>
          <w:t>Paket zur Verteidigung der Demokratie</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894"/>
      </w:tblGrid>
      <w:tr w:rsidRPr="004838F1" w:rsidR="00174253" w:rsidTr="009839A2" w14:paraId="404BA576" w14:textId="77777777">
        <w:tc>
          <w:tcPr>
            <w:tcW w:w="1111" w:type="pct"/>
          </w:tcPr>
          <w:p w:rsidRPr="004838F1" w:rsidR="00174253" w:rsidP="00174253" w:rsidRDefault="00174253" w14:paraId="7C0F9889"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 xml:space="preserve">Berichterstatter </w:t>
            </w:r>
          </w:p>
        </w:tc>
        <w:tc>
          <w:tcPr>
            <w:tcW w:w="3889" w:type="pct"/>
          </w:tcPr>
          <w:p w:rsidRPr="004838F1" w:rsidR="00174253" w:rsidP="00174253" w:rsidRDefault="00174253" w14:paraId="7D5BA812" w14:textId="5DD56E6F">
            <w:pPr>
              <w:tabs>
                <w:tab w:val="center" w:pos="284"/>
              </w:tabs>
              <w:overflowPunct w:val="0"/>
              <w:autoSpaceDE w:val="0"/>
              <w:autoSpaceDN w:val="0"/>
              <w:adjustRightInd w:val="0"/>
              <w:ind w:left="266" w:hanging="266"/>
              <w:textAlignment w:val="baseline"/>
              <w:rPr>
                <w:sz w:val="22"/>
                <w:szCs w:val="22"/>
              </w:rPr>
            </w:pPr>
            <w:r w:rsidRPr="004838F1">
              <w:rPr>
                <w:sz w:val="22"/>
                <w:szCs w:val="22"/>
              </w:rPr>
              <w:t>Christian MOOS (Gruppe Organisationen der Zivilgesellschaft – DE)</w:t>
            </w:r>
          </w:p>
        </w:tc>
      </w:tr>
      <w:tr w:rsidRPr="004838F1" w:rsidR="00174253" w:rsidTr="009839A2" w14:paraId="59C3C19D" w14:textId="77777777">
        <w:tc>
          <w:tcPr>
            <w:tcW w:w="1111" w:type="pct"/>
          </w:tcPr>
          <w:p w:rsidRPr="004838F1" w:rsidR="00174253" w:rsidP="00174253" w:rsidRDefault="00174253" w14:paraId="31178180"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Ko-Berichterstatter</w:t>
            </w:r>
          </w:p>
        </w:tc>
        <w:tc>
          <w:tcPr>
            <w:tcW w:w="3889" w:type="pct"/>
          </w:tcPr>
          <w:p w:rsidRPr="004838F1" w:rsidR="00174253" w:rsidP="00174253" w:rsidRDefault="00174253" w14:paraId="6DCFD8F9" w14:textId="5FFA6E6A">
            <w:pPr>
              <w:tabs>
                <w:tab w:val="center" w:pos="284"/>
              </w:tabs>
              <w:overflowPunct w:val="0"/>
              <w:autoSpaceDE w:val="0"/>
              <w:autoSpaceDN w:val="0"/>
              <w:adjustRightInd w:val="0"/>
              <w:ind w:left="266" w:hanging="266"/>
              <w:textAlignment w:val="baseline"/>
              <w:rPr>
                <w:sz w:val="22"/>
                <w:szCs w:val="22"/>
              </w:rPr>
            </w:pPr>
            <w:r w:rsidRPr="004838F1">
              <w:rPr>
                <w:sz w:val="22"/>
                <w:szCs w:val="22"/>
              </w:rPr>
              <w:t>José Antonio MORENO DÍAZ (Gruppe Arbeitnehmer – ES)</w:t>
            </w:r>
          </w:p>
        </w:tc>
      </w:tr>
      <w:tr w:rsidRPr="004838F1" w:rsidR="00174253" w:rsidTr="009839A2" w14:paraId="60F0DCB6" w14:textId="77777777">
        <w:tc>
          <w:tcPr>
            <w:tcW w:w="5000" w:type="pct"/>
            <w:gridSpan w:val="2"/>
          </w:tcPr>
          <w:p w:rsidRPr="004838F1"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838F1" w:rsidR="00174253" w:rsidTr="009839A2" w14:paraId="7BEB1B9F" w14:textId="77777777">
        <w:tc>
          <w:tcPr>
            <w:tcW w:w="1111" w:type="pct"/>
          </w:tcPr>
          <w:p w:rsidRPr="004838F1" w:rsidR="00174253" w:rsidP="00174253" w:rsidRDefault="00174253" w14:paraId="135025BC"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Referenzdokumente</w:t>
            </w:r>
          </w:p>
        </w:tc>
        <w:tc>
          <w:tcPr>
            <w:tcW w:w="3889" w:type="pct"/>
          </w:tcPr>
          <w:p w:rsidRPr="004838F1" w:rsidR="007A1E2D" w:rsidP="00174253" w:rsidRDefault="007A1E2D" w14:paraId="03206622" w14:textId="6E285877">
            <w:pPr>
              <w:tabs>
                <w:tab w:val="center" w:pos="284"/>
              </w:tabs>
              <w:overflowPunct w:val="0"/>
              <w:autoSpaceDE w:val="0"/>
              <w:autoSpaceDN w:val="0"/>
              <w:adjustRightInd w:val="0"/>
              <w:ind w:left="266" w:hanging="266"/>
              <w:textAlignment w:val="baseline"/>
              <w:rPr>
                <w:sz w:val="22"/>
                <w:szCs w:val="22"/>
              </w:rPr>
            </w:pPr>
            <w:r w:rsidRPr="004838F1">
              <w:rPr>
                <w:sz w:val="22"/>
                <w:szCs w:val="22"/>
              </w:rPr>
              <w:t>COM(2023) 630 final</w:t>
            </w:r>
          </w:p>
          <w:p w:rsidRPr="004838F1" w:rsidR="007A1E2D" w:rsidP="00174253" w:rsidRDefault="007A1E2D" w14:paraId="1CD6C4F8" w14:textId="1432A2DC">
            <w:pPr>
              <w:tabs>
                <w:tab w:val="center" w:pos="284"/>
              </w:tabs>
              <w:overflowPunct w:val="0"/>
              <w:autoSpaceDE w:val="0"/>
              <w:autoSpaceDN w:val="0"/>
              <w:adjustRightInd w:val="0"/>
              <w:ind w:left="266" w:hanging="266"/>
              <w:textAlignment w:val="baseline"/>
              <w:rPr>
                <w:sz w:val="22"/>
                <w:szCs w:val="22"/>
              </w:rPr>
            </w:pPr>
            <w:r w:rsidRPr="004838F1">
              <w:rPr>
                <w:sz w:val="22"/>
                <w:szCs w:val="22"/>
              </w:rPr>
              <w:t>COM(2023) 636 final</w:t>
            </w:r>
          </w:p>
          <w:p w:rsidRPr="004838F1" w:rsidR="007A1E2D" w:rsidP="00174253" w:rsidRDefault="007A1E2D" w14:paraId="759E9CEC" w14:textId="0BF412C7">
            <w:pPr>
              <w:tabs>
                <w:tab w:val="center" w:pos="284"/>
              </w:tabs>
              <w:overflowPunct w:val="0"/>
              <w:autoSpaceDE w:val="0"/>
              <w:autoSpaceDN w:val="0"/>
              <w:adjustRightInd w:val="0"/>
              <w:ind w:left="266" w:hanging="266"/>
              <w:textAlignment w:val="baseline"/>
              <w:rPr>
                <w:sz w:val="22"/>
                <w:szCs w:val="22"/>
              </w:rPr>
            </w:pPr>
            <w:r w:rsidRPr="004838F1">
              <w:rPr>
                <w:sz w:val="22"/>
                <w:szCs w:val="22"/>
              </w:rPr>
              <w:t>COM(2023) 637 final</w:t>
            </w:r>
          </w:p>
          <w:p w:rsidRPr="004838F1" w:rsidR="00174253" w:rsidP="00174253" w:rsidRDefault="00174253" w14:paraId="04C45B31" w14:textId="270843DE">
            <w:pPr>
              <w:tabs>
                <w:tab w:val="center" w:pos="284"/>
              </w:tabs>
              <w:overflowPunct w:val="0"/>
              <w:autoSpaceDE w:val="0"/>
              <w:autoSpaceDN w:val="0"/>
              <w:adjustRightInd w:val="0"/>
              <w:ind w:left="266" w:hanging="266"/>
              <w:textAlignment w:val="baseline"/>
              <w:rPr>
                <w:sz w:val="22"/>
                <w:szCs w:val="22"/>
              </w:rPr>
            </w:pPr>
            <w:r w:rsidRPr="004838F1">
              <w:rPr>
                <w:sz w:val="22"/>
                <w:szCs w:val="22"/>
              </w:rP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4838F1"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6E867874" w14:textId="77777777">
      <w:pPr>
        <w:overflowPunct w:val="0"/>
        <w:autoSpaceDE w:val="0"/>
        <w:autoSpaceDN w:val="0"/>
        <w:adjustRightInd w:val="0"/>
        <w:textAlignment w:val="baseline"/>
        <w:rPr>
          <w:bCs/>
          <w:iCs/>
        </w:rPr>
      </w:pPr>
      <w:r>
        <w:t>Der EWSA</w:t>
      </w:r>
    </w:p>
    <w:p w:rsidRPr="00174253" w:rsidR="00174253" w:rsidP="00AA5F9C"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bedauert, dass das </w:t>
      </w:r>
      <w:r>
        <w:rPr>
          <w:b/>
        </w:rPr>
        <w:t>Paket zur Verteidigung der Demokratie</w:t>
      </w:r>
      <w:r>
        <w:t xml:space="preserve"> viel zu spät vorgelegt wurde und so nicht mehr noch vor der Europawahl 2024 umgesetzt werden kann, und dass die Vorschläge des EWSA zum Aktionsplan für Demokratie in Europa nicht berücksichtigt werden;</w:t>
      </w:r>
    </w:p>
    <w:p w:rsidRPr="00174253"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unterstützt uneingeschränkt die Ziele der vorgeschlagenen </w:t>
      </w:r>
      <w:r>
        <w:rPr>
          <w:b/>
        </w:rPr>
        <w:t>Richtlinie über die im Auftrag von Drittländern durchgeführten Interessenvertretungstätigkeiten</w:t>
      </w:r>
      <w:r>
        <w:t>, lehnt die vorgeschlagene Mittelausstattung jedoch entschieden ab;</w:t>
      </w:r>
    </w:p>
    <w:p w:rsidRPr="00174253"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fordert einen umfassenden Ansatz auf EU-Ebene, der NICHT</w:t>
      </w:r>
    </w:p>
    <w:p w:rsidRPr="00174253"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mit zusätzlichen Kosten oder Risiken verbunden ist,</w:t>
      </w:r>
    </w:p>
    <w:p w:rsidRPr="00174253"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Interessenvertretungsdienstleister stigmatisiert und den Handlungsspielraum der Zivilgesellschaft in der EU einengt,</w:t>
      </w:r>
    </w:p>
    <w:p w:rsidRPr="00174253"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den Anwendungsbereich bestehender Transparenzregister auf nationaler Ebene beschränkt,</w:t>
      </w:r>
    </w:p>
    <w:p w:rsidRPr="00174253"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die Glaubwürdigkeit der EU auf der internationalen Bühne untergräbt.</w:t>
      </w:r>
    </w:p>
    <w:p w:rsidRPr="00174253"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Ein solcher Ansatz würde hingegen</w:t>
      </w:r>
    </w:p>
    <w:p w:rsidRPr="00174253"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die verwendeten Begriffe, insbesondere „Interessenvertretungstätigkeit“, klar definieren,</w:t>
      </w:r>
    </w:p>
    <w:p w:rsidRPr="00174253"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klare Kriterien festlegen, anhand derer beurteilt werden kann, welche ausländischen Unternehmen unter die Rechtsvorschriften fallen,</w:t>
      </w:r>
    </w:p>
    <w:p w:rsidRPr="00174253"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alle Unterauftragnehmer in der EU abdecken,</w:t>
      </w:r>
    </w:p>
    <w:p w:rsidRPr="00174253"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bestehende Schlupflöcher in Bezug auf bestimmte Finanzierungsformen schließen.</w:t>
      </w:r>
    </w:p>
    <w:p w:rsidRPr="00174253"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t>fordert (</w:t>
      </w:r>
      <w:r>
        <w:rPr>
          <w:b/>
        </w:rPr>
        <w:t>in Bezug auf die Empfehlung für inklusive und stabile Wahlverfahren</w:t>
      </w:r>
      <w:r>
        <w:t>) eine Vereinheitlichung des Wahlverfahrens in allen Mitgliedstaaten, um es inklusiver und stabiler zu gestalten und für alle EU-Bürgerinnen und -Bürger mit Behinderungen uneingeschränkt zugänglich zu machen;</w:t>
      </w:r>
    </w:p>
    <w:p w:rsidRPr="00174253"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t>fordert (</w:t>
      </w:r>
      <w:r>
        <w:rPr>
          <w:b/>
        </w:rPr>
        <w:t>in Bezug auf die Empfehlung zur Förderung der Mitwirkung und der wirksamen Beteiligung</w:t>
      </w:r>
      <w:r>
        <w:t>) eine Stärkung der partizipativen Demokratie und innovativer Formen der Bürgerbeteiligung, eine Reform der Europäischen Bürgerinitiative (EBI) und die Schaffung eines Rahmens für die wirksame Beteiligung auf EU-Ebene.</w:t>
      </w:r>
    </w:p>
    <w:p w:rsidRPr="00174253" w:rsidR="00174253" w:rsidP="004838F1" w:rsidRDefault="00174253" w14:paraId="51410736" w14:textId="77777777">
      <w:pPr>
        <w:widowControl w:val="0"/>
        <w:overflowPunct w:val="0"/>
        <w:autoSpaceDE w:val="0"/>
        <w:autoSpaceDN w:val="0"/>
        <w:adjustRightInd w:val="0"/>
        <w:spacing w:line="240" w:lineRule="auto"/>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5047"/>
      </w:tblGrid>
      <w:tr w:rsidRPr="00174253" w:rsidR="00174253" w:rsidTr="004838F1" w14:paraId="378374E4" w14:textId="77777777">
        <w:tc>
          <w:tcPr>
            <w:tcW w:w="1076" w:type="pct"/>
          </w:tcPr>
          <w:p w:rsidRPr="00174253" w:rsidR="00174253" w:rsidP="00174253" w:rsidRDefault="00174253" w14:paraId="46BE74D0" w14:textId="77777777">
            <w:pPr>
              <w:overflowPunct w:val="0"/>
              <w:autoSpaceDE w:val="0"/>
              <w:autoSpaceDN w:val="0"/>
              <w:adjustRightInd w:val="0"/>
              <w:textAlignment w:val="baseline"/>
              <w:rPr>
                <w:i/>
              </w:rPr>
            </w:pPr>
            <w:r>
              <w:rPr>
                <w:b/>
                <w:i/>
              </w:rPr>
              <w:t>Kontakt</w:t>
            </w:r>
          </w:p>
        </w:tc>
        <w:tc>
          <w:tcPr>
            <w:tcW w:w="3924" w:type="pct"/>
          </w:tcPr>
          <w:p w:rsidRPr="00174253" w:rsidR="00174253" w:rsidP="00174253" w:rsidRDefault="00174253" w14:paraId="1394335F" w14:textId="77777777">
            <w:pPr>
              <w:overflowPunct w:val="0"/>
              <w:autoSpaceDE w:val="0"/>
              <w:autoSpaceDN w:val="0"/>
              <w:adjustRightInd w:val="0"/>
              <w:textAlignment w:val="baseline"/>
              <w:rPr>
                <w:i/>
              </w:rPr>
            </w:pPr>
            <w:r>
              <w:rPr>
                <w:i/>
              </w:rPr>
              <w:t>Jean-Marie Rogue</w:t>
            </w:r>
          </w:p>
        </w:tc>
      </w:tr>
      <w:tr w:rsidRPr="00174253" w:rsidR="00174253" w:rsidTr="004838F1" w14:paraId="32E270DD" w14:textId="77777777">
        <w:tc>
          <w:tcPr>
            <w:tcW w:w="1076" w:type="pct"/>
          </w:tcPr>
          <w:p w:rsidRPr="00174253" w:rsidR="00174253" w:rsidP="00174253" w:rsidRDefault="00174253" w14:paraId="49281D34" w14:textId="77777777">
            <w:pPr>
              <w:overflowPunct w:val="0"/>
              <w:autoSpaceDE w:val="0"/>
              <w:autoSpaceDN w:val="0"/>
              <w:adjustRightInd w:val="0"/>
              <w:textAlignment w:val="baseline"/>
              <w:rPr>
                <w:i/>
              </w:rPr>
            </w:pPr>
            <w:r>
              <w:rPr>
                <w:i/>
              </w:rPr>
              <w:t>Tel.</w:t>
            </w:r>
          </w:p>
        </w:tc>
        <w:tc>
          <w:tcPr>
            <w:tcW w:w="3924" w:type="pct"/>
          </w:tcPr>
          <w:p w:rsidRPr="00174253" w:rsidR="00174253" w:rsidP="00174253" w:rsidRDefault="00174253" w14:paraId="22F52D95" w14:textId="77777777">
            <w:pPr>
              <w:overflowPunct w:val="0"/>
              <w:autoSpaceDE w:val="0"/>
              <w:autoSpaceDN w:val="0"/>
              <w:adjustRightInd w:val="0"/>
              <w:textAlignment w:val="baseline"/>
              <w:rPr>
                <w:i/>
              </w:rPr>
            </w:pPr>
            <w:r>
              <w:rPr>
                <w:i/>
              </w:rPr>
              <w:t>+32 25468909</w:t>
            </w:r>
          </w:p>
        </w:tc>
      </w:tr>
      <w:tr w:rsidRPr="00174253" w:rsidR="00174253" w:rsidTr="004838F1" w14:paraId="5F8332A0" w14:textId="77777777">
        <w:tc>
          <w:tcPr>
            <w:tcW w:w="1076" w:type="pct"/>
          </w:tcPr>
          <w:p w:rsidRPr="00174253" w:rsidR="00174253" w:rsidP="00174253" w:rsidRDefault="00174253" w14:paraId="3410AFEB" w14:textId="77777777">
            <w:pPr>
              <w:overflowPunct w:val="0"/>
              <w:autoSpaceDE w:val="0"/>
              <w:autoSpaceDN w:val="0"/>
              <w:adjustRightInd w:val="0"/>
              <w:textAlignment w:val="baseline"/>
              <w:rPr>
                <w:i/>
              </w:rPr>
            </w:pPr>
            <w:r>
              <w:rPr>
                <w:i/>
              </w:rPr>
              <w:t>E-Mail</w:t>
            </w:r>
          </w:p>
        </w:tc>
        <w:tc>
          <w:tcPr>
            <w:tcW w:w="3924" w:type="pct"/>
          </w:tcPr>
          <w:p w:rsidRPr="00174253" w:rsidR="00174253" w:rsidP="00174253" w:rsidRDefault="006C4E9A" w14:paraId="7F3997D8" w14:textId="77777777">
            <w:pPr>
              <w:overflowPunct w:val="0"/>
              <w:autoSpaceDE w:val="0"/>
              <w:autoSpaceDN w:val="0"/>
              <w:adjustRightInd w:val="0"/>
              <w:textAlignment w:val="baseline"/>
              <w:rPr>
                <w:i/>
              </w:rPr>
            </w:pPr>
            <w:hyperlink w:history="1" r:id="rId27">
              <w:r w:rsidR="00C37C45">
                <w:rPr>
                  <w:i/>
                  <w:color w:val="0000FF"/>
                  <w:u w:val="single"/>
                </w:rPr>
                <w:t>JeanMarie.Rogue@eesc.europa.eu</w:t>
              </w:r>
            </w:hyperlink>
            <w:r w:rsidR="00C37C45">
              <w:rPr>
                <w:i/>
              </w:rPr>
              <w:t xml:space="preserve"> </w:t>
            </w:r>
          </w:p>
        </w:tc>
      </w:tr>
    </w:tbl>
    <w:p w:rsidRPr="004838F1" w:rsidR="00502E1F" w:rsidRDefault="00502E1F" w14:paraId="035C0A27" w14:textId="77777777">
      <w:pPr>
        <w:spacing w:after="160" w:line="259" w:lineRule="auto"/>
        <w:jc w:val="left"/>
        <w:rPr>
          <w:sz w:val="2"/>
          <w:szCs w:val="2"/>
        </w:rPr>
      </w:pPr>
      <w:r w:rsidRPr="004838F1">
        <w:rPr>
          <w:sz w:val="2"/>
          <w:szCs w:val="2"/>
        </w:rPr>
        <w:br w:type="page"/>
      </w:r>
    </w:p>
    <w:p w:rsidRPr="00C12284" w:rsidR="00C12284" w:rsidP="00401E8F" w:rsidRDefault="006C4E9A" w14:paraId="36B5E58D" w14:textId="256ACD66">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8">
        <w:r w:rsidR="008772F9">
          <w:rPr>
            <w:b/>
            <w:i/>
            <w:color w:val="0000FF"/>
            <w:sz w:val="28"/>
            <w:u w:val="single"/>
          </w:rPr>
          <w:t>Bewertung des Europäischen Sozialfonds 2014–2020</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38"/>
      </w:tblGrid>
      <w:tr w:rsidRPr="004838F1" w:rsidR="00C12284" w:rsidTr="004838F1" w14:paraId="45055B20" w14:textId="77777777">
        <w:tc>
          <w:tcPr>
            <w:tcW w:w="1107" w:type="pct"/>
          </w:tcPr>
          <w:p w:rsidRPr="004838F1" w:rsidR="00C12284" w:rsidP="00C12284" w:rsidRDefault="00C12284" w14:paraId="18CDD30B" w14:textId="77777777">
            <w:pPr>
              <w:overflowPunct w:val="0"/>
              <w:autoSpaceDE w:val="0"/>
              <w:autoSpaceDN w:val="0"/>
              <w:adjustRightInd w:val="0"/>
              <w:ind w:left="-113"/>
              <w:textAlignment w:val="baseline"/>
              <w:rPr>
                <w:b/>
                <w:sz w:val="22"/>
                <w:szCs w:val="22"/>
              </w:rPr>
            </w:pPr>
            <w:r w:rsidRPr="004838F1">
              <w:rPr>
                <w:b/>
                <w:sz w:val="22"/>
                <w:szCs w:val="22"/>
              </w:rPr>
              <w:t xml:space="preserve">Berichterstatter </w:t>
            </w:r>
          </w:p>
        </w:tc>
        <w:tc>
          <w:tcPr>
            <w:tcW w:w="3893" w:type="pct"/>
          </w:tcPr>
          <w:p w:rsidRPr="004838F1" w:rsidR="00C12284" w:rsidP="00C12284" w:rsidRDefault="00C12284" w14:paraId="2B260844" w14:textId="4AF89C48">
            <w:pPr>
              <w:overflowPunct w:val="0"/>
              <w:autoSpaceDE w:val="0"/>
              <w:autoSpaceDN w:val="0"/>
              <w:adjustRightInd w:val="0"/>
              <w:ind w:left="-113" w:right="-1815"/>
              <w:textAlignment w:val="baseline"/>
              <w:rPr>
                <w:sz w:val="22"/>
                <w:szCs w:val="22"/>
              </w:rPr>
            </w:pPr>
            <w:r w:rsidRPr="004838F1">
              <w:rPr>
                <w:sz w:val="22"/>
                <w:szCs w:val="22"/>
              </w:rPr>
              <w:t>Krzysztof BALON (Gruppe Organisationen der Zivilgesellschaft – PL)</w:t>
            </w:r>
          </w:p>
          <w:p w:rsidRPr="004838F1" w:rsidR="00C12284" w:rsidP="00C12284" w:rsidRDefault="00C12284" w14:paraId="6D17E62D" w14:textId="3E90588A">
            <w:pPr>
              <w:overflowPunct w:val="0"/>
              <w:autoSpaceDE w:val="0"/>
              <w:autoSpaceDN w:val="0"/>
              <w:adjustRightInd w:val="0"/>
              <w:ind w:left="-113"/>
              <w:textAlignment w:val="baseline"/>
              <w:rPr>
                <w:sz w:val="22"/>
                <w:szCs w:val="22"/>
              </w:rPr>
            </w:pPr>
            <w:r w:rsidRPr="004838F1">
              <w:rPr>
                <w:sz w:val="22"/>
                <w:szCs w:val="22"/>
              </w:rPr>
              <w:t>Cinzia DEL RIO (Gruppe Arbeitnehmer – IT)</w:t>
            </w:r>
          </w:p>
          <w:p w:rsidRPr="004838F1" w:rsidR="00C12284" w:rsidP="00C12284" w:rsidRDefault="00C12284" w14:paraId="48E64582" w14:textId="42A16C91">
            <w:pPr>
              <w:overflowPunct w:val="0"/>
              <w:autoSpaceDE w:val="0"/>
              <w:autoSpaceDN w:val="0"/>
              <w:adjustRightInd w:val="0"/>
              <w:ind w:left="-113"/>
              <w:textAlignment w:val="baseline"/>
              <w:rPr>
                <w:sz w:val="22"/>
                <w:szCs w:val="22"/>
              </w:rPr>
            </w:pPr>
            <w:r w:rsidRPr="004838F1">
              <w:rPr>
                <w:sz w:val="22"/>
                <w:szCs w:val="22"/>
              </w:rPr>
              <w:t>David SVENTEK (Gruppe Arbeitgeber – CZ)</w:t>
            </w:r>
          </w:p>
        </w:tc>
      </w:tr>
      <w:tr w:rsidRPr="004838F1" w:rsidR="00C12284" w:rsidTr="004838F1" w14:paraId="1AF2D930" w14:textId="77777777">
        <w:tc>
          <w:tcPr>
            <w:tcW w:w="5000" w:type="pct"/>
            <w:gridSpan w:val="2"/>
          </w:tcPr>
          <w:p w:rsidRPr="004838F1" w:rsidR="00C12284" w:rsidP="00C12284" w:rsidRDefault="00C12284" w14:paraId="7985BEBA" w14:textId="77777777">
            <w:pPr>
              <w:overflowPunct w:val="0"/>
              <w:autoSpaceDE w:val="0"/>
              <w:autoSpaceDN w:val="0"/>
              <w:adjustRightInd w:val="0"/>
              <w:spacing w:line="160" w:lineRule="exact"/>
              <w:ind w:left="-113"/>
              <w:textAlignment w:val="baseline"/>
              <w:rPr>
                <w:sz w:val="22"/>
                <w:szCs w:val="22"/>
              </w:rPr>
            </w:pPr>
          </w:p>
        </w:tc>
      </w:tr>
      <w:tr w:rsidRPr="004838F1" w:rsidR="00C12284" w:rsidTr="004838F1" w14:paraId="0ED23072" w14:textId="77777777">
        <w:tc>
          <w:tcPr>
            <w:tcW w:w="1107" w:type="pct"/>
          </w:tcPr>
          <w:p w:rsidRPr="004838F1" w:rsidR="00C12284" w:rsidP="00C12284" w:rsidRDefault="00C12284" w14:paraId="7182C467" w14:textId="77777777">
            <w:pPr>
              <w:overflowPunct w:val="0"/>
              <w:autoSpaceDE w:val="0"/>
              <w:autoSpaceDN w:val="0"/>
              <w:adjustRightInd w:val="0"/>
              <w:ind w:left="-113"/>
              <w:textAlignment w:val="baseline"/>
              <w:rPr>
                <w:b/>
                <w:sz w:val="22"/>
                <w:szCs w:val="22"/>
              </w:rPr>
            </w:pPr>
            <w:r w:rsidRPr="004838F1">
              <w:rPr>
                <w:b/>
                <w:sz w:val="22"/>
                <w:szCs w:val="22"/>
              </w:rPr>
              <w:t>Referenzdokument</w:t>
            </w:r>
          </w:p>
        </w:tc>
        <w:tc>
          <w:tcPr>
            <w:tcW w:w="3893" w:type="pct"/>
          </w:tcPr>
          <w:p w:rsidRPr="004838F1" w:rsidR="00D6320E" w:rsidP="00C12284" w:rsidRDefault="00D6320E" w14:paraId="7B8587E5" w14:textId="364BCE43">
            <w:pPr>
              <w:overflowPunct w:val="0"/>
              <w:autoSpaceDE w:val="0"/>
              <w:autoSpaceDN w:val="0"/>
              <w:adjustRightInd w:val="0"/>
              <w:ind w:left="-113"/>
              <w:textAlignment w:val="baseline"/>
              <w:rPr>
                <w:sz w:val="22"/>
                <w:szCs w:val="22"/>
              </w:rPr>
            </w:pPr>
            <w:r w:rsidRPr="004838F1">
              <w:rPr>
                <w:sz w:val="22"/>
                <w:szCs w:val="22"/>
              </w:rPr>
              <w:t>Bewertungsbericht</w:t>
            </w:r>
          </w:p>
          <w:p w:rsidRPr="004838F1" w:rsidR="00C12284" w:rsidP="00C12284" w:rsidRDefault="00C12284" w14:paraId="40B58593" w14:textId="1698B5DC">
            <w:pPr>
              <w:overflowPunct w:val="0"/>
              <w:autoSpaceDE w:val="0"/>
              <w:autoSpaceDN w:val="0"/>
              <w:adjustRightInd w:val="0"/>
              <w:ind w:left="-113"/>
              <w:textAlignment w:val="baseline"/>
              <w:rPr>
                <w:sz w:val="22"/>
                <w:szCs w:val="22"/>
              </w:rPr>
            </w:pPr>
            <w:r w:rsidRPr="004838F1">
              <w:rPr>
                <w:sz w:val="22"/>
                <w:szCs w:val="22"/>
              </w:rP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Kernaussagen</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rPr>
      </w:pPr>
      <w:r>
        <w:t>Der EWSA</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teilt die Auffassung</w:t>
      </w:r>
      <w:r>
        <w:t xml:space="preserve">, dass der Europäische Sozialfonds (ESF) im Zeitraum 2014-2020 wesentlich dazu beigetragen hat, die Beschäftigungsfähigkeit und die allgemeine und berufliche Bildung zu fördern und soziale Ausgrenzung zu bekämpfen; </w:t>
      </w:r>
    </w:p>
    <w:p w:rsidRPr="00C12284"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fordert</w:t>
      </w:r>
      <w:r>
        <w:t xml:space="preserve">, dass mehr investiert wird, um gegen die Missverhältnisse vorzugehen, die am Arbeitsmarkt insbesondere mit Blick auf Frauen, junge Menschen, Langzeitarbeitslose, Migranten und schutzbedürftige Bevölkerungsgruppen wie Menschen mit Behinderungen bestehen; </w:t>
      </w:r>
    </w:p>
    <w:p w:rsidRPr="00C12284"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ist der Ansicht</w:t>
      </w:r>
      <w:r>
        <w:t>, dass die Ressourcen für Arbeitsämter sowie für die Steuerungs- und Verwaltungskapazitäten der öffentlichen Hand entsprechend aufgestockt werden sollten;</w:t>
      </w:r>
    </w:p>
    <w:p w:rsidRPr="00C12284"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betont</w:t>
      </w:r>
      <w:r>
        <w:t>, dass mehr in inklusive, hochwertige allgemeine und berufliche Bildung investiert werden muss, wenn es insbesondere bei neuen Beschäftigungsformen gelingen soll, Qualifikationslücken zu schließen, Unterbeschäftigung zu beseitigen und für faire Arbeitsbedingungen für die Arbeitnehmer zu sorgen;</w:t>
      </w:r>
    </w:p>
    <w:p w:rsidRPr="00C12284" w:rsidR="00C12284" w:rsidP="00AA5F9C"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hebt hervor</w:t>
      </w:r>
      <w:r>
        <w:t>, dass echtes Unternehmertum und Selbständigkeit durch den Zugang zu Krediten und Finanzschulungen unterstützt werden müssen und ein angemessener Teil der ESF-Mittel für Vorhaben unter der Leitung kleinerer Organisationen vorgesehen werden muss;</w:t>
      </w:r>
    </w:p>
    <w:p w:rsidRPr="00C12284"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schlägt vor</w:t>
      </w:r>
      <w:r>
        <w:t>, die aus dem ESF kofinanzierten Programme in das Europäische Semester aufzunehmen, damit die wirtschaftlichen und sozialen Herausforderungen der Mitgliedstaaten erfolgreich bewältigt werden können;</w:t>
      </w:r>
    </w:p>
    <w:p w:rsidRPr="00C12284"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ist der Ansicht</w:t>
      </w:r>
      <w:r>
        <w:t>, dass sich die einzelstaatlichen Behörden besser abstimmen sollten, um Überschneidungen zwischen ESF-Programmen und anderen europäischen Fonds zu vermeiden;</w:t>
      </w:r>
    </w:p>
    <w:p w:rsidRPr="00C12284"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plädiert</w:t>
      </w:r>
      <w:r>
        <w:t xml:space="preserve"> für eine inhaltliche Einbeziehung der Sozialpartner und der Zivilgesellschaft in allen Entscheidungsphasen und fordert, dass zur Stärkung der Kapazitäten der Sozialpartner und der Zivilgesellschaft für den sozialen und zivilen Dialog angemessene Mittel aus dem ESF bereitgestellt werden;</w:t>
      </w:r>
    </w:p>
    <w:p w:rsidRPr="00C12284"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fordert</w:t>
      </w:r>
      <w:r>
        <w:t xml:space="preserve">, dass die Verfahren vereinfacht und bürokratische Hürden abgebaut werden, um bei Initiativen in den Bereichen Beschäftigung, Aus- und Weiterbildung sowie Armutsbekämpfung den Zugang zu ESF-Mitteln zu verbessern;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ist der Ansicht</w:t>
      </w:r>
      <w:r>
        <w:t>, dass eine transparente Kommunikation auf allen Ebenen fester Bestandteil der ESF-Programmplanung sein muss.</w:t>
      </w:r>
    </w:p>
    <w:p w:rsidRPr="00C12284"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12284" w:rsidR="00C12284" w:rsidTr="009839A2" w14:paraId="6D6DEB44" w14:textId="77777777">
        <w:tc>
          <w:tcPr>
            <w:tcW w:w="1556" w:type="pct"/>
          </w:tcPr>
          <w:p w:rsidRPr="00C12284" w:rsidR="00C12284" w:rsidP="00AA5F9C" w:rsidRDefault="00C12284" w14:paraId="5336FF11" w14:textId="77777777">
            <w:pPr>
              <w:overflowPunct w:val="0"/>
              <w:autoSpaceDE w:val="0"/>
              <w:autoSpaceDN w:val="0"/>
              <w:adjustRightInd w:val="0"/>
              <w:spacing w:line="240" w:lineRule="auto"/>
              <w:ind w:hanging="110"/>
              <w:textAlignment w:val="baseline"/>
              <w:rPr>
                <w:i/>
              </w:rPr>
            </w:pPr>
            <w:r>
              <w:rPr>
                <w:b/>
                <w:i/>
              </w:rPr>
              <w:t>Kontakt</w:t>
            </w:r>
          </w:p>
        </w:tc>
        <w:tc>
          <w:tcPr>
            <w:tcW w:w="3444" w:type="pct"/>
          </w:tcPr>
          <w:p w:rsidRPr="00C12284" w:rsidR="00C12284" w:rsidP="00AA5F9C" w:rsidRDefault="00C12284" w14:paraId="7FE41E5E" w14:textId="019E466E">
            <w:pPr>
              <w:overflowPunct w:val="0"/>
              <w:autoSpaceDE w:val="0"/>
              <w:autoSpaceDN w:val="0"/>
              <w:adjustRightInd w:val="0"/>
              <w:spacing w:line="240" w:lineRule="auto"/>
              <w:ind w:hanging="110"/>
              <w:textAlignment w:val="baseline"/>
              <w:rPr>
                <w:i/>
              </w:rPr>
            </w:pPr>
            <w:r>
              <w:rPr>
                <w:i/>
              </w:rPr>
              <w:t xml:space="preserve">Bartek </w:t>
            </w:r>
            <w:proofErr w:type="spellStart"/>
            <w:r>
              <w:rPr>
                <w:i/>
              </w:rPr>
              <w:t>Bednarowicz</w:t>
            </w:r>
            <w:proofErr w:type="spellEnd"/>
          </w:p>
        </w:tc>
      </w:tr>
      <w:tr w:rsidRPr="00C12284" w:rsidR="00C12284" w:rsidTr="009839A2" w14:paraId="1AF954E4" w14:textId="77777777">
        <w:tc>
          <w:tcPr>
            <w:tcW w:w="1556" w:type="pct"/>
          </w:tcPr>
          <w:p w:rsidRPr="00C12284" w:rsidR="00C12284" w:rsidP="00AA5F9C" w:rsidRDefault="00C12284" w14:paraId="2CE777EE" w14:textId="77777777">
            <w:pPr>
              <w:overflowPunct w:val="0"/>
              <w:autoSpaceDE w:val="0"/>
              <w:autoSpaceDN w:val="0"/>
              <w:adjustRightInd w:val="0"/>
              <w:spacing w:line="240" w:lineRule="auto"/>
              <w:ind w:hanging="110"/>
              <w:textAlignment w:val="baseline"/>
              <w:rPr>
                <w:i/>
              </w:rPr>
            </w:pPr>
            <w:r>
              <w:rPr>
                <w:i/>
              </w:rPr>
              <w:t>Tel.</w:t>
            </w:r>
          </w:p>
        </w:tc>
        <w:tc>
          <w:tcPr>
            <w:tcW w:w="3444" w:type="pct"/>
          </w:tcPr>
          <w:p w:rsidRPr="00C12284" w:rsidR="00C12284" w:rsidP="00AA5F9C" w:rsidRDefault="00C12284" w14:paraId="46F0B26A" w14:textId="77777777">
            <w:pPr>
              <w:overflowPunct w:val="0"/>
              <w:autoSpaceDE w:val="0"/>
              <w:autoSpaceDN w:val="0"/>
              <w:adjustRightInd w:val="0"/>
              <w:spacing w:line="240" w:lineRule="auto"/>
              <w:ind w:hanging="110"/>
              <w:textAlignment w:val="baseline"/>
              <w:rPr>
                <w:i/>
              </w:rPr>
            </w:pPr>
            <w:r>
              <w:rPr>
                <w:i/>
              </w:rPr>
              <w:t>+32 25469229</w:t>
            </w:r>
          </w:p>
        </w:tc>
      </w:tr>
      <w:tr w:rsidRPr="00C12284" w:rsidR="00C12284" w:rsidTr="009839A2" w14:paraId="3BE7C418" w14:textId="77777777">
        <w:tc>
          <w:tcPr>
            <w:tcW w:w="1556" w:type="pct"/>
          </w:tcPr>
          <w:p w:rsidRPr="00C12284" w:rsidR="00C12284" w:rsidP="00AA5F9C" w:rsidRDefault="00C12284" w14:paraId="6A3A7422"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C12284" w:rsidR="00C12284" w:rsidP="00AA5F9C" w:rsidRDefault="006C4E9A" w14:paraId="5F863D3A" w14:textId="77777777">
            <w:pPr>
              <w:overflowPunct w:val="0"/>
              <w:autoSpaceDE w:val="0"/>
              <w:autoSpaceDN w:val="0"/>
              <w:adjustRightInd w:val="0"/>
              <w:spacing w:line="240" w:lineRule="auto"/>
              <w:ind w:hanging="110"/>
              <w:textAlignment w:val="baseline"/>
              <w:rPr>
                <w:i/>
              </w:rPr>
            </w:pPr>
            <w:hyperlink w:history="1" r:id="rId29">
              <w:r w:rsidR="00C37C45">
                <w:rPr>
                  <w:i/>
                  <w:color w:val="0000FF"/>
                  <w:u w:val="single"/>
                </w:rPr>
                <w:t>Bartek.Bednarowicz@eesc.europa.eu</w:t>
              </w:r>
            </w:hyperlink>
          </w:p>
        </w:tc>
      </w:tr>
    </w:tbl>
    <w:p w:rsidRPr="004838F1" w:rsidR="00502E1F" w:rsidRDefault="00502E1F" w14:paraId="54E96DDA" w14:textId="77777777">
      <w:pPr>
        <w:spacing w:after="160" w:line="259" w:lineRule="auto"/>
        <w:jc w:val="left"/>
        <w:rPr>
          <w:sz w:val="2"/>
          <w:szCs w:val="2"/>
        </w:rPr>
      </w:pPr>
      <w:r w:rsidRPr="004838F1">
        <w:rPr>
          <w:sz w:val="2"/>
          <w:szCs w:val="2"/>
        </w:rPr>
        <w:br w:type="page"/>
      </w:r>
    </w:p>
    <w:p w:rsidRPr="00C02246" w:rsidR="00C02246" w:rsidP="00401E8F" w:rsidRDefault="006C4E9A" w14:paraId="44B592B0" w14:textId="45CEC6A0">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30">
        <w:r w:rsidR="008772F9">
          <w:rPr>
            <w:b/>
            <w:i/>
            <w:color w:val="0000FF"/>
            <w:sz w:val="28"/>
            <w:u w:val="single"/>
          </w:rPr>
          <w:t>Paket zur Mobilität von Fachkräften</w:t>
        </w:r>
      </w:hyperlink>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486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5"/>
        <w:gridCol w:w="6521"/>
      </w:tblGrid>
      <w:tr w:rsidRPr="004838F1" w:rsidR="00C02246" w:rsidTr="004838F1" w14:paraId="6EF9E13E" w14:textId="77777777">
        <w:tc>
          <w:tcPr>
            <w:tcW w:w="1335" w:type="pct"/>
          </w:tcPr>
          <w:p w:rsidRPr="004838F1" w:rsidR="00C02246" w:rsidP="00C02246" w:rsidRDefault="00C02246" w14:paraId="370668CE" w14:textId="77777777">
            <w:pPr>
              <w:overflowPunct w:val="0"/>
              <w:autoSpaceDE w:val="0"/>
              <w:autoSpaceDN w:val="0"/>
              <w:adjustRightInd w:val="0"/>
              <w:ind w:left="-113"/>
              <w:textAlignment w:val="baseline"/>
              <w:rPr>
                <w:b/>
                <w:sz w:val="22"/>
                <w:szCs w:val="22"/>
              </w:rPr>
            </w:pPr>
            <w:r w:rsidRPr="004838F1">
              <w:rPr>
                <w:b/>
                <w:sz w:val="22"/>
                <w:szCs w:val="22"/>
              </w:rPr>
              <w:t>Berichterstatterin</w:t>
            </w:r>
          </w:p>
          <w:p w:rsidRPr="004838F1" w:rsidR="00C02246" w:rsidP="00C02246" w:rsidRDefault="00C02246" w14:paraId="0BEF6CD3" w14:textId="77777777">
            <w:pPr>
              <w:overflowPunct w:val="0"/>
              <w:autoSpaceDE w:val="0"/>
              <w:autoSpaceDN w:val="0"/>
              <w:adjustRightInd w:val="0"/>
              <w:ind w:left="-113"/>
              <w:textAlignment w:val="baseline"/>
              <w:rPr>
                <w:b/>
                <w:sz w:val="22"/>
                <w:szCs w:val="22"/>
              </w:rPr>
            </w:pPr>
            <w:r w:rsidRPr="004838F1">
              <w:rPr>
                <w:b/>
                <w:sz w:val="22"/>
                <w:szCs w:val="22"/>
              </w:rPr>
              <w:t>Ko-Berichterstatterin</w:t>
            </w:r>
          </w:p>
        </w:tc>
        <w:tc>
          <w:tcPr>
            <w:tcW w:w="3665" w:type="pct"/>
          </w:tcPr>
          <w:p w:rsidRPr="004838F1" w:rsidR="00C02246" w:rsidP="00C02246" w:rsidRDefault="00C02246" w14:paraId="7B2E80CA" w14:textId="77777777">
            <w:pPr>
              <w:tabs>
                <w:tab w:val="left" w:pos="4572"/>
              </w:tabs>
              <w:overflowPunct w:val="0"/>
              <w:autoSpaceDE w:val="0"/>
              <w:autoSpaceDN w:val="0"/>
              <w:adjustRightInd w:val="0"/>
              <w:ind w:left="-113" w:right="-823"/>
              <w:textAlignment w:val="baseline"/>
              <w:rPr>
                <w:sz w:val="22"/>
                <w:szCs w:val="22"/>
              </w:rPr>
            </w:pPr>
            <w:r w:rsidRPr="004838F1">
              <w:rPr>
                <w:sz w:val="22"/>
                <w:szCs w:val="22"/>
              </w:rPr>
              <w:t>Tatjana BABRAUSKIENĖ (Gruppe Arbeitnehmer – LT)</w:t>
            </w:r>
          </w:p>
          <w:p w:rsidRPr="004838F1" w:rsidR="00C02246" w:rsidP="00C02246" w:rsidRDefault="00C02246" w14:paraId="420FB0AE" w14:textId="77777777">
            <w:pPr>
              <w:tabs>
                <w:tab w:val="left" w:pos="4430"/>
              </w:tabs>
              <w:overflowPunct w:val="0"/>
              <w:autoSpaceDE w:val="0"/>
              <w:autoSpaceDN w:val="0"/>
              <w:adjustRightInd w:val="0"/>
              <w:ind w:left="-113" w:right="-823"/>
              <w:textAlignment w:val="baseline"/>
              <w:rPr>
                <w:sz w:val="22"/>
                <w:szCs w:val="22"/>
              </w:rPr>
            </w:pPr>
            <w:r w:rsidRPr="004838F1">
              <w:rPr>
                <w:sz w:val="22"/>
                <w:szCs w:val="22"/>
              </w:rPr>
              <w:t>Mariya MINCHEVA (Gruppe Arbeitgeber – BG)</w:t>
            </w:r>
          </w:p>
        </w:tc>
      </w:tr>
      <w:tr w:rsidRPr="004838F1" w:rsidR="00C02246" w:rsidTr="004838F1" w14:paraId="3D4FDF1C" w14:textId="77777777">
        <w:tc>
          <w:tcPr>
            <w:tcW w:w="5000" w:type="pct"/>
            <w:gridSpan w:val="2"/>
          </w:tcPr>
          <w:p w:rsidRPr="004838F1"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rPr>
                <w:sz w:val="22"/>
                <w:szCs w:val="22"/>
              </w:rPr>
            </w:pPr>
          </w:p>
        </w:tc>
      </w:tr>
      <w:tr w:rsidRPr="004838F1" w:rsidR="00C02246" w:rsidTr="004838F1" w14:paraId="0542E182" w14:textId="77777777">
        <w:tc>
          <w:tcPr>
            <w:tcW w:w="1335" w:type="pct"/>
          </w:tcPr>
          <w:p w:rsidRPr="004838F1" w:rsidR="00C02246" w:rsidP="00C02246" w:rsidRDefault="00C02246" w14:paraId="3C2EFFF4" w14:textId="77777777">
            <w:pPr>
              <w:overflowPunct w:val="0"/>
              <w:autoSpaceDE w:val="0"/>
              <w:autoSpaceDN w:val="0"/>
              <w:adjustRightInd w:val="0"/>
              <w:ind w:left="-113"/>
              <w:textAlignment w:val="baseline"/>
              <w:rPr>
                <w:b/>
                <w:sz w:val="22"/>
                <w:szCs w:val="22"/>
              </w:rPr>
            </w:pPr>
            <w:r w:rsidRPr="004838F1">
              <w:rPr>
                <w:b/>
                <w:sz w:val="22"/>
                <w:szCs w:val="22"/>
              </w:rPr>
              <w:t>Referenzdokumente</w:t>
            </w:r>
          </w:p>
        </w:tc>
        <w:tc>
          <w:tcPr>
            <w:tcW w:w="3665" w:type="pct"/>
          </w:tcPr>
          <w:p w:rsidRPr="004838F1" w:rsidR="005A0D46" w:rsidP="00C02246" w:rsidRDefault="005A0D46" w14:paraId="3C7D2FE5" w14:textId="4E6798BE">
            <w:pPr>
              <w:tabs>
                <w:tab w:val="left" w:pos="4430"/>
              </w:tabs>
              <w:overflowPunct w:val="0"/>
              <w:autoSpaceDE w:val="0"/>
              <w:autoSpaceDN w:val="0"/>
              <w:adjustRightInd w:val="0"/>
              <w:ind w:left="-113" w:right="-823"/>
              <w:textAlignment w:val="baseline"/>
              <w:rPr>
                <w:sz w:val="22"/>
                <w:szCs w:val="22"/>
              </w:rPr>
            </w:pPr>
            <w:r w:rsidRPr="004838F1">
              <w:rPr>
                <w:sz w:val="22"/>
                <w:szCs w:val="22"/>
              </w:rPr>
              <w:t>COM(2023) 715 final</w:t>
            </w:r>
          </w:p>
          <w:p w:rsidRPr="004838F1" w:rsidR="005A0D46" w:rsidP="00C02246" w:rsidRDefault="005A0D46" w14:paraId="775B841E" w14:textId="2FE50257">
            <w:pPr>
              <w:tabs>
                <w:tab w:val="left" w:pos="4430"/>
              </w:tabs>
              <w:overflowPunct w:val="0"/>
              <w:autoSpaceDE w:val="0"/>
              <w:autoSpaceDN w:val="0"/>
              <w:adjustRightInd w:val="0"/>
              <w:ind w:left="-113" w:right="-823"/>
              <w:textAlignment w:val="baseline"/>
              <w:rPr>
                <w:sz w:val="22"/>
                <w:szCs w:val="22"/>
              </w:rPr>
            </w:pPr>
            <w:r w:rsidRPr="004838F1">
              <w:rPr>
                <w:sz w:val="22"/>
                <w:szCs w:val="22"/>
              </w:rPr>
              <w:t>COM(2023) 716 final</w:t>
            </w:r>
          </w:p>
          <w:p w:rsidRPr="004838F1" w:rsidR="005A0D46" w:rsidP="00C02246" w:rsidRDefault="005A0D46" w14:paraId="7F979E57" w14:textId="56F83962">
            <w:pPr>
              <w:tabs>
                <w:tab w:val="left" w:pos="4430"/>
              </w:tabs>
              <w:overflowPunct w:val="0"/>
              <w:autoSpaceDE w:val="0"/>
              <w:autoSpaceDN w:val="0"/>
              <w:adjustRightInd w:val="0"/>
              <w:ind w:left="-113" w:right="-823"/>
              <w:textAlignment w:val="baseline"/>
              <w:rPr>
                <w:sz w:val="22"/>
                <w:szCs w:val="22"/>
              </w:rPr>
            </w:pPr>
            <w:r w:rsidRPr="004838F1">
              <w:rPr>
                <w:sz w:val="22"/>
                <w:szCs w:val="22"/>
              </w:rPr>
              <w:t>COM(2023) 719 final</w:t>
            </w:r>
          </w:p>
          <w:p w:rsidRPr="004838F1" w:rsidR="00C02246" w:rsidP="00C02246" w:rsidRDefault="00C02246" w14:paraId="721E08C2" w14:textId="5C6F7F8D">
            <w:pPr>
              <w:tabs>
                <w:tab w:val="left" w:pos="4430"/>
              </w:tabs>
              <w:overflowPunct w:val="0"/>
              <w:autoSpaceDE w:val="0"/>
              <w:autoSpaceDN w:val="0"/>
              <w:adjustRightInd w:val="0"/>
              <w:ind w:left="-113" w:right="-823"/>
              <w:textAlignment w:val="baseline"/>
              <w:rPr>
                <w:sz w:val="22"/>
                <w:szCs w:val="22"/>
              </w:rPr>
            </w:pPr>
            <w:r w:rsidRPr="004838F1">
              <w:rPr>
                <w:sz w:val="22"/>
                <w:szCs w:val="22"/>
              </w:rPr>
              <w:t>EESC-2024-00050-00-00-AC-TRA</w:t>
            </w:r>
          </w:p>
        </w:tc>
      </w:tr>
    </w:tbl>
    <w:p w:rsidR="004838F1" w:rsidP="00C02246" w:rsidRDefault="004838F1" w14:paraId="028925EA" w14:textId="77777777">
      <w:pPr>
        <w:keepNext/>
        <w:keepLines/>
        <w:tabs>
          <w:tab w:val="center" w:pos="284"/>
        </w:tabs>
        <w:overflowPunct w:val="0"/>
        <w:autoSpaceDE w:val="0"/>
        <w:autoSpaceDN w:val="0"/>
        <w:adjustRightInd w:val="0"/>
        <w:ind w:left="266" w:hanging="266"/>
        <w:textAlignment w:val="baseline"/>
        <w:rPr>
          <w:b/>
        </w:rPr>
      </w:pPr>
    </w:p>
    <w:p w:rsidRPr="00C02246" w:rsidR="00C02246" w:rsidP="00C02246" w:rsidRDefault="00C02246" w14:paraId="2BD65CB7" w14:textId="213828FD">
      <w:pPr>
        <w:keepNext/>
        <w:keepLines/>
        <w:tabs>
          <w:tab w:val="center" w:pos="284"/>
        </w:tabs>
        <w:overflowPunct w:val="0"/>
        <w:autoSpaceDE w:val="0"/>
        <w:autoSpaceDN w:val="0"/>
        <w:adjustRightInd w:val="0"/>
        <w:ind w:left="266" w:hanging="266"/>
        <w:textAlignment w:val="baseline"/>
        <w:rPr>
          <w:b/>
        </w:rPr>
      </w:pPr>
      <w:r>
        <w:rPr>
          <w:b/>
        </w:rPr>
        <w:t>Kernaussagen</w:t>
      </w:r>
    </w:p>
    <w:p w:rsidRPr="00C02246"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t>Der EWSA</w:t>
      </w:r>
    </w:p>
    <w:p w:rsidRPr="00C02246" w:rsidR="00C02246" w:rsidP="00AA5F9C"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t xml:space="preserve">betont, dass der EU-Talentpool ein </w:t>
      </w:r>
      <w:r>
        <w:rPr>
          <w:b/>
        </w:rPr>
        <w:t>praktisches, zuverlässiges und leicht zu nutzendes sowie für Arbeitnehmer und Arbeitgeber attraktives Instrument</w:t>
      </w:r>
      <w:r>
        <w:t xml:space="preserve"> sein und eine faire und ethische </w:t>
      </w:r>
      <w:r>
        <w:rPr>
          <w:b/>
        </w:rPr>
        <w:t>legale Arbeitsmigration</w:t>
      </w:r>
      <w:r>
        <w:t xml:space="preserve"> in die EU fördern muss;</w:t>
      </w:r>
    </w:p>
    <w:p w:rsidRPr="00C02246" w:rsidR="00C02246" w:rsidP="00AA5F9C"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t xml:space="preserve">weist darauf hin, dass </w:t>
      </w:r>
      <w:r>
        <w:rPr>
          <w:b/>
        </w:rPr>
        <w:t>Drittstaatsangehörige, die sich bereits im Hoheitsgebiet der EU aufhalten</w:t>
      </w:r>
      <w:r>
        <w:t xml:space="preserve"> (Asylbewerber, Personen ohne Arbeitserlaubnis, Personen, die zum Zweck der Familienzusammenführung in die EU eingereist sind) ein </w:t>
      </w:r>
      <w:r>
        <w:rPr>
          <w:b/>
        </w:rPr>
        <w:t>unzureichend genutztes Reservoir potenzieller Arbeitskräfte</w:t>
      </w:r>
      <w:r>
        <w:t xml:space="preserve"> darstellen, das zur Deckung des Bedarfs auf dem Arbeitsmarkt beitragen kann. Diese Menschen müssen unterstützt werden, um ihre Eingliederung in den Arbeitsmarkt zu erleichtern;</w:t>
      </w:r>
    </w:p>
    <w:p w:rsidRPr="00C02246" w:rsidR="00C02246" w:rsidP="00AA5F9C"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t xml:space="preserve">fordert die Mitgliedstaaten auf, </w:t>
      </w:r>
      <w:r>
        <w:rPr>
          <w:b/>
        </w:rPr>
        <w:t>in allen Mitgliedstaaten ein einladendes Umfeld für Wanderarbeitnehmer und Flüchtlinge mit Arbeitserlaubnis zu gewährleisten</w:t>
      </w:r>
      <w:r>
        <w:t xml:space="preserve"> und </w:t>
      </w:r>
      <w:r>
        <w:rPr>
          <w:b/>
        </w:rPr>
        <w:t>mit den Sozialpartnern und Organisationen der Zivilgesellschaft zusammenzuarbeiten</w:t>
      </w:r>
      <w:r>
        <w:t>, um die negativen Diskurse und Narrative zur legalen Migration zu ändern;</w:t>
      </w:r>
    </w:p>
    <w:p w:rsidRPr="00C02246" w:rsidR="00C02246" w:rsidP="00AA5F9C"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t xml:space="preserve">empfiehlt, die Initiative für einen EU-Talentpool mit der Initiative zur Talenterschließung in den Regionen Europas zu verknüpfen, um eine </w:t>
      </w:r>
      <w:r>
        <w:rPr>
          <w:b/>
        </w:rPr>
        <w:t>Abwanderung hochqualifizierter Arbeitskräfte</w:t>
      </w:r>
      <w:r>
        <w:t xml:space="preserve"> – innerhalb und außerhalb der EU – aus Mangelberufen </w:t>
      </w:r>
      <w:r>
        <w:rPr>
          <w:b/>
        </w:rPr>
        <w:t>zu vermeiden</w:t>
      </w:r>
      <w:r>
        <w:t xml:space="preserve">. Hierfür kann auch die </w:t>
      </w:r>
      <w:r>
        <w:rPr>
          <w:b/>
        </w:rPr>
        <w:t>zirkuläre Migration</w:t>
      </w:r>
      <w:r>
        <w:t xml:space="preserve"> ein nützliches Instrument sein;</w:t>
      </w:r>
    </w:p>
    <w:p w:rsidRPr="00C02246" w:rsidR="00C02246" w:rsidP="00AA5F9C"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t xml:space="preserve">unterstreicht, dass die </w:t>
      </w:r>
      <w:r>
        <w:rPr>
          <w:b/>
        </w:rPr>
        <w:t>Fähigkeiten und Kompetenzen von Arbeitnehmern aus Drittländern bewertet und rasch validiert</w:t>
      </w:r>
      <w:r>
        <w:t xml:space="preserve"> werden müssen, damit ihre </w:t>
      </w:r>
      <w:r>
        <w:rPr>
          <w:b/>
        </w:rPr>
        <w:t>Kompetenzen zertifiziert</w:t>
      </w:r>
      <w:r>
        <w:t xml:space="preserve"> werden und sie </w:t>
      </w:r>
      <w:r>
        <w:rPr>
          <w:b/>
        </w:rPr>
        <w:t>erforderlichenfalls</w:t>
      </w:r>
      <w:r>
        <w:t xml:space="preserve"> die entsprechenden </w:t>
      </w:r>
      <w:r>
        <w:rPr>
          <w:b/>
        </w:rPr>
        <w:t>Qualifikationen</w:t>
      </w:r>
      <w:r>
        <w:t xml:space="preserve"> erwerben können. Die Verfahren sollten den </w:t>
      </w:r>
      <w:r>
        <w:rPr>
          <w:b/>
        </w:rPr>
        <w:t>Verwaltungsaufwand für Antragsteller</w:t>
      </w:r>
      <w:r>
        <w:t xml:space="preserve"> möglichst </w:t>
      </w:r>
      <w:r>
        <w:rPr>
          <w:b/>
        </w:rPr>
        <w:t>verringern</w:t>
      </w:r>
      <w:r>
        <w:t>, insbesondere wenn Dokumente möglicherweise zurückgelassen wurden oder während der Migration verloren gegangen sind;</w:t>
      </w:r>
    </w:p>
    <w:p w:rsidRPr="00C02246" w:rsidR="00C02246" w:rsidP="00AA5F9C"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t xml:space="preserve">fordert die Mitgliedstaaten auf, </w:t>
      </w:r>
      <w:r>
        <w:rPr>
          <w:b/>
        </w:rPr>
        <w:t>öffentliche Investitionen in Schulen und Bildungseinrichtungen zu gewährleisten</w:t>
      </w:r>
      <w:r>
        <w:t xml:space="preserve">, damit diese </w:t>
      </w:r>
      <w:r>
        <w:rPr>
          <w:b/>
        </w:rPr>
        <w:t>hochwertige und vertrauenswürdige Orientierungshilfe und Beratung</w:t>
      </w:r>
      <w:r>
        <w:t xml:space="preserve"> zu Lernmobilitätsmöglichkeiten anbieten können, die die berufliche Entwicklung und das lebenslange Lernen fördern. Hilfe und Beratung müssen kostenlos sein, um die Lernenden zu motivieren, sich für ein Angebot zur Lernmobilität in einem anderen EU-Land zu bewerben;</w:t>
      </w:r>
    </w:p>
    <w:p w:rsidRPr="004838F1" w:rsidR="00C02246" w:rsidP="00AA5F9C" w:rsidRDefault="00C02246" w14:paraId="2A3B9E3A" w14:textId="694670A9">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lastRenderedPageBreak/>
        <w:t xml:space="preserve">fordert die Mitgliedstaaten auf, die </w:t>
      </w:r>
      <w:r>
        <w:rPr>
          <w:b/>
        </w:rPr>
        <w:t>Lernmobilität von Lehrkräften sicherzustellen</w:t>
      </w:r>
      <w:r>
        <w:t xml:space="preserve">, indem sie </w:t>
      </w:r>
      <w:r>
        <w:rPr>
          <w:b/>
        </w:rPr>
        <w:t>Probleme</w:t>
      </w:r>
      <w:r>
        <w:t xml:space="preserve"> im Zusammenhang mit dem </w:t>
      </w:r>
      <w:r>
        <w:rPr>
          <w:b/>
        </w:rPr>
        <w:t>Ersatz von und dem Mangel an Lehrkräften beheben</w:t>
      </w:r>
      <w:r>
        <w:t>. Um hochwertige Bildung zu gewährleisten, muss der Beruf durch gute Arbeitsbedingungen, gerechte Gehälter sowie Zugang zu hochwertiger Erstausbildung, beruflicher Weiterbildung und Laufbahnentwicklung attraktiv gemacht werden.</w:t>
      </w:r>
    </w:p>
    <w:p w:rsidRPr="004838F1" w:rsidR="004838F1" w:rsidP="004838F1" w:rsidRDefault="004838F1" w14:paraId="4E5D029F" w14:textId="77777777">
      <w:pPr>
        <w:keepNext/>
        <w:keepLines/>
        <w:widowControl w:val="0"/>
        <w:overflowPunct w:val="0"/>
        <w:autoSpaceDE w:val="0"/>
        <w:autoSpaceDN w:val="0"/>
        <w:adjustRightInd w:val="0"/>
        <w:ind w:left="709"/>
        <w:textAlignment w:val="baseline"/>
        <w:outlineLvl w:val="2"/>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02246" w:rsidR="00C02246" w:rsidTr="009839A2" w14:paraId="3A0423FC" w14:textId="77777777">
        <w:tc>
          <w:tcPr>
            <w:tcW w:w="1556" w:type="pct"/>
          </w:tcPr>
          <w:p w:rsidRPr="00C02246" w:rsidR="00C02246" w:rsidP="00C02246" w:rsidRDefault="00C02246" w14:paraId="4C31CDD8" w14:textId="688A86F3">
            <w:pPr>
              <w:keepNext/>
              <w:keepLines/>
              <w:overflowPunct w:val="0"/>
              <w:autoSpaceDE w:val="0"/>
              <w:autoSpaceDN w:val="0"/>
              <w:adjustRightInd w:val="0"/>
              <w:spacing w:line="240" w:lineRule="auto"/>
              <w:textAlignment w:val="baseline"/>
              <w:rPr>
                <w:i/>
              </w:rPr>
            </w:pPr>
            <w:r>
              <w:rPr>
                <w:b/>
                <w:i/>
              </w:rPr>
              <w:t>Kontakt</w:t>
            </w:r>
          </w:p>
        </w:tc>
        <w:tc>
          <w:tcPr>
            <w:tcW w:w="3444" w:type="pct"/>
          </w:tcPr>
          <w:p w:rsidRPr="00C02246" w:rsidR="00C02246" w:rsidP="00C02246" w:rsidRDefault="00C02246" w14:paraId="2DB2A8D8" w14:textId="4182F0F6">
            <w:pPr>
              <w:keepNext/>
              <w:keepLines/>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Pr>
                <w:i/>
              </w:rPr>
              <w:t>Tel.</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Pr>
                <w:i/>
              </w:rPr>
              <w:t>+32 25469524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Pr>
                <w:i/>
              </w:rPr>
              <w:t>E-Mail</w:t>
            </w:r>
          </w:p>
        </w:tc>
        <w:tc>
          <w:tcPr>
            <w:tcW w:w="3444" w:type="pct"/>
          </w:tcPr>
          <w:p w:rsidRPr="00C02246" w:rsidR="00C02246" w:rsidP="00C02246" w:rsidRDefault="006C4E9A" w14:paraId="1038B783" w14:textId="77777777">
            <w:pPr>
              <w:keepNext/>
              <w:keepLines/>
              <w:overflowPunct w:val="0"/>
              <w:autoSpaceDE w:val="0"/>
              <w:autoSpaceDN w:val="0"/>
              <w:adjustRightInd w:val="0"/>
              <w:spacing w:line="240" w:lineRule="auto"/>
              <w:textAlignment w:val="baseline"/>
              <w:rPr>
                <w:i/>
              </w:rPr>
            </w:pPr>
            <w:hyperlink w:history="1" r:id="rId31">
              <w:r w:rsidR="00C37C45">
                <w:rPr>
                  <w:i/>
                  <w:color w:val="0000FF"/>
                  <w:u w:val="single"/>
                </w:rPr>
                <w:t>Triin.AasmaaGomes@eesc.europa.eu</w:t>
              </w:r>
            </w:hyperlink>
          </w:p>
          <w:p w:rsidRPr="00C02246"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00502E1F" w:rsidRDefault="00502E1F" w14:paraId="540440D8" w14:textId="77777777">
      <w:pPr>
        <w:spacing w:after="160" w:line="259" w:lineRule="auto"/>
        <w:jc w:val="left"/>
      </w:pPr>
      <w:r>
        <w:br w:type="page"/>
      </w:r>
    </w:p>
    <w:p w:rsidRPr="00AA5F9C" w:rsidR="00E038A6" w:rsidP="00401E8F" w:rsidRDefault="006C4E9A" w14:paraId="5C95610E" w14:textId="7F0F7626">
      <w:pPr>
        <w:widowControl w:val="0"/>
        <w:numPr>
          <w:ilvl w:val="0"/>
          <w:numId w:val="25"/>
        </w:numPr>
        <w:overflowPunct w:val="0"/>
        <w:autoSpaceDE w:val="0"/>
        <w:autoSpaceDN w:val="0"/>
        <w:adjustRightInd w:val="0"/>
        <w:ind w:left="567" w:hanging="567"/>
        <w:textAlignment w:val="baseline"/>
        <w:rPr>
          <w:b/>
        </w:rPr>
      </w:pPr>
      <w:hyperlink w:history="1" r:id="rId32">
        <w:r w:rsidR="008772F9">
          <w:rPr>
            <w:b/>
            <w:i/>
            <w:color w:val="0000FF"/>
            <w:sz w:val="28"/>
            <w:u w:val="single"/>
          </w:rPr>
          <w:t>Fahrplan zur Bekämpfung des Drogenhandels</w:t>
        </w:r>
      </w:hyperlink>
    </w:p>
    <w:p w:rsidRPr="004838F1" w:rsidR="00546217" w:rsidP="00AA5F9C" w:rsidRDefault="00546217" w14:paraId="075DB64D" w14:textId="77777777">
      <w:pPr>
        <w:widowControl w:val="0"/>
        <w:overflowPunct w:val="0"/>
        <w:autoSpaceDE w:val="0"/>
        <w:autoSpaceDN w:val="0"/>
        <w:adjustRightInd w:val="0"/>
        <w:ind w:left="360"/>
        <w:textAlignment w:val="baseline"/>
        <w:rPr>
          <w:b/>
        </w:rPr>
      </w:pPr>
    </w:p>
    <w:tbl>
      <w:tblPr>
        <w:tblStyle w:val="TableGrid201"/>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929"/>
      </w:tblGrid>
      <w:tr w:rsidRPr="004838F1" w:rsidR="00E038A6" w:rsidTr="004838F1" w14:paraId="2DD5210D" w14:textId="77777777">
        <w:trPr>
          <w:trHeight w:val="399"/>
        </w:trPr>
        <w:tc>
          <w:tcPr>
            <w:tcW w:w="1167" w:type="pct"/>
          </w:tcPr>
          <w:p w:rsidRPr="004838F1" w:rsidR="00E038A6" w:rsidP="00E038A6" w:rsidRDefault="00E038A6" w14:paraId="69B94B46"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Berichterstatter</w:t>
            </w:r>
          </w:p>
        </w:tc>
        <w:tc>
          <w:tcPr>
            <w:tcW w:w="3833" w:type="pct"/>
          </w:tcPr>
          <w:p w:rsidRPr="004838F1" w:rsidR="00E038A6" w:rsidP="00E038A6" w:rsidRDefault="00E038A6" w14:paraId="04899992" w14:textId="1F91136A">
            <w:pPr>
              <w:overflowPunct w:val="0"/>
              <w:autoSpaceDE w:val="0"/>
              <w:autoSpaceDN w:val="0"/>
              <w:adjustRightInd w:val="0"/>
              <w:textAlignment w:val="baseline"/>
              <w:rPr>
                <w:sz w:val="22"/>
                <w:szCs w:val="22"/>
              </w:rPr>
            </w:pPr>
            <w:r w:rsidRPr="004838F1">
              <w:rPr>
                <w:sz w:val="22"/>
                <w:szCs w:val="22"/>
              </w:rPr>
              <w:t>Christian MOOS (Gruppe Organisationen der Zivilgesellschaft – DE)</w:t>
            </w:r>
          </w:p>
        </w:tc>
      </w:tr>
      <w:tr w:rsidRPr="004838F1" w:rsidR="00E038A6" w:rsidTr="004838F1" w14:paraId="36E2C444" w14:textId="77777777">
        <w:trPr>
          <w:trHeight w:val="255"/>
        </w:trPr>
        <w:tc>
          <w:tcPr>
            <w:tcW w:w="1167" w:type="pct"/>
            <w:vMerge w:val="restart"/>
          </w:tcPr>
          <w:p w:rsidRPr="004838F1" w:rsidR="00E038A6" w:rsidP="00E038A6" w:rsidRDefault="00E038A6" w14:paraId="6461AD3D"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Referenzdokumente</w:t>
            </w:r>
          </w:p>
        </w:tc>
        <w:tc>
          <w:tcPr>
            <w:tcW w:w="3833" w:type="pct"/>
          </w:tcPr>
          <w:p w:rsidRPr="004838F1" w:rsidR="00E038A6" w:rsidP="00E038A6" w:rsidRDefault="00E038A6" w14:paraId="123FDBDF" w14:textId="5C7D28EA">
            <w:pPr>
              <w:tabs>
                <w:tab w:val="center" w:pos="284"/>
              </w:tabs>
              <w:overflowPunct w:val="0"/>
              <w:autoSpaceDE w:val="0"/>
              <w:autoSpaceDN w:val="0"/>
              <w:adjustRightInd w:val="0"/>
              <w:ind w:left="266" w:hanging="266"/>
              <w:textAlignment w:val="baseline"/>
              <w:rPr>
                <w:sz w:val="22"/>
                <w:szCs w:val="22"/>
              </w:rPr>
            </w:pPr>
            <w:r w:rsidRPr="004838F1">
              <w:rPr>
                <w:sz w:val="22"/>
                <w:szCs w:val="22"/>
              </w:rPr>
              <w:t>COM(2023) 641 final</w:t>
            </w:r>
          </w:p>
        </w:tc>
      </w:tr>
      <w:tr w:rsidRPr="004838F1" w:rsidR="00E038A6" w:rsidTr="004838F1" w14:paraId="44CA84AF" w14:textId="77777777">
        <w:trPr>
          <w:trHeight w:val="262"/>
        </w:trPr>
        <w:tc>
          <w:tcPr>
            <w:tcW w:w="1167" w:type="pct"/>
            <w:vMerge/>
          </w:tcPr>
          <w:p w:rsidRPr="004838F1" w:rsidR="00E038A6" w:rsidP="00E038A6" w:rsidRDefault="00E038A6" w14:paraId="34903EC5" w14:textId="77777777">
            <w:pPr>
              <w:tabs>
                <w:tab w:val="center" w:pos="284"/>
              </w:tabs>
              <w:overflowPunct w:val="0"/>
              <w:autoSpaceDE w:val="0"/>
              <w:autoSpaceDN w:val="0"/>
              <w:adjustRightInd w:val="0"/>
              <w:ind w:left="266" w:hanging="266"/>
              <w:textAlignment w:val="baseline"/>
              <w:rPr>
                <w:b/>
                <w:sz w:val="22"/>
                <w:szCs w:val="22"/>
              </w:rPr>
            </w:pPr>
          </w:p>
        </w:tc>
        <w:tc>
          <w:tcPr>
            <w:tcW w:w="3833" w:type="pct"/>
          </w:tcPr>
          <w:p w:rsidRPr="004838F1" w:rsidR="00E038A6" w:rsidP="00E038A6" w:rsidRDefault="00E038A6" w14:paraId="1CC4CBC8" w14:textId="77777777">
            <w:pPr>
              <w:tabs>
                <w:tab w:val="center" w:pos="284"/>
              </w:tabs>
              <w:overflowPunct w:val="0"/>
              <w:autoSpaceDE w:val="0"/>
              <w:autoSpaceDN w:val="0"/>
              <w:adjustRightInd w:val="0"/>
              <w:ind w:left="266" w:hanging="266"/>
              <w:textAlignment w:val="baseline"/>
              <w:rPr>
                <w:sz w:val="22"/>
                <w:szCs w:val="22"/>
              </w:rPr>
            </w:pPr>
            <w:r w:rsidRPr="004838F1">
              <w:rPr>
                <w:sz w:val="22"/>
                <w:szCs w:val="22"/>
              </w:rPr>
              <w:t>EESC-2023-05604-00-00-AC-TRA</w:t>
            </w:r>
          </w:p>
        </w:tc>
      </w:tr>
    </w:tbl>
    <w:p w:rsidRPr="004838F1" w:rsidR="00E038A6" w:rsidP="00E038A6" w:rsidRDefault="00E038A6" w14:paraId="2850FCED" w14:textId="719C1CAB">
      <w:pPr>
        <w:tabs>
          <w:tab w:val="center" w:pos="284"/>
        </w:tabs>
        <w:overflowPunct w:val="0"/>
        <w:autoSpaceDE w:val="0"/>
        <w:autoSpaceDN w:val="0"/>
        <w:adjustRightInd w:val="0"/>
        <w:ind w:left="266" w:hanging="266"/>
        <w:textAlignment w:val="baseline"/>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t>Der EWSA</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empfiehlt den Mitgliedstaaten, ihre Zollbehörden und Polizeikräfte personell und technisch angemessen auszustatten, für eine gute Entlohnung und gute Arbeitsbedingungen sowie für Weiterbildung zu sorgen;</w:t>
      </w:r>
    </w:p>
    <w:p w:rsidRPr="00E038A6"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betont, dass zur Bekämpfung des Missbrauchs auch harter Drogen ein stärker differenzierter, gesamtgesellschaftlicher Ansatz erforderlich ist. Hinsichtlich des Drogenkonsums ist auf Prävention und flankierende Maßnahmen und weniger auf Repression zu setzen;</w:t>
      </w:r>
    </w:p>
    <w:p w:rsidRPr="00E038A6"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weist darauf hin, dass andere Wege und Zugänge für den illegalen Handel (z. B. Flughäfen, Straße und Schiene) nicht vernachlässigt werden dürfen;</w:t>
      </w:r>
    </w:p>
    <w:p w:rsidRPr="00E038A6"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hält die Verwendung des Begriffs „öffentlich-private Partnerschaft“ (ÖPP) für die Zusammenarbeit von Behörden mit Privaten in diesem Zusammenhang für sehr unglücklich und empfiehlt der Kommission, stattdessen von einem Ansatz zu sprechen, der zahlreiche Akteure einbezieht;</w:t>
      </w:r>
    </w:p>
    <w:p w:rsidRPr="00E038A6"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begrüßt alle wirksamen Initiativen zur Zerschlagung krimineller Netze und betont, dass das Bankgeheimnis sowie das Vorhandensein von Steueroasen, Geldwäsche und Korruption für die organisierte Kriminalität von größter Bedeutung sind;</w:t>
      </w:r>
    </w:p>
    <w:p w:rsidRPr="00E038A6"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unterstützt eine bessere grenzübergreifende Koordination der Strafverfolgung zwischen Polizei- und Zollbehörden sowie eine bessere Zusammenarbeit von Strafverfolgungs-, Justiz- und Steuerbehörden, damit die organisierte Kriminalität so wirksam wie möglich bekämpft wird;</w:t>
      </w:r>
    </w:p>
    <w:p w:rsidRPr="00E038A6"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fordert die Mitgliedstaaten nachdrücklich auf, ausreichend in ihre öffentlichen Verwaltungen zu investieren und deren Digitalisierung voranzutreiben, um die organisierte Kriminalität zu bekämpfen;</w:t>
      </w:r>
    </w:p>
    <w:p w:rsidRPr="00E038A6"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hält es für wichtig, die gewerkschaftlichen Vertretungen der Polizei- und Zollbediensteten einzubeziehen, um personelle und materielle Bedarfe sachgerecht ermitteln und ihre Expertise berücksichtigen zu können;</w:t>
      </w:r>
    </w:p>
    <w:p w:rsidRPr="00E038A6"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erinnert daran, dass Drogenabhängige Opfer und nicht Täter sind, solange ihr Drogenkonsum nicht zu Beschaffungskriminalität oder zu Gefährdungen Dritter führt. Der EWSA empfiehlt nachdrücklich, die Erfahrungen von Ländern und Regionen zu studieren, in denen der Konsum bestimmter Drogen toleriert wird oder der Konsum von Cannabis entkriminalisiert worden ist;</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empfiehlt mehr Initiativen zur Suchtprävention, um die Europäer vor den Gefahren einer Sucht (nicht nur vor einer Abhängigkeit von harten Drogen) zu schützen, und fordert insbesondere, beschlagnahmte Gelder für Präventionsprojekte zu nutzen.</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Kontakt</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r>
              <w:rPr>
                <w:i/>
              </w:rPr>
              <w:t xml:space="preserve">Alessia </w:t>
            </w:r>
            <w:proofErr w:type="spellStart"/>
            <w:r>
              <w:rPr>
                <w:i/>
              </w:rPr>
              <w:t>Cova</w:t>
            </w:r>
            <w:proofErr w:type="spellEnd"/>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Tel.</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+32 25469426</w:t>
            </w:r>
          </w:p>
        </w:tc>
      </w:tr>
      <w:tr w:rsidRPr="00E038A6" w:rsidR="00E038A6" w:rsidTr="009839A2" w14:paraId="121F3EEE" w14:textId="77777777">
        <w:tc>
          <w:tcPr>
            <w:tcW w:w="1556" w:type="pct"/>
          </w:tcPr>
          <w:p w:rsidRPr="00E038A6" w:rsidR="00E038A6" w:rsidP="00E038A6" w:rsidRDefault="002062DF" w14:paraId="525F4085" w14:textId="47F16F8F">
            <w:pPr>
              <w:overflowPunct w:val="0"/>
              <w:autoSpaceDE w:val="0"/>
              <w:autoSpaceDN w:val="0"/>
              <w:adjustRightInd w:val="0"/>
              <w:spacing w:line="240" w:lineRule="auto"/>
              <w:textAlignment w:val="baseline"/>
              <w:rPr>
                <w:i/>
              </w:rPr>
            </w:pPr>
            <w:r>
              <w:rPr>
                <w:i/>
              </w:rPr>
              <w:t>E-Mail</w:t>
            </w:r>
          </w:p>
        </w:tc>
        <w:tc>
          <w:tcPr>
            <w:tcW w:w="3444" w:type="pct"/>
          </w:tcPr>
          <w:p w:rsidRPr="00E038A6" w:rsidR="00E038A6" w:rsidP="00E038A6" w:rsidRDefault="006C4E9A" w14:paraId="2B3B0443" w14:textId="77777777">
            <w:pPr>
              <w:overflowPunct w:val="0"/>
              <w:autoSpaceDE w:val="0"/>
              <w:autoSpaceDN w:val="0"/>
              <w:adjustRightInd w:val="0"/>
              <w:spacing w:line="240" w:lineRule="auto"/>
              <w:textAlignment w:val="baseline"/>
              <w:rPr>
                <w:i/>
              </w:rPr>
            </w:pPr>
            <w:hyperlink w:history="1" r:id="rId33">
              <w:r w:rsidR="00C37C45">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br w:type="page"/>
      </w:r>
    </w:p>
    <w:p w:rsidRPr="00D6423D" w:rsidR="005A67F3" w:rsidP="00401E8F" w:rsidRDefault="004C3902" w14:paraId="3792A077" w14:textId="199DB8D1">
      <w:pPr>
        <w:pStyle w:val="Heading1"/>
        <w:tabs>
          <w:tab w:val="clear" w:pos="440"/>
          <w:tab w:val="left" w:pos="567"/>
        </w:tabs>
        <w:ind w:left="567" w:hanging="567"/>
        <w:rPr>
          <w:b/>
          <w:bCs/>
        </w:rPr>
      </w:pPr>
      <w:bookmarkStart w:name="_Toc166847134" w:id="2"/>
      <w:bookmarkStart w:name="_Toc166848519" w:id="3"/>
      <w:bookmarkEnd w:id="2"/>
      <w:r>
        <w:rPr>
          <w:b/>
        </w:rPr>
        <w:lastRenderedPageBreak/>
        <w:t>BINNENMARKT, PRODUKTION, VERBRAUCH</w:t>
      </w:r>
      <w:bookmarkEnd w:id="3"/>
    </w:p>
    <w:p w:rsidR="0007457E" w:rsidRDefault="0007457E" w14:paraId="4DDD08C3" w14:textId="77777777">
      <w:pPr>
        <w:spacing w:after="160" w:line="259" w:lineRule="auto"/>
        <w:jc w:val="left"/>
        <w:rPr>
          <w:b/>
          <w:iCs/>
        </w:rPr>
      </w:pPr>
    </w:p>
    <w:p w:rsidRPr="000F4139" w:rsidR="000F4139" w:rsidP="00401E8F" w:rsidRDefault="006C4E9A" w14:paraId="77AA9006" w14:textId="145190C0">
      <w:pPr>
        <w:widowControl w:val="0"/>
        <w:numPr>
          <w:ilvl w:val="0"/>
          <w:numId w:val="25"/>
        </w:numPr>
        <w:overflowPunct w:val="0"/>
        <w:autoSpaceDE w:val="0"/>
        <w:autoSpaceDN w:val="0"/>
        <w:adjustRightInd w:val="0"/>
        <w:ind w:left="567" w:hanging="567"/>
        <w:textAlignment w:val="baseline"/>
        <w:rPr>
          <w:b/>
        </w:rPr>
      </w:pPr>
      <w:hyperlink w:history="1" r:id="rId34">
        <w:r w:rsidR="008772F9">
          <w:rPr>
            <w:b/>
            <w:i/>
            <w:color w:val="0000FF"/>
            <w:sz w:val="28"/>
            <w:u w:val="single"/>
          </w:rPr>
          <w:t>Langfristige Strategie für Wettbewerbsfähigkeit</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035"/>
      </w:tblGrid>
      <w:tr w:rsidRPr="004838F1" w:rsidR="000F4139" w:rsidTr="009839A2" w14:paraId="7CD0833F" w14:textId="77777777">
        <w:trPr>
          <w:trHeight w:val="265"/>
        </w:trPr>
        <w:tc>
          <w:tcPr>
            <w:tcW w:w="1701" w:type="dxa"/>
          </w:tcPr>
          <w:p w:rsidRPr="004838F1"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sz w:val="22"/>
                <w:szCs w:val="22"/>
              </w:rPr>
            </w:pPr>
            <w:r w:rsidRPr="004838F1">
              <w:rPr>
                <w:b/>
                <w:sz w:val="22"/>
                <w:szCs w:val="22"/>
              </w:rPr>
              <w:t>Berichterstatterin</w:t>
            </w:r>
          </w:p>
          <w:p w:rsidRPr="004838F1"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sz w:val="22"/>
                <w:szCs w:val="22"/>
                <w:highlight w:val="yellow"/>
              </w:rPr>
            </w:pPr>
            <w:r w:rsidRPr="004838F1">
              <w:rPr>
                <w:b/>
                <w:sz w:val="22"/>
                <w:szCs w:val="22"/>
              </w:rPr>
              <w:t>Ko-Berichterstatter</w:t>
            </w:r>
          </w:p>
        </w:tc>
        <w:tc>
          <w:tcPr>
            <w:tcW w:w="7372" w:type="dxa"/>
          </w:tcPr>
          <w:p w:rsidRPr="004838F1"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rPr>
                <w:sz w:val="22"/>
                <w:szCs w:val="22"/>
              </w:rPr>
            </w:pPr>
            <w:r w:rsidRPr="004838F1">
              <w:rPr>
                <w:sz w:val="22"/>
                <w:szCs w:val="22"/>
              </w:rPr>
              <w:t>Emilie PROUZET (Gruppe Arbeitgeber – FR)</w:t>
            </w:r>
          </w:p>
          <w:p w:rsidRPr="004838F1"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sz w:val="22"/>
                <w:szCs w:val="22"/>
                <w:highlight w:val="yellow"/>
              </w:rPr>
            </w:pPr>
            <w:r w:rsidRPr="004838F1">
              <w:rPr>
                <w:sz w:val="22"/>
                <w:szCs w:val="22"/>
              </w:rPr>
              <w:t>Stefano PALMIERI (Gruppe Arbeitnehmer – IT)</w:t>
            </w:r>
          </w:p>
        </w:tc>
      </w:tr>
      <w:tr w:rsidRPr="004838F1" w:rsidR="000F4139" w:rsidTr="009839A2" w14:paraId="4894DB66" w14:textId="77777777">
        <w:trPr>
          <w:trHeight w:val="265"/>
        </w:trPr>
        <w:tc>
          <w:tcPr>
            <w:tcW w:w="1701" w:type="dxa"/>
          </w:tcPr>
          <w:p w:rsidRPr="004838F1"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sz w:val="22"/>
                <w:szCs w:val="22"/>
                <w:highlight w:val="yellow"/>
              </w:rPr>
            </w:pPr>
          </w:p>
        </w:tc>
        <w:tc>
          <w:tcPr>
            <w:tcW w:w="7372" w:type="dxa"/>
          </w:tcPr>
          <w:p w:rsidRPr="004838F1"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sz w:val="22"/>
                <w:szCs w:val="22"/>
                <w:highlight w:val="yellow"/>
              </w:rPr>
            </w:pPr>
          </w:p>
        </w:tc>
      </w:tr>
      <w:tr w:rsidRPr="004838F1" w:rsidR="000F4139" w:rsidTr="009839A2" w14:paraId="139048CD" w14:textId="77777777">
        <w:trPr>
          <w:trHeight w:val="289"/>
        </w:trPr>
        <w:tc>
          <w:tcPr>
            <w:tcW w:w="1701" w:type="dxa"/>
            <w:vMerge w:val="restart"/>
          </w:tcPr>
          <w:p w:rsidRPr="004838F1"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sz w:val="22"/>
                <w:szCs w:val="22"/>
              </w:rPr>
            </w:pPr>
            <w:r w:rsidRPr="004838F1">
              <w:rPr>
                <w:b/>
                <w:sz w:val="22"/>
                <w:szCs w:val="22"/>
              </w:rPr>
              <w:t>Referenzdokumente</w:t>
            </w:r>
          </w:p>
        </w:tc>
        <w:tc>
          <w:tcPr>
            <w:tcW w:w="7372" w:type="dxa"/>
          </w:tcPr>
          <w:p w:rsidRPr="004838F1"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rPr>
                <w:sz w:val="22"/>
                <w:szCs w:val="22"/>
              </w:rPr>
            </w:pPr>
            <w:r w:rsidRPr="004838F1">
              <w:rPr>
                <w:sz w:val="22"/>
                <w:szCs w:val="22"/>
              </w:rPr>
              <w:t>COM(2023) 162 final</w:t>
            </w:r>
          </w:p>
          <w:p w:rsidRPr="004838F1"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rPr>
                <w:sz w:val="22"/>
                <w:szCs w:val="22"/>
              </w:rPr>
            </w:pPr>
            <w:r w:rsidRPr="004838F1">
              <w:rPr>
                <w:sz w:val="22"/>
                <w:szCs w:val="22"/>
              </w:rPr>
              <w:t>COM(2023) 168 final</w:t>
            </w:r>
          </w:p>
        </w:tc>
      </w:tr>
      <w:tr w:rsidRPr="004838F1" w:rsidR="000F4139" w:rsidTr="009839A2" w14:paraId="1A95682A" w14:textId="77777777">
        <w:trPr>
          <w:trHeight w:val="289"/>
        </w:trPr>
        <w:tc>
          <w:tcPr>
            <w:tcW w:w="1701" w:type="dxa"/>
            <w:vMerge/>
          </w:tcPr>
          <w:p w:rsidRPr="004838F1"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sz w:val="22"/>
                <w:szCs w:val="22"/>
              </w:rPr>
            </w:pPr>
          </w:p>
        </w:tc>
        <w:tc>
          <w:tcPr>
            <w:tcW w:w="7372" w:type="dxa"/>
          </w:tcPr>
          <w:p w:rsidRPr="004838F1"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rPr>
                <w:sz w:val="22"/>
                <w:szCs w:val="22"/>
              </w:rPr>
            </w:pPr>
            <w:r w:rsidRPr="004838F1">
              <w:rPr>
                <w:sz w:val="22"/>
                <w:szCs w:val="22"/>
              </w:rP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Kernaussagen</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Der EWSA </w:t>
      </w:r>
    </w:p>
    <w:p w:rsidRPr="000F4139" w:rsidR="000F4139" w:rsidP="000F4139" w:rsidRDefault="000F4139" w14:paraId="3A32DE9D" w14:textId="77777777">
      <w:pPr>
        <w:spacing w:line="264" w:lineRule="auto"/>
        <w:contextualSpacing/>
        <w:rPr>
          <w:bCs/>
          <w:iCs/>
          <w:lang w:eastAsia="zh-CN"/>
        </w:rPr>
      </w:pPr>
    </w:p>
    <w:p w:rsidRPr="000F4139"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ist der Ansicht, dass die EU eine im Einklang mit den Grundsätzen des Binnenmarkts und der </w:t>
      </w:r>
      <w:r>
        <w:rPr>
          <w:b/>
        </w:rPr>
        <w:t>sozialen Marktwirtschaft</w:t>
      </w:r>
      <w:r>
        <w:t xml:space="preserve"> stehende, zukunftsorientierte, klar definierte und koordinierte </w:t>
      </w:r>
      <w:r>
        <w:rPr>
          <w:b/>
        </w:rPr>
        <w:t>Agenda für Wettbewerbsfähigkeit</w:t>
      </w:r>
      <w:r>
        <w:t xml:space="preserve"> braucht, um den Wohlstand der Unternehmen, hochwertige Arbeitsplätze, die Anhebung des Lebensstandards der EU-Bürger und die </w:t>
      </w:r>
      <w:proofErr w:type="spellStart"/>
      <w:r>
        <w:t>Inklusivität</w:t>
      </w:r>
      <w:proofErr w:type="spellEnd"/>
      <w:r>
        <w:t xml:space="preserve"> zu fördern. Darüber hinaus soll sie die Fähigkeit der EU zu Innovation, Investitionen und Handel sowie zum Wettbewerb auf dem globalen Markt zum Wohle der Allgemeinheit und zur Förderung des Übergangs zur Klimaneutralität erhöhen;</w:t>
      </w:r>
    </w:p>
    <w:p w:rsidRPr="000F4139"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ist der Auffassung, dass zur Steigerung der Wettbewerbsfähigkeit der EU eine </w:t>
      </w:r>
      <w:r>
        <w:rPr>
          <w:b/>
        </w:rPr>
        <w:t>integrierte europäische Industriestrategie</w:t>
      </w:r>
      <w:r>
        <w:t xml:space="preserve"> erforderlich ist, mit der ein integriertes europäisches Industriesystem gefördert und Unternehmen und Arbeitnehmer als die wichtigsten Akteure in den Mittelpunkt gestellt werden;</w:t>
      </w:r>
    </w:p>
    <w:p w:rsidRPr="000F4139"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fordert die angemessene Bereitstellung </w:t>
      </w:r>
      <w:r>
        <w:rPr>
          <w:b/>
        </w:rPr>
        <w:t>physischer und sozialer Infrastrukturen</w:t>
      </w:r>
      <w:r>
        <w:t xml:space="preserve">, die strategisch wichtig ist, um die Wettbewerbsfähigkeit der EU sicherzustellen. Dieses strategische Vorgehen erfordert: i) eine </w:t>
      </w:r>
      <w:r>
        <w:rPr>
          <w:b/>
        </w:rPr>
        <w:t>Kohäsionspolitik</w:t>
      </w:r>
      <w:r>
        <w:t>, die wirtschaftliche Konvergenz und Resilienz fördert, ii) </w:t>
      </w:r>
      <w:r>
        <w:rPr>
          <w:b/>
        </w:rPr>
        <w:t>Investitionen in hochwertige öffentliche Dienste sowie in zukunftssichere Verkehrs-, Energie- und Datennetze</w:t>
      </w:r>
      <w:r>
        <w:t>, iii) </w:t>
      </w:r>
      <w:r>
        <w:rPr>
          <w:b/>
        </w:rPr>
        <w:t>Investitionen in Bildung und lebenslanges Lernen</w:t>
      </w:r>
      <w:r>
        <w:t xml:space="preserve"> für qualifizierte Arbeitskräfte, die für die Herausforderungen von morgen gewappnet sind, in ein hochwertiges </w:t>
      </w:r>
      <w:r>
        <w:rPr>
          <w:b/>
        </w:rPr>
        <w:t>Gesundheitssystem, Langzeitpflege und Sozialfürsorge</w:t>
      </w:r>
      <w:r>
        <w:t xml:space="preserve"> sowie in </w:t>
      </w:r>
      <w:r>
        <w:rPr>
          <w:b/>
        </w:rPr>
        <w:t>erschwinglichen Wohnraum</w:t>
      </w:r>
      <w:r>
        <w:t>;</w:t>
      </w:r>
    </w:p>
    <w:p w:rsidRPr="000F4139" w:rsidR="000F4139" w:rsidP="00AA5F9C"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fordert die Mitgliedstaaten insbesondere auf, sich mit ganzer Kraft für eine ordnungsgemäße Um- und Durchsetzung der </w:t>
      </w:r>
      <w:r>
        <w:rPr>
          <w:b/>
        </w:rPr>
        <w:t>EU-Rechtsvorschriften zum Binnenmarkt</w:t>
      </w:r>
      <w:r>
        <w:t xml:space="preserve"> einzusetzen. All dies muss mit geeigneten Kontroll- und Schutzinstrumenten in Hinblick auf die Qualität der Arbeit, gleiche Wettbewerbsbedingungen für alle Unternehmen, die Bürgerrechte und den Verbraucherschutz einhergehen;</w:t>
      </w:r>
    </w:p>
    <w:p w:rsidRPr="000F4139"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betont, dass die </w:t>
      </w:r>
      <w:r>
        <w:rPr>
          <w:b/>
        </w:rPr>
        <w:t>offene strategische Autonomie</w:t>
      </w:r>
      <w:r>
        <w:t xml:space="preserve"> der EU zu einem wesentlichen Merkmal des europäischen Projekts ausgebaut werden muss, dessen Einzigartigkeit und Stärken auf einer Kombination von wirtschaftlicher und sozialer Integration beruhen.</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F4139" w:rsidR="000F4139" w:rsidTr="009839A2" w14:paraId="2AD72305" w14:textId="77777777">
        <w:tc>
          <w:tcPr>
            <w:tcW w:w="1418"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Kontakt</w:t>
            </w:r>
          </w:p>
        </w:tc>
        <w:tc>
          <w:tcPr>
            <w:tcW w:w="5670"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r>
              <w:rPr>
                <w:i/>
              </w:rPr>
              <w:t xml:space="preserve">Silvia </w:t>
            </w:r>
            <w:proofErr w:type="spellStart"/>
            <w:r>
              <w:rPr>
                <w:i/>
              </w:rPr>
              <w:t>Staffa</w:t>
            </w:r>
            <w:proofErr w:type="spellEnd"/>
          </w:p>
        </w:tc>
      </w:tr>
      <w:tr w:rsidRPr="000F4139" w:rsidR="000F4139" w:rsidTr="009839A2" w14:paraId="666A495B" w14:textId="77777777">
        <w:tc>
          <w:tcPr>
            <w:tcW w:w="1418"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Tel.</w:t>
            </w:r>
          </w:p>
        </w:tc>
        <w:tc>
          <w:tcPr>
            <w:tcW w:w="5670"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+32 25468378</w:t>
            </w:r>
          </w:p>
        </w:tc>
      </w:tr>
      <w:tr w:rsidRPr="000F4139" w:rsidR="000F4139" w:rsidTr="009839A2" w14:paraId="559E6652" w14:textId="77777777">
        <w:tc>
          <w:tcPr>
            <w:tcW w:w="1418"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E-Mail</w:t>
            </w:r>
          </w:p>
        </w:tc>
        <w:tc>
          <w:tcPr>
            <w:tcW w:w="5670" w:type="dxa"/>
          </w:tcPr>
          <w:p w:rsidRPr="000F4139" w:rsidR="000F4139" w:rsidP="000F4139" w:rsidRDefault="006C4E9A" w14:paraId="3F4BAFA7" w14:textId="77777777">
            <w:pPr>
              <w:overflowPunct w:val="0"/>
              <w:autoSpaceDE w:val="0"/>
              <w:autoSpaceDN w:val="0"/>
              <w:adjustRightInd w:val="0"/>
              <w:spacing w:line="264" w:lineRule="auto"/>
              <w:textAlignment w:val="baseline"/>
              <w:rPr>
                <w:i/>
                <w:iCs/>
              </w:rPr>
            </w:pPr>
            <w:hyperlink w:history="1" r:id="rId35">
              <w:r w:rsidR="00C37C45">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401E8F" w:rsidRDefault="006C4E9A" w14:paraId="49E4A578" w14:textId="3459948D">
      <w:pPr>
        <w:widowControl w:val="0"/>
        <w:numPr>
          <w:ilvl w:val="0"/>
          <w:numId w:val="25"/>
        </w:numPr>
        <w:overflowPunct w:val="0"/>
        <w:autoSpaceDE w:val="0"/>
        <w:autoSpaceDN w:val="0"/>
        <w:adjustRightInd w:val="0"/>
        <w:ind w:left="567" w:hanging="567"/>
        <w:textAlignment w:val="baseline"/>
        <w:rPr>
          <w:sz w:val="20"/>
          <w:szCs w:val="20"/>
        </w:rPr>
      </w:pPr>
      <w:hyperlink w:history="1" r:id="rId36">
        <w:r w:rsidR="008772F9">
          <w:rPr>
            <w:b/>
            <w:i/>
            <w:color w:val="0000FF"/>
            <w:sz w:val="28"/>
            <w:u w:val="single"/>
          </w:rPr>
          <w:t>Strategische Vorausschau 2023</w:t>
        </w:r>
      </w:hyperlink>
    </w:p>
    <w:p w:rsidRPr="00EC69D1" w:rsidR="00EC69D1" w:rsidP="004838F1" w:rsidRDefault="00EC69D1" w14:paraId="63ACBE30" w14:textId="77777777">
      <w:pPr>
        <w:tabs>
          <w:tab w:val="center" w:pos="284"/>
        </w:tabs>
        <w:overflowPunct w:val="0"/>
        <w:autoSpaceDE w:val="0"/>
        <w:autoSpaceDN w:val="0"/>
        <w:adjustRightInd w:val="0"/>
        <w:spacing w:line="240" w:lineRule="auto"/>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5387"/>
      </w:tblGrid>
      <w:tr w:rsidRPr="004838F1" w:rsidR="00EC69D1" w:rsidTr="009839A2" w14:paraId="1A465D8B" w14:textId="77777777">
        <w:tc>
          <w:tcPr>
            <w:tcW w:w="1701" w:type="dxa"/>
          </w:tcPr>
          <w:p w:rsidRPr="004838F1" w:rsidR="00EC69D1" w:rsidP="00EC69D1" w:rsidRDefault="00EC69D1" w14:paraId="75093038"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Berichterstatter</w:t>
            </w:r>
          </w:p>
        </w:tc>
        <w:tc>
          <w:tcPr>
            <w:tcW w:w="5387" w:type="dxa"/>
          </w:tcPr>
          <w:p w:rsidRPr="004838F1" w:rsidR="00EC69D1" w:rsidP="00EC69D1" w:rsidRDefault="00EC69D1" w14:paraId="7C8BCD0D" w14:textId="6BA4B146">
            <w:pPr>
              <w:tabs>
                <w:tab w:val="center" w:pos="284"/>
              </w:tabs>
              <w:overflowPunct w:val="0"/>
              <w:autoSpaceDE w:val="0"/>
              <w:autoSpaceDN w:val="0"/>
              <w:adjustRightInd w:val="0"/>
              <w:ind w:left="266" w:hanging="266"/>
              <w:textAlignment w:val="baseline"/>
              <w:rPr>
                <w:sz w:val="22"/>
                <w:szCs w:val="22"/>
              </w:rPr>
            </w:pPr>
            <w:r w:rsidRPr="004838F1">
              <w:rPr>
                <w:sz w:val="22"/>
                <w:szCs w:val="22"/>
              </w:rPr>
              <w:t>Stefano PALMIERI (Gruppe Arbeitnehmer – IT)</w:t>
            </w:r>
          </w:p>
        </w:tc>
      </w:tr>
      <w:tr w:rsidRPr="004838F1" w:rsidR="00EC69D1" w:rsidTr="009839A2" w14:paraId="633FC230" w14:textId="77777777">
        <w:tc>
          <w:tcPr>
            <w:tcW w:w="1701" w:type="dxa"/>
          </w:tcPr>
          <w:p w:rsidRPr="004838F1" w:rsidR="00EC69D1" w:rsidP="00EC69D1" w:rsidRDefault="00EC69D1" w14:paraId="187F4DAD"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Ko-Berichterstatter</w:t>
            </w:r>
          </w:p>
        </w:tc>
        <w:tc>
          <w:tcPr>
            <w:tcW w:w="5387" w:type="dxa"/>
          </w:tcPr>
          <w:p w:rsidRPr="004838F1" w:rsidR="00EC69D1" w:rsidP="00EC69D1" w:rsidRDefault="00EC69D1" w14:paraId="66D3B7D1" w14:textId="2831B248">
            <w:pPr>
              <w:tabs>
                <w:tab w:val="center" w:pos="284"/>
              </w:tabs>
              <w:overflowPunct w:val="0"/>
              <w:autoSpaceDE w:val="0"/>
              <w:autoSpaceDN w:val="0"/>
              <w:adjustRightInd w:val="0"/>
              <w:ind w:left="266" w:hanging="266"/>
              <w:textAlignment w:val="baseline"/>
              <w:rPr>
                <w:sz w:val="22"/>
                <w:szCs w:val="22"/>
              </w:rPr>
            </w:pPr>
            <w:proofErr w:type="spellStart"/>
            <w:r w:rsidRPr="004838F1">
              <w:rPr>
                <w:sz w:val="22"/>
                <w:szCs w:val="22"/>
              </w:rPr>
              <w:t>Gonçalo</w:t>
            </w:r>
            <w:proofErr w:type="spellEnd"/>
            <w:r w:rsidRPr="004838F1">
              <w:rPr>
                <w:sz w:val="22"/>
                <w:szCs w:val="22"/>
              </w:rPr>
              <w:t xml:space="preserve"> LOBO XAVIER (Gruppe Arbeitgeber – PT) </w:t>
            </w:r>
          </w:p>
        </w:tc>
      </w:tr>
      <w:tr w:rsidRPr="004838F1" w:rsidR="00EC69D1" w:rsidTr="009839A2" w14:paraId="29D494C0" w14:textId="77777777">
        <w:tc>
          <w:tcPr>
            <w:tcW w:w="7088" w:type="dxa"/>
            <w:gridSpan w:val="2"/>
          </w:tcPr>
          <w:p w:rsidRPr="004838F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838F1" w:rsidR="00EC69D1" w:rsidTr="009839A2" w14:paraId="1D2CF038" w14:textId="77777777">
        <w:tc>
          <w:tcPr>
            <w:tcW w:w="1701" w:type="dxa"/>
            <w:vMerge w:val="restart"/>
          </w:tcPr>
          <w:p w:rsidRPr="004838F1" w:rsidR="00EC69D1" w:rsidP="00EC69D1" w:rsidRDefault="00EC69D1" w14:paraId="5B5B47A4"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Referenzdokumente</w:t>
            </w:r>
          </w:p>
        </w:tc>
        <w:tc>
          <w:tcPr>
            <w:tcW w:w="5387" w:type="dxa"/>
          </w:tcPr>
          <w:p w:rsidRPr="004838F1" w:rsidR="00EC69D1" w:rsidP="00EC69D1" w:rsidRDefault="003B496D" w14:paraId="57D839C4" w14:textId="3B07F637">
            <w:pPr>
              <w:tabs>
                <w:tab w:val="center" w:pos="284"/>
              </w:tabs>
              <w:overflowPunct w:val="0"/>
              <w:autoSpaceDE w:val="0"/>
              <w:autoSpaceDN w:val="0"/>
              <w:adjustRightInd w:val="0"/>
              <w:ind w:left="266" w:hanging="266"/>
              <w:textAlignment w:val="baseline"/>
              <w:rPr>
                <w:sz w:val="22"/>
                <w:szCs w:val="22"/>
              </w:rPr>
            </w:pPr>
            <w:r w:rsidRPr="004838F1">
              <w:rPr>
                <w:color w:val="000000" w:themeColor="text1"/>
                <w:sz w:val="22"/>
                <w:szCs w:val="22"/>
              </w:rPr>
              <w:t>COM(2023) 376 final</w:t>
            </w:r>
          </w:p>
        </w:tc>
      </w:tr>
      <w:tr w:rsidRPr="004838F1" w:rsidR="00EC69D1" w:rsidTr="009839A2" w14:paraId="18BC8FB3" w14:textId="77777777">
        <w:tc>
          <w:tcPr>
            <w:tcW w:w="1701" w:type="dxa"/>
            <w:vMerge/>
          </w:tcPr>
          <w:p w:rsidRPr="004838F1" w:rsidR="00EC69D1" w:rsidP="00EC69D1" w:rsidRDefault="00EC69D1" w14:paraId="600849EA"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4838F1" w:rsidR="00EC69D1" w:rsidP="00EC69D1" w:rsidRDefault="00EC69D1" w14:paraId="39089157" w14:textId="77777777">
            <w:pPr>
              <w:tabs>
                <w:tab w:val="center" w:pos="284"/>
              </w:tabs>
              <w:overflowPunct w:val="0"/>
              <w:autoSpaceDE w:val="0"/>
              <w:autoSpaceDN w:val="0"/>
              <w:adjustRightInd w:val="0"/>
              <w:ind w:left="266" w:hanging="266"/>
              <w:textAlignment w:val="baseline"/>
              <w:rPr>
                <w:sz w:val="22"/>
                <w:szCs w:val="22"/>
              </w:rPr>
            </w:pPr>
            <w:r w:rsidRPr="004838F1">
              <w:rPr>
                <w:sz w:val="22"/>
                <w:szCs w:val="22"/>
              </w:rPr>
              <w:t>EESC-2023-04844-00-00-AC</w:t>
            </w:r>
          </w:p>
        </w:tc>
      </w:tr>
    </w:tbl>
    <w:p w:rsidRPr="00EC69D1" w:rsidR="00EC69D1" w:rsidP="004838F1" w:rsidRDefault="00EC69D1" w14:paraId="14E17862" w14:textId="38726176">
      <w:pPr>
        <w:tabs>
          <w:tab w:val="center" w:pos="284"/>
        </w:tabs>
        <w:overflowPunct w:val="0"/>
        <w:autoSpaceDE w:val="0"/>
        <w:autoSpaceDN w:val="0"/>
        <w:adjustRightInd w:val="0"/>
        <w:spacing w:line="240" w:lineRule="auto"/>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EC69D1" w:rsidR="00EC69D1" w:rsidP="004838F1" w:rsidRDefault="00EC69D1" w14:paraId="67AFFBCC" w14:textId="77777777">
      <w:pPr>
        <w:keepNext/>
        <w:keepLines/>
        <w:tabs>
          <w:tab w:val="center" w:pos="284"/>
        </w:tabs>
        <w:overflowPunct w:val="0"/>
        <w:autoSpaceDE w:val="0"/>
        <w:autoSpaceDN w:val="0"/>
        <w:adjustRightInd w:val="0"/>
        <w:spacing w:line="240" w:lineRule="auto"/>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Der EWSA</w:t>
      </w:r>
    </w:p>
    <w:p w:rsidRPr="00EC69D1" w:rsidR="00EC3E58" w:rsidP="004838F1" w:rsidRDefault="00EC3E58" w14:paraId="7FE7018D" w14:textId="77777777">
      <w:pPr>
        <w:overflowPunct w:val="0"/>
        <w:autoSpaceDE w:val="0"/>
        <w:autoSpaceDN w:val="0"/>
        <w:adjustRightInd w:val="0"/>
        <w:spacing w:line="240" w:lineRule="auto"/>
        <w:textAlignment w:val="baseline"/>
        <w:rPr>
          <w:bCs/>
          <w:iCs/>
        </w:rPr>
      </w:pPr>
    </w:p>
    <w:p w:rsidRPr="00EC69D1"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sieht in der strategischen Vorausschau einen wichtigen Beitrag zur Beschlussfassung in der EU. Er nimmt die Bemühungen auf EU-Ebene zur Kenntnis, der Vorausschau eine strategische institutionelle Rolle zuzuweisen und sie in der Entscheidungsfindung zu berücksichtigen; </w:t>
      </w:r>
    </w:p>
    <w:p w:rsidRPr="00EC69D1"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fordert, dass wie in der laufenden Mandatsperiode auch in der neuen Kommission ein für Vorausschau zuständiges Mitglied der Kommission benannt wird;</w:t>
      </w:r>
    </w:p>
    <w:p w:rsidRPr="00EC69D1"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fordert eine stärkere Einbeziehung des EWSA, um die Analyse- und Vorausschaukapazitäten der EU zu verbessern und dazu beizutragen, Trends und mögliche Lösungen in einer sich wandelnden Gesellschaft zu ermitteln; </w:t>
      </w:r>
    </w:p>
    <w:p w:rsidRPr="00EC69D1"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sollte einen internen Prozess zur Durchführung einer Vorausschau koordinieren, um die wichtigsten Trends und Szenarien, Prioritäten und Maßnahmen im Zusammenhang mit der Europawahl und der Ernennung der neuen Europäischen Kommission zu ermitteln; </w:t>
      </w:r>
    </w:p>
    <w:p w:rsidRPr="00EC69D1"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stimmt dem Ansatz der Kommission zur Ermittlung realisierbarer und wirkungsvoller neuer Wirtschaftsmodelle zu. Ziel ist dabei eine integrative und nachhaltige Wettbewerbsfähigkeit, die ein hohes Maß an Sozial- und Umweltschutz, gute Arbeitsplätze sowie faire und solidarische Bedingungen wahrt, um das europäische Modell einer hochgradig wettbewerbsfähigen sozialen Marktwirtschaft zu erhalten.</w:t>
      </w:r>
    </w:p>
    <w:p w:rsidRPr="00EC69D1"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fordert eine erneuerte und umfassendere Industriepolitik der EU, die auf die Koordinierung der Entscheidungen und Maßnahmen abzielt, damit die Kohärenz zwischen den Sektoren und zwischen den Mitgliedstaaten im Hinblick auf die nachhaltige Wettbewerbsfähigkeit der EU verbessert wird;</w:t>
      </w:r>
    </w:p>
    <w:p w:rsidRPr="00EC69D1"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t>fordert die Ermittlung ergänzender Indikatoren über das BIP hinaus und ihre Umsetzung in politische Maßnahmen;</w:t>
      </w:r>
    </w:p>
    <w:p w:rsidRPr="00EC69D1"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legt der EU und den nationalen Institutionen, der Privatwirtschaft und den lokalen Interessenträgern nahe, auf die Festlegung und Vereinbarung eines neuen europäischen Gesellschaftsvertrags hinzuarbeiten;</w:t>
      </w:r>
    </w:p>
    <w:p w:rsidRPr="00EC69D1"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fordert die EU und die Mitgliedstaaten auf, gemeinsam die Bereitstellung europäischer öffentlicher Güter zu gewährleisten und dazu auch den EU-Haushalt an das neue Szenario anzupassen. Rohstoffe und Dienstleistungen, die Verteidigung, Sicherheit, Gesundheit, Bildung und Wohlergehen sicherstellen, sind entscheidende Faktoren, mit denen das umfassende Resilienz-Ökosystem der EU eine inklusive und nachhaltige Wettbewerbsfähigkeit und Demokratie erreichen und wahren kann. </w:t>
      </w:r>
    </w:p>
    <w:p w:rsidRPr="00EC69D1" w:rsidR="00EC69D1" w:rsidP="004838F1" w:rsidRDefault="00EC69D1" w14:paraId="4722A43D" w14:textId="77777777">
      <w:pPr>
        <w:widowControl w:val="0"/>
        <w:overflowPunct w:val="0"/>
        <w:autoSpaceDE w:val="0"/>
        <w:autoSpaceDN w:val="0"/>
        <w:adjustRightInd w:val="0"/>
        <w:spacing w:line="240" w:lineRule="auto"/>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69D1" w:rsidR="00EC69D1" w:rsidTr="009839A2" w14:paraId="15AE3A7A" w14:textId="77777777">
        <w:tc>
          <w:tcPr>
            <w:tcW w:w="1418"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Kontakt</w:t>
            </w:r>
          </w:p>
        </w:tc>
        <w:tc>
          <w:tcPr>
            <w:tcW w:w="5670"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r>
              <w:rPr>
                <w:i/>
              </w:rPr>
              <w:t>Raul Muriel Carrasco</w:t>
            </w:r>
          </w:p>
        </w:tc>
      </w:tr>
      <w:tr w:rsidRPr="00EC69D1" w:rsidR="00EC69D1" w:rsidTr="009839A2" w14:paraId="74868F27" w14:textId="77777777">
        <w:tc>
          <w:tcPr>
            <w:tcW w:w="1418"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Tel.</w:t>
            </w:r>
          </w:p>
        </w:tc>
        <w:tc>
          <w:tcPr>
            <w:tcW w:w="5670"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+32 25468270</w:t>
            </w:r>
          </w:p>
        </w:tc>
      </w:tr>
      <w:tr w:rsidRPr="00EC69D1" w:rsidR="00EC69D1" w:rsidTr="009839A2" w14:paraId="2E026737" w14:textId="77777777">
        <w:tc>
          <w:tcPr>
            <w:tcW w:w="1418"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E-Mail</w:t>
            </w:r>
          </w:p>
        </w:tc>
        <w:tc>
          <w:tcPr>
            <w:tcW w:w="5670" w:type="dxa"/>
          </w:tcPr>
          <w:p w:rsidRPr="00EC69D1" w:rsidR="00EC69D1" w:rsidP="00EC69D1" w:rsidRDefault="006C4E9A" w14:paraId="43DDC604" w14:textId="77777777">
            <w:pPr>
              <w:overflowPunct w:val="0"/>
              <w:autoSpaceDE w:val="0"/>
              <w:autoSpaceDN w:val="0"/>
              <w:adjustRightInd w:val="0"/>
              <w:spacing w:line="240" w:lineRule="auto"/>
              <w:textAlignment w:val="baseline"/>
              <w:rPr>
                <w:i/>
              </w:rPr>
            </w:pPr>
            <w:hyperlink w:history="1" r:id="rId37">
              <w:r w:rsidR="00C37C45">
                <w:rPr>
                  <w:i/>
                  <w:color w:val="0000FF"/>
                  <w:u w:val="single"/>
                </w:rPr>
                <w:t>Raul.MurielCarrasco@eesc.europa.eu</w:t>
              </w:r>
            </w:hyperlink>
            <w:r w:rsidR="00C37C45">
              <w:rPr>
                <w:i/>
              </w:rPr>
              <w:t xml:space="preserve"> </w:t>
            </w:r>
          </w:p>
        </w:tc>
      </w:tr>
    </w:tbl>
    <w:p w:rsidRPr="004838F1" w:rsidR="0054035C" w:rsidRDefault="0054035C" w14:paraId="7B4F369C" w14:textId="77777777">
      <w:pPr>
        <w:spacing w:after="160" w:line="259" w:lineRule="auto"/>
        <w:jc w:val="left"/>
        <w:rPr>
          <w:b/>
          <w:iCs/>
          <w:sz w:val="2"/>
          <w:szCs w:val="2"/>
        </w:rPr>
      </w:pPr>
      <w:r w:rsidRPr="004838F1">
        <w:rPr>
          <w:sz w:val="2"/>
          <w:szCs w:val="2"/>
        </w:rPr>
        <w:br w:type="page"/>
      </w:r>
    </w:p>
    <w:p w:rsidRPr="005E3A6F" w:rsidR="005E3A6F" w:rsidP="00401E8F" w:rsidRDefault="006C4E9A"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8">
        <w:r w:rsidR="008772F9">
          <w:rPr>
            <w:b/>
            <w:i/>
            <w:color w:val="0000FF"/>
            <w:sz w:val="28"/>
            <w:u w:val="single"/>
          </w:rPr>
          <w:t>Überarbeitung der Pauschalreiserichtlinie</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929"/>
      </w:tblGrid>
      <w:tr w:rsidRPr="004838F1" w:rsidR="005E3A6F" w:rsidTr="004838F1" w14:paraId="5D2FE8DB" w14:textId="77777777">
        <w:tc>
          <w:tcPr>
            <w:tcW w:w="2110" w:type="dxa"/>
          </w:tcPr>
          <w:p w:rsidRPr="004838F1" w:rsidR="005E3A6F" w:rsidP="005E3A6F" w:rsidRDefault="005E3A6F" w14:paraId="75F71CB5"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Berichterstatter</w:t>
            </w:r>
          </w:p>
        </w:tc>
        <w:tc>
          <w:tcPr>
            <w:tcW w:w="6929" w:type="dxa"/>
          </w:tcPr>
          <w:p w:rsidRPr="004838F1" w:rsidR="005E3A6F" w:rsidP="005E3A6F" w:rsidRDefault="005E3A6F" w14:paraId="241538C7" w14:textId="4DA5C2A5">
            <w:pPr>
              <w:tabs>
                <w:tab w:val="center" w:pos="284"/>
              </w:tabs>
              <w:overflowPunct w:val="0"/>
              <w:autoSpaceDE w:val="0"/>
              <w:autoSpaceDN w:val="0"/>
              <w:adjustRightInd w:val="0"/>
              <w:ind w:left="266" w:hanging="266"/>
              <w:textAlignment w:val="baseline"/>
              <w:rPr>
                <w:sz w:val="22"/>
                <w:szCs w:val="22"/>
              </w:rPr>
            </w:pPr>
            <w:r w:rsidRPr="004838F1">
              <w:rPr>
                <w:sz w:val="22"/>
                <w:szCs w:val="22"/>
              </w:rPr>
              <w:t>Philip VON BROCKDORFF (Gruppe Arbeitnehmer – MT)</w:t>
            </w:r>
          </w:p>
        </w:tc>
      </w:tr>
      <w:tr w:rsidRPr="004838F1" w:rsidR="005E3A6F" w:rsidTr="004838F1" w14:paraId="66D4555E" w14:textId="77777777">
        <w:tc>
          <w:tcPr>
            <w:tcW w:w="9039" w:type="dxa"/>
            <w:gridSpan w:val="2"/>
          </w:tcPr>
          <w:p w:rsidRPr="004838F1"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838F1" w:rsidR="005E3A6F" w:rsidTr="004838F1" w14:paraId="658D9E9C" w14:textId="77777777">
        <w:tc>
          <w:tcPr>
            <w:tcW w:w="2110" w:type="dxa"/>
            <w:vMerge w:val="restart"/>
          </w:tcPr>
          <w:p w:rsidRPr="004838F1" w:rsidR="005E3A6F" w:rsidP="005E3A6F" w:rsidRDefault="005E3A6F" w14:paraId="7ADBD674"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 xml:space="preserve">Referenzdokumente </w:t>
            </w:r>
          </w:p>
        </w:tc>
        <w:tc>
          <w:tcPr>
            <w:tcW w:w="6929" w:type="dxa"/>
          </w:tcPr>
          <w:p w:rsidRPr="004838F1" w:rsidR="005E3A6F" w:rsidP="005E3A6F" w:rsidRDefault="005E3A6F" w14:paraId="5EBF2224" w14:textId="6B292070">
            <w:pPr>
              <w:tabs>
                <w:tab w:val="center" w:pos="284"/>
              </w:tabs>
              <w:overflowPunct w:val="0"/>
              <w:autoSpaceDE w:val="0"/>
              <w:autoSpaceDN w:val="0"/>
              <w:adjustRightInd w:val="0"/>
              <w:ind w:left="266" w:hanging="266"/>
              <w:textAlignment w:val="baseline"/>
              <w:rPr>
                <w:sz w:val="22"/>
                <w:szCs w:val="22"/>
              </w:rPr>
            </w:pPr>
            <w:r w:rsidRPr="004838F1">
              <w:rPr>
                <w:sz w:val="22"/>
                <w:szCs w:val="22"/>
              </w:rPr>
              <w:t>COM(2023) 905 final</w:t>
            </w:r>
          </w:p>
        </w:tc>
      </w:tr>
      <w:tr w:rsidRPr="004838F1" w:rsidR="005E3A6F" w:rsidTr="004838F1" w14:paraId="79C19F99" w14:textId="77777777">
        <w:tc>
          <w:tcPr>
            <w:tcW w:w="2110" w:type="dxa"/>
            <w:vMerge/>
          </w:tcPr>
          <w:p w:rsidRPr="004838F1" w:rsidR="005E3A6F" w:rsidP="005E3A6F" w:rsidRDefault="005E3A6F" w14:paraId="050AB738" w14:textId="77777777">
            <w:pPr>
              <w:tabs>
                <w:tab w:val="center" w:pos="284"/>
              </w:tabs>
              <w:overflowPunct w:val="0"/>
              <w:autoSpaceDE w:val="0"/>
              <w:autoSpaceDN w:val="0"/>
              <w:adjustRightInd w:val="0"/>
              <w:ind w:left="266" w:hanging="266"/>
              <w:textAlignment w:val="baseline"/>
              <w:rPr>
                <w:b/>
                <w:sz w:val="22"/>
                <w:szCs w:val="22"/>
              </w:rPr>
            </w:pPr>
          </w:p>
        </w:tc>
        <w:tc>
          <w:tcPr>
            <w:tcW w:w="6929" w:type="dxa"/>
          </w:tcPr>
          <w:p w:rsidRPr="004838F1" w:rsidR="005E3A6F" w:rsidP="005E3A6F" w:rsidRDefault="005E3A6F" w14:paraId="07238C14" w14:textId="77777777">
            <w:pPr>
              <w:tabs>
                <w:tab w:val="center" w:pos="284"/>
              </w:tabs>
              <w:overflowPunct w:val="0"/>
              <w:autoSpaceDE w:val="0"/>
              <w:autoSpaceDN w:val="0"/>
              <w:adjustRightInd w:val="0"/>
              <w:ind w:left="266" w:hanging="266"/>
              <w:textAlignment w:val="baseline"/>
              <w:rPr>
                <w:sz w:val="22"/>
                <w:szCs w:val="22"/>
              </w:rPr>
            </w:pPr>
            <w:r w:rsidRPr="004838F1">
              <w:rPr>
                <w:sz w:val="22"/>
                <w:szCs w:val="22"/>
              </w:rP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Der EWSA</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t xml:space="preserve">ist der Ansicht, dass es sowohl </w:t>
      </w:r>
      <w:r>
        <w:rPr>
          <w:b/>
        </w:rPr>
        <w:t>an der Zeit als auch notwendig</w:t>
      </w:r>
      <w:r>
        <w:t xml:space="preserve"> war, die Pauschalreiserichtlinie zu überarbeiten, und </w:t>
      </w:r>
      <w:r>
        <w:rPr>
          <w:b/>
        </w:rPr>
        <w:t>begrüßt die überarbeitete Fassung</w:t>
      </w:r>
      <w:r>
        <w:t xml:space="preserve"> grundsätzlich, da sie darauf abzielt, Gutscheinsysteme im Recht zu verankern und dafür zu sorgen, dass Reisende klare Informationen und rechtliche Garantien erhalten, während Reiseunternehmen mehr Flexibilität eingeräumt wird;</w:t>
      </w:r>
    </w:p>
    <w:p w:rsidRPr="005E3A6F"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 xml:space="preserve">begrüßt, dass die </w:t>
      </w:r>
      <w:r>
        <w:rPr>
          <w:b/>
        </w:rPr>
        <w:t>Überschneidungen zwischen Pauschalreisen und verbundenen Reiseleistungen gestrichen</w:t>
      </w:r>
      <w:r>
        <w:t xml:space="preserve"> wurden. Damit handelt es sich nun um eine Pauschalreise, wenn verschiedene Arten von Reiseleistungen für dieselbe Reise oder denselben Urlaub gleichzeitig bei ein und derselben Vertriebsstelle erworben werden;</w:t>
      </w:r>
    </w:p>
    <w:p w:rsidRPr="005E3A6F"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 xml:space="preserve">ist der Ansicht, dass es der Kommission mit </w:t>
      </w:r>
      <w:r>
        <w:rPr>
          <w:b/>
        </w:rPr>
        <w:t>wesentlichen, zweckmäßigen Änderungen</w:t>
      </w:r>
      <w:r>
        <w:t xml:space="preserve"> im Rahmen ihres Vorschlags zur Pauschalreiserichtlinie gelungen ist, ein </w:t>
      </w:r>
      <w:r>
        <w:rPr>
          <w:b/>
        </w:rPr>
        <w:t>ausgewogenes Verhältnis zwischen dem Schutz der Reisenden</w:t>
      </w:r>
      <w:r>
        <w:t xml:space="preserve"> einerseits </w:t>
      </w:r>
      <w:r>
        <w:rPr>
          <w:b/>
        </w:rPr>
        <w:t>und den Interessen der Pauschalreiseunternehmen</w:t>
      </w:r>
      <w:r>
        <w:t xml:space="preserve"> andererseits herzustellen;</w:t>
      </w:r>
    </w:p>
    <w:p w:rsidRPr="005E3A6F"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vertritt jedoch die Auffassung, dass bei den </w:t>
      </w:r>
      <w:r>
        <w:rPr>
          <w:b/>
        </w:rPr>
        <w:t>vorgeschlagenen Fristen</w:t>
      </w:r>
      <w:r>
        <w:t xml:space="preserve"> für Erstattungen </w:t>
      </w:r>
      <w:r>
        <w:rPr>
          <w:b/>
        </w:rPr>
        <w:t>nicht ausreichend berücksichtigt wird, dass</w:t>
      </w:r>
      <w:r>
        <w:t xml:space="preserve"> den Leistungserbringern </w:t>
      </w:r>
      <w:r>
        <w:rPr>
          <w:b/>
        </w:rPr>
        <w:t>in Ausnahmesituationen</w:t>
      </w:r>
      <w:r>
        <w:t xml:space="preserve">, wie zuletzt während der COVID-19-Pandemie, </w:t>
      </w:r>
      <w:r>
        <w:rPr>
          <w:b/>
        </w:rPr>
        <w:t>Liquiditätsgrenzen gesetzt sind</w:t>
      </w:r>
      <w:r>
        <w:t>;</w:t>
      </w:r>
    </w:p>
    <w:p w:rsidRPr="005E3A6F"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spricht sich dafür aus, dass das Ergebnis des Kommissionsvorschlags </w:t>
      </w:r>
      <w:r>
        <w:rPr>
          <w:b/>
        </w:rPr>
        <w:t>möglichst ausgewogen</w:t>
      </w:r>
      <w:r>
        <w:t xml:space="preserve"> sein sollte, damit sichergestellt ist, dass EU-Pauschalreisen so wettbewerbsfähig wie möglich bleiben und gleichzeitig, bei minimalen preislichen Auswirkungen und Belastungen für Unternehmen, für den Schutz der Verbraucher gesorgt ist.</w:t>
      </w: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E3A6F" w:rsidR="005E3A6F" w:rsidTr="009839A2" w14:paraId="1365C092" w14:textId="77777777">
        <w:tc>
          <w:tcPr>
            <w:tcW w:w="1418"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Kontakt</w:t>
            </w:r>
          </w:p>
        </w:tc>
        <w:tc>
          <w:tcPr>
            <w:tcW w:w="5670"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5E3A6F" w:rsidR="005E3A6F" w:rsidTr="009839A2" w14:paraId="59EFDFF2" w14:textId="77777777">
        <w:tc>
          <w:tcPr>
            <w:tcW w:w="1418"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Tel.</w:t>
            </w:r>
          </w:p>
        </w:tc>
        <w:tc>
          <w:tcPr>
            <w:tcW w:w="5670"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+ 32 25468188</w:t>
            </w:r>
          </w:p>
        </w:tc>
      </w:tr>
      <w:tr w:rsidRPr="005E3A6F" w:rsidR="005E3A6F" w:rsidTr="009839A2" w14:paraId="15BDEEAC" w14:textId="77777777">
        <w:tc>
          <w:tcPr>
            <w:tcW w:w="1418"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E-Mail</w:t>
            </w:r>
          </w:p>
        </w:tc>
        <w:tc>
          <w:tcPr>
            <w:tcW w:w="5670" w:type="dxa"/>
          </w:tcPr>
          <w:p w:rsidRPr="005E3A6F" w:rsidR="005E3A6F" w:rsidP="004838F1" w:rsidRDefault="006C4E9A" w14:paraId="6129A579" w14:textId="0BBE4983">
            <w:pPr>
              <w:overflowPunct w:val="0"/>
              <w:autoSpaceDE w:val="0"/>
              <w:autoSpaceDN w:val="0"/>
              <w:adjustRightInd w:val="0"/>
              <w:spacing w:line="240" w:lineRule="auto"/>
              <w:textAlignment w:val="baseline"/>
            </w:pPr>
            <w:hyperlink w:history="1" r:id="rId39">
              <w:r w:rsidR="00C37C45">
                <w:rPr>
                  <w:i/>
                  <w:color w:val="0000FF"/>
                  <w:u w:val="single"/>
                </w:rPr>
                <w:t>Radoslava.Stefankova@eesc.europa.eu</w:t>
              </w:r>
            </w:hyperlink>
          </w:p>
        </w:tc>
      </w:tr>
    </w:tbl>
    <w:p w:rsidR="0054035C" w:rsidRDefault="0054035C" w14:paraId="1C17048C" w14:textId="77777777">
      <w:pPr>
        <w:spacing w:after="160" w:line="259" w:lineRule="auto"/>
        <w:jc w:val="left"/>
        <w:rPr>
          <w:b/>
          <w:iCs/>
          <w:highlight w:val="yellow"/>
        </w:rPr>
      </w:pPr>
      <w:r>
        <w:br w:type="page"/>
      </w:r>
    </w:p>
    <w:p w:rsidRPr="00EE2FBD" w:rsidR="004C3902" w:rsidP="00401E8F" w:rsidRDefault="008E2A59" w14:paraId="7AD922B6" w14:textId="2BABB602">
      <w:pPr>
        <w:pStyle w:val="Heading1"/>
        <w:tabs>
          <w:tab w:val="clear" w:pos="440"/>
          <w:tab w:val="left" w:pos="567"/>
        </w:tabs>
        <w:ind w:left="567" w:hanging="567"/>
        <w:rPr>
          <w:b/>
          <w:bCs/>
        </w:rPr>
      </w:pPr>
      <w:bookmarkStart w:name="_Toc166848520" w:id="4"/>
      <w:r>
        <w:rPr>
          <w:b/>
        </w:rPr>
        <w:lastRenderedPageBreak/>
        <w:t>LANDWIRTSCHAFT, LÄNDLICHE ENTWICKLUNG, UMWELT</w:t>
      </w:r>
      <w:bookmarkEnd w:id="4"/>
    </w:p>
    <w:p w:rsidR="002D10D5" w:rsidP="00996E9C" w:rsidRDefault="002D10D5" w14:paraId="63FA541F" w14:textId="77777777">
      <w:pPr>
        <w:pStyle w:val="Heading1"/>
        <w:keepNext/>
        <w:keepLines/>
        <w:numPr>
          <w:ilvl w:val="0"/>
          <w:numId w:val="0"/>
        </w:numPr>
        <w:spacing w:before="0"/>
        <w:ind w:left="568"/>
        <w:rPr>
          <w:b/>
          <w:bCs/>
        </w:rPr>
      </w:pPr>
    </w:p>
    <w:p w:rsidRPr="001801FC" w:rsidR="001801FC" w:rsidP="00401E8F" w:rsidRDefault="006C4E9A"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0">
        <w:r w:rsidR="008772F9">
          <w:rPr>
            <w:b/>
            <w:i/>
            <w:color w:val="0000FF"/>
            <w:sz w:val="28"/>
            <w:u w:val="single"/>
          </w:rPr>
          <w:t>Änderung der GAP-Basisrechtsakte – Vereinfachung</w:t>
        </w:r>
      </w:hyperlink>
    </w:p>
    <w:p w:rsidRPr="001801FC"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609"/>
      </w:tblGrid>
      <w:tr w:rsidRPr="004838F1" w:rsidR="001801FC" w:rsidTr="004838F1" w14:paraId="25A68DD2" w14:textId="77777777">
        <w:tc>
          <w:tcPr>
            <w:tcW w:w="1344" w:type="pct"/>
          </w:tcPr>
          <w:p w:rsidRPr="004838F1" w:rsidR="001801FC" w:rsidP="001801FC" w:rsidRDefault="001801FC" w14:paraId="579999DD"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Hauptberichterstatter</w:t>
            </w:r>
          </w:p>
        </w:tc>
        <w:tc>
          <w:tcPr>
            <w:tcW w:w="3656" w:type="pct"/>
          </w:tcPr>
          <w:p w:rsidR="004838F1" w:rsidP="004838F1" w:rsidRDefault="001801FC" w14:paraId="7188360B" w14:textId="77777777">
            <w:pPr>
              <w:overflowPunct w:val="0"/>
              <w:autoSpaceDE w:val="0"/>
              <w:autoSpaceDN w:val="0"/>
              <w:adjustRightInd w:val="0"/>
              <w:textAlignment w:val="baseline"/>
              <w:rPr>
                <w:sz w:val="22"/>
                <w:szCs w:val="22"/>
              </w:rPr>
            </w:pPr>
            <w:r w:rsidRPr="004838F1">
              <w:rPr>
                <w:sz w:val="22"/>
                <w:szCs w:val="22"/>
              </w:rPr>
              <w:t xml:space="preserve">Stoyan TCHOUKANOV </w:t>
            </w:r>
          </w:p>
          <w:p w:rsidRPr="004838F1" w:rsidR="001801FC" w:rsidP="004838F1" w:rsidRDefault="001801FC" w14:paraId="3AB0A494" w14:textId="6A2A3D8D">
            <w:pPr>
              <w:overflowPunct w:val="0"/>
              <w:autoSpaceDE w:val="0"/>
              <w:autoSpaceDN w:val="0"/>
              <w:adjustRightInd w:val="0"/>
              <w:textAlignment w:val="baseline"/>
              <w:rPr>
                <w:sz w:val="22"/>
                <w:szCs w:val="22"/>
              </w:rPr>
            </w:pPr>
            <w:r w:rsidRPr="004838F1">
              <w:rPr>
                <w:sz w:val="22"/>
                <w:szCs w:val="22"/>
              </w:rPr>
              <w:t>(Gruppe Organisationen der Zivilgesellschaft – BG)</w:t>
            </w:r>
          </w:p>
        </w:tc>
      </w:tr>
      <w:tr w:rsidRPr="004838F1" w:rsidR="001801FC" w:rsidTr="004838F1" w14:paraId="438F0CB1" w14:textId="77777777">
        <w:tc>
          <w:tcPr>
            <w:tcW w:w="5000" w:type="pct"/>
            <w:gridSpan w:val="2"/>
          </w:tcPr>
          <w:p w:rsidRPr="004838F1"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838F1" w:rsidR="001801FC" w:rsidTr="004838F1" w14:paraId="29718CEE" w14:textId="77777777">
        <w:tc>
          <w:tcPr>
            <w:tcW w:w="1344" w:type="pct"/>
          </w:tcPr>
          <w:p w:rsidRPr="004838F1" w:rsidR="001801FC" w:rsidP="001801FC" w:rsidRDefault="001801FC" w14:paraId="61E6B851"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Referenzdokument</w:t>
            </w:r>
          </w:p>
        </w:tc>
        <w:tc>
          <w:tcPr>
            <w:tcW w:w="3656" w:type="pct"/>
          </w:tcPr>
          <w:p w:rsidRPr="004838F1" w:rsidR="000077FC" w:rsidP="001801FC" w:rsidRDefault="000077FC" w14:paraId="689957BC" w14:textId="209C8108">
            <w:pPr>
              <w:tabs>
                <w:tab w:val="center" w:pos="284"/>
              </w:tabs>
              <w:overflowPunct w:val="0"/>
              <w:autoSpaceDE w:val="0"/>
              <w:autoSpaceDN w:val="0"/>
              <w:adjustRightInd w:val="0"/>
              <w:ind w:left="266" w:hanging="266"/>
              <w:textAlignment w:val="baseline"/>
              <w:rPr>
                <w:sz w:val="22"/>
                <w:szCs w:val="22"/>
              </w:rPr>
            </w:pPr>
            <w:r w:rsidRPr="004838F1">
              <w:rPr>
                <w:sz w:val="22"/>
                <w:szCs w:val="22"/>
              </w:rPr>
              <w:t>COM(2024) 139 final</w:t>
            </w:r>
          </w:p>
          <w:p w:rsidRPr="004838F1" w:rsidR="001801FC" w:rsidP="001801FC" w:rsidRDefault="001801FC" w14:paraId="6B39F4CF" w14:textId="4A7794EE">
            <w:pPr>
              <w:tabs>
                <w:tab w:val="center" w:pos="284"/>
              </w:tabs>
              <w:overflowPunct w:val="0"/>
              <w:autoSpaceDE w:val="0"/>
              <w:autoSpaceDN w:val="0"/>
              <w:adjustRightInd w:val="0"/>
              <w:ind w:left="266" w:hanging="266"/>
              <w:textAlignment w:val="baseline"/>
              <w:rPr>
                <w:sz w:val="22"/>
                <w:szCs w:val="22"/>
              </w:rPr>
            </w:pPr>
            <w:r w:rsidRPr="004838F1">
              <w:rPr>
                <w:sz w:val="22"/>
                <w:szCs w:val="22"/>
              </w:rPr>
              <w:t>EESC-2024-01216-00-00-AC</w:t>
            </w:r>
          </w:p>
        </w:tc>
      </w:tr>
    </w:tbl>
    <w:p w:rsidRPr="001801FC" w:rsidR="001801FC" w:rsidP="004838F1" w:rsidRDefault="001801FC" w14:paraId="04385750" w14:textId="77777777">
      <w:pPr>
        <w:keepNext/>
        <w:keepLines/>
        <w:tabs>
          <w:tab w:val="center" w:pos="284"/>
        </w:tabs>
        <w:overflowPunct w:val="0"/>
        <w:autoSpaceDE w:val="0"/>
        <w:autoSpaceDN w:val="0"/>
        <w:adjustRightInd w:val="0"/>
        <w:ind w:left="125" w:hanging="125"/>
        <w:textAlignment w:val="baseline"/>
        <w:rPr>
          <w:b/>
        </w:rPr>
      </w:pPr>
      <w:r>
        <w:rPr>
          <w:b/>
        </w:rPr>
        <w:t>Kernaussagen</w:t>
      </w:r>
    </w:p>
    <w:p w:rsidR="00414E65" w:rsidP="001801FC" w:rsidRDefault="00414E65" w14:paraId="01FC36EC" w14:textId="77777777">
      <w:pPr>
        <w:overflowPunct w:val="0"/>
        <w:autoSpaceDE w:val="0"/>
        <w:autoSpaceDN w:val="0"/>
        <w:adjustRightInd w:val="0"/>
        <w:textAlignment w:val="baseline"/>
        <w:rPr>
          <w:bCs/>
          <w:iCs/>
        </w:rPr>
      </w:pPr>
    </w:p>
    <w:p w:rsidR="001801FC" w:rsidP="004838F1" w:rsidRDefault="001801FC" w14:paraId="6EA25F73" w14:textId="25BE6E4D">
      <w:pPr>
        <w:keepNext/>
        <w:keepLines/>
        <w:overflowPunct w:val="0"/>
        <w:autoSpaceDE w:val="0"/>
        <w:autoSpaceDN w:val="0"/>
        <w:adjustRightInd w:val="0"/>
        <w:ind w:left="125" w:hanging="125"/>
        <w:textAlignment w:val="baseline"/>
        <w:rPr>
          <w:bCs/>
          <w:iCs/>
        </w:rPr>
      </w:pPr>
      <w:r>
        <w:t>Der EWSA</w:t>
      </w:r>
    </w:p>
    <w:p w:rsidRPr="001801FC" w:rsidR="000077FC" w:rsidP="00AA5F9C" w:rsidRDefault="000077FC" w14:paraId="159A4FA0" w14:textId="77777777">
      <w:pPr>
        <w:overflowPunct w:val="0"/>
        <w:autoSpaceDE w:val="0"/>
        <w:autoSpaceDN w:val="0"/>
        <w:adjustRightInd w:val="0"/>
        <w:ind w:firstLine="142"/>
        <w:textAlignment w:val="baseline"/>
        <w:rPr>
          <w:bCs/>
          <w:iCs/>
        </w:rPr>
      </w:pPr>
    </w:p>
    <w:p w:rsidRPr="001801FC" w:rsidR="001801FC" w:rsidP="004838F1" w:rsidRDefault="001801FC" w14:paraId="6634ACC5" w14:textId="77777777">
      <w:pPr>
        <w:widowControl w:val="0"/>
        <w:numPr>
          <w:ilvl w:val="0"/>
          <w:numId w:val="56"/>
        </w:numPr>
        <w:overflowPunct w:val="0"/>
        <w:autoSpaceDE w:val="0"/>
        <w:autoSpaceDN w:val="0"/>
        <w:adjustRightInd w:val="0"/>
        <w:ind w:left="284" w:hanging="284"/>
        <w:textAlignment w:val="baseline"/>
        <w:rPr>
          <w:bCs/>
          <w:iCs/>
        </w:rPr>
      </w:pPr>
      <w:r>
        <w:t>begrüßt, dass die Europäische Kommission im Einklang mit seinen früheren Stellungnahmen mehrere Maßnahmen vorgeschlagen hat, um im Interesse der Landwirte in der EU für mehr Flexibilität zu sorgen und den Verwaltungsaufwand zu verringern, um Nahrungsmittelsouveränität zu garantieren und höhere landwirtschaftliche Einkommen zu ermöglichen;</w:t>
      </w:r>
    </w:p>
    <w:p w:rsidRPr="001801FC" w:rsidR="001801FC" w:rsidP="004838F1" w:rsidRDefault="001801FC" w14:paraId="0DD4FFD3" w14:textId="77777777">
      <w:pPr>
        <w:widowControl w:val="0"/>
        <w:numPr>
          <w:ilvl w:val="0"/>
          <w:numId w:val="56"/>
        </w:numPr>
        <w:overflowPunct w:val="0"/>
        <w:autoSpaceDE w:val="0"/>
        <w:autoSpaceDN w:val="0"/>
        <w:adjustRightInd w:val="0"/>
        <w:ind w:left="284" w:hanging="284"/>
        <w:textAlignment w:val="baseline"/>
        <w:rPr>
          <w:bCs/>
          <w:iCs/>
        </w:rPr>
      </w:pPr>
      <w:r>
        <w:t>weist auf einige mit dem vorliegenden Vorschlag verbundene Grenzen und Unsicherheiten hin;</w:t>
      </w:r>
    </w:p>
    <w:p w:rsidRPr="00AA5F9C" w:rsidR="001801FC" w:rsidP="004838F1" w:rsidRDefault="001801FC" w14:paraId="3F66F79A" w14:textId="3B7D7A64">
      <w:pPr>
        <w:pStyle w:val="ListParagraph"/>
        <w:widowControl w:val="0"/>
        <w:numPr>
          <w:ilvl w:val="0"/>
          <w:numId w:val="57"/>
        </w:numPr>
        <w:overflowPunct w:val="0"/>
        <w:autoSpaceDE w:val="0"/>
        <w:autoSpaceDN w:val="0"/>
        <w:adjustRightInd w:val="0"/>
        <w:spacing w:line="276" w:lineRule="auto"/>
        <w:ind w:left="568" w:hanging="284"/>
        <w:textAlignment w:val="baseline"/>
        <w:rPr>
          <w:bCs/>
          <w:iCs/>
        </w:rPr>
      </w:pPr>
      <w:r>
        <w:t>hebt hervor, dass das Hauptproblem der Landwirte, das durch den Vorschlag nicht gelöst wird, in der unfairen Verteilung der Wertschöpfung in der Lebensmittelversorgungskette besteht, sodass die Landwirte für die Nahrungsmittelerzeugung nicht fair entlohnt werden, und dringt darauf, die anderen von der Europäischen Kommission in dem Paket vorgeschlagenen Maßnahmen zügig zu erörtern und anzunehmen;</w:t>
      </w:r>
    </w:p>
    <w:p w:rsidRPr="001801FC" w:rsidR="001801FC" w:rsidP="004838F1" w:rsidRDefault="001801FC" w14:paraId="6C35A064" w14:textId="77777777">
      <w:pPr>
        <w:widowControl w:val="0"/>
        <w:numPr>
          <w:ilvl w:val="0"/>
          <w:numId w:val="58"/>
        </w:numPr>
        <w:overflowPunct w:val="0"/>
        <w:autoSpaceDE w:val="0"/>
        <w:autoSpaceDN w:val="0"/>
        <w:adjustRightInd w:val="0"/>
        <w:ind w:left="284" w:hanging="284"/>
        <w:textAlignment w:val="baseline"/>
        <w:rPr>
          <w:bCs/>
          <w:iCs/>
          <w:szCs w:val="20"/>
        </w:rPr>
      </w:pPr>
      <w:r>
        <w:t xml:space="preserve">weist darauf hin, dass Flexibilität nicht bedeuten sollte, dass die Ansprüche zurückgefahren werden und die </w:t>
      </w:r>
      <w:proofErr w:type="spellStart"/>
      <w:r>
        <w:t>Ökologisierungskomponente</w:t>
      </w:r>
      <w:proofErr w:type="spellEnd"/>
      <w:r>
        <w:t xml:space="preserve"> der reformierten GAP verwässert wird, denn mehr Ambition im Umweltschutz können Landwirte auch im Rahmen der Konditionalität nur zeigen, wenn sich die Landwirtschaft für sie rentiert;</w:t>
      </w:r>
    </w:p>
    <w:p w:rsidRPr="00AA5F9C" w:rsidR="001801FC" w:rsidP="004838F1" w:rsidRDefault="001801FC" w14:paraId="6057072D" w14:textId="77777777">
      <w:pPr>
        <w:pStyle w:val="ListParagraph"/>
        <w:widowControl w:val="0"/>
        <w:numPr>
          <w:ilvl w:val="0"/>
          <w:numId w:val="59"/>
        </w:numPr>
        <w:overflowPunct w:val="0"/>
        <w:autoSpaceDE w:val="0"/>
        <w:autoSpaceDN w:val="0"/>
        <w:adjustRightInd w:val="0"/>
        <w:spacing w:line="276" w:lineRule="auto"/>
        <w:ind w:left="568" w:hanging="284"/>
        <w:textAlignment w:val="baseline"/>
        <w:rPr>
          <w:bCs/>
          <w:iCs/>
        </w:rPr>
      </w:pPr>
      <w:r>
        <w:t>ist der Auffassung, dass die Landwirte im Übergang angemessen unterstützt werden sollten und dass die vorgeschlagenen Maßnahmen für „nichtproduktive Landschaftselemente“ bei Weitem mehr als im Rahmen der GAP ursprünglich vorgesehen bewirken könnten, wenn dafür ausreichende und angemessene zusätzliche Finanzmittel bereitgestellt würden;</w:t>
      </w:r>
    </w:p>
    <w:p w:rsidRPr="00AA5F9C" w:rsidR="001801FC" w:rsidP="004838F1" w:rsidRDefault="001801FC" w14:paraId="05BB2417" w14:textId="77777777">
      <w:pPr>
        <w:pStyle w:val="ListParagraph"/>
        <w:widowControl w:val="0"/>
        <w:numPr>
          <w:ilvl w:val="0"/>
          <w:numId w:val="59"/>
        </w:numPr>
        <w:overflowPunct w:val="0"/>
        <w:autoSpaceDE w:val="0"/>
        <w:autoSpaceDN w:val="0"/>
        <w:adjustRightInd w:val="0"/>
        <w:spacing w:line="276" w:lineRule="auto"/>
        <w:ind w:left="568" w:hanging="284"/>
        <w:textAlignment w:val="baseline"/>
        <w:rPr>
          <w:bCs/>
          <w:iCs/>
        </w:rPr>
      </w:pPr>
      <w:r>
        <w:t>empfiehlt, möglichst früh im Jahr 2025 zu überprüfen, was diese Vereinfachungen auf der Ebene der Mitgliedstaaten bewirken, und dabei vor allem zu prüfen, ob sie sich auf die Einkommen der Landwirte und den Gesamtumfang der für Zwecke der biologischen Vielfalt vorgesehenen Flächen oder Landschaftselemente auswirken;</w:t>
      </w:r>
    </w:p>
    <w:p w:rsidRPr="00AA5F9C" w:rsidR="001801FC" w:rsidP="004838F1" w:rsidRDefault="001801FC" w14:paraId="7764388E" w14:textId="77777777">
      <w:pPr>
        <w:pStyle w:val="ListParagraph"/>
        <w:widowControl w:val="0"/>
        <w:numPr>
          <w:ilvl w:val="0"/>
          <w:numId w:val="59"/>
        </w:numPr>
        <w:overflowPunct w:val="0"/>
        <w:autoSpaceDE w:val="0"/>
        <w:autoSpaceDN w:val="0"/>
        <w:adjustRightInd w:val="0"/>
        <w:spacing w:line="276" w:lineRule="auto"/>
        <w:ind w:left="568" w:hanging="284"/>
        <w:textAlignment w:val="baseline"/>
        <w:rPr>
          <w:bCs/>
          <w:iCs/>
        </w:rPr>
      </w:pPr>
      <w:r>
        <w:t>hebt hervor, dass für Landwirte und deren Betriebsberater entsprechende Schulungsprogramme vorgesehen werden müssen, um den Wissensstand zur umweltfreundlicheren Gestaltung der Landwirtschaft zu verbessern;</w:t>
      </w:r>
    </w:p>
    <w:p w:rsidRPr="00AA5F9C" w:rsidR="001801FC" w:rsidP="004838F1" w:rsidRDefault="001801FC" w14:paraId="5ADA943F" w14:textId="77777777">
      <w:pPr>
        <w:pStyle w:val="ListParagraph"/>
        <w:widowControl w:val="0"/>
        <w:numPr>
          <w:ilvl w:val="0"/>
          <w:numId w:val="59"/>
        </w:numPr>
        <w:overflowPunct w:val="0"/>
        <w:autoSpaceDE w:val="0"/>
        <w:autoSpaceDN w:val="0"/>
        <w:adjustRightInd w:val="0"/>
        <w:spacing w:line="276" w:lineRule="auto"/>
        <w:ind w:left="568" w:hanging="284"/>
        <w:textAlignment w:val="baseline"/>
        <w:rPr>
          <w:bCs/>
          <w:iCs/>
        </w:rPr>
      </w:pPr>
      <w:r>
        <w:t xml:space="preserve">verweist erneut auf seine Empfehlung, den Landwirten im Zusammenhang mit den unumgänglichen Kontrollen mehr Hilfestellung zu leisten, ist jedoch von dem Vorschlag, Betriebe mit höchstens 10 Hektar landwirtschaftlicher Fläche von </w:t>
      </w:r>
      <w:proofErr w:type="spellStart"/>
      <w:r>
        <w:t>Konditionalitätskontrollen</w:t>
      </w:r>
      <w:proofErr w:type="spellEnd"/>
      <w:r>
        <w:t xml:space="preserve"> und Sanktionen auszunehmen, nicht überzeugt; weist darauf hin, dass Kontrollen und Sanktionen nach wie vor für alle Arten von landwirtschaftlichen Betrieben ein Problem sind und das vorgeschlagene Vorgehen eine Spaltung bewirken und einen Teil der europäischen Landwirte in einer Weise benachteiligen würde, die rechtlich nicht zu rechtfertigen ist; vertritt jedoch die Auffassung, dass die Befreiung von Kontrollen oder eine Absenkung der </w:t>
      </w:r>
      <w:r>
        <w:lastRenderedPageBreak/>
        <w:t>Kontrollhäufigkeit in einigen Fällen, vor allem bei Kleinerzeugern, angemessen sein könnte;</w:t>
      </w:r>
    </w:p>
    <w:p w:rsidR="001801FC" w:rsidP="004838F1" w:rsidRDefault="001801FC" w14:paraId="0E762E0D" w14:textId="76EE0022">
      <w:pPr>
        <w:pStyle w:val="ListParagraph"/>
        <w:widowControl w:val="0"/>
        <w:numPr>
          <w:ilvl w:val="0"/>
          <w:numId w:val="59"/>
        </w:numPr>
        <w:overflowPunct w:val="0"/>
        <w:autoSpaceDE w:val="0"/>
        <w:autoSpaceDN w:val="0"/>
        <w:adjustRightInd w:val="0"/>
        <w:spacing w:line="276" w:lineRule="auto"/>
        <w:ind w:left="568" w:hanging="284"/>
        <w:textAlignment w:val="baseline"/>
        <w:rPr>
          <w:bCs/>
          <w:iCs/>
        </w:rPr>
      </w:pPr>
      <w:r>
        <w:t>teilt die Auffassung, dass diese Vorschläge keinen Aufschub dulden; weist jedoch darauf hin, dass die Zivilgesellschaft zu diesen Vorschlägen auf andere Weise hätte konsultiert werden müssen, und fordert die Europäische Kommission nachdrücklich auf, dafür zu sorgen, dass alle Beteiligten zur Umsetzung dieser Maßnahmen sowie zu den anderen in dem Paket vorgeschlagenen Maßnahmen ordnungsgemäß konsultiert werden.</w:t>
      </w:r>
    </w:p>
    <w:p w:rsidRPr="00AA5F9C"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t>Kontakt</w:t>
            </w:r>
          </w:p>
        </w:tc>
        <w:tc>
          <w:tcPr>
            <w:tcW w:w="3444" w:type="pct"/>
          </w:tcPr>
          <w:p w:rsidRPr="001801FC" w:rsidR="001801FC" w:rsidP="001801FC" w:rsidRDefault="001801FC" w14:paraId="07245537"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Tel.</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+32 25469802</w:t>
            </w:r>
          </w:p>
        </w:tc>
      </w:tr>
      <w:tr w:rsidRPr="001801FC" w:rsidR="001801FC" w:rsidTr="009839A2" w14:paraId="7AE3D437" w14:textId="77777777">
        <w:tc>
          <w:tcPr>
            <w:tcW w:w="1556" w:type="pct"/>
          </w:tcPr>
          <w:p w:rsidRPr="001801FC" w:rsidR="001801FC" w:rsidP="001801FC" w:rsidRDefault="00AB425F" w14:paraId="2EC32286" w14:textId="3CA9D1E5">
            <w:pPr>
              <w:overflowPunct w:val="0"/>
              <w:autoSpaceDE w:val="0"/>
              <w:autoSpaceDN w:val="0"/>
              <w:adjustRightInd w:val="0"/>
              <w:spacing w:line="240" w:lineRule="auto"/>
              <w:textAlignment w:val="baseline"/>
              <w:rPr>
                <w:i/>
              </w:rPr>
            </w:pPr>
            <w:r>
              <w:rPr>
                <w:i/>
              </w:rPr>
              <w:t>E-Mail</w:t>
            </w:r>
          </w:p>
        </w:tc>
        <w:tc>
          <w:tcPr>
            <w:tcW w:w="3444" w:type="pct"/>
          </w:tcPr>
          <w:p w:rsidRPr="001801FC" w:rsidR="001801FC" w:rsidP="001801FC" w:rsidRDefault="006C4E9A" w14:paraId="0F102EE6" w14:textId="77777777">
            <w:pPr>
              <w:tabs>
                <w:tab w:val="right" w:pos="4178"/>
              </w:tabs>
              <w:overflowPunct w:val="0"/>
              <w:autoSpaceDE w:val="0"/>
              <w:autoSpaceDN w:val="0"/>
              <w:adjustRightInd w:val="0"/>
              <w:spacing w:line="240" w:lineRule="auto"/>
              <w:textAlignment w:val="baseline"/>
              <w:rPr>
                <w:i/>
              </w:rPr>
            </w:pPr>
            <w:hyperlink w:history="1" r:id="rId41">
              <w:r w:rsidR="00C37C45">
                <w:rPr>
                  <w:i/>
                  <w:color w:val="0000FF"/>
                  <w:u w:val="single"/>
                </w:rPr>
                <w:t>Martine.Delanoy@eesc.europa.eu</w:t>
              </w:r>
            </w:hyperlink>
          </w:p>
        </w:tc>
      </w:tr>
    </w:tbl>
    <w:p w:rsidR="00386C01" w:rsidRDefault="00386C01" w14:paraId="783F6CD8" w14:textId="77777777">
      <w:pPr>
        <w:spacing w:after="160" w:line="259" w:lineRule="auto"/>
        <w:jc w:val="left"/>
        <w:rPr>
          <w:b/>
          <w:bCs/>
        </w:rPr>
      </w:pPr>
      <w:r>
        <w:br w:type="page"/>
      </w:r>
    </w:p>
    <w:p w:rsidRPr="009A61EE" w:rsidR="009A61EE" w:rsidP="00401E8F" w:rsidRDefault="006C4E9A"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2">
        <w:r w:rsidR="008772F9">
          <w:rPr>
            <w:b/>
            <w:i/>
            <w:color w:val="0000FF"/>
            <w:sz w:val="28"/>
            <w:u w:val="single"/>
          </w:rPr>
          <w:t>NAT/914 – Stärkere Einbeziehung der Mitgliedstaaten, der Regionen und der Zivilgesellschaft in die Umsetzung der langfristigen Vision für die ländlichen Gebiete der EU</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4838F1" w:rsidR="009A61EE" w:rsidTr="009839A2" w14:paraId="770398B5" w14:textId="77777777">
        <w:tc>
          <w:tcPr>
            <w:tcW w:w="2127" w:type="dxa"/>
          </w:tcPr>
          <w:p w:rsidRPr="004838F1" w:rsidR="009A61EE" w:rsidP="00AA5F9C" w:rsidRDefault="009A61EE" w14:paraId="167E0E42" w14:textId="77777777">
            <w:pPr>
              <w:tabs>
                <w:tab w:val="center" w:pos="284"/>
              </w:tabs>
              <w:overflowPunct w:val="0"/>
              <w:autoSpaceDE w:val="0"/>
              <w:autoSpaceDN w:val="0"/>
              <w:adjustRightInd w:val="0"/>
              <w:ind w:left="266" w:hanging="376"/>
              <w:textAlignment w:val="baseline"/>
              <w:rPr>
                <w:b/>
                <w:sz w:val="22"/>
                <w:szCs w:val="22"/>
              </w:rPr>
            </w:pPr>
            <w:r w:rsidRPr="004838F1">
              <w:rPr>
                <w:b/>
                <w:sz w:val="22"/>
                <w:szCs w:val="22"/>
              </w:rPr>
              <w:t xml:space="preserve">Berichterstatter </w:t>
            </w:r>
          </w:p>
        </w:tc>
        <w:tc>
          <w:tcPr>
            <w:tcW w:w="6804" w:type="dxa"/>
          </w:tcPr>
          <w:p w:rsidRPr="004838F1" w:rsidR="009A61EE" w:rsidP="00AA5F9C" w:rsidRDefault="009A61EE" w14:paraId="7CF5A68E" w14:textId="033CC3ED">
            <w:pPr>
              <w:tabs>
                <w:tab w:val="center" w:pos="284"/>
              </w:tabs>
              <w:overflowPunct w:val="0"/>
              <w:autoSpaceDE w:val="0"/>
              <w:autoSpaceDN w:val="0"/>
              <w:adjustRightInd w:val="0"/>
              <w:ind w:left="266" w:hanging="376"/>
              <w:textAlignment w:val="baseline"/>
              <w:rPr>
                <w:sz w:val="22"/>
                <w:szCs w:val="22"/>
              </w:rPr>
            </w:pPr>
            <w:r w:rsidRPr="004838F1">
              <w:rPr>
                <w:sz w:val="22"/>
                <w:szCs w:val="22"/>
              </w:rPr>
              <w:t>Marc DECOSTER (Gruppe Organisationen der Zivilgesellschaft – BE)</w:t>
            </w:r>
          </w:p>
        </w:tc>
      </w:tr>
      <w:tr w:rsidRPr="004838F1" w:rsidR="009A61EE" w:rsidTr="009839A2" w14:paraId="6DB12C06" w14:textId="77777777">
        <w:tc>
          <w:tcPr>
            <w:tcW w:w="8931" w:type="dxa"/>
            <w:gridSpan w:val="2"/>
          </w:tcPr>
          <w:p w:rsidRPr="004838F1"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rPr>
                <w:sz w:val="22"/>
                <w:szCs w:val="22"/>
                <w:lang w:val="en-US"/>
              </w:rPr>
            </w:pPr>
          </w:p>
        </w:tc>
      </w:tr>
      <w:tr w:rsidRPr="004838F1" w:rsidR="009A61EE" w:rsidTr="009839A2" w14:paraId="5F21E90B" w14:textId="77777777">
        <w:tc>
          <w:tcPr>
            <w:tcW w:w="2127" w:type="dxa"/>
          </w:tcPr>
          <w:p w:rsidRPr="004838F1" w:rsidR="009A61EE" w:rsidP="00AA5F9C" w:rsidRDefault="009A61EE" w14:paraId="40F2E41B" w14:textId="77777777">
            <w:pPr>
              <w:tabs>
                <w:tab w:val="center" w:pos="284"/>
              </w:tabs>
              <w:overflowPunct w:val="0"/>
              <w:autoSpaceDE w:val="0"/>
              <w:autoSpaceDN w:val="0"/>
              <w:adjustRightInd w:val="0"/>
              <w:ind w:left="266" w:hanging="376"/>
              <w:textAlignment w:val="baseline"/>
              <w:rPr>
                <w:b/>
                <w:sz w:val="22"/>
                <w:szCs w:val="22"/>
              </w:rPr>
            </w:pPr>
            <w:r w:rsidRPr="004838F1">
              <w:rPr>
                <w:b/>
                <w:sz w:val="22"/>
                <w:szCs w:val="22"/>
              </w:rPr>
              <w:t>Referenzdokument</w:t>
            </w:r>
          </w:p>
        </w:tc>
        <w:tc>
          <w:tcPr>
            <w:tcW w:w="6804" w:type="dxa"/>
          </w:tcPr>
          <w:p w:rsidRPr="004838F1" w:rsidR="00484ECA" w:rsidP="00AA5F9C" w:rsidRDefault="00484ECA" w14:paraId="62C59549" w14:textId="56AC1223">
            <w:pPr>
              <w:tabs>
                <w:tab w:val="center" w:pos="284"/>
              </w:tabs>
              <w:overflowPunct w:val="0"/>
              <w:autoSpaceDE w:val="0"/>
              <w:autoSpaceDN w:val="0"/>
              <w:adjustRightInd w:val="0"/>
              <w:ind w:left="266" w:hanging="376"/>
              <w:textAlignment w:val="baseline"/>
              <w:rPr>
                <w:sz w:val="22"/>
                <w:szCs w:val="22"/>
              </w:rPr>
            </w:pPr>
            <w:r w:rsidRPr="004838F1">
              <w:rPr>
                <w:sz w:val="22"/>
                <w:szCs w:val="22"/>
              </w:rPr>
              <w:t>Initiativstellungnahme</w:t>
            </w:r>
          </w:p>
          <w:p w:rsidRPr="004838F1" w:rsidR="009A61EE" w:rsidP="00AA5F9C" w:rsidRDefault="009A61EE" w14:paraId="4125B873" w14:textId="0C0624FC">
            <w:pPr>
              <w:tabs>
                <w:tab w:val="center" w:pos="284"/>
              </w:tabs>
              <w:overflowPunct w:val="0"/>
              <w:autoSpaceDE w:val="0"/>
              <w:autoSpaceDN w:val="0"/>
              <w:adjustRightInd w:val="0"/>
              <w:ind w:left="266" w:hanging="376"/>
              <w:textAlignment w:val="baseline"/>
              <w:rPr>
                <w:sz w:val="22"/>
                <w:szCs w:val="22"/>
              </w:rPr>
            </w:pPr>
            <w:r w:rsidRPr="004838F1">
              <w:rPr>
                <w:sz w:val="22"/>
                <w:szCs w:val="22"/>
              </w:rPr>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4838F1" w:rsidRDefault="009A61EE" w14:paraId="2C008899" w14:textId="77777777">
      <w:pPr>
        <w:keepNext/>
        <w:keepLines/>
        <w:tabs>
          <w:tab w:val="center" w:pos="284"/>
        </w:tabs>
        <w:overflowPunct w:val="0"/>
        <w:autoSpaceDE w:val="0"/>
        <w:autoSpaceDN w:val="0"/>
        <w:adjustRightInd w:val="0"/>
        <w:ind w:left="284" w:hanging="284"/>
        <w:textAlignment w:val="baseline"/>
        <w:rPr>
          <w:b/>
        </w:rPr>
      </w:pPr>
      <w:r>
        <w:rPr>
          <w:b/>
        </w:rPr>
        <w:t>Kernaussagen</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4838F1" w:rsidRDefault="009A61EE" w14:paraId="300E8D2F" w14:textId="78C17552">
      <w:pPr>
        <w:keepNext/>
        <w:keepLines/>
        <w:tabs>
          <w:tab w:val="center" w:pos="284"/>
        </w:tabs>
        <w:overflowPunct w:val="0"/>
        <w:autoSpaceDE w:val="0"/>
        <w:autoSpaceDN w:val="0"/>
        <w:adjustRightInd w:val="0"/>
        <w:ind w:left="284" w:hanging="284"/>
        <w:textAlignment w:val="baseline"/>
        <w:rPr>
          <w:szCs w:val="20"/>
        </w:rPr>
      </w:pPr>
      <w:r>
        <w:t>Der EWSA</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t>bekräftigt seine Unterstützung der langfristigen Vision für die ländlichen Gebiete der EU und fordert, dass der Aktionsplan für den ländlichen Raum ergänzt und regelmäßig bewertet wird, um den Bedürfnissen auf dem Land besser gerecht zu werden;</w:t>
      </w:r>
    </w:p>
    <w:p w:rsidRPr="009A61EE"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t>betont, wie wichtig die Einbeziehung verschiedener Akteure auf allen Ebenen für den Erfolg der langfristigen Vision für die ländlichen Gebiete ist, und regt an, den Ansatz der Multi-Level- und Multi-Stakeholder-</w:t>
      </w:r>
      <w:proofErr w:type="spellStart"/>
      <w:r>
        <w:t>Governance</w:t>
      </w:r>
      <w:proofErr w:type="spellEnd"/>
      <w:r>
        <w:t xml:space="preserve"> auszubauen;</w:t>
      </w:r>
    </w:p>
    <w:p w:rsidRPr="009A61EE"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t>begrüßt die Einführung von Instrumenten zur Entwicklung des ländlichen Raums durch mehrere Mitgliedstaaten und schlägt die Annahme einer Europäischen Charta der Rechte und Pflichten des ländlichen und städtischen Raums vor;</w:t>
      </w:r>
    </w:p>
    <w:p w:rsidRPr="009A61EE"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t>fordert die Kommission auf, die Möglichkeit einer Politik zur Entwicklung des ländlichen Raums für die Zeit nach 2027 zu prüfen, die speziell auf die Umsetzung des einschlägigen Aktionsplans ausgerichtet und unter Nutzung aller verfügbaren Mittel angemessen ausgestattet ist, um eine kohärente Umsetzung der in der langfristigen Vision für die ländlichen Gebiete der EU vorgeschlagenen Bestimmungen zu gewährleisten;</w:t>
      </w:r>
    </w:p>
    <w:p w:rsidRPr="009A61EE"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t>unterstreicht, wie wichtig es ist, mit der künftigen Politik zur Entwicklung des ländlichen Raums Familienbetriebe, Unternehmen von überschaubarer Größe und örtliche Aktivitäten zu unterstützen;</w:t>
      </w:r>
    </w:p>
    <w:p w:rsidRPr="009A61EE"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t>hebt die entscheidende Rolle der EU-Beobachtungsstelle für die Entwicklung des ländlichen Raums hervor und schlägt Maßnahmen zur Stärkung der Finanzierung, zur Vereinfachung des Zugangs zu EU-Mitteln und zur Unterstützung von zwischengeschalteten Organisationen vor;</w:t>
      </w:r>
    </w:p>
    <w:p w:rsidRPr="009A61EE"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t>begrüßt die Annahme des „Instrumentariums für die Finanzierungsmöglichkeiten“ zugunsten des ländlichen Raums, fordert jedoch eine Aufstockung der EU-Mittel und Vereinfachungsmaßnahmen, um den Zugang zu diesen Mitteln zu erleichtern;</w:t>
      </w:r>
    </w:p>
    <w:p w:rsidRPr="009A61EE"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t>betont die grundlegende Rolle lokaler oder regionaler Vertretungsorganisationen der Akteure des ländlichen Raums bei deren Begleitung und fordert, dass kollektive Maßnahmen und der Zugang zu Beratung durch diese Organisationen verstärkt werden;</w:t>
      </w:r>
    </w:p>
    <w:p w:rsidRPr="009A61EE" w:rsidR="009A61EE" w:rsidP="00AA5F9C" w:rsidRDefault="009A61EE" w14:paraId="74D55673" w14:textId="77777777">
      <w:pPr>
        <w:numPr>
          <w:ilvl w:val="0"/>
          <w:numId w:val="60"/>
        </w:numPr>
        <w:overflowPunct w:val="0"/>
        <w:autoSpaceDE w:val="0"/>
        <w:autoSpaceDN w:val="0"/>
        <w:adjustRightInd w:val="0"/>
        <w:textAlignment w:val="baseline"/>
        <w:outlineLvl w:val="1"/>
      </w:pPr>
      <w:r>
        <w:t xml:space="preserve">fordert eine Stärkung der konzertierten Initiativen für die lokale Entwicklung und eine bessere Kommunikation, um die lokalen Akteure über die langfristige Vision zu informieren.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Kontakt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Pr>
                <w:i/>
              </w:rPr>
              <w:t>Nicolas Stenger</w:t>
            </w:r>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Tel.</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+32 25468152</w:t>
            </w:r>
          </w:p>
        </w:tc>
      </w:tr>
      <w:tr w:rsidRPr="009A61EE" w:rsidR="009A61EE" w:rsidTr="009839A2" w14:paraId="02C9C2E8" w14:textId="77777777">
        <w:tc>
          <w:tcPr>
            <w:tcW w:w="2127" w:type="dxa"/>
          </w:tcPr>
          <w:p w:rsidRPr="009A61EE" w:rsidR="009A61EE" w:rsidP="009A61EE" w:rsidRDefault="00C649E2" w14:paraId="53F92578" w14:textId="4D35104C">
            <w:pPr>
              <w:overflowPunct w:val="0"/>
              <w:autoSpaceDE w:val="0"/>
              <w:autoSpaceDN w:val="0"/>
              <w:adjustRightInd w:val="0"/>
              <w:spacing w:line="240" w:lineRule="auto"/>
              <w:textAlignment w:val="baseline"/>
              <w:rPr>
                <w:i/>
              </w:rPr>
            </w:pPr>
            <w:r>
              <w:rPr>
                <w:i/>
              </w:rPr>
              <w:t>E-Mail</w:t>
            </w:r>
          </w:p>
        </w:tc>
        <w:tc>
          <w:tcPr>
            <w:tcW w:w="4252" w:type="dxa"/>
          </w:tcPr>
          <w:p w:rsidRPr="009A61EE" w:rsidR="009A61EE" w:rsidP="009A61EE" w:rsidRDefault="006C4E9A" w14:paraId="181F45E9" w14:textId="77777777">
            <w:pPr>
              <w:overflowPunct w:val="0"/>
              <w:autoSpaceDE w:val="0"/>
              <w:autoSpaceDN w:val="0"/>
              <w:adjustRightInd w:val="0"/>
              <w:spacing w:line="240" w:lineRule="auto"/>
              <w:textAlignment w:val="baseline"/>
              <w:rPr>
                <w:i/>
                <w:iCs/>
              </w:rPr>
            </w:pPr>
            <w:hyperlink w:history="1" r:id="rId43">
              <w:r w:rsidR="00C37C45">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401E8F" w:rsidRDefault="003D2CA9" w14:paraId="359263D7" w14:textId="6BF10C82">
      <w:pPr>
        <w:pStyle w:val="Heading1"/>
        <w:tabs>
          <w:tab w:val="clear" w:pos="440"/>
          <w:tab w:val="left" w:pos="567"/>
        </w:tabs>
        <w:ind w:left="567" w:hanging="567"/>
        <w:rPr>
          <w:b/>
          <w:bCs/>
        </w:rPr>
      </w:pPr>
      <w:bookmarkStart w:name="_Toc166848521" w:id="5"/>
      <w:r>
        <w:rPr>
          <w:b/>
        </w:rPr>
        <w:lastRenderedPageBreak/>
        <w:t>AUẞENBEZIEHUNGEN</w:t>
      </w:r>
      <w:bookmarkEnd w:id="5"/>
    </w:p>
    <w:p w:rsidR="003D2CA9" w:rsidP="003D2CA9" w:rsidRDefault="003D2CA9" w14:paraId="1979CC7E" w14:textId="70A6BB96"/>
    <w:p w:rsidRPr="006F016B" w:rsidR="006F016B" w:rsidP="00401E8F" w:rsidRDefault="006C4E9A" w14:paraId="10C93267" w14:textId="07BF0C1B">
      <w:pPr>
        <w:widowControl w:val="0"/>
        <w:numPr>
          <w:ilvl w:val="0"/>
          <w:numId w:val="25"/>
        </w:numPr>
        <w:overflowPunct w:val="0"/>
        <w:autoSpaceDE w:val="0"/>
        <w:autoSpaceDN w:val="0"/>
        <w:adjustRightInd w:val="0"/>
        <w:ind w:left="567" w:hanging="567"/>
        <w:textAlignment w:val="baseline"/>
        <w:rPr>
          <w:sz w:val="20"/>
          <w:szCs w:val="20"/>
        </w:rPr>
      </w:pPr>
      <w:hyperlink w:history="1" r:id="rId44">
        <w:r w:rsidR="008772F9">
          <w:rPr>
            <w:b/>
            <w:i/>
            <w:color w:val="0000FF"/>
            <w:sz w:val="28"/>
            <w:u w:val="single"/>
          </w:rPr>
          <w:t>Engagement junger Menschen EU/Vereinigtes Königreich</w:t>
        </w:r>
      </w:hyperlink>
    </w:p>
    <w:p w:rsidRPr="006F016B"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4838F1" w:rsidR="006F016B" w:rsidTr="009839A2" w14:paraId="772CF784" w14:textId="77777777">
        <w:tc>
          <w:tcPr>
            <w:tcW w:w="1187" w:type="pct"/>
          </w:tcPr>
          <w:p w:rsidRPr="004838F1" w:rsidR="006F016B" w:rsidP="00AA5F9C" w:rsidRDefault="006F016B" w14:paraId="27869CAB" w14:textId="77777777">
            <w:pPr>
              <w:tabs>
                <w:tab w:val="center" w:pos="284"/>
              </w:tabs>
              <w:overflowPunct w:val="0"/>
              <w:autoSpaceDE w:val="0"/>
              <w:autoSpaceDN w:val="0"/>
              <w:adjustRightInd w:val="0"/>
              <w:ind w:left="266" w:hanging="376"/>
              <w:textAlignment w:val="baseline"/>
              <w:rPr>
                <w:b/>
                <w:sz w:val="22"/>
                <w:szCs w:val="22"/>
              </w:rPr>
            </w:pPr>
            <w:r w:rsidRPr="004838F1">
              <w:rPr>
                <w:b/>
                <w:sz w:val="22"/>
                <w:szCs w:val="22"/>
              </w:rPr>
              <w:t>Berichterstatter</w:t>
            </w:r>
          </w:p>
        </w:tc>
        <w:tc>
          <w:tcPr>
            <w:tcW w:w="3813" w:type="pct"/>
          </w:tcPr>
          <w:p w:rsidRPr="004838F1" w:rsidR="006F016B" w:rsidP="00AA5F9C" w:rsidRDefault="006F016B" w14:paraId="723505D0" w14:textId="47401FC8">
            <w:pPr>
              <w:tabs>
                <w:tab w:val="center" w:pos="284"/>
              </w:tabs>
              <w:overflowPunct w:val="0"/>
              <w:autoSpaceDE w:val="0"/>
              <w:autoSpaceDN w:val="0"/>
              <w:adjustRightInd w:val="0"/>
              <w:ind w:left="266" w:hanging="376"/>
              <w:textAlignment w:val="baseline"/>
              <w:rPr>
                <w:sz w:val="22"/>
                <w:szCs w:val="22"/>
              </w:rPr>
            </w:pPr>
            <w:proofErr w:type="spellStart"/>
            <w:r w:rsidRPr="004838F1">
              <w:rPr>
                <w:sz w:val="22"/>
                <w:szCs w:val="22"/>
              </w:rPr>
              <w:t>Cillian</w:t>
            </w:r>
            <w:proofErr w:type="spellEnd"/>
            <w:r w:rsidRPr="004838F1">
              <w:rPr>
                <w:sz w:val="22"/>
                <w:szCs w:val="22"/>
              </w:rPr>
              <w:t xml:space="preserve"> LOHAN (Gruppe Organisationen der Zivilgesellschaft – IE)</w:t>
            </w:r>
          </w:p>
        </w:tc>
      </w:tr>
      <w:tr w:rsidRPr="004838F1" w:rsidR="006F016B" w:rsidTr="009839A2" w14:paraId="61C1A25D" w14:textId="77777777">
        <w:tc>
          <w:tcPr>
            <w:tcW w:w="5000" w:type="pct"/>
            <w:gridSpan w:val="2"/>
          </w:tcPr>
          <w:p w:rsidRPr="004838F1"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rPr>
                <w:sz w:val="22"/>
                <w:szCs w:val="22"/>
              </w:rPr>
            </w:pPr>
          </w:p>
        </w:tc>
      </w:tr>
      <w:tr w:rsidRPr="004838F1" w:rsidR="006F016B" w:rsidTr="009839A2" w14:paraId="0AD0C295" w14:textId="77777777">
        <w:tc>
          <w:tcPr>
            <w:tcW w:w="1187" w:type="pct"/>
          </w:tcPr>
          <w:p w:rsidRPr="004838F1" w:rsidR="006F016B" w:rsidP="00AA5F9C" w:rsidRDefault="006F016B" w14:paraId="5C7EA6FF" w14:textId="77777777">
            <w:pPr>
              <w:tabs>
                <w:tab w:val="center" w:pos="284"/>
              </w:tabs>
              <w:overflowPunct w:val="0"/>
              <w:autoSpaceDE w:val="0"/>
              <w:autoSpaceDN w:val="0"/>
              <w:adjustRightInd w:val="0"/>
              <w:ind w:left="266" w:hanging="376"/>
              <w:textAlignment w:val="baseline"/>
              <w:rPr>
                <w:b/>
                <w:sz w:val="22"/>
                <w:szCs w:val="22"/>
              </w:rPr>
            </w:pPr>
            <w:r w:rsidRPr="004838F1">
              <w:rPr>
                <w:b/>
                <w:sz w:val="22"/>
                <w:szCs w:val="22"/>
              </w:rPr>
              <w:t>Referenzdokument</w:t>
            </w:r>
          </w:p>
        </w:tc>
        <w:tc>
          <w:tcPr>
            <w:tcW w:w="3813" w:type="pct"/>
          </w:tcPr>
          <w:p w:rsidRPr="004838F1" w:rsidR="00967B0B" w:rsidP="00AA5F9C" w:rsidRDefault="00967B0B" w14:paraId="77EB3D84" w14:textId="2ABE5A97">
            <w:pPr>
              <w:tabs>
                <w:tab w:val="center" w:pos="284"/>
              </w:tabs>
              <w:overflowPunct w:val="0"/>
              <w:autoSpaceDE w:val="0"/>
              <w:autoSpaceDN w:val="0"/>
              <w:adjustRightInd w:val="0"/>
              <w:ind w:left="266" w:hanging="376"/>
              <w:textAlignment w:val="baseline"/>
              <w:rPr>
                <w:sz w:val="22"/>
                <w:szCs w:val="22"/>
              </w:rPr>
            </w:pPr>
            <w:r w:rsidRPr="004838F1">
              <w:rPr>
                <w:sz w:val="22"/>
                <w:szCs w:val="22"/>
              </w:rPr>
              <w:t>Initiativstellungnahme</w:t>
            </w:r>
          </w:p>
          <w:p w:rsidRPr="004838F1" w:rsidR="006F016B" w:rsidP="00AA5F9C" w:rsidRDefault="006F016B" w14:paraId="01D95CFB" w14:textId="31753126">
            <w:pPr>
              <w:tabs>
                <w:tab w:val="center" w:pos="284"/>
              </w:tabs>
              <w:overflowPunct w:val="0"/>
              <w:autoSpaceDE w:val="0"/>
              <w:autoSpaceDN w:val="0"/>
              <w:adjustRightInd w:val="0"/>
              <w:ind w:left="266" w:hanging="376"/>
              <w:textAlignment w:val="baseline"/>
              <w:rPr>
                <w:sz w:val="22"/>
                <w:szCs w:val="22"/>
              </w:rPr>
            </w:pPr>
            <w:r w:rsidRPr="004838F1">
              <w:rPr>
                <w:sz w:val="22"/>
                <w:szCs w:val="22"/>
              </w:rPr>
              <w:t>EESC-2023-04457-00-00-AC</w:t>
            </w:r>
          </w:p>
        </w:tc>
      </w:tr>
    </w:tbl>
    <w:p w:rsidRPr="006F016B"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6F016B"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6F016B" w:rsidR="006F016B" w:rsidP="006F016B" w:rsidRDefault="006F016B" w14:paraId="6DFDDC47" w14:textId="77777777">
      <w:pPr>
        <w:overflowPunct w:val="0"/>
        <w:autoSpaceDE w:val="0"/>
        <w:autoSpaceDN w:val="0"/>
        <w:adjustRightInd w:val="0"/>
        <w:textAlignment w:val="baseline"/>
        <w:rPr>
          <w:bCs/>
          <w:iCs/>
        </w:rPr>
      </w:pPr>
      <w:r>
        <w:t>Der EWSA</w:t>
      </w:r>
    </w:p>
    <w:p w:rsidRPr="006F016B" w:rsidR="006F016B" w:rsidP="006F016B" w:rsidRDefault="006F016B" w14:paraId="3EF8831C" w14:textId="77777777">
      <w:pPr>
        <w:overflowPunct w:val="0"/>
        <w:autoSpaceDE w:val="0"/>
        <w:autoSpaceDN w:val="0"/>
        <w:adjustRightInd w:val="0"/>
        <w:textAlignment w:val="baseline"/>
        <w:rPr>
          <w:bCs/>
          <w:iCs/>
        </w:rPr>
      </w:pPr>
    </w:p>
    <w:p w:rsidRPr="006F016B"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t xml:space="preserve">ist davon überzeugt, dass die </w:t>
      </w:r>
      <w:r>
        <w:rPr>
          <w:b/>
        </w:rPr>
        <w:t>zivilgesellschaftlichen Organisationen sowohl in der EU als auch im Vereinigten Königreich</w:t>
      </w:r>
      <w:r>
        <w:t xml:space="preserve"> in einzigartiger Weise in der Lage sind, das </w:t>
      </w:r>
      <w:r>
        <w:rPr>
          <w:b/>
        </w:rPr>
        <w:t>Engagement junger Menschen in der EU und dem Vereinigten Königreich zu unterstützen und zu erleichtern</w:t>
      </w:r>
      <w:r>
        <w:t>;</w:t>
      </w:r>
    </w:p>
    <w:p w:rsidRPr="006F016B" w:rsidR="006F016B" w:rsidP="00AA5F9C"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t xml:space="preserve">fordert vor allem die </w:t>
      </w:r>
      <w:r>
        <w:rPr>
          <w:b/>
        </w:rPr>
        <w:t>Kommission</w:t>
      </w:r>
      <w:r>
        <w:t xml:space="preserve"> dazu auf, </w:t>
      </w:r>
      <w:r>
        <w:rPr>
          <w:b/>
        </w:rPr>
        <w:t>mit einem Verhandlungsangebot über eine ehrgeizige Partnerschaft im Bereich der gegenseitigen Mobilität junger Menschen an die Regierung des Vereinigten Königreichs heranzutreten</w:t>
      </w:r>
      <w:r>
        <w:t>, die darauf abzielen sollte, die Bedingungen für die Einreise und den Aufenthalt zu Zwecken wie Forschung, Studium, Aus- und Weiterbildung sowie im Rahmen eines Jugendaustauschs festzulegen;</w:t>
      </w:r>
    </w:p>
    <w:p w:rsidRPr="006F016B" w:rsidR="006F016B" w:rsidP="00AA5F9C" w:rsidRDefault="006F016B" w14:paraId="1BB4CA99" w14:textId="57CD2312">
      <w:pPr>
        <w:widowControl w:val="0"/>
        <w:numPr>
          <w:ilvl w:val="0"/>
          <w:numId w:val="61"/>
        </w:numPr>
        <w:overflowPunct w:val="0"/>
        <w:autoSpaceDE w:val="0"/>
        <w:autoSpaceDN w:val="0"/>
        <w:adjustRightInd w:val="0"/>
        <w:ind w:left="426" w:hanging="426"/>
        <w:textAlignment w:val="baseline"/>
        <w:rPr>
          <w:bCs/>
          <w:iCs/>
        </w:rPr>
      </w:pPr>
      <w:r>
        <w:t xml:space="preserve">fordert die Europäische Kommission eindringlich dazu auf, </w:t>
      </w:r>
      <w:r>
        <w:rPr>
          <w:b/>
          <w:bCs/>
        </w:rPr>
        <w:t>die Verhandlungen mit der britischen Regierung über den vollständigen Wiedereinstieg des Vereinigten Königreichs in das Programm Erasmus+ zu intensivieren</w:t>
      </w:r>
      <w:r>
        <w:t xml:space="preserve">. Diese Position wird sowohl </w:t>
      </w:r>
      <w:r>
        <w:rPr>
          <w:b/>
          <w:bCs/>
        </w:rPr>
        <w:t>vom Europäischen Jugendforum und vom British Youth Council</w:t>
      </w:r>
      <w:r>
        <w:t xml:space="preserve"> als auch von vielen weiteren zivilgesellschaftlichen Jugendorganisationen im Vereinigten Königreich und in der EU </w:t>
      </w:r>
      <w:r>
        <w:rPr>
          <w:b/>
          <w:bCs/>
        </w:rPr>
        <w:t>offiziell unterstützt</w:t>
      </w:r>
      <w:r>
        <w:t>;</w:t>
      </w:r>
    </w:p>
    <w:p w:rsidRPr="006F016B"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t xml:space="preserve">spricht sich zur Stärkung des zivilgesellschaftlichen Jugenddialogs und der Zusammenarbeit nachdrücklich für die </w:t>
      </w:r>
      <w:r>
        <w:rPr>
          <w:b/>
        </w:rPr>
        <w:t>Schaffung eines neuen strukturierten Kontakts zwischen der EU und den Behörden des Vereinigten Königreichs sowie in Schottland, Wales und Nordirland aus</w:t>
      </w:r>
      <w:r>
        <w:t xml:space="preserve">. </w:t>
      </w:r>
      <w:r>
        <w:rPr>
          <w:b/>
        </w:rPr>
        <w:t>Junge Menschen sollten umfassend einbezogen werden</w:t>
      </w:r>
      <w:r>
        <w:t>, auch im Hinblick auf die Jugendarbeit und das nichtformale Lernen;</w:t>
      </w:r>
    </w:p>
    <w:p w:rsidRPr="006F016B"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t xml:space="preserve">ruft die Kommission auf, sich </w:t>
      </w:r>
      <w:r>
        <w:rPr>
          <w:b/>
        </w:rPr>
        <w:t>hinsichtlich der Hindernisse für die Mobilität Kreativschaffender mit der britischen Regierung zu verständigen</w:t>
      </w:r>
      <w:r>
        <w:t xml:space="preserve"> und ggf. auch eine </w:t>
      </w:r>
      <w:r>
        <w:rPr>
          <w:b/>
        </w:rPr>
        <w:t>gegenseitige Befreiung von der Visumpflicht für die Kreativwirtschaft oder eine „Freistellung für die Kultur“ im Abkommen über Handel und Zusammenarbeit zwischen der EU und dem Vereinigten Königreich</w:t>
      </w:r>
      <w:r>
        <w:t xml:space="preserve"> in Erwägung zu ziehen;</w:t>
      </w:r>
    </w:p>
    <w:p w:rsidRPr="006F016B"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Pr>
          <w:b/>
        </w:rPr>
        <w:t>empfiehlt eine Bestandsaufnahme der Möglichkeiten, die sich jungen Menschen bieten</w:t>
      </w:r>
      <w:r>
        <w:t xml:space="preserve">. Dies wäre äußerst hilfreich für den </w:t>
      </w:r>
      <w:r>
        <w:rPr>
          <w:b/>
        </w:rPr>
        <w:t>Aufbau von Kapazitäten</w:t>
      </w:r>
      <w:r>
        <w:t xml:space="preserve">, um sie darüber aufzuklären, welche Möglichkeiten sie praktisch haben. </w:t>
      </w:r>
      <w:r>
        <w:rPr>
          <w:b/>
        </w:rPr>
        <w:t>Klare Berufswege sollten aufgezeigt und jungen Menschen dafür in der Schule, durch Kooperationen und im Rahmen der Berufsberatung berufsspezifisches Wissen vermittelt werden</w:t>
      </w:r>
      <w:r>
        <w:t xml:space="preserve">; </w:t>
      </w:r>
    </w:p>
    <w:p w:rsidRPr="006F016B" w:rsidR="006F016B" w:rsidP="00AA5F9C"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t xml:space="preserve">fordert die </w:t>
      </w:r>
      <w:r>
        <w:rPr>
          <w:b/>
        </w:rPr>
        <w:t xml:space="preserve">Europäische Kommission auf, gemeinsam mit der Regierung des Vereinigten Königreichs den Punkt einer physischen Aufenthaltsgenehmigung im Rahmen des Verfahrens für EU-Bürger zur Beantragung des Aufenthaltsrechts im Vereinigten </w:t>
      </w:r>
      <w:r>
        <w:rPr>
          <w:b/>
        </w:rPr>
        <w:lastRenderedPageBreak/>
        <w:t>Königreich noch einmal zu überdenken und die Finanzierung beizubehalten</w:t>
      </w:r>
      <w:r>
        <w:t>, damit gesellschaftlich engagierte Gruppen, Interessenvertretungen und Behörden die erforderliche Unterstützung leisten können;</w:t>
      </w:r>
    </w:p>
    <w:p w:rsidRPr="006F016B" w:rsidR="006F016B" w:rsidP="00AA5F9C"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Pr>
          <w:b/>
        </w:rPr>
        <w:t xml:space="preserve">fordert die EU dazu auf, gemeinsam mit den Regierungen des Vereinigten Königreichs und Irlands sowie der nordirischen Regierung (Northern </w:t>
      </w:r>
      <w:proofErr w:type="spellStart"/>
      <w:r>
        <w:rPr>
          <w:b/>
        </w:rPr>
        <w:t>Ireland</w:t>
      </w:r>
      <w:proofErr w:type="spellEnd"/>
      <w:r>
        <w:rPr>
          <w:b/>
        </w:rPr>
        <w:t xml:space="preserve"> Executive) für die Vorteile des grenzüberschreitenden Programms PEACEPLUS</w:t>
      </w:r>
      <w:r>
        <w:t xml:space="preserve"> zur Förderung von Frieden und Wohlstand in Nordirland und den Grenzbezirken Irlands </w:t>
      </w:r>
      <w:r>
        <w:rPr>
          <w:b/>
        </w:rPr>
        <w:t>zu werben</w:t>
      </w:r>
      <w:r>
        <w:t>.</w:t>
      </w:r>
    </w:p>
    <w:p w:rsidRPr="004838F1" w:rsidR="006F016B" w:rsidP="006F016B" w:rsidRDefault="006F016B" w14:paraId="2B8D9519" w14:textId="77777777">
      <w:pPr>
        <w:widowControl w:val="0"/>
        <w:overflowPunct w:val="0"/>
        <w:autoSpaceDE w:val="0"/>
        <w:autoSpaceDN w:val="0"/>
        <w:adjustRightInd w:val="0"/>
        <w:ind w:left="709"/>
        <w:textAlignment w:val="baseline"/>
        <w:rPr>
          <w:szCs w:val="20"/>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Pr>
                <w:b/>
                <w:i/>
              </w:rPr>
              <w:t>Kontakt</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r>
              <w:rPr>
                <w:i/>
              </w:rPr>
              <w:t>Sveto Trajkovski</w:t>
            </w:r>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Pr>
                <w:i/>
              </w:rPr>
              <w:t>Tel.</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Pr>
                <w:i/>
              </w:rPr>
              <w:t>+32 25469075</w:t>
            </w:r>
          </w:p>
        </w:tc>
      </w:tr>
      <w:tr w:rsidRPr="006F016B" w:rsidR="006F016B" w:rsidTr="009839A2" w14:paraId="54CD2E3D" w14:textId="77777777">
        <w:tc>
          <w:tcPr>
            <w:tcW w:w="1556" w:type="pct"/>
          </w:tcPr>
          <w:p w:rsidRPr="006F016B" w:rsidR="006F016B" w:rsidP="006F016B" w:rsidRDefault="00B244E9" w14:paraId="09284BE4" w14:textId="02100970">
            <w:pPr>
              <w:overflowPunct w:val="0"/>
              <w:autoSpaceDE w:val="0"/>
              <w:autoSpaceDN w:val="0"/>
              <w:adjustRightInd w:val="0"/>
              <w:spacing w:line="240" w:lineRule="auto"/>
              <w:textAlignment w:val="baseline"/>
              <w:rPr>
                <w:i/>
              </w:rPr>
            </w:pPr>
            <w:r>
              <w:rPr>
                <w:i/>
              </w:rPr>
              <w:t>E-Mail</w:t>
            </w:r>
          </w:p>
        </w:tc>
        <w:tc>
          <w:tcPr>
            <w:tcW w:w="3444" w:type="pct"/>
          </w:tcPr>
          <w:p w:rsidRPr="006F016B" w:rsidR="006F016B" w:rsidP="006F016B" w:rsidRDefault="006C4E9A" w14:paraId="69F41B6E" w14:textId="77777777">
            <w:pPr>
              <w:overflowPunct w:val="0"/>
              <w:autoSpaceDE w:val="0"/>
              <w:autoSpaceDN w:val="0"/>
              <w:adjustRightInd w:val="0"/>
              <w:spacing w:line="240" w:lineRule="auto"/>
              <w:textAlignment w:val="baseline"/>
              <w:rPr>
                <w:i/>
              </w:rPr>
            </w:pPr>
            <w:hyperlink w:history="1" r:id="rId45">
              <w:r w:rsidR="00C37C45">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401E8F" w:rsidRDefault="006C4E9A" w14:paraId="514E2A22" w14:textId="3C46AFA1">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6">
        <w:r w:rsidR="008772F9">
          <w:rPr>
            <w:b/>
            <w:i/>
            <w:color w:val="0000FF"/>
            <w:sz w:val="28"/>
            <w:u w:val="single"/>
          </w:rPr>
          <w:t>Neuer Wachstumsplan und Reform- und Wachstumsfazilität für den Westbalkan</w:t>
        </w:r>
      </w:hyperlink>
    </w:p>
    <w:p w:rsidRPr="004838F1" w:rsidR="006F016B" w:rsidP="004838F1" w:rsidRDefault="006F016B" w14:paraId="3EB333AB" w14:textId="77777777">
      <w:pPr>
        <w:tabs>
          <w:tab w:val="center" w:pos="284"/>
        </w:tabs>
        <w:overflowPunct w:val="0"/>
        <w:autoSpaceDE w:val="0"/>
        <w:autoSpaceDN w:val="0"/>
        <w:adjustRightInd w:val="0"/>
        <w:spacing w:line="240" w:lineRule="auto"/>
        <w:ind w:left="266" w:hanging="266"/>
        <w:textAlignment w:val="baseline"/>
        <w:rPr>
          <w:b/>
          <w:sz w:val="12"/>
          <w:szCs w:val="12"/>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397"/>
      </w:tblGrid>
      <w:tr w:rsidRPr="006F016B" w:rsidR="006F016B" w:rsidTr="004838F1" w14:paraId="49C0574A" w14:textId="77777777">
        <w:tc>
          <w:tcPr>
            <w:tcW w:w="2376" w:type="dxa"/>
          </w:tcPr>
          <w:p w:rsidRPr="004838F1" w:rsidR="006F016B" w:rsidP="006F016B" w:rsidRDefault="006F016B" w14:paraId="7BD1EE60"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Berichterstatter</w:t>
            </w:r>
          </w:p>
        </w:tc>
        <w:tc>
          <w:tcPr>
            <w:tcW w:w="6397" w:type="dxa"/>
          </w:tcPr>
          <w:p w:rsidRPr="004838F1" w:rsidR="006F016B" w:rsidP="006F016B" w:rsidRDefault="006F016B" w14:paraId="3FB2CF1D" w14:textId="09F78571">
            <w:pPr>
              <w:tabs>
                <w:tab w:val="center" w:pos="284"/>
              </w:tabs>
              <w:overflowPunct w:val="0"/>
              <w:autoSpaceDE w:val="0"/>
              <w:autoSpaceDN w:val="0"/>
              <w:adjustRightInd w:val="0"/>
              <w:ind w:left="266" w:hanging="266"/>
              <w:textAlignment w:val="baseline"/>
              <w:rPr>
                <w:sz w:val="22"/>
                <w:szCs w:val="22"/>
              </w:rPr>
            </w:pPr>
            <w:proofErr w:type="spellStart"/>
            <w:r w:rsidRPr="004838F1">
              <w:rPr>
                <w:sz w:val="22"/>
                <w:szCs w:val="22"/>
              </w:rPr>
              <w:t>Ionuț</w:t>
            </w:r>
            <w:proofErr w:type="spellEnd"/>
            <w:r w:rsidRPr="004838F1">
              <w:rPr>
                <w:sz w:val="22"/>
                <w:szCs w:val="22"/>
              </w:rPr>
              <w:t xml:space="preserve"> SIBIAN (Gruppe Organisationen der Zivilgesellschaft – RO)</w:t>
            </w:r>
          </w:p>
        </w:tc>
      </w:tr>
      <w:tr w:rsidRPr="006F016B" w:rsidR="006F016B" w:rsidTr="004838F1" w14:paraId="3837506E" w14:textId="77777777">
        <w:tc>
          <w:tcPr>
            <w:tcW w:w="2376" w:type="dxa"/>
          </w:tcPr>
          <w:p w:rsidRPr="004838F1" w:rsidR="006F016B" w:rsidP="006F016B" w:rsidRDefault="006F016B" w14:paraId="72E17DDB" w14:textId="77777777">
            <w:pPr>
              <w:tabs>
                <w:tab w:val="center" w:pos="284"/>
              </w:tabs>
              <w:overflowPunct w:val="0"/>
              <w:autoSpaceDE w:val="0"/>
              <w:autoSpaceDN w:val="0"/>
              <w:adjustRightInd w:val="0"/>
              <w:ind w:left="266" w:hanging="266"/>
              <w:textAlignment w:val="baseline"/>
              <w:rPr>
                <w:b/>
                <w:sz w:val="22"/>
                <w:szCs w:val="22"/>
              </w:rPr>
            </w:pPr>
            <w:r w:rsidRPr="004838F1">
              <w:rPr>
                <w:b/>
                <w:sz w:val="22"/>
                <w:szCs w:val="22"/>
              </w:rPr>
              <w:t>Ko-Berichterstatterin</w:t>
            </w:r>
          </w:p>
        </w:tc>
        <w:tc>
          <w:tcPr>
            <w:tcW w:w="6397" w:type="dxa"/>
          </w:tcPr>
          <w:p w:rsidRPr="004838F1" w:rsidR="006F016B" w:rsidP="006F016B" w:rsidRDefault="006F016B" w14:paraId="4FA641CE" w14:textId="77C6FA6B">
            <w:pPr>
              <w:tabs>
                <w:tab w:val="center" w:pos="284"/>
              </w:tabs>
              <w:overflowPunct w:val="0"/>
              <w:autoSpaceDE w:val="0"/>
              <w:autoSpaceDN w:val="0"/>
              <w:adjustRightInd w:val="0"/>
              <w:ind w:left="266" w:hanging="266"/>
              <w:textAlignment w:val="baseline"/>
              <w:rPr>
                <w:sz w:val="22"/>
                <w:szCs w:val="22"/>
              </w:rPr>
            </w:pPr>
            <w:r w:rsidRPr="004838F1">
              <w:rPr>
                <w:sz w:val="22"/>
                <w:szCs w:val="22"/>
              </w:rPr>
              <w:t>Dragica MARTINOVIĆ DŽAMONJA (Gruppe Arbeitgeber – HR)</w:t>
            </w:r>
          </w:p>
        </w:tc>
      </w:tr>
      <w:tr w:rsidRPr="004838F1" w:rsidR="006F016B" w:rsidTr="004838F1" w14:paraId="7959965B" w14:textId="77777777">
        <w:trPr>
          <w:trHeight w:val="130"/>
        </w:trPr>
        <w:tc>
          <w:tcPr>
            <w:tcW w:w="8773" w:type="dxa"/>
            <w:gridSpan w:val="2"/>
          </w:tcPr>
          <w:p w:rsidRPr="004838F1"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rPr>
                <w:sz w:val="2"/>
                <w:szCs w:val="2"/>
              </w:rPr>
            </w:pPr>
          </w:p>
        </w:tc>
      </w:tr>
      <w:tr w:rsidRPr="006F016B" w:rsidR="006F016B" w:rsidTr="004838F1" w14:paraId="6826C687" w14:textId="77777777">
        <w:tc>
          <w:tcPr>
            <w:tcW w:w="2376" w:type="dxa"/>
          </w:tcPr>
          <w:p w:rsidRPr="004838F1" w:rsidR="006F016B" w:rsidP="004838F1" w:rsidRDefault="006F016B" w14:paraId="7CEA21C8" w14:textId="77777777">
            <w:pPr>
              <w:tabs>
                <w:tab w:val="center" w:pos="284"/>
              </w:tabs>
              <w:overflowPunct w:val="0"/>
              <w:autoSpaceDE w:val="0"/>
              <w:autoSpaceDN w:val="0"/>
              <w:adjustRightInd w:val="0"/>
              <w:spacing w:line="240" w:lineRule="auto"/>
              <w:ind w:left="266" w:hanging="266"/>
              <w:textAlignment w:val="baseline"/>
              <w:rPr>
                <w:b/>
                <w:sz w:val="22"/>
                <w:szCs w:val="22"/>
              </w:rPr>
            </w:pPr>
            <w:r w:rsidRPr="004838F1">
              <w:rPr>
                <w:b/>
                <w:sz w:val="22"/>
                <w:szCs w:val="22"/>
              </w:rPr>
              <w:t>Referenzdokumente</w:t>
            </w:r>
          </w:p>
        </w:tc>
        <w:tc>
          <w:tcPr>
            <w:tcW w:w="6397" w:type="dxa"/>
          </w:tcPr>
          <w:p w:rsidRPr="004838F1" w:rsidR="009F62CB" w:rsidP="004838F1" w:rsidRDefault="009F62CB" w14:paraId="458F35A0" w14:textId="3FF1A242">
            <w:pPr>
              <w:tabs>
                <w:tab w:val="center" w:pos="284"/>
              </w:tabs>
              <w:overflowPunct w:val="0"/>
              <w:autoSpaceDE w:val="0"/>
              <w:autoSpaceDN w:val="0"/>
              <w:adjustRightInd w:val="0"/>
              <w:spacing w:line="240" w:lineRule="auto"/>
              <w:ind w:left="266" w:hanging="266"/>
              <w:textAlignment w:val="baseline"/>
              <w:rPr>
                <w:sz w:val="22"/>
                <w:szCs w:val="22"/>
              </w:rPr>
            </w:pPr>
            <w:r w:rsidRPr="004838F1">
              <w:rPr>
                <w:sz w:val="22"/>
                <w:szCs w:val="22"/>
              </w:rPr>
              <w:t>COM(2023) 691 final</w:t>
            </w:r>
          </w:p>
          <w:p w:rsidRPr="004838F1" w:rsidR="009F62CB" w:rsidP="004838F1" w:rsidRDefault="009F62CB" w14:paraId="33EA829D" w14:textId="767E6392">
            <w:pPr>
              <w:tabs>
                <w:tab w:val="center" w:pos="284"/>
              </w:tabs>
              <w:overflowPunct w:val="0"/>
              <w:autoSpaceDE w:val="0"/>
              <w:autoSpaceDN w:val="0"/>
              <w:adjustRightInd w:val="0"/>
              <w:spacing w:line="240" w:lineRule="auto"/>
              <w:ind w:left="266" w:hanging="266"/>
              <w:textAlignment w:val="baseline"/>
              <w:rPr>
                <w:sz w:val="22"/>
                <w:szCs w:val="22"/>
              </w:rPr>
            </w:pPr>
            <w:r w:rsidRPr="004838F1">
              <w:rPr>
                <w:sz w:val="22"/>
                <w:szCs w:val="22"/>
              </w:rPr>
              <w:t>COM(2023) 692 final</w:t>
            </w:r>
          </w:p>
          <w:p w:rsidRPr="004838F1" w:rsidR="006F016B" w:rsidP="004838F1" w:rsidRDefault="006F016B" w14:paraId="3D1EF842" w14:textId="61744BDD">
            <w:pPr>
              <w:tabs>
                <w:tab w:val="center" w:pos="284"/>
              </w:tabs>
              <w:overflowPunct w:val="0"/>
              <w:autoSpaceDE w:val="0"/>
              <w:autoSpaceDN w:val="0"/>
              <w:adjustRightInd w:val="0"/>
              <w:spacing w:line="240" w:lineRule="auto"/>
              <w:ind w:left="266" w:hanging="266"/>
              <w:textAlignment w:val="baseline"/>
              <w:rPr>
                <w:sz w:val="22"/>
                <w:szCs w:val="22"/>
              </w:rPr>
            </w:pPr>
            <w:r w:rsidRPr="004838F1">
              <w:rPr>
                <w:sz w:val="22"/>
                <w:szCs w:val="22"/>
              </w:rPr>
              <w:t>EESC-2024-00176-00-00-AC</w:t>
            </w:r>
          </w:p>
        </w:tc>
      </w:tr>
    </w:tbl>
    <w:p w:rsidRPr="004838F1" w:rsidR="004838F1" w:rsidP="004838F1" w:rsidRDefault="004838F1" w14:paraId="4068E2D0" w14:textId="77777777">
      <w:pPr>
        <w:keepNext/>
        <w:keepLines/>
        <w:tabs>
          <w:tab w:val="center" w:pos="284"/>
        </w:tabs>
        <w:overflowPunct w:val="0"/>
        <w:autoSpaceDE w:val="0"/>
        <w:autoSpaceDN w:val="0"/>
        <w:adjustRightInd w:val="0"/>
        <w:spacing w:line="240" w:lineRule="auto"/>
        <w:ind w:left="266" w:hanging="124"/>
        <w:textAlignment w:val="baseline"/>
        <w:rPr>
          <w:b/>
          <w:sz w:val="10"/>
          <w:szCs w:val="10"/>
        </w:rPr>
      </w:pPr>
    </w:p>
    <w:p w:rsidRPr="006F016B" w:rsidR="006F016B" w:rsidP="00AA5F9C" w:rsidRDefault="006F016B" w14:paraId="3A84560D" w14:textId="3AB80371">
      <w:pPr>
        <w:keepNext/>
        <w:keepLines/>
        <w:tabs>
          <w:tab w:val="center" w:pos="284"/>
        </w:tabs>
        <w:overflowPunct w:val="0"/>
        <w:autoSpaceDE w:val="0"/>
        <w:autoSpaceDN w:val="0"/>
        <w:adjustRightInd w:val="0"/>
        <w:ind w:left="266" w:hanging="124"/>
        <w:textAlignment w:val="baseline"/>
        <w:rPr>
          <w:b/>
        </w:rPr>
      </w:pPr>
      <w:r>
        <w:rPr>
          <w:b/>
        </w:rPr>
        <w:t xml:space="preserve">Kernaussagen </w:t>
      </w:r>
    </w:p>
    <w:p w:rsidRPr="005620C3" w:rsidR="006F016B" w:rsidP="004838F1" w:rsidRDefault="006F016B" w14:paraId="01E61295" w14:textId="0D8ED144">
      <w:pPr>
        <w:keepNext/>
        <w:keepLines/>
        <w:tabs>
          <w:tab w:val="center" w:pos="284"/>
        </w:tabs>
        <w:overflowPunct w:val="0"/>
        <w:autoSpaceDE w:val="0"/>
        <w:autoSpaceDN w:val="0"/>
        <w:adjustRightInd w:val="0"/>
        <w:spacing w:line="240" w:lineRule="auto"/>
        <w:ind w:left="266" w:hanging="124"/>
        <w:textAlignment w:val="baseline"/>
        <w:rPr>
          <w:b/>
          <w:sz w:val="8"/>
          <w:szCs w:val="8"/>
        </w:rPr>
      </w:pPr>
    </w:p>
    <w:p w:rsidRPr="006F016B" w:rsidR="006F016B" w:rsidP="00AA5F9C" w:rsidRDefault="006F016B" w14:paraId="72639A25" w14:textId="77777777">
      <w:pPr>
        <w:overflowPunct w:val="0"/>
        <w:autoSpaceDE w:val="0"/>
        <w:autoSpaceDN w:val="0"/>
        <w:adjustRightInd w:val="0"/>
        <w:ind w:firstLine="142"/>
        <w:textAlignment w:val="baseline"/>
        <w:rPr>
          <w:bCs/>
          <w:iCs/>
        </w:rPr>
      </w:pPr>
      <w:r>
        <w:t>Der EWSA</w:t>
      </w:r>
    </w:p>
    <w:p w:rsidRPr="004838F1" w:rsidR="006F016B" w:rsidP="004838F1" w:rsidRDefault="006F016B" w14:paraId="721D6A3D" w14:textId="77777777">
      <w:pPr>
        <w:overflowPunct w:val="0"/>
        <w:autoSpaceDE w:val="0"/>
        <w:autoSpaceDN w:val="0"/>
        <w:adjustRightInd w:val="0"/>
        <w:spacing w:line="240" w:lineRule="auto"/>
        <w:textAlignment w:val="baseline"/>
        <w:rPr>
          <w:bCs/>
          <w:iCs/>
          <w:sz w:val="8"/>
          <w:szCs w:val="8"/>
        </w:rPr>
      </w:pPr>
    </w:p>
    <w:p w:rsidRPr="006F016B" w:rsidR="006F016B" w:rsidP="00AA5F9C" w:rsidRDefault="006F016B" w14:paraId="6D818D2F" w14:textId="214DCCA1">
      <w:pPr>
        <w:widowControl w:val="0"/>
        <w:numPr>
          <w:ilvl w:val="0"/>
          <w:numId w:val="62"/>
        </w:numPr>
        <w:overflowPunct w:val="0"/>
        <w:autoSpaceDE w:val="0"/>
        <w:autoSpaceDN w:val="0"/>
        <w:adjustRightInd w:val="0"/>
        <w:ind w:left="426" w:hanging="284"/>
        <w:textAlignment w:val="baseline"/>
        <w:rPr>
          <w:bCs/>
          <w:iCs/>
        </w:rPr>
      </w:pPr>
      <w:r>
        <w:t>ist der festen Überzeugung, dass der beste Weg zur Erweiterung der Union ein schrittweiser, verlässlicher und leistungsorientierter Ansatz ist, bei dem im Laufe des Beitrittsprozesses nach und nach mehr Vorteile gewährt werden, etwa finanzielle Unterstützung, Integration in den EU</w:t>
      </w:r>
      <w:r w:rsidR="004838F1">
        <w:noBreakHyphen/>
      </w:r>
      <w:r>
        <w:t>Binnenmarkt und Beteiligung an der Arbeit der EU-Institutionen. Die Kluft bei der sozioökonomischen Konvergenz zwischen diesen Ländern und dem EU-Durchschnitt muss nach und nach geschlossen werden;</w:t>
      </w:r>
    </w:p>
    <w:p w:rsidRPr="006F016B"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empfiehlt der Kommission, klare und transparente Leitlinien für die Anwendung der vorgeschlagenen Konditionalitäten vorzugeben, und bekräftigt ferner, dass dafür gesorgt werden muss, dass der Fokus der EU auf Stabilität und geopolitische Interessen nicht auf Kosten der Rechtsstaatlichkeit und der Demokratie geht;</w:t>
      </w:r>
    </w:p>
    <w:p w:rsidRPr="006F016B"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fordert die Kommission auf, Kandidatenländer und potenzielle Kandidatenländer dabei zu unterstützen, sowohl die Vor- als auch die Nachteile einer frühzeitigen Marktintegration zu bewerten und hierbei die negativen Auswirkungen zu ermitteln und maßgeschneiderte Minderungsmaßnahmen umzusetzen. Bei der Ausarbeitung der entsprechenden Maßnahmen sollten Beiträge der Sozialpartner und der Zivilgesellschaft rechtzeitig eingeholt und gebührend berücksichtigt werden;</w:t>
      </w:r>
    </w:p>
    <w:p w:rsidRPr="006F016B"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 xml:space="preserve">betont, dass die Unterstützung für Kandidatenländer an die Finanzierungsinstrumente der Mitgliedstaaten angepasst werden sollte, um einen nahtlosen Übergang zur EU-Mitgliedschaft zu ermöglichen, und dass dies mit einer institutionellen Eignung für den Zugang zu kohäsionspolitischen Mitteln einhergehen sollte. Ausgehend von den Erfahrungen mit der Umsetzung der Aufbau- und </w:t>
      </w:r>
      <w:proofErr w:type="spellStart"/>
      <w:r>
        <w:t>Resilienzfazilität</w:t>
      </w:r>
      <w:proofErr w:type="spellEnd"/>
      <w:r>
        <w:t xml:space="preserve"> in den EU-Mitgliedstaaten wird empfohlen, einen Anzeiger (</w:t>
      </w:r>
      <w:proofErr w:type="spellStart"/>
      <w:r>
        <w:rPr>
          <w:i/>
        </w:rPr>
        <w:t>Scoreboard</w:t>
      </w:r>
      <w:proofErr w:type="spellEnd"/>
      <w:r>
        <w:t>) für den Wachstumsplan und länderspezifische Begleitausschüsse einzurichten, um die Umsetzung, Koordinierung und Überwachung des Plans zu stärken. Diesen Ausschüssen sollten Sozialpartner sowie einschlägige Organisationen der Zivilgesellschaft aus den Empfängerländern angehören;</w:t>
      </w:r>
    </w:p>
    <w:p w:rsidRPr="006F016B" w:rsidR="006F016B" w:rsidP="00AA5F9C"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t>bekräftigt die Bedeutung der regionalen Zusammenarbeit und gutnachbarlicher Beziehungen während des gesamten EU-Beitrittsprozesses und begrüßt, dass der Schwerpunkt im Kommissionsvorschlag auf die Entwicklung des Gemeinsamen Regionalen Marktes gelegt wird; schlägt vor, ein objektives und transparentes Überwachungssystem für die Umsetzung der eingegangenen Verpflichtungen einzurichten. Hierfür bedarf es der Einbeziehung der Sozialpartner und zivilgesellschaftlichen Organisationen und des politischen Willens, erforderlichenfalls Reversibilitätsmechanismen anzuwenden.</w:t>
      </w:r>
    </w:p>
    <w:p w:rsidRPr="004838F1" w:rsidR="006F016B" w:rsidP="004838F1" w:rsidRDefault="006F016B" w14:paraId="2A5192EF" w14:textId="77777777">
      <w:pPr>
        <w:widowControl w:val="0"/>
        <w:overflowPunct w:val="0"/>
        <w:autoSpaceDE w:val="0"/>
        <w:autoSpaceDN w:val="0"/>
        <w:adjustRightInd w:val="0"/>
        <w:spacing w:line="240" w:lineRule="auto"/>
        <w:ind w:left="709"/>
        <w:textAlignment w:val="baseline"/>
        <w:rPr>
          <w:sz w:val="10"/>
          <w:szCs w:val="1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016B" w:rsidR="006F016B" w:rsidTr="009839A2" w14:paraId="6639267C" w14:textId="77777777">
        <w:tc>
          <w:tcPr>
            <w:tcW w:w="1418"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Kontakt</w:t>
            </w:r>
          </w:p>
        </w:tc>
        <w:tc>
          <w:tcPr>
            <w:tcW w:w="5670"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r>
              <w:rPr>
                <w:i/>
              </w:rPr>
              <w:t xml:space="preserve">David </w:t>
            </w:r>
            <w:proofErr w:type="spellStart"/>
            <w:r>
              <w:rPr>
                <w:i/>
              </w:rPr>
              <w:t>Hoić</w:t>
            </w:r>
            <w:proofErr w:type="spellEnd"/>
          </w:p>
        </w:tc>
      </w:tr>
      <w:tr w:rsidRPr="006F016B" w:rsidR="006F016B" w:rsidTr="009839A2" w14:paraId="31D0CF17" w14:textId="77777777">
        <w:tc>
          <w:tcPr>
            <w:tcW w:w="1418"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Tel.</w:t>
            </w:r>
          </w:p>
        </w:tc>
        <w:tc>
          <w:tcPr>
            <w:tcW w:w="5670"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+32 25469069</w:t>
            </w:r>
          </w:p>
        </w:tc>
      </w:tr>
      <w:tr w:rsidRPr="006F016B" w:rsidR="006F016B" w:rsidTr="009839A2" w14:paraId="42ADD2D1" w14:textId="77777777">
        <w:tc>
          <w:tcPr>
            <w:tcW w:w="1418"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t>E-Mail</w:t>
            </w:r>
          </w:p>
        </w:tc>
        <w:tc>
          <w:tcPr>
            <w:tcW w:w="5670" w:type="dxa"/>
          </w:tcPr>
          <w:p w:rsidRPr="006F016B" w:rsidR="006F016B" w:rsidP="006F016B" w:rsidRDefault="006C4E9A" w14:paraId="1177F990" w14:textId="77777777">
            <w:pPr>
              <w:overflowPunct w:val="0"/>
              <w:autoSpaceDE w:val="0"/>
              <w:autoSpaceDN w:val="0"/>
              <w:adjustRightInd w:val="0"/>
              <w:spacing w:line="240" w:lineRule="auto"/>
              <w:textAlignment w:val="baseline"/>
              <w:rPr>
                <w:i/>
              </w:rPr>
            </w:pPr>
            <w:hyperlink w:history="1" r:id="rId47">
              <w:r w:rsidR="00C37C45">
                <w:rPr>
                  <w:i/>
                  <w:color w:val="0000FF"/>
                  <w:u w:val="single"/>
                </w:rPr>
                <w:t>David.Hoic@eesc.europa.eu</w:t>
              </w:r>
            </w:hyperlink>
            <w:r w:rsidR="00C37C45">
              <w:rPr>
                <w:i/>
              </w:rPr>
              <w:t xml:space="preserve"> </w:t>
            </w:r>
          </w:p>
        </w:tc>
      </w:tr>
    </w:tbl>
    <w:p w:rsidRPr="004838F1" w:rsidR="003D2CA9" w:rsidRDefault="003D2CA9" w14:paraId="16A9CDBB" w14:textId="0B4635B6">
      <w:pPr>
        <w:spacing w:after="160" w:line="259" w:lineRule="auto"/>
        <w:jc w:val="left"/>
        <w:rPr>
          <w:sz w:val="2"/>
          <w:szCs w:val="2"/>
        </w:rPr>
      </w:pPr>
      <w:r w:rsidRPr="004838F1">
        <w:rPr>
          <w:sz w:val="2"/>
          <w:szCs w:val="2"/>
        </w:rPr>
        <w:br w:type="page"/>
      </w:r>
    </w:p>
    <w:p w:rsidR="00895853" w:rsidP="00401E8F" w:rsidRDefault="00895853" w14:paraId="1C46B2C3" w14:textId="7E834008">
      <w:pPr>
        <w:pStyle w:val="Heading1"/>
        <w:tabs>
          <w:tab w:val="clear" w:pos="440"/>
          <w:tab w:val="left" w:pos="567"/>
        </w:tabs>
        <w:ind w:left="567" w:hanging="567"/>
        <w:rPr>
          <w:b/>
          <w:bCs/>
        </w:rPr>
      </w:pPr>
      <w:bookmarkStart w:name="_Toc166847138" w:id="6"/>
      <w:bookmarkStart w:name="_Toc166848522" w:id="7"/>
      <w:bookmarkEnd w:id="6"/>
      <w:r>
        <w:rPr>
          <w:b/>
        </w:rPr>
        <w:lastRenderedPageBreak/>
        <w:t>VERKEHR, ENERGIE, INFRASTRUKTUREN, INFORMATIONSGESELLSCHAFT</w:t>
      </w:r>
      <w:bookmarkEnd w:id="7"/>
    </w:p>
    <w:p w:rsidR="00895853" w:rsidP="00895853" w:rsidRDefault="00895853" w14:paraId="0C3C6E18" w14:textId="05583383"/>
    <w:p w:rsidRPr="00E20D7C" w:rsidR="00E20D7C" w:rsidP="00401E8F" w:rsidRDefault="006C4E9A" w14:paraId="0801A5C2" w14:textId="38DB7AF6">
      <w:pPr>
        <w:widowControl w:val="0"/>
        <w:numPr>
          <w:ilvl w:val="0"/>
          <w:numId w:val="25"/>
        </w:numPr>
        <w:overflowPunct w:val="0"/>
        <w:autoSpaceDE w:val="0"/>
        <w:autoSpaceDN w:val="0"/>
        <w:adjustRightInd w:val="0"/>
        <w:ind w:left="567" w:hanging="567"/>
        <w:textAlignment w:val="baseline"/>
        <w:rPr>
          <w:bCs/>
          <w:iCs/>
          <w:sz w:val="28"/>
          <w:szCs w:val="28"/>
        </w:rPr>
      </w:pPr>
      <w:hyperlink w:history="1" r:id="rId48">
        <w:r w:rsidR="008772F9">
          <w:rPr>
            <w:b/>
            <w:i/>
            <w:color w:val="0000FF"/>
            <w:sz w:val="28"/>
            <w:u w:val="single"/>
          </w:rPr>
          <w:t>Harmonisierte Binnenschifffahrtsinformationsdienste – Überarbeitung der EU-Vorschriften</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035"/>
      </w:tblGrid>
      <w:tr w:rsidRPr="00E20D7C" w:rsidR="00E20D7C" w:rsidTr="009839A2" w14:paraId="42A73C1E" w14:textId="77777777">
        <w:tc>
          <w:tcPr>
            <w:tcW w:w="1701" w:type="dxa"/>
          </w:tcPr>
          <w:p w:rsidRPr="002A7171" w:rsidR="00E20D7C" w:rsidP="00E20D7C" w:rsidRDefault="00E20D7C" w14:paraId="46B4CBF4" w14:textId="77777777">
            <w:pPr>
              <w:tabs>
                <w:tab w:val="center" w:pos="284"/>
              </w:tabs>
              <w:overflowPunct w:val="0"/>
              <w:autoSpaceDE w:val="0"/>
              <w:autoSpaceDN w:val="0"/>
              <w:adjustRightInd w:val="0"/>
              <w:ind w:left="266" w:hanging="266"/>
              <w:textAlignment w:val="baseline"/>
              <w:rPr>
                <w:b/>
                <w:sz w:val="22"/>
                <w:szCs w:val="22"/>
              </w:rPr>
            </w:pPr>
            <w:r w:rsidRPr="002A7171">
              <w:rPr>
                <w:b/>
                <w:sz w:val="22"/>
                <w:szCs w:val="22"/>
              </w:rPr>
              <w:t>Berichterstatter</w:t>
            </w:r>
          </w:p>
        </w:tc>
        <w:tc>
          <w:tcPr>
            <w:tcW w:w="7225" w:type="dxa"/>
          </w:tcPr>
          <w:p w:rsidRPr="002A7171" w:rsidR="00E20D7C" w:rsidP="00E20D7C" w:rsidRDefault="00E20D7C" w14:paraId="21011C4B" w14:textId="77777777">
            <w:pPr>
              <w:tabs>
                <w:tab w:val="center" w:pos="284"/>
              </w:tabs>
              <w:overflowPunct w:val="0"/>
              <w:autoSpaceDE w:val="0"/>
              <w:autoSpaceDN w:val="0"/>
              <w:adjustRightInd w:val="0"/>
              <w:ind w:left="266" w:hanging="266"/>
              <w:textAlignment w:val="baseline"/>
              <w:rPr>
                <w:sz w:val="22"/>
                <w:szCs w:val="22"/>
              </w:rPr>
            </w:pPr>
            <w:r w:rsidRPr="002A7171">
              <w:rPr>
                <w:sz w:val="22"/>
                <w:szCs w:val="22"/>
              </w:rPr>
              <w:t>Mateusz SZYMAŃSKI (Gruppe Arbeitnehmer – PL)</w:t>
            </w:r>
          </w:p>
        </w:tc>
      </w:tr>
      <w:tr w:rsidRPr="00E20D7C" w:rsidR="00E20D7C" w:rsidTr="002A7171" w14:paraId="1384FF52" w14:textId="77777777">
        <w:trPr>
          <w:trHeight w:val="70"/>
        </w:trPr>
        <w:tc>
          <w:tcPr>
            <w:tcW w:w="8926" w:type="dxa"/>
            <w:gridSpan w:val="2"/>
          </w:tcPr>
          <w:p w:rsidRPr="002A7171"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E20D7C" w:rsidR="00E20D7C" w:rsidTr="009839A2" w14:paraId="4946EA39" w14:textId="77777777">
        <w:tc>
          <w:tcPr>
            <w:tcW w:w="1701" w:type="dxa"/>
            <w:vMerge w:val="restart"/>
          </w:tcPr>
          <w:p w:rsidRPr="002A7171" w:rsidR="00E20D7C" w:rsidP="00E20D7C" w:rsidRDefault="00E20D7C" w14:paraId="7043982C" w14:textId="77777777">
            <w:pPr>
              <w:tabs>
                <w:tab w:val="center" w:pos="284"/>
              </w:tabs>
              <w:overflowPunct w:val="0"/>
              <w:autoSpaceDE w:val="0"/>
              <w:autoSpaceDN w:val="0"/>
              <w:adjustRightInd w:val="0"/>
              <w:ind w:left="266" w:hanging="266"/>
              <w:textAlignment w:val="baseline"/>
              <w:rPr>
                <w:b/>
                <w:sz w:val="22"/>
                <w:szCs w:val="22"/>
              </w:rPr>
            </w:pPr>
            <w:r w:rsidRPr="002A7171">
              <w:rPr>
                <w:b/>
                <w:sz w:val="22"/>
                <w:szCs w:val="22"/>
              </w:rPr>
              <w:t>Referenzdokumente</w:t>
            </w:r>
          </w:p>
        </w:tc>
        <w:tc>
          <w:tcPr>
            <w:tcW w:w="7225" w:type="dxa"/>
          </w:tcPr>
          <w:p w:rsidRPr="002A7171" w:rsidR="00BB3421" w:rsidP="00E20D7C" w:rsidRDefault="00E20D7C" w14:paraId="3439B7D2" w14:textId="570907A2">
            <w:pPr>
              <w:tabs>
                <w:tab w:val="center" w:pos="284"/>
              </w:tabs>
              <w:overflowPunct w:val="0"/>
              <w:autoSpaceDE w:val="0"/>
              <w:autoSpaceDN w:val="0"/>
              <w:adjustRightInd w:val="0"/>
              <w:ind w:left="266" w:hanging="266"/>
              <w:textAlignment w:val="baseline"/>
              <w:rPr>
                <w:sz w:val="22"/>
                <w:szCs w:val="22"/>
              </w:rPr>
            </w:pPr>
            <w:r w:rsidRPr="002A7171">
              <w:rPr>
                <w:sz w:val="22"/>
                <w:szCs w:val="22"/>
              </w:rPr>
              <w:t xml:space="preserve">COM(2024) 33 final </w:t>
            </w:r>
          </w:p>
          <w:p w:rsidRPr="002A7171" w:rsidR="00E20D7C" w:rsidP="00E20D7C" w:rsidRDefault="00E20D7C" w14:paraId="6C31B057" w14:textId="337D38C9">
            <w:pPr>
              <w:tabs>
                <w:tab w:val="center" w:pos="284"/>
              </w:tabs>
              <w:overflowPunct w:val="0"/>
              <w:autoSpaceDE w:val="0"/>
              <w:autoSpaceDN w:val="0"/>
              <w:adjustRightInd w:val="0"/>
              <w:ind w:left="266" w:hanging="266"/>
              <w:textAlignment w:val="baseline"/>
              <w:rPr>
                <w:sz w:val="22"/>
                <w:szCs w:val="22"/>
              </w:rPr>
            </w:pPr>
            <w:r w:rsidRPr="002A7171">
              <w:rPr>
                <w:sz w:val="22"/>
                <w:szCs w:val="22"/>
              </w:rPr>
              <w:t>COM(2024) 59 final</w:t>
            </w:r>
          </w:p>
        </w:tc>
      </w:tr>
      <w:tr w:rsidRPr="00E20D7C" w:rsidR="00E20D7C" w:rsidTr="009839A2" w14:paraId="119C145D" w14:textId="77777777">
        <w:tc>
          <w:tcPr>
            <w:tcW w:w="1701" w:type="dxa"/>
            <w:vMerge/>
          </w:tcPr>
          <w:p w:rsidRPr="002A7171" w:rsidR="00E20D7C" w:rsidP="00E20D7C" w:rsidRDefault="00E20D7C" w14:paraId="409466D9" w14:textId="77777777">
            <w:pPr>
              <w:tabs>
                <w:tab w:val="center" w:pos="284"/>
              </w:tabs>
              <w:overflowPunct w:val="0"/>
              <w:autoSpaceDE w:val="0"/>
              <w:autoSpaceDN w:val="0"/>
              <w:adjustRightInd w:val="0"/>
              <w:ind w:left="266" w:hanging="266"/>
              <w:textAlignment w:val="baseline"/>
              <w:rPr>
                <w:b/>
                <w:sz w:val="22"/>
                <w:szCs w:val="22"/>
              </w:rPr>
            </w:pPr>
          </w:p>
        </w:tc>
        <w:tc>
          <w:tcPr>
            <w:tcW w:w="7225" w:type="dxa"/>
          </w:tcPr>
          <w:p w:rsidRPr="002A7171" w:rsidR="00E20D7C" w:rsidP="00E20D7C" w:rsidRDefault="00E20D7C" w14:paraId="183A5A04" w14:textId="77777777">
            <w:pPr>
              <w:tabs>
                <w:tab w:val="center" w:pos="284"/>
              </w:tabs>
              <w:overflowPunct w:val="0"/>
              <w:autoSpaceDE w:val="0"/>
              <w:autoSpaceDN w:val="0"/>
              <w:adjustRightInd w:val="0"/>
              <w:ind w:left="266" w:hanging="266"/>
              <w:textAlignment w:val="baseline"/>
              <w:rPr>
                <w:sz w:val="22"/>
                <w:szCs w:val="22"/>
              </w:rPr>
            </w:pPr>
            <w:r w:rsidRPr="002A7171">
              <w:rPr>
                <w:sz w:val="22"/>
                <w:szCs w:val="22"/>
              </w:rP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Der EWSA</w:t>
      </w:r>
    </w:p>
    <w:p w:rsidRPr="00E20D7C" w:rsidR="00E20D7C" w:rsidP="00E20D7C" w:rsidRDefault="00E20D7C" w14:paraId="50007E96" w14:textId="77777777">
      <w:pPr>
        <w:overflowPunct w:val="0"/>
        <w:autoSpaceDE w:val="0"/>
        <w:autoSpaceDN w:val="0"/>
        <w:adjustRightInd w:val="0"/>
        <w:textAlignment w:val="baseline"/>
        <w:rPr>
          <w:bCs/>
          <w:iCs/>
        </w:rPr>
      </w:pPr>
    </w:p>
    <w:p w:rsidRPr="00AA5F9C"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ist der Auffassung, dass in Europa genutzte </w:t>
      </w:r>
      <w:r>
        <w:rPr>
          <w:b/>
        </w:rPr>
        <w:t>Binnenschifffahrtsinformationsdienste (River Information Services, RIS)</w:t>
      </w:r>
      <w:r>
        <w:t xml:space="preserve"> heutzutage </w:t>
      </w:r>
      <w:r>
        <w:rPr>
          <w:b/>
        </w:rPr>
        <w:t>drei Zielen dienen sollten</w:t>
      </w:r>
      <w:r>
        <w:t>, die auch in Zukunft Geltung haben müssen:</w:t>
      </w:r>
    </w:p>
    <w:p w:rsidRPr="00E20D7C"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Sicherheit</w:t>
      </w:r>
      <w:r>
        <w:t>,</w:t>
      </w:r>
    </w:p>
    <w:p w:rsidRPr="00E20D7C"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Nachhaltigkeit</w:t>
      </w:r>
      <w:r>
        <w:t xml:space="preserve"> und</w:t>
      </w:r>
    </w:p>
    <w:p w:rsidRPr="00E20D7C"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Integrierbarkeit mit verschiedenen Verkehrsträgern</w:t>
      </w:r>
      <w:r>
        <w:t>;</w:t>
      </w:r>
    </w:p>
    <w:p w:rsidRPr="00E20D7C"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ist deshalb der Auffassung, dass die Systeme </w:t>
      </w:r>
      <w:r>
        <w:rPr>
          <w:b/>
        </w:rPr>
        <w:t>mit den verschiedenen Verkehrsträgern kompatibel</w:t>
      </w:r>
      <w:r>
        <w:t xml:space="preserve"> sowie </w:t>
      </w:r>
      <w:r>
        <w:rPr>
          <w:b/>
        </w:rPr>
        <w:t>benutzerfreundlich</w:t>
      </w:r>
      <w:r>
        <w:t xml:space="preserve"> sein sollten, </w:t>
      </w:r>
      <w:r>
        <w:rPr>
          <w:b/>
        </w:rPr>
        <w:t>damit sie den sich wandelnden Herausforderungen und Chancen angepasst werden können</w:t>
      </w:r>
      <w:r>
        <w:t>;</w:t>
      </w:r>
    </w:p>
    <w:p w:rsidRPr="00E20D7C"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hält es für </w:t>
      </w:r>
      <w:r>
        <w:rPr>
          <w:b/>
        </w:rPr>
        <w:t>grundlegend, die Menschen mit den neuen digitalen Technologien in der Binnenschifffahrt und ihrer Nutzung vertraut zu machen</w:t>
      </w:r>
      <w:r>
        <w:t>. Es ist dafür Sorge zu tragen, dass die Beschäftigten in die Beratungen über die Einführung von RIS einbezogen werden.</w:t>
      </w: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D7C" w:rsidR="00E20D7C" w:rsidTr="009839A2" w14:paraId="35DBB39D" w14:textId="77777777">
        <w:tc>
          <w:tcPr>
            <w:tcW w:w="1418"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Kontakt</w:t>
            </w:r>
          </w:p>
        </w:tc>
        <w:tc>
          <w:tcPr>
            <w:tcW w:w="5670"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r>
              <w:rPr>
                <w:i/>
              </w:rPr>
              <w:t>António Ribeiro Pereira</w:t>
            </w:r>
          </w:p>
        </w:tc>
      </w:tr>
      <w:tr w:rsidRPr="00E20D7C" w:rsidR="00E20D7C" w:rsidTr="009839A2" w14:paraId="7811314E" w14:textId="77777777">
        <w:tc>
          <w:tcPr>
            <w:tcW w:w="1418"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Tel.</w:t>
            </w:r>
          </w:p>
        </w:tc>
        <w:tc>
          <w:tcPr>
            <w:tcW w:w="5670"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+32 25469363</w:t>
            </w:r>
          </w:p>
        </w:tc>
      </w:tr>
      <w:tr w:rsidRPr="00E20D7C" w:rsidR="00E20D7C" w:rsidTr="009839A2" w14:paraId="1ECA36FC" w14:textId="77777777">
        <w:tc>
          <w:tcPr>
            <w:tcW w:w="1418" w:type="dxa"/>
          </w:tcPr>
          <w:p w:rsidRPr="00E20D7C" w:rsidR="00E20D7C" w:rsidP="00E20D7C" w:rsidRDefault="00BB3421" w14:paraId="469D69D5" w14:textId="65F83D60">
            <w:pPr>
              <w:overflowPunct w:val="0"/>
              <w:autoSpaceDE w:val="0"/>
              <w:autoSpaceDN w:val="0"/>
              <w:adjustRightInd w:val="0"/>
              <w:spacing w:line="240" w:lineRule="auto"/>
              <w:textAlignment w:val="baseline"/>
              <w:rPr>
                <w:i/>
              </w:rPr>
            </w:pPr>
            <w:r>
              <w:rPr>
                <w:i/>
              </w:rPr>
              <w:t>E-Mail</w:t>
            </w:r>
          </w:p>
        </w:tc>
        <w:tc>
          <w:tcPr>
            <w:tcW w:w="5670" w:type="dxa"/>
          </w:tcPr>
          <w:p w:rsidRPr="00E20D7C" w:rsidR="00E20D7C" w:rsidP="00E20D7C" w:rsidRDefault="006C4E9A" w14:paraId="1FF1EAD2" w14:textId="77777777">
            <w:pPr>
              <w:overflowPunct w:val="0"/>
              <w:autoSpaceDE w:val="0"/>
              <w:autoSpaceDN w:val="0"/>
              <w:adjustRightInd w:val="0"/>
              <w:spacing w:line="240" w:lineRule="auto"/>
              <w:textAlignment w:val="baseline"/>
              <w:rPr>
                <w:i/>
              </w:rPr>
            </w:pPr>
            <w:hyperlink w:history="1" r:id="rId49">
              <w:r w:rsidR="00C37C45">
                <w:rPr>
                  <w:i/>
                  <w:color w:val="0000FF"/>
                  <w:u w:val="single"/>
                </w:rPr>
                <w:t>Antonio.RibeiroPereira@eesc.europa.eu</w:t>
              </w:r>
            </w:hyperlink>
            <w:r w:rsidR="00C37C45">
              <w:rPr>
                <w:i/>
              </w:rPr>
              <w:t xml:space="preserve"> </w:t>
            </w:r>
          </w:p>
        </w:tc>
      </w:tr>
    </w:tbl>
    <w:p w:rsidR="00895853" w:rsidRDefault="00895853" w14:paraId="79A43486" w14:textId="77777777">
      <w:pPr>
        <w:spacing w:after="160" w:line="259" w:lineRule="auto"/>
        <w:jc w:val="left"/>
        <w:rPr>
          <w:highlight w:val="yellow"/>
        </w:rPr>
      </w:pPr>
      <w:r>
        <w:br w:type="page"/>
      </w:r>
    </w:p>
    <w:p w:rsidRPr="00A1771A" w:rsidR="00A1771A" w:rsidP="00401E8F" w:rsidRDefault="006C4E9A"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0">
        <w:r w:rsidR="008772F9">
          <w:rPr>
            <w:b/>
            <w:i/>
            <w:color w:val="0000FF"/>
            <w:sz w:val="28"/>
            <w:u w:val="single"/>
          </w:rPr>
          <w:t>Schutz der Demokratie vor Desinformation</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1771A" w:rsidR="00A1771A" w:rsidTr="009839A2" w14:paraId="596319A0" w14:textId="77777777">
        <w:tc>
          <w:tcPr>
            <w:tcW w:w="2235" w:type="dxa"/>
          </w:tcPr>
          <w:p w:rsidRPr="002A7171" w:rsidR="00A1771A" w:rsidP="00A1771A" w:rsidRDefault="00A1771A" w14:paraId="5F5E7508" w14:textId="77777777">
            <w:pPr>
              <w:tabs>
                <w:tab w:val="center" w:pos="284"/>
              </w:tabs>
              <w:overflowPunct w:val="0"/>
              <w:autoSpaceDE w:val="0"/>
              <w:autoSpaceDN w:val="0"/>
              <w:adjustRightInd w:val="0"/>
              <w:ind w:left="266" w:hanging="266"/>
              <w:textAlignment w:val="baseline"/>
              <w:rPr>
                <w:b/>
                <w:sz w:val="22"/>
                <w:szCs w:val="22"/>
              </w:rPr>
            </w:pPr>
            <w:r w:rsidRPr="002A7171">
              <w:rPr>
                <w:b/>
                <w:sz w:val="22"/>
                <w:szCs w:val="22"/>
              </w:rPr>
              <w:t>Berichterstatter</w:t>
            </w:r>
          </w:p>
        </w:tc>
        <w:tc>
          <w:tcPr>
            <w:tcW w:w="6838" w:type="dxa"/>
          </w:tcPr>
          <w:p w:rsidRPr="002A7171" w:rsidR="00A1771A" w:rsidP="00A1771A" w:rsidRDefault="00A1771A" w14:paraId="00621016" w14:textId="77777777">
            <w:pPr>
              <w:tabs>
                <w:tab w:val="center" w:pos="284"/>
              </w:tabs>
              <w:overflowPunct w:val="0"/>
              <w:autoSpaceDE w:val="0"/>
              <w:autoSpaceDN w:val="0"/>
              <w:adjustRightInd w:val="0"/>
              <w:ind w:left="266" w:hanging="266"/>
              <w:textAlignment w:val="baseline"/>
              <w:rPr>
                <w:sz w:val="22"/>
                <w:szCs w:val="22"/>
              </w:rPr>
            </w:pPr>
            <w:r w:rsidRPr="002A7171">
              <w:rPr>
                <w:sz w:val="22"/>
                <w:szCs w:val="22"/>
              </w:rPr>
              <w:t>Carlos Manuel TRINDADE (Gruppe Arbeitnehmer – PT)</w:t>
            </w:r>
          </w:p>
          <w:p w:rsidRPr="002A7171" w:rsidR="0057560E" w:rsidP="002A7171" w:rsidRDefault="0057560E" w14:paraId="6FC450F7" w14:textId="3DA50067">
            <w:pPr>
              <w:tabs>
                <w:tab w:val="center" w:pos="284"/>
              </w:tabs>
              <w:overflowPunct w:val="0"/>
              <w:autoSpaceDE w:val="0"/>
              <w:autoSpaceDN w:val="0"/>
              <w:adjustRightInd w:val="0"/>
              <w:ind w:left="266" w:hanging="266"/>
              <w:textAlignment w:val="baseline"/>
              <w:rPr>
                <w:sz w:val="22"/>
                <w:szCs w:val="22"/>
              </w:rPr>
            </w:pPr>
            <w:r w:rsidRPr="002A7171">
              <w:rPr>
                <w:sz w:val="22"/>
                <w:szCs w:val="22"/>
              </w:rPr>
              <w:t>John COMER (Gruppe Organisationen der Zivilgesellschaft – IE)</w:t>
            </w:r>
          </w:p>
        </w:tc>
      </w:tr>
      <w:tr w:rsidRPr="00A1771A" w:rsidR="00A1771A" w:rsidTr="009839A2" w14:paraId="7191F616" w14:textId="77777777">
        <w:tc>
          <w:tcPr>
            <w:tcW w:w="9073" w:type="dxa"/>
            <w:gridSpan w:val="2"/>
          </w:tcPr>
          <w:p w:rsidRPr="002A7171"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A1771A" w:rsidR="00A1771A" w:rsidTr="009839A2" w14:paraId="76B2E31E" w14:textId="77777777">
        <w:tc>
          <w:tcPr>
            <w:tcW w:w="2235" w:type="dxa"/>
          </w:tcPr>
          <w:p w:rsidRPr="002A7171" w:rsidR="00A1771A" w:rsidP="00A1771A" w:rsidRDefault="00A1771A" w14:paraId="079A9093" w14:textId="77777777">
            <w:pPr>
              <w:tabs>
                <w:tab w:val="center" w:pos="284"/>
              </w:tabs>
              <w:overflowPunct w:val="0"/>
              <w:autoSpaceDE w:val="0"/>
              <w:autoSpaceDN w:val="0"/>
              <w:adjustRightInd w:val="0"/>
              <w:ind w:left="266" w:hanging="266"/>
              <w:textAlignment w:val="baseline"/>
              <w:rPr>
                <w:b/>
                <w:sz w:val="22"/>
                <w:szCs w:val="22"/>
              </w:rPr>
            </w:pPr>
            <w:r w:rsidRPr="002A7171">
              <w:rPr>
                <w:b/>
                <w:sz w:val="22"/>
                <w:szCs w:val="22"/>
              </w:rPr>
              <w:t>Referenzdokument</w:t>
            </w:r>
          </w:p>
        </w:tc>
        <w:tc>
          <w:tcPr>
            <w:tcW w:w="6838" w:type="dxa"/>
          </w:tcPr>
          <w:p w:rsidRPr="002A7171" w:rsidR="00A1771A" w:rsidP="00A1771A" w:rsidRDefault="00A1771A" w14:paraId="4FA8FE24" w14:textId="77777777">
            <w:pPr>
              <w:tabs>
                <w:tab w:val="center" w:pos="0"/>
              </w:tabs>
              <w:overflowPunct w:val="0"/>
              <w:autoSpaceDE w:val="0"/>
              <w:autoSpaceDN w:val="0"/>
              <w:adjustRightInd w:val="0"/>
              <w:textAlignment w:val="baseline"/>
              <w:rPr>
                <w:sz w:val="22"/>
                <w:szCs w:val="22"/>
              </w:rPr>
            </w:pPr>
            <w:r w:rsidRPr="002A7171">
              <w:rPr>
                <w:sz w:val="22"/>
                <w:szCs w:val="22"/>
              </w:rPr>
              <w:t>Initiativstellungnahme</w:t>
            </w:r>
          </w:p>
          <w:p w:rsidRPr="002A7171" w:rsidR="00A1771A" w:rsidP="00A1771A" w:rsidRDefault="00A1771A" w14:paraId="212A8166" w14:textId="77777777">
            <w:pPr>
              <w:tabs>
                <w:tab w:val="center" w:pos="284"/>
              </w:tabs>
              <w:overflowPunct w:val="0"/>
              <w:autoSpaceDE w:val="0"/>
              <w:autoSpaceDN w:val="0"/>
              <w:adjustRightInd w:val="0"/>
              <w:ind w:left="266" w:hanging="266"/>
              <w:textAlignment w:val="baseline"/>
              <w:rPr>
                <w:sz w:val="22"/>
                <w:szCs w:val="22"/>
              </w:rPr>
            </w:pPr>
            <w:r w:rsidRPr="002A7171">
              <w:rPr>
                <w:sz w:val="22"/>
                <w:szCs w:val="22"/>
              </w:rPr>
              <w:t>EESC-2024-00014-00-00-AC</w:t>
            </w:r>
          </w:p>
        </w:tc>
      </w:tr>
    </w:tbl>
    <w:p w:rsidR="002A7171" w:rsidP="00A1771A" w:rsidRDefault="002A7171" w14:paraId="608F05D3" w14:textId="77777777">
      <w:pPr>
        <w:keepNext/>
        <w:keepLines/>
        <w:tabs>
          <w:tab w:val="center" w:pos="284"/>
        </w:tabs>
        <w:overflowPunct w:val="0"/>
        <w:autoSpaceDE w:val="0"/>
        <w:autoSpaceDN w:val="0"/>
        <w:adjustRightInd w:val="0"/>
        <w:ind w:left="266" w:hanging="266"/>
        <w:textAlignment w:val="baseline"/>
        <w:rPr>
          <w:b/>
        </w:rPr>
      </w:pPr>
    </w:p>
    <w:p w:rsidRPr="00A1771A" w:rsidR="00A1771A" w:rsidP="00A1771A" w:rsidRDefault="00A1771A" w14:paraId="47BFF786" w14:textId="7E0D5551">
      <w:pPr>
        <w:keepNext/>
        <w:keepLines/>
        <w:tabs>
          <w:tab w:val="center" w:pos="284"/>
        </w:tabs>
        <w:overflowPunct w:val="0"/>
        <w:autoSpaceDE w:val="0"/>
        <w:autoSpaceDN w:val="0"/>
        <w:adjustRightInd w:val="0"/>
        <w:ind w:left="266" w:hanging="266"/>
        <w:textAlignment w:val="baseline"/>
        <w:rPr>
          <w:b/>
        </w:rPr>
      </w:pPr>
      <w:r>
        <w:rPr>
          <w:b/>
        </w:rPr>
        <w:t>Kernaussagen</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t>Der EWSA</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pPr>
      <w:r>
        <w:t>weist die staatlichen Stellen Europas mit Nachdruck darauf hin, dass die Gefahr der Abhängigkeit von sozialen Medien und digitalen Plattformen bei den schutzbedürftigen Gruppen in unserer Gesellschaft bewertet und die kommerzielle Nutzung von KI und Algorithmen reguliert werden muss;</w:t>
      </w:r>
    </w:p>
    <w:p w:rsidRPr="00A1771A" w:rsidR="00A1771A" w:rsidP="00AA5F9C" w:rsidRDefault="00A1771A" w14:paraId="0F52890A" w14:textId="77777777">
      <w:pPr>
        <w:numPr>
          <w:ilvl w:val="0"/>
          <w:numId w:val="65"/>
        </w:numPr>
        <w:overflowPunct w:val="0"/>
        <w:autoSpaceDE w:val="0"/>
        <w:autoSpaceDN w:val="0"/>
        <w:adjustRightInd w:val="0"/>
        <w:ind w:left="284" w:hanging="284"/>
        <w:contextualSpacing/>
        <w:textAlignment w:val="baseline"/>
      </w:pPr>
      <w:r>
        <w:t>schlägt vor, dass die Organe und alle Mitgliedstaaten der EU eine breit angelegte Strategie zur Intensivierung sämtlicher bereits vorhandenen Maßnahmen zur Bekämpfung von Desinformation und zur Verhinderung des Missbrauchs digitaler Plattformen durch organisierte Scheinidentitäten sowie zur Schaffung von Instrumenten zur Förderung der Zusammenarbeit zwischen nationalen, regionalen und lokalen Nachrichtenmedien in Europa verfolgt wird;</w:t>
      </w:r>
    </w:p>
    <w:p w:rsidRPr="00A1771A"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pPr>
      <w:r>
        <w:t>fordert die Europäische Kommission auf, eine Einschätzung darüber abzugeben, wie die auf soziale Medien und digitale Plattformen anwendbaren Bestimmungen hinsichtlich der Desinformation greifen, und das derzeitige Ausmaß der Monetarisierung von Desinformation in sozialen Medien und digitalen Plattformen zu analysieren;</w:t>
      </w:r>
    </w:p>
    <w:p w:rsidRPr="00A1771A"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pPr>
      <w:r>
        <w:t>fordert die Europäische Kommission auf, einen Plan zu erarbeiten, der die Qualität lokaler und regionaler Information sicherstellt;</w:t>
      </w:r>
    </w:p>
    <w:p w:rsidRPr="00A1771A"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fordert, dass dem Europäischen Auswärtigen Dienst angemessene Ressourcen zur Bekämpfung und Überwachung von Informationsmanipulation und Einflussnahme aus dem Ausland zur Verfügung gestellt werden;</w:t>
      </w:r>
    </w:p>
    <w:p w:rsidRPr="00A1771A"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fordert eine Stärkung der Europäischen Beobachtungsstelle für digitale Medien als Anlaufstelle für Faktenprüfer sämtlicher öffentlicher Stellen mit dem Ziel, Desinformation im Internet besser erkennbar zu machen und die Bürgerinnen und Bürger in die Lage zu versetzen, auf Desinformation im Internet zu reagieren;</w:t>
      </w:r>
    </w:p>
    <w:p w:rsidRPr="00A1771A"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stellt fest, dass es als erster Schritt, dass der Pluralismus in den Medien nicht bedingungslos den Regeln des Marktes unterworfen wird, erforderlich ist, den Journalismus – wie von der UNESCO vorgeschlagen – als europäisches öffentliches Gut einzustufen;</w:t>
      </w:r>
    </w:p>
    <w:p w:rsidRPr="00A1771A"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pPr>
      <w:r>
        <w:t>schlägt vor, dass die Kommission prüft, ob ein auf verschiedenen Plattformen präsenter und in sämtlichen Landessprachen berichtender, redaktionell unabhängig arbeitender öffentlicher europäischer Nachrichtensender realisierbar ist, der allen europäischen Bürgerinnen und Bürgern faktengestützte Informationen zugänglich macht.</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1771A" w:rsidR="00A1771A" w:rsidTr="009839A2" w14:paraId="097FCBAD" w14:textId="77777777">
        <w:tc>
          <w:tcPr>
            <w:tcW w:w="1418"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Kontakt</w:t>
            </w:r>
          </w:p>
        </w:tc>
        <w:tc>
          <w:tcPr>
            <w:tcW w:w="5670" w:type="dxa"/>
          </w:tcPr>
          <w:p w:rsidRPr="00A1771A" w:rsidR="00A1771A" w:rsidP="00A1771A" w:rsidRDefault="00A1771A" w14:paraId="02BF8C8E" w14:textId="638250E6">
            <w:pPr>
              <w:overflowPunct w:val="0"/>
              <w:autoSpaceDE w:val="0"/>
              <w:autoSpaceDN w:val="0"/>
              <w:adjustRightInd w:val="0"/>
              <w:spacing w:line="240" w:lineRule="auto"/>
              <w:textAlignment w:val="baseline"/>
              <w:rPr>
                <w:i/>
              </w:rPr>
            </w:pPr>
            <w:r>
              <w:rPr>
                <w:i/>
              </w:rPr>
              <w:t>Francesco Napolitano</w:t>
            </w:r>
          </w:p>
        </w:tc>
      </w:tr>
      <w:tr w:rsidRPr="00A1771A" w:rsidR="00A1771A" w:rsidTr="009839A2" w14:paraId="76036C67" w14:textId="77777777">
        <w:tc>
          <w:tcPr>
            <w:tcW w:w="1418"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Tel.</w:t>
            </w:r>
          </w:p>
        </w:tc>
        <w:tc>
          <w:tcPr>
            <w:tcW w:w="5670"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+32 25468921</w:t>
            </w:r>
          </w:p>
        </w:tc>
      </w:tr>
      <w:tr w:rsidRPr="00A1771A" w:rsidR="00A1771A" w:rsidTr="009839A2" w14:paraId="7EE3C9DF" w14:textId="77777777">
        <w:tc>
          <w:tcPr>
            <w:tcW w:w="1418" w:type="dxa"/>
          </w:tcPr>
          <w:p w:rsidRPr="00A1771A" w:rsidR="00A1771A" w:rsidP="00A1771A" w:rsidRDefault="00965822" w14:paraId="7C62A1E0" w14:textId="6F053B40">
            <w:pPr>
              <w:overflowPunct w:val="0"/>
              <w:autoSpaceDE w:val="0"/>
              <w:autoSpaceDN w:val="0"/>
              <w:adjustRightInd w:val="0"/>
              <w:spacing w:line="240" w:lineRule="auto"/>
              <w:textAlignment w:val="baseline"/>
              <w:rPr>
                <w:i/>
              </w:rPr>
            </w:pPr>
            <w:r>
              <w:rPr>
                <w:i/>
              </w:rPr>
              <w:t>E-Mail</w:t>
            </w:r>
          </w:p>
        </w:tc>
        <w:tc>
          <w:tcPr>
            <w:tcW w:w="5670" w:type="dxa"/>
          </w:tcPr>
          <w:p w:rsidRPr="00A1771A" w:rsidR="00A1771A" w:rsidP="00A1771A" w:rsidRDefault="006C4E9A" w14:paraId="6EE91551" w14:textId="77777777">
            <w:pPr>
              <w:overflowPunct w:val="0"/>
              <w:autoSpaceDE w:val="0"/>
              <w:autoSpaceDN w:val="0"/>
              <w:adjustRightInd w:val="0"/>
              <w:spacing w:line="240" w:lineRule="auto"/>
              <w:textAlignment w:val="baseline"/>
              <w:rPr>
                <w:i/>
                <w:iCs/>
              </w:rPr>
            </w:pPr>
            <w:hyperlink w:history="1" r:id="rId51">
              <w:r w:rsidR="00C37C45">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0B1C30"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48523" w:id="9"/>
      <w:bookmarkEnd w:id="8"/>
      <w:r>
        <w:rPr>
          <w:b/>
        </w:rPr>
        <w:lastRenderedPageBreak/>
        <w:t>BERATENDE KOMMISSION FÜR DEN INDUSTRIELLEN WANDEL</w:t>
      </w:r>
      <w:bookmarkEnd w:id="9"/>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401E8F" w:rsidRDefault="006C4E9A"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2">
        <w:r w:rsidR="008772F9">
          <w:rPr>
            <w:b/>
            <w:i/>
            <w:color w:val="0000FF"/>
            <w:sz w:val="28"/>
            <w:u w:val="single"/>
          </w:rPr>
          <w:t>Auf dem Weg zu einem resilienteren, wettbewerbsfähigeren und nachhaltigeren Europa</w:t>
        </w:r>
      </w:hyperlink>
      <w:r w:rsidR="008772F9">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6607"/>
      </w:tblGrid>
      <w:tr w:rsidRPr="003C7345" w:rsidR="003C7345" w:rsidTr="002A7171" w14:paraId="3FE49B3B" w14:textId="77777777">
        <w:tc>
          <w:tcPr>
            <w:tcW w:w="1210" w:type="pct"/>
          </w:tcPr>
          <w:p w:rsidRPr="002A7171" w:rsidR="003C7345" w:rsidP="003C7345" w:rsidRDefault="003C7345" w14:paraId="52D76821" w14:textId="77777777">
            <w:pPr>
              <w:tabs>
                <w:tab w:val="center" w:pos="284"/>
              </w:tabs>
              <w:overflowPunct w:val="0"/>
              <w:autoSpaceDE w:val="0"/>
              <w:autoSpaceDN w:val="0"/>
              <w:adjustRightInd w:val="0"/>
              <w:ind w:left="266" w:hanging="266"/>
              <w:textAlignment w:val="baseline"/>
              <w:rPr>
                <w:b/>
                <w:sz w:val="22"/>
                <w:szCs w:val="22"/>
              </w:rPr>
            </w:pPr>
            <w:r w:rsidRPr="002A7171">
              <w:rPr>
                <w:b/>
                <w:sz w:val="22"/>
                <w:szCs w:val="22"/>
              </w:rPr>
              <w:t>Berichterstatter</w:t>
            </w:r>
          </w:p>
        </w:tc>
        <w:tc>
          <w:tcPr>
            <w:tcW w:w="3790" w:type="pct"/>
          </w:tcPr>
          <w:p w:rsidRPr="002A7171" w:rsidR="003C7345" w:rsidP="003C7345" w:rsidRDefault="003C7345" w14:paraId="2CC29541" w14:textId="5792D6E4">
            <w:pPr>
              <w:tabs>
                <w:tab w:val="center" w:pos="284"/>
              </w:tabs>
              <w:overflowPunct w:val="0"/>
              <w:autoSpaceDE w:val="0"/>
              <w:autoSpaceDN w:val="0"/>
              <w:adjustRightInd w:val="0"/>
              <w:ind w:left="266" w:hanging="266"/>
              <w:textAlignment w:val="baseline"/>
              <w:rPr>
                <w:sz w:val="22"/>
                <w:szCs w:val="22"/>
              </w:rPr>
            </w:pPr>
            <w:r w:rsidRPr="002A7171">
              <w:rPr>
                <w:sz w:val="22"/>
                <w:szCs w:val="22"/>
              </w:rPr>
              <w:t>Alain COHEUR (Gruppe Organisationen der Zivilgesellschaft – BE)</w:t>
            </w:r>
          </w:p>
        </w:tc>
      </w:tr>
      <w:tr w:rsidRPr="003C7345" w:rsidR="003C7345" w:rsidTr="002A7171" w14:paraId="371946CA" w14:textId="77777777">
        <w:tc>
          <w:tcPr>
            <w:tcW w:w="1210" w:type="pct"/>
          </w:tcPr>
          <w:p w:rsidRPr="002A7171" w:rsidR="003C7345" w:rsidP="003C7345" w:rsidRDefault="003C7345" w14:paraId="4023FE40" w14:textId="77777777">
            <w:pPr>
              <w:tabs>
                <w:tab w:val="center" w:pos="284"/>
              </w:tabs>
              <w:overflowPunct w:val="0"/>
              <w:autoSpaceDE w:val="0"/>
              <w:autoSpaceDN w:val="0"/>
              <w:adjustRightInd w:val="0"/>
              <w:ind w:left="266" w:hanging="266"/>
              <w:textAlignment w:val="baseline"/>
              <w:rPr>
                <w:b/>
                <w:sz w:val="22"/>
                <w:szCs w:val="22"/>
              </w:rPr>
            </w:pPr>
            <w:r w:rsidRPr="002A7171">
              <w:rPr>
                <w:b/>
                <w:sz w:val="22"/>
                <w:szCs w:val="22"/>
              </w:rPr>
              <w:t>Ko-Berichterstatter</w:t>
            </w:r>
          </w:p>
        </w:tc>
        <w:tc>
          <w:tcPr>
            <w:tcW w:w="3790" w:type="pct"/>
          </w:tcPr>
          <w:p w:rsidRPr="002A7171" w:rsidR="003C7345" w:rsidP="003C7345" w:rsidRDefault="003C7345" w14:paraId="3FDDB298" w14:textId="374AD5C6">
            <w:pPr>
              <w:tabs>
                <w:tab w:val="center" w:pos="284"/>
              </w:tabs>
              <w:overflowPunct w:val="0"/>
              <w:autoSpaceDE w:val="0"/>
              <w:autoSpaceDN w:val="0"/>
              <w:adjustRightInd w:val="0"/>
              <w:ind w:left="266" w:hanging="266"/>
              <w:textAlignment w:val="baseline"/>
              <w:rPr>
                <w:sz w:val="22"/>
                <w:szCs w:val="22"/>
              </w:rPr>
            </w:pPr>
            <w:r w:rsidRPr="002A7171">
              <w:rPr>
                <w:sz w:val="22"/>
                <w:szCs w:val="22"/>
              </w:rPr>
              <w:t>Alain TACCOEN (Kat. 1 – FR)</w:t>
            </w:r>
          </w:p>
        </w:tc>
      </w:tr>
      <w:tr w:rsidRPr="003C7345" w:rsidR="003C7345" w:rsidTr="009839A2" w14:paraId="029DFAE3" w14:textId="77777777">
        <w:tc>
          <w:tcPr>
            <w:tcW w:w="5000" w:type="pct"/>
            <w:gridSpan w:val="2"/>
          </w:tcPr>
          <w:p w:rsidRPr="002A7171"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3C7345" w:rsidR="003C7345" w:rsidTr="002A7171" w14:paraId="2752A739" w14:textId="77777777">
        <w:tc>
          <w:tcPr>
            <w:tcW w:w="1210" w:type="pct"/>
          </w:tcPr>
          <w:p w:rsidRPr="002A7171" w:rsidR="003C7345" w:rsidP="003C7345" w:rsidRDefault="003C7345" w14:paraId="01AE8F57" w14:textId="77777777">
            <w:pPr>
              <w:tabs>
                <w:tab w:val="center" w:pos="284"/>
              </w:tabs>
              <w:overflowPunct w:val="0"/>
              <w:autoSpaceDE w:val="0"/>
              <w:autoSpaceDN w:val="0"/>
              <w:adjustRightInd w:val="0"/>
              <w:ind w:left="266" w:hanging="266"/>
              <w:textAlignment w:val="baseline"/>
              <w:rPr>
                <w:b/>
                <w:sz w:val="22"/>
                <w:szCs w:val="22"/>
              </w:rPr>
            </w:pPr>
            <w:r w:rsidRPr="002A7171">
              <w:rPr>
                <w:b/>
                <w:sz w:val="22"/>
                <w:szCs w:val="22"/>
              </w:rPr>
              <w:t>Referenzdokumente</w:t>
            </w:r>
          </w:p>
        </w:tc>
        <w:tc>
          <w:tcPr>
            <w:tcW w:w="3790" w:type="pct"/>
          </w:tcPr>
          <w:p w:rsidRPr="002A7171" w:rsidR="000A4E0B" w:rsidP="003C7345" w:rsidRDefault="000A4E0B" w14:paraId="0B9712AD" w14:textId="3F9D5B6F">
            <w:pPr>
              <w:tabs>
                <w:tab w:val="center" w:pos="284"/>
              </w:tabs>
              <w:overflowPunct w:val="0"/>
              <w:autoSpaceDE w:val="0"/>
              <w:autoSpaceDN w:val="0"/>
              <w:adjustRightInd w:val="0"/>
              <w:ind w:left="266" w:hanging="266"/>
              <w:textAlignment w:val="baseline"/>
              <w:rPr>
                <w:sz w:val="22"/>
                <w:szCs w:val="22"/>
              </w:rPr>
            </w:pPr>
            <w:r w:rsidRPr="002A7171">
              <w:rPr>
                <w:sz w:val="22"/>
                <w:szCs w:val="22"/>
              </w:rPr>
              <w:t>COM(2023) 558 final</w:t>
            </w:r>
          </w:p>
          <w:p w:rsidRPr="002A7171" w:rsidR="003C7345" w:rsidP="003C7345" w:rsidRDefault="003C7345" w14:paraId="20BDAAEA" w14:textId="7CB6CB02">
            <w:pPr>
              <w:tabs>
                <w:tab w:val="center" w:pos="284"/>
              </w:tabs>
              <w:overflowPunct w:val="0"/>
              <w:autoSpaceDE w:val="0"/>
              <w:autoSpaceDN w:val="0"/>
              <w:adjustRightInd w:val="0"/>
              <w:ind w:left="266" w:hanging="266"/>
              <w:textAlignment w:val="baseline"/>
              <w:rPr>
                <w:sz w:val="22"/>
                <w:szCs w:val="22"/>
              </w:rPr>
            </w:pPr>
            <w:r w:rsidRPr="002A7171">
              <w:rPr>
                <w:sz w:val="22"/>
                <w:szCs w:val="22"/>
              </w:rPr>
              <w:t>EESC-2023-05678-00-00-AC</w:t>
            </w: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t>Der EWSA</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AA5F9C"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t xml:space="preserve">gibt eine </w:t>
      </w:r>
      <w:r>
        <w:rPr>
          <w:b/>
        </w:rPr>
        <w:t>Stellungnahme zu der im Vorfeld des Gipfeltreffens in Granada angenommenen Mitteilung der Europäischen Kommission</w:t>
      </w:r>
      <w:r>
        <w:t xml:space="preserve"> ab, damit sein Standpunkt bei der </w:t>
      </w:r>
      <w:r>
        <w:rPr>
          <w:b/>
        </w:rPr>
        <w:t>Vorbereitung der nächsten europäischen Legislaturperiode</w:t>
      </w:r>
      <w:r>
        <w:t xml:space="preserve"> berücksichtigt werden kann;</w:t>
      </w:r>
    </w:p>
    <w:p w:rsidRPr="003C7345" w:rsidR="003C7345" w:rsidP="00AA5F9C"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ist äußerst besorgt über den </w:t>
      </w:r>
      <w:r>
        <w:rPr>
          <w:b/>
        </w:rPr>
        <w:t>Rückstand gegenüber den USA und China in strategischen Bereichen</w:t>
      </w:r>
      <w:r>
        <w:t>. Hierdurch werden die Unabhängigkeit, die Souveränität und das Gesellschaftsmodell Europas weiter untergraben;</w:t>
      </w:r>
    </w:p>
    <w:p w:rsidRPr="003C7345"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 xml:space="preserve">ist der Ansicht, dass die Sicherung der Energiewende in Europa voraussetzt, dass der Einfluss Europas auf die </w:t>
      </w:r>
      <w:r>
        <w:rPr>
          <w:b/>
        </w:rPr>
        <w:t xml:space="preserve">Wertschöpfungsketten aller </w:t>
      </w:r>
      <w:proofErr w:type="spellStart"/>
      <w:r>
        <w:rPr>
          <w:b/>
        </w:rPr>
        <w:t>Dekarbonisierungstechnologien</w:t>
      </w:r>
      <w:proofErr w:type="spellEnd"/>
      <w:r>
        <w:t xml:space="preserve"> verstärkt wird, eine echte Dekarbonisierung durch </w:t>
      </w:r>
      <w:r>
        <w:rPr>
          <w:b/>
        </w:rPr>
        <w:t>Elektrifizierung und die Kohärenz zwischen den nationalen Energie- und Klimaplänen und den europäischen Zielen sichergestellt wird sowie wertvolle Arbeitsplätze für europäische Arbeitnehmer entwickelt werden</w:t>
      </w:r>
      <w:r>
        <w:t>;</w:t>
      </w:r>
    </w:p>
    <w:p w:rsidRPr="003C7345"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verweist darauf, dass die </w:t>
      </w:r>
      <w:r>
        <w:rPr>
          <w:b/>
        </w:rPr>
        <w:t>digitale Unabhängigkeit der EU</w:t>
      </w:r>
      <w:r>
        <w:t xml:space="preserve"> von mehreren Faktoren abhängen wird, nämlich ihrer </w:t>
      </w:r>
      <w:r>
        <w:rPr>
          <w:b/>
        </w:rPr>
        <w:t>Fähigkeit, Supercomputer zu entwickeln, ihre Daten in ihrem Hoheitsgebiet zu speichern, die Entwicklung starker Industrieunternehmen zu fördern</w:t>
      </w:r>
      <w:r>
        <w:t xml:space="preserve"> und </w:t>
      </w:r>
      <w:r>
        <w:rPr>
          <w:b/>
        </w:rPr>
        <w:t>digitale Kompetenzen</w:t>
      </w:r>
      <w:r>
        <w:t xml:space="preserve"> zu entwickeln;</w:t>
      </w:r>
    </w:p>
    <w:p w:rsidRPr="003C7345"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vertritt den Standpunkt, dass in Bezug auf die </w:t>
      </w:r>
      <w:r>
        <w:rPr>
          <w:b/>
        </w:rPr>
        <w:t>Nachhaltigkeit und Souveränität der europäischen Raumfahrtindustrie viele Herausforderungen zu bewältigen sind</w:t>
      </w:r>
      <w:r>
        <w:t xml:space="preserve">. </w:t>
      </w:r>
      <w:r>
        <w:rPr>
          <w:b/>
        </w:rPr>
        <w:t>Durch Fragmentierung, Überlappung und das geringe Volumen ihrer wichtigsten institutionellen Märkte wird die EU geschwächt</w:t>
      </w:r>
      <w:r>
        <w:t>, während die Finanzierungslücke im Vergleich zu den USA und China weiter wächst und die EU mit privaten Wirtschaftsgiganten konfrontiert ist, die ihre internen Lieferketten optimieren;</w:t>
      </w:r>
    </w:p>
    <w:p w:rsidRPr="003C7345"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t>geht davon aus, dass die</w:t>
      </w:r>
      <w:r>
        <w:rPr>
          <w:b/>
        </w:rPr>
        <w:t xml:space="preserve"> europäische Verteidigungsindustrie</w:t>
      </w:r>
      <w:r>
        <w:t xml:space="preserve"> in den kommenden Jahren den Mitgliedstaaten und ihren Streitkräften </w:t>
      </w:r>
      <w:r>
        <w:rPr>
          <w:b/>
        </w:rPr>
        <w:t>hochwertige, dem neuen strategischen Umfeld angepasste Verteidigungsgüter und -kapazitäten zur Verfügung stellen</w:t>
      </w:r>
      <w:r>
        <w:t xml:space="preserve">, aber auch </w:t>
      </w:r>
      <w:r>
        <w:rPr>
          <w:b/>
        </w:rPr>
        <w:t>der Ukraine und anderen Partnern weiterhin militärische Unterstützung leisten</w:t>
      </w:r>
      <w:r>
        <w:t xml:space="preserve"> muss.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Kontakt</w:t>
            </w:r>
          </w:p>
        </w:tc>
        <w:tc>
          <w:tcPr>
            <w:tcW w:w="3444" w:type="pct"/>
          </w:tcPr>
          <w:p w:rsidRPr="00AA5F9C" w:rsidR="003C7345" w:rsidP="003C7345" w:rsidRDefault="003C7345" w14:paraId="13CFADD6" w14:textId="7B173BD2">
            <w:pPr>
              <w:overflowPunct w:val="0"/>
              <w:autoSpaceDE w:val="0"/>
              <w:autoSpaceDN w:val="0"/>
              <w:adjustRightInd w:val="0"/>
              <w:spacing w:line="240" w:lineRule="auto"/>
              <w:textAlignment w:val="baseline"/>
              <w:rPr>
                <w:i/>
              </w:rPr>
            </w:pPr>
            <w:r>
              <w:rPr>
                <w:i/>
              </w:rPr>
              <w:t>Marie-Laurence Drillon</w:t>
            </w:r>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Tel.</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+32 25468320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Pr>
                <w:i/>
              </w:rPr>
              <w:t>E-Mail</w:t>
            </w:r>
          </w:p>
        </w:tc>
        <w:tc>
          <w:tcPr>
            <w:tcW w:w="3444" w:type="pct"/>
          </w:tcPr>
          <w:p w:rsidRPr="003C7345" w:rsidR="003C7345" w:rsidP="003C7345" w:rsidRDefault="006C4E9A" w14:paraId="0847A583" w14:textId="77777777">
            <w:pPr>
              <w:overflowPunct w:val="0"/>
              <w:autoSpaceDE w:val="0"/>
              <w:autoSpaceDN w:val="0"/>
              <w:adjustRightInd w:val="0"/>
              <w:spacing w:line="240" w:lineRule="auto"/>
              <w:textAlignment w:val="baseline"/>
              <w:rPr>
                <w:i/>
              </w:rPr>
            </w:pPr>
            <w:hyperlink w:history="1" r:id="rId53">
              <w:r w:rsidR="00C37C45">
                <w:rPr>
                  <w:i/>
                  <w:color w:val="0000FF"/>
                  <w:u w:val="single"/>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A1C" w14:textId="77777777" w:rsidR="008D3A30" w:rsidRPr="00386C01" w:rsidRDefault="008D3A30" w:rsidP="0038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r w:rsidR="006C4E9A">
      <w:fldChar w:fldCharType="begin"/>
    </w:r>
    <w:r w:rsidR="006C4E9A">
      <w:instrText xml:space="preserve"> NUMPAGES </w:instrText>
    </w:r>
    <w:r w:rsidR="006C4E9A">
      <w:fldChar w:fldCharType="separate"/>
    </w:r>
    <w:r w:rsidR="00401E8F">
      <w:t>1</w:t>
    </w:r>
    <w:r w:rsidR="006C4E9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DB2B" w14:textId="77777777" w:rsidR="008D3A30" w:rsidRPr="00386C01" w:rsidRDefault="008D3A30" w:rsidP="00386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r w:rsidR="006C4E9A">
      <w:fldChar w:fldCharType="begin"/>
    </w:r>
    <w:r w:rsidR="006C4E9A">
      <w:instrText xml:space="preserve"> NUMPAGES </w:instrText>
    </w:r>
    <w:r w:rsidR="006C4E9A">
      <w:fldChar w:fldCharType="separate"/>
    </w:r>
    <w:r>
      <w:t>5</w:t>
    </w:r>
    <w:r w:rsidR="006C4E9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E3D" w14:textId="77777777" w:rsidR="008D3A30" w:rsidRPr="00386C01" w:rsidRDefault="008D3A30"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F" w14:textId="4B5B1D16" w:rsidR="008D3A30" w:rsidRPr="00386C01" w:rsidRDefault="008D3A30"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283F" w14:textId="77777777" w:rsidR="008D3A30" w:rsidRPr="00386C01" w:rsidRDefault="008D3A30" w:rsidP="0038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5E77"/>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A7171"/>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8F1"/>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0C3"/>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9A"/>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3FBB"/>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37C45"/>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e-D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de/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de/our-work/opinions-information-reports/opinions/defence-democracy-package" TargetMode="External"/><Relationship Id="rId39" Type="http://schemas.openxmlformats.org/officeDocument/2006/relationships/hyperlink" Target="mailto:Radoslava.Stefankova@eesc.europa.eu" TargetMode="External"/><Relationship Id="rId21" Type="http://schemas.openxmlformats.org/officeDocument/2006/relationships/hyperlink" Target="https://www.eesc.europa.eu/de/our-work/opinions-information-reports/opinions/business-europe-framework-income-taxation-befit" TargetMode="External"/><Relationship Id="rId34" Type="http://schemas.openxmlformats.org/officeDocument/2006/relationships/hyperlink" Target="https://www.eesc.europa.eu/de/our-work/opinions-information-reports/opinions/long-term-competitiveness-strategy" TargetMode="External"/><Relationship Id="rId42" Type="http://schemas.openxmlformats.org/officeDocument/2006/relationships/hyperlink" Target="https://www.eesc.europa.eu/en/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de/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de/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de/our-work/opinions-information-reports/opinions/roadmap-anti-drug-trafficking"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de/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61" Type="http://schemas.openxmlformats.org/officeDocument/2006/relationships/theme" Target="theme/theme1.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de/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en/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https://www.eesc.europa.eu/de/our-work/opinions-information-reports/opinions/revision-package-travel-directive" TargetMode="External"/><Relationship Id="rId46" Type="http://schemas.openxmlformats.org/officeDocument/2006/relationships/hyperlink" Target="https://www.eesc.europa.eu/de/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de/our-work/opinions-information-reports/opinions/facilitating-cross-border-solutions" TargetMode="External"/><Relationship Id="rId28" Type="http://schemas.openxmlformats.org/officeDocument/2006/relationships/hyperlink" Target="https://www.eesc.europa.eu/de/our-work/opinions-information-reports/information-reports/evaluation-european-social-fund-2014-2020" TargetMode="External"/><Relationship Id="rId36" Type="http://schemas.openxmlformats.org/officeDocument/2006/relationships/hyperlink" Target="https://www.eesc.europa.eu/de/our-work/opinions-information-reports/opinions/strategic-foresight-report-2023"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de/our-work/opinions-information-reports/opinions/eu-uk-youth-engagement" TargetMode="External"/><Relationship Id="rId52" Type="http://schemas.openxmlformats.org/officeDocument/2006/relationships/hyperlink" Target="https://www.eesc.europa.eu/de/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F7M6YNZUATRX-917472228-3661</_dlc_DocId>
    <_dlc_DocIdUrl xmlns="59ace41b-6786-4ce3-be71-52c27066c6ef">
      <Url>http://dm/eesc/2024/_layouts/15/DocIdRedir.aspx?ID=F7M6YNZUATRX-917472228-3661</Url>
      <Description>F7M6YNZUATRX-917472228-3661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Jonnek Holger</DisplayName>
        <AccountId>1547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3433-50CD-446D-9957-B61C924367FB}"/>
</file>

<file path=customXml/itemProps2.xml><?xml version="1.0" encoding="utf-8"?>
<ds:datastoreItem xmlns:ds="http://schemas.openxmlformats.org/officeDocument/2006/customXml" ds:itemID="{4AE8E116-ECA3-4595-852C-00B9CB59174E}"/>
</file>

<file path=customXml/itemProps3.xml><?xml version="1.0" encoding="utf-8"?>
<ds:datastoreItem xmlns:ds="http://schemas.openxmlformats.org/officeDocument/2006/customXml" ds:itemID="{A9473B52-7744-4E95-89F4-CB2DB9A23BC2}"/>
</file>

<file path=customXml/itemProps4.xml><?xml version="1.0" encoding="utf-8"?>
<ds:datastoreItem xmlns:ds="http://schemas.openxmlformats.org/officeDocument/2006/customXml" ds:itemID="{8858563C-D9E2-4B9E-A447-71041E7C80CF}"/>
</file>

<file path=docProps/app.xml><?xml version="1.0" encoding="utf-8"?>
<Properties xmlns="http://schemas.openxmlformats.org/officeDocument/2006/extended-properties" xmlns:vt="http://schemas.openxmlformats.org/officeDocument/2006/docPropsVTypes">
  <Template>Normal.dotm</Template>
  <TotalTime>0</TotalTime>
  <Pages>24</Pages>
  <Words>7636</Words>
  <Characters>43527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- 587. Plenartagung - April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Jonnek Holger</cp:lastModifiedBy>
  <cp:revision>10</cp:revision>
  <cp:lastPrinted>2023-06-15T08:00:00Z</cp:lastPrinted>
  <dcterms:created xsi:type="dcterms:W3CDTF">2024-05-17T12:09:00Z</dcterms:created>
  <dcterms:modified xsi:type="dcterms:W3CDTF">2024-05-17T12:40:00Z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209617c4-bd71-47d2-9742-79f7103080b4</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FI|87606a43-d45f-42d6-b8c9-e1a3457db5b7;EN|f2175f21-25d7-44a3-96da-d6a61b075e1b;SL|98a412ae-eb01-49e9-ae3d-585a81724cfc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27;#SL|98a412ae-eb01-49e9-ae3d-585a81724cfc;#8;#Final|ea5e6674-7b27-4bac-b091-73adbb394efe;#7;#SPL-CES|32d8cb1f-c9ec-4365-95c7-8385a18618ac;#6;#Unrestricted|826e22d7-d029-4ec0-a450-0c28ff673572;#5;#EN|f2175f21-25d7-44a3-96da-d6a61b075e1b;#3;#TRA|150d2a88-1431-44e6-a8ca-0bb753ab8672;#1;#EESC|422833ec-8d7e-4e65-8e4e-8bed07ffb729;#35;#FI|87606a43-d45f-42d6-b8c9-e1a3457db5b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25;#DE|f6b31e5a-26fa-4935-b661-318e46daf27e</vt:lpwstr>
  </property>
  <property fmtid="{D5CDD505-2E9C-101B-9397-08002B2CF9AE}" pid="38" name="_docset_NoMedatataSyncRequired">
    <vt:lpwstr>False</vt:lpwstr>
  </property>
</Properties>
</file>