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C5C7D" w14:textId="77777777" w:rsidR="003C2229" w:rsidRDefault="00837B82" w:rsidP="00686EC2">
      <w:pPr>
        <w:spacing w:line="240" w:lineRule="auto"/>
        <w:rPr>
          <w:rFonts w:ascii="Verdana" w:hAnsi="Verdana"/>
          <w:sz w:val="20"/>
        </w:rPr>
      </w:pPr>
      <w:r>
        <w:rPr>
          <w:rFonts w:ascii="Verdana" w:hAnsi="Verdana"/>
          <w:noProof/>
          <w:sz w:val="20"/>
          <w:lang w:val="en-US"/>
        </w:rPr>
        <w:drawing>
          <wp:inline distT="0" distB="0" distL="0" distR="0" wp14:anchorId="48A3D0E2" wp14:editId="495B2AF2">
            <wp:extent cx="5760000" cy="1396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SC-PressRelease-EN-wordheader.jpg"/>
                    <pic:cNvPicPr/>
                  </pic:nvPicPr>
                  <pic:blipFill>
                    <a:blip r:embed="rId11">
                      <a:extLst>
                        <a:ext uri="{28A0092B-C50C-407E-A947-70E740481C1C}">
                          <a14:useLocalDpi xmlns:a14="http://schemas.microsoft.com/office/drawing/2010/main" val="0"/>
                        </a:ext>
                      </a:extLst>
                    </a:blip>
                    <a:stretch>
                      <a:fillRect/>
                    </a:stretch>
                  </pic:blipFill>
                  <pic:spPr>
                    <a:xfrm>
                      <a:off x="0" y="0"/>
                      <a:ext cx="5760000" cy="1396800"/>
                    </a:xfrm>
                    <a:prstGeom prst="rect">
                      <a:avLst/>
                    </a:prstGeom>
                  </pic:spPr>
                </pic:pic>
              </a:graphicData>
            </a:graphic>
          </wp:inline>
        </w:drawing>
      </w:r>
    </w:p>
    <w:tbl>
      <w:tblPr>
        <w:tblW w:w="0" w:type="auto"/>
        <w:tblLook w:val="0000" w:firstRow="0" w:lastRow="0" w:firstColumn="0" w:lastColumn="0" w:noHBand="0" w:noVBand="0"/>
      </w:tblPr>
      <w:tblGrid>
        <w:gridCol w:w="5041"/>
        <w:gridCol w:w="4030"/>
      </w:tblGrid>
      <w:tr w:rsidR="00C93E55" w14:paraId="3DAAEC18" w14:textId="77777777" w:rsidTr="00705C0F">
        <w:trPr>
          <w:cantSplit/>
        </w:trPr>
        <w:tc>
          <w:tcPr>
            <w:tcW w:w="5168" w:type="dxa"/>
          </w:tcPr>
          <w:p w14:paraId="55F520CB" w14:textId="7A237081" w:rsidR="00C93E55" w:rsidRDefault="00321382" w:rsidP="00F92DAC">
            <w:pPr>
              <w:spacing w:before="120" w:after="120" w:line="240" w:lineRule="auto"/>
              <w:rPr>
                <w:rFonts w:ascii="Verdana" w:hAnsi="Verdana"/>
                <w:b/>
                <w:bCs/>
                <w:sz w:val="20"/>
              </w:rPr>
            </w:pPr>
            <w:r w:rsidRPr="00321382">
              <w:rPr>
                <w:rFonts w:ascii="Verdana" w:hAnsi="Verdana"/>
                <w:noProof/>
                <w:sz w:val="20"/>
                <w:lang w:val="en-US"/>
              </w:rPr>
              <mc:AlternateContent>
                <mc:Choice Requires="wps">
                  <w:drawing>
                    <wp:anchor distT="0" distB="0" distL="114300" distR="114300" simplePos="0" relativeHeight="251659264" behindDoc="1" locked="0" layoutInCell="0" allowOverlap="1" wp14:anchorId="12AFE3AB" wp14:editId="00BDC415">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41680" w14:textId="77777777" w:rsidR="00321382" w:rsidRPr="00260E65" w:rsidRDefault="00321382">
                                  <w:pPr>
                                    <w:jc w:val="center"/>
                                    <w:rPr>
                                      <w:rFonts w:ascii="Arial" w:hAnsi="Arial" w:cs="Arial"/>
                                      <w:b/>
                                      <w:bCs/>
                                      <w:sz w:val="48"/>
                                      <w:lang w:val="nl-BE"/>
                                    </w:rPr>
                                  </w:pPr>
                                  <w:r>
                                    <w:rPr>
                                      <w:rFonts w:ascii="Arial" w:hAnsi="Arial" w:cs="Arial"/>
                                      <w:b/>
                                      <w:bCs/>
                                      <w:sz w:val="48"/>
                                      <w:lang w:val="nl-BE"/>
                                    </w:rPr>
                                    <w: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AFE3AB"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14:paraId="3DB41680" w14:textId="77777777" w:rsidR="00321382" w:rsidRPr="00260E65" w:rsidRDefault="00321382">
                            <w:pPr>
                              <w:jc w:val="center"/>
                              <w:rPr>
                                <w:rFonts w:ascii="Arial" w:hAnsi="Arial" w:cs="Arial"/>
                                <w:b/>
                                <w:bCs/>
                                <w:sz w:val="48"/>
                                <w:lang w:val="nl-BE"/>
                              </w:rPr>
                            </w:pPr>
                            <w:proofErr w:type="gramStart"/>
                            <w:r>
                              <w:rPr>
                                <w:rFonts w:ascii="Arial" w:hAnsi="Arial" w:cs="Arial"/>
                                <w:b/>
                                <w:bCs/>
                                <w:sz w:val="48"/>
                                <w:lang w:val="nl-BE"/>
                              </w:rPr>
                              <w:t>EN</w:t>
                            </w:r>
                            <w:proofErr w:type="gramEnd"/>
                          </w:p>
                        </w:txbxContent>
                      </v:textbox>
                      <w10:wrap anchorx="page" anchory="page"/>
                    </v:shape>
                  </w:pict>
                </mc:Fallback>
              </mc:AlternateContent>
            </w:r>
            <w:r w:rsidR="00C93E55">
              <w:rPr>
                <w:rFonts w:ascii="Verdana" w:hAnsi="Verdana"/>
                <w:b/>
                <w:bCs/>
                <w:sz w:val="20"/>
              </w:rPr>
              <w:t xml:space="preserve">PRESS RELEASE No </w:t>
            </w:r>
            <w:r w:rsidR="00493065">
              <w:rPr>
                <w:rFonts w:ascii="Verdana" w:hAnsi="Verdana"/>
                <w:b/>
                <w:bCs/>
                <w:sz w:val="20"/>
              </w:rPr>
              <w:t>21</w:t>
            </w:r>
          </w:p>
        </w:tc>
        <w:tc>
          <w:tcPr>
            <w:tcW w:w="4119" w:type="dxa"/>
          </w:tcPr>
          <w:p w14:paraId="37F7EF7A" w14:textId="3EA726DA" w:rsidR="00C93E55" w:rsidRDefault="00493065" w:rsidP="00F92DAC">
            <w:pPr>
              <w:spacing w:before="120" w:after="120" w:line="240" w:lineRule="auto"/>
              <w:jc w:val="right"/>
              <w:rPr>
                <w:rFonts w:ascii="Verdana" w:hAnsi="Verdana"/>
                <w:b/>
                <w:bCs/>
                <w:sz w:val="20"/>
              </w:rPr>
            </w:pPr>
            <w:r>
              <w:rPr>
                <w:rFonts w:ascii="Verdana" w:hAnsi="Verdana"/>
                <w:b/>
                <w:bCs/>
                <w:sz w:val="20"/>
              </w:rPr>
              <w:t>Podgorica 16 April 2024</w:t>
            </w:r>
          </w:p>
        </w:tc>
      </w:tr>
    </w:tbl>
    <w:p w14:paraId="61302737" w14:textId="7A9290EA" w:rsidR="00F83179" w:rsidRDefault="00955D3C" w:rsidP="00686EC2">
      <w:pPr>
        <w:spacing w:line="240" w:lineRule="auto"/>
        <w:rPr>
          <w:rFonts w:ascii="Verdana" w:hAnsi="Verdana"/>
          <w:sz w:val="20"/>
        </w:rPr>
      </w:pPr>
      <w:r w:rsidRPr="00955D3C">
        <w:rPr>
          <w:rFonts w:ascii="Verdana" w:hAnsi="Verdana"/>
          <w:b/>
          <w:bCs/>
          <w:noProof/>
          <w:sz w:val="20"/>
          <w:lang w:val="en-US"/>
        </w:rPr>
        <mc:AlternateContent>
          <mc:Choice Requires="wps">
            <w:drawing>
              <wp:anchor distT="0" distB="0" distL="114300" distR="114300" simplePos="0" relativeHeight="251661312" behindDoc="1" locked="0" layoutInCell="0" allowOverlap="1" wp14:anchorId="7EBAEFAB" wp14:editId="22C8CBC5">
                <wp:simplePos x="0" y="0"/>
                <wp:positionH relativeFrom="page">
                  <wp:posOffset>6770788</wp:posOffset>
                </wp:positionH>
                <wp:positionV relativeFrom="page">
                  <wp:posOffset>10084828</wp:posOffset>
                </wp:positionV>
                <wp:extent cx="647700" cy="396240"/>
                <wp:effectExtent l="0" t="0" r="0" b="381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8B9D7" w14:textId="10A62E72" w:rsidR="00955D3C" w:rsidRPr="00260E65" w:rsidRDefault="00955D3C">
                            <w:pPr>
                              <w:jc w:val="center"/>
                              <w:rPr>
                                <w:rFonts w:ascii="Arial" w:hAnsi="Arial" w:cs="Arial"/>
                                <w:b/>
                                <w:bCs/>
                                <w:sz w:val="48"/>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AEFAB" id="_x0000_t202" coordsize="21600,21600" o:spt="202" path="m,l,21600r21600,l21600,xe">
                <v:stroke joinstyle="miter"/>
                <v:path gradientshapeok="t" o:connecttype="rect"/>
              </v:shapetype>
              <v:shape id="_x0000_s1027" type="#_x0000_t202" style="position:absolute;left:0;text-align:left;margin-left:533.15pt;margin-top:794.1pt;width:51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" o:allowincell="f" filled="f" stroked="f">
                <v:textbox>
                  <w:txbxContent>
                    <w:p w14:paraId="0738B9D7" w14:textId="10A62E72" w:rsidR="00955D3C" w:rsidRPr="00260E65" w:rsidRDefault="00955D3C">
                      <w:pPr>
                        <w:jc w:val="center"/>
                        <w:rPr>
                          <w:rFonts w:ascii="Arial" w:hAnsi="Arial" w:cs="Arial"/>
                          <w:b/>
                          <w:bCs/>
                          <w:sz w:val="48"/>
                          <w:lang w:val="nl-BE"/>
                        </w:rPr>
                      </w:pPr>
                    </w:p>
                  </w:txbxContent>
                </v:textbox>
                <w10:wrap anchorx="page" anchory="page"/>
              </v:shape>
            </w:pict>
          </mc:Fallback>
        </mc:AlternateContent>
      </w:r>
    </w:p>
    <w:p w14:paraId="13708A22" w14:textId="77777777" w:rsidR="00493065" w:rsidRPr="00493065" w:rsidRDefault="00493065" w:rsidP="00493065">
      <w:pPr>
        <w:spacing w:line="240" w:lineRule="auto"/>
        <w:jc w:val="center"/>
        <w:rPr>
          <w:rFonts w:ascii="Verdana" w:hAnsi="Verdana"/>
          <w:b/>
          <w:bCs/>
          <w:color w:val="0070C0"/>
          <w:sz w:val="28"/>
          <w:szCs w:val="24"/>
        </w:rPr>
      </w:pPr>
      <w:r w:rsidRPr="00493065">
        <w:rPr>
          <w:rFonts w:ascii="Verdana" w:hAnsi="Verdana"/>
          <w:b/>
          <w:bCs/>
          <w:color w:val="0070C0"/>
          <w:sz w:val="28"/>
          <w:szCs w:val="24"/>
        </w:rPr>
        <w:t>The EU-Montenegro Joint Consultative Committee: Montenegro is advancing in the EU accession path</w:t>
      </w:r>
    </w:p>
    <w:p w14:paraId="5F7002CE" w14:textId="77777777" w:rsidR="00493065" w:rsidRPr="00493065" w:rsidRDefault="00493065" w:rsidP="00493065">
      <w:pPr>
        <w:overflowPunct/>
        <w:autoSpaceDE/>
        <w:autoSpaceDN/>
        <w:adjustRightInd/>
        <w:spacing w:line="240" w:lineRule="auto"/>
        <w:textAlignment w:val="auto"/>
        <w:rPr>
          <w:rFonts w:ascii="Calibri" w:eastAsia="Calibri" w:hAnsi="Calibri" w:cs="Calibri"/>
          <w:b/>
          <w:bCs/>
          <w:sz w:val="24"/>
          <w:szCs w:val="24"/>
        </w:rPr>
      </w:pPr>
    </w:p>
    <w:p w14:paraId="197B9DB7" w14:textId="07A547A3" w:rsidR="00493065" w:rsidRPr="00493065" w:rsidRDefault="00493065" w:rsidP="00493065">
      <w:pPr>
        <w:overflowPunct/>
        <w:autoSpaceDE/>
        <w:autoSpaceDN/>
        <w:adjustRightInd/>
        <w:spacing w:line="240" w:lineRule="auto"/>
        <w:textAlignment w:val="auto"/>
        <w:rPr>
          <w:rFonts w:ascii="Verdana" w:eastAsia="Calibri" w:hAnsi="Verdana" w:cs="Calibri"/>
          <w:b/>
          <w:bCs/>
          <w:sz w:val="20"/>
        </w:rPr>
      </w:pPr>
      <w:r w:rsidRPr="00493065">
        <w:rPr>
          <w:rFonts w:ascii="Verdana" w:eastAsia="Calibri" w:hAnsi="Verdana" w:cs="Calibri"/>
          <w:b/>
          <w:bCs/>
          <w:sz w:val="20"/>
        </w:rPr>
        <w:t xml:space="preserve">The 18th meeting of the EU-Montenegro Joint Consultative Committee (JCC), which took place in Podgorica today, sent a clear message to the EU </w:t>
      </w:r>
      <w:proofErr w:type="spellStart"/>
      <w:r w:rsidRPr="00493065">
        <w:rPr>
          <w:rFonts w:ascii="Verdana" w:eastAsia="Calibri" w:hAnsi="Verdana" w:cs="Calibri"/>
          <w:b/>
          <w:bCs/>
          <w:sz w:val="20"/>
        </w:rPr>
        <w:t>institutionsthat</w:t>
      </w:r>
      <w:proofErr w:type="spellEnd"/>
      <w:r w:rsidRPr="00493065">
        <w:rPr>
          <w:rFonts w:ascii="Verdana" w:eastAsia="Calibri" w:hAnsi="Verdana" w:cs="Calibri"/>
          <w:b/>
          <w:bCs/>
          <w:sz w:val="20"/>
        </w:rPr>
        <w:t xml:space="preserve"> Montenegro is firmly committed to becoming the 28</w:t>
      </w:r>
      <w:r w:rsidRPr="00493065">
        <w:rPr>
          <w:rFonts w:ascii="Verdana" w:eastAsia="Calibri" w:hAnsi="Verdana" w:cs="Calibri"/>
          <w:b/>
          <w:bCs/>
          <w:sz w:val="20"/>
          <w:vertAlign w:val="superscript"/>
        </w:rPr>
        <w:t>th</w:t>
      </w:r>
      <w:r w:rsidRPr="00493065">
        <w:rPr>
          <w:rFonts w:ascii="Verdana" w:eastAsia="Calibri" w:hAnsi="Verdana" w:cs="Calibri"/>
          <w:b/>
          <w:bCs/>
          <w:sz w:val="20"/>
        </w:rPr>
        <w:t xml:space="preserve"> member by 2028. The JCC members encouraged their organisations, the national authorities and the EU institutions to spare no effort to accomplish the rule of law interim benchmarks. Obtaining the Interim Benchmark Assessment Report (IBAR) for the rule of law by June will be a turning point in the EU accession process, enabling provisional closing of other chapters.</w:t>
      </w:r>
    </w:p>
    <w:p w14:paraId="365E3984" w14:textId="77777777" w:rsidR="00493065" w:rsidRPr="00493065" w:rsidRDefault="00493065" w:rsidP="00493065">
      <w:pPr>
        <w:overflowPunct/>
        <w:autoSpaceDE/>
        <w:autoSpaceDN/>
        <w:adjustRightInd/>
        <w:spacing w:line="240" w:lineRule="auto"/>
        <w:textAlignment w:val="auto"/>
        <w:rPr>
          <w:rFonts w:ascii="Calibri" w:eastAsia="Calibri" w:hAnsi="Calibri" w:cs="Calibri"/>
          <w:b/>
          <w:bCs/>
          <w:sz w:val="20"/>
        </w:rPr>
      </w:pPr>
    </w:p>
    <w:p w14:paraId="57D15418" w14:textId="77777777" w:rsidR="00493065" w:rsidRPr="00493065" w:rsidRDefault="00493065" w:rsidP="00493065">
      <w:pPr>
        <w:overflowPunct/>
        <w:autoSpaceDE/>
        <w:autoSpaceDN/>
        <w:adjustRightInd/>
        <w:spacing w:line="240" w:lineRule="auto"/>
        <w:textAlignment w:val="auto"/>
        <w:rPr>
          <w:rFonts w:ascii="Verdana" w:eastAsia="Calibri" w:hAnsi="Verdana" w:cs="Calibri"/>
          <w:sz w:val="19"/>
          <w:szCs w:val="19"/>
        </w:rPr>
      </w:pPr>
      <w:r w:rsidRPr="00493065">
        <w:rPr>
          <w:rFonts w:ascii="Verdana" w:eastAsia="Calibri" w:hAnsi="Verdana" w:cs="Calibri"/>
          <w:sz w:val="19"/>
          <w:szCs w:val="19"/>
        </w:rPr>
        <w:t xml:space="preserve">The co-chairs of the EU-Montenegro JCC, EESC member </w:t>
      </w:r>
      <w:r w:rsidRPr="00493065">
        <w:rPr>
          <w:rFonts w:ascii="Verdana" w:eastAsia="Calibri" w:hAnsi="Verdana" w:cs="Calibri"/>
          <w:b/>
          <w:bCs/>
          <w:sz w:val="19"/>
          <w:szCs w:val="19"/>
        </w:rPr>
        <w:t>Decebal-</w:t>
      </w:r>
      <w:proofErr w:type="spellStart"/>
      <w:r w:rsidRPr="00493065">
        <w:rPr>
          <w:rFonts w:ascii="Verdana" w:eastAsia="Calibri" w:hAnsi="Verdana" w:cs="Calibri"/>
          <w:b/>
          <w:bCs/>
          <w:sz w:val="19"/>
          <w:szCs w:val="19"/>
        </w:rPr>
        <w:t>Ștefăniță</w:t>
      </w:r>
      <w:proofErr w:type="spellEnd"/>
      <w:r w:rsidRPr="00493065">
        <w:rPr>
          <w:rFonts w:ascii="Verdana" w:eastAsia="Calibri" w:hAnsi="Verdana" w:cs="Calibri"/>
          <w:b/>
          <w:bCs/>
          <w:sz w:val="19"/>
          <w:szCs w:val="19"/>
        </w:rPr>
        <w:t xml:space="preserve"> Padure</w:t>
      </w:r>
      <w:r w:rsidRPr="00493065">
        <w:rPr>
          <w:rFonts w:ascii="Verdana" w:eastAsia="Calibri" w:hAnsi="Verdana" w:cs="Calibri"/>
          <w:sz w:val="19"/>
          <w:szCs w:val="19"/>
        </w:rPr>
        <w:t xml:space="preserve"> and professor </w:t>
      </w:r>
      <w:r w:rsidRPr="00493065">
        <w:rPr>
          <w:rFonts w:ascii="Verdana" w:eastAsia="Calibri" w:hAnsi="Verdana" w:cs="Calibri"/>
          <w:b/>
          <w:bCs/>
          <w:sz w:val="19"/>
          <w:szCs w:val="19"/>
        </w:rPr>
        <w:t xml:space="preserve">Gordana </w:t>
      </w:r>
      <w:proofErr w:type="spellStart"/>
      <w:r w:rsidRPr="00493065">
        <w:rPr>
          <w:rFonts w:ascii="Verdana" w:eastAsia="Calibri" w:hAnsi="Verdana" w:cs="Calibri"/>
          <w:b/>
          <w:bCs/>
          <w:sz w:val="19"/>
          <w:szCs w:val="19"/>
        </w:rPr>
        <w:t>Đurović</w:t>
      </w:r>
      <w:proofErr w:type="spellEnd"/>
      <w:r w:rsidRPr="00493065">
        <w:rPr>
          <w:rFonts w:ascii="Verdana" w:eastAsia="Calibri" w:hAnsi="Verdana" w:cs="Calibri"/>
          <w:sz w:val="19"/>
          <w:szCs w:val="19"/>
        </w:rPr>
        <w:t xml:space="preserve">, from the Montenegrin Pan-European Union, both recalled the JCC's role </w:t>
      </w:r>
      <w:proofErr w:type="spellStart"/>
      <w:r w:rsidRPr="00493065">
        <w:rPr>
          <w:rFonts w:ascii="Verdana" w:eastAsia="Calibri" w:hAnsi="Verdana" w:cs="Calibri"/>
          <w:sz w:val="19"/>
          <w:szCs w:val="19"/>
        </w:rPr>
        <w:t>inenabling</w:t>
      </w:r>
      <w:proofErr w:type="spellEnd"/>
      <w:r w:rsidRPr="00493065">
        <w:rPr>
          <w:rFonts w:ascii="Verdana" w:eastAsia="Calibri" w:hAnsi="Verdana" w:cs="Calibri"/>
          <w:sz w:val="19"/>
          <w:szCs w:val="19"/>
        </w:rPr>
        <w:t xml:space="preserve"> civil society organizations to monitor the negotiation process and submit recommendations to the Government of Montenegro and the EU institutions in order to improve the country's accession to the EU.</w:t>
      </w:r>
    </w:p>
    <w:p w14:paraId="14940014" w14:textId="77777777" w:rsidR="00493065" w:rsidRPr="00493065" w:rsidRDefault="00493065" w:rsidP="00493065">
      <w:pPr>
        <w:overflowPunct/>
        <w:autoSpaceDE/>
        <w:autoSpaceDN/>
        <w:adjustRightInd/>
        <w:spacing w:line="240" w:lineRule="auto"/>
        <w:textAlignment w:val="auto"/>
        <w:rPr>
          <w:rFonts w:ascii="Verdana" w:eastAsia="Calibri" w:hAnsi="Verdana" w:cs="Calibri"/>
          <w:sz w:val="19"/>
          <w:szCs w:val="19"/>
        </w:rPr>
      </w:pPr>
    </w:p>
    <w:p w14:paraId="0CD3AD33" w14:textId="77777777" w:rsidR="00493065" w:rsidRPr="00493065" w:rsidRDefault="00493065" w:rsidP="00493065">
      <w:pPr>
        <w:overflowPunct/>
        <w:autoSpaceDE/>
        <w:autoSpaceDN/>
        <w:adjustRightInd/>
        <w:spacing w:line="240" w:lineRule="auto"/>
        <w:textAlignment w:val="auto"/>
        <w:rPr>
          <w:rFonts w:ascii="Verdana" w:eastAsia="Calibri" w:hAnsi="Verdana" w:cs="Calibri"/>
          <w:sz w:val="19"/>
          <w:szCs w:val="19"/>
        </w:rPr>
      </w:pPr>
      <w:r w:rsidRPr="00493065">
        <w:rPr>
          <w:rFonts w:ascii="Verdana" w:eastAsia="Calibri" w:hAnsi="Verdana" w:cs="Calibri"/>
          <w:sz w:val="19"/>
          <w:szCs w:val="19"/>
        </w:rPr>
        <w:t xml:space="preserve">"We recognise the recent positive trend in fostering inclusivity and political dialogue, and we hope that political maturity and institutional stability will prevail in the coming period so that Montenegro can take a major step forward in the accession negotiations already in the first half of this year," said the co-chair </w:t>
      </w:r>
      <w:r w:rsidRPr="00493065">
        <w:rPr>
          <w:rFonts w:ascii="Verdana" w:eastAsia="Calibri" w:hAnsi="Verdana" w:cs="Calibri"/>
          <w:b/>
          <w:bCs/>
          <w:sz w:val="19"/>
          <w:szCs w:val="19"/>
        </w:rPr>
        <w:t>Decebal-</w:t>
      </w:r>
      <w:proofErr w:type="spellStart"/>
      <w:r w:rsidRPr="00493065">
        <w:rPr>
          <w:rFonts w:ascii="Verdana" w:eastAsia="Calibri" w:hAnsi="Verdana" w:cs="Calibri"/>
          <w:b/>
          <w:bCs/>
          <w:sz w:val="19"/>
          <w:szCs w:val="19"/>
        </w:rPr>
        <w:t>Ștefăniță</w:t>
      </w:r>
      <w:proofErr w:type="spellEnd"/>
      <w:r w:rsidRPr="00493065">
        <w:rPr>
          <w:rFonts w:ascii="Verdana" w:eastAsia="Calibri" w:hAnsi="Verdana" w:cs="Calibri"/>
          <w:b/>
          <w:bCs/>
          <w:sz w:val="19"/>
          <w:szCs w:val="19"/>
        </w:rPr>
        <w:t xml:space="preserve"> Padure</w:t>
      </w:r>
      <w:r w:rsidRPr="00493065">
        <w:rPr>
          <w:rFonts w:ascii="Verdana" w:eastAsia="Calibri" w:hAnsi="Verdana" w:cs="Calibri"/>
          <w:sz w:val="19"/>
          <w:szCs w:val="19"/>
        </w:rPr>
        <w:t>. "The Montenegrin authorities should fulfil their ambitious goals, and organised civil society should be involved in every step of the accession negotiations," he added.</w:t>
      </w:r>
    </w:p>
    <w:p w14:paraId="2FA83E44" w14:textId="77777777" w:rsidR="00493065" w:rsidRPr="00493065" w:rsidRDefault="00493065" w:rsidP="00493065">
      <w:pPr>
        <w:overflowPunct/>
        <w:autoSpaceDE/>
        <w:autoSpaceDN/>
        <w:adjustRightInd/>
        <w:spacing w:line="240" w:lineRule="auto"/>
        <w:textAlignment w:val="auto"/>
        <w:rPr>
          <w:rFonts w:ascii="Verdana" w:eastAsia="Calibri" w:hAnsi="Verdana" w:cs="Calibri"/>
          <w:sz w:val="19"/>
          <w:szCs w:val="19"/>
        </w:rPr>
      </w:pPr>
    </w:p>
    <w:p w14:paraId="64698E24" w14:textId="77777777" w:rsidR="00493065" w:rsidRPr="00493065" w:rsidRDefault="00493065" w:rsidP="00493065">
      <w:pPr>
        <w:overflowPunct/>
        <w:autoSpaceDE/>
        <w:autoSpaceDN/>
        <w:adjustRightInd/>
        <w:spacing w:line="240" w:lineRule="auto"/>
        <w:textAlignment w:val="auto"/>
        <w:rPr>
          <w:rFonts w:ascii="Verdana" w:eastAsia="Calibri" w:hAnsi="Verdana" w:cs="Calibri"/>
          <w:sz w:val="19"/>
          <w:szCs w:val="19"/>
        </w:rPr>
      </w:pPr>
      <w:r w:rsidRPr="00493065">
        <w:rPr>
          <w:rFonts w:ascii="Verdana" w:eastAsia="Calibri" w:hAnsi="Verdana" w:cs="Calibri"/>
          <w:sz w:val="19"/>
          <w:szCs w:val="19"/>
        </w:rPr>
        <w:t xml:space="preserve">Co-chair </w:t>
      </w:r>
      <w:r w:rsidRPr="00493065">
        <w:rPr>
          <w:rFonts w:ascii="Verdana" w:eastAsia="Calibri" w:hAnsi="Verdana" w:cs="Calibri"/>
          <w:b/>
          <w:bCs/>
          <w:sz w:val="19"/>
          <w:szCs w:val="19"/>
        </w:rPr>
        <w:t xml:space="preserve">Gordana </w:t>
      </w:r>
      <w:proofErr w:type="spellStart"/>
      <w:r w:rsidRPr="00493065">
        <w:rPr>
          <w:rFonts w:ascii="Verdana" w:eastAsia="Calibri" w:hAnsi="Verdana" w:cs="Calibri"/>
          <w:b/>
          <w:bCs/>
          <w:sz w:val="19"/>
          <w:szCs w:val="19"/>
        </w:rPr>
        <w:t>Đurović</w:t>
      </w:r>
      <w:proofErr w:type="spellEnd"/>
      <w:r w:rsidRPr="00493065">
        <w:rPr>
          <w:rFonts w:ascii="Verdana" w:eastAsia="Calibri" w:hAnsi="Verdana" w:cs="Calibri"/>
          <w:sz w:val="19"/>
          <w:szCs w:val="19"/>
        </w:rPr>
        <w:t xml:space="preserve"> called on all stakeholders to support the efforts to obtain the Commission's positive report by June and pointed out that "all those who insist on long procedures in some of the hot topics of electoral reform or judicial reform, in these uncertain weeks of the fight for the Interim Benchmark Assessment Report (IBAR), risk that Montenegro does not get the IBAR, which is against the interest of the citizens of Montenegro. That is why I urge all stakeholders and above all, the Government and the Parliament, to complete their part of the work." </w:t>
      </w:r>
    </w:p>
    <w:p w14:paraId="407EFA4F" w14:textId="77777777" w:rsidR="00493065" w:rsidRPr="00493065" w:rsidRDefault="00493065" w:rsidP="00493065">
      <w:pPr>
        <w:overflowPunct/>
        <w:autoSpaceDE/>
        <w:autoSpaceDN/>
        <w:adjustRightInd/>
        <w:spacing w:line="240" w:lineRule="auto"/>
        <w:textAlignment w:val="auto"/>
        <w:rPr>
          <w:rFonts w:ascii="Verdana" w:eastAsia="Calibri" w:hAnsi="Verdana" w:cs="Calibri"/>
          <w:sz w:val="19"/>
          <w:szCs w:val="19"/>
        </w:rPr>
      </w:pPr>
    </w:p>
    <w:p w14:paraId="62556C82" w14:textId="77777777" w:rsidR="00493065" w:rsidRPr="00493065" w:rsidRDefault="00493065" w:rsidP="00493065">
      <w:pPr>
        <w:overflowPunct/>
        <w:autoSpaceDE/>
        <w:autoSpaceDN/>
        <w:adjustRightInd/>
        <w:spacing w:line="240" w:lineRule="auto"/>
        <w:textAlignment w:val="auto"/>
        <w:rPr>
          <w:rFonts w:ascii="Verdana" w:eastAsia="Calibri" w:hAnsi="Verdana" w:cs="Calibri"/>
          <w:sz w:val="19"/>
          <w:szCs w:val="19"/>
        </w:rPr>
      </w:pPr>
      <w:r w:rsidRPr="00493065">
        <w:rPr>
          <w:rFonts w:ascii="Verdana" w:eastAsia="Calibri" w:hAnsi="Verdana" w:cs="Calibri"/>
          <w:sz w:val="19"/>
          <w:szCs w:val="19"/>
        </w:rPr>
        <w:t xml:space="preserve">"The EU remains Montenegro’s most important foreign policy goal, a national interest to which all social stakeholders are fully committed. The government continues with even more intense activities, with the goal of Montenegro being the 28th member by 2028," said </w:t>
      </w:r>
      <w:proofErr w:type="spellStart"/>
      <w:r w:rsidRPr="00493065">
        <w:rPr>
          <w:rFonts w:ascii="Verdana" w:eastAsia="Calibri" w:hAnsi="Verdana" w:cs="Calibri"/>
          <w:sz w:val="19"/>
          <w:szCs w:val="19"/>
        </w:rPr>
        <w:t>Dr.</w:t>
      </w:r>
      <w:proofErr w:type="spellEnd"/>
      <w:r w:rsidRPr="00493065">
        <w:rPr>
          <w:rFonts w:ascii="Verdana" w:eastAsia="Calibri" w:hAnsi="Verdana" w:cs="Calibri"/>
          <w:sz w:val="19"/>
          <w:szCs w:val="19"/>
        </w:rPr>
        <w:t xml:space="preserve"> </w:t>
      </w:r>
      <w:r w:rsidRPr="00493065">
        <w:rPr>
          <w:rFonts w:ascii="Verdana" w:eastAsia="Calibri" w:hAnsi="Verdana" w:cs="Calibri"/>
          <w:b/>
          <w:bCs/>
          <w:sz w:val="19"/>
          <w:szCs w:val="19"/>
        </w:rPr>
        <w:t xml:space="preserve">Predrag </w:t>
      </w:r>
      <w:proofErr w:type="spellStart"/>
      <w:r w:rsidRPr="00493065">
        <w:rPr>
          <w:rFonts w:ascii="Verdana" w:eastAsia="Calibri" w:hAnsi="Verdana" w:cs="Calibri"/>
          <w:b/>
          <w:bCs/>
          <w:sz w:val="19"/>
          <w:szCs w:val="19"/>
        </w:rPr>
        <w:t>Zenović</w:t>
      </w:r>
      <w:proofErr w:type="spellEnd"/>
      <w:r w:rsidRPr="00493065">
        <w:rPr>
          <w:rFonts w:ascii="Verdana" w:eastAsia="Calibri" w:hAnsi="Verdana" w:cs="Calibri"/>
          <w:sz w:val="19"/>
          <w:szCs w:val="19"/>
        </w:rPr>
        <w:t xml:space="preserve">, chief negotiator with the European Union. "Montenegro’s full membership of the European Union would also be proof that the enlargement process is a topical, active and merit-based process despite all the problems the Union is facing," </w:t>
      </w:r>
      <w:proofErr w:type="spellStart"/>
      <w:r w:rsidRPr="00493065">
        <w:rPr>
          <w:rFonts w:ascii="Verdana" w:eastAsia="Calibri" w:hAnsi="Verdana" w:cs="Calibri"/>
          <w:sz w:val="19"/>
          <w:szCs w:val="19"/>
        </w:rPr>
        <w:t>Zenović</w:t>
      </w:r>
      <w:proofErr w:type="spellEnd"/>
      <w:r w:rsidRPr="00493065">
        <w:rPr>
          <w:rFonts w:ascii="Verdana" w:eastAsia="Calibri" w:hAnsi="Verdana" w:cs="Calibri"/>
          <w:sz w:val="19"/>
          <w:szCs w:val="19"/>
        </w:rPr>
        <w:t xml:space="preserve"> added.</w:t>
      </w:r>
    </w:p>
    <w:p w14:paraId="02309FD5" w14:textId="77777777" w:rsidR="00493065" w:rsidRPr="00493065" w:rsidRDefault="00493065" w:rsidP="00493065">
      <w:pPr>
        <w:overflowPunct/>
        <w:autoSpaceDE/>
        <w:autoSpaceDN/>
        <w:adjustRightInd/>
        <w:spacing w:line="240" w:lineRule="auto"/>
        <w:textAlignment w:val="auto"/>
        <w:rPr>
          <w:rFonts w:ascii="Verdana" w:eastAsia="Calibri" w:hAnsi="Verdana" w:cs="Calibri"/>
          <w:sz w:val="19"/>
          <w:szCs w:val="19"/>
        </w:rPr>
      </w:pPr>
    </w:p>
    <w:p w14:paraId="1E70515F" w14:textId="77777777" w:rsidR="00493065" w:rsidRPr="00493065" w:rsidRDefault="00493065" w:rsidP="00493065">
      <w:pPr>
        <w:overflowPunct/>
        <w:autoSpaceDE/>
        <w:autoSpaceDN/>
        <w:adjustRightInd/>
        <w:spacing w:line="240" w:lineRule="auto"/>
        <w:textAlignment w:val="auto"/>
        <w:rPr>
          <w:rFonts w:ascii="Verdana" w:eastAsia="Calibri" w:hAnsi="Verdana" w:cs="Calibri"/>
          <w:sz w:val="19"/>
          <w:szCs w:val="19"/>
        </w:rPr>
      </w:pPr>
      <w:r w:rsidRPr="00493065">
        <w:rPr>
          <w:rFonts w:ascii="Verdana" w:eastAsia="Calibri" w:hAnsi="Verdana" w:cs="Calibri"/>
          <w:sz w:val="19"/>
          <w:szCs w:val="19"/>
        </w:rPr>
        <w:t xml:space="preserve">The chief negotiator pointed out the important role and concrete help of the civil society in the negotiation process with the citizen's support for Montenegro's EU membership reaching 80%. </w:t>
      </w:r>
    </w:p>
    <w:p w14:paraId="55EE7CAF" w14:textId="77777777" w:rsidR="00493065" w:rsidRPr="00493065" w:rsidRDefault="00493065" w:rsidP="00493065">
      <w:pPr>
        <w:overflowPunct/>
        <w:autoSpaceDE/>
        <w:autoSpaceDN/>
        <w:adjustRightInd/>
        <w:spacing w:line="240" w:lineRule="auto"/>
        <w:textAlignment w:val="auto"/>
        <w:rPr>
          <w:rFonts w:ascii="Verdana" w:eastAsia="Calibri" w:hAnsi="Verdana" w:cs="Calibri"/>
          <w:sz w:val="19"/>
          <w:szCs w:val="19"/>
        </w:rPr>
      </w:pPr>
    </w:p>
    <w:p w14:paraId="393227E2" w14:textId="77777777" w:rsidR="00493065" w:rsidRPr="00493065" w:rsidRDefault="00493065" w:rsidP="00493065">
      <w:pPr>
        <w:overflowPunct/>
        <w:autoSpaceDE/>
        <w:autoSpaceDN/>
        <w:adjustRightInd/>
        <w:spacing w:line="240" w:lineRule="auto"/>
        <w:textAlignment w:val="auto"/>
        <w:rPr>
          <w:rFonts w:ascii="Verdana" w:eastAsia="Calibri" w:hAnsi="Verdana" w:cs="Calibri"/>
          <w:sz w:val="19"/>
          <w:szCs w:val="19"/>
          <w:lang w:eastAsia="en-GB"/>
        </w:rPr>
      </w:pPr>
      <w:r w:rsidRPr="00493065">
        <w:rPr>
          <w:rFonts w:ascii="Verdana" w:eastAsia="Calibri" w:hAnsi="Verdana" w:cs="Calibri"/>
          <w:sz w:val="19"/>
          <w:szCs w:val="19"/>
          <w:lang w:eastAsia="en-GB"/>
        </w:rPr>
        <w:t xml:space="preserve">EU Ambassador to Montenegro </w:t>
      </w:r>
      <w:proofErr w:type="spellStart"/>
      <w:r w:rsidRPr="00493065">
        <w:rPr>
          <w:rFonts w:ascii="Verdana" w:eastAsia="Calibri" w:hAnsi="Verdana" w:cs="Calibri"/>
          <w:b/>
          <w:bCs/>
          <w:sz w:val="19"/>
          <w:szCs w:val="19"/>
          <w:lang w:eastAsia="en-GB"/>
        </w:rPr>
        <w:t>Oana</w:t>
      </w:r>
      <w:proofErr w:type="spellEnd"/>
      <w:r w:rsidRPr="00493065">
        <w:rPr>
          <w:rFonts w:ascii="Verdana" w:eastAsia="Calibri" w:hAnsi="Verdana" w:cs="Calibri"/>
          <w:b/>
          <w:bCs/>
          <w:sz w:val="19"/>
          <w:szCs w:val="19"/>
          <w:lang w:eastAsia="en-GB"/>
        </w:rPr>
        <w:t xml:space="preserve"> Cristina Popa</w:t>
      </w:r>
      <w:r w:rsidRPr="00493065">
        <w:rPr>
          <w:rFonts w:ascii="Verdana" w:eastAsia="Calibri" w:hAnsi="Verdana" w:cs="Calibri"/>
          <w:sz w:val="19"/>
          <w:szCs w:val="19"/>
          <w:lang w:eastAsia="en-GB"/>
        </w:rPr>
        <w:t xml:space="preserve"> welcomed the involvement of civil society representatives in all the working groups in Montenegro’s negotiating structure. She noted that Montenegro seemed to have finally found the necessary stability to focus on EU accession as its main strategic priority. “This matches the strong EU engagement on enhancing and supporting the full integration of the whole Western Balkans region. Montenegro now faces an excellent opportunity for moving decisively forward, thus also becoming a source of inspiration </w:t>
      </w:r>
      <w:r w:rsidRPr="00493065">
        <w:rPr>
          <w:rFonts w:ascii="Verdana" w:eastAsia="Calibri" w:hAnsi="Verdana" w:cs="Calibri"/>
          <w:sz w:val="19"/>
          <w:szCs w:val="19"/>
          <w:lang w:eastAsia="en-GB"/>
        </w:rPr>
        <w:lastRenderedPageBreak/>
        <w:t>for its neighbours. We will all endeavour for this opportunity not to be missed,” the EU Ambassador said.</w:t>
      </w:r>
    </w:p>
    <w:p w14:paraId="5430C891" w14:textId="77777777" w:rsidR="00493065" w:rsidRPr="00493065" w:rsidRDefault="00493065" w:rsidP="00493065">
      <w:pPr>
        <w:overflowPunct/>
        <w:autoSpaceDE/>
        <w:autoSpaceDN/>
        <w:adjustRightInd/>
        <w:spacing w:line="240" w:lineRule="auto"/>
        <w:textAlignment w:val="auto"/>
        <w:rPr>
          <w:rFonts w:ascii="Verdana" w:eastAsia="Calibri" w:hAnsi="Verdana" w:cs="Calibri"/>
          <w:sz w:val="19"/>
          <w:szCs w:val="19"/>
          <w:lang w:eastAsia="en-GB"/>
        </w:rPr>
      </w:pPr>
    </w:p>
    <w:p w14:paraId="6E8B36BE" w14:textId="77777777" w:rsidR="00493065" w:rsidRPr="00493065" w:rsidRDefault="00493065" w:rsidP="00493065">
      <w:pPr>
        <w:overflowPunct/>
        <w:autoSpaceDE/>
        <w:autoSpaceDN/>
        <w:adjustRightInd/>
        <w:spacing w:line="240" w:lineRule="auto"/>
        <w:textAlignment w:val="auto"/>
        <w:rPr>
          <w:rFonts w:ascii="Verdana" w:eastAsia="Calibri" w:hAnsi="Verdana" w:cs="Calibri"/>
          <w:sz w:val="19"/>
          <w:szCs w:val="19"/>
          <w:lang w:eastAsia="en-GB"/>
        </w:rPr>
      </w:pPr>
      <w:r w:rsidRPr="00493065">
        <w:rPr>
          <w:rFonts w:ascii="Verdana" w:eastAsia="Calibri" w:hAnsi="Verdana" w:cs="Calibri"/>
          <w:sz w:val="19"/>
          <w:szCs w:val="19"/>
          <w:lang w:eastAsia="en-GB"/>
        </w:rPr>
        <w:t xml:space="preserve">At the end of the meeting, a </w:t>
      </w:r>
      <w:hyperlink r:id="rId12" w:history="1">
        <w:r w:rsidRPr="00493065">
          <w:rPr>
            <w:rFonts w:ascii="Verdana" w:eastAsia="Calibri" w:hAnsi="Verdana" w:cs="Calibri"/>
            <w:b/>
            <w:bCs/>
            <w:color w:val="0563C1"/>
            <w:sz w:val="19"/>
            <w:szCs w:val="19"/>
            <w:u w:val="single"/>
            <w:lang w:eastAsia="en-GB"/>
          </w:rPr>
          <w:t>Joint Declaration</w:t>
        </w:r>
      </w:hyperlink>
      <w:r w:rsidRPr="00493065">
        <w:rPr>
          <w:rFonts w:ascii="Verdana" w:eastAsia="Calibri" w:hAnsi="Verdana" w:cs="Calibri"/>
          <w:sz w:val="19"/>
          <w:szCs w:val="19"/>
          <w:lang w:eastAsia="en-GB"/>
        </w:rPr>
        <w:t xml:space="preserve"> was adopted, which will be presented to the Stabilization and Association Committee, the Parliamentary Committee for Stabilization and Association, the European External Action Service, the European Commission and the Government of Montenegro.</w:t>
      </w:r>
    </w:p>
    <w:p w14:paraId="6DC00F95" w14:textId="77777777" w:rsidR="00493065" w:rsidRPr="00493065" w:rsidRDefault="00493065" w:rsidP="00493065">
      <w:pPr>
        <w:overflowPunct/>
        <w:autoSpaceDE/>
        <w:autoSpaceDN/>
        <w:adjustRightInd/>
        <w:textAlignment w:val="auto"/>
        <w:rPr>
          <w:rFonts w:ascii="Verdana" w:hAnsi="Verdana"/>
          <w:sz w:val="19"/>
          <w:szCs w:val="19"/>
          <w:lang w:val="en-US"/>
        </w:rPr>
      </w:pPr>
    </w:p>
    <w:p w14:paraId="7634768F" w14:textId="77777777" w:rsidR="00F83179" w:rsidRDefault="00F83179" w:rsidP="00686EC2">
      <w:pPr>
        <w:spacing w:line="240" w:lineRule="auto"/>
        <w:jc w:val="center"/>
        <w:rPr>
          <w:rFonts w:ascii="Verdana" w:hAnsi="Verdana"/>
          <w:b/>
          <w:bCs/>
          <w:sz w:val="28"/>
        </w:rPr>
      </w:pPr>
    </w:p>
    <w:sectPr w:rsidR="00F83179" w:rsidSect="00A70691">
      <w:type w:val="continuous"/>
      <w:pgSz w:w="11907" w:h="16839" w:code="9"/>
      <w:pgMar w:top="425" w:right="1418" w:bottom="1418" w:left="1418" w:header="3062" w:footer="11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26026" w14:textId="77777777" w:rsidR="00450CA9" w:rsidRDefault="00450CA9">
      <w:r>
        <w:separator/>
      </w:r>
    </w:p>
  </w:endnote>
  <w:endnote w:type="continuationSeparator" w:id="0">
    <w:p w14:paraId="7CDDF367" w14:textId="77777777" w:rsidR="00450CA9" w:rsidRDefault="00450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76E9A" w14:textId="77777777" w:rsidR="00450CA9" w:rsidRDefault="00450CA9">
      <w:r>
        <w:separator/>
      </w:r>
    </w:p>
  </w:footnote>
  <w:footnote w:type="continuationSeparator" w:id="0">
    <w:p w14:paraId="62BE7744" w14:textId="77777777" w:rsidR="00450CA9" w:rsidRDefault="00450C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6F5"/>
    <w:rsid w:val="00046C01"/>
    <w:rsid w:val="0004715C"/>
    <w:rsid w:val="00067F21"/>
    <w:rsid w:val="00071F79"/>
    <w:rsid w:val="000F2AD2"/>
    <w:rsid w:val="00104DFA"/>
    <w:rsid w:val="00105E49"/>
    <w:rsid w:val="00112EAE"/>
    <w:rsid w:val="00142677"/>
    <w:rsid w:val="0018613F"/>
    <w:rsid w:val="001D73C0"/>
    <w:rsid w:val="00220030"/>
    <w:rsid w:val="00227A31"/>
    <w:rsid w:val="002734F3"/>
    <w:rsid w:val="002B4379"/>
    <w:rsid w:val="00321382"/>
    <w:rsid w:val="00337F0A"/>
    <w:rsid w:val="00347036"/>
    <w:rsid w:val="0038577F"/>
    <w:rsid w:val="00394D81"/>
    <w:rsid w:val="003A77E7"/>
    <w:rsid w:val="003B714A"/>
    <w:rsid w:val="003C1F6B"/>
    <w:rsid w:val="003C2229"/>
    <w:rsid w:val="003C60BB"/>
    <w:rsid w:val="004138F2"/>
    <w:rsid w:val="00424928"/>
    <w:rsid w:val="00450CA9"/>
    <w:rsid w:val="004605FD"/>
    <w:rsid w:val="0048288C"/>
    <w:rsid w:val="00486D46"/>
    <w:rsid w:val="00493065"/>
    <w:rsid w:val="00494BBC"/>
    <w:rsid w:val="004E422F"/>
    <w:rsid w:val="005270ED"/>
    <w:rsid w:val="005549A1"/>
    <w:rsid w:val="00556CD0"/>
    <w:rsid w:val="005A0E46"/>
    <w:rsid w:val="005A186C"/>
    <w:rsid w:val="005B3342"/>
    <w:rsid w:val="005C08F4"/>
    <w:rsid w:val="005C2258"/>
    <w:rsid w:val="005C46DB"/>
    <w:rsid w:val="005D3D97"/>
    <w:rsid w:val="00626C38"/>
    <w:rsid w:val="00662EE3"/>
    <w:rsid w:val="00686EC2"/>
    <w:rsid w:val="006B4D96"/>
    <w:rsid w:val="006B4DBE"/>
    <w:rsid w:val="00712EA3"/>
    <w:rsid w:val="0076455D"/>
    <w:rsid w:val="007A23CA"/>
    <w:rsid w:val="007A5486"/>
    <w:rsid w:val="008133EA"/>
    <w:rsid w:val="00837B82"/>
    <w:rsid w:val="008820BE"/>
    <w:rsid w:val="008C573E"/>
    <w:rsid w:val="00955D3C"/>
    <w:rsid w:val="00966A4A"/>
    <w:rsid w:val="009C2FCF"/>
    <w:rsid w:val="009D3245"/>
    <w:rsid w:val="00A010F0"/>
    <w:rsid w:val="00A70691"/>
    <w:rsid w:val="00A74687"/>
    <w:rsid w:val="00A96CE7"/>
    <w:rsid w:val="00AA61D9"/>
    <w:rsid w:val="00AF2692"/>
    <w:rsid w:val="00B15098"/>
    <w:rsid w:val="00B239E2"/>
    <w:rsid w:val="00B26429"/>
    <w:rsid w:val="00B514E0"/>
    <w:rsid w:val="00B710AF"/>
    <w:rsid w:val="00B8166F"/>
    <w:rsid w:val="00B9349D"/>
    <w:rsid w:val="00B96D77"/>
    <w:rsid w:val="00BB36F5"/>
    <w:rsid w:val="00BD617C"/>
    <w:rsid w:val="00C93E55"/>
    <w:rsid w:val="00C97D1B"/>
    <w:rsid w:val="00CB5993"/>
    <w:rsid w:val="00CE439D"/>
    <w:rsid w:val="00CE6DB7"/>
    <w:rsid w:val="00D41605"/>
    <w:rsid w:val="00D9016E"/>
    <w:rsid w:val="00DB6FF3"/>
    <w:rsid w:val="00DC66B3"/>
    <w:rsid w:val="00E62B15"/>
    <w:rsid w:val="00EC55A1"/>
    <w:rsid w:val="00F51000"/>
    <w:rsid w:val="00F61167"/>
    <w:rsid w:val="00F83179"/>
    <w:rsid w:val="00F92DAC"/>
  </w:rsids>
  <m:mathPr>
    <m:mathFont m:val="Cambria Math"/>
    <m:brkBin m:val="before"/>
    <m:brkBinSub m:val="--"/>
    <m:smallFrac m:val="0"/>
    <m:dispDef/>
    <m:lMargin m:val="0"/>
    <m:rMargin m:val="0"/>
    <m:defJc m:val="centerGroup"/>
    <m:wrapIndent m:val="1440"/>
    <m:intLim m:val="subSup"/>
    <m:naryLim m:val="undOvr"/>
  </m:mathPr>
  <w:themeFontLang w:val="fr-BE"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317954"/>
  <w15:docId w15:val="{E1200CD2-0F58-4465-8C7F-6A4257841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1167"/>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link w:val="Heading1Char"/>
    <w:uiPriority w:val="9"/>
    <w:qFormat/>
    <w:rsid w:val="00F61167"/>
    <w:pPr>
      <w:numPr>
        <w:numId w:val="1"/>
      </w:numPr>
      <w:ind w:left="720" w:hanging="720"/>
      <w:outlineLvl w:val="0"/>
    </w:pPr>
    <w:rPr>
      <w:kern w:val="28"/>
    </w:rPr>
  </w:style>
  <w:style w:type="paragraph" w:styleId="Heading2">
    <w:name w:val="heading 2"/>
    <w:basedOn w:val="Normal"/>
    <w:next w:val="Normal"/>
    <w:link w:val="Heading2Char"/>
    <w:uiPriority w:val="9"/>
    <w:qFormat/>
    <w:rsid w:val="00F61167"/>
    <w:pPr>
      <w:numPr>
        <w:ilvl w:val="1"/>
        <w:numId w:val="1"/>
      </w:numPr>
      <w:ind w:left="720" w:hanging="720"/>
      <w:outlineLvl w:val="1"/>
    </w:pPr>
  </w:style>
  <w:style w:type="paragraph" w:styleId="Heading3">
    <w:name w:val="heading 3"/>
    <w:basedOn w:val="Normal"/>
    <w:next w:val="Normal"/>
    <w:link w:val="Heading3Char"/>
    <w:uiPriority w:val="9"/>
    <w:qFormat/>
    <w:rsid w:val="00F61167"/>
    <w:pPr>
      <w:numPr>
        <w:ilvl w:val="2"/>
        <w:numId w:val="1"/>
      </w:numPr>
      <w:ind w:left="720" w:hanging="720"/>
      <w:outlineLvl w:val="2"/>
    </w:pPr>
  </w:style>
  <w:style w:type="paragraph" w:styleId="Heading4">
    <w:name w:val="heading 4"/>
    <w:basedOn w:val="Normal"/>
    <w:next w:val="Normal"/>
    <w:link w:val="Heading4Char"/>
    <w:uiPriority w:val="9"/>
    <w:qFormat/>
    <w:rsid w:val="00F61167"/>
    <w:pPr>
      <w:numPr>
        <w:ilvl w:val="3"/>
        <w:numId w:val="1"/>
      </w:numPr>
      <w:ind w:left="720" w:hanging="720"/>
      <w:outlineLvl w:val="3"/>
    </w:pPr>
  </w:style>
  <w:style w:type="paragraph" w:styleId="Heading5">
    <w:name w:val="heading 5"/>
    <w:basedOn w:val="Normal"/>
    <w:next w:val="Normal"/>
    <w:link w:val="Heading5Char"/>
    <w:uiPriority w:val="9"/>
    <w:qFormat/>
    <w:rsid w:val="00F61167"/>
    <w:pPr>
      <w:numPr>
        <w:ilvl w:val="4"/>
        <w:numId w:val="1"/>
      </w:numPr>
      <w:ind w:left="720" w:hanging="720"/>
      <w:outlineLvl w:val="4"/>
    </w:pPr>
  </w:style>
  <w:style w:type="paragraph" w:styleId="Heading6">
    <w:name w:val="heading 6"/>
    <w:basedOn w:val="Normal"/>
    <w:next w:val="Normal"/>
    <w:link w:val="Heading6Char"/>
    <w:uiPriority w:val="9"/>
    <w:qFormat/>
    <w:rsid w:val="00F61167"/>
    <w:pPr>
      <w:numPr>
        <w:ilvl w:val="5"/>
        <w:numId w:val="1"/>
      </w:numPr>
      <w:ind w:left="720" w:hanging="720"/>
      <w:outlineLvl w:val="5"/>
    </w:pPr>
  </w:style>
  <w:style w:type="paragraph" w:styleId="Heading7">
    <w:name w:val="heading 7"/>
    <w:basedOn w:val="Normal"/>
    <w:next w:val="Normal"/>
    <w:link w:val="Heading7Char"/>
    <w:uiPriority w:val="9"/>
    <w:qFormat/>
    <w:rsid w:val="00F61167"/>
    <w:pPr>
      <w:numPr>
        <w:ilvl w:val="6"/>
        <w:numId w:val="1"/>
      </w:numPr>
      <w:ind w:left="720" w:hanging="720"/>
      <w:outlineLvl w:val="6"/>
    </w:pPr>
  </w:style>
  <w:style w:type="paragraph" w:styleId="Heading8">
    <w:name w:val="heading 8"/>
    <w:basedOn w:val="Normal"/>
    <w:next w:val="Normal"/>
    <w:link w:val="Heading8Char"/>
    <w:uiPriority w:val="9"/>
    <w:qFormat/>
    <w:rsid w:val="00F61167"/>
    <w:pPr>
      <w:numPr>
        <w:ilvl w:val="7"/>
        <w:numId w:val="1"/>
      </w:numPr>
      <w:ind w:left="720" w:hanging="720"/>
      <w:outlineLvl w:val="7"/>
    </w:pPr>
  </w:style>
  <w:style w:type="paragraph" w:styleId="Heading9">
    <w:name w:val="heading 9"/>
    <w:basedOn w:val="Normal"/>
    <w:next w:val="Normal"/>
    <w:link w:val="Heading9Char"/>
    <w:uiPriority w:val="9"/>
    <w:qFormat/>
    <w:rsid w:val="00F6116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4F9"/>
    <w:rPr>
      <w:rFonts w:asciiTheme="majorHAnsi" w:eastAsiaTheme="majorEastAsia" w:hAnsiTheme="majorHAnsi" w:cstheme="majorBidi"/>
      <w:b/>
      <w:bCs/>
      <w:color w:val="365F91" w:themeColor="accent1" w:themeShade="BF"/>
      <w:sz w:val="28"/>
      <w:szCs w:val="28"/>
      <w:lang w:val="en-GB" w:eastAsia="en-US"/>
    </w:rPr>
  </w:style>
  <w:style w:type="character" w:customStyle="1" w:styleId="Heading2Char">
    <w:name w:val="Heading 2 Char"/>
    <w:basedOn w:val="DefaultParagraphFont"/>
    <w:link w:val="Heading2"/>
    <w:uiPriority w:val="9"/>
    <w:semiHidden/>
    <w:rsid w:val="001374F9"/>
    <w:rPr>
      <w:rFonts w:asciiTheme="majorHAnsi" w:eastAsiaTheme="majorEastAsia" w:hAnsiTheme="majorHAnsi" w:cstheme="majorBidi"/>
      <w:b/>
      <w:bCs/>
      <w:color w:val="4F81BD" w:themeColor="accent1"/>
      <w:sz w:val="26"/>
      <w:szCs w:val="26"/>
      <w:lang w:val="en-GB" w:eastAsia="en-US"/>
    </w:rPr>
  </w:style>
  <w:style w:type="character" w:customStyle="1" w:styleId="Heading3Char">
    <w:name w:val="Heading 3 Char"/>
    <w:basedOn w:val="DefaultParagraphFont"/>
    <w:link w:val="Heading3"/>
    <w:uiPriority w:val="9"/>
    <w:semiHidden/>
    <w:rsid w:val="001374F9"/>
    <w:rPr>
      <w:rFonts w:asciiTheme="majorHAnsi" w:eastAsiaTheme="majorEastAsia" w:hAnsiTheme="majorHAnsi" w:cstheme="majorBidi"/>
      <w:b/>
      <w:bCs/>
      <w:color w:val="4F81BD" w:themeColor="accent1"/>
      <w:sz w:val="22"/>
      <w:lang w:val="en-GB" w:eastAsia="en-US"/>
    </w:rPr>
  </w:style>
  <w:style w:type="character" w:customStyle="1" w:styleId="Heading4Char">
    <w:name w:val="Heading 4 Char"/>
    <w:basedOn w:val="DefaultParagraphFont"/>
    <w:link w:val="Heading4"/>
    <w:uiPriority w:val="9"/>
    <w:semiHidden/>
    <w:rsid w:val="001374F9"/>
    <w:rPr>
      <w:rFonts w:asciiTheme="majorHAnsi" w:eastAsiaTheme="majorEastAsia" w:hAnsiTheme="majorHAnsi" w:cstheme="majorBidi"/>
      <w:b/>
      <w:bCs/>
      <w:i/>
      <w:iCs/>
      <w:color w:val="4F81BD" w:themeColor="accent1"/>
      <w:sz w:val="22"/>
      <w:lang w:val="en-GB" w:eastAsia="en-US"/>
    </w:rPr>
  </w:style>
  <w:style w:type="character" w:customStyle="1" w:styleId="Heading5Char">
    <w:name w:val="Heading 5 Char"/>
    <w:basedOn w:val="DefaultParagraphFont"/>
    <w:link w:val="Heading5"/>
    <w:uiPriority w:val="9"/>
    <w:semiHidden/>
    <w:rsid w:val="001374F9"/>
    <w:rPr>
      <w:rFonts w:asciiTheme="majorHAnsi" w:eastAsiaTheme="majorEastAsia" w:hAnsiTheme="majorHAnsi" w:cstheme="majorBidi"/>
      <w:color w:val="243F60" w:themeColor="accent1" w:themeShade="7F"/>
      <w:sz w:val="22"/>
      <w:lang w:val="en-GB" w:eastAsia="en-US"/>
    </w:rPr>
  </w:style>
  <w:style w:type="character" w:customStyle="1" w:styleId="Heading6Char">
    <w:name w:val="Heading 6 Char"/>
    <w:basedOn w:val="DefaultParagraphFont"/>
    <w:link w:val="Heading6"/>
    <w:uiPriority w:val="9"/>
    <w:semiHidden/>
    <w:rsid w:val="001374F9"/>
    <w:rPr>
      <w:rFonts w:asciiTheme="majorHAnsi" w:eastAsiaTheme="majorEastAsia" w:hAnsiTheme="majorHAnsi" w:cstheme="majorBidi"/>
      <w:i/>
      <w:iCs/>
      <w:color w:val="243F60" w:themeColor="accent1" w:themeShade="7F"/>
      <w:sz w:val="22"/>
      <w:lang w:val="en-GB" w:eastAsia="en-US"/>
    </w:rPr>
  </w:style>
  <w:style w:type="character" w:customStyle="1" w:styleId="Heading7Char">
    <w:name w:val="Heading 7 Char"/>
    <w:basedOn w:val="DefaultParagraphFont"/>
    <w:link w:val="Heading7"/>
    <w:uiPriority w:val="9"/>
    <w:semiHidden/>
    <w:rsid w:val="001374F9"/>
    <w:rPr>
      <w:rFonts w:asciiTheme="majorHAnsi" w:eastAsiaTheme="majorEastAsia" w:hAnsiTheme="majorHAnsi" w:cstheme="majorBidi"/>
      <w:i/>
      <w:iCs/>
      <w:color w:val="404040" w:themeColor="text1" w:themeTint="BF"/>
      <w:sz w:val="22"/>
      <w:lang w:val="en-GB" w:eastAsia="en-US"/>
    </w:rPr>
  </w:style>
  <w:style w:type="character" w:customStyle="1" w:styleId="Heading8Char">
    <w:name w:val="Heading 8 Char"/>
    <w:basedOn w:val="DefaultParagraphFont"/>
    <w:link w:val="Heading8"/>
    <w:uiPriority w:val="9"/>
    <w:semiHidden/>
    <w:rsid w:val="001374F9"/>
    <w:rPr>
      <w:rFonts w:asciiTheme="majorHAnsi" w:eastAsiaTheme="majorEastAsia" w:hAnsiTheme="majorHAnsi" w:cstheme="majorBidi"/>
      <w:color w:val="404040" w:themeColor="text1" w:themeTint="BF"/>
      <w:lang w:val="en-GB" w:eastAsia="en-US"/>
    </w:rPr>
  </w:style>
  <w:style w:type="character" w:customStyle="1" w:styleId="Heading9Char">
    <w:name w:val="Heading 9 Char"/>
    <w:basedOn w:val="DefaultParagraphFont"/>
    <w:link w:val="Heading9"/>
    <w:uiPriority w:val="9"/>
    <w:semiHidden/>
    <w:rsid w:val="001374F9"/>
    <w:rPr>
      <w:rFonts w:asciiTheme="majorHAnsi" w:eastAsiaTheme="majorEastAsia" w:hAnsiTheme="majorHAnsi" w:cstheme="majorBidi"/>
      <w:i/>
      <w:iCs/>
      <w:color w:val="404040" w:themeColor="text1" w:themeTint="BF"/>
      <w:lang w:val="en-GB" w:eastAsia="en-US"/>
    </w:rPr>
  </w:style>
  <w:style w:type="paragraph" w:styleId="Footer">
    <w:name w:val="footer"/>
    <w:basedOn w:val="Normal"/>
    <w:link w:val="FooterChar"/>
    <w:uiPriority w:val="99"/>
    <w:rsid w:val="00F61167"/>
  </w:style>
  <w:style w:type="character" w:customStyle="1" w:styleId="FooterChar">
    <w:name w:val="Footer Char"/>
    <w:basedOn w:val="DefaultParagraphFont"/>
    <w:link w:val="Footer"/>
    <w:uiPriority w:val="99"/>
    <w:semiHidden/>
    <w:rsid w:val="001374F9"/>
    <w:rPr>
      <w:sz w:val="22"/>
      <w:lang w:val="en-GB" w:eastAsia="en-US"/>
    </w:rPr>
  </w:style>
  <w:style w:type="paragraph" w:styleId="FootnoteText">
    <w:name w:val="footnote text"/>
    <w:basedOn w:val="Normal"/>
    <w:link w:val="FootnoteTextChar"/>
    <w:uiPriority w:val="99"/>
    <w:rsid w:val="00F61167"/>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1374F9"/>
    <w:rPr>
      <w:lang w:val="en-GB" w:eastAsia="en-US"/>
    </w:rPr>
  </w:style>
  <w:style w:type="paragraph" w:styleId="Header">
    <w:name w:val="header"/>
    <w:basedOn w:val="Normal"/>
    <w:link w:val="HeaderChar"/>
    <w:uiPriority w:val="99"/>
    <w:rsid w:val="00F61167"/>
  </w:style>
  <w:style w:type="character" w:customStyle="1" w:styleId="HeaderChar">
    <w:name w:val="Header Char"/>
    <w:basedOn w:val="DefaultParagraphFont"/>
    <w:link w:val="Header"/>
    <w:uiPriority w:val="99"/>
    <w:semiHidden/>
    <w:rsid w:val="001374F9"/>
    <w:rPr>
      <w:sz w:val="22"/>
      <w:lang w:val="en-GB" w:eastAsia="en-US"/>
    </w:rPr>
  </w:style>
  <w:style w:type="paragraph" w:customStyle="1" w:styleId="quotes">
    <w:name w:val="quotes"/>
    <w:basedOn w:val="Normal"/>
    <w:next w:val="Normal"/>
    <w:rsid w:val="00F61167"/>
    <w:pPr>
      <w:ind w:left="720"/>
    </w:pPr>
    <w:rPr>
      <w:i/>
    </w:rPr>
  </w:style>
  <w:style w:type="character" w:styleId="FootnoteReference">
    <w:name w:val="footnote reference"/>
    <w:basedOn w:val="DefaultParagraphFont"/>
    <w:uiPriority w:val="99"/>
    <w:semiHidden/>
    <w:rsid w:val="00F61167"/>
    <w:rPr>
      <w:sz w:val="24"/>
      <w:vertAlign w:val="superscript"/>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B710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710AF"/>
    <w:rPr>
      <w:rFonts w:ascii="Tahoma" w:hAnsi="Tahoma" w:cs="Tahoma"/>
      <w:sz w:val="16"/>
      <w:szCs w:val="16"/>
      <w:lang w:val="en-GB" w:eastAsia="en-US"/>
    </w:rPr>
  </w:style>
  <w:style w:type="character" w:styleId="UnresolvedMention">
    <w:name w:val="Unresolved Mention"/>
    <w:basedOn w:val="DefaultParagraphFont"/>
    <w:uiPriority w:val="99"/>
    <w:semiHidden/>
    <w:unhideWhenUsed/>
    <w:rsid w:val="004930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757973">
      <w:marLeft w:val="0"/>
      <w:marRight w:val="0"/>
      <w:marTop w:val="0"/>
      <w:marBottom w:val="0"/>
      <w:divBdr>
        <w:top w:val="none" w:sz="0" w:space="0" w:color="auto"/>
        <w:left w:val="none" w:sz="0" w:space="0" w:color="auto"/>
        <w:bottom w:val="none" w:sz="0" w:space="0" w:color="auto"/>
        <w:right w:val="none" w:sz="0" w:space="0" w:color="auto"/>
      </w:divBdr>
    </w:div>
    <w:div w:id="9377579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esc.europa.eu/en/agenda/our-events/events/18th-meeting-eu-montenegro-joint-cosultative-committe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0A67E7817F567C48B0FF98918A0B8F68" ma:contentTypeVersion="4" ma:contentTypeDescription="Defines the documents for Document Manager V2" ma:contentTypeScope="" ma:versionID="9a20ab62d4dade0e5d1170858ddb94ea">
  <xsd:schema xmlns:xsd="http://www.w3.org/2001/XMLSchema" xmlns:xs="http://www.w3.org/2001/XMLSchema" xmlns:p="http://schemas.microsoft.com/office/2006/metadata/properties" xmlns:ns2="1299d781-265f-4ceb-999e-e1eca3df2c90" xmlns:ns3="http://schemas.microsoft.com/sharepoint/v3/fields" xmlns:ns4="d51dc14e-0c05-44bd-9dff-3ae522c33107" targetNamespace="http://schemas.microsoft.com/office/2006/metadata/properties" ma:root="true" ma:fieldsID="d8e1a44498a75392c98bc040d87457de" ns2:_="" ns3:_="" ns4:_="">
    <xsd:import namespace="1299d781-265f-4ceb-999e-e1eca3df2c90"/>
    <xsd:import namespace="http://schemas.microsoft.com/sharepoint/v3/fields"/>
    <xsd:import namespace="d51dc14e-0c05-44bd-9dff-3ae522c3310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1dc14e-0c05-44bd-9dff-3ae522c3310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P6FJPSUHKDC2-1211003791-3846</_dlc_DocId>
    <_dlc_DocIdUrl xmlns="1299d781-265f-4ceb-999e-e1eca3df2c90">
      <Url>http://dm2016/eesc/2022/_layouts/15/DocIdRedir.aspx?ID=P6FJPSUHKDC2-1211003791-3846</Url>
      <Description>P6FJPSUHKDC2-1211003791-3846</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ADMIN</TermName>
          <TermId xmlns="http://schemas.microsoft.com/office/infopath/2007/PartnerControls">58d8ac89-e690-41f6-a5e8-508fa4a7c73c</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2022-04-05T12:00:00+00:00</ProductionDate>
    <FicheYear xmlns="1299d781-265f-4ceb-999e-e1eca3df2c90" xsi:nil="true"/>
    <DocumentNumber xmlns="d51dc14e-0c05-44bd-9dff-3ae522c33107">1954</DocumentNumber>
    <DocumentVersion xmlns="1299d781-265f-4ceb-999e-e1eca3df2c90">0</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2451815e-8241-4bbf-a22e-1ab710712bf2</TermId>
        </TermInfo>
      </Terms>
    </Confidentiality_0>
    <MeetingDate xmlns="1299d781-265f-4ceb-999e-e1eca3df2c90" xsi:nil="true"/>
    <TaxCatchAll xmlns="1299d781-265f-4ceb-999e-e1eca3df2c90">
      <Value>63</Value>
      <Value>58</Value>
      <Value>55</Value>
      <Value>54</Value>
      <Value>46</Value>
      <Value>45</Value>
      <Value>44</Value>
      <Value>43</Value>
      <Value>42</Value>
      <Value>41</Value>
      <Value>40</Value>
      <Value>38</Value>
      <Value>37</Value>
      <Value>36</Value>
      <Value>35</Value>
      <Value>34</Value>
      <Value>33</Value>
      <Value>32</Value>
      <Value>31</Value>
      <Value>30</Value>
      <Value>29</Value>
      <Value>26</Value>
      <Value>22</Value>
      <Value>11</Value>
      <Value>7</Value>
      <Value>6</Value>
      <Value>5</Value>
      <Value>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4402</FicheNumber>
    <OriginalSender xmlns="1299d781-265f-4ceb-999e-e1eca3df2c90">
      <UserInfo>
        <DisplayName>TDriveSVCUserProd</DisplayName>
        <AccountId>1528</AccountId>
        <AccountType/>
      </UserInfo>
    </OriginalSender>
    <DocumentPart xmlns="1299d781-265f-4ceb-999e-e1eca3df2c90">0</DocumentPart>
    <AdoptionDate xmlns="1299d781-265f-4ceb-999e-e1eca3df2c90" xsi:nil="true"/>
    <RequestingService xmlns="1299d781-265f-4ceb-999e-e1eca3df2c90">Workflow et helpdesk de la traduction</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GA</TermName>
          <TermId xmlns="http://schemas.microsoft.com/office/infopath/2007/PartnerControls">762d2456-c427-4ecb-b312-af3dad8e258c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d51dc14e-0c05-44bd-9dff-3ae522c33107" xsi:nil="true"/>
    <DossierName_0 xmlns="http://schemas.microsoft.com/sharepoint/v3/fields">
      <Terms xmlns="http://schemas.microsoft.com/office/infopath/2007/PartnerControls"/>
    </DossierName_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3E7D9D-4D4C-4AA2-BE47-8884E7DC8A32}">
  <ds:schemaRefs>
    <ds:schemaRef ds:uri="http://schemas.microsoft.com/sharepoint/events"/>
  </ds:schemaRefs>
</ds:datastoreItem>
</file>

<file path=customXml/itemProps2.xml><?xml version="1.0" encoding="utf-8"?>
<ds:datastoreItem xmlns:ds="http://schemas.openxmlformats.org/officeDocument/2006/customXml" ds:itemID="{8752D6CA-BCF3-46A0-97C2-232C260A8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9d781-265f-4ceb-999e-e1eca3df2c90"/>
    <ds:schemaRef ds:uri="http://schemas.microsoft.com/sharepoint/v3/fields"/>
    <ds:schemaRef ds:uri="d51dc14e-0c05-44bd-9dff-3ae522c331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C4CBA1-ED3D-4F89-91E3-BC61EB2316C4}">
  <ds:schemaRefs>
    <ds:schemaRef ds:uri="http://schemas.microsoft.com/office/2006/metadata/properties"/>
    <ds:schemaRef ds:uri="http://schemas.microsoft.com/office/infopath/2007/PartnerControls"/>
    <ds:schemaRef ds:uri="1299d781-265f-4ceb-999e-e1eca3df2c90"/>
    <ds:schemaRef ds:uri="http://schemas.microsoft.com/sharepoint/v3/fields"/>
    <ds:schemaRef ds:uri="d51dc14e-0c05-44bd-9dff-3ae522c33107"/>
  </ds:schemaRefs>
</ds:datastoreItem>
</file>

<file path=customXml/itemProps4.xml><?xml version="1.0" encoding="utf-8"?>
<ds:datastoreItem xmlns:ds="http://schemas.openxmlformats.org/officeDocument/2006/customXml" ds:itemID="{4E009E39-4463-488D-A75D-EAC7A7F63C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618</Words>
  <Characters>3401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EESC CP template updated</vt:lpstr>
    </vt:vector>
  </TitlesOfParts>
  <Company>CESE-CdR</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EESC CP template updated</dc:title>
  <dc:creator>Emma Nieddu</dc:creator>
  <cp:keywords>EESC-2022-01954-00-00-ADMIN-TRA-EN</cp:keywords>
  <dc:description>Rapporteur: -  Original language: - EN Date of document: - 05/04/2022 Date of meeting: -  External documents: -  Administrator responsible: -  SUCIU Serban</dc:description>
  <cp:lastModifiedBy>Tsoumani Amalia</cp:lastModifiedBy>
  <cp:revision>4</cp:revision>
  <cp:lastPrinted>2007-06-05T13:08:00Z</cp:lastPrinted>
  <dcterms:created xsi:type="dcterms:W3CDTF">2024-04-16T16:53:00Z</dcterms:created>
  <dcterms:modified xsi:type="dcterms:W3CDTF">2024-04-17T07:46:00Z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05/04/2022</vt:lpwstr>
  </property>
  <property fmtid="{D5CDD505-2E9C-101B-9397-08002B2CF9AE}" pid="4" name="Pref_Time">
    <vt:lpwstr>16:28:46</vt:lpwstr>
  </property>
  <property fmtid="{D5CDD505-2E9C-101B-9397-08002B2CF9AE}" pid="5" name="Pref_User">
    <vt:lpwstr>enied</vt:lpwstr>
  </property>
  <property fmtid="{D5CDD505-2E9C-101B-9397-08002B2CF9AE}" pid="6" name="Pref_FileName">
    <vt:lpwstr>EESC-2022-01954-00-00-ADMIN-ORI.docx</vt:lpwstr>
  </property>
  <property fmtid="{D5CDD505-2E9C-101B-9397-08002B2CF9AE}" pid="7" name="ContentTypeId">
    <vt:lpwstr>0x010100EA97B91038054C99906057A708A1480A000A67E7817F567C48B0FF98918A0B8F68</vt:lpwstr>
  </property>
  <property fmtid="{D5CDD505-2E9C-101B-9397-08002B2CF9AE}" pid="8" name="_dlc_DocIdItemGuid">
    <vt:lpwstr>0742a512-62aa-4ec8-a953-a669c34a735a</vt:lpwstr>
  </property>
  <property fmtid="{D5CDD505-2E9C-101B-9397-08002B2CF9AE}" pid="9" name="AvailableTranslations">
    <vt:lpwstr>30;#PL|1e03da61-4678-4e07-b136-b5024ca9197b;#31;#ES|e7a6b05b-ae16-40c8-add9-68b64b03aeba;#45;#RO|feb747a2-64cd-4299-af12-4833ddc30497;#42;#SL|98a412ae-eb01-49e9-ae3d-585a81724cfc;#40;#BG|1a1b3951-7821-4e6a-85f5-5673fc08bd2c;#35;#MT|7df99101-6854-4a26-b53a</vt:lpwstr>
  </property>
  <property fmtid="{D5CDD505-2E9C-101B-9397-08002B2CF9AE}" pid="10" name="DocumentType_0">
    <vt:lpwstr>ADMIN|58d8ac89-e690-41f6-a5e8-508fa4a7c73c</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1954</vt:i4>
  </property>
  <property fmtid="{D5CDD505-2E9C-101B-9397-08002B2CF9AE}" pid="14" name="FicheYear">
    <vt:i4>2022</vt:i4>
  </property>
  <property fmtid="{D5CDD505-2E9C-101B-9397-08002B2CF9AE}" pid="15" name="DocumentVersion">
    <vt:i4>0</vt:i4>
  </property>
  <property fmtid="{D5CDD505-2E9C-101B-9397-08002B2CF9AE}" pid="16" name="DocumentStatus">
    <vt:lpwstr>7;#TRA|150d2a88-1431-44e6-a8ca-0bb753ab8672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58;#ADMIN|58d8ac89-e690-41f6-a5e8-508fa4a7c73c</vt:lpwstr>
  </property>
  <property fmtid="{D5CDD505-2E9C-101B-9397-08002B2CF9AE}" pid="21" name="RequestingService">
    <vt:lpwstr>Workflow et helpdesk de la traduction</vt:lpwstr>
  </property>
  <property fmtid="{D5CDD505-2E9C-101B-9397-08002B2CF9AE}" pid="22" name="Confidentiality">
    <vt:lpwstr>5;#Internal|2451815e-8241-4bbf-a22e-1ab710712bf2</vt:lpwstr>
  </property>
  <property fmtid="{D5CDD505-2E9C-101B-9397-08002B2CF9AE}" pid="23" name="MeetingName_0">
    <vt:lpwstr/>
  </property>
  <property fmtid="{D5CDD505-2E9C-101B-9397-08002B2CF9AE}" pid="24" name="Confidentiality_0">
    <vt:lpwstr>Internal|2451815e-8241-4bbf-a22e-1ab710712bf2</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AvailableTranslations_0">
    <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58;#ADMIN|58d8ac89-e690-41f6-a5e8-508fa4a7c73c;#7;#TRA|150d2a88-1431-44e6-a8ca-0bb753ab8672;#6;#Final|ea5e6674-7b27-4bac-b091-73adbb394efe;#5;#Internal|2451815e-8241-4bbf-a22e-1ab710712bf2;#4;#EN|f2175f21-25d7-44a3-96da-d6a61b075e1b;#1;#EESC|422833ec-8d7e</vt:lpwstr>
  </property>
  <property fmtid="{D5CDD505-2E9C-101B-9397-08002B2CF9AE}" pid="31" name="VersionStatus_0">
    <vt:lpwstr>Final|ea5e6674-7b27-4bac-b091-73adbb394efe</vt:lpwstr>
  </property>
  <property fmtid="{D5CDD505-2E9C-101B-9397-08002B2CF9AE}" pid="32" name="VersionStatus">
    <vt:lpwstr>6;#Final|ea5e6674-7b27-4bac-b091-73adbb394efe</vt:lpwstr>
  </property>
  <property fmtid="{D5CDD505-2E9C-101B-9397-08002B2CF9AE}" pid="33" name="DocumentYear">
    <vt:i4>2022</vt:i4>
  </property>
  <property fmtid="{D5CDD505-2E9C-101B-9397-08002B2CF9AE}" pid="34" name="FicheNumber">
    <vt:i4>4402</vt:i4>
  </property>
  <property fmtid="{D5CDD505-2E9C-101B-9397-08002B2CF9AE}" pid="35" name="DocumentLanguage">
    <vt:lpwstr>4;#EN|f2175f21-25d7-44a3-96da-d6a61b075e1b</vt:lpwstr>
  </property>
  <property fmtid="{D5CDD505-2E9C-101B-9397-08002B2CF9AE}" pid="36" name="_docset_NoMedatataSyncRequired">
    <vt:lpwstr>False</vt:lpwstr>
  </property>
</Properties>
</file>