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7E1D" w:rsidR="004D7AC0" w:rsidP="008D7E5D" w:rsidRDefault="00E96763" w14:paraId="785AE44C" w14:textId="3DA459EA">
      <w:pPr>
        <w:suppressAutoHyphens/>
        <w:jc w:val="center"/>
      </w:pPr>
      <w:r w:rsidRPr="00C77E1D">
        <w:rPr>
          <w:noProof/>
          <w:lang w:eastAsia="en-GB"/>
        </w:rPr>
        <w:drawing>
          <wp:inline distT="0" distB="0" distL="0" distR="0" wp14:anchorId="651A4158" wp14:editId="3B49B6EB">
            <wp:extent cx="1792800" cy="1242000"/>
            <wp:effectExtent l="0" t="0" r="0" b="0"/>
            <wp:docPr id="1" name="Picture 1" title="EESCLogo_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sl-quadri_M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r w:rsidRPr="00C77E1D" w:rsidR="00721342">
        <w:rPr>
          <w:noProof/>
          <w:sz w:val="20"/>
        </w:rPr>
        <mc:AlternateContent>
          <mc:Choice Requires="wps">
            <w:drawing>
              <wp:anchor distT="0" distB="0" distL="114300" distR="114300" simplePos="0" relativeHeight="251657216" behindDoc="1" locked="0" layoutInCell="0" allowOverlap="1" wp14:editId="5663619B"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SL</w:t>
                      </w:r>
                    </w:p>
                  </w:txbxContent>
                </v:textbox>
                <w10:wrap anchorx="page" anchory="page"/>
              </v:shape>
            </w:pict>
          </mc:Fallback>
        </mc:AlternateContent>
      </w:r>
    </w:p>
    <w:p w:rsidRPr="00C77E1D" w:rsidR="004D7AC0" w:rsidP="008D7E5D" w:rsidRDefault="004D7AC0" w14:paraId="51F52D79" w14:textId="77777777">
      <w:pPr>
        <w:suppressAutoHyphens/>
      </w:pPr>
    </w:p>
    <w:p w:rsidRPr="00C77E1D" w:rsidR="004D7AC0" w:rsidP="008D7E5D" w:rsidRDefault="00014C93" w14:paraId="45DE4A28" w14:textId="626AA4C0">
      <w:pPr>
        <w:suppressAutoHyphens/>
        <w:jc w:val="right"/>
      </w:pPr>
      <w:r w:rsidRPr="00C77E1D">
        <w:t>Bruselj, 22. april 2024</w:t>
      </w:r>
    </w:p>
    <w:p w:rsidRPr="00C77E1D" w:rsidR="004D7AC0" w:rsidP="008D7E5D" w:rsidRDefault="004D7AC0" w14:paraId="6B250092" w14:textId="77777777">
      <w:pPr>
        <w:suppressAutoHyphens/>
      </w:pPr>
    </w:p>
    <w:p w:rsidRPr="00C77E1D" w:rsidR="004D7AC0" w:rsidP="008D7E5D" w:rsidRDefault="004D7AC0" w14:paraId="0593C6DF" w14:textId="77777777">
      <w:pPr>
        <w:suppressAutoHyphens/>
      </w:pPr>
    </w:p>
    <w:tbl>
      <w:tblPr>
        <w:tblW w:w="0" w:type="auto"/>
        <w:tblLook w:val="04A0" w:firstRow="1" w:lastRow="0" w:firstColumn="1" w:lastColumn="0" w:noHBand="0" w:noVBand="1"/>
      </w:tblPr>
      <w:tblGrid>
        <w:gridCol w:w="9073"/>
      </w:tblGrid>
      <w:tr w:rsidRPr="00C77E1D" w:rsidR="004D7AC0" w:rsidTr="00662436" w14:paraId="6D7B3453" w14:textId="77777777">
        <w:tc>
          <w:tcPr>
            <w:tcW w:w="9289" w:type="dxa"/>
            <w:tcBorders>
              <w:bottom w:val="double" w:color="auto" w:sz="4" w:space="0"/>
            </w:tcBorders>
          </w:tcPr>
          <w:p w:rsidRPr="00C77E1D" w:rsidR="001760E9" w:rsidP="008D7E5D" w:rsidRDefault="00DA2D88" w14:paraId="3B286D4E" w14:textId="303F3431">
            <w:pPr>
              <w:suppressAutoHyphens/>
              <w:snapToGrid w:val="0"/>
              <w:jc w:val="center"/>
              <w:rPr>
                <w:b/>
                <w:sz w:val="32"/>
              </w:rPr>
            </w:pPr>
            <w:r w:rsidRPr="00C77E1D">
              <w:rPr>
                <w:b/>
                <w:sz w:val="32"/>
              </w:rPr>
              <w:t>586. PLENARNO ZASEDANJE</w:t>
            </w:r>
          </w:p>
          <w:p w:rsidRPr="00E50FF3" w:rsidR="001760E9" w:rsidP="008D7E5D" w:rsidRDefault="001760E9" w14:paraId="6C87A626" w14:textId="0AE2882C">
            <w:pPr>
              <w:suppressAutoHyphens/>
              <w:snapToGrid w:val="0"/>
              <w:jc w:val="center"/>
              <w:rPr>
                <w:bCs/>
              </w:rPr>
            </w:pPr>
          </w:p>
          <w:p w:rsidRPr="00C77E1D" w:rsidR="001760E9" w:rsidP="008D7E5D" w:rsidRDefault="00025304" w14:paraId="6CF7229C" w14:textId="2308692E">
            <w:pPr>
              <w:suppressAutoHyphens/>
              <w:snapToGrid w:val="0"/>
              <w:jc w:val="center"/>
              <w:rPr>
                <w:b/>
                <w:sz w:val="32"/>
              </w:rPr>
            </w:pPr>
            <w:r w:rsidRPr="00C77E1D">
              <w:rPr>
                <w:b/>
                <w:sz w:val="32"/>
              </w:rPr>
              <w:t>20. in 21. marec 2024</w:t>
            </w:r>
          </w:p>
          <w:p w:rsidRPr="00E50FF3" w:rsidR="001760E9" w:rsidP="008D7E5D" w:rsidRDefault="001760E9" w14:paraId="0C44BD01" w14:textId="2F8EBB07">
            <w:pPr>
              <w:suppressAutoHyphens/>
              <w:snapToGrid w:val="0"/>
              <w:jc w:val="center"/>
              <w:rPr>
                <w:bCs/>
              </w:rPr>
            </w:pPr>
          </w:p>
          <w:p w:rsidRPr="00C77E1D" w:rsidR="004D7AC0" w:rsidP="008D7E5D" w:rsidRDefault="00CF2F88" w14:paraId="114106CC" w14:textId="11A9DA7B">
            <w:pPr>
              <w:suppressAutoHyphens/>
              <w:snapToGrid w:val="0"/>
              <w:jc w:val="center"/>
              <w:rPr>
                <w:rFonts w:eastAsia="MS Mincho"/>
                <w:b/>
                <w:sz w:val="32"/>
                <w:szCs w:val="32"/>
              </w:rPr>
            </w:pPr>
            <w:r w:rsidRPr="00C77E1D">
              <w:rPr>
                <w:b/>
                <w:sz w:val="32"/>
              </w:rPr>
              <w:t>POVZETEK SPREJETIH MNENJ, RESOLUCIJ IN INFORMATIVNIH POROČIL / POROČIL O OCENI</w:t>
            </w:r>
          </w:p>
          <w:p w:rsidRPr="00C77E1D" w:rsidR="004D7AC0" w:rsidP="008D7E5D" w:rsidRDefault="004D7AC0" w14:paraId="06AE72EA" w14:textId="77777777">
            <w:pPr>
              <w:suppressAutoHyphens/>
              <w:snapToGrid w:val="0"/>
            </w:pPr>
          </w:p>
        </w:tc>
      </w:tr>
      <w:tr w:rsidRPr="00C77E1D"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C77E1D" w:rsidR="00B16284" w:rsidP="008D7E5D" w:rsidRDefault="004D7AC0" w14:paraId="0A87E35B" w14:textId="74AFA5AE">
            <w:pPr>
              <w:suppressAutoHyphens/>
              <w:snapToGrid w:val="0"/>
              <w:jc w:val="center"/>
            </w:pPr>
            <w:r w:rsidRPr="00C77E1D">
              <w:t xml:space="preserve">Dokument je v uradnih jezikih na voljo na spletni strani </w:t>
            </w:r>
            <w:r w:rsidR="00E75EB1">
              <w:t>EESO</w:t>
            </w:r>
            <w:r w:rsidRPr="00C77E1D">
              <w:t>:</w:t>
            </w:r>
          </w:p>
          <w:p w:rsidRPr="00C77E1D" w:rsidR="00B16284" w:rsidP="008D7E5D" w:rsidRDefault="00B16284" w14:paraId="4F26A4CE" w14:textId="77777777">
            <w:pPr>
              <w:suppressAutoHyphens/>
              <w:snapToGrid w:val="0"/>
              <w:jc w:val="center"/>
            </w:pPr>
          </w:p>
          <w:p w:rsidRPr="00C77E1D" w:rsidR="004D7AC0" w:rsidP="008D7E5D" w:rsidRDefault="007772B2" w14:paraId="2A9352A2" w14:textId="1173F103">
            <w:pPr>
              <w:suppressAutoHyphens/>
              <w:snapToGrid w:val="0"/>
              <w:jc w:val="center"/>
            </w:pPr>
            <w:hyperlink w:history="1" r:id="rId13">
              <w:r w:rsidRPr="008B1194" w:rsidR="00E75EB1">
                <w:rPr>
                  <w:rStyle w:val="Hyperlink"/>
                  <w:highlight w:val="yellow"/>
                </w:rPr>
                <w:t>https://www.eesc.europa.eu/sl/our-work/opinions-information-reports/plenary-session-summaries</w:t>
              </w:r>
            </w:hyperlink>
          </w:p>
          <w:p w:rsidRPr="00C77E1D" w:rsidR="004D7AC0" w:rsidP="008D7E5D" w:rsidRDefault="004D7AC0" w14:paraId="70D5DBB4" w14:textId="77777777">
            <w:pPr>
              <w:suppressAutoHyphens/>
              <w:snapToGrid w:val="0"/>
              <w:jc w:val="center"/>
            </w:pPr>
          </w:p>
          <w:p w:rsidRPr="00C77E1D" w:rsidR="004D7AC0" w:rsidP="008D7E5D" w:rsidRDefault="004D7AC0" w14:paraId="575A73D6" w14:textId="77777777">
            <w:pPr>
              <w:suppressAutoHyphens/>
              <w:snapToGrid w:val="0"/>
              <w:jc w:val="center"/>
              <w:rPr>
                <w:rFonts w:eastAsia="SimSun"/>
              </w:rPr>
            </w:pPr>
          </w:p>
          <w:p w:rsidRPr="00C77E1D" w:rsidR="00B16284" w:rsidP="008D7E5D" w:rsidRDefault="004D7AC0" w14:paraId="1C64BC20" w14:textId="77777777">
            <w:pPr>
              <w:suppressAutoHyphens/>
              <w:snapToGrid w:val="0"/>
              <w:jc w:val="center"/>
            </w:pPr>
            <w:r w:rsidRPr="00C77E1D">
              <w:t>Navedena mnenja so na spletu dostopna prek iskalnika Odbora:</w:t>
            </w:r>
          </w:p>
          <w:p w:rsidRPr="00C77E1D" w:rsidR="00B16284" w:rsidP="008D7E5D" w:rsidRDefault="00B16284" w14:paraId="7A5411A5" w14:textId="77777777">
            <w:pPr>
              <w:suppressAutoHyphens/>
              <w:snapToGrid w:val="0"/>
              <w:jc w:val="center"/>
            </w:pPr>
          </w:p>
          <w:p w:rsidRPr="00C77E1D" w:rsidR="004D7AC0" w:rsidP="008D7E5D" w:rsidRDefault="007772B2" w14:paraId="441AC4DD" w14:textId="1194D751">
            <w:pPr>
              <w:suppressAutoHyphens/>
              <w:snapToGrid w:val="0"/>
              <w:jc w:val="center"/>
            </w:pPr>
            <w:hyperlink w:history="1" r:id="rId14">
              <w:r w:rsidRPr="00C77E1D" w:rsidR="00664989">
                <w:rPr>
                  <w:rStyle w:val="Hyperlink"/>
                </w:rPr>
                <w:t>https://dmsearch.eesc.europa.eu/search/opinion</w:t>
              </w:r>
            </w:hyperlink>
          </w:p>
          <w:p w:rsidRPr="00C77E1D" w:rsidR="004D7AC0" w:rsidP="008D7E5D" w:rsidRDefault="004D7AC0" w14:paraId="51FF303F" w14:textId="77777777">
            <w:pPr>
              <w:suppressAutoHyphens/>
              <w:snapToGrid w:val="0"/>
              <w:jc w:val="center"/>
            </w:pPr>
          </w:p>
        </w:tc>
      </w:tr>
    </w:tbl>
    <w:p w:rsidRPr="00C77E1D" w:rsidR="004D7AC0" w:rsidP="008D7E5D" w:rsidRDefault="004D7AC0" w14:paraId="57C291FC" w14:textId="77777777">
      <w:pPr>
        <w:suppressAutoHyphens/>
      </w:pPr>
    </w:p>
    <w:p w:rsidRPr="00C77E1D" w:rsidR="004D7AC0" w:rsidP="008D7E5D" w:rsidRDefault="004D7AC0" w14:paraId="5E675360" w14:textId="77777777">
      <w:pPr>
        <w:suppressAutoHyphens/>
      </w:pPr>
    </w:p>
    <w:p w:rsidRPr="00C77E1D" w:rsidR="005A29D5" w:rsidP="008D7E5D" w:rsidRDefault="005A29D5" w14:paraId="3CF67A1E" w14:textId="77777777">
      <w:pPr>
        <w:suppressAutoHyphens/>
        <w:sectPr w:rsidRPr="00C77E1D" w:rsidR="005A29D5" w:rsidSect="0014322B">
          <w:footerReference w:type="default" r:id="rId15"/>
          <w:pgSz w:w="11907" w:h="16839"/>
          <w:pgMar w:top="1417" w:right="1417" w:bottom="1417" w:left="1417" w:header="709" w:footer="709" w:gutter="0"/>
          <w:pgNumType w:start="1"/>
          <w:cols w:space="708"/>
          <w:docGrid w:linePitch="360"/>
        </w:sectPr>
      </w:pPr>
    </w:p>
    <w:p w:rsidRPr="00C77E1D" w:rsidR="00E31152" w:rsidP="008D7E5D" w:rsidRDefault="0014322B" w14:paraId="0D3450B1" w14:textId="72CD896C">
      <w:pPr>
        <w:suppressAutoHyphens/>
        <w:ind w:hanging="284"/>
        <w:jc w:val="left"/>
        <w:rPr>
          <w:rFonts w:asciiTheme="majorHAnsi" w:hAnsiTheme="majorHAnsi" w:eastAsiaTheme="majorEastAsia" w:cstheme="majorBidi"/>
          <w:color w:val="2E74B5" w:themeColor="accent1" w:themeShade="BF"/>
          <w:sz w:val="32"/>
          <w:szCs w:val="32"/>
        </w:rPr>
      </w:pPr>
      <w:r w:rsidRPr="00C77E1D">
        <w:rPr>
          <w:rFonts w:asciiTheme="majorHAnsi" w:hAnsiTheme="majorHAnsi"/>
          <w:color w:val="2E74B5" w:themeColor="accent1" w:themeShade="BF"/>
          <w:sz w:val="32"/>
        </w:rPr>
        <w:lastRenderedPageBreak/>
        <w:t>Vsebina</w:t>
      </w:r>
    </w:p>
    <w:p w:rsidR="00E75EB1" w:rsidRDefault="0014322B" w14:paraId="087E4999" w14:textId="4EB550AE">
      <w:pPr>
        <w:pStyle w:val="TOC1"/>
        <w:rPr>
          <w:rFonts w:asciiTheme="minorHAnsi" w:hAnsiTheme="minorHAnsi" w:eastAsiaTheme="minorEastAsia"/>
          <w:bCs w:val="0"/>
          <w:sz w:val="22"/>
        </w:rPr>
      </w:pPr>
      <w:r w:rsidRPr="00C77E1D">
        <w:fldChar w:fldCharType="begin"/>
      </w:r>
      <w:r w:rsidRPr="00C77E1D">
        <w:instrText xml:space="preserve"> TOC \o "1-1" \h \z \u </w:instrText>
      </w:r>
      <w:r w:rsidRPr="00C77E1D">
        <w:fldChar w:fldCharType="separate"/>
      </w:r>
      <w:hyperlink w:history="1" w:anchor="_Toc163653644">
        <w:r w:rsidRPr="00EB3CB6" w:rsidR="00E75EB1">
          <w:rPr>
            <w:rStyle w:val="Hyperlink"/>
            <w14:scene3d>
              <w14:camera w14:prst="orthographicFront"/>
              <w14:lightRig w14:rig="threePt" w14:dir="t">
                <w14:rot w14:lat="0" w14:lon="0" w14:rev="0"/>
              </w14:lightRig>
            </w14:scene3d>
          </w:rPr>
          <w:t>1.</w:t>
        </w:r>
        <w:r w:rsidR="00E75EB1">
          <w:rPr>
            <w:rFonts w:asciiTheme="minorHAnsi" w:hAnsiTheme="minorHAnsi" w:eastAsiaTheme="minorEastAsia"/>
            <w:bCs w:val="0"/>
            <w:sz w:val="22"/>
          </w:rPr>
          <w:tab/>
        </w:r>
        <w:r w:rsidRPr="00EB3CB6" w:rsidR="00E75EB1">
          <w:rPr>
            <w:rStyle w:val="Hyperlink"/>
            <w:b/>
          </w:rPr>
          <w:t>RESOLUCIJA</w:t>
        </w:r>
        <w:r w:rsidR="00E75EB1">
          <w:rPr>
            <w:webHidden/>
          </w:rPr>
          <w:tab/>
        </w:r>
        <w:r w:rsidR="00E75EB1">
          <w:rPr>
            <w:webHidden/>
          </w:rPr>
          <w:fldChar w:fldCharType="begin"/>
        </w:r>
        <w:r w:rsidR="00E75EB1">
          <w:rPr>
            <w:webHidden/>
          </w:rPr>
          <w:instrText xml:space="preserve"> PAGEREF _Toc163653644 \h </w:instrText>
        </w:r>
        <w:r w:rsidR="00E75EB1">
          <w:rPr>
            <w:webHidden/>
          </w:rPr>
        </w:r>
        <w:r w:rsidR="00E75EB1">
          <w:rPr>
            <w:webHidden/>
          </w:rPr>
          <w:fldChar w:fldCharType="separate"/>
        </w:r>
        <w:r w:rsidR="00E75EB1">
          <w:rPr>
            <w:webHidden/>
          </w:rPr>
          <w:t>3</w:t>
        </w:r>
        <w:r w:rsidR="00E75EB1">
          <w:rPr>
            <w:webHidden/>
          </w:rPr>
          <w:fldChar w:fldCharType="end"/>
        </w:r>
      </w:hyperlink>
    </w:p>
    <w:p w:rsidR="00E75EB1" w:rsidRDefault="007772B2" w14:paraId="6FDA16EB" w14:textId="16C08A44">
      <w:pPr>
        <w:pStyle w:val="TOC1"/>
        <w:rPr>
          <w:rFonts w:asciiTheme="minorHAnsi" w:hAnsiTheme="minorHAnsi" w:eastAsiaTheme="minorEastAsia"/>
          <w:bCs w:val="0"/>
          <w:sz w:val="22"/>
        </w:rPr>
      </w:pPr>
      <w:hyperlink w:history="1" w:anchor="_Toc163653645">
        <w:r w:rsidRPr="00EB3CB6" w:rsidR="00E75EB1">
          <w:rPr>
            <w:rStyle w:val="Hyperlink"/>
            <w14:scene3d>
              <w14:camera w14:prst="orthographicFront"/>
              <w14:lightRig w14:rig="threePt" w14:dir="t">
                <w14:rot w14:lat="0" w14:lon="0" w14:rev="0"/>
              </w14:lightRig>
            </w14:scene3d>
          </w:rPr>
          <w:t>2.</w:t>
        </w:r>
        <w:r w:rsidR="00E75EB1">
          <w:rPr>
            <w:rFonts w:asciiTheme="minorHAnsi" w:hAnsiTheme="minorHAnsi" w:eastAsiaTheme="minorEastAsia"/>
            <w:bCs w:val="0"/>
            <w:sz w:val="22"/>
          </w:rPr>
          <w:tab/>
        </w:r>
        <w:r w:rsidRPr="00EB3CB6" w:rsidR="00E75EB1">
          <w:rPr>
            <w:rStyle w:val="Hyperlink"/>
            <w:b/>
          </w:rPr>
          <w:t>EKONOMSKA IN MONETARNA UNIJA TER EKONOMSKA IN SOCIALNA KOHEZIJA</w:t>
        </w:r>
        <w:r w:rsidR="00E75EB1">
          <w:rPr>
            <w:webHidden/>
          </w:rPr>
          <w:tab/>
        </w:r>
        <w:r w:rsidR="00E75EB1">
          <w:rPr>
            <w:webHidden/>
          </w:rPr>
          <w:fldChar w:fldCharType="begin"/>
        </w:r>
        <w:r w:rsidR="00E75EB1">
          <w:rPr>
            <w:webHidden/>
          </w:rPr>
          <w:instrText xml:space="preserve"> PAGEREF _Toc163653645 \h </w:instrText>
        </w:r>
        <w:r w:rsidR="00E75EB1">
          <w:rPr>
            <w:webHidden/>
          </w:rPr>
        </w:r>
        <w:r w:rsidR="00E75EB1">
          <w:rPr>
            <w:webHidden/>
          </w:rPr>
          <w:fldChar w:fldCharType="separate"/>
        </w:r>
        <w:r w:rsidR="00E75EB1">
          <w:rPr>
            <w:webHidden/>
          </w:rPr>
          <w:t>4</w:t>
        </w:r>
        <w:r w:rsidR="00E75EB1">
          <w:rPr>
            <w:webHidden/>
          </w:rPr>
          <w:fldChar w:fldCharType="end"/>
        </w:r>
      </w:hyperlink>
    </w:p>
    <w:p w:rsidR="00E75EB1" w:rsidRDefault="007772B2" w14:paraId="1CAE393F" w14:textId="185976B6">
      <w:pPr>
        <w:pStyle w:val="TOC1"/>
        <w:rPr>
          <w:rFonts w:asciiTheme="minorHAnsi" w:hAnsiTheme="minorHAnsi" w:eastAsiaTheme="minorEastAsia"/>
          <w:bCs w:val="0"/>
          <w:sz w:val="22"/>
        </w:rPr>
      </w:pPr>
      <w:hyperlink w:history="1" w:anchor="_Toc163653646">
        <w:r w:rsidRPr="00EB3CB6" w:rsidR="00E75EB1">
          <w:rPr>
            <w:rStyle w:val="Hyperlink"/>
            <w14:scene3d>
              <w14:camera w14:prst="orthographicFront"/>
              <w14:lightRig w14:rig="threePt" w14:dir="t">
                <w14:rot w14:lat="0" w14:lon="0" w14:rev="0"/>
              </w14:lightRig>
            </w14:scene3d>
          </w:rPr>
          <w:t>3.</w:t>
        </w:r>
        <w:r w:rsidR="00E75EB1">
          <w:rPr>
            <w:rFonts w:asciiTheme="minorHAnsi" w:hAnsiTheme="minorHAnsi" w:eastAsiaTheme="minorEastAsia"/>
            <w:bCs w:val="0"/>
            <w:sz w:val="22"/>
          </w:rPr>
          <w:tab/>
        </w:r>
        <w:r w:rsidRPr="00EB3CB6" w:rsidR="00E75EB1">
          <w:rPr>
            <w:rStyle w:val="Hyperlink"/>
            <w:b/>
          </w:rPr>
          <w:t>ENOTNI TRG, PROIZVODNJA IN POTROŠNJA</w:t>
        </w:r>
        <w:r w:rsidR="00E75EB1">
          <w:rPr>
            <w:webHidden/>
          </w:rPr>
          <w:tab/>
        </w:r>
        <w:r w:rsidR="00E75EB1">
          <w:rPr>
            <w:webHidden/>
          </w:rPr>
          <w:fldChar w:fldCharType="begin"/>
        </w:r>
        <w:r w:rsidR="00E75EB1">
          <w:rPr>
            <w:webHidden/>
          </w:rPr>
          <w:instrText xml:space="preserve"> PAGEREF _Toc163653646 \h </w:instrText>
        </w:r>
        <w:r w:rsidR="00E75EB1">
          <w:rPr>
            <w:webHidden/>
          </w:rPr>
        </w:r>
        <w:r w:rsidR="00E75EB1">
          <w:rPr>
            <w:webHidden/>
          </w:rPr>
          <w:fldChar w:fldCharType="separate"/>
        </w:r>
        <w:r w:rsidR="00E75EB1">
          <w:rPr>
            <w:webHidden/>
          </w:rPr>
          <w:t>6</w:t>
        </w:r>
        <w:r w:rsidR="00E75EB1">
          <w:rPr>
            <w:webHidden/>
          </w:rPr>
          <w:fldChar w:fldCharType="end"/>
        </w:r>
      </w:hyperlink>
    </w:p>
    <w:p w:rsidR="00E75EB1" w:rsidRDefault="007772B2" w14:paraId="62D6F3BC" w14:textId="0F0FD406">
      <w:pPr>
        <w:pStyle w:val="TOC1"/>
        <w:rPr>
          <w:rFonts w:asciiTheme="minorHAnsi" w:hAnsiTheme="minorHAnsi" w:eastAsiaTheme="minorEastAsia"/>
          <w:bCs w:val="0"/>
          <w:sz w:val="22"/>
        </w:rPr>
      </w:pPr>
      <w:hyperlink w:history="1" w:anchor="_Toc163653647">
        <w:r w:rsidRPr="00EB3CB6" w:rsidR="00E75EB1">
          <w:rPr>
            <w:rStyle w:val="Hyperlink"/>
            <w14:scene3d>
              <w14:camera w14:prst="orthographicFront"/>
              <w14:lightRig w14:rig="threePt" w14:dir="t">
                <w14:rot w14:lat="0" w14:lon="0" w14:rev="0"/>
              </w14:lightRig>
            </w14:scene3d>
          </w:rPr>
          <w:t>4.</w:t>
        </w:r>
        <w:r w:rsidR="00E75EB1">
          <w:rPr>
            <w:rFonts w:asciiTheme="minorHAnsi" w:hAnsiTheme="minorHAnsi" w:eastAsiaTheme="minorEastAsia"/>
            <w:bCs w:val="0"/>
            <w:sz w:val="22"/>
          </w:rPr>
          <w:tab/>
        </w:r>
        <w:r w:rsidRPr="00EB3CB6" w:rsidR="00E75EB1">
          <w:rPr>
            <w:rStyle w:val="Hyperlink"/>
            <w:b/>
          </w:rPr>
          <w:t>KMETIJSTVO, RAZVOJ PODEŽELJA IN OKOLJE</w:t>
        </w:r>
        <w:r w:rsidR="00E75EB1">
          <w:rPr>
            <w:webHidden/>
          </w:rPr>
          <w:tab/>
        </w:r>
        <w:r w:rsidR="00E75EB1">
          <w:rPr>
            <w:webHidden/>
          </w:rPr>
          <w:fldChar w:fldCharType="begin"/>
        </w:r>
        <w:r w:rsidR="00E75EB1">
          <w:rPr>
            <w:webHidden/>
          </w:rPr>
          <w:instrText xml:space="preserve"> PAGEREF _Toc163653647 \h </w:instrText>
        </w:r>
        <w:r w:rsidR="00E75EB1">
          <w:rPr>
            <w:webHidden/>
          </w:rPr>
        </w:r>
        <w:r w:rsidR="00E75EB1">
          <w:rPr>
            <w:webHidden/>
          </w:rPr>
          <w:fldChar w:fldCharType="separate"/>
        </w:r>
        <w:r w:rsidR="00E75EB1">
          <w:rPr>
            <w:webHidden/>
          </w:rPr>
          <w:t>8</w:t>
        </w:r>
        <w:r w:rsidR="00E75EB1">
          <w:rPr>
            <w:webHidden/>
          </w:rPr>
          <w:fldChar w:fldCharType="end"/>
        </w:r>
      </w:hyperlink>
    </w:p>
    <w:p w:rsidR="00E75EB1" w:rsidRDefault="007772B2" w14:paraId="6B5168EF" w14:textId="085C9893">
      <w:pPr>
        <w:pStyle w:val="TOC1"/>
        <w:rPr>
          <w:rFonts w:asciiTheme="minorHAnsi" w:hAnsiTheme="minorHAnsi" w:eastAsiaTheme="minorEastAsia"/>
          <w:bCs w:val="0"/>
          <w:sz w:val="22"/>
        </w:rPr>
      </w:pPr>
      <w:hyperlink w:history="1" w:anchor="_Toc163653648">
        <w:r w:rsidRPr="00EB3CB6" w:rsidR="00E75EB1">
          <w:rPr>
            <w:rStyle w:val="Hyperlink"/>
            <w14:scene3d>
              <w14:camera w14:prst="orthographicFront"/>
              <w14:lightRig w14:rig="threePt" w14:dir="t">
                <w14:rot w14:lat="0" w14:lon="0" w14:rev="0"/>
              </w14:lightRig>
            </w14:scene3d>
          </w:rPr>
          <w:t>5.</w:t>
        </w:r>
        <w:r w:rsidR="00E75EB1">
          <w:rPr>
            <w:rFonts w:asciiTheme="minorHAnsi" w:hAnsiTheme="minorHAnsi" w:eastAsiaTheme="minorEastAsia"/>
            <w:bCs w:val="0"/>
            <w:sz w:val="22"/>
          </w:rPr>
          <w:tab/>
        </w:r>
        <w:r w:rsidRPr="00EB3CB6" w:rsidR="00E75EB1">
          <w:rPr>
            <w:rStyle w:val="Hyperlink"/>
            <w:b/>
          </w:rPr>
          <w:t>PROMET, ENERGIJA, INFRASTRUKTURA IN INFORMACIJSKA DRUŽBA</w:t>
        </w:r>
        <w:r w:rsidR="00E75EB1">
          <w:rPr>
            <w:webHidden/>
          </w:rPr>
          <w:tab/>
        </w:r>
        <w:r w:rsidR="00E75EB1">
          <w:rPr>
            <w:webHidden/>
          </w:rPr>
          <w:fldChar w:fldCharType="begin"/>
        </w:r>
        <w:r w:rsidR="00E75EB1">
          <w:rPr>
            <w:webHidden/>
          </w:rPr>
          <w:instrText xml:space="preserve"> PAGEREF _Toc163653648 \h </w:instrText>
        </w:r>
        <w:r w:rsidR="00E75EB1">
          <w:rPr>
            <w:webHidden/>
          </w:rPr>
        </w:r>
        <w:r w:rsidR="00E75EB1">
          <w:rPr>
            <w:webHidden/>
          </w:rPr>
          <w:fldChar w:fldCharType="separate"/>
        </w:r>
        <w:r w:rsidR="00E75EB1">
          <w:rPr>
            <w:webHidden/>
          </w:rPr>
          <w:t>12</w:t>
        </w:r>
        <w:r w:rsidR="00E75EB1">
          <w:rPr>
            <w:webHidden/>
          </w:rPr>
          <w:fldChar w:fldCharType="end"/>
        </w:r>
      </w:hyperlink>
    </w:p>
    <w:p w:rsidR="00E75EB1" w:rsidRDefault="007772B2" w14:paraId="2D337969" w14:textId="328B4903">
      <w:pPr>
        <w:pStyle w:val="TOC1"/>
        <w:rPr>
          <w:rFonts w:asciiTheme="minorHAnsi" w:hAnsiTheme="minorHAnsi" w:eastAsiaTheme="minorEastAsia"/>
          <w:bCs w:val="0"/>
          <w:sz w:val="22"/>
        </w:rPr>
      </w:pPr>
      <w:hyperlink w:history="1" w:anchor="_Toc163653649">
        <w:r w:rsidRPr="00EB3CB6" w:rsidR="00E75EB1">
          <w:rPr>
            <w:rStyle w:val="Hyperlink"/>
            <w14:scene3d>
              <w14:camera w14:prst="orthographicFront"/>
              <w14:lightRig w14:rig="threePt" w14:dir="t">
                <w14:rot w14:lat="0" w14:lon="0" w14:rev="0"/>
              </w14:lightRig>
            </w14:scene3d>
          </w:rPr>
          <w:t>6.</w:t>
        </w:r>
        <w:r w:rsidR="00E75EB1">
          <w:rPr>
            <w:rFonts w:asciiTheme="minorHAnsi" w:hAnsiTheme="minorHAnsi" w:eastAsiaTheme="minorEastAsia"/>
            <w:bCs w:val="0"/>
            <w:sz w:val="22"/>
          </w:rPr>
          <w:tab/>
        </w:r>
        <w:r w:rsidRPr="00EB3CB6" w:rsidR="00E75EB1">
          <w:rPr>
            <w:rStyle w:val="Hyperlink"/>
            <w:b/>
          </w:rPr>
          <w:t>POSVETOVALNA KOMISIJA ZA SPREMEMBE V INDUSTRIJI</w:t>
        </w:r>
        <w:r w:rsidR="00E75EB1">
          <w:rPr>
            <w:webHidden/>
          </w:rPr>
          <w:tab/>
        </w:r>
        <w:r w:rsidR="00E75EB1">
          <w:rPr>
            <w:webHidden/>
          </w:rPr>
          <w:fldChar w:fldCharType="begin"/>
        </w:r>
        <w:r w:rsidR="00E75EB1">
          <w:rPr>
            <w:webHidden/>
          </w:rPr>
          <w:instrText xml:space="preserve"> PAGEREF _Toc163653649 \h </w:instrText>
        </w:r>
        <w:r w:rsidR="00E75EB1">
          <w:rPr>
            <w:webHidden/>
          </w:rPr>
        </w:r>
        <w:r w:rsidR="00E75EB1">
          <w:rPr>
            <w:webHidden/>
          </w:rPr>
          <w:fldChar w:fldCharType="separate"/>
        </w:r>
        <w:r w:rsidR="00E75EB1">
          <w:rPr>
            <w:webHidden/>
          </w:rPr>
          <w:t>14</w:t>
        </w:r>
        <w:r w:rsidR="00E75EB1">
          <w:rPr>
            <w:webHidden/>
          </w:rPr>
          <w:fldChar w:fldCharType="end"/>
        </w:r>
      </w:hyperlink>
    </w:p>
    <w:p w:rsidRPr="00C77E1D" w:rsidR="00C86ABD" w:rsidP="008D7E5D" w:rsidRDefault="0014322B" w14:paraId="4EDE006A" w14:textId="164EF8EF">
      <w:pPr>
        <w:suppressAutoHyphens/>
        <w:jc w:val="left"/>
      </w:pPr>
      <w:r w:rsidRPr="00C77E1D">
        <w:fldChar w:fldCharType="end"/>
      </w:r>
      <w:r w:rsidRPr="00C77E1D">
        <w:br w:type="page"/>
      </w:r>
    </w:p>
    <w:p w:rsidRPr="00C77E1D" w:rsidR="00C86ABD" w:rsidP="008D7E5D" w:rsidRDefault="00C86ABD" w14:paraId="6C806385" w14:textId="24DC83FD">
      <w:pPr>
        <w:pStyle w:val="Heading1"/>
        <w:suppressAutoHyphens/>
        <w:spacing w:before="0"/>
        <w:ind w:left="709" w:hanging="720"/>
        <w:rPr>
          <w:b/>
          <w:bCs/>
        </w:rPr>
      </w:pPr>
      <w:bookmarkStart w:name="_Toc163653644" w:id="0"/>
      <w:r w:rsidRPr="00C77E1D">
        <w:rPr>
          <w:b/>
        </w:rPr>
        <w:lastRenderedPageBreak/>
        <w:t>RESOLUCIJA</w:t>
      </w:r>
      <w:bookmarkEnd w:id="0"/>
    </w:p>
    <w:p w:rsidRPr="00C77E1D" w:rsidR="008469D4" w:rsidP="008D7E5D" w:rsidRDefault="008469D4" w14:paraId="1862AFC9" w14:textId="77777777">
      <w:pPr>
        <w:suppressAutoHyphens/>
      </w:pPr>
    </w:p>
    <w:p w:rsidRPr="00C77E1D" w:rsidR="00E96763" w:rsidP="008D7E5D" w:rsidRDefault="00E96763" w14:paraId="75D95E24" w14:textId="48150E05">
      <w:pPr>
        <w:numPr>
          <w:ilvl w:val="0"/>
          <w:numId w:val="25"/>
        </w:numPr>
        <w:suppressAutoHyphens/>
        <w:overflowPunct w:val="0"/>
        <w:autoSpaceDE w:val="0"/>
        <w:autoSpaceDN w:val="0"/>
        <w:adjustRightInd w:val="0"/>
        <w:ind w:hanging="567"/>
        <w:textAlignment w:val="baseline"/>
        <w:rPr>
          <w:sz w:val="24"/>
          <w:szCs w:val="24"/>
        </w:rPr>
      </w:pPr>
      <w:r w:rsidRPr="00C77E1D">
        <w:rPr>
          <w:b/>
          <w:i/>
          <w:sz w:val="28"/>
        </w:rPr>
        <w:t>Resolucija EESO: Glasujmo za enotno, demokratično, konkurenčno, trajnostno in socialno Evropsko unijo</w:t>
      </w:r>
    </w:p>
    <w:p w:rsidRPr="00C77E1D" w:rsidR="00E96763" w:rsidP="008D7E5D" w:rsidRDefault="00E96763" w14:paraId="2EFD8896" w14:textId="77777777">
      <w:pPr>
        <w:tabs>
          <w:tab w:val="center" w:pos="284"/>
        </w:tabs>
        <w:suppressAutoHyphens/>
        <w:ind w:left="266" w:hanging="266"/>
        <w:rPr>
          <w:b/>
        </w:rPr>
      </w:pPr>
    </w:p>
    <w:tbl>
      <w:tblPr>
        <w:tblStyle w:val="TableGrid"/>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6"/>
        <w:gridCol w:w="6838"/>
      </w:tblGrid>
      <w:tr w:rsidRPr="00C77E1D" w:rsidR="00E96763" w:rsidTr="00E96763" w14:paraId="5B8E3566" w14:textId="77777777">
        <w:tc>
          <w:tcPr>
            <w:tcW w:w="2376" w:type="dxa"/>
          </w:tcPr>
          <w:p w:rsidRPr="00C77E1D" w:rsidR="00E96763" w:rsidP="008D7E5D" w:rsidRDefault="00E96763" w14:paraId="4F6D9F8F" w14:textId="77777777">
            <w:pPr>
              <w:tabs>
                <w:tab w:val="center" w:pos="284"/>
              </w:tabs>
              <w:suppressAutoHyphens/>
              <w:ind w:left="266" w:hanging="266"/>
              <w:rPr>
                <w:b/>
              </w:rPr>
            </w:pPr>
            <w:r w:rsidRPr="00C77E1D">
              <w:rPr>
                <w:b/>
              </w:rPr>
              <w:t>Poročevalci</w:t>
            </w:r>
          </w:p>
        </w:tc>
        <w:tc>
          <w:tcPr>
            <w:tcW w:w="6838" w:type="dxa"/>
          </w:tcPr>
          <w:p w:rsidRPr="00C77E1D" w:rsidR="00E96763" w:rsidP="008D7E5D" w:rsidRDefault="00E96763" w14:paraId="3B8F0C36" w14:textId="77777777">
            <w:pPr>
              <w:suppressAutoHyphens/>
            </w:pPr>
            <w:r w:rsidRPr="00C77E1D">
              <w:t>Christa SCHWENG (skupina delodajalcev – AT)</w:t>
            </w:r>
          </w:p>
          <w:p w:rsidRPr="00C77E1D" w:rsidR="00E96763" w:rsidP="008D7E5D" w:rsidRDefault="00E96763" w14:paraId="79D45698" w14:textId="77777777">
            <w:pPr>
              <w:suppressAutoHyphens/>
            </w:pPr>
            <w:proofErr w:type="spellStart"/>
            <w:r w:rsidRPr="00C77E1D">
              <w:t>Cinzia</w:t>
            </w:r>
            <w:proofErr w:type="spellEnd"/>
            <w:r w:rsidRPr="00C77E1D">
              <w:t xml:space="preserve"> DEL RIO (skupina delojemalcev – IT)</w:t>
            </w:r>
          </w:p>
          <w:p w:rsidRPr="00C77E1D" w:rsidR="00E96763" w:rsidP="008D7E5D" w:rsidRDefault="00E96763" w14:paraId="620B0365" w14:textId="77777777">
            <w:pPr>
              <w:suppressAutoHyphens/>
            </w:pPr>
            <w:r w:rsidRPr="00C77E1D">
              <w:t>Ioannis VARDAKASTANIS (skupina organizacij civilne družbe – EL)</w:t>
            </w:r>
          </w:p>
        </w:tc>
      </w:tr>
      <w:tr w:rsidRPr="00C77E1D" w:rsidR="00E96763" w:rsidTr="00E96763" w14:paraId="0B98413D" w14:textId="77777777">
        <w:tc>
          <w:tcPr>
            <w:tcW w:w="9214" w:type="dxa"/>
            <w:gridSpan w:val="2"/>
          </w:tcPr>
          <w:p w:rsidRPr="00C77E1D" w:rsidR="00E96763" w:rsidP="008D7E5D" w:rsidRDefault="00E96763" w14:paraId="79A35F9F" w14:textId="77777777">
            <w:pPr>
              <w:tabs>
                <w:tab w:val="center" w:pos="284"/>
              </w:tabs>
              <w:suppressAutoHyphens/>
              <w:spacing w:line="240" w:lineRule="auto"/>
              <w:ind w:left="266" w:hanging="266"/>
              <w:rPr>
                <w:sz w:val="16"/>
                <w:szCs w:val="16"/>
              </w:rPr>
            </w:pPr>
          </w:p>
        </w:tc>
      </w:tr>
      <w:tr w:rsidRPr="00C77E1D" w:rsidR="00E96763" w:rsidTr="00E96763" w14:paraId="07807584" w14:textId="77777777">
        <w:trPr>
          <w:trHeight w:val="185"/>
        </w:trPr>
        <w:tc>
          <w:tcPr>
            <w:tcW w:w="2376" w:type="dxa"/>
          </w:tcPr>
          <w:p w:rsidRPr="00C77E1D" w:rsidR="00E96763" w:rsidP="008D7E5D" w:rsidRDefault="00E96763" w14:paraId="6B0B78FB" w14:textId="77777777">
            <w:pPr>
              <w:tabs>
                <w:tab w:val="center" w:pos="284"/>
              </w:tabs>
              <w:suppressAutoHyphens/>
              <w:ind w:left="266" w:hanging="266"/>
              <w:rPr>
                <w:b/>
              </w:rPr>
            </w:pPr>
            <w:r w:rsidRPr="00C77E1D">
              <w:rPr>
                <w:b/>
              </w:rPr>
              <w:t>Referenčni dokument</w:t>
            </w:r>
          </w:p>
        </w:tc>
        <w:tc>
          <w:tcPr>
            <w:tcW w:w="6838" w:type="dxa"/>
          </w:tcPr>
          <w:p w:rsidRPr="00C77E1D" w:rsidR="00E96763" w:rsidP="008D7E5D" w:rsidRDefault="00E96763" w14:paraId="322D1B63" w14:textId="77777777">
            <w:pPr>
              <w:tabs>
                <w:tab w:val="center" w:pos="284"/>
              </w:tabs>
              <w:suppressAutoHyphens/>
              <w:ind w:left="266" w:hanging="266"/>
            </w:pPr>
            <w:r w:rsidRPr="00C77E1D">
              <w:t>EESC-2024-00483-00-00-RES</w:t>
            </w:r>
          </w:p>
        </w:tc>
      </w:tr>
    </w:tbl>
    <w:p w:rsidRPr="00C77E1D" w:rsidR="00E96763" w:rsidP="008D7E5D" w:rsidRDefault="00E96763" w14:paraId="59FD9B5B" w14:textId="77777777">
      <w:pPr>
        <w:tabs>
          <w:tab w:val="center" w:pos="284"/>
        </w:tabs>
        <w:suppressAutoHyphens/>
        <w:ind w:left="266" w:hanging="266"/>
        <w:rPr>
          <w:bCs/>
        </w:rPr>
      </w:pPr>
    </w:p>
    <w:p w:rsidRPr="00C77E1D" w:rsidR="00E96763" w:rsidP="008D7E5D" w:rsidRDefault="00E96763" w14:paraId="4E18651F" w14:textId="1D2971C0">
      <w:pPr>
        <w:tabs>
          <w:tab w:val="center" w:pos="284"/>
        </w:tabs>
        <w:suppressAutoHyphens/>
        <w:ind w:left="266" w:hanging="266"/>
        <w:rPr>
          <w:b/>
        </w:rPr>
      </w:pPr>
      <w:r w:rsidRPr="00C77E1D">
        <w:rPr>
          <w:b/>
        </w:rPr>
        <w:t>Glavne točke</w:t>
      </w:r>
    </w:p>
    <w:p w:rsidRPr="00C77E1D" w:rsidR="00E96763" w:rsidP="008D7E5D" w:rsidRDefault="00E96763" w14:paraId="18EC3965" w14:textId="77777777">
      <w:pPr>
        <w:tabs>
          <w:tab w:val="center" w:pos="284"/>
        </w:tabs>
        <w:suppressAutoHyphens/>
        <w:ind w:left="266" w:hanging="266"/>
        <w:rPr>
          <w:bCs/>
        </w:rPr>
      </w:pPr>
    </w:p>
    <w:p w:rsidRPr="00C77E1D" w:rsidR="00E96763" w:rsidP="008D7E5D" w:rsidRDefault="00E96763" w14:paraId="39629715" w14:textId="77777777">
      <w:pPr>
        <w:suppressAutoHyphens/>
        <w:rPr>
          <w:bCs/>
          <w:iCs/>
        </w:rPr>
      </w:pPr>
      <w:r w:rsidRPr="00C77E1D">
        <w:t>EESO:</w:t>
      </w:r>
    </w:p>
    <w:p w:rsidRPr="00C77E1D" w:rsidR="00E96763" w:rsidP="008D7E5D" w:rsidRDefault="00E96763" w14:paraId="164ACDBC" w14:textId="77777777">
      <w:pPr>
        <w:suppressAutoHyphens/>
        <w:rPr>
          <w:bCs/>
          <w:iCs/>
        </w:rPr>
      </w:pPr>
    </w:p>
    <w:p w:rsidRPr="00C77E1D" w:rsidR="00E96763" w:rsidP="008D7E5D" w:rsidRDefault="00E96763" w14:paraId="4EC35540" w14:textId="77777777">
      <w:pPr>
        <w:numPr>
          <w:ilvl w:val="0"/>
          <w:numId w:val="25"/>
        </w:numPr>
        <w:suppressAutoHyphens/>
        <w:ind w:left="426" w:hanging="426"/>
      </w:pPr>
      <w:r w:rsidRPr="00C77E1D">
        <w:t>poziva državljane EU, naj uveljavijo svojo demokratično volilno pravico, in poudarja, da imajo na junijskih volitvah priložnost, da z izvolitvijo poslancev Evropskega parlamenta glasujejo tudi za močnejše evropsko povezovanje;</w:t>
      </w:r>
    </w:p>
    <w:p w:rsidRPr="00C77E1D" w:rsidR="00E96763" w:rsidP="008D7E5D" w:rsidRDefault="00E96763" w14:paraId="36AA5BAE" w14:textId="77777777">
      <w:pPr>
        <w:numPr>
          <w:ilvl w:val="0"/>
          <w:numId w:val="25"/>
        </w:numPr>
        <w:suppressAutoHyphens/>
        <w:ind w:left="426" w:hanging="426"/>
      </w:pPr>
      <w:r w:rsidRPr="00C77E1D">
        <w:t>poudarja, da lahko zahvaljujoč Uniji delamo, študiramo in poslujemo v vseh državah EU;</w:t>
      </w:r>
    </w:p>
    <w:p w:rsidRPr="00C77E1D" w:rsidR="00E96763" w:rsidP="008D7E5D" w:rsidRDefault="00E96763" w14:paraId="408BFD79" w14:textId="77777777">
      <w:pPr>
        <w:numPr>
          <w:ilvl w:val="0"/>
          <w:numId w:val="25"/>
        </w:numPr>
        <w:suppressAutoHyphens/>
        <w:ind w:left="426" w:hanging="426"/>
      </w:pPr>
      <w:r w:rsidRPr="00C77E1D">
        <w:t>poudarja, da se nobena država EU ne more sama soočiti z izzivi, kot so naraščajoči življenjski stroški in inflacija, vojne na našem pragu, migracije, podnebna kriza in krčenje državljanskega prostora. Nacionalizem, populizem in ukrepi posamičnih držav niso odgovor;</w:t>
      </w:r>
    </w:p>
    <w:p w:rsidRPr="00C77E1D" w:rsidR="00E96763" w:rsidP="008D7E5D" w:rsidRDefault="00E96763" w14:paraId="5587EDF0" w14:textId="09648E1A">
      <w:pPr>
        <w:numPr>
          <w:ilvl w:val="0"/>
          <w:numId w:val="25"/>
        </w:numPr>
        <w:suppressAutoHyphens/>
        <w:ind w:left="426" w:hanging="426"/>
      </w:pPr>
      <w:r w:rsidRPr="00C77E1D">
        <w:t>izpostavlja, da lahko samo v združeni, demokratični, konkurenčni, trajnostni in socialni Evropski uniji resnično napredujemo pri teh vprašanjih in odpravimo neenakosti ter razlike v državah in med njimi;</w:t>
      </w:r>
    </w:p>
    <w:p w:rsidRPr="00C77E1D" w:rsidR="00E96763" w:rsidP="008D7E5D" w:rsidRDefault="00E96763" w14:paraId="5ABFE801" w14:textId="77777777">
      <w:pPr>
        <w:numPr>
          <w:ilvl w:val="0"/>
          <w:numId w:val="25"/>
        </w:numPr>
        <w:suppressAutoHyphens/>
        <w:ind w:left="426" w:hanging="426"/>
      </w:pPr>
      <w:r w:rsidRPr="00C77E1D">
        <w:t>poudarja, da je treba skupne vrednote EU, ki so demokracija, varstvo človekovih pravic, svoboda izražanja, pravna država, strpnost, pravičnost, nediskriminacija, enakost, solidarnost in demokratična udeležba, nenehno krepiti, braniti in ščititi, revščino in socialno izključenost pa je treba za vsako ceno preprečiti;</w:t>
      </w:r>
    </w:p>
    <w:p w:rsidRPr="00C77E1D" w:rsidR="00E96763" w:rsidP="008D7E5D" w:rsidRDefault="00E96763" w14:paraId="0F3443B6" w14:textId="77777777">
      <w:pPr>
        <w:numPr>
          <w:ilvl w:val="0"/>
          <w:numId w:val="25"/>
        </w:numPr>
        <w:suppressAutoHyphens/>
        <w:ind w:left="426" w:hanging="426"/>
      </w:pPr>
      <w:r w:rsidRPr="00C77E1D">
        <w:t xml:space="preserve">poudarja, da mora biti EU vpliven akter na svetovni ravni, da bi preprečila in reševala konflikte, vlagala v </w:t>
      </w:r>
      <w:proofErr w:type="spellStart"/>
      <w:r w:rsidRPr="00C77E1D">
        <w:t>multilateralizem</w:t>
      </w:r>
      <w:proofErr w:type="spellEnd"/>
      <w:r w:rsidRPr="00C77E1D">
        <w:t xml:space="preserve"> in gradila trajen mir;</w:t>
      </w:r>
    </w:p>
    <w:p w:rsidRPr="00C77E1D" w:rsidR="00E96763" w:rsidP="008D7E5D" w:rsidRDefault="00E96763" w14:paraId="63164C52" w14:textId="77777777">
      <w:pPr>
        <w:numPr>
          <w:ilvl w:val="0"/>
          <w:numId w:val="25"/>
        </w:numPr>
        <w:suppressAutoHyphens/>
        <w:ind w:left="426" w:hanging="426"/>
      </w:pPr>
      <w:r w:rsidRPr="00C77E1D">
        <w:t>opozarja, da bo lahko le močna Evropska unija zmožna ohraniti svoj gospodarski in socialni model ter zagotoviti gospodarsko in prehransko varnost, svetovno konkurenčnost ter digitalni in zeleni prehod.</w:t>
      </w:r>
    </w:p>
    <w:p w:rsidRPr="00C77E1D" w:rsidR="00E96763" w:rsidP="008D7E5D" w:rsidRDefault="00E96763" w14:paraId="697AD043" w14:textId="77777777">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3543"/>
        <w:gridCol w:w="3401"/>
      </w:tblGrid>
      <w:tr w:rsidRPr="00C77E1D" w:rsidR="00E96763" w:rsidTr="00E96763" w14:paraId="3CBF4C0F" w14:textId="0A32C8FC">
        <w:tc>
          <w:tcPr>
            <w:tcW w:w="2127" w:type="dxa"/>
          </w:tcPr>
          <w:p w:rsidRPr="00C77E1D" w:rsidR="00E96763" w:rsidP="008D7E5D" w:rsidRDefault="00E96763" w14:paraId="27947874" w14:textId="77777777">
            <w:pPr>
              <w:suppressAutoHyphens/>
              <w:rPr>
                <w:i/>
              </w:rPr>
            </w:pPr>
            <w:r w:rsidRPr="00C77E1D">
              <w:rPr>
                <w:b/>
                <w:i/>
              </w:rPr>
              <w:t>Kontaktni osebi</w:t>
            </w:r>
          </w:p>
        </w:tc>
        <w:tc>
          <w:tcPr>
            <w:tcW w:w="3543" w:type="dxa"/>
          </w:tcPr>
          <w:p w:rsidRPr="00C77E1D" w:rsidR="00E96763" w:rsidP="008D7E5D" w:rsidRDefault="00E96763" w14:paraId="25294EC3" w14:textId="0E22864F">
            <w:pPr>
              <w:suppressAutoHyphens/>
              <w:rPr>
                <w:i/>
              </w:rPr>
            </w:pPr>
            <w:r w:rsidRPr="00C77E1D">
              <w:rPr>
                <w:i/>
              </w:rPr>
              <w:t>Sophie ZIMMER)</w:t>
            </w:r>
          </w:p>
        </w:tc>
        <w:tc>
          <w:tcPr>
            <w:tcW w:w="3401" w:type="dxa"/>
          </w:tcPr>
          <w:p w:rsidRPr="00C77E1D" w:rsidR="00E96763" w:rsidP="008D7E5D" w:rsidRDefault="00E96763" w14:paraId="59553460" w14:textId="21AB3466">
            <w:pPr>
              <w:suppressAutoHyphens/>
              <w:rPr>
                <w:i/>
              </w:rPr>
            </w:pPr>
            <w:proofErr w:type="spellStart"/>
            <w:r w:rsidRPr="00C77E1D">
              <w:rPr>
                <w:i/>
              </w:rPr>
              <w:t>Gemma</w:t>
            </w:r>
            <w:proofErr w:type="spellEnd"/>
            <w:r w:rsidRPr="00C77E1D">
              <w:rPr>
                <w:i/>
              </w:rPr>
              <w:t xml:space="preserve"> AMRAN</w:t>
            </w:r>
          </w:p>
        </w:tc>
      </w:tr>
      <w:tr w:rsidRPr="00C77E1D" w:rsidR="00E96763" w:rsidTr="00E96763" w14:paraId="147567CD" w14:textId="34C735FF">
        <w:tc>
          <w:tcPr>
            <w:tcW w:w="2127" w:type="dxa"/>
          </w:tcPr>
          <w:p w:rsidRPr="00C77E1D" w:rsidR="00E96763" w:rsidP="008D7E5D" w:rsidRDefault="00E96763" w14:paraId="11D59E4A" w14:textId="77777777">
            <w:pPr>
              <w:suppressAutoHyphens/>
              <w:rPr>
                <w:i/>
              </w:rPr>
            </w:pPr>
            <w:r w:rsidRPr="00C77E1D">
              <w:rPr>
                <w:i/>
              </w:rPr>
              <w:t>Telefon</w:t>
            </w:r>
          </w:p>
        </w:tc>
        <w:tc>
          <w:tcPr>
            <w:tcW w:w="3543" w:type="dxa"/>
          </w:tcPr>
          <w:p w:rsidRPr="00C77E1D" w:rsidR="00E96763" w:rsidP="008D7E5D" w:rsidRDefault="00E96763" w14:paraId="133C898B" w14:textId="0C5AC62B">
            <w:pPr>
              <w:suppressAutoHyphens/>
              <w:rPr>
                <w:i/>
              </w:rPr>
            </w:pPr>
            <w:r w:rsidRPr="00C77E1D">
              <w:rPr>
                <w:i/>
              </w:rPr>
              <w:t>+32 2 546 9564</w:t>
            </w:r>
          </w:p>
        </w:tc>
        <w:tc>
          <w:tcPr>
            <w:tcW w:w="3401" w:type="dxa"/>
          </w:tcPr>
          <w:p w:rsidRPr="00C77E1D" w:rsidR="00E96763" w:rsidP="008D7E5D" w:rsidRDefault="00E96763" w14:paraId="596F396C" w14:textId="104241B1">
            <w:pPr>
              <w:suppressAutoHyphens/>
              <w:rPr>
                <w:i/>
              </w:rPr>
            </w:pPr>
            <w:r w:rsidRPr="00C77E1D">
              <w:rPr>
                <w:i/>
              </w:rPr>
              <w:t>+32 2 546 9415</w:t>
            </w:r>
          </w:p>
        </w:tc>
      </w:tr>
      <w:tr w:rsidRPr="00C77E1D" w:rsidR="00E96763" w:rsidTr="00E96763" w14:paraId="3EA062F5" w14:textId="1AFAD082">
        <w:tc>
          <w:tcPr>
            <w:tcW w:w="2127" w:type="dxa"/>
          </w:tcPr>
          <w:p w:rsidRPr="00C77E1D" w:rsidR="00E96763" w:rsidP="008D7E5D" w:rsidRDefault="00E96763" w14:paraId="771BCFD4" w14:textId="77777777">
            <w:pPr>
              <w:suppressAutoHyphens/>
              <w:rPr>
                <w:i/>
              </w:rPr>
            </w:pPr>
            <w:r w:rsidRPr="00C77E1D">
              <w:rPr>
                <w:i/>
              </w:rPr>
              <w:t>E-naslov</w:t>
            </w:r>
          </w:p>
        </w:tc>
        <w:tc>
          <w:tcPr>
            <w:tcW w:w="3543" w:type="dxa"/>
          </w:tcPr>
          <w:p w:rsidRPr="00C77E1D" w:rsidR="00E96763" w:rsidP="008D7E5D" w:rsidRDefault="007772B2" w14:paraId="1A8D6D22" w14:textId="23ADAE03">
            <w:pPr>
              <w:suppressAutoHyphens/>
              <w:rPr>
                <w:i/>
                <w:iCs/>
              </w:rPr>
            </w:pPr>
            <w:hyperlink w:history="1" r:id="rId16">
              <w:r w:rsidRPr="00C77E1D" w:rsidR="00E96763">
                <w:rPr>
                  <w:rStyle w:val="Hyperlink"/>
                  <w:i/>
                  <w:iCs/>
                </w:rPr>
                <w:t>Sophie.Zimmer@eesc.europa.eu</w:t>
              </w:r>
            </w:hyperlink>
          </w:p>
        </w:tc>
        <w:tc>
          <w:tcPr>
            <w:tcW w:w="3401" w:type="dxa"/>
          </w:tcPr>
          <w:p w:rsidRPr="00C77E1D" w:rsidR="00E96763" w:rsidP="008D7E5D" w:rsidRDefault="007772B2" w14:paraId="231DD0C3" w14:textId="2B90E965">
            <w:pPr>
              <w:suppressAutoHyphens/>
            </w:pPr>
            <w:hyperlink w:history="1" r:id="rId17">
              <w:r w:rsidRPr="00C77E1D" w:rsidR="00E96763">
                <w:rPr>
                  <w:rStyle w:val="Hyperlink"/>
                  <w:i/>
                  <w:iCs/>
                </w:rPr>
                <w:t>Gemma.Amran@eesc.europa.eu</w:t>
              </w:r>
            </w:hyperlink>
          </w:p>
        </w:tc>
      </w:tr>
    </w:tbl>
    <w:p w:rsidRPr="00C77E1D" w:rsidR="00810E21" w:rsidP="008D7E5D" w:rsidRDefault="00810E21" w14:paraId="71277B9E" w14:textId="77777777">
      <w:pPr>
        <w:suppressAutoHyphens/>
        <w:rPr>
          <w:lang w:eastAsia="zh-CN"/>
        </w:rPr>
      </w:pPr>
    </w:p>
    <w:p w:rsidRPr="00C77E1D" w:rsidR="00810E21" w:rsidP="008D7E5D" w:rsidRDefault="00810E21" w14:paraId="14717870" w14:textId="348755A8">
      <w:pPr>
        <w:suppressAutoHyphens/>
        <w:jc w:val="left"/>
      </w:pPr>
      <w:r w:rsidRPr="00C77E1D">
        <w:br w:type="page"/>
      </w:r>
    </w:p>
    <w:p w:rsidRPr="00C77E1D" w:rsidR="0038273B" w:rsidP="008D7E5D" w:rsidRDefault="0038273B" w14:paraId="62CE6920" w14:textId="4AB21D19">
      <w:pPr>
        <w:pStyle w:val="Heading1"/>
        <w:suppressAutoHyphens/>
        <w:spacing w:before="0"/>
        <w:ind w:hanging="928"/>
        <w:rPr>
          <w:b/>
          <w:bCs/>
        </w:rPr>
      </w:pPr>
      <w:bookmarkStart w:name="_Toc162435201" w:id="1"/>
      <w:bookmarkStart w:name="_Toc162435202" w:id="2"/>
      <w:bookmarkStart w:name="_Toc163653645" w:id="3"/>
      <w:bookmarkEnd w:id="1"/>
      <w:bookmarkEnd w:id="2"/>
      <w:r w:rsidRPr="00C77E1D">
        <w:rPr>
          <w:b/>
        </w:rPr>
        <w:lastRenderedPageBreak/>
        <w:t>EKONOMSKA IN MONETARNA UNIJA TER EKONOMSKA IN SOCIALNA KOHEZIJA</w:t>
      </w:r>
      <w:bookmarkEnd w:id="3"/>
    </w:p>
    <w:p w:rsidRPr="00C77E1D" w:rsidR="00B807B4" w:rsidP="008D7E5D" w:rsidRDefault="00B807B4" w14:paraId="3CAC710B" w14:textId="11524E6A">
      <w:pPr>
        <w:spacing w:line="240" w:lineRule="auto"/>
      </w:pPr>
    </w:p>
    <w:p w:rsidRPr="00D76F27" w:rsidR="008D7E5D" w:rsidP="008D7E5D" w:rsidRDefault="007772B2" w14:paraId="731240B4" w14:textId="295C52D0">
      <w:pPr>
        <w:numPr>
          <w:ilvl w:val="0"/>
          <w:numId w:val="25"/>
        </w:numPr>
        <w:suppressAutoHyphens/>
        <w:overflowPunct w:val="0"/>
        <w:autoSpaceDE w:val="0"/>
        <w:autoSpaceDN w:val="0"/>
        <w:adjustRightInd w:val="0"/>
        <w:ind w:hanging="567"/>
        <w:textAlignment w:val="baseline"/>
        <w:rPr>
          <w:b/>
          <w:bCs/>
          <w:i/>
          <w:iCs/>
          <w:sz w:val="28"/>
          <w:szCs w:val="28"/>
        </w:rPr>
      </w:pPr>
      <w:hyperlink w:history="1" r:id="rId18">
        <w:r w:rsidRPr="00D76F27" w:rsidR="008D7E5D">
          <w:rPr>
            <w:rStyle w:val="Hyperlink"/>
            <w:b/>
            <w:i/>
            <w:color w:val="auto"/>
            <w:sz w:val="28"/>
            <w:u w:val="none"/>
          </w:rPr>
          <w:t>Spodbujanje dolgoročne vključujoče rasti z reformami in naložbami</w:t>
        </w:r>
      </w:hyperlink>
    </w:p>
    <w:p w:rsidRPr="00C77E1D" w:rsidR="008D7E5D" w:rsidP="008D7E5D" w:rsidRDefault="008D7E5D" w14:paraId="1E492F2E" w14:textId="77777777">
      <w:pPr>
        <w:spacing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59"/>
        <w:gridCol w:w="6712"/>
      </w:tblGrid>
      <w:tr w:rsidRPr="00C77E1D" w:rsidR="008D7E5D" w:rsidTr="00D245F4" w14:paraId="77C866A8" w14:textId="77777777">
        <w:tc>
          <w:tcPr>
            <w:tcW w:w="2376" w:type="dxa"/>
          </w:tcPr>
          <w:p w:rsidRPr="00C77E1D" w:rsidR="008D7E5D" w:rsidP="008D7E5D" w:rsidRDefault="008D7E5D" w14:paraId="78A3BFDD" w14:textId="77777777">
            <w:pPr>
              <w:tabs>
                <w:tab w:val="center" w:pos="284"/>
              </w:tabs>
              <w:suppressAutoHyphens/>
              <w:ind w:left="266" w:hanging="266"/>
              <w:rPr>
                <w:b/>
              </w:rPr>
            </w:pPr>
            <w:r w:rsidRPr="00C77E1D">
              <w:rPr>
                <w:b/>
              </w:rPr>
              <w:t>Poročevalci</w:t>
            </w:r>
          </w:p>
        </w:tc>
        <w:tc>
          <w:tcPr>
            <w:tcW w:w="6804" w:type="dxa"/>
          </w:tcPr>
          <w:p w:rsidRPr="00C77E1D" w:rsidR="008D7E5D" w:rsidP="008D7E5D" w:rsidRDefault="008D7E5D" w14:paraId="3D047E6A" w14:textId="77777777">
            <w:pPr>
              <w:tabs>
                <w:tab w:val="center" w:pos="284"/>
              </w:tabs>
              <w:suppressAutoHyphens/>
            </w:pPr>
            <w:r w:rsidRPr="00C77E1D">
              <w:t>Javier DOZ ORRIT (skupina delojemalcev – ES)</w:t>
            </w:r>
          </w:p>
          <w:p w:rsidRPr="00C77E1D" w:rsidR="008D7E5D" w:rsidP="008D7E5D" w:rsidRDefault="008D7E5D" w14:paraId="70728F88" w14:textId="77777777">
            <w:pPr>
              <w:tabs>
                <w:tab w:val="center" w:pos="284"/>
              </w:tabs>
              <w:suppressAutoHyphens/>
            </w:pPr>
            <w:r w:rsidRPr="00C77E1D">
              <w:t>Luca JAHIER (skupina organizacij civilne družbe – IT)</w:t>
            </w:r>
          </w:p>
          <w:p w:rsidRPr="00C77E1D" w:rsidR="008D7E5D" w:rsidP="008D7E5D" w:rsidRDefault="008D7E5D" w14:paraId="75F94B3D" w14:textId="77777777">
            <w:pPr>
              <w:tabs>
                <w:tab w:val="center" w:pos="284"/>
              </w:tabs>
              <w:suppressAutoHyphens/>
            </w:pPr>
            <w:r w:rsidRPr="00C77E1D">
              <w:t>Wautier ROBYNS DE SCHNEIDAUER (skupina delodajalcev – BE)</w:t>
            </w:r>
          </w:p>
        </w:tc>
      </w:tr>
      <w:tr w:rsidRPr="00C77E1D" w:rsidR="008D7E5D" w:rsidTr="00D245F4" w14:paraId="3B064D07" w14:textId="77777777">
        <w:tc>
          <w:tcPr>
            <w:tcW w:w="9180" w:type="dxa"/>
            <w:gridSpan w:val="2"/>
          </w:tcPr>
          <w:p w:rsidRPr="00C77E1D" w:rsidR="008D7E5D" w:rsidP="008D7E5D" w:rsidRDefault="008D7E5D" w14:paraId="5E1732D7" w14:textId="77777777">
            <w:pPr>
              <w:tabs>
                <w:tab w:val="center" w:pos="284"/>
              </w:tabs>
              <w:suppressAutoHyphens/>
              <w:spacing w:line="240" w:lineRule="auto"/>
              <w:ind w:left="266" w:hanging="266"/>
              <w:rPr>
                <w:sz w:val="16"/>
                <w:szCs w:val="16"/>
              </w:rPr>
            </w:pPr>
          </w:p>
        </w:tc>
      </w:tr>
      <w:tr w:rsidRPr="00C77E1D" w:rsidR="008D7E5D" w:rsidTr="00D245F4" w14:paraId="0C8EE5A3" w14:textId="77777777">
        <w:tc>
          <w:tcPr>
            <w:tcW w:w="2376" w:type="dxa"/>
            <w:vMerge w:val="restart"/>
          </w:tcPr>
          <w:p w:rsidRPr="00C77E1D" w:rsidR="008D7E5D" w:rsidP="008D7E5D" w:rsidRDefault="008D7E5D" w14:paraId="7BC5E719" w14:textId="77777777">
            <w:pPr>
              <w:tabs>
                <w:tab w:val="center" w:pos="284"/>
              </w:tabs>
              <w:suppressAutoHyphens/>
              <w:ind w:left="266" w:hanging="266"/>
              <w:rPr>
                <w:b/>
              </w:rPr>
            </w:pPr>
            <w:r w:rsidRPr="00C77E1D">
              <w:rPr>
                <w:b/>
              </w:rPr>
              <w:t>Referenčni dokument</w:t>
            </w:r>
          </w:p>
        </w:tc>
        <w:tc>
          <w:tcPr>
            <w:tcW w:w="6804" w:type="dxa"/>
          </w:tcPr>
          <w:p w:rsidRPr="00C77E1D" w:rsidR="008D7E5D" w:rsidP="008D7E5D" w:rsidRDefault="008D7E5D" w14:paraId="723F96F3" w14:textId="77777777">
            <w:pPr>
              <w:tabs>
                <w:tab w:val="center" w:pos="284"/>
              </w:tabs>
              <w:suppressAutoHyphens/>
            </w:pPr>
            <w:r w:rsidRPr="00C77E1D">
              <w:t>raziskovalno mnenje na zaprosilo belgijskega predsedstva Sveta</w:t>
            </w:r>
          </w:p>
        </w:tc>
      </w:tr>
      <w:tr w:rsidRPr="00C77E1D" w:rsidR="008D7E5D" w:rsidTr="00D245F4" w14:paraId="0CEB6031" w14:textId="77777777">
        <w:tc>
          <w:tcPr>
            <w:tcW w:w="2376" w:type="dxa"/>
            <w:vMerge/>
          </w:tcPr>
          <w:p w:rsidRPr="00C77E1D" w:rsidR="008D7E5D" w:rsidP="008D7E5D" w:rsidRDefault="008D7E5D" w14:paraId="610C4D58" w14:textId="77777777">
            <w:pPr>
              <w:tabs>
                <w:tab w:val="center" w:pos="284"/>
              </w:tabs>
              <w:suppressAutoHyphens/>
              <w:ind w:left="266" w:hanging="266"/>
              <w:rPr>
                <w:b/>
              </w:rPr>
            </w:pPr>
          </w:p>
        </w:tc>
        <w:tc>
          <w:tcPr>
            <w:tcW w:w="6804" w:type="dxa"/>
          </w:tcPr>
          <w:p w:rsidRPr="00C77E1D" w:rsidR="008D7E5D" w:rsidP="008D7E5D" w:rsidRDefault="008D7E5D" w14:paraId="30000C7A" w14:textId="77777777">
            <w:pPr>
              <w:tabs>
                <w:tab w:val="center" w:pos="284"/>
              </w:tabs>
              <w:suppressAutoHyphens/>
              <w:ind w:left="266" w:hanging="266"/>
            </w:pPr>
            <w:r w:rsidRPr="00C77E1D">
              <w:t>EESC-2023-04451-00-AC</w:t>
            </w:r>
          </w:p>
        </w:tc>
      </w:tr>
    </w:tbl>
    <w:p w:rsidRPr="00C77E1D" w:rsidR="008D7E5D" w:rsidP="008D7E5D" w:rsidRDefault="008D7E5D" w14:paraId="3CD5F04C" w14:textId="77777777">
      <w:pPr>
        <w:tabs>
          <w:tab w:val="center" w:pos="284"/>
        </w:tabs>
        <w:suppressAutoHyphens/>
        <w:spacing w:line="240" w:lineRule="auto"/>
        <w:ind w:left="266" w:hanging="266"/>
        <w:rPr>
          <w:bCs/>
        </w:rPr>
      </w:pPr>
    </w:p>
    <w:p w:rsidRPr="00C77E1D" w:rsidR="008D7E5D" w:rsidP="008D7E5D" w:rsidRDefault="008D7E5D" w14:paraId="76706BCC" w14:textId="77777777">
      <w:pPr>
        <w:tabs>
          <w:tab w:val="center" w:pos="284"/>
        </w:tabs>
        <w:suppressAutoHyphens/>
        <w:ind w:left="266" w:hanging="266"/>
        <w:rPr>
          <w:b/>
        </w:rPr>
      </w:pPr>
      <w:r w:rsidRPr="00C77E1D">
        <w:rPr>
          <w:b/>
        </w:rPr>
        <w:t>Glavne točke</w:t>
      </w:r>
    </w:p>
    <w:p w:rsidRPr="00C77E1D" w:rsidR="008D7E5D" w:rsidP="008D7E5D" w:rsidRDefault="008D7E5D" w14:paraId="51E4694B" w14:textId="77777777">
      <w:pPr>
        <w:spacing w:line="240" w:lineRule="auto"/>
      </w:pPr>
    </w:p>
    <w:p w:rsidRPr="00C77E1D" w:rsidR="008D7E5D" w:rsidP="008D7E5D" w:rsidRDefault="008D7E5D" w14:paraId="42A84993" w14:textId="77777777">
      <w:pPr>
        <w:suppressAutoHyphens/>
        <w:ind w:left="425" w:hanging="425"/>
      </w:pPr>
      <w:r w:rsidRPr="00C77E1D">
        <w:t>EESO:</w:t>
      </w:r>
    </w:p>
    <w:p w:rsidRPr="00C77E1D" w:rsidR="008D7E5D" w:rsidP="008D7E5D" w:rsidRDefault="008D7E5D" w14:paraId="2C346C78" w14:textId="77777777">
      <w:pPr>
        <w:pStyle w:val="Heading2"/>
        <w:numPr>
          <w:ilvl w:val="0"/>
          <w:numId w:val="11"/>
        </w:numPr>
        <w:suppressAutoHyphens/>
      </w:pPr>
      <w:r w:rsidRPr="00C77E1D">
        <w:t>pozdravlja pobudo belgijskega predsedstva o socialnih naložbah in načinu okrepitve socialne razsežnosti evropskega semestra, zlasti prek evropskega stebra socialnih pravic, in pričakuje, da se bo z reformo evropskega semestra izboljšalo usklajevanje med državami članicami, povečala preglednost ter zagotovilo ustrezno spremljanje izvajanja nacionalnih fiskalnih in strukturnih načrtov;</w:t>
      </w:r>
    </w:p>
    <w:p w:rsidRPr="00C77E1D" w:rsidR="008D7E5D" w:rsidP="008D7E5D" w:rsidRDefault="008D7E5D" w14:paraId="7231FC86" w14:textId="77777777">
      <w:pPr>
        <w:pStyle w:val="Heading2"/>
        <w:numPr>
          <w:ilvl w:val="0"/>
          <w:numId w:val="11"/>
        </w:numPr>
        <w:suppressAutoHyphens/>
      </w:pPr>
      <w:r w:rsidRPr="00C77E1D">
        <w:t>poziva, naj se obstoječa finančna sredstva uporabljajo uspešno in učinkovito, tudi prek javno-zasebnega sodelovanja in s spodbujanjem finančnih instrumentov, s kar največjo prožnostjo in strogimi sistemi ocenjevanja;</w:t>
      </w:r>
    </w:p>
    <w:p w:rsidRPr="00C77E1D" w:rsidR="008D7E5D" w:rsidP="008D7E5D" w:rsidRDefault="008D7E5D" w14:paraId="02B1A515" w14:textId="77777777">
      <w:pPr>
        <w:pStyle w:val="Heading2"/>
        <w:numPr>
          <w:ilvl w:val="0"/>
          <w:numId w:val="11"/>
        </w:numPr>
        <w:suppressAutoHyphens/>
      </w:pPr>
      <w:r w:rsidRPr="00C77E1D">
        <w:t>meni, da je nujno razpravljati o tem, ali bo imela EU do leta 2026 dovolj veliko finančno zmogljivost, da bi zadostili potrebam po naložbah za skupne prednostne naloge, zlasti za socialne naložbe, s čimer bi spodbujali ciklično stabilizacijo in ponudbo evropskih javnih dobrin ter zagotovili srednje- in dolgoročno trajnostno rast na podlagi skupnih smernic na ravni EU in ob finančni podpori EU;</w:t>
      </w:r>
    </w:p>
    <w:p w:rsidRPr="00C77E1D" w:rsidR="008D7E5D" w:rsidP="008D7E5D" w:rsidRDefault="008D7E5D" w14:paraId="7416C89A" w14:textId="77777777">
      <w:pPr>
        <w:pStyle w:val="Heading2"/>
        <w:numPr>
          <w:ilvl w:val="0"/>
          <w:numId w:val="11"/>
        </w:numPr>
        <w:suppressAutoHyphens/>
      </w:pPr>
      <w:r w:rsidRPr="00C77E1D">
        <w:t>se strinja, da lahko politike socialnih naložb, če so dobro zasnovane, pozitivno vplivajo na gospodarsko rast, produktivnost in konkurenčnost. To je ključno za ohranjanje dobrih delovnih mest v Evropi. Hkrati morajo nacionalne vlade pregledati svoje sisteme socialne zaščite in poskrbeti, da bodo razpoložljiva sredstva usmerjena v socialno podporo na področjih, kjer je najbolj potrebna;</w:t>
      </w:r>
    </w:p>
    <w:p w:rsidRPr="00C77E1D" w:rsidR="008D7E5D" w:rsidP="008D7E5D" w:rsidRDefault="008D7E5D" w14:paraId="291AC212" w14:textId="77777777">
      <w:pPr>
        <w:pStyle w:val="Heading2"/>
        <w:numPr>
          <w:ilvl w:val="0"/>
          <w:numId w:val="11"/>
        </w:numPr>
        <w:suppressAutoHyphens/>
      </w:pPr>
      <w:r w:rsidRPr="00C77E1D">
        <w:t>priporoča, naj bodo – ob upoštevanju načela subsidiarnosti – potrebe po naložbah v socialno infrastrukturo usklajene med državami članicami, za njihovo izpolnjevanje pa naj bo na voljo finančna podpora EU;</w:t>
      </w:r>
    </w:p>
    <w:p w:rsidRPr="00C77E1D" w:rsidR="008D7E5D" w:rsidP="008D7E5D" w:rsidRDefault="008D7E5D" w14:paraId="0293FC57" w14:textId="77777777">
      <w:pPr>
        <w:pStyle w:val="Heading2"/>
        <w:numPr>
          <w:ilvl w:val="0"/>
          <w:numId w:val="11"/>
        </w:numPr>
        <w:suppressAutoHyphens/>
        <w:ind w:left="357" w:hanging="357"/>
      </w:pPr>
      <w:r w:rsidRPr="00C77E1D">
        <w:t>poziva k reformam in naložbam na ključnih socialnih področjih (zlasti tistih, ki spodbujajo človeški kapital), saj lahko socialne politike in socialne naložbe (tudi z inovativnejšimi orodji in spodbujanjem ustreznih reform ter vključevanjem vseh zadevnih akterjev) postanejo produkcijski faktor, ki zagotavlja znatno ekonomsko donosnost v smislu potenciala za spodbujanje rasti in zmanjšanja velikih stroškov v prihodnosti;</w:t>
      </w:r>
    </w:p>
    <w:p w:rsidRPr="00C77E1D" w:rsidR="008D7E5D" w:rsidP="008D7E5D" w:rsidRDefault="008D7E5D" w14:paraId="02445A3E" w14:textId="77777777">
      <w:pPr>
        <w:pStyle w:val="Heading2"/>
        <w:numPr>
          <w:ilvl w:val="0"/>
          <w:numId w:val="11"/>
        </w:numPr>
        <w:suppressAutoHyphens/>
      </w:pPr>
      <w:r w:rsidRPr="00C77E1D">
        <w:t>ponovno poziva, naj se prek strukturiranih uradnih postopkov posvetovanja v vse faze tega procesa ustrezno vključijo socialni partnerji in organizacije civilne družbe.</w:t>
      </w:r>
    </w:p>
    <w:p w:rsidRPr="00C77E1D" w:rsidR="008D7E5D" w:rsidP="008D7E5D" w:rsidRDefault="008D7E5D" w14:paraId="1346BEB1" w14:textId="77777777">
      <w:pPr>
        <w:suppressAutoHyphens/>
        <w:rPr>
          <w:bCs/>
          <w:iCs/>
        </w:rPr>
      </w:pPr>
    </w:p>
    <w:tbl>
      <w:tblPr>
        <w:tblStyle w:val="TableGrid"/>
        <w:tblW w:w="90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3544"/>
        <w:gridCol w:w="3686"/>
      </w:tblGrid>
      <w:tr w:rsidRPr="00C77E1D" w:rsidR="008D7E5D" w:rsidTr="00D245F4" w14:paraId="7431FAE8" w14:textId="77777777">
        <w:tc>
          <w:tcPr>
            <w:tcW w:w="1809" w:type="dxa"/>
          </w:tcPr>
          <w:p w:rsidRPr="00C77E1D" w:rsidR="008D7E5D" w:rsidP="008D7E5D" w:rsidRDefault="008D7E5D" w14:paraId="1C0E3F53" w14:textId="77777777">
            <w:pPr>
              <w:suppressAutoHyphens/>
              <w:rPr>
                <w:i/>
              </w:rPr>
            </w:pPr>
            <w:r w:rsidRPr="00C77E1D">
              <w:rPr>
                <w:b/>
                <w:i/>
              </w:rPr>
              <w:t>Kontaktni osebi</w:t>
            </w:r>
          </w:p>
        </w:tc>
        <w:tc>
          <w:tcPr>
            <w:tcW w:w="3544" w:type="dxa"/>
          </w:tcPr>
          <w:p w:rsidRPr="007E3F11" w:rsidR="008D7E5D" w:rsidP="008D7E5D" w:rsidRDefault="008D7E5D" w14:paraId="69A019C0" w14:textId="77777777">
            <w:pPr>
              <w:suppressAutoHyphens/>
              <w:rPr>
                <w:bCs/>
                <w:i/>
                <w:iCs/>
              </w:rPr>
            </w:pPr>
            <w:r w:rsidRPr="007E3F11">
              <w:rPr>
                <w:bCs/>
                <w:i/>
              </w:rPr>
              <w:t>Colombe GRÉGOIRE</w:t>
            </w:r>
          </w:p>
        </w:tc>
        <w:tc>
          <w:tcPr>
            <w:tcW w:w="3686" w:type="dxa"/>
          </w:tcPr>
          <w:p w:rsidRPr="007E3F11" w:rsidR="008D7E5D" w:rsidP="008D7E5D" w:rsidRDefault="008D7E5D" w14:paraId="3E08D722" w14:textId="77777777">
            <w:pPr>
              <w:suppressAutoHyphens/>
              <w:rPr>
                <w:bCs/>
                <w:i/>
                <w:iCs/>
              </w:rPr>
            </w:pPr>
            <w:proofErr w:type="spellStart"/>
            <w:r w:rsidRPr="007E3F11">
              <w:rPr>
                <w:bCs/>
                <w:i/>
              </w:rPr>
              <w:t>Krisztina</w:t>
            </w:r>
            <w:proofErr w:type="spellEnd"/>
            <w:r w:rsidRPr="007E3F11">
              <w:rPr>
                <w:bCs/>
                <w:i/>
              </w:rPr>
              <w:t xml:space="preserve"> PERLAKY-TÓTH</w:t>
            </w:r>
          </w:p>
        </w:tc>
      </w:tr>
      <w:tr w:rsidRPr="00C77E1D" w:rsidR="008D7E5D" w:rsidTr="00D245F4" w14:paraId="025F5874" w14:textId="77777777">
        <w:tc>
          <w:tcPr>
            <w:tcW w:w="1809" w:type="dxa"/>
          </w:tcPr>
          <w:p w:rsidRPr="00C77E1D" w:rsidR="008D7E5D" w:rsidP="008D7E5D" w:rsidRDefault="008D7E5D" w14:paraId="3C738207" w14:textId="77777777">
            <w:pPr>
              <w:suppressAutoHyphens/>
              <w:rPr>
                <w:i/>
              </w:rPr>
            </w:pPr>
            <w:r w:rsidRPr="00C77E1D">
              <w:rPr>
                <w:i/>
              </w:rPr>
              <w:t>Telefon</w:t>
            </w:r>
          </w:p>
        </w:tc>
        <w:tc>
          <w:tcPr>
            <w:tcW w:w="3544" w:type="dxa"/>
          </w:tcPr>
          <w:p w:rsidRPr="00C77E1D" w:rsidR="008D7E5D" w:rsidP="008D7E5D" w:rsidRDefault="008D7E5D" w14:paraId="3650282D" w14:textId="77777777">
            <w:pPr>
              <w:suppressAutoHyphens/>
              <w:rPr>
                <w:i/>
                <w:iCs/>
              </w:rPr>
            </w:pPr>
            <w:r w:rsidRPr="00C77E1D">
              <w:rPr>
                <w:i/>
              </w:rPr>
              <w:t>+32 25469286</w:t>
            </w:r>
          </w:p>
        </w:tc>
        <w:tc>
          <w:tcPr>
            <w:tcW w:w="3686" w:type="dxa"/>
          </w:tcPr>
          <w:p w:rsidRPr="00C77E1D" w:rsidR="008D7E5D" w:rsidP="008D7E5D" w:rsidRDefault="008D7E5D" w14:paraId="3C2213D3" w14:textId="77777777">
            <w:pPr>
              <w:suppressAutoHyphens/>
              <w:rPr>
                <w:i/>
                <w:iCs/>
              </w:rPr>
            </w:pPr>
            <w:r w:rsidRPr="00C77E1D">
              <w:rPr>
                <w:i/>
              </w:rPr>
              <w:t>+ 32 25469740</w:t>
            </w:r>
          </w:p>
        </w:tc>
      </w:tr>
      <w:tr w:rsidRPr="00C77E1D" w:rsidR="008D7E5D" w:rsidTr="00D245F4" w14:paraId="02C05A2E" w14:textId="77777777">
        <w:tc>
          <w:tcPr>
            <w:tcW w:w="1809" w:type="dxa"/>
          </w:tcPr>
          <w:p w:rsidRPr="00C77E1D" w:rsidR="008D7E5D" w:rsidP="008D7E5D" w:rsidRDefault="008D7E5D" w14:paraId="1ED1029B" w14:textId="77777777">
            <w:pPr>
              <w:suppressAutoHyphens/>
              <w:rPr>
                <w:i/>
              </w:rPr>
            </w:pPr>
            <w:r w:rsidRPr="00C77E1D">
              <w:rPr>
                <w:i/>
              </w:rPr>
              <w:t>E-naslov</w:t>
            </w:r>
          </w:p>
        </w:tc>
        <w:tc>
          <w:tcPr>
            <w:tcW w:w="3544" w:type="dxa"/>
          </w:tcPr>
          <w:p w:rsidRPr="00C77E1D" w:rsidR="008D7E5D" w:rsidP="008D7E5D" w:rsidRDefault="007772B2" w14:paraId="535DAB15" w14:textId="77777777">
            <w:pPr>
              <w:suppressAutoHyphens/>
              <w:rPr>
                <w:i/>
                <w:iCs/>
              </w:rPr>
            </w:pPr>
            <w:hyperlink w:history="1" r:id="rId19">
              <w:r w:rsidRPr="00C77E1D" w:rsidR="008D7E5D">
                <w:rPr>
                  <w:rStyle w:val="Hyperlink"/>
                </w:rPr>
                <w:t>Colombe.Gregoire@eesc.europa.eu</w:t>
              </w:r>
            </w:hyperlink>
          </w:p>
        </w:tc>
        <w:tc>
          <w:tcPr>
            <w:tcW w:w="3686" w:type="dxa"/>
          </w:tcPr>
          <w:p w:rsidRPr="00C77E1D" w:rsidR="008D7E5D" w:rsidP="008D7E5D" w:rsidRDefault="007772B2" w14:paraId="4B792D01" w14:textId="77777777">
            <w:pPr>
              <w:suppressAutoHyphens/>
              <w:rPr>
                <w:i/>
              </w:rPr>
            </w:pPr>
            <w:hyperlink w:history="1" r:id="rId20">
              <w:r w:rsidRPr="00C77E1D" w:rsidR="008D7E5D">
                <w:rPr>
                  <w:rStyle w:val="Hyperlink"/>
                </w:rPr>
                <w:t>Krisztina.PerlakyToth@eesc.europa.eu</w:t>
              </w:r>
            </w:hyperlink>
          </w:p>
        </w:tc>
      </w:tr>
    </w:tbl>
    <w:p w:rsidRPr="00C77E1D" w:rsidR="008D7E5D" w:rsidP="008D7E5D" w:rsidRDefault="008D7E5D" w14:paraId="507414E9" w14:textId="77777777">
      <w:pPr>
        <w:spacing w:line="259" w:lineRule="auto"/>
        <w:jc w:val="left"/>
      </w:pPr>
      <w:r w:rsidRPr="00C77E1D">
        <w:br w:type="page"/>
      </w:r>
    </w:p>
    <w:p w:rsidRPr="00D76F27" w:rsidR="002C3E59" w:rsidP="002C3E59" w:rsidRDefault="007772B2" w14:paraId="378BEB4F" w14:textId="43654234">
      <w:pPr>
        <w:numPr>
          <w:ilvl w:val="0"/>
          <w:numId w:val="25"/>
        </w:numPr>
        <w:suppressAutoHyphens/>
        <w:overflowPunct w:val="0"/>
        <w:autoSpaceDE w:val="0"/>
        <w:autoSpaceDN w:val="0"/>
        <w:adjustRightInd w:val="0"/>
        <w:ind w:left="283"/>
        <w:textAlignment w:val="baseline"/>
        <w:rPr>
          <w:sz w:val="20"/>
        </w:rPr>
      </w:pPr>
      <w:hyperlink w:history="1" r:id="rId21">
        <w:r w:rsidRPr="00D76F27" w:rsidR="002C3E59">
          <w:rPr>
            <w:rStyle w:val="Hyperlink"/>
            <w:b/>
            <w:i/>
            <w:color w:val="auto"/>
            <w:sz w:val="28"/>
            <w:u w:val="none"/>
          </w:rPr>
          <w:t>Večletni finančni okvir: Spremembe zneskov denarnih sredstev za nekatere programe in sklade</w:t>
        </w:r>
      </w:hyperlink>
    </w:p>
    <w:p w:rsidRPr="00C77E1D" w:rsidR="002C3E59" w:rsidP="002C3E59" w:rsidRDefault="002C3E59" w14:paraId="0DCF09D9" w14:textId="77777777">
      <w:pPr>
        <w:tabs>
          <w:tab w:val="center" w:pos="284"/>
        </w:tabs>
        <w:suppressAutoHyphens/>
        <w:ind w:left="266" w:hanging="266"/>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01"/>
        <w:gridCol w:w="6570"/>
      </w:tblGrid>
      <w:tr w:rsidRPr="00C77E1D" w:rsidR="002C3E59" w:rsidTr="002C3E59" w14:paraId="33C5C194" w14:textId="77777777">
        <w:tc>
          <w:tcPr>
            <w:tcW w:w="2501" w:type="dxa"/>
            <w:vMerge w:val="restart"/>
          </w:tcPr>
          <w:p w:rsidRPr="00C77E1D" w:rsidR="002C3E59" w:rsidP="00D245F4" w:rsidRDefault="002C3E59" w14:paraId="4234A0FC" w14:textId="77777777">
            <w:pPr>
              <w:tabs>
                <w:tab w:val="center" w:pos="284"/>
              </w:tabs>
              <w:suppressAutoHyphens/>
              <w:ind w:left="266" w:hanging="266"/>
              <w:rPr>
                <w:b/>
              </w:rPr>
            </w:pPr>
            <w:r w:rsidRPr="00C77E1D">
              <w:rPr>
                <w:b/>
              </w:rPr>
              <w:t>Referenčna dokumenta</w:t>
            </w:r>
          </w:p>
        </w:tc>
        <w:tc>
          <w:tcPr>
            <w:tcW w:w="6570" w:type="dxa"/>
          </w:tcPr>
          <w:p w:rsidRPr="00C77E1D" w:rsidR="002C3E59" w:rsidP="00D245F4" w:rsidRDefault="00E75EB1" w14:paraId="6D970DF4" w14:textId="715DD023">
            <w:pPr>
              <w:tabs>
                <w:tab w:val="center" w:pos="284"/>
              </w:tabs>
              <w:suppressAutoHyphens/>
              <w:ind w:left="266" w:hanging="266"/>
            </w:pPr>
            <w:r>
              <w:t>m</w:t>
            </w:r>
            <w:r w:rsidRPr="00C77E1D">
              <w:t xml:space="preserve">nenje </w:t>
            </w:r>
            <w:r w:rsidRPr="00C77E1D" w:rsidR="002C3E59">
              <w:t>kategorije C</w:t>
            </w:r>
          </w:p>
          <w:p w:rsidRPr="00C77E1D" w:rsidR="002C3E59" w:rsidP="00D245F4" w:rsidRDefault="002C3E59" w14:paraId="7810B391" w14:textId="05483B3C">
            <w:pPr>
              <w:tabs>
                <w:tab w:val="center" w:pos="284"/>
              </w:tabs>
              <w:suppressAutoHyphens/>
              <w:ind w:left="266" w:hanging="266"/>
            </w:pPr>
            <w:r w:rsidRPr="00C77E1D">
              <w:t>COM(2024) 100 final</w:t>
            </w:r>
          </w:p>
        </w:tc>
      </w:tr>
      <w:tr w:rsidRPr="00C77E1D" w:rsidR="002C3E59" w:rsidTr="002C3E59" w14:paraId="1209F614" w14:textId="77777777">
        <w:tc>
          <w:tcPr>
            <w:tcW w:w="2501" w:type="dxa"/>
            <w:vMerge/>
          </w:tcPr>
          <w:p w:rsidRPr="00C77E1D" w:rsidR="002C3E59" w:rsidP="00D245F4" w:rsidRDefault="002C3E59" w14:paraId="44A02701" w14:textId="77777777">
            <w:pPr>
              <w:tabs>
                <w:tab w:val="center" w:pos="284"/>
              </w:tabs>
              <w:suppressAutoHyphens/>
              <w:ind w:left="266" w:hanging="266"/>
              <w:rPr>
                <w:b/>
              </w:rPr>
            </w:pPr>
          </w:p>
        </w:tc>
        <w:tc>
          <w:tcPr>
            <w:tcW w:w="6570" w:type="dxa"/>
          </w:tcPr>
          <w:p w:rsidRPr="00C77E1D" w:rsidR="002C3E59" w:rsidP="00D245F4" w:rsidRDefault="002C3E59" w14:paraId="4F051BD7" w14:textId="77777777">
            <w:pPr>
              <w:tabs>
                <w:tab w:val="center" w:pos="284"/>
              </w:tabs>
              <w:suppressAutoHyphens/>
              <w:ind w:left="266" w:hanging="266"/>
            </w:pPr>
            <w:r w:rsidRPr="00C77E1D">
              <w:t>EESC-2024-01013-00-00-AC</w:t>
            </w:r>
          </w:p>
        </w:tc>
      </w:tr>
    </w:tbl>
    <w:p w:rsidRPr="00C77E1D" w:rsidR="002C3E59" w:rsidP="002C3E59" w:rsidRDefault="002C3E59" w14:paraId="2332111E" w14:textId="77777777">
      <w:pPr>
        <w:tabs>
          <w:tab w:val="center" w:pos="284"/>
        </w:tabs>
        <w:suppressAutoHyphens/>
        <w:ind w:left="266" w:hanging="266"/>
        <w:rPr>
          <w:bCs/>
        </w:rPr>
      </w:pPr>
    </w:p>
    <w:p w:rsidRPr="00C77E1D" w:rsidR="002C3E59" w:rsidP="002C3E59" w:rsidRDefault="002C3E59" w14:paraId="52C77A0C" w14:textId="1699B49B">
      <w:pPr>
        <w:tabs>
          <w:tab w:val="center" w:pos="284"/>
        </w:tabs>
        <w:suppressAutoHyphens/>
        <w:ind w:left="266" w:hanging="266"/>
        <w:rPr>
          <w:b/>
        </w:rPr>
      </w:pPr>
      <w:r w:rsidRPr="00C77E1D">
        <w:rPr>
          <w:b/>
        </w:rPr>
        <w:t>Glavn</w:t>
      </w:r>
      <w:r w:rsidR="00E75EB1">
        <w:rPr>
          <w:b/>
        </w:rPr>
        <w:t>e</w:t>
      </w:r>
      <w:r w:rsidRPr="00C77E1D">
        <w:rPr>
          <w:b/>
        </w:rPr>
        <w:t xml:space="preserve"> točk</w:t>
      </w:r>
      <w:r w:rsidR="00E75EB1">
        <w:rPr>
          <w:b/>
        </w:rPr>
        <w:t>e</w:t>
      </w:r>
    </w:p>
    <w:p w:rsidRPr="00C77E1D" w:rsidR="002C3E59" w:rsidP="002C3E59" w:rsidRDefault="002C3E59" w14:paraId="49A20982" w14:textId="77777777">
      <w:pPr>
        <w:tabs>
          <w:tab w:val="center" w:pos="284"/>
        </w:tabs>
        <w:suppressAutoHyphens/>
        <w:ind w:left="266" w:hanging="266"/>
        <w:rPr>
          <w:bCs/>
        </w:rPr>
      </w:pPr>
    </w:p>
    <w:p w:rsidRPr="00C77E1D" w:rsidR="002C3E59" w:rsidP="002C3E59" w:rsidRDefault="002C3E59" w14:paraId="68539053" w14:textId="77777777">
      <w:pPr>
        <w:suppressAutoHyphens/>
        <w:rPr>
          <w:bCs/>
          <w:iCs/>
        </w:rPr>
      </w:pPr>
      <w:r w:rsidRPr="00C77E1D">
        <w:t xml:space="preserve">Odbor je v mnenju </w:t>
      </w:r>
      <w:r w:rsidRPr="00C77E1D">
        <w:rPr>
          <w:i/>
        </w:rPr>
        <w:t>Vmesni pregled večletnega finančnega okvira</w:t>
      </w:r>
      <w:r w:rsidRPr="00C77E1D">
        <w:t>, sprejetem 20. septembra 2023</w:t>
      </w:r>
      <w:r w:rsidRPr="00C77E1D">
        <w:rPr>
          <w:rStyle w:val="FootnoteReference"/>
          <w:bCs/>
          <w:iCs/>
        </w:rPr>
        <w:footnoteReference w:id="1"/>
      </w:r>
      <w:r w:rsidRPr="00C77E1D">
        <w:t>, že podal stališče o vsebini obravnavanega predloga, zato je sklenil, da o tem ne bo pripravil novega mnenja, saj zagovarja enako stališče kot v navedenem mnenju.</w:t>
      </w:r>
    </w:p>
    <w:p w:rsidRPr="00C77E1D" w:rsidR="002C3E59" w:rsidP="002C3E59" w:rsidRDefault="002C3E59" w14:paraId="68D4A0A8" w14:textId="77777777">
      <w:pPr>
        <w:suppressAutoHyphens/>
        <w:rPr>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87"/>
        <w:gridCol w:w="6584"/>
      </w:tblGrid>
      <w:tr w:rsidRPr="00C77E1D" w:rsidR="002C3E59" w:rsidTr="00D245F4" w14:paraId="74848F9B" w14:textId="77777777">
        <w:tc>
          <w:tcPr>
            <w:tcW w:w="2518" w:type="dxa"/>
          </w:tcPr>
          <w:p w:rsidRPr="00C77E1D" w:rsidR="002C3E59" w:rsidP="00D245F4" w:rsidRDefault="002C3E59" w14:paraId="40244B70" w14:textId="77777777">
            <w:pPr>
              <w:suppressAutoHyphens/>
              <w:rPr>
                <w:i/>
              </w:rPr>
            </w:pPr>
            <w:r w:rsidRPr="00C77E1D">
              <w:rPr>
                <w:b/>
                <w:i/>
              </w:rPr>
              <w:t>Kontaktna oseba</w:t>
            </w:r>
          </w:p>
        </w:tc>
        <w:tc>
          <w:tcPr>
            <w:tcW w:w="6662" w:type="dxa"/>
          </w:tcPr>
          <w:p w:rsidRPr="00C77E1D" w:rsidR="002C3E59" w:rsidP="00D245F4" w:rsidRDefault="002C3E59" w14:paraId="4B6ECB92" w14:textId="77777777">
            <w:pPr>
              <w:suppressAutoHyphens/>
              <w:rPr>
                <w:i/>
              </w:rPr>
            </w:pPr>
            <w:r w:rsidRPr="00C77E1D">
              <w:rPr>
                <w:i/>
              </w:rPr>
              <w:t>Georgios MELEAS</w:t>
            </w:r>
          </w:p>
        </w:tc>
      </w:tr>
      <w:tr w:rsidRPr="00C77E1D" w:rsidR="002C3E59" w:rsidTr="00D245F4" w14:paraId="58E13FCC" w14:textId="77777777">
        <w:tc>
          <w:tcPr>
            <w:tcW w:w="2518" w:type="dxa"/>
          </w:tcPr>
          <w:p w:rsidRPr="00C77E1D" w:rsidR="002C3E59" w:rsidP="00D245F4" w:rsidRDefault="002C3E59" w14:paraId="1C8618E8" w14:textId="77777777">
            <w:pPr>
              <w:suppressAutoHyphens/>
              <w:rPr>
                <w:i/>
              </w:rPr>
            </w:pPr>
            <w:r w:rsidRPr="00C77E1D">
              <w:rPr>
                <w:i/>
              </w:rPr>
              <w:t>Telefon</w:t>
            </w:r>
          </w:p>
        </w:tc>
        <w:tc>
          <w:tcPr>
            <w:tcW w:w="6662" w:type="dxa"/>
          </w:tcPr>
          <w:p w:rsidRPr="00C77E1D" w:rsidR="002C3E59" w:rsidP="00D245F4" w:rsidRDefault="002C3E59" w14:paraId="5F764FD3" w14:textId="77777777">
            <w:pPr>
              <w:suppressAutoHyphens/>
              <w:rPr>
                <w:i/>
              </w:rPr>
            </w:pPr>
            <w:r w:rsidRPr="00C77E1D">
              <w:rPr>
                <w:i/>
              </w:rPr>
              <w:t>+32 25469795</w:t>
            </w:r>
          </w:p>
        </w:tc>
      </w:tr>
      <w:tr w:rsidRPr="00C77E1D" w:rsidR="002C3E59" w:rsidTr="00D245F4" w14:paraId="3B306C03" w14:textId="77777777">
        <w:tc>
          <w:tcPr>
            <w:tcW w:w="2518" w:type="dxa"/>
          </w:tcPr>
          <w:p w:rsidRPr="00C77E1D" w:rsidR="002C3E59" w:rsidP="00D245F4" w:rsidRDefault="002C3E59" w14:paraId="54594F66" w14:textId="77777777">
            <w:pPr>
              <w:suppressAutoHyphens/>
              <w:rPr>
                <w:i/>
              </w:rPr>
            </w:pPr>
            <w:r w:rsidRPr="00C77E1D">
              <w:rPr>
                <w:i/>
              </w:rPr>
              <w:t>E-naslov:</w:t>
            </w:r>
          </w:p>
        </w:tc>
        <w:tc>
          <w:tcPr>
            <w:tcW w:w="6662" w:type="dxa"/>
          </w:tcPr>
          <w:p w:rsidRPr="00C77E1D" w:rsidR="002C3E59" w:rsidP="00D245F4" w:rsidRDefault="007772B2" w14:paraId="0147D12D" w14:textId="77777777">
            <w:pPr>
              <w:suppressAutoHyphens/>
            </w:pPr>
            <w:hyperlink w:history="1" r:id="rId22">
              <w:r w:rsidRPr="00C77E1D" w:rsidR="002C3E59">
                <w:rPr>
                  <w:rStyle w:val="Hyperlink"/>
                </w:rPr>
                <w:t>Georgios.Meleas@eesc.europa.eu</w:t>
              </w:r>
            </w:hyperlink>
          </w:p>
        </w:tc>
      </w:tr>
    </w:tbl>
    <w:p w:rsidRPr="00C77E1D" w:rsidR="009401A5" w:rsidP="008D7E5D" w:rsidRDefault="009401A5" w14:paraId="6DB3B370" w14:textId="77777777">
      <w:pPr>
        <w:suppressAutoHyphens/>
        <w:jc w:val="left"/>
        <w:rPr>
          <w:color w:val="000000" w:themeColor="text1"/>
        </w:rPr>
      </w:pPr>
      <w:r w:rsidRPr="00C77E1D">
        <w:br w:type="page"/>
      </w:r>
    </w:p>
    <w:p w:rsidRPr="00C77E1D" w:rsidR="005A67F3" w:rsidP="008D7E5D" w:rsidRDefault="004C3902" w14:paraId="3792A077" w14:textId="6319EBD1">
      <w:pPr>
        <w:pStyle w:val="Heading1"/>
        <w:suppressAutoHyphens/>
        <w:spacing w:before="0"/>
        <w:ind w:hanging="928"/>
        <w:rPr>
          <w:b/>
          <w:bCs/>
        </w:rPr>
      </w:pPr>
      <w:bookmarkStart w:name="_Toc162435204" w:id="4"/>
      <w:bookmarkStart w:name="_Toc163653646" w:id="5"/>
      <w:bookmarkEnd w:id="4"/>
      <w:r w:rsidRPr="00C77E1D">
        <w:rPr>
          <w:b/>
        </w:rPr>
        <w:lastRenderedPageBreak/>
        <w:t>ENOTNI TRG, PROIZVODNJA IN POTROŠNJA</w:t>
      </w:r>
      <w:bookmarkEnd w:id="5"/>
    </w:p>
    <w:p w:rsidRPr="00C77E1D" w:rsidR="00AA6A37" w:rsidP="00AA6A37" w:rsidRDefault="00AA6A37" w14:paraId="77963544" w14:textId="77777777">
      <w:pPr>
        <w:rPr>
          <w:bCs/>
          <w:iCs/>
        </w:rPr>
      </w:pPr>
    </w:p>
    <w:p w:rsidRPr="00D76F27" w:rsidR="00AA6A37" w:rsidP="00AA6A37" w:rsidRDefault="007772B2" w14:paraId="5886694A" w14:textId="15287729">
      <w:pPr>
        <w:numPr>
          <w:ilvl w:val="0"/>
          <w:numId w:val="25"/>
        </w:numPr>
        <w:suppressAutoHyphens/>
        <w:overflowPunct w:val="0"/>
        <w:autoSpaceDE w:val="0"/>
        <w:autoSpaceDN w:val="0"/>
        <w:adjustRightInd w:val="0"/>
        <w:ind w:hanging="567"/>
        <w:textAlignment w:val="baseline"/>
        <w:rPr>
          <w:sz w:val="20"/>
        </w:rPr>
      </w:pPr>
      <w:hyperlink w:history="1" r:id="rId23">
        <w:r w:rsidRPr="00D76F27" w:rsidR="00AA6A37">
          <w:rPr>
            <w:rStyle w:val="Hyperlink"/>
            <w:b/>
            <w:i/>
            <w:color w:val="auto"/>
            <w:sz w:val="28"/>
            <w:u w:val="none"/>
          </w:rPr>
          <w:t xml:space="preserve">Pobuda </w:t>
        </w:r>
        <w:proofErr w:type="spellStart"/>
        <w:r w:rsidRPr="00D76F27" w:rsidR="00AA6A37">
          <w:rPr>
            <w:rStyle w:val="Hyperlink"/>
            <w:b/>
            <w:i/>
            <w:color w:val="auto"/>
            <w:sz w:val="28"/>
            <w:u w:val="none"/>
          </w:rPr>
          <w:t>EuroHPC</w:t>
        </w:r>
        <w:proofErr w:type="spellEnd"/>
      </w:hyperlink>
    </w:p>
    <w:p w:rsidRPr="00C77E1D" w:rsidR="00AA6A37" w:rsidP="00AA6A37" w:rsidRDefault="00AA6A37" w14:paraId="378211D4" w14:textId="77777777">
      <w:pPr>
        <w:tabs>
          <w:tab w:val="center" w:pos="284"/>
        </w:tabs>
        <w:suppressAutoHyphens/>
        <w:ind w:left="266" w:hanging="266"/>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60"/>
        <w:gridCol w:w="5386"/>
      </w:tblGrid>
      <w:tr w:rsidRPr="00C77E1D" w:rsidR="00AA6A37" w:rsidTr="00D245F4" w14:paraId="1DED2891" w14:textId="77777777">
        <w:tc>
          <w:tcPr>
            <w:tcW w:w="2660" w:type="dxa"/>
            <w:vMerge w:val="restart"/>
          </w:tcPr>
          <w:p w:rsidRPr="00C77E1D" w:rsidR="00AA6A37" w:rsidP="00D245F4" w:rsidRDefault="00AA6A37" w14:paraId="7E164F26" w14:textId="77777777">
            <w:pPr>
              <w:tabs>
                <w:tab w:val="center" w:pos="284"/>
              </w:tabs>
              <w:suppressAutoHyphens/>
              <w:ind w:left="266" w:hanging="266"/>
              <w:rPr>
                <w:b/>
              </w:rPr>
            </w:pPr>
            <w:r w:rsidRPr="00C77E1D">
              <w:rPr>
                <w:b/>
              </w:rPr>
              <w:t>Referenčna dokumenta</w:t>
            </w:r>
          </w:p>
        </w:tc>
        <w:tc>
          <w:tcPr>
            <w:tcW w:w="5386" w:type="dxa"/>
          </w:tcPr>
          <w:p w:rsidRPr="00C77E1D" w:rsidR="00AA6A37" w:rsidP="00D245F4" w:rsidRDefault="00E75EB1" w14:paraId="02229B02" w14:textId="7473F930">
            <w:pPr>
              <w:tabs>
                <w:tab w:val="center" w:pos="284"/>
              </w:tabs>
              <w:suppressAutoHyphens/>
              <w:ind w:left="266" w:hanging="266"/>
            </w:pPr>
            <w:r>
              <w:rPr>
                <w:bCs/>
              </w:rPr>
              <w:t>m</w:t>
            </w:r>
            <w:r w:rsidRPr="00C77E1D" w:rsidR="00AA6A37">
              <w:rPr>
                <w:bCs/>
              </w:rPr>
              <w:t>nenje kategorije C</w:t>
            </w:r>
          </w:p>
          <w:p w:rsidRPr="00C77E1D" w:rsidR="00AA6A37" w:rsidP="00D245F4" w:rsidRDefault="00AA6A37" w14:paraId="38E75679" w14:textId="202B89F2">
            <w:pPr>
              <w:tabs>
                <w:tab w:val="center" w:pos="284"/>
              </w:tabs>
              <w:suppressAutoHyphens/>
              <w:ind w:left="266" w:hanging="266"/>
            </w:pPr>
            <w:r w:rsidRPr="00C77E1D">
              <w:t>COM(2024) 29 final</w:t>
            </w:r>
          </w:p>
        </w:tc>
      </w:tr>
      <w:tr w:rsidRPr="00C77E1D" w:rsidR="00AA6A37" w:rsidTr="00D245F4" w14:paraId="7D8AADF2" w14:textId="77777777">
        <w:tc>
          <w:tcPr>
            <w:tcW w:w="2660" w:type="dxa"/>
            <w:vMerge/>
          </w:tcPr>
          <w:p w:rsidRPr="00C77E1D" w:rsidR="00AA6A37" w:rsidP="00D245F4" w:rsidRDefault="00AA6A37" w14:paraId="2E39F687" w14:textId="77777777">
            <w:pPr>
              <w:tabs>
                <w:tab w:val="center" w:pos="284"/>
              </w:tabs>
              <w:suppressAutoHyphens/>
              <w:ind w:left="266" w:hanging="266"/>
              <w:rPr>
                <w:b/>
              </w:rPr>
            </w:pPr>
          </w:p>
        </w:tc>
        <w:tc>
          <w:tcPr>
            <w:tcW w:w="5386" w:type="dxa"/>
          </w:tcPr>
          <w:p w:rsidRPr="00C77E1D" w:rsidR="00AA6A37" w:rsidP="00D245F4" w:rsidRDefault="00AA6A37" w14:paraId="00B36733" w14:textId="77777777">
            <w:pPr>
              <w:tabs>
                <w:tab w:val="center" w:pos="284"/>
              </w:tabs>
              <w:suppressAutoHyphens/>
              <w:ind w:left="266" w:hanging="266"/>
            </w:pPr>
            <w:r w:rsidRPr="00C77E1D">
              <w:t>EESC-2024-00926-00-00-AC</w:t>
            </w:r>
          </w:p>
        </w:tc>
      </w:tr>
    </w:tbl>
    <w:p w:rsidRPr="00C77E1D" w:rsidR="00AA6A37" w:rsidP="00AA6A37" w:rsidRDefault="00AA6A37" w14:paraId="4C401360" w14:textId="77777777">
      <w:pPr>
        <w:tabs>
          <w:tab w:val="center" w:pos="284"/>
        </w:tabs>
        <w:suppressAutoHyphens/>
        <w:ind w:left="266" w:hanging="266"/>
      </w:pPr>
    </w:p>
    <w:p w:rsidRPr="00C77E1D" w:rsidR="00AA6A37" w:rsidP="00AA6A37" w:rsidRDefault="00AA6A37" w14:paraId="513435FF" w14:textId="77777777">
      <w:pPr>
        <w:tabs>
          <w:tab w:val="center" w:pos="284"/>
        </w:tabs>
        <w:suppressAutoHyphens/>
        <w:ind w:left="266" w:hanging="266"/>
        <w:rPr>
          <w:b/>
        </w:rPr>
      </w:pPr>
      <w:r w:rsidRPr="00C77E1D">
        <w:rPr>
          <w:b/>
        </w:rPr>
        <w:t>Glavne točke</w:t>
      </w:r>
    </w:p>
    <w:p w:rsidRPr="00C77E1D" w:rsidR="00AA6A37" w:rsidP="00AA6A37" w:rsidRDefault="00AA6A37" w14:paraId="5B085598" w14:textId="77777777">
      <w:pPr>
        <w:tabs>
          <w:tab w:val="center" w:pos="284"/>
        </w:tabs>
        <w:suppressAutoHyphens/>
        <w:ind w:left="266" w:hanging="266"/>
        <w:rPr>
          <w:bCs/>
        </w:rPr>
      </w:pPr>
    </w:p>
    <w:p w:rsidRPr="00C77E1D" w:rsidR="00AA6A37" w:rsidP="00AA6A37" w:rsidRDefault="00AA6A37" w14:paraId="69C89FE1" w14:textId="77777777">
      <w:pPr>
        <w:suppressAutoHyphens/>
        <w:rPr>
          <w:bCs/>
          <w:iCs/>
        </w:rPr>
      </w:pPr>
      <w:r w:rsidRPr="00C77E1D">
        <w:t>EESO je sklenil ta predlog podpreti.</w:t>
      </w:r>
    </w:p>
    <w:p w:rsidRPr="00C77E1D" w:rsidR="00AA6A37" w:rsidP="00AA6A37" w:rsidRDefault="00AA6A37" w14:paraId="31F15E23" w14:textId="77777777">
      <w:pPr>
        <w:suppressAutoHyphens/>
        <w:rPr>
          <w:bCs/>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953"/>
      </w:tblGrid>
      <w:tr w:rsidRPr="00C77E1D" w:rsidR="00AA6A37" w:rsidTr="00D245F4" w14:paraId="4FAD65A7" w14:textId="77777777">
        <w:tc>
          <w:tcPr>
            <w:tcW w:w="2093" w:type="dxa"/>
          </w:tcPr>
          <w:p w:rsidRPr="00C77E1D" w:rsidR="00AA6A37" w:rsidP="00D245F4" w:rsidRDefault="00AA6A37" w14:paraId="13B52E99" w14:textId="77777777">
            <w:pPr>
              <w:suppressAutoHyphens/>
              <w:rPr>
                <w:i/>
              </w:rPr>
            </w:pPr>
            <w:r w:rsidRPr="00C77E1D">
              <w:rPr>
                <w:b/>
                <w:i/>
              </w:rPr>
              <w:t>Kontaktna oseba</w:t>
            </w:r>
          </w:p>
        </w:tc>
        <w:tc>
          <w:tcPr>
            <w:tcW w:w="5953" w:type="dxa"/>
          </w:tcPr>
          <w:p w:rsidRPr="00C77E1D" w:rsidR="00AA6A37" w:rsidP="00D245F4" w:rsidRDefault="00AA6A37" w14:paraId="28C95ACE" w14:textId="77777777">
            <w:pPr>
              <w:suppressAutoHyphens/>
              <w:rPr>
                <w:i/>
              </w:rPr>
            </w:pPr>
            <w:r w:rsidRPr="00C77E1D">
              <w:rPr>
                <w:i/>
              </w:rPr>
              <w:t>Alice TÉTU</w:t>
            </w:r>
          </w:p>
        </w:tc>
      </w:tr>
      <w:tr w:rsidRPr="00C77E1D" w:rsidR="00AA6A37" w:rsidTr="00D245F4" w14:paraId="0B857B66" w14:textId="77777777">
        <w:tc>
          <w:tcPr>
            <w:tcW w:w="2093" w:type="dxa"/>
          </w:tcPr>
          <w:p w:rsidRPr="00C77E1D" w:rsidR="00AA6A37" w:rsidP="00D245F4" w:rsidRDefault="00AA6A37" w14:paraId="4A21A92F" w14:textId="77777777">
            <w:pPr>
              <w:suppressAutoHyphens/>
              <w:rPr>
                <w:i/>
              </w:rPr>
            </w:pPr>
            <w:r w:rsidRPr="00C77E1D">
              <w:rPr>
                <w:i/>
              </w:rPr>
              <w:t>Telefon</w:t>
            </w:r>
          </w:p>
        </w:tc>
        <w:tc>
          <w:tcPr>
            <w:tcW w:w="5953" w:type="dxa"/>
          </w:tcPr>
          <w:p w:rsidRPr="00C77E1D" w:rsidR="00AA6A37" w:rsidP="00D245F4" w:rsidRDefault="00AA6A37" w14:paraId="08645109" w14:textId="77777777">
            <w:pPr>
              <w:suppressAutoHyphens/>
              <w:rPr>
                <w:i/>
              </w:rPr>
            </w:pPr>
            <w:r w:rsidRPr="00C77E1D">
              <w:rPr>
                <w:i/>
              </w:rPr>
              <w:t>+32 25468286</w:t>
            </w:r>
          </w:p>
        </w:tc>
      </w:tr>
      <w:tr w:rsidRPr="00C77E1D" w:rsidR="00AA6A37" w:rsidTr="00D245F4" w14:paraId="6BE1B8CA" w14:textId="77777777">
        <w:tc>
          <w:tcPr>
            <w:tcW w:w="2093" w:type="dxa"/>
          </w:tcPr>
          <w:p w:rsidRPr="00C77E1D" w:rsidR="00AA6A37" w:rsidP="00D245F4" w:rsidRDefault="00AA6A37" w14:paraId="1ADBA337" w14:textId="77777777">
            <w:pPr>
              <w:suppressAutoHyphens/>
              <w:rPr>
                <w:i/>
              </w:rPr>
            </w:pPr>
            <w:r w:rsidRPr="00C77E1D">
              <w:rPr>
                <w:i/>
              </w:rPr>
              <w:t>E-naslov</w:t>
            </w:r>
          </w:p>
        </w:tc>
        <w:tc>
          <w:tcPr>
            <w:tcW w:w="5953" w:type="dxa"/>
          </w:tcPr>
          <w:p w:rsidRPr="00C77E1D" w:rsidR="00AA6A37" w:rsidP="00D245F4" w:rsidRDefault="007772B2" w14:paraId="7711406E" w14:textId="77777777">
            <w:pPr>
              <w:suppressAutoHyphens/>
              <w:rPr>
                <w:i/>
              </w:rPr>
            </w:pPr>
            <w:hyperlink w:history="1" r:id="rId24">
              <w:r w:rsidRPr="00C77E1D" w:rsidR="00AA6A37">
                <w:rPr>
                  <w:rStyle w:val="Hyperlink"/>
                  <w:i/>
                </w:rPr>
                <w:t>Alice.Tetu@eesc.europa.eu</w:t>
              </w:r>
            </w:hyperlink>
          </w:p>
        </w:tc>
      </w:tr>
    </w:tbl>
    <w:p w:rsidRPr="00C77E1D" w:rsidR="00AA6A37" w:rsidP="00AA6A37" w:rsidRDefault="00AA6A37" w14:paraId="4D7B0EE6" w14:textId="77777777"/>
    <w:p w:rsidRPr="00C77E1D" w:rsidR="009401A5" w:rsidP="008D7E5D" w:rsidRDefault="009401A5" w14:paraId="3D8A1ED4" w14:textId="77777777">
      <w:pPr>
        <w:suppressAutoHyphens/>
        <w:jc w:val="left"/>
        <w:rPr>
          <w:sz w:val="16"/>
          <w:szCs w:val="16"/>
        </w:rPr>
      </w:pPr>
      <w:r w:rsidRPr="00C77E1D">
        <w:br w:type="page"/>
      </w:r>
    </w:p>
    <w:p w:rsidRPr="00D76F27" w:rsidR="00F12CA4" w:rsidP="00F12CA4" w:rsidRDefault="007772B2" w14:paraId="3252C7F5" w14:textId="714C101A">
      <w:pPr>
        <w:numPr>
          <w:ilvl w:val="0"/>
          <w:numId w:val="25"/>
        </w:numPr>
        <w:suppressAutoHyphens/>
        <w:overflowPunct w:val="0"/>
        <w:autoSpaceDE w:val="0"/>
        <w:autoSpaceDN w:val="0"/>
        <w:adjustRightInd w:val="0"/>
        <w:ind w:hanging="567"/>
        <w:textAlignment w:val="baseline"/>
        <w:rPr>
          <w:sz w:val="24"/>
          <w:szCs w:val="24"/>
        </w:rPr>
      </w:pPr>
      <w:hyperlink w:tgtFrame="_blank" w:history="1" r:id="rId25">
        <w:r w:rsidRPr="00D76F27" w:rsidR="00F12CA4">
          <w:rPr>
            <w:rStyle w:val="Hyperlink"/>
            <w:b/>
            <w:i/>
            <w:color w:val="auto"/>
            <w:sz w:val="28"/>
            <w:u w:val="none"/>
          </w:rPr>
          <w:t>Medicinski pripomočki/</w:t>
        </w:r>
        <w:proofErr w:type="spellStart"/>
        <w:r w:rsidRPr="00D76F27" w:rsidR="00F12CA4">
          <w:rPr>
            <w:rStyle w:val="Hyperlink"/>
            <w:b/>
            <w:i/>
            <w:color w:val="auto"/>
            <w:sz w:val="28"/>
            <w:u w:val="none"/>
          </w:rPr>
          <w:t>Eudamed</w:t>
        </w:r>
        <w:proofErr w:type="spellEnd"/>
      </w:hyperlink>
    </w:p>
    <w:p w:rsidRPr="00C77E1D" w:rsidR="00F12CA4" w:rsidP="00F12CA4" w:rsidRDefault="00F12CA4" w14:paraId="2CCDC896" w14:textId="77777777">
      <w:pPr>
        <w:tabs>
          <w:tab w:val="center" w:pos="284"/>
        </w:tabs>
        <w:suppressAutoHyphens/>
        <w:ind w:left="266" w:hanging="266"/>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01"/>
        <w:gridCol w:w="6570"/>
      </w:tblGrid>
      <w:tr w:rsidRPr="00C77E1D" w:rsidR="00F12CA4" w:rsidTr="00D245F4" w14:paraId="0D5EC2B6" w14:textId="77777777">
        <w:tc>
          <w:tcPr>
            <w:tcW w:w="2518" w:type="dxa"/>
          </w:tcPr>
          <w:p w:rsidRPr="00C77E1D" w:rsidR="00F12CA4" w:rsidP="00D245F4" w:rsidRDefault="00F12CA4" w14:paraId="6D950060" w14:textId="77777777">
            <w:pPr>
              <w:tabs>
                <w:tab w:val="center" w:pos="284"/>
              </w:tabs>
              <w:suppressAutoHyphens/>
              <w:ind w:left="266" w:hanging="266"/>
              <w:rPr>
                <w:b/>
              </w:rPr>
            </w:pPr>
            <w:r w:rsidRPr="00C77E1D">
              <w:rPr>
                <w:b/>
                <w:bCs/>
              </w:rPr>
              <w:t>Poročevalec</w:t>
            </w:r>
          </w:p>
        </w:tc>
        <w:tc>
          <w:tcPr>
            <w:tcW w:w="6662" w:type="dxa"/>
          </w:tcPr>
          <w:p w:rsidRPr="00C77E1D" w:rsidR="00F12CA4" w:rsidP="00D245F4" w:rsidRDefault="00F12CA4" w14:paraId="083C5392" w14:textId="77777777">
            <w:pPr>
              <w:tabs>
                <w:tab w:val="center" w:pos="284"/>
              </w:tabs>
              <w:suppressAutoHyphens/>
              <w:ind w:left="266" w:hanging="266"/>
            </w:pPr>
            <w:r w:rsidRPr="00C77E1D">
              <w:t>Danko RELIĆ (skupina organizacij civilne družbe – HR)</w:t>
            </w:r>
          </w:p>
        </w:tc>
      </w:tr>
      <w:tr w:rsidRPr="00C77E1D" w:rsidR="00F12CA4" w:rsidTr="00D245F4" w14:paraId="1B89F105" w14:textId="77777777">
        <w:tc>
          <w:tcPr>
            <w:tcW w:w="9180" w:type="dxa"/>
            <w:gridSpan w:val="2"/>
          </w:tcPr>
          <w:p w:rsidRPr="00C77E1D" w:rsidR="00F12CA4" w:rsidP="00D245F4" w:rsidRDefault="00F12CA4" w14:paraId="07607C37" w14:textId="77777777">
            <w:pPr>
              <w:tabs>
                <w:tab w:val="center" w:pos="284"/>
              </w:tabs>
              <w:suppressAutoHyphens/>
              <w:spacing w:line="240" w:lineRule="auto"/>
              <w:ind w:left="266" w:hanging="266"/>
              <w:rPr>
                <w:sz w:val="16"/>
                <w:szCs w:val="16"/>
              </w:rPr>
            </w:pPr>
          </w:p>
        </w:tc>
      </w:tr>
      <w:tr w:rsidRPr="00C77E1D" w:rsidR="00F12CA4" w:rsidTr="00D245F4" w14:paraId="6DD59539" w14:textId="77777777">
        <w:tc>
          <w:tcPr>
            <w:tcW w:w="2518" w:type="dxa"/>
            <w:vMerge w:val="restart"/>
          </w:tcPr>
          <w:p w:rsidRPr="00C77E1D" w:rsidR="00F12CA4" w:rsidP="00D245F4" w:rsidRDefault="00F12CA4" w14:paraId="15F018A6" w14:textId="77777777">
            <w:pPr>
              <w:tabs>
                <w:tab w:val="center" w:pos="284"/>
              </w:tabs>
              <w:suppressAutoHyphens/>
              <w:ind w:left="266" w:hanging="266"/>
              <w:rPr>
                <w:b/>
              </w:rPr>
            </w:pPr>
            <w:r w:rsidRPr="00C77E1D">
              <w:rPr>
                <w:b/>
              </w:rPr>
              <w:t>Referenčna dokumenta</w:t>
            </w:r>
          </w:p>
        </w:tc>
        <w:tc>
          <w:tcPr>
            <w:tcW w:w="6662" w:type="dxa"/>
          </w:tcPr>
          <w:p w:rsidRPr="00C77E1D" w:rsidR="00F12CA4" w:rsidP="00D245F4" w:rsidRDefault="00F12CA4" w14:paraId="36EE44E3" w14:textId="7D8084C1">
            <w:pPr>
              <w:tabs>
                <w:tab w:val="center" w:pos="284"/>
              </w:tabs>
              <w:suppressAutoHyphens/>
              <w:ind w:left="266" w:hanging="266"/>
            </w:pPr>
            <w:r w:rsidRPr="00C77E1D">
              <w:t>COM(2024) 43 final</w:t>
            </w:r>
          </w:p>
        </w:tc>
      </w:tr>
      <w:tr w:rsidRPr="00C77E1D" w:rsidR="00F12CA4" w:rsidTr="00D245F4" w14:paraId="14931EE8" w14:textId="77777777">
        <w:tc>
          <w:tcPr>
            <w:tcW w:w="2518" w:type="dxa"/>
            <w:vMerge/>
          </w:tcPr>
          <w:p w:rsidRPr="00C77E1D" w:rsidR="00F12CA4" w:rsidP="00D245F4" w:rsidRDefault="00F12CA4" w14:paraId="35CAA6F7" w14:textId="77777777">
            <w:pPr>
              <w:tabs>
                <w:tab w:val="center" w:pos="284"/>
              </w:tabs>
              <w:suppressAutoHyphens/>
              <w:ind w:left="266" w:hanging="266"/>
              <w:rPr>
                <w:b/>
              </w:rPr>
            </w:pPr>
          </w:p>
        </w:tc>
        <w:tc>
          <w:tcPr>
            <w:tcW w:w="6662" w:type="dxa"/>
          </w:tcPr>
          <w:p w:rsidRPr="00C77E1D" w:rsidR="00F12CA4" w:rsidP="00D245F4" w:rsidRDefault="00F12CA4" w14:paraId="3A7423ED" w14:textId="77777777">
            <w:pPr>
              <w:tabs>
                <w:tab w:val="center" w:pos="284"/>
              </w:tabs>
              <w:suppressAutoHyphens/>
              <w:ind w:left="266" w:hanging="266"/>
            </w:pPr>
            <w:r w:rsidRPr="00C77E1D">
              <w:t>EESC-2024-00746-00-00-AC</w:t>
            </w:r>
          </w:p>
        </w:tc>
      </w:tr>
    </w:tbl>
    <w:p w:rsidRPr="00C77E1D" w:rsidR="00F12CA4" w:rsidP="00F12CA4" w:rsidRDefault="00F12CA4" w14:paraId="6B155BA8" w14:textId="77777777">
      <w:pPr>
        <w:tabs>
          <w:tab w:val="center" w:pos="284"/>
        </w:tabs>
        <w:suppressAutoHyphens/>
        <w:ind w:left="266" w:hanging="266"/>
      </w:pPr>
    </w:p>
    <w:p w:rsidRPr="00C77E1D" w:rsidR="00F12CA4" w:rsidP="00F12CA4" w:rsidRDefault="00F12CA4" w14:paraId="2D6A30C5" w14:textId="77777777">
      <w:pPr>
        <w:tabs>
          <w:tab w:val="center" w:pos="284"/>
        </w:tabs>
        <w:suppressAutoHyphens/>
        <w:ind w:left="266" w:hanging="266"/>
        <w:rPr>
          <w:b/>
        </w:rPr>
      </w:pPr>
      <w:r w:rsidRPr="00C77E1D">
        <w:rPr>
          <w:b/>
        </w:rPr>
        <w:t>Glavne točke</w:t>
      </w:r>
    </w:p>
    <w:p w:rsidRPr="00C77E1D" w:rsidR="00F12CA4" w:rsidP="00F12CA4" w:rsidRDefault="00F12CA4" w14:paraId="5DDDCF67" w14:textId="77777777">
      <w:pPr>
        <w:tabs>
          <w:tab w:val="center" w:pos="284"/>
        </w:tabs>
        <w:suppressAutoHyphens/>
        <w:ind w:left="266" w:hanging="266"/>
        <w:rPr>
          <w:bCs/>
        </w:rPr>
      </w:pPr>
    </w:p>
    <w:p w:rsidRPr="00C77E1D" w:rsidR="00F12CA4" w:rsidP="00F12CA4" w:rsidRDefault="00F12CA4" w14:paraId="216A9A75" w14:textId="77777777">
      <w:pPr>
        <w:suppressAutoHyphens/>
        <w:rPr>
          <w:bCs/>
          <w:iCs/>
        </w:rPr>
      </w:pPr>
      <w:r w:rsidRPr="00C77E1D">
        <w:t>EESO</w:t>
      </w:r>
    </w:p>
    <w:p w:rsidRPr="00C77E1D" w:rsidR="00F12CA4" w:rsidP="00F12CA4" w:rsidRDefault="00F12CA4" w14:paraId="11B42D89" w14:textId="77777777">
      <w:pPr>
        <w:suppressAutoHyphens/>
        <w:rPr>
          <w:bCs/>
          <w:iCs/>
        </w:rPr>
      </w:pPr>
    </w:p>
    <w:p w:rsidRPr="00C77E1D" w:rsidR="00F12CA4" w:rsidP="00F12CA4" w:rsidRDefault="00F12CA4" w14:paraId="484388A2" w14:textId="77777777">
      <w:pPr>
        <w:numPr>
          <w:ilvl w:val="0"/>
          <w:numId w:val="7"/>
        </w:numPr>
        <w:suppressAutoHyphens/>
        <w:overflowPunct w:val="0"/>
        <w:autoSpaceDE w:val="0"/>
        <w:autoSpaceDN w:val="0"/>
        <w:adjustRightInd w:val="0"/>
        <w:ind w:left="426" w:hanging="426"/>
        <w:textAlignment w:val="baseline"/>
      </w:pPr>
      <w:r w:rsidRPr="00C77E1D">
        <w:t xml:space="preserve">poziva k podaljšanju prehodnih obdobij za nekatere in vitro diagnostične medicinske pripomočke z velikim tveganjem. Nadalje poziva k pragmatičnemu in skladnemu okviru za vnaprejšnje opozarjanje o motnjah v dobavi ter spodbujanje sodelovanja med proizvajalci, neodvisnimi organi za ugotavljanje skladnosti (priglašeni organi) in regulativnimi organi. To bo zagotovilo visoko raven </w:t>
      </w:r>
      <w:r w:rsidRPr="00C77E1D">
        <w:rPr>
          <w:b/>
        </w:rPr>
        <w:t>preglednosti</w:t>
      </w:r>
      <w:r w:rsidRPr="00C77E1D">
        <w:t xml:space="preserve"> in </w:t>
      </w:r>
      <w:r w:rsidRPr="00C77E1D">
        <w:rPr>
          <w:b/>
        </w:rPr>
        <w:t xml:space="preserve">pripravljenosti </w:t>
      </w:r>
      <w:r w:rsidRPr="00C77E1D">
        <w:t>po vsej EU;</w:t>
      </w:r>
    </w:p>
    <w:p w:rsidRPr="00C77E1D" w:rsidR="00F12CA4" w:rsidP="00F12CA4" w:rsidRDefault="00F12CA4" w14:paraId="61DD7A9A" w14:textId="77777777">
      <w:pPr>
        <w:numPr>
          <w:ilvl w:val="0"/>
          <w:numId w:val="7"/>
        </w:numPr>
        <w:suppressAutoHyphens/>
        <w:overflowPunct w:val="0"/>
        <w:autoSpaceDE w:val="0"/>
        <w:autoSpaceDN w:val="0"/>
        <w:adjustRightInd w:val="0"/>
        <w:ind w:left="426" w:hanging="426"/>
        <w:textAlignment w:val="baseline"/>
      </w:pPr>
      <w:r w:rsidRPr="00C77E1D">
        <w:t xml:space="preserve">poudarja, da je treba </w:t>
      </w:r>
      <w:r w:rsidRPr="00C77E1D">
        <w:rPr>
          <w:b/>
        </w:rPr>
        <w:t>v poročanje o pomanjkanju vključiti zdravstvene delavce</w:t>
      </w:r>
      <w:r w:rsidRPr="00C77E1D">
        <w:t>, in poziva k oblikovanju sistema, ki bo vključeval poročila proizvajalcev in zdravstvenih delavcev, da bi bila obvestila o pomanjkanju pravočasna in bolj točna;</w:t>
      </w:r>
    </w:p>
    <w:p w:rsidRPr="00C77E1D" w:rsidR="00F12CA4" w:rsidP="00F12CA4" w:rsidRDefault="00F12CA4" w14:paraId="08B5584A" w14:textId="77777777">
      <w:pPr>
        <w:numPr>
          <w:ilvl w:val="0"/>
          <w:numId w:val="7"/>
        </w:numPr>
        <w:suppressAutoHyphens/>
        <w:overflowPunct w:val="0"/>
        <w:autoSpaceDE w:val="0"/>
        <w:autoSpaceDN w:val="0"/>
        <w:adjustRightInd w:val="0"/>
        <w:ind w:left="426" w:hanging="426"/>
        <w:textAlignment w:val="baseline"/>
      </w:pPr>
      <w:r w:rsidRPr="00C77E1D">
        <w:t xml:space="preserve">poudarja potrebo po </w:t>
      </w:r>
      <w:r w:rsidRPr="00C77E1D">
        <w:rPr>
          <w:b/>
        </w:rPr>
        <w:t>celovitih programih usposabljanja za vse deležnike v panogi medicinskih pripomočkov</w:t>
      </w:r>
      <w:r w:rsidRPr="00C77E1D">
        <w:t>, vključno s programi usposabljanja za izvajalce usposabljanj, saj bi na ta način obsežno razširjali regulativne in tehnične kompetence;</w:t>
      </w:r>
    </w:p>
    <w:p w:rsidRPr="00C77E1D" w:rsidR="00F12CA4" w:rsidP="00F12CA4" w:rsidRDefault="00F12CA4" w14:paraId="3008C967" w14:textId="77777777">
      <w:pPr>
        <w:numPr>
          <w:ilvl w:val="0"/>
          <w:numId w:val="7"/>
        </w:numPr>
        <w:suppressAutoHyphens/>
        <w:overflowPunct w:val="0"/>
        <w:autoSpaceDE w:val="0"/>
        <w:autoSpaceDN w:val="0"/>
        <w:adjustRightInd w:val="0"/>
        <w:ind w:left="426" w:hanging="426"/>
        <w:textAlignment w:val="baseline"/>
      </w:pPr>
      <w:r w:rsidRPr="00C77E1D">
        <w:t xml:space="preserve">opozarja na </w:t>
      </w:r>
      <w:r w:rsidRPr="00C77E1D">
        <w:rPr>
          <w:b/>
        </w:rPr>
        <w:t>pomen malih in srednjih podjetij v panogi medicinskih pripomočkov</w:t>
      </w:r>
      <w:r w:rsidRPr="00C77E1D">
        <w:t xml:space="preserve"> zaradi njihove dinamične in prilagodljive narave ter poziva k vzpostavitvi podpornih mehanizmov, kot so subvencije in poenostavljeni postopki za zagotavljanje skladnosti, da bi okrepili njihove inovativne zmogljivosti in konkurenčno prednost;</w:t>
      </w:r>
    </w:p>
    <w:p w:rsidRPr="00C77E1D" w:rsidR="00F12CA4" w:rsidP="00F12CA4" w:rsidRDefault="00F12CA4" w14:paraId="5C2348F0" w14:textId="77777777">
      <w:pPr>
        <w:numPr>
          <w:ilvl w:val="0"/>
          <w:numId w:val="7"/>
        </w:numPr>
        <w:suppressAutoHyphens/>
        <w:overflowPunct w:val="0"/>
        <w:autoSpaceDE w:val="0"/>
        <w:autoSpaceDN w:val="0"/>
        <w:adjustRightInd w:val="0"/>
        <w:ind w:left="426" w:hanging="426"/>
        <w:textAlignment w:val="baseline"/>
      </w:pPr>
      <w:r w:rsidRPr="00C77E1D">
        <w:t xml:space="preserve">predlaga vzpostavitev </w:t>
      </w:r>
      <w:r w:rsidRPr="00C77E1D">
        <w:rPr>
          <w:b/>
        </w:rPr>
        <w:t>vseevropske platforme</w:t>
      </w:r>
      <w:r w:rsidRPr="00C77E1D">
        <w:t xml:space="preserve"> za spodbujanje dialoga med deležniki, med drugimi malimi in srednjimi podjetji, zdravstvenimi delavci, proizvajalci in regulativnimi organi. To bo omogočilo reševanje izzivov in izmenjavo najboljših praks pri inovacijah in regulaciji na področju medicinskih pripomočkov.</w:t>
      </w:r>
    </w:p>
    <w:p w:rsidRPr="00C77E1D" w:rsidR="00F12CA4" w:rsidP="00F12CA4" w:rsidRDefault="00F12CA4" w14:paraId="50B1F4D4" w14:textId="77777777">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4"/>
        <w:gridCol w:w="6997"/>
      </w:tblGrid>
      <w:tr w:rsidRPr="00C77E1D" w:rsidR="00F12CA4" w:rsidTr="00D245F4" w14:paraId="50480562" w14:textId="77777777">
        <w:tc>
          <w:tcPr>
            <w:tcW w:w="2093" w:type="dxa"/>
          </w:tcPr>
          <w:p w:rsidRPr="00C77E1D" w:rsidR="00F12CA4" w:rsidP="00D245F4" w:rsidRDefault="00F12CA4" w14:paraId="560A5A75" w14:textId="77777777">
            <w:pPr>
              <w:suppressAutoHyphens/>
              <w:rPr>
                <w:i/>
              </w:rPr>
            </w:pPr>
            <w:r w:rsidRPr="00C77E1D">
              <w:rPr>
                <w:b/>
                <w:i/>
              </w:rPr>
              <w:t>Kontaktna oseba</w:t>
            </w:r>
          </w:p>
        </w:tc>
        <w:tc>
          <w:tcPr>
            <w:tcW w:w="7087" w:type="dxa"/>
          </w:tcPr>
          <w:p w:rsidRPr="00C77E1D" w:rsidR="00F12CA4" w:rsidP="00D245F4" w:rsidRDefault="00F12CA4" w14:paraId="663D147E" w14:textId="77777777">
            <w:pPr>
              <w:suppressAutoHyphens/>
              <w:rPr>
                <w:i/>
              </w:rPr>
            </w:pPr>
            <w:r w:rsidRPr="00C77E1D">
              <w:rPr>
                <w:i/>
              </w:rPr>
              <w:t>Silvia STAFFA</w:t>
            </w:r>
          </w:p>
        </w:tc>
      </w:tr>
      <w:tr w:rsidRPr="00C77E1D" w:rsidR="00F12CA4" w:rsidTr="00D245F4" w14:paraId="2FA3016E" w14:textId="77777777">
        <w:tc>
          <w:tcPr>
            <w:tcW w:w="2093" w:type="dxa"/>
          </w:tcPr>
          <w:p w:rsidRPr="00C77E1D" w:rsidR="00F12CA4" w:rsidP="00D245F4" w:rsidRDefault="00F12CA4" w14:paraId="760351BF" w14:textId="77777777">
            <w:pPr>
              <w:suppressAutoHyphens/>
              <w:rPr>
                <w:i/>
              </w:rPr>
            </w:pPr>
            <w:r w:rsidRPr="00C77E1D">
              <w:rPr>
                <w:i/>
              </w:rPr>
              <w:t>Telefon</w:t>
            </w:r>
          </w:p>
        </w:tc>
        <w:tc>
          <w:tcPr>
            <w:tcW w:w="7087" w:type="dxa"/>
          </w:tcPr>
          <w:p w:rsidRPr="00C77E1D" w:rsidR="00F12CA4" w:rsidP="00D245F4" w:rsidRDefault="00F12CA4" w14:paraId="786401B9" w14:textId="77777777">
            <w:pPr>
              <w:suppressAutoHyphens/>
              <w:rPr>
                <w:i/>
              </w:rPr>
            </w:pPr>
            <w:r w:rsidRPr="00C77E1D">
              <w:rPr>
                <w:i/>
              </w:rPr>
              <w:t>+ 32 25468378</w:t>
            </w:r>
          </w:p>
        </w:tc>
      </w:tr>
      <w:tr w:rsidRPr="00C77E1D" w:rsidR="00F12CA4" w:rsidTr="00D245F4" w14:paraId="653864C4" w14:textId="77777777">
        <w:tc>
          <w:tcPr>
            <w:tcW w:w="2093" w:type="dxa"/>
          </w:tcPr>
          <w:p w:rsidRPr="00C77E1D" w:rsidR="00F12CA4" w:rsidP="00D245F4" w:rsidRDefault="00F12CA4" w14:paraId="1B7AB01B" w14:textId="77777777">
            <w:pPr>
              <w:suppressAutoHyphens/>
              <w:rPr>
                <w:i/>
              </w:rPr>
            </w:pPr>
            <w:r w:rsidRPr="00C77E1D">
              <w:rPr>
                <w:i/>
              </w:rPr>
              <w:t>E-naslov</w:t>
            </w:r>
          </w:p>
        </w:tc>
        <w:tc>
          <w:tcPr>
            <w:tcW w:w="7087" w:type="dxa"/>
          </w:tcPr>
          <w:p w:rsidRPr="00C77E1D" w:rsidR="00F12CA4" w:rsidP="00D245F4" w:rsidRDefault="007772B2" w14:paraId="4CC2B8CD" w14:textId="77777777">
            <w:pPr>
              <w:suppressAutoHyphens/>
              <w:rPr>
                <w:i/>
              </w:rPr>
            </w:pPr>
            <w:hyperlink w:history="1" r:id="rId26">
              <w:r w:rsidRPr="00C77E1D" w:rsidR="00F12CA4">
                <w:rPr>
                  <w:rStyle w:val="Hyperlink"/>
                  <w:i/>
                </w:rPr>
                <w:t>Silvia.Staffa@eesc.europa.eu</w:t>
              </w:r>
            </w:hyperlink>
          </w:p>
        </w:tc>
      </w:tr>
    </w:tbl>
    <w:p w:rsidRPr="00C77E1D" w:rsidR="00F12CA4" w:rsidP="00F12CA4" w:rsidRDefault="00F12CA4" w14:paraId="3F7E9A4E" w14:textId="77777777">
      <w:pPr>
        <w:suppressAutoHyphens/>
      </w:pPr>
    </w:p>
    <w:p w:rsidRPr="00C77E1D" w:rsidR="00BE0FC6" w:rsidP="008D7E5D" w:rsidRDefault="00BE0FC6" w14:paraId="7B36F566" w14:textId="4A4B15A4">
      <w:pPr>
        <w:suppressAutoHyphens/>
        <w:jc w:val="left"/>
        <w:rPr>
          <w:sz w:val="16"/>
          <w:szCs w:val="16"/>
        </w:rPr>
      </w:pPr>
      <w:r w:rsidRPr="00C77E1D">
        <w:br w:type="page"/>
      </w:r>
    </w:p>
    <w:p w:rsidRPr="00C77E1D" w:rsidR="004C3902" w:rsidP="008D7E5D" w:rsidRDefault="008E2A59" w14:paraId="7AD922B6" w14:textId="2BABB602">
      <w:pPr>
        <w:pStyle w:val="Heading1"/>
        <w:suppressAutoHyphens/>
        <w:spacing w:before="0"/>
        <w:ind w:hanging="928"/>
        <w:rPr>
          <w:b/>
          <w:bCs/>
        </w:rPr>
      </w:pPr>
      <w:bookmarkStart w:name="_Toc163653647" w:id="6"/>
      <w:r w:rsidRPr="00C77E1D">
        <w:rPr>
          <w:b/>
        </w:rPr>
        <w:lastRenderedPageBreak/>
        <w:t>KMETIJSTVO, RAZVOJ PODEŽELJA IN OKOLJE</w:t>
      </w:r>
      <w:bookmarkEnd w:id="6"/>
    </w:p>
    <w:p w:rsidRPr="00C77E1D" w:rsidR="000E69EA" w:rsidP="000E69EA" w:rsidRDefault="000E69EA" w14:paraId="75DC19F4" w14:textId="77777777">
      <w:pPr>
        <w:rPr>
          <w:bCs/>
          <w:iCs/>
        </w:rPr>
      </w:pPr>
    </w:p>
    <w:p w:rsidRPr="00D76F27" w:rsidR="000E69EA" w:rsidP="000E69EA" w:rsidRDefault="007772B2" w14:paraId="17DC943D" w14:textId="54E17863">
      <w:pPr>
        <w:numPr>
          <w:ilvl w:val="0"/>
          <w:numId w:val="4"/>
        </w:numPr>
        <w:suppressAutoHyphens/>
        <w:overflowPunct w:val="0"/>
        <w:autoSpaceDE w:val="0"/>
        <w:autoSpaceDN w:val="0"/>
        <w:adjustRightInd w:val="0"/>
        <w:ind w:left="567" w:hanging="567"/>
        <w:textAlignment w:val="baseline"/>
        <w:rPr>
          <w:sz w:val="20"/>
        </w:rPr>
      </w:pPr>
      <w:hyperlink w:history="1" r:id="rId27">
        <w:r w:rsidRPr="00D76F27" w:rsidR="000E69EA">
          <w:rPr>
            <w:rStyle w:val="Hyperlink"/>
            <w:b/>
            <w:i/>
            <w:color w:val="auto"/>
            <w:sz w:val="28"/>
            <w:u w:val="none"/>
          </w:rPr>
          <w:t>Enakovrednost semena iz Moldavije in Ukrajine</w:t>
        </w:r>
      </w:hyperlink>
    </w:p>
    <w:p w:rsidRPr="00C77E1D" w:rsidR="000E69EA" w:rsidP="000E69EA" w:rsidRDefault="000E69EA" w14:paraId="042F9F89" w14:textId="2C92F064">
      <w:pPr>
        <w:tabs>
          <w:tab w:val="center" w:pos="284"/>
        </w:tabs>
        <w:suppressAutoHyphens/>
        <w:ind w:left="266" w:hanging="266"/>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8"/>
        <w:gridCol w:w="6379"/>
      </w:tblGrid>
      <w:tr w:rsidRPr="00C77E1D" w:rsidR="000E69EA" w:rsidTr="00D245F4" w14:paraId="2C8E664F" w14:textId="77777777">
        <w:tc>
          <w:tcPr>
            <w:tcW w:w="2518" w:type="dxa"/>
          </w:tcPr>
          <w:p w:rsidRPr="00C77E1D" w:rsidR="000E69EA" w:rsidP="00D245F4" w:rsidRDefault="000E69EA" w14:paraId="02D3B333" w14:textId="77777777">
            <w:pPr>
              <w:tabs>
                <w:tab w:val="center" w:pos="284"/>
              </w:tabs>
              <w:suppressAutoHyphens/>
              <w:ind w:left="266" w:hanging="266"/>
              <w:rPr>
                <w:b/>
              </w:rPr>
            </w:pPr>
            <w:r w:rsidRPr="00C77E1D">
              <w:rPr>
                <w:b/>
              </w:rPr>
              <w:t>Referenčni dokumenti</w:t>
            </w:r>
          </w:p>
        </w:tc>
        <w:tc>
          <w:tcPr>
            <w:tcW w:w="6379" w:type="dxa"/>
          </w:tcPr>
          <w:p w:rsidR="0096151F" w:rsidP="00D245F4" w:rsidRDefault="0096151F" w14:paraId="77EABB8B" w14:textId="70EEC675">
            <w:pPr>
              <w:tabs>
                <w:tab w:val="center" w:pos="284"/>
              </w:tabs>
              <w:suppressAutoHyphens/>
              <w:ind w:left="266" w:hanging="266"/>
            </w:pPr>
            <w:r>
              <w:t>mnenje kategorije C</w:t>
            </w:r>
          </w:p>
          <w:p w:rsidRPr="00C77E1D" w:rsidR="000E69EA" w:rsidP="00D245F4" w:rsidRDefault="000E69EA" w14:paraId="0E8E5EC8" w14:textId="4183CA0A">
            <w:pPr>
              <w:tabs>
                <w:tab w:val="center" w:pos="284"/>
              </w:tabs>
              <w:suppressAutoHyphens/>
              <w:ind w:left="266" w:hanging="266"/>
            </w:pPr>
            <w:r w:rsidRPr="00C77E1D">
              <w:t>COM(2024) 52 final</w:t>
            </w:r>
          </w:p>
          <w:p w:rsidRPr="00C77E1D" w:rsidR="000E69EA" w:rsidP="00D245F4" w:rsidRDefault="000E69EA" w14:paraId="06D6DB6E" w14:textId="3DECBBB9">
            <w:pPr>
              <w:tabs>
                <w:tab w:val="center" w:pos="284"/>
              </w:tabs>
              <w:suppressAutoHyphens/>
              <w:ind w:left="266" w:hanging="266"/>
            </w:pPr>
            <w:r w:rsidRPr="00C77E1D">
              <w:t>COM(2024) 53 final</w:t>
            </w:r>
          </w:p>
          <w:p w:rsidRPr="00C77E1D" w:rsidR="000E69EA" w:rsidP="00D245F4" w:rsidRDefault="000E69EA" w14:paraId="7BACBAFD" w14:textId="77777777">
            <w:pPr>
              <w:tabs>
                <w:tab w:val="center" w:pos="284"/>
              </w:tabs>
              <w:suppressAutoHyphens/>
              <w:ind w:left="266" w:hanging="266"/>
            </w:pPr>
            <w:r w:rsidRPr="00C77E1D">
              <w:t>EESC-2024-00852-00-00-AC</w:t>
            </w:r>
          </w:p>
        </w:tc>
      </w:tr>
    </w:tbl>
    <w:p w:rsidRPr="00C77E1D" w:rsidR="000E69EA" w:rsidP="000E69EA" w:rsidRDefault="000E69EA" w14:paraId="6DF7BBD7" w14:textId="77777777">
      <w:pPr>
        <w:tabs>
          <w:tab w:val="center" w:pos="284"/>
        </w:tabs>
        <w:suppressAutoHyphens/>
        <w:ind w:left="266" w:hanging="266"/>
      </w:pPr>
    </w:p>
    <w:p w:rsidRPr="00C77E1D" w:rsidR="000E69EA" w:rsidP="000E69EA" w:rsidRDefault="000E69EA" w14:paraId="53EE0A76" w14:textId="1ED73DED">
      <w:pPr>
        <w:tabs>
          <w:tab w:val="center" w:pos="284"/>
        </w:tabs>
        <w:suppressAutoHyphens/>
        <w:ind w:left="266" w:hanging="266"/>
        <w:rPr>
          <w:b/>
        </w:rPr>
      </w:pPr>
      <w:r w:rsidRPr="00C77E1D">
        <w:rPr>
          <w:b/>
        </w:rPr>
        <w:t>Glavn</w:t>
      </w:r>
      <w:r w:rsidR="006A3E43">
        <w:rPr>
          <w:b/>
        </w:rPr>
        <w:t>a</w:t>
      </w:r>
      <w:r w:rsidRPr="00C77E1D">
        <w:rPr>
          <w:b/>
        </w:rPr>
        <w:t xml:space="preserve"> točk</w:t>
      </w:r>
      <w:r w:rsidR="006A3E43">
        <w:rPr>
          <w:b/>
        </w:rPr>
        <w:t>a</w:t>
      </w:r>
    </w:p>
    <w:p w:rsidRPr="00C77E1D" w:rsidR="000E69EA" w:rsidP="000E69EA" w:rsidRDefault="000E69EA" w14:paraId="6E14254F" w14:textId="77777777">
      <w:pPr>
        <w:suppressAutoHyphens/>
        <w:rPr>
          <w:bCs/>
          <w:iCs/>
        </w:rPr>
      </w:pPr>
    </w:p>
    <w:p w:rsidRPr="00C77E1D" w:rsidR="000E69EA" w:rsidP="000E69EA" w:rsidRDefault="000E69EA" w14:paraId="15E83CBD" w14:textId="77777777">
      <w:pPr>
        <w:suppressAutoHyphens/>
        <w:outlineLvl w:val="1"/>
        <w:rPr>
          <w:bCs/>
          <w:iCs/>
        </w:rPr>
      </w:pPr>
      <w:r w:rsidRPr="00C77E1D">
        <w:t>EESO:</w:t>
      </w:r>
    </w:p>
    <w:p w:rsidRPr="00C77E1D" w:rsidR="000E69EA" w:rsidP="000E69EA" w:rsidRDefault="000E69EA" w14:paraId="096EEE03" w14:textId="77777777">
      <w:pPr>
        <w:suppressAutoHyphens/>
        <w:outlineLvl w:val="1"/>
        <w:rPr>
          <w:bCs/>
          <w:iCs/>
        </w:rPr>
      </w:pPr>
    </w:p>
    <w:p w:rsidRPr="00C77E1D" w:rsidR="000E69EA" w:rsidP="000E69EA" w:rsidRDefault="000E69EA" w14:paraId="7FADAA46" w14:textId="77777777">
      <w:pPr>
        <w:numPr>
          <w:ilvl w:val="0"/>
          <w:numId w:val="5"/>
        </w:numPr>
        <w:suppressAutoHyphens/>
        <w:overflowPunct w:val="0"/>
        <w:autoSpaceDE w:val="0"/>
        <w:autoSpaceDN w:val="0"/>
        <w:adjustRightInd w:val="0"/>
        <w:ind w:left="426" w:hanging="426"/>
        <w:textAlignment w:val="baseline"/>
        <w:outlineLvl w:val="1"/>
      </w:pPr>
      <w:r w:rsidRPr="00C77E1D">
        <w:t>se v celoti strinja z vsebino predloga in nima nobenih pripomb.</w:t>
      </w:r>
    </w:p>
    <w:p w:rsidRPr="00C77E1D" w:rsidR="000E69EA" w:rsidP="000E69EA" w:rsidRDefault="000E69EA" w14:paraId="446A40AE" w14:textId="77777777">
      <w:pPr>
        <w:suppressAutoHyphens/>
        <w:ind w:left="567" w:hanging="567"/>
        <w:contextualSpacing/>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088"/>
      </w:tblGrid>
      <w:tr w:rsidRPr="00C77E1D" w:rsidR="000E69EA" w:rsidTr="00D245F4" w14:paraId="54EFD67E" w14:textId="77777777">
        <w:tc>
          <w:tcPr>
            <w:tcW w:w="1809" w:type="dxa"/>
          </w:tcPr>
          <w:p w:rsidRPr="00C77E1D" w:rsidR="000E69EA" w:rsidP="00D245F4" w:rsidRDefault="000E69EA" w14:paraId="3B4039CA" w14:textId="77777777">
            <w:pPr>
              <w:suppressAutoHyphens/>
              <w:rPr>
                <w:i/>
              </w:rPr>
            </w:pPr>
            <w:r w:rsidRPr="00C77E1D">
              <w:rPr>
                <w:b/>
                <w:i/>
              </w:rPr>
              <w:t>Kontaktna oseba</w:t>
            </w:r>
          </w:p>
        </w:tc>
        <w:tc>
          <w:tcPr>
            <w:tcW w:w="7088" w:type="dxa"/>
          </w:tcPr>
          <w:p w:rsidRPr="00C77E1D" w:rsidR="000E69EA" w:rsidP="00D245F4" w:rsidRDefault="000E69EA" w14:paraId="29F5C769" w14:textId="77777777">
            <w:pPr>
              <w:suppressAutoHyphens/>
              <w:rPr>
                <w:i/>
              </w:rPr>
            </w:pPr>
            <w:r w:rsidRPr="00C77E1D">
              <w:rPr>
                <w:i/>
              </w:rPr>
              <w:t>Arturo IÑIGUEZ</w:t>
            </w:r>
          </w:p>
        </w:tc>
      </w:tr>
      <w:tr w:rsidRPr="00C77E1D" w:rsidR="000E69EA" w:rsidTr="00D245F4" w14:paraId="5899A422" w14:textId="77777777">
        <w:tc>
          <w:tcPr>
            <w:tcW w:w="1809" w:type="dxa"/>
          </w:tcPr>
          <w:p w:rsidRPr="00C77E1D" w:rsidR="000E69EA" w:rsidP="00D245F4" w:rsidRDefault="000E69EA" w14:paraId="10048754" w14:textId="77777777">
            <w:pPr>
              <w:suppressAutoHyphens/>
              <w:rPr>
                <w:i/>
              </w:rPr>
            </w:pPr>
            <w:r w:rsidRPr="00C77E1D">
              <w:rPr>
                <w:i/>
              </w:rPr>
              <w:t>Telefon</w:t>
            </w:r>
          </w:p>
        </w:tc>
        <w:tc>
          <w:tcPr>
            <w:tcW w:w="7088" w:type="dxa"/>
          </w:tcPr>
          <w:p w:rsidRPr="00C77E1D" w:rsidR="000E69EA" w:rsidP="00D245F4" w:rsidRDefault="000E69EA" w14:paraId="18C8560B" w14:textId="77777777">
            <w:pPr>
              <w:suppressAutoHyphens/>
              <w:rPr>
                <w:i/>
              </w:rPr>
            </w:pPr>
            <w:r w:rsidRPr="00C77E1D">
              <w:rPr>
                <w:i/>
              </w:rPr>
              <w:t>+32 25468768</w:t>
            </w:r>
          </w:p>
        </w:tc>
      </w:tr>
      <w:tr w:rsidRPr="00C77E1D" w:rsidR="000E69EA" w:rsidTr="00D245F4" w14:paraId="419FAB3B" w14:textId="77777777">
        <w:tc>
          <w:tcPr>
            <w:tcW w:w="1809" w:type="dxa"/>
          </w:tcPr>
          <w:p w:rsidRPr="00C77E1D" w:rsidR="000E69EA" w:rsidP="00D245F4" w:rsidRDefault="000E69EA" w14:paraId="193A98C7" w14:textId="77777777">
            <w:pPr>
              <w:suppressAutoHyphens/>
              <w:rPr>
                <w:i/>
              </w:rPr>
            </w:pPr>
            <w:r w:rsidRPr="00C77E1D">
              <w:rPr>
                <w:i/>
              </w:rPr>
              <w:t>E-naslov</w:t>
            </w:r>
          </w:p>
        </w:tc>
        <w:tc>
          <w:tcPr>
            <w:tcW w:w="7088" w:type="dxa"/>
          </w:tcPr>
          <w:p w:rsidRPr="00C77E1D" w:rsidR="000E69EA" w:rsidP="00D245F4" w:rsidRDefault="007772B2" w14:paraId="7803B766" w14:textId="77777777">
            <w:pPr>
              <w:suppressAutoHyphens/>
              <w:rPr>
                <w:i/>
              </w:rPr>
            </w:pPr>
            <w:hyperlink w:history="1" r:id="rId28">
              <w:r w:rsidRPr="00C77E1D" w:rsidR="000E69EA">
                <w:rPr>
                  <w:rStyle w:val="Hyperlink"/>
                  <w:i/>
                </w:rPr>
                <w:t>Arturo.Iniguez@eesc.europa.eu</w:t>
              </w:r>
            </w:hyperlink>
          </w:p>
        </w:tc>
      </w:tr>
    </w:tbl>
    <w:p w:rsidRPr="00C77E1D" w:rsidR="000E69EA" w:rsidP="000E69EA" w:rsidRDefault="000E69EA" w14:paraId="2578D4EC" w14:textId="77777777"/>
    <w:p w:rsidRPr="00C77E1D" w:rsidR="00332490" w:rsidP="008D7E5D" w:rsidRDefault="00332490" w14:paraId="103D0CAA" w14:textId="77777777">
      <w:pPr>
        <w:suppressAutoHyphens/>
        <w:jc w:val="left"/>
      </w:pPr>
      <w:r w:rsidRPr="00C77E1D">
        <w:br w:type="page"/>
      </w:r>
    </w:p>
    <w:p w:rsidRPr="00D76F27" w:rsidR="00AC6C90" w:rsidP="00AC6C90" w:rsidRDefault="007772B2" w14:paraId="46B07E1E" w14:textId="11AA190E">
      <w:pPr>
        <w:numPr>
          <w:ilvl w:val="0"/>
          <w:numId w:val="3"/>
        </w:numPr>
        <w:overflowPunct w:val="0"/>
        <w:autoSpaceDE w:val="0"/>
        <w:autoSpaceDN w:val="0"/>
        <w:adjustRightInd w:val="0"/>
        <w:textAlignment w:val="baseline"/>
        <w:rPr>
          <w:i/>
          <w:iCs/>
        </w:rPr>
      </w:pPr>
      <w:hyperlink w:history="1" r:id="rId29">
        <w:r w:rsidRPr="00D76F27" w:rsidR="00AC6C90">
          <w:rPr>
            <w:rStyle w:val="Hyperlink"/>
            <w:b/>
            <w:i/>
            <w:color w:val="auto"/>
            <w:sz w:val="28"/>
            <w:u w:val="none"/>
          </w:rPr>
          <w:t>Kemikalije – "ena snov, ena ocena"</w:t>
        </w:r>
      </w:hyperlink>
    </w:p>
    <w:p w:rsidRPr="00C77E1D" w:rsidR="00AC6C90" w:rsidP="00AC6C90" w:rsidRDefault="00AC6C90" w14:paraId="7BE31C1D" w14:textId="77777777">
      <w:pPr>
        <w:spacing w:line="240" w:lineRule="auto"/>
      </w:pPr>
    </w:p>
    <w:tbl>
      <w:tblPr>
        <w:tblStyle w:val="TableGrid"/>
        <w:tblW w:w="94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6"/>
        <w:gridCol w:w="7088"/>
      </w:tblGrid>
      <w:tr w:rsidRPr="00C77E1D" w:rsidR="00AC6C90" w:rsidTr="00D245F4" w14:paraId="6FFB6610" w14:textId="77777777">
        <w:tc>
          <w:tcPr>
            <w:tcW w:w="2376" w:type="dxa"/>
          </w:tcPr>
          <w:p w:rsidRPr="00C77E1D" w:rsidR="00AC6C90" w:rsidP="00D245F4" w:rsidRDefault="00AC6C90" w14:paraId="52BA6EDC" w14:textId="77777777">
            <w:pPr>
              <w:tabs>
                <w:tab w:val="center" w:pos="284"/>
              </w:tabs>
              <w:ind w:left="266" w:hanging="266"/>
              <w:rPr>
                <w:b/>
              </w:rPr>
            </w:pPr>
            <w:r w:rsidRPr="00C77E1D">
              <w:rPr>
                <w:b/>
              </w:rPr>
              <w:t>Poročevalec</w:t>
            </w:r>
          </w:p>
        </w:tc>
        <w:tc>
          <w:tcPr>
            <w:tcW w:w="7088" w:type="dxa"/>
          </w:tcPr>
          <w:p w:rsidRPr="00C77E1D" w:rsidR="00AC6C90" w:rsidP="00D245F4" w:rsidRDefault="00AC6C90" w14:paraId="553BBE2B" w14:textId="77777777">
            <w:pPr>
              <w:tabs>
                <w:tab w:val="center" w:pos="284"/>
              </w:tabs>
              <w:ind w:left="266" w:hanging="266"/>
              <w:rPr>
                <w:bCs/>
              </w:rPr>
            </w:pPr>
            <w:r w:rsidRPr="00C77E1D">
              <w:rPr>
                <w:b/>
              </w:rPr>
              <w:t>John COMER</w:t>
            </w:r>
            <w:r w:rsidRPr="00C77E1D">
              <w:t xml:space="preserve"> (skupina organizacij civilne družbe – IE)</w:t>
            </w:r>
          </w:p>
        </w:tc>
      </w:tr>
      <w:tr w:rsidRPr="00C77E1D" w:rsidR="00AC6C90" w:rsidTr="00D245F4" w14:paraId="57F96087" w14:textId="77777777">
        <w:tc>
          <w:tcPr>
            <w:tcW w:w="9464" w:type="dxa"/>
            <w:gridSpan w:val="2"/>
          </w:tcPr>
          <w:p w:rsidRPr="00C77E1D" w:rsidR="00AC6C90" w:rsidP="00D245F4" w:rsidRDefault="00AC6C90" w14:paraId="1A8769FA" w14:textId="77777777">
            <w:pPr>
              <w:tabs>
                <w:tab w:val="left" w:pos="2690"/>
              </w:tabs>
              <w:spacing w:line="240" w:lineRule="auto"/>
              <w:ind w:left="266" w:hanging="266"/>
              <w:rPr>
                <w:sz w:val="16"/>
                <w:szCs w:val="16"/>
              </w:rPr>
            </w:pPr>
          </w:p>
        </w:tc>
      </w:tr>
      <w:tr w:rsidRPr="00C77E1D" w:rsidR="00AC6C90" w:rsidTr="00D245F4" w14:paraId="363336B9" w14:textId="77777777">
        <w:tc>
          <w:tcPr>
            <w:tcW w:w="2376" w:type="dxa"/>
            <w:vMerge w:val="restart"/>
          </w:tcPr>
          <w:p w:rsidRPr="00C77E1D" w:rsidR="00AC6C90" w:rsidP="00D245F4" w:rsidRDefault="00AC6C90" w14:paraId="14F90A8A" w14:textId="77777777">
            <w:pPr>
              <w:tabs>
                <w:tab w:val="center" w:pos="284"/>
              </w:tabs>
              <w:ind w:left="266" w:hanging="266"/>
              <w:rPr>
                <w:b/>
              </w:rPr>
            </w:pPr>
            <w:r w:rsidRPr="00C77E1D">
              <w:rPr>
                <w:b/>
              </w:rPr>
              <w:t>Referenčni dokumenti</w:t>
            </w:r>
          </w:p>
        </w:tc>
        <w:tc>
          <w:tcPr>
            <w:tcW w:w="7088" w:type="dxa"/>
          </w:tcPr>
          <w:p w:rsidRPr="00C77E1D" w:rsidR="00AC6C90" w:rsidP="00D245F4" w:rsidRDefault="00AC6C90" w14:paraId="31160E66" w14:textId="3691356A">
            <w:pPr>
              <w:tabs>
                <w:tab w:val="center" w:pos="0"/>
              </w:tabs>
            </w:pPr>
            <w:r w:rsidRPr="00C77E1D">
              <w:t>COM(2023)779 final, COM(2023)783 final in COM(2023)781 final</w:t>
            </w:r>
          </w:p>
        </w:tc>
      </w:tr>
      <w:tr w:rsidRPr="00C77E1D" w:rsidR="00AC6C90" w:rsidTr="00D245F4" w14:paraId="2ABA2A32" w14:textId="77777777">
        <w:tc>
          <w:tcPr>
            <w:tcW w:w="2376" w:type="dxa"/>
            <w:vMerge/>
          </w:tcPr>
          <w:p w:rsidRPr="00C77E1D" w:rsidR="00AC6C90" w:rsidP="00D245F4" w:rsidRDefault="00AC6C90" w14:paraId="65C71E9D" w14:textId="77777777">
            <w:pPr>
              <w:tabs>
                <w:tab w:val="center" w:pos="284"/>
              </w:tabs>
              <w:ind w:left="266" w:hanging="266"/>
              <w:rPr>
                <w:b/>
              </w:rPr>
            </w:pPr>
          </w:p>
        </w:tc>
        <w:tc>
          <w:tcPr>
            <w:tcW w:w="7088" w:type="dxa"/>
          </w:tcPr>
          <w:p w:rsidRPr="00C77E1D" w:rsidR="00AC6C90" w:rsidP="00D245F4" w:rsidRDefault="00AC6C90" w14:paraId="22EE4AD9" w14:textId="77777777">
            <w:pPr>
              <w:tabs>
                <w:tab w:val="center" w:pos="284"/>
              </w:tabs>
              <w:ind w:left="266" w:hanging="266"/>
            </w:pPr>
            <w:r w:rsidRPr="00C77E1D">
              <w:t>EESC-2023-05710-00-00-AC-TRA</w:t>
            </w:r>
          </w:p>
        </w:tc>
      </w:tr>
    </w:tbl>
    <w:p w:rsidRPr="00C77E1D" w:rsidR="00AC6C90" w:rsidP="00AC6C90" w:rsidRDefault="00AC6C90" w14:paraId="42F17EF4" w14:textId="77777777">
      <w:pPr>
        <w:tabs>
          <w:tab w:val="center" w:pos="284"/>
        </w:tabs>
        <w:spacing w:line="240" w:lineRule="auto"/>
        <w:ind w:left="266" w:hanging="266"/>
        <w:rPr>
          <w:bCs/>
        </w:rPr>
      </w:pPr>
    </w:p>
    <w:p w:rsidRPr="00C77E1D" w:rsidR="00AC6C90" w:rsidP="00AC6C90" w:rsidRDefault="00AC6C90" w14:paraId="45A038B9" w14:textId="77777777">
      <w:pPr>
        <w:tabs>
          <w:tab w:val="center" w:pos="284"/>
        </w:tabs>
        <w:ind w:left="266" w:hanging="266"/>
        <w:rPr>
          <w:b/>
        </w:rPr>
      </w:pPr>
      <w:r w:rsidRPr="00C77E1D">
        <w:rPr>
          <w:b/>
        </w:rPr>
        <w:t>Glavne točke</w:t>
      </w:r>
    </w:p>
    <w:p w:rsidRPr="00C77E1D" w:rsidR="00AC6C90" w:rsidP="00AC6C90" w:rsidRDefault="00AC6C90" w14:paraId="2EACE222" w14:textId="77777777">
      <w:pPr>
        <w:tabs>
          <w:tab w:val="center" w:pos="284"/>
        </w:tabs>
        <w:spacing w:line="240" w:lineRule="auto"/>
        <w:ind w:left="266" w:hanging="266"/>
        <w:rPr>
          <w:bCs/>
        </w:rPr>
      </w:pPr>
    </w:p>
    <w:p w:rsidRPr="00C77E1D" w:rsidR="00AC6C90" w:rsidP="00AC6C90" w:rsidRDefault="00AC6C90" w14:paraId="396BEC6C" w14:textId="77777777">
      <w:r w:rsidRPr="00C77E1D">
        <w:t>EESO:</w:t>
      </w:r>
    </w:p>
    <w:p w:rsidRPr="00C77E1D" w:rsidR="00AC6C90" w:rsidP="00AC6C90" w:rsidRDefault="00AC6C90" w14:paraId="7C59BC4E" w14:textId="77777777">
      <w:pPr>
        <w:spacing w:line="240" w:lineRule="auto"/>
        <w:rPr>
          <w:bCs/>
          <w:iCs/>
        </w:rPr>
      </w:pPr>
    </w:p>
    <w:p w:rsidRPr="00C77E1D" w:rsidR="00AC6C90" w:rsidP="00AC6C90" w:rsidRDefault="00AC6C90" w14:paraId="1999EAB5" w14:textId="77777777">
      <w:pPr>
        <w:pStyle w:val="Heading2"/>
        <w:numPr>
          <w:ilvl w:val="0"/>
          <w:numId w:val="26"/>
        </w:numPr>
        <w:ind w:left="426" w:hanging="426"/>
      </w:pPr>
      <w:r w:rsidRPr="00C77E1D">
        <w:rPr>
          <w:b/>
        </w:rPr>
        <w:t>pozdravlja sveženj „ena snov, ena ocena“</w:t>
      </w:r>
      <w:r w:rsidRPr="00C77E1D">
        <w:t>;</w:t>
      </w:r>
    </w:p>
    <w:p w:rsidRPr="00C77E1D" w:rsidR="00AC6C90" w:rsidP="00AC6C90" w:rsidRDefault="00AC6C90" w14:paraId="40CDEAA9" w14:textId="77777777">
      <w:pPr>
        <w:pStyle w:val="Heading2"/>
        <w:numPr>
          <w:ilvl w:val="0"/>
          <w:numId w:val="26"/>
        </w:numPr>
        <w:ind w:left="426" w:hanging="426"/>
      </w:pPr>
      <w:r w:rsidRPr="00C77E1D">
        <w:rPr>
          <w:b/>
        </w:rPr>
        <w:t>pozdravlja platformo „vse na enem mestu“</w:t>
      </w:r>
      <w:r w:rsidRPr="00C77E1D">
        <w:t>, saj združuje podatke o kemikalijah, pridobljene iz različnih virov, ki jih bo nadzorovala Evropska agencija za kemikalije (ECHA);</w:t>
      </w:r>
    </w:p>
    <w:p w:rsidRPr="00C77E1D" w:rsidR="00AC6C90" w:rsidP="00AC6C90" w:rsidRDefault="00AC6C90" w14:paraId="36B0251E" w14:textId="77777777">
      <w:pPr>
        <w:pStyle w:val="Heading2"/>
        <w:numPr>
          <w:ilvl w:val="0"/>
          <w:numId w:val="26"/>
        </w:numPr>
        <w:ind w:left="426" w:hanging="426"/>
      </w:pPr>
      <w:r w:rsidRPr="00C77E1D">
        <w:t>je zaskrbljen, ker nova uredba o reorganizaciji ECHA ni bila objavljena in zato ni mogoče celovito oceniti vloge te agencije v sistemu „ena snov, ena ocena“. Je pa njena vloga ključna za uspešno delovanje tega pristopa;</w:t>
      </w:r>
    </w:p>
    <w:p w:rsidRPr="00C77E1D" w:rsidR="00AC6C90" w:rsidP="00AC6C90" w:rsidRDefault="00AC6C90" w14:paraId="1E8CD3EE" w14:textId="77777777">
      <w:pPr>
        <w:pStyle w:val="Heading2"/>
        <w:numPr>
          <w:ilvl w:val="0"/>
          <w:numId w:val="26"/>
        </w:numPr>
        <w:ind w:left="426" w:hanging="426"/>
      </w:pPr>
      <w:r w:rsidRPr="00C77E1D">
        <w:rPr>
          <w:b/>
        </w:rPr>
        <w:t>ni prepričan, ali bodo nosilci dejavnosti dolžni sodelovati pri izvajanju teh znanstvenih študij ali pa se bodo lahko pritožili zoper zahtevo agencije ECHA za njihovo izvedbo</w:t>
      </w:r>
      <w:r w:rsidRPr="00C77E1D">
        <w:t>, če rezultatov ne bo mogoče doseči s pomočjo veljavnih pravnih določb ali postopkov v skladu z zakonodajo EU;</w:t>
      </w:r>
    </w:p>
    <w:p w:rsidRPr="00C77E1D" w:rsidR="00AC6C90" w:rsidP="00AC6C90" w:rsidRDefault="00AC6C90" w14:paraId="1BAB17BF" w14:textId="77777777">
      <w:pPr>
        <w:pStyle w:val="Heading2"/>
        <w:numPr>
          <w:ilvl w:val="0"/>
          <w:numId w:val="26"/>
        </w:numPr>
        <w:ind w:left="426" w:hanging="426"/>
      </w:pPr>
      <w:r w:rsidRPr="00C77E1D">
        <w:rPr>
          <w:b/>
        </w:rPr>
        <w:t>meni, da morajo biti določbe o zaupnosti skupne podatkovne platforme jasno opredeljene</w:t>
      </w:r>
      <w:r w:rsidRPr="00C77E1D">
        <w:t>, da bodo gospodarski subjekti v sektorju lahko popolnoma zaupali sistemu. Ob tem je zelo pozitivno, da bo dostop do zaupnih informacij mogoče revidirati. Hkrati je treba zagotoviti več jasnosti glede izmenjave in ponovne uporabe podatkov o kemikalijah;</w:t>
      </w:r>
    </w:p>
    <w:p w:rsidRPr="00C77E1D" w:rsidR="00AC6C90" w:rsidP="00AC6C90" w:rsidRDefault="00AC6C90" w14:paraId="0DBABC67" w14:textId="77777777">
      <w:pPr>
        <w:pStyle w:val="Heading2"/>
        <w:numPr>
          <w:ilvl w:val="0"/>
          <w:numId w:val="26"/>
        </w:numPr>
        <w:ind w:left="426" w:hanging="426"/>
      </w:pPr>
      <w:r w:rsidRPr="00C77E1D">
        <w:t xml:space="preserve">dvomi o tem, kako bodo v zvezi z naročenimi študijami rešena nesoglasja, in </w:t>
      </w:r>
      <w:r w:rsidRPr="00C77E1D">
        <w:rPr>
          <w:b/>
        </w:rPr>
        <w:t>poziva k uporabi previdnostnega načela</w:t>
      </w:r>
      <w:r w:rsidRPr="00C77E1D">
        <w:t xml:space="preserve"> za varovanje javnega zdravja in okolja;</w:t>
      </w:r>
    </w:p>
    <w:p w:rsidRPr="00C77E1D" w:rsidR="00AC6C90" w:rsidP="00AC6C90" w:rsidRDefault="00AC6C90" w14:paraId="4FDA6FDE" w14:textId="77777777">
      <w:pPr>
        <w:pStyle w:val="Heading2"/>
        <w:numPr>
          <w:ilvl w:val="0"/>
          <w:numId w:val="26"/>
        </w:numPr>
        <w:ind w:left="426" w:hanging="426"/>
      </w:pPr>
      <w:r w:rsidRPr="00C77E1D">
        <w:t xml:space="preserve">meni, da bo </w:t>
      </w:r>
      <w:r w:rsidRPr="00C77E1D">
        <w:rPr>
          <w:b/>
        </w:rPr>
        <w:t>prijavljanje študij povečalo upravno breme podjetij</w:t>
      </w:r>
      <w:r w:rsidRPr="00C77E1D">
        <w:t>, in poziva, naj se to skrbno spremlja;</w:t>
      </w:r>
    </w:p>
    <w:p w:rsidRPr="00C77E1D" w:rsidR="00AC6C90" w:rsidP="00AC6C90" w:rsidRDefault="00AC6C90" w14:paraId="0A027730" w14:textId="77777777">
      <w:pPr>
        <w:pStyle w:val="Heading2"/>
        <w:numPr>
          <w:ilvl w:val="0"/>
          <w:numId w:val="26"/>
        </w:numPr>
        <w:ind w:left="426" w:hanging="426"/>
      </w:pPr>
      <w:r w:rsidRPr="00C77E1D">
        <w:t>dvomi, ali bo ECHA lahko upravljala sistem tako, da se dosežejo največje možne sinergije in sodelovanje;</w:t>
      </w:r>
    </w:p>
    <w:p w:rsidRPr="00C77E1D" w:rsidR="00AC6C90" w:rsidP="00AC6C90" w:rsidRDefault="00AC6C90" w14:paraId="1BA31041" w14:textId="77777777">
      <w:pPr>
        <w:pStyle w:val="Heading2"/>
        <w:numPr>
          <w:ilvl w:val="0"/>
          <w:numId w:val="26"/>
        </w:numPr>
        <w:ind w:left="426" w:hanging="426"/>
      </w:pPr>
      <w:r w:rsidRPr="00C77E1D">
        <w:rPr>
          <w:b/>
        </w:rPr>
        <w:t>poziva, naj novi predlogi zagotovijo čim širši dostop do dokumentov, ki vsebujejo podatke o kemikalijah</w:t>
      </w:r>
      <w:r w:rsidRPr="00C77E1D">
        <w:t>, zato je bistveno, da se na tem področju uporabljajo stroga pravila;</w:t>
      </w:r>
    </w:p>
    <w:p w:rsidRPr="00C77E1D" w:rsidR="00AC6C90" w:rsidP="00AC6C90" w:rsidRDefault="00AC6C90" w14:paraId="59B360B5" w14:textId="77777777">
      <w:pPr>
        <w:pStyle w:val="Heading2"/>
        <w:numPr>
          <w:ilvl w:val="0"/>
          <w:numId w:val="26"/>
        </w:numPr>
        <w:ind w:left="426" w:hanging="426"/>
      </w:pPr>
      <w:r w:rsidRPr="00C77E1D">
        <w:t xml:space="preserve">ugotavlja, da </w:t>
      </w:r>
      <w:r w:rsidRPr="00C77E1D">
        <w:rPr>
          <w:b/>
        </w:rPr>
        <w:t>sveženj trenutno ne zagotavlja zanesljivosti podatkov in polnega izkoriščanja dragocenih spoznanj iz neodvisnih raziskav</w:t>
      </w:r>
      <w:r w:rsidRPr="00C77E1D">
        <w:t>, zlasti v sistemu za zgodnje opozarjanje in ukrepanje, pa tudi v splošnem okviru okoljskih in zdravstvenih ocen.</w:t>
      </w:r>
    </w:p>
    <w:p w:rsidRPr="00C77E1D" w:rsidR="00AC6C90" w:rsidP="00AC6C90" w:rsidRDefault="00AC6C90" w14:paraId="5191EA73" w14:textId="77777777">
      <w:pPr>
        <w:spacing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5811"/>
      </w:tblGrid>
      <w:tr w:rsidRPr="00C77E1D" w:rsidR="00AC6C90" w:rsidTr="00D245F4" w14:paraId="3E5FB931" w14:textId="77777777">
        <w:tc>
          <w:tcPr>
            <w:tcW w:w="2235" w:type="dxa"/>
          </w:tcPr>
          <w:p w:rsidRPr="00C77E1D" w:rsidR="00AC6C90" w:rsidP="00D245F4" w:rsidRDefault="00AC6C90" w14:paraId="65DC30CA" w14:textId="77777777">
            <w:pPr>
              <w:ind w:left="34" w:right="-253"/>
              <w:rPr>
                <w:i/>
              </w:rPr>
            </w:pPr>
            <w:r w:rsidRPr="00C77E1D">
              <w:rPr>
                <w:b/>
                <w:i/>
              </w:rPr>
              <w:t>Kontaktna oseba</w:t>
            </w:r>
          </w:p>
        </w:tc>
        <w:tc>
          <w:tcPr>
            <w:tcW w:w="5811" w:type="dxa"/>
          </w:tcPr>
          <w:p w:rsidRPr="00C77E1D" w:rsidR="00AC6C90" w:rsidP="00D245F4" w:rsidRDefault="00AC6C90" w14:paraId="4B48AE9E" w14:textId="77777777">
            <w:pPr>
              <w:ind w:left="145"/>
              <w:rPr>
                <w:i/>
                <w:iCs/>
              </w:rPr>
            </w:pPr>
            <w:r w:rsidRPr="00C77E1D">
              <w:rPr>
                <w:i/>
              </w:rPr>
              <w:t>Gaia BOTTONI</w:t>
            </w:r>
          </w:p>
        </w:tc>
      </w:tr>
      <w:tr w:rsidRPr="00C77E1D" w:rsidR="00AC6C90" w:rsidTr="00D245F4" w14:paraId="7D11AAEA" w14:textId="77777777">
        <w:tc>
          <w:tcPr>
            <w:tcW w:w="2235" w:type="dxa"/>
          </w:tcPr>
          <w:p w:rsidRPr="00C77E1D" w:rsidR="00AC6C90" w:rsidP="00D245F4" w:rsidRDefault="00AC6C90" w14:paraId="795065D0" w14:textId="77777777">
            <w:pPr>
              <w:ind w:left="34"/>
              <w:rPr>
                <w:i/>
              </w:rPr>
            </w:pPr>
            <w:r w:rsidRPr="00C77E1D">
              <w:rPr>
                <w:i/>
              </w:rPr>
              <w:t>Telefon</w:t>
            </w:r>
          </w:p>
        </w:tc>
        <w:tc>
          <w:tcPr>
            <w:tcW w:w="5811" w:type="dxa"/>
          </w:tcPr>
          <w:p w:rsidRPr="00C77E1D" w:rsidR="00AC6C90" w:rsidP="00D245F4" w:rsidRDefault="00AC6C90" w14:paraId="1C5ED4AD" w14:textId="77777777">
            <w:pPr>
              <w:ind w:left="145"/>
              <w:rPr>
                <w:i/>
                <w:iCs/>
              </w:rPr>
            </w:pPr>
            <w:r w:rsidRPr="00C77E1D">
              <w:rPr>
                <w:i/>
              </w:rPr>
              <w:t>+32 25469447</w:t>
            </w:r>
          </w:p>
        </w:tc>
      </w:tr>
      <w:tr w:rsidRPr="00C77E1D" w:rsidR="00AC6C90" w:rsidTr="00D245F4" w14:paraId="06909ACF" w14:textId="77777777">
        <w:tc>
          <w:tcPr>
            <w:tcW w:w="2235" w:type="dxa"/>
          </w:tcPr>
          <w:p w:rsidRPr="00C77E1D" w:rsidR="00AC6C90" w:rsidP="00D245F4" w:rsidRDefault="00AC6C90" w14:paraId="29D6CA72" w14:textId="77777777">
            <w:pPr>
              <w:ind w:left="34"/>
              <w:rPr>
                <w:i/>
              </w:rPr>
            </w:pPr>
            <w:r w:rsidRPr="00C77E1D">
              <w:rPr>
                <w:i/>
              </w:rPr>
              <w:t>E-naslov</w:t>
            </w:r>
          </w:p>
        </w:tc>
        <w:tc>
          <w:tcPr>
            <w:tcW w:w="5811" w:type="dxa"/>
          </w:tcPr>
          <w:p w:rsidRPr="00C77E1D" w:rsidR="00AC6C90" w:rsidP="00D245F4" w:rsidRDefault="007772B2" w14:paraId="30213F92" w14:textId="77777777">
            <w:pPr>
              <w:ind w:left="145"/>
              <w:rPr>
                <w:i/>
                <w:iCs/>
                <w:color w:val="0000FF"/>
                <w:u w:val="single"/>
              </w:rPr>
            </w:pPr>
            <w:hyperlink w:history="1" r:id="rId30">
              <w:r w:rsidRPr="00C77E1D" w:rsidR="00AC6C90">
                <w:rPr>
                  <w:rStyle w:val="Hyperlink"/>
                  <w:i/>
                </w:rPr>
                <w:t>Gaia.Bottoni@eesc.europa.eu</w:t>
              </w:r>
            </w:hyperlink>
          </w:p>
        </w:tc>
      </w:tr>
    </w:tbl>
    <w:p w:rsidRPr="00C77E1D" w:rsidR="00AC6C90" w:rsidP="00AC6C90" w:rsidRDefault="00AC6C90" w14:paraId="748FB7B6" w14:textId="77777777">
      <w:pPr>
        <w:spacing w:line="240" w:lineRule="auto"/>
      </w:pPr>
    </w:p>
    <w:p w:rsidRPr="00C77E1D" w:rsidR="00E20508" w:rsidP="008D7E5D" w:rsidRDefault="00E20508" w14:paraId="4578CC15" w14:textId="004FCB76">
      <w:pPr>
        <w:suppressAutoHyphens/>
        <w:jc w:val="left"/>
      </w:pPr>
      <w:r w:rsidRPr="00C77E1D">
        <w:br w:type="page"/>
      </w:r>
    </w:p>
    <w:p w:rsidRPr="00D76F27" w:rsidR="00E65538" w:rsidP="00E65538" w:rsidRDefault="007772B2" w14:paraId="6750AFE1" w14:textId="43345A11">
      <w:pPr>
        <w:numPr>
          <w:ilvl w:val="0"/>
          <w:numId w:val="3"/>
        </w:numPr>
        <w:suppressAutoHyphens/>
        <w:jc w:val="left"/>
        <w:rPr>
          <w:i/>
          <w:iCs/>
        </w:rPr>
      </w:pPr>
      <w:hyperlink w:history="1" r:id="rId31">
        <w:r w:rsidRPr="00D76F27" w:rsidR="00E65538">
          <w:rPr>
            <w:rStyle w:val="Hyperlink"/>
            <w:b/>
            <w:i/>
            <w:color w:val="auto"/>
            <w:sz w:val="28"/>
            <w:u w:val="none"/>
          </w:rPr>
          <w:t>Gozdovi EU – novi okvir EU za monitoring gozdov in strateške načrte</w:t>
        </w:r>
      </w:hyperlink>
    </w:p>
    <w:p w:rsidRPr="00C77E1D" w:rsidR="00E65538" w:rsidP="00E65538" w:rsidRDefault="00E65538" w14:paraId="1D783BF5"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661"/>
      </w:tblGrid>
      <w:tr w:rsidRPr="00C77E1D" w:rsidR="00E65538" w:rsidTr="00E65538" w14:paraId="611751C1" w14:textId="77777777">
        <w:tc>
          <w:tcPr>
            <w:tcW w:w="2410" w:type="dxa"/>
          </w:tcPr>
          <w:p w:rsidRPr="00C77E1D" w:rsidR="00E65538" w:rsidP="00D245F4" w:rsidRDefault="00E65538" w14:paraId="28A0EB17" w14:textId="77777777">
            <w:pPr>
              <w:tabs>
                <w:tab w:val="center" w:pos="284"/>
              </w:tabs>
              <w:suppressAutoHyphens/>
              <w:ind w:left="266" w:hanging="266"/>
              <w:rPr>
                <w:b/>
              </w:rPr>
            </w:pPr>
            <w:r w:rsidRPr="00C77E1D">
              <w:rPr>
                <w:b/>
              </w:rPr>
              <w:t>Poročevalec</w:t>
            </w:r>
          </w:p>
        </w:tc>
        <w:tc>
          <w:tcPr>
            <w:tcW w:w="6661" w:type="dxa"/>
          </w:tcPr>
          <w:p w:rsidRPr="00C77E1D" w:rsidR="00E65538" w:rsidP="00D245F4" w:rsidRDefault="00E65538" w14:paraId="406796F7" w14:textId="77777777">
            <w:pPr>
              <w:tabs>
                <w:tab w:val="center" w:pos="284"/>
              </w:tabs>
              <w:suppressAutoHyphens/>
              <w:ind w:left="266" w:hanging="266"/>
              <w:rPr>
                <w:bCs/>
              </w:rPr>
            </w:pPr>
            <w:r w:rsidRPr="00C77E1D">
              <w:rPr>
                <w:b/>
              </w:rPr>
              <w:t>Florian MARIN</w:t>
            </w:r>
            <w:r w:rsidRPr="00C77E1D">
              <w:t xml:space="preserve"> (skupina delojemalcev </w:t>
            </w:r>
            <w:r w:rsidRPr="00C77E1D">
              <w:rPr>
                <w:color w:val="000000"/>
              </w:rPr>
              <w:t>– RO</w:t>
            </w:r>
            <w:r w:rsidRPr="00C77E1D">
              <w:t>)</w:t>
            </w:r>
          </w:p>
        </w:tc>
      </w:tr>
      <w:tr w:rsidRPr="00C77E1D" w:rsidR="00E65538" w:rsidTr="00E65538" w14:paraId="0DAC0CD5" w14:textId="77777777">
        <w:tc>
          <w:tcPr>
            <w:tcW w:w="9071" w:type="dxa"/>
            <w:gridSpan w:val="2"/>
          </w:tcPr>
          <w:p w:rsidRPr="00C77E1D" w:rsidR="00E65538" w:rsidP="00E65538" w:rsidRDefault="00E65538" w14:paraId="56A832A7" w14:textId="77777777">
            <w:pPr>
              <w:tabs>
                <w:tab w:val="left" w:pos="2690"/>
              </w:tabs>
              <w:suppressAutoHyphens/>
              <w:spacing w:line="240" w:lineRule="auto"/>
              <w:ind w:left="266" w:hanging="266"/>
              <w:rPr>
                <w:sz w:val="16"/>
                <w:szCs w:val="16"/>
              </w:rPr>
            </w:pPr>
          </w:p>
        </w:tc>
      </w:tr>
      <w:tr w:rsidRPr="00C77E1D" w:rsidR="00E65538" w:rsidTr="00E65538" w14:paraId="2A22B66D" w14:textId="77777777">
        <w:tc>
          <w:tcPr>
            <w:tcW w:w="2410" w:type="dxa"/>
            <w:vMerge w:val="restart"/>
          </w:tcPr>
          <w:p w:rsidRPr="00C77E1D" w:rsidR="00E65538" w:rsidP="00D245F4" w:rsidRDefault="00E65538" w14:paraId="1C750AE4" w14:textId="5F250B84">
            <w:pPr>
              <w:tabs>
                <w:tab w:val="center" w:pos="284"/>
              </w:tabs>
              <w:suppressAutoHyphens/>
              <w:ind w:left="266" w:hanging="266"/>
              <w:rPr>
                <w:b/>
              </w:rPr>
            </w:pPr>
            <w:r w:rsidRPr="00C77E1D">
              <w:rPr>
                <w:b/>
              </w:rPr>
              <w:t>Referenčn</w:t>
            </w:r>
            <w:r w:rsidR="00B1006C">
              <w:rPr>
                <w:b/>
              </w:rPr>
              <w:t>i</w:t>
            </w:r>
            <w:r w:rsidRPr="00C77E1D">
              <w:rPr>
                <w:b/>
              </w:rPr>
              <w:t xml:space="preserve"> dokument</w:t>
            </w:r>
            <w:r w:rsidR="00B1006C">
              <w:rPr>
                <w:b/>
              </w:rPr>
              <w:t>i</w:t>
            </w:r>
          </w:p>
        </w:tc>
        <w:tc>
          <w:tcPr>
            <w:tcW w:w="6661" w:type="dxa"/>
          </w:tcPr>
          <w:p w:rsidRPr="00C77E1D" w:rsidR="00E65538" w:rsidP="00D245F4" w:rsidRDefault="00E65538" w14:paraId="512F998E" w14:textId="4D9A55EC">
            <w:pPr>
              <w:tabs>
                <w:tab w:val="center" w:pos="0"/>
              </w:tabs>
              <w:suppressAutoHyphens/>
            </w:pPr>
            <w:r w:rsidRPr="00C77E1D">
              <w:t>COM(2023) 728 final in COM(2023) 727 final</w:t>
            </w:r>
          </w:p>
        </w:tc>
      </w:tr>
      <w:tr w:rsidRPr="00C77E1D" w:rsidR="00E65538" w:rsidTr="00E65538" w14:paraId="3F36F3BB" w14:textId="77777777">
        <w:tc>
          <w:tcPr>
            <w:tcW w:w="2410" w:type="dxa"/>
            <w:vMerge/>
          </w:tcPr>
          <w:p w:rsidRPr="00C77E1D" w:rsidR="00E65538" w:rsidP="00D245F4" w:rsidRDefault="00E65538" w14:paraId="10BD4546" w14:textId="77777777">
            <w:pPr>
              <w:tabs>
                <w:tab w:val="center" w:pos="284"/>
              </w:tabs>
              <w:suppressAutoHyphens/>
              <w:ind w:left="266" w:hanging="266"/>
              <w:rPr>
                <w:b/>
              </w:rPr>
            </w:pPr>
          </w:p>
        </w:tc>
        <w:tc>
          <w:tcPr>
            <w:tcW w:w="6661" w:type="dxa"/>
          </w:tcPr>
          <w:p w:rsidRPr="00C77E1D" w:rsidR="00E65538" w:rsidP="00D245F4" w:rsidRDefault="00E65538" w14:paraId="48174175" w14:textId="3662B4B9">
            <w:pPr>
              <w:tabs>
                <w:tab w:val="center" w:pos="284"/>
              </w:tabs>
              <w:suppressAutoHyphens/>
              <w:ind w:left="266" w:hanging="266"/>
            </w:pPr>
            <w:r w:rsidRPr="00C77E1D">
              <w:t>EESC-2023-02733-00-00-AC</w:t>
            </w:r>
          </w:p>
        </w:tc>
      </w:tr>
    </w:tbl>
    <w:p w:rsidRPr="00C77E1D" w:rsidR="00E65538" w:rsidP="00E65538" w:rsidRDefault="00E65538" w14:paraId="3A3118B0" w14:textId="77777777">
      <w:pPr>
        <w:tabs>
          <w:tab w:val="center" w:pos="284"/>
        </w:tabs>
        <w:suppressAutoHyphens/>
        <w:ind w:left="266" w:hanging="266"/>
        <w:rPr>
          <w:bCs/>
        </w:rPr>
      </w:pPr>
    </w:p>
    <w:p w:rsidRPr="00C77E1D" w:rsidR="00E65538" w:rsidP="00E65538" w:rsidRDefault="00E65538" w14:paraId="088CE3EB" w14:textId="77777777">
      <w:pPr>
        <w:tabs>
          <w:tab w:val="center" w:pos="284"/>
        </w:tabs>
        <w:suppressAutoHyphens/>
        <w:ind w:left="266" w:hanging="266"/>
        <w:rPr>
          <w:b/>
        </w:rPr>
      </w:pPr>
      <w:r w:rsidRPr="00C77E1D">
        <w:rPr>
          <w:b/>
        </w:rPr>
        <w:t>Glavne točke</w:t>
      </w:r>
    </w:p>
    <w:p w:rsidRPr="00C77E1D" w:rsidR="00E65538" w:rsidP="00E65538" w:rsidRDefault="00E65538" w14:paraId="201068E4" w14:textId="77777777">
      <w:pPr>
        <w:tabs>
          <w:tab w:val="center" w:pos="284"/>
        </w:tabs>
        <w:suppressAutoHyphens/>
        <w:ind w:left="266" w:hanging="266"/>
        <w:rPr>
          <w:bCs/>
        </w:rPr>
      </w:pPr>
    </w:p>
    <w:p w:rsidRPr="00C77E1D" w:rsidR="00E65538" w:rsidP="00E65538" w:rsidRDefault="00E65538" w14:paraId="3094C759" w14:textId="77777777">
      <w:pPr>
        <w:suppressAutoHyphens/>
      </w:pPr>
      <w:r w:rsidRPr="00C77E1D">
        <w:t>EESO:</w:t>
      </w:r>
    </w:p>
    <w:p w:rsidRPr="00C77E1D" w:rsidR="00E65538" w:rsidP="00E65538" w:rsidRDefault="00E65538" w14:paraId="56B076F9" w14:textId="77777777">
      <w:pPr>
        <w:suppressAutoHyphens/>
        <w:rPr>
          <w:bCs/>
          <w:iCs/>
        </w:rPr>
      </w:pPr>
    </w:p>
    <w:p w:rsidRPr="00C77E1D" w:rsidR="00E65538" w:rsidP="00E65538" w:rsidRDefault="00E65538" w14:paraId="4AD11FE6" w14:textId="77777777">
      <w:pPr>
        <w:pStyle w:val="Heading2"/>
        <w:numPr>
          <w:ilvl w:val="0"/>
          <w:numId w:val="27"/>
        </w:numPr>
        <w:suppressAutoHyphens/>
        <w:ind w:left="426" w:hanging="426"/>
        <w:rPr>
          <w:spacing w:val="-4"/>
        </w:rPr>
      </w:pPr>
      <w:r w:rsidRPr="00C77E1D">
        <w:t>previdno pozdravlja predlagani okvir za zbiranje podatkov o gozdovih, ki bi ga bilo treba obravnavati kot statistično orodje in ne kot orodje za nadzor, saj je gospodarjenje z gozdovi večinoma nacionalna pristojnost;</w:t>
      </w:r>
    </w:p>
    <w:p w:rsidRPr="00C77E1D" w:rsidR="00E65538" w:rsidP="00E65538" w:rsidRDefault="00E65538" w14:paraId="53C1948B" w14:textId="77777777">
      <w:pPr>
        <w:pStyle w:val="Heading2"/>
        <w:numPr>
          <w:ilvl w:val="0"/>
          <w:numId w:val="27"/>
        </w:numPr>
        <w:suppressAutoHyphens/>
        <w:ind w:left="426" w:hanging="426"/>
      </w:pPr>
      <w:r w:rsidRPr="00C77E1D">
        <w:t>želi spomniti, da se vsi deležniki ne strinjajo z idejo za uredbo in dajejo prednost jasnim smernicam ter nadaljevanju sedanjih sistemov spremljanja;</w:t>
      </w:r>
    </w:p>
    <w:p w:rsidRPr="00C77E1D" w:rsidR="00E65538" w:rsidP="00E65538" w:rsidRDefault="00E65538" w14:paraId="446C781B" w14:textId="77777777">
      <w:pPr>
        <w:pStyle w:val="Heading2"/>
        <w:numPr>
          <w:ilvl w:val="0"/>
          <w:numId w:val="27"/>
        </w:numPr>
        <w:suppressAutoHyphens/>
        <w:ind w:left="426" w:hanging="426"/>
      </w:pPr>
      <w:r w:rsidRPr="00C77E1D">
        <w:t>pozdravlja dolgoročni načrt za gozdove in priporoča naslednje:</w:t>
      </w:r>
    </w:p>
    <w:p w:rsidRPr="00C77E1D" w:rsidR="00E65538" w:rsidP="00E65538" w:rsidRDefault="00E65538" w14:paraId="104874F6" w14:textId="77777777">
      <w:pPr>
        <w:numPr>
          <w:ilvl w:val="0"/>
          <w:numId w:val="12"/>
        </w:numPr>
        <w:suppressAutoHyphens/>
        <w:ind w:left="851" w:hanging="425"/>
      </w:pPr>
      <w:r w:rsidRPr="00C77E1D">
        <w:t>države članice EU, ki imajo koristi od gozdov, naj pripravijo dolgoročne načrte za gozdove;</w:t>
      </w:r>
    </w:p>
    <w:p w:rsidRPr="00C77E1D" w:rsidR="00E65538" w:rsidP="00E65538" w:rsidRDefault="00E65538" w14:paraId="46BBA9FA" w14:textId="77777777">
      <w:pPr>
        <w:numPr>
          <w:ilvl w:val="0"/>
          <w:numId w:val="12"/>
        </w:numPr>
        <w:suppressAutoHyphens/>
        <w:ind w:left="851" w:hanging="425"/>
      </w:pPr>
      <w:r w:rsidRPr="00C77E1D">
        <w:t>v te načrte bi bilo treba vključiti socialne in gospodarske vidike ter upoštevati vrednost, ki jo imajo gozdovi za različne namene, in družbeni vpliv gozdnih skupnosti;</w:t>
      </w:r>
    </w:p>
    <w:p w:rsidRPr="00C77E1D" w:rsidR="00E65538" w:rsidP="00E65538" w:rsidRDefault="00E65538" w14:paraId="2874C6E5" w14:textId="77777777">
      <w:pPr>
        <w:numPr>
          <w:ilvl w:val="0"/>
          <w:numId w:val="12"/>
        </w:numPr>
        <w:suppressAutoHyphens/>
        <w:ind w:left="851" w:hanging="425"/>
        <w:rPr>
          <w:spacing w:val="-4"/>
        </w:rPr>
      </w:pPr>
      <w:r w:rsidRPr="00C77E1D">
        <w:t>v skladu z načelom partnerstva bi morala biti civilna družba vključena v razvoj in – odvisno od razmer v državah članicah – izvajanje načrtov;</w:t>
      </w:r>
    </w:p>
    <w:p w:rsidRPr="00C77E1D" w:rsidR="00E65538" w:rsidP="00E65538" w:rsidRDefault="00E65538" w14:paraId="22FF0853" w14:textId="77777777">
      <w:pPr>
        <w:numPr>
          <w:ilvl w:val="0"/>
          <w:numId w:val="12"/>
        </w:numPr>
        <w:suppressAutoHyphens/>
        <w:ind w:left="851" w:hanging="425"/>
      </w:pPr>
      <w:r w:rsidRPr="00C77E1D">
        <w:t>pripravo, izvajanje in spremljanje dolgoročnih načrtov za gozdove bi bilo treba financirati s sedanjimi in novimi sredstvi EU;</w:t>
      </w:r>
    </w:p>
    <w:p w:rsidRPr="00C77E1D" w:rsidR="00E65538" w:rsidP="00E65538" w:rsidRDefault="00E65538" w14:paraId="2CEF166B" w14:textId="77777777">
      <w:pPr>
        <w:numPr>
          <w:ilvl w:val="0"/>
          <w:numId w:val="12"/>
        </w:numPr>
        <w:suppressAutoHyphens/>
        <w:ind w:left="851" w:hanging="425"/>
      </w:pPr>
      <w:r w:rsidRPr="00C77E1D">
        <w:t>načrti bi morali dopolnjevati druge strategije za gozdove in les;</w:t>
      </w:r>
    </w:p>
    <w:p w:rsidRPr="00C77E1D" w:rsidR="00E65538" w:rsidP="00E65538" w:rsidRDefault="00E65538" w14:paraId="6B3BDE89" w14:textId="77777777">
      <w:pPr>
        <w:numPr>
          <w:ilvl w:val="0"/>
          <w:numId w:val="12"/>
        </w:numPr>
        <w:suppressAutoHyphens/>
        <w:ind w:left="851" w:hanging="425"/>
        <w:rPr>
          <w:spacing w:val="-4"/>
        </w:rPr>
      </w:pPr>
      <w:r w:rsidRPr="00C77E1D">
        <w:t>načrti bi morali biti popolnoma skladni in v sinergiji s cilji trajnostnega razvoja ter prispevati k njim;</w:t>
      </w:r>
    </w:p>
    <w:p w:rsidRPr="00C77E1D" w:rsidR="00E65538" w:rsidP="00E65538" w:rsidRDefault="00E65538" w14:paraId="72D51B89" w14:textId="77777777">
      <w:pPr>
        <w:pStyle w:val="Heading2"/>
        <w:numPr>
          <w:ilvl w:val="0"/>
          <w:numId w:val="28"/>
        </w:numPr>
        <w:suppressAutoHyphens/>
        <w:ind w:left="426" w:hanging="426"/>
      </w:pPr>
      <w:r w:rsidRPr="00C77E1D">
        <w:t>predlaga okrepitev vloge Stalnega odbora za gozdarstvo, tudi z vidika prihodnjega dela na področju monitoringa gozdov. Vanj bi morali biti vključeni ustrezni deležniki civilne družbe in upoštevati bi bilo treba velik pomen gozdov za družbo;</w:t>
      </w:r>
    </w:p>
    <w:p w:rsidRPr="00C77E1D" w:rsidR="00E65538" w:rsidP="00E65538" w:rsidRDefault="00E65538" w14:paraId="748E5B04" w14:textId="77777777">
      <w:pPr>
        <w:pStyle w:val="Heading2"/>
        <w:numPr>
          <w:ilvl w:val="0"/>
          <w:numId w:val="28"/>
        </w:numPr>
        <w:suppressAutoHyphens/>
        <w:ind w:left="426" w:hanging="426"/>
        <w:rPr>
          <w:spacing w:val="-6"/>
        </w:rPr>
      </w:pPr>
      <w:r w:rsidRPr="00C77E1D">
        <w:t>predlaga, naj se upošteva pravo ravnovesje med načelom subsidiarnosti na eni strani ter spoštovanjem nacionalnih pristojnosti in pristojnosti EU, pravic zasebne lastnine in lastništva podatkov na drugi, pri čemer je treba enako pozornost nameniti gospodarskim, socialnim in okoljskim podatkom o gozdovih;</w:t>
      </w:r>
    </w:p>
    <w:p w:rsidRPr="00C77E1D" w:rsidR="00E65538" w:rsidP="00E65538" w:rsidRDefault="00E65538" w14:paraId="14469939" w14:textId="77777777">
      <w:pPr>
        <w:pStyle w:val="Heading2"/>
        <w:numPr>
          <w:ilvl w:val="0"/>
          <w:numId w:val="28"/>
        </w:numPr>
        <w:suppressAutoHyphens/>
        <w:ind w:left="426" w:hanging="426"/>
        <w:rPr>
          <w:spacing w:val="-6"/>
        </w:rPr>
      </w:pPr>
      <w:r w:rsidRPr="00C77E1D">
        <w:t>predlaga, naj se civilna družba vključi v razvoj okvira EU za monitoring gozdov ter naj se zagotovi zadostna preglednost.</w:t>
      </w:r>
    </w:p>
    <w:p w:rsidRPr="00C77E1D" w:rsidR="00E65538" w:rsidP="00E65538" w:rsidRDefault="00E65538" w14:paraId="7370E16B" w14:textId="77777777">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C77E1D" w:rsidR="00E65538" w:rsidTr="00D245F4" w14:paraId="72BE9A0A" w14:textId="77777777">
        <w:tc>
          <w:tcPr>
            <w:tcW w:w="2127" w:type="dxa"/>
          </w:tcPr>
          <w:p w:rsidRPr="00C77E1D" w:rsidR="00E65538" w:rsidP="00D245F4" w:rsidRDefault="00E65538" w14:paraId="4C84AB2C" w14:textId="77777777">
            <w:pPr>
              <w:suppressAutoHyphens/>
              <w:ind w:left="34" w:right="-253"/>
              <w:rPr>
                <w:i/>
              </w:rPr>
            </w:pPr>
            <w:r w:rsidRPr="00C77E1D">
              <w:rPr>
                <w:b/>
                <w:i/>
              </w:rPr>
              <w:t>Kontaktna oseba</w:t>
            </w:r>
          </w:p>
        </w:tc>
        <w:tc>
          <w:tcPr>
            <w:tcW w:w="4961" w:type="dxa"/>
          </w:tcPr>
          <w:p w:rsidRPr="00C77E1D" w:rsidR="00E65538" w:rsidP="00D245F4" w:rsidRDefault="00E65538" w14:paraId="18A7A701" w14:textId="77777777">
            <w:pPr>
              <w:suppressAutoHyphens/>
              <w:ind w:left="30"/>
              <w:rPr>
                <w:i/>
                <w:iCs/>
              </w:rPr>
            </w:pPr>
            <w:r w:rsidRPr="00C77E1D">
              <w:rPr>
                <w:i/>
              </w:rPr>
              <w:t>Arturo IÑIGUEZ</w:t>
            </w:r>
          </w:p>
        </w:tc>
      </w:tr>
      <w:tr w:rsidRPr="00C77E1D" w:rsidR="00E65538" w:rsidTr="00D245F4" w14:paraId="2242550E" w14:textId="77777777">
        <w:tc>
          <w:tcPr>
            <w:tcW w:w="2127" w:type="dxa"/>
          </w:tcPr>
          <w:p w:rsidRPr="00C77E1D" w:rsidR="00E65538" w:rsidP="00D245F4" w:rsidRDefault="00E65538" w14:paraId="1528792E" w14:textId="77777777">
            <w:pPr>
              <w:suppressAutoHyphens/>
              <w:ind w:left="34"/>
              <w:rPr>
                <w:i/>
              </w:rPr>
            </w:pPr>
            <w:r w:rsidRPr="00C77E1D">
              <w:rPr>
                <w:i/>
              </w:rPr>
              <w:t>Telefon</w:t>
            </w:r>
          </w:p>
        </w:tc>
        <w:tc>
          <w:tcPr>
            <w:tcW w:w="4961" w:type="dxa"/>
          </w:tcPr>
          <w:p w:rsidRPr="00C77E1D" w:rsidR="00E65538" w:rsidP="00D245F4" w:rsidRDefault="00E65538" w14:paraId="4CBDA3D1" w14:textId="77777777">
            <w:pPr>
              <w:suppressAutoHyphens/>
              <w:ind w:left="30"/>
              <w:rPr>
                <w:i/>
                <w:iCs/>
              </w:rPr>
            </w:pPr>
            <w:r w:rsidRPr="00C77E1D">
              <w:rPr>
                <w:i/>
              </w:rPr>
              <w:t>+32 25468768</w:t>
            </w:r>
          </w:p>
        </w:tc>
      </w:tr>
      <w:tr w:rsidRPr="00C77E1D" w:rsidR="00E65538" w:rsidTr="00D245F4" w14:paraId="1AA0F453" w14:textId="77777777">
        <w:tc>
          <w:tcPr>
            <w:tcW w:w="2127" w:type="dxa"/>
          </w:tcPr>
          <w:p w:rsidRPr="00C77E1D" w:rsidR="00E65538" w:rsidP="00D245F4" w:rsidRDefault="00E65538" w14:paraId="65C5C28A" w14:textId="77777777">
            <w:pPr>
              <w:suppressAutoHyphens/>
              <w:ind w:left="34"/>
              <w:rPr>
                <w:i/>
              </w:rPr>
            </w:pPr>
            <w:r w:rsidRPr="00C77E1D">
              <w:rPr>
                <w:i/>
              </w:rPr>
              <w:t>E-naslov</w:t>
            </w:r>
          </w:p>
        </w:tc>
        <w:tc>
          <w:tcPr>
            <w:tcW w:w="4961" w:type="dxa"/>
          </w:tcPr>
          <w:p w:rsidRPr="00C77E1D" w:rsidR="00E65538" w:rsidP="00D245F4" w:rsidRDefault="007772B2" w14:paraId="6EC51AC5" w14:textId="77777777">
            <w:pPr>
              <w:suppressAutoHyphens/>
              <w:ind w:left="30"/>
              <w:rPr>
                <w:i/>
                <w:iCs/>
                <w:color w:val="0000FF"/>
                <w:u w:val="single"/>
              </w:rPr>
            </w:pPr>
            <w:hyperlink w:history="1" r:id="rId32">
              <w:r w:rsidRPr="00C77E1D" w:rsidR="00E65538">
                <w:rPr>
                  <w:rStyle w:val="Hyperlink"/>
                  <w:i/>
                </w:rPr>
                <w:t>Arturo.Iniguez@eesc.europa.eu</w:t>
              </w:r>
            </w:hyperlink>
          </w:p>
        </w:tc>
      </w:tr>
    </w:tbl>
    <w:p w:rsidRPr="00C77E1D" w:rsidR="00E20508" w:rsidP="00E65538" w:rsidRDefault="00E20508" w14:paraId="1D826B49" w14:textId="77777777"/>
    <w:p w:rsidRPr="00C77E1D" w:rsidR="00351248" w:rsidP="008D7E5D" w:rsidRDefault="00351248" w14:paraId="0A05F62E" w14:textId="77777777">
      <w:pPr>
        <w:suppressAutoHyphens/>
        <w:jc w:val="left"/>
      </w:pPr>
      <w:r w:rsidRPr="00C77E1D">
        <w:br w:type="page"/>
      </w:r>
    </w:p>
    <w:p w:rsidRPr="00D76F27" w:rsidR="00A32D4C" w:rsidP="00A32D4C" w:rsidRDefault="007772B2" w14:paraId="1B1C38E0" w14:textId="0FB56AD8">
      <w:pPr>
        <w:numPr>
          <w:ilvl w:val="0"/>
          <w:numId w:val="4"/>
        </w:numPr>
        <w:suppressAutoHyphens/>
        <w:overflowPunct w:val="0"/>
        <w:autoSpaceDE w:val="0"/>
        <w:autoSpaceDN w:val="0"/>
        <w:adjustRightInd w:val="0"/>
        <w:ind w:left="567" w:hanging="567"/>
        <w:textAlignment w:val="baseline"/>
        <w:rPr>
          <w:rStyle w:val="Hyperlink"/>
          <w:color w:val="auto"/>
          <w:sz w:val="20"/>
          <w:u w:val="none"/>
        </w:rPr>
      </w:pPr>
      <w:hyperlink w:history="1" r:id="rId33">
        <w:r w:rsidRPr="00D76F27" w:rsidR="00A32D4C">
          <w:rPr>
            <w:rStyle w:val="Hyperlink"/>
            <w:b/>
            <w:i/>
            <w:color w:val="auto"/>
            <w:sz w:val="28"/>
            <w:u w:val="none"/>
          </w:rPr>
          <w:t>Uredba o dobrobiti psov in mačk ter njihovi sledljivosti</w:t>
        </w:r>
      </w:hyperlink>
    </w:p>
    <w:p w:rsidRPr="007E3F11" w:rsidR="00A32D4C" w:rsidP="00A32D4C" w:rsidRDefault="00A32D4C" w14:paraId="24BE9E93" w14:textId="77777777">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6519"/>
      </w:tblGrid>
      <w:tr w:rsidRPr="00C77E1D" w:rsidR="00A32D4C" w:rsidTr="00A32D4C" w14:paraId="43F9D086" w14:textId="77777777">
        <w:tc>
          <w:tcPr>
            <w:tcW w:w="2552" w:type="dxa"/>
          </w:tcPr>
          <w:p w:rsidRPr="00C77E1D" w:rsidR="00A32D4C" w:rsidP="00D245F4" w:rsidRDefault="00A32D4C" w14:paraId="3FD645E5" w14:textId="77777777">
            <w:pPr>
              <w:tabs>
                <w:tab w:val="center" w:pos="284"/>
              </w:tabs>
              <w:suppressAutoHyphens/>
              <w:ind w:left="266" w:hanging="266"/>
              <w:rPr>
                <w:b/>
              </w:rPr>
            </w:pPr>
            <w:r w:rsidRPr="00C77E1D">
              <w:rPr>
                <w:b/>
                <w:bCs/>
              </w:rPr>
              <w:t>Poročevalec</w:t>
            </w:r>
          </w:p>
        </w:tc>
        <w:tc>
          <w:tcPr>
            <w:tcW w:w="6519" w:type="dxa"/>
          </w:tcPr>
          <w:p w:rsidRPr="00C77E1D" w:rsidR="00A32D4C" w:rsidP="00D245F4" w:rsidRDefault="00A32D4C" w14:paraId="1A442987" w14:textId="0A26CBA1">
            <w:pPr>
              <w:tabs>
                <w:tab w:val="center" w:pos="284"/>
              </w:tabs>
              <w:suppressAutoHyphens/>
              <w:ind w:left="266" w:hanging="266"/>
            </w:pPr>
            <w:proofErr w:type="spellStart"/>
            <w:r w:rsidRPr="00C77E1D">
              <w:t>Maciej</w:t>
            </w:r>
            <w:proofErr w:type="spellEnd"/>
            <w:r w:rsidRPr="00C77E1D">
              <w:t xml:space="preserve"> </w:t>
            </w:r>
            <w:proofErr w:type="spellStart"/>
            <w:r w:rsidRPr="00C77E1D">
              <w:t>Dawid</w:t>
            </w:r>
            <w:proofErr w:type="spellEnd"/>
            <w:r w:rsidRPr="00C77E1D">
              <w:t xml:space="preserve"> KUNYSZ (skupina organizacij civilne družbe – PL)</w:t>
            </w:r>
          </w:p>
        </w:tc>
      </w:tr>
      <w:tr w:rsidRPr="00C77E1D" w:rsidR="00A32D4C" w:rsidTr="00A32D4C" w14:paraId="545F45AC" w14:textId="77777777">
        <w:tc>
          <w:tcPr>
            <w:tcW w:w="9071" w:type="dxa"/>
            <w:gridSpan w:val="2"/>
          </w:tcPr>
          <w:p w:rsidRPr="00C77E1D" w:rsidR="00A32D4C" w:rsidP="00D245F4" w:rsidRDefault="00A32D4C" w14:paraId="61C16C29" w14:textId="77777777">
            <w:pPr>
              <w:tabs>
                <w:tab w:val="center" w:pos="284"/>
              </w:tabs>
              <w:suppressAutoHyphens/>
              <w:spacing w:line="240" w:lineRule="auto"/>
              <w:ind w:left="266" w:hanging="266"/>
              <w:rPr>
                <w:sz w:val="16"/>
                <w:szCs w:val="16"/>
              </w:rPr>
            </w:pPr>
          </w:p>
        </w:tc>
      </w:tr>
      <w:tr w:rsidRPr="00C77E1D" w:rsidR="00A32D4C" w:rsidTr="00A32D4C" w14:paraId="7C65FEDF" w14:textId="77777777">
        <w:tc>
          <w:tcPr>
            <w:tcW w:w="2552" w:type="dxa"/>
          </w:tcPr>
          <w:p w:rsidRPr="00C77E1D" w:rsidR="00A32D4C" w:rsidP="00D245F4" w:rsidRDefault="00A32D4C" w14:paraId="6600BD16" w14:textId="754F9C29">
            <w:pPr>
              <w:tabs>
                <w:tab w:val="center" w:pos="284"/>
              </w:tabs>
              <w:suppressAutoHyphens/>
              <w:ind w:left="266" w:hanging="266"/>
              <w:rPr>
                <w:b/>
              </w:rPr>
            </w:pPr>
            <w:r w:rsidRPr="00C77E1D">
              <w:rPr>
                <w:b/>
              </w:rPr>
              <w:t>Referenčna dokumenta</w:t>
            </w:r>
          </w:p>
        </w:tc>
        <w:tc>
          <w:tcPr>
            <w:tcW w:w="6519" w:type="dxa"/>
          </w:tcPr>
          <w:p w:rsidRPr="00C77E1D" w:rsidR="00A32D4C" w:rsidP="00D245F4" w:rsidRDefault="00A32D4C" w14:paraId="792D28BD" w14:textId="6EE8DB90">
            <w:pPr>
              <w:tabs>
                <w:tab w:val="center" w:pos="284"/>
              </w:tabs>
              <w:suppressAutoHyphens/>
              <w:ind w:left="266" w:hanging="266"/>
            </w:pPr>
            <w:r w:rsidRPr="00C77E1D">
              <w:t>COM(2023) 769 final</w:t>
            </w:r>
          </w:p>
          <w:p w:rsidRPr="00C77E1D" w:rsidR="00A32D4C" w:rsidP="00D245F4" w:rsidRDefault="00A32D4C" w14:paraId="4562DA85" w14:textId="0E1C9281">
            <w:pPr>
              <w:tabs>
                <w:tab w:val="center" w:pos="284"/>
              </w:tabs>
              <w:suppressAutoHyphens/>
              <w:ind w:left="266" w:hanging="266"/>
            </w:pPr>
            <w:r w:rsidRPr="00C77E1D">
              <w:t>EESC-2024-00532-00-00-AC</w:t>
            </w:r>
          </w:p>
        </w:tc>
      </w:tr>
    </w:tbl>
    <w:p w:rsidRPr="00C77E1D" w:rsidR="00A32D4C" w:rsidP="00A32D4C" w:rsidRDefault="00A32D4C" w14:paraId="6FEFBA0E" w14:textId="77777777">
      <w:pPr>
        <w:tabs>
          <w:tab w:val="center" w:pos="284"/>
        </w:tabs>
        <w:suppressAutoHyphens/>
        <w:ind w:left="266" w:hanging="266"/>
      </w:pPr>
    </w:p>
    <w:p w:rsidRPr="00C77E1D" w:rsidR="00A32D4C" w:rsidP="00A32D4C" w:rsidRDefault="00A32D4C" w14:paraId="5AC18D77" w14:textId="77777777">
      <w:pPr>
        <w:tabs>
          <w:tab w:val="center" w:pos="284"/>
        </w:tabs>
        <w:suppressAutoHyphens/>
        <w:ind w:left="266" w:hanging="266"/>
        <w:rPr>
          <w:b/>
        </w:rPr>
      </w:pPr>
      <w:r w:rsidRPr="00C77E1D">
        <w:rPr>
          <w:b/>
        </w:rPr>
        <w:t>Glavne točke</w:t>
      </w:r>
    </w:p>
    <w:p w:rsidRPr="00C77E1D" w:rsidR="00A32D4C" w:rsidP="00A32D4C" w:rsidRDefault="00A32D4C" w14:paraId="4E5CFB1A" w14:textId="77777777">
      <w:pPr>
        <w:suppressAutoHyphens/>
        <w:rPr>
          <w:bCs/>
          <w:iCs/>
        </w:rPr>
      </w:pPr>
    </w:p>
    <w:p w:rsidRPr="00C77E1D" w:rsidR="00A32D4C" w:rsidP="00A32D4C" w:rsidRDefault="00A32D4C" w14:paraId="6019EB5C" w14:textId="77777777">
      <w:pPr>
        <w:suppressAutoHyphens/>
      </w:pPr>
      <w:r w:rsidRPr="00C77E1D">
        <w:t>EESO:</w:t>
      </w:r>
    </w:p>
    <w:p w:rsidRPr="00C77E1D" w:rsidR="00A32D4C" w:rsidP="00A32D4C" w:rsidRDefault="00A32D4C" w14:paraId="5D671D3C" w14:textId="77777777">
      <w:pPr>
        <w:suppressAutoHyphens/>
      </w:pPr>
    </w:p>
    <w:p w:rsidRPr="00C77E1D" w:rsidR="00A32D4C" w:rsidP="00A32D4C" w:rsidRDefault="00A32D4C" w14:paraId="57D96774" w14:textId="77777777">
      <w:pPr>
        <w:numPr>
          <w:ilvl w:val="0"/>
          <w:numId w:val="6"/>
        </w:numPr>
        <w:tabs>
          <w:tab w:val="clear" w:pos="720"/>
        </w:tabs>
        <w:suppressAutoHyphens/>
        <w:ind w:left="426" w:hanging="426"/>
        <w:jc w:val="left"/>
      </w:pPr>
      <w:r w:rsidRPr="00C77E1D">
        <w:t>je zadovoljen z ukrepi, ki jih EU sprejema za dobrobit psov in mačk ter njihovo sledljivost;</w:t>
      </w:r>
    </w:p>
    <w:p w:rsidRPr="00C77E1D" w:rsidR="00A32D4C" w:rsidP="00A32D4C" w:rsidRDefault="00A32D4C" w14:paraId="4A62B31E" w14:textId="77777777">
      <w:pPr>
        <w:numPr>
          <w:ilvl w:val="0"/>
          <w:numId w:val="6"/>
        </w:numPr>
        <w:tabs>
          <w:tab w:val="clear" w:pos="720"/>
        </w:tabs>
        <w:suppressAutoHyphens/>
        <w:ind w:left="426" w:hanging="426"/>
        <w:jc w:val="left"/>
      </w:pPr>
      <w:r w:rsidRPr="00C77E1D">
        <w:t>poudarja, da je razvoj sistemov identifikacije in registracije ključen za izboljšanje dobrobiti psov in mačk, saj bodo ti sistemi omogočili lažje sledenje živalim do njihovega izvora in njihovi zdravstveni anamnezi;</w:t>
      </w:r>
    </w:p>
    <w:p w:rsidRPr="00C77E1D" w:rsidR="00A32D4C" w:rsidP="00A32D4C" w:rsidRDefault="00A32D4C" w14:paraId="477E67E8" w14:textId="77777777">
      <w:pPr>
        <w:numPr>
          <w:ilvl w:val="0"/>
          <w:numId w:val="6"/>
        </w:numPr>
        <w:tabs>
          <w:tab w:val="clear" w:pos="720"/>
        </w:tabs>
        <w:suppressAutoHyphens/>
        <w:ind w:left="426" w:hanging="426"/>
        <w:jc w:val="left"/>
      </w:pPr>
      <w:r w:rsidRPr="00C77E1D">
        <w:t>opozarja, da ta ureditev močno vpliva na trg s hišnimi živalmi, saj lahko zviša stroške rejcev in prodajalcev, ki se bodo morali prilagoditi novim zahtevam;</w:t>
      </w:r>
    </w:p>
    <w:p w:rsidRPr="00C77E1D" w:rsidR="00A32D4C" w:rsidP="00A32D4C" w:rsidRDefault="00A32D4C" w14:paraId="5764F93C" w14:textId="77777777">
      <w:pPr>
        <w:numPr>
          <w:ilvl w:val="0"/>
          <w:numId w:val="6"/>
        </w:numPr>
        <w:tabs>
          <w:tab w:val="clear" w:pos="720"/>
        </w:tabs>
        <w:suppressAutoHyphens/>
        <w:ind w:left="426" w:hanging="426"/>
        <w:jc w:val="left"/>
      </w:pPr>
      <w:r w:rsidRPr="00C77E1D">
        <w:t>poziva k minimalnim pravilom o kaznih za kršitve določb iz uredbe;</w:t>
      </w:r>
    </w:p>
    <w:p w:rsidRPr="00C77E1D" w:rsidR="00A32D4C" w:rsidP="00A32D4C" w:rsidRDefault="00A32D4C" w14:paraId="57BA5759" w14:textId="77777777">
      <w:pPr>
        <w:numPr>
          <w:ilvl w:val="0"/>
          <w:numId w:val="6"/>
        </w:numPr>
        <w:tabs>
          <w:tab w:val="clear" w:pos="720"/>
        </w:tabs>
        <w:suppressAutoHyphens/>
        <w:ind w:left="426" w:hanging="426"/>
        <w:jc w:val="left"/>
      </w:pPr>
      <w:r w:rsidRPr="00C77E1D">
        <w:t>priporoča, naj se posebna pozornost nameni podpori in izobraževanju rejcev in prodajalcev, da bi se jim pomagalo pri prilagajanju novim zahtevam;</w:t>
      </w:r>
    </w:p>
    <w:p w:rsidRPr="00C77E1D" w:rsidR="00A32D4C" w:rsidP="00A32D4C" w:rsidRDefault="00A32D4C" w14:paraId="22B5E865" w14:textId="77777777">
      <w:pPr>
        <w:numPr>
          <w:ilvl w:val="0"/>
          <w:numId w:val="6"/>
        </w:numPr>
        <w:tabs>
          <w:tab w:val="clear" w:pos="720"/>
        </w:tabs>
        <w:suppressAutoHyphens/>
        <w:ind w:left="426" w:hanging="426"/>
        <w:jc w:val="left"/>
      </w:pPr>
      <w:r w:rsidRPr="00C77E1D">
        <w:t>poudarja, da je treba okrepiti mednarodno sodelovanje pri izmenjavi informacij in primerov dobre prakse ter pri skupnih operacijah za boj proti nezakoniti trgovini z živalmi;</w:t>
      </w:r>
    </w:p>
    <w:p w:rsidRPr="00C77E1D" w:rsidR="00A32D4C" w:rsidP="00A32D4C" w:rsidRDefault="00A32D4C" w14:paraId="37A13638" w14:textId="77777777">
      <w:pPr>
        <w:numPr>
          <w:ilvl w:val="0"/>
          <w:numId w:val="6"/>
        </w:numPr>
        <w:tabs>
          <w:tab w:val="clear" w:pos="720"/>
        </w:tabs>
        <w:suppressAutoHyphens/>
        <w:ind w:left="426" w:hanging="426"/>
        <w:jc w:val="left"/>
      </w:pPr>
      <w:r w:rsidRPr="00C77E1D">
        <w:t>poudarja, da bo odločilnega pomena poskrbeti za ustrezne vire za sisteme identifikacije in registracije, da bi bili učinkoviti in dostopni za vse zainteresirane strani;</w:t>
      </w:r>
    </w:p>
    <w:p w:rsidRPr="00C77E1D" w:rsidR="00A32D4C" w:rsidP="00A32D4C" w:rsidRDefault="00A32D4C" w14:paraId="3EA9DFC8" w14:textId="77777777">
      <w:pPr>
        <w:numPr>
          <w:ilvl w:val="0"/>
          <w:numId w:val="6"/>
        </w:numPr>
        <w:tabs>
          <w:tab w:val="clear" w:pos="720"/>
        </w:tabs>
        <w:suppressAutoHyphens/>
        <w:ind w:left="426" w:hanging="426"/>
        <w:jc w:val="left"/>
      </w:pPr>
      <w:r w:rsidRPr="00C77E1D">
        <w:t>pozdravlja predlog, katerega cilj je visoka raven dobrobiti vseh psov in mačk v EU ter njihova ustrezna identifikacija in registracija, da jim bo lažje slediti ter preprečevati tihotapljenje.</w:t>
      </w:r>
    </w:p>
    <w:p w:rsidRPr="00C77E1D" w:rsidR="00A32D4C" w:rsidP="00A32D4C" w:rsidRDefault="00A32D4C" w14:paraId="15FAC28B" w14:textId="77777777">
      <w:pPr>
        <w:suppressAutoHyphens/>
        <w:outlineLvl w:val="1"/>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6520"/>
      </w:tblGrid>
      <w:tr w:rsidRPr="00C77E1D" w:rsidR="00A32D4C" w:rsidTr="00D245F4" w14:paraId="64205BC7" w14:textId="77777777">
        <w:tc>
          <w:tcPr>
            <w:tcW w:w="2093" w:type="dxa"/>
          </w:tcPr>
          <w:p w:rsidRPr="00C77E1D" w:rsidR="00A32D4C" w:rsidP="00D245F4" w:rsidRDefault="00A32D4C" w14:paraId="5005FB87" w14:textId="77777777">
            <w:pPr>
              <w:suppressAutoHyphens/>
              <w:rPr>
                <w:i/>
              </w:rPr>
            </w:pPr>
            <w:r w:rsidRPr="00C77E1D">
              <w:rPr>
                <w:b/>
                <w:i/>
              </w:rPr>
              <w:t>Kontaktna oseba</w:t>
            </w:r>
          </w:p>
        </w:tc>
        <w:tc>
          <w:tcPr>
            <w:tcW w:w="6520" w:type="dxa"/>
          </w:tcPr>
          <w:p w:rsidRPr="00C77E1D" w:rsidR="00A32D4C" w:rsidP="00D245F4" w:rsidRDefault="00A32D4C" w14:paraId="108F4A41" w14:textId="77777777">
            <w:pPr>
              <w:suppressAutoHyphens/>
              <w:rPr>
                <w:i/>
              </w:rPr>
            </w:pPr>
            <w:r w:rsidRPr="00C77E1D">
              <w:rPr>
                <w:i/>
              </w:rPr>
              <w:t>Arturo INIGUEZ</w:t>
            </w:r>
          </w:p>
        </w:tc>
      </w:tr>
      <w:tr w:rsidRPr="00C77E1D" w:rsidR="00A32D4C" w:rsidTr="00D245F4" w14:paraId="1A422A93" w14:textId="77777777">
        <w:tc>
          <w:tcPr>
            <w:tcW w:w="2093" w:type="dxa"/>
          </w:tcPr>
          <w:p w:rsidRPr="00C77E1D" w:rsidR="00A32D4C" w:rsidP="00D245F4" w:rsidRDefault="00A32D4C" w14:paraId="486DDC06" w14:textId="77777777">
            <w:pPr>
              <w:suppressAutoHyphens/>
              <w:rPr>
                <w:i/>
              </w:rPr>
            </w:pPr>
            <w:r w:rsidRPr="00C77E1D">
              <w:rPr>
                <w:i/>
              </w:rPr>
              <w:t>Telefon</w:t>
            </w:r>
          </w:p>
        </w:tc>
        <w:tc>
          <w:tcPr>
            <w:tcW w:w="6520" w:type="dxa"/>
          </w:tcPr>
          <w:p w:rsidRPr="00C77E1D" w:rsidR="00A32D4C" w:rsidP="00D245F4" w:rsidRDefault="00A32D4C" w14:paraId="399EC040" w14:textId="77777777">
            <w:pPr>
              <w:suppressAutoHyphens/>
              <w:rPr>
                <w:i/>
              </w:rPr>
            </w:pPr>
            <w:r w:rsidRPr="00C77E1D">
              <w:rPr>
                <w:i/>
              </w:rPr>
              <w:t>+32 25468768</w:t>
            </w:r>
          </w:p>
        </w:tc>
      </w:tr>
      <w:tr w:rsidRPr="00C77E1D" w:rsidR="00A32D4C" w:rsidTr="00D245F4" w14:paraId="7AD7E78E" w14:textId="77777777">
        <w:tc>
          <w:tcPr>
            <w:tcW w:w="2093" w:type="dxa"/>
          </w:tcPr>
          <w:p w:rsidRPr="00C77E1D" w:rsidR="00A32D4C" w:rsidP="00D245F4" w:rsidRDefault="00A32D4C" w14:paraId="7767FC47" w14:textId="77777777">
            <w:pPr>
              <w:suppressAutoHyphens/>
              <w:rPr>
                <w:i/>
              </w:rPr>
            </w:pPr>
            <w:r w:rsidRPr="00C77E1D">
              <w:rPr>
                <w:i/>
              </w:rPr>
              <w:t>E-naslov</w:t>
            </w:r>
          </w:p>
        </w:tc>
        <w:tc>
          <w:tcPr>
            <w:tcW w:w="6520" w:type="dxa"/>
          </w:tcPr>
          <w:p w:rsidRPr="00C77E1D" w:rsidR="00A32D4C" w:rsidP="00D245F4" w:rsidRDefault="007772B2" w14:paraId="6B461671" w14:textId="77777777">
            <w:pPr>
              <w:suppressAutoHyphens/>
              <w:contextualSpacing/>
              <w:jc w:val="left"/>
              <w:outlineLvl w:val="1"/>
              <w:rPr>
                <w:rFonts w:ascii="Calibri" w:hAnsi="Calibri"/>
              </w:rPr>
            </w:pPr>
            <w:hyperlink w:history="1" r:id="rId34">
              <w:r w:rsidRPr="00C77E1D" w:rsidR="00A32D4C">
                <w:rPr>
                  <w:rStyle w:val="Hyperlink"/>
                  <w:i/>
                </w:rPr>
                <w:t>Arturo.Iniguez@eesc.europa.eu</w:t>
              </w:r>
            </w:hyperlink>
          </w:p>
        </w:tc>
      </w:tr>
    </w:tbl>
    <w:p w:rsidRPr="00C77E1D" w:rsidR="00A32D4C" w:rsidP="008D7E5D" w:rsidRDefault="00A32D4C" w14:paraId="03E8C3FF" w14:textId="77777777">
      <w:pPr>
        <w:suppressAutoHyphens/>
        <w:jc w:val="left"/>
      </w:pPr>
    </w:p>
    <w:p w:rsidRPr="00C77E1D" w:rsidR="00351248" w:rsidP="008D7E5D" w:rsidRDefault="00351248" w14:paraId="7D717691" w14:textId="50A2782A">
      <w:pPr>
        <w:suppressAutoHyphens/>
        <w:jc w:val="left"/>
        <w:rPr>
          <w:i/>
          <w:iCs/>
        </w:rPr>
      </w:pPr>
      <w:r w:rsidRPr="00C77E1D">
        <w:br w:type="page"/>
      </w:r>
    </w:p>
    <w:p w:rsidRPr="00C77E1D" w:rsidR="00E110D0" w:rsidP="008D7E5D" w:rsidRDefault="00E75EB1" w14:paraId="268D0B18" w14:textId="2B379F25">
      <w:pPr>
        <w:pStyle w:val="Heading1"/>
        <w:suppressAutoHyphens/>
        <w:spacing w:before="0"/>
        <w:ind w:hanging="928"/>
        <w:rPr>
          <w:b/>
          <w:bCs/>
        </w:rPr>
      </w:pPr>
      <w:bookmarkStart w:name="_Toc162435207" w:id="7"/>
      <w:bookmarkStart w:name="_Toc162435208" w:id="8"/>
      <w:bookmarkStart w:name="_Toc24617160" w:id="9"/>
      <w:bookmarkStart w:name="_Toc75527082" w:id="10"/>
      <w:bookmarkStart w:name="_Toc121123662" w:id="11"/>
      <w:bookmarkStart w:name="_Toc163653648" w:id="12"/>
      <w:bookmarkEnd w:id="7"/>
      <w:bookmarkEnd w:id="8"/>
      <w:r>
        <w:rPr>
          <w:b/>
        </w:rPr>
        <w:lastRenderedPageBreak/>
        <w:t>PROMET, ENERGIJA, INFRASTRUKTURA IN INFORMACIJSKA DRUŽBA</w:t>
      </w:r>
      <w:bookmarkEnd w:id="9"/>
      <w:bookmarkEnd w:id="10"/>
      <w:bookmarkEnd w:id="11"/>
      <w:bookmarkEnd w:id="12"/>
    </w:p>
    <w:p w:rsidRPr="00C77E1D" w:rsidR="0045690D" w:rsidP="008D7E5D" w:rsidRDefault="0045690D" w14:paraId="4F161A92" w14:textId="77777777">
      <w:pPr>
        <w:suppressAutoHyphens/>
      </w:pPr>
    </w:p>
    <w:p w:rsidRPr="00D76F27" w:rsidR="00A32D4C" w:rsidP="00A32D4C" w:rsidRDefault="007772B2" w14:paraId="4C9880AB" w14:textId="110DF3F4">
      <w:pPr>
        <w:numPr>
          <w:ilvl w:val="0"/>
          <w:numId w:val="25"/>
        </w:numPr>
        <w:suppressAutoHyphens/>
        <w:overflowPunct w:val="0"/>
        <w:autoSpaceDE w:val="0"/>
        <w:autoSpaceDN w:val="0"/>
        <w:adjustRightInd w:val="0"/>
        <w:ind w:left="426" w:hanging="426"/>
        <w:textAlignment w:val="baseline"/>
        <w:rPr>
          <w:rStyle w:val="Hyperlink"/>
          <w:b/>
          <w:color w:val="auto"/>
          <w:sz w:val="28"/>
          <w:szCs w:val="28"/>
          <w:u w:val="none"/>
        </w:rPr>
      </w:pPr>
      <w:hyperlink w:history="1" r:id="rId35">
        <w:r w:rsidRPr="00D76F27" w:rsidR="00A32D4C">
          <w:rPr>
            <w:rStyle w:val="Hyperlink"/>
            <w:b/>
            <w:i/>
            <w:color w:val="auto"/>
            <w:sz w:val="28"/>
            <w:szCs w:val="28"/>
            <w:u w:val="none"/>
          </w:rPr>
          <w:t>Pregled okvira pravic potnikov</w:t>
        </w:r>
      </w:hyperlink>
    </w:p>
    <w:p w:rsidRPr="00C77E1D" w:rsidR="00A32D4C" w:rsidP="00A32D4C" w:rsidRDefault="00A32D4C" w14:paraId="118D0E45" w14:textId="77777777">
      <w:pPr>
        <w:suppressAutoHyphens/>
        <w:rPr>
          <w:bCs/>
        </w:rPr>
      </w:pPr>
    </w:p>
    <w:tbl>
      <w:tblPr>
        <w:tblStyle w:val="TableGrid"/>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6"/>
        <w:gridCol w:w="6946"/>
      </w:tblGrid>
      <w:tr w:rsidRPr="00C77E1D" w:rsidR="00A32D4C" w:rsidTr="00D245F4" w14:paraId="7B025787" w14:textId="77777777">
        <w:tc>
          <w:tcPr>
            <w:tcW w:w="2376" w:type="dxa"/>
          </w:tcPr>
          <w:p w:rsidRPr="00C77E1D" w:rsidR="00A32D4C" w:rsidP="00D245F4" w:rsidRDefault="00A32D4C" w14:paraId="6B6920FD" w14:textId="77777777">
            <w:pPr>
              <w:tabs>
                <w:tab w:val="center" w:pos="284"/>
              </w:tabs>
              <w:suppressAutoHyphens/>
              <w:ind w:left="266" w:hanging="266"/>
              <w:rPr>
                <w:b/>
              </w:rPr>
            </w:pPr>
            <w:r w:rsidRPr="00C77E1D">
              <w:rPr>
                <w:b/>
              </w:rPr>
              <w:t>Poročevalka</w:t>
            </w:r>
          </w:p>
        </w:tc>
        <w:tc>
          <w:tcPr>
            <w:tcW w:w="6946" w:type="dxa"/>
          </w:tcPr>
          <w:p w:rsidRPr="00C77E1D" w:rsidR="00A32D4C" w:rsidP="00D245F4" w:rsidRDefault="00A32D4C" w14:paraId="3B238565" w14:textId="77777777">
            <w:pPr>
              <w:tabs>
                <w:tab w:val="center" w:pos="284"/>
              </w:tabs>
              <w:suppressAutoHyphens/>
              <w:ind w:left="266" w:hanging="266"/>
            </w:pPr>
            <w:proofErr w:type="spellStart"/>
            <w:r w:rsidRPr="00C77E1D">
              <w:t>Ileana</w:t>
            </w:r>
            <w:proofErr w:type="spellEnd"/>
            <w:r w:rsidRPr="00C77E1D">
              <w:t xml:space="preserve"> IZVERNICEANU DE LA IGLESIA</w:t>
            </w:r>
          </w:p>
          <w:p w:rsidRPr="00C77E1D" w:rsidR="00A32D4C" w:rsidP="00D245F4" w:rsidRDefault="00A32D4C" w14:paraId="5CC1345A" w14:textId="77777777">
            <w:pPr>
              <w:tabs>
                <w:tab w:val="center" w:pos="284"/>
              </w:tabs>
              <w:suppressAutoHyphens/>
              <w:ind w:left="266" w:hanging="266"/>
            </w:pPr>
            <w:r w:rsidRPr="00C77E1D">
              <w:t>(skupina organizacij civilne družbe – ES)</w:t>
            </w:r>
          </w:p>
        </w:tc>
      </w:tr>
      <w:tr w:rsidRPr="00C77E1D" w:rsidR="00A32D4C" w:rsidTr="00D245F4" w14:paraId="1D74BB34" w14:textId="77777777">
        <w:tc>
          <w:tcPr>
            <w:tcW w:w="9322" w:type="dxa"/>
            <w:gridSpan w:val="2"/>
          </w:tcPr>
          <w:p w:rsidRPr="00C77E1D" w:rsidR="00A32D4C" w:rsidP="00D245F4" w:rsidRDefault="00A32D4C" w14:paraId="23E4D965" w14:textId="77777777">
            <w:pPr>
              <w:tabs>
                <w:tab w:val="center" w:pos="284"/>
              </w:tabs>
              <w:suppressAutoHyphens/>
              <w:spacing w:line="240" w:lineRule="auto"/>
              <w:ind w:left="266" w:hanging="266"/>
              <w:rPr>
                <w:sz w:val="16"/>
                <w:szCs w:val="16"/>
              </w:rPr>
            </w:pPr>
          </w:p>
        </w:tc>
      </w:tr>
      <w:tr w:rsidRPr="00C77E1D" w:rsidR="00A32D4C" w:rsidTr="00D245F4" w14:paraId="696A36D4" w14:textId="77777777">
        <w:trPr>
          <w:trHeight w:val="70"/>
        </w:trPr>
        <w:tc>
          <w:tcPr>
            <w:tcW w:w="2376" w:type="dxa"/>
          </w:tcPr>
          <w:p w:rsidRPr="00C77E1D" w:rsidR="00A32D4C" w:rsidP="00D245F4" w:rsidRDefault="00A32D4C" w14:paraId="223E869F" w14:textId="77777777">
            <w:pPr>
              <w:tabs>
                <w:tab w:val="center" w:pos="284"/>
              </w:tabs>
              <w:suppressAutoHyphens/>
              <w:ind w:left="266" w:hanging="266"/>
              <w:rPr>
                <w:b/>
              </w:rPr>
            </w:pPr>
            <w:r w:rsidRPr="00C77E1D">
              <w:rPr>
                <w:b/>
              </w:rPr>
              <w:t>Referenčni dokumenti</w:t>
            </w:r>
          </w:p>
        </w:tc>
        <w:tc>
          <w:tcPr>
            <w:tcW w:w="6946" w:type="dxa"/>
          </w:tcPr>
          <w:p w:rsidRPr="00C77E1D" w:rsidR="00A32D4C" w:rsidP="00D245F4" w:rsidRDefault="00A32D4C" w14:paraId="341D9C39" w14:textId="77777777">
            <w:pPr>
              <w:tabs>
                <w:tab w:val="center" w:pos="284"/>
              </w:tabs>
              <w:suppressAutoHyphens/>
              <w:ind w:left="266" w:hanging="266"/>
            </w:pPr>
            <w:r w:rsidRPr="00C77E1D">
              <w:t>COM(2023) 753 final,</w:t>
            </w:r>
          </w:p>
          <w:p w:rsidRPr="00C77E1D" w:rsidR="00A32D4C" w:rsidP="00D245F4" w:rsidRDefault="00A32D4C" w14:paraId="51D818E3" w14:textId="77777777">
            <w:pPr>
              <w:tabs>
                <w:tab w:val="center" w:pos="284"/>
              </w:tabs>
              <w:suppressAutoHyphens/>
              <w:ind w:left="266" w:hanging="266"/>
            </w:pPr>
            <w:r w:rsidRPr="00C77E1D">
              <w:t>COM(2023) 752 final,</w:t>
            </w:r>
          </w:p>
          <w:p w:rsidRPr="00C77E1D" w:rsidR="00A32D4C" w:rsidP="00D245F4" w:rsidRDefault="00A32D4C" w14:paraId="53BF353D" w14:textId="4AFC7317">
            <w:pPr>
              <w:tabs>
                <w:tab w:val="center" w:pos="284"/>
              </w:tabs>
              <w:suppressAutoHyphens/>
              <w:ind w:left="266" w:hanging="266"/>
            </w:pPr>
            <w:r w:rsidRPr="00C77E1D">
              <w:t>EESC-2023-05130-00-00-AC</w:t>
            </w:r>
          </w:p>
        </w:tc>
      </w:tr>
    </w:tbl>
    <w:p w:rsidRPr="00C77E1D" w:rsidR="00A32D4C" w:rsidP="00A32D4C" w:rsidRDefault="00A32D4C" w14:paraId="2AC662C5" w14:textId="77777777">
      <w:pPr>
        <w:tabs>
          <w:tab w:val="center" w:pos="284"/>
        </w:tabs>
        <w:suppressAutoHyphens/>
        <w:ind w:left="266" w:hanging="266"/>
      </w:pPr>
    </w:p>
    <w:p w:rsidRPr="00C77E1D" w:rsidR="00A32D4C" w:rsidP="00A32D4C" w:rsidRDefault="00A32D4C" w14:paraId="17C7EDCB" w14:textId="77777777">
      <w:pPr>
        <w:tabs>
          <w:tab w:val="center" w:pos="284"/>
        </w:tabs>
        <w:suppressAutoHyphens/>
        <w:ind w:left="266" w:hanging="266"/>
        <w:rPr>
          <w:b/>
        </w:rPr>
      </w:pPr>
      <w:r w:rsidRPr="00C77E1D">
        <w:rPr>
          <w:b/>
        </w:rPr>
        <w:t>Glavne točke</w:t>
      </w:r>
    </w:p>
    <w:p w:rsidRPr="00C77E1D" w:rsidR="00A32D4C" w:rsidP="00A32D4C" w:rsidRDefault="00A32D4C" w14:paraId="6BFA507F" w14:textId="77777777">
      <w:pPr>
        <w:tabs>
          <w:tab w:val="center" w:pos="284"/>
        </w:tabs>
        <w:suppressAutoHyphens/>
        <w:ind w:left="266" w:hanging="266"/>
        <w:rPr>
          <w:bCs/>
        </w:rPr>
      </w:pPr>
    </w:p>
    <w:p w:rsidRPr="00C77E1D" w:rsidR="00A32D4C" w:rsidP="00A32D4C" w:rsidRDefault="00A32D4C" w14:paraId="7CEF0A79" w14:textId="77777777">
      <w:pPr>
        <w:suppressAutoHyphens/>
        <w:rPr>
          <w:bCs/>
          <w:iCs/>
        </w:rPr>
      </w:pPr>
      <w:r w:rsidRPr="00C77E1D">
        <w:t>EESO:</w:t>
      </w:r>
    </w:p>
    <w:p w:rsidRPr="00C77E1D" w:rsidR="00A32D4C" w:rsidP="00A32D4C" w:rsidRDefault="00A32D4C" w14:paraId="7971CB59" w14:textId="77777777">
      <w:pPr>
        <w:suppressAutoHyphens/>
        <w:rPr>
          <w:bCs/>
          <w:iCs/>
        </w:rPr>
      </w:pPr>
    </w:p>
    <w:p w:rsidRPr="00C77E1D" w:rsidR="00A32D4C" w:rsidP="00A32D4C" w:rsidRDefault="00A32D4C" w14:paraId="1D931E3A" w14:textId="77777777">
      <w:pPr>
        <w:numPr>
          <w:ilvl w:val="0"/>
          <w:numId w:val="25"/>
        </w:numPr>
        <w:suppressAutoHyphens/>
        <w:overflowPunct w:val="0"/>
        <w:autoSpaceDE w:val="0"/>
        <w:autoSpaceDN w:val="0"/>
        <w:adjustRightInd w:val="0"/>
        <w:ind w:left="426" w:hanging="426"/>
        <w:textAlignment w:val="baseline"/>
        <w:rPr>
          <w:bCs/>
          <w:iCs/>
        </w:rPr>
      </w:pPr>
      <w:r w:rsidRPr="00C77E1D">
        <w:t xml:space="preserve">podpira novo uredbo, ki jo je predlagala Komisija in katere namen je izboljšanje pravic in boljše obveščanje potnikov. Njeni različni deli (paketna potovanja, pravice potnikov in </w:t>
      </w:r>
      <w:proofErr w:type="spellStart"/>
      <w:r w:rsidRPr="00C77E1D">
        <w:t>multimodalna</w:t>
      </w:r>
      <w:proofErr w:type="spellEnd"/>
      <w:r w:rsidRPr="00C77E1D">
        <w:t xml:space="preserve"> potovanja) se medsebojno dopolnjujejo;</w:t>
      </w:r>
    </w:p>
    <w:p w:rsidRPr="00C77E1D" w:rsidR="00A32D4C" w:rsidP="00A32D4C" w:rsidRDefault="00A32D4C" w14:paraId="2FFB6B84" w14:textId="77777777">
      <w:pPr>
        <w:numPr>
          <w:ilvl w:val="0"/>
          <w:numId w:val="25"/>
        </w:numPr>
        <w:suppressAutoHyphens/>
        <w:overflowPunct w:val="0"/>
        <w:autoSpaceDE w:val="0"/>
        <w:autoSpaceDN w:val="0"/>
        <w:adjustRightInd w:val="0"/>
        <w:ind w:left="426" w:hanging="426"/>
        <w:textAlignment w:val="baseline"/>
        <w:rPr>
          <w:bCs/>
          <w:iCs/>
        </w:rPr>
      </w:pPr>
      <w:r w:rsidRPr="00C77E1D">
        <w:t>je zaskrbljen, ker državljani tako slabo poznajo svoje pravice in imajo velike težave pri njihovem uveljavljanju, zato meni, da so informacije najbolj koristno in učinkovito orodje, da se potniki seznanijo s temi pravicami in jih v primeru kršitev tudi lahko uveljavljajo;</w:t>
      </w:r>
    </w:p>
    <w:p w:rsidRPr="00C77E1D" w:rsidR="00A32D4C" w:rsidP="00A32D4C" w:rsidRDefault="00A32D4C" w14:paraId="5B5875A0" w14:textId="77777777">
      <w:pPr>
        <w:numPr>
          <w:ilvl w:val="0"/>
          <w:numId w:val="25"/>
        </w:numPr>
        <w:suppressAutoHyphens/>
        <w:overflowPunct w:val="0"/>
        <w:autoSpaceDE w:val="0"/>
        <w:autoSpaceDN w:val="0"/>
        <w:adjustRightInd w:val="0"/>
        <w:ind w:left="426" w:hanging="426"/>
        <w:textAlignment w:val="baseline"/>
        <w:rPr>
          <w:bCs/>
          <w:iCs/>
        </w:rPr>
      </w:pPr>
      <w:r w:rsidRPr="00C77E1D">
        <w:t>priporoča Komisiji, naj poskrbi, da bodo ponudniki turističnih storitev dajali izčrpne in kakovostne informacije, ki bodo dostopne in posredovane osebno, tudi če jih je mogoče pridobiti na druge načine, na primer na spletu.</w:t>
      </w:r>
    </w:p>
    <w:p w:rsidRPr="00C77E1D" w:rsidR="00A32D4C" w:rsidP="00A32D4C" w:rsidRDefault="00A32D4C" w14:paraId="6BA570AF" w14:textId="77777777"/>
    <w:tbl>
      <w:tblPr>
        <w:tblStyle w:val="TableGrid"/>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7371"/>
      </w:tblGrid>
      <w:tr w:rsidRPr="00C77E1D" w:rsidR="00A32D4C" w:rsidTr="00D245F4" w14:paraId="7AA9C772" w14:textId="77777777">
        <w:tc>
          <w:tcPr>
            <w:tcW w:w="1951" w:type="dxa"/>
          </w:tcPr>
          <w:p w:rsidRPr="00C77E1D" w:rsidR="00A32D4C" w:rsidP="00D245F4" w:rsidRDefault="00A32D4C" w14:paraId="44E0E98D" w14:textId="77777777">
            <w:pPr>
              <w:suppressAutoHyphens/>
              <w:rPr>
                <w:i/>
              </w:rPr>
            </w:pPr>
            <w:r w:rsidRPr="00C77E1D">
              <w:rPr>
                <w:b/>
                <w:i/>
              </w:rPr>
              <w:t>Kontaktna oseba</w:t>
            </w:r>
          </w:p>
        </w:tc>
        <w:tc>
          <w:tcPr>
            <w:tcW w:w="7371" w:type="dxa"/>
          </w:tcPr>
          <w:p w:rsidRPr="00C77E1D" w:rsidR="00A32D4C" w:rsidP="00D245F4" w:rsidRDefault="00A32D4C" w14:paraId="036CA95B" w14:textId="77777777">
            <w:pPr>
              <w:suppressAutoHyphens/>
              <w:rPr>
                <w:i/>
              </w:rPr>
            </w:pPr>
            <w:r w:rsidRPr="00C77E1D">
              <w:rPr>
                <w:i/>
              </w:rPr>
              <w:t>António RIBEIRO PEREIRA</w:t>
            </w:r>
          </w:p>
        </w:tc>
      </w:tr>
      <w:tr w:rsidRPr="00C77E1D" w:rsidR="00A32D4C" w:rsidTr="00D245F4" w14:paraId="60549D63" w14:textId="77777777">
        <w:tc>
          <w:tcPr>
            <w:tcW w:w="1951" w:type="dxa"/>
          </w:tcPr>
          <w:p w:rsidRPr="00C77E1D" w:rsidR="00A32D4C" w:rsidP="00D245F4" w:rsidRDefault="00A32D4C" w14:paraId="5E5553E1" w14:textId="77777777">
            <w:pPr>
              <w:suppressAutoHyphens/>
              <w:rPr>
                <w:i/>
              </w:rPr>
            </w:pPr>
            <w:r w:rsidRPr="00C77E1D">
              <w:rPr>
                <w:i/>
              </w:rPr>
              <w:t>Telefon</w:t>
            </w:r>
          </w:p>
        </w:tc>
        <w:tc>
          <w:tcPr>
            <w:tcW w:w="7371" w:type="dxa"/>
          </w:tcPr>
          <w:p w:rsidRPr="00C77E1D" w:rsidR="00A32D4C" w:rsidP="00D245F4" w:rsidRDefault="00A32D4C" w14:paraId="0A7FB522" w14:textId="77777777">
            <w:pPr>
              <w:suppressAutoHyphens/>
              <w:rPr>
                <w:i/>
              </w:rPr>
            </w:pPr>
            <w:r w:rsidRPr="00C77E1D">
              <w:rPr>
                <w:i/>
              </w:rPr>
              <w:t>+32 25469363</w:t>
            </w:r>
          </w:p>
        </w:tc>
      </w:tr>
      <w:tr w:rsidRPr="00C77E1D" w:rsidR="00A32D4C" w:rsidTr="00D245F4" w14:paraId="2176D88E" w14:textId="77777777">
        <w:tc>
          <w:tcPr>
            <w:tcW w:w="1951" w:type="dxa"/>
          </w:tcPr>
          <w:p w:rsidRPr="00C77E1D" w:rsidR="00A32D4C" w:rsidP="00D245F4" w:rsidRDefault="00A32D4C" w14:paraId="2926B61C" w14:textId="77777777">
            <w:pPr>
              <w:suppressAutoHyphens/>
              <w:rPr>
                <w:i/>
              </w:rPr>
            </w:pPr>
            <w:r w:rsidRPr="00C77E1D">
              <w:rPr>
                <w:i/>
              </w:rPr>
              <w:t>E-naslov</w:t>
            </w:r>
          </w:p>
        </w:tc>
        <w:tc>
          <w:tcPr>
            <w:tcW w:w="7371" w:type="dxa"/>
          </w:tcPr>
          <w:p w:rsidRPr="00C77E1D" w:rsidR="00A32D4C" w:rsidP="00D245F4" w:rsidRDefault="007772B2" w14:paraId="4D250D2A" w14:textId="77777777">
            <w:pPr>
              <w:suppressAutoHyphens/>
              <w:rPr>
                <w:i/>
              </w:rPr>
            </w:pPr>
            <w:hyperlink w:history="1" r:id="rId36">
              <w:r w:rsidRPr="00C77E1D" w:rsidR="00A32D4C">
                <w:rPr>
                  <w:rStyle w:val="Hyperlink"/>
                  <w:i/>
                </w:rPr>
                <w:t>Antonio.RibeiroPereira@eesc.europa.eu</w:t>
              </w:r>
            </w:hyperlink>
          </w:p>
        </w:tc>
      </w:tr>
    </w:tbl>
    <w:p w:rsidRPr="00C77E1D" w:rsidR="00A32D4C" w:rsidP="00A32D4C" w:rsidRDefault="00A32D4C" w14:paraId="675E8052" w14:textId="77777777"/>
    <w:p w:rsidRPr="00C77E1D" w:rsidR="00351248" w:rsidP="008D7E5D" w:rsidRDefault="00351248" w14:paraId="710AFAC9" w14:textId="77777777">
      <w:pPr>
        <w:suppressAutoHyphens/>
        <w:jc w:val="left"/>
      </w:pPr>
      <w:r w:rsidRPr="00C77E1D">
        <w:br w:type="page"/>
      </w:r>
    </w:p>
    <w:p w:rsidRPr="00D76F27" w:rsidR="00A32D4C" w:rsidP="00A32D4C" w:rsidRDefault="007772B2" w14:paraId="0F14E603" w14:textId="404ECDA1">
      <w:pPr>
        <w:numPr>
          <w:ilvl w:val="0"/>
          <w:numId w:val="29"/>
        </w:numPr>
        <w:tabs>
          <w:tab w:val="clear" w:pos="0"/>
        </w:tabs>
        <w:overflowPunct w:val="0"/>
        <w:autoSpaceDE w:val="0"/>
        <w:autoSpaceDN w:val="0"/>
        <w:adjustRightInd w:val="0"/>
        <w:spacing w:line="274" w:lineRule="auto"/>
        <w:ind w:left="567" w:hanging="567"/>
        <w:textAlignment w:val="baseline"/>
        <w:rPr>
          <w:sz w:val="28"/>
        </w:rPr>
      </w:pPr>
      <w:hyperlink w:history="1" r:id="rId37">
        <w:r w:rsidRPr="00D76F27" w:rsidR="00A32D4C">
          <w:rPr>
            <w:rStyle w:val="Hyperlink"/>
            <w:b/>
            <w:bCs/>
            <w:i/>
            <w:iCs/>
            <w:color w:val="auto"/>
            <w:sz w:val="28"/>
            <w:szCs w:val="28"/>
            <w:u w:val="none"/>
          </w:rPr>
          <w:t>Sveženj o vetrni energiji</w:t>
        </w:r>
      </w:hyperlink>
    </w:p>
    <w:p w:rsidRPr="00C77E1D" w:rsidR="00A32D4C" w:rsidP="00A32D4C" w:rsidRDefault="00A32D4C" w14:paraId="2FC8C460" w14:textId="77777777">
      <w:pPr>
        <w:spacing w:line="274" w:lineRule="auto"/>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09"/>
        <w:gridCol w:w="6662"/>
      </w:tblGrid>
      <w:tr w:rsidRPr="00C77E1D" w:rsidR="00A32D4C" w:rsidTr="00E50FF3" w14:paraId="69932537" w14:textId="77777777">
        <w:tc>
          <w:tcPr>
            <w:tcW w:w="1328" w:type="pct"/>
          </w:tcPr>
          <w:p w:rsidRPr="00C77E1D" w:rsidR="00A32D4C" w:rsidP="00D245F4" w:rsidRDefault="00A32D4C" w14:paraId="4422750F" w14:textId="77777777">
            <w:pPr>
              <w:spacing w:line="274" w:lineRule="auto"/>
              <w:rPr>
                <w:b/>
              </w:rPr>
            </w:pPr>
            <w:r w:rsidRPr="00C77E1D">
              <w:rPr>
                <w:b/>
              </w:rPr>
              <w:t>Poročevalec</w:t>
            </w:r>
          </w:p>
        </w:tc>
        <w:tc>
          <w:tcPr>
            <w:tcW w:w="3672" w:type="pct"/>
          </w:tcPr>
          <w:p w:rsidRPr="00C77E1D" w:rsidR="00A32D4C" w:rsidP="00D245F4" w:rsidRDefault="00A32D4C" w14:paraId="78F1A6A6" w14:textId="77777777">
            <w:pPr>
              <w:spacing w:line="274" w:lineRule="auto"/>
            </w:pPr>
            <w:r w:rsidRPr="00C77E1D">
              <w:t>Thomas KATTNIG (skupina delojemalcev – AT)</w:t>
            </w:r>
          </w:p>
        </w:tc>
      </w:tr>
      <w:tr w:rsidRPr="00C77E1D" w:rsidR="00A32D4C" w:rsidTr="00D245F4" w14:paraId="369FA060" w14:textId="77777777">
        <w:tc>
          <w:tcPr>
            <w:tcW w:w="5000" w:type="pct"/>
            <w:gridSpan w:val="2"/>
          </w:tcPr>
          <w:p w:rsidRPr="00C77E1D" w:rsidR="00A32D4C" w:rsidP="00D245F4" w:rsidRDefault="00A32D4C" w14:paraId="4D079302" w14:textId="77777777">
            <w:pPr>
              <w:spacing w:line="274" w:lineRule="auto"/>
              <w:rPr>
                <w:sz w:val="16"/>
              </w:rPr>
            </w:pPr>
          </w:p>
        </w:tc>
      </w:tr>
      <w:tr w:rsidRPr="00C77E1D" w:rsidR="00A32D4C" w:rsidTr="00E50FF3" w14:paraId="4439EA54" w14:textId="77777777">
        <w:tc>
          <w:tcPr>
            <w:tcW w:w="1328" w:type="pct"/>
            <w:vMerge w:val="restart"/>
          </w:tcPr>
          <w:p w:rsidRPr="00C77E1D" w:rsidR="00A32D4C" w:rsidP="00D245F4" w:rsidRDefault="00A32D4C" w14:paraId="24D844E4" w14:textId="77777777">
            <w:pPr>
              <w:spacing w:line="274" w:lineRule="auto"/>
              <w:rPr>
                <w:b/>
              </w:rPr>
            </w:pPr>
            <w:r w:rsidRPr="00C77E1D">
              <w:rPr>
                <w:b/>
              </w:rPr>
              <w:t>Referenčni dokumenti</w:t>
            </w:r>
          </w:p>
        </w:tc>
        <w:tc>
          <w:tcPr>
            <w:tcW w:w="3672" w:type="pct"/>
          </w:tcPr>
          <w:p w:rsidRPr="00C77E1D" w:rsidR="00A32D4C" w:rsidP="00D245F4" w:rsidRDefault="00A32D4C" w14:paraId="17D79348" w14:textId="77777777">
            <w:pPr>
              <w:spacing w:line="274" w:lineRule="auto"/>
            </w:pPr>
            <w:r w:rsidRPr="00C77E1D">
              <w:t>COM(2023) 668 final, COM(2023) 669 final</w:t>
            </w:r>
          </w:p>
        </w:tc>
      </w:tr>
      <w:tr w:rsidRPr="00C77E1D" w:rsidR="00A32D4C" w:rsidTr="00E50FF3" w14:paraId="6A1B123F" w14:textId="77777777">
        <w:tc>
          <w:tcPr>
            <w:tcW w:w="1328" w:type="pct"/>
            <w:vMerge/>
          </w:tcPr>
          <w:p w:rsidRPr="00C77E1D" w:rsidR="00A32D4C" w:rsidP="00D245F4" w:rsidRDefault="00A32D4C" w14:paraId="7CDF62B1" w14:textId="77777777">
            <w:pPr>
              <w:tabs>
                <w:tab w:val="center" w:pos="284"/>
              </w:tabs>
              <w:spacing w:line="274" w:lineRule="auto"/>
              <w:ind w:left="266" w:hanging="266"/>
              <w:rPr>
                <w:b/>
              </w:rPr>
            </w:pPr>
          </w:p>
        </w:tc>
        <w:tc>
          <w:tcPr>
            <w:tcW w:w="3672" w:type="pct"/>
          </w:tcPr>
          <w:p w:rsidRPr="00C77E1D" w:rsidR="00A32D4C" w:rsidP="00D245F4" w:rsidRDefault="00A32D4C" w14:paraId="20DA19C3" w14:textId="77777777">
            <w:pPr>
              <w:spacing w:line="274" w:lineRule="auto"/>
            </w:pPr>
            <w:r w:rsidRPr="00C77E1D">
              <w:t>EESC-2023-05073-00-00-AC</w:t>
            </w:r>
          </w:p>
        </w:tc>
      </w:tr>
    </w:tbl>
    <w:p w:rsidRPr="00C77E1D" w:rsidR="00A32D4C" w:rsidP="00A32D4C" w:rsidRDefault="00A32D4C" w14:paraId="2B97F4DF" w14:textId="77777777">
      <w:pPr>
        <w:spacing w:line="274" w:lineRule="auto"/>
      </w:pPr>
    </w:p>
    <w:p w:rsidRPr="00C77E1D" w:rsidR="00A32D4C" w:rsidP="00A32D4C" w:rsidRDefault="00A32D4C" w14:paraId="7F99DDC2" w14:textId="77777777">
      <w:pPr>
        <w:spacing w:line="274" w:lineRule="auto"/>
      </w:pPr>
      <w:r w:rsidRPr="00C77E1D">
        <w:rPr>
          <w:b/>
        </w:rPr>
        <w:t>Glavne točke</w:t>
      </w:r>
    </w:p>
    <w:p w:rsidRPr="00C77E1D" w:rsidR="00A32D4C" w:rsidP="00A32D4C" w:rsidRDefault="00A32D4C" w14:paraId="4CDD5802" w14:textId="77777777">
      <w:pPr>
        <w:spacing w:line="274" w:lineRule="auto"/>
      </w:pPr>
    </w:p>
    <w:p w:rsidRPr="00C77E1D" w:rsidR="00A32D4C" w:rsidP="00A32D4C" w:rsidRDefault="00A32D4C" w14:paraId="62861A5E" w14:textId="77777777">
      <w:pPr>
        <w:spacing w:line="274" w:lineRule="auto"/>
        <w:rPr>
          <w:bCs/>
          <w:iCs/>
        </w:rPr>
      </w:pPr>
      <w:r w:rsidRPr="00C77E1D">
        <w:rPr>
          <w:bCs/>
          <w:iCs/>
        </w:rPr>
        <w:t>EESO:</w:t>
      </w:r>
    </w:p>
    <w:p w:rsidRPr="00C77E1D" w:rsidR="00A32D4C" w:rsidP="00A32D4C" w:rsidRDefault="00A32D4C" w14:paraId="4DAE7997" w14:textId="77777777">
      <w:pPr>
        <w:spacing w:line="274" w:lineRule="auto"/>
      </w:pPr>
    </w:p>
    <w:p w:rsidRPr="00C77E1D" w:rsidR="00A32D4C" w:rsidP="00A32D4C" w:rsidRDefault="00A32D4C" w14:paraId="397B6FD8" w14:textId="77777777">
      <w:pPr>
        <w:widowControl w:val="0"/>
        <w:numPr>
          <w:ilvl w:val="0"/>
          <w:numId w:val="25"/>
        </w:numPr>
        <w:overflowPunct w:val="0"/>
        <w:autoSpaceDE w:val="0"/>
        <w:autoSpaceDN w:val="0"/>
        <w:adjustRightInd w:val="0"/>
        <w:spacing w:line="274" w:lineRule="auto"/>
        <w:ind w:left="426" w:hanging="426"/>
        <w:textAlignment w:val="baseline"/>
      </w:pPr>
      <w:r w:rsidRPr="00C77E1D">
        <w:t>podpira prizadevanja Komisije za krepitev industrije vetrne energije EU in spodbujanje razvoja vetrne energije v Uniji, saj je zaradi mednarodnih konkurentov, kot je Kitajska, pritisk vse večji, močna tovrstna industrija v EU pa je bistvena za okoljsko, gospodarsko in družbeno blaginjo. Zato je treba omrežno infrastrukturo znatno razširiti, posodobiti in digitalizirati, hkrati je treba vzpostaviti ustrezno infrastrukturo za shranjevanje. Vetrno energijo je treba obravnavati kot kritično infrastrukturo z vsemi pripadajočimi privilegiji in obveznostmi primerne skrbnosti;</w:t>
      </w:r>
    </w:p>
    <w:p w:rsidRPr="00C77E1D" w:rsidR="00A32D4C" w:rsidP="00A32D4C" w:rsidRDefault="00A32D4C" w14:paraId="4F7E9114" w14:textId="77777777">
      <w:pPr>
        <w:widowControl w:val="0"/>
        <w:numPr>
          <w:ilvl w:val="0"/>
          <w:numId w:val="25"/>
        </w:numPr>
        <w:overflowPunct w:val="0"/>
        <w:autoSpaceDE w:val="0"/>
        <w:autoSpaceDN w:val="0"/>
        <w:adjustRightInd w:val="0"/>
        <w:spacing w:line="274" w:lineRule="auto"/>
        <w:ind w:left="426" w:hanging="426"/>
        <w:textAlignment w:val="baseline"/>
      </w:pPr>
      <w:r w:rsidRPr="00C77E1D">
        <w:t>poudarja, da bo nastopila velika potreba po delavcih, ki jo bo mogoče izpolniti le z obsežnimi naložbami na nacionalni ravni in ravni EU v programe usposabljanja in preusposabljanja. V tesnem sodelovanju s socialnimi partnerji na vseh ravneh je treba zagotoviti, da bodo nova delovna mesta ponujala kakovostne delovne pogoje in varne dolgoročne obete za zaposlene;</w:t>
      </w:r>
    </w:p>
    <w:p w:rsidRPr="00C77E1D" w:rsidR="00A32D4C" w:rsidP="00A32D4C" w:rsidRDefault="00A32D4C" w14:paraId="45907D6A" w14:textId="77777777">
      <w:pPr>
        <w:widowControl w:val="0"/>
        <w:numPr>
          <w:ilvl w:val="0"/>
          <w:numId w:val="25"/>
        </w:numPr>
        <w:overflowPunct w:val="0"/>
        <w:autoSpaceDE w:val="0"/>
        <w:autoSpaceDN w:val="0"/>
        <w:adjustRightInd w:val="0"/>
        <w:spacing w:line="274" w:lineRule="auto"/>
        <w:ind w:left="426" w:hanging="426"/>
        <w:textAlignment w:val="baseline"/>
      </w:pPr>
      <w:r w:rsidRPr="00C77E1D">
        <w:t>obžaluje, da energetske skupnosti, energetske zadruge in souporaba energije kljub njihovemu pomenu v družbenem in gospodarskem smislu ter v smislu energijske učinkovitosti v akcijskem načrtu niso priznani kot oblika razširjenega proizvajanja-</w:t>
      </w:r>
      <w:proofErr w:type="spellStart"/>
      <w:r w:rsidRPr="00C77E1D">
        <w:t>odjemanja</w:t>
      </w:r>
      <w:proofErr w:type="spellEnd"/>
      <w:r w:rsidRPr="00C77E1D">
        <w:t>. Državljani bi morali biti učinkovito udeleženi kot sedmi steber akcijskega načrta za vetrno energijo. Brez tega je ogroženo družbeno sprejemanje prehoda, zlasti glede vetrne energije;</w:t>
      </w:r>
    </w:p>
    <w:p w:rsidRPr="00C77E1D" w:rsidR="00A32D4C" w:rsidP="00A32D4C" w:rsidRDefault="00A32D4C" w14:paraId="53281A7B" w14:textId="77777777">
      <w:pPr>
        <w:widowControl w:val="0"/>
        <w:numPr>
          <w:ilvl w:val="0"/>
          <w:numId w:val="25"/>
        </w:numPr>
        <w:overflowPunct w:val="0"/>
        <w:autoSpaceDE w:val="0"/>
        <w:autoSpaceDN w:val="0"/>
        <w:adjustRightInd w:val="0"/>
        <w:spacing w:line="274" w:lineRule="auto"/>
        <w:ind w:left="426" w:hanging="426"/>
        <w:textAlignment w:val="baseline"/>
      </w:pPr>
      <w:r w:rsidRPr="00C77E1D">
        <w:t>poziva, naj se oceni, ali je mogoče določiti dodatne zahteve (npr. združljivost z omrežjem, ujemanje s profilom obremenitve ali regionalna razporeditev odjemalcev z zmožnostjo izravnave konic) za regionalno načrtovanje na področju vetrne energije;</w:t>
      </w:r>
    </w:p>
    <w:p w:rsidRPr="00C77E1D" w:rsidR="00A32D4C" w:rsidP="00A32D4C" w:rsidRDefault="00A32D4C" w14:paraId="448CCBC2" w14:textId="77777777">
      <w:pPr>
        <w:widowControl w:val="0"/>
        <w:numPr>
          <w:ilvl w:val="0"/>
          <w:numId w:val="25"/>
        </w:numPr>
        <w:overflowPunct w:val="0"/>
        <w:autoSpaceDE w:val="0"/>
        <w:autoSpaceDN w:val="0"/>
        <w:adjustRightInd w:val="0"/>
        <w:spacing w:line="274" w:lineRule="auto"/>
        <w:ind w:left="426" w:hanging="426"/>
        <w:textAlignment w:val="baseline"/>
      </w:pPr>
      <w:r w:rsidRPr="00C77E1D">
        <w:t xml:space="preserve">priporoča, da se za dražbe uporabijo visoka merila za </w:t>
      </w:r>
      <w:proofErr w:type="spellStart"/>
      <w:r w:rsidRPr="00C77E1D">
        <w:t>predizbor</w:t>
      </w:r>
      <w:proofErr w:type="spellEnd"/>
      <w:r w:rsidRPr="00C77E1D">
        <w:t>, s čimer bi zagotovili, da vsi ponudniki izpolnjujejo zahteve glede varnosti, varnosti pri delu, kolektivnih pogajanj ter socialnih in okoljskih standardov, kot je potreba po spodbujanju krožnega gospodarstva. Poleg tega je treba vse ustrezne postopke, zlasti tiste, ki se nanašajo na razpise in dovoljenja, nujno v celoti digitalizirati in pospešiti.</w:t>
      </w:r>
    </w:p>
    <w:p w:rsidRPr="00C77E1D" w:rsidR="00A32D4C" w:rsidP="00A32D4C" w:rsidRDefault="00A32D4C" w14:paraId="68719A9B" w14:textId="77777777">
      <w:pPr>
        <w:spacing w:line="274" w:lineRule="auto"/>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7"/>
        <w:gridCol w:w="7304"/>
      </w:tblGrid>
      <w:tr w:rsidRPr="00C77E1D" w:rsidR="00A32D4C" w:rsidTr="00D245F4" w14:paraId="4E85FEF7" w14:textId="77777777">
        <w:tc>
          <w:tcPr>
            <w:tcW w:w="974" w:type="pct"/>
          </w:tcPr>
          <w:p w:rsidRPr="00C77E1D" w:rsidR="00A32D4C" w:rsidP="00D245F4" w:rsidRDefault="00A32D4C" w14:paraId="694510EF" w14:textId="77777777">
            <w:pPr>
              <w:spacing w:line="274" w:lineRule="auto"/>
            </w:pPr>
            <w:r w:rsidRPr="00C77E1D">
              <w:rPr>
                <w:b/>
                <w:i/>
              </w:rPr>
              <w:t>Kontaktna oseba</w:t>
            </w:r>
          </w:p>
        </w:tc>
        <w:tc>
          <w:tcPr>
            <w:tcW w:w="4026" w:type="pct"/>
          </w:tcPr>
          <w:p w:rsidRPr="00C77E1D" w:rsidR="00A32D4C" w:rsidP="00D245F4" w:rsidRDefault="00A32D4C" w14:paraId="19A79EDB" w14:textId="511B10C7">
            <w:pPr>
              <w:spacing w:line="274" w:lineRule="auto"/>
              <w:rPr>
                <w:i/>
              </w:rPr>
            </w:pPr>
            <w:r w:rsidRPr="00C77E1D">
              <w:rPr>
                <w:i/>
              </w:rPr>
              <w:t xml:space="preserve">Giorgia </w:t>
            </w:r>
            <w:r w:rsidRPr="00C77E1D" w:rsidR="006A3E43">
              <w:rPr>
                <w:i/>
              </w:rPr>
              <w:t>BORDIGNON</w:t>
            </w:r>
          </w:p>
        </w:tc>
      </w:tr>
      <w:tr w:rsidRPr="00C77E1D" w:rsidR="00A32D4C" w:rsidTr="00D245F4" w14:paraId="102030B7" w14:textId="77777777">
        <w:tc>
          <w:tcPr>
            <w:tcW w:w="974" w:type="pct"/>
          </w:tcPr>
          <w:p w:rsidRPr="00C77E1D" w:rsidR="00A32D4C" w:rsidP="00D245F4" w:rsidRDefault="00A32D4C" w14:paraId="0593278B" w14:textId="77777777">
            <w:pPr>
              <w:spacing w:line="274" w:lineRule="auto"/>
            </w:pPr>
            <w:r w:rsidRPr="00C77E1D">
              <w:rPr>
                <w:i/>
              </w:rPr>
              <w:t>Telefon</w:t>
            </w:r>
          </w:p>
        </w:tc>
        <w:tc>
          <w:tcPr>
            <w:tcW w:w="4026" w:type="pct"/>
          </w:tcPr>
          <w:p w:rsidRPr="00C77E1D" w:rsidR="00A32D4C" w:rsidP="00D245F4" w:rsidRDefault="00A32D4C" w14:paraId="7960C2DA" w14:textId="77777777">
            <w:pPr>
              <w:spacing w:line="274" w:lineRule="auto"/>
            </w:pPr>
            <w:r w:rsidRPr="00C77E1D">
              <w:rPr>
                <w:i/>
              </w:rPr>
              <w:t>0032 2 546 8535</w:t>
            </w:r>
          </w:p>
        </w:tc>
      </w:tr>
      <w:tr w:rsidRPr="00C77E1D" w:rsidR="00A32D4C" w:rsidTr="00D245F4" w14:paraId="2DA7C8FE" w14:textId="77777777">
        <w:tc>
          <w:tcPr>
            <w:tcW w:w="974" w:type="pct"/>
          </w:tcPr>
          <w:p w:rsidRPr="00C77E1D" w:rsidR="00A32D4C" w:rsidP="00D245F4" w:rsidRDefault="00A32D4C" w14:paraId="3DF99859" w14:textId="77777777">
            <w:pPr>
              <w:spacing w:line="274" w:lineRule="auto"/>
            </w:pPr>
            <w:r w:rsidRPr="00C77E1D">
              <w:rPr>
                <w:i/>
              </w:rPr>
              <w:t>E-naslov</w:t>
            </w:r>
          </w:p>
        </w:tc>
        <w:tc>
          <w:tcPr>
            <w:tcW w:w="4026" w:type="pct"/>
          </w:tcPr>
          <w:p w:rsidRPr="00C77E1D" w:rsidR="00A32D4C" w:rsidP="00D245F4" w:rsidRDefault="007772B2" w14:paraId="2B566D31" w14:textId="77777777">
            <w:pPr>
              <w:spacing w:line="274" w:lineRule="auto"/>
              <w:rPr>
                <w:i/>
              </w:rPr>
            </w:pPr>
            <w:hyperlink w:history="1" r:id="rId38">
              <w:r w:rsidRPr="00C77E1D" w:rsidR="00A32D4C">
                <w:rPr>
                  <w:rStyle w:val="Hyperlink"/>
                  <w:i/>
                </w:rPr>
                <w:t>GiorgiaAndrea.Bordignon@eesc.europa.eu</w:t>
              </w:r>
            </w:hyperlink>
          </w:p>
        </w:tc>
      </w:tr>
    </w:tbl>
    <w:p w:rsidRPr="00C77E1D" w:rsidR="00A32D4C" w:rsidP="00A32D4C" w:rsidRDefault="00A32D4C" w14:paraId="18D68A19" w14:textId="77777777">
      <w:pPr>
        <w:spacing w:line="274" w:lineRule="auto"/>
      </w:pPr>
    </w:p>
    <w:p w:rsidRPr="00C77E1D" w:rsidR="0091091E" w:rsidP="008D7E5D" w:rsidRDefault="0091091E" w14:paraId="5EAC0A6C" w14:textId="17A005CB">
      <w:pPr>
        <w:suppressAutoHyphens/>
        <w:jc w:val="left"/>
      </w:pPr>
      <w:r w:rsidRPr="00C77E1D">
        <w:br w:type="page"/>
      </w:r>
    </w:p>
    <w:p w:rsidRPr="00C77E1D" w:rsidR="0010109E" w:rsidP="008D7E5D" w:rsidRDefault="0010109E" w14:paraId="291D2325" w14:textId="66831534">
      <w:pPr>
        <w:pStyle w:val="Heading1"/>
        <w:suppressAutoHyphens/>
        <w:spacing w:before="0"/>
        <w:ind w:hanging="928"/>
        <w:rPr>
          <w:b/>
          <w:bCs/>
        </w:rPr>
      </w:pPr>
      <w:bookmarkStart w:name="_Toc162435210" w:id="13"/>
      <w:bookmarkStart w:name="_Toc163653649" w:id="14"/>
      <w:bookmarkEnd w:id="13"/>
      <w:r w:rsidRPr="00C77E1D">
        <w:rPr>
          <w:b/>
        </w:rPr>
        <w:lastRenderedPageBreak/>
        <w:t>POSVETOVALNA KOMISIJA ZA SPREMEMBE V INDUSTRIJI</w:t>
      </w:r>
      <w:bookmarkEnd w:id="14"/>
    </w:p>
    <w:p w:rsidRPr="00C77E1D" w:rsidR="004351D4" w:rsidP="00C77E1D" w:rsidRDefault="004351D4" w14:paraId="7D36EAE9" w14:textId="77777777"/>
    <w:p w:rsidRPr="00D76F27" w:rsidR="00C77E1D" w:rsidP="00C77E1D" w:rsidRDefault="00B1006C" w14:paraId="5E28B277" w14:textId="0DF76000">
      <w:pPr>
        <w:numPr>
          <w:ilvl w:val="0"/>
          <w:numId w:val="13"/>
        </w:numPr>
        <w:suppressAutoHyphens/>
        <w:overflowPunct w:val="0"/>
        <w:autoSpaceDE w:val="0"/>
        <w:autoSpaceDN w:val="0"/>
        <w:adjustRightInd w:val="0"/>
        <w:ind w:left="426" w:hanging="426"/>
        <w:textAlignment w:val="baseline"/>
        <w:rPr>
          <w:rStyle w:val="Hyperlink"/>
          <w:b/>
          <w:i/>
          <w:iCs/>
          <w:color w:val="auto"/>
          <w:sz w:val="28"/>
          <w:szCs w:val="28"/>
          <w:u w:val="none"/>
        </w:rPr>
      </w:pPr>
      <w:r w:rsidRPr="00D76F27">
        <w:rPr>
          <w:rStyle w:val="Hyperlink"/>
          <w:b/>
          <w:i/>
          <w:color w:val="auto"/>
          <w:sz w:val="28"/>
          <w:u w:val="none"/>
        </w:rPr>
        <w:t>Sporočilo Komisije o razpoložljivosti zdravil</w:t>
      </w:r>
    </w:p>
    <w:p w:rsidRPr="00C77E1D" w:rsidR="00C77E1D" w:rsidP="00C77E1D" w:rsidRDefault="00C77E1D" w14:paraId="5A5357B8" w14:textId="77777777">
      <w:pPr>
        <w:tabs>
          <w:tab w:val="center" w:pos="284"/>
        </w:tabs>
        <w:suppressAutoHyphens/>
        <w:overflowPunct w:val="0"/>
        <w:autoSpaceDE w:val="0"/>
        <w:autoSpaceDN w:val="0"/>
        <w:adjustRightInd w:val="0"/>
        <w:spacing w:line="240" w:lineRule="auto"/>
        <w:textAlignment w:val="baseline"/>
        <w:rPr>
          <w:bCs/>
        </w:rPr>
      </w:pPr>
    </w:p>
    <w:tbl>
      <w:tblPr>
        <w:tblStyle w:val="TableGrid"/>
        <w:tblW w:w="491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0"/>
        <w:gridCol w:w="6402"/>
      </w:tblGrid>
      <w:tr w:rsidRPr="00C77E1D" w:rsidR="00C77E1D" w:rsidTr="00D245F4" w14:paraId="3DDC654D" w14:textId="77777777">
        <w:tc>
          <w:tcPr>
            <w:tcW w:w="1412" w:type="pct"/>
          </w:tcPr>
          <w:p w:rsidRPr="00C77E1D" w:rsidR="00C77E1D" w:rsidP="00D245F4" w:rsidRDefault="00C77E1D" w14:paraId="4A591B8A" w14:textId="77777777">
            <w:pPr>
              <w:tabs>
                <w:tab w:val="center" w:pos="284"/>
              </w:tabs>
              <w:suppressAutoHyphens/>
              <w:ind w:left="266" w:hanging="266"/>
              <w:rPr>
                <w:b/>
              </w:rPr>
            </w:pPr>
            <w:r w:rsidRPr="00C77E1D">
              <w:rPr>
                <w:b/>
                <w:bCs/>
              </w:rPr>
              <w:t>Poročevalec</w:t>
            </w:r>
          </w:p>
        </w:tc>
        <w:tc>
          <w:tcPr>
            <w:tcW w:w="3588" w:type="pct"/>
          </w:tcPr>
          <w:p w:rsidRPr="00C77E1D" w:rsidR="00C77E1D" w:rsidP="00D245F4" w:rsidRDefault="00C77E1D" w14:paraId="578253F9" w14:textId="77777777">
            <w:pPr>
              <w:suppressAutoHyphens/>
              <w:ind w:left="30"/>
            </w:pPr>
            <w:r w:rsidRPr="00C77E1D">
              <w:t>Danko RELIĆ (skupina organizacij civilne družbe – HR)</w:t>
            </w:r>
          </w:p>
        </w:tc>
      </w:tr>
      <w:tr w:rsidRPr="00C77E1D" w:rsidR="00C77E1D" w:rsidTr="00D245F4" w14:paraId="2D39D83A" w14:textId="77777777">
        <w:tc>
          <w:tcPr>
            <w:tcW w:w="1412" w:type="pct"/>
          </w:tcPr>
          <w:p w:rsidRPr="00C77E1D" w:rsidR="00C77E1D" w:rsidP="00D245F4" w:rsidRDefault="00C77E1D" w14:paraId="4B271FC0" w14:textId="77777777">
            <w:pPr>
              <w:tabs>
                <w:tab w:val="center" w:pos="284"/>
              </w:tabs>
              <w:suppressAutoHyphens/>
              <w:ind w:left="266" w:hanging="266"/>
              <w:rPr>
                <w:b/>
              </w:rPr>
            </w:pPr>
            <w:r w:rsidRPr="00C77E1D">
              <w:rPr>
                <w:b/>
              </w:rPr>
              <w:t>Soporočevalec</w:t>
            </w:r>
          </w:p>
        </w:tc>
        <w:tc>
          <w:tcPr>
            <w:tcW w:w="3588" w:type="pct"/>
          </w:tcPr>
          <w:p w:rsidRPr="00C77E1D" w:rsidR="00C77E1D" w:rsidP="00D245F4" w:rsidRDefault="00C77E1D" w14:paraId="36F9EE5B" w14:textId="662A9559">
            <w:pPr>
              <w:tabs>
                <w:tab w:val="center" w:pos="284"/>
              </w:tabs>
              <w:suppressAutoHyphens/>
              <w:ind w:left="266" w:hanging="266"/>
            </w:pPr>
            <w:r w:rsidRPr="00C77E1D">
              <w:t>Thomas STUDENT (</w:t>
            </w:r>
            <w:r w:rsidRPr="008241AC" w:rsidR="00B1006C">
              <w:t>DE-2. kat.</w:t>
            </w:r>
            <w:r w:rsidRPr="00C77E1D">
              <w:t>)</w:t>
            </w:r>
          </w:p>
        </w:tc>
      </w:tr>
      <w:tr w:rsidRPr="00C77E1D" w:rsidR="00C77E1D" w:rsidTr="00D245F4" w14:paraId="7E56D061" w14:textId="77777777">
        <w:tc>
          <w:tcPr>
            <w:tcW w:w="5000" w:type="pct"/>
            <w:gridSpan w:val="2"/>
          </w:tcPr>
          <w:p w:rsidRPr="00C77E1D" w:rsidR="00C77E1D" w:rsidP="00D245F4" w:rsidRDefault="00C77E1D" w14:paraId="1F28E145" w14:textId="77777777">
            <w:pPr>
              <w:tabs>
                <w:tab w:val="center" w:pos="284"/>
              </w:tabs>
              <w:suppressAutoHyphens/>
              <w:ind w:left="266" w:hanging="266"/>
              <w:rPr>
                <w:sz w:val="16"/>
                <w:szCs w:val="16"/>
              </w:rPr>
            </w:pPr>
          </w:p>
        </w:tc>
      </w:tr>
      <w:tr w:rsidRPr="00C77E1D" w:rsidR="00C77E1D" w:rsidTr="00D245F4" w14:paraId="1A81B13E" w14:textId="77777777">
        <w:tc>
          <w:tcPr>
            <w:tcW w:w="1412" w:type="pct"/>
            <w:vMerge w:val="restart"/>
          </w:tcPr>
          <w:p w:rsidRPr="00C77E1D" w:rsidR="00C77E1D" w:rsidP="00D245F4" w:rsidRDefault="00C77E1D" w14:paraId="638521E8" w14:textId="77777777">
            <w:pPr>
              <w:tabs>
                <w:tab w:val="center" w:pos="284"/>
              </w:tabs>
              <w:suppressAutoHyphens/>
              <w:ind w:left="266" w:hanging="266"/>
              <w:rPr>
                <w:b/>
              </w:rPr>
            </w:pPr>
            <w:r w:rsidRPr="00C77E1D">
              <w:rPr>
                <w:b/>
              </w:rPr>
              <w:t>Referenčna dokumenta</w:t>
            </w:r>
          </w:p>
        </w:tc>
        <w:tc>
          <w:tcPr>
            <w:tcW w:w="3588" w:type="pct"/>
          </w:tcPr>
          <w:p w:rsidRPr="00C77E1D" w:rsidR="00C77E1D" w:rsidP="00D245F4" w:rsidRDefault="00C77E1D" w14:paraId="0572A71D" w14:textId="0AB05DC3">
            <w:pPr>
              <w:tabs>
                <w:tab w:val="center" w:pos="284"/>
              </w:tabs>
              <w:suppressAutoHyphens/>
              <w:ind w:left="266" w:hanging="266"/>
            </w:pPr>
            <w:r w:rsidRPr="00C77E1D">
              <w:t>COM(2023) 672 final</w:t>
            </w:r>
          </w:p>
        </w:tc>
      </w:tr>
      <w:tr w:rsidRPr="00C77E1D" w:rsidR="00C77E1D" w:rsidTr="00D245F4" w14:paraId="2F35070C" w14:textId="77777777">
        <w:tc>
          <w:tcPr>
            <w:tcW w:w="1412" w:type="pct"/>
            <w:vMerge/>
          </w:tcPr>
          <w:p w:rsidRPr="00C77E1D" w:rsidR="00C77E1D" w:rsidP="00D245F4" w:rsidRDefault="00C77E1D" w14:paraId="7C7969B7" w14:textId="77777777">
            <w:pPr>
              <w:tabs>
                <w:tab w:val="center" w:pos="284"/>
              </w:tabs>
              <w:suppressAutoHyphens/>
              <w:ind w:left="266" w:hanging="266"/>
              <w:rPr>
                <w:b/>
              </w:rPr>
            </w:pPr>
          </w:p>
        </w:tc>
        <w:tc>
          <w:tcPr>
            <w:tcW w:w="3588" w:type="pct"/>
          </w:tcPr>
          <w:p w:rsidRPr="00C77E1D" w:rsidR="00C77E1D" w:rsidP="00D245F4" w:rsidRDefault="00C77E1D" w14:paraId="58D99BA6" w14:textId="77777777">
            <w:pPr>
              <w:tabs>
                <w:tab w:val="center" w:pos="284"/>
              </w:tabs>
              <w:suppressAutoHyphens/>
              <w:ind w:left="266" w:hanging="266"/>
            </w:pPr>
            <w:r w:rsidRPr="00C77E1D">
              <w:t>EESC-2023-05446-00-00-AC</w:t>
            </w:r>
          </w:p>
        </w:tc>
      </w:tr>
    </w:tbl>
    <w:p w:rsidRPr="00C77E1D" w:rsidR="00C77E1D" w:rsidP="00C77E1D" w:rsidRDefault="00C77E1D" w14:paraId="205C25BD" w14:textId="77777777">
      <w:pPr>
        <w:tabs>
          <w:tab w:val="center" w:pos="284"/>
        </w:tabs>
        <w:suppressAutoHyphens/>
        <w:overflowPunct w:val="0"/>
        <w:autoSpaceDE w:val="0"/>
        <w:autoSpaceDN w:val="0"/>
        <w:adjustRightInd w:val="0"/>
        <w:spacing w:line="240" w:lineRule="auto"/>
        <w:textAlignment w:val="baseline"/>
        <w:rPr>
          <w:bCs/>
        </w:rPr>
      </w:pPr>
    </w:p>
    <w:p w:rsidRPr="00C77E1D" w:rsidR="00C77E1D" w:rsidP="00C77E1D" w:rsidRDefault="00C77E1D" w14:paraId="0A2076FD" w14:textId="77777777">
      <w:pPr>
        <w:suppressAutoHyphens/>
        <w:ind w:left="142" w:hanging="142"/>
        <w:rPr>
          <w:b/>
        </w:rPr>
      </w:pPr>
      <w:r w:rsidRPr="00C77E1D">
        <w:rPr>
          <w:b/>
        </w:rPr>
        <w:t>Glavne točke</w:t>
      </w:r>
    </w:p>
    <w:p w:rsidRPr="00C77E1D" w:rsidR="00C77E1D" w:rsidP="00C77E1D" w:rsidRDefault="00C77E1D" w14:paraId="1A818BA6" w14:textId="77777777">
      <w:pPr>
        <w:suppressAutoHyphens/>
        <w:spacing w:line="240" w:lineRule="auto"/>
        <w:ind w:left="142" w:hanging="142"/>
        <w:rPr>
          <w:bCs/>
        </w:rPr>
      </w:pPr>
    </w:p>
    <w:p w:rsidRPr="00C77E1D" w:rsidR="00C77E1D" w:rsidP="00C77E1D" w:rsidRDefault="00C77E1D" w14:paraId="76D71A92" w14:textId="77777777">
      <w:pPr>
        <w:suppressAutoHyphens/>
      </w:pPr>
      <w:r w:rsidRPr="00C77E1D">
        <w:t>EESO</w:t>
      </w:r>
    </w:p>
    <w:p w:rsidRPr="00C77E1D" w:rsidR="00C77E1D" w:rsidP="00C77E1D" w:rsidRDefault="00C77E1D" w14:paraId="352346E1" w14:textId="77777777">
      <w:pPr>
        <w:suppressAutoHyphens/>
        <w:spacing w:line="240" w:lineRule="auto"/>
      </w:pPr>
    </w:p>
    <w:p w:rsidRPr="00C77E1D" w:rsidR="00C77E1D" w:rsidP="00C77E1D" w:rsidRDefault="00C77E1D" w14:paraId="2562F8B0" w14:textId="77777777">
      <w:pPr>
        <w:numPr>
          <w:ilvl w:val="0"/>
          <w:numId w:val="14"/>
        </w:numPr>
        <w:suppressAutoHyphens/>
        <w:ind w:left="426" w:hanging="426"/>
      </w:pPr>
      <w:r w:rsidRPr="00C77E1D">
        <w:t>je trdno prepričan, da Evropejci po vsej EU ne bi smeli trpeti zaradi slabega dostopa do zdravil;</w:t>
      </w:r>
    </w:p>
    <w:p w:rsidRPr="00C77E1D" w:rsidR="00C77E1D" w:rsidP="00C77E1D" w:rsidRDefault="00C77E1D" w14:paraId="60EB2E55" w14:textId="77777777">
      <w:pPr>
        <w:numPr>
          <w:ilvl w:val="0"/>
          <w:numId w:val="14"/>
        </w:numPr>
        <w:suppressAutoHyphens/>
        <w:ind w:left="426" w:hanging="426"/>
      </w:pPr>
      <w:r w:rsidRPr="00C77E1D">
        <w:t>poziva k strateškemu premiku k samozadostnosti pri proizvodnji aktivnih farmacevtskih sestavin in končnih zdravil, da bi zmanjšali odvisnost od zunanjih virov in okrepili farmacevtsko neodvisnost EU. Podpira prvi seznam kritičnih zdravil Unije, katerega cilj je, da bi odpravili pomanjkanje;</w:t>
      </w:r>
    </w:p>
    <w:p w:rsidRPr="00C77E1D" w:rsidR="00C77E1D" w:rsidP="00C77E1D" w:rsidRDefault="00C77E1D" w14:paraId="395D6E23" w14:textId="77777777">
      <w:pPr>
        <w:numPr>
          <w:ilvl w:val="0"/>
          <w:numId w:val="14"/>
        </w:numPr>
        <w:suppressAutoHyphens/>
        <w:ind w:left="426" w:hanging="426"/>
      </w:pPr>
      <w:r w:rsidRPr="00C77E1D">
        <w:t>priporoča vzpostavitev stabilnega in zanesljivega pravnega in gospodarskega okolja z usposobljeno delovno silo in ustreznim financiranjem za zagotavljanje konkurenčne prednosti evropske farmacevtske industrije na svetovnem trgu;</w:t>
      </w:r>
    </w:p>
    <w:p w:rsidRPr="00C77E1D" w:rsidR="00C77E1D" w:rsidP="00C77E1D" w:rsidRDefault="00C77E1D" w14:paraId="505706D6" w14:textId="77777777">
      <w:pPr>
        <w:numPr>
          <w:ilvl w:val="0"/>
          <w:numId w:val="14"/>
        </w:numPr>
        <w:suppressAutoHyphens/>
        <w:ind w:left="426" w:hanging="426"/>
      </w:pPr>
      <w:r w:rsidRPr="00C77E1D">
        <w:t>predlaga uvedbo inovativnih pristopov k dostopu do zdravil. Se zavzema za pripravo celovitih smernic in protokolov na ravni EU ter na splošno za izmenjavo podatkov med ključnimi deležniki;</w:t>
      </w:r>
    </w:p>
    <w:p w:rsidRPr="00C77E1D" w:rsidR="00C77E1D" w:rsidP="00C77E1D" w:rsidRDefault="00C77E1D" w14:paraId="35AE1C94" w14:textId="77777777">
      <w:pPr>
        <w:numPr>
          <w:ilvl w:val="0"/>
          <w:numId w:val="14"/>
        </w:numPr>
        <w:suppressAutoHyphens/>
        <w:ind w:left="426" w:hanging="426"/>
      </w:pPr>
      <w:r w:rsidRPr="00C77E1D">
        <w:t>poziva k krepitvi dialoga med institucijami EU, farmacevtsko industrijo, socialnimi partnerji in organizacijami civilne družbe o proizvodnih zmogljivostih in načinih obvladovanja motenj na trgu;</w:t>
      </w:r>
    </w:p>
    <w:p w:rsidRPr="00C77E1D" w:rsidR="00C77E1D" w:rsidP="00C77E1D" w:rsidRDefault="00C77E1D" w14:paraId="738B35A0" w14:textId="77777777">
      <w:pPr>
        <w:numPr>
          <w:ilvl w:val="0"/>
          <w:numId w:val="14"/>
        </w:numPr>
        <w:suppressAutoHyphens/>
        <w:ind w:left="426" w:hanging="426"/>
      </w:pPr>
      <w:r w:rsidRPr="00C77E1D">
        <w:t>spodbuja farmacevtska podjetja, naj organe proaktivno obveščajo o morebitnem pomanjkanju, da bi se lahko učinkovito odzvali na izzive v dobavni verigi;</w:t>
      </w:r>
    </w:p>
    <w:p w:rsidRPr="00C77E1D" w:rsidR="00C77E1D" w:rsidP="00C77E1D" w:rsidRDefault="00C77E1D" w14:paraId="3E952F7D" w14:textId="77777777">
      <w:pPr>
        <w:numPr>
          <w:ilvl w:val="0"/>
          <w:numId w:val="14"/>
        </w:numPr>
        <w:suppressAutoHyphens/>
        <w:ind w:left="426" w:hanging="426"/>
      </w:pPr>
      <w:r w:rsidRPr="00C77E1D">
        <w:t>poudarja pomen vključevanja organizacij pacientov, združenj zdravstvenih delavcev in organizacij, ki zastopajo invalide, v oblikovanje politik ter zlasti strategij za izboljšanje razpoložljivosti zdravil, za farmacevtske odpadke in za zmanjšanje prekomernega predpisovanja zdravil;</w:t>
      </w:r>
    </w:p>
    <w:p w:rsidRPr="00C77E1D" w:rsidR="00C77E1D" w:rsidP="00C77E1D" w:rsidRDefault="00C77E1D" w14:paraId="7C4BABB1" w14:textId="77777777">
      <w:pPr>
        <w:numPr>
          <w:ilvl w:val="0"/>
          <w:numId w:val="14"/>
        </w:numPr>
        <w:suppressAutoHyphens/>
        <w:ind w:left="426" w:hanging="426"/>
      </w:pPr>
      <w:r w:rsidRPr="00C77E1D">
        <w:t>se zavzema za krepitev mednarodnih partnerstev in diverzifikacijo farmacevtskih dobavnih verig, da bi se odzvali na spreminjajoče se zdravstvene razmere v svetu.</w:t>
      </w:r>
    </w:p>
    <w:p w:rsidRPr="00C77E1D" w:rsidR="00C77E1D" w:rsidP="00C77E1D" w:rsidRDefault="00C77E1D" w14:paraId="7E06AAF8" w14:textId="77777777">
      <w:pPr>
        <w:suppressAutoHyphens/>
        <w:spacing w:line="240" w:lineRule="auto"/>
      </w:pPr>
    </w:p>
    <w:tbl>
      <w:tblPr>
        <w:tblStyle w:val="TableGrid"/>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9"/>
        <w:gridCol w:w="6041"/>
      </w:tblGrid>
      <w:tr w:rsidRPr="00C77E1D" w:rsidR="00C77E1D" w:rsidTr="00D245F4" w14:paraId="63B3FDCA" w14:textId="77777777">
        <w:tc>
          <w:tcPr>
            <w:tcW w:w="1172" w:type="pct"/>
          </w:tcPr>
          <w:p w:rsidRPr="00C77E1D" w:rsidR="00C77E1D" w:rsidP="00D245F4" w:rsidRDefault="00C77E1D" w14:paraId="60D9EE18" w14:textId="77777777">
            <w:pPr>
              <w:suppressAutoHyphens/>
              <w:rPr>
                <w:i/>
              </w:rPr>
            </w:pPr>
            <w:r w:rsidRPr="00C77E1D">
              <w:rPr>
                <w:b/>
                <w:i/>
              </w:rPr>
              <w:t>Kontaktna oseba</w:t>
            </w:r>
          </w:p>
        </w:tc>
        <w:tc>
          <w:tcPr>
            <w:tcW w:w="3828" w:type="pct"/>
            <w:tcBorders>
              <w:left w:val="nil"/>
            </w:tcBorders>
          </w:tcPr>
          <w:p w:rsidRPr="00C77E1D" w:rsidR="00C77E1D" w:rsidP="00D245F4" w:rsidRDefault="00C77E1D" w14:paraId="238FEE41" w14:textId="77777777">
            <w:pPr>
              <w:suppressAutoHyphens/>
              <w:rPr>
                <w:i/>
              </w:rPr>
            </w:pPr>
            <w:proofErr w:type="spellStart"/>
            <w:r w:rsidRPr="00C77E1D">
              <w:rPr>
                <w:i/>
              </w:rPr>
              <w:t>Laia</w:t>
            </w:r>
            <w:proofErr w:type="spellEnd"/>
            <w:r w:rsidRPr="00C77E1D">
              <w:rPr>
                <w:i/>
              </w:rPr>
              <w:t xml:space="preserve"> TOMAS VINARDELL</w:t>
            </w:r>
          </w:p>
        </w:tc>
      </w:tr>
      <w:tr w:rsidRPr="00C77E1D" w:rsidR="00C77E1D" w:rsidTr="00D245F4" w14:paraId="4882A47D" w14:textId="77777777">
        <w:tc>
          <w:tcPr>
            <w:tcW w:w="1172" w:type="pct"/>
          </w:tcPr>
          <w:p w:rsidRPr="00C77E1D" w:rsidR="00C77E1D" w:rsidP="00D245F4" w:rsidRDefault="00C77E1D" w14:paraId="0B1C27D8" w14:textId="24D4C438">
            <w:pPr>
              <w:suppressAutoHyphens/>
              <w:rPr>
                <w:i/>
              </w:rPr>
            </w:pPr>
            <w:r w:rsidRPr="00C77E1D">
              <w:rPr>
                <w:i/>
              </w:rPr>
              <w:t>Tel</w:t>
            </w:r>
            <w:r w:rsidR="00B1006C">
              <w:rPr>
                <w:i/>
              </w:rPr>
              <w:t>efon</w:t>
            </w:r>
          </w:p>
        </w:tc>
        <w:tc>
          <w:tcPr>
            <w:tcW w:w="3828" w:type="pct"/>
            <w:tcBorders>
              <w:left w:val="nil"/>
            </w:tcBorders>
          </w:tcPr>
          <w:p w:rsidRPr="00C77E1D" w:rsidR="00C77E1D" w:rsidP="00D245F4" w:rsidRDefault="00C77E1D" w14:paraId="52314DCD" w14:textId="77777777">
            <w:pPr>
              <w:suppressAutoHyphens/>
              <w:rPr>
                <w:i/>
              </w:rPr>
            </w:pPr>
            <w:r w:rsidRPr="00C77E1D">
              <w:rPr>
                <w:i/>
              </w:rPr>
              <w:t>+32 25469149</w:t>
            </w:r>
          </w:p>
        </w:tc>
      </w:tr>
      <w:tr w:rsidRPr="00C77E1D" w:rsidR="00C77E1D" w:rsidTr="00D245F4" w14:paraId="24A9B84B" w14:textId="77777777">
        <w:tc>
          <w:tcPr>
            <w:tcW w:w="1172" w:type="pct"/>
          </w:tcPr>
          <w:p w:rsidRPr="00C77E1D" w:rsidR="00C77E1D" w:rsidP="00D245F4" w:rsidRDefault="00C77E1D" w14:paraId="56ED2248" w14:textId="77777777">
            <w:pPr>
              <w:suppressAutoHyphens/>
              <w:rPr>
                <w:i/>
                <w:iCs/>
              </w:rPr>
            </w:pPr>
            <w:r w:rsidRPr="00C77E1D">
              <w:rPr>
                <w:i/>
              </w:rPr>
              <w:t>E-naslov</w:t>
            </w:r>
          </w:p>
        </w:tc>
        <w:tc>
          <w:tcPr>
            <w:tcW w:w="3828" w:type="pct"/>
            <w:tcBorders>
              <w:left w:val="nil"/>
            </w:tcBorders>
          </w:tcPr>
          <w:p w:rsidRPr="00C77E1D" w:rsidR="00C77E1D" w:rsidP="00D245F4" w:rsidRDefault="007772B2" w14:paraId="6248F9F3" w14:textId="77777777">
            <w:pPr>
              <w:suppressAutoHyphens/>
              <w:rPr>
                <w:i/>
                <w:iCs/>
              </w:rPr>
            </w:pPr>
            <w:hyperlink w:history="1" r:id="rId39">
              <w:r w:rsidRPr="00C77E1D" w:rsidR="00C77E1D">
                <w:rPr>
                  <w:i/>
                  <w:color w:val="0000FF"/>
                  <w:u w:val="single"/>
                </w:rPr>
                <w:t>Laia.TomasVinardell@eesc.europa.eu</w:t>
              </w:r>
            </w:hyperlink>
          </w:p>
        </w:tc>
      </w:tr>
    </w:tbl>
    <w:p w:rsidRPr="00C77E1D" w:rsidR="00C77E1D" w:rsidP="00C77E1D" w:rsidRDefault="00C77E1D" w14:paraId="1E0FE6FF" w14:textId="77777777">
      <w:pPr>
        <w:suppressAutoHyphens/>
        <w:spacing w:line="240" w:lineRule="auto"/>
      </w:pPr>
    </w:p>
    <w:p w:rsidRPr="00C77E1D" w:rsidR="0092772D" w:rsidP="008D7E5D" w:rsidRDefault="00556EDF" w14:paraId="7379A588" w14:textId="3EDEF816">
      <w:pPr>
        <w:suppressAutoHyphens/>
        <w:overflowPunct w:val="0"/>
        <w:autoSpaceDE w:val="0"/>
        <w:autoSpaceDN w:val="0"/>
        <w:adjustRightInd w:val="0"/>
        <w:jc w:val="center"/>
        <w:textAlignment w:val="baseline"/>
      </w:pPr>
      <w:r w:rsidRPr="00C77E1D">
        <w:t>_____________</w:t>
      </w:r>
    </w:p>
    <w:sectPr w:rsidRPr="00C77E1D" w:rsidR="0092772D" w:rsidSect="0014322B">
      <w:headerReference w:type="even" r:id="rId40"/>
      <w:headerReference w:type="default" r:id="rId41"/>
      <w:footerReference w:type="even" r:id="rId42"/>
      <w:footerReference w:type="default" r:id="rId43"/>
      <w:headerReference w:type="first" r:id="rId44"/>
      <w:footerReference w:type="first" r:id="rId45"/>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C1" w14:textId="77777777" w:rsidR="002B5510" w:rsidRDefault="002B5510" w:rsidP="003B0516">
      <w:pPr>
        <w:spacing w:line="240" w:lineRule="auto"/>
      </w:pPr>
      <w:r>
        <w:separator/>
      </w:r>
    </w:p>
  </w:endnote>
  <w:endnote w:type="continuationSeparator" w:id="0">
    <w:p w14:paraId="6C59A801" w14:textId="77777777" w:rsidR="002B5510" w:rsidRDefault="002B551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303B420E" w:rsidR="00765C4F" w:rsidRPr="0014322B" w:rsidRDefault="0014322B" w:rsidP="0014322B">
    <w:pPr>
      <w:pStyle w:val="Footer"/>
    </w:pPr>
    <w:r>
      <w:t>EESC-2024-00740-00-0</w:t>
    </w:r>
    <w:r w:rsidR="001564B3">
      <w:t>1</w:t>
    </w:r>
    <w:r>
      <w:t xml:space="preserve">-TCD-TRA (SL) </w:t>
    </w:r>
    <w:r>
      <w:fldChar w:fldCharType="begin"/>
    </w:r>
    <w:r>
      <w:instrText xml:space="preserve"> PAGE  \* Arabic  \* MERGEFORMAT </w:instrText>
    </w:r>
    <w:r>
      <w:fldChar w:fldCharType="separate"/>
    </w:r>
    <w:r w:rsidR="00587D5E">
      <w:t>1</w:t>
    </w:r>
    <w:r>
      <w:fldChar w:fldCharType="end"/>
    </w:r>
    <w:r>
      <w:t>/</w:t>
    </w:r>
    <w:r w:rsidR="007772B2">
      <w:fldChar w:fldCharType="begin"/>
    </w:r>
    <w:r w:rsidR="007772B2">
      <w:instrText xml:space="preserve"> NUMPAGES </w:instrText>
    </w:r>
    <w:r w:rsidR="007772B2">
      <w:fldChar w:fldCharType="separate"/>
    </w:r>
    <w:r w:rsidR="00587D5E">
      <w:t>1</w:t>
    </w:r>
    <w:r w:rsidR="007772B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14322B" w:rsidRDefault="00E4258F" w:rsidP="001432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C61D386" w:rsidR="00E4258F" w:rsidRPr="0014322B" w:rsidRDefault="0014322B" w:rsidP="0014322B">
    <w:pPr>
      <w:pStyle w:val="Footer"/>
    </w:pPr>
    <w:r>
      <w:t>EESC-2024-00740-00-0</w:t>
    </w:r>
    <w:r w:rsidR="001564B3">
      <w:t>1</w:t>
    </w:r>
    <w:r>
      <w:t xml:space="preserve">-TCD-TRA (SL) </w:t>
    </w:r>
    <w:r>
      <w:fldChar w:fldCharType="begin"/>
    </w:r>
    <w:r>
      <w:instrText xml:space="preserve"> PAGE  \* Arabic  \* MERGEFORMAT </w:instrText>
    </w:r>
    <w:r>
      <w:fldChar w:fldCharType="separate"/>
    </w:r>
    <w:r>
      <w:t>2</w:t>
    </w:r>
    <w:r>
      <w:fldChar w:fldCharType="end"/>
    </w:r>
    <w:r>
      <w:t>/</w:t>
    </w:r>
    <w:r w:rsidR="007772B2">
      <w:fldChar w:fldCharType="begin"/>
    </w:r>
    <w:r w:rsidR="007772B2">
      <w:instrText xml:space="preserve"> NUMPAGES </w:instrText>
    </w:r>
    <w:r w:rsidR="007772B2">
      <w:fldChar w:fldCharType="separate"/>
    </w:r>
    <w:r>
      <w:t>6</w:t>
    </w:r>
    <w:r w:rsidR="007772B2">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14322B" w:rsidRDefault="00E4258F" w:rsidP="00143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324F" w14:textId="77777777" w:rsidR="002B5510" w:rsidRDefault="002B5510" w:rsidP="003B0516">
      <w:pPr>
        <w:spacing w:line="240" w:lineRule="auto"/>
      </w:pPr>
      <w:r>
        <w:separator/>
      </w:r>
    </w:p>
  </w:footnote>
  <w:footnote w:type="continuationSeparator" w:id="0">
    <w:p w14:paraId="2F3B2B06" w14:textId="77777777" w:rsidR="002B5510" w:rsidRDefault="002B5510" w:rsidP="003B0516">
      <w:pPr>
        <w:spacing w:line="240" w:lineRule="auto"/>
      </w:pPr>
      <w:r>
        <w:continuationSeparator/>
      </w:r>
    </w:p>
  </w:footnote>
  <w:footnote w:id="1">
    <w:p w14:paraId="33A69FC3" w14:textId="77777777" w:rsidR="002C3E59" w:rsidRPr="00606F0C" w:rsidRDefault="002C3E59" w:rsidP="002C3E59">
      <w:pPr>
        <w:pStyle w:val="FootnoteText"/>
      </w:pPr>
      <w:r>
        <w:rPr>
          <w:rStyle w:val="FootnoteReference"/>
        </w:rPr>
        <w:footnoteRef/>
      </w:r>
      <w:r>
        <w:tab/>
        <w:t xml:space="preserve">UL C, C/2023/867, 8.12.2023, ELI: </w:t>
      </w:r>
      <w:hyperlink r:id="rId1" w:history="1">
        <w:r>
          <w:rPr>
            <w:rStyle w:val="Hyperlink"/>
          </w:rPr>
          <w:t>http://data.europa.eu/eli/C/2023/867/oj</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14322B" w:rsidRDefault="00E4258F" w:rsidP="00143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5F557142" w:rsidR="00E4258F" w:rsidRPr="0014322B" w:rsidRDefault="00E4258F" w:rsidP="00143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14322B" w:rsidRDefault="00E4258F" w:rsidP="00143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9581507"/>
    <w:multiLevelType w:val="hybridMultilevel"/>
    <w:tmpl w:val="B858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30E118E"/>
    <w:multiLevelType w:val="hybridMultilevel"/>
    <w:tmpl w:val="E2660496"/>
    <w:lvl w:ilvl="0" w:tplc="56C8D236">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5BB336E7"/>
    <w:multiLevelType w:val="hybridMultilevel"/>
    <w:tmpl w:val="EB0CD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416698"/>
    <w:multiLevelType w:val="hybridMultilevel"/>
    <w:tmpl w:val="54465CA6"/>
    <w:lvl w:ilvl="0" w:tplc="9E6AB0C8">
      <w:start w:val="1"/>
      <w:numFmt w:val="bullet"/>
      <w:lvlText w:val=""/>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14F57A6"/>
    <w:multiLevelType w:val="hybridMultilevel"/>
    <w:tmpl w:val="6804C62C"/>
    <w:lvl w:ilvl="0" w:tplc="90B4B4A6">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9F64F0"/>
    <w:multiLevelType w:val="hybridMultilevel"/>
    <w:tmpl w:val="1DE4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6"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17"/>
  </w:num>
  <w:num w:numId="4">
    <w:abstractNumId w:val="12"/>
  </w:num>
  <w:num w:numId="5">
    <w:abstractNumId w:val="11"/>
  </w:num>
  <w:num w:numId="6">
    <w:abstractNumId w:val="7"/>
  </w:num>
  <w:num w:numId="7">
    <w:abstractNumId w:val="27"/>
  </w:num>
  <w:num w:numId="8">
    <w:abstractNumId w:val="25"/>
  </w:num>
  <w:num w:numId="9">
    <w:abstractNumId w:val="3"/>
  </w:num>
  <w:num w:numId="10">
    <w:abstractNumId w:val="16"/>
  </w:num>
  <w:num w:numId="11">
    <w:abstractNumId w:val="26"/>
  </w:num>
  <w:num w:numId="12">
    <w:abstractNumId w:val="10"/>
  </w:num>
  <w:num w:numId="13">
    <w:abstractNumId w:val="20"/>
  </w:num>
  <w:num w:numId="14">
    <w:abstractNumId w:val="4"/>
  </w:num>
  <w:num w:numId="15">
    <w:abstractNumId w:val="18"/>
  </w:num>
  <w:num w:numId="16">
    <w:abstractNumId w:val="15"/>
  </w:num>
  <w:num w:numId="17">
    <w:abstractNumId w:val="9"/>
  </w:num>
  <w:num w:numId="18">
    <w:abstractNumId w:val="6"/>
  </w:num>
  <w:num w:numId="19">
    <w:abstractNumId w:val="13"/>
  </w:num>
  <w:num w:numId="20">
    <w:abstractNumId w:val="2"/>
  </w:num>
  <w:num w:numId="21">
    <w:abstractNumId w:val="24"/>
  </w:num>
  <w:num w:numId="22">
    <w:abstractNumId w:val="22"/>
  </w:num>
  <w:num w:numId="23">
    <w:abstractNumId w:val="1"/>
  </w:num>
  <w:num w:numId="24">
    <w:abstractNumId w:val="8"/>
  </w:num>
  <w:num w:numId="25">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26">
    <w:abstractNumId w:val="23"/>
  </w:num>
  <w:num w:numId="27">
    <w:abstractNumId w:val="19"/>
  </w:num>
  <w:num w:numId="28">
    <w:abstractNumId w:val="5"/>
  </w:num>
  <w:num w:numId="29">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1461"/>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69EA"/>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43FE"/>
    <w:rsid w:val="00154EC7"/>
    <w:rsid w:val="00155B53"/>
    <w:rsid w:val="001563F6"/>
    <w:rsid w:val="001564B3"/>
    <w:rsid w:val="00157F0F"/>
    <w:rsid w:val="001606AD"/>
    <w:rsid w:val="00163106"/>
    <w:rsid w:val="00164813"/>
    <w:rsid w:val="0016534C"/>
    <w:rsid w:val="00165EA2"/>
    <w:rsid w:val="00165F29"/>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3BC0"/>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1F6"/>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981"/>
    <w:rsid w:val="002B7C5C"/>
    <w:rsid w:val="002B7F3A"/>
    <w:rsid w:val="002C016E"/>
    <w:rsid w:val="002C07E4"/>
    <w:rsid w:val="002C08B8"/>
    <w:rsid w:val="002C0E2F"/>
    <w:rsid w:val="002C2466"/>
    <w:rsid w:val="002C24B9"/>
    <w:rsid w:val="002C2B80"/>
    <w:rsid w:val="002C3E59"/>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5B44"/>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7672"/>
    <w:rsid w:val="00580D6F"/>
    <w:rsid w:val="00582A42"/>
    <w:rsid w:val="00584D91"/>
    <w:rsid w:val="00585857"/>
    <w:rsid w:val="0058593B"/>
    <w:rsid w:val="0058593F"/>
    <w:rsid w:val="00586967"/>
    <w:rsid w:val="00586B4B"/>
    <w:rsid w:val="005874AF"/>
    <w:rsid w:val="00587D5E"/>
    <w:rsid w:val="00587FA5"/>
    <w:rsid w:val="00590BDD"/>
    <w:rsid w:val="00593F1B"/>
    <w:rsid w:val="00594140"/>
    <w:rsid w:val="005941E3"/>
    <w:rsid w:val="0059541C"/>
    <w:rsid w:val="0059647B"/>
    <w:rsid w:val="005967FB"/>
    <w:rsid w:val="005A1FA3"/>
    <w:rsid w:val="005A297E"/>
    <w:rsid w:val="005A29D5"/>
    <w:rsid w:val="005A31A4"/>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AE8"/>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4989"/>
    <w:rsid w:val="006669FA"/>
    <w:rsid w:val="00666A72"/>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3E43"/>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A8E"/>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2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11"/>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DBE"/>
    <w:rsid w:val="008C3E09"/>
    <w:rsid w:val="008C4B50"/>
    <w:rsid w:val="008C4FD1"/>
    <w:rsid w:val="008C5358"/>
    <w:rsid w:val="008C5DFD"/>
    <w:rsid w:val="008D089A"/>
    <w:rsid w:val="008D1E60"/>
    <w:rsid w:val="008D2131"/>
    <w:rsid w:val="008D315D"/>
    <w:rsid w:val="008D5168"/>
    <w:rsid w:val="008D5213"/>
    <w:rsid w:val="008D6032"/>
    <w:rsid w:val="008D7E5D"/>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51F"/>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011"/>
    <w:rsid w:val="009A1B51"/>
    <w:rsid w:val="009A3E0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2D4C"/>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0F48"/>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795"/>
    <w:rsid w:val="00AA69BF"/>
    <w:rsid w:val="00AA6A37"/>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C90"/>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20DA"/>
    <w:rsid w:val="00B0229E"/>
    <w:rsid w:val="00B02467"/>
    <w:rsid w:val="00B06EFC"/>
    <w:rsid w:val="00B0753C"/>
    <w:rsid w:val="00B07DA6"/>
    <w:rsid w:val="00B07E5D"/>
    <w:rsid w:val="00B1006C"/>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77E1D"/>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26F"/>
    <w:rsid w:val="00D725C2"/>
    <w:rsid w:val="00D761CD"/>
    <w:rsid w:val="00D76363"/>
    <w:rsid w:val="00D76F27"/>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0FF3"/>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538"/>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5EB1"/>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763"/>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2CA4"/>
    <w:rsid w:val="00F13607"/>
    <w:rsid w:val="00F1544C"/>
    <w:rsid w:val="00F161F9"/>
    <w:rsid w:val="00F172C5"/>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6A3E43"/>
    <w:pPr>
      <w:numPr>
        <w:numId w:val="9"/>
      </w:numPr>
      <w:tabs>
        <w:tab w:val="left" w:pos="440"/>
        <w:tab w:val="right" w:leader="dot" w:pos="9063"/>
      </w:tabs>
      <w:spacing w:before="240"/>
      <w:ind w:left="928" w:right="-284"/>
      <w:jc w:val="left"/>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E43"/>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sl-SI"/>
    </w:rPr>
  </w:style>
  <w:style w:type="paragraph" w:styleId="CommentSubject">
    <w:name w:val="annotation subject"/>
    <w:basedOn w:val="Normal"/>
    <w:next w:val="Normal"/>
    <w:link w:val="CommentSubjectChar"/>
    <w:uiPriority w:val="99"/>
    <w:semiHidden/>
    <w:unhideWhenUsed/>
    <w:rsid w:val="006A3E43"/>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6A3E43"/>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Normal"/>
    <w:qFormat/>
    <w:rsid w:val="006A3E43"/>
    <w:pPr>
      <w:numPr>
        <w:numId w:val="1"/>
      </w:numPr>
      <w:overflowPunct w:val="0"/>
      <w:autoSpaceDE w:val="0"/>
      <w:autoSpaceDN w:val="0"/>
      <w:adjustRightInd w:val="0"/>
      <w:spacing w:after="200" w:line="240" w:lineRule="auto"/>
      <w:ind w:left="426" w:hanging="426"/>
      <w:contextualSpacing/>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5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sl/our-work/opinions-information-reports/plenary-session-summaries" TargetMode="External"/><Relationship Id="rId18" Type="http://schemas.openxmlformats.org/officeDocument/2006/relationships/hyperlink" Target="https://www.eesc.europa.eu/sl/our-work/opinions-information-reports/opinions/boosting-long-term-inclusive-growth-through-reforms-and-investment" TargetMode="External"/><Relationship Id="rId26" Type="http://schemas.openxmlformats.org/officeDocument/2006/relationships/hyperlink" Target="mailto:Silvia.Staffa@eesc.europa.eu" TargetMode="External"/><Relationship Id="rId39" Type="http://schemas.openxmlformats.org/officeDocument/2006/relationships/hyperlink" Target="mailto:Laia.TomasVinardell@eesc.europa.eu" TargetMode="External"/><Relationship Id="rId21" Type="http://schemas.openxmlformats.org/officeDocument/2006/relationships/hyperlink" Target="https://www.eesc.europa.eu/sl/our-work/opinions-information-reports/opinions/changes-amounts-certain-programmes-and-funds" TargetMode="External"/><Relationship Id="rId34" Type="http://schemas.openxmlformats.org/officeDocument/2006/relationships/hyperlink" Target="mailto:Arturo.Iniguez@eesc.europa.eu" TargetMode="External"/><Relationship Id="rId42" Type="http://schemas.openxmlformats.org/officeDocument/2006/relationships/footer" Target="footer2.xml"/><Relationship Id="rId47" Type="http://schemas.openxmlformats.org/officeDocument/2006/relationships/theme" Target="theme/theme1.xml"/><Relationship Id="rId50" Type="http://schemas.openxmlformats.org/officeDocument/2006/relationships/customXml" Target="../customXml/item3.xml"/><Relationship Id="rId7" Type="http://schemas.openxmlformats.org/officeDocument/2006/relationships/styles" Target="styles.xml"/><Relationship Id="rId16" Type="http://schemas.openxmlformats.org/officeDocument/2006/relationships/hyperlink" Target="mailto:Sophie.Zimmer@eesc.europa.eu" TargetMode="External"/><Relationship Id="rId29" Type="http://schemas.openxmlformats.org/officeDocument/2006/relationships/hyperlink" Target="https://www.eesc.europa.eu/sl/our-work/opinions-information-reports/opinions/chemicals-one-substance-one-assessment" TargetMode="Externa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lice.Tetu@eesc.europa.eu" TargetMode="External"/><Relationship Id="rId32" Type="http://schemas.openxmlformats.org/officeDocument/2006/relationships/hyperlink" Target="mailto:Arturo.Iniguez@eesc.europa.eu" TargetMode="External"/><Relationship Id="rId37" Type="http://schemas.openxmlformats.org/officeDocument/2006/relationships/hyperlink" Target="https://www.eesc.europa.eu/sl/our-work/opinions-information-reports/opinions/wind-power-package" TargetMode="External"/><Relationship Id="rId40" Type="http://schemas.openxmlformats.org/officeDocument/2006/relationships/header" Target="header1.xml"/><Relationship Id="rId45" Type="http://schemas.openxmlformats.org/officeDocument/2006/relationships/footer" Target="footer4.xml"/><Relationship Id="rId15" Type="http://schemas.openxmlformats.org/officeDocument/2006/relationships/footer" Target="footer1.xml"/><Relationship Id="rId23" Type="http://schemas.openxmlformats.org/officeDocument/2006/relationships/hyperlink" Target="https://www.eesc.europa.eu/sl/our-work/opinions-information-reports/opinions/une-initiative-eurohpc-lintention-des-jeunes-entreprises-afin-de-renforcer-le-role-moteur-de-leurope-en-matiere" TargetMode="External"/><Relationship Id="rId28" Type="http://schemas.openxmlformats.org/officeDocument/2006/relationships/hyperlink" Target="mailto:Arturo.Iniguez@eesc.europa.eu" TargetMode="External"/><Relationship Id="rId36" Type="http://schemas.openxmlformats.org/officeDocument/2006/relationships/hyperlink" Target="mailto:Antonio.RibeiroPereira@eesc.europa.eu" TargetMode="External"/><Relationship Id="rId49"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hyperlink" Target="mailto:Colombe.Gregoire@eesc.europa.eu" TargetMode="External"/><Relationship Id="rId31" Type="http://schemas.openxmlformats.org/officeDocument/2006/relationships/hyperlink" Target="https://www.eesc.europa.eu/sl/our-work/opinions-information-reports/opinions/eu-forests-new-eu-framework-forest-monitoring-and-strategic-plans" TargetMode="External"/><Relationship Id="rId44"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Georgios.Meleas@eesc.europa.eu" TargetMode="External"/><Relationship Id="rId27" Type="http://schemas.openxmlformats.org/officeDocument/2006/relationships/hyperlink" Target="https://www.eesc.europa.eu/sl/our-work/opinions-information-reports/opinions/equivalence-des-semences-produites-en-moldavie-et-en-ukraine" TargetMode="External"/><Relationship Id="rId30" Type="http://schemas.openxmlformats.org/officeDocument/2006/relationships/hyperlink" Target="mailto:Gaia.Bottoni@eesc.europa.eu" TargetMode="External"/><Relationship Id="rId35" Type="http://schemas.openxmlformats.org/officeDocument/2006/relationships/hyperlink" Target="https://www.eesc.europa.eu/sl/our-work/opinions-information-reports/opinions/review-passengers-rights-framework" TargetMode="External"/><Relationship Id="rId43" Type="http://schemas.openxmlformats.org/officeDocument/2006/relationships/footer" Target="footer3.xml"/><Relationship Id="rId48" Type="http://schemas.openxmlformats.org/officeDocument/2006/relationships/customXml" Target="../customXml/item1.xml"/><Relationship Id="rId8" Type="http://schemas.openxmlformats.org/officeDocument/2006/relationships/settings" Target="settings.xml"/><Relationship Id="rId51" Type="http://schemas.openxmlformats.org/officeDocument/2006/relationships/customXml" Target="../customXml/item4.xml"/><Relationship Id="rId12" Type="http://schemas.openxmlformats.org/officeDocument/2006/relationships/image" Target="media/image1.jpeg"/><Relationship Id="rId17" Type="http://schemas.openxmlformats.org/officeDocument/2006/relationships/hyperlink" Target="mailto:Gemma.Amran@eesc.europa.eu" TargetMode="External"/><Relationship Id="rId25" Type="http://schemas.openxmlformats.org/officeDocument/2006/relationships/hyperlink" Target="https://www.eesc.europa.eu/sl/our-work/opinions-information-reports/opinions/eudamed-and-vitro-diagnostic-medical-devices" TargetMode="External"/><Relationship Id="rId33" Type="http://schemas.openxmlformats.org/officeDocument/2006/relationships/hyperlink" Target="https://www.eesc.europa.eu/sl/our-work/opinions-information-reports/opinions/regulation-welfare-dogs-and-cats-and-their-traceability" TargetMode="External"/><Relationship Id="rId38" Type="http://schemas.openxmlformats.org/officeDocument/2006/relationships/hyperlink" Target="mailto:GiorgiaAndrea.Bordignon@eesc.europa.eu" TargetMode="External"/><Relationship Id="rId46" Type="http://schemas.openxmlformats.org/officeDocument/2006/relationships/fontTable" Target="fontTable.xml"/><Relationship Id="rId20" Type="http://schemas.openxmlformats.org/officeDocument/2006/relationships/hyperlink" Target="mailto:Krisztina.PerlakyToth@eesc.europa.eu" TargetMode="External"/><Relationship Id="rId41"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C/2023/86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F7M6YNZUATRX-416430479-7287</_dlc_DocId>
    <_dlc_DocIdUrl xmlns="59ace41b-6786-4ce3-be71-52c27066c6ef">
      <Url>http://dm/eesc/2024/_layouts/15/DocIdRedir.aspx?ID=F7M6YNZUATRX-416430479-7287</Url>
      <Description>F7M6YNZUATRX-416430479-7287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2024-04-10T12:00:00+00:00</ProductionDate>
    <DocumentNumber xmlns="1178e5e2-058a-41a1-9851-331c7b3fffb8">740</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2024-04-24T12:00:00+00:00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4011</FicheNumber>
    <OriginalSender xmlns="59ace41b-6786-4ce3-be71-52c27066c6ef">
      <UserInfo>
        <DisplayName>Sinko Borut</DisplayName>
        <AccountId>1546</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587</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15BD1-1804-413B-87E4-A7AE1E685EDD}"/>
</file>

<file path=customXml/itemProps2.xml><?xml version="1.0" encoding="utf-8"?>
<ds:datastoreItem xmlns:ds="http://schemas.openxmlformats.org/officeDocument/2006/customXml" ds:itemID="{EC590503-15A9-4293-8C92-93EC9B87764B}"/>
</file>

<file path=customXml/itemProps3.xml><?xml version="1.0" encoding="utf-8"?>
<ds:datastoreItem xmlns:ds="http://schemas.openxmlformats.org/officeDocument/2006/customXml" ds:itemID="{3A42AF12-9F6B-438B-BC8E-11DC1357AB0E}"/>
</file>

<file path=customXml/itemProps4.xml><?xml version="1.0" encoding="utf-8"?>
<ds:datastoreItem xmlns:ds="http://schemas.openxmlformats.org/officeDocument/2006/customXml" ds:itemID="{323C8E48-0AF9-45A5-98F6-A1EEE892FE23}"/>
</file>

<file path=docProps/app.xml><?xml version="1.0" encoding="utf-8"?>
<Properties xmlns="http://schemas.openxmlformats.org/officeDocument/2006/extended-properties" xmlns:vt="http://schemas.openxmlformats.org/officeDocument/2006/docPropsVTypes">
  <Template>Normal.dotm</Template>
  <TotalTime>1</TotalTime>
  <Pages>14</Pages>
  <Words>3389</Words>
  <Characters>19318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Summary of opinions - 583rd plenary session December 2023</vt:lpstr>
    </vt:vector>
  </TitlesOfParts>
  <Company>CESE-CdR</Company>
  <LinksUpToDate>false</LinksUpToDate>
  <CharactersWithSpaces>22662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Povzetek sprejetih mnenj - 586. plenarno zasedanje - marec 2024</dc:title>
  <dc:subject>TCD</dc:subject>
  <dc:creator>Nieddu Emma</dc:creator>
  <cp:keywords>EESC-2024-00740-00-01-TCD-TRA-EN</cp:keywords>
  <dc:description>Rapporteur:  - Original language: EN - Date of document: 10/04/2024 - Date of meeting: 30/24/2024 14:30 - External documents:  - Administrator: MME TAMASAUSKIENE Julija</dc:description>
  <cp:lastModifiedBy>Sinko Borut</cp:lastModifiedBy>
  <cp:revision>6</cp:revision>
  <cp:lastPrinted>2023-06-15T08:00:00Z</cp:lastPrinted>
  <dcterms:created xsi:type="dcterms:W3CDTF">2024-04-10T13:32:00Z</dcterms:created>
  <dcterms:modified xsi:type="dcterms:W3CDTF">2024-04-10T13:36:00Z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27/03/2024, 03/01/2024, 13/11/2023, 25/09/2023, 25/07/2023, 30/06/2023, 23/06/2023, 26/05/2023, 07/03/2023, 11/01/2023, 10/01/2023, 29/03/2022, 04/03/2022, 15/12/2021, 13/09/2021, 03/09/2021, 28/06/2021</vt:lpwstr>
  </property>
  <property fmtid="{D5CDD505-2E9C-101B-9397-08002B2CF9AE}" pid="4" name="Pref_Time">
    <vt:lpwstr>12:24:19, 15:02:18, 17:01:12, 16:07:19, 11:58:41, 14:00:08, 12:39:02, 15:12:50, 10:27:54, 10:12:15, 11:41:25, 14:21:50, 16:54:06, 17:56:36, 14:13:00, 10:08:10, 08:41:48</vt:lpwstr>
  </property>
  <property fmtid="{D5CDD505-2E9C-101B-9397-08002B2CF9AE}" pid="5" name="Pref_User">
    <vt:lpwstr>pacup, enied, amett, amett, jhvi, pacup, jhvi, pacup, enied, pacup, enied, jhvi, enied, hnic, amett, enied, enied</vt:lpwstr>
  </property>
  <property fmtid="{D5CDD505-2E9C-101B-9397-08002B2CF9AE}" pid="6" name="Pref_FileName">
    <vt:lpwstr>EESC-2024-00740-00-00-TCD-TRA.docx, EESC-2023-04915-00-00-TCD-ORI.docx, EESC-2023-04201-00-00-TCD-ORI.docx, EESC-2023-03625-00-00-TCD-ORI.docx, EESC-2023-03078-00-00-TCD-TRA-EN-CRR.docx, EESC-2023-02218-00-01-TCD-TRA.docx, EESC-2023-02218-00-00-TCD-ORI.do</vt:lpwstr>
  </property>
  <property fmtid="{D5CDD505-2E9C-101B-9397-08002B2CF9AE}" pid="7" name="ContentTypeId">
    <vt:lpwstr>0x010100EA97B91038054C99906057A708A1480A00E20A70424F8EF14D84929FAE9E34774B</vt:lpwstr>
  </property>
  <property fmtid="{D5CDD505-2E9C-101B-9397-08002B2CF9AE}" pid="8" name="_dlc_DocIdItemGuid">
    <vt:lpwstr>04473d98-a5d9-4856-8932-9077594f76a4</vt:lpwstr>
  </property>
  <property fmtid="{D5CDD505-2E9C-101B-9397-08002B2CF9AE}" pid="9" name="AvailableTranslations">
    <vt:lpwstr>26;#SK|46d9fce0-ef79-4f71-b89b-cd6aa82426b8;#33;#ET|ff6c3f4c-b02c-4c3c-ab07-2c37995a7a0a;#17;#PL|1e03da61-4678-4e07-b136-b5024ca9197b;#16;#DA|5d49c027-8956-412b-aa16-e85a0f96ad0e;#30;#HR|2f555653-ed1a-4fe6-8362-9082d95989e5;#36;#PT|50ccc04a-eadd-42ae-a0cb-acaf45f812ba;#34;#LT|a7ff5ce7-6123-4f68-865a-a57c31810414;#22;#BG|1a1b3951-7821-4e6a-85f5-5673fc08bd2c;#37;#RO|feb747a2-64cd-4299-af12-4833ddc30497;#24;#ES|e7a6b05b-ae16-40c8-add9-68b64b03aeba;#31;#NL|55c6556c-b4f4-441d-9acf-c498d4f838bd;#28;#LV|46f7e311-5d9f-4663-b433-18aeccb7ace7;#27;#SL|98a412ae-eb01-49e9-ae3d-585a81724cfc;#29;#EL|6d4f4d51-af9b-4650-94b4-4276bee85c91;#32;#HU|6b229040-c589-4408-b4c1-4285663d20a8;#35;#FI|87606a43-d45f-42d6-b8c9-e1a3457db5b7;#43;#CS|72f9705b-0217-4fd3-bea2-cbc7ed80e26e;#21;#SV|c2ed69e7-a339-43d7-8f22-d93680a92aa0;#14;#FR|d2afafd3-4c81-4f60-8f52-ee33f2f54ff3;#5;#EN|f2175f21-25d7-44a3-96da-d6a61b075e1b;#25;#DE|f6b31e5a-26fa-4935-b661-318e46daf27e;#12;#IT|0774613c-01ed-4e5d-a25d-11d2388de825</vt:lpwstr>
  </property>
  <property fmtid="{D5CDD505-2E9C-101B-9397-08002B2CF9AE}" pid="10" name="DocumentType_0">
    <vt:lpwstr>TCD|cd9d6eb6-3f4f-424a-b2d1-57c9d450eaaf</vt:lpwstr>
  </property>
  <property fmtid="{D5CDD505-2E9C-101B-9397-08002B2CF9AE}" pid="11" name="MeetingNumber">
    <vt:i4>587</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740</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2024-04-24T12:00:00Z</vt:filetime>
  </property>
  <property fmtid="{D5CDD505-2E9C-101B-9397-08002B2CF9AE}" pid="29" name="AvailableTranslations_0">
    <vt:lpwstr>SK|46d9fce0-ef79-4f71-b89b-cd6aa82426b8;ET|ff6c3f4c-b02c-4c3c-ab07-2c37995a7a0a;PL|1e03da61-4678-4e07-b136-b5024ca9197b;DA|5d49c027-8956-412b-aa16-e85a0f96ad0e;HR|2f555653-ed1a-4fe6-8362-9082d95989e5;PT|50ccc04a-eadd-42ae-a0cb-acaf45f812ba;LT|a7ff5ce7-6123-4f68-865a-a57c31810414;BG|1a1b3951-7821-4e6a-85f5-5673fc08bd2c;ES|e7a6b05b-ae16-40c8-add9-68b64b03aeba;NL|55c6556c-b4f4-441d-9acf-c498d4f838bd;LV|46f7e311-5d9f-4663-b433-18aeccb7ace7;EL|6d4f4d51-af9b-4650-94b4-4276bee85c91;HU|6b229040-c589-4408-b4c1-4285663d20a8;FI|87606a43-d45f-42d6-b8c9-e1a3457db5b7;CS|72f9705b-0217-4fd3-bea2-cbc7ed80e26e;SV|c2ed69e7-a339-43d7-8f22-d93680a92aa0;FR|d2afafd3-4c81-4f60-8f52-ee33f2f54ff3;EN|f2175f21-25d7-44a3-96da-d6a61b075e1b;DE|f6b31e5a-26fa-4935-b661-318e46daf27e;IT|0774613c-01ed-4e5d-a25d-11d2388de825</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33;#ET|ff6c3f4c-b02c-4c3c-ab07-2c37995a7a0a;#32;#HU|6b229040-c589-4408-b4c1-4285663d20a8;#31;#NL|55c6556c-b4f4-441d-9acf-c498d4f838bd;#30;#HR|2f555653-ed1a-4fe6-8362-9082d95989e5;#29;#EL|6d4f4d51-af9b-4650-94b4-4276bee85c91;#28;#LV|46f7e311-5d9f-4663-b433-18aeccb7ace7;#26;#SK|46d9fce0-ef79-4f71-b89b-cd6aa82426b8;#25;#DE|f6b31e5a-26fa-4935-b661-318e46daf27e;#24;#ES|e7a6b05b-ae16-40c8-add9-68b64b03aeba;#22;#BG|1a1b3951-7821-4e6a-85f5-5673fc08bd2c;#21;#SV|c2ed69e7-a339-43d7-8f22-d93680a92aa0;#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43;#CS|72f9705b-0217-4fd3-bea2-cbc7ed80e26e;#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4011</vt:i4>
  </property>
  <property fmtid="{D5CDD505-2E9C-101B-9397-08002B2CF9AE}" pid="37" name="DocumentLanguage">
    <vt:lpwstr>27;#SL|98a412ae-eb01-49e9-ae3d-585a81724cfc</vt:lpwstr>
  </property>
</Properties>
</file>