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7B2394" w14:paraId="785AE44C" w14:textId="318B7E11">
      <w:pPr>
        <w:jc w:val="center"/>
      </w:pPr>
      <w:r>
        <w:rPr>
          <w:noProof/>
        </w:rPr>
        <w:drawing>
          <wp:inline distT="0" distB="0" distL="0" distR="0" wp14:anchorId="0AA228CA" wp14:editId="2CE03CDC">
            <wp:extent cx="1792605" cy="1239520"/>
            <wp:effectExtent l="0" t="0" r="0" b="0"/>
            <wp:docPr id="2" name="Picture 2" title="EESCLogo_FR"/>
            <wp:cNvGraphicFramePr/>
            <a:graphic xmlns:a="http://schemas.openxmlformats.org/drawingml/2006/main">
              <a:graphicData uri="http://schemas.openxmlformats.org/drawingml/2006/picture">
                <pic:pic xmlns:pic="http://schemas.openxmlformats.org/drawingml/2006/picture">
                  <pic:nvPicPr>
                    <pic:cNvPr id="2" name="Picture 2" title="EESCLogo_F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4F702A37"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20F6419">
      <w:pPr>
        <w:jc w:val="right"/>
      </w:pPr>
      <w:r>
        <w:t>Bruxelles, le 22 avril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37FE175">
            <w:pPr>
              <w:snapToGrid w:val="0"/>
              <w:jc w:val="center"/>
              <w:rPr>
                <w:b/>
                <w:sz w:val="32"/>
              </w:rPr>
            </w:pPr>
            <w:r>
              <w:rPr>
                <w:b/>
                <w:sz w:val="32"/>
              </w:rPr>
              <w:t>586</w:t>
            </w:r>
            <w:r>
              <w:rPr>
                <w:b/>
                <w:sz w:val="32"/>
                <w:vertAlign w:val="superscript"/>
              </w:rPr>
              <w:t>e</w:t>
            </w:r>
            <w:r>
              <w:rPr>
                <w:b/>
                <w:sz w:val="32"/>
              </w:rPr>
              <w:t> SESSION PLÉNIÈRE</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1FBCCB42">
            <w:pPr>
              <w:snapToGrid w:val="0"/>
              <w:jc w:val="center"/>
              <w:rPr>
                <w:b/>
                <w:sz w:val="32"/>
              </w:rPr>
            </w:pPr>
            <w:r>
              <w:rPr>
                <w:b/>
                <w:sz w:val="32"/>
              </w:rPr>
              <w:t>les 20 et 21 mars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SYNTHÈSE DES AVIS, RÉSOLUTIONS ET RAPPORTS D’INFORMATION/D’ÉVALUATION ADOPTÉS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Ce document est disponible dans toutes les langues officielles de l’Union européenne sur le site internet du CESE à l’adresse suivante:</w:t>
            </w:r>
          </w:p>
          <w:p w:rsidRPr="00094B6B" w:rsidR="00B16284" w:rsidP="00775FC4" w:rsidRDefault="00B16284" w14:paraId="4F26A4CE" w14:textId="77777777">
            <w:pPr>
              <w:snapToGrid w:val="0"/>
              <w:jc w:val="center"/>
            </w:pPr>
          </w:p>
          <w:p w:rsidRPr="00094B6B" w:rsidR="004D7AC0" w:rsidP="00775FC4" w:rsidRDefault="00C87FB4" w14:paraId="2A9352A2" w14:textId="0680ADB6">
            <w:pPr>
              <w:snapToGrid w:val="0"/>
              <w:jc w:val="center"/>
            </w:pPr>
            <w:hyperlink w:history="1" r:id="rId13">
              <w:r w:rsidR="007B2394">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D84DDE" w14:paraId="1C64BC20" w14:textId="3E2C0697">
            <w:pPr>
              <w:snapToGrid w:val="0"/>
              <w:jc w:val="center"/>
            </w:pPr>
            <w:r>
              <w:t>Les avis mentionnés peuvent être consultés en ligne au moyen du moteur de recherche du CESE:</w:t>
            </w:r>
          </w:p>
          <w:p w:rsidRPr="00094B6B" w:rsidR="00B16284" w:rsidP="00775FC4" w:rsidRDefault="00B16284" w14:paraId="7A5411A5" w14:textId="77777777">
            <w:pPr>
              <w:snapToGrid w:val="0"/>
              <w:jc w:val="center"/>
            </w:pPr>
          </w:p>
          <w:p w:rsidRPr="00094B6B" w:rsidR="004D7AC0" w:rsidP="00775FC4" w:rsidRDefault="00C87FB4" w14:paraId="441AC4DD" w14:textId="1194D751">
            <w:pPr>
              <w:snapToGrid w:val="0"/>
              <w:jc w:val="center"/>
            </w:pPr>
            <w:hyperlink w:history="1" r:id="rId14">
              <w:r w:rsidR="007B2394">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A85A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Table des matières</w:t>
      </w:r>
    </w:p>
    <w:p w:rsidR="00D84DDE" w:rsidRDefault="0014322B" w14:paraId="1FB17C3C" w14:textId="2221D9EF">
      <w:pPr>
        <w:pStyle w:val="TOC1"/>
        <w:rPr>
          <w:rFonts w:asciiTheme="minorHAnsi" w:hAnsiTheme="minorHAnsi" w:eastAsiaTheme="minorEastAsia" w:cstheme="minorBidi"/>
          <w:bCs w:val="0"/>
          <w:sz w:val="22"/>
          <w:szCs w:val="22"/>
          <w:lang w:val="fr-BE" w:eastAsia="fr-BE"/>
        </w:rPr>
      </w:pPr>
      <w:r>
        <w:fldChar w:fldCharType="begin"/>
      </w:r>
      <w:r>
        <w:instrText xml:space="preserve"> TOC \o "1-1" \h \z \u </w:instrText>
      </w:r>
      <w:r>
        <w:fldChar w:fldCharType="separate"/>
      </w:r>
      <w:hyperlink w:history="1" w:anchor="_Toc163634979">
        <w:r w:rsidRPr="00451703" w:rsidR="00D84DDE">
          <w:rPr>
            <w:rStyle w:val="Hyperlink"/>
            <w14:scene3d>
              <w14:camera w14:prst="orthographicFront"/>
              <w14:lightRig w14:rig="threePt" w14:dir="t">
                <w14:rot w14:lat="0" w14:lon="0" w14:rev="0"/>
              </w14:lightRig>
            </w14:scene3d>
          </w:rPr>
          <w:t>1.</w:t>
        </w:r>
        <w:r w:rsidR="00D84DDE">
          <w:rPr>
            <w:rFonts w:asciiTheme="minorHAnsi" w:hAnsiTheme="minorHAnsi" w:eastAsiaTheme="minorEastAsia" w:cstheme="minorBidi"/>
            <w:bCs w:val="0"/>
            <w:sz w:val="22"/>
            <w:szCs w:val="22"/>
            <w:lang w:val="fr-BE" w:eastAsia="fr-BE"/>
          </w:rPr>
          <w:tab/>
        </w:r>
        <w:r w:rsidRPr="00451703" w:rsidR="00D84DDE">
          <w:rPr>
            <w:rStyle w:val="Hyperlink"/>
            <w:b/>
          </w:rPr>
          <w:t>RÉSOLUTION</w:t>
        </w:r>
        <w:r w:rsidR="00D84DDE">
          <w:rPr>
            <w:webHidden/>
          </w:rPr>
          <w:tab/>
        </w:r>
        <w:r w:rsidR="00D84DDE">
          <w:rPr>
            <w:webHidden/>
          </w:rPr>
          <w:fldChar w:fldCharType="begin"/>
        </w:r>
        <w:r w:rsidR="00D84DDE">
          <w:rPr>
            <w:webHidden/>
          </w:rPr>
          <w:instrText xml:space="preserve"> PAGEREF _Toc163634979 \h </w:instrText>
        </w:r>
        <w:r w:rsidR="00D84DDE">
          <w:rPr>
            <w:webHidden/>
          </w:rPr>
        </w:r>
        <w:r w:rsidR="00D84DDE">
          <w:rPr>
            <w:webHidden/>
          </w:rPr>
          <w:fldChar w:fldCharType="separate"/>
        </w:r>
        <w:r w:rsidR="00D84DDE">
          <w:rPr>
            <w:webHidden/>
          </w:rPr>
          <w:t>3</w:t>
        </w:r>
        <w:r w:rsidR="00D84DDE">
          <w:rPr>
            <w:webHidden/>
          </w:rPr>
          <w:fldChar w:fldCharType="end"/>
        </w:r>
      </w:hyperlink>
    </w:p>
    <w:p w:rsidR="00D84DDE" w:rsidRDefault="00D84DDE" w14:paraId="76F7D1F3" w14:textId="5A756764">
      <w:pPr>
        <w:pStyle w:val="TOC1"/>
        <w:rPr>
          <w:rFonts w:asciiTheme="minorHAnsi" w:hAnsiTheme="minorHAnsi" w:eastAsiaTheme="minorEastAsia" w:cstheme="minorBidi"/>
          <w:bCs w:val="0"/>
          <w:sz w:val="22"/>
          <w:szCs w:val="22"/>
          <w:lang w:val="fr-BE" w:eastAsia="fr-BE"/>
        </w:rPr>
      </w:pPr>
      <w:hyperlink w:history="1" w:anchor="_Toc163634980">
        <w:r w:rsidRPr="00451703">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fr-BE" w:eastAsia="fr-BE"/>
          </w:rPr>
          <w:tab/>
        </w:r>
        <w:r w:rsidRPr="00451703">
          <w:rPr>
            <w:rStyle w:val="Hyperlink"/>
            <w:b/>
          </w:rPr>
          <w:t>UNION ÉCONOMIQUE ET MONÉTAIRE ET COHÉSION ÉCONOMIQUE ET SOCIALE</w:t>
        </w:r>
        <w:r>
          <w:rPr>
            <w:webHidden/>
          </w:rPr>
          <w:tab/>
        </w:r>
        <w:r>
          <w:rPr>
            <w:webHidden/>
          </w:rPr>
          <w:fldChar w:fldCharType="begin"/>
        </w:r>
        <w:r>
          <w:rPr>
            <w:webHidden/>
          </w:rPr>
          <w:instrText xml:space="preserve"> PAGEREF _Toc163634980 \h </w:instrText>
        </w:r>
        <w:r>
          <w:rPr>
            <w:webHidden/>
          </w:rPr>
        </w:r>
        <w:r>
          <w:rPr>
            <w:webHidden/>
          </w:rPr>
          <w:fldChar w:fldCharType="separate"/>
        </w:r>
        <w:r>
          <w:rPr>
            <w:webHidden/>
          </w:rPr>
          <w:t>4</w:t>
        </w:r>
        <w:r>
          <w:rPr>
            <w:webHidden/>
          </w:rPr>
          <w:fldChar w:fldCharType="end"/>
        </w:r>
      </w:hyperlink>
    </w:p>
    <w:p w:rsidR="00D84DDE" w:rsidRDefault="00D84DDE" w14:paraId="1C3E5469" w14:textId="49F0ED74">
      <w:pPr>
        <w:pStyle w:val="TOC1"/>
        <w:rPr>
          <w:rFonts w:asciiTheme="minorHAnsi" w:hAnsiTheme="minorHAnsi" w:eastAsiaTheme="minorEastAsia" w:cstheme="minorBidi"/>
          <w:bCs w:val="0"/>
          <w:sz w:val="22"/>
          <w:szCs w:val="22"/>
          <w:lang w:val="fr-BE" w:eastAsia="fr-BE"/>
        </w:rPr>
      </w:pPr>
      <w:hyperlink w:history="1" w:anchor="_Toc163634981">
        <w:r w:rsidRPr="00451703">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fr-BE" w:eastAsia="fr-BE"/>
          </w:rPr>
          <w:tab/>
        </w:r>
        <w:r w:rsidRPr="00451703">
          <w:rPr>
            <w:rStyle w:val="Hyperlink"/>
            <w:b/>
          </w:rPr>
          <w:t>MARCHÉ UNIQUE, PRODUCTION ET CONSOMMATION</w:t>
        </w:r>
        <w:r>
          <w:rPr>
            <w:webHidden/>
          </w:rPr>
          <w:tab/>
        </w:r>
        <w:r>
          <w:rPr>
            <w:webHidden/>
          </w:rPr>
          <w:fldChar w:fldCharType="begin"/>
        </w:r>
        <w:r>
          <w:rPr>
            <w:webHidden/>
          </w:rPr>
          <w:instrText xml:space="preserve"> PAGEREF _Toc163634981 \h </w:instrText>
        </w:r>
        <w:r>
          <w:rPr>
            <w:webHidden/>
          </w:rPr>
        </w:r>
        <w:r>
          <w:rPr>
            <w:webHidden/>
          </w:rPr>
          <w:fldChar w:fldCharType="separate"/>
        </w:r>
        <w:r>
          <w:rPr>
            <w:webHidden/>
          </w:rPr>
          <w:t>7</w:t>
        </w:r>
        <w:r>
          <w:rPr>
            <w:webHidden/>
          </w:rPr>
          <w:fldChar w:fldCharType="end"/>
        </w:r>
      </w:hyperlink>
    </w:p>
    <w:p w:rsidR="00D84DDE" w:rsidRDefault="00D84DDE" w14:paraId="1E3900CF" w14:textId="3056B11A">
      <w:pPr>
        <w:pStyle w:val="TOC1"/>
        <w:rPr>
          <w:rFonts w:asciiTheme="minorHAnsi" w:hAnsiTheme="minorHAnsi" w:eastAsiaTheme="minorEastAsia" w:cstheme="minorBidi"/>
          <w:bCs w:val="0"/>
          <w:sz w:val="22"/>
          <w:szCs w:val="22"/>
          <w:lang w:val="fr-BE" w:eastAsia="fr-BE"/>
        </w:rPr>
      </w:pPr>
      <w:hyperlink w:history="1" w:anchor="_Toc163634982">
        <w:r w:rsidRPr="00451703">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fr-BE" w:eastAsia="fr-BE"/>
          </w:rPr>
          <w:tab/>
        </w:r>
        <w:r w:rsidRPr="00451703">
          <w:rPr>
            <w:rStyle w:val="Hyperlink"/>
            <w:b/>
          </w:rPr>
          <w:t>AGRICULTURE, DÉVELOPPEMENT RURAL ET ENVIRONNEMENT</w:t>
        </w:r>
        <w:r>
          <w:rPr>
            <w:webHidden/>
          </w:rPr>
          <w:tab/>
        </w:r>
        <w:r>
          <w:rPr>
            <w:webHidden/>
          </w:rPr>
          <w:fldChar w:fldCharType="begin"/>
        </w:r>
        <w:r>
          <w:rPr>
            <w:webHidden/>
          </w:rPr>
          <w:instrText xml:space="preserve"> PAGEREF _Toc163634982 \h </w:instrText>
        </w:r>
        <w:r>
          <w:rPr>
            <w:webHidden/>
          </w:rPr>
        </w:r>
        <w:r>
          <w:rPr>
            <w:webHidden/>
          </w:rPr>
          <w:fldChar w:fldCharType="separate"/>
        </w:r>
        <w:r>
          <w:rPr>
            <w:webHidden/>
          </w:rPr>
          <w:t>9</w:t>
        </w:r>
        <w:r>
          <w:rPr>
            <w:webHidden/>
          </w:rPr>
          <w:fldChar w:fldCharType="end"/>
        </w:r>
      </w:hyperlink>
    </w:p>
    <w:p w:rsidR="00D84DDE" w:rsidRDefault="00D84DDE" w14:paraId="0BE0D5AD" w14:textId="1972E0B8">
      <w:pPr>
        <w:pStyle w:val="TOC1"/>
        <w:rPr>
          <w:rFonts w:asciiTheme="minorHAnsi" w:hAnsiTheme="minorHAnsi" w:eastAsiaTheme="minorEastAsia" w:cstheme="minorBidi"/>
          <w:bCs w:val="0"/>
          <w:sz w:val="22"/>
          <w:szCs w:val="22"/>
          <w:lang w:val="fr-BE" w:eastAsia="fr-BE"/>
        </w:rPr>
      </w:pPr>
      <w:hyperlink w:history="1" w:anchor="_Toc163634983">
        <w:r w:rsidRPr="00451703">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fr-BE" w:eastAsia="fr-BE"/>
          </w:rPr>
          <w:tab/>
        </w:r>
        <w:r w:rsidRPr="00451703">
          <w:rPr>
            <w:rStyle w:val="Hyperlink"/>
            <w:b/>
          </w:rPr>
          <w:t>TRANSPORTS, ÉNERGIE, INFRASTRUCTURES ET SOCIÉTÉ DE L’INFORMATION</w:t>
        </w:r>
        <w:r>
          <w:rPr>
            <w:webHidden/>
          </w:rPr>
          <w:tab/>
        </w:r>
        <w:r>
          <w:rPr>
            <w:webHidden/>
          </w:rPr>
          <w:fldChar w:fldCharType="begin"/>
        </w:r>
        <w:r>
          <w:rPr>
            <w:webHidden/>
          </w:rPr>
          <w:instrText xml:space="preserve"> PAGEREF _Toc163634983 \h </w:instrText>
        </w:r>
        <w:r>
          <w:rPr>
            <w:webHidden/>
          </w:rPr>
        </w:r>
        <w:r>
          <w:rPr>
            <w:webHidden/>
          </w:rPr>
          <w:fldChar w:fldCharType="separate"/>
        </w:r>
        <w:r>
          <w:rPr>
            <w:webHidden/>
          </w:rPr>
          <w:t>13</w:t>
        </w:r>
        <w:r>
          <w:rPr>
            <w:webHidden/>
          </w:rPr>
          <w:fldChar w:fldCharType="end"/>
        </w:r>
      </w:hyperlink>
    </w:p>
    <w:p w:rsidR="00D84DDE" w:rsidRDefault="00D84DDE" w14:paraId="4B720478" w14:textId="3EB24357">
      <w:pPr>
        <w:pStyle w:val="TOC1"/>
        <w:rPr>
          <w:rFonts w:asciiTheme="minorHAnsi" w:hAnsiTheme="minorHAnsi" w:eastAsiaTheme="minorEastAsia" w:cstheme="minorBidi"/>
          <w:bCs w:val="0"/>
          <w:sz w:val="22"/>
          <w:szCs w:val="22"/>
          <w:lang w:val="fr-BE" w:eastAsia="fr-BE"/>
        </w:rPr>
      </w:pPr>
      <w:hyperlink w:history="1" w:anchor="_Toc163634984">
        <w:r w:rsidRPr="00451703">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fr-BE" w:eastAsia="fr-BE"/>
          </w:rPr>
          <w:tab/>
        </w:r>
        <w:r w:rsidRPr="00451703">
          <w:rPr>
            <w:rStyle w:val="Hyperlink"/>
            <w:b/>
          </w:rPr>
          <w:t>COMMISSION CONSULTATIVE DES MUTATIONS INDUSTRIELLES</w:t>
        </w:r>
        <w:r>
          <w:rPr>
            <w:webHidden/>
          </w:rPr>
          <w:tab/>
        </w:r>
        <w:r>
          <w:rPr>
            <w:webHidden/>
          </w:rPr>
          <w:fldChar w:fldCharType="begin"/>
        </w:r>
        <w:r>
          <w:rPr>
            <w:webHidden/>
          </w:rPr>
          <w:instrText xml:space="preserve"> PAGEREF _Toc163634984 \h </w:instrText>
        </w:r>
        <w:r>
          <w:rPr>
            <w:webHidden/>
          </w:rPr>
        </w:r>
        <w:r>
          <w:rPr>
            <w:webHidden/>
          </w:rPr>
          <w:fldChar w:fldCharType="separate"/>
        </w:r>
        <w:r>
          <w:rPr>
            <w:webHidden/>
          </w:rPr>
          <w:t>15</w:t>
        </w:r>
        <w:r>
          <w:rPr>
            <w:webHidden/>
          </w:rPr>
          <w:fldChar w:fldCharType="end"/>
        </w:r>
      </w:hyperlink>
    </w:p>
    <w:p w:rsidR="00C86ABD" w:rsidRDefault="0014322B" w14:paraId="4EDE006A" w14:textId="70225964">
      <w:pPr>
        <w:jc w:val="left"/>
      </w:pPr>
      <w:r>
        <w:fldChar w:fldCharType="end"/>
      </w:r>
      <w:r>
        <w:br w:type="page"/>
      </w:r>
    </w:p>
    <w:p w:rsidR="00C86ABD" w:rsidP="00810736" w:rsidRDefault="00C86ABD" w14:paraId="6C806385" w14:textId="0970C9A4">
      <w:pPr>
        <w:pStyle w:val="Heading1"/>
        <w:ind w:left="709" w:hanging="720"/>
        <w:rPr>
          <w:b/>
          <w:bCs/>
        </w:rPr>
      </w:pPr>
      <w:bookmarkStart w:name="_Toc163634979" w:id="0"/>
      <w:r>
        <w:rPr>
          <w:b/>
        </w:rPr>
        <w:lastRenderedPageBreak/>
        <w:t>RÉSOLUTION</w:t>
      </w:r>
      <w:bookmarkEnd w:id="0"/>
      <w:r>
        <w:rPr>
          <w:b/>
        </w:rPr>
        <w:t xml:space="preserve"> </w:t>
      </w:r>
    </w:p>
    <w:p w:rsidRPr="004516BD" w:rsidR="004516BD" w:rsidP="004516BD" w:rsidRDefault="004516BD" w14:paraId="46F44DDA" w14:textId="77777777"/>
    <w:p w:rsidRPr="008469D4" w:rsidR="008469D4" w:rsidP="008469D4" w:rsidRDefault="008469D4" w14:paraId="1862AFC9" w14:textId="77777777"/>
    <w:p w:rsidRPr="00810E21" w:rsidR="00810E21" w:rsidP="004351D4" w:rsidRDefault="00810E21" w14:paraId="2DFED345" w14:textId="77777777">
      <w:pPr>
        <w:widowControl w:val="0"/>
        <w:numPr>
          <w:ilvl w:val="0"/>
          <w:numId w:val="2"/>
        </w:numPr>
        <w:overflowPunct w:val="0"/>
        <w:autoSpaceDE w:val="0"/>
        <w:autoSpaceDN w:val="0"/>
        <w:adjustRightInd w:val="0"/>
        <w:ind w:hanging="567"/>
        <w:textAlignment w:val="baseline"/>
        <w:rPr>
          <w:sz w:val="24"/>
          <w:szCs w:val="24"/>
        </w:rPr>
      </w:pPr>
      <w:r>
        <w:rPr>
          <w:b/>
          <w:i/>
          <w:sz w:val="28"/>
        </w:rPr>
        <w:t xml:space="preserve">Résolution du CESE: Votez pour une Union européenne unie, démocratique, compétitive, durable et sociale </w:t>
      </w:r>
    </w:p>
    <w:p w:rsidRPr="00810E21" w:rsidR="00810E21" w:rsidP="00810E21" w:rsidRDefault="00810E21" w14:paraId="23FBD2E3"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6"/>
      </w:tblGrid>
      <w:tr w:rsidRPr="00810E21" w:rsidR="00810E21" w:rsidTr="0053712F" w14:paraId="54FDB40E" w14:textId="77777777">
        <w:tc>
          <w:tcPr>
            <w:tcW w:w="1701" w:type="dxa"/>
          </w:tcPr>
          <w:p w:rsidRPr="00810E21" w:rsidR="00810E21" w:rsidP="00810E21" w:rsidRDefault="00810E21" w14:paraId="0ED6199F" w14:textId="13DC5802">
            <w:pPr>
              <w:tabs>
                <w:tab w:val="center" w:pos="284"/>
              </w:tabs>
              <w:overflowPunct w:val="0"/>
              <w:autoSpaceDE w:val="0"/>
              <w:autoSpaceDN w:val="0"/>
              <w:adjustRightInd w:val="0"/>
              <w:ind w:left="266" w:hanging="266"/>
              <w:textAlignment w:val="baseline"/>
              <w:rPr>
                <w:b/>
              </w:rPr>
            </w:pPr>
            <w:r>
              <w:rPr>
                <w:b/>
              </w:rPr>
              <w:t>Rapporteurs</w:t>
            </w:r>
          </w:p>
        </w:tc>
        <w:tc>
          <w:tcPr>
            <w:tcW w:w="6946" w:type="dxa"/>
          </w:tcPr>
          <w:p w:rsidRPr="00810E21" w:rsidR="00810E21" w:rsidP="00810E21" w:rsidRDefault="00810E21" w14:paraId="46A1A35B" w14:textId="5CBA92A6">
            <w:pPr>
              <w:tabs>
                <w:tab w:val="center" w:pos="284"/>
              </w:tabs>
              <w:overflowPunct w:val="0"/>
              <w:autoSpaceDE w:val="0"/>
              <w:autoSpaceDN w:val="0"/>
              <w:adjustRightInd w:val="0"/>
              <w:ind w:left="266" w:hanging="266"/>
              <w:textAlignment w:val="baseline"/>
            </w:pPr>
            <w:r>
              <w:t>Christa SCHWENG (groupe des employeurs — A</w:t>
            </w:r>
            <w:r w:rsidR="00B9550C">
              <w:t>utriche</w:t>
            </w:r>
            <w:r>
              <w:t>)</w:t>
            </w:r>
          </w:p>
          <w:p w:rsidRPr="00810E21" w:rsidR="00810E21" w:rsidP="00810E21" w:rsidRDefault="00810E21" w14:paraId="4204B58C" w14:textId="582C90DC">
            <w:pPr>
              <w:tabs>
                <w:tab w:val="center" w:pos="284"/>
              </w:tabs>
              <w:overflowPunct w:val="0"/>
              <w:autoSpaceDE w:val="0"/>
              <w:autoSpaceDN w:val="0"/>
              <w:adjustRightInd w:val="0"/>
              <w:ind w:left="266" w:hanging="266"/>
              <w:textAlignment w:val="baseline"/>
            </w:pPr>
            <w:r>
              <w:t>Cinzia DEL RIO (groupe des travailleurs — I</w:t>
            </w:r>
            <w:r w:rsidR="00B9550C">
              <w:t>talie</w:t>
            </w:r>
            <w:r>
              <w:t>)</w:t>
            </w:r>
          </w:p>
          <w:p w:rsidRPr="00B9550C" w:rsidR="00810E21" w:rsidP="00810E21" w:rsidRDefault="00810E21" w14:paraId="49B58D62" w14:textId="4AF0D143">
            <w:pPr>
              <w:tabs>
                <w:tab w:val="center" w:pos="284"/>
              </w:tabs>
              <w:overflowPunct w:val="0"/>
              <w:autoSpaceDE w:val="0"/>
              <w:autoSpaceDN w:val="0"/>
              <w:adjustRightInd w:val="0"/>
              <w:ind w:left="266" w:hanging="266"/>
              <w:textAlignment w:val="baseline"/>
              <w:rPr>
                <w:spacing w:val="-4"/>
              </w:rPr>
            </w:pPr>
            <w:r w:rsidRPr="00B9550C">
              <w:rPr>
                <w:spacing w:val="-4"/>
              </w:rPr>
              <w:t xml:space="preserve">Ioannis VARDAKASTANIS (groupe des organisations de la société civile — </w:t>
            </w:r>
            <w:r w:rsidRPr="00B9550C" w:rsidR="00B9550C">
              <w:rPr>
                <w:spacing w:val="-4"/>
              </w:rPr>
              <w:t>Grèce</w:t>
            </w:r>
            <w:r w:rsidRPr="00B9550C">
              <w:rPr>
                <w:spacing w:val="-4"/>
              </w:rPr>
              <w:t>)</w:t>
            </w:r>
          </w:p>
        </w:tc>
      </w:tr>
      <w:tr w:rsidRPr="00810E21" w:rsidR="00810E21" w:rsidTr="0053712F" w14:paraId="7C1F3996" w14:textId="77777777">
        <w:tc>
          <w:tcPr>
            <w:tcW w:w="8647" w:type="dxa"/>
            <w:gridSpan w:val="2"/>
          </w:tcPr>
          <w:p w:rsidRPr="00810E21" w:rsidR="00810E21" w:rsidP="00810E21" w:rsidRDefault="00810E21" w14:paraId="23F1538E" w14:textId="77777777">
            <w:pPr>
              <w:tabs>
                <w:tab w:val="center" w:pos="284"/>
              </w:tabs>
              <w:overflowPunct w:val="0"/>
              <w:autoSpaceDE w:val="0"/>
              <w:autoSpaceDN w:val="0"/>
              <w:adjustRightInd w:val="0"/>
              <w:spacing w:line="160" w:lineRule="exact"/>
              <w:ind w:left="266" w:hanging="266"/>
              <w:textAlignment w:val="baseline"/>
            </w:pPr>
          </w:p>
        </w:tc>
      </w:tr>
      <w:tr w:rsidRPr="00810E21" w:rsidR="00810E21" w:rsidTr="0053712F" w14:paraId="742FC594" w14:textId="77777777">
        <w:tc>
          <w:tcPr>
            <w:tcW w:w="1701" w:type="dxa"/>
            <w:vMerge w:val="restart"/>
          </w:tcPr>
          <w:p w:rsidRPr="00810E21" w:rsidR="00810E21" w:rsidP="00810E21" w:rsidRDefault="00810E21" w14:paraId="54F128E0" w14:textId="43E96659">
            <w:pPr>
              <w:tabs>
                <w:tab w:val="center" w:pos="284"/>
              </w:tabs>
              <w:overflowPunct w:val="0"/>
              <w:autoSpaceDE w:val="0"/>
              <w:autoSpaceDN w:val="0"/>
              <w:adjustRightInd w:val="0"/>
              <w:ind w:left="266" w:hanging="266"/>
              <w:textAlignment w:val="baseline"/>
              <w:rPr>
                <w:b/>
              </w:rPr>
            </w:pPr>
            <w:r>
              <w:rPr>
                <w:b/>
              </w:rPr>
              <w:t>Référence</w:t>
            </w:r>
          </w:p>
        </w:tc>
        <w:tc>
          <w:tcPr>
            <w:tcW w:w="6946" w:type="dxa"/>
          </w:tcPr>
          <w:p w:rsidRPr="00810E21" w:rsidR="00810E21" w:rsidP="00810E21" w:rsidRDefault="00810E21" w14:paraId="42B9FD1B" w14:textId="77777777">
            <w:pPr>
              <w:tabs>
                <w:tab w:val="center" w:pos="284"/>
              </w:tabs>
              <w:overflowPunct w:val="0"/>
              <w:autoSpaceDE w:val="0"/>
              <w:autoSpaceDN w:val="0"/>
              <w:adjustRightInd w:val="0"/>
              <w:ind w:left="266" w:hanging="266"/>
              <w:textAlignment w:val="baseline"/>
            </w:pPr>
            <w:r>
              <w:t>EESC-2024-00483-00-00-RES</w:t>
            </w:r>
          </w:p>
        </w:tc>
      </w:tr>
      <w:tr w:rsidRPr="00810E21" w:rsidR="00810E21" w:rsidTr="0053712F" w14:paraId="0050EC2F" w14:textId="77777777">
        <w:tc>
          <w:tcPr>
            <w:tcW w:w="1701" w:type="dxa"/>
            <w:vMerge/>
          </w:tcPr>
          <w:p w:rsidRPr="00810E21" w:rsidR="00810E21" w:rsidP="00810E21" w:rsidRDefault="00810E21" w14:paraId="67BBB79F" w14:textId="77777777">
            <w:pPr>
              <w:tabs>
                <w:tab w:val="center" w:pos="284"/>
              </w:tabs>
              <w:overflowPunct w:val="0"/>
              <w:autoSpaceDE w:val="0"/>
              <w:autoSpaceDN w:val="0"/>
              <w:adjustRightInd w:val="0"/>
              <w:ind w:left="266" w:hanging="266"/>
              <w:textAlignment w:val="baseline"/>
              <w:rPr>
                <w:b/>
              </w:rPr>
            </w:pPr>
          </w:p>
        </w:tc>
        <w:tc>
          <w:tcPr>
            <w:tcW w:w="6946" w:type="dxa"/>
          </w:tcPr>
          <w:p w:rsidRPr="00810E21" w:rsidR="00810E21" w:rsidP="00810E21" w:rsidRDefault="00810E21" w14:paraId="27804E84" w14:textId="77777777">
            <w:pPr>
              <w:tabs>
                <w:tab w:val="center" w:pos="284"/>
              </w:tabs>
              <w:overflowPunct w:val="0"/>
              <w:autoSpaceDE w:val="0"/>
              <w:autoSpaceDN w:val="0"/>
              <w:adjustRightInd w:val="0"/>
              <w:ind w:left="266" w:hanging="266"/>
              <w:textAlignment w:val="baseline"/>
            </w:pPr>
          </w:p>
        </w:tc>
      </w:tr>
    </w:tbl>
    <w:p w:rsidRPr="00810E21" w:rsidR="00810E21" w:rsidP="00810E21" w:rsidRDefault="00810E21" w14:paraId="3B816C77" w14:textId="4946F1D6">
      <w:pPr>
        <w:keepNext/>
        <w:keepLines/>
        <w:tabs>
          <w:tab w:val="center" w:pos="284"/>
        </w:tabs>
        <w:overflowPunct w:val="0"/>
        <w:autoSpaceDE w:val="0"/>
        <w:autoSpaceDN w:val="0"/>
        <w:adjustRightInd w:val="0"/>
        <w:ind w:left="266" w:hanging="124"/>
        <w:textAlignment w:val="baseline"/>
        <w:rPr>
          <w:b/>
        </w:rPr>
      </w:pPr>
      <w:r>
        <w:rPr>
          <w:b/>
        </w:rPr>
        <w:t>Points clés</w:t>
      </w:r>
    </w:p>
    <w:p w:rsidRPr="00810E21" w:rsidR="00810E21" w:rsidP="00810E21" w:rsidRDefault="00810E21" w14:paraId="6F2ADD35" w14:textId="77777777">
      <w:pPr>
        <w:keepNext/>
        <w:keepLines/>
        <w:tabs>
          <w:tab w:val="center" w:pos="284"/>
        </w:tabs>
        <w:overflowPunct w:val="0"/>
        <w:autoSpaceDE w:val="0"/>
        <w:autoSpaceDN w:val="0"/>
        <w:adjustRightInd w:val="0"/>
        <w:ind w:left="266" w:hanging="266"/>
        <w:textAlignment w:val="baseline"/>
        <w:rPr>
          <w:b/>
        </w:rPr>
      </w:pPr>
    </w:p>
    <w:p w:rsidRPr="00810E21" w:rsidR="00810E21" w:rsidP="00810E21" w:rsidRDefault="00810E21" w14:paraId="5A752985" w14:textId="77777777">
      <w:pPr>
        <w:overflowPunct w:val="0"/>
        <w:autoSpaceDE w:val="0"/>
        <w:autoSpaceDN w:val="0"/>
        <w:adjustRightInd w:val="0"/>
        <w:ind w:left="142"/>
        <w:textAlignment w:val="baseline"/>
        <w:rPr>
          <w:bCs/>
          <w:iCs/>
        </w:rPr>
      </w:pPr>
      <w:r>
        <w:t>Le CESE</w:t>
      </w:r>
    </w:p>
    <w:p w:rsidRPr="00810E21" w:rsidR="00810E21" w:rsidP="00810E21" w:rsidRDefault="00810E21" w14:paraId="5BC6C97A" w14:textId="77777777">
      <w:pPr>
        <w:overflowPunct w:val="0"/>
        <w:autoSpaceDE w:val="0"/>
        <w:autoSpaceDN w:val="0"/>
        <w:adjustRightInd w:val="0"/>
        <w:textAlignment w:val="baseline"/>
        <w:rPr>
          <w:bCs/>
          <w:iCs/>
        </w:rPr>
      </w:pPr>
    </w:p>
    <w:p w:rsidRPr="00810E21" w:rsidR="00810E21" w:rsidP="004351D4" w:rsidRDefault="00810E21" w14:paraId="742C3851" w14:textId="77777777">
      <w:pPr>
        <w:numPr>
          <w:ilvl w:val="0"/>
          <w:numId w:val="10"/>
        </w:numPr>
        <w:overflowPunct w:val="0"/>
        <w:autoSpaceDE w:val="0"/>
        <w:autoSpaceDN w:val="0"/>
        <w:adjustRightInd w:val="0"/>
        <w:spacing w:after="200" w:line="276" w:lineRule="auto"/>
        <w:ind w:left="567" w:hanging="425"/>
        <w:contextualSpacing/>
        <w:textAlignment w:val="baseline"/>
      </w:pPr>
      <w:r>
        <w:t>invite les citoyens de l’Union européenne à faire usage de leur droit démocratique qu’est celui de voter. Il souligne qu’en se rendant aux urnes au mois de juin, les citoyens de l’Union auront la possibilité d’élire les députés au Parlement européen et d’appuyer, par leur voix, le renforcement de l’intégration européenne;</w:t>
      </w:r>
    </w:p>
    <w:p w:rsidRPr="00810E21" w:rsidR="00810E21" w:rsidP="004351D4" w:rsidRDefault="00810E21" w14:paraId="4EFC4A1A" w14:textId="77777777">
      <w:pPr>
        <w:numPr>
          <w:ilvl w:val="0"/>
          <w:numId w:val="10"/>
        </w:numPr>
        <w:overflowPunct w:val="0"/>
        <w:autoSpaceDE w:val="0"/>
        <w:autoSpaceDN w:val="0"/>
        <w:adjustRightInd w:val="0"/>
        <w:spacing w:after="200" w:line="276" w:lineRule="auto"/>
        <w:ind w:left="567" w:hanging="425"/>
        <w:contextualSpacing/>
        <w:textAlignment w:val="baseline"/>
      </w:pPr>
      <w:r>
        <w:t>fait valoir que l’Union nous offre la liberté de travailler, d’étudier et d’entreprendre dans chacun de ses États membres;</w:t>
      </w:r>
    </w:p>
    <w:p w:rsidRPr="00810E21" w:rsidR="00810E21" w:rsidP="004351D4" w:rsidRDefault="00810E21" w14:paraId="69E8D78F" w14:textId="77777777">
      <w:pPr>
        <w:numPr>
          <w:ilvl w:val="0"/>
          <w:numId w:val="10"/>
        </w:numPr>
        <w:overflowPunct w:val="0"/>
        <w:autoSpaceDE w:val="0"/>
        <w:autoSpaceDN w:val="0"/>
        <w:adjustRightInd w:val="0"/>
        <w:spacing w:after="200" w:line="276" w:lineRule="auto"/>
        <w:ind w:left="567" w:hanging="425"/>
        <w:contextualSpacing/>
        <w:textAlignment w:val="baseline"/>
      </w:pPr>
      <w:r>
        <w:t>insiste sur le fait qu’aucun pays de l’Union européenne n’est en mesure, à lui seul, de venir à bout de difficultés telles que la hausse du coût de la vie et de l’inflation, les guerres qui font rage à nos portes, les migrations, l’urgence climatique et le rétrécissement de l’espace civique. La réponse ne réside pas dans le nationalisme, le populisme ou les solutions propres à un seul État;</w:t>
      </w:r>
    </w:p>
    <w:p w:rsidRPr="00810E21" w:rsidR="00810E21" w:rsidP="004351D4" w:rsidRDefault="00810E21" w14:paraId="0871E5FE" w14:textId="77777777">
      <w:pPr>
        <w:numPr>
          <w:ilvl w:val="0"/>
          <w:numId w:val="10"/>
        </w:numPr>
        <w:overflowPunct w:val="0"/>
        <w:autoSpaceDE w:val="0"/>
        <w:autoSpaceDN w:val="0"/>
        <w:adjustRightInd w:val="0"/>
        <w:spacing w:after="200" w:line="276" w:lineRule="auto"/>
        <w:ind w:left="567" w:hanging="425"/>
        <w:contextualSpacing/>
        <w:textAlignment w:val="baseline"/>
      </w:pPr>
      <w:r>
        <w:t xml:space="preserve">relève que seule une Union européenne unie, démocratique, compétitive, durable et sociale nous permettra d’accomplir de réelles avancées sur ces questions, et de gommer les inégalités et les disparités entre les pays et en leur sein; </w:t>
      </w:r>
    </w:p>
    <w:p w:rsidRPr="00810E21" w:rsidR="00810E21" w:rsidP="004351D4" w:rsidRDefault="00810E21" w14:paraId="19494D12" w14:textId="77777777">
      <w:pPr>
        <w:numPr>
          <w:ilvl w:val="0"/>
          <w:numId w:val="10"/>
        </w:numPr>
        <w:overflowPunct w:val="0"/>
        <w:autoSpaceDE w:val="0"/>
        <w:autoSpaceDN w:val="0"/>
        <w:adjustRightInd w:val="0"/>
        <w:spacing w:after="200" w:line="276" w:lineRule="auto"/>
        <w:ind w:left="567" w:hanging="425"/>
        <w:contextualSpacing/>
        <w:textAlignment w:val="baseline"/>
      </w:pPr>
      <w:r>
        <w:t>souligne qu’il importe de consolider, défendre et protéger sans relâche les valeurs communes de l’Union que sont la démocratie, la protection des droits de l’homme, la liberté d’expression, l’état de droit, la tolérance, la justice, la non-discrimination, l’égalité, la solidarité et la participation démocratique, et de prévenir à tout prix la pauvreté et l’exclusion sociale;</w:t>
      </w:r>
    </w:p>
    <w:p w:rsidRPr="00810E21" w:rsidR="00810E21" w:rsidP="004351D4" w:rsidRDefault="00810E21" w14:paraId="248EC9DC" w14:textId="77777777">
      <w:pPr>
        <w:numPr>
          <w:ilvl w:val="0"/>
          <w:numId w:val="10"/>
        </w:numPr>
        <w:overflowPunct w:val="0"/>
        <w:autoSpaceDE w:val="0"/>
        <w:autoSpaceDN w:val="0"/>
        <w:adjustRightInd w:val="0"/>
        <w:spacing w:after="200" w:line="276" w:lineRule="auto"/>
        <w:ind w:left="567" w:hanging="425"/>
        <w:contextualSpacing/>
        <w:textAlignment w:val="baseline"/>
      </w:pPr>
      <w:r>
        <w:t>fait observer que l’Union européenne doit s’imposer comme un acteur influent sur la scène mondiale pour prévenir et résoudre les conflits, investir dans le multilatéralisme et instaurer une paix durable;</w:t>
      </w:r>
    </w:p>
    <w:p w:rsidRPr="00810E21" w:rsidR="00810E21" w:rsidP="004351D4" w:rsidRDefault="00810E21" w14:paraId="5A228D5E" w14:textId="77777777">
      <w:pPr>
        <w:numPr>
          <w:ilvl w:val="0"/>
          <w:numId w:val="10"/>
        </w:numPr>
        <w:overflowPunct w:val="0"/>
        <w:autoSpaceDE w:val="0"/>
        <w:autoSpaceDN w:val="0"/>
        <w:adjustRightInd w:val="0"/>
        <w:spacing w:after="200" w:line="276" w:lineRule="auto"/>
        <w:ind w:left="567" w:hanging="425"/>
        <w:contextualSpacing/>
        <w:textAlignment w:val="baseline"/>
      </w:pPr>
      <w:r>
        <w:t>note que seule une Union européenne forte sera à même d’assurer la pérennité de son modèle économique et social en garantissant la sécurité économique et alimentaire, la compétitivité à l’échelle mondiale et la réalisation des transitions numérique et écologique.</w:t>
      </w:r>
    </w:p>
    <w:p w:rsidR="00810E21" w:rsidP="00810E21" w:rsidRDefault="00810E21" w14:paraId="7A964023" w14:textId="3A44E197">
      <w:pPr>
        <w:spacing w:after="200" w:line="276" w:lineRule="auto"/>
        <w:ind w:left="567"/>
        <w:contextualSpacing/>
        <w:rPr>
          <w:lang w:eastAsia="zh-CN"/>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gridCol w:w="3663"/>
      </w:tblGrid>
      <w:tr w:rsidRPr="009401A5" w:rsidR="008A72F9" w:rsidTr="00C70DA6" w14:paraId="3E6C92DB" w14:textId="77777777">
        <w:tc>
          <w:tcPr>
            <w:tcW w:w="1173" w:type="dxa"/>
          </w:tcPr>
          <w:p w:rsidRPr="008C5358" w:rsidR="008A72F9" w:rsidP="00C70DA6" w:rsidRDefault="008A72F9" w14:paraId="35ABE59D" w14:textId="6987A11D">
            <w:pPr>
              <w:overflowPunct w:val="0"/>
              <w:autoSpaceDE w:val="0"/>
              <w:autoSpaceDN w:val="0"/>
              <w:adjustRightInd w:val="0"/>
              <w:textAlignment w:val="baseline"/>
              <w:rPr>
                <w:i/>
              </w:rPr>
            </w:pPr>
            <w:r>
              <w:rPr>
                <w:b/>
                <w:i/>
              </w:rPr>
              <w:t>Contact:</w:t>
            </w:r>
          </w:p>
        </w:tc>
        <w:tc>
          <w:tcPr>
            <w:tcW w:w="4518" w:type="dxa"/>
          </w:tcPr>
          <w:p w:rsidRPr="00B01501" w:rsidR="008A72F9" w:rsidP="00C70DA6" w:rsidRDefault="008A72F9" w14:paraId="1E948D02" w14:textId="1C263045">
            <w:pPr>
              <w:overflowPunct w:val="0"/>
              <w:autoSpaceDE w:val="0"/>
              <w:autoSpaceDN w:val="0"/>
              <w:adjustRightInd w:val="0"/>
              <w:textAlignment w:val="baseline"/>
              <w:rPr>
                <w:b/>
                <w:bCs/>
                <w:i/>
              </w:rPr>
            </w:pPr>
            <w:r>
              <w:rPr>
                <w:i/>
              </w:rPr>
              <w:t>Sophie Zimmer</w:t>
            </w:r>
          </w:p>
        </w:tc>
        <w:tc>
          <w:tcPr>
            <w:tcW w:w="3663" w:type="dxa"/>
          </w:tcPr>
          <w:p w:rsidRPr="005A622F" w:rsidR="008A72F9" w:rsidP="00C70DA6" w:rsidRDefault="008A72F9" w14:paraId="43F23874" w14:textId="7D280CF8">
            <w:pPr>
              <w:overflowPunct w:val="0"/>
              <w:autoSpaceDE w:val="0"/>
              <w:autoSpaceDN w:val="0"/>
              <w:adjustRightInd w:val="0"/>
              <w:textAlignment w:val="baseline"/>
              <w:rPr>
                <w:i/>
              </w:rPr>
            </w:pPr>
            <w:r>
              <w:rPr>
                <w:i/>
              </w:rPr>
              <w:t xml:space="preserve">Gemma </w:t>
            </w:r>
            <w:proofErr w:type="spellStart"/>
            <w:r>
              <w:rPr>
                <w:i/>
              </w:rPr>
              <w:t>Amran</w:t>
            </w:r>
            <w:proofErr w:type="spellEnd"/>
          </w:p>
        </w:tc>
      </w:tr>
      <w:tr w:rsidRPr="009401A5" w:rsidR="008A72F9" w:rsidTr="00C70DA6" w14:paraId="67F67D14" w14:textId="77777777">
        <w:tc>
          <w:tcPr>
            <w:tcW w:w="1173" w:type="dxa"/>
          </w:tcPr>
          <w:p w:rsidRPr="008C5358" w:rsidR="008A72F9" w:rsidP="00C70DA6" w:rsidRDefault="008A72F9" w14:paraId="664AB7CB" w14:textId="77777777">
            <w:pPr>
              <w:overflowPunct w:val="0"/>
              <w:autoSpaceDE w:val="0"/>
              <w:autoSpaceDN w:val="0"/>
              <w:adjustRightInd w:val="0"/>
              <w:textAlignment w:val="baseline"/>
              <w:rPr>
                <w:i/>
              </w:rPr>
            </w:pPr>
            <w:r>
              <w:rPr>
                <w:i/>
              </w:rPr>
              <w:t>Tél.:</w:t>
            </w:r>
          </w:p>
        </w:tc>
        <w:tc>
          <w:tcPr>
            <w:tcW w:w="4518" w:type="dxa"/>
          </w:tcPr>
          <w:p w:rsidRPr="0014322B" w:rsidR="008A72F9" w:rsidP="00C70DA6" w:rsidRDefault="008A72F9" w14:paraId="5B79D796" w14:textId="52097209">
            <w:pPr>
              <w:overflowPunct w:val="0"/>
              <w:autoSpaceDE w:val="0"/>
              <w:autoSpaceDN w:val="0"/>
              <w:adjustRightInd w:val="0"/>
              <w:textAlignment w:val="baseline"/>
              <w:rPr>
                <w:i/>
              </w:rPr>
            </w:pPr>
            <w:r>
              <w:rPr>
                <w:i/>
              </w:rPr>
              <w:t>+32 25469584</w:t>
            </w:r>
          </w:p>
        </w:tc>
        <w:tc>
          <w:tcPr>
            <w:tcW w:w="3663" w:type="dxa"/>
          </w:tcPr>
          <w:p w:rsidRPr="00B01501" w:rsidR="008A72F9" w:rsidP="00C70DA6" w:rsidRDefault="008A72F9" w14:paraId="6C508475" w14:textId="387BE9C0">
            <w:pPr>
              <w:overflowPunct w:val="0"/>
              <w:autoSpaceDE w:val="0"/>
              <w:autoSpaceDN w:val="0"/>
              <w:adjustRightInd w:val="0"/>
              <w:textAlignment w:val="baseline"/>
              <w:rPr>
                <w:i/>
              </w:rPr>
            </w:pPr>
            <w:r>
              <w:rPr>
                <w:i/>
              </w:rPr>
              <w:t>+32 25469415</w:t>
            </w:r>
          </w:p>
        </w:tc>
      </w:tr>
      <w:tr w:rsidRPr="009401A5" w:rsidR="008A72F9" w:rsidTr="00C70DA6" w14:paraId="1EB476E3" w14:textId="77777777">
        <w:tc>
          <w:tcPr>
            <w:tcW w:w="1173" w:type="dxa"/>
          </w:tcPr>
          <w:p w:rsidRPr="008C5358" w:rsidR="008A72F9" w:rsidP="00C70DA6" w:rsidRDefault="008A72F9" w14:paraId="76295CC7" w14:textId="77777777">
            <w:pPr>
              <w:overflowPunct w:val="0"/>
              <w:autoSpaceDE w:val="0"/>
              <w:autoSpaceDN w:val="0"/>
              <w:adjustRightInd w:val="0"/>
              <w:textAlignment w:val="baseline"/>
              <w:rPr>
                <w:i/>
              </w:rPr>
            </w:pPr>
            <w:r>
              <w:rPr>
                <w:i/>
              </w:rPr>
              <w:t>Courriel:</w:t>
            </w:r>
          </w:p>
        </w:tc>
        <w:tc>
          <w:tcPr>
            <w:tcW w:w="4518" w:type="dxa"/>
          </w:tcPr>
          <w:p w:rsidRPr="00B01501" w:rsidR="008A72F9" w:rsidP="00C70DA6" w:rsidRDefault="00C87FB4" w14:paraId="2BD92971" w14:textId="7F916F99">
            <w:pPr>
              <w:overflowPunct w:val="0"/>
              <w:autoSpaceDE w:val="0"/>
              <w:autoSpaceDN w:val="0"/>
              <w:adjustRightInd w:val="0"/>
              <w:textAlignment w:val="baseline"/>
              <w:rPr>
                <w:i/>
              </w:rPr>
            </w:pPr>
            <w:hyperlink w:history="1" r:id="rId21">
              <w:r w:rsidR="007B2394">
                <w:rPr>
                  <w:rStyle w:val="Hyperlink"/>
                  <w:i/>
                </w:rPr>
                <w:t>Sophie.Zimmer@eesc.europa.eu</w:t>
              </w:r>
            </w:hyperlink>
            <w:r w:rsidR="007B2394">
              <w:rPr>
                <w:i/>
              </w:rPr>
              <w:t xml:space="preserve"> </w:t>
            </w:r>
          </w:p>
        </w:tc>
        <w:tc>
          <w:tcPr>
            <w:tcW w:w="3663" w:type="dxa"/>
          </w:tcPr>
          <w:p w:rsidRPr="009401A5" w:rsidR="008A72F9" w:rsidP="00126C43" w:rsidRDefault="00C87FB4" w14:paraId="3706E60E" w14:textId="12C4CE70">
            <w:pPr>
              <w:overflowPunct w:val="0"/>
              <w:autoSpaceDE w:val="0"/>
              <w:autoSpaceDN w:val="0"/>
              <w:adjustRightInd w:val="0"/>
              <w:spacing w:line="240" w:lineRule="auto"/>
              <w:textAlignment w:val="baseline"/>
            </w:pPr>
            <w:hyperlink w:history="1" r:id="rId22">
              <w:r w:rsidR="007B2394">
                <w:rPr>
                  <w:rStyle w:val="Hyperlink"/>
                  <w:i/>
                </w:rPr>
                <w:t>Gemma.Amran@eesc.europa.eu</w:t>
              </w:r>
            </w:hyperlink>
          </w:p>
        </w:tc>
      </w:tr>
    </w:tbl>
    <w:p w:rsidR="00810E21" w:rsidRDefault="00810E21" w14:paraId="14717870" w14:textId="348755A8">
      <w:pPr>
        <w:spacing w:after="160" w:line="259" w:lineRule="auto"/>
        <w:jc w:val="left"/>
      </w:pPr>
      <w:r>
        <w:br w:type="page"/>
      </w: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63634980" w:id="3"/>
      <w:bookmarkEnd w:id="1"/>
      <w:bookmarkEnd w:id="2"/>
      <w:r>
        <w:rPr>
          <w:b/>
        </w:rPr>
        <w:lastRenderedPageBreak/>
        <w:t>UNION ÉCONOMIQUE ET MONÉTAIRE ET COHÉSION ÉCONOMIQUE ET SOCIALE</w:t>
      </w:r>
      <w:bookmarkEnd w:id="3"/>
    </w:p>
    <w:p w:rsidRPr="00EE2FBD" w:rsidR="00B807B4" w:rsidP="00810736" w:rsidRDefault="00B807B4" w14:paraId="3CAC710B" w14:textId="11524E6A">
      <w:pPr>
        <w:pStyle w:val="Heading1"/>
        <w:numPr>
          <w:ilvl w:val="0"/>
          <w:numId w:val="0"/>
        </w:numPr>
        <w:ind w:left="928"/>
        <w:rPr>
          <w:b/>
          <w:bCs/>
        </w:rPr>
      </w:pPr>
    </w:p>
    <w:p w:rsidRPr="009401A5" w:rsidR="009401A5" w:rsidP="004351D4" w:rsidRDefault="00C87FB4" w14:paraId="732F26A2" w14:textId="472AC962">
      <w:pPr>
        <w:widowControl w:val="0"/>
        <w:numPr>
          <w:ilvl w:val="0"/>
          <w:numId w:val="2"/>
        </w:numPr>
        <w:overflowPunct w:val="0"/>
        <w:autoSpaceDE w:val="0"/>
        <w:autoSpaceDN w:val="0"/>
        <w:adjustRightInd w:val="0"/>
        <w:ind w:hanging="567"/>
        <w:textAlignment w:val="baseline"/>
        <w:rPr>
          <w:b/>
          <w:bCs/>
          <w:i/>
          <w:iCs/>
          <w:sz w:val="28"/>
          <w:szCs w:val="28"/>
        </w:rPr>
      </w:pPr>
      <w:hyperlink w:history="1" r:id="rId23">
        <w:r w:rsidR="007B2394">
          <w:rPr>
            <w:b/>
            <w:i/>
            <w:color w:val="0000FF"/>
            <w:sz w:val="28"/>
            <w:u w:val="single"/>
          </w:rPr>
          <w:t>Stimuler une croissance inclusive à long terme au moyen de réformes et d’investissements</w:t>
        </w:r>
      </w:hyperlink>
    </w:p>
    <w:p w:rsidRPr="005A622F" w:rsidR="009401A5" w:rsidP="009401A5" w:rsidRDefault="009401A5" w14:paraId="72EA198C" w14:textId="77777777">
      <w:pPr>
        <w:widowControl w:val="0"/>
        <w:overflowPunct w:val="0"/>
        <w:autoSpaceDE w:val="0"/>
        <w:autoSpaceDN w:val="0"/>
        <w:adjustRightInd w:val="0"/>
        <w:ind w:left="266"/>
        <w:textAlignment w:val="baseline"/>
        <w:rPr>
          <w:b/>
          <w:sz w:val="14"/>
          <w:szCs w:val="14"/>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01A5" w:rsidR="009401A5" w:rsidTr="0053712F" w14:paraId="23CAC401" w14:textId="77777777">
        <w:tc>
          <w:tcPr>
            <w:tcW w:w="1701" w:type="dxa"/>
          </w:tcPr>
          <w:p w:rsidRPr="009401A5" w:rsidR="009401A5" w:rsidP="009401A5" w:rsidRDefault="009401A5" w14:paraId="2BE8AACD" w14:textId="69CB3425">
            <w:pPr>
              <w:tabs>
                <w:tab w:val="center" w:pos="284"/>
              </w:tabs>
              <w:overflowPunct w:val="0"/>
              <w:autoSpaceDE w:val="0"/>
              <w:autoSpaceDN w:val="0"/>
              <w:adjustRightInd w:val="0"/>
              <w:ind w:left="266" w:hanging="266"/>
              <w:textAlignment w:val="baseline"/>
              <w:rPr>
                <w:b/>
              </w:rPr>
            </w:pPr>
            <w:r>
              <w:rPr>
                <w:b/>
              </w:rPr>
              <w:t>Rapporteur</w:t>
            </w:r>
            <w:r w:rsidR="00B9550C">
              <w:rPr>
                <w:b/>
              </w:rPr>
              <w:t>s</w:t>
            </w:r>
          </w:p>
        </w:tc>
        <w:tc>
          <w:tcPr>
            <w:tcW w:w="7088" w:type="dxa"/>
          </w:tcPr>
          <w:p w:rsidRPr="009401A5" w:rsidR="009401A5" w:rsidP="009401A5" w:rsidRDefault="009401A5" w14:paraId="17ED555D" w14:textId="143FADD8">
            <w:pPr>
              <w:tabs>
                <w:tab w:val="center" w:pos="284"/>
              </w:tabs>
              <w:overflowPunct w:val="0"/>
              <w:autoSpaceDE w:val="0"/>
              <w:autoSpaceDN w:val="0"/>
              <w:adjustRightInd w:val="0"/>
              <w:textAlignment w:val="baseline"/>
            </w:pPr>
            <w:r>
              <w:t>Javier DOZ ORRIT (groupe des travailleurs — Espagne)</w:t>
            </w:r>
          </w:p>
          <w:p w:rsidRPr="009401A5" w:rsidR="009401A5" w:rsidP="009401A5" w:rsidRDefault="009401A5" w14:paraId="06F090ED" w14:textId="69FCFD3A">
            <w:pPr>
              <w:tabs>
                <w:tab w:val="center" w:pos="284"/>
              </w:tabs>
              <w:overflowPunct w:val="0"/>
              <w:autoSpaceDE w:val="0"/>
              <w:autoSpaceDN w:val="0"/>
              <w:adjustRightInd w:val="0"/>
              <w:textAlignment w:val="baseline"/>
            </w:pPr>
            <w:r>
              <w:t>Luca JAHIER (groupe des organisations de la société civile — Italie)</w:t>
            </w:r>
          </w:p>
          <w:p w:rsidRPr="009401A5" w:rsidR="009401A5" w:rsidP="009401A5" w:rsidRDefault="009401A5" w14:paraId="55F49A28" w14:textId="298B7808">
            <w:pPr>
              <w:tabs>
                <w:tab w:val="center" w:pos="284"/>
              </w:tabs>
              <w:overflowPunct w:val="0"/>
              <w:autoSpaceDE w:val="0"/>
              <w:autoSpaceDN w:val="0"/>
              <w:adjustRightInd w:val="0"/>
              <w:textAlignment w:val="baseline"/>
            </w:pPr>
            <w:proofErr w:type="spellStart"/>
            <w:r>
              <w:t>Wautier</w:t>
            </w:r>
            <w:proofErr w:type="spellEnd"/>
            <w:r>
              <w:t xml:space="preserve"> ROBYNS DE SCHNEIDAUER (groupe des employeurs — Belgique)</w:t>
            </w:r>
          </w:p>
        </w:tc>
      </w:tr>
      <w:tr w:rsidRPr="009401A5" w:rsidR="009401A5" w:rsidTr="0053712F" w14:paraId="61F56BC1" w14:textId="77777777">
        <w:tc>
          <w:tcPr>
            <w:tcW w:w="8789" w:type="dxa"/>
            <w:gridSpan w:val="2"/>
          </w:tcPr>
          <w:p w:rsidRPr="009401A5" w:rsidR="009401A5" w:rsidP="009401A5" w:rsidRDefault="009401A5" w14:paraId="34CE1B2D" w14:textId="77777777">
            <w:pPr>
              <w:tabs>
                <w:tab w:val="center" w:pos="284"/>
              </w:tabs>
              <w:overflowPunct w:val="0"/>
              <w:autoSpaceDE w:val="0"/>
              <w:autoSpaceDN w:val="0"/>
              <w:adjustRightInd w:val="0"/>
              <w:spacing w:line="160" w:lineRule="exact"/>
              <w:ind w:left="266" w:hanging="266"/>
              <w:textAlignment w:val="baseline"/>
            </w:pPr>
          </w:p>
        </w:tc>
      </w:tr>
      <w:tr w:rsidRPr="009401A5" w:rsidR="009401A5" w:rsidTr="0053712F" w14:paraId="0E54DBE9" w14:textId="77777777">
        <w:tc>
          <w:tcPr>
            <w:tcW w:w="1701" w:type="dxa"/>
            <w:vMerge w:val="restart"/>
          </w:tcPr>
          <w:p w:rsidRPr="009401A5" w:rsidR="009401A5" w:rsidP="009401A5" w:rsidRDefault="009401A5" w14:paraId="1F33C639" w14:textId="77777777">
            <w:pPr>
              <w:tabs>
                <w:tab w:val="center" w:pos="284"/>
              </w:tabs>
              <w:overflowPunct w:val="0"/>
              <w:autoSpaceDE w:val="0"/>
              <w:autoSpaceDN w:val="0"/>
              <w:adjustRightInd w:val="0"/>
              <w:ind w:left="266" w:hanging="266"/>
              <w:textAlignment w:val="baseline"/>
              <w:rPr>
                <w:b/>
              </w:rPr>
            </w:pPr>
            <w:r>
              <w:rPr>
                <w:b/>
              </w:rPr>
              <w:t>Références</w:t>
            </w:r>
          </w:p>
        </w:tc>
        <w:tc>
          <w:tcPr>
            <w:tcW w:w="7088" w:type="dxa"/>
          </w:tcPr>
          <w:p w:rsidRPr="009401A5" w:rsidR="009401A5" w:rsidP="009401A5" w:rsidRDefault="009401A5" w14:paraId="20483CE5" w14:textId="57B7D589">
            <w:pPr>
              <w:tabs>
                <w:tab w:val="center" w:pos="284"/>
              </w:tabs>
              <w:overflowPunct w:val="0"/>
              <w:autoSpaceDE w:val="0"/>
              <w:autoSpaceDN w:val="0"/>
              <w:adjustRightInd w:val="0"/>
              <w:textAlignment w:val="baseline"/>
            </w:pPr>
            <w:r>
              <w:t>Avis exploratoire à la demande de la présidence belge du Conseil de l’UE</w:t>
            </w:r>
          </w:p>
        </w:tc>
      </w:tr>
      <w:tr w:rsidRPr="009401A5" w:rsidR="009401A5" w:rsidTr="0053712F" w14:paraId="5082E55B" w14:textId="77777777">
        <w:tc>
          <w:tcPr>
            <w:tcW w:w="1701" w:type="dxa"/>
            <w:vMerge/>
          </w:tcPr>
          <w:p w:rsidRPr="009401A5" w:rsidR="009401A5" w:rsidP="009401A5" w:rsidRDefault="009401A5" w14:paraId="68852E64" w14:textId="77777777">
            <w:pPr>
              <w:tabs>
                <w:tab w:val="center" w:pos="284"/>
              </w:tabs>
              <w:overflowPunct w:val="0"/>
              <w:autoSpaceDE w:val="0"/>
              <w:autoSpaceDN w:val="0"/>
              <w:adjustRightInd w:val="0"/>
              <w:ind w:left="266" w:hanging="266"/>
              <w:textAlignment w:val="baseline"/>
              <w:rPr>
                <w:b/>
              </w:rPr>
            </w:pPr>
          </w:p>
        </w:tc>
        <w:tc>
          <w:tcPr>
            <w:tcW w:w="7088" w:type="dxa"/>
          </w:tcPr>
          <w:p w:rsidRPr="009401A5" w:rsidR="009401A5" w:rsidP="009401A5" w:rsidRDefault="009401A5" w14:paraId="5851ADBC" w14:textId="77777777">
            <w:pPr>
              <w:tabs>
                <w:tab w:val="center" w:pos="284"/>
              </w:tabs>
              <w:overflowPunct w:val="0"/>
              <w:autoSpaceDE w:val="0"/>
              <w:autoSpaceDN w:val="0"/>
              <w:adjustRightInd w:val="0"/>
              <w:ind w:left="266" w:hanging="266"/>
              <w:textAlignment w:val="baseline"/>
            </w:pPr>
            <w:r>
              <w:t>EESC-2023-04451-00-AC</w:t>
            </w:r>
          </w:p>
        </w:tc>
      </w:tr>
    </w:tbl>
    <w:p w:rsidRPr="005A622F" w:rsidR="009A1011" w:rsidP="008C5358" w:rsidRDefault="009A1011" w14:paraId="2294033B" w14:textId="77777777">
      <w:pPr>
        <w:keepNext/>
        <w:keepLines/>
        <w:tabs>
          <w:tab w:val="center" w:pos="284"/>
        </w:tabs>
        <w:overflowPunct w:val="0"/>
        <w:autoSpaceDE w:val="0"/>
        <w:autoSpaceDN w:val="0"/>
        <w:adjustRightInd w:val="0"/>
        <w:ind w:left="266" w:hanging="124"/>
        <w:textAlignment w:val="baseline"/>
        <w:rPr>
          <w:b/>
          <w:sz w:val="14"/>
          <w:szCs w:val="14"/>
        </w:rPr>
      </w:pPr>
    </w:p>
    <w:p w:rsidRPr="009401A5" w:rsidR="009401A5" w:rsidP="005A622F" w:rsidRDefault="009401A5" w14:paraId="48A5A8A7" w14:textId="110FB4B3">
      <w:pPr>
        <w:keepNext/>
        <w:keepLines/>
        <w:tabs>
          <w:tab w:val="center" w:pos="284"/>
        </w:tabs>
        <w:overflowPunct w:val="0"/>
        <w:autoSpaceDE w:val="0"/>
        <w:autoSpaceDN w:val="0"/>
        <w:adjustRightInd w:val="0"/>
        <w:ind w:left="266" w:hanging="124"/>
        <w:textAlignment w:val="baseline"/>
        <w:rPr>
          <w:b/>
        </w:rPr>
      </w:pPr>
      <w:r>
        <w:rPr>
          <w:b/>
        </w:rPr>
        <w:t>Points clés</w:t>
      </w:r>
    </w:p>
    <w:p w:rsidRPr="005A622F" w:rsidR="009401A5" w:rsidP="009401A5" w:rsidRDefault="009401A5" w14:paraId="1643EB48" w14:textId="77777777">
      <w:pPr>
        <w:keepNext/>
        <w:keepLines/>
        <w:tabs>
          <w:tab w:val="center" w:pos="284"/>
        </w:tabs>
        <w:overflowPunct w:val="0"/>
        <w:autoSpaceDE w:val="0"/>
        <w:autoSpaceDN w:val="0"/>
        <w:adjustRightInd w:val="0"/>
        <w:ind w:left="266" w:hanging="266"/>
        <w:textAlignment w:val="baseline"/>
        <w:rPr>
          <w:b/>
          <w:sz w:val="14"/>
          <w:szCs w:val="14"/>
        </w:rPr>
      </w:pPr>
    </w:p>
    <w:p w:rsidR="009401A5" w:rsidP="005A622F" w:rsidRDefault="009401A5" w14:paraId="46A5F01D" w14:textId="4287E048">
      <w:pPr>
        <w:overflowPunct w:val="0"/>
        <w:autoSpaceDE w:val="0"/>
        <w:autoSpaceDN w:val="0"/>
        <w:adjustRightInd w:val="0"/>
        <w:ind w:left="425" w:hanging="283"/>
        <w:textAlignment w:val="baseline"/>
        <w:rPr>
          <w:bCs/>
          <w:iCs/>
        </w:rPr>
      </w:pPr>
      <w:r>
        <w:t>Le CESE</w:t>
      </w:r>
    </w:p>
    <w:p w:rsidRPr="005A622F" w:rsidR="006433A5" w:rsidP="009401A5" w:rsidRDefault="006433A5" w14:paraId="71B3F921" w14:textId="77777777">
      <w:pPr>
        <w:overflowPunct w:val="0"/>
        <w:autoSpaceDE w:val="0"/>
        <w:autoSpaceDN w:val="0"/>
        <w:adjustRightInd w:val="0"/>
        <w:ind w:left="425" w:hanging="425"/>
        <w:textAlignment w:val="baseline"/>
        <w:rPr>
          <w:sz w:val="14"/>
          <w:szCs w:val="12"/>
        </w:rPr>
      </w:pPr>
    </w:p>
    <w:p w:rsidRPr="009401A5" w:rsidR="009401A5" w:rsidP="005A622F" w:rsidRDefault="009401A5" w14:paraId="66F962E6" w14:textId="77777777">
      <w:pPr>
        <w:numPr>
          <w:ilvl w:val="0"/>
          <w:numId w:val="15"/>
        </w:numPr>
        <w:overflowPunct w:val="0"/>
        <w:autoSpaceDE w:val="0"/>
        <w:autoSpaceDN w:val="0"/>
        <w:adjustRightInd w:val="0"/>
        <w:ind w:left="567" w:hanging="425"/>
        <w:textAlignment w:val="baseline"/>
        <w:outlineLvl w:val="1"/>
        <w:rPr>
          <w:szCs w:val="20"/>
        </w:rPr>
      </w:pPr>
      <w:r>
        <w:t>accueille favorablement l’initiative de la présidence belge en matière d’investissement social et de renforcement de la dimension sociale du Semestre européen, notamment par l’intermédiaire du socle européen des droits sociaux, et s’attend à ce que la réforme du Semestre européen améliore la coordination entre les États membres et la transparence, et garantisse un suivi adéquat de la mise en œuvre des plans budgétaires et structurels nationaux;</w:t>
      </w:r>
    </w:p>
    <w:p w:rsidRPr="009401A5" w:rsidR="009401A5" w:rsidP="005A622F" w:rsidRDefault="009401A5" w14:paraId="0853EDA5" w14:textId="77777777">
      <w:pPr>
        <w:numPr>
          <w:ilvl w:val="0"/>
          <w:numId w:val="15"/>
        </w:numPr>
        <w:overflowPunct w:val="0"/>
        <w:autoSpaceDE w:val="0"/>
        <w:autoSpaceDN w:val="0"/>
        <w:adjustRightInd w:val="0"/>
        <w:ind w:left="567" w:hanging="425"/>
        <w:textAlignment w:val="baseline"/>
        <w:outlineLvl w:val="1"/>
        <w:rPr>
          <w:szCs w:val="20"/>
        </w:rPr>
      </w:pPr>
      <w:r>
        <w:t>demande que les ressources financières existantes soient utilisées de manière efficiente et efficace, notamment grâce à une collaboration public-privé et à la mobilisation d’instruments financiers, avec une flexibilité maximale et des systèmes d’évaluation rigoureux;</w:t>
      </w:r>
    </w:p>
    <w:p w:rsidRPr="009401A5" w:rsidR="009401A5" w:rsidP="005A622F" w:rsidRDefault="009401A5" w14:paraId="16D08F7C" w14:textId="77777777">
      <w:pPr>
        <w:numPr>
          <w:ilvl w:val="0"/>
          <w:numId w:val="15"/>
        </w:numPr>
        <w:overflowPunct w:val="0"/>
        <w:autoSpaceDE w:val="0"/>
        <w:autoSpaceDN w:val="0"/>
        <w:adjustRightInd w:val="0"/>
        <w:ind w:left="567" w:hanging="425"/>
        <w:textAlignment w:val="baseline"/>
        <w:outlineLvl w:val="1"/>
        <w:rPr>
          <w:szCs w:val="20"/>
        </w:rPr>
      </w:pPr>
      <w:r>
        <w:t>estime qu’il est urgent d’examiner la faisabilité de la constitution, avant 2026, d’une capacité budgétaire européenne qui permettrait de réaliser les investissements nécessaires aux priorités communes, en particulier pour les investissements sociaux, qui promeuvent la stabilisation cyclique et la fourniture de biens publics européens et assurent une croissance durable à moyen et long termes, en étant soutenus à la fois par des lignes directrices communes au niveau de l’Union et une aide financière de cette dernière;</w:t>
      </w:r>
    </w:p>
    <w:p w:rsidRPr="009401A5" w:rsidR="009401A5" w:rsidP="005A622F" w:rsidRDefault="009401A5" w14:paraId="5A1D58E5" w14:textId="77777777">
      <w:pPr>
        <w:numPr>
          <w:ilvl w:val="0"/>
          <w:numId w:val="15"/>
        </w:numPr>
        <w:overflowPunct w:val="0"/>
        <w:autoSpaceDE w:val="0"/>
        <w:autoSpaceDN w:val="0"/>
        <w:adjustRightInd w:val="0"/>
        <w:ind w:left="567" w:hanging="425"/>
        <w:textAlignment w:val="baseline"/>
        <w:outlineLvl w:val="1"/>
        <w:rPr>
          <w:szCs w:val="20"/>
        </w:rPr>
      </w:pPr>
      <w:r>
        <w:t>partage l’avis selon lequel les politiques d’investissement social — si elles sont bien conçues — peuvent avoir des effets positifs sur la croissance économique, la productivité et la compétitivité, ce qui est essentiel pour maintenir des emplois de qualité en Europe. Dans le même temps, les gouvernements nationaux doivent revoir leurs systèmes de protection sociale et s’assurer que les ressources disponibles sont concentrées sur l’aide sociale là où elle est le plus nécessaire;</w:t>
      </w:r>
    </w:p>
    <w:p w:rsidRPr="009401A5" w:rsidR="009401A5" w:rsidP="005A622F" w:rsidRDefault="009401A5" w14:paraId="32E822A8" w14:textId="77777777">
      <w:pPr>
        <w:numPr>
          <w:ilvl w:val="0"/>
          <w:numId w:val="15"/>
        </w:numPr>
        <w:overflowPunct w:val="0"/>
        <w:autoSpaceDE w:val="0"/>
        <w:autoSpaceDN w:val="0"/>
        <w:adjustRightInd w:val="0"/>
        <w:ind w:left="567" w:hanging="425"/>
        <w:textAlignment w:val="baseline"/>
        <w:outlineLvl w:val="1"/>
        <w:rPr>
          <w:szCs w:val="20"/>
        </w:rPr>
      </w:pPr>
      <w:r>
        <w:t>recommande que les besoins d’investissement dans les infrastructures sociales soient cohérents d’un État membre à l’autre et bénéficient du soutien financier de l’UE;</w:t>
      </w:r>
    </w:p>
    <w:p w:rsidRPr="009401A5" w:rsidR="009401A5" w:rsidP="005A622F" w:rsidRDefault="009401A5" w14:paraId="0E865C3A" w14:textId="77777777">
      <w:pPr>
        <w:numPr>
          <w:ilvl w:val="0"/>
          <w:numId w:val="15"/>
        </w:numPr>
        <w:overflowPunct w:val="0"/>
        <w:autoSpaceDE w:val="0"/>
        <w:autoSpaceDN w:val="0"/>
        <w:adjustRightInd w:val="0"/>
        <w:ind w:left="567" w:hanging="425"/>
        <w:textAlignment w:val="baseline"/>
        <w:outlineLvl w:val="1"/>
        <w:rPr>
          <w:szCs w:val="20"/>
        </w:rPr>
      </w:pPr>
      <w:r>
        <w:t>réclame des réformes et des investissements dans des domaines sociaux clés (en particulier ceux qui favorisent le capital humain) car les politiques et investissements sociaux (y compris au moyen d’outils plus innovants et de la promotion de réformes appropriées, et en associant tous les acteurs concernés) peuvent devenir un facteur productif et générer des rendements économiques significatifs susceptibles de favoriser la croissance et de réduire ultérieurement les coûts principaux;</w:t>
      </w:r>
    </w:p>
    <w:p w:rsidRPr="009401A5" w:rsidR="009401A5" w:rsidP="005A622F" w:rsidRDefault="009401A5" w14:paraId="538CE4B3" w14:textId="77777777">
      <w:pPr>
        <w:numPr>
          <w:ilvl w:val="0"/>
          <w:numId w:val="15"/>
        </w:numPr>
        <w:overflowPunct w:val="0"/>
        <w:autoSpaceDE w:val="0"/>
        <w:autoSpaceDN w:val="0"/>
        <w:adjustRightInd w:val="0"/>
        <w:ind w:left="567" w:hanging="425"/>
        <w:textAlignment w:val="baseline"/>
        <w:outlineLvl w:val="1"/>
        <w:rPr>
          <w:szCs w:val="20"/>
        </w:rPr>
      </w:pPr>
      <w:r>
        <w:lastRenderedPageBreak/>
        <w:t>réitère son appel en faveur d’une participation appropriée des partenaires sociaux et des organisations de la société civile à toutes les étapes de ce processus, au moyen de procédures de consultation formelles.</w:t>
      </w:r>
    </w:p>
    <w:p w:rsidRPr="005A622F" w:rsidR="009401A5" w:rsidP="009401A5" w:rsidRDefault="009401A5" w14:paraId="5F2E99BE" w14:textId="77777777">
      <w:pPr>
        <w:overflowPunct w:val="0"/>
        <w:autoSpaceDE w:val="0"/>
        <w:autoSpaceDN w:val="0"/>
        <w:adjustRightInd w:val="0"/>
        <w:textAlignment w:val="baseline"/>
        <w:rPr>
          <w:bCs/>
          <w:iCs/>
          <w:sz w:val="14"/>
          <w:szCs w:val="12"/>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gridCol w:w="3663"/>
      </w:tblGrid>
      <w:tr w:rsidRPr="009401A5" w:rsidR="009401A5" w:rsidTr="0053712F" w14:paraId="7E7C2471" w14:textId="77777777">
        <w:tc>
          <w:tcPr>
            <w:tcW w:w="1173" w:type="dxa"/>
          </w:tcPr>
          <w:p w:rsidRPr="009401A5" w:rsidR="009401A5" w:rsidP="009401A5" w:rsidRDefault="009401A5" w14:paraId="19CCEB63" w14:textId="77777777">
            <w:pPr>
              <w:overflowPunct w:val="0"/>
              <w:autoSpaceDE w:val="0"/>
              <w:autoSpaceDN w:val="0"/>
              <w:adjustRightInd w:val="0"/>
              <w:textAlignment w:val="baseline"/>
              <w:rPr>
                <w:i/>
              </w:rPr>
            </w:pPr>
            <w:r>
              <w:rPr>
                <w:b/>
                <w:i/>
              </w:rPr>
              <w:t>Contact:</w:t>
            </w:r>
          </w:p>
        </w:tc>
        <w:tc>
          <w:tcPr>
            <w:tcW w:w="4518" w:type="dxa"/>
          </w:tcPr>
          <w:p w:rsidRPr="005A622F" w:rsidR="009401A5" w:rsidP="009401A5" w:rsidRDefault="009401A5" w14:paraId="656EF4E0" w14:textId="77777777">
            <w:pPr>
              <w:overflowPunct w:val="0"/>
              <w:autoSpaceDE w:val="0"/>
              <w:autoSpaceDN w:val="0"/>
              <w:adjustRightInd w:val="0"/>
              <w:textAlignment w:val="baseline"/>
              <w:rPr>
                <w:i/>
                <w:iCs/>
              </w:rPr>
            </w:pPr>
            <w:r>
              <w:rPr>
                <w:i/>
              </w:rPr>
              <w:t>Colombe Grégoire</w:t>
            </w:r>
          </w:p>
        </w:tc>
        <w:tc>
          <w:tcPr>
            <w:tcW w:w="3663" w:type="dxa"/>
          </w:tcPr>
          <w:p w:rsidRPr="005A622F" w:rsidR="009401A5" w:rsidP="009401A5" w:rsidRDefault="009401A5" w14:paraId="6CB53341" w14:textId="77777777">
            <w:pPr>
              <w:overflowPunct w:val="0"/>
              <w:autoSpaceDE w:val="0"/>
              <w:autoSpaceDN w:val="0"/>
              <w:adjustRightInd w:val="0"/>
              <w:textAlignment w:val="baseline"/>
              <w:rPr>
                <w:i/>
                <w:iCs/>
              </w:rPr>
            </w:pPr>
            <w:proofErr w:type="spellStart"/>
            <w:r>
              <w:rPr>
                <w:i/>
              </w:rPr>
              <w:t>Krisztina</w:t>
            </w:r>
            <w:proofErr w:type="spellEnd"/>
            <w:r>
              <w:rPr>
                <w:i/>
              </w:rPr>
              <w:t xml:space="preserve"> </w:t>
            </w:r>
            <w:proofErr w:type="spellStart"/>
            <w:r>
              <w:rPr>
                <w:i/>
              </w:rPr>
              <w:t>Perlaky-Tóth</w:t>
            </w:r>
            <w:proofErr w:type="spellEnd"/>
          </w:p>
        </w:tc>
      </w:tr>
      <w:tr w:rsidRPr="009401A5" w:rsidR="009401A5" w:rsidTr="0053712F" w14:paraId="4042BEE3" w14:textId="77777777">
        <w:tc>
          <w:tcPr>
            <w:tcW w:w="1173" w:type="dxa"/>
          </w:tcPr>
          <w:p w:rsidRPr="009401A5" w:rsidR="009401A5" w:rsidP="009401A5" w:rsidRDefault="009401A5" w14:paraId="7B8F0F8A" w14:textId="77777777">
            <w:pPr>
              <w:overflowPunct w:val="0"/>
              <w:autoSpaceDE w:val="0"/>
              <w:autoSpaceDN w:val="0"/>
              <w:adjustRightInd w:val="0"/>
              <w:textAlignment w:val="baseline"/>
              <w:rPr>
                <w:i/>
              </w:rPr>
            </w:pPr>
            <w:r>
              <w:rPr>
                <w:i/>
              </w:rPr>
              <w:t>Tél.:</w:t>
            </w:r>
          </w:p>
        </w:tc>
        <w:tc>
          <w:tcPr>
            <w:tcW w:w="4518" w:type="dxa"/>
          </w:tcPr>
          <w:p w:rsidRPr="009401A5" w:rsidR="009401A5" w:rsidP="009401A5" w:rsidRDefault="009401A5" w14:paraId="3A541127" w14:textId="77777777">
            <w:pPr>
              <w:overflowPunct w:val="0"/>
              <w:autoSpaceDE w:val="0"/>
              <w:autoSpaceDN w:val="0"/>
              <w:adjustRightInd w:val="0"/>
              <w:textAlignment w:val="baseline"/>
              <w:rPr>
                <w:i/>
                <w:iCs/>
              </w:rPr>
            </w:pPr>
            <w:r>
              <w:rPr>
                <w:i/>
              </w:rPr>
              <w:t>+32 25469286</w:t>
            </w:r>
          </w:p>
        </w:tc>
        <w:tc>
          <w:tcPr>
            <w:tcW w:w="3663" w:type="dxa"/>
          </w:tcPr>
          <w:p w:rsidRPr="009401A5" w:rsidR="009401A5" w:rsidP="009401A5" w:rsidRDefault="009401A5" w14:paraId="4622CDEC" w14:textId="77777777">
            <w:pPr>
              <w:overflowPunct w:val="0"/>
              <w:autoSpaceDE w:val="0"/>
              <w:autoSpaceDN w:val="0"/>
              <w:adjustRightInd w:val="0"/>
              <w:textAlignment w:val="baseline"/>
              <w:rPr>
                <w:i/>
                <w:iCs/>
              </w:rPr>
            </w:pPr>
            <w:r>
              <w:rPr>
                <w:i/>
              </w:rPr>
              <w:t>+ 32 25469740</w:t>
            </w:r>
          </w:p>
        </w:tc>
      </w:tr>
      <w:tr w:rsidRPr="009401A5" w:rsidR="009401A5" w:rsidTr="0053712F" w14:paraId="2FFB4C3A" w14:textId="77777777">
        <w:tc>
          <w:tcPr>
            <w:tcW w:w="1173" w:type="dxa"/>
          </w:tcPr>
          <w:p w:rsidRPr="008C5358" w:rsidR="009401A5" w:rsidP="009401A5" w:rsidRDefault="009401A5" w14:paraId="5BA1D05F" w14:textId="77777777">
            <w:pPr>
              <w:overflowPunct w:val="0"/>
              <w:autoSpaceDE w:val="0"/>
              <w:autoSpaceDN w:val="0"/>
              <w:adjustRightInd w:val="0"/>
              <w:textAlignment w:val="baseline"/>
              <w:rPr>
                <w:i/>
              </w:rPr>
            </w:pPr>
            <w:r>
              <w:rPr>
                <w:i/>
              </w:rPr>
              <w:t>Courriel:</w:t>
            </w:r>
          </w:p>
        </w:tc>
        <w:tc>
          <w:tcPr>
            <w:tcW w:w="4518" w:type="dxa"/>
          </w:tcPr>
          <w:p w:rsidRPr="00B01501" w:rsidR="009401A5" w:rsidP="009401A5" w:rsidRDefault="00C87FB4" w14:paraId="69C3B868" w14:textId="77777777">
            <w:pPr>
              <w:overflowPunct w:val="0"/>
              <w:autoSpaceDE w:val="0"/>
              <w:autoSpaceDN w:val="0"/>
              <w:adjustRightInd w:val="0"/>
              <w:textAlignment w:val="baseline"/>
              <w:rPr>
                <w:i/>
              </w:rPr>
            </w:pPr>
            <w:hyperlink w:history="1" r:id="rId24">
              <w:r w:rsidR="007B2394">
                <w:rPr>
                  <w:i/>
                  <w:color w:val="0000FF"/>
                  <w:u w:val="single"/>
                </w:rPr>
                <w:t>Colombe.Gregoire@eesc.europa.eu</w:t>
              </w:r>
            </w:hyperlink>
            <w:r w:rsidR="007B2394">
              <w:rPr>
                <w:i/>
              </w:rPr>
              <w:t xml:space="preserve"> </w:t>
            </w:r>
          </w:p>
        </w:tc>
        <w:tc>
          <w:tcPr>
            <w:tcW w:w="3663" w:type="dxa"/>
          </w:tcPr>
          <w:p w:rsidRPr="005A622F" w:rsidR="009401A5" w:rsidP="009401A5" w:rsidRDefault="00C87FB4" w14:paraId="01B24B31" w14:textId="3BEBBF91">
            <w:pPr>
              <w:overflowPunct w:val="0"/>
              <w:autoSpaceDE w:val="0"/>
              <w:autoSpaceDN w:val="0"/>
              <w:adjustRightInd w:val="0"/>
              <w:textAlignment w:val="baseline"/>
              <w:rPr>
                <w:i/>
              </w:rPr>
            </w:pPr>
            <w:hyperlink w:history="1" r:id="rId25">
              <w:r w:rsidR="007B2394">
                <w:rPr>
                  <w:i/>
                  <w:color w:val="0000FF"/>
                  <w:u w:val="single"/>
                </w:rPr>
                <w:t>Krisztina.PerlakyToth@eesc.europa.eu</w:t>
              </w:r>
            </w:hyperlink>
          </w:p>
        </w:tc>
      </w:tr>
    </w:tbl>
    <w:p w:rsidRPr="009401A5" w:rsidR="009401A5" w:rsidP="005A622F" w:rsidRDefault="00C87FB4" w14:paraId="7D558A74" w14:textId="5582D3F9">
      <w:pPr>
        <w:pageBreakBefore/>
        <w:widowControl w:val="0"/>
        <w:numPr>
          <w:ilvl w:val="0"/>
          <w:numId w:val="2"/>
        </w:numPr>
        <w:overflowPunct w:val="0"/>
        <w:autoSpaceDE w:val="0"/>
        <w:autoSpaceDN w:val="0"/>
        <w:adjustRightInd w:val="0"/>
        <w:ind w:left="284" w:hanging="284"/>
        <w:textAlignment w:val="baseline"/>
        <w:rPr>
          <w:sz w:val="20"/>
          <w:szCs w:val="20"/>
        </w:rPr>
      </w:pPr>
      <w:hyperlink w:history="1" r:id="rId26">
        <w:r w:rsidR="007B2394">
          <w:rPr>
            <w:b/>
            <w:i/>
            <w:color w:val="0000FF"/>
            <w:sz w:val="28"/>
            <w:u w:val="single"/>
          </w:rPr>
          <w:t>CFP: modifications apportées aux montants destinés à certains programmes et fonds</w:t>
        </w:r>
      </w:hyperlink>
    </w:p>
    <w:p w:rsidRPr="009401A5" w:rsidR="009401A5" w:rsidP="009401A5" w:rsidRDefault="009401A5" w14:paraId="55AD71FC" w14:textId="77777777">
      <w:pPr>
        <w:tabs>
          <w:tab w:val="center" w:pos="284"/>
        </w:tabs>
        <w:overflowPunct w:val="0"/>
        <w:autoSpaceDE w:val="0"/>
        <w:autoSpaceDN w:val="0"/>
        <w:adjustRightInd w:val="0"/>
        <w:ind w:left="266" w:hanging="266"/>
        <w:textAlignment w:val="baseline"/>
        <w:rPr>
          <w:b/>
        </w:rPr>
      </w:pPr>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9401A5" w:rsidR="009401A5" w:rsidTr="0053712F" w14:paraId="08ED054A" w14:textId="77777777">
        <w:tc>
          <w:tcPr>
            <w:tcW w:w="1701" w:type="dxa"/>
          </w:tcPr>
          <w:p w:rsidRPr="009401A5" w:rsidR="009401A5" w:rsidP="009401A5" w:rsidRDefault="009401A5" w14:paraId="2210D680" w14:textId="7781A0D6">
            <w:pPr>
              <w:tabs>
                <w:tab w:val="center" w:pos="284"/>
              </w:tabs>
              <w:overflowPunct w:val="0"/>
              <w:autoSpaceDE w:val="0"/>
              <w:autoSpaceDN w:val="0"/>
              <w:adjustRightInd w:val="0"/>
              <w:ind w:left="266" w:hanging="266"/>
              <w:textAlignment w:val="baseline"/>
              <w:rPr>
                <w:b/>
              </w:rPr>
            </w:pPr>
          </w:p>
        </w:tc>
        <w:tc>
          <w:tcPr>
            <w:tcW w:w="5670" w:type="dxa"/>
          </w:tcPr>
          <w:p w:rsidR="002525F9" w:rsidP="009401A5" w:rsidRDefault="002525F9" w14:paraId="0D0DBB43"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7B01A392" w14:textId="049D675A">
            <w:pPr>
              <w:tabs>
                <w:tab w:val="center" w:pos="284"/>
              </w:tabs>
              <w:overflowPunct w:val="0"/>
              <w:autoSpaceDE w:val="0"/>
              <w:autoSpaceDN w:val="0"/>
              <w:adjustRightInd w:val="0"/>
              <w:ind w:left="266" w:hanging="266"/>
              <w:textAlignment w:val="baseline"/>
            </w:pPr>
          </w:p>
        </w:tc>
      </w:tr>
      <w:tr w:rsidRPr="009401A5" w:rsidR="009401A5" w:rsidTr="0053712F" w14:paraId="76FE7DCF" w14:textId="77777777">
        <w:tc>
          <w:tcPr>
            <w:tcW w:w="1701" w:type="dxa"/>
            <w:vMerge w:val="restart"/>
          </w:tcPr>
          <w:p w:rsidRPr="009401A5" w:rsidR="009401A5" w:rsidP="009401A5" w:rsidRDefault="009401A5" w14:paraId="3AFAB54B" w14:textId="339C6980">
            <w:pPr>
              <w:tabs>
                <w:tab w:val="center" w:pos="284"/>
              </w:tabs>
              <w:overflowPunct w:val="0"/>
              <w:autoSpaceDE w:val="0"/>
              <w:autoSpaceDN w:val="0"/>
              <w:adjustRightInd w:val="0"/>
              <w:ind w:left="266" w:hanging="266"/>
              <w:textAlignment w:val="baseline"/>
              <w:rPr>
                <w:b/>
              </w:rPr>
            </w:pPr>
            <w:r>
              <w:rPr>
                <w:b/>
              </w:rPr>
              <w:t>Références</w:t>
            </w:r>
          </w:p>
        </w:tc>
        <w:tc>
          <w:tcPr>
            <w:tcW w:w="5670" w:type="dxa"/>
          </w:tcPr>
          <w:p w:rsidR="002525F9" w:rsidP="009401A5" w:rsidRDefault="002525F9" w14:paraId="3979296D" w14:textId="4677423E">
            <w:pPr>
              <w:tabs>
                <w:tab w:val="center" w:pos="284"/>
              </w:tabs>
              <w:overflowPunct w:val="0"/>
              <w:autoSpaceDE w:val="0"/>
              <w:autoSpaceDN w:val="0"/>
              <w:adjustRightInd w:val="0"/>
              <w:ind w:left="266" w:hanging="266"/>
              <w:textAlignment w:val="baseline"/>
            </w:pPr>
            <w:r>
              <w:t>Avis de catégorie C</w:t>
            </w:r>
          </w:p>
          <w:p w:rsidRPr="009401A5" w:rsidR="009401A5" w:rsidP="009401A5" w:rsidRDefault="009401A5" w14:paraId="3F09D35D" w14:textId="259293AE">
            <w:pPr>
              <w:tabs>
                <w:tab w:val="center" w:pos="284"/>
              </w:tabs>
              <w:overflowPunct w:val="0"/>
              <w:autoSpaceDE w:val="0"/>
              <w:autoSpaceDN w:val="0"/>
              <w:adjustRightInd w:val="0"/>
              <w:ind w:left="266" w:hanging="266"/>
              <w:textAlignment w:val="baseline"/>
            </w:pPr>
            <w:r>
              <w:t xml:space="preserve">COM(2024) 100 final </w:t>
            </w:r>
          </w:p>
        </w:tc>
      </w:tr>
      <w:tr w:rsidRPr="009401A5" w:rsidR="009401A5" w:rsidTr="0053712F" w14:paraId="097F5228" w14:textId="77777777">
        <w:tc>
          <w:tcPr>
            <w:tcW w:w="1701" w:type="dxa"/>
            <w:vMerge/>
          </w:tcPr>
          <w:p w:rsidRPr="009401A5" w:rsidR="009401A5" w:rsidP="009401A5" w:rsidRDefault="009401A5" w14:paraId="1C2D650A" w14:textId="77777777">
            <w:pPr>
              <w:tabs>
                <w:tab w:val="center" w:pos="284"/>
              </w:tabs>
              <w:overflowPunct w:val="0"/>
              <w:autoSpaceDE w:val="0"/>
              <w:autoSpaceDN w:val="0"/>
              <w:adjustRightInd w:val="0"/>
              <w:ind w:left="266" w:hanging="266"/>
              <w:textAlignment w:val="baseline"/>
              <w:rPr>
                <w:b/>
              </w:rPr>
            </w:pPr>
          </w:p>
        </w:tc>
        <w:tc>
          <w:tcPr>
            <w:tcW w:w="5670" w:type="dxa"/>
          </w:tcPr>
          <w:p w:rsidRPr="009401A5" w:rsidR="009401A5" w:rsidP="009401A5" w:rsidRDefault="009401A5" w14:paraId="1489E769" w14:textId="77777777">
            <w:pPr>
              <w:tabs>
                <w:tab w:val="center" w:pos="284"/>
              </w:tabs>
              <w:overflowPunct w:val="0"/>
              <w:autoSpaceDE w:val="0"/>
              <w:autoSpaceDN w:val="0"/>
              <w:adjustRightInd w:val="0"/>
              <w:ind w:left="266" w:hanging="266"/>
              <w:textAlignment w:val="baseline"/>
            </w:pPr>
            <w:r>
              <w:t>EESC-2024-01013-00-00-AC</w:t>
            </w:r>
          </w:p>
        </w:tc>
      </w:tr>
    </w:tbl>
    <w:p w:rsidRPr="009401A5" w:rsidR="009401A5" w:rsidP="009401A5" w:rsidRDefault="009401A5" w14:paraId="5B465911" w14:textId="77777777">
      <w:pPr>
        <w:tabs>
          <w:tab w:val="center" w:pos="284"/>
        </w:tabs>
        <w:overflowPunct w:val="0"/>
        <w:autoSpaceDE w:val="0"/>
        <w:autoSpaceDN w:val="0"/>
        <w:adjustRightInd w:val="0"/>
        <w:ind w:left="266" w:hanging="266"/>
        <w:textAlignment w:val="baseline"/>
        <w:rPr>
          <w:b/>
        </w:rPr>
      </w:pPr>
    </w:p>
    <w:p w:rsidRPr="009401A5" w:rsidR="009401A5" w:rsidP="009401A5" w:rsidRDefault="009401A5" w14:paraId="34D3D1CB"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9401A5" w:rsidR="009401A5" w:rsidP="009401A5" w:rsidRDefault="009401A5" w14:paraId="3D2432CF"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30BE15C7" w14:textId="77777777">
      <w:pPr>
        <w:spacing w:after="200" w:line="276" w:lineRule="auto"/>
        <w:contextualSpacing/>
        <w:rPr>
          <w:bCs/>
          <w:iCs/>
        </w:rPr>
      </w:pPr>
      <w:r>
        <w:t>Étant donné qu’il s’est déjà prononcé sur le contenu de la proposition en objet dans son avis sur la «Révision à mi-parcours du cadre financier pluriannuel 2021-2027», adopté le 20 septembre 2023</w:t>
      </w:r>
      <w:r w:rsidRPr="009401A5">
        <w:rPr>
          <w:bCs/>
          <w:iCs/>
          <w:sz w:val="24"/>
          <w:vertAlign w:val="superscript"/>
        </w:rPr>
        <w:footnoteReference w:id="1"/>
      </w:r>
      <w:r>
        <w:t>, le Comité a décidé de ne pas procéder à l’élaboration d’un nouvel avis en la matière, mais de se référer à la position qu’il avait soutenue dans le document susmentionné.</w:t>
      </w:r>
    </w:p>
    <w:p w:rsidRPr="009401A5" w:rsidR="009401A5" w:rsidP="009401A5" w:rsidRDefault="009401A5" w14:paraId="07564053" w14:textId="77777777">
      <w:pPr>
        <w:spacing w:after="200" w:line="276" w:lineRule="auto"/>
        <w:contextualSpacing/>
        <w:rPr>
          <w:color w:val="000000" w:themeColor="text1"/>
          <w:lang w:eastAsia="zh-CN"/>
        </w:rPr>
      </w:pPr>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401A5" w:rsidR="009401A5" w:rsidTr="0053712F" w14:paraId="5E2BBA97" w14:textId="77777777">
        <w:tc>
          <w:tcPr>
            <w:tcW w:w="1418" w:type="dxa"/>
          </w:tcPr>
          <w:p w:rsidRPr="009401A5" w:rsidR="009401A5" w:rsidP="005A622F" w:rsidRDefault="009401A5" w14:paraId="12EE5924" w14:textId="77777777">
            <w:pPr>
              <w:overflowPunct w:val="0"/>
              <w:autoSpaceDE w:val="0"/>
              <w:autoSpaceDN w:val="0"/>
              <w:adjustRightInd w:val="0"/>
              <w:spacing w:line="240" w:lineRule="auto"/>
              <w:ind w:hanging="110"/>
              <w:textAlignment w:val="baseline"/>
              <w:rPr>
                <w:i/>
              </w:rPr>
            </w:pPr>
            <w:r>
              <w:rPr>
                <w:b/>
                <w:i/>
              </w:rPr>
              <w:t>Contact:</w:t>
            </w:r>
          </w:p>
        </w:tc>
        <w:tc>
          <w:tcPr>
            <w:tcW w:w="5670" w:type="dxa"/>
          </w:tcPr>
          <w:p w:rsidRPr="009401A5" w:rsidR="009401A5" w:rsidP="005A622F" w:rsidRDefault="009401A5" w14:paraId="5CDE7B44" w14:textId="6DD6A3E9">
            <w:pPr>
              <w:overflowPunct w:val="0"/>
              <w:autoSpaceDE w:val="0"/>
              <w:autoSpaceDN w:val="0"/>
              <w:adjustRightInd w:val="0"/>
              <w:spacing w:line="240" w:lineRule="auto"/>
              <w:ind w:hanging="110"/>
              <w:textAlignment w:val="baseline"/>
              <w:rPr>
                <w:i/>
              </w:rPr>
            </w:pPr>
            <w:r>
              <w:rPr>
                <w:i/>
              </w:rPr>
              <w:t xml:space="preserve">Georgios </w:t>
            </w:r>
            <w:proofErr w:type="spellStart"/>
            <w:r>
              <w:rPr>
                <w:i/>
              </w:rPr>
              <w:t>Meleas</w:t>
            </w:r>
            <w:proofErr w:type="spellEnd"/>
            <w:r>
              <w:rPr>
                <w:i/>
              </w:rPr>
              <w:t xml:space="preserve"> </w:t>
            </w:r>
          </w:p>
        </w:tc>
      </w:tr>
      <w:tr w:rsidRPr="009401A5" w:rsidR="009401A5" w:rsidTr="0053712F" w14:paraId="75B9D627" w14:textId="77777777">
        <w:tc>
          <w:tcPr>
            <w:tcW w:w="1418" w:type="dxa"/>
          </w:tcPr>
          <w:p w:rsidRPr="009401A5" w:rsidR="009401A5" w:rsidP="005A622F" w:rsidRDefault="009401A5" w14:paraId="4EA2195B" w14:textId="77777777">
            <w:pPr>
              <w:overflowPunct w:val="0"/>
              <w:autoSpaceDE w:val="0"/>
              <w:autoSpaceDN w:val="0"/>
              <w:adjustRightInd w:val="0"/>
              <w:spacing w:line="240" w:lineRule="auto"/>
              <w:ind w:hanging="110"/>
              <w:textAlignment w:val="baseline"/>
              <w:rPr>
                <w:i/>
              </w:rPr>
            </w:pPr>
            <w:r>
              <w:rPr>
                <w:i/>
              </w:rPr>
              <w:t>Tél.:</w:t>
            </w:r>
          </w:p>
        </w:tc>
        <w:tc>
          <w:tcPr>
            <w:tcW w:w="5670" w:type="dxa"/>
          </w:tcPr>
          <w:p w:rsidRPr="009401A5" w:rsidR="009401A5" w:rsidP="005A622F" w:rsidRDefault="009401A5" w14:paraId="3BB3A47B" w14:textId="77777777">
            <w:pPr>
              <w:overflowPunct w:val="0"/>
              <w:autoSpaceDE w:val="0"/>
              <w:autoSpaceDN w:val="0"/>
              <w:adjustRightInd w:val="0"/>
              <w:spacing w:line="240" w:lineRule="auto"/>
              <w:ind w:hanging="110"/>
              <w:textAlignment w:val="baseline"/>
              <w:rPr>
                <w:i/>
              </w:rPr>
            </w:pPr>
            <w:r>
              <w:rPr>
                <w:i/>
              </w:rPr>
              <w:t>+32 25469795</w:t>
            </w:r>
          </w:p>
        </w:tc>
      </w:tr>
      <w:tr w:rsidRPr="009401A5" w:rsidR="009401A5" w:rsidTr="0053712F" w14:paraId="236D097F" w14:textId="77777777">
        <w:tc>
          <w:tcPr>
            <w:tcW w:w="1418" w:type="dxa"/>
          </w:tcPr>
          <w:p w:rsidRPr="009401A5" w:rsidR="009401A5" w:rsidP="005A622F" w:rsidRDefault="009401A5" w14:paraId="75597D57" w14:textId="77777777">
            <w:pPr>
              <w:overflowPunct w:val="0"/>
              <w:autoSpaceDE w:val="0"/>
              <w:autoSpaceDN w:val="0"/>
              <w:adjustRightInd w:val="0"/>
              <w:spacing w:line="240" w:lineRule="auto"/>
              <w:ind w:hanging="110"/>
              <w:textAlignment w:val="baseline"/>
              <w:rPr>
                <w:i/>
              </w:rPr>
            </w:pPr>
            <w:r>
              <w:rPr>
                <w:i/>
              </w:rPr>
              <w:t>Courriel:</w:t>
            </w:r>
          </w:p>
        </w:tc>
        <w:tc>
          <w:tcPr>
            <w:tcW w:w="5670" w:type="dxa"/>
          </w:tcPr>
          <w:p w:rsidRPr="009401A5" w:rsidR="009401A5" w:rsidP="005A622F" w:rsidRDefault="00C87FB4" w14:paraId="052A7775" w14:textId="77777777">
            <w:pPr>
              <w:overflowPunct w:val="0"/>
              <w:autoSpaceDE w:val="0"/>
              <w:autoSpaceDN w:val="0"/>
              <w:adjustRightInd w:val="0"/>
              <w:spacing w:line="240" w:lineRule="auto"/>
              <w:ind w:hanging="110"/>
              <w:textAlignment w:val="baseline"/>
            </w:pPr>
            <w:hyperlink w:history="1" r:id="rId27">
              <w:r w:rsidR="007B2394">
                <w:rPr>
                  <w:color w:val="0000FF"/>
                  <w:u w:val="single"/>
                </w:rPr>
                <w:t>Georgios.Meleas@eesc.europa.eu</w:t>
              </w:r>
            </w:hyperlink>
          </w:p>
          <w:p w:rsidRPr="009401A5" w:rsidR="009401A5" w:rsidP="005A622F" w:rsidRDefault="009401A5" w14:paraId="493578ED" w14:textId="77777777">
            <w:pPr>
              <w:overflowPunct w:val="0"/>
              <w:autoSpaceDE w:val="0"/>
              <w:autoSpaceDN w:val="0"/>
              <w:adjustRightInd w:val="0"/>
              <w:spacing w:line="240" w:lineRule="auto"/>
              <w:ind w:hanging="110"/>
              <w:textAlignment w:val="baseline"/>
              <w:rPr>
                <w:i/>
              </w:rPr>
            </w:pPr>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p w:rsidRPr="00D6423D" w:rsidR="005A67F3" w:rsidP="00234EA0" w:rsidRDefault="004C3902" w14:paraId="3792A077" w14:textId="6319EBD1">
      <w:pPr>
        <w:pStyle w:val="Heading1"/>
        <w:ind w:hanging="928"/>
        <w:rPr>
          <w:b/>
          <w:bCs/>
        </w:rPr>
      </w:pPr>
      <w:bookmarkStart w:name="_Toc162435204" w:id="4"/>
      <w:bookmarkStart w:name="_Toc163634981" w:id="5"/>
      <w:bookmarkEnd w:id="4"/>
      <w:r>
        <w:rPr>
          <w:b/>
        </w:rPr>
        <w:lastRenderedPageBreak/>
        <w:t>MARCHÉ UNIQUE, PRODUCTION ET CONSOMMATION</w:t>
      </w:r>
      <w:bookmarkEnd w:id="5"/>
    </w:p>
    <w:p w:rsidRPr="00094B6B" w:rsidR="004C3902" w:rsidP="00775FC4" w:rsidRDefault="004C3902" w14:paraId="51590E30" w14:textId="7D4E8C1F">
      <w:pPr>
        <w:keepNext/>
        <w:keepLines/>
        <w:jc w:val="left"/>
        <w:rPr>
          <w:b/>
          <w:iCs/>
        </w:rPr>
      </w:pPr>
    </w:p>
    <w:p w:rsidRPr="009401A5" w:rsidR="009401A5" w:rsidP="004351D4" w:rsidRDefault="00C87FB4" w14:paraId="3199FBE9" w14:textId="2FE55C8A">
      <w:pPr>
        <w:widowControl w:val="0"/>
        <w:numPr>
          <w:ilvl w:val="0"/>
          <w:numId w:val="2"/>
        </w:numPr>
        <w:overflowPunct w:val="0"/>
        <w:autoSpaceDE w:val="0"/>
        <w:autoSpaceDN w:val="0"/>
        <w:adjustRightInd w:val="0"/>
        <w:ind w:hanging="567"/>
        <w:textAlignment w:val="baseline"/>
        <w:rPr>
          <w:sz w:val="20"/>
          <w:szCs w:val="20"/>
        </w:rPr>
      </w:pPr>
      <w:hyperlink w:history="1" r:id="rId28">
        <w:r w:rsidR="007B2394">
          <w:rPr>
            <w:b/>
            <w:i/>
            <w:color w:val="0000FF"/>
            <w:sz w:val="28"/>
            <w:u w:val="single"/>
          </w:rPr>
          <w:t xml:space="preserve">Initiative </w:t>
        </w:r>
        <w:proofErr w:type="spellStart"/>
        <w:r w:rsidR="007B2394">
          <w:rPr>
            <w:b/>
            <w:i/>
            <w:color w:val="0000FF"/>
            <w:sz w:val="28"/>
            <w:u w:val="single"/>
          </w:rPr>
          <w:t>EuroHPC</w:t>
        </w:r>
        <w:proofErr w:type="spellEnd"/>
      </w:hyperlink>
    </w:p>
    <w:p w:rsidRPr="009401A5" w:rsidR="009401A5" w:rsidP="009401A5" w:rsidRDefault="009401A5" w14:paraId="7B61F7AD" w14:textId="77777777">
      <w:pPr>
        <w:tabs>
          <w:tab w:val="center" w:pos="284"/>
        </w:tabs>
        <w:overflowPunct w:val="0"/>
        <w:autoSpaceDE w:val="0"/>
        <w:autoSpaceDN w:val="0"/>
        <w:adjustRightInd w:val="0"/>
        <w:ind w:left="266" w:hanging="266"/>
        <w:textAlignment w:val="baseline"/>
        <w:rPr>
          <w:b/>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1134"/>
        <w:gridCol w:w="4820"/>
      </w:tblGrid>
      <w:tr w:rsidRPr="009401A5" w:rsidR="009401A5" w:rsidTr="005A622F" w14:paraId="7D3B2831" w14:textId="77777777">
        <w:tc>
          <w:tcPr>
            <w:tcW w:w="2835" w:type="dxa"/>
            <w:gridSpan w:val="2"/>
          </w:tcPr>
          <w:p w:rsidRPr="009401A5" w:rsidR="009401A5" w:rsidP="009401A5" w:rsidRDefault="009401A5" w14:paraId="7867A679" w14:textId="648D8863">
            <w:pPr>
              <w:tabs>
                <w:tab w:val="center" w:pos="284"/>
              </w:tabs>
              <w:overflowPunct w:val="0"/>
              <w:autoSpaceDE w:val="0"/>
              <w:autoSpaceDN w:val="0"/>
              <w:adjustRightInd w:val="0"/>
              <w:ind w:left="266" w:hanging="266"/>
              <w:textAlignment w:val="baseline"/>
              <w:rPr>
                <w:b/>
              </w:rPr>
            </w:pPr>
          </w:p>
        </w:tc>
        <w:tc>
          <w:tcPr>
            <w:tcW w:w="4820" w:type="dxa"/>
          </w:tcPr>
          <w:p w:rsidRPr="009401A5" w:rsidR="009401A5" w:rsidP="009401A5" w:rsidRDefault="009401A5" w14:paraId="3B6A6F43" w14:textId="77777777">
            <w:pPr>
              <w:tabs>
                <w:tab w:val="center" w:pos="284"/>
              </w:tabs>
              <w:overflowPunct w:val="0"/>
              <w:autoSpaceDE w:val="0"/>
              <w:autoSpaceDN w:val="0"/>
              <w:adjustRightInd w:val="0"/>
              <w:ind w:left="266" w:hanging="266"/>
              <w:textAlignment w:val="baseline"/>
              <w:rPr>
                <w:lang w:val="en-US"/>
              </w:rPr>
            </w:pPr>
          </w:p>
        </w:tc>
      </w:tr>
      <w:tr w:rsidRPr="009401A5" w:rsidR="009401A5" w:rsidTr="005A622F" w14:paraId="4B5F1C02" w14:textId="77777777">
        <w:tc>
          <w:tcPr>
            <w:tcW w:w="7653" w:type="dxa"/>
            <w:gridSpan w:val="3"/>
          </w:tcPr>
          <w:p w:rsidRPr="009401A5" w:rsidR="009401A5" w:rsidP="009401A5" w:rsidRDefault="009401A5" w14:paraId="6181CB3F"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9401A5" w:rsidR="009401A5" w:rsidTr="005A622F" w14:paraId="6FAC2DB5" w14:textId="77777777">
        <w:tc>
          <w:tcPr>
            <w:tcW w:w="1701" w:type="dxa"/>
            <w:vMerge w:val="restart"/>
          </w:tcPr>
          <w:p w:rsidRPr="009401A5" w:rsidR="009401A5" w:rsidP="009401A5" w:rsidRDefault="009401A5" w14:paraId="1AC256B0" w14:textId="5391DB25">
            <w:pPr>
              <w:tabs>
                <w:tab w:val="center" w:pos="284"/>
              </w:tabs>
              <w:overflowPunct w:val="0"/>
              <w:autoSpaceDE w:val="0"/>
              <w:autoSpaceDN w:val="0"/>
              <w:adjustRightInd w:val="0"/>
              <w:ind w:left="266" w:hanging="266"/>
              <w:textAlignment w:val="baseline"/>
              <w:rPr>
                <w:b/>
              </w:rPr>
            </w:pPr>
            <w:r>
              <w:rPr>
                <w:b/>
              </w:rPr>
              <w:t>Références</w:t>
            </w:r>
          </w:p>
        </w:tc>
        <w:tc>
          <w:tcPr>
            <w:tcW w:w="5952" w:type="dxa"/>
            <w:gridSpan w:val="2"/>
          </w:tcPr>
          <w:p w:rsidRPr="00B01501" w:rsidR="004F3158" w:rsidP="009401A5" w:rsidRDefault="004F3158" w14:paraId="32497FC9" w14:textId="48B803BB">
            <w:pPr>
              <w:tabs>
                <w:tab w:val="center" w:pos="284"/>
              </w:tabs>
              <w:overflowPunct w:val="0"/>
              <w:autoSpaceDE w:val="0"/>
              <w:autoSpaceDN w:val="0"/>
              <w:adjustRightInd w:val="0"/>
              <w:ind w:left="266" w:hanging="266"/>
              <w:textAlignment w:val="baseline"/>
              <w:rPr>
                <w:bCs/>
              </w:rPr>
            </w:pPr>
            <w:r>
              <w:t>Avis de catégorie C</w:t>
            </w:r>
          </w:p>
          <w:p w:rsidRPr="009401A5" w:rsidR="009401A5" w:rsidP="009401A5" w:rsidRDefault="009401A5" w14:paraId="2C846F3C" w14:textId="24B6279E">
            <w:pPr>
              <w:tabs>
                <w:tab w:val="center" w:pos="284"/>
              </w:tabs>
              <w:overflowPunct w:val="0"/>
              <w:autoSpaceDE w:val="0"/>
              <w:autoSpaceDN w:val="0"/>
              <w:adjustRightInd w:val="0"/>
              <w:ind w:left="266" w:hanging="266"/>
              <w:textAlignment w:val="baseline"/>
            </w:pPr>
            <w:r>
              <w:t xml:space="preserve">COM(2024) 29 final </w:t>
            </w:r>
          </w:p>
        </w:tc>
      </w:tr>
      <w:tr w:rsidRPr="009401A5" w:rsidR="009401A5" w:rsidTr="005A622F" w14:paraId="556E20F8" w14:textId="77777777">
        <w:tc>
          <w:tcPr>
            <w:tcW w:w="1701" w:type="dxa"/>
            <w:vMerge/>
          </w:tcPr>
          <w:p w:rsidRPr="009401A5" w:rsidR="009401A5" w:rsidP="009401A5" w:rsidRDefault="009401A5" w14:paraId="3B625B96" w14:textId="77777777">
            <w:pPr>
              <w:tabs>
                <w:tab w:val="center" w:pos="284"/>
              </w:tabs>
              <w:overflowPunct w:val="0"/>
              <w:autoSpaceDE w:val="0"/>
              <w:autoSpaceDN w:val="0"/>
              <w:adjustRightInd w:val="0"/>
              <w:ind w:left="266" w:hanging="266"/>
              <w:textAlignment w:val="baseline"/>
              <w:rPr>
                <w:b/>
                <w:lang w:val="en-US"/>
              </w:rPr>
            </w:pPr>
          </w:p>
        </w:tc>
        <w:tc>
          <w:tcPr>
            <w:tcW w:w="5952" w:type="dxa"/>
            <w:gridSpan w:val="2"/>
          </w:tcPr>
          <w:p w:rsidRPr="009401A5" w:rsidR="009401A5" w:rsidP="009401A5" w:rsidRDefault="009401A5" w14:paraId="47605372" w14:textId="77777777">
            <w:pPr>
              <w:tabs>
                <w:tab w:val="center" w:pos="284"/>
              </w:tabs>
              <w:overflowPunct w:val="0"/>
              <w:autoSpaceDE w:val="0"/>
              <w:autoSpaceDN w:val="0"/>
              <w:adjustRightInd w:val="0"/>
              <w:ind w:left="266" w:hanging="266"/>
              <w:textAlignment w:val="baseline"/>
            </w:pPr>
            <w:r>
              <w:t>EESC-2024-00926-00-00-AC</w:t>
            </w:r>
          </w:p>
        </w:tc>
      </w:tr>
    </w:tbl>
    <w:p w:rsidRPr="009401A5" w:rsidR="009401A5" w:rsidP="009401A5" w:rsidRDefault="009401A5" w14:paraId="7CF39ACA"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28862947"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9401A5" w:rsidR="009401A5" w:rsidP="009401A5" w:rsidRDefault="009401A5" w14:paraId="3DEA3FDE"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5EA0EE87" w14:textId="77777777">
      <w:pPr>
        <w:overflowPunct w:val="0"/>
        <w:autoSpaceDE w:val="0"/>
        <w:autoSpaceDN w:val="0"/>
        <w:adjustRightInd w:val="0"/>
        <w:textAlignment w:val="baseline"/>
        <w:rPr>
          <w:bCs/>
          <w:iCs/>
        </w:rPr>
      </w:pPr>
      <w:r>
        <w:t>Le CESE a décidé de rendre un avis favorable au texte proposé.</w:t>
      </w:r>
    </w:p>
    <w:p w:rsidRPr="009401A5" w:rsidR="009401A5" w:rsidP="009401A5" w:rsidRDefault="009401A5" w14:paraId="5EEBAACD"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401A5" w:rsidR="009401A5" w:rsidTr="0053712F" w14:paraId="68680265" w14:textId="77777777">
        <w:tc>
          <w:tcPr>
            <w:tcW w:w="1418" w:type="dxa"/>
          </w:tcPr>
          <w:p w:rsidRPr="009401A5" w:rsidR="009401A5" w:rsidP="009401A5" w:rsidRDefault="009401A5" w14:paraId="4C17A7BE" w14:textId="77777777">
            <w:pPr>
              <w:overflowPunct w:val="0"/>
              <w:autoSpaceDE w:val="0"/>
              <w:autoSpaceDN w:val="0"/>
              <w:adjustRightInd w:val="0"/>
              <w:spacing w:line="240" w:lineRule="auto"/>
              <w:textAlignment w:val="baseline"/>
              <w:rPr>
                <w:i/>
              </w:rPr>
            </w:pPr>
            <w:r>
              <w:rPr>
                <w:b/>
                <w:i/>
              </w:rPr>
              <w:t>Contact:</w:t>
            </w:r>
          </w:p>
        </w:tc>
        <w:tc>
          <w:tcPr>
            <w:tcW w:w="5670" w:type="dxa"/>
          </w:tcPr>
          <w:p w:rsidRPr="009401A5" w:rsidR="009401A5" w:rsidP="009401A5" w:rsidRDefault="009401A5" w14:paraId="428AF865" w14:textId="77777777">
            <w:pPr>
              <w:overflowPunct w:val="0"/>
              <w:autoSpaceDE w:val="0"/>
              <w:autoSpaceDN w:val="0"/>
              <w:adjustRightInd w:val="0"/>
              <w:spacing w:line="240" w:lineRule="auto"/>
              <w:textAlignment w:val="baseline"/>
              <w:rPr>
                <w:i/>
              </w:rPr>
            </w:pPr>
            <w:r>
              <w:rPr>
                <w:i/>
              </w:rPr>
              <w:t>Alice </w:t>
            </w:r>
            <w:proofErr w:type="spellStart"/>
            <w:r>
              <w:rPr>
                <w:i/>
              </w:rPr>
              <w:t>Tétu</w:t>
            </w:r>
            <w:proofErr w:type="spellEnd"/>
          </w:p>
        </w:tc>
      </w:tr>
      <w:tr w:rsidRPr="009401A5" w:rsidR="009401A5" w:rsidTr="0053712F" w14:paraId="5E341143" w14:textId="77777777">
        <w:tc>
          <w:tcPr>
            <w:tcW w:w="1418" w:type="dxa"/>
          </w:tcPr>
          <w:p w:rsidRPr="009401A5" w:rsidR="009401A5" w:rsidP="009401A5" w:rsidRDefault="009401A5" w14:paraId="7930D65F" w14:textId="77777777">
            <w:pPr>
              <w:overflowPunct w:val="0"/>
              <w:autoSpaceDE w:val="0"/>
              <w:autoSpaceDN w:val="0"/>
              <w:adjustRightInd w:val="0"/>
              <w:spacing w:line="240" w:lineRule="auto"/>
              <w:textAlignment w:val="baseline"/>
              <w:rPr>
                <w:i/>
              </w:rPr>
            </w:pPr>
            <w:r>
              <w:rPr>
                <w:i/>
              </w:rPr>
              <w:t>Tél.:</w:t>
            </w:r>
          </w:p>
        </w:tc>
        <w:tc>
          <w:tcPr>
            <w:tcW w:w="5670" w:type="dxa"/>
          </w:tcPr>
          <w:p w:rsidRPr="009401A5" w:rsidR="009401A5" w:rsidP="009401A5" w:rsidRDefault="009401A5" w14:paraId="619CFA1D" w14:textId="77777777">
            <w:pPr>
              <w:overflowPunct w:val="0"/>
              <w:autoSpaceDE w:val="0"/>
              <w:autoSpaceDN w:val="0"/>
              <w:adjustRightInd w:val="0"/>
              <w:spacing w:line="240" w:lineRule="auto"/>
              <w:textAlignment w:val="baseline"/>
              <w:rPr>
                <w:i/>
              </w:rPr>
            </w:pPr>
            <w:r>
              <w:rPr>
                <w:i/>
              </w:rPr>
              <w:t>+32 25468286</w:t>
            </w:r>
          </w:p>
        </w:tc>
      </w:tr>
      <w:tr w:rsidRPr="009401A5" w:rsidR="009401A5" w:rsidTr="0053712F" w14:paraId="2302345A" w14:textId="77777777">
        <w:tc>
          <w:tcPr>
            <w:tcW w:w="1418" w:type="dxa"/>
          </w:tcPr>
          <w:p w:rsidRPr="009401A5" w:rsidR="009401A5" w:rsidP="009401A5" w:rsidRDefault="009401A5" w14:paraId="0E87124E" w14:textId="77777777">
            <w:pPr>
              <w:overflowPunct w:val="0"/>
              <w:autoSpaceDE w:val="0"/>
              <w:autoSpaceDN w:val="0"/>
              <w:adjustRightInd w:val="0"/>
              <w:spacing w:line="240" w:lineRule="auto"/>
              <w:textAlignment w:val="baseline"/>
              <w:rPr>
                <w:i/>
              </w:rPr>
            </w:pPr>
            <w:r>
              <w:rPr>
                <w:i/>
              </w:rPr>
              <w:t>Courriel:</w:t>
            </w:r>
          </w:p>
        </w:tc>
        <w:tc>
          <w:tcPr>
            <w:tcW w:w="5670" w:type="dxa"/>
          </w:tcPr>
          <w:p w:rsidRPr="009401A5" w:rsidR="009401A5" w:rsidP="009401A5" w:rsidRDefault="00C87FB4" w14:paraId="6ED60171" w14:textId="77777777">
            <w:pPr>
              <w:overflowPunct w:val="0"/>
              <w:autoSpaceDE w:val="0"/>
              <w:autoSpaceDN w:val="0"/>
              <w:adjustRightInd w:val="0"/>
              <w:spacing w:line="240" w:lineRule="auto"/>
              <w:textAlignment w:val="baseline"/>
              <w:rPr>
                <w:i/>
              </w:rPr>
            </w:pPr>
            <w:hyperlink w:history="1" r:id="rId29">
              <w:r w:rsidR="007B2394">
                <w:rPr>
                  <w:i/>
                  <w:color w:val="0000FF"/>
                  <w:u w:val="single"/>
                </w:rPr>
                <w:t>Alice.Tetu@eesc.europa.eu</w:t>
              </w:r>
            </w:hyperlink>
          </w:p>
        </w:tc>
      </w:tr>
    </w:tbl>
    <w:p w:rsidR="009401A5" w:rsidRDefault="009401A5" w14:paraId="0418E663" w14:textId="77777777">
      <w:pPr>
        <w:spacing w:after="160" w:line="259" w:lineRule="auto"/>
        <w:jc w:val="left"/>
        <w:rPr>
          <w:sz w:val="16"/>
          <w:szCs w:val="16"/>
        </w:rPr>
      </w:pPr>
    </w:p>
    <w:p w:rsidR="009401A5" w:rsidRDefault="009401A5" w14:paraId="3D8A1ED4" w14:textId="77777777">
      <w:pPr>
        <w:spacing w:after="160" w:line="259" w:lineRule="auto"/>
        <w:jc w:val="left"/>
        <w:rPr>
          <w:sz w:val="16"/>
          <w:szCs w:val="16"/>
        </w:rPr>
      </w:pPr>
      <w:r>
        <w:br w:type="page"/>
      </w:r>
    </w:p>
    <w:p w:rsidRPr="00CC7E96" w:rsidR="00CC7E96" w:rsidP="004351D4" w:rsidRDefault="00C87FB4" w14:paraId="21B3FC9F" w14:textId="7EED4C8D">
      <w:pPr>
        <w:widowControl w:val="0"/>
        <w:numPr>
          <w:ilvl w:val="0"/>
          <w:numId w:val="2"/>
        </w:numPr>
        <w:overflowPunct w:val="0"/>
        <w:autoSpaceDE w:val="0"/>
        <w:autoSpaceDN w:val="0"/>
        <w:adjustRightInd w:val="0"/>
        <w:ind w:hanging="567"/>
        <w:textAlignment w:val="baseline"/>
        <w:rPr>
          <w:sz w:val="24"/>
          <w:szCs w:val="24"/>
        </w:rPr>
      </w:pPr>
      <w:hyperlink w:tgtFrame="_blank" w:history="1" r:id="rId30">
        <w:r w:rsidR="007B2394">
          <w:rPr>
            <w:b/>
            <w:i/>
            <w:color w:val="0000FF"/>
            <w:sz w:val="28"/>
            <w:u w:val="single"/>
          </w:rPr>
          <w:t>Dispositifs médicaux/</w:t>
        </w:r>
        <w:proofErr w:type="spellStart"/>
        <w:r w:rsidR="007B2394">
          <w:rPr>
            <w:b/>
            <w:i/>
            <w:color w:val="0000FF"/>
            <w:sz w:val="28"/>
            <w:u w:val="single"/>
          </w:rPr>
          <w:t>Eudamed</w:t>
        </w:r>
        <w:proofErr w:type="spellEnd"/>
      </w:hyperlink>
    </w:p>
    <w:p w:rsidRPr="00CC7E96" w:rsidR="00CC7E96" w:rsidP="00CC7E96" w:rsidRDefault="00CC7E96" w14:paraId="10EF19FC" w14:textId="77777777">
      <w:pPr>
        <w:tabs>
          <w:tab w:val="center" w:pos="284"/>
        </w:tabs>
        <w:overflowPunct w:val="0"/>
        <w:autoSpaceDE w:val="0"/>
        <w:autoSpaceDN w:val="0"/>
        <w:adjustRightInd w:val="0"/>
        <w:ind w:left="266" w:hanging="266"/>
        <w:textAlignment w:val="baseline"/>
        <w:rPr>
          <w:b/>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196"/>
      </w:tblGrid>
      <w:tr w:rsidRPr="00CC7E96" w:rsidR="00CC7E96" w:rsidTr="00B9550C" w14:paraId="51FB760A" w14:textId="77777777">
        <w:tc>
          <w:tcPr>
            <w:tcW w:w="1701" w:type="dxa"/>
          </w:tcPr>
          <w:p w:rsidRPr="00CC7E96" w:rsidR="00CC7E96" w:rsidP="00CC7E96" w:rsidRDefault="00CC7E96" w14:paraId="3FC49131" w14:textId="77777777">
            <w:pPr>
              <w:tabs>
                <w:tab w:val="center" w:pos="284"/>
              </w:tabs>
              <w:overflowPunct w:val="0"/>
              <w:autoSpaceDE w:val="0"/>
              <w:autoSpaceDN w:val="0"/>
              <w:adjustRightInd w:val="0"/>
              <w:ind w:left="266" w:hanging="266"/>
              <w:textAlignment w:val="baseline"/>
              <w:rPr>
                <w:b/>
              </w:rPr>
            </w:pPr>
            <w:r>
              <w:rPr>
                <w:b/>
              </w:rPr>
              <w:t>Rapporteur</w:t>
            </w:r>
          </w:p>
        </w:tc>
        <w:tc>
          <w:tcPr>
            <w:tcW w:w="7196" w:type="dxa"/>
          </w:tcPr>
          <w:p w:rsidRPr="00CC7E96" w:rsidR="00CC7E96" w:rsidP="00CC7E96" w:rsidRDefault="00CC7E96" w14:paraId="7302EAED" w14:textId="02952D7B">
            <w:pPr>
              <w:tabs>
                <w:tab w:val="center" w:pos="284"/>
              </w:tabs>
              <w:overflowPunct w:val="0"/>
              <w:autoSpaceDE w:val="0"/>
              <w:autoSpaceDN w:val="0"/>
              <w:adjustRightInd w:val="0"/>
              <w:ind w:left="266" w:hanging="266"/>
              <w:textAlignment w:val="baseline"/>
            </w:pPr>
            <w:proofErr w:type="spellStart"/>
            <w:r>
              <w:t>Danko</w:t>
            </w:r>
            <w:proofErr w:type="spellEnd"/>
            <w:r>
              <w:t xml:space="preserve"> RELIĆ (groupe des organisations de la société civile — </w:t>
            </w:r>
            <w:r w:rsidR="00B9550C">
              <w:t>Croatie</w:t>
            </w:r>
            <w:r>
              <w:t>)</w:t>
            </w:r>
          </w:p>
        </w:tc>
      </w:tr>
      <w:tr w:rsidRPr="00CC7E96" w:rsidR="00CC7E96" w:rsidTr="00B9550C" w14:paraId="2140D5CD" w14:textId="77777777">
        <w:tc>
          <w:tcPr>
            <w:tcW w:w="8897" w:type="dxa"/>
            <w:gridSpan w:val="2"/>
          </w:tcPr>
          <w:p w:rsidRPr="00CC7E96" w:rsidR="00CC7E96" w:rsidP="00CC7E96" w:rsidRDefault="00CC7E96" w14:paraId="36EC45DC" w14:textId="77777777">
            <w:pPr>
              <w:tabs>
                <w:tab w:val="center" w:pos="284"/>
              </w:tabs>
              <w:overflowPunct w:val="0"/>
              <w:autoSpaceDE w:val="0"/>
              <w:autoSpaceDN w:val="0"/>
              <w:adjustRightInd w:val="0"/>
              <w:spacing w:line="160" w:lineRule="exact"/>
              <w:ind w:left="266" w:hanging="266"/>
              <w:textAlignment w:val="baseline"/>
            </w:pPr>
          </w:p>
        </w:tc>
      </w:tr>
      <w:tr w:rsidRPr="00CC7E96" w:rsidR="00CC7E96" w:rsidTr="00B9550C" w14:paraId="7DC0CE54" w14:textId="77777777">
        <w:tc>
          <w:tcPr>
            <w:tcW w:w="1701" w:type="dxa"/>
            <w:vMerge w:val="restart"/>
          </w:tcPr>
          <w:p w:rsidRPr="00CC7E96" w:rsidR="00CC7E96" w:rsidP="00CC7E96" w:rsidRDefault="00CC7E96" w14:paraId="4F56DAE2" w14:textId="2ACB3D5B">
            <w:pPr>
              <w:tabs>
                <w:tab w:val="center" w:pos="284"/>
              </w:tabs>
              <w:overflowPunct w:val="0"/>
              <w:autoSpaceDE w:val="0"/>
              <w:autoSpaceDN w:val="0"/>
              <w:adjustRightInd w:val="0"/>
              <w:ind w:left="266" w:hanging="266"/>
              <w:textAlignment w:val="baseline"/>
              <w:rPr>
                <w:b/>
              </w:rPr>
            </w:pPr>
            <w:r>
              <w:rPr>
                <w:b/>
              </w:rPr>
              <w:t>Références</w:t>
            </w:r>
          </w:p>
        </w:tc>
        <w:tc>
          <w:tcPr>
            <w:tcW w:w="7196" w:type="dxa"/>
          </w:tcPr>
          <w:p w:rsidRPr="00CC7E96" w:rsidR="00CC7E96" w:rsidP="00CC7E96" w:rsidRDefault="00CC7E96" w14:paraId="5217FFE5" w14:textId="2D131BF4">
            <w:pPr>
              <w:tabs>
                <w:tab w:val="center" w:pos="284"/>
              </w:tabs>
              <w:overflowPunct w:val="0"/>
              <w:autoSpaceDE w:val="0"/>
              <w:autoSpaceDN w:val="0"/>
              <w:adjustRightInd w:val="0"/>
              <w:ind w:left="266" w:hanging="266"/>
              <w:textAlignment w:val="baseline"/>
            </w:pPr>
            <w:r>
              <w:t xml:space="preserve">COM(2024) 43 final </w:t>
            </w:r>
          </w:p>
        </w:tc>
      </w:tr>
      <w:tr w:rsidRPr="00CC7E96" w:rsidR="00CC7E96" w:rsidTr="00B9550C" w14:paraId="29B6824F" w14:textId="77777777">
        <w:tc>
          <w:tcPr>
            <w:tcW w:w="1701" w:type="dxa"/>
            <w:vMerge/>
          </w:tcPr>
          <w:p w:rsidRPr="00CC7E96" w:rsidR="00CC7E96" w:rsidP="00CC7E96" w:rsidRDefault="00CC7E96" w14:paraId="68B85A0F" w14:textId="77777777">
            <w:pPr>
              <w:tabs>
                <w:tab w:val="center" w:pos="284"/>
              </w:tabs>
              <w:overflowPunct w:val="0"/>
              <w:autoSpaceDE w:val="0"/>
              <w:autoSpaceDN w:val="0"/>
              <w:adjustRightInd w:val="0"/>
              <w:ind w:left="266" w:hanging="266"/>
              <w:textAlignment w:val="baseline"/>
              <w:rPr>
                <w:b/>
              </w:rPr>
            </w:pPr>
          </w:p>
        </w:tc>
        <w:tc>
          <w:tcPr>
            <w:tcW w:w="7196" w:type="dxa"/>
          </w:tcPr>
          <w:p w:rsidRPr="00CC7E96" w:rsidR="00CC7E96" w:rsidP="00CC7E96" w:rsidRDefault="00CC7E96" w14:paraId="0363E0DF" w14:textId="77777777">
            <w:pPr>
              <w:tabs>
                <w:tab w:val="center" w:pos="284"/>
              </w:tabs>
              <w:overflowPunct w:val="0"/>
              <w:autoSpaceDE w:val="0"/>
              <w:autoSpaceDN w:val="0"/>
              <w:adjustRightInd w:val="0"/>
              <w:ind w:left="266" w:hanging="266"/>
              <w:textAlignment w:val="baseline"/>
            </w:pPr>
            <w:r>
              <w:t>EESC-2024-00746-00-00-AC</w:t>
            </w:r>
          </w:p>
        </w:tc>
      </w:tr>
    </w:tbl>
    <w:p w:rsidRPr="00CC7E96" w:rsidR="00CC7E96" w:rsidP="00CC7E96" w:rsidRDefault="00CC7E96" w14:paraId="59B1EC7C" w14:textId="77777777">
      <w:pPr>
        <w:tabs>
          <w:tab w:val="center" w:pos="284"/>
        </w:tabs>
        <w:overflowPunct w:val="0"/>
        <w:autoSpaceDE w:val="0"/>
        <w:autoSpaceDN w:val="0"/>
        <w:adjustRightInd w:val="0"/>
        <w:ind w:left="266" w:hanging="266"/>
        <w:textAlignment w:val="baseline"/>
      </w:pPr>
    </w:p>
    <w:p w:rsidRPr="00CC7E96" w:rsidR="00CC7E96" w:rsidP="005A622F" w:rsidRDefault="00CC7E96" w14:paraId="19CA3E72" w14:textId="77777777">
      <w:pPr>
        <w:keepNext/>
        <w:keepLines/>
        <w:tabs>
          <w:tab w:val="center" w:pos="284"/>
        </w:tabs>
        <w:overflowPunct w:val="0"/>
        <w:autoSpaceDE w:val="0"/>
        <w:autoSpaceDN w:val="0"/>
        <w:adjustRightInd w:val="0"/>
        <w:ind w:left="266" w:hanging="124"/>
        <w:textAlignment w:val="baseline"/>
        <w:rPr>
          <w:b/>
        </w:rPr>
      </w:pPr>
      <w:r>
        <w:rPr>
          <w:b/>
        </w:rPr>
        <w:t>Points clés</w:t>
      </w:r>
    </w:p>
    <w:p w:rsidRPr="00CC7E96" w:rsidR="00CC7E96" w:rsidP="00CC7E96" w:rsidRDefault="00CC7E96" w14:paraId="7ECA5661" w14:textId="77777777">
      <w:pPr>
        <w:keepNext/>
        <w:keepLines/>
        <w:tabs>
          <w:tab w:val="center" w:pos="284"/>
        </w:tabs>
        <w:overflowPunct w:val="0"/>
        <w:autoSpaceDE w:val="0"/>
        <w:autoSpaceDN w:val="0"/>
        <w:adjustRightInd w:val="0"/>
        <w:ind w:left="266" w:hanging="266"/>
        <w:textAlignment w:val="baseline"/>
        <w:rPr>
          <w:b/>
        </w:rPr>
      </w:pPr>
    </w:p>
    <w:p w:rsidRPr="00CC7E96" w:rsidR="00CC7E96" w:rsidP="005A622F" w:rsidRDefault="00CC7E96" w14:paraId="3360C592" w14:textId="77777777">
      <w:pPr>
        <w:overflowPunct w:val="0"/>
        <w:autoSpaceDE w:val="0"/>
        <w:autoSpaceDN w:val="0"/>
        <w:adjustRightInd w:val="0"/>
        <w:ind w:firstLine="142"/>
        <w:textAlignment w:val="baseline"/>
        <w:rPr>
          <w:bCs/>
          <w:iCs/>
        </w:rPr>
      </w:pPr>
      <w:r>
        <w:t>Le CESE</w:t>
      </w:r>
    </w:p>
    <w:p w:rsidRPr="00CC7E96" w:rsidR="00CC7E96" w:rsidP="00CC7E96" w:rsidRDefault="00CC7E96" w14:paraId="22882F1C" w14:textId="77777777">
      <w:pPr>
        <w:overflowPunct w:val="0"/>
        <w:autoSpaceDE w:val="0"/>
        <w:autoSpaceDN w:val="0"/>
        <w:adjustRightInd w:val="0"/>
        <w:textAlignment w:val="baseline"/>
        <w:rPr>
          <w:bCs/>
          <w:iCs/>
        </w:rPr>
      </w:pPr>
    </w:p>
    <w:p w:rsidRPr="00CC7E96" w:rsidR="00CC7E96" w:rsidP="005A622F" w:rsidRDefault="00CC7E96" w14:paraId="5D83FA12" w14:textId="77777777">
      <w:pPr>
        <w:widowControl w:val="0"/>
        <w:numPr>
          <w:ilvl w:val="0"/>
          <w:numId w:val="16"/>
        </w:numPr>
        <w:overflowPunct w:val="0"/>
        <w:autoSpaceDE w:val="0"/>
        <w:autoSpaceDN w:val="0"/>
        <w:adjustRightInd w:val="0"/>
        <w:ind w:hanging="425"/>
        <w:textAlignment w:val="baseline"/>
      </w:pPr>
      <w:r>
        <w:t xml:space="preserve">demande que soient prolongées les périodes transitoires applicables à certains dispositifs médicaux de diagnostic in vitro («DIV») à haut risque, et plaide en faveur d’un cadre pragmatique et cohérent qui permette d’alerter à l’avance en cas de rupture d’approvisionnement et qui favorise la collaboration entre les fabricants, les organismes indépendants d’évaluation de la conformité (ou «organismes notifiés») et les autorités réglementaires, de manière à garantir un haut niveau de </w:t>
      </w:r>
      <w:r>
        <w:rPr>
          <w:b/>
        </w:rPr>
        <w:t>transparence</w:t>
      </w:r>
      <w:r>
        <w:t xml:space="preserve"> et de </w:t>
      </w:r>
      <w:r>
        <w:rPr>
          <w:b/>
        </w:rPr>
        <w:t>préparation</w:t>
      </w:r>
      <w:r>
        <w:t xml:space="preserve"> dans l’ensemble de l’Union;</w:t>
      </w:r>
    </w:p>
    <w:p w:rsidRPr="00CC7E96" w:rsidR="00CC7E96" w:rsidP="005A622F" w:rsidRDefault="00CC7E96" w14:paraId="2B1D6785" w14:textId="77777777">
      <w:pPr>
        <w:widowControl w:val="0"/>
        <w:numPr>
          <w:ilvl w:val="0"/>
          <w:numId w:val="16"/>
        </w:numPr>
        <w:overflowPunct w:val="0"/>
        <w:autoSpaceDE w:val="0"/>
        <w:autoSpaceDN w:val="0"/>
        <w:adjustRightInd w:val="0"/>
        <w:ind w:hanging="425"/>
        <w:textAlignment w:val="baseline"/>
      </w:pPr>
      <w:r>
        <w:t xml:space="preserve">souligne la nécessité de </w:t>
      </w:r>
      <w:r>
        <w:rPr>
          <w:b/>
        </w:rPr>
        <w:t>faire participer les professionnels de santé à cette notification des pénuries</w:t>
      </w:r>
      <w:r>
        <w:t xml:space="preserve"> et prône la mise en place d’un système intégrant leurs rapports et ceux des fabricants, afin d’accélérer les signalements et d’en accroître la précision;</w:t>
      </w:r>
    </w:p>
    <w:p w:rsidRPr="00CC7E96" w:rsidR="00CC7E96" w:rsidP="005A622F" w:rsidRDefault="00CC7E96" w14:paraId="22193122" w14:textId="77777777">
      <w:pPr>
        <w:widowControl w:val="0"/>
        <w:numPr>
          <w:ilvl w:val="0"/>
          <w:numId w:val="16"/>
        </w:numPr>
        <w:overflowPunct w:val="0"/>
        <w:autoSpaceDE w:val="0"/>
        <w:autoSpaceDN w:val="0"/>
        <w:adjustRightInd w:val="0"/>
        <w:ind w:hanging="425"/>
        <w:textAlignment w:val="baseline"/>
      </w:pPr>
      <w:r>
        <w:t xml:space="preserve">insiste sur la nécessité de mettre en place des </w:t>
      </w:r>
      <w:r>
        <w:rPr>
          <w:b/>
        </w:rPr>
        <w:t>programmes de formation complets pour toutes les parties prenantes engagées dans le secteur des dispositifs médicaux</w:t>
      </w:r>
      <w:r>
        <w:t>, y compris des programmes destinés à former les formateurs, pour garantir que les compétences réglementaires et techniques soient largement répandues;</w:t>
      </w:r>
    </w:p>
    <w:p w:rsidRPr="00CC7E96" w:rsidR="00CC7E96" w:rsidP="005A622F" w:rsidRDefault="00CC7E96" w14:paraId="3B7EBAB2" w14:textId="77777777">
      <w:pPr>
        <w:widowControl w:val="0"/>
        <w:numPr>
          <w:ilvl w:val="0"/>
          <w:numId w:val="16"/>
        </w:numPr>
        <w:overflowPunct w:val="0"/>
        <w:autoSpaceDE w:val="0"/>
        <w:autoSpaceDN w:val="0"/>
        <w:adjustRightInd w:val="0"/>
        <w:ind w:hanging="425"/>
        <w:textAlignment w:val="baseline"/>
      </w:pPr>
      <w:r>
        <w:t xml:space="preserve">relève </w:t>
      </w:r>
      <w:r>
        <w:rPr>
          <w:b/>
        </w:rPr>
        <w:t>la place importante qu’occupent les PME dans le secteur des dispositifs médicaux</w:t>
      </w:r>
      <w:r>
        <w:t xml:space="preserve"> grâce à leur dynamisme et à leur capacité d’adaptation, et réclame des mécanismes de soutien tels que des subventions et des parcours simplifiés de mise en conformité, de façon à renforcer leurs capacités d’innovation et leur position concurrentielle;</w:t>
      </w:r>
    </w:p>
    <w:p w:rsidRPr="00CC7E96" w:rsidR="00CC7E96" w:rsidP="005A622F" w:rsidRDefault="00CC7E96" w14:paraId="07CD143C" w14:textId="77777777">
      <w:pPr>
        <w:widowControl w:val="0"/>
        <w:numPr>
          <w:ilvl w:val="0"/>
          <w:numId w:val="16"/>
        </w:numPr>
        <w:overflowPunct w:val="0"/>
        <w:autoSpaceDE w:val="0"/>
        <w:autoSpaceDN w:val="0"/>
        <w:adjustRightInd w:val="0"/>
        <w:ind w:hanging="425"/>
        <w:textAlignment w:val="baseline"/>
        <w:rPr>
          <w:rFonts w:asciiTheme="minorHAnsi" w:hAnsiTheme="minorHAnsi"/>
          <w:szCs w:val="20"/>
        </w:rPr>
      </w:pPr>
      <w:r>
        <w:t xml:space="preserve">suggère la mise en place d’une </w:t>
      </w:r>
      <w:r>
        <w:rPr>
          <w:b/>
        </w:rPr>
        <w:t>plateforme à l’échelle de l’Union</w:t>
      </w:r>
      <w:r>
        <w:t xml:space="preserve"> pour faciliter le dialogue entre les parties prenantes, y compris les PME, les professionnels de santé, les fabricants et les organismes de réglementation; il sera ainsi possible de surmonter les difficultés et de diffuser les bonnes pratiques en matière d’innovation et de réglementation des dispositifs médicaux.</w:t>
      </w:r>
    </w:p>
    <w:p w:rsidRPr="00CC7E96" w:rsidR="00CC7E96" w:rsidP="00CC7E96" w:rsidRDefault="00CC7E96" w14:paraId="618E05E8"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7E96" w:rsidR="00CC7E96" w:rsidTr="0053712F" w14:paraId="7E237AC3" w14:textId="77777777">
        <w:tc>
          <w:tcPr>
            <w:tcW w:w="1418" w:type="dxa"/>
          </w:tcPr>
          <w:p w:rsidRPr="00CC7E96" w:rsidR="00CC7E96" w:rsidP="00CC7E96" w:rsidRDefault="00CC7E96" w14:paraId="3AA8A290" w14:textId="77777777">
            <w:pPr>
              <w:overflowPunct w:val="0"/>
              <w:autoSpaceDE w:val="0"/>
              <w:autoSpaceDN w:val="0"/>
              <w:adjustRightInd w:val="0"/>
              <w:spacing w:line="240" w:lineRule="auto"/>
              <w:textAlignment w:val="baseline"/>
              <w:rPr>
                <w:i/>
              </w:rPr>
            </w:pPr>
            <w:r>
              <w:rPr>
                <w:b/>
                <w:i/>
              </w:rPr>
              <w:t>Contact:</w:t>
            </w:r>
          </w:p>
        </w:tc>
        <w:tc>
          <w:tcPr>
            <w:tcW w:w="5670" w:type="dxa"/>
          </w:tcPr>
          <w:p w:rsidRPr="00CC7E96" w:rsidR="00CC7E96" w:rsidP="00CC7E96" w:rsidRDefault="00CC7E96" w14:paraId="727142FB" w14:textId="77777777">
            <w:pPr>
              <w:overflowPunct w:val="0"/>
              <w:autoSpaceDE w:val="0"/>
              <w:autoSpaceDN w:val="0"/>
              <w:adjustRightInd w:val="0"/>
              <w:spacing w:line="240" w:lineRule="auto"/>
              <w:textAlignment w:val="baseline"/>
              <w:rPr>
                <w:i/>
              </w:rPr>
            </w:pPr>
            <w:r>
              <w:rPr>
                <w:i/>
              </w:rPr>
              <w:t>Silvia Staffa</w:t>
            </w:r>
          </w:p>
        </w:tc>
      </w:tr>
      <w:tr w:rsidRPr="00CC7E96" w:rsidR="00CC7E96" w:rsidTr="0053712F" w14:paraId="082724D8" w14:textId="77777777">
        <w:tc>
          <w:tcPr>
            <w:tcW w:w="1418" w:type="dxa"/>
          </w:tcPr>
          <w:p w:rsidRPr="00CC7E96" w:rsidR="00CC7E96" w:rsidP="00CC7E96" w:rsidRDefault="00CC7E96" w14:paraId="3229741E" w14:textId="77777777">
            <w:pPr>
              <w:overflowPunct w:val="0"/>
              <w:autoSpaceDE w:val="0"/>
              <w:autoSpaceDN w:val="0"/>
              <w:adjustRightInd w:val="0"/>
              <w:spacing w:line="240" w:lineRule="auto"/>
              <w:textAlignment w:val="baseline"/>
              <w:rPr>
                <w:i/>
              </w:rPr>
            </w:pPr>
            <w:r>
              <w:rPr>
                <w:i/>
              </w:rPr>
              <w:t>Tél.:</w:t>
            </w:r>
          </w:p>
        </w:tc>
        <w:tc>
          <w:tcPr>
            <w:tcW w:w="5670" w:type="dxa"/>
          </w:tcPr>
          <w:p w:rsidRPr="00CC7E96" w:rsidR="00CC7E96" w:rsidP="00CC7E96" w:rsidRDefault="00CC7E96" w14:paraId="7B585E50" w14:textId="51243A14">
            <w:pPr>
              <w:overflowPunct w:val="0"/>
              <w:autoSpaceDE w:val="0"/>
              <w:autoSpaceDN w:val="0"/>
              <w:adjustRightInd w:val="0"/>
              <w:spacing w:line="240" w:lineRule="auto"/>
              <w:textAlignment w:val="baseline"/>
              <w:rPr>
                <w:i/>
              </w:rPr>
            </w:pPr>
            <w:r>
              <w:rPr>
                <w:i/>
              </w:rPr>
              <w:t>+32 25468378</w:t>
            </w:r>
          </w:p>
        </w:tc>
      </w:tr>
      <w:tr w:rsidRPr="00CC7E96" w:rsidR="00CC7E96" w:rsidTr="0053712F" w14:paraId="18CCA030" w14:textId="77777777">
        <w:tc>
          <w:tcPr>
            <w:tcW w:w="1418" w:type="dxa"/>
          </w:tcPr>
          <w:p w:rsidRPr="00CC7E96" w:rsidR="00CC7E96" w:rsidP="00CC7E96" w:rsidRDefault="00CC7E96" w14:paraId="60BD16A8" w14:textId="77777777">
            <w:pPr>
              <w:overflowPunct w:val="0"/>
              <w:autoSpaceDE w:val="0"/>
              <w:autoSpaceDN w:val="0"/>
              <w:adjustRightInd w:val="0"/>
              <w:spacing w:line="240" w:lineRule="auto"/>
              <w:textAlignment w:val="baseline"/>
              <w:rPr>
                <w:i/>
              </w:rPr>
            </w:pPr>
            <w:r>
              <w:rPr>
                <w:i/>
              </w:rPr>
              <w:t>Courriel:</w:t>
            </w:r>
          </w:p>
        </w:tc>
        <w:tc>
          <w:tcPr>
            <w:tcW w:w="5670" w:type="dxa"/>
          </w:tcPr>
          <w:p w:rsidRPr="00CC7E96" w:rsidR="00CC7E96" w:rsidP="00CC7E96" w:rsidRDefault="00C87FB4" w14:paraId="511B20F8" w14:textId="77777777">
            <w:pPr>
              <w:overflowPunct w:val="0"/>
              <w:autoSpaceDE w:val="0"/>
              <w:autoSpaceDN w:val="0"/>
              <w:adjustRightInd w:val="0"/>
              <w:spacing w:line="240" w:lineRule="auto"/>
              <w:textAlignment w:val="baseline"/>
              <w:rPr>
                <w:i/>
              </w:rPr>
            </w:pPr>
            <w:hyperlink w:history="1" r:id="rId31">
              <w:r w:rsidR="007B2394">
                <w:rPr>
                  <w:i/>
                  <w:color w:val="0000FF"/>
                  <w:u w:val="single"/>
                </w:rPr>
                <w:t>Silvia.Staffa@eesc.europa.eu</w:t>
              </w:r>
            </w:hyperlink>
          </w:p>
        </w:tc>
      </w:tr>
    </w:tbl>
    <w:p w:rsidR="00BE0FC6" w:rsidRDefault="00BE0FC6" w14:paraId="7B36F566" w14:textId="4A4B15A4">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63634982" w:id="6"/>
      <w:r>
        <w:rPr>
          <w:b/>
        </w:rPr>
        <w:lastRenderedPageBreak/>
        <w:t>AGRICULTURE, DÉVELOPPEMENT RURAL ET ENVIRONNEMENT</w:t>
      </w:r>
      <w:bookmarkEnd w:id="6"/>
    </w:p>
    <w:p w:rsidR="00E20508" w:rsidP="00EE2FBD" w:rsidRDefault="00E20508" w14:paraId="2AC7F599" w14:textId="77777777">
      <w:pPr>
        <w:pStyle w:val="Heading1"/>
        <w:keepNext/>
        <w:keepLines/>
        <w:numPr>
          <w:ilvl w:val="0"/>
          <w:numId w:val="0"/>
        </w:numPr>
        <w:spacing w:before="0"/>
        <w:ind w:left="568"/>
        <w:rPr>
          <w:b/>
          <w:bCs/>
        </w:rPr>
      </w:pPr>
    </w:p>
    <w:p w:rsidRPr="008335B0" w:rsidR="008335B0" w:rsidP="004351D4" w:rsidRDefault="00C87FB4" w14:paraId="71EDDE7D" w14:textId="47831897">
      <w:pPr>
        <w:widowControl w:val="0"/>
        <w:numPr>
          <w:ilvl w:val="0"/>
          <w:numId w:val="4"/>
        </w:numPr>
        <w:overflowPunct w:val="0"/>
        <w:autoSpaceDE w:val="0"/>
        <w:autoSpaceDN w:val="0"/>
        <w:adjustRightInd w:val="0"/>
        <w:spacing w:after="200" w:line="276" w:lineRule="auto"/>
        <w:ind w:left="567" w:hanging="567"/>
        <w:contextualSpacing/>
        <w:textAlignment w:val="baseline"/>
        <w:rPr>
          <w:sz w:val="20"/>
        </w:rPr>
      </w:pPr>
      <w:hyperlink w:history="1" r:id="rId32">
        <w:r w:rsidR="007B2394">
          <w:rPr>
            <w:b/>
            <w:i/>
            <w:color w:val="0000FF"/>
            <w:sz w:val="28"/>
            <w:u w:val="single"/>
          </w:rPr>
          <w:t>Équivalence des semences produites en Moldavie et en Ukraine</w:t>
        </w:r>
      </w:hyperlink>
    </w:p>
    <w:p w:rsidRPr="008335B0" w:rsidR="008335B0" w:rsidP="008335B0" w:rsidRDefault="008335B0" w14:paraId="4D7D5A32" w14:textId="778DF4B2">
      <w:pPr>
        <w:tabs>
          <w:tab w:val="center" w:pos="284"/>
        </w:tabs>
        <w:overflowPunct w:val="0"/>
        <w:autoSpaceDE w:val="0"/>
        <w:autoSpaceDN w:val="0"/>
        <w:adjustRightInd w:val="0"/>
        <w:ind w:left="266" w:hanging="266"/>
        <w:textAlignment w:val="baseline"/>
        <w:rPr>
          <w:b/>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8335B0" w:rsidR="008335B0" w:rsidTr="0053712F" w14:paraId="01B47F24" w14:textId="77777777">
        <w:tc>
          <w:tcPr>
            <w:tcW w:w="7088" w:type="dxa"/>
            <w:gridSpan w:val="2"/>
          </w:tcPr>
          <w:p w:rsidRPr="008335B0" w:rsidR="008335B0" w:rsidP="008335B0" w:rsidRDefault="008335B0" w14:paraId="5CFA199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8335B0" w:rsidR="008335B0" w:rsidTr="0053712F" w14:paraId="186CCD76" w14:textId="77777777">
        <w:tc>
          <w:tcPr>
            <w:tcW w:w="1701" w:type="dxa"/>
          </w:tcPr>
          <w:p w:rsidRPr="008335B0" w:rsidR="008335B0" w:rsidP="008335B0" w:rsidRDefault="008335B0" w14:paraId="047E2DEC" w14:textId="0856F6D0">
            <w:pPr>
              <w:tabs>
                <w:tab w:val="center" w:pos="284"/>
              </w:tabs>
              <w:overflowPunct w:val="0"/>
              <w:autoSpaceDE w:val="0"/>
              <w:autoSpaceDN w:val="0"/>
              <w:adjustRightInd w:val="0"/>
              <w:ind w:left="266" w:hanging="266"/>
              <w:textAlignment w:val="baseline"/>
              <w:rPr>
                <w:b/>
              </w:rPr>
            </w:pPr>
            <w:r>
              <w:rPr>
                <w:b/>
              </w:rPr>
              <w:t>Références</w:t>
            </w:r>
          </w:p>
        </w:tc>
        <w:tc>
          <w:tcPr>
            <w:tcW w:w="5387" w:type="dxa"/>
          </w:tcPr>
          <w:p w:rsidR="003A5C4C" w:rsidP="008335B0" w:rsidRDefault="003A5C4C" w14:paraId="035B9E93" w14:textId="102896AC">
            <w:pPr>
              <w:tabs>
                <w:tab w:val="center" w:pos="284"/>
              </w:tabs>
              <w:overflowPunct w:val="0"/>
              <w:autoSpaceDE w:val="0"/>
              <w:autoSpaceDN w:val="0"/>
              <w:adjustRightInd w:val="0"/>
              <w:ind w:left="266" w:hanging="266"/>
              <w:textAlignment w:val="baseline"/>
            </w:pPr>
            <w:r>
              <w:t>Avis de catégorie C</w:t>
            </w:r>
          </w:p>
          <w:p w:rsidRPr="008335B0" w:rsidR="008335B0" w:rsidP="008335B0" w:rsidRDefault="008335B0" w14:paraId="77B45FCB" w14:textId="14E3D47E">
            <w:pPr>
              <w:tabs>
                <w:tab w:val="center" w:pos="284"/>
              </w:tabs>
              <w:overflowPunct w:val="0"/>
              <w:autoSpaceDE w:val="0"/>
              <w:autoSpaceDN w:val="0"/>
              <w:adjustRightInd w:val="0"/>
              <w:ind w:left="266" w:hanging="266"/>
              <w:textAlignment w:val="baseline"/>
            </w:pPr>
            <w:r>
              <w:t xml:space="preserve">COM(2024) 52 final </w:t>
            </w:r>
          </w:p>
          <w:p w:rsidRPr="008335B0" w:rsidR="008335B0" w:rsidP="008335B0" w:rsidRDefault="008335B0" w14:paraId="5DCBF442" w14:textId="60081625">
            <w:pPr>
              <w:tabs>
                <w:tab w:val="center" w:pos="284"/>
              </w:tabs>
              <w:overflowPunct w:val="0"/>
              <w:autoSpaceDE w:val="0"/>
              <w:autoSpaceDN w:val="0"/>
              <w:adjustRightInd w:val="0"/>
              <w:ind w:left="266" w:hanging="266"/>
              <w:textAlignment w:val="baseline"/>
            </w:pPr>
            <w:r>
              <w:t>COM(2024) 53 final</w:t>
            </w:r>
          </w:p>
          <w:p w:rsidRPr="008335B0" w:rsidR="008335B0" w:rsidP="008335B0" w:rsidRDefault="008335B0" w14:paraId="74666CE7" w14:textId="77777777">
            <w:pPr>
              <w:tabs>
                <w:tab w:val="center" w:pos="284"/>
              </w:tabs>
              <w:overflowPunct w:val="0"/>
              <w:autoSpaceDE w:val="0"/>
              <w:autoSpaceDN w:val="0"/>
              <w:adjustRightInd w:val="0"/>
              <w:ind w:left="266" w:hanging="266"/>
              <w:textAlignment w:val="baseline"/>
            </w:pPr>
            <w:r>
              <w:t>EESC-2024-00852-00-00-AC</w:t>
            </w:r>
          </w:p>
        </w:tc>
      </w:tr>
    </w:tbl>
    <w:p w:rsidRPr="008335B0" w:rsidR="008335B0" w:rsidP="008335B0" w:rsidRDefault="008335B0" w14:paraId="2112DEF1" w14:textId="77777777">
      <w:pPr>
        <w:tabs>
          <w:tab w:val="center" w:pos="284"/>
        </w:tabs>
        <w:overflowPunct w:val="0"/>
        <w:autoSpaceDE w:val="0"/>
        <w:autoSpaceDN w:val="0"/>
        <w:adjustRightInd w:val="0"/>
        <w:ind w:left="266" w:hanging="266"/>
        <w:textAlignment w:val="baseline"/>
        <w:rPr>
          <w:lang w:val="fr-LU"/>
        </w:rPr>
      </w:pPr>
    </w:p>
    <w:p w:rsidRPr="008335B0" w:rsidR="008335B0" w:rsidP="008335B0" w:rsidRDefault="008335B0" w14:paraId="6BFF8A6E"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8335B0" w:rsidR="008335B0" w:rsidP="008335B0" w:rsidRDefault="008335B0" w14:paraId="456E97B8" w14:textId="77777777">
      <w:pPr>
        <w:overflowPunct w:val="0"/>
        <w:autoSpaceDE w:val="0"/>
        <w:autoSpaceDN w:val="0"/>
        <w:adjustRightInd w:val="0"/>
        <w:textAlignment w:val="baseline"/>
        <w:rPr>
          <w:bCs/>
          <w:iCs/>
          <w:lang w:val="fr-LU"/>
        </w:rPr>
      </w:pPr>
    </w:p>
    <w:p w:rsidRPr="008335B0" w:rsidR="008335B0" w:rsidP="008335B0" w:rsidRDefault="008335B0" w14:paraId="3EBF4E21" w14:textId="77777777">
      <w:pPr>
        <w:outlineLvl w:val="1"/>
        <w:rPr>
          <w:bCs/>
          <w:iCs/>
        </w:rPr>
      </w:pPr>
      <w:r>
        <w:t>Le CESE</w:t>
      </w:r>
    </w:p>
    <w:p w:rsidRPr="008335B0" w:rsidR="008335B0" w:rsidP="008335B0" w:rsidRDefault="008335B0" w14:paraId="4C250B20" w14:textId="77777777">
      <w:pPr>
        <w:outlineLvl w:val="1"/>
        <w:rPr>
          <w:bCs/>
          <w:iCs/>
        </w:rPr>
      </w:pPr>
    </w:p>
    <w:p w:rsidRPr="00323D28" w:rsidR="008335B0" w:rsidP="005A622F" w:rsidRDefault="008335B0" w14:paraId="44289AE0" w14:textId="77777777">
      <w:pPr>
        <w:pStyle w:val="ListParagraph"/>
        <w:numPr>
          <w:ilvl w:val="0"/>
          <w:numId w:val="17"/>
        </w:numPr>
        <w:overflowPunct w:val="0"/>
        <w:autoSpaceDE w:val="0"/>
        <w:autoSpaceDN w:val="0"/>
        <w:adjustRightInd w:val="0"/>
        <w:spacing w:after="200" w:line="276" w:lineRule="auto"/>
        <w:ind w:left="567" w:hanging="567"/>
        <w:jc w:val="left"/>
        <w:textAlignment w:val="baseline"/>
        <w:outlineLvl w:val="1"/>
        <w:rPr>
          <w:rFonts w:ascii="Calibri" w:hAnsi="Calibri"/>
        </w:rPr>
      </w:pPr>
      <w:r>
        <w:t>estime que le contenu de la proposition est entièrement satisfaisant et n’appelle aucun commentaire de sa part.</w:t>
      </w:r>
    </w:p>
    <w:p w:rsidRPr="008335B0" w:rsidR="008335B0" w:rsidP="008335B0" w:rsidRDefault="008335B0" w14:paraId="64CA4B74" w14:textId="77777777">
      <w:pPr>
        <w:overflowPunct w:val="0"/>
        <w:autoSpaceDE w:val="0"/>
        <w:autoSpaceDN w:val="0"/>
        <w:adjustRightInd w:val="0"/>
        <w:ind w:left="567" w:hanging="567"/>
        <w:contextualSpacing/>
        <w:textAlignment w:val="baseline"/>
        <w:rPr>
          <w:szCs w:val="20"/>
          <w:lang w:val="fr-LU"/>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335B0" w:rsidR="008335B0" w:rsidTr="0053712F" w14:paraId="41A2C59E" w14:textId="77777777">
        <w:tc>
          <w:tcPr>
            <w:tcW w:w="1418" w:type="dxa"/>
          </w:tcPr>
          <w:p w:rsidRPr="008335B0" w:rsidR="008335B0" w:rsidP="008335B0" w:rsidRDefault="008335B0" w14:paraId="3FBD974E" w14:textId="77777777">
            <w:pPr>
              <w:overflowPunct w:val="0"/>
              <w:autoSpaceDE w:val="0"/>
              <w:autoSpaceDN w:val="0"/>
              <w:adjustRightInd w:val="0"/>
              <w:spacing w:line="240" w:lineRule="auto"/>
              <w:textAlignment w:val="baseline"/>
              <w:rPr>
                <w:i/>
              </w:rPr>
            </w:pPr>
            <w:r>
              <w:rPr>
                <w:b/>
                <w:i/>
              </w:rPr>
              <w:t>Contact:</w:t>
            </w:r>
          </w:p>
        </w:tc>
        <w:tc>
          <w:tcPr>
            <w:tcW w:w="5670" w:type="dxa"/>
          </w:tcPr>
          <w:p w:rsidRPr="008335B0" w:rsidR="008335B0" w:rsidP="008335B0" w:rsidRDefault="008335B0" w14:paraId="67624FF8" w14:textId="77777777">
            <w:pPr>
              <w:overflowPunct w:val="0"/>
              <w:autoSpaceDE w:val="0"/>
              <w:autoSpaceDN w:val="0"/>
              <w:adjustRightInd w:val="0"/>
              <w:spacing w:line="240" w:lineRule="auto"/>
              <w:textAlignment w:val="baseline"/>
              <w:rPr>
                <w:i/>
              </w:rPr>
            </w:pPr>
            <w:r>
              <w:rPr>
                <w:i/>
              </w:rPr>
              <w:t xml:space="preserve">Arturo </w:t>
            </w:r>
            <w:proofErr w:type="spellStart"/>
            <w:r>
              <w:rPr>
                <w:i/>
              </w:rPr>
              <w:t>Iniguez</w:t>
            </w:r>
            <w:proofErr w:type="spellEnd"/>
          </w:p>
        </w:tc>
      </w:tr>
      <w:tr w:rsidRPr="008335B0" w:rsidR="008335B0" w:rsidTr="0053712F" w14:paraId="3EAFEE03" w14:textId="77777777">
        <w:tc>
          <w:tcPr>
            <w:tcW w:w="1418" w:type="dxa"/>
          </w:tcPr>
          <w:p w:rsidRPr="008335B0" w:rsidR="008335B0" w:rsidP="008335B0" w:rsidRDefault="008335B0" w14:paraId="1C842727" w14:textId="31467F61">
            <w:pPr>
              <w:overflowPunct w:val="0"/>
              <w:autoSpaceDE w:val="0"/>
              <w:autoSpaceDN w:val="0"/>
              <w:adjustRightInd w:val="0"/>
              <w:spacing w:line="240" w:lineRule="auto"/>
              <w:textAlignment w:val="baseline"/>
              <w:rPr>
                <w:i/>
              </w:rPr>
            </w:pPr>
            <w:r>
              <w:rPr>
                <w:i/>
              </w:rPr>
              <w:t>Tél.:</w:t>
            </w:r>
          </w:p>
        </w:tc>
        <w:tc>
          <w:tcPr>
            <w:tcW w:w="5670" w:type="dxa"/>
          </w:tcPr>
          <w:p w:rsidRPr="008335B0" w:rsidR="008335B0" w:rsidP="008335B0" w:rsidRDefault="008335B0" w14:paraId="14DEB419" w14:textId="77777777">
            <w:pPr>
              <w:overflowPunct w:val="0"/>
              <w:autoSpaceDE w:val="0"/>
              <w:autoSpaceDN w:val="0"/>
              <w:adjustRightInd w:val="0"/>
              <w:spacing w:line="240" w:lineRule="auto"/>
              <w:textAlignment w:val="baseline"/>
              <w:rPr>
                <w:i/>
              </w:rPr>
            </w:pPr>
            <w:r>
              <w:rPr>
                <w:i/>
              </w:rPr>
              <w:t>+32 25468768</w:t>
            </w:r>
          </w:p>
        </w:tc>
      </w:tr>
      <w:tr w:rsidRPr="008335B0" w:rsidR="008335B0" w:rsidTr="0053712F" w14:paraId="294314AF" w14:textId="77777777">
        <w:tc>
          <w:tcPr>
            <w:tcW w:w="1418" w:type="dxa"/>
          </w:tcPr>
          <w:p w:rsidRPr="008335B0" w:rsidR="008335B0" w:rsidP="008335B0" w:rsidRDefault="008335B0" w14:paraId="7E4AB523" w14:textId="78918254">
            <w:pPr>
              <w:overflowPunct w:val="0"/>
              <w:autoSpaceDE w:val="0"/>
              <w:autoSpaceDN w:val="0"/>
              <w:adjustRightInd w:val="0"/>
              <w:spacing w:line="240" w:lineRule="auto"/>
              <w:textAlignment w:val="baseline"/>
              <w:rPr>
                <w:i/>
              </w:rPr>
            </w:pPr>
            <w:r>
              <w:rPr>
                <w:i/>
              </w:rPr>
              <w:t>Courriel:</w:t>
            </w:r>
          </w:p>
        </w:tc>
        <w:tc>
          <w:tcPr>
            <w:tcW w:w="5670" w:type="dxa"/>
          </w:tcPr>
          <w:p w:rsidRPr="008335B0" w:rsidR="008335B0" w:rsidP="008335B0" w:rsidRDefault="00C87FB4" w14:paraId="13140DEF" w14:textId="77777777">
            <w:pPr>
              <w:overflowPunct w:val="0"/>
              <w:autoSpaceDE w:val="0"/>
              <w:autoSpaceDN w:val="0"/>
              <w:adjustRightInd w:val="0"/>
              <w:spacing w:line="240" w:lineRule="auto"/>
              <w:textAlignment w:val="baseline"/>
              <w:rPr>
                <w:i/>
              </w:rPr>
            </w:pPr>
            <w:hyperlink w:history="1" r:id="rId33">
              <w:r w:rsidR="007B2394">
                <w:rPr>
                  <w:i/>
                  <w:color w:val="0000FF"/>
                  <w:u w:val="single"/>
                </w:rPr>
                <w:t>Arturo.Iniguez@eesc.europa.eu</w:t>
              </w:r>
            </w:hyperlink>
          </w:p>
          <w:p w:rsidRPr="008335B0" w:rsidR="008335B0" w:rsidP="008335B0" w:rsidRDefault="008335B0" w14:paraId="03673403" w14:textId="77777777">
            <w:pPr>
              <w:overflowPunct w:val="0"/>
              <w:autoSpaceDE w:val="0"/>
              <w:autoSpaceDN w:val="0"/>
              <w:adjustRightInd w:val="0"/>
              <w:spacing w:line="240" w:lineRule="auto"/>
              <w:textAlignment w:val="baseline"/>
              <w:rPr>
                <w:i/>
                <w:lang w:val="fr-LU"/>
              </w:rPr>
            </w:pPr>
          </w:p>
        </w:tc>
      </w:tr>
    </w:tbl>
    <w:p w:rsidR="00332490" w:rsidRDefault="00332490" w14:paraId="59287650" w14:textId="77777777">
      <w:pPr>
        <w:spacing w:after="160" w:line="259" w:lineRule="auto"/>
        <w:jc w:val="left"/>
        <w:rPr>
          <w:b/>
          <w:bCs/>
        </w:rPr>
      </w:pPr>
    </w:p>
    <w:p w:rsidR="00332490" w:rsidRDefault="00332490" w14:paraId="103D0CAA" w14:textId="77777777">
      <w:pPr>
        <w:spacing w:after="160" w:line="259" w:lineRule="auto"/>
        <w:jc w:val="left"/>
        <w:rPr>
          <w:b/>
          <w:bCs/>
        </w:rPr>
      </w:pPr>
      <w:r>
        <w:br w:type="page"/>
      </w:r>
    </w:p>
    <w:p w:rsidRPr="00332490" w:rsidR="00332490" w:rsidP="004351D4" w:rsidRDefault="00C87FB4" w14:paraId="4BDF4E5D" w14:textId="4CFBB9C6">
      <w:pPr>
        <w:numPr>
          <w:ilvl w:val="0"/>
          <w:numId w:val="3"/>
        </w:numPr>
        <w:overflowPunct w:val="0"/>
        <w:autoSpaceDE w:val="0"/>
        <w:autoSpaceDN w:val="0"/>
        <w:adjustRightInd w:val="0"/>
        <w:spacing w:line="276" w:lineRule="auto"/>
        <w:contextualSpacing/>
        <w:jc w:val="left"/>
        <w:textAlignment w:val="baseline"/>
        <w:rPr>
          <w:i/>
          <w:iCs/>
        </w:rPr>
      </w:pPr>
      <w:hyperlink w:history="1" r:id="rId34">
        <w:r w:rsidR="007B2394">
          <w:rPr>
            <w:b/>
            <w:i/>
            <w:color w:val="0000FF"/>
            <w:sz w:val="28"/>
            <w:u w:val="single"/>
          </w:rPr>
          <w:t>Produits chimiques: «une substance, une évaluation»</w:t>
        </w:r>
      </w:hyperlink>
    </w:p>
    <w:p w:rsidRPr="00332490" w:rsidR="000925AF" w:rsidP="00332490" w:rsidRDefault="000925AF" w14:paraId="0ACAD911" w14:textId="77777777">
      <w:pPr>
        <w:widowControl w:val="0"/>
        <w:overflowPunct w:val="0"/>
        <w:autoSpaceDE w:val="0"/>
        <w:autoSpaceDN w:val="0"/>
        <w:adjustRightInd w:val="0"/>
        <w:ind w:left="567"/>
        <w:textAlignment w:val="baseline"/>
        <w:rPr>
          <w:bCs/>
          <w:sz w:val="16"/>
          <w:szCs w:val="16"/>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332490" w:rsidR="00332490" w:rsidTr="0053712F" w14:paraId="5D4A4E71" w14:textId="77777777">
        <w:tc>
          <w:tcPr>
            <w:tcW w:w="1701" w:type="dxa"/>
          </w:tcPr>
          <w:p w:rsidRPr="00332490" w:rsidR="00332490" w:rsidP="00332490" w:rsidRDefault="00332490" w14:paraId="118B6D2D" w14:textId="77777777">
            <w:pPr>
              <w:tabs>
                <w:tab w:val="center" w:pos="284"/>
              </w:tabs>
              <w:overflowPunct w:val="0"/>
              <w:autoSpaceDE w:val="0"/>
              <w:autoSpaceDN w:val="0"/>
              <w:adjustRightInd w:val="0"/>
              <w:ind w:left="266" w:hanging="266"/>
              <w:textAlignment w:val="baseline"/>
              <w:rPr>
                <w:b/>
              </w:rPr>
            </w:pPr>
            <w:r>
              <w:rPr>
                <w:b/>
              </w:rPr>
              <w:t>Rapporteur</w:t>
            </w:r>
          </w:p>
        </w:tc>
        <w:tc>
          <w:tcPr>
            <w:tcW w:w="6096" w:type="dxa"/>
          </w:tcPr>
          <w:p w:rsidRPr="00332490" w:rsidR="00332490" w:rsidP="00332490" w:rsidRDefault="00332490" w14:paraId="2CE80D13" w14:textId="2F58CFDB">
            <w:pPr>
              <w:tabs>
                <w:tab w:val="center" w:pos="284"/>
              </w:tabs>
              <w:overflowPunct w:val="0"/>
              <w:autoSpaceDE w:val="0"/>
              <w:autoSpaceDN w:val="0"/>
              <w:adjustRightInd w:val="0"/>
              <w:ind w:left="266" w:hanging="266"/>
              <w:textAlignment w:val="baseline"/>
              <w:rPr>
                <w:bCs/>
              </w:rPr>
            </w:pPr>
            <w:r>
              <w:rPr>
                <w:b/>
              </w:rPr>
              <w:t>John COMER</w:t>
            </w:r>
            <w:r>
              <w:t xml:space="preserve"> (groupe des organisations de la société civile — Irlande)</w:t>
            </w:r>
          </w:p>
        </w:tc>
      </w:tr>
      <w:tr w:rsidRPr="00332490" w:rsidR="00332490" w:rsidTr="0053712F" w14:paraId="3204AFCE" w14:textId="77777777">
        <w:tc>
          <w:tcPr>
            <w:tcW w:w="7797" w:type="dxa"/>
            <w:gridSpan w:val="2"/>
          </w:tcPr>
          <w:p w:rsidRPr="00332490" w:rsidR="00332490" w:rsidP="00332490" w:rsidRDefault="00332490" w14:paraId="06B03C44"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332490" w:rsidR="00332490" w:rsidTr="0053712F" w14:paraId="47550B7C" w14:textId="77777777">
        <w:tc>
          <w:tcPr>
            <w:tcW w:w="1701" w:type="dxa"/>
            <w:vMerge w:val="restart"/>
          </w:tcPr>
          <w:p w:rsidRPr="00332490" w:rsidR="00332490" w:rsidP="00332490" w:rsidRDefault="00332490" w14:paraId="78D94707" w14:textId="0B4732A0">
            <w:pPr>
              <w:tabs>
                <w:tab w:val="center" w:pos="284"/>
              </w:tabs>
              <w:overflowPunct w:val="0"/>
              <w:autoSpaceDE w:val="0"/>
              <w:autoSpaceDN w:val="0"/>
              <w:adjustRightInd w:val="0"/>
              <w:ind w:left="266" w:hanging="266"/>
              <w:textAlignment w:val="baseline"/>
              <w:rPr>
                <w:b/>
              </w:rPr>
            </w:pPr>
            <w:r>
              <w:rPr>
                <w:b/>
              </w:rPr>
              <w:t>Références</w:t>
            </w:r>
          </w:p>
        </w:tc>
        <w:tc>
          <w:tcPr>
            <w:tcW w:w="6096" w:type="dxa"/>
          </w:tcPr>
          <w:p w:rsidR="003F6EE3" w:rsidP="00332490" w:rsidRDefault="00332490" w14:paraId="2001898C" w14:textId="41D24364">
            <w:pPr>
              <w:tabs>
                <w:tab w:val="center" w:pos="0"/>
              </w:tabs>
              <w:overflowPunct w:val="0"/>
              <w:autoSpaceDE w:val="0"/>
              <w:autoSpaceDN w:val="0"/>
              <w:adjustRightInd w:val="0"/>
              <w:textAlignment w:val="baseline"/>
            </w:pPr>
            <w:r>
              <w:t>COM(2023) 779 final</w:t>
            </w:r>
          </w:p>
          <w:p w:rsidR="003F6EE3" w:rsidP="00332490" w:rsidRDefault="00332490" w14:paraId="606947F5" w14:textId="6DE28069">
            <w:pPr>
              <w:tabs>
                <w:tab w:val="center" w:pos="0"/>
              </w:tabs>
              <w:overflowPunct w:val="0"/>
              <w:autoSpaceDE w:val="0"/>
              <w:autoSpaceDN w:val="0"/>
              <w:adjustRightInd w:val="0"/>
              <w:textAlignment w:val="baseline"/>
            </w:pPr>
            <w:r>
              <w:t xml:space="preserve">COM(2023) 783 final </w:t>
            </w:r>
          </w:p>
          <w:p w:rsidRPr="00332490" w:rsidR="00332490" w:rsidP="00332490" w:rsidRDefault="00332490" w14:paraId="4286C58A" w14:textId="33CF61DC">
            <w:pPr>
              <w:tabs>
                <w:tab w:val="center" w:pos="0"/>
              </w:tabs>
              <w:overflowPunct w:val="0"/>
              <w:autoSpaceDE w:val="0"/>
              <w:autoSpaceDN w:val="0"/>
              <w:adjustRightInd w:val="0"/>
              <w:textAlignment w:val="baseline"/>
            </w:pPr>
            <w:r>
              <w:t xml:space="preserve">COM(2023) 781 final </w:t>
            </w:r>
          </w:p>
        </w:tc>
      </w:tr>
      <w:tr w:rsidRPr="00332490" w:rsidR="00332490" w:rsidTr="0053712F" w14:paraId="25EBDBF8" w14:textId="77777777">
        <w:tc>
          <w:tcPr>
            <w:tcW w:w="1701" w:type="dxa"/>
            <w:vMerge/>
          </w:tcPr>
          <w:p w:rsidRPr="00332490" w:rsidR="00332490" w:rsidP="00332490" w:rsidRDefault="00332490" w14:paraId="24A67169" w14:textId="77777777">
            <w:pPr>
              <w:tabs>
                <w:tab w:val="center" w:pos="284"/>
              </w:tabs>
              <w:overflowPunct w:val="0"/>
              <w:autoSpaceDE w:val="0"/>
              <w:autoSpaceDN w:val="0"/>
              <w:adjustRightInd w:val="0"/>
              <w:ind w:left="266" w:hanging="266"/>
              <w:textAlignment w:val="baseline"/>
              <w:rPr>
                <w:b/>
              </w:rPr>
            </w:pPr>
          </w:p>
        </w:tc>
        <w:tc>
          <w:tcPr>
            <w:tcW w:w="6096" w:type="dxa"/>
          </w:tcPr>
          <w:p w:rsidRPr="00332490" w:rsidR="00332490" w:rsidP="00332490" w:rsidRDefault="00332490" w14:paraId="20598910" w14:textId="77777777">
            <w:pPr>
              <w:tabs>
                <w:tab w:val="center" w:pos="284"/>
              </w:tabs>
              <w:overflowPunct w:val="0"/>
              <w:autoSpaceDE w:val="0"/>
              <w:autoSpaceDN w:val="0"/>
              <w:adjustRightInd w:val="0"/>
              <w:ind w:left="266" w:hanging="266"/>
              <w:textAlignment w:val="baseline"/>
            </w:pPr>
            <w:r>
              <w:t>EESC-2023-05710-00-00-AC-TRA</w:t>
            </w:r>
          </w:p>
        </w:tc>
      </w:tr>
    </w:tbl>
    <w:p w:rsidRPr="00332490" w:rsidR="00332490" w:rsidP="00332490" w:rsidRDefault="00332490" w14:paraId="64627290" w14:textId="77777777">
      <w:pPr>
        <w:tabs>
          <w:tab w:val="center" w:pos="284"/>
        </w:tabs>
        <w:overflowPunct w:val="0"/>
        <w:autoSpaceDE w:val="0"/>
        <w:autoSpaceDN w:val="0"/>
        <w:adjustRightInd w:val="0"/>
        <w:ind w:left="266" w:hanging="266"/>
        <w:textAlignment w:val="baseline"/>
        <w:rPr>
          <w:b/>
          <w:sz w:val="10"/>
          <w:szCs w:val="10"/>
        </w:rPr>
      </w:pPr>
    </w:p>
    <w:p w:rsidR="00332490" w:rsidP="00332490" w:rsidRDefault="00332490" w14:paraId="2FD1E45E" w14:textId="3650B337">
      <w:pPr>
        <w:tabs>
          <w:tab w:val="center" w:pos="284"/>
        </w:tabs>
        <w:overflowPunct w:val="0"/>
        <w:autoSpaceDE w:val="0"/>
        <w:autoSpaceDN w:val="0"/>
        <w:adjustRightInd w:val="0"/>
        <w:spacing w:line="276" w:lineRule="auto"/>
        <w:ind w:left="266" w:hanging="266"/>
        <w:textAlignment w:val="baseline"/>
        <w:rPr>
          <w:b/>
        </w:rPr>
      </w:pPr>
      <w:r>
        <w:rPr>
          <w:b/>
        </w:rPr>
        <w:t>Points clés</w:t>
      </w:r>
    </w:p>
    <w:p w:rsidRPr="00332490" w:rsidR="00332490" w:rsidP="00332490" w:rsidRDefault="00332490" w14:paraId="2232ACC3" w14:textId="77777777">
      <w:pPr>
        <w:tabs>
          <w:tab w:val="center" w:pos="284"/>
        </w:tabs>
        <w:overflowPunct w:val="0"/>
        <w:autoSpaceDE w:val="0"/>
        <w:autoSpaceDN w:val="0"/>
        <w:adjustRightInd w:val="0"/>
        <w:spacing w:line="276" w:lineRule="auto"/>
        <w:ind w:left="266" w:hanging="266"/>
        <w:textAlignment w:val="baseline"/>
        <w:rPr>
          <w:bCs/>
          <w:sz w:val="16"/>
          <w:szCs w:val="16"/>
        </w:rPr>
      </w:pPr>
    </w:p>
    <w:p w:rsidRPr="00332490" w:rsidR="00332490" w:rsidP="00332490" w:rsidRDefault="00332490" w14:paraId="0D1A7AAD" w14:textId="77777777">
      <w:pPr>
        <w:overflowPunct w:val="0"/>
        <w:autoSpaceDE w:val="0"/>
        <w:autoSpaceDN w:val="0"/>
        <w:adjustRightInd w:val="0"/>
        <w:spacing w:line="240" w:lineRule="auto"/>
        <w:textAlignment w:val="baseline"/>
        <w:rPr>
          <w:bCs/>
          <w:iCs/>
        </w:rPr>
      </w:pPr>
      <w:r>
        <w:t>Le CESE</w:t>
      </w:r>
    </w:p>
    <w:p w:rsidRPr="00332490" w:rsidR="00332490" w:rsidP="00332490" w:rsidRDefault="00332490" w14:paraId="4BE0FD6A" w14:textId="77777777">
      <w:pPr>
        <w:overflowPunct w:val="0"/>
        <w:autoSpaceDE w:val="0"/>
        <w:autoSpaceDN w:val="0"/>
        <w:adjustRightInd w:val="0"/>
        <w:spacing w:line="240" w:lineRule="auto"/>
        <w:textAlignment w:val="baseline"/>
        <w:rPr>
          <w:bCs/>
          <w:iCs/>
          <w:sz w:val="16"/>
          <w:szCs w:val="16"/>
        </w:rPr>
      </w:pPr>
    </w:p>
    <w:p w:rsidRPr="0014322B" w:rsidR="00332490" w:rsidP="005A622F" w:rsidRDefault="00332490" w14:paraId="116698B0"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accueille favorablement le paquet «une substance, une évaluation»</w:t>
      </w:r>
      <w:r>
        <w:t>;</w:t>
      </w:r>
    </w:p>
    <w:p w:rsidRPr="005A622F" w:rsidR="00332490" w:rsidP="005A622F" w:rsidRDefault="00332490" w14:paraId="27FC4EDD"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se félicite de la création d’une plateforme de guichet unique</w:t>
      </w:r>
      <w:r>
        <w:t xml:space="preserve"> destinée à centraliser les données sur les substances chimiques émanant de différentes sources et placée sous le contrôle de l’Agence européenne des produits chimiques (ECHA);</w:t>
      </w:r>
    </w:p>
    <w:p w:rsidRPr="005A622F" w:rsidR="00332490" w:rsidP="005A622F" w:rsidRDefault="00332490" w14:paraId="156A2D3C" w14:textId="77777777">
      <w:pPr>
        <w:pStyle w:val="ListParagraph"/>
        <w:numPr>
          <w:ilvl w:val="0"/>
          <w:numId w:val="17"/>
        </w:numPr>
        <w:overflowPunct w:val="0"/>
        <w:autoSpaceDE w:val="0"/>
        <w:autoSpaceDN w:val="0"/>
        <w:adjustRightInd w:val="0"/>
        <w:ind w:left="426" w:hanging="426"/>
        <w:textAlignment w:val="baseline"/>
        <w:outlineLvl w:val="1"/>
        <w:rPr>
          <w:szCs w:val="20"/>
        </w:rPr>
      </w:pPr>
      <w:r>
        <w:t>craint que, le nouveau règlement relatif à la réorganisation de l’agence n’ayant pas été publié, il soit impossible d’évaluer précisément le rôle dévolu à l’ECHA dans le système «une substance, une évaluation», rôle qui revêt une importance cruciale pour le bon fonctionnement de l’approche correspondante;</w:t>
      </w:r>
    </w:p>
    <w:p w:rsidRPr="0014322B" w:rsidR="00332490" w:rsidP="005A622F" w:rsidRDefault="00332490" w14:paraId="25560C13"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se demande si les exploitants seront tenus de coopérer à la conduite d’études scientifiques ou s’ils pourront introduire un recours lorsque l’ECHA en réclamera la réalisation</w:t>
      </w:r>
      <w:r>
        <w:t>, dans les cas où les résultats ne peuvent pas être obtenus au moyen de dispositions ou de processus juridiques existants en vertu de la législation de l’Union;</w:t>
      </w:r>
    </w:p>
    <w:p w:rsidRPr="005A622F" w:rsidR="00332490" w:rsidP="005A622F" w:rsidRDefault="00332490" w14:paraId="7119EDFF"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considère que les dispositions de la plateforme de données commune en matière de confidentialité doivent être clairement définies</w:t>
      </w:r>
      <w:r>
        <w:t xml:space="preserve"> si l’on veut que les opérateurs du secteur fassent pleinement confiance au système. À cet égard, il est très positif que l’accès aux informations confidentielles puisse être contrôlé. En outre, il convient de fournir davantage de précisions concernant les modalités de partage et de réutilisation des données sur les produits chimiques;</w:t>
      </w:r>
    </w:p>
    <w:p w:rsidRPr="005A622F" w:rsidR="00332490" w:rsidP="005A622F" w:rsidRDefault="00332490" w14:paraId="0ACC3937"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s’interroge sur la manière dont les différends seront résolus, dans le cas d’études commandées, et </w:t>
      </w:r>
      <w:r>
        <w:rPr>
          <w:b/>
        </w:rPr>
        <w:t>réclame que le principe de précaution soit appliqué</w:t>
      </w:r>
      <w:r>
        <w:t xml:space="preserve"> pour protéger la santé publique et l’environnement;</w:t>
      </w:r>
    </w:p>
    <w:p w:rsidRPr="0014322B" w:rsidR="00332490" w:rsidP="005A622F" w:rsidRDefault="00332490" w14:paraId="57BBA3E8"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estime que </w:t>
      </w:r>
      <w:r>
        <w:rPr>
          <w:b/>
        </w:rPr>
        <w:t>la notification des études alourdira la charge administrative imposée aux entreprises</w:t>
      </w:r>
      <w:r>
        <w:t xml:space="preserve"> et demande qu’elle fasse l’objet d’un suivi attentif;</w:t>
      </w:r>
    </w:p>
    <w:p w:rsidRPr="005A622F" w:rsidR="00332490" w:rsidP="005A622F" w:rsidRDefault="00332490" w14:paraId="548BEC92" w14:textId="77777777">
      <w:pPr>
        <w:pStyle w:val="ListParagraph"/>
        <w:numPr>
          <w:ilvl w:val="0"/>
          <w:numId w:val="17"/>
        </w:numPr>
        <w:overflowPunct w:val="0"/>
        <w:autoSpaceDE w:val="0"/>
        <w:autoSpaceDN w:val="0"/>
        <w:adjustRightInd w:val="0"/>
        <w:ind w:left="426" w:hanging="426"/>
        <w:textAlignment w:val="baseline"/>
        <w:outlineLvl w:val="1"/>
        <w:rPr>
          <w:szCs w:val="20"/>
        </w:rPr>
      </w:pPr>
      <w:r>
        <w:t>exprime des doutes quant à la capacité de l’ECHA à gérer le système d’une manière qui optimise les synergies et la coopération;</w:t>
      </w:r>
    </w:p>
    <w:p w:rsidRPr="0014322B" w:rsidR="00332490" w:rsidP="005A622F" w:rsidRDefault="00332490" w14:paraId="16FF8F75"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demande que les nouveaux textes proposés garantissent un accès aussi large que possible aux documents renfermant des données sur les produits chimiques</w:t>
      </w:r>
      <w:r>
        <w:t>, et fait valoir qu’il est essentiel que des règles strictes s’appliquent à cet égard;</w:t>
      </w:r>
    </w:p>
    <w:p w:rsidRPr="0014322B" w:rsidR="00332490" w:rsidP="005A622F" w:rsidRDefault="00332490" w14:paraId="652F3CFD"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relève que, </w:t>
      </w:r>
      <w:r>
        <w:rPr>
          <w:b/>
        </w:rPr>
        <w:t>dans sa forme actuelle, le train de mesures ne permet pas de garantir la fiabilité des données ni d’exploiter pleinement les précieuses connaissances issues de recherches indépendantes</w:t>
      </w:r>
      <w:r>
        <w:t>, notamment dans le système d’alerte et de réaction rapide, ainsi que dans le contexte plus large des évaluations d’ordre environnemental et sanitaire.</w:t>
      </w:r>
    </w:p>
    <w:p w:rsidRPr="00332490" w:rsidR="00332490" w:rsidP="00332490" w:rsidRDefault="00332490" w14:paraId="6043ACAB" w14:textId="77777777">
      <w:pPr>
        <w:overflowPunct w:val="0"/>
        <w:autoSpaceDE w:val="0"/>
        <w:autoSpaceDN w:val="0"/>
        <w:adjustRightInd w:val="0"/>
        <w:spacing w:line="240" w:lineRule="auto"/>
        <w:textAlignment w:val="baseline"/>
        <w:rPr>
          <w:sz w:val="18"/>
          <w:szCs w:val="18"/>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32490" w:rsidR="00332490" w:rsidTr="0053712F" w14:paraId="741DF89D" w14:textId="77777777">
        <w:tc>
          <w:tcPr>
            <w:tcW w:w="1418" w:type="dxa"/>
          </w:tcPr>
          <w:p w:rsidRPr="00332490" w:rsidR="00332490" w:rsidP="00332490" w:rsidRDefault="00332490" w14:paraId="1F441881" w14:textId="77777777">
            <w:pPr>
              <w:overflowPunct w:val="0"/>
              <w:autoSpaceDE w:val="0"/>
              <w:autoSpaceDN w:val="0"/>
              <w:adjustRightInd w:val="0"/>
              <w:spacing w:line="240" w:lineRule="auto"/>
              <w:ind w:left="34" w:right="-253"/>
              <w:textAlignment w:val="baseline"/>
              <w:rPr>
                <w:i/>
              </w:rPr>
            </w:pPr>
            <w:r>
              <w:rPr>
                <w:b/>
                <w:i/>
              </w:rPr>
              <w:t>Contact:</w:t>
            </w:r>
          </w:p>
        </w:tc>
        <w:tc>
          <w:tcPr>
            <w:tcW w:w="5670" w:type="dxa"/>
          </w:tcPr>
          <w:p w:rsidRPr="00332490" w:rsidR="00332490" w:rsidP="00332490" w:rsidRDefault="00332490" w14:paraId="126CD46C" w14:textId="77777777">
            <w:pPr>
              <w:overflowPunct w:val="0"/>
              <w:autoSpaceDE w:val="0"/>
              <w:autoSpaceDN w:val="0"/>
              <w:adjustRightInd w:val="0"/>
              <w:spacing w:line="240" w:lineRule="auto"/>
              <w:ind w:left="145"/>
              <w:textAlignment w:val="baseline"/>
              <w:rPr>
                <w:i/>
                <w:iCs/>
              </w:rPr>
            </w:pPr>
            <w:r>
              <w:rPr>
                <w:i/>
              </w:rPr>
              <w:t>Gaia Bottoni</w:t>
            </w:r>
          </w:p>
        </w:tc>
      </w:tr>
      <w:tr w:rsidRPr="00332490" w:rsidR="00332490" w:rsidTr="0053712F" w14:paraId="3B44AD7D" w14:textId="77777777">
        <w:tc>
          <w:tcPr>
            <w:tcW w:w="1418" w:type="dxa"/>
          </w:tcPr>
          <w:p w:rsidRPr="00332490" w:rsidR="00332490" w:rsidP="00332490" w:rsidRDefault="00332490" w14:paraId="3CD7A6E1" w14:textId="77777777">
            <w:pPr>
              <w:overflowPunct w:val="0"/>
              <w:autoSpaceDE w:val="0"/>
              <w:autoSpaceDN w:val="0"/>
              <w:adjustRightInd w:val="0"/>
              <w:spacing w:line="240" w:lineRule="auto"/>
              <w:ind w:left="34"/>
              <w:textAlignment w:val="baseline"/>
              <w:rPr>
                <w:i/>
              </w:rPr>
            </w:pPr>
            <w:r>
              <w:rPr>
                <w:i/>
              </w:rPr>
              <w:t>Tél.:</w:t>
            </w:r>
          </w:p>
        </w:tc>
        <w:tc>
          <w:tcPr>
            <w:tcW w:w="5670" w:type="dxa"/>
          </w:tcPr>
          <w:p w:rsidRPr="00332490" w:rsidR="00332490" w:rsidP="00332490" w:rsidRDefault="00332490" w14:paraId="3829EBB7" w14:textId="77777777">
            <w:pPr>
              <w:overflowPunct w:val="0"/>
              <w:autoSpaceDE w:val="0"/>
              <w:autoSpaceDN w:val="0"/>
              <w:adjustRightInd w:val="0"/>
              <w:spacing w:line="240" w:lineRule="auto"/>
              <w:ind w:left="145"/>
              <w:textAlignment w:val="baseline"/>
              <w:rPr>
                <w:i/>
                <w:iCs/>
              </w:rPr>
            </w:pPr>
            <w:r>
              <w:rPr>
                <w:i/>
              </w:rPr>
              <w:t>+32 25469447</w:t>
            </w:r>
          </w:p>
        </w:tc>
      </w:tr>
      <w:tr w:rsidRPr="00332490" w:rsidR="00332490" w:rsidTr="0053712F" w14:paraId="21C0AC4E" w14:textId="77777777">
        <w:tc>
          <w:tcPr>
            <w:tcW w:w="1418" w:type="dxa"/>
          </w:tcPr>
          <w:p w:rsidRPr="00332490" w:rsidR="00332490" w:rsidP="00332490" w:rsidRDefault="00274C1C" w14:paraId="54C05E5D" w14:textId="35EA1654">
            <w:pPr>
              <w:overflowPunct w:val="0"/>
              <w:autoSpaceDE w:val="0"/>
              <w:autoSpaceDN w:val="0"/>
              <w:adjustRightInd w:val="0"/>
              <w:spacing w:line="240" w:lineRule="auto"/>
              <w:ind w:left="34"/>
              <w:textAlignment w:val="baseline"/>
              <w:rPr>
                <w:i/>
              </w:rPr>
            </w:pPr>
            <w:r>
              <w:rPr>
                <w:i/>
              </w:rPr>
              <w:t>Courriel:</w:t>
            </w:r>
          </w:p>
        </w:tc>
        <w:tc>
          <w:tcPr>
            <w:tcW w:w="5670" w:type="dxa"/>
          </w:tcPr>
          <w:p w:rsidRPr="00332490" w:rsidR="00332490" w:rsidP="00332490" w:rsidRDefault="00C87FB4" w14:paraId="72F0FA56" w14:textId="77777777">
            <w:pPr>
              <w:overflowPunct w:val="0"/>
              <w:autoSpaceDE w:val="0"/>
              <w:autoSpaceDN w:val="0"/>
              <w:adjustRightInd w:val="0"/>
              <w:spacing w:line="240" w:lineRule="auto"/>
              <w:ind w:left="145"/>
              <w:textAlignment w:val="baseline"/>
              <w:rPr>
                <w:i/>
                <w:iCs/>
                <w:color w:val="0000FF"/>
                <w:u w:val="single"/>
              </w:rPr>
            </w:pPr>
            <w:hyperlink w:history="1" r:id="rId35">
              <w:r w:rsidR="007B2394">
                <w:rPr>
                  <w:i/>
                  <w:color w:val="0000FF"/>
                  <w:u w:val="single"/>
                </w:rPr>
                <w:t>Gaia.Bottoni@eesc.europa.eu</w:t>
              </w:r>
            </w:hyperlink>
          </w:p>
        </w:tc>
      </w:tr>
    </w:tbl>
    <w:p w:rsidRPr="00351248" w:rsidR="00351248" w:rsidP="004351D4" w:rsidRDefault="00C87FB4" w14:paraId="1281A98E" w14:textId="3B27EEFE">
      <w:pPr>
        <w:numPr>
          <w:ilvl w:val="0"/>
          <w:numId w:val="3"/>
        </w:numPr>
        <w:overflowPunct w:val="0"/>
        <w:autoSpaceDE w:val="0"/>
        <w:autoSpaceDN w:val="0"/>
        <w:adjustRightInd w:val="0"/>
        <w:spacing w:line="276" w:lineRule="auto"/>
        <w:contextualSpacing/>
        <w:jc w:val="left"/>
        <w:textAlignment w:val="baseline"/>
        <w:rPr>
          <w:i/>
          <w:iCs/>
        </w:rPr>
      </w:pPr>
      <w:hyperlink w:history="1" r:id="rId36">
        <w:r w:rsidR="007B2394">
          <w:rPr>
            <w:b/>
            <w:i/>
            <w:color w:val="0000FF"/>
            <w:sz w:val="28"/>
            <w:u w:val="single"/>
          </w:rPr>
          <w:t>Forêts de l’UE — Nouveau cadre de l’Union européenne</w:t>
        </w:r>
        <w:r w:rsidR="00B9550C">
          <w:rPr>
            <w:b/>
            <w:i/>
            <w:color w:val="0000FF"/>
            <w:sz w:val="28"/>
            <w:u w:val="single"/>
          </w:rPr>
          <w:t xml:space="preserve"> </w:t>
        </w:r>
        <w:r w:rsidR="007B2394">
          <w:rPr>
            <w:b/>
            <w:i/>
            <w:color w:val="0000FF"/>
            <w:sz w:val="28"/>
            <w:u w:val="single"/>
          </w:rPr>
          <w:t>pour la surveillance des forêts et plans stratégiques</w:t>
        </w:r>
      </w:hyperlink>
    </w:p>
    <w:p w:rsidRPr="00351248" w:rsidR="000925AF" w:rsidP="00351248" w:rsidRDefault="000925AF" w14:paraId="56DC0CD2" w14:textId="77777777">
      <w:pPr>
        <w:widowControl w:val="0"/>
        <w:overflowPunct w:val="0"/>
        <w:autoSpaceDE w:val="0"/>
        <w:autoSpaceDN w:val="0"/>
        <w:adjustRightInd w:val="0"/>
        <w:ind w:left="567"/>
        <w:textAlignment w:val="baseline"/>
        <w:rPr>
          <w:bCs/>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7796"/>
      </w:tblGrid>
      <w:tr w:rsidRPr="00351248" w:rsidR="00351248" w:rsidTr="0053712F" w14:paraId="2A85E675" w14:textId="77777777">
        <w:tc>
          <w:tcPr>
            <w:tcW w:w="1384" w:type="dxa"/>
          </w:tcPr>
          <w:p w:rsidRPr="00351248" w:rsidR="00351248" w:rsidP="00351248" w:rsidRDefault="00351248" w14:paraId="5AD190C2" w14:textId="77777777">
            <w:pPr>
              <w:tabs>
                <w:tab w:val="center" w:pos="284"/>
              </w:tabs>
              <w:overflowPunct w:val="0"/>
              <w:autoSpaceDE w:val="0"/>
              <w:autoSpaceDN w:val="0"/>
              <w:adjustRightInd w:val="0"/>
              <w:ind w:left="266" w:hanging="266"/>
              <w:textAlignment w:val="baseline"/>
              <w:rPr>
                <w:b/>
              </w:rPr>
            </w:pPr>
            <w:r>
              <w:rPr>
                <w:b/>
              </w:rPr>
              <w:t>Rapporteur</w:t>
            </w:r>
          </w:p>
        </w:tc>
        <w:tc>
          <w:tcPr>
            <w:tcW w:w="7796" w:type="dxa"/>
          </w:tcPr>
          <w:p w:rsidRPr="00351248" w:rsidR="00351248" w:rsidP="00351248" w:rsidRDefault="00351248" w14:paraId="34AB4BC0" w14:textId="5B1C8209">
            <w:pPr>
              <w:tabs>
                <w:tab w:val="center" w:pos="284"/>
              </w:tabs>
              <w:overflowPunct w:val="0"/>
              <w:autoSpaceDE w:val="0"/>
              <w:autoSpaceDN w:val="0"/>
              <w:adjustRightInd w:val="0"/>
              <w:ind w:left="266" w:hanging="266"/>
              <w:textAlignment w:val="baseline"/>
              <w:rPr>
                <w:bCs/>
              </w:rPr>
            </w:pPr>
            <w:r>
              <w:t>Florian MARIN (groupe des travailleurs — Roumanie)</w:t>
            </w:r>
          </w:p>
        </w:tc>
      </w:tr>
      <w:tr w:rsidRPr="00351248" w:rsidR="00351248" w:rsidTr="0053712F" w14:paraId="4ED03AF4" w14:textId="77777777">
        <w:tc>
          <w:tcPr>
            <w:tcW w:w="9180" w:type="dxa"/>
            <w:gridSpan w:val="2"/>
          </w:tcPr>
          <w:p w:rsidRPr="00351248" w:rsidR="00351248" w:rsidP="00351248" w:rsidRDefault="00351248" w14:paraId="6DE6EAF2"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351248" w:rsidR="00351248" w:rsidTr="0053712F" w14:paraId="3AE22FC1" w14:textId="77777777">
        <w:tc>
          <w:tcPr>
            <w:tcW w:w="1384" w:type="dxa"/>
            <w:vMerge w:val="restart"/>
          </w:tcPr>
          <w:p w:rsidRPr="00351248" w:rsidR="00351248" w:rsidP="00351248" w:rsidRDefault="00351248" w14:paraId="257271FE" w14:textId="77777777">
            <w:pPr>
              <w:tabs>
                <w:tab w:val="center" w:pos="284"/>
              </w:tabs>
              <w:overflowPunct w:val="0"/>
              <w:autoSpaceDE w:val="0"/>
              <w:autoSpaceDN w:val="0"/>
              <w:adjustRightInd w:val="0"/>
              <w:ind w:left="266" w:hanging="266"/>
              <w:textAlignment w:val="baseline"/>
              <w:rPr>
                <w:b/>
              </w:rPr>
            </w:pPr>
            <w:r>
              <w:rPr>
                <w:b/>
              </w:rPr>
              <w:t>Références:</w:t>
            </w:r>
          </w:p>
        </w:tc>
        <w:tc>
          <w:tcPr>
            <w:tcW w:w="7796" w:type="dxa"/>
          </w:tcPr>
          <w:p w:rsidR="00F1544C" w:rsidP="00351248" w:rsidRDefault="00351248" w14:paraId="1AC07155" w14:textId="77777777">
            <w:pPr>
              <w:tabs>
                <w:tab w:val="center" w:pos="0"/>
              </w:tabs>
              <w:overflowPunct w:val="0"/>
              <w:autoSpaceDE w:val="0"/>
              <w:autoSpaceDN w:val="0"/>
              <w:adjustRightInd w:val="0"/>
              <w:textAlignment w:val="baseline"/>
            </w:pPr>
            <w:r>
              <w:t>COM(2023) 728 final</w:t>
            </w:r>
          </w:p>
          <w:p w:rsidRPr="00351248" w:rsidR="00351248" w:rsidP="00351248" w:rsidRDefault="00351248" w14:paraId="328BDE76" w14:textId="22520CDE">
            <w:pPr>
              <w:tabs>
                <w:tab w:val="center" w:pos="0"/>
              </w:tabs>
              <w:overflowPunct w:val="0"/>
              <w:autoSpaceDE w:val="0"/>
              <w:autoSpaceDN w:val="0"/>
              <w:adjustRightInd w:val="0"/>
              <w:textAlignment w:val="baseline"/>
            </w:pPr>
            <w:r>
              <w:t xml:space="preserve">COM(2023) 727 final </w:t>
            </w:r>
          </w:p>
        </w:tc>
      </w:tr>
      <w:tr w:rsidRPr="00351248" w:rsidR="00351248" w:rsidTr="0053712F" w14:paraId="5A70EFF9" w14:textId="77777777">
        <w:tc>
          <w:tcPr>
            <w:tcW w:w="1384" w:type="dxa"/>
            <w:vMerge/>
          </w:tcPr>
          <w:p w:rsidRPr="00351248" w:rsidR="00351248" w:rsidP="00351248" w:rsidRDefault="00351248" w14:paraId="124EE59E" w14:textId="77777777">
            <w:pPr>
              <w:tabs>
                <w:tab w:val="center" w:pos="284"/>
              </w:tabs>
              <w:overflowPunct w:val="0"/>
              <w:autoSpaceDE w:val="0"/>
              <w:autoSpaceDN w:val="0"/>
              <w:adjustRightInd w:val="0"/>
              <w:ind w:left="266" w:hanging="266"/>
              <w:textAlignment w:val="baseline"/>
              <w:rPr>
                <w:b/>
              </w:rPr>
            </w:pPr>
          </w:p>
        </w:tc>
        <w:tc>
          <w:tcPr>
            <w:tcW w:w="7796" w:type="dxa"/>
          </w:tcPr>
          <w:p w:rsidRPr="00351248" w:rsidR="00351248" w:rsidP="00351248" w:rsidRDefault="00351248" w14:paraId="77CBA474" w14:textId="40C4595F">
            <w:pPr>
              <w:tabs>
                <w:tab w:val="center" w:pos="284"/>
              </w:tabs>
              <w:overflowPunct w:val="0"/>
              <w:autoSpaceDE w:val="0"/>
              <w:autoSpaceDN w:val="0"/>
              <w:adjustRightInd w:val="0"/>
              <w:ind w:left="266" w:hanging="266"/>
              <w:textAlignment w:val="baseline"/>
            </w:pPr>
            <w:r>
              <w:t>EESC-2023-02733-00-00-AC</w:t>
            </w:r>
          </w:p>
        </w:tc>
      </w:tr>
    </w:tbl>
    <w:p w:rsidRPr="00351248" w:rsidR="00351248" w:rsidP="00351248" w:rsidRDefault="00351248" w14:paraId="39B30AC9" w14:textId="77777777">
      <w:pPr>
        <w:keepNext/>
        <w:keepLines/>
        <w:tabs>
          <w:tab w:val="center" w:pos="284"/>
        </w:tabs>
        <w:overflowPunct w:val="0"/>
        <w:autoSpaceDE w:val="0"/>
        <w:autoSpaceDN w:val="0"/>
        <w:adjustRightInd w:val="0"/>
        <w:ind w:left="266" w:hanging="266"/>
        <w:textAlignment w:val="baseline"/>
        <w:rPr>
          <w:b/>
          <w:sz w:val="10"/>
          <w:szCs w:val="10"/>
        </w:rPr>
      </w:pPr>
    </w:p>
    <w:p w:rsidRPr="00351248" w:rsidR="00351248" w:rsidP="00351248" w:rsidRDefault="00351248" w14:paraId="24B18701"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Points clés</w:t>
      </w:r>
    </w:p>
    <w:p w:rsidRPr="00351248" w:rsidR="00351248" w:rsidP="00351248" w:rsidRDefault="00351248" w14:paraId="4994FDDD"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351248" w:rsidP="00351248" w:rsidRDefault="00351248" w14:paraId="73DBF294" w14:textId="62B36E15">
      <w:pPr>
        <w:overflowPunct w:val="0"/>
        <w:autoSpaceDE w:val="0"/>
        <w:autoSpaceDN w:val="0"/>
        <w:adjustRightInd w:val="0"/>
        <w:spacing w:line="240" w:lineRule="auto"/>
        <w:textAlignment w:val="baseline"/>
        <w:rPr>
          <w:bCs/>
          <w:iCs/>
        </w:rPr>
      </w:pPr>
      <w:r>
        <w:t>Le CESE</w:t>
      </w:r>
    </w:p>
    <w:p w:rsidRPr="00351248" w:rsidR="00F1544C" w:rsidP="00351248" w:rsidRDefault="00F1544C" w14:paraId="1892F70B" w14:textId="77777777">
      <w:pPr>
        <w:overflowPunct w:val="0"/>
        <w:autoSpaceDE w:val="0"/>
        <w:autoSpaceDN w:val="0"/>
        <w:adjustRightInd w:val="0"/>
        <w:spacing w:line="240" w:lineRule="auto"/>
        <w:textAlignment w:val="baseline"/>
        <w:rPr>
          <w:bCs/>
          <w:iCs/>
        </w:rPr>
      </w:pPr>
    </w:p>
    <w:p w:rsidRPr="005A622F" w:rsidR="00351248" w:rsidP="00B9550C" w:rsidRDefault="00351248" w14:paraId="57F61C2A" w14:textId="77777777">
      <w:pPr>
        <w:pStyle w:val="ListParagraph"/>
        <w:numPr>
          <w:ilvl w:val="0"/>
          <w:numId w:val="18"/>
        </w:numPr>
        <w:overflowPunct w:val="0"/>
        <w:autoSpaceDE w:val="0"/>
        <w:autoSpaceDN w:val="0"/>
        <w:adjustRightInd w:val="0"/>
        <w:textAlignment w:val="baseline"/>
        <w:outlineLvl w:val="1"/>
        <w:rPr>
          <w:spacing w:val="-4"/>
          <w:szCs w:val="20"/>
        </w:rPr>
      </w:pPr>
      <w:r>
        <w:t>salue avec prudence le cadre de surveillance des forêts proposé, qui devrait être traité comme un outil statistique et non comme un outil de surveillance, étant donné que la gestion des forêts relève de la compétence nationale;</w:t>
      </w:r>
    </w:p>
    <w:p w:rsidRPr="005A622F" w:rsidR="00351248" w:rsidP="00B9550C" w:rsidRDefault="00351248" w14:paraId="17A34F9A" w14:textId="77777777">
      <w:pPr>
        <w:pStyle w:val="ListParagraph"/>
        <w:numPr>
          <w:ilvl w:val="0"/>
          <w:numId w:val="18"/>
        </w:numPr>
        <w:overflowPunct w:val="0"/>
        <w:autoSpaceDE w:val="0"/>
        <w:autoSpaceDN w:val="0"/>
        <w:adjustRightInd w:val="0"/>
        <w:textAlignment w:val="baseline"/>
        <w:outlineLvl w:val="1"/>
        <w:rPr>
          <w:szCs w:val="20"/>
        </w:rPr>
      </w:pPr>
      <w:r>
        <w:t>rappelle que certaines parties prenantes ne sont pas d’accord avec l’idée d’un règlement et préféreraient le maintien des systèmes de surveillance actuels, assorti de lignes directrices claires;</w:t>
      </w:r>
    </w:p>
    <w:p w:rsidRPr="005A622F" w:rsidR="00351248" w:rsidP="00B9550C" w:rsidRDefault="00351248" w14:paraId="6F318056" w14:textId="77777777">
      <w:pPr>
        <w:pStyle w:val="ListParagraph"/>
        <w:keepNext/>
        <w:keepLines/>
        <w:numPr>
          <w:ilvl w:val="0"/>
          <w:numId w:val="18"/>
        </w:numPr>
        <w:overflowPunct w:val="0"/>
        <w:autoSpaceDE w:val="0"/>
        <w:autoSpaceDN w:val="0"/>
        <w:adjustRightInd w:val="0"/>
        <w:textAlignment w:val="baseline"/>
        <w:outlineLvl w:val="1"/>
        <w:rPr>
          <w:szCs w:val="20"/>
        </w:rPr>
      </w:pPr>
      <w:r>
        <w:t>accueille favorablement le plan forestier à long terme et recommande ce qui suit à son égard:</w:t>
      </w:r>
    </w:p>
    <w:p w:rsidRPr="00351248" w:rsidR="00351248" w:rsidP="00B9550C" w:rsidRDefault="00351248" w14:paraId="591568B0" w14:textId="77777777">
      <w:pPr>
        <w:numPr>
          <w:ilvl w:val="0"/>
          <w:numId w:val="19"/>
        </w:numPr>
        <w:overflowPunct w:val="0"/>
        <w:autoSpaceDE w:val="0"/>
        <w:autoSpaceDN w:val="0"/>
        <w:adjustRightInd w:val="0"/>
        <w:textAlignment w:val="baseline"/>
        <w:rPr>
          <w:szCs w:val="20"/>
        </w:rPr>
      </w:pPr>
      <w:r>
        <w:t>les États membres de l’UE qui tirent des avantages de forêts sont instamment invités à établir un plan forestier à long terme;</w:t>
      </w:r>
    </w:p>
    <w:p w:rsidRPr="00351248" w:rsidR="00351248" w:rsidP="00B9550C" w:rsidRDefault="00351248" w14:paraId="255E151C" w14:textId="77777777">
      <w:pPr>
        <w:numPr>
          <w:ilvl w:val="0"/>
          <w:numId w:val="19"/>
        </w:numPr>
        <w:overflowPunct w:val="0"/>
        <w:autoSpaceDE w:val="0"/>
        <w:autoSpaceDN w:val="0"/>
        <w:adjustRightInd w:val="0"/>
        <w:textAlignment w:val="baseline"/>
        <w:rPr>
          <w:szCs w:val="20"/>
        </w:rPr>
      </w:pPr>
      <w:r>
        <w:t>ces plans devraient inclure, dans leur structure, des aspects sociaux et économiques, compte tenu des valeurs multilatérales des forêts et de l’impact social des communautés forestières;</w:t>
      </w:r>
    </w:p>
    <w:p w:rsidRPr="00351248" w:rsidR="00351248" w:rsidP="00B9550C" w:rsidRDefault="00351248" w14:paraId="255C9F9A" w14:textId="77777777">
      <w:pPr>
        <w:numPr>
          <w:ilvl w:val="0"/>
          <w:numId w:val="19"/>
        </w:numPr>
        <w:overflowPunct w:val="0"/>
        <w:autoSpaceDE w:val="0"/>
        <w:autoSpaceDN w:val="0"/>
        <w:adjustRightInd w:val="0"/>
        <w:textAlignment w:val="baseline"/>
        <w:rPr>
          <w:spacing w:val="-4"/>
          <w:szCs w:val="20"/>
        </w:rPr>
      </w:pPr>
      <w:r>
        <w:t>conformément au principe de partenariat, il convient que la société civile soit intégrée dans l’élaboration et, selon la situation propre à chaque État membre, la mise en œuvre des plans;</w:t>
      </w:r>
    </w:p>
    <w:p w:rsidRPr="00351248" w:rsidR="00351248" w:rsidP="00B9550C" w:rsidRDefault="00351248" w14:paraId="6D6394E9" w14:textId="77777777">
      <w:pPr>
        <w:numPr>
          <w:ilvl w:val="0"/>
          <w:numId w:val="19"/>
        </w:numPr>
        <w:overflowPunct w:val="0"/>
        <w:autoSpaceDE w:val="0"/>
        <w:autoSpaceDN w:val="0"/>
        <w:adjustRightInd w:val="0"/>
        <w:textAlignment w:val="baseline"/>
        <w:rPr>
          <w:szCs w:val="20"/>
        </w:rPr>
      </w:pPr>
      <w:r>
        <w:t>la conception, la mise en œuvre et le suivi des plans forestiers à long terme devraient être financés au moyen de fonds européens existants et nouveaux;</w:t>
      </w:r>
    </w:p>
    <w:p w:rsidRPr="00351248" w:rsidR="00351248" w:rsidP="00B9550C" w:rsidRDefault="00351248" w14:paraId="205490CE" w14:textId="77777777">
      <w:pPr>
        <w:numPr>
          <w:ilvl w:val="0"/>
          <w:numId w:val="19"/>
        </w:numPr>
        <w:overflowPunct w:val="0"/>
        <w:autoSpaceDE w:val="0"/>
        <w:autoSpaceDN w:val="0"/>
        <w:adjustRightInd w:val="0"/>
        <w:textAlignment w:val="baseline"/>
        <w:rPr>
          <w:szCs w:val="20"/>
        </w:rPr>
      </w:pPr>
      <w:r>
        <w:t>le plan devrait venir compléter d’autres stratégies en matière de forêts et de bois;</w:t>
      </w:r>
    </w:p>
    <w:p w:rsidRPr="00351248" w:rsidR="00351248" w:rsidP="00B9550C" w:rsidRDefault="00351248" w14:paraId="6743E083" w14:textId="77777777">
      <w:pPr>
        <w:numPr>
          <w:ilvl w:val="0"/>
          <w:numId w:val="19"/>
        </w:numPr>
        <w:overflowPunct w:val="0"/>
        <w:autoSpaceDE w:val="0"/>
        <w:autoSpaceDN w:val="0"/>
        <w:adjustRightInd w:val="0"/>
        <w:textAlignment w:val="baseline"/>
        <w:rPr>
          <w:spacing w:val="-4"/>
          <w:szCs w:val="20"/>
        </w:rPr>
      </w:pPr>
      <w:r>
        <w:t>il devrait y avoir une concordance et une synergie claires avec les ODD et le plan devrait y contribuer;</w:t>
      </w:r>
    </w:p>
    <w:p w:rsidRPr="005A622F" w:rsidR="00351248" w:rsidP="00B9550C" w:rsidRDefault="00351248" w14:paraId="3208EBD7" w14:textId="77777777">
      <w:pPr>
        <w:pStyle w:val="ListParagraph"/>
        <w:numPr>
          <w:ilvl w:val="0"/>
          <w:numId w:val="20"/>
        </w:numPr>
        <w:overflowPunct w:val="0"/>
        <w:autoSpaceDE w:val="0"/>
        <w:autoSpaceDN w:val="0"/>
        <w:adjustRightInd w:val="0"/>
        <w:ind w:left="426" w:hanging="426"/>
        <w:textAlignment w:val="baseline"/>
        <w:outlineLvl w:val="1"/>
        <w:rPr>
          <w:szCs w:val="20"/>
        </w:rPr>
      </w:pPr>
      <w:r>
        <w:t>suggère que le rôle du comité permanent forestier soit renforcé notamment en ce qui concerne les activités futures en matière de surveillance des forêts; les acteurs concernés de la société civile devraient y participer, compte tenu du rôle prépondérant des forêts pour la société;</w:t>
      </w:r>
    </w:p>
    <w:p w:rsidRPr="005A622F" w:rsidR="00351248" w:rsidP="00B9550C" w:rsidRDefault="00351248" w14:paraId="1B4C6050" w14:textId="77777777">
      <w:pPr>
        <w:pStyle w:val="ListParagraph"/>
        <w:numPr>
          <w:ilvl w:val="0"/>
          <w:numId w:val="20"/>
        </w:numPr>
        <w:overflowPunct w:val="0"/>
        <w:autoSpaceDE w:val="0"/>
        <w:autoSpaceDN w:val="0"/>
        <w:adjustRightInd w:val="0"/>
        <w:ind w:left="426" w:hanging="426"/>
        <w:textAlignment w:val="baseline"/>
        <w:outlineLvl w:val="1"/>
        <w:rPr>
          <w:spacing w:val="-6"/>
          <w:szCs w:val="20"/>
        </w:rPr>
      </w:pPr>
      <w:r>
        <w:t>propose qu’il soit tenu compte du juste équilibre entre, d’une part, le principe de subsidiarité et, de l’autre, le respect des compétences respectives des États membres, des droits de propriété privée, de la propriété des données, en accordant la même importance à toutes les données sur les forêts, qu’elles soient d’ordre économique, social ou environnemental;</w:t>
      </w:r>
    </w:p>
    <w:p w:rsidRPr="005A622F" w:rsidR="00351248" w:rsidP="00B9550C" w:rsidRDefault="00351248" w14:paraId="5C17A24B" w14:textId="77777777">
      <w:pPr>
        <w:pStyle w:val="ListParagraph"/>
        <w:numPr>
          <w:ilvl w:val="0"/>
          <w:numId w:val="20"/>
        </w:numPr>
        <w:overflowPunct w:val="0"/>
        <w:autoSpaceDE w:val="0"/>
        <w:autoSpaceDN w:val="0"/>
        <w:adjustRightInd w:val="0"/>
        <w:ind w:left="426" w:hanging="426"/>
        <w:textAlignment w:val="baseline"/>
        <w:outlineLvl w:val="1"/>
        <w:rPr>
          <w:spacing w:val="-6"/>
          <w:szCs w:val="20"/>
        </w:rPr>
      </w:pPr>
      <w:r>
        <w:t>propose que la société civile soit associée à l’élaboration du cadre européen de surveillance des forêts et qu’une transparence suffisante soit garantie.</w:t>
      </w:r>
    </w:p>
    <w:p w:rsidRPr="00351248" w:rsidR="00351248" w:rsidP="00351248" w:rsidRDefault="00351248" w14:paraId="11BA1128" w14:textId="77777777">
      <w:pPr>
        <w:overflowPunct w:val="0"/>
        <w:autoSpaceDE w:val="0"/>
        <w:autoSpaceDN w:val="0"/>
        <w:adjustRightInd w:val="0"/>
        <w:spacing w:line="240" w:lineRule="auto"/>
        <w:textAlignment w:val="baseline"/>
        <w:rPr>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33E037D1" w14:textId="77777777">
        <w:tc>
          <w:tcPr>
            <w:tcW w:w="1418" w:type="dxa"/>
          </w:tcPr>
          <w:p w:rsidRPr="00351248" w:rsidR="00351248" w:rsidP="00351248" w:rsidRDefault="00351248" w14:paraId="2A30F350" w14:textId="77777777">
            <w:pPr>
              <w:overflowPunct w:val="0"/>
              <w:autoSpaceDE w:val="0"/>
              <w:autoSpaceDN w:val="0"/>
              <w:adjustRightInd w:val="0"/>
              <w:spacing w:line="240" w:lineRule="auto"/>
              <w:ind w:left="34" w:right="-253"/>
              <w:textAlignment w:val="baseline"/>
              <w:rPr>
                <w:i/>
              </w:rPr>
            </w:pPr>
            <w:r>
              <w:rPr>
                <w:b/>
                <w:i/>
              </w:rPr>
              <w:t>Contact:</w:t>
            </w:r>
          </w:p>
        </w:tc>
        <w:tc>
          <w:tcPr>
            <w:tcW w:w="5670" w:type="dxa"/>
          </w:tcPr>
          <w:p w:rsidRPr="00351248" w:rsidR="00351248" w:rsidP="00351248" w:rsidRDefault="00351248" w14:paraId="32F31E5A" w14:textId="77777777">
            <w:pPr>
              <w:overflowPunct w:val="0"/>
              <w:autoSpaceDE w:val="0"/>
              <w:autoSpaceDN w:val="0"/>
              <w:adjustRightInd w:val="0"/>
              <w:spacing w:line="240" w:lineRule="auto"/>
              <w:ind w:left="709"/>
              <w:textAlignment w:val="baseline"/>
              <w:rPr>
                <w:i/>
                <w:iCs/>
              </w:rPr>
            </w:pPr>
            <w:r>
              <w:rPr>
                <w:i/>
              </w:rPr>
              <w:t xml:space="preserve">Arturo </w:t>
            </w:r>
            <w:proofErr w:type="spellStart"/>
            <w:r>
              <w:rPr>
                <w:i/>
              </w:rPr>
              <w:t>Iñiguez</w:t>
            </w:r>
            <w:proofErr w:type="spellEnd"/>
          </w:p>
        </w:tc>
      </w:tr>
      <w:tr w:rsidRPr="00351248" w:rsidR="00351248" w:rsidTr="0053712F" w14:paraId="09FCB581" w14:textId="77777777">
        <w:tc>
          <w:tcPr>
            <w:tcW w:w="1418" w:type="dxa"/>
          </w:tcPr>
          <w:p w:rsidRPr="00351248" w:rsidR="00351248" w:rsidP="00351248" w:rsidRDefault="00351248" w14:paraId="3BCA0D97" w14:textId="77777777">
            <w:pPr>
              <w:overflowPunct w:val="0"/>
              <w:autoSpaceDE w:val="0"/>
              <w:autoSpaceDN w:val="0"/>
              <w:adjustRightInd w:val="0"/>
              <w:spacing w:line="240" w:lineRule="auto"/>
              <w:ind w:left="34"/>
              <w:textAlignment w:val="baseline"/>
              <w:rPr>
                <w:i/>
              </w:rPr>
            </w:pPr>
            <w:r>
              <w:rPr>
                <w:i/>
              </w:rPr>
              <w:t>Tél.:</w:t>
            </w:r>
          </w:p>
        </w:tc>
        <w:tc>
          <w:tcPr>
            <w:tcW w:w="5670" w:type="dxa"/>
          </w:tcPr>
          <w:p w:rsidRPr="00351248" w:rsidR="00351248" w:rsidP="00351248" w:rsidRDefault="00351248" w14:paraId="51782A54" w14:textId="77777777">
            <w:pPr>
              <w:overflowPunct w:val="0"/>
              <w:autoSpaceDE w:val="0"/>
              <w:autoSpaceDN w:val="0"/>
              <w:adjustRightInd w:val="0"/>
              <w:spacing w:line="240" w:lineRule="auto"/>
              <w:ind w:left="709"/>
              <w:textAlignment w:val="baseline"/>
              <w:rPr>
                <w:i/>
                <w:iCs/>
              </w:rPr>
            </w:pPr>
            <w:r>
              <w:rPr>
                <w:i/>
              </w:rPr>
              <w:t>+32 25468768</w:t>
            </w:r>
          </w:p>
        </w:tc>
      </w:tr>
      <w:tr w:rsidRPr="00351248" w:rsidR="00351248" w:rsidTr="0053712F" w14:paraId="42F9F7E5" w14:textId="77777777">
        <w:tc>
          <w:tcPr>
            <w:tcW w:w="1418" w:type="dxa"/>
          </w:tcPr>
          <w:p w:rsidRPr="00351248" w:rsidR="00351248" w:rsidP="00351248" w:rsidRDefault="00F1544C" w14:paraId="3ECBD94D" w14:textId="47A5583E">
            <w:pPr>
              <w:overflowPunct w:val="0"/>
              <w:autoSpaceDE w:val="0"/>
              <w:autoSpaceDN w:val="0"/>
              <w:adjustRightInd w:val="0"/>
              <w:spacing w:line="240" w:lineRule="auto"/>
              <w:ind w:left="34"/>
              <w:textAlignment w:val="baseline"/>
              <w:rPr>
                <w:i/>
              </w:rPr>
            </w:pPr>
            <w:r>
              <w:rPr>
                <w:i/>
              </w:rPr>
              <w:t>Courriel:</w:t>
            </w:r>
          </w:p>
        </w:tc>
        <w:tc>
          <w:tcPr>
            <w:tcW w:w="5670" w:type="dxa"/>
          </w:tcPr>
          <w:p w:rsidRPr="00351248" w:rsidR="00351248" w:rsidP="00351248" w:rsidRDefault="00C87FB4" w14:paraId="2D5C24BB" w14:textId="77777777">
            <w:pPr>
              <w:overflowPunct w:val="0"/>
              <w:autoSpaceDE w:val="0"/>
              <w:autoSpaceDN w:val="0"/>
              <w:adjustRightInd w:val="0"/>
              <w:spacing w:line="240" w:lineRule="auto"/>
              <w:ind w:left="709"/>
              <w:textAlignment w:val="baseline"/>
              <w:rPr>
                <w:i/>
                <w:iCs/>
                <w:color w:val="0000FF"/>
                <w:u w:val="single"/>
              </w:rPr>
            </w:pPr>
            <w:hyperlink w:history="1" r:id="rId37">
              <w:r w:rsidR="007B2394">
                <w:rPr>
                  <w:i/>
                  <w:color w:val="0000FF"/>
                  <w:u w:val="single"/>
                </w:rPr>
                <w:t>Arturo.Iniguez@eesc.europa.eu</w:t>
              </w:r>
            </w:hyperlink>
          </w:p>
        </w:tc>
      </w:tr>
    </w:tbl>
    <w:p w:rsidR="00E20508" w:rsidP="000B1C30" w:rsidRDefault="00E20508" w14:paraId="1D826B49" w14:textId="77777777">
      <w:pPr>
        <w:pStyle w:val="Heading1"/>
        <w:keepNext/>
        <w:keepLines/>
        <w:numPr>
          <w:ilvl w:val="0"/>
          <w:numId w:val="0"/>
        </w:numPr>
        <w:spacing w:before="0"/>
        <w:ind w:left="568"/>
        <w:rPr>
          <w:b/>
          <w:bCs/>
        </w:rPr>
      </w:pPr>
    </w:p>
    <w:p w:rsidR="00351248" w:rsidRDefault="00351248" w14:paraId="0A05F62E" w14:textId="77777777">
      <w:pPr>
        <w:spacing w:after="160" w:line="259" w:lineRule="auto"/>
        <w:jc w:val="left"/>
        <w:rPr>
          <w:b/>
          <w:bCs/>
        </w:rPr>
      </w:pPr>
      <w:r>
        <w:br w:type="page"/>
      </w:r>
    </w:p>
    <w:p w:rsidRPr="005A622F" w:rsidR="00351248" w:rsidP="004351D4" w:rsidRDefault="00C87FB4" w14:paraId="21C1FDD5" w14:textId="6BBD80ED">
      <w:pPr>
        <w:widowControl w:val="0"/>
        <w:numPr>
          <w:ilvl w:val="0"/>
          <w:numId w:val="4"/>
        </w:numPr>
        <w:overflowPunct w:val="0"/>
        <w:autoSpaceDE w:val="0"/>
        <w:autoSpaceDN w:val="0"/>
        <w:adjustRightInd w:val="0"/>
        <w:spacing w:after="200" w:line="276" w:lineRule="auto"/>
        <w:ind w:left="567" w:hanging="567"/>
        <w:contextualSpacing/>
        <w:textAlignment w:val="baseline"/>
        <w:rPr>
          <w:sz w:val="20"/>
        </w:rPr>
      </w:pPr>
      <w:hyperlink w:history="1" r:id="rId38">
        <w:r w:rsidR="007B2394">
          <w:rPr>
            <w:b/>
            <w:i/>
            <w:color w:val="0000FF"/>
            <w:sz w:val="28"/>
            <w:u w:val="single"/>
          </w:rPr>
          <w:t>Règlement sur le bien-être des chiens et des chats et leur traçabilité</w:t>
        </w:r>
      </w:hyperlink>
    </w:p>
    <w:p w:rsidRPr="00351248" w:rsidR="00EE5280" w:rsidP="005A622F" w:rsidRDefault="00EE5280" w14:paraId="22865FD0"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99"/>
      </w:tblGrid>
      <w:tr w:rsidRPr="00351248" w:rsidR="00351248" w:rsidTr="0053712F" w14:paraId="01447F39" w14:textId="77777777">
        <w:tc>
          <w:tcPr>
            <w:tcW w:w="1701" w:type="dxa"/>
          </w:tcPr>
          <w:p w:rsidRPr="00351248" w:rsidR="00351248" w:rsidP="00351248" w:rsidRDefault="00351248" w14:paraId="2A3393EB" w14:textId="77777777">
            <w:pPr>
              <w:tabs>
                <w:tab w:val="center" w:pos="284"/>
              </w:tabs>
              <w:overflowPunct w:val="0"/>
              <w:autoSpaceDE w:val="0"/>
              <w:autoSpaceDN w:val="0"/>
              <w:adjustRightInd w:val="0"/>
              <w:ind w:left="266" w:hanging="266"/>
              <w:textAlignment w:val="baseline"/>
              <w:rPr>
                <w:b/>
              </w:rPr>
            </w:pPr>
            <w:r>
              <w:rPr>
                <w:b/>
              </w:rPr>
              <w:t>Rapporteur</w:t>
            </w:r>
          </w:p>
        </w:tc>
        <w:tc>
          <w:tcPr>
            <w:tcW w:w="6799" w:type="dxa"/>
          </w:tcPr>
          <w:p w:rsidRPr="00351248" w:rsidR="00351248" w:rsidP="00351248" w:rsidRDefault="00351248" w14:paraId="17BE7969" w14:textId="38F9CE6B">
            <w:pPr>
              <w:tabs>
                <w:tab w:val="center" w:pos="284"/>
              </w:tabs>
              <w:overflowPunct w:val="0"/>
              <w:autoSpaceDE w:val="0"/>
              <w:autoSpaceDN w:val="0"/>
              <w:adjustRightInd w:val="0"/>
              <w:ind w:left="266" w:hanging="266"/>
              <w:textAlignment w:val="baseline"/>
            </w:pPr>
            <w:r>
              <w:t xml:space="preserve">Maciej </w:t>
            </w:r>
            <w:proofErr w:type="spellStart"/>
            <w:r>
              <w:t>Dawid</w:t>
            </w:r>
            <w:proofErr w:type="spellEnd"/>
            <w:r>
              <w:t xml:space="preserve"> KUNYSZ (groupe des organisations de la société civile, Pologne) </w:t>
            </w:r>
          </w:p>
        </w:tc>
      </w:tr>
      <w:tr w:rsidRPr="00351248" w:rsidR="00351248" w:rsidTr="0053712F" w14:paraId="6C16C7E6" w14:textId="77777777">
        <w:tc>
          <w:tcPr>
            <w:tcW w:w="8500" w:type="dxa"/>
            <w:gridSpan w:val="2"/>
          </w:tcPr>
          <w:p w:rsidRPr="00351248" w:rsidR="00351248" w:rsidP="00351248" w:rsidRDefault="00351248" w14:paraId="3BD16B8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351248" w:rsidR="00351248" w:rsidTr="0053712F" w14:paraId="5487F143" w14:textId="77777777">
        <w:tc>
          <w:tcPr>
            <w:tcW w:w="1701" w:type="dxa"/>
          </w:tcPr>
          <w:p w:rsidRPr="00351248" w:rsidR="00351248" w:rsidP="00351248" w:rsidRDefault="00351248" w14:paraId="40FFAE27" w14:textId="6270C0A7">
            <w:pPr>
              <w:tabs>
                <w:tab w:val="center" w:pos="284"/>
              </w:tabs>
              <w:overflowPunct w:val="0"/>
              <w:autoSpaceDE w:val="0"/>
              <w:autoSpaceDN w:val="0"/>
              <w:adjustRightInd w:val="0"/>
              <w:ind w:left="266" w:hanging="266"/>
              <w:textAlignment w:val="baseline"/>
              <w:rPr>
                <w:b/>
              </w:rPr>
            </w:pPr>
            <w:r>
              <w:rPr>
                <w:b/>
              </w:rPr>
              <w:t>Références:</w:t>
            </w:r>
          </w:p>
        </w:tc>
        <w:tc>
          <w:tcPr>
            <w:tcW w:w="6799" w:type="dxa"/>
          </w:tcPr>
          <w:p w:rsidR="00E93ED5" w:rsidP="00351248" w:rsidRDefault="00E93ED5" w14:paraId="2FEAD1A0" w14:textId="57A90725">
            <w:pPr>
              <w:tabs>
                <w:tab w:val="center" w:pos="284"/>
              </w:tabs>
              <w:overflowPunct w:val="0"/>
              <w:autoSpaceDE w:val="0"/>
              <w:autoSpaceDN w:val="0"/>
              <w:adjustRightInd w:val="0"/>
              <w:ind w:left="266" w:hanging="266"/>
              <w:textAlignment w:val="baseline"/>
            </w:pPr>
            <w:r>
              <w:t xml:space="preserve">COM(2023) 769 final </w:t>
            </w:r>
          </w:p>
          <w:p w:rsidRPr="00351248" w:rsidR="00351248" w:rsidP="00351248" w:rsidRDefault="00351248" w14:paraId="2BC8E1B7" w14:textId="49467B09">
            <w:pPr>
              <w:tabs>
                <w:tab w:val="center" w:pos="284"/>
              </w:tabs>
              <w:overflowPunct w:val="0"/>
              <w:autoSpaceDE w:val="0"/>
              <w:autoSpaceDN w:val="0"/>
              <w:adjustRightInd w:val="0"/>
              <w:ind w:left="266" w:hanging="266"/>
              <w:textAlignment w:val="baseline"/>
            </w:pPr>
            <w:r>
              <w:t>EESC-2024-00532-00-00-AC</w:t>
            </w:r>
          </w:p>
        </w:tc>
      </w:tr>
    </w:tbl>
    <w:p w:rsidRPr="00351248" w:rsidR="00351248" w:rsidP="00351248" w:rsidRDefault="00351248" w14:paraId="7E3F71A0" w14:textId="77777777">
      <w:pPr>
        <w:tabs>
          <w:tab w:val="center" w:pos="284"/>
        </w:tabs>
        <w:overflowPunct w:val="0"/>
        <w:autoSpaceDE w:val="0"/>
        <w:autoSpaceDN w:val="0"/>
        <w:adjustRightInd w:val="0"/>
        <w:ind w:left="266" w:hanging="266"/>
        <w:textAlignment w:val="baseline"/>
        <w:rPr>
          <w:lang w:val="fr-LU"/>
        </w:rPr>
      </w:pPr>
    </w:p>
    <w:p w:rsidRPr="00351248" w:rsidR="00351248" w:rsidP="005A622F" w:rsidRDefault="00351248" w14:paraId="62F7029B" w14:textId="77777777">
      <w:pPr>
        <w:keepNext/>
        <w:keepLines/>
        <w:tabs>
          <w:tab w:val="center" w:pos="284"/>
        </w:tabs>
        <w:overflowPunct w:val="0"/>
        <w:autoSpaceDE w:val="0"/>
        <w:autoSpaceDN w:val="0"/>
        <w:adjustRightInd w:val="0"/>
        <w:ind w:left="266" w:hanging="124"/>
        <w:textAlignment w:val="baseline"/>
        <w:rPr>
          <w:b/>
        </w:rPr>
      </w:pPr>
      <w:r>
        <w:rPr>
          <w:b/>
        </w:rPr>
        <w:t>Points clés</w:t>
      </w:r>
    </w:p>
    <w:p w:rsidRPr="00351248" w:rsidR="00351248" w:rsidP="00351248" w:rsidRDefault="00351248" w14:paraId="392BDB56" w14:textId="77777777">
      <w:pPr>
        <w:overflowPunct w:val="0"/>
        <w:autoSpaceDE w:val="0"/>
        <w:autoSpaceDN w:val="0"/>
        <w:adjustRightInd w:val="0"/>
        <w:textAlignment w:val="baseline"/>
        <w:rPr>
          <w:bCs/>
          <w:iCs/>
          <w:lang w:val="fr-LU"/>
        </w:rPr>
      </w:pPr>
    </w:p>
    <w:p w:rsidRPr="00351248" w:rsidR="00351248" w:rsidP="005A622F" w:rsidRDefault="00351248" w14:paraId="628A42B7" w14:textId="77777777">
      <w:pPr>
        <w:overflowPunct w:val="0"/>
        <w:autoSpaceDE w:val="0"/>
        <w:autoSpaceDN w:val="0"/>
        <w:adjustRightInd w:val="0"/>
        <w:ind w:firstLine="142"/>
        <w:textAlignment w:val="baseline"/>
        <w:rPr>
          <w:szCs w:val="20"/>
        </w:rPr>
      </w:pPr>
      <w:r>
        <w:t>Le CESE</w:t>
      </w:r>
    </w:p>
    <w:p w:rsidRPr="00351248" w:rsidR="00351248" w:rsidP="00351248" w:rsidRDefault="00351248" w14:paraId="6D2E4377" w14:textId="77777777">
      <w:pPr>
        <w:overflowPunct w:val="0"/>
        <w:autoSpaceDE w:val="0"/>
        <w:autoSpaceDN w:val="0"/>
        <w:adjustRightInd w:val="0"/>
        <w:textAlignment w:val="baseline"/>
        <w:rPr>
          <w:szCs w:val="20"/>
        </w:rPr>
      </w:pPr>
    </w:p>
    <w:p w:rsidRPr="00351248" w:rsidR="00351248" w:rsidP="005A622F" w:rsidRDefault="00351248" w14:paraId="22DF1608"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se dit des plus satisfait des actions lancées par l’Union européenne en faveur du bien-être des chiens et des chats et de leur traçabilité;</w:t>
      </w:r>
    </w:p>
    <w:p w:rsidRPr="00351248" w:rsidR="00351248" w:rsidP="005A622F" w:rsidRDefault="00351248" w14:paraId="635CF6AA"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fait observer que l’élaboration de systèmes d’identification et d’enregistrement revêt une importance capitale pour améliorer le bien-être des chiens et des chats, dans la mesure où ils permettront un meilleur traçage de l’origine des animaux et de leur historique sanitaire;</w:t>
      </w:r>
    </w:p>
    <w:p w:rsidRPr="00351248" w:rsidR="00351248" w:rsidP="005A622F" w:rsidRDefault="00351248" w14:paraId="006FB5B9"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relève que la réglementation à l’examen exercera une forte influence sur le marché des animaux de compagnie, étant donné qu’elle peut entraîner une augmentation des coûts supportés par les éleveurs et les vendeurs, quand ils devront se conformer aux nouvelles exigences ainsi établies;</w:t>
      </w:r>
    </w:p>
    <w:p w:rsidRPr="00351248" w:rsidR="00351248" w:rsidP="005A622F" w:rsidRDefault="00351248" w14:paraId="589B252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préconise l’établissement d’un socle de règles minimales en matière de sanctions applicables en cas de violation des dispositions du règlement;</w:t>
      </w:r>
    </w:p>
    <w:p w:rsidRPr="00351248" w:rsidR="00351248" w:rsidP="005A622F" w:rsidRDefault="00351248" w14:paraId="52ECB2FD"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recommande de veiller tout particulièrement à soutenir et éduquer les éleveurs et les vendeurs, afin qu’il leur soit plus facile de s’adapter aux exigences nouvellement fixées;</w:t>
      </w:r>
    </w:p>
    <w:p w:rsidRPr="00351248" w:rsidR="00351248" w:rsidP="005A622F" w:rsidRDefault="00351248" w14:paraId="5D9B823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insiste sur la nécessité de renforcer la coopération internationale dans le domaine de l’échange d’informations, des bonnes pratiques et des opérations conjointes visant à lutter contre le commerce illégal d’animaux;</w:t>
      </w:r>
    </w:p>
    <w:p w:rsidRPr="00351248" w:rsidR="00351248" w:rsidP="005A622F" w:rsidRDefault="00351248" w14:paraId="31DEED1E"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souligne qu’il sera capital de fournir aux systèmes d’identification et d’enregistrement les ressources appropriées pour qu’ils soient efficaces et accessibles à toutes les parties prenantes;</w:t>
      </w:r>
    </w:p>
    <w:p w:rsidRPr="00351248" w:rsidR="00351248" w:rsidP="005A622F" w:rsidRDefault="00351248" w14:paraId="503B64C6"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accueille favorablement la proposition, qui a pour objectif de garantir que dans l’Union européenne, la totalité des chiens et des chats bénéficient d’un niveau élevé de bien-être et soient dûment identifiés et enregistrés, de sorte qu’il sera plus aisé de retracer leur parcours et de prévenir la contrebande.</w:t>
      </w:r>
    </w:p>
    <w:p w:rsidRPr="00351248" w:rsidR="00351248" w:rsidP="00351248" w:rsidRDefault="00351248" w14:paraId="1195E7B5" w14:textId="77777777">
      <w:pPr>
        <w:spacing w:after="200" w:line="276" w:lineRule="auto"/>
        <w:contextualSpacing/>
        <w:jc w:val="left"/>
        <w:outlineLvl w:val="1"/>
        <w:rPr>
          <w:rFonts w:ascii="Calibri" w:hAnsi="Calibri"/>
          <w:lang w:val="fr-LU"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5F0DAA29" w14:textId="77777777">
        <w:tc>
          <w:tcPr>
            <w:tcW w:w="1418" w:type="dxa"/>
          </w:tcPr>
          <w:p w:rsidRPr="00351248" w:rsidR="00351248" w:rsidP="00351248" w:rsidRDefault="00351248" w14:paraId="3EE6D42F" w14:textId="77777777">
            <w:pPr>
              <w:overflowPunct w:val="0"/>
              <w:autoSpaceDE w:val="0"/>
              <w:autoSpaceDN w:val="0"/>
              <w:adjustRightInd w:val="0"/>
              <w:spacing w:line="240" w:lineRule="auto"/>
              <w:textAlignment w:val="baseline"/>
              <w:rPr>
                <w:i/>
              </w:rPr>
            </w:pPr>
            <w:r>
              <w:rPr>
                <w:b/>
                <w:i/>
              </w:rPr>
              <w:t>Contact:</w:t>
            </w:r>
          </w:p>
        </w:tc>
        <w:tc>
          <w:tcPr>
            <w:tcW w:w="5670" w:type="dxa"/>
          </w:tcPr>
          <w:p w:rsidRPr="00351248" w:rsidR="00351248" w:rsidP="00351248" w:rsidRDefault="00351248" w14:paraId="3866E937" w14:textId="77777777">
            <w:pPr>
              <w:overflowPunct w:val="0"/>
              <w:autoSpaceDE w:val="0"/>
              <w:autoSpaceDN w:val="0"/>
              <w:adjustRightInd w:val="0"/>
              <w:spacing w:line="240" w:lineRule="auto"/>
              <w:textAlignment w:val="baseline"/>
              <w:rPr>
                <w:i/>
              </w:rPr>
            </w:pPr>
            <w:r>
              <w:rPr>
                <w:i/>
              </w:rPr>
              <w:t xml:space="preserve">Arturo </w:t>
            </w:r>
            <w:proofErr w:type="spellStart"/>
            <w:r>
              <w:rPr>
                <w:i/>
              </w:rPr>
              <w:t>Iniguez</w:t>
            </w:r>
            <w:proofErr w:type="spellEnd"/>
          </w:p>
        </w:tc>
      </w:tr>
      <w:tr w:rsidRPr="00351248" w:rsidR="00351248" w:rsidTr="0053712F" w14:paraId="30D1F937" w14:textId="77777777">
        <w:tc>
          <w:tcPr>
            <w:tcW w:w="1418" w:type="dxa"/>
          </w:tcPr>
          <w:p w:rsidRPr="00351248" w:rsidR="00351248" w:rsidP="00351248" w:rsidRDefault="00351248" w14:paraId="2A45D62A" w14:textId="1A9BA215">
            <w:pPr>
              <w:overflowPunct w:val="0"/>
              <w:autoSpaceDE w:val="0"/>
              <w:autoSpaceDN w:val="0"/>
              <w:adjustRightInd w:val="0"/>
              <w:spacing w:line="240" w:lineRule="auto"/>
              <w:textAlignment w:val="baseline"/>
              <w:rPr>
                <w:i/>
              </w:rPr>
            </w:pPr>
            <w:r>
              <w:rPr>
                <w:i/>
              </w:rPr>
              <w:t>Tél.:</w:t>
            </w:r>
          </w:p>
        </w:tc>
        <w:tc>
          <w:tcPr>
            <w:tcW w:w="5670" w:type="dxa"/>
          </w:tcPr>
          <w:p w:rsidRPr="00351248" w:rsidR="00351248" w:rsidP="00351248" w:rsidRDefault="00351248" w14:paraId="5435D8FB" w14:textId="77777777">
            <w:pPr>
              <w:overflowPunct w:val="0"/>
              <w:autoSpaceDE w:val="0"/>
              <w:autoSpaceDN w:val="0"/>
              <w:adjustRightInd w:val="0"/>
              <w:spacing w:line="240" w:lineRule="auto"/>
              <w:textAlignment w:val="baseline"/>
              <w:rPr>
                <w:i/>
              </w:rPr>
            </w:pPr>
            <w:r>
              <w:rPr>
                <w:i/>
              </w:rPr>
              <w:t>+32 25468768</w:t>
            </w:r>
          </w:p>
        </w:tc>
      </w:tr>
      <w:tr w:rsidRPr="00351248" w:rsidR="00351248" w:rsidTr="0053712F" w14:paraId="6C165DC8" w14:textId="77777777">
        <w:tc>
          <w:tcPr>
            <w:tcW w:w="1418" w:type="dxa"/>
          </w:tcPr>
          <w:p w:rsidRPr="00351248" w:rsidR="00351248" w:rsidP="00351248" w:rsidRDefault="00EE5280" w14:paraId="02527944" w14:textId="764A3CA5">
            <w:pPr>
              <w:overflowPunct w:val="0"/>
              <w:autoSpaceDE w:val="0"/>
              <w:autoSpaceDN w:val="0"/>
              <w:adjustRightInd w:val="0"/>
              <w:spacing w:line="240" w:lineRule="auto"/>
              <w:textAlignment w:val="baseline"/>
              <w:rPr>
                <w:i/>
              </w:rPr>
            </w:pPr>
            <w:r>
              <w:rPr>
                <w:i/>
              </w:rPr>
              <w:t>Courriel:</w:t>
            </w:r>
          </w:p>
        </w:tc>
        <w:tc>
          <w:tcPr>
            <w:tcW w:w="5670" w:type="dxa"/>
          </w:tcPr>
          <w:p w:rsidRPr="00351248" w:rsidR="00351248" w:rsidP="00351248" w:rsidRDefault="00C87FB4" w14:paraId="3102E7B7" w14:textId="77777777">
            <w:pPr>
              <w:spacing w:after="200" w:line="276" w:lineRule="auto"/>
              <w:contextualSpacing/>
              <w:jc w:val="left"/>
              <w:outlineLvl w:val="1"/>
              <w:rPr>
                <w:rFonts w:ascii="Calibri" w:hAnsi="Calibri"/>
              </w:rPr>
            </w:pPr>
            <w:hyperlink w:history="1" r:id="rId39">
              <w:r w:rsidR="007B2394">
                <w:rPr>
                  <w:i/>
                  <w:color w:val="0000FF"/>
                  <w:u w:val="single"/>
                </w:rPr>
                <w:t>Arturo.Iniguez@eesc.europa.eu</w:t>
              </w:r>
            </w:hyperlink>
          </w:p>
          <w:p w:rsidRPr="00351248" w:rsidR="00351248" w:rsidP="00351248" w:rsidRDefault="00351248" w14:paraId="5780324B" w14:textId="77777777">
            <w:pPr>
              <w:overflowPunct w:val="0"/>
              <w:autoSpaceDE w:val="0"/>
              <w:autoSpaceDN w:val="0"/>
              <w:adjustRightInd w:val="0"/>
              <w:spacing w:line="240" w:lineRule="auto"/>
              <w:textAlignment w:val="baseline"/>
              <w:rPr>
                <w:i/>
                <w:lang w:val="fr-LU"/>
              </w:rPr>
            </w:pPr>
          </w:p>
        </w:tc>
      </w:tr>
    </w:tbl>
    <w:p w:rsidR="006938FA" w:rsidRDefault="006938FA" w14:paraId="6AD61F9D" w14:textId="351D7CC4">
      <w:pPr>
        <w:spacing w:after="160" w:line="259" w:lineRule="auto"/>
        <w:jc w:val="left"/>
        <w:rPr>
          <w:b/>
          <w:bCs/>
        </w:rPr>
      </w:pPr>
    </w:p>
    <w:p w:rsidR="00351248" w:rsidRDefault="00351248" w14:paraId="7D717691" w14:textId="5AA1E8C2">
      <w:pPr>
        <w:spacing w:after="160" w:line="259" w:lineRule="auto"/>
        <w:jc w:val="left"/>
        <w:rPr>
          <w:b/>
          <w:bCs/>
          <w:i/>
          <w:iCs/>
          <w:sz w:val="28"/>
          <w:szCs w:val="28"/>
        </w:rPr>
      </w:pPr>
      <w:r>
        <w:br w:type="page"/>
      </w:r>
    </w:p>
    <w:p w:rsidRPr="000B1C30" w:rsidR="00E110D0" w:rsidP="005B4680" w:rsidRDefault="00E110D0" w14:paraId="268D0B18" w14:textId="0D072EE0">
      <w:pPr>
        <w:pStyle w:val="Heading1"/>
        <w:ind w:hanging="928"/>
        <w:rPr>
          <w:b/>
          <w:bCs/>
        </w:rPr>
      </w:pPr>
      <w:bookmarkStart w:name="_Toc162435207" w:id="7"/>
      <w:bookmarkStart w:name="_Toc162435208" w:id="8"/>
      <w:bookmarkStart w:name="_Toc163634983" w:id="9"/>
      <w:bookmarkEnd w:id="7"/>
      <w:bookmarkEnd w:id="8"/>
      <w:r>
        <w:rPr>
          <w:b/>
        </w:rPr>
        <w:lastRenderedPageBreak/>
        <w:t>TRANSPORTS, ÉNERGIE, INFRASTRUCTURES ET SOCIÉTÉ DE L’INFORMATION</w:t>
      </w:r>
      <w:bookmarkEnd w:id="9"/>
    </w:p>
    <w:p w:rsidR="0045690D" w:rsidP="00775FC4" w:rsidRDefault="0045690D" w14:paraId="4F161A92" w14:textId="77777777">
      <w:pPr>
        <w:keepNext/>
        <w:keepLines/>
      </w:pPr>
    </w:p>
    <w:p w:rsidRPr="00B9550C" w:rsidR="00351248" w:rsidP="004351D4" w:rsidRDefault="00633FC6" w14:paraId="4BC5BED4" w14:textId="35F5045E">
      <w:pPr>
        <w:widowControl w:val="0"/>
        <w:numPr>
          <w:ilvl w:val="0"/>
          <w:numId w:val="2"/>
        </w:numPr>
        <w:overflowPunct w:val="0"/>
        <w:autoSpaceDE w:val="0"/>
        <w:autoSpaceDN w:val="0"/>
        <w:adjustRightInd w:val="0"/>
        <w:ind w:left="266" w:hanging="266"/>
        <w:textAlignment w:val="baseline"/>
        <w:rPr>
          <w:b/>
        </w:rPr>
      </w:pPr>
      <w:r>
        <w:rPr>
          <w:b/>
          <w:i/>
          <w:sz w:val="28"/>
        </w:rPr>
        <w:tab/>
      </w:r>
      <w:hyperlink w:history="1" r:id="rId40">
        <w:r>
          <w:rPr>
            <w:b/>
            <w:i/>
            <w:color w:val="0000FF"/>
            <w:sz w:val="28"/>
            <w:u w:val="single"/>
          </w:rPr>
          <w:t>Réexamen du cadre relatif aux droits des passagers</w:t>
        </w:r>
      </w:hyperlink>
    </w:p>
    <w:p w:rsidRPr="00B9550C" w:rsidR="00B9550C" w:rsidP="00B9550C" w:rsidRDefault="00B9550C" w14:paraId="56687B44" w14:textId="77777777">
      <w:pPr>
        <w:widowControl w:val="0"/>
        <w:overflowPunct w:val="0"/>
        <w:autoSpaceDE w:val="0"/>
        <w:autoSpaceDN w:val="0"/>
        <w:adjustRightInd w:val="0"/>
        <w:ind w:left="266"/>
        <w:textAlignment w:val="baseline"/>
        <w:rPr>
          <w:b/>
        </w:rPr>
      </w:pPr>
    </w:p>
    <w:tbl>
      <w:tblPr>
        <w:tblStyle w:val="TableGrid192"/>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797"/>
      </w:tblGrid>
      <w:tr w:rsidRPr="00351248" w:rsidR="00351248" w:rsidTr="0053712F" w14:paraId="1EA1F37A" w14:textId="77777777">
        <w:tc>
          <w:tcPr>
            <w:tcW w:w="1701" w:type="dxa"/>
          </w:tcPr>
          <w:p w:rsidRPr="00351248" w:rsidR="00351248" w:rsidP="00351248" w:rsidRDefault="00351248" w14:paraId="5A3C3640" w14:textId="5EC12DE2">
            <w:pPr>
              <w:tabs>
                <w:tab w:val="center" w:pos="284"/>
              </w:tabs>
              <w:overflowPunct w:val="0"/>
              <w:autoSpaceDE w:val="0"/>
              <w:autoSpaceDN w:val="0"/>
              <w:adjustRightInd w:val="0"/>
              <w:ind w:left="266" w:hanging="266"/>
              <w:textAlignment w:val="baseline"/>
              <w:rPr>
                <w:b/>
              </w:rPr>
            </w:pPr>
            <w:proofErr w:type="spellStart"/>
            <w:r>
              <w:rPr>
                <w:b/>
              </w:rPr>
              <w:t>Rapporteur</w:t>
            </w:r>
            <w:r w:rsidR="00B9550C">
              <w:rPr>
                <w:b/>
              </w:rPr>
              <w:t>e</w:t>
            </w:r>
            <w:proofErr w:type="spellEnd"/>
          </w:p>
        </w:tc>
        <w:tc>
          <w:tcPr>
            <w:tcW w:w="7797" w:type="dxa"/>
          </w:tcPr>
          <w:p w:rsidRPr="00351248" w:rsidR="00351248" w:rsidP="00351248" w:rsidRDefault="00351248" w14:paraId="61914F74" w14:textId="28832A01">
            <w:pPr>
              <w:tabs>
                <w:tab w:val="center" w:pos="284"/>
              </w:tabs>
              <w:overflowPunct w:val="0"/>
              <w:autoSpaceDE w:val="0"/>
              <w:autoSpaceDN w:val="0"/>
              <w:adjustRightInd w:val="0"/>
              <w:ind w:left="266" w:hanging="266"/>
              <w:textAlignment w:val="baseline"/>
            </w:pPr>
            <w:r>
              <w:t>Ileana IZVERNICEANU DE LA IGLESIA (groupe des organisations de la société civile — Espagne)</w:t>
            </w:r>
          </w:p>
        </w:tc>
      </w:tr>
      <w:tr w:rsidRPr="00351248" w:rsidR="00351248" w:rsidTr="0053712F" w14:paraId="7D2E5062" w14:textId="77777777">
        <w:tc>
          <w:tcPr>
            <w:tcW w:w="9498" w:type="dxa"/>
            <w:gridSpan w:val="2"/>
          </w:tcPr>
          <w:p w:rsidRPr="00351248" w:rsidR="00351248" w:rsidP="00351248" w:rsidRDefault="00351248" w14:paraId="46065D19" w14:textId="77777777">
            <w:pPr>
              <w:tabs>
                <w:tab w:val="center" w:pos="284"/>
              </w:tabs>
              <w:overflowPunct w:val="0"/>
              <w:autoSpaceDE w:val="0"/>
              <w:autoSpaceDN w:val="0"/>
              <w:adjustRightInd w:val="0"/>
              <w:spacing w:line="160" w:lineRule="exact"/>
              <w:ind w:left="266" w:hanging="266"/>
              <w:textAlignment w:val="baseline"/>
            </w:pPr>
          </w:p>
        </w:tc>
      </w:tr>
      <w:tr w:rsidRPr="00351248" w:rsidR="00351248" w:rsidTr="0053712F" w14:paraId="0C6B2E47" w14:textId="77777777">
        <w:tc>
          <w:tcPr>
            <w:tcW w:w="1701" w:type="dxa"/>
            <w:vMerge w:val="restart"/>
          </w:tcPr>
          <w:p w:rsidRPr="00351248" w:rsidR="00351248" w:rsidP="00351248" w:rsidRDefault="00351248" w14:paraId="74CECAAA" w14:textId="340A1882">
            <w:pPr>
              <w:tabs>
                <w:tab w:val="center" w:pos="284"/>
              </w:tabs>
              <w:overflowPunct w:val="0"/>
              <w:autoSpaceDE w:val="0"/>
              <w:autoSpaceDN w:val="0"/>
              <w:adjustRightInd w:val="0"/>
              <w:ind w:left="266" w:hanging="266"/>
              <w:textAlignment w:val="baseline"/>
              <w:rPr>
                <w:b/>
              </w:rPr>
            </w:pPr>
            <w:r>
              <w:rPr>
                <w:b/>
              </w:rPr>
              <w:t>Références</w:t>
            </w:r>
          </w:p>
        </w:tc>
        <w:tc>
          <w:tcPr>
            <w:tcW w:w="7797" w:type="dxa"/>
          </w:tcPr>
          <w:p w:rsidRPr="00351248" w:rsidR="00351248" w:rsidP="00351248" w:rsidRDefault="00351248" w14:paraId="3C41E0C2" w14:textId="77777777">
            <w:pPr>
              <w:tabs>
                <w:tab w:val="center" w:pos="284"/>
              </w:tabs>
              <w:overflowPunct w:val="0"/>
              <w:autoSpaceDE w:val="0"/>
              <w:autoSpaceDN w:val="0"/>
              <w:adjustRightInd w:val="0"/>
              <w:ind w:left="266" w:hanging="266"/>
              <w:textAlignment w:val="baseline"/>
            </w:pPr>
            <w:r>
              <w:t>COM(2023) 753 final </w:t>
            </w:r>
          </w:p>
          <w:p w:rsidRPr="00351248" w:rsidR="00351248" w:rsidP="00351248" w:rsidRDefault="00351248" w14:paraId="465835D6" w14:textId="77777777">
            <w:pPr>
              <w:tabs>
                <w:tab w:val="center" w:pos="284"/>
              </w:tabs>
              <w:overflowPunct w:val="0"/>
              <w:autoSpaceDE w:val="0"/>
              <w:autoSpaceDN w:val="0"/>
              <w:adjustRightInd w:val="0"/>
              <w:ind w:left="266" w:hanging="266"/>
              <w:textAlignment w:val="baseline"/>
            </w:pPr>
            <w:r>
              <w:t>COM(2023) 752 final </w:t>
            </w:r>
          </w:p>
          <w:p w:rsidRPr="00351248" w:rsidR="00351248" w:rsidP="00351248" w:rsidRDefault="00351248" w14:paraId="411637E5" w14:textId="77777777">
            <w:pPr>
              <w:tabs>
                <w:tab w:val="center" w:pos="284"/>
              </w:tabs>
              <w:overflowPunct w:val="0"/>
              <w:autoSpaceDE w:val="0"/>
              <w:autoSpaceDN w:val="0"/>
              <w:adjustRightInd w:val="0"/>
              <w:ind w:left="266" w:hanging="266"/>
              <w:textAlignment w:val="baseline"/>
            </w:pPr>
            <w:r>
              <w:t>EESC-2023-05130-00-00-AC</w:t>
            </w:r>
          </w:p>
        </w:tc>
      </w:tr>
      <w:tr w:rsidRPr="00351248" w:rsidR="00351248" w:rsidTr="0053712F" w14:paraId="6D5DB00F" w14:textId="77777777">
        <w:tc>
          <w:tcPr>
            <w:tcW w:w="1701" w:type="dxa"/>
            <w:vMerge/>
          </w:tcPr>
          <w:p w:rsidRPr="00351248" w:rsidR="00351248" w:rsidP="00351248" w:rsidRDefault="00351248" w14:paraId="06DB045B" w14:textId="77777777">
            <w:pPr>
              <w:tabs>
                <w:tab w:val="center" w:pos="284"/>
              </w:tabs>
              <w:overflowPunct w:val="0"/>
              <w:autoSpaceDE w:val="0"/>
              <w:autoSpaceDN w:val="0"/>
              <w:adjustRightInd w:val="0"/>
              <w:ind w:left="266" w:hanging="266"/>
              <w:textAlignment w:val="baseline"/>
              <w:rPr>
                <w:b/>
              </w:rPr>
            </w:pPr>
          </w:p>
        </w:tc>
        <w:tc>
          <w:tcPr>
            <w:tcW w:w="7797" w:type="dxa"/>
          </w:tcPr>
          <w:p w:rsidRPr="00351248" w:rsidR="00351248" w:rsidP="00351248" w:rsidRDefault="00351248" w14:paraId="1B42D12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3E381DD2" w14:textId="77777777">
      <w:pPr>
        <w:tabs>
          <w:tab w:val="center" w:pos="284"/>
        </w:tabs>
        <w:overflowPunct w:val="0"/>
        <w:autoSpaceDE w:val="0"/>
        <w:autoSpaceDN w:val="0"/>
        <w:adjustRightInd w:val="0"/>
        <w:ind w:left="266" w:hanging="266"/>
        <w:textAlignment w:val="baseline"/>
      </w:pPr>
    </w:p>
    <w:p w:rsidRPr="00351248" w:rsidR="00351248" w:rsidP="00351248" w:rsidRDefault="00351248" w14:paraId="09DCCA33"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351248" w:rsidR="00351248" w:rsidP="00351248" w:rsidRDefault="00351248" w14:paraId="7645AFE3" w14:textId="77777777">
      <w:pPr>
        <w:keepNext/>
        <w:keepLines/>
        <w:tabs>
          <w:tab w:val="center" w:pos="284"/>
        </w:tabs>
        <w:overflowPunct w:val="0"/>
        <w:autoSpaceDE w:val="0"/>
        <w:autoSpaceDN w:val="0"/>
        <w:adjustRightInd w:val="0"/>
        <w:ind w:left="266" w:hanging="266"/>
        <w:textAlignment w:val="baseline"/>
        <w:rPr>
          <w:b/>
        </w:rPr>
      </w:pPr>
    </w:p>
    <w:p w:rsidRPr="00351248" w:rsidR="00351248" w:rsidP="00351248" w:rsidRDefault="00351248" w14:paraId="6A797B7E" w14:textId="77777777">
      <w:pPr>
        <w:overflowPunct w:val="0"/>
        <w:autoSpaceDE w:val="0"/>
        <w:autoSpaceDN w:val="0"/>
        <w:adjustRightInd w:val="0"/>
        <w:textAlignment w:val="baseline"/>
        <w:rPr>
          <w:bCs/>
          <w:iCs/>
        </w:rPr>
      </w:pPr>
      <w:r>
        <w:t>Le CESE</w:t>
      </w:r>
    </w:p>
    <w:p w:rsidRPr="00351248" w:rsidR="00351248" w:rsidP="00351248" w:rsidRDefault="00351248" w14:paraId="51837D7E" w14:textId="77777777">
      <w:pPr>
        <w:overflowPunct w:val="0"/>
        <w:autoSpaceDE w:val="0"/>
        <w:autoSpaceDN w:val="0"/>
        <w:adjustRightInd w:val="0"/>
        <w:textAlignment w:val="baseline"/>
        <w:rPr>
          <w:bCs/>
          <w:iCs/>
        </w:rPr>
      </w:pPr>
    </w:p>
    <w:p w:rsidRPr="00351248" w:rsidR="00351248" w:rsidP="005A622F" w:rsidRDefault="00351248" w14:paraId="3C723A1E"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soutient la nouvelle réglementation que la Commission propose, dont l’objectif est d’améliorer les droits et l’information des voyageurs. Les différents volets de cette nouvelle réglementation (voyages à forfait, droits des passagers et déplacements multimodaux) doivent être considérés comme complémentaires les uns des autres;</w:t>
      </w:r>
    </w:p>
    <w:p w:rsidRPr="00351248" w:rsidR="00351248" w:rsidP="005A622F" w:rsidRDefault="00351248" w14:paraId="138EEBC4"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se dit préoccupé par la grande méconnaissance, de la part des citoyens, des droits qui sont les leurs et des entraves à leur exercice. Dès lors, il considère que l’information constitue le levier le plus utile et le plus efficace pour que les passagers prennent connaissance de ces droits et puissent les exercer en cas de violation de ceux-ci;</w:t>
      </w:r>
    </w:p>
    <w:p w:rsidRPr="00351248" w:rsidR="00351248" w:rsidP="005A622F" w:rsidRDefault="00351248" w14:paraId="6EB0D0C6"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recommande à la Commission de faire en sorte que les prestataires de services touristiques fournissent des informations complètes et de qualité, qui soient accessibles et mises personnellement à disposition des voyageurs, même s’il peut exister d’autres canaux de transmission, comme le numérique.</w:t>
      </w:r>
    </w:p>
    <w:p w:rsidRPr="005A622F" w:rsidR="00351248" w:rsidP="005A622F" w:rsidRDefault="00351248" w14:paraId="6E9257B8" w14:textId="77777777">
      <w:pPr>
        <w:widowControl w:val="0"/>
        <w:overflowPunct w:val="0"/>
        <w:autoSpaceDE w:val="0"/>
        <w:autoSpaceDN w:val="0"/>
        <w:adjustRightInd w:val="0"/>
        <w:ind w:left="284"/>
        <w:textAlignment w:val="baseline"/>
        <w:rPr>
          <w:bCs/>
          <w:iCs/>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39146889" w14:textId="77777777">
        <w:tc>
          <w:tcPr>
            <w:tcW w:w="1418" w:type="dxa"/>
          </w:tcPr>
          <w:p w:rsidRPr="00351248" w:rsidR="00351248" w:rsidP="00351248" w:rsidRDefault="00351248" w14:paraId="7F3C31DD" w14:textId="77777777">
            <w:pPr>
              <w:overflowPunct w:val="0"/>
              <w:autoSpaceDE w:val="0"/>
              <w:autoSpaceDN w:val="0"/>
              <w:adjustRightInd w:val="0"/>
              <w:spacing w:line="240" w:lineRule="auto"/>
              <w:textAlignment w:val="baseline"/>
              <w:rPr>
                <w:i/>
              </w:rPr>
            </w:pPr>
            <w:r>
              <w:rPr>
                <w:b/>
                <w:i/>
              </w:rPr>
              <w:t>Contact:</w:t>
            </w:r>
          </w:p>
        </w:tc>
        <w:tc>
          <w:tcPr>
            <w:tcW w:w="5670" w:type="dxa"/>
          </w:tcPr>
          <w:p w:rsidRPr="00351248" w:rsidR="00351248" w:rsidP="00351248" w:rsidRDefault="00351248" w14:paraId="4351ED96" w14:textId="6DA7D430">
            <w:pPr>
              <w:overflowPunct w:val="0"/>
              <w:autoSpaceDE w:val="0"/>
              <w:autoSpaceDN w:val="0"/>
              <w:adjustRightInd w:val="0"/>
              <w:spacing w:line="240" w:lineRule="auto"/>
              <w:textAlignment w:val="baseline"/>
              <w:rPr>
                <w:i/>
              </w:rPr>
            </w:pPr>
            <w:r>
              <w:rPr>
                <w:i/>
              </w:rPr>
              <w:t>António Ribeiro Pereira</w:t>
            </w:r>
          </w:p>
        </w:tc>
      </w:tr>
      <w:tr w:rsidRPr="00351248" w:rsidR="00351248" w:rsidTr="0053712F" w14:paraId="2EF8B949" w14:textId="77777777">
        <w:tc>
          <w:tcPr>
            <w:tcW w:w="1418" w:type="dxa"/>
          </w:tcPr>
          <w:p w:rsidRPr="00351248" w:rsidR="00351248" w:rsidP="00351248" w:rsidRDefault="00351248" w14:paraId="5EFB2FD3" w14:textId="77777777">
            <w:pPr>
              <w:overflowPunct w:val="0"/>
              <w:autoSpaceDE w:val="0"/>
              <w:autoSpaceDN w:val="0"/>
              <w:adjustRightInd w:val="0"/>
              <w:spacing w:line="240" w:lineRule="auto"/>
              <w:textAlignment w:val="baseline"/>
              <w:rPr>
                <w:i/>
              </w:rPr>
            </w:pPr>
            <w:r>
              <w:rPr>
                <w:i/>
              </w:rPr>
              <w:t>Tél.:</w:t>
            </w:r>
          </w:p>
        </w:tc>
        <w:tc>
          <w:tcPr>
            <w:tcW w:w="5670" w:type="dxa"/>
          </w:tcPr>
          <w:p w:rsidRPr="00351248" w:rsidR="00351248" w:rsidP="00351248" w:rsidRDefault="00351248" w14:paraId="6566AC9C" w14:textId="77777777">
            <w:pPr>
              <w:overflowPunct w:val="0"/>
              <w:autoSpaceDE w:val="0"/>
              <w:autoSpaceDN w:val="0"/>
              <w:adjustRightInd w:val="0"/>
              <w:spacing w:line="240" w:lineRule="auto"/>
              <w:textAlignment w:val="baseline"/>
              <w:rPr>
                <w:i/>
              </w:rPr>
            </w:pPr>
            <w:r>
              <w:rPr>
                <w:i/>
              </w:rPr>
              <w:t>+32 25469363</w:t>
            </w:r>
          </w:p>
        </w:tc>
      </w:tr>
      <w:tr w:rsidRPr="00351248" w:rsidR="00351248" w:rsidTr="0053712F" w14:paraId="1B9FBBAA" w14:textId="77777777">
        <w:tc>
          <w:tcPr>
            <w:tcW w:w="1418" w:type="dxa"/>
          </w:tcPr>
          <w:p w:rsidRPr="00351248" w:rsidR="00351248" w:rsidP="00351248" w:rsidRDefault="00351248" w14:paraId="16E8EC7B" w14:textId="77777777">
            <w:pPr>
              <w:overflowPunct w:val="0"/>
              <w:autoSpaceDE w:val="0"/>
              <w:autoSpaceDN w:val="0"/>
              <w:adjustRightInd w:val="0"/>
              <w:spacing w:line="240" w:lineRule="auto"/>
              <w:textAlignment w:val="baseline"/>
              <w:rPr>
                <w:i/>
              </w:rPr>
            </w:pPr>
            <w:r>
              <w:rPr>
                <w:i/>
              </w:rPr>
              <w:t>Courriel:</w:t>
            </w:r>
          </w:p>
        </w:tc>
        <w:tc>
          <w:tcPr>
            <w:tcW w:w="5670" w:type="dxa"/>
          </w:tcPr>
          <w:p w:rsidRPr="00351248" w:rsidR="00351248" w:rsidP="00351248" w:rsidRDefault="00C87FB4" w14:paraId="00C4DEB0" w14:textId="4AEF3E28">
            <w:pPr>
              <w:overflowPunct w:val="0"/>
              <w:autoSpaceDE w:val="0"/>
              <w:autoSpaceDN w:val="0"/>
              <w:adjustRightInd w:val="0"/>
              <w:spacing w:line="240" w:lineRule="auto"/>
              <w:textAlignment w:val="baseline"/>
              <w:rPr>
                <w:i/>
              </w:rPr>
            </w:pPr>
            <w:hyperlink w:history="1" r:id="rId41">
              <w:r w:rsidR="007B2394">
                <w:rPr>
                  <w:i/>
                  <w:color w:val="0000FF"/>
                  <w:u w:val="single"/>
                </w:rPr>
                <w:t>Antonio.RibeiroPereira@eesc.europa.eu</w:t>
              </w:r>
            </w:hyperlink>
          </w:p>
        </w:tc>
      </w:tr>
    </w:tbl>
    <w:p w:rsidR="00351248" w:rsidRDefault="00351248" w14:paraId="06521FF1" w14:textId="77777777">
      <w:pPr>
        <w:spacing w:after="160" w:line="259" w:lineRule="auto"/>
        <w:jc w:val="left"/>
      </w:pPr>
    </w:p>
    <w:p w:rsidR="00351248" w:rsidRDefault="00351248" w14:paraId="710AFAC9" w14:textId="77777777">
      <w:pPr>
        <w:spacing w:after="160" w:line="259" w:lineRule="auto"/>
        <w:jc w:val="left"/>
      </w:pPr>
      <w:r>
        <w:br w:type="page"/>
      </w:r>
    </w:p>
    <w:p w:rsidRPr="00351248" w:rsidR="00351248" w:rsidP="004351D4" w:rsidRDefault="00C87FB4" w14:paraId="6A595934" w14:textId="2929A4ED">
      <w:pPr>
        <w:widowControl w:val="0"/>
        <w:numPr>
          <w:ilvl w:val="0"/>
          <w:numId w:val="2"/>
        </w:numPr>
        <w:overflowPunct w:val="0"/>
        <w:autoSpaceDE w:val="0"/>
        <w:autoSpaceDN w:val="0"/>
        <w:adjustRightInd w:val="0"/>
        <w:ind w:hanging="567"/>
        <w:textAlignment w:val="baseline"/>
        <w:rPr>
          <w:sz w:val="20"/>
          <w:szCs w:val="20"/>
        </w:rPr>
      </w:pPr>
      <w:hyperlink w:history="1" r:id="rId42">
        <w:r w:rsidR="007B2394">
          <w:rPr>
            <w:b/>
            <w:i/>
            <w:color w:val="0000FF"/>
            <w:sz w:val="28"/>
            <w:u w:val="single"/>
          </w:rPr>
          <w:t>Train de mesures sur l’énergie éolienne</w:t>
        </w:r>
      </w:hyperlink>
    </w:p>
    <w:p w:rsidRPr="00351248" w:rsidR="00E66AAC" w:rsidP="00351248" w:rsidRDefault="00E66AAC" w14:paraId="6D0CC16A" w14:textId="77777777">
      <w:pPr>
        <w:tabs>
          <w:tab w:val="center" w:pos="284"/>
        </w:tabs>
        <w:overflowPunct w:val="0"/>
        <w:autoSpaceDE w:val="0"/>
        <w:autoSpaceDN w:val="0"/>
        <w:adjustRightInd w:val="0"/>
        <w:ind w:left="266" w:hanging="266"/>
        <w:textAlignment w:val="baseline"/>
        <w:rPr>
          <w:b/>
          <w:sz w:val="16"/>
          <w:szCs w:val="16"/>
        </w:rPr>
      </w:pPr>
    </w:p>
    <w:tbl>
      <w:tblPr>
        <w:tblStyle w:val="TableGrid193"/>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351248" w:rsidR="00351248" w:rsidTr="0053712F" w14:paraId="4A2A9411" w14:textId="77777777">
        <w:tc>
          <w:tcPr>
            <w:tcW w:w="2235" w:type="dxa"/>
          </w:tcPr>
          <w:p w:rsidRPr="00351248" w:rsidR="00351248" w:rsidP="00351248" w:rsidRDefault="00351248" w14:paraId="648816CE" w14:textId="77777777">
            <w:pPr>
              <w:tabs>
                <w:tab w:val="center" w:pos="284"/>
              </w:tabs>
              <w:overflowPunct w:val="0"/>
              <w:autoSpaceDE w:val="0"/>
              <w:autoSpaceDN w:val="0"/>
              <w:adjustRightInd w:val="0"/>
              <w:ind w:left="266" w:hanging="266"/>
              <w:textAlignment w:val="baseline"/>
              <w:rPr>
                <w:b/>
              </w:rPr>
            </w:pPr>
            <w:r>
              <w:rPr>
                <w:b/>
              </w:rPr>
              <w:t xml:space="preserve">Rapporteur </w:t>
            </w:r>
          </w:p>
        </w:tc>
        <w:tc>
          <w:tcPr>
            <w:tcW w:w="6838" w:type="dxa"/>
          </w:tcPr>
          <w:p w:rsidRPr="00351248" w:rsidR="00351248" w:rsidP="00351248" w:rsidRDefault="00351248" w14:paraId="53DFC237" w14:textId="7581959A">
            <w:pPr>
              <w:tabs>
                <w:tab w:val="center" w:pos="284"/>
              </w:tabs>
              <w:overflowPunct w:val="0"/>
              <w:autoSpaceDE w:val="0"/>
              <w:autoSpaceDN w:val="0"/>
              <w:adjustRightInd w:val="0"/>
              <w:ind w:left="266" w:hanging="266"/>
              <w:textAlignment w:val="baseline"/>
            </w:pPr>
            <w:r>
              <w:t>Thomas KATTNIG (groupe des travailleurs — Autriche)</w:t>
            </w:r>
          </w:p>
        </w:tc>
      </w:tr>
      <w:tr w:rsidRPr="00351248" w:rsidR="00351248" w:rsidTr="0053712F" w14:paraId="50D77D7A" w14:textId="77777777">
        <w:tc>
          <w:tcPr>
            <w:tcW w:w="9073" w:type="dxa"/>
            <w:gridSpan w:val="2"/>
          </w:tcPr>
          <w:p w:rsidRPr="00351248" w:rsidR="00351248" w:rsidP="00351248" w:rsidRDefault="00351248" w14:paraId="5E7F3314" w14:textId="77777777">
            <w:pPr>
              <w:tabs>
                <w:tab w:val="center" w:pos="284"/>
              </w:tabs>
              <w:overflowPunct w:val="0"/>
              <w:autoSpaceDE w:val="0"/>
              <w:autoSpaceDN w:val="0"/>
              <w:adjustRightInd w:val="0"/>
              <w:spacing w:line="160" w:lineRule="exact"/>
              <w:ind w:left="266" w:hanging="266"/>
              <w:textAlignment w:val="baseline"/>
            </w:pPr>
          </w:p>
        </w:tc>
      </w:tr>
      <w:tr w:rsidRPr="00351248" w:rsidR="00351248" w:rsidTr="0053712F" w14:paraId="07014A43" w14:textId="77777777">
        <w:tc>
          <w:tcPr>
            <w:tcW w:w="2235" w:type="dxa"/>
            <w:vMerge w:val="restart"/>
          </w:tcPr>
          <w:p w:rsidRPr="00351248" w:rsidR="00351248" w:rsidP="00351248" w:rsidRDefault="00351248" w14:paraId="75F58AC8" w14:textId="025B122A">
            <w:pPr>
              <w:tabs>
                <w:tab w:val="center" w:pos="284"/>
              </w:tabs>
              <w:overflowPunct w:val="0"/>
              <w:autoSpaceDE w:val="0"/>
              <w:autoSpaceDN w:val="0"/>
              <w:adjustRightInd w:val="0"/>
              <w:ind w:left="266" w:hanging="266"/>
              <w:textAlignment w:val="baseline"/>
              <w:rPr>
                <w:b/>
              </w:rPr>
            </w:pPr>
            <w:r>
              <w:rPr>
                <w:b/>
              </w:rPr>
              <w:t>Références</w:t>
            </w:r>
          </w:p>
        </w:tc>
        <w:tc>
          <w:tcPr>
            <w:tcW w:w="6838" w:type="dxa"/>
          </w:tcPr>
          <w:p w:rsidR="00DE4C21" w:rsidP="00351248" w:rsidRDefault="00351248" w14:paraId="490D8943" w14:textId="07553BAC">
            <w:pPr>
              <w:tabs>
                <w:tab w:val="center" w:pos="0"/>
              </w:tabs>
              <w:overflowPunct w:val="0"/>
              <w:autoSpaceDE w:val="0"/>
              <w:autoSpaceDN w:val="0"/>
              <w:adjustRightInd w:val="0"/>
              <w:textAlignment w:val="baseline"/>
            </w:pPr>
            <w:r>
              <w:t>COM(2023) 668 final</w:t>
            </w:r>
          </w:p>
          <w:p w:rsidRPr="00351248" w:rsidR="00351248" w:rsidP="00351248" w:rsidRDefault="00351248" w14:paraId="67DA1636" w14:textId="5C65D0F1">
            <w:pPr>
              <w:tabs>
                <w:tab w:val="center" w:pos="0"/>
              </w:tabs>
              <w:overflowPunct w:val="0"/>
              <w:autoSpaceDE w:val="0"/>
              <w:autoSpaceDN w:val="0"/>
              <w:adjustRightInd w:val="0"/>
              <w:textAlignment w:val="baseline"/>
            </w:pPr>
            <w:r>
              <w:t>COM(2023) 669 final</w:t>
            </w:r>
          </w:p>
          <w:p w:rsidRPr="00351248" w:rsidR="00351248" w:rsidP="00351248" w:rsidRDefault="00351248" w14:paraId="349303B0" w14:textId="77777777">
            <w:pPr>
              <w:tabs>
                <w:tab w:val="center" w:pos="284"/>
              </w:tabs>
              <w:overflowPunct w:val="0"/>
              <w:autoSpaceDE w:val="0"/>
              <w:autoSpaceDN w:val="0"/>
              <w:adjustRightInd w:val="0"/>
              <w:ind w:left="266" w:hanging="266"/>
              <w:textAlignment w:val="baseline"/>
            </w:pPr>
            <w:r>
              <w:t>EESC-2023-05073-00-00-AC</w:t>
            </w:r>
          </w:p>
        </w:tc>
      </w:tr>
      <w:tr w:rsidRPr="00351248" w:rsidR="00351248" w:rsidTr="0053712F" w14:paraId="496505D9" w14:textId="77777777">
        <w:tc>
          <w:tcPr>
            <w:tcW w:w="2235" w:type="dxa"/>
            <w:vMerge/>
          </w:tcPr>
          <w:p w:rsidRPr="00351248" w:rsidR="00351248" w:rsidP="00351248" w:rsidRDefault="00351248" w14:paraId="578A9F37" w14:textId="77777777">
            <w:pPr>
              <w:tabs>
                <w:tab w:val="center" w:pos="284"/>
              </w:tabs>
              <w:overflowPunct w:val="0"/>
              <w:autoSpaceDE w:val="0"/>
              <w:autoSpaceDN w:val="0"/>
              <w:adjustRightInd w:val="0"/>
              <w:ind w:left="266" w:hanging="266"/>
              <w:textAlignment w:val="baseline"/>
              <w:rPr>
                <w:b/>
              </w:rPr>
            </w:pPr>
          </w:p>
        </w:tc>
        <w:tc>
          <w:tcPr>
            <w:tcW w:w="6838" w:type="dxa"/>
          </w:tcPr>
          <w:p w:rsidRPr="00351248" w:rsidR="00351248" w:rsidP="00351248" w:rsidRDefault="00351248" w14:paraId="7C0AE7A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439E2123"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351248" w:rsidR="00E66AAC" w:rsidRDefault="00E66AAC" w14:paraId="45CFA501"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351248" w:rsidRDefault="00351248" w14:paraId="1231B823" w14:textId="77777777">
      <w:pPr>
        <w:overflowPunct w:val="0"/>
        <w:autoSpaceDE w:val="0"/>
        <w:autoSpaceDN w:val="0"/>
        <w:adjustRightInd w:val="0"/>
        <w:textAlignment w:val="baseline"/>
        <w:rPr>
          <w:bCs/>
          <w:iCs/>
        </w:rPr>
      </w:pPr>
      <w:r>
        <w:t>Le CESE</w:t>
      </w:r>
    </w:p>
    <w:p w:rsidRPr="00351248" w:rsidR="00351248" w:rsidP="00351248" w:rsidRDefault="00351248" w14:paraId="1871C2A0"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5A622F" w:rsidRDefault="00351248" w14:paraId="5F443888"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soutient les efforts déployés par la Commission pour renforcer l’industrie éolienne de l’Union européenne et promouvoir le développement de l’énergie éolienne sur son territoire, compte tenu de la pression croissante exercée par des concurrents internationaux tels que la Chine et sachant que la stabilité de l’industrie éolienne de l’Union est cruciale pour favoriser le bien-être environnemental, économique et social. À cette fin, il convient d’étendre, de moderniser et de numériser les infrastructures de réseau, ainsi que de créer les infrastructures de stockage correspondantes. L’énergie éolienne devrait être considérée comme une infrastructure critique et bénéficier de tous les privilèges et obligations de diligence raisonnable qui en découlent;</w:t>
      </w:r>
    </w:p>
    <w:p w:rsidRPr="00351248" w:rsidR="00351248" w:rsidP="005A622F" w:rsidRDefault="00351248" w14:paraId="5739B363"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souligne qu’un nombre colossal de travailleurs sera nécessaire et qu’il ne pourra être satisfait à cet impératif qu’en consentant des investissements massifs dans les programmes de formation et de reconversion professionnelle, tant au niveau national qu’à celui de l’Union. Il importe de veiller, par une coopération étroite avec les partenaires sociaux à tous les niveaux, à ce que les nouveaux emplois offrent aux salariés des conditions de travail qualitatives et des perspectives fiables à long terme;</w:t>
      </w:r>
    </w:p>
    <w:p w:rsidRPr="00351248" w:rsidR="00351248" w:rsidP="005A622F" w:rsidRDefault="00351248" w14:paraId="5BA3D214"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 xml:space="preserve">regrette que le plan d’action n’accorde aucune reconnaissance aux systèmes locaux de production collective d’énergie («communautés énergétiques»), aux coopératives énergétiques et au partage de l’énergie en tant que forme de </w:t>
      </w:r>
      <w:proofErr w:type="spellStart"/>
      <w:r>
        <w:t>prosommation</w:t>
      </w:r>
      <w:proofErr w:type="spellEnd"/>
      <w:r>
        <w:t xml:space="preserve"> élargie, en dépit de leur importance sur les plans social, économique et de l’efficacité énergétique. plaide en faveur d’une participation effective des citoyens en tant que 7</w:t>
      </w:r>
      <w:r>
        <w:rPr>
          <w:vertAlign w:val="superscript"/>
        </w:rPr>
        <w:t>e</w:t>
      </w:r>
      <w:r>
        <w:t> pilier du plan d’action en matière d’énergie éolienne, sans quoi l’acceptation sociale de la transition, et en particulier de l’énergie éolienne, serait menacée;</w:t>
      </w:r>
    </w:p>
    <w:p w:rsidRPr="00351248" w:rsidR="00351248" w:rsidP="005A622F" w:rsidRDefault="00351248" w14:paraId="36BF1F6F"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demande qu’il soit examiné s’il serait possible de fixer des exigences supplémentaires s’agissant de la planification régionale de l’énergie éolienne, par exemple en ce qui concerne des systèmes favorables au réseau, l’adéquation avec le profil de charge ou la répartition régionale des consommateurs de sorte à écrêter les pointes de consommation;</w:t>
      </w:r>
    </w:p>
    <w:p w:rsidRPr="005A622F" w:rsidR="00351248" w:rsidP="005A622F" w:rsidRDefault="00351248" w14:paraId="5D25BAD1" w14:textId="3B9F023A">
      <w:pPr>
        <w:widowControl w:val="0"/>
        <w:numPr>
          <w:ilvl w:val="0"/>
          <w:numId w:val="23"/>
        </w:numPr>
        <w:overflowPunct w:val="0"/>
        <w:autoSpaceDE w:val="0"/>
        <w:autoSpaceDN w:val="0"/>
        <w:adjustRightInd w:val="0"/>
        <w:spacing w:after="200" w:line="276" w:lineRule="auto"/>
        <w:ind w:left="426" w:hanging="426"/>
        <w:contextualSpacing/>
        <w:textAlignment w:val="baseline"/>
        <w:rPr>
          <w:rFonts w:ascii="Calibri" w:hAnsi="Calibri"/>
        </w:rPr>
      </w:pPr>
      <w:r>
        <w:t>recommande d’appliquer aux enchères des critères rigoureux de préqualification afin de garantir que tous les soumissionnaires observent les exigences sur les plans de la sécurité en général et au travail, de la négociation collective et des normes sociales et environnementales, notamment la nécessité de promouvoir une économie circulaire. Le CESE estime en outre qu’il est urgent de procéder à une numérisation complète de toutes les procédures pertinentes, en particulier celles relatives aux appels d’offres et aux autorisations, ainsi que de les accélérer.</w:t>
      </w:r>
    </w:p>
    <w:p w:rsidRPr="00351248" w:rsidR="00DE4C21" w:rsidP="005A622F" w:rsidRDefault="00DE4C21" w14:paraId="5E255218" w14:textId="77777777">
      <w:pPr>
        <w:widowControl w:val="0"/>
        <w:overflowPunct w:val="0"/>
        <w:autoSpaceDE w:val="0"/>
        <w:autoSpaceDN w:val="0"/>
        <w:adjustRightInd w:val="0"/>
        <w:spacing w:after="200" w:line="276" w:lineRule="auto"/>
        <w:ind w:left="360"/>
        <w:contextualSpacing/>
        <w:textAlignment w:val="baseline"/>
        <w:rPr>
          <w:rFonts w:ascii="Calibri" w:hAnsi="Calibri"/>
          <w:lang w:eastAsia="zh-CN"/>
        </w:rPr>
      </w:pPr>
    </w:p>
    <w:tbl>
      <w:tblPr>
        <w:tblStyle w:val="TableGrid193"/>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6D969BA8" w14:textId="77777777">
        <w:tc>
          <w:tcPr>
            <w:tcW w:w="1418" w:type="dxa"/>
          </w:tcPr>
          <w:p w:rsidRPr="00351248" w:rsidR="00351248" w:rsidP="00351248" w:rsidRDefault="00351248" w14:paraId="0B7CC76F" w14:textId="77777777">
            <w:pPr>
              <w:overflowPunct w:val="0"/>
              <w:autoSpaceDE w:val="0"/>
              <w:autoSpaceDN w:val="0"/>
              <w:adjustRightInd w:val="0"/>
              <w:spacing w:line="240" w:lineRule="auto"/>
              <w:textAlignment w:val="baseline"/>
              <w:rPr>
                <w:i/>
              </w:rPr>
            </w:pPr>
            <w:r>
              <w:rPr>
                <w:b/>
                <w:i/>
              </w:rPr>
              <w:t>Contact:</w:t>
            </w:r>
          </w:p>
        </w:tc>
        <w:tc>
          <w:tcPr>
            <w:tcW w:w="5670" w:type="dxa"/>
          </w:tcPr>
          <w:p w:rsidRPr="00351248" w:rsidR="00351248" w:rsidP="00351248" w:rsidRDefault="00351248" w14:paraId="4CFBA931" w14:textId="1F97339A">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351248" w:rsidR="00351248" w:rsidTr="0053712F" w14:paraId="55F62A42" w14:textId="77777777">
        <w:tc>
          <w:tcPr>
            <w:tcW w:w="1418" w:type="dxa"/>
          </w:tcPr>
          <w:p w:rsidRPr="00351248" w:rsidR="00351248" w:rsidP="00351248" w:rsidRDefault="00351248" w14:paraId="45DE7A96" w14:textId="77777777">
            <w:pPr>
              <w:overflowPunct w:val="0"/>
              <w:autoSpaceDE w:val="0"/>
              <w:autoSpaceDN w:val="0"/>
              <w:adjustRightInd w:val="0"/>
              <w:spacing w:line="240" w:lineRule="auto"/>
              <w:textAlignment w:val="baseline"/>
              <w:rPr>
                <w:i/>
              </w:rPr>
            </w:pPr>
            <w:r>
              <w:rPr>
                <w:i/>
              </w:rPr>
              <w:t>Tél.:</w:t>
            </w:r>
          </w:p>
        </w:tc>
        <w:tc>
          <w:tcPr>
            <w:tcW w:w="5670" w:type="dxa"/>
          </w:tcPr>
          <w:p w:rsidRPr="00351248" w:rsidR="00351248" w:rsidP="00351248" w:rsidRDefault="00351248" w14:paraId="03119E65" w14:textId="77777777">
            <w:pPr>
              <w:overflowPunct w:val="0"/>
              <w:autoSpaceDE w:val="0"/>
              <w:autoSpaceDN w:val="0"/>
              <w:adjustRightInd w:val="0"/>
              <w:spacing w:line="240" w:lineRule="auto"/>
              <w:textAlignment w:val="baseline"/>
              <w:rPr>
                <w:i/>
              </w:rPr>
            </w:pPr>
            <w:r>
              <w:rPr>
                <w:i/>
              </w:rPr>
              <w:t>+32 25468535</w:t>
            </w:r>
          </w:p>
        </w:tc>
      </w:tr>
      <w:tr w:rsidRPr="00351248" w:rsidR="00351248" w:rsidTr="0053712F" w14:paraId="6DA29846" w14:textId="77777777">
        <w:tc>
          <w:tcPr>
            <w:tcW w:w="1418" w:type="dxa"/>
          </w:tcPr>
          <w:p w:rsidRPr="00351248" w:rsidR="00351248" w:rsidP="00351248" w:rsidRDefault="00DE4C21" w14:paraId="5FC00E34" w14:textId="6BDED95F">
            <w:pPr>
              <w:overflowPunct w:val="0"/>
              <w:autoSpaceDE w:val="0"/>
              <w:autoSpaceDN w:val="0"/>
              <w:adjustRightInd w:val="0"/>
              <w:spacing w:line="240" w:lineRule="auto"/>
              <w:textAlignment w:val="baseline"/>
              <w:rPr>
                <w:i/>
              </w:rPr>
            </w:pPr>
            <w:r>
              <w:rPr>
                <w:i/>
              </w:rPr>
              <w:t>Courriel:</w:t>
            </w:r>
          </w:p>
        </w:tc>
        <w:tc>
          <w:tcPr>
            <w:tcW w:w="5670" w:type="dxa"/>
          </w:tcPr>
          <w:p w:rsidRPr="00351248" w:rsidR="00351248" w:rsidP="00351248" w:rsidRDefault="00C87FB4" w14:paraId="65EDC4C5" w14:textId="77777777">
            <w:pPr>
              <w:overflowPunct w:val="0"/>
              <w:autoSpaceDE w:val="0"/>
              <w:autoSpaceDN w:val="0"/>
              <w:adjustRightInd w:val="0"/>
              <w:spacing w:line="240" w:lineRule="auto"/>
              <w:textAlignment w:val="baseline"/>
            </w:pPr>
            <w:hyperlink w:history="1" r:id="rId43">
              <w:r w:rsidR="007B2394">
                <w:rPr>
                  <w:i/>
                  <w:color w:val="0000FF"/>
                  <w:u w:val="single"/>
                </w:rPr>
                <w:t>GiorgiaAndrea.Bordignon@eesc.europa.eu</w:t>
              </w:r>
            </w:hyperlink>
            <w:r w:rsidR="007B2394">
              <w:rPr>
                <w:i/>
              </w:rPr>
              <w:t xml:space="preserve"> </w:t>
            </w:r>
          </w:p>
        </w:tc>
      </w:tr>
    </w:tbl>
    <w:p w:rsidR="0091091E" w:rsidRDefault="0091091E" w14:paraId="5EAC0A6C" w14:textId="17A005CB">
      <w:pPr>
        <w:spacing w:after="160" w:line="259" w:lineRule="auto"/>
        <w:jc w:val="left"/>
      </w:pPr>
      <w:r>
        <w:br w:type="page"/>
      </w:r>
    </w:p>
    <w:p w:rsidRPr="00810736" w:rsidR="0010109E" w:rsidP="005B4680" w:rsidRDefault="0010109E" w14:paraId="291D2325" w14:textId="78012967">
      <w:pPr>
        <w:pStyle w:val="Heading1"/>
        <w:ind w:hanging="928"/>
        <w:rPr>
          <w:b/>
          <w:bCs/>
        </w:rPr>
      </w:pPr>
      <w:bookmarkStart w:name="_Toc162435210" w:id="10"/>
      <w:bookmarkStart w:name="_Toc163634984" w:id="11"/>
      <w:bookmarkEnd w:id="10"/>
      <w:r>
        <w:rPr>
          <w:b/>
        </w:rPr>
        <w:lastRenderedPageBreak/>
        <w:t>COMMISSION CONSULTATIVE DES MUTATIONS INDUSTRIELLES</w:t>
      </w:r>
      <w:bookmarkEnd w:id="11"/>
      <w:r>
        <w:rPr>
          <w:b/>
        </w:rPr>
        <w:t xml:space="preserve"> </w:t>
      </w:r>
    </w:p>
    <w:p w:rsidR="004351D4" w:rsidP="00126C43" w:rsidRDefault="004351D4" w14:paraId="7D36EAE9" w14:textId="77777777">
      <w:pPr>
        <w:overflowPunct w:val="0"/>
        <w:autoSpaceDE w:val="0"/>
        <w:autoSpaceDN w:val="0"/>
        <w:adjustRightInd w:val="0"/>
        <w:jc w:val="left"/>
        <w:textAlignment w:val="baseline"/>
        <w:rPr>
          <w:lang w:val="nl-BE"/>
        </w:rPr>
      </w:pPr>
    </w:p>
    <w:p w:rsidRPr="004351D4" w:rsidR="004351D4" w:rsidP="004351D4" w:rsidRDefault="00FF64D0" w14:paraId="0C2790F4" w14:textId="61A50717">
      <w:pPr>
        <w:widowControl w:val="0"/>
        <w:numPr>
          <w:ilvl w:val="0"/>
          <w:numId w:val="13"/>
        </w:numPr>
        <w:tabs>
          <w:tab w:val="center" w:pos="284"/>
        </w:tabs>
        <w:overflowPunct w:val="0"/>
        <w:autoSpaceDE w:val="0"/>
        <w:autoSpaceDN w:val="0"/>
        <w:adjustRightInd w:val="0"/>
        <w:spacing w:after="160" w:line="259" w:lineRule="auto"/>
        <w:ind w:left="266" w:hanging="266"/>
        <w:contextualSpacing/>
        <w:jc w:val="left"/>
        <w:textAlignment w:val="baseline"/>
        <w:rPr>
          <w:rFonts w:eastAsiaTheme="minorHAnsi"/>
          <w:b/>
          <w:i/>
          <w:iCs/>
          <w:sz w:val="28"/>
          <w:szCs w:val="28"/>
        </w:rPr>
      </w:pPr>
      <w:r>
        <w:rPr>
          <w:b/>
          <w:i/>
          <w:sz w:val="28"/>
        </w:rPr>
        <w:tab/>
      </w:r>
      <w:r>
        <w:rPr>
          <w:b/>
          <w:i/>
          <w:sz w:val="28"/>
        </w:rPr>
        <w:tab/>
      </w:r>
      <w:hyperlink w:history="1" r:id="rId44">
        <w:r>
          <w:rPr>
            <w:b/>
            <w:i/>
            <w:color w:val="0000FF"/>
            <w:sz w:val="28"/>
            <w:u w:val="single"/>
          </w:rPr>
          <w:t>Communication sur la disponibilité des médicaments</w:t>
        </w:r>
      </w:hyperlink>
    </w:p>
    <w:p w:rsidRPr="004351D4" w:rsidR="004351D4" w:rsidP="004351D4" w:rsidRDefault="004351D4" w14:paraId="64F09F34" w14:textId="77777777">
      <w:pPr>
        <w:widowControl w:val="0"/>
        <w:tabs>
          <w:tab w:val="center" w:pos="284"/>
        </w:tabs>
        <w:overflowPunct w:val="0"/>
        <w:autoSpaceDE w:val="0"/>
        <w:autoSpaceDN w:val="0"/>
        <w:adjustRightInd w:val="0"/>
        <w:textAlignment w:val="baseline"/>
        <w:rPr>
          <w:rFonts w:eastAsiaTheme="minorHAnsi"/>
          <w:b/>
          <w:lang w:val="en-US"/>
        </w:rPr>
      </w:pPr>
    </w:p>
    <w:tbl>
      <w:tblPr>
        <w:tblStyle w:val="TableGrid194"/>
        <w:tblW w:w="440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155"/>
      </w:tblGrid>
      <w:tr w:rsidRPr="004351D4" w:rsidR="004351D4" w:rsidTr="00B9550C" w14:paraId="276FEE46" w14:textId="77777777">
        <w:tc>
          <w:tcPr>
            <w:tcW w:w="1241" w:type="pct"/>
          </w:tcPr>
          <w:p w:rsidRPr="004351D4" w:rsidR="004351D4" w:rsidP="004351D4" w:rsidRDefault="004351D4" w14:paraId="7E18816D" w14:textId="77777777">
            <w:pPr>
              <w:tabs>
                <w:tab w:val="center" w:pos="284"/>
              </w:tabs>
              <w:spacing w:line="240" w:lineRule="auto"/>
              <w:ind w:left="266" w:hanging="266"/>
              <w:jc w:val="left"/>
              <w:rPr>
                <w:b/>
              </w:rPr>
            </w:pPr>
            <w:r>
              <w:rPr>
                <w:b/>
              </w:rPr>
              <w:t>Rapporteur</w:t>
            </w:r>
          </w:p>
        </w:tc>
        <w:tc>
          <w:tcPr>
            <w:tcW w:w="3759" w:type="pct"/>
          </w:tcPr>
          <w:p w:rsidRPr="004351D4" w:rsidR="004351D4" w:rsidP="005A622F" w:rsidRDefault="004351D4" w14:paraId="0D2A3640" w14:textId="77777777">
            <w:pPr>
              <w:spacing w:line="240" w:lineRule="auto"/>
              <w:ind w:left="30" w:right="-674"/>
              <w:jc w:val="left"/>
            </w:pPr>
            <w:proofErr w:type="spellStart"/>
            <w:r>
              <w:t>Danko</w:t>
            </w:r>
            <w:proofErr w:type="spellEnd"/>
            <w:r>
              <w:t> RELIĆ (groupe des organisations de la société civile — Croatie)</w:t>
            </w:r>
          </w:p>
        </w:tc>
      </w:tr>
      <w:tr w:rsidRPr="004351D4" w:rsidR="004351D4" w:rsidTr="00B9550C" w14:paraId="068B463E" w14:textId="77777777">
        <w:tc>
          <w:tcPr>
            <w:tcW w:w="1241" w:type="pct"/>
          </w:tcPr>
          <w:p w:rsidRPr="004351D4" w:rsidR="004351D4" w:rsidP="004351D4" w:rsidRDefault="004351D4" w14:paraId="0C14AFAD" w14:textId="77777777">
            <w:pPr>
              <w:tabs>
                <w:tab w:val="center" w:pos="284"/>
              </w:tabs>
              <w:spacing w:line="240" w:lineRule="auto"/>
              <w:ind w:left="266" w:hanging="266"/>
              <w:jc w:val="left"/>
              <w:rPr>
                <w:b/>
              </w:rPr>
            </w:pPr>
            <w:r>
              <w:rPr>
                <w:b/>
              </w:rPr>
              <w:t>Corapporteur</w:t>
            </w:r>
          </w:p>
        </w:tc>
        <w:tc>
          <w:tcPr>
            <w:tcW w:w="3759" w:type="pct"/>
          </w:tcPr>
          <w:p w:rsidRPr="004351D4" w:rsidR="004351D4" w:rsidP="004351D4" w:rsidRDefault="004351D4" w14:paraId="10A434D3" w14:textId="77777777">
            <w:pPr>
              <w:tabs>
                <w:tab w:val="center" w:pos="284"/>
              </w:tabs>
              <w:spacing w:line="240" w:lineRule="auto"/>
              <w:ind w:left="266" w:hanging="266"/>
              <w:jc w:val="left"/>
            </w:pPr>
            <w:r>
              <w:t>Thomas STUDENT (catégorie 2 — Allemagne)</w:t>
            </w:r>
          </w:p>
        </w:tc>
      </w:tr>
      <w:tr w:rsidRPr="004351D4" w:rsidR="004351D4" w:rsidTr="00B9550C" w14:paraId="64DA5846" w14:textId="77777777">
        <w:tc>
          <w:tcPr>
            <w:tcW w:w="5000" w:type="pct"/>
            <w:gridSpan w:val="2"/>
          </w:tcPr>
          <w:p w:rsidRPr="004351D4" w:rsidR="004351D4" w:rsidP="004351D4" w:rsidRDefault="004351D4" w14:paraId="281265DB" w14:textId="77777777">
            <w:pPr>
              <w:tabs>
                <w:tab w:val="center" w:pos="284"/>
              </w:tabs>
              <w:spacing w:line="160" w:lineRule="exact"/>
              <w:ind w:left="266" w:hanging="266"/>
              <w:jc w:val="left"/>
            </w:pPr>
          </w:p>
        </w:tc>
      </w:tr>
      <w:tr w:rsidRPr="004351D4" w:rsidR="004351D4" w:rsidTr="00B9550C" w14:paraId="214D7E71" w14:textId="77777777">
        <w:tc>
          <w:tcPr>
            <w:tcW w:w="1241" w:type="pct"/>
            <w:vMerge w:val="restart"/>
          </w:tcPr>
          <w:p w:rsidRPr="004351D4" w:rsidR="004351D4" w:rsidP="004351D4" w:rsidRDefault="004351D4" w14:paraId="27796DD7" w14:textId="258987A3">
            <w:pPr>
              <w:tabs>
                <w:tab w:val="center" w:pos="284"/>
              </w:tabs>
              <w:spacing w:line="240" w:lineRule="auto"/>
              <w:ind w:left="266" w:hanging="266"/>
              <w:jc w:val="left"/>
              <w:rPr>
                <w:b/>
              </w:rPr>
            </w:pPr>
            <w:r>
              <w:rPr>
                <w:b/>
              </w:rPr>
              <w:t>Références</w:t>
            </w:r>
          </w:p>
        </w:tc>
        <w:tc>
          <w:tcPr>
            <w:tcW w:w="3759" w:type="pct"/>
          </w:tcPr>
          <w:p w:rsidRPr="004351D4" w:rsidR="004351D4" w:rsidP="004351D4" w:rsidRDefault="004351D4" w14:paraId="7877A6F8" w14:textId="77777777">
            <w:pPr>
              <w:tabs>
                <w:tab w:val="center" w:pos="284"/>
              </w:tabs>
              <w:spacing w:line="240" w:lineRule="auto"/>
              <w:ind w:left="266" w:hanging="266"/>
              <w:jc w:val="left"/>
            </w:pPr>
            <w:r>
              <w:t>COM(2023) 672 - final</w:t>
            </w:r>
          </w:p>
        </w:tc>
      </w:tr>
      <w:tr w:rsidRPr="004351D4" w:rsidR="004351D4" w:rsidTr="00B9550C" w14:paraId="36080F9A" w14:textId="77777777">
        <w:tc>
          <w:tcPr>
            <w:tcW w:w="1241" w:type="pct"/>
            <w:vMerge/>
          </w:tcPr>
          <w:p w:rsidRPr="004351D4" w:rsidR="004351D4" w:rsidP="004351D4" w:rsidRDefault="004351D4" w14:paraId="34F882C1" w14:textId="77777777">
            <w:pPr>
              <w:tabs>
                <w:tab w:val="center" w:pos="284"/>
              </w:tabs>
              <w:spacing w:line="240" w:lineRule="auto"/>
              <w:ind w:left="266" w:hanging="266"/>
              <w:jc w:val="left"/>
              <w:rPr>
                <w:b/>
              </w:rPr>
            </w:pPr>
          </w:p>
        </w:tc>
        <w:tc>
          <w:tcPr>
            <w:tcW w:w="3759" w:type="pct"/>
          </w:tcPr>
          <w:p w:rsidRPr="004351D4" w:rsidR="004351D4" w:rsidP="004351D4" w:rsidRDefault="004351D4" w14:paraId="3CBCE774" w14:textId="77777777">
            <w:pPr>
              <w:tabs>
                <w:tab w:val="center" w:pos="284"/>
              </w:tabs>
              <w:spacing w:line="240" w:lineRule="auto"/>
              <w:ind w:left="266" w:hanging="266"/>
              <w:jc w:val="left"/>
            </w:pPr>
            <w:r>
              <w:t>EESC-2023-05446-00-00-AC</w:t>
            </w:r>
          </w:p>
        </w:tc>
      </w:tr>
    </w:tbl>
    <w:p w:rsidRPr="004351D4" w:rsidR="004351D4" w:rsidP="004351D4" w:rsidRDefault="004351D4" w14:paraId="6E4B6534" w14:textId="77777777">
      <w:pPr>
        <w:widowControl w:val="0"/>
        <w:tabs>
          <w:tab w:val="center" w:pos="284"/>
        </w:tabs>
        <w:overflowPunct w:val="0"/>
        <w:autoSpaceDE w:val="0"/>
        <w:autoSpaceDN w:val="0"/>
        <w:adjustRightInd w:val="0"/>
        <w:textAlignment w:val="baseline"/>
        <w:rPr>
          <w:rFonts w:eastAsiaTheme="minorHAnsi"/>
          <w:b/>
          <w:lang w:val="en-US"/>
        </w:rPr>
      </w:pPr>
    </w:p>
    <w:p w:rsidR="004351D4" w:rsidP="004351D4" w:rsidRDefault="004351D4" w14:paraId="5D76690F" w14:textId="2ADB55F0">
      <w:pPr>
        <w:keepNext/>
        <w:keepLines/>
        <w:spacing w:after="160" w:line="259" w:lineRule="auto"/>
        <w:ind w:left="142" w:hanging="142"/>
        <w:jc w:val="left"/>
        <w:rPr>
          <w:rFonts w:eastAsiaTheme="minorHAnsi"/>
          <w:b/>
        </w:rPr>
      </w:pPr>
      <w:r>
        <w:rPr>
          <w:b/>
        </w:rPr>
        <w:t>Points clés</w:t>
      </w:r>
    </w:p>
    <w:p w:rsidRPr="004351D4" w:rsidR="007A63CB" w:rsidP="004351D4" w:rsidRDefault="007A63CB" w14:paraId="3B7CB2DA" w14:textId="77777777">
      <w:pPr>
        <w:keepNext/>
        <w:keepLines/>
        <w:spacing w:after="160" w:line="259" w:lineRule="auto"/>
        <w:ind w:left="142" w:hanging="142"/>
        <w:jc w:val="left"/>
        <w:rPr>
          <w:rFonts w:eastAsiaTheme="minorHAnsi"/>
          <w:b/>
          <w:lang w:val="en-US"/>
        </w:rPr>
      </w:pPr>
    </w:p>
    <w:p w:rsidRPr="004351D4" w:rsidR="004351D4" w:rsidP="004351D4" w:rsidRDefault="004351D4" w14:paraId="22A95751" w14:textId="77777777">
      <w:pPr>
        <w:spacing w:after="160" w:line="259" w:lineRule="auto"/>
        <w:jc w:val="left"/>
        <w:rPr>
          <w:rFonts w:eastAsiaTheme="minorHAnsi"/>
        </w:rPr>
      </w:pPr>
      <w:r>
        <w:t>Le CESE</w:t>
      </w:r>
    </w:p>
    <w:p w:rsidRPr="004351D4" w:rsidR="004351D4" w:rsidP="005A622F" w:rsidRDefault="004351D4" w14:paraId="5587835C" w14:textId="77777777">
      <w:pPr>
        <w:numPr>
          <w:ilvl w:val="0"/>
          <w:numId w:val="24"/>
        </w:numPr>
        <w:spacing w:after="160" w:line="276" w:lineRule="auto"/>
        <w:ind w:left="426" w:hanging="426"/>
        <w:contextualSpacing/>
        <w:rPr>
          <w:rFonts w:eastAsiaTheme="minorHAnsi"/>
        </w:rPr>
      </w:pPr>
      <w:r>
        <w:t>affirme que les Européens, où que ce soit dans l’Union, ne devraient en aucune façon pâtir d’un manque d’accès aux médicaments;</w:t>
      </w:r>
    </w:p>
    <w:p w:rsidRPr="004351D4" w:rsidR="004351D4" w:rsidP="005A622F" w:rsidRDefault="004351D4" w14:paraId="4AC73E75" w14:textId="77777777">
      <w:pPr>
        <w:numPr>
          <w:ilvl w:val="0"/>
          <w:numId w:val="24"/>
        </w:numPr>
        <w:spacing w:after="160" w:line="276" w:lineRule="auto"/>
        <w:ind w:left="426" w:hanging="426"/>
        <w:contextualSpacing/>
        <w:rPr>
          <w:rFonts w:eastAsiaTheme="minorHAnsi"/>
        </w:rPr>
      </w:pPr>
      <w:r>
        <w:t>préconise une transition stratégique vers l’autonomie dans la production de principes pharmaceutiques actifs (PPA) et de médicaments finis, dans le but de réduire la dépendance à l’égard de sources extérieures et de renforcer l’indépendance de ce secteur au sein de l’UE. Soutient la première liste de l’Union des médicaments critiques visant à lutter contre les pénuries;</w:t>
      </w:r>
    </w:p>
    <w:p w:rsidRPr="004351D4" w:rsidR="004351D4" w:rsidP="005A622F" w:rsidRDefault="004351D4" w14:paraId="58B3E6C5" w14:textId="77777777">
      <w:pPr>
        <w:numPr>
          <w:ilvl w:val="0"/>
          <w:numId w:val="24"/>
        </w:numPr>
        <w:spacing w:after="160" w:line="276" w:lineRule="auto"/>
        <w:ind w:left="426" w:hanging="426"/>
        <w:contextualSpacing/>
        <w:rPr>
          <w:rFonts w:eastAsiaTheme="minorHAnsi"/>
        </w:rPr>
      </w:pPr>
      <w:r>
        <w:t>recommande la création d’un environnement juridique et économique stable, complété par une main-d’œuvre qualifiée et un financement adéquat, afin de garantir un avantage concurrentiel à l’industrie pharmaceutique européenne sur le marché mondial;</w:t>
      </w:r>
    </w:p>
    <w:p w:rsidRPr="004351D4" w:rsidR="004351D4" w:rsidP="005A622F" w:rsidRDefault="004351D4" w14:paraId="08A8EC5C" w14:textId="77777777">
      <w:pPr>
        <w:numPr>
          <w:ilvl w:val="0"/>
          <w:numId w:val="24"/>
        </w:numPr>
        <w:spacing w:after="160" w:line="276" w:lineRule="auto"/>
        <w:ind w:left="426" w:hanging="426"/>
        <w:contextualSpacing/>
        <w:rPr>
          <w:rFonts w:eastAsiaTheme="minorHAnsi"/>
        </w:rPr>
      </w:pPr>
      <w:r>
        <w:t>propose d’introduire des approches innovantes en matière d’accès aux médicaments. Il plaide également en faveur de lignes directrices et de protocoles exhaustifs à l’échelle de l’UE et, plus généralement, du partage des données entre les principales parties prenantes;</w:t>
      </w:r>
    </w:p>
    <w:p w:rsidRPr="004351D4" w:rsidR="004351D4" w:rsidP="005A622F" w:rsidRDefault="004351D4" w14:paraId="53804243" w14:textId="77777777">
      <w:pPr>
        <w:numPr>
          <w:ilvl w:val="0"/>
          <w:numId w:val="24"/>
        </w:numPr>
        <w:spacing w:after="160" w:line="276" w:lineRule="auto"/>
        <w:ind w:left="426" w:hanging="426"/>
        <w:contextualSpacing/>
        <w:rPr>
          <w:rFonts w:eastAsiaTheme="minorHAnsi"/>
        </w:rPr>
      </w:pPr>
      <w:r>
        <w:t>appelle de ses vœux un dialogue renforcé entre les institutions de l’Union, l’industrie pharmaceutique, les partenaires sociaux et les organisations de la société civile sur les capacités de production et la manière de surmonter les perturbations du marché;</w:t>
      </w:r>
    </w:p>
    <w:p w:rsidRPr="004351D4" w:rsidR="004351D4" w:rsidP="005A622F" w:rsidRDefault="004351D4" w14:paraId="7A7AF10F" w14:textId="77777777">
      <w:pPr>
        <w:numPr>
          <w:ilvl w:val="0"/>
          <w:numId w:val="24"/>
        </w:numPr>
        <w:spacing w:after="160" w:line="276" w:lineRule="auto"/>
        <w:ind w:left="426" w:hanging="426"/>
        <w:contextualSpacing/>
        <w:rPr>
          <w:rFonts w:eastAsiaTheme="minorHAnsi"/>
        </w:rPr>
      </w:pPr>
      <w:r>
        <w:t>encourage les entreprises pharmaceutiques à informer les autorités des pénuries potentielles de manière proactive afin de mieux remédier aux difficultés de la chaîne d’approvisionnement;</w:t>
      </w:r>
    </w:p>
    <w:p w:rsidRPr="004351D4" w:rsidR="004351D4" w:rsidP="005A622F" w:rsidRDefault="004351D4" w14:paraId="597EBBCB" w14:textId="77777777">
      <w:pPr>
        <w:numPr>
          <w:ilvl w:val="0"/>
          <w:numId w:val="24"/>
        </w:numPr>
        <w:spacing w:after="160" w:line="276" w:lineRule="auto"/>
        <w:ind w:left="426" w:hanging="426"/>
        <w:contextualSpacing/>
        <w:rPr>
          <w:rFonts w:asciiTheme="minorHAnsi" w:hAnsiTheme="minorHAnsi" w:eastAsiaTheme="minorHAnsi" w:cstheme="minorBidi"/>
        </w:rPr>
      </w:pPr>
      <w:r>
        <w:t>insiste sur l’importance d’associer les organisations de patients, les associations de professionnels de santé et les organisations représentant les personnes handicapées à l’élaboration des politiques, en particulier à la conception de stratégies pour améliorer la disponibilité des médicaments et le traitement des déchets pharmaceutiques et remédier aux prescriptions abusives;</w:t>
      </w:r>
    </w:p>
    <w:p w:rsidRPr="004351D4" w:rsidR="004351D4" w:rsidP="005A622F" w:rsidRDefault="004351D4" w14:paraId="6DF73196" w14:textId="77777777">
      <w:pPr>
        <w:numPr>
          <w:ilvl w:val="0"/>
          <w:numId w:val="24"/>
        </w:numPr>
        <w:spacing w:after="160" w:line="276" w:lineRule="auto"/>
        <w:ind w:left="426" w:hanging="426"/>
        <w:contextualSpacing/>
        <w:rPr>
          <w:rFonts w:asciiTheme="minorHAnsi" w:hAnsiTheme="minorHAnsi" w:eastAsiaTheme="minorHAnsi" w:cstheme="minorBidi"/>
        </w:rPr>
      </w:pPr>
      <w:r>
        <w:t>préconise de renforcer les partenariats internationaux et de diversifier les chaînes d’approvisionnement pharmaceutique en réponse à l’évolution du paysage mondial des soins de santé.</w:t>
      </w:r>
    </w:p>
    <w:p w:rsidRPr="004351D4" w:rsidR="00CC2678" w:rsidP="004351D4" w:rsidRDefault="00CC2678" w14:paraId="578F8638" w14:textId="77777777">
      <w:pPr>
        <w:spacing w:after="160" w:line="259" w:lineRule="auto"/>
        <w:ind w:left="720"/>
        <w:contextualSpacing/>
        <w:jc w:val="left"/>
        <w:rPr>
          <w:rFonts w:eastAsiaTheme="minorHAnsi"/>
        </w:rPr>
      </w:pPr>
    </w:p>
    <w:tbl>
      <w:tblPr>
        <w:tblStyle w:val="TableGrid19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5"/>
        <w:gridCol w:w="3306"/>
      </w:tblGrid>
      <w:tr w:rsidRPr="004351D4" w:rsidR="004351D4" w:rsidTr="0053712F" w14:paraId="1E79C42F" w14:textId="77777777">
        <w:tc>
          <w:tcPr>
            <w:tcW w:w="3998" w:type="pct"/>
          </w:tcPr>
          <w:p w:rsidRPr="004351D4" w:rsidR="004351D4" w:rsidP="004351D4" w:rsidRDefault="004351D4" w14:paraId="1DA9092C" w14:textId="77777777">
            <w:pPr>
              <w:spacing w:line="240" w:lineRule="auto"/>
              <w:jc w:val="left"/>
              <w:rPr>
                <w:i/>
              </w:rPr>
            </w:pPr>
            <w:r>
              <w:rPr>
                <w:b/>
                <w:i/>
              </w:rPr>
              <w:t>Contact:</w:t>
            </w:r>
          </w:p>
        </w:tc>
        <w:tc>
          <w:tcPr>
            <w:tcW w:w="1002" w:type="pct"/>
            <w:tcBorders>
              <w:left w:val="nil"/>
            </w:tcBorders>
          </w:tcPr>
          <w:p w:rsidRPr="004351D4" w:rsidR="004351D4" w:rsidP="004351D4" w:rsidRDefault="004351D4" w14:paraId="78D1AA28" w14:textId="6C71E200">
            <w:pPr>
              <w:spacing w:line="240" w:lineRule="auto"/>
              <w:jc w:val="left"/>
              <w:rPr>
                <w:i/>
              </w:rPr>
            </w:pPr>
            <w:proofErr w:type="spellStart"/>
            <w:r>
              <w:rPr>
                <w:i/>
              </w:rPr>
              <w:t>Laia</w:t>
            </w:r>
            <w:proofErr w:type="spellEnd"/>
            <w:r>
              <w:rPr>
                <w:i/>
              </w:rPr>
              <w:t xml:space="preserve"> Tomas </w:t>
            </w:r>
            <w:proofErr w:type="spellStart"/>
            <w:r>
              <w:rPr>
                <w:i/>
              </w:rPr>
              <w:t>Vinardell</w:t>
            </w:r>
            <w:proofErr w:type="spellEnd"/>
          </w:p>
        </w:tc>
      </w:tr>
      <w:tr w:rsidRPr="004351D4" w:rsidR="004351D4" w:rsidTr="0053712F" w14:paraId="3E11B27E" w14:textId="77777777">
        <w:tc>
          <w:tcPr>
            <w:tcW w:w="3998" w:type="pct"/>
          </w:tcPr>
          <w:p w:rsidRPr="004351D4" w:rsidR="004351D4" w:rsidP="004351D4" w:rsidRDefault="004351D4" w14:paraId="4067F818" w14:textId="77777777">
            <w:pPr>
              <w:spacing w:line="240" w:lineRule="auto"/>
              <w:jc w:val="left"/>
              <w:rPr>
                <w:i/>
              </w:rPr>
            </w:pPr>
            <w:r>
              <w:rPr>
                <w:i/>
              </w:rPr>
              <w:t xml:space="preserve">Tél.: </w:t>
            </w:r>
          </w:p>
        </w:tc>
        <w:tc>
          <w:tcPr>
            <w:tcW w:w="1002" w:type="pct"/>
            <w:tcBorders>
              <w:left w:val="nil"/>
            </w:tcBorders>
          </w:tcPr>
          <w:p w:rsidRPr="004351D4" w:rsidR="004351D4" w:rsidP="004351D4" w:rsidRDefault="004351D4" w14:paraId="6FA59352" w14:textId="77777777">
            <w:pPr>
              <w:spacing w:line="240" w:lineRule="auto"/>
              <w:jc w:val="left"/>
              <w:rPr>
                <w:i/>
              </w:rPr>
            </w:pPr>
            <w:r>
              <w:rPr>
                <w:i/>
              </w:rPr>
              <w:t>+32 25469149</w:t>
            </w:r>
          </w:p>
        </w:tc>
      </w:tr>
      <w:tr w:rsidRPr="004351D4" w:rsidR="004351D4" w:rsidTr="0053712F" w14:paraId="5862CE82" w14:textId="77777777">
        <w:tc>
          <w:tcPr>
            <w:tcW w:w="3998" w:type="pct"/>
          </w:tcPr>
          <w:p w:rsidRPr="004351D4" w:rsidR="004351D4" w:rsidP="004351D4" w:rsidRDefault="007A63CB" w14:paraId="47F94F6F" w14:textId="79639217">
            <w:pPr>
              <w:spacing w:line="240" w:lineRule="auto"/>
              <w:jc w:val="left"/>
              <w:rPr>
                <w:i/>
                <w:iCs/>
              </w:rPr>
            </w:pPr>
            <w:r>
              <w:rPr>
                <w:i/>
              </w:rPr>
              <w:t>Courriel:</w:t>
            </w:r>
          </w:p>
        </w:tc>
        <w:tc>
          <w:tcPr>
            <w:tcW w:w="1002" w:type="pct"/>
            <w:tcBorders>
              <w:left w:val="nil"/>
            </w:tcBorders>
          </w:tcPr>
          <w:p w:rsidRPr="004351D4" w:rsidR="004351D4" w:rsidP="004351D4" w:rsidRDefault="00C87FB4" w14:paraId="42692FFD" w14:textId="77777777">
            <w:pPr>
              <w:spacing w:line="240" w:lineRule="auto"/>
              <w:jc w:val="left"/>
              <w:rPr>
                <w:i/>
                <w:iCs/>
              </w:rPr>
            </w:pPr>
            <w:hyperlink w:history="1" r:id="rId45">
              <w:r w:rsidR="007B2394">
                <w:rPr>
                  <w:i/>
                  <w:color w:val="0000FF"/>
                  <w:u w:val="single"/>
                </w:rPr>
                <w:t>Laia.TomasVinardell@eesc.europa.eu</w:t>
              </w:r>
            </w:hyperlink>
          </w:p>
        </w:tc>
      </w:tr>
    </w:tbl>
    <w:p w:rsidR="004351D4" w:rsidP="006C7863" w:rsidRDefault="004351D4" w14:paraId="0AE04AB9"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A85A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E22B" w14:textId="77777777" w:rsidR="00A85A01" w:rsidRPr="00A85A01" w:rsidRDefault="00A85A01" w:rsidP="00A85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440ABC8" w:rsidR="00765C4F" w:rsidRPr="00A85A01" w:rsidRDefault="00A85A01" w:rsidP="00A85A01">
    <w:pPr>
      <w:pStyle w:val="Footer"/>
    </w:pPr>
    <w:r>
      <w:t xml:space="preserve">EESC-2024-00740-00-01-TCD-TRA (EN) </w:t>
    </w:r>
    <w:r>
      <w:fldChar w:fldCharType="begin"/>
    </w:r>
    <w:r>
      <w:instrText xml:space="preserve"> PAGE  \* Arabic  \* MERGEFORMAT </w:instrText>
    </w:r>
    <w:r>
      <w:fldChar w:fldCharType="separate"/>
    </w:r>
    <w:r w:rsidR="008A08BC">
      <w:t>1</w:t>
    </w:r>
    <w:r>
      <w:fldChar w:fldCharType="end"/>
    </w:r>
    <w:r>
      <w:t>/</w:t>
    </w:r>
    <w:fldSimple w:instr=" NUMPAGES ">
      <w:r w:rsidR="008A08BC">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2EED" w14:textId="77777777" w:rsidR="00A85A01" w:rsidRPr="00A85A01" w:rsidRDefault="00A85A01" w:rsidP="00A85A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A85A01" w:rsidRDefault="00E4258F" w:rsidP="00A85A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09A4E49" w:rsidR="00E4258F" w:rsidRPr="00A85A01" w:rsidRDefault="00A85A01" w:rsidP="00A85A01">
    <w:pPr>
      <w:pStyle w:val="Footer"/>
    </w:pPr>
    <w:r>
      <w:t xml:space="preserve">EESC-2024-00740-00-01-TCD-TRA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A85A01" w:rsidRDefault="00E4258F" w:rsidP="00A8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 w:id="1">
    <w:p w14:paraId="2912081B" w14:textId="77777777" w:rsidR="009401A5" w:rsidRPr="00606F0C" w:rsidRDefault="009401A5" w:rsidP="009401A5">
      <w:pPr>
        <w:pStyle w:val="FootnoteText"/>
      </w:pPr>
      <w:r>
        <w:rPr>
          <w:rStyle w:val="FootnoteReference"/>
        </w:rPr>
        <w:footnoteRef/>
      </w:r>
      <w:r>
        <w:tab/>
        <w:t xml:space="preserve">JO C, C/2023/867, du 8.12.2023, ELI: </w:t>
      </w:r>
      <w:hyperlink r:id="rId1" w:history="1">
        <w:r>
          <w:rPr>
            <w:rStyle w:val="Hyperlink"/>
          </w:rPr>
          <w:t>http://data.europa.eu/eli/C/2023/867/oj</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1803" w14:textId="77777777" w:rsidR="00A85A01" w:rsidRPr="00A85A01" w:rsidRDefault="00A85A01" w:rsidP="00A85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F013" w14:textId="23757D12" w:rsidR="00A85A01" w:rsidRPr="00A85A01" w:rsidRDefault="00A85A01" w:rsidP="00A85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BF73" w14:textId="77777777" w:rsidR="00A85A01" w:rsidRPr="00A85A01" w:rsidRDefault="00A85A01" w:rsidP="00A85A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A85A01" w:rsidRDefault="00E4258F" w:rsidP="00A85A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140ED310" w:rsidR="00E4258F" w:rsidRPr="00A85A01" w:rsidRDefault="00E4258F" w:rsidP="00A85A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A85A01" w:rsidRDefault="00E4258F" w:rsidP="00A85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6"/>
  </w:num>
  <w:num w:numId="4">
    <w:abstractNumId w:val="11"/>
  </w:num>
  <w:num w:numId="5">
    <w:abstractNumId w:val="10"/>
  </w:num>
  <w:num w:numId="6">
    <w:abstractNumId w:val="6"/>
  </w:num>
  <w:num w:numId="7">
    <w:abstractNumId w:val="23"/>
  </w:num>
  <w:num w:numId="8">
    <w:abstractNumId w:val="21"/>
  </w:num>
  <w:num w:numId="9">
    <w:abstractNumId w:val="3"/>
  </w:num>
  <w:num w:numId="10">
    <w:abstractNumId w:val="15"/>
  </w:num>
  <w:num w:numId="11">
    <w:abstractNumId w:val="22"/>
  </w:num>
  <w:num w:numId="12">
    <w:abstractNumId w:val="9"/>
  </w:num>
  <w:num w:numId="13">
    <w:abstractNumId w:val="18"/>
  </w:num>
  <w:num w:numId="14">
    <w:abstractNumId w:val="4"/>
  </w:num>
  <w:num w:numId="15">
    <w:abstractNumId w:val="17"/>
  </w:num>
  <w:num w:numId="16">
    <w:abstractNumId w:val="14"/>
  </w:num>
  <w:num w:numId="17">
    <w:abstractNumId w:val="8"/>
  </w:num>
  <w:num w:numId="18">
    <w:abstractNumId w:val="5"/>
  </w:num>
  <w:num w:numId="19">
    <w:abstractNumId w:val="12"/>
  </w:num>
  <w:num w:numId="20">
    <w:abstractNumId w:val="2"/>
  </w:num>
  <w:num w:numId="21">
    <w:abstractNumId w:val="20"/>
  </w:num>
  <w:num w:numId="22">
    <w:abstractNumId w:val="19"/>
  </w:num>
  <w:num w:numId="23">
    <w:abstractNumId w:val="1"/>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43"/>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38B3"/>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0E87"/>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5F58"/>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2394"/>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8BC"/>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011"/>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50C"/>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0EB5"/>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DDE"/>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r-F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fr/our-work/opinions-information-reports/opinions/cfp-modifications-apportees-aux-montants-destines-certains-programmes-et-fonds" TargetMode="External"/><Relationship Id="rId39" Type="http://schemas.openxmlformats.org/officeDocument/2006/relationships/hyperlink" Target="mailto:Arturo.Iniguez@eesc.europa.eu" TargetMode="External"/><Relationship Id="rId21" Type="http://schemas.openxmlformats.org/officeDocument/2006/relationships/hyperlink" Target="mailto:Sophie.Zimmer@eesc.europa.eu" TargetMode="External"/><Relationship Id="rId34" Type="http://schemas.openxmlformats.org/officeDocument/2006/relationships/hyperlink" Target="https://www.eesc.europa.eu/fr/our-work/opinions-information-reports/opinions/produits-chimiques-une-substance-une-evaluation" TargetMode="External"/><Relationship Id="rId42" Type="http://schemas.openxmlformats.org/officeDocument/2006/relationships/hyperlink" Target="https://www.eesc.europa.eu/fr/our-work/opinions-information-reports/opinions/train-de-mesures-sur-lenergie-eolienne"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Alice.Tetu@eesc.europa.eu" TargetMode="External"/><Relationship Id="rId11" Type="http://schemas.openxmlformats.org/officeDocument/2006/relationships/endnotes" Target="endnotes.xml"/><Relationship Id="rId24" Type="http://schemas.openxmlformats.org/officeDocument/2006/relationships/hyperlink" Target="mailto:Colombe.Gregoire@eesc.europa.eu" TargetMode="External"/><Relationship Id="rId32" Type="http://schemas.openxmlformats.org/officeDocument/2006/relationships/hyperlink" Target="https://www.eesc.europa.eu/fr/our-work/opinions-information-reports/opinions/equivalence-seeds-moldova-and-ukraine" TargetMode="External"/><Relationship Id="rId37" Type="http://schemas.openxmlformats.org/officeDocument/2006/relationships/hyperlink" Target="mailto:Arturo.Iniguez@eesc.europa.eu" TargetMode="External"/><Relationship Id="rId40" Type="http://schemas.openxmlformats.org/officeDocument/2006/relationships/hyperlink" Target="https://www.eesc.europa.eu/fr/our-work/opinions-information-reports/opinions/reexamen-du-cadre-relatif-aux-droits-des-passagers" TargetMode="External"/><Relationship Id="rId45" Type="http://schemas.openxmlformats.org/officeDocument/2006/relationships/hyperlink" Target="mailto:Laia.TomasVinardell@eesc.europa.eu" TargetMode="External"/><Relationship Id="rId53" Type="http://schemas.openxmlformats.org/officeDocument/2006/relationships/theme" Target="theme/theme1.xml"/><Relationship Id="rId15" Type="http://schemas.openxmlformats.org/officeDocument/2006/relationships/header" Target="header1.xml"/><Relationship Id="rId23" Type="http://schemas.openxmlformats.org/officeDocument/2006/relationships/hyperlink" Target="https://www.eesc.europa.eu/fr/our-work/opinions-information-reports/opinions/stimuler-une-croissance-inclusive-long-terme-au-moyen-de-reformes-et-dinvestissements" TargetMode="External"/><Relationship Id="rId28" Type="http://schemas.openxmlformats.org/officeDocument/2006/relationships/hyperlink" Target="https://www.eesc.europa.eu/en/our-work/opinions-information-reports/opinions/une-initiative-eurohpc-lintention-des-jeunes-entreprises-afin-de-renforcer-le-role-moteur-de-leurope-en-matiere" TargetMode="External"/><Relationship Id="rId36" Type="http://schemas.openxmlformats.org/officeDocument/2006/relationships/hyperlink" Target="https://www.eesc.europa.eu/fr/our-work/opinions-information-reports/opinions/forets-de-lue-nouveau-cadre-de-lunion-europeenne-pour-la-surveillance-des-forets-et-plans-strategiques" TargetMode="External"/><Relationship Id="rId49" Type="http://schemas.openxmlformats.org/officeDocument/2006/relationships/footer" Target="footer5.xml"/><Relationship Id="rId57"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Silvia.Staffa@eesc.europa.eu" TargetMode="External"/><Relationship Id="rId44" Type="http://schemas.openxmlformats.org/officeDocument/2006/relationships/hyperlink" Target="https://www.eesc.europa.eu/fr/our-work/opinions-information-reports/opinions/communication-sur-la-disponibilite-des-medicaments" TargetMode="External"/><Relationship Id="rId5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mma.Amran@eesc.europa.eu"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en/our-work/opinions-information-reports/opinions/eudamed-and-vitro-diagnostic-medical-devices" TargetMode="External"/><Relationship Id="rId35" Type="http://schemas.openxmlformats.org/officeDocument/2006/relationships/hyperlink" Target="mailto:Gaia.Bottoni@eesc.europa.eu" TargetMode="External"/><Relationship Id="rId43" Type="http://schemas.openxmlformats.org/officeDocument/2006/relationships/hyperlink" Target="mailto:GiorgiaAndrea.Bordignon@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footer" Target="footer6.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Krisztina.PerlakyToth@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fr/our-work/opinions-information-reports/opinions/reglement-sur-le-bien-etre-des-chiens-et-des-chats-et-leur-tracabilite" TargetMode="External"/><Relationship Id="rId46" Type="http://schemas.openxmlformats.org/officeDocument/2006/relationships/header" Target="header4.xml"/><Relationship Id="rId20" Type="http://schemas.openxmlformats.org/officeDocument/2006/relationships/footer" Target="footer3.xml"/><Relationship Id="rId41" Type="http://schemas.openxmlformats.org/officeDocument/2006/relationships/hyperlink" Target="mailto:Antonio.RibeiroPereira@eesc.europa.eu" TargetMode="External"/><Relationship Id="rId54"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C/2023/86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F7M6YNZUATRX-416430479-7254</_dlc_DocId>
    <_dlc_DocIdUrl xmlns="59ace41b-6786-4ce3-be71-52c27066c6ef">
      <Url>http://dm/eesc/2024/_layouts/15/DocIdRedir.aspx?ID=F7M6YNZUATRX-416430479-7254</Url>
      <Description>F7M6YNZUATRX-416430479-7254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2024-04-10T12:00:00+00:00</ProductionDate>
    <DocumentNumber xmlns="1178e5e2-058a-41a1-9851-331c7b3fffb8">740</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4011</FicheNumber>
    <OriginalSender xmlns="59ace41b-6786-4ce3-be71-52c27066c6ef">
      <UserInfo>
        <DisplayName>Lacroix Grégory</DisplayName>
        <AccountId>1665</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9EF8E2-D96C-4BDE-8AB0-50308FD8F02D}"/>
</file>

<file path=customXml/itemProps2.xml><?xml version="1.0" encoding="utf-8"?>
<ds:datastoreItem xmlns:ds="http://schemas.openxmlformats.org/officeDocument/2006/customXml" ds:itemID="{34312AC9-149C-416B-A36D-4FB627586DA7}"/>
</file>

<file path=customXml/itemProps3.xml><?xml version="1.0" encoding="utf-8"?>
<ds:datastoreItem xmlns:ds="http://schemas.openxmlformats.org/officeDocument/2006/customXml" ds:itemID="{D962F7C9-9C16-44CF-91AB-CE91A1D92999}"/>
</file>

<file path=customXml/itemProps4.xml><?xml version="1.0" encoding="utf-8"?>
<ds:datastoreItem xmlns:ds="http://schemas.openxmlformats.org/officeDocument/2006/customXml" ds:itemID="{C6EE532D-985C-4167-9C82-3080434707BC}"/>
</file>

<file path=docProps/app.xml><?xml version="1.0" encoding="utf-8"?>
<Properties xmlns="http://schemas.openxmlformats.org/officeDocument/2006/extended-properties" xmlns:vt="http://schemas.openxmlformats.org/officeDocument/2006/docPropsVTypes">
  <Template>Normal</Template>
  <TotalTime>33</TotalTime>
  <Pages>15</Pages>
  <Words>4237</Words>
  <Characters>23309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- 586e session plénière - mars 2024</dc:title>
  <dc:subject>TCD</dc:subject>
  <dc:creator>Nieddu Emma</dc:creator>
  <cp:keywords>EESC-2024-00740-00-01-TCD-TRA-EN</cp:keywords>
  <dc:description>Rapporteur:  - Original language: EN - Date of document: 10-04-2024 - Date of meeting: 30-24-2024 14:30 - External documents:  - Administrator: MME TAMASAUSKIENE Julija</dc:description>
  <cp:lastModifiedBy>Lacroix Grégory</cp:lastModifiedBy>
  <cp:revision>13</cp:revision>
  <cp:lastPrinted>2023-06-15T08:00:00Z</cp:lastPrinted>
  <dcterms:created xsi:type="dcterms:W3CDTF">2024-04-09T15:12:00Z</dcterms:created>
  <dcterms:modified xsi:type="dcterms:W3CDTF">2024-04-10T08:02:00Z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09/04/2024, 27/03/2024, 03/01/2024, 13/11/2023, 25/09/2023, 25/07/2023, 30/06/2023, 23/06/2023, 26/05/2023, 07/03/2023, 11/01/2023, 10/01/2023, 29/03/2022, 04/03/2022, 15/12/2021, 13/09/2021, 03/09/2021, 28/06/2021</vt:lpwstr>
  </property>
  <property fmtid="{D5CDD505-2E9C-101B-9397-08002B2CF9AE}" pid="4" name="Pref_Time">
    <vt:lpwstr>17:11:40, 12:24:19, 15:02:18, 17:01:12, 16:07:19, 11:58:41, 14:00:08, 12:39:02, 15:12:50, 10:27:54, 10:12:15, 11:41:25, 14:21:50, 16:54:06, 17:56:36, 14:13:00, 10:08:10, 08:41:48</vt:lpwstr>
  </property>
  <property fmtid="{D5CDD505-2E9C-101B-9397-08002B2CF9AE}" pid="5" name="Pref_User">
    <vt:lpwstr>jhvi, pacup, enied, amett, amett, jhvi, pacup, jhvi, pacup, enied, pacup, enied, jhvi, enied, hnic, amett, enied, enied</vt:lpwstr>
  </property>
  <property fmtid="{D5CDD505-2E9C-101B-9397-08002B2CF9AE}" pid="6" name="Pref_FileName">
    <vt:lpwstr>EESC-2024-00740-00-01-TCD-ORI.docx, EESC-2024-00740-00-00-TCD-TRA.docx,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0x010100EA97B91038054C99906057A708A1480A00E20A70424F8EF14D84929FAE9E34774B</vt:lpwstr>
  </property>
  <property fmtid="{D5CDD505-2E9C-101B-9397-08002B2CF9AE}" pid="8" name="_dlc_DocIdItemGuid">
    <vt:lpwstr>67b83cd3-72c5-483c-b86c-ddd17d114a9a</vt:lpwstr>
  </property>
  <property fmtid="{D5CDD505-2E9C-101B-9397-08002B2CF9AE}" pid="9" name="AvailableTranslations">
    <vt:lpwstr>26;#SK|46d9fce0-ef79-4f71-b89b-cd6aa82426b8;#33;#ET|ff6c3f4c-b02c-4c3c-ab07-2c37995a7a0a;#17;#PL|1e03da61-4678-4e07-b136-b5024ca9197b;#16;#DA|5d49c027-8956-412b-aa16-e85a0f96ad0e;#30;#HR|2f555653-ed1a-4fe6-8362-9082d95989e5;#36;#PT|50ccc04a-eadd-42ae-a0cb-acaf45f812ba;#34;#LT|a7ff5ce7-6123-4f68-865a-a57c31810414;#22;#BG|1a1b3951-7821-4e6a-85f5-5673fc08bd2c;#37;#RO|feb747a2-64cd-4299-af12-4833ddc30497;#24;#ES|e7a6b05b-ae16-40c8-add9-68b64b03aeba;#31;#NL|55c6556c-b4f4-441d-9acf-c498d4f838bd;#28;#LV|46f7e311-5d9f-4663-b433-18aeccb7ace7;#27;#SL|98a412ae-eb01-49e9-ae3d-585a81724cfc;#29;#EL|6d4f4d51-af9b-4650-94b4-4276bee85c91;#32;#HU|6b229040-c589-4408-b4c1-4285663d20a8;#35;#FI|87606a43-d45f-42d6-b8c9-e1a3457db5b7;#43;#CS|72f9705b-0217-4fd3-bea2-cbc7ed80e26e;#21;#SV|c2ed69e7-a339-43d7-8f22-d93680a92aa0;#14;#FR|d2afafd3-4c81-4f60-8f52-ee33f2f54ff3;#5;#EN|f2175f21-25d7-44a3-96da-d6a61b075e1b;#25;#DE|f6b31e5a-26fa-4935-b661-318e46daf27e;#12;#IT|0774613c-01ed-4e5d-a25d-11d2388de825</vt:lpwstr>
  </property>
  <property fmtid="{D5CDD505-2E9C-101B-9397-08002B2CF9AE}" pid="10" name="DocumentType_0">
    <vt:lpwstr>TCD|cd9d6eb6-3f4f-424a-b2d1-57c9d450eaaf</vt:lpwstr>
  </property>
  <property fmtid="{D5CDD505-2E9C-101B-9397-08002B2CF9AE}" pid="11" name="MeetingNumber">
    <vt:i4>587</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740</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2024-04-24T12:00:00Z</vt:filetime>
  </property>
  <property fmtid="{D5CDD505-2E9C-101B-9397-08002B2CF9AE}" pid="29" name="AvailableTranslations_0">
    <vt:lpwstr>HR|2f555653-ed1a-4fe6-8362-9082d95989e5;PT|50ccc04a-eadd-42ae-a0cb-acaf45f812ba;ES|e7a6b05b-ae16-40c8-add9-68b64b03aeba;NL|55c6556c-b4f4-441d-9acf-c498d4f838bd;LV|46f7e311-5d9f-4663-b433-18aeccb7ace7;HU|6b229040-c589-4408-b4c1-4285663d20a8;FI|87606a43-d45f-42d6-b8c9-e1a3457db5b7;SV|c2ed69e7-a339-43d7-8f22-d93680a92aa0;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32;#HU|6b229040-c589-4408-b4c1-4285663d20a8;#31;#NL|55c6556c-b4f4-441d-9acf-c498d4f838bd;#30;#HR|2f555653-ed1a-4fe6-8362-9082d95989e5;#28;#LV|46f7e311-5d9f-4663-b433-18aeccb7ace7;#24;#ES|e7a6b05b-ae16-40c8-add9-68b64b03aeba;#21;#SV|c2ed69e7-a339-43d7-8f22-d93680a92aa0;#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4011</vt:i4>
  </property>
  <property fmtid="{D5CDD505-2E9C-101B-9397-08002B2CF9AE}" pid="37" name="DocumentLanguage">
    <vt:lpwstr>14;#FR|d2afafd3-4c81-4f60-8f52-ee33f2f54ff3</vt:lpwstr>
  </property>
</Properties>
</file>