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5D1A62" w14:paraId="785AE44C" w14:textId="090A2554">
      <w:pPr>
        <w:jc w:val="center"/>
      </w:pPr>
      <w:r>
        <w:rPr>
          <w:noProof/>
        </w:rPr>
        <w:drawing>
          <wp:inline distT="0" distB="0" distL="0" distR="0" wp14:anchorId="2459DFC0" wp14:editId="12DED125">
            <wp:extent cx="1792605" cy="1239520"/>
            <wp:effectExtent l="0" t="0" r="0" b="0"/>
            <wp:docPr id="2" name="Picture 2" title="EESCLogo_DE"/>
            <wp:cNvGraphicFramePr/>
            <a:graphic xmlns:a="http://schemas.openxmlformats.org/drawingml/2006/main">
              <a:graphicData uri="http://schemas.openxmlformats.org/drawingml/2006/picture">
                <pic:pic xmlns:pic="http://schemas.openxmlformats.org/drawingml/2006/picture">
                  <pic:nvPicPr>
                    <pic:cNvPr id="2" name="Picture 2" title="EESCLogo_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6546B36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20F6419">
      <w:pPr>
        <w:jc w:val="right"/>
      </w:pPr>
      <w:r>
        <w:t>Brüssel, den 22. April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37FE175">
            <w:pPr>
              <w:snapToGrid w:val="0"/>
              <w:jc w:val="center"/>
              <w:rPr>
                <w:b/>
                <w:sz w:val="32"/>
              </w:rPr>
            </w:pPr>
            <w:r>
              <w:rPr>
                <w:b/>
                <w:sz w:val="32"/>
              </w:rPr>
              <w:t>586. PLENARTAGUNG</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1FBCCB42">
            <w:pPr>
              <w:snapToGrid w:val="0"/>
              <w:jc w:val="center"/>
              <w:rPr>
                <w:b/>
                <w:sz w:val="32"/>
              </w:rPr>
            </w:pPr>
            <w:r>
              <w:rPr>
                <w:b/>
                <w:sz w:val="32"/>
              </w:rPr>
              <w:t>20./21. März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ZUSAMMENFASSUNG DER VERABSCHIEDETEN STELLUNGNAHMEN, ENTSCHLIEẞUNGEN UND INFORMATIONS-/BEWERTUNGSBERICHTE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Dieses Dokument kann in den Amtssprachen auf den Internetseiten des EWSA unter folgender Adresse abgerufen werden:</w:t>
            </w:r>
          </w:p>
          <w:p w:rsidRPr="00094B6B" w:rsidR="00B16284" w:rsidP="00775FC4" w:rsidRDefault="00B16284" w14:paraId="4F26A4CE" w14:textId="77777777">
            <w:pPr>
              <w:snapToGrid w:val="0"/>
              <w:jc w:val="center"/>
            </w:pPr>
          </w:p>
          <w:p w:rsidRPr="00094B6B" w:rsidR="004D7AC0" w:rsidP="00775FC4" w:rsidRDefault="00455BAD" w14:paraId="2A9352A2" w14:textId="0680ADB6">
            <w:pPr>
              <w:snapToGrid w:val="0"/>
              <w:jc w:val="center"/>
            </w:pPr>
            <w:hyperlink w:history="1" r:id="rId13">
              <w:r w:rsidR="005D1A62">
                <w:rPr>
                  <w:rStyle w:val="Hyperlink"/>
                  <w:highlight w:val="yellow"/>
                </w:rPr>
                <w:t>https://www.eesc.europa.eu/de/our-work/opinions-information-reports/plenary-session-summaries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Die aufgeführten Stellungnahmen können online über die Suchmaschine des EWSA abgerufen werden:</w:t>
            </w:r>
          </w:p>
          <w:p w:rsidRPr="00094B6B" w:rsidR="00B16284" w:rsidP="00775FC4" w:rsidRDefault="00B16284" w14:paraId="7A5411A5" w14:textId="77777777">
            <w:pPr>
              <w:snapToGrid w:val="0"/>
              <w:jc w:val="center"/>
            </w:pPr>
          </w:p>
          <w:p w:rsidRPr="00094B6B" w:rsidR="004D7AC0" w:rsidP="00775FC4" w:rsidRDefault="00455BAD" w14:paraId="441AC4DD" w14:textId="1194D751">
            <w:pPr>
              <w:snapToGrid w:val="0"/>
              <w:jc w:val="center"/>
            </w:pPr>
            <w:hyperlink w:history="1" r:id="rId14">
              <w:r w:rsidR="005D1A62">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A85A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Inhalt</w:t>
      </w:r>
    </w:p>
    <w:p w:rsidR="00776454" w:rsidP="00776454" w:rsidRDefault="0014322B" w14:paraId="72FA4A9E" w14:textId="434EFA45">
      <w:pPr>
        <w:pStyle w:val="TOC1"/>
        <w:rPr>
          <w:rFonts w:asciiTheme="minorHAnsi" w:hAnsiTheme="minorHAnsi" w:eastAsiaTheme="minorEastAsia" w:cstheme="minorBidi"/>
          <w:sz w:val="22"/>
          <w:szCs w:val="22"/>
          <w:lang w:val="en-US"/>
        </w:rPr>
      </w:pPr>
      <w:r>
        <w:fldChar w:fldCharType="begin"/>
      </w:r>
      <w:r>
        <w:instrText xml:space="preserve"> TOC \o "1-1" \h \z \u </w:instrText>
      </w:r>
      <w:r>
        <w:fldChar w:fldCharType="separate"/>
      </w:r>
      <w:hyperlink w:history="1" w:anchor="_Toc163637039">
        <w:r w:rsidRPr="00707F0F" w:rsidR="00776454">
          <w:rPr>
            <w:rStyle w:val="Hyperlink"/>
            <w14:scene3d>
              <w14:camera w14:prst="orthographicFront"/>
              <w14:lightRig w14:rig="threePt" w14:dir="t">
                <w14:rot w14:lat="0" w14:lon="0" w14:rev="0"/>
              </w14:lightRig>
            </w14:scene3d>
          </w:rPr>
          <w:t>1.</w:t>
        </w:r>
        <w:r w:rsidR="00776454">
          <w:rPr>
            <w:rFonts w:asciiTheme="minorHAnsi" w:hAnsiTheme="minorHAnsi" w:eastAsiaTheme="minorEastAsia" w:cstheme="minorBidi"/>
            <w:sz w:val="22"/>
            <w:szCs w:val="22"/>
            <w:lang w:val="en-US"/>
          </w:rPr>
          <w:tab/>
        </w:r>
        <w:r w:rsidRPr="00707F0F" w:rsidR="00776454">
          <w:rPr>
            <w:rStyle w:val="Hyperlink"/>
            <w:b/>
          </w:rPr>
          <w:t>ENTSCHLIEẞUNG</w:t>
        </w:r>
        <w:r w:rsidR="00776454">
          <w:rPr>
            <w:webHidden/>
          </w:rPr>
          <w:tab/>
        </w:r>
        <w:r w:rsidR="00776454">
          <w:rPr>
            <w:webHidden/>
          </w:rPr>
          <w:fldChar w:fldCharType="begin"/>
        </w:r>
        <w:r w:rsidR="00776454">
          <w:rPr>
            <w:webHidden/>
          </w:rPr>
          <w:instrText xml:space="preserve"> PAGEREF _Toc163637039 \h </w:instrText>
        </w:r>
        <w:r w:rsidR="00776454">
          <w:rPr>
            <w:webHidden/>
          </w:rPr>
        </w:r>
        <w:r w:rsidR="00776454">
          <w:rPr>
            <w:webHidden/>
          </w:rPr>
          <w:fldChar w:fldCharType="separate"/>
        </w:r>
        <w:r w:rsidR="00776454">
          <w:rPr>
            <w:webHidden/>
          </w:rPr>
          <w:t>3</w:t>
        </w:r>
        <w:r w:rsidR="00776454">
          <w:rPr>
            <w:webHidden/>
          </w:rPr>
          <w:fldChar w:fldCharType="end"/>
        </w:r>
      </w:hyperlink>
    </w:p>
    <w:p w:rsidR="00776454" w:rsidP="00776454" w:rsidRDefault="00776454" w14:paraId="070D832B" w14:textId="0DD383FD">
      <w:pPr>
        <w:pStyle w:val="TOC1"/>
        <w:rPr>
          <w:rFonts w:asciiTheme="minorHAnsi" w:hAnsiTheme="minorHAnsi" w:eastAsiaTheme="minorEastAsia" w:cstheme="minorBidi"/>
          <w:sz w:val="22"/>
          <w:szCs w:val="22"/>
          <w:lang w:val="en-US"/>
        </w:rPr>
      </w:pPr>
      <w:hyperlink w:history="1" w:anchor="_Toc163637040">
        <w:r w:rsidRPr="00707F0F">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sz w:val="22"/>
            <w:szCs w:val="22"/>
            <w:lang w:val="en-US"/>
          </w:rPr>
          <w:tab/>
        </w:r>
        <w:r w:rsidRPr="00707F0F">
          <w:rPr>
            <w:rStyle w:val="Hyperlink"/>
            <w:b/>
          </w:rPr>
          <w:t>WIRTSCHAFTS- UND WÄHRUNGSUNION, WIRTSCHAFTLICHER UND SOZIALER ZUSAMMENHALT</w:t>
        </w:r>
        <w:r>
          <w:rPr>
            <w:webHidden/>
          </w:rPr>
          <w:tab/>
        </w:r>
        <w:r>
          <w:rPr>
            <w:webHidden/>
          </w:rPr>
          <w:fldChar w:fldCharType="begin"/>
        </w:r>
        <w:r>
          <w:rPr>
            <w:webHidden/>
          </w:rPr>
          <w:instrText xml:space="preserve"> PAGEREF _Toc163637040 \h </w:instrText>
        </w:r>
        <w:r>
          <w:rPr>
            <w:webHidden/>
          </w:rPr>
        </w:r>
        <w:r>
          <w:rPr>
            <w:webHidden/>
          </w:rPr>
          <w:fldChar w:fldCharType="separate"/>
        </w:r>
        <w:r>
          <w:rPr>
            <w:webHidden/>
          </w:rPr>
          <w:t>5</w:t>
        </w:r>
        <w:r>
          <w:rPr>
            <w:webHidden/>
          </w:rPr>
          <w:fldChar w:fldCharType="end"/>
        </w:r>
      </w:hyperlink>
    </w:p>
    <w:p w:rsidR="00776454" w:rsidP="00776454" w:rsidRDefault="00776454" w14:paraId="2C6DAE29" w14:textId="0B41ED80">
      <w:pPr>
        <w:pStyle w:val="TOC1"/>
        <w:rPr>
          <w:rFonts w:asciiTheme="minorHAnsi" w:hAnsiTheme="minorHAnsi" w:eastAsiaTheme="minorEastAsia" w:cstheme="minorBidi"/>
          <w:sz w:val="22"/>
          <w:szCs w:val="22"/>
          <w:lang w:val="en-US"/>
        </w:rPr>
      </w:pPr>
      <w:hyperlink w:history="1" w:anchor="_Toc163637041">
        <w:r w:rsidRPr="00707F0F">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sz w:val="22"/>
            <w:szCs w:val="22"/>
            <w:lang w:val="en-US"/>
          </w:rPr>
          <w:tab/>
        </w:r>
        <w:r w:rsidRPr="00707F0F">
          <w:rPr>
            <w:rStyle w:val="Hyperlink"/>
            <w:b/>
          </w:rPr>
          <w:t>BINNENMARKT, PRODUKTION, VERBRAUCH</w:t>
        </w:r>
        <w:r>
          <w:rPr>
            <w:webHidden/>
          </w:rPr>
          <w:tab/>
        </w:r>
        <w:r>
          <w:rPr>
            <w:webHidden/>
          </w:rPr>
          <w:fldChar w:fldCharType="begin"/>
        </w:r>
        <w:r>
          <w:rPr>
            <w:webHidden/>
          </w:rPr>
          <w:instrText xml:space="preserve"> PAGEREF _Toc163637041 \h </w:instrText>
        </w:r>
        <w:r>
          <w:rPr>
            <w:webHidden/>
          </w:rPr>
        </w:r>
        <w:r>
          <w:rPr>
            <w:webHidden/>
          </w:rPr>
          <w:fldChar w:fldCharType="separate"/>
        </w:r>
        <w:r>
          <w:rPr>
            <w:webHidden/>
          </w:rPr>
          <w:t>8</w:t>
        </w:r>
        <w:r>
          <w:rPr>
            <w:webHidden/>
          </w:rPr>
          <w:fldChar w:fldCharType="end"/>
        </w:r>
      </w:hyperlink>
    </w:p>
    <w:p w:rsidR="00776454" w:rsidP="00776454" w:rsidRDefault="00776454" w14:paraId="06BF34D0" w14:textId="147C9F92">
      <w:pPr>
        <w:pStyle w:val="TOC1"/>
        <w:rPr>
          <w:rFonts w:asciiTheme="minorHAnsi" w:hAnsiTheme="minorHAnsi" w:eastAsiaTheme="minorEastAsia" w:cstheme="minorBidi"/>
          <w:sz w:val="22"/>
          <w:szCs w:val="22"/>
          <w:lang w:val="en-US"/>
        </w:rPr>
      </w:pPr>
      <w:hyperlink w:history="1" w:anchor="_Toc163637042">
        <w:r w:rsidRPr="00707F0F">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sz w:val="22"/>
            <w:szCs w:val="22"/>
            <w:lang w:val="en-US"/>
          </w:rPr>
          <w:tab/>
        </w:r>
        <w:r w:rsidRPr="00707F0F">
          <w:rPr>
            <w:rStyle w:val="Hyperlink"/>
            <w:b/>
          </w:rPr>
          <w:t>LANDWIRTSCHAFT, LÄNDLICHE ENTWICKLUNG, UMWELT</w:t>
        </w:r>
        <w:r>
          <w:rPr>
            <w:webHidden/>
          </w:rPr>
          <w:tab/>
        </w:r>
        <w:r>
          <w:rPr>
            <w:webHidden/>
          </w:rPr>
          <w:fldChar w:fldCharType="begin"/>
        </w:r>
        <w:r>
          <w:rPr>
            <w:webHidden/>
          </w:rPr>
          <w:instrText xml:space="preserve"> PAGEREF _Toc163637042 \h </w:instrText>
        </w:r>
        <w:r>
          <w:rPr>
            <w:webHidden/>
          </w:rPr>
        </w:r>
        <w:r>
          <w:rPr>
            <w:webHidden/>
          </w:rPr>
          <w:fldChar w:fldCharType="separate"/>
        </w:r>
        <w:r>
          <w:rPr>
            <w:webHidden/>
          </w:rPr>
          <w:t>10</w:t>
        </w:r>
        <w:r>
          <w:rPr>
            <w:webHidden/>
          </w:rPr>
          <w:fldChar w:fldCharType="end"/>
        </w:r>
      </w:hyperlink>
    </w:p>
    <w:p w:rsidR="00776454" w:rsidP="00776454" w:rsidRDefault="00776454" w14:paraId="7059C1D6" w14:textId="0297F27A">
      <w:pPr>
        <w:pStyle w:val="TOC1"/>
        <w:rPr>
          <w:rFonts w:asciiTheme="minorHAnsi" w:hAnsiTheme="minorHAnsi" w:eastAsiaTheme="minorEastAsia" w:cstheme="minorBidi"/>
          <w:sz w:val="22"/>
          <w:szCs w:val="22"/>
          <w:lang w:val="en-US"/>
        </w:rPr>
      </w:pPr>
      <w:hyperlink w:history="1" w:anchor="_Toc163637043">
        <w:r w:rsidRPr="00707F0F">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sz w:val="22"/>
            <w:szCs w:val="22"/>
            <w:lang w:val="en-US"/>
          </w:rPr>
          <w:tab/>
        </w:r>
        <w:r w:rsidRPr="00707F0F">
          <w:rPr>
            <w:rStyle w:val="Hyperlink"/>
            <w:b/>
          </w:rPr>
          <w:t>VERKEHR, ENERGIE, INFRASTRUKTUREN, INFORMATIONSGESELLSCHAFT</w:t>
        </w:r>
        <w:r>
          <w:rPr>
            <w:webHidden/>
          </w:rPr>
          <w:tab/>
        </w:r>
        <w:r>
          <w:rPr>
            <w:webHidden/>
          </w:rPr>
          <w:fldChar w:fldCharType="begin"/>
        </w:r>
        <w:r>
          <w:rPr>
            <w:webHidden/>
          </w:rPr>
          <w:instrText xml:space="preserve"> PAGEREF _Toc163637043 \h </w:instrText>
        </w:r>
        <w:r>
          <w:rPr>
            <w:webHidden/>
          </w:rPr>
        </w:r>
        <w:r>
          <w:rPr>
            <w:webHidden/>
          </w:rPr>
          <w:fldChar w:fldCharType="separate"/>
        </w:r>
        <w:r>
          <w:rPr>
            <w:webHidden/>
          </w:rPr>
          <w:t>16</w:t>
        </w:r>
        <w:r>
          <w:rPr>
            <w:webHidden/>
          </w:rPr>
          <w:fldChar w:fldCharType="end"/>
        </w:r>
      </w:hyperlink>
    </w:p>
    <w:p w:rsidR="00776454" w:rsidP="00776454" w:rsidRDefault="00776454" w14:paraId="3E6E2A60" w14:textId="3D89161C">
      <w:pPr>
        <w:pStyle w:val="TOC1"/>
        <w:rPr>
          <w:rFonts w:asciiTheme="minorHAnsi" w:hAnsiTheme="minorHAnsi" w:eastAsiaTheme="minorEastAsia" w:cstheme="minorBidi"/>
          <w:sz w:val="22"/>
          <w:szCs w:val="22"/>
          <w:lang w:val="en-US"/>
        </w:rPr>
      </w:pPr>
      <w:hyperlink w:history="1" w:anchor="_Toc163637044">
        <w:r w:rsidRPr="00707F0F">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sz w:val="22"/>
            <w:szCs w:val="22"/>
            <w:lang w:val="en-US"/>
          </w:rPr>
          <w:tab/>
        </w:r>
        <w:r w:rsidRPr="00707F0F">
          <w:rPr>
            <w:rStyle w:val="Hyperlink"/>
            <w:b/>
          </w:rPr>
          <w:t>BERATENDE KOMMISSION FÜR DEN INDUSTRIELLEN WANDEL</w:t>
        </w:r>
        <w:r>
          <w:rPr>
            <w:webHidden/>
          </w:rPr>
          <w:tab/>
        </w:r>
        <w:r>
          <w:rPr>
            <w:webHidden/>
          </w:rPr>
          <w:fldChar w:fldCharType="begin"/>
        </w:r>
        <w:r>
          <w:rPr>
            <w:webHidden/>
          </w:rPr>
          <w:instrText xml:space="preserve"> PAGEREF _Toc163637044 \h </w:instrText>
        </w:r>
        <w:r>
          <w:rPr>
            <w:webHidden/>
          </w:rPr>
        </w:r>
        <w:r>
          <w:rPr>
            <w:webHidden/>
          </w:rPr>
          <w:fldChar w:fldCharType="separate"/>
        </w:r>
        <w:r>
          <w:rPr>
            <w:webHidden/>
          </w:rPr>
          <w:t>18</w:t>
        </w:r>
        <w:r>
          <w:rPr>
            <w:webHidden/>
          </w:rPr>
          <w:fldChar w:fldCharType="end"/>
        </w:r>
      </w:hyperlink>
    </w:p>
    <w:p w:rsidR="00C86ABD" w:rsidRDefault="0014322B" w14:paraId="4EDE006A" w14:textId="235C73A0">
      <w:pPr>
        <w:jc w:val="left"/>
      </w:pPr>
      <w:r>
        <w:fldChar w:fldCharType="end"/>
      </w:r>
      <w:r>
        <w:br w:type="page"/>
      </w:r>
    </w:p>
    <w:p w:rsidR="00C86ABD" w:rsidP="00810736" w:rsidRDefault="00C86ABD" w14:paraId="6C806385" w14:textId="0970C9A4">
      <w:pPr>
        <w:pStyle w:val="Heading1"/>
        <w:ind w:left="709" w:hanging="720"/>
        <w:rPr>
          <w:b/>
          <w:bCs/>
        </w:rPr>
      </w:pPr>
      <w:bookmarkStart w:name="_Toc163637039" w:id="0"/>
      <w:r>
        <w:rPr>
          <w:b/>
        </w:rPr>
        <w:lastRenderedPageBreak/>
        <w:t>ENTSCHLIEẞUNG</w:t>
      </w:r>
      <w:bookmarkEnd w:id="0"/>
      <w:r>
        <w:rPr>
          <w:b/>
        </w:rPr>
        <w:t xml:space="preserve"> </w:t>
      </w:r>
    </w:p>
    <w:p w:rsidRPr="004516BD" w:rsidR="004516BD" w:rsidP="004516BD" w:rsidRDefault="004516BD" w14:paraId="46F44DDA" w14:textId="77777777"/>
    <w:p w:rsidRPr="008469D4" w:rsidR="008469D4" w:rsidP="008469D4" w:rsidRDefault="008469D4" w14:paraId="1862AFC9" w14:textId="77777777"/>
    <w:p w:rsidRPr="00810E21" w:rsidR="00810E21" w:rsidP="004351D4" w:rsidRDefault="00810E21" w14:paraId="2DFED345" w14:textId="77777777">
      <w:pPr>
        <w:widowControl w:val="0"/>
        <w:numPr>
          <w:ilvl w:val="0"/>
          <w:numId w:val="2"/>
        </w:numPr>
        <w:overflowPunct w:val="0"/>
        <w:autoSpaceDE w:val="0"/>
        <w:autoSpaceDN w:val="0"/>
        <w:adjustRightInd w:val="0"/>
        <w:ind w:hanging="567"/>
        <w:textAlignment w:val="baseline"/>
        <w:rPr>
          <w:sz w:val="24"/>
          <w:szCs w:val="24"/>
        </w:rPr>
      </w:pPr>
      <w:r>
        <w:rPr>
          <w:b/>
          <w:i/>
          <w:sz w:val="28"/>
        </w:rPr>
        <w:t xml:space="preserve">Entschließung des EWSA: Wählen gehen für eine geeinte, demokratische, wettbewerbsfähige, nachhaltige und soziale Europäische Union </w:t>
      </w:r>
    </w:p>
    <w:p w:rsidRPr="00810E21" w:rsidR="00810E21" w:rsidP="00810E21" w:rsidRDefault="00810E21" w14:paraId="23FBD2E3"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6946"/>
      </w:tblGrid>
      <w:tr w:rsidRPr="00810E21" w:rsidR="00810E21" w:rsidTr="0053712F" w14:paraId="54FDB40E" w14:textId="77777777">
        <w:tc>
          <w:tcPr>
            <w:tcW w:w="1701" w:type="dxa"/>
          </w:tcPr>
          <w:p w:rsidRPr="00810E21" w:rsidR="00810E21" w:rsidP="00810E21" w:rsidRDefault="00810E21" w14:paraId="0ED6199F" w14:textId="13DC5802">
            <w:pPr>
              <w:tabs>
                <w:tab w:val="center" w:pos="284"/>
              </w:tabs>
              <w:overflowPunct w:val="0"/>
              <w:autoSpaceDE w:val="0"/>
              <w:autoSpaceDN w:val="0"/>
              <w:adjustRightInd w:val="0"/>
              <w:ind w:left="266" w:hanging="266"/>
              <w:textAlignment w:val="baseline"/>
              <w:rPr>
                <w:b/>
              </w:rPr>
            </w:pPr>
            <w:r>
              <w:rPr>
                <w:b/>
              </w:rPr>
              <w:t>Berichterstatter</w:t>
            </w:r>
          </w:p>
        </w:tc>
        <w:tc>
          <w:tcPr>
            <w:tcW w:w="6946" w:type="dxa"/>
          </w:tcPr>
          <w:p w:rsidRPr="00810E21" w:rsidR="00810E21" w:rsidP="00810E21" w:rsidRDefault="00810E21" w14:paraId="46A1A35B" w14:textId="77777777">
            <w:pPr>
              <w:tabs>
                <w:tab w:val="center" w:pos="284"/>
              </w:tabs>
              <w:overflowPunct w:val="0"/>
              <w:autoSpaceDE w:val="0"/>
              <w:autoSpaceDN w:val="0"/>
              <w:adjustRightInd w:val="0"/>
              <w:ind w:left="266" w:hanging="266"/>
              <w:textAlignment w:val="baseline"/>
            </w:pPr>
            <w:r>
              <w:t>Christa SCHWENG (Gruppe Arbeitgeber – AT)</w:t>
            </w:r>
          </w:p>
          <w:p w:rsidRPr="00810E21" w:rsidR="00810E21" w:rsidP="00810E21" w:rsidRDefault="00810E21" w14:paraId="4204B58C" w14:textId="77777777">
            <w:pPr>
              <w:tabs>
                <w:tab w:val="center" w:pos="284"/>
              </w:tabs>
              <w:overflowPunct w:val="0"/>
              <w:autoSpaceDE w:val="0"/>
              <w:autoSpaceDN w:val="0"/>
              <w:adjustRightInd w:val="0"/>
              <w:ind w:left="266" w:hanging="266"/>
              <w:textAlignment w:val="baseline"/>
            </w:pPr>
            <w:r>
              <w:t>Cinzia DEL RIO (Gruppe Arbeitnehmer – IT)</w:t>
            </w:r>
          </w:p>
          <w:p w:rsidRPr="00810E21" w:rsidR="00810E21" w:rsidP="00810E21" w:rsidRDefault="00810E21" w14:paraId="49B58D62" w14:textId="77777777">
            <w:pPr>
              <w:tabs>
                <w:tab w:val="center" w:pos="284"/>
              </w:tabs>
              <w:overflowPunct w:val="0"/>
              <w:autoSpaceDE w:val="0"/>
              <w:autoSpaceDN w:val="0"/>
              <w:adjustRightInd w:val="0"/>
              <w:ind w:left="266" w:hanging="266"/>
              <w:textAlignment w:val="baseline"/>
            </w:pPr>
            <w:r>
              <w:t>Ioannis VARDAKASTANIS (Gruppe Organisationen der Zivilgesellschaft – EL)</w:t>
            </w:r>
          </w:p>
        </w:tc>
      </w:tr>
      <w:tr w:rsidRPr="00810E21" w:rsidR="00810E21" w:rsidTr="0053712F" w14:paraId="7C1F3996" w14:textId="77777777">
        <w:tc>
          <w:tcPr>
            <w:tcW w:w="8647" w:type="dxa"/>
            <w:gridSpan w:val="2"/>
          </w:tcPr>
          <w:p w:rsidRPr="00810E21" w:rsidR="00810E21" w:rsidP="00810E21" w:rsidRDefault="00810E21" w14:paraId="23F1538E" w14:textId="77777777">
            <w:pPr>
              <w:tabs>
                <w:tab w:val="center" w:pos="284"/>
              </w:tabs>
              <w:overflowPunct w:val="0"/>
              <w:autoSpaceDE w:val="0"/>
              <w:autoSpaceDN w:val="0"/>
              <w:adjustRightInd w:val="0"/>
              <w:spacing w:line="160" w:lineRule="exact"/>
              <w:ind w:left="266" w:hanging="266"/>
              <w:textAlignment w:val="baseline"/>
            </w:pPr>
          </w:p>
        </w:tc>
      </w:tr>
      <w:tr w:rsidRPr="00810E21" w:rsidR="00810E21" w:rsidTr="0053712F" w14:paraId="742FC594" w14:textId="77777777">
        <w:tc>
          <w:tcPr>
            <w:tcW w:w="1701" w:type="dxa"/>
            <w:vMerge w:val="restart"/>
          </w:tcPr>
          <w:p w:rsidRPr="00810E21" w:rsidR="00810E21" w:rsidP="00810E21" w:rsidRDefault="00810E21" w14:paraId="54F128E0" w14:textId="0728F715">
            <w:pPr>
              <w:tabs>
                <w:tab w:val="center" w:pos="284"/>
              </w:tabs>
              <w:overflowPunct w:val="0"/>
              <w:autoSpaceDE w:val="0"/>
              <w:autoSpaceDN w:val="0"/>
              <w:adjustRightInd w:val="0"/>
              <w:ind w:left="266" w:hanging="266"/>
              <w:textAlignment w:val="baseline"/>
              <w:rPr>
                <w:b/>
              </w:rPr>
            </w:pPr>
            <w:r>
              <w:rPr>
                <w:b/>
              </w:rPr>
              <w:t xml:space="preserve">Referenzdokument </w:t>
            </w:r>
          </w:p>
        </w:tc>
        <w:tc>
          <w:tcPr>
            <w:tcW w:w="6946" w:type="dxa"/>
          </w:tcPr>
          <w:p w:rsidRPr="00810E21" w:rsidR="00810E21" w:rsidP="00810E21" w:rsidRDefault="00810E21" w14:paraId="42B9FD1B" w14:textId="77777777">
            <w:pPr>
              <w:tabs>
                <w:tab w:val="center" w:pos="284"/>
              </w:tabs>
              <w:overflowPunct w:val="0"/>
              <w:autoSpaceDE w:val="0"/>
              <w:autoSpaceDN w:val="0"/>
              <w:adjustRightInd w:val="0"/>
              <w:ind w:left="266" w:hanging="266"/>
              <w:textAlignment w:val="baseline"/>
            </w:pPr>
            <w:r>
              <w:t>EESC-2024-00483-00-00-RES</w:t>
            </w:r>
          </w:p>
        </w:tc>
      </w:tr>
      <w:tr w:rsidRPr="00810E21" w:rsidR="00810E21" w:rsidTr="0053712F" w14:paraId="0050EC2F" w14:textId="77777777">
        <w:tc>
          <w:tcPr>
            <w:tcW w:w="1701" w:type="dxa"/>
            <w:vMerge/>
          </w:tcPr>
          <w:p w:rsidRPr="00810E21" w:rsidR="00810E21" w:rsidP="00810E21" w:rsidRDefault="00810E21" w14:paraId="67BBB79F" w14:textId="77777777">
            <w:pPr>
              <w:tabs>
                <w:tab w:val="center" w:pos="284"/>
              </w:tabs>
              <w:overflowPunct w:val="0"/>
              <w:autoSpaceDE w:val="0"/>
              <w:autoSpaceDN w:val="0"/>
              <w:adjustRightInd w:val="0"/>
              <w:ind w:left="266" w:hanging="266"/>
              <w:textAlignment w:val="baseline"/>
              <w:rPr>
                <w:b/>
              </w:rPr>
            </w:pPr>
          </w:p>
        </w:tc>
        <w:tc>
          <w:tcPr>
            <w:tcW w:w="6946" w:type="dxa"/>
          </w:tcPr>
          <w:p w:rsidRPr="00810E21" w:rsidR="00810E21" w:rsidP="00810E21" w:rsidRDefault="00810E21" w14:paraId="27804E84" w14:textId="77777777">
            <w:pPr>
              <w:tabs>
                <w:tab w:val="center" w:pos="284"/>
              </w:tabs>
              <w:overflowPunct w:val="0"/>
              <w:autoSpaceDE w:val="0"/>
              <w:autoSpaceDN w:val="0"/>
              <w:adjustRightInd w:val="0"/>
              <w:ind w:left="266" w:hanging="266"/>
              <w:textAlignment w:val="baseline"/>
            </w:pPr>
          </w:p>
        </w:tc>
      </w:tr>
    </w:tbl>
    <w:p w:rsidRPr="00810E21" w:rsidR="00810E21" w:rsidP="00810E21" w:rsidRDefault="00810E21" w14:paraId="3B816C77" w14:textId="4946F1D6">
      <w:pPr>
        <w:keepNext/>
        <w:keepLines/>
        <w:tabs>
          <w:tab w:val="center" w:pos="284"/>
        </w:tabs>
        <w:overflowPunct w:val="0"/>
        <w:autoSpaceDE w:val="0"/>
        <w:autoSpaceDN w:val="0"/>
        <w:adjustRightInd w:val="0"/>
        <w:ind w:left="266" w:hanging="124"/>
        <w:textAlignment w:val="baseline"/>
        <w:rPr>
          <w:b/>
        </w:rPr>
      </w:pPr>
      <w:r>
        <w:rPr>
          <w:b/>
        </w:rPr>
        <w:t>Kernaussagen</w:t>
      </w:r>
    </w:p>
    <w:p w:rsidRPr="00810E21" w:rsidR="00810E21" w:rsidP="00810E21" w:rsidRDefault="00810E21" w14:paraId="6F2ADD35" w14:textId="77777777">
      <w:pPr>
        <w:keepNext/>
        <w:keepLines/>
        <w:tabs>
          <w:tab w:val="center" w:pos="284"/>
        </w:tabs>
        <w:overflowPunct w:val="0"/>
        <w:autoSpaceDE w:val="0"/>
        <w:autoSpaceDN w:val="0"/>
        <w:adjustRightInd w:val="0"/>
        <w:ind w:left="266" w:hanging="266"/>
        <w:textAlignment w:val="baseline"/>
        <w:rPr>
          <w:b/>
        </w:rPr>
      </w:pPr>
    </w:p>
    <w:p w:rsidRPr="00810E21" w:rsidR="00810E21" w:rsidP="00810E21" w:rsidRDefault="00810E21" w14:paraId="5A752985" w14:textId="77777777">
      <w:pPr>
        <w:overflowPunct w:val="0"/>
        <w:autoSpaceDE w:val="0"/>
        <w:autoSpaceDN w:val="0"/>
        <w:adjustRightInd w:val="0"/>
        <w:ind w:left="142"/>
        <w:textAlignment w:val="baseline"/>
        <w:rPr>
          <w:bCs/>
          <w:iCs/>
        </w:rPr>
      </w:pPr>
      <w:r>
        <w:t>Der EWSA</w:t>
      </w:r>
    </w:p>
    <w:p w:rsidRPr="00810E21" w:rsidR="00810E21" w:rsidP="00810E21" w:rsidRDefault="00810E21" w14:paraId="5BC6C97A" w14:textId="77777777">
      <w:pPr>
        <w:overflowPunct w:val="0"/>
        <w:autoSpaceDE w:val="0"/>
        <w:autoSpaceDN w:val="0"/>
        <w:adjustRightInd w:val="0"/>
        <w:textAlignment w:val="baseline"/>
        <w:rPr>
          <w:bCs/>
          <w:iCs/>
        </w:rPr>
      </w:pPr>
    </w:p>
    <w:p w:rsidRPr="00810E21" w:rsidR="00810E21" w:rsidP="004351D4" w:rsidRDefault="00810E21" w14:paraId="742C3851" w14:textId="77777777">
      <w:pPr>
        <w:numPr>
          <w:ilvl w:val="0"/>
          <w:numId w:val="10"/>
        </w:numPr>
        <w:overflowPunct w:val="0"/>
        <w:autoSpaceDE w:val="0"/>
        <w:autoSpaceDN w:val="0"/>
        <w:adjustRightInd w:val="0"/>
        <w:spacing w:after="200" w:line="276" w:lineRule="auto"/>
        <w:ind w:left="567" w:hanging="425"/>
        <w:contextualSpacing/>
        <w:textAlignment w:val="baseline"/>
      </w:pPr>
      <w:r>
        <w:t>fordert die Bürgerinnen und Bürger der EU auf, von ihrem demokratischen Wahlrecht Gebrauch zu machen; betont, dass die Bürgerinnen und Bürger der EU bei den Europawahlen im Juni die Möglichkeit haben, die Mitglieder des Europäischen Parlaments zu wählen und sich für eine stärkere europäische Integration auszusprechen;</w:t>
      </w:r>
    </w:p>
    <w:p w:rsidRPr="00810E21" w:rsidR="00810E21" w:rsidP="004351D4" w:rsidRDefault="00810E21" w14:paraId="4EFC4A1A" w14:textId="77777777">
      <w:pPr>
        <w:numPr>
          <w:ilvl w:val="0"/>
          <w:numId w:val="10"/>
        </w:numPr>
        <w:overflowPunct w:val="0"/>
        <w:autoSpaceDE w:val="0"/>
        <w:autoSpaceDN w:val="0"/>
        <w:adjustRightInd w:val="0"/>
        <w:spacing w:after="200" w:line="276" w:lineRule="auto"/>
        <w:ind w:left="567" w:hanging="425"/>
        <w:contextualSpacing/>
        <w:textAlignment w:val="baseline"/>
      </w:pPr>
      <w:r>
        <w:t>betont, dass wir dank der Union die Freiheit haben, in jedem der EU-Länder zu arbeiten, zu studieren und Geschäfte zu tätigen;</w:t>
      </w:r>
    </w:p>
    <w:p w:rsidRPr="00810E21" w:rsidR="00810E21" w:rsidP="004351D4" w:rsidRDefault="00810E21" w14:paraId="69E8D78F" w14:textId="77777777">
      <w:pPr>
        <w:numPr>
          <w:ilvl w:val="0"/>
          <w:numId w:val="10"/>
        </w:numPr>
        <w:overflowPunct w:val="0"/>
        <w:autoSpaceDE w:val="0"/>
        <w:autoSpaceDN w:val="0"/>
        <w:adjustRightInd w:val="0"/>
        <w:spacing w:after="200" w:line="276" w:lineRule="auto"/>
        <w:ind w:left="567" w:hanging="425"/>
        <w:contextualSpacing/>
        <w:textAlignment w:val="baseline"/>
      </w:pPr>
      <w:r>
        <w:t>unterstreicht, dass kein EU-Land Herausforderungen wie die steigenden Lebenshaltungskosten und die Inflation, die Kriege vor unserer Haustür, Migration, Klimanotstand und den schrumpfenden zivilgesellschaftlichen Raum allein bewältigen kann. Nationalismus, Populismus und nationale Alleingänge sind nicht die Antwort;</w:t>
      </w:r>
    </w:p>
    <w:p w:rsidRPr="00810E21" w:rsidR="00810E21" w:rsidP="004351D4" w:rsidRDefault="00810E21" w14:paraId="0871E5FE" w14:textId="77777777">
      <w:pPr>
        <w:numPr>
          <w:ilvl w:val="0"/>
          <w:numId w:val="10"/>
        </w:numPr>
        <w:overflowPunct w:val="0"/>
        <w:autoSpaceDE w:val="0"/>
        <w:autoSpaceDN w:val="0"/>
        <w:adjustRightInd w:val="0"/>
        <w:spacing w:after="200" w:line="276" w:lineRule="auto"/>
        <w:ind w:left="567" w:hanging="425"/>
        <w:contextualSpacing/>
        <w:textAlignment w:val="baseline"/>
      </w:pPr>
      <w:r>
        <w:t xml:space="preserve">betont, dass wir nur durch eine geeinte, demokratische, wettbewerbsfähige, nachhaltige und soziale Europäische Union in diesen Bereichen echte Fortschritte erzielen und die Ungleichheiten und Unterschiede innerhalb und zwischen den Ländern abbauen können; </w:t>
      </w:r>
    </w:p>
    <w:p w:rsidRPr="00810E21" w:rsidR="00810E21" w:rsidP="004351D4" w:rsidRDefault="00810E21" w14:paraId="19494D12" w14:textId="77777777">
      <w:pPr>
        <w:numPr>
          <w:ilvl w:val="0"/>
          <w:numId w:val="10"/>
        </w:numPr>
        <w:overflowPunct w:val="0"/>
        <w:autoSpaceDE w:val="0"/>
        <w:autoSpaceDN w:val="0"/>
        <w:adjustRightInd w:val="0"/>
        <w:spacing w:after="200" w:line="276" w:lineRule="auto"/>
        <w:ind w:left="567" w:hanging="425"/>
        <w:contextualSpacing/>
        <w:textAlignment w:val="baseline"/>
      </w:pPr>
      <w:r>
        <w:t>betont, dass die gemeinsamen Werte der EU (Demokratie, Schutz der Menschenrechte, Meinungsfreiheit, Rechtsstaatlichkeit, Toleranz, Gerechtigkeit, Nichtdiskriminierung, Gleichheit, Solidarität und demokratische Teilhabe) kontinuierlich gestärkt, verteidigt und geschützt und Armut und soziale Ausgrenzung um jeden Preis verhindert werden müssen;</w:t>
      </w:r>
    </w:p>
    <w:p w:rsidRPr="00810E21" w:rsidR="00810E21" w:rsidP="004351D4" w:rsidRDefault="00810E21" w14:paraId="248EC9DC" w14:textId="77777777">
      <w:pPr>
        <w:numPr>
          <w:ilvl w:val="0"/>
          <w:numId w:val="10"/>
        </w:numPr>
        <w:overflowPunct w:val="0"/>
        <w:autoSpaceDE w:val="0"/>
        <w:autoSpaceDN w:val="0"/>
        <w:adjustRightInd w:val="0"/>
        <w:spacing w:after="200" w:line="276" w:lineRule="auto"/>
        <w:ind w:left="567" w:hanging="425"/>
        <w:contextualSpacing/>
        <w:textAlignment w:val="baseline"/>
      </w:pPr>
      <w:r>
        <w:t>betont, dass die EU als einflussreicher globaler Akteur Konflikte verhindern und lösen, in Multilateralismus investieren und dauerhaften Frieden schaffen muss;</w:t>
      </w:r>
    </w:p>
    <w:p w:rsidRPr="00810E21" w:rsidR="00810E21" w:rsidP="004351D4" w:rsidRDefault="00810E21" w14:paraId="5A228D5E" w14:textId="77777777">
      <w:pPr>
        <w:numPr>
          <w:ilvl w:val="0"/>
          <w:numId w:val="10"/>
        </w:numPr>
        <w:overflowPunct w:val="0"/>
        <w:autoSpaceDE w:val="0"/>
        <w:autoSpaceDN w:val="0"/>
        <w:adjustRightInd w:val="0"/>
        <w:spacing w:after="200" w:line="276" w:lineRule="auto"/>
        <w:ind w:left="567" w:hanging="425"/>
        <w:contextualSpacing/>
        <w:textAlignment w:val="baseline"/>
      </w:pPr>
      <w:r>
        <w:t>betont, dass nur eine starke Europäische Union in der Lage sein wird, ihr Wirtschafts- und Sozialmodell aufrechtzuerhalten, indem sie die Wirtschafts- und Ernährungssicherheit, die globale Wettbewerbsfähigkeit und den digitalen und ökologischen Wandel gewährleistet.</w:t>
      </w:r>
    </w:p>
    <w:p w:rsidR="00810E21" w:rsidP="00810E21" w:rsidRDefault="00810E21" w14:paraId="7A964023" w14:textId="3A44E197">
      <w:pPr>
        <w:spacing w:after="200" w:line="276" w:lineRule="auto"/>
        <w:ind w:left="567"/>
        <w:contextualSpacing/>
        <w:rPr>
          <w:lang w:eastAsia="zh-CN"/>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gridCol w:w="3663"/>
      </w:tblGrid>
      <w:tr w:rsidRPr="009401A5" w:rsidR="008A72F9" w:rsidTr="00C70DA6" w14:paraId="3E6C92DB" w14:textId="77777777">
        <w:tc>
          <w:tcPr>
            <w:tcW w:w="1173" w:type="dxa"/>
          </w:tcPr>
          <w:p w:rsidRPr="008C5358" w:rsidR="008A72F9" w:rsidP="00C70DA6" w:rsidRDefault="008A72F9" w14:paraId="133CBCDD" w14:textId="77777777">
            <w:pPr>
              <w:overflowPunct w:val="0"/>
              <w:autoSpaceDE w:val="0"/>
              <w:autoSpaceDN w:val="0"/>
              <w:adjustRightInd w:val="0"/>
              <w:textAlignment w:val="baseline"/>
              <w:rPr>
                <w:b/>
                <w:i/>
              </w:rPr>
            </w:pPr>
          </w:p>
          <w:p w:rsidRPr="008C5358" w:rsidR="008A72F9" w:rsidP="00C70DA6" w:rsidRDefault="008A72F9" w14:paraId="35ABE59D" w14:textId="6987A11D">
            <w:pPr>
              <w:overflowPunct w:val="0"/>
              <w:autoSpaceDE w:val="0"/>
              <w:autoSpaceDN w:val="0"/>
              <w:adjustRightInd w:val="0"/>
              <w:textAlignment w:val="baseline"/>
              <w:rPr>
                <w:i/>
              </w:rPr>
            </w:pPr>
            <w:r>
              <w:rPr>
                <w:b/>
                <w:i/>
              </w:rPr>
              <w:t>Kontakt</w:t>
            </w:r>
          </w:p>
        </w:tc>
        <w:tc>
          <w:tcPr>
            <w:tcW w:w="4518" w:type="dxa"/>
          </w:tcPr>
          <w:p w:rsidRPr="008C5358" w:rsidR="008A72F9" w:rsidP="00C70DA6" w:rsidRDefault="008A72F9" w14:paraId="00169393" w14:textId="77777777">
            <w:pPr>
              <w:overflowPunct w:val="0"/>
              <w:autoSpaceDE w:val="0"/>
              <w:autoSpaceDN w:val="0"/>
              <w:adjustRightInd w:val="0"/>
              <w:textAlignment w:val="baseline"/>
              <w:rPr>
                <w:i/>
              </w:rPr>
            </w:pPr>
          </w:p>
          <w:p w:rsidRPr="00B01501" w:rsidR="008A72F9" w:rsidP="00C70DA6" w:rsidRDefault="008A72F9" w14:paraId="1E948D02" w14:textId="1C263045">
            <w:pPr>
              <w:overflowPunct w:val="0"/>
              <w:autoSpaceDE w:val="0"/>
              <w:autoSpaceDN w:val="0"/>
              <w:adjustRightInd w:val="0"/>
              <w:textAlignment w:val="baseline"/>
              <w:rPr>
                <w:b/>
                <w:bCs/>
                <w:i/>
              </w:rPr>
            </w:pPr>
            <w:r>
              <w:rPr>
                <w:i/>
              </w:rPr>
              <w:t>Sophie Zimmer</w:t>
            </w:r>
          </w:p>
        </w:tc>
        <w:tc>
          <w:tcPr>
            <w:tcW w:w="3663" w:type="dxa"/>
          </w:tcPr>
          <w:p w:rsidRPr="008C5358" w:rsidR="008A72F9" w:rsidP="00C70DA6" w:rsidRDefault="008A72F9" w14:paraId="04868A7F" w14:textId="77777777">
            <w:pPr>
              <w:overflowPunct w:val="0"/>
              <w:autoSpaceDE w:val="0"/>
              <w:autoSpaceDN w:val="0"/>
              <w:adjustRightInd w:val="0"/>
              <w:textAlignment w:val="baseline"/>
              <w:rPr>
                <w:b/>
                <w:bCs/>
                <w:i/>
              </w:rPr>
            </w:pPr>
          </w:p>
          <w:p w:rsidRPr="005A622F" w:rsidR="008A72F9" w:rsidP="00C70DA6" w:rsidRDefault="008A72F9" w14:paraId="43F23874" w14:textId="7D280CF8">
            <w:pPr>
              <w:overflowPunct w:val="0"/>
              <w:autoSpaceDE w:val="0"/>
              <w:autoSpaceDN w:val="0"/>
              <w:adjustRightInd w:val="0"/>
              <w:textAlignment w:val="baseline"/>
              <w:rPr>
                <w:i/>
              </w:rPr>
            </w:pPr>
            <w:r>
              <w:rPr>
                <w:i/>
              </w:rPr>
              <w:t xml:space="preserve">Gemma </w:t>
            </w:r>
            <w:proofErr w:type="spellStart"/>
            <w:r>
              <w:rPr>
                <w:i/>
              </w:rPr>
              <w:t>Amran</w:t>
            </w:r>
            <w:proofErr w:type="spellEnd"/>
          </w:p>
        </w:tc>
      </w:tr>
      <w:tr w:rsidRPr="009401A5" w:rsidR="008A72F9" w:rsidTr="00C70DA6" w14:paraId="67F67D14" w14:textId="77777777">
        <w:tc>
          <w:tcPr>
            <w:tcW w:w="1173" w:type="dxa"/>
          </w:tcPr>
          <w:p w:rsidRPr="008C5358" w:rsidR="008A72F9" w:rsidP="00C70DA6" w:rsidRDefault="008A72F9" w14:paraId="664AB7CB" w14:textId="77777777">
            <w:pPr>
              <w:overflowPunct w:val="0"/>
              <w:autoSpaceDE w:val="0"/>
              <w:autoSpaceDN w:val="0"/>
              <w:adjustRightInd w:val="0"/>
              <w:textAlignment w:val="baseline"/>
              <w:rPr>
                <w:i/>
              </w:rPr>
            </w:pPr>
            <w:r>
              <w:rPr>
                <w:i/>
              </w:rPr>
              <w:t>Tel.</w:t>
            </w:r>
          </w:p>
        </w:tc>
        <w:tc>
          <w:tcPr>
            <w:tcW w:w="4518" w:type="dxa"/>
          </w:tcPr>
          <w:p w:rsidRPr="0014322B" w:rsidR="008A72F9" w:rsidP="00C70DA6" w:rsidRDefault="008A72F9" w14:paraId="5B79D796" w14:textId="52097209">
            <w:pPr>
              <w:overflowPunct w:val="0"/>
              <w:autoSpaceDE w:val="0"/>
              <w:autoSpaceDN w:val="0"/>
              <w:adjustRightInd w:val="0"/>
              <w:textAlignment w:val="baseline"/>
              <w:rPr>
                <w:i/>
              </w:rPr>
            </w:pPr>
            <w:r>
              <w:rPr>
                <w:i/>
              </w:rPr>
              <w:t>+32 25469584</w:t>
            </w:r>
          </w:p>
        </w:tc>
        <w:tc>
          <w:tcPr>
            <w:tcW w:w="3663" w:type="dxa"/>
          </w:tcPr>
          <w:p w:rsidRPr="00B01501" w:rsidR="008A72F9" w:rsidP="00C70DA6" w:rsidRDefault="008A72F9" w14:paraId="6C508475" w14:textId="387BE9C0">
            <w:pPr>
              <w:overflowPunct w:val="0"/>
              <w:autoSpaceDE w:val="0"/>
              <w:autoSpaceDN w:val="0"/>
              <w:adjustRightInd w:val="0"/>
              <w:textAlignment w:val="baseline"/>
              <w:rPr>
                <w:i/>
              </w:rPr>
            </w:pPr>
            <w:r>
              <w:rPr>
                <w:i/>
              </w:rPr>
              <w:t>+32 25469415</w:t>
            </w:r>
          </w:p>
        </w:tc>
      </w:tr>
      <w:tr w:rsidRPr="009401A5" w:rsidR="008A72F9" w:rsidTr="00C70DA6" w14:paraId="1EB476E3" w14:textId="77777777">
        <w:tc>
          <w:tcPr>
            <w:tcW w:w="1173" w:type="dxa"/>
          </w:tcPr>
          <w:p w:rsidRPr="008C5358" w:rsidR="008A72F9" w:rsidP="00C70DA6" w:rsidRDefault="008A72F9" w14:paraId="76295CC7" w14:textId="77777777">
            <w:pPr>
              <w:overflowPunct w:val="0"/>
              <w:autoSpaceDE w:val="0"/>
              <w:autoSpaceDN w:val="0"/>
              <w:adjustRightInd w:val="0"/>
              <w:textAlignment w:val="baseline"/>
              <w:rPr>
                <w:i/>
              </w:rPr>
            </w:pPr>
            <w:r>
              <w:rPr>
                <w:i/>
              </w:rPr>
              <w:t>E-Mail</w:t>
            </w:r>
          </w:p>
        </w:tc>
        <w:tc>
          <w:tcPr>
            <w:tcW w:w="4518" w:type="dxa"/>
          </w:tcPr>
          <w:p w:rsidRPr="00B01501" w:rsidR="008A72F9" w:rsidP="00C70DA6" w:rsidRDefault="00455BAD" w14:paraId="2BD92971" w14:textId="7F916F99">
            <w:pPr>
              <w:overflowPunct w:val="0"/>
              <w:autoSpaceDE w:val="0"/>
              <w:autoSpaceDN w:val="0"/>
              <w:adjustRightInd w:val="0"/>
              <w:textAlignment w:val="baseline"/>
              <w:rPr>
                <w:i/>
              </w:rPr>
            </w:pPr>
            <w:hyperlink w:history="1" r:id="rId21">
              <w:r w:rsidR="005D1A62">
                <w:rPr>
                  <w:rStyle w:val="Hyperlink"/>
                  <w:i/>
                </w:rPr>
                <w:t>Sophie.Zimmer@eesc.europa.eu</w:t>
              </w:r>
            </w:hyperlink>
            <w:r w:rsidR="005D1A62">
              <w:rPr>
                <w:i/>
              </w:rPr>
              <w:t xml:space="preserve"> </w:t>
            </w:r>
          </w:p>
        </w:tc>
        <w:tc>
          <w:tcPr>
            <w:tcW w:w="3663" w:type="dxa"/>
          </w:tcPr>
          <w:p w:rsidRPr="0014322B" w:rsidR="008A72F9" w:rsidP="00C70DA6" w:rsidRDefault="00455BAD" w14:paraId="4517A44D" w14:textId="70E99D57">
            <w:pPr>
              <w:overflowPunct w:val="0"/>
              <w:autoSpaceDE w:val="0"/>
              <w:autoSpaceDN w:val="0"/>
              <w:adjustRightInd w:val="0"/>
              <w:spacing w:line="240" w:lineRule="auto"/>
              <w:textAlignment w:val="baseline"/>
              <w:rPr>
                <w:i/>
                <w:iCs/>
              </w:rPr>
            </w:pPr>
            <w:hyperlink w:history="1" r:id="rId22">
              <w:r w:rsidR="005D1A62">
                <w:rPr>
                  <w:rStyle w:val="Hyperlink"/>
                  <w:i/>
                </w:rPr>
                <w:t>Gemma.Amran@eesc.europa.eu</w:t>
              </w:r>
            </w:hyperlink>
          </w:p>
          <w:p w:rsidRPr="009401A5" w:rsidR="008A72F9" w:rsidP="00C70DA6" w:rsidRDefault="008A72F9" w14:paraId="3706E60E" w14:textId="77777777">
            <w:pPr>
              <w:overflowPunct w:val="0"/>
              <w:autoSpaceDE w:val="0"/>
              <w:autoSpaceDN w:val="0"/>
              <w:adjustRightInd w:val="0"/>
              <w:textAlignment w:val="baseline"/>
            </w:pPr>
          </w:p>
        </w:tc>
      </w:tr>
    </w:tbl>
    <w:p w:rsidRPr="00810E21" w:rsidR="008A72F9" w:rsidP="00810E21" w:rsidRDefault="008A72F9" w14:paraId="7F8F208A" w14:textId="77777777">
      <w:pPr>
        <w:spacing w:after="200" w:line="276" w:lineRule="auto"/>
        <w:ind w:left="567"/>
        <w:contextualSpacing/>
        <w:rPr>
          <w:lang w:eastAsia="zh-CN"/>
        </w:rPr>
      </w:pPr>
    </w:p>
    <w:p w:rsidR="00810E21" w:rsidRDefault="00810E21" w14:paraId="14717870" w14:textId="348755A8">
      <w:pPr>
        <w:spacing w:after="160" w:line="259" w:lineRule="auto"/>
        <w:jc w:val="left"/>
      </w:pPr>
      <w:r>
        <w:br w:type="page"/>
      </w: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63637040" w:id="3"/>
      <w:bookmarkEnd w:id="1"/>
      <w:bookmarkEnd w:id="2"/>
      <w:r>
        <w:rPr>
          <w:b/>
        </w:rPr>
        <w:lastRenderedPageBreak/>
        <w:t>WIRTSCHAFTS- UND WÄHRUNGSUNION, WIRTSCHAFTLICHER UND SOZIALER ZUSAMMENHALT</w:t>
      </w:r>
      <w:bookmarkEnd w:id="3"/>
    </w:p>
    <w:p w:rsidRPr="00EE2FBD" w:rsidR="00B807B4" w:rsidP="00810736" w:rsidRDefault="00B807B4" w14:paraId="3CAC710B" w14:textId="11524E6A">
      <w:pPr>
        <w:pStyle w:val="Heading1"/>
        <w:numPr>
          <w:ilvl w:val="0"/>
          <w:numId w:val="0"/>
        </w:numPr>
        <w:ind w:left="928"/>
        <w:rPr>
          <w:b/>
          <w:bCs/>
        </w:rPr>
      </w:pPr>
    </w:p>
    <w:p w:rsidRPr="009401A5" w:rsidR="009401A5" w:rsidP="004351D4" w:rsidRDefault="00455BAD" w14:paraId="732F26A2" w14:textId="2F7E1D88">
      <w:pPr>
        <w:widowControl w:val="0"/>
        <w:numPr>
          <w:ilvl w:val="0"/>
          <w:numId w:val="2"/>
        </w:numPr>
        <w:overflowPunct w:val="0"/>
        <w:autoSpaceDE w:val="0"/>
        <w:autoSpaceDN w:val="0"/>
        <w:adjustRightInd w:val="0"/>
        <w:ind w:hanging="567"/>
        <w:textAlignment w:val="baseline"/>
        <w:rPr>
          <w:b/>
          <w:bCs/>
          <w:i/>
          <w:iCs/>
          <w:sz w:val="28"/>
          <w:szCs w:val="28"/>
        </w:rPr>
      </w:pPr>
      <w:hyperlink w:history="1" r:id="rId23">
        <w:r w:rsidR="005D1A62">
          <w:rPr>
            <w:b/>
            <w:i/>
            <w:color w:val="0000FF"/>
            <w:sz w:val="28"/>
            <w:u w:val="single"/>
          </w:rPr>
          <w:t>Förderung eines langfristigen inklusiven Wachstums durch Reformen und Investitionen</w:t>
        </w:r>
      </w:hyperlink>
    </w:p>
    <w:p w:rsidRPr="005A622F" w:rsidR="009401A5" w:rsidP="009401A5" w:rsidRDefault="009401A5" w14:paraId="72EA198C" w14:textId="77777777">
      <w:pPr>
        <w:widowControl w:val="0"/>
        <w:overflowPunct w:val="0"/>
        <w:autoSpaceDE w:val="0"/>
        <w:autoSpaceDN w:val="0"/>
        <w:adjustRightInd w:val="0"/>
        <w:ind w:left="266"/>
        <w:textAlignment w:val="baseline"/>
        <w:rPr>
          <w:b/>
          <w:sz w:val="14"/>
          <w:szCs w:val="14"/>
        </w:rPr>
      </w:pPr>
    </w:p>
    <w:tbl>
      <w:tblPr>
        <w:tblStyle w:val="TableGrid184"/>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7472"/>
      </w:tblGrid>
      <w:tr w:rsidRPr="009401A5" w:rsidR="009401A5" w:rsidTr="00776454" w14:paraId="23CAC401" w14:textId="77777777">
        <w:tc>
          <w:tcPr>
            <w:tcW w:w="1850" w:type="dxa"/>
          </w:tcPr>
          <w:p w:rsidRPr="009401A5" w:rsidR="009401A5" w:rsidP="009401A5" w:rsidRDefault="009401A5" w14:paraId="19E30413" w14:textId="77777777">
            <w:pPr>
              <w:tabs>
                <w:tab w:val="center" w:pos="284"/>
              </w:tabs>
              <w:overflowPunct w:val="0"/>
              <w:autoSpaceDE w:val="0"/>
              <w:autoSpaceDN w:val="0"/>
              <w:adjustRightInd w:val="0"/>
              <w:ind w:left="266" w:hanging="266"/>
              <w:textAlignment w:val="baseline"/>
              <w:rPr>
                <w:b/>
              </w:rPr>
            </w:pPr>
            <w:r>
              <w:rPr>
                <w:b/>
              </w:rPr>
              <w:t>Berichterstatter</w:t>
            </w:r>
          </w:p>
          <w:p w:rsidRPr="009401A5" w:rsidR="009401A5" w:rsidP="009401A5" w:rsidRDefault="009401A5" w14:paraId="35201C41" w14:textId="77777777">
            <w:pPr>
              <w:tabs>
                <w:tab w:val="center" w:pos="284"/>
              </w:tabs>
              <w:overflowPunct w:val="0"/>
              <w:autoSpaceDE w:val="0"/>
              <w:autoSpaceDN w:val="0"/>
              <w:adjustRightInd w:val="0"/>
              <w:ind w:left="266" w:hanging="266"/>
              <w:textAlignment w:val="baseline"/>
              <w:rPr>
                <w:b/>
              </w:rPr>
            </w:pPr>
            <w:r>
              <w:rPr>
                <w:b/>
              </w:rPr>
              <w:t>Berichterstatter</w:t>
            </w:r>
          </w:p>
          <w:p w:rsidRPr="009401A5" w:rsidR="009401A5" w:rsidP="009401A5" w:rsidRDefault="009401A5" w14:paraId="2BE8AACD" w14:textId="77777777">
            <w:pPr>
              <w:tabs>
                <w:tab w:val="center" w:pos="284"/>
              </w:tabs>
              <w:overflowPunct w:val="0"/>
              <w:autoSpaceDE w:val="0"/>
              <w:autoSpaceDN w:val="0"/>
              <w:adjustRightInd w:val="0"/>
              <w:ind w:left="266" w:hanging="266"/>
              <w:textAlignment w:val="baseline"/>
              <w:rPr>
                <w:b/>
              </w:rPr>
            </w:pPr>
            <w:r>
              <w:rPr>
                <w:b/>
              </w:rPr>
              <w:t>Berichterstatter</w:t>
            </w:r>
          </w:p>
        </w:tc>
        <w:tc>
          <w:tcPr>
            <w:tcW w:w="7472" w:type="dxa"/>
          </w:tcPr>
          <w:p w:rsidRPr="009401A5" w:rsidR="009401A5" w:rsidP="009401A5" w:rsidRDefault="009401A5" w14:paraId="17ED555D" w14:textId="143FADD8">
            <w:pPr>
              <w:tabs>
                <w:tab w:val="center" w:pos="284"/>
              </w:tabs>
              <w:overflowPunct w:val="0"/>
              <w:autoSpaceDE w:val="0"/>
              <w:autoSpaceDN w:val="0"/>
              <w:adjustRightInd w:val="0"/>
              <w:textAlignment w:val="baseline"/>
            </w:pPr>
            <w:r>
              <w:t>Javier DOZ ORRIT (Gruppe Arbeitnehmer – ES)</w:t>
            </w:r>
          </w:p>
          <w:p w:rsidRPr="009401A5" w:rsidR="009401A5" w:rsidP="009401A5" w:rsidRDefault="009401A5" w14:paraId="06F090ED" w14:textId="69FCFD3A">
            <w:pPr>
              <w:tabs>
                <w:tab w:val="center" w:pos="284"/>
              </w:tabs>
              <w:overflowPunct w:val="0"/>
              <w:autoSpaceDE w:val="0"/>
              <w:autoSpaceDN w:val="0"/>
              <w:adjustRightInd w:val="0"/>
              <w:textAlignment w:val="baseline"/>
            </w:pPr>
            <w:r>
              <w:t>Luca JAHIER (Gruppe Organisationen der Zivilgesellschaft – IT)</w:t>
            </w:r>
          </w:p>
          <w:p w:rsidRPr="009401A5" w:rsidR="009401A5" w:rsidP="009401A5" w:rsidRDefault="009401A5" w14:paraId="55F49A28" w14:textId="298B7808">
            <w:pPr>
              <w:tabs>
                <w:tab w:val="center" w:pos="284"/>
              </w:tabs>
              <w:overflowPunct w:val="0"/>
              <w:autoSpaceDE w:val="0"/>
              <w:autoSpaceDN w:val="0"/>
              <w:adjustRightInd w:val="0"/>
              <w:textAlignment w:val="baseline"/>
            </w:pPr>
            <w:proofErr w:type="spellStart"/>
            <w:r>
              <w:t>Wautier</w:t>
            </w:r>
            <w:proofErr w:type="spellEnd"/>
            <w:r>
              <w:t xml:space="preserve"> ROBYNS DE SCHNEIDAUER (Gruppe Arbeitgeber – BE)</w:t>
            </w:r>
          </w:p>
        </w:tc>
      </w:tr>
      <w:tr w:rsidRPr="009401A5" w:rsidR="009401A5" w:rsidTr="00776454" w14:paraId="61F56BC1" w14:textId="77777777">
        <w:tc>
          <w:tcPr>
            <w:tcW w:w="9322" w:type="dxa"/>
            <w:gridSpan w:val="2"/>
          </w:tcPr>
          <w:p w:rsidRPr="009401A5" w:rsidR="009401A5" w:rsidP="009401A5" w:rsidRDefault="009401A5" w14:paraId="34CE1B2D" w14:textId="77777777">
            <w:pPr>
              <w:tabs>
                <w:tab w:val="center" w:pos="284"/>
              </w:tabs>
              <w:overflowPunct w:val="0"/>
              <w:autoSpaceDE w:val="0"/>
              <w:autoSpaceDN w:val="0"/>
              <w:adjustRightInd w:val="0"/>
              <w:spacing w:line="160" w:lineRule="exact"/>
              <w:ind w:left="266" w:hanging="266"/>
              <w:textAlignment w:val="baseline"/>
            </w:pPr>
          </w:p>
        </w:tc>
      </w:tr>
      <w:tr w:rsidRPr="009401A5" w:rsidR="009401A5" w:rsidTr="00776454" w14:paraId="0E54DBE9" w14:textId="77777777">
        <w:tc>
          <w:tcPr>
            <w:tcW w:w="1850" w:type="dxa"/>
            <w:vMerge w:val="restart"/>
          </w:tcPr>
          <w:p w:rsidRPr="009401A5" w:rsidR="009401A5" w:rsidP="009401A5" w:rsidRDefault="009401A5" w14:paraId="1F33C639" w14:textId="77777777">
            <w:pPr>
              <w:tabs>
                <w:tab w:val="center" w:pos="284"/>
              </w:tabs>
              <w:overflowPunct w:val="0"/>
              <w:autoSpaceDE w:val="0"/>
              <w:autoSpaceDN w:val="0"/>
              <w:adjustRightInd w:val="0"/>
              <w:ind w:left="266" w:hanging="266"/>
              <w:textAlignment w:val="baseline"/>
              <w:rPr>
                <w:b/>
              </w:rPr>
            </w:pPr>
            <w:r>
              <w:rPr>
                <w:b/>
              </w:rPr>
              <w:t>Referenzdokument</w:t>
            </w:r>
          </w:p>
        </w:tc>
        <w:tc>
          <w:tcPr>
            <w:tcW w:w="7472" w:type="dxa"/>
          </w:tcPr>
          <w:p w:rsidRPr="009401A5" w:rsidR="009401A5" w:rsidP="009401A5" w:rsidRDefault="009401A5" w14:paraId="20483CE5" w14:textId="57B7D589">
            <w:pPr>
              <w:tabs>
                <w:tab w:val="center" w:pos="284"/>
              </w:tabs>
              <w:overflowPunct w:val="0"/>
              <w:autoSpaceDE w:val="0"/>
              <w:autoSpaceDN w:val="0"/>
              <w:adjustRightInd w:val="0"/>
              <w:textAlignment w:val="baseline"/>
            </w:pPr>
            <w:r>
              <w:t>Sondierungsstellungnahme auf Ersuchen des belgischen EU-Ratsvorsitzes</w:t>
            </w:r>
          </w:p>
        </w:tc>
      </w:tr>
      <w:tr w:rsidRPr="009401A5" w:rsidR="009401A5" w:rsidTr="00776454" w14:paraId="5082E55B" w14:textId="77777777">
        <w:tc>
          <w:tcPr>
            <w:tcW w:w="1850" w:type="dxa"/>
            <w:vMerge/>
          </w:tcPr>
          <w:p w:rsidRPr="009401A5" w:rsidR="009401A5" w:rsidP="009401A5" w:rsidRDefault="009401A5" w14:paraId="68852E64" w14:textId="77777777">
            <w:pPr>
              <w:tabs>
                <w:tab w:val="center" w:pos="284"/>
              </w:tabs>
              <w:overflowPunct w:val="0"/>
              <w:autoSpaceDE w:val="0"/>
              <w:autoSpaceDN w:val="0"/>
              <w:adjustRightInd w:val="0"/>
              <w:ind w:left="266" w:hanging="266"/>
              <w:textAlignment w:val="baseline"/>
              <w:rPr>
                <w:b/>
              </w:rPr>
            </w:pPr>
          </w:p>
        </w:tc>
        <w:tc>
          <w:tcPr>
            <w:tcW w:w="7472" w:type="dxa"/>
          </w:tcPr>
          <w:p w:rsidRPr="009401A5" w:rsidR="009401A5" w:rsidP="009401A5" w:rsidRDefault="009401A5" w14:paraId="5851ADBC" w14:textId="77777777">
            <w:pPr>
              <w:tabs>
                <w:tab w:val="center" w:pos="284"/>
              </w:tabs>
              <w:overflowPunct w:val="0"/>
              <w:autoSpaceDE w:val="0"/>
              <w:autoSpaceDN w:val="0"/>
              <w:adjustRightInd w:val="0"/>
              <w:ind w:left="266" w:hanging="266"/>
              <w:textAlignment w:val="baseline"/>
            </w:pPr>
            <w:r>
              <w:t>EESC-2023-04451-00-AC</w:t>
            </w:r>
          </w:p>
        </w:tc>
      </w:tr>
    </w:tbl>
    <w:p w:rsidRPr="005A622F" w:rsidR="009A1011" w:rsidP="008C5358" w:rsidRDefault="009A1011" w14:paraId="2294033B" w14:textId="77777777">
      <w:pPr>
        <w:keepNext/>
        <w:keepLines/>
        <w:tabs>
          <w:tab w:val="center" w:pos="284"/>
        </w:tabs>
        <w:overflowPunct w:val="0"/>
        <w:autoSpaceDE w:val="0"/>
        <w:autoSpaceDN w:val="0"/>
        <w:adjustRightInd w:val="0"/>
        <w:ind w:left="266" w:hanging="124"/>
        <w:textAlignment w:val="baseline"/>
        <w:rPr>
          <w:b/>
          <w:sz w:val="14"/>
          <w:szCs w:val="14"/>
        </w:rPr>
      </w:pPr>
    </w:p>
    <w:p w:rsidRPr="009401A5" w:rsidR="009401A5" w:rsidP="005A622F" w:rsidRDefault="009401A5" w14:paraId="48A5A8A7" w14:textId="110FB4B3">
      <w:pPr>
        <w:keepNext/>
        <w:keepLines/>
        <w:tabs>
          <w:tab w:val="center" w:pos="284"/>
        </w:tabs>
        <w:overflowPunct w:val="0"/>
        <w:autoSpaceDE w:val="0"/>
        <w:autoSpaceDN w:val="0"/>
        <w:adjustRightInd w:val="0"/>
        <w:ind w:left="266" w:hanging="124"/>
        <w:textAlignment w:val="baseline"/>
        <w:rPr>
          <w:b/>
        </w:rPr>
      </w:pPr>
      <w:r>
        <w:rPr>
          <w:b/>
        </w:rPr>
        <w:t>Kernaussagen</w:t>
      </w:r>
    </w:p>
    <w:p w:rsidRPr="005A622F" w:rsidR="009401A5" w:rsidP="009401A5" w:rsidRDefault="009401A5" w14:paraId="1643EB48" w14:textId="77777777">
      <w:pPr>
        <w:keepNext/>
        <w:keepLines/>
        <w:tabs>
          <w:tab w:val="center" w:pos="284"/>
        </w:tabs>
        <w:overflowPunct w:val="0"/>
        <w:autoSpaceDE w:val="0"/>
        <w:autoSpaceDN w:val="0"/>
        <w:adjustRightInd w:val="0"/>
        <w:ind w:left="266" w:hanging="266"/>
        <w:textAlignment w:val="baseline"/>
        <w:rPr>
          <w:b/>
          <w:sz w:val="14"/>
          <w:szCs w:val="14"/>
        </w:rPr>
      </w:pPr>
    </w:p>
    <w:p w:rsidR="009401A5" w:rsidP="005A622F" w:rsidRDefault="009401A5" w14:paraId="46A5F01D" w14:textId="4287E048">
      <w:pPr>
        <w:overflowPunct w:val="0"/>
        <w:autoSpaceDE w:val="0"/>
        <w:autoSpaceDN w:val="0"/>
        <w:adjustRightInd w:val="0"/>
        <w:ind w:left="425" w:hanging="283"/>
        <w:textAlignment w:val="baseline"/>
        <w:rPr>
          <w:bCs/>
          <w:iCs/>
        </w:rPr>
      </w:pPr>
      <w:r>
        <w:t>Der EWSA</w:t>
      </w:r>
    </w:p>
    <w:p w:rsidRPr="005A622F" w:rsidR="006433A5" w:rsidP="009401A5" w:rsidRDefault="006433A5" w14:paraId="71B3F921" w14:textId="77777777">
      <w:pPr>
        <w:overflowPunct w:val="0"/>
        <w:autoSpaceDE w:val="0"/>
        <w:autoSpaceDN w:val="0"/>
        <w:adjustRightInd w:val="0"/>
        <w:ind w:left="425" w:hanging="425"/>
        <w:textAlignment w:val="baseline"/>
        <w:rPr>
          <w:sz w:val="14"/>
          <w:szCs w:val="12"/>
        </w:rPr>
      </w:pPr>
    </w:p>
    <w:p w:rsidRPr="009401A5" w:rsidR="009401A5" w:rsidP="005A622F" w:rsidRDefault="009401A5" w14:paraId="66F962E6" w14:textId="77777777">
      <w:pPr>
        <w:numPr>
          <w:ilvl w:val="0"/>
          <w:numId w:val="15"/>
        </w:numPr>
        <w:overflowPunct w:val="0"/>
        <w:autoSpaceDE w:val="0"/>
        <w:autoSpaceDN w:val="0"/>
        <w:adjustRightInd w:val="0"/>
        <w:ind w:left="567" w:hanging="425"/>
        <w:textAlignment w:val="baseline"/>
        <w:outlineLvl w:val="1"/>
        <w:rPr>
          <w:szCs w:val="20"/>
        </w:rPr>
      </w:pPr>
      <w:r>
        <w:t>begrüßt die Initiative des belgischen Ratsvorsitzes zu Sozialinvestitionen und zur Stärkung der sozialen Dimension des Europäischen Semesters insbesondere durch die europäische Säule sozialer Rechte und geht davon aus, dass die Reform des Semesters die Koordinierung zwischen den Mitgliedstaaten verbessern, die Transparenz erhöhen und die ordnungsgemäße Überwachung der Umsetzung der nationalen Haushalts - und Strukturpläne gewährleisten wird;</w:t>
      </w:r>
    </w:p>
    <w:p w:rsidRPr="009401A5" w:rsidR="009401A5" w:rsidP="005A622F" w:rsidRDefault="009401A5" w14:paraId="0853EDA5" w14:textId="77777777">
      <w:pPr>
        <w:numPr>
          <w:ilvl w:val="0"/>
          <w:numId w:val="15"/>
        </w:numPr>
        <w:overflowPunct w:val="0"/>
        <w:autoSpaceDE w:val="0"/>
        <w:autoSpaceDN w:val="0"/>
        <w:adjustRightInd w:val="0"/>
        <w:ind w:left="567" w:hanging="425"/>
        <w:textAlignment w:val="baseline"/>
        <w:outlineLvl w:val="1"/>
        <w:rPr>
          <w:szCs w:val="20"/>
        </w:rPr>
      </w:pPr>
      <w:r>
        <w:t>fordert, dass die vorhandenen Finanzmittel effizient und wirksam eingesetzt werden, auch durch die öffentlich-private Zusammenarbeit und durch die Mobilisierung von Finanzierungsinstrumenten, wobei es die größtmögliche Flexibilität und strenge Bewertungssysteme sicherzustellen gilt;</w:t>
      </w:r>
    </w:p>
    <w:p w:rsidRPr="009401A5" w:rsidR="009401A5" w:rsidP="005A622F" w:rsidRDefault="009401A5" w14:paraId="16D08F7C" w14:textId="77777777">
      <w:pPr>
        <w:numPr>
          <w:ilvl w:val="0"/>
          <w:numId w:val="15"/>
        </w:numPr>
        <w:overflowPunct w:val="0"/>
        <w:autoSpaceDE w:val="0"/>
        <w:autoSpaceDN w:val="0"/>
        <w:adjustRightInd w:val="0"/>
        <w:ind w:left="567" w:hanging="425"/>
        <w:textAlignment w:val="baseline"/>
        <w:outlineLvl w:val="1"/>
        <w:rPr>
          <w:szCs w:val="20"/>
        </w:rPr>
      </w:pPr>
      <w:r>
        <w:t>hält es für dringend geboten, die Durchführbarkeit einer Fiskalkapazität der EU zu erörtern, die bis 2026 erforderlich ist, um den Investitionsbedarf für die gemeinsamen Prioritäten zu decken (insbesondere in Bezug auf soziale Investitionen, die Förderung konjunktureller Stabilisierung, die Versorgung mit europäischen öffentlichen Gütern und die Sicherstellung eines mittel- und langfristigen nachhaltigen Wachstums), und zwar durch gemeinsame Leitlinien auf EU - Ebene und durch finanzielle Unterstützung der EU;</w:t>
      </w:r>
    </w:p>
    <w:p w:rsidRPr="009401A5" w:rsidR="009401A5" w:rsidP="005A622F" w:rsidRDefault="009401A5" w14:paraId="5A1D58E5" w14:textId="77777777">
      <w:pPr>
        <w:numPr>
          <w:ilvl w:val="0"/>
          <w:numId w:val="15"/>
        </w:numPr>
        <w:overflowPunct w:val="0"/>
        <w:autoSpaceDE w:val="0"/>
        <w:autoSpaceDN w:val="0"/>
        <w:adjustRightInd w:val="0"/>
        <w:ind w:left="567" w:hanging="425"/>
        <w:textAlignment w:val="baseline"/>
        <w:outlineLvl w:val="1"/>
        <w:rPr>
          <w:szCs w:val="20"/>
        </w:rPr>
      </w:pPr>
      <w:r>
        <w:t>teilt die Auffassung, dass gut konzipierte Sozialinvestitionen positive Auswirkungen auf Wirtschaftswachstum, Produktivität und Wettbewerbsfähigkeit haben können, die für die Erhaltung guter Arbeitsplätze in Europa von entscheidender Bedeutung sind. Gleichzeitig müssen nationale Regierungen ihre Sozialschutzsysteme überprüfen und sicherstellen, dass die in deren Rahmen verfügbaren Ressourcen in erster Linie auf soziale Unterstützung in Bereichen mit dem dringendsten Bedarf ausgerichtet werden;</w:t>
      </w:r>
    </w:p>
    <w:p w:rsidRPr="009401A5" w:rsidR="009401A5" w:rsidP="005A622F" w:rsidRDefault="009401A5" w14:paraId="32E822A8" w14:textId="77777777">
      <w:pPr>
        <w:numPr>
          <w:ilvl w:val="0"/>
          <w:numId w:val="15"/>
        </w:numPr>
        <w:overflowPunct w:val="0"/>
        <w:autoSpaceDE w:val="0"/>
        <w:autoSpaceDN w:val="0"/>
        <w:adjustRightInd w:val="0"/>
        <w:ind w:left="567" w:hanging="425"/>
        <w:textAlignment w:val="baseline"/>
        <w:outlineLvl w:val="1"/>
        <w:rPr>
          <w:szCs w:val="20"/>
        </w:rPr>
      </w:pPr>
      <w:r>
        <w:t>empfiehlt, dass – unter Einhaltung des Subsidiaritätsprinzips – die notwendigen Investitionen in die soziale Infrastruktur in allen Mitgliedstaaten kohärent sein und von der EU finanziell unterstützt werden sollten;</w:t>
      </w:r>
    </w:p>
    <w:p w:rsidRPr="009401A5" w:rsidR="009401A5" w:rsidP="005A622F" w:rsidRDefault="009401A5" w14:paraId="0E865C3A" w14:textId="77777777">
      <w:pPr>
        <w:numPr>
          <w:ilvl w:val="0"/>
          <w:numId w:val="15"/>
        </w:numPr>
        <w:overflowPunct w:val="0"/>
        <w:autoSpaceDE w:val="0"/>
        <w:autoSpaceDN w:val="0"/>
        <w:adjustRightInd w:val="0"/>
        <w:ind w:left="567" w:hanging="425"/>
        <w:textAlignment w:val="baseline"/>
        <w:outlineLvl w:val="1"/>
        <w:rPr>
          <w:szCs w:val="20"/>
        </w:rPr>
      </w:pPr>
      <w:r>
        <w:t xml:space="preserve">fordert Reformen und Investitionen in wichtigen sozialen Bereichen (insbesondere in jenen, die das Humankapital fördern), denn sozialpolitische Maßnahmen und soziale Investitionen (auch durch innovativere Instrumente und durch die Förderung geeigneter Reformen unter Einbeziehung aller betroffenen Akteure) können zu einem produktiven Faktor werden, der </w:t>
      </w:r>
      <w:r>
        <w:lastRenderedPageBreak/>
        <w:t>erhebliche wirtschaftliche Erträge in Form von Wachstumspotenzialen und geringeren künftigen Kosten bietet;</w:t>
      </w:r>
    </w:p>
    <w:p w:rsidRPr="009401A5" w:rsidR="009401A5" w:rsidP="005A622F" w:rsidRDefault="009401A5" w14:paraId="538CE4B3" w14:textId="77777777">
      <w:pPr>
        <w:numPr>
          <w:ilvl w:val="0"/>
          <w:numId w:val="15"/>
        </w:numPr>
        <w:overflowPunct w:val="0"/>
        <w:autoSpaceDE w:val="0"/>
        <w:autoSpaceDN w:val="0"/>
        <w:adjustRightInd w:val="0"/>
        <w:ind w:left="567" w:hanging="425"/>
        <w:textAlignment w:val="baseline"/>
        <w:outlineLvl w:val="1"/>
        <w:rPr>
          <w:szCs w:val="20"/>
        </w:rPr>
      </w:pPr>
      <w:r>
        <w:t>bekräftigt seine Forderung nach einer angemessenen Einbeziehung der Sozialpartner und der Organisationen der Zivilgesellschaft in alle Phasen dieses Prozesses durch strukturierte förmliche Konsultationsverfahren.</w:t>
      </w:r>
    </w:p>
    <w:p w:rsidRPr="005A622F" w:rsidR="009401A5" w:rsidP="009401A5" w:rsidRDefault="009401A5" w14:paraId="5F2E99BE" w14:textId="77777777">
      <w:pPr>
        <w:overflowPunct w:val="0"/>
        <w:autoSpaceDE w:val="0"/>
        <w:autoSpaceDN w:val="0"/>
        <w:adjustRightInd w:val="0"/>
        <w:textAlignment w:val="baseline"/>
        <w:rPr>
          <w:bCs/>
          <w:iCs/>
          <w:sz w:val="14"/>
          <w:szCs w:val="12"/>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gridCol w:w="3663"/>
      </w:tblGrid>
      <w:tr w:rsidRPr="009401A5" w:rsidR="009401A5" w:rsidTr="0053712F" w14:paraId="7E7C2471" w14:textId="77777777">
        <w:tc>
          <w:tcPr>
            <w:tcW w:w="1173" w:type="dxa"/>
          </w:tcPr>
          <w:p w:rsidRPr="009401A5" w:rsidR="009401A5" w:rsidP="009401A5" w:rsidRDefault="009401A5" w14:paraId="19CCEB63" w14:textId="77777777">
            <w:pPr>
              <w:overflowPunct w:val="0"/>
              <w:autoSpaceDE w:val="0"/>
              <w:autoSpaceDN w:val="0"/>
              <w:adjustRightInd w:val="0"/>
              <w:textAlignment w:val="baseline"/>
              <w:rPr>
                <w:i/>
              </w:rPr>
            </w:pPr>
            <w:r>
              <w:rPr>
                <w:b/>
                <w:i/>
              </w:rPr>
              <w:t>Kontakt</w:t>
            </w:r>
          </w:p>
        </w:tc>
        <w:tc>
          <w:tcPr>
            <w:tcW w:w="4518" w:type="dxa"/>
          </w:tcPr>
          <w:p w:rsidRPr="005A622F" w:rsidR="009401A5" w:rsidP="009401A5" w:rsidRDefault="009401A5" w14:paraId="656EF4E0" w14:textId="77777777">
            <w:pPr>
              <w:overflowPunct w:val="0"/>
              <w:autoSpaceDE w:val="0"/>
              <w:autoSpaceDN w:val="0"/>
              <w:adjustRightInd w:val="0"/>
              <w:textAlignment w:val="baseline"/>
              <w:rPr>
                <w:i/>
                <w:iCs/>
              </w:rPr>
            </w:pPr>
            <w:r>
              <w:rPr>
                <w:i/>
              </w:rPr>
              <w:t>Colombe Grégoire</w:t>
            </w:r>
          </w:p>
        </w:tc>
        <w:tc>
          <w:tcPr>
            <w:tcW w:w="3663" w:type="dxa"/>
          </w:tcPr>
          <w:p w:rsidRPr="005A622F" w:rsidR="009401A5" w:rsidP="009401A5" w:rsidRDefault="009401A5" w14:paraId="6CB53341" w14:textId="77777777">
            <w:pPr>
              <w:overflowPunct w:val="0"/>
              <w:autoSpaceDE w:val="0"/>
              <w:autoSpaceDN w:val="0"/>
              <w:adjustRightInd w:val="0"/>
              <w:textAlignment w:val="baseline"/>
              <w:rPr>
                <w:i/>
                <w:iCs/>
              </w:rPr>
            </w:pPr>
            <w:r>
              <w:rPr>
                <w:i/>
              </w:rPr>
              <w:t xml:space="preserve">Krisztina </w:t>
            </w:r>
            <w:proofErr w:type="spellStart"/>
            <w:r>
              <w:rPr>
                <w:i/>
              </w:rPr>
              <w:t>Perlaky</w:t>
            </w:r>
            <w:proofErr w:type="spellEnd"/>
            <w:r>
              <w:rPr>
                <w:i/>
              </w:rPr>
              <w:t>-Tóth</w:t>
            </w:r>
          </w:p>
        </w:tc>
      </w:tr>
      <w:tr w:rsidRPr="009401A5" w:rsidR="009401A5" w:rsidTr="0053712F" w14:paraId="4042BEE3" w14:textId="77777777">
        <w:tc>
          <w:tcPr>
            <w:tcW w:w="1173" w:type="dxa"/>
          </w:tcPr>
          <w:p w:rsidRPr="009401A5" w:rsidR="009401A5" w:rsidP="009401A5" w:rsidRDefault="009401A5" w14:paraId="7B8F0F8A" w14:textId="77777777">
            <w:pPr>
              <w:overflowPunct w:val="0"/>
              <w:autoSpaceDE w:val="0"/>
              <w:autoSpaceDN w:val="0"/>
              <w:adjustRightInd w:val="0"/>
              <w:textAlignment w:val="baseline"/>
              <w:rPr>
                <w:i/>
              </w:rPr>
            </w:pPr>
            <w:r>
              <w:rPr>
                <w:i/>
              </w:rPr>
              <w:t>Tel.</w:t>
            </w:r>
          </w:p>
        </w:tc>
        <w:tc>
          <w:tcPr>
            <w:tcW w:w="4518" w:type="dxa"/>
          </w:tcPr>
          <w:p w:rsidRPr="009401A5" w:rsidR="009401A5" w:rsidP="009401A5" w:rsidRDefault="009401A5" w14:paraId="3A541127" w14:textId="77777777">
            <w:pPr>
              <w:overflowPunct w:val="0"/>
              <w:autoSpaceDE w:val="0"/>
              <w:autoSpaceDN w:val="0"/>
              <w:adjustRightInd w:val="0"/>
              <w:textAlignment w:val="baseline"/>
              <w:rPr>
                <w:i/>
                <w:iCs/>
              </w:rPr>
            </w:pPr>
            <w:r>
              <w:rPr>
                <w:i/>
              </w:rPr>
              <w:t>+32 2 546 92 86</w:t>
            </w:r>
          </w:p>
        </w:tc>
        <w:tc>
          <w:tcPr>
            <w:tcW w:w="3663" w:type="dxa"/>
          </w:tcPr>
          <w:p w:rsidRPr="009401A5" w:rsidR="009401A5" w:rsidP="009401A5" w:rsidRDefault="009401A5" w14:paraId="4622CDEC" w14:textId="77777777">
            <w:pPr>
              <w:overflowPunct w:val="0"/>
              <w:autoSpaceDE w:val="0"/>
              <w:autoSpaceDN w:val="0"/>
              <w:adjustRightInd w:val="0"/>
              <w:textAlignment w:val="baseline"/>
              <w:rPr>
                <w:i/>
                <w:iCs/>
              </w:rPr>
            </w:pPr>
            <w:r>
              <w:rPr>
                <w:i/>
              </w:rPr>
              <w:t>+32 2 546 97 40</w:t>
            </w:r>
          </w:p>
        </w:tc>
      </w:tr>
      <w:tr w:rsidRPr="009401A5" w:rsidR="009401A5" w:rsidTr="0053712F" w14:paraId="2FFB4C3A" w14:textId="77777777">
        <w:tc>
          <w:tcPr>
            <w:tcW w:w="1173" w:type="dxa"/>
          </w:tcPr>
          <w:p w:rsidRPr="008C5358" w:rsidR="009401A5" w:rsidP="009401A5" w:rsidRDefault="009401A5" w14:paraId="5BA1D05F" w14:textId="77777777">
            <w:pPr>
              <w:overflowPunct w:val="0"/>
              <w:autoSpaceDE w:val="0"/>
              <w:autoSpaceDN w:val="0"/>
              <w:adjustRightInd w:val="0"/>
              <w:textAlignment w:val="baseline"/>
              <w:rPr>
                <w:i/>
              </w:rPr>
            </w:pPr>
            <w:r>
              <w:rPr>
                <w:i/>
              </w:rPr>
              <w:t>E-Mail</w:t>
            </w:r>
          </w:p>
        </w:tc>
        <w:tc>
          <w:tcPr>
            <w:tcW w:w="4518" w:type="dxa"/>
          </w:tcPr>
          <w:p w:rsidRPr="00B01501" w:rsidR="009401A5" w:rsidP="009401A5" w:rsidRDefault="00455BAD" w14:paraId="69C3B868" w14:textId="77777777">
            <w:pPr>
              <w:overflowPunct w:val="0"/>
              <w:autoSpaceDE w:val="0"/>
              <w:autoSpaceDN w:val="0"/>
              <w:adjustRightInd w:val="0"/>
              <w:textAlignment w:val="baseline"/>
              <w:rPr>
                <w:i/>
              </w:rPr>
            </w:pPr>
            <w:hyperlink w:history="1" r:id="rId24">
              <w:r w:rsidR="005D1A62">
                <w:rPr>
                  <w:i/>
                  <w:color w:val="0000FF"/>
                  <w:u w:val="single"/>
                </w:rPr>
                <w:t>Colombe.Gregoire@eesc.europa.eu</w:t>
              </w:r>
            </w:hyperlink>
            <w:r w:rsidR="005D1A62">
              <w:rPr>
                <w:i/>
              </w:rPr>
              <w:t xml:space="preserve"> </w:t>
            </w:r>
          </w:p>
        </w:tc>
        <w:tc>
          <w:tcPr>
            <w:tcW w:w="3663" w:type="dxa"/>
          </w:tcPr>
          <w:p w:rsidRPr="005A622F" w:rsidR="009401A5" w:rsidP="009401A5" w:rsidRDefault="00455BAD" w14:paraId="01B24B31" w14:textId="3BEBBF91">
            <w:pPr>
              <w:overflowPunct w:val="0"/>
              <w:autoSpaceDE w:val="0"/>
              <w:autoSpaceDN w:val="0"/>
              <w:adjustRightInd w:val="0"/>
              <w:textAlignment w:val="baseline"/>
              <w:rPr>
                <w:i/>
              </w:rPr>
            </w:pPr>
            <w:hyperlink w:history="1" r:id="rId25">
              <w:r w:rsidR="005D1A62">
                <w:rPr>
                  <w:i/>
                  <w:color w:val="0000FF"/>
                  <w:u w:val="single"/>
                </w:rPr>
                <w:t>Krisztina.PerlakyToth@eesc.europa.eu</w:t>
              </w:r>
            </w:hyperlink>
          </w:p>
        </w:tc>
      </w:tr>
    </w:tbl>
    <w:p w:rsidRPr="009401A5" w:rsidR="009401A5" w:rsidP="005A622F" w:rsidRDefault="00455BAD" w14:paraId="7D558A74" w14:textId="3103BD4B">
      <w:pPr>
        <w:pageBreakBefore/>
        <w:widowControl w:val="0"/>
        <w:numPr>
          <w:ilvl w:val="0"/>
          <w:numId w:val="2"/>
        </w:numPr>
        <w:overflowPunct w:val="0"/>
        <w:autoSpaceDE w:val="0"/>
        <w:autoSpaceDN w:val="0"/>
        <w:adjustRightInd w:val="0"/>
        <w:ind w:left="284" w:hanging="284"/>
        <w:textAlignment w:val="baseline"/>
        <w:rPr>
          <w:sz w:val="20"/>
          <w:szCs w:val="20"/>
        </w:rPr>
      </w:pPr>
      <w:hyperlink w:history="1" r:id="rId26">
        <w:r w:rsidR="005D1A62">
          <w:rPr>
            <w:b/>
            <w:i/>
            <w:color w:val="0000FF"/>
            <w:sz w:val="28"/>
            <w:u w:val="single"/>
          </w:rPr>
          <w:t>MFR: Änderungen der Mittelausstattungen für bestimmte Programme und Fonds</w:t>
        </w:r>
      </w:hyperlink>
    </w:p>
    <w:p w:rsidRPr="009401A5" w:rsidR="009401A5" w:rsidP="009401A5" w:rsidRDefault="009401A5" w14:paraId="55AD71FC" w14:textId="77777777">
      <w:pPr>
        <w:tabs>
          <w:tab w:val="center" w:pos="284"/>
        </w:tabs>
        <w:overflowPunct w:val="0"/>
        <w:autoSpaceDE w:val="0"/>
        <w:autoSpaceDN w:val="0"/>
        <w:adjustRightInd w:val="0"/>
        <w:ind w:left="266" w:hanging="266"/>
        <w:textAlignment w:val="baseline"/>
        <w:rPr>
          <w:b/>
        </w:rPr>
      </w:pPr>
    </w:p>
    <w:tbl>
      <w:tblPr>
        <w:tblStyle w:val="TableGrid186"/>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384"/>
      </w:tblGrid>
      <w:tr w:rsidRPr="009401A5" w:rsidR="009401A5" w:rsidTr="00776454" w14:paraId="08ED054A" w14:textId="77777777">
        <w:tc>
          <w:tcPr>
            <w:tcW w:w="1938" w:type="dxa"/>
          </w:tcPr>
          <w:p w:rsidRPr="009401A5" w:rsidR="009401A5" w:rsidP="009401A5" w:rsidRDefault="009401A5" w14:paraId="2210D680" w14:textId="7781A0D6">
            <w:pPr>
              <w:tabs>
                <w:tab w:val="center" w:pos="284"/>
              </w:tabs>
              <w:overflowPunct w:val="0"/>
              <w:autoSpaceDE w:val="0"/>
              <w:autoSpaceDN w:val="0"/>
              <w:adjustRightInd w:val="0"/>
              <w:ind w:left="266" w:hanging="266"/>
              <w:textAlignment w:val="baseline"/>
              <w:rPr>
                <w:b/>
              </w:rPr>
            </w:pPr>
          </w:p>
        </w:tc>
        <w:tc>
          <w:tcPr>
            <w:tcW w:w="7384" w:type="dxa"/>
          </w:tcPr>
          <w:p w:rsidR="002525F9" w:rsidP="009401A5" w:rsidRDefault="002525F9" w14:paraId="0D0DBB43"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7B01A392" w14:textId="049D675A">
            <w:pPr>
              <w:tabs>
                <w:tab w:val="center" w:pos="284"/>
              </w:tabs>
              <w:overflowPunct w:val="0"/>
              <w:autoSpaceDE w:val="0"/>
              <w:autoSpaceDN w:val="0"/>
              <w:adjustRightInd w:val="0"/>
              <w:ind w:left="266" w:hanging="266"/>
              <w:textAlignment w:val="baseline"/>
            </w:pPr>
          </w:p>
        </w:tc>
      </w:tr>
      <w:tr w:rsidRPr="009401A5" w:rsidR="009401A5" w:rsidTr="00776454" w14:paraId="76FE7DCF" w14:textId="77777777">
        <w:tc>
          <w:tcPr>
            <w:tcW w:w="1938" w:type="dxa"/>
            <w:vMerge w:val="restart"/>
          </w:tcPr>
          <w:p w:rsidRPr="009401A5" w:rsidR="009401A5" w:rsidP="009401A5" w:rsidRDefault="009401A5" w14:paraId="3AFAB54B" w14:textId="77777777">
            <w:pPr>
              <w:tabs>
                <w:tab w:val="center" w:pos="284"/>
              </w:tabs>
              <w:overflowPunct w:val="0"/>
              <w:autoSpaceDE w:val="0"/>
              <w:autoSpaceDN w:val="0"/>
              <w:adjustRightInd w:val="0"/>
              <w:ind w:left="266" w:hanging="266"/>
              <w:textAlignment w:val="baseline"/>
              <w:rPr>
                <w:b/>
              </w:rPr>
            </w:pPr>
            <w:r>
              <w:rPr>
                <w:b/>
              </w:rPr>
              <w:t>Referenzdokumente</w:t>
            </w:r>
          </w:p>
        </w:tc>
        <w:tc>
          <w:tcPr>
            <w:tcW w:w="7384" w:type="dxa"/>
          </w:tcPr>
          <w:p w:rsidR="002525F9" w:rsidP="009401A5" w:rsidRDefault="002525F9" w14:paraId="3979296D" w14:textId="4677423E">
            <w:pPr>
              <w:tabs>
                <w:tab w:val="center" w:pos="284"/>
              </w:tabs>
              <w:overflowPunct w:val="0"/>
              <w:autoSpaceDE w:val="0"/>
              <w:autoSpaceDN w:val="0"/>
              <w:adjustRightInd w:val="0"/>
              <w:ind w:left="266" w:hanging="266"/>
              <w:textAlignment w:val="baseline"/>
            </w:pPr>
            <w:r>
              <w:t>Stellungnahme der Kategorie C</w:t>
            </w:r>
          </w:p>
          <w:p w:rsidRPr="009401A5" w:rsidR="009401A5" w:rsidP="009401A5" w:rsidRDefault="009401A5" w14:paraId="3F09D35D" w14:textId="259293AE">
            <w:pPr>
              <w:tabs>
                <w:tab w:val="center" w:pos="284"/>
              </w:tabs>
              <w:overflowPunct w:val="0"/>
              <w:autoSpaceDE w:val="0"/>
              <w:autoSpaceDN w:val="0"/>
              <w:adjustRightInd w:val="0"/>
              <w:ind w:left="266" w:hanging="266"/>
              <w:textAlignment w:val="baseline"/>
            </w:pPr>
            <w:r>
              <w:t xml:space="preserve">COM(2024) 100 final </w:t>
            </w:r>
          </w:p>
        </w:tc>
      </w:tr>
      <w:tr w:rsidRPr="009401A5" w:rsidR="009401A5" w:rsidTr="00776454" w14:paraId="097F5228" w14:textId="77777777">
        <w:tc>
          <w:tcPr>
            <w:tcW w:w="1938" w:type="dxa"/>
            <w:vMerge/>
          </w:tcPr>
          <w:p w:rsidRPr="009401A5" w:rsidR="009401A5" w:rsidP="009401A5" w:rsidRDefault="009401A5" w14:paraId="1C2D650A" w14:textId="77777777">
            <w:pPr>
              <w:tabs>
                <w:tab w:val="center" w:pos="284"/>
              </w:tabs>
              <w:overflowPunct w:val="0"/>
              <w:autoSpaceDE w:val="0"/>
              <w:autoSpaceDN w:val="0"/>
              <w:adjustRightInd w:val="0"/>
              <w:ind w:left="266" w:hanging="266"/>
              <w:textAlignment w:val="baseline"/>
              <w:rPr>
                <w:b/>
              </w:rPr>
            </w:pPr>
          </w:p>
        </w:tc>
        <w:tc>
          <w:tcPr>
            <w:tcW w:w="7384" w:type="dxa"/>
          </w:tcPr>
          <w:p w:rsidRPr="009401A5" w:rsidR="009401A5" w:rsidP="009401A5" w:rsidRDefault="009401A5" w14:paraId="1489E769" w14:textId="77777777">
            <w:pPr>
              <w:tabs>
                <w:tab w:val="center" w:pos="284"/>
              </w:tabs>
              <w:overflowPunct w:val="0"/>
              <w:autoSpaceDE w:val="0"/>
              <w:autoSpaceDN w:val="0"/>
              <w:adjustRightInd w:val="0"/>
              <w:ind w:left="266" w:hanging="266"/>
              <w:textAlignment w:val="baseline"/>
            </w:pPr>
            <w:r>
              <w:t>EESC-2024-01013-00-00-AC</w:t>
            </w:r>
          </w:p>
        </w:tc>
      </w:tr>
    </w:tbl>
    <w:p w:rsidRPr="009401A5" w:rsidR="009401A5" w:rsidP="009401A5" w:rsidRDefault="009401A5" w14:paraId="747F860B"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5B465911"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34D3D1CB"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9401A5" w:rsidR="009401A5" w:rsidP="009401A5" w:rsidRDefault="009401A5" w14:paraId="3D2432CF"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30BE15C7" w14:textId="77777777">
      <w:pPr>
        <w:spacing w:after="200" w:line="276" w:lineRule="auto"/>
        <w:contextualSpacing/>
        <w:rPr>
          <w:bCs/>
          <w:iCs/>
        </w:rPr>
      </w:pPr>
      <w:r>
        <w:t>Da sich der Ausschuss bereits in seiner Stellungnahme „Halbzeitrevision des Mehrjährigen Finanzrahmens 2021-2027“</w:t>
      </w:r>
      <w:r w:rsidRPr="009401A5">
        <w:rPr>
          <w:bCs/>
          <w:iCs/>
          <w:sz w:val="24"/>
          <w:vertAlign w:val="superscript"/>
        </w:rPr>
        <w:footnoteReference w:id="1"/>
      </w:r>
      <w:r>
        <w:t>, verabschiedet am 20. September 2023, zum Inhalt dieses Vorschlags geäußert hat, beschloss er, von der Erarbeitung einer neuen Stellungnahme abzusehen und auf den Standpunkt zu verweisen, den er in der vorgenannten Stellungnahme vertreten hat.</w:t>
      </w:r>
    </w:p>
    <w:p w:rsidRPr="009401A5" w:rsidR="009401A5" w:rsidP="009401A5" w:rsidRDefault="009401A5" w14:paraId="07564053" w14:textId="77777777">
      <w:pPr>
        <w:spacing w:after="200" w:line="276" w:lineRule="auto"/>
        <w:contextualSpacing/>
        <w:rPr>
          <w:color w:val="000000" w:themeColor="text1"/>
          <w:lang w:eastAsia="zh-CN"/>
        </w:rPr>
      </w:pPr>
    </w:p>
    <w:tbl>
      <w:tblPr>
        <w:tblStyle w:val="TableGrid186"/>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9401A5" w:rsidR="009401A5" w:rsidTr="00776454" w14:paraId="5E2BBA97" w14:textId="77777777">
        <w:tc>
          <w:tcPr>
            <w:tcW w:w="1418" w:type="dxa"/>
          </w:tcPr>
          <w:p w:rsidRPr="009401A5" w:rsidR="009401A5" w:rsidP="005A622F" w:rsidRDefault="009401A5" w14:paraId="12EE5924" w14:textId="77777777">
            <w:pPr>
              <w:overflowPunct w:val="0"/>
              <w:autoSpaceDE w:val="0"/>
              <w:autoSpaceDN w:val="0"/>
              <w:adjustRightInd w:val="0"/>
              <w:spacing w:line="240" w:lineRule="auto"/>
              <w:ind w:hanging="110"/>
              <w:textAlignment w:val="baseline"/>
              <w:rPr>
                <w:i/>
              </w:rPr>
            </w:pPr>
            <w:r>
              <w:rPr>
                <w:b/>
                <w:i/>
              </w:rPr>
              <w:t>Kontakt</w:t>
            </w:r>
          </w:p>
        </w:tc>
        <w:tc>
          <w:tcPr>
            <w:tcW w:w="7904" w:type="dxa"/>
          </w:tcPr>
          <w:p w:rsidRPr="009401A5" w:rsidR="009401A5" w:rsidP="005A622F" w:rsidRDefault="009401A5" w14:paraId="5CDE7B44" w14:textId="6DD6A3E9">
            <w:pPr>
              <w:overflowPunct w:val="0"/>
              <w:autoSpaceDE w:val="0"/>
              <w:autoSpaceDN w:val="0"/>
              <w:adjustRightInd w:val="0"/>
              <w:spacing w:line="240" w:lineRule="auto"/>
              <w:ind w:hanging="110"/>
              <w:textAlignment w:val="baseline"/>
              <w:rPr>
                <w:i/>
              </w:rPr>
            </w:pPr>
            <w:r>
              <w:rPr>
                <w:i/>
              </w:rPr>
              <w:t xml:space="preserve">Georgios </w:t>
            </w:r>
            <w:proofErr w:type="spellStart"/>
            <w:r>
              <w:rPr>
                <w:i/>
              </w:rPr>
              <w:t>Meleas</w:t>
            </w:r>
            <w:proofErr w:type="spellEnd"/>
            <w:r>
              <w:rPr>
                <w:i/>
              </w:rPr>
              <w:t xml:space="preserve"> </w:t>
            </w:r>
          </w:p>
        </w:tc>
      </w:tr>
      <w:tr w:rsidRPr="009401A5" w:rsidR="009401A5" w:rsidTr="00776454" w14:paraId="75B9D627" w14:textId="77777777">
        <w:tc>
          <w:tcPr>
            <w:tcW w:w="1418" w:type="dxa"/>
          </w:tcPr>
          <w:p w:rsidRPr="009401A5" w:rsidR="009401A5" w:rsidP="005A622F" w:rsidRDefault="009401A5" w14:paraId="4EA2195B" w14:textId="77777777">
            <w:pPr>
              <w:overflowPunct w:val="0"/>
              <w:autoSpaceDE w:val="0"/>
              <w:autoSpaceDN w:val="0"/>
              <w:adjustRightInd w:val="0"/>
              <w:spacing w:line="240" w:lineRule="auto"/>
              <w:ind w:hanging="110"/>
              <w:textAlignment w:val="baseline"/>
              <w:rPr>
                <w:i/>
              </w:rPr>
            </w:pPr>
            <w:r>
              <w:rPr>
                <w:i/>
              </w:rPr>
              <w:t>Tel.</w:t>
            </w:r>
          </w:p>
        </w:tc>
        <w:tc>
          <w:tcPr>
            <w:tcW w:w="7904" w:type="dxa"/>
          </w:tcPr>
          <w:p w:rsidRPr="009401A5" w:rsidR="009401A5" w:rsidP="005A622F" w:rsidRDefault="009401A5" w14:paraId="3BB3A47B" w14:textId="77777777">
            <w:pPr>
              <w:overflowPunct w:val="0"/>
              <w:autoSpaceDE w:val="0"/>
              <w:autoSpaceDN w:val="0"/>
              <w:adjustRightInd w:val="0"/>
              <w:spacing w:line="240" w:lineRule="auto"/>
              <w:ind w:hanging="110"/>
              <w:textAlignment w:val="baseline"/>
              <w:rPr>
                <w:i/>
              </w:rPr>
            </w:pPr>
            <w:r>
              <w:rPr>
                <w:i/>
              </w:rPr>
              <w:t>+32 25469795</w:t>
            </w:r>
          </w:p>
        </w:tc>
      </w:tr>
      <w:tr w:rsidRPr="009401A5" w:rsidR="009401A5" w:rsidTr="00776454" w14:paraId="236D097F" w14:textId="77777777">
        <w:tc>
          <w:tcPr>
            <w:tcW w:w="1418" w:type="dxa"/>
          </w:tcPr>
          <w:p w:rsidRPr="009401A5" w:rsidR="009401A5" w:rsidP="005A622F" w:rsidRDefault="009401A5" w14:paraId="75597D57" w14:textId="77777777">
            <w:pPr>
              <w:overflowPunct w:val="0"/>
              <w:autoSpaceDE w:val="0"/>
              <w:autoSpaceDN w:val="0"/>
              <w:adjustRightInd w:val="0"/>
              <w:spacing w:line="240" w:lineRule="auto"/>
              <w:ind w:hanging="110"/>
              <w:textAlignment w:val="baseline"/>
              <w:rPr>
                <w:i/>
              </w:rPr>
            </w:pPr>
            <w:r>
              <w:rPr>
                <w:i/>
              </w:rPr>
              <w:t>E-Mail</w:t>
            </w:r>
          </w:p>
        </w:tc>
        <w:tc>
          <w:tcPr>
            <w:tcW w:w="7904" w:type="dxa"/>
          </w:tcPr>
          <w:p w:rsidRPr="009401A5" w:rsidR="009401A5" w:rsidP="005A622F" w:rsidRDefault="00455BAD" w14:paraId="052A7775" w14:textId="77777777">
            <w:pPr>
              <w:overflowPunct w:val="0"/>
              <w:autoSpaceDE w:val="0"/>
              <w:autoSpaceDN w:val="0"/>
              <w:adjustRightInd w:val="0"/>
              <w:spacing w:line="240" w:lineRule="auto"/>
              <w:ind w:hanging="110"/>
              <w:textAlignment w:val="baseline"/>
            </w:pPr>
            <w:hyperlink w:history="1" r:id="rId27">
              <w:r w:rsidR="005D1A62">
                <w:rPr>
                  <w:color w:val="0000FF"/>
                  <w:u w:val="single"/>
                </w:rPr>
                <w:t>Georgios.Meleas@eesc.europa.eu</w:t>
              </w:r>
            </w:hyperlink>
          </w:p>
          <w:p w:rsidRPr="009401A5" w:rsidR="009401A5" w:rsidP="005A622F" w:rsidRDefault="009401A5" w14:paraId="493578ED" w14:textId="77777777">
            <w:pPr>
              <w:overflowPunct w:val="0"/>
              <w:autoSpaceDE w:val="0"/>
              <w:autoSpaceDN w:val="0"/>
              <w:adjustRightInd w:val="0"/>
              <w:spacing w:line="240" w:lineRule="auto"/>
              <w:ind w:hanging="110"/>
              <w:textAlignment w:val="baseline"/>
              <w:rPr>
                <w:i/>
              </w:rPr>
            </w:pPr>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p w:rsidRPr="00D6423D" w:rsidR="005A67F3" w:rsidP="00234EA0" w:rsidRDefault="004C3902" w14:paraId="3792A077" w14:textId="6319EBD1">
      <w:pPr>
        <w:pStyle w:val="Heading1"/>
        <w:ind w:hanging="928"/>
        <w:rPr>
          <w:b/>
          <w:bCs/>
        </w:rPr>
      </w:pPr>
      <w:bookmarkStart w:name="_Toc162435204" w:id="4"/>
      <w:bookmarkStart w:name="_Toc163637041" w:id="5"/>
      <w:bookmarkEnd w:id="4"/>
      <w:r>
        <w:rPr>
          <w:b/>
        </w:rPr>
        <w:lastRenderedPageBreak/>
        <w:t>BINNENMARKT, PRODUKTION, VERBRAUCH</w:t>
      </w:r>
      <w:bookmarkEnd w:id="5"/>
    </w:p>
    <w:p w:rsidRPr="00094B6B" w:rsidR="004C3902" w:rsidP="00775FC4" w:rsidRDefault="004C3902" w14:paraId="51590E30" w14:textId="7D4E8C1F">
      <w:pPr>
        <w:keepNext/>
        <w:keepLines/>
        <w:jc w:val="left"/>
        <w:rPr>
          <w:b/>
          <w:iCs/>
        </w:rPr>
      </w:pPr>
    </w:p>
    <w:p w:rsidRPr="009401A5" w:rsidR="009401A5" w:rsidP="004351D4" w:rsidRDefault="00455BAD" w14:paraId="3199FBE9" w14:textId="304F12B5">
      <w:pPr>
        <w:widowControl w:val="0"/>
        <w:numPr>
          <w:ilvl w:val="0"/>
          <w:numId w:val="2"/>
        </w:numPr>
        <w:overflowPunct w:val="0"/>
        <w:autoSpaceDE w:val="0"/>
        <w:autoSpaceDN w:val="0"/>
        <w:adjustRightInd w:val="0"/>
        <w:ind w:hanging="567"/>
        <w:textAlignment w:val="baseline"/>
        <w:rPr>
          <w:sz w:val="20"/>
          <w:szCs w:val="20"/>
        </w:rPr>
      </w:pPr>
      <w:hyperlink w:history="1" r:id="rId28">
        <w:proofErr w:type="spellStart"/>
        <w:r w:rsidR="005D1A62">
          <w:rPr>
            <w:b/>
            <w:i/>
            <w:color w:val="0000FF"/>
            <w:sz w:val="28"/>
            <w:u w:val="single"/>
          </w:rPr>
          <w:t>EuroHPC</w:t>
        </w:r>
        <w:proofErr w:type="spellEnd"/>
        <w:r w:rsidR="005D1A62">
          <w:rPr>
            <w:b/>
            <w:i/>
            <w:color w:val="0000FF"/>
            <w:sz w:val="28"/>
            <w:u w:val="single"/>
          </w:rPr>
          <w:t>-Initiative</w:t>
        </w:r>
      </w:hyperlink>
    </w:p>
    <w:p w:rsidRPr="009401A5" w:rsidR="009401A5" w:rsidP="009401A5" w:rsidRDefault="009401A5" w14:paraId="7B61F7AD" w14:textId="77777777">
      <w:pPr>
        <w:tabs>
          <w:tab w:val="center" w:pos="284"/>
        </w:tabs>
        <w:overflowPunct w:val="0"/>
        <w:autoSpaceDE w:val="0"/>
        <w:autoSpaceDN w:val="0"/>
        <w:adjustRightInd w:val="0"/>
        <w:ind w:left="266" w:hanging="266"/>
        <w:textAlignment w:val="baseline"/>
        <w:rPr>
          <w:b/>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1134"/>
        <w:gridCol w:w="6108"/>
      </w:tblGrid>
      <w:tr w:rsidRPr="009401A5" w:rsidR="009401A5" w:rsidTr="00776454" w14:paraId="7D3B2831" w14:textId="77777777">
        <w:tc>
          <w:tcPr>
            <w:tcW w:w="3072" w:type="dxa"/>
            <w:gridSpan w:val="2"/>
          </w:tcPr>
          <w:p w:rsidRPr="009401A5" w:rsidR="009401A5" w:rsidP="009401A5" w:rsidRDefault="009401A5" w14:paraId="7867A679" w14:textId="648D8863">
            <w:pPr>
              <w:tabs>
                <w:tab w:val="center" w:pos="284"/>
              </w:tabs>
              <w:overflowPunct w:val="0"/>
              <w:autoSpaceDE w:val="0"/>
              <w:autoSpaceDN w:val="0"/>
              <w:adjustRightInd w:val="0"/>
              <w:ind w:left="266" w:hanging="266"/>
              <w:textAlignment w:val="baseline"/>
              <w:rPr>
                <w:b/>
              </w:rPr>
            </w:pPr>
          </w:p>
        </w:tc>
        <w:tc>
          <w:tcPr>
            <w:tcW w:w="6108" w:type="dxa"/>
          </w:tcPr>
          <w:p w:rsidRPr="009401A5" w:rsidR="009401A5" w:rsidP="009401A5" w:rsidRDefault="009401A5" w14:paraId="3B6A6F43" w14:textId="77777777">
            <w:pPr>
              <w:tabs>
                <w:tab w:val="center" w:pos="284"/>
              </w:tabs>
              <w:overflowPunct w:val="0"/>
              <w:autoSpaceDE w:val="0"/>
              <w:autoSpaceDN w:val="0"/>
              <w:adjustRightInd w:val="0"/>
              <w:ind w:left="266" w:hanging="266"/>
              <w:textAlignment w:val="baseline"/>
              <w:rPr>
                <w:lang w:val="en-US"/>
              </w:rPr>
            </w:pPr>
          </w:p>
        </w:tc>
      </w:tr>
      <w:tr w:rsidRPr="009401A5" w:rsidR="009401A5" w:rsidTr="00776454" w14:paraId="4B5F1C02" w14:textId="77777777">
        <w:tc>
          <w:tcPr>
            <w:tcW w:w="9180" w:type="dxa"/>
            <w:gridSpan w:val="3"/>
          </w:tcPr>
          <w:p w:rsidRPr="009401A5" w:rsidR="009401A5" w:rsidP="009401A5" w:rsidRDefault="009401A5" w14:paraId="6181CB3F"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9401A5" w:rsidR="009401A5" w:rsidTr="00776454" w14:paraId="6FAC2DB5" w14:textId="77777777">
        <w:tc>
          <w:tcPr>
            <w:tcW w:w="1938" w:type="dxa"/>
            <w:vMerge w:val="restart"/>
          </w:tcPr>
          <w:p w:rsidRPr="009401A5" w:rsidR="009401A5" w:rsidP="009401A5" w:rsidRDefault="009401A5" w14:paraId="1AC256B0" w14:textId="77777777">
            <w:pPr>
              <w:tabs>
                <w:tab w:val="center" w:pos="284"/>
              </w:tabs>
              <w:overflowPunct w:val="0"/>
              <w:autoSpaceDE w:val="0"/>
              <w:autoSpaceDN w:val="0"/>
              <w:adjustRightInd w:val="0"/>
              <w:ind w:left="266" w:hanging="266"/>
              <w:textAlignment w:val="baseline"/>
              <w:rPr>
                <w:b/>
              </w:rPr>
            </w:pPr>
            <w:r>
              <w:rPr>
                <w:b/>
              </w:rPr>
              <w:t>Referenzdokumente</w:t>
            </w:r>
          </w:p>
        </w:tc>
        <w:tc>
          <w:tcPr>
            <w:tcW w:w="7242" w:type="dxa"/>
            <w:gridSpan w:val="2"/>
          </w:tcPr>
          <w:p w:rsidRPr="00B01501" w:rsidR="004F3158" w:rsidP="009401A5" w:rsidRDefault="004F3158" w14:paraId="32497FC9" w14:textId="48B803BB">
            <w:pPr>
              <w:tabs>
                <w:tab w:val="center" w:pos="284"/>
              </w:tabs>
              <w:overflowPunct w:val="0"/>
              <w:autoSpaceDE w:val="0"/>
              <w:autoSpaceDN w:val="0"/>
              <w:adjustRightInd w:val="0"/>
              <w:ind w:left="266" w:hanging="266"/>
              <w:textAlignment w:val="baseline"/>
              <w:rPr>
                <w:bCs/>
              </w:rPr>
            </w:pPr>
            <w:r>
              <w:t>Stellungnahme der Kategorie C</w:t>
            </w:r>
          </w:p>
          <w:p w:rsidRPr="009401A5" w:rsidR="009401A5" w:rsidP="009401A5" w:rsidRDefault="009401A5" w14:paraId="2C846F3C" w14:textId="24B6279E">
            <w:pPr>
              <w:tabs>
                <w:tab w:val="center" w:pos="284"/>
              </w:tabs>
              <w:overflowPunct w:val="0"/>
              <w:autoSpaceDE w:val="0"/>
              <w:autoSpaceDN w:val="0"/>
              <w:adjustRightInd w:val="0"/>
              <w:ind w:left="266" w:hanging="266"/>
              <w:textAlignment w:val="baseline"/>
            </w:pPr>
            <w:r>
              <w:t xml:space="preserve">COM(2024) 29 final </w:t>
            </w:r>
          </w:p>
        </w:tc>
      </w:tr>
      <w:tr w:rsidRPr="009401A5" w:rsidR="009401A5" w:rsidTr="00776454" w14:paraId="556E20F8" w14:textId="77777777">
        <w:tc>
          <w:tcPr>
            <w:tcW w:w="1938" w:type="dxa"/>
            <w:vMerge/>
          </w:tcPr>
          <w:p w:rsidRPr="009401A5" w:rsidR="009401A5" w:rsidP="009401A5" w:rsidRDefault="009401A5" w14:paraId="3B625B96" w14:textId="77777777">
            <w:pPr>
              <w:tabs>
                <w:tab w:val="center" w:pos="284"/>
              </w:tabs>
              <w:overflowPunct w:val="0"/>
              <w:autoSpaceDE w:val="0"/>
              <w:autoSpaceDN w:val="0"/>
              <w:adjustRightInd w:val="0"/>
              <w:ind w:left="266" w:hanging="266"/>
              <w:textAlignment w:val="baseline"/>
              <w:rPr>
                <w:b/>
                <w:lang w:val="en-US"/>
              </w:rPr>
            </w:pPr>
          </w:p>
        </w:tc>
        <w:tc>
          <w:tcPr>
            <w:tcW w:w="7242" w:type="dxa"/>
            <w:gridSpan w:val="2"/>
          </w:tcPr>
          <w:p w:rsidRPr="009401A5" w:rsidR="009401A5" w:rsidP="009401A5" w:rsidRDefault="009401A5" w14:paraId="47605372" w14:textId="77777777">
            <w:pPr>
              <w:tabs>
                <w:tab w:val="center" w:pos="284"/>
              </w:tabs>
              <w:overflowPunct w:val="0"/>
              <w:autoSpaceDE w:val="0"/>
              <w:autoSpaceDN w:val="0"/>
              <w:adjustRightInd w:val="0"/>
              <w:ind w:left="266" w:hanging="266"/>
              <w:textAlignment w:val="baseline"/>
            </w:pPr>
            <w:r>
              <w:t>EESC-2024-00926-00-00-AC</w:t>
            </w:r>
          </w:p>
        </w:tc>
      </w:tr>
    </w:tbl>
    <w:p w:rsidRPr="009401A5" w:rsidR="009401A5" w:rsidP="009401A5" w:rsidRDefault="009401A5" w14:paraId="7CF39ACA"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28862947"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9401A5" w:rsidR="009401A5" w:rsidP="009401A5" w:rsidRDefault="009401A5" w14:paraId="3DEA3FDE"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5EA0EE87" w14:textId="77777777">
      <w:pPr>
        <w:overflowPunct w:val="0"/>
        <w:autoSpaceDE w:val="0"/>
        <w:autoSpaceDN w:val="0"/>
        <w:adjustRightInd w:val="0"/>
        <w:textAlignment w:val="baseline"/>
        <w:rPr>
          <w:bCs/>
          <w:iCs/>
        </w:rPr>
      </w:pPr>
      <w:r>
        <w:t>Der EWSA beschloss, eine befürwortende Stellungnahme zu diesem Vorschlag abzugeben.</w:t>
      </w:r>
    </w:p>
    <w:p w:rsidRPr="009401A5" w:rsidR="009401A5" w:rsidP="009401A5" w:rsidRDefault="009401A5" w14:paraId="5EEBAACD" w14:textId="77777777">
      <w:pPr>
        <w:overflowPunct w:val="0"/>
        <w:autoSpaceDE w:val="0"/>
        <w:autoSpaceDN w:val="0"/>
        <w:adjustRightInd w:val="0"/>
        <w:textAlignment w:val="baseline"/>
        <w:rPr>
          <w:bCs/>
          <w:iCs/>
        </w:rPr>
      </w:pPr>
    </w:p>
    <w:p w:rsidRPr="009401A5" w:rsidR="009401A5" w:rsidP="009401A5" w:rsidRDefault="009401A5" w14:paraId="12045AA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62"/>
      </w:tblGrid>
      <w:tr w:rsidRPr="009401A5" w:rsidR="009401A5" w:rsidTr="00776454" w14:paraId="68680265" w14:textId="77777777">
        <w:tc>
          <w:tcPr>
            <w:tcW w:w="1418" w:type="dxa"/>
          </w:tcPr>
          <w:p w:rsidRPr="009401A5" w:rsidR="009401A5" w:rsidP="009401A5" w:rsidRDefault="009401A5" w14:paraId="4C17A7BE" w14:textId="77777777">
            <w:pPr>
              <w:overflowPunct w:val="0"/>
              <w:autoSpaceDE w:val="0"/>
              <w:autoSpaceDN w:val="0"/>
              <w:adjustRightInd w:val="0"/>
              <w:spacing w:line="240" w:lineRule="auto"/>
              <w:textAlignment w:val="baseline"/>
              <w:rPr>
                <w:i/>
              </w:rPr>
            </w:pPr>
            <w:r>
              <w:rPr>
                <w:b/>
                <w:i/>
              </w:rPr>
              <w:t>Kontakt</w:t>
            </w:r>
          </w:p>
        </w:tc>
        <w:tc>
          <w:tcPr>
            <w:tcW w:w="7762" w:type="dxa"/>
          </w:tcPr>
          <w:p w:rsidRPr="009401A5" w:rsidR="009401A5" w:rsidP="009401A5" w:rsidRDefault="009401A5" w14:paraId="428AF865" w14:textId="77777777">
            <w:pPr>
              <w:overflowPunct w:val="0"/>
              <w:autoSpaceDE w:val="0"/>
              <w:autoSpaceDN w:val="0"/>
              <w:adjustRightInd w:val="0"/>
              <w:spacing w:line="240" w:lineRule="auto"/>
              <w:textAlignment w:val="baseline"/>
              <w:rPr>
                <w:i/>
              </w:rPr>
            </w:pPr>
            <w:r>
              <w:rPr>
                <w:i/>
              </w:rPr>
              <w:t>Alice </w:t>
            </w:r>
            <w:proofErr w:type="spellStart"/>
            <w:r>
              <w:rPr>
                <w:i/>
              </w:rPr>
              <w:t>Tétu</w:t>
            </w:r>
            <w:proofErr w:type="spellEnd"/>
          </w:p>
        </w:tc>
      </w:tr>
      <w:tr w:rsidRPr="009401A5" w:rsidR="009401A5" w:rsidTr="00776454" w14:paraId="5E341143" w14:textId="77777777">
        <w:tc>
          <w:tcPr>
            <w:tcW w:w="1418" w:type="dxa"/>
          </w:tcPr>
          <w:p w:rsidRPr="009401A5" w:rsidR="009401A5" w:rsidP="009401A5" w:rsidRDefault="009401A5" w14:paraId="7930D65F" w14:textId="77777777">
            <w:pPr>
              <w:overflowPunct w:val="0"/>
              <w:autoSpaceDE w:val="0"/>
              <w:autoSpaceDN w:val="0"/>
              <w:adjustRightInd w:val="0"/>
              <w:spacing w:line="240" w:lineRule="auto"/>
              <w:textAlignment w:val="baseline"/>
              <w:rPr>
                <w:i/>
              </w:rPr>
            </w:pPr>
            <w:r>
              <w:rPr>
                <w:i/>
              </w:rPr>
              <w:t>Tel.</w:t>
            </w:r>
          </w:p>
        </w:tc>
        <w:tc>
          <w:tcPr>
            <w:tcW w:w="7762" w:type="dxa"/>
          </w:tcPr>
          <w:p w:rsidRPr="009401A5" w:rsidR="009401A5" w:rsidP="009401A5" w:rsidRDefault="009401A5" w14:paraId="619CFA1D" w14:textId="77777777">
            <w:pPr>
              <w:overflowPunct w:val="0"/>
              <w:autoSpaceDE w:val="0"/>
              <w:autoSpaceDN w:val="0"/>
              <w:adjustRightInd w:val="0"/>
              <w:spacing w:line="240" w:lineRule="auto"/>
              <w:textAlignment w:val="baseline"/>
              <w:rPr>
                <w:i/>
              </w:rPr>
            </w:pPr>
            <w:r>
              <w:rPr>
                <w:i/>
              </w:rPr>
              <w:t>+32 25468286</w:t>
            </w:r>
          </w:p>
        </w:tc>
      </w:tr>
      <w:tr w:rsidRPr="009401A5" w:rsidR="009401A5" w:rsidTr="00776454" w14:paraId="2302345A" w14:textId="77777777">
        <w:tc>
          <w:tcPr>
            <w:tcW w:w="1418" w:type="dxa"/>
          </w:tcPr>
          <w:p w:rsidRPr="009401A5" w:rsidR="009401A5" w:rsidP="009401A5" w:rsidRDefault="009401A5" w14:paraId="0E87124E" w14:textId="77777777">
            <w:pPr>
              <w:overflowPunct w:val="0"/>
              <w:autoSpaceDE w:val="0"/>
              <w:autoSpaceDN w:val="0"/>
              <w:adjustRightInd w:val="0"/>
              <w:spacing w:line="240" w:lineRule="auto"/>
              <w:textAlignment w:val="baseline"/>
              <w:rPr>
                <w:i/>
              </w:rPr>
            </w:pPr>
            <w:r>
              <w:rPr>
                <w:i/>
              </w:rPr>
              <w:t>E-Mail</w:t>
            </w:r>
          </w:p>
        </w:tc>
        <w:tc>
          <w:tcPr>
            <w:tcW w:w="7762" w:type="dxa"/>
          </w:tcPr>
          <w:p w:rsidRPr="009401A5" w:rsidR="009401A5" w:rsidP="009401A5" w:rsidRDefault="00455BAD" w14:paraId="6ED60171" w14:textId="77777777">
            <w:pPr>
              <w:overflowPunct w:val="0"/>
              <w:autoSpaceDE w:val="0"/>
              <w:autoSpaceDN w:val="0"/>
              <w:adjustRightInd w:val="0"/>
              <w:spacing w:line="240" w:lineRule="auto"/>
              <w:textAlignment w:val="baseline"/>
              <w:rPr>
                <w:i/>
              </w:rPr>
            </w:pPr>
            <w:hyperlink w:history="1" r:id="rId29">
              <w:r w:rsidR="005D1A62">
                <w:rPr>
                  <w:i/>
                  <w:color w:val="0000FF"/>
                  <w:u w:val="single"/>
                </w:rPr>
                <w:t>Alice.Tetu@eesc.europa.eu</w:t>
              </w:r>
            </w:hyperlink>
          </w:p>
        </w:tc>
      </w:tr>
    </w:tbl>
    <w:p w:rsidR="009401A5" w:rsidRDefault="009401A5" w14:paraId="0418E663" w14:textId="77777777">
      <w:pPr>
        <w:spacing w:after="160" w:line="259" w:lineRule="auto"/>
        <w:jc w:val="left"/>
        <w:rPr>
          <w:sz w:val="16"/>
          <w:szCs w:val="16"/>
        </w:rPr>
      </w:pPr>
    </w:p>
    <w:p w:rsidR="009401A5" w:rsidRDefault="009401A5" w14:paraId="3D8A1ED4" w14:textId="77777777">
      <w:pPr>
        <w:spacing w:after="160" w:line="259" w:lineRule="auto"/>
        <w:jc w:val="left"/>
        <w:rPr>
          <w:sz w:val="16"/>
          <w:szCs w:val="16"/>
        </w:rPr>
      </w:pPr>
      <w:r>
        <w:br w:type="page"/>
      </w:r>
    </w:p>
    <w:p w:rsidRPr="00CC7E96" w:rsidR="00CC7E96" w:rsidP="004351D4" w:rsidRDefault="00455BAD" w14:paraId="21B3FC9F" w14:textId="7B1A9037">
      <w:pPr>
        <w:widowControl w:val="0"/>
        <w:numPr>
          <w:ilvl w:val="0"/>
          <w:numId w:val="2"/>
        </w:numPr>
        <w:overflowPunct w:val="0"/>
        <w:autoSpaceDE w:val="0"/>
        <w:autoSpaceDN w:val="0"/>
        <w:adjustRightInd w:val="0"/>
        <w:ind w:hanging="567"/>
        <w:textAlignment w:val="baseline"/>
        <w:rPr>
          <w:sz w:val="24"/>
          <w:szCs w:val="24"/>
        </w:rPr>
      </w:pPr>
      <w:hyperlink w:tgtFrame="_blank" w:history="1" r:id="rId30">
        <w:r w:rsidR="005D1A62">
          <w:rPr>
            <w:b/>
            <w:i/>
            <w:color w:val="0000FF"/>
            <w:sz w:val="28"/>
            <w:u w:val="single"/>
          </w:rPr>
          <w:t>Medizinprodukte/</w:t>
        </w:r>
        <w:proofErr w:type="spellStart"/>
        <w:r w:rsidR="005D1A62">
          <w:rPr>
            <w:b/>
            <w:i/>
            <w:color w:val="0000FF"/>
            <w:sz w:val="28"/>
            <w:u w:val="single"/>
          </w:rPr>
          <w:t>Eudamed</w:t>
        </w:r>
        <w:proofErr w:type="spellEnd"/>
      </w:hyperlink>
    </w:p>
    <w:p w:rsidRPr="00CC7E96" w:rsidR="00CC7E96" w:rsidP="00CC7E96" w:rsidRDefault="00CC7E96" w14:paraId="10EF19FC" w14:textId="77777777">
      <w:pPr>
        <w:tabs>
          <w:tab w:val="center" w:pos="284"/>
        </w:tabs>
        <w:overflowPunct w:val="0"/>
        <w:autoSpaceDE w:val="0"/>
        <w:autoSpaceDN w:val="0"/>
        <w:adjustRightInd w:val="0"/>
        <w:ind w:left="266" w:hanging="266"/>
        <w:textAlignment w:val="baseline"/>
        <w:rPr>
          <w:b/>
        </w:rPr>
      </w:pPr>
    </w:p>
    <w:tbl>
      <w:tblPr>
        <w:tblStyle w:val="TableGrid187"/>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384"/>
      </w:tblGrid>
      <w:tr w:rsidRPr="00CC7E96" w:rsidR="00CC7E96" w:rsidTr="00776454" w14:paraId="51FB760A" w14:textId="77777777">
        <w:tc>
          <w:tcPr>
            <w:tcW w:w="1938" w:type="dxa"/>
          </w:tcPr>
          <w:p w:rsidRPr="00CC7E96" w:rsidR="00CC7E96" w:rsidP="00CC7E96" w:rsidRDefault="00CC7E96" w14:paraId="3FC49131" w14:textId="77777777">
            <w:pPr>
              <w:tabs>
                <w:tab w:val="center" w:pos="284"/>
              </w:tabs>
              <w:overflowPunct w:val="0"/>
              <w:autoSpaceDE w:val="0"/>
              <w:autoSpaceDN w:val="0"/>
              <w:adjustRightInd w:val="0"/>
              <w:ind w:left="266" w:hanging="266"/>
              <w:textAlignment w:val="baseline"/>
              <w:rPr>
                <w:b/>
              </w:rPr>
            </w:pPr>
            <w:r>
              <w:rPr>
                <w:b/>
              </w:rPr>
              <w:t>Berichterstatter</w:t>
            </w:r>
          </w:p>
        </w:tc>
        <w:tc>
          <w:tcPr>
            <w:tcW w:w="7384" w:type="dxa"/>
          </w:tcPr>
          <w:p w:rsidRPr="00CC7E96" w:rsidR="00CC7E96" w:rsidP="00CC7E96" w:rsidRDefault="00CC7E96" w14:paraId="7302EAED" w14:textId="3BB86BFA">
            <w:pPr>
              <w:tabs>
                <w:tab w:val="center" w:pos="284"/>
              </w:tabs>
              <w:overflowPunct w:val="0"/>
              <w:autoSpaceDE w:val="0"/>
              <w:autoSpaceDN w:val="0"/>
              <w:adjustRightInd w:val="0"/>
              <w:ind w:left="266" w:hanging="266"/>
              <w:textAlignment w:val="baseline"/>
            </w:pPr>
            <w:r>
              <w:t>Danko RELIĆ (Gruppe Organisationen der Zivilgesellschaft – HR)</w:t>
            </w:r>
          </w:p>
        </w:tc>
      </w:tr>
      <w:tr w:rsidRPr="00CC7E96" w:rsidR="00CC7E96" w:rsidTr="00776454" w14:paraId="2140D5CD" w14:textId="77777777">
        <w:tc>
          <w:tcPr>
            <w:tcW w:w="9322" w:type="dxa"/>
            <w:gridSpan w:val="2"/>
          </w:tcPr>
          <w:p w:rsidRPr="00CC7E96" w:rsidR="00CC7E96" w:rsidP="00CC7E96" w:rsidRDefault="00CC7E96" w14:paraId="36EC45DC" w14:textId="77777777">
            <w:pPr>
              <w:tabs>
                <w:tab w:val="center" w:pos="284"/>
              </w:tabs>
              <w:overflowPunct w:val="0"/>
              <w:autoSpaceDE w:val="0"/>
              <w:autoSpaceDN w:val="0"/>
              <w:adjustRightInd w:val="0"/>
              <w:spacing w:line="160" w:lineRule="exact"/>
              <w:ind w:left="266" w:hanging="266"/>
              <w:textAlignment w:val="baseline"/>
            </w:pPr>
          </w:p>
        </w:tc>
      </w:tr>
      <w:tr w:rsidRPr="00CC7E96" w:rsidR="00CC7E96" w:rsidTr="00776454" w14:paraId="7DC0CE54" w14:textId="77777777">
        <w:tc>
          <w:tcPr>
            <w:tcW w:w="1938" w:type="dxa"/>
            <w:vMerge w:val="restart"/>
          </w:tcPr>
          <w:p w:rsidRPr="00CC7E96" w:rsidR="00CC7E96" w:rsidP="00CC7E96" w:rsidRDefault="00CC7E96" w14:paraId="4F56DAE2" w14:textId="77777777">
            <w:pPr>
              <w:tabs>
                <w:tab w:val="center" w:pos="284"/>
              </w:tabs>
              <w:overflowPunct w:val="0"/>
              <w:autoSpaceDE w:val="0"/>
              <w:autoSpaceDN w:val="0"/>
              <w:adjustRightInd w:val="0"/>
              <w:ind w:left="266" w:hanging="266"/>
              <w:textAlignment w:val="baseline"/>
              <w:rPr>
                <w:b/>
              </w:rPr>
            </w:pPr>
            <w:r>
              <w:rPr>
                <w:b/>
              </w:rPr>
              <w:t xml:space="preserve">Referenzdokumente </w:t>
            </w:r>
          </w:p>
        </w:tc>
        <w:tc>
          <w:tcPr>
            <w:tcW w:w="7384" w:type="dxa"/>
          </w:tcPr>
          <w:p w:rsidRPr="00CC7E96" w:rsidR="00CC7E96" w:rsidP="00CC7E96" w:rsidRDefault="00CC7E96" w14:paraId="5217FFE5" w14:textId="2D131BF4">
            <w:pPr>
              <w:tabs>
                <w:tab w:val="center" w:pos="284"/>
              </w:tabs>
              <w:overflowPunct w:val="0"/>
              <w:autoSpaceDE w:val="0"/>
              <w:autoSpaceDN w:val="0"/>
              <w:adjustRightInd w:val="0"/>
              <w:ind w:left="266" w:hanging="266"/>
              <w:textAlignment w:val="baseline"/>
            </w:pPr>
            <w:r>
              <w:t xml:space="preserve">COM(2024) 43 final </w:t>
            </w:r>
          </w:p>
        </w:tc>
      </w:tr>
      <w:tr w:rsidRPr="00CC7E96" w:rsidR="00CC7E96" w:rsidTr="00776454" w14:paraId="29B6824F" w14:textId="77777777">
        <w:tc>
          <w:tcPr>
            <w:tcW w:w="1938" w:type="dxa"/>
            <w:vMerge/>
          </w:tcPr>
          <w:p w:rsidRPr="00CC7E96" w:rsidR="00CC7E96" w:rsidP="00CC7E96" w:rsidRDefault="00CC7E96" w14:paraId="68B85A0F" w14:textId="77777777">
            <w:pPr>
              <w:tabs>
                <w:tab w:val="center" w:pos="284"/>
              </w:tabs>
              <w:overflowPunct w:val="0"/>
              <w:autoSpaceDE w:val="0"/>
              <w:autoSpaceDN w:val="0"/>
              <w:adjustRightInd w:val="0"/>
              <w:ind w:left="266" w:hanging="266"/>
              <w:textAlignment w:val="baseline"/>
              <w:rPr>
                <w:b/>
              </w:rPr>
            </w:pPr>
          </w:p>
        </w:tc>
        <w:tc>
          <w:tcPr>
            <w:tcW w:w="7384" w:type="dxa"/>
          </w:tcPr>
          <w:p w:rsidRPr="00CC7E96" w:rsidR="00CC7E96" w:rsidP="00CC7E96" w:rsidRDefault="00CC7E96" w14:paraId="0363E0DF" w14:textId="77777777">
            <w:pPr>
              <w:tabs>
                <w:tab w:val="center" w:pos="284"/>
              </w:tabs>
              <w:overflowPunct w:val="0"/>
              <w:autoSpaceDE w:val="0"/>
              <w:autoSpaceDN w:val="0"/>
              <w:adjustRightInd w:val="0"/>
              <w:ind w:left="266" w:hanging="266"/>
              <w:textAlignment w:val="baseline"/>
            </w:pPr>
            <w:r>
              <w:t>EESC-2024-00746-00-00-AC</w:t>
            </w:r>
          </w:p>
        </w:tc>
      </w:tr>
    </w:tbl>
    <w:p w:rsidRPr="00CC7E96" w:rsidR="00CC7E96" w:rsidP="00CC7E96" w:rsidRDefault="00CC7E96" w14:paraId="59B1EC7C" w14:textId="77777777">
      <w:pPr>
        <w:tabs>
          <w:tab w:val="center" w:pos="284"/>
        </w:tabs>
        <w:overflowPunct w:val="0"/>
        <w:autoSpaceDE w:val="0"/>
        <w:autoSpaceDN w:val="0"/>
        <w:adjustRightInd w:val="0"/>
        <w:ind w:left="266" w:hanging="266"/>
        <w:textAlignment w:val="baseline"/>
      </w:pPr>
    </w:p>
    <w:p w:rsidRPr="00CC7E96" w:rsidR="00CC7E96" w:rsidP="005A622F" w:rsidRDefault="00CC7E96" w14:paraId="19CA3E72" w14:textId="77777777">
      <w:pPr>
        <w:keepNext/>
        <w:keepLines/>
        <w:tabs>
          <w:tab w:val="center" w:pos="284"/>
        </w:tabs>
        <w:overflowPunct w:val="0"/>
        <w:autoSpaceDE w:val="0"/>
        <w:autoSpaceDN w:val="0"/>
        <w:adjustRightInd w:val="0"/>
        <w:ind w:left="266" w:hanging="124"/>
        <w:textAlignment w:val="baseline"/>
        <w:rPr>
          <w:b/>
        </w:rPr>
      </w:pPr>
      <w:r>
        <w:rPr>
          <w:b/>
        </w:rPr>
        <w:t>Kernaussagen</w:t>
      </w:r>
    </w:p>
    <w:p w:rsidRPr="00CC7E96" w:rsidR="00CC7E96" w:rsidP="00CC7E96" w:rsidRDefault="00CC7E96" w14:paraId="7ECA5661" w14:textId="77777777">
      <w:pPr>
        <w:keepNext/>
        <w:keepLines/>
        <w:tabs>
          <w:tab w:val="center" w:pos="284"/>
        </w:tabs>
        <w:overflowPunct w:val="0"/>
        <w:autoSpaceDE w:val="0"/>
        <w:autoSpaceDN w:val="0"/>
        <w:adjustRightInd w:val="0"/>
        <w:ind w:left="266" w:hanging="266"/>
        <w:textAlignment w:val="baseline"/>
        <w:rPr>
          <w:b/>
        </w:rPr>
      </w:pPr>
    </w:p>
    <w:p w:rsidRPr="00CC7E96" w:rsidR="00CC7E96" w:rsidP="005A622F" w:rsidRDefault="00CC7E96" w14:paraId="3360C592" w14:textId="77777777">
      <w:pPr>
        <w:overflowPunct w:val="0"/>
        <w:autoSpaceDE w:val="0"/>
        <w:autoSpaceDN w:val="0"/>
        <w:adjustRightInd w:val="0"/>
        <w:ind w:firstLine="142"/>
        <w:textAlignment w:val="baseline"/>
        <w:rPr>
          <w:bCs/>
          <w:iCs/>
        </w:rPr>
      </w:pPr>
      <w:r>
        <w:t>Der EWSA</w:t>
      </w:r>
    </w:p>
    <w:p w:rsidRPr="00CC7E96" w:rsidR="00CC7E96" w:rsidP="00CC7E96" w:rsidRDefault="00CC7E96" w14:paraId="22882F1C" w14:textId="77777777">
      <w:pPr>
        <w:overflowPunct w:val="0"/>
        <w:autoSpaceDE w:val="0"/>
        <w:autoSpaceDN w:val="0"/>
        <w:adjustRightInd w:val="0"/>
        <w:textAlignment w:val="baseline"/>
        <w:rPr>
          <w:bCs/>
          <w:iCs/>
        </w:rPr>
      </w:pPr>
    </w:p>
    <w:p w:rsidRPr="00CC7E96" w:rsidR="00CC7E96" w:rsidP="005A622F" w:rsidRDefault="00CC7E96" w14:paraId="5D83FA12" w14:textId="77777777">
      <w:pPr>
        <w:widowControl w:val="0"/>
        <w:numPr>
          <w:ilvl w:val="0"/>
          <w:numId w:val="16"/>
        </w:numPr>
        <w:overflowPunct w:val="0"/>
        <w:autoSpaceDE w:val="0"/>
        <w:autoSpaceDN w:val="0"/>
        <w:adjustRightInd w:val="0"/>
        <w:ind w:hanging="425"/>
        <w:textAlignment w:val="baseline"/>
      </w:pPr>
      <w:r>
        <w:t xml:space="preserve">fordert eine Verlängerung des Übergangszeitraums für bestimmte In-vitro-Diagnostika mit hohem Risiko sowie einen pragmatischen und kohärenten Rahmen, um frühzeitig vor Versorgungsunterbrechungen zu warnen und die Zusammenarbeit zwischen Herstellern, unabhängigen Konformitätsbewertungsstellen („Benannte Stellen“) und Regulierungsbehörden zu fördern, da so EU-weit ein hohes Maß an </w:t>
      </w:r>
      <w:r>
        <w:rPr>
          <w:b/>
        </w:rPr>
        <w:t>Transparenz</w:t>
      </w:r>
      <w:r>
        <w:t xml:space="preserve"> und </w:t>
      </w:r>
      <w:r>
        <w:rPr>
          <w:b/>
        </w:rPr>
        <w:t>Vorsorge</w:t>
      </w:r>
      <w:r>
        <w:t xml:space="preserve"> sichergestellt wird;</w:t>
      </w:r>
    </w:p>
    <w:p w:rsidRPr="00CC7E96" w:rsidR="00CC7E96" w:rsidP="005A622F" w:rsidRDefault="00CC7E96" w14:paraId="2B1D6785" w14:textId="77777777">
      <w:pPr>
        <w:widowControl w:val="0"/>
        <w:numPr>
          <w:ilvl w:val="0"/>
          <w:numId w:val="16"/>
        </w:numPr>
        <w:overflowPunct w:val="0"/>
        <w:autoSpaceDE w:val="0"/>
        <w:autoSpaceDN w:val="0"/>
        <w:adjustRightInd w:val="0"/>
        <w:ind w:hanging="425"/>
        <w:textAlignment w:val="baseline"/>
      </w:pPr>
      <w:r>
        <w:t xml:space="preserve">ist der Ansicht, dass </w:t>
      </w:r>
      <w:r>
        <w:rPr>
          <w:b/>
        </w:rPr>
        <w:t>Engpässe auch von Angehörigen der Gesundheitsberufe gemeldet werden sollten</w:t>
      </w:r>
      <w:r>
        <w:t>, und ruft dazu auf, ein System einzurichten, bei dem Engpässe sowohl von Herstellern als auch von Angehörigen der Gesundheitsberufe gemeldet werden, was zeitnähere und genauere Meldungen ermöglichen würde;</w:t>
      </w:r>
    </w:p>
    <w:p w:rsidRPr="00CC7E96" w:rsidR="00CC7E96" w:rsidP="005A622F" w:rsidRDefault="00CC7E96" w14:paraId="22193122" w14:textId="77777777">
      <w:pPr>
        <w:widowControl w:val="0"/>
        <w:numPr>
          <w:ilvl w:val="0"/>
          <w:numId w:val="16"/>
        </w:numPr>
        <w:overflowPunct w:val="0"/>
        <w:autoSpaceDE w:val="0"/>
        <w:autoSpaceDN w:val="0"/>
        <w:adjustRightInd w:val="0"/>
        <w:ind w:hanging="425"/>
        <w:textAlignment w:val="baseline"/>
      </w:pPr>
      <w:r>
        <w:t xml:space="preserve">hält umfassende </w:t>
      </w:r>
      <w:r>
        <w:rPr>
          <w:b/>
        </w:rPr>
        <w:t>Schulungsprogramme für alle Akteure des Medizinproduktesektors</w:t>
      </w:r>
      <w:r>
        <w:t>, darunter auch Ausbildungsprogramme für Ausbilder, für erforderlich, damit Fachwissen und Kenntnisse über den neuen Regulierungsrahmen flächendeckend vorhanden sind;</w:t>
      </w:r>
    </w:p>
    <w:p w:rsidRPr="00CC7E96" w:rsidR="00CC7E96" w:rsidP="005A622F" w:rsidRDefault="00CC7E96" w14:paraId="3B7EBAB2" w14:textId="77777777">
      <w:pPr>
        <w:widowControl w:val="0"/>
        <w:numPr>
          <w:ilvl w:val="0"/>
          <w:numId w:val="16"/>
        </w:numPr>
        <w:overflowPunct w:val="0"/>
        <w:autoSpaceDE w:val="0"/>
        <w:autoSpaceDN w:val="0"/>
        <w:adjustRightInd w:val="0"/>
        <w:ind w:hanging="425"/>
        <w:textAlignment w:val="baseline"/>
      </w:pPr>
      <w:r>
        <w:t xml:space="preserve">unterstreicht die </w:t>
      </w:r>
      <w:r>
        <w:rPr>
          <w:b/>
        </w:rPr>
        <w:t>Bedeutung der KMU für den Medizinproduktesektor</w:t>
      </w:r>
      <w:r>
        <w:t>, da sie dynamisch reagieren und sich rasch anpassen können; fordert daher Unterstützungsmechanismen wie Subventionen und vereinfachte Optionen für die Einhaltung der Vorschriften, um ihre Innovations- und Wettbewerbsfähigkeit zu verbessern;</w:t>
      </w:r>
    </w:p>
    <w:p w:rsidRPr="00CC7E96" w:rsidR="00CC7E96" w:rsidP="005A622F" w:rsidRDefault="00CC7E96" w14:paraId="07CD143C" w14:textId="77777777">
      <w:pPr>
        <w:widowControl w:val="0"/>
        <w:numPr>
          <w:ilvl w:val="0"/>
          <w:numId w:val="16"/>
        </w:numPr>
        <w:overflowPunct w:val="0"/>
        <w:autoSpaceDE w:val="0"/>
        <w:autoSpaceDN w:val="0"/>
        <w:adjustRightInd w:val="0"/>
        <w:ind w:hanging="425"/>
        <w:textAlignment w:val="baseline"/>
        <w:rPr>
          <w:rFonts w:asciiTheme="minorHAnsi" w:hAnsiTheme="minorHAnsi"/>
          <w:szCs w:val="20"/>
        </w:rPr>
      </w:pPr>
      <w:r>
        <w:t xml:space="preserve">regt an, eine </w:t>
      </w:r>
      <w:r>
        <w:rPr>
          <w:b/>
        </w:rPr>
        <w:t>EU-weite Plattform</w:t>
      </w:r>
      <w:r>
        <w:t xml:space="preserve"> einzurichten, um den Dialog zwischen den Interessenträgern, einschließlich KMU, Angehörigen der Gesundheitsberufe, Herstellern und Regulierungsbehörden, zu erleichtern. Auf diese Weise können Herausforderungen angegangen und bewährte Verfahren bei der Innovation und Regulierung von Medizinprodukten ausgetauscht werden.</w:t>
      </w:r>
    </w:p>
    <w:p w:rsidRPr="00CC7E96" w:rsidR="00CC7E96" w:rsidP="00CC7E96" w:rsidRDefault="00CC7E96" w14:paraId="618E05E8" w14:textId="77777777">
      <w:pPr>
        <w:widowControl w:val="0"/>
        <w:overflowPunct w:val="0"/>
        <w:autoSpaceDE w:val="0"/>
        <w:autoSpaceDN w:val="0"/>
        <w:adjustRightInd w:val="0"/>
        <w:ind w:left="709"/>
        <w:textAlignment w:val="baseline"/>
        <w:rPr>
          <w:szCs w:val="20"/>
        </w:rPr>
      </w:pPr>
    </w:p>
    <w:p w:rsidRPr="00CC7E96" w:rsidR="00CC7E96" w:rsidP="00CC7E96" w:rsidRDefault="00CC7E96" w14:paraId="20857365"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62"/>
      </w:tblGrid>
      <w:tr w:rsidRPr="00CC7E96" w:rsidR="00CC7E96" w:rsidTr="00776454" w14:paraId="7E237AC3" w14:textId="77777777">
        <w:tc>
          <w:tcPr>
            <w:tcW w:w="1418" w:type="dxa"/>
          </w:tcPr>
          <w:p w:rsidRPr="00CC7E96" w:rsidR="00CC7E96" w:rsidP="00CC7E96" w:rsidRDefault="00CC7E96" w14:paraId="3AA8A290" w14:textId="77777777">
            <w:pPr>
              <w:overflowPunct w:val="0"/>
              <w:autoSpaceDE w:val="0"/>
              <w:autoSpaceDN w:val="0"/>
              <w:adjustRightInd w:val="0"/>
              <w:spacing w:line="240" w:lineRule="auto"/>
              <w:textAlignment w:val="baseline"/>
              <w:rPr>
                <w:i/>
              </w:rPr>
            </w:pPr>
            <w:r>
              <w:rPr>
                <w:b/>
                <w:i/>
              </w:rPr>
              <w:t>Kontakt</w:t>
            </w:r>
          </w:p>
        </w:tc>
        <w:tc>
          <w:tcPr>
            <w:tcW w:w="7762" w:type="dxa"/>
          </w:tcPr>
          <w:p w:rsidRPr="00CC7E96" w:rsidR="00CC7E96" w:rsidP="00CC7E96" w:rsidRDefault="00CC7E96" w14:paraId="727142FB" w14:textId="77777777">
            <w:pPr>
              <w:overflowPunct w:val="0"/>
              <w:autoSpaceDE w:val="0"/>
              <w:autoSpaceDN w:val="0"/>
              <w:adjustRightInd w:val="0"/>
              <w:spacing w:line="240" w:lineRule="auto"/>
              <w:textAlignment w:val="baseline"/>
              <w:rPr>
                <w:i/>
              </w:rPr>
            </w:pPr>
            <w:r>
              <w:rPr>
                <w:i/>
              </w:rPr>
              <w:t>Silvia Staffa</w:t>
            </w:r>
          </w:p>
        </w:tc>
      </w:tr>
      <w:tr w:rsidRPr="00CC7E96" w:rsidR="00CC7E96" w:rsidTr="00776454" w14:paraId="082724D8" w14:textId="77777777">
        <w:tc>
          <w:tcPr>
            <w:tcW w:w="1418" w:type="dxa"/>
          </w:tcPr>
          <w:p w:rsidRPr="00CC7E96" w:rsidR="00CC7E96" w:rsidP="00CC7E96" w:rsidRDefault="00CC7E96" w14:paraId="3229741E" w14:textId="77777777">
            <w:pPr>
              <w:overflowPunct w:val="0"/>
              <w:autoSpaceDE w:val="0"/>
              <w:autoSpaceDN w:val="0"/>
              <w:adjustRightInd w:val="0"/>
              <w:spacing w:line="240" w:lineRule="auto"/>
              <w:textAlignment w:val="baseline"/>
              <w:rPr>
                <w:i/>
              </w:rPr>
            </w:pPr>
            <w:r>
              <w:rPr>
                <w:i/>
              </w:rPr>
              <w:t>Tel.</w:t>
            </w:r>
          </w:p>
        </w:tc>
        <w:tc>
          <w:tcPr>
            <w:tcW w:w="7762" w:type="dxa"/>
          </w:tcPr>
          <w:p w:rsidRPr="00CC7E96" w:rsidR="00CC7E96" w:rsidP="00CC7E96" w:rsidRDefault="00CC7E96" w14:paraId="7B585E50" w14:textId="51243A14">
            <w:pPr>
              <w:overflowPunct w:val="0"/>
              <w:autoSpaceDE w:val="0"/>
              <w:autoSpaceDN w:val="0"/>
              <w:adjustRightInd w:val="0"/>
              <w:spacing w:line="240" w:lineRule="auto"/>
              <w:textAlignment w:val="baseline"/>
              <w:rPr>
                <w:i/>
              </w:rPr>
            </w:pPr>
            <w:r>
              <w:rPr>
                <w:i/>
              </w:rPr>
              <w:t>+32 2 546 83 78</w:t>
            </w:r>
          </w:p>
        </w:tc>
      </w:tr>
      <w:tr w:rsidRPr="00CC7E96" w:rsidR="00CC7E96" w:rsidTr="00776454" w14:paraId="18CCA030" w14:textId="77777777">
        <w:tc>
          <w:tcPr>
            <w:tcW w:w="1418" w:type="dxa"/>
          </w:tcPr>
          <w:p w:rsidRPr="00CC7E96" w:rsidR="00CC7E96" w:rsidP="00CC7E96" w:rsidRDefault="00CC7E96" w14:paraId="60BD16A8" w14:textId="77777777">
            <w:pPr>
              <w:overflowPunct w:val="0"/>
              <w:autoSpaceDE w:val="0"/>
              <w:autoSpaceDN w:val="0"/>
              <w:adjustRightInd w:val="0"/>
              <w:spacing w:line="240" w:lineRule="auto"/>
              <w:textAlignment w:val="baseline"/>
              <w:rPr>
                <w:i/>
              </w:rPr>
            </w:pPr>
            <w:r>
              <w:rPr>
                <w:i/>
              </w:rPr>
              <w:t>E-Mail</w:t>
            </w:r>
          </w:p>
        </w:tc>
        <w:tc>
          <w:tcPr>
            <w:tcW w:w="7762" w:type="dxa"/>
          </w:tcPr>
          <w:p w:rsidRPr="00CC7E96" w:rsidR="00CC7E96" w:rsidP="00CC7E96" w:rsidRDefault="00455BAD" w14:paraId="511B20F8" w14:textId="77777777">
            <w:pPr>
              <w:overflowPunct w:val="0"/>
              <w:autoSpaceDE w:val="0"/>
              <w:autoSpaceDN w:val="0"/>
              <w:adjustRightInd w:val="0"/>
              <w:spacing w:line="240" w:lineRule="auto"/>
              <w:textAlignment w:val="baseline"/>
              <w:rPr>
                <w:i/>
              </w:rPr>
            </w:pPr>
            <w:hyperlink w:history="1" r:id="rId31">
              <w:r w:rsidR="005D1A62">
                <w:rPr>
                  <w:i/>
                  <w:color w:val="0000FF"/>
                  <w:u w:val="single"/>
                </w:rPr>
                <w:t>Silvia.Staffa@eesc.europa.eu</w:t>
              </w:r>
            </w:hyperlink>
          </w:p>
        </w:tc>
      </w:tr>
    </w:tbl>
    <w:p w:rsidR="00BE0FC6" w:rsidRDefault="00BE0FC6" w14:paraId="7B36F566" w14:textId="4A4B15A4">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63637042" w:id="6"/>
      <w:r>
        <w:rPr>
          <w:b/>
        </w:rPr>
        <w:lastRenderedPageBreak/>
        <w:t>LANDWIRTSCHAFT, LÄNDLICHE ENTWICKLUNG, UMWELT</w:t>
      </w:r>
      <w:bookmarkEnd w:id="6"/>
    </w:p>
    <w:p w:rsidR="00E20508" w:rsidP="00EE2FBD" w:rsidRDefault="00E20508" w14:paraId="2AC7F599" w14:textId="77777777">
      <w:pPr>
        <w:pStyle w:val="Heading1"/>
        <w:keepNext/>
        <w:keepLines/>
        <w:numPr>
          <w:ilvl w:val="0"/>
          <w:numId w:val="0"/>
        </w:numPr>
        <w:spacing w:before="0"/>
        <w:ind w:left="568"/>
        <w:rPr>
          <w:b/>
          <w:bCs/>
        </w:rPr>
      </w:pPr>
    </w:p>
    <w:p w:rsidRPr="008335B0" w:rsidR="008335B0" w:rsidP="004351D4" w:rsidRDefault="00455BAD" w14:paraId="71EDDE7D" w14:textId="75D4F451">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32">
        <w:r w:rsidR="005D1A62">
          <w:rPr>
            <w:b/>
            <w:i/>
            <w:color w:val="0000FF"/>
            <w:sz w:val="28"/>
            <w:u w:val="single"/>
          </w:rPr>
          <w:t>Gleichstellung von Saatgut aus Moldau und der Ukraine</w:t>
        </w:r>
      </w:hyperlink>
      <w:r w:rsidR="005D1A62">
        <w:rPr>
          <w:b/>
          <w:i/>
          <w:sz w:val="28"/>
        </w:rPr>
        <w:t xml:space="preserve"> </w:t>
      </w:r>
    </w:p>
    <w:p w:rsidRPr="008335B0" w:rsidR="008335B0" w:rsidP="008335B0" w:rsidRDefault="008335B0" w14:paraId="4D7D5A32" w14:textId="778DF4B2">
      <w:pPr>
        <w:tabs>
          <w:tab w:val="center" w:pos="284"/>
        </w:tabs>
        <w:overflowPunct w:val="0"/>
        <w:autoSpaceDE w:val="0"/>
        <w:autoSpaceDN w:val="0"/>
        <w:adjustRightInd w:val="0"/>
        <w:ind w:left="266" w:hanging="266"/>
        <w:textAlignment w:val="baseline"/>
        <w:rPr>
          <w:b/>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242"/>
      </w:tblGrid>
      <w:tr w:rsidRPr="008335B0" w:rsidR="008335B0" w:rsidTr="00776454" w14:paraId="01B47F24" w14:textId="77777777">
        <w:tc>
          <w:tcPr>
            <w:tcW w:w="9180" w:type="dxa"/>
            <w:gridSpan w:val="2"/>
          </w:tcPr>
          <w:p w:rsidRPr="008335B0" w:rsidR="008335B0" w:rsidP="008335B0" w:rsidRDefault="008335B0" w14:paraId="5CFA199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8335B0" w:rsidR="008335B0" w:rsidTr="00776454" w14:paraId="186CCD76" w14:textId="77777777">
        <w:tc>
          <w:tcPr>
            <w:tcW w:w="1938" w:type="dxa"/>
          </w:tcPr>
          <w:p w:rsidRPr="008335B0" w:rsidR="008335B0" w:rsidP="008335B0" w:rsidRDefault="008335B0" w14:paraId="047E2DEC" w14:textId="67045C66">
            <w:pPr>
              <w:tabs>
                <w:tab w:val="center" w:pos="284"/>
              </w:tabs>
              <w:overflowPunct w:val="0"/>
              <w:autoSpaceDE w:val="0"/>
              <w:autoSpaceDN w:val="0"/>
              <w:adjustRightInd w:val="0"/>
              <w:ind w:left="266" w:hanging="266"/>
              <w:textAlignment w:val="baseline"/>
              <w:rPr>
                <w:b/>
              </w:rPr>
            </w:pPr>
            <w:r>
              <w:rPr>
                <w:b/>
              </w:rPr>
              <w:t>Referenzdokumente</w:t>
            </w:r>
          </w:p>
        </w:tc>
        <w:tc>
          <w:tcPr>
            <w:tcW w:w="7242" w:type="dxa"/>
          </w:tcPr>
          <w:p w:rsidR="003A5C4C" w:rsidP="008335B0" w:rsidRDefault="003A5C4C" w14:paraId="035B9E93" w14:textId="102896AC">
            <w:pPr>
              <w:tabs>
                <w:tab w:val="center" w:pos="284"/>
              </w:tabs>
              <w:overflowPunct w:val="0"/>
              <w:autoSpaceDE w:val="0"/>
              <w:autoSpaceDN w:val="0"/>
              <w:adjustRightInd w:val="0"/>
              <w:ind w:left="266" w:hanging="266"/>
              <w:textAlignment w:val="baseline"/>
            </w:pPr>
            <w:r>
              <w:t>Stellungnahme der Kategorie C</w:t>
            </w:r>
          </w:p>
          <w:p w:rsidRPr="008335B0" w:rsidR="008335B0" w:rsidP="008335B0" w:rsidRDefault="008335B0" w14:paraId="77B45FCB" w14:textId="14E3D47E">
            <w:pPr>
              <w:tabs>
                <w:tab w:val="center" w:pos="284"/>
              </w:tabs>
              <w:overflowPunct w:val="0"/>
              <w:autoSpaceDE w:val="0"/>
              <w:autoSpaceDN w:val="0"/>
              <w:adjustRightInd w:val="0"/>
              <w:ind w:left="266" w:hanging="266"/>
              <w:textAlignment w:val="baseline"/>
            </w:pPr>
            <w:r>
              <w:t xml:space="preserve">COM(2024) 52 final </w:t>
            </w:r>
          </w:p>
          <w:p w:rsidRPr="008335B0" w:rsidR="008335B0" w:rsidP="008335B0" w:rsidRDefault="008335B0" w14:paraId="5DCBF442" w14:textId="60081625">
            <w:pPr>
              <w:tabs>
                <w:tab w:val="center" w:pos="284"/>
              </w:tabs>
              <w:overflowPunct w:val="0"/>
              <w:autoSpaceDE w:val="0"/>
              <w:autoSpaceDN w:val="0"/>
              <w:adjustRightInd w:val="0"/>
              <w:ind w:left="266" w:hanging="266"/>
              <w:textAlignment w:val="baseline"/>
            </w:pPr>
            <w:r>
              <w:t>COM(2024) 53 final</w:t>
            </w:r>
          </w:p>
          <w:p w:rsidRPr="008335B0" w:rsidR="008335B0" w:rsidP="008335B0" w:rsidRDefault="008335B0" w14:paraId="74666CE7" w14:textId="77777777">
            <w:pPr>
              <w:tabs>
                <w:tab w:val="center" w:pos="284"/>
              </w:tabs>
              <w:overflowPunct w:val="0"/>
              <w:autoSpaceDE w:val="0"/>
              <w:autoSpaceDN w:val="0"/>
              <w:adjustRightInd w:val="0"/>
              <w:ind w:left="266" w:hanging="266"/>
              <w:textAlignment w:val="baseline"/>
            </w:pPr>
            <w:r>
              <w:t>EESC-2024-00852-00-00-AC</w:t>
            </w:r>
          </w:p>
        </w:tc>
      </w:tr>
    </w:tbl>
    <w:p w:rsidRPr="008335B0" w:rsidR="008335B0" w:rsidP="008335B0" w:rsidRDefault="008335B0" w14:paraId="2112DEF1" w14:textId="77777777">
      <w:pPr>
        <w:tabs>
          <w:tab w:val="center" w:pos="284"/>
        </w:tabs>
        <w:overflowPunct w:val="0"/>
        <w:autoSpaceDE w:val="0"/>
        <w:autoSpaceDN w:val="0"/>
        <w:adjustRightInd w:val="0"/>
        <w:ind w:left="266" w:hanging="266"/>
        <w:textAlignment w:val="baseline"/>
        <w:rPr>
          <w:lang w:val="fr-LU"/>
        </w:rPr>
      </w:pPr>
    </w:p>
    <w:p w:rsidRPr="008335B0" w:rsidR="008335B0" w:rsidP="008335B0" w:rsidRDefault="008335B0" w14:paraId="6BFF8A6E"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8335B0" w:rsidR="008335B0" w:rsidP="008335B0" w:rsidRDefault="008335B0" w14:paraId="456E97B8" w14:textId="77777777">
      <w:pPr>
        <w:overflowPunct w:val="0"/>
        <w:autoSpaceDE w:val="0"/>
        <w:autoSpaceDN w:val="0"/>
        <w:adjustRightInd w:val="0"/>
        <w:textAlignment w:val="baseline"/>
        <w:rPr>
          <w:bCs/>
          <w:iCs/>
          <w:lang w:val="fr-LU"/>
        </w:rPr>
      </w:pPr>
    </w:p>
    <w:p w:rsidRPr="008335B0" w:rsidR="008335B0" w:rsidP="008335B0" w:rsidRDefault="008335B0" w14:paraId="3EBF4E21" w14:textId="77777777">
      <w:pPr>
        <w:outlineLvl w:val="1"/>
        <w:rPr>
          <w:bCs/>
          <w:iCs/>
        </w:rPr>
      </w:pPr>
      <w:r>
        <w:t>Der EWSA</w:t>
      </w:r>
    </w:p>
    <w:p w:rsidRPr="008335B0" w:rsidR="008335B0" w:rsidP="008335B0" w:rsidRDefault="008335B0" w14:paraId="4C250B20" w14:textId="77777777">
      <w:pPr>
        <w:outlineLvl w:val="1"/>
        <w:rPr>
          <w:bCs/>
          <w:iCs/>
        </w:rPr>
      </w:pPr>
    </w:p>
    <w:p w:rsidRPr="00323D28" w:rsidR="008335B0" w:rsidP="005A622F" w:rsidRDefault="008335B0" w14:paraId="44289AE0" w14:textId="77777777">
      <w:pPr>
        <w:pStyle w:val="ListParagraph"/>
        <w:numPr>
          <w:ilvl w:val="0"/>
          <w:numId w:val="17"/>
        </w:numPr>
        <w:overflowPunct w:val="0"/>
        <w:autoSpaceDE w:val="0"/>
        <w:autoSpaceDN w:val="0"/>
        <w:adjustRightInd w:val="0"/>
        <w:spacing w:after="200" w:line="276" w:lineRule="auto"/>
        <w:ind w:left="567" w:hanging="567"/>
        <w:jc w:val="left"/>
        <w:textAlignment w:val="baseline"/>
        <w:outlineLvl w:val="1"/>
        <w:rPr>
          <w:rFonts w:ascii="Calibri" w:hAnsi="Calibri"/>
        </w:rPr>
      </w:pPr>
      <w:r>
        <w:t>stimmt dem Inhalt des Vorschlags vorbehaltlos zu und hat keine Bemerkungen dazu vorzubringen.</w:t>
      </w:r>
    </w:p>
    <w:p w:rsidRPr="008335B0" w:rsidR="008335B0" w:rsidP="008335B0" w:rsidRDefault="008335B0" w14:paraId="64CA4B74" w14:textId="77777777">
      <w:pPr>
        <w:overflowPunct w:val="0"/>
        <w:autoSpaceDE w:val="0"/>
        <w:autoSpaceDN w:val="0"/>
        <w:adjustRightInd w:val="0"/>
        <w:ind w:left="567" w:hanging="567"/>
        <w:contextualSpacing/>
        <w:textAlignment w:val="baseline"/>
        <w:rPr>
          <w:szCs w:val="20"/>
          <w:lang w:val="fr-LU"/>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621"/>
      </w:tblGrid>
      <w:tr w:rsidRPr="008335B0" w:rsidR="008335B0" w:rsidTr="00776454" w14:paraId="41A2C59E" w14:textId="77777777">
        <w:tc>
          <w:tcPr>
            <w:tcW w:w="1418" w:type="dxa"/>
          </w:tcPr>
          <w:p w:rsidRPr="008335B0" w:rsidR="008335B0" w:rsidP="008335B0" w:rsidRDefault="008335B0" w14:paraId="3FBD974E" w14:textId="77777777">
            <w:pPr>
              <w:overflowPunct w:val="0"/>
              <w:autoSpaceDE w:val="0"/>
              <w:autoSpaceDN w:val="0"/>
              <w:adjustRightInd w:val="0"/>
              <w:spacing w:line="240" w:lineRule="auto"/>
              <w:textAlignment w:val="baseline"/>
              <w:rPr>
                <w:i/>
              </w:rPr>
            </w:pPr>
            <w:r>
              <w:rPr>
                <w:b/>
                <w:i/>
              </w:rPr>
              <w:t>Kontakt</w:t>
            </w:r>
          </w:p>
        </w:tc>
        <w:tc>
          <w:tcPr>
            <w:tcW w:w="7621" w:type="dxa"/>
          </w:tcPr>
          <w:p w:rsidRPr="008335B0" w:rsidR="008335B0" w:rsidP="008335B0" w:rsidRDefault="008335B0" w14:paraId="67624FF8" w14:textId="77777777">
            <w:pPr>
              <w:overflowPunct w:val="0"/>
              <w:autoSpaceDE w:val="0"/>
              <w:autoSpaceDN w:val="0"/>
              <w:adjustRightInd w:val="0"/>
              <w:spacing w:line="240" w:lineRule="auto"/>
              <w:textAlignment w:val="baseline"/>
              <w:rPr>
                <w:i/>
              </w:rPr>
            </w:pPr>
            <w:r>
              <w:rPr>
                <w:i/>
              </w:rPr>
              <w:t xml:space="preserve">Arturo </w:t>
            </w:r>
            <w:proofErr w:type="spellStart"/>
            <w:r>
              <w:rPr>
                <w:i/>
              </w:rPr>
              <w:t>Iniguez</w:t>
            </w:r>
            <w:proofErr w:type="spellEnd"/>
          </w:p>
        </w:tc>
      </w:tr>
      <w:tr w:rsidRPr="008335B0" w:rsidR="008335B0" w:rsidTr="00776454" w14:paraId="3EAFEE03" w14:textId="77777777">
        <w:tc>
          <w:tcPr>
            <w:tcW w:w="1418" w:type="dxa"/>
          </w:tcPr>
          <w:p w:rsidRPr="008335B0" w:rsidR="008335B0" w:rsidP="008335B0" w:rsidRDefault="008335B0" w14:paraId="1C842727" w14:textId="31467F61">
            <w:pPr>
              <w:overflowPunct w:val="0"/>
              <w:autoSpaceDE w:val="0"/>
              <w:autoSpaceDN w:val="0"/>
              <w:adjustRightInd w:val="0"/>
              <w:spacing w:line="240" w:lineRule="auto"/>
              <w:textAlignment w:val="baseline"/>
              <w:rPr>
                <w:i/>
              </w:rPr>
            </w:pPr>
            <w:r>
              <w:rPr>
                <w:i/>
              </w:rPr>
              <w:t>Tel.</w:t>
            </w:r>
          </w:p>
        </w:tc>
        <w:tc>
          <w:tcPr>
            <w:tcW w:w="7621" w:type="dxa"/>
          </w:tcPr>
          <w:p w:rsidRPr="008335B0" w:rsidR="008335B0" w:rsidP="008335B0" w:rsidRDefault="008335B0" w14:paraId="14DEB419" w14:textId="77777777">
            <w:pPr>
              <w:overflowPunct w:val="0"/>
              <w:autoSpaceDE w:val="0"/>
              <w:autoSpaceDN w:val="0"/>
              <w:adjustRightInd w:val="0"/>
              <w:spacing w:line="240" w:lineRule="auto"/>
              <w:textAlignment w:val="baseline"/>
              <w:rPr>
                <w:i/>
              </w:rPr>
            </w:pPr>
            <w:r>
              <w:rPr>
                <w:i/>
              </w:rPr>
              <w:t>+32 25468768</w:t>
            </w:r>
          </w:p>
        </w:tc>
      </w:tr>
      <w:tr w:rsidRPr="008335B0" w:rsidR="008335B0" w:rsidTr="00776454" w14:paraId="294314AF" w14:textId="77777777">
        <w:tc>
          <w:tcPr>
            <w:tcW w:w="1418" w:type="dxa"/>
          </w:tcPr>
          <w:p w:rsidRPr="008335B0" w:rsidR="008335B0" w:rsidP="008335B0" w:rsidRDefault="008335B0" w14:paraId="7E4AB523" w14:textId="78918254">
            <w:pPr>
              <w:overflowPunct w:val="0"/>
              <w:autoSpaceDE w:val="0"/>
              <w:autoSpaceDN w:val="0"/>
              <w:adjustRightInd w:val="0"/>
              <w:spacing w:line="240" w:lineRule="auto"/>
              <w:textAlignment w:val="baseline"/>
              <w:rPr>
                <w:i/>
              </w:rPr>
            </w:pPr>
            <w:r>
              <w:rPr>
                <w:i/>
              </w:rPr>
              <w:t>E-Mail</w:t>
            </w:r>
          </w:p>
        </w:tc>
        <w:tc>
          <w:tcPr>
            <w:tcW w:w="7621" w:type="dxa"/>
          </w:tcPr>
          <w:p w:rsidRPr="008335B0" w:rsidR="008335B0" w:rsidP="008335B0" w:rsidRDefault="00455BAD" w14:paraId="13140DEF" w14:textId="77777777">
            <w:pPr>
              <w:overflowPunct w:val="0"/>
              <w:autoSpaceDE w:val="0"/>
              <w:autoSpaceDN w:val="0"/>
              <w:adjustRightInd w:val="0"/>
              <w:spacing w:line="240" w:lineRule="auto"/>
              <w:textAlignment w:val="baseline"/>
              <w:rPr>
                <w:i/>
              </w:rPr>
            </w:pPr>
            <w:hyperlink w:history="1" r:id="rId33">
              <w:r w:rsidR="005D1A62">
                <w:rPr>
                  <w:i/>
                  <w:color w:val="0000FF"/>
                  <w:u w:val="single"/>
                </w:rPr>
                <w:t>Arturo.Iniguez@eesc.europa.eu</w:t>
              </w:r>
            </w:hyperlink>
          </w:p>
          <w:p w:rsidRPr="008335B0" w:rsidR="008335B0" w:rsidP="008335B0" w:rsidRDefault="008335B0" w14:paraId="03673403" w14:textId="77777777">
            <w:pPr>
              <w:overflowPunct w:val="0"/>
              <w:autoSpaceDE w:val="0"/>
              <w:autoSpaceDN w:val="0"/>
              <w:adjustRightInd w:val="0"/>
              <w:spacing w:line="240" w:lineRule="auto"/>
              <w:textAlignment w:val="baseline"/>
              <w:rPr>
                <w:i/>
                <w:lang w:val="fr-LU"/>
              </w:rPr>
            </w:pPr>
          </w:p>
        </w:tc>
      </w:tr>
    </w:tbl>
    <w:p w:rsidR="00332490" w:rsidRDefault="00332490" w14:paraId="59287650" w14:textId="77777777">
      <w:pPr>
        <w:spacing w:after="160" w:line="259" w:lineRule="auto"/>
        <w:jc w:val="left"/>
        <w:rPr>
          <w:b/>
          <w:bCs/>
        </w:rPr>
      </w:pPr>
    </w:p>
    <w:p w:rsidR="00332490" w:rsidRDefault="00332490" w14:paraId="103D0CAA" w14:textId="77777777">
      <w:pPr>
        <w:spacing w:after="160" w:line="259" w:lineRule="auto"/>
        <w:jc w:val="left"/>
        <w:rPr>
          <w:b/>
          <w:bCs/>
        </w:rPr>
      </w:pPr>
      <w:r>
        <w:br w:type="page"/>
      </w:r>
    </w:p>
    <w:p w:rsidRPr="00332490" w:rsidR="00332490" w:rsidP="004351D4" w:rsidRDefault="00455BAD" w14:paraId="4BDF4E5D" w14:textId="533EE80B">
      <w:pPr>
        <w:numPr>
          <w:ilvl w:val="0"/>
          <w:numId w:val="3"/>
        </w:numPr>
        <w:overflowPunct w:val="0"/>
        <w:autoSpaceDE w:val="0"/>
        <w:autoSpaceDN w:val="0"/>
        <w:adjustRightInd w:val="0"/>
        <w:spacing w:line="276" w:lineRule="auto"/>
        <w:contextualSpacing/>
        <w:jc w:val="left"/>
        <w:textAlignment w:val="baseline"/>
        <w:rPr>
          <w:i/>
          <w:iCs/>
        </w:rPr>
      </w:pPr>
      <w:hyperlink w:history="1" r:id="rId34">
        <w:r w:rsidR="005D1A62">
          <w:rPr>
            <w:b/>
            <w:i/>
            <w:color w:val="0000FF"/>
            <w:sz w:val="28"/>
            <w:u w:val="single"/>
          </w:rPr>
          <w:t>Chemikalien: Ein Stoff, eine Bewertung</w:t>
        </w:r>
      </w:hyperlink>
    </w:p>
    <w:p w:rsidRPr="00332490" w:rsidR="000925AF" w:rsidP="00332490" w:rsidRDefault="000925AF" w14:paraId="0ACAD911" w14:textId="77777777">
      <w:pPr>
        <w:widowControl w:val="0"/>
        <w:overflowPunct w:val="0"/>
        <w:autoSpaceDE w:val="0"/>
        <w:autoSpaceDN w:val="0"/>
        <w:adjustRightInd w:val="0"/>
        <w:ind w:left="567"/>
        <w:textAlignment w:val="baseline"/>
        <w:rPr>
          <w:bCs/>
          <w:sz w:val="16"/>
          <w:szCs w:val="16"/>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242"/>
      </w:tblGrid>
      <w:tr w:rsidRPr="00332490" w:rsidR="00332490" w:rsidTr="00776454" w14:paraId="5D4A4E71" w14:textId="77777777">
        <w:tc>
          <w:tcPr>
            <w:tcW w:w="1938" w:type="dxa"/>
          </w:tcPr>
          <w:p w:rsidRPr="00332490" w:rsidR="00332490" w:rsidP="00332490" w:rsidRDefault="00332490" w14:paraId="118B6D2D" w14:textId="77777777">
            <w:pPr>
              <w:tabs>
                <w:tab w:val="center" w:pos="284"/>
              </w:tabs>
              <w:overflowPunct w:val="0"/>
              <w:autoSpaceDE w:val="0"/>
              <w:autoSpaceDN w:val="0"/>
              <w:adjustRightInd w:val="0"/>
              <w:ind w:left="266" w:hanging="266"/>
              <w:textAlignment w:val="baseline"/>
              <w:rPr>
                <w:b/>
              </w:rPr>
            </w:pPr>
            <w:r>
              <w:rPr>
                <w:b/>
              </w:rPr>
              <w:t>Berichterstatter</w:t>
            </w:r>
          </w:p>
        </w:tc>
        <w:tc>
          <w:tcPr>
            <w:tcW w:w="7242" w:type="dxa"/>
          </w:tcPr>
          <w:p w:rsidRPr="00332490" w:rsidR="00332490" w:rsidP="00332490" w:rsidRDefault="00332490" w14:paraId="2CE80D13" w14:textId="2F58CFDB">
            <w:pPr>
              <w:tabs>
                <w:tab w:val="center" w:pos="284"/>
              </w:tabs>
              <w:overflowPunct w:val="0"/>
              <w:autoSpaceDE w:val="0"/>
              <w:autoSpaceDN w:val="0"/>
              <w:adjustRightInd w:val="0"/>
              <w:ind w:left="266" w:hanging="266"/>
              <w:textAlignment w:val="baseline"/>
              <w:rPr>
                <w:bCs/>
              </w:rPr>
            </w:pPr>
            <w:r>
              <w:rPr>
                <w:b/>
              </w:rPr>
              <w:t>John COMER</w:t>
            </w:r>
            <w:r>
              <w:t xml:space="preserve"> (Gruppe Organisationen der Zivilgesellschaft – IE)</w:t>
            </w:r>
          </w:p>
        </w:tc>
      </w:tr>
      <w:tr w:rsidRPr="00332490" w:rsidR="00332490" w:rsidTr="00776454" w14:paraId="3204AFCE" w14:textId="77777777">
        <w:tc>
          <w:tcPr>
            <w:tcW w:w="9180" w:type="dxa"/>
            <w:gridSpan w:val="2"/>
          </w:tcPr>
          <w:p w:rsidRPr="00332490" w:rsidR="00332490" w:rsidP="00332490" w:rsidRDefault="00332490" w14:paraId="06B03C44"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32490" w:rsidR="00332490" w:rsidTr="00776454" w14:paraId="47550B7C" w14:textId="77777777">
        <w:tc>
          <w:tcPr>
            <w:tcW w:w="1938" w:type="dxa"/>
            <w:vMerge w:val="restart"/>
          </w:tcPr>
          <w:p w:rsidRPr="00332490" w:rsidR="00332490" w:rsidP="00332490" w:rsidRDefault="00332490" w14:paraId="78D94707" w14:textId="77777777">
            <w:pPr>
              <w:tabs>
                <w:tab w:val="center" w:pos="284"/>
              </w:tabs>
              <w:overflowPunct w:val="0"/>
              <w:autoSpaceDE w:val="0"/>
              <w:autoSpaceDN w:val="0"/>
              <w:adjustRightInd w:val="0"/>
              <w:ind w:left="266" w:hanging="266"/>
              <w:textAlignment w:val="baseline"/>
              <w:rPr>
                <w:b/>
              </w:rPr>
            </w:pPr>
            <w:r>
              <w:rPr>
                <w:b/>
              </w:rPr>
              <w:t>Referenzdokumente</w:t>
            </w:r>
          </w:p>
        </w:tc>
        <w:tc>
          <w:tcPr>
            <w:tcW w:w="7242" w:type="dxa"/>
          </w:tcPr>
          <w:p w:rsidR="003F6EE3" w:rsidP="00332490" w:rsidRDefault="00332490" w14:paraId="2001898C" w14:textId="41D24364">
            <w:pPr>
              <w:tabs>
                <w:tab w:val="center" w:pos="0"/>
              </w:tabs>
              <w:overflowPunct w:val="0"/>
              <w:autoSpaceDE w:val="0"/>
              <w:autoSpaceDN w:val="0"/>
              <w:adjustRightInd w:val="0"/>
              <w:textAlignment w:val="baseline"/>
            </w:pPr>
            <w:r>
              <w:t>COM(2023) 779 final</w:t>
            </w:r>
          </w:p>
          <w:p w:rsidR="003F6EE3" w:rsidP="00332490" w:rsidRDefault="00332490" w14:paraId="606947F5" w14:textId="6DE28069">
            <w:pPr>
              <w:tabs>
                <w:tab w:val="center" w:pos="0"/>
              </w:tabs>
              <w:overflowPunct w:val="0"/>
              <w:autoSpaceDE w:val="0"/>
              <w:autoSpaceDN w:val="0"/>
              <w:adjustRightInd w:val="0"/>
              <w:textAlignment w:val="baseline"/>
            </w:pPr>
            <w:r>
              <w:t xml:space="preserve">COM(2023) 783 final </w:t>
            </w:r>
          </w:p>
          <w:p w:rsidRPr="00332490" w:rsidR="00332490" w:rsidP="00332490" w:rsidRDefault="00332490" w14:paraId="4286C58A" w14:textId="33CF61DC">
            <w:pPr>
              <w:tabs>
                <w:tab w:val="center" w:pos="0"/>
              </w:tabs>
              <w:overflowPunct w:val="0"/>
              <w:autoSpaceDE w:val="0"/>
              <w:autoSpaceDN w:val="0"/>
              <w:adjustRightInd w:val="0"/>
              <w:textAlignment w:val="baseline"/>
            </w:pPr>
            <w:r>
              <w:t xml:space="preserve">COM(2023) 781 final </w:t>
            </w:r>
          </w:p>
        </w:tc>
      </w:tr>
      <w:tr w:rsidRPr="00332490" w:rsidR="00332490" w:rsidTr="00776454" w14:paraId="25EBDBF8" w14:textId="77777777">
        <w:tc>
          <w:tcPr>
            <w:tcW w:w="1938" w:type="dxa"/>
            <w:vMerge/>
          </w:tcPr>
          <w:p w:rsidRPr="00332490" w:rsidR="00332490" w:rsidP="00332490" w:rsidRDefault="00332490" w14:paraId="24A67169" w14:textId="77777777">
            <w:pPr>
              <w:tabs>
                <w:tab w:val="center" w:pos="284"/>
              </w:tabs>
              <w:overflowPunct w:val="0"/>
              <w:autoSpaceDE w:val="0"/>
              <w:autoSpaceDN w:val="0"/>
              <w:adjustRightInd w:val="0"/>
              <w:ind w:left="266" w:hanging="266"/>
              <w:textAlignment w:val="baseline"/>
              <w:rPr>
                <w:b/>
              </w:rPr>
            </w:pPr>
          </w:p>
        </w:tc>
        <w:tc>
          <w:tcPr>
            <w:tcW w:w="7242" w:type="dxa"/>
          </w:tcPr>
          <w:p w:rsidRPr="00332490" w:rsidR="00332490" w:rsidP="00332490" w:rsidRDefault="00332490" w14:paraId="20598910" w14:textId="77777777">
            <w:pPr>
              <w:tabs>
                <w:tab w:val="center" w:pos="284"/>
              </w:tabs>
              <w:overflowPunct w:val="0"/>
              <w:autoSpaceDE w:val="0"/>
              <w:autoSpaceDN w:val="0"/>
              <w:adjustRightInd w:val="0"/>
              <w:ind w:left="266" w:hanging="266"/>
              <w:textAlignment w:val="baseline"/>
            </w:pPr>
            <w:r>
              <w:t>EESC-2023-05710-00-00-AC-TRA</w:t>
            </w:r>
          </w:p>
        </w:tc>
      </w:tr>
    </w:tbl>
    <w:p w:rsidRPr="00332490" w:rsidR="00332490" w:rsidP="00332490" w:rsidRDefault="00332490" w14:paraId="64627290" w14:textId="77777777">
      <w:pPr>
        <w:tabs>
          <w:tab w:val="center" w:pos="284"/>
        </w:tabs>
        <w:overflowPunct w:val="0"/>
        <w:autoSpaceDE w:val="0"/>
        <w:autoSpaceDN w:val="0"/>
        <w:adjustRightInd w:val="0"/>
        <w:ind w:left="266" w:hanging="266"/>
        <w:textAlignment w:val="baseline"/>
        <w:rPr>
          <w:b/>
          <w:sz w:val="10"/>
          <w:szCs w:val="10"/>
        </w:rPr>
      </w:pPr>
    </w:p>
    <w:p w:rsidR="00332490" w:rsidP="00332490" w:rsidRDefault="00332490" w14:paraId="2FD1E45E" w14:textId="3650B337">
      <w:pPr>
        <w:tabs>
          <w:tab w:val="center" w:pos="284"/>
        </w:tabs>
        <w:overflowPunct w:val="0"/>
        <w:autoSpaceDE w:val="0"/>
        <w:autoSpaceDN w:val="0"/>
        <w:adjustRightInd w:val="0"/>
        <w:spacing w:line="276" w:lineRule="auto"/>
        <w:ind w:left="266" w:hanging="266"/>
        <w:textAlignment w:val="baseline"/>
        <w:rPr>
          <w:b/>
        </w:rPr>
      </w:pPr>
      <w:r>
        <w:rPr>
          <w:b/>
        </w:rPr>
        <w:t>Kernaussagen</w:t>
      </w:r>
    </w:p>
    <w:p w:rsidRPr="00332490" w:rsidR="00817B23" w:rsidP="00332490" w:rsidRDefault="00817B23" w14:paraId="50F802B8" w14:textId="77777777">
      <w:pPr>
        <w:tabs>
          <w:tab w:val="center" w:pos="284"/>
        </w:tabs>
        <w:overflowPunct w:val="0"/>
        <w:autoSpaceDE w:val="0"/>
        <w:autoSpaceDN w:val="0"/>
        <w:adjustRightInd w:val="0"/>
        <w:spacing w:line="276" w:lineRule="auto"/>
        <w:ind w:left="266" w:hanging="266"/>
        <w:textAlignment w:val="baseline"/>
        <w:rPr>
          <w:b/>
        </w:rPr>
      </w:pPr>
    </w:p>
    <w:p w:rsidRPr="00332490" w:rsidR="00332490" w:rsidP="00332490" w:rsidRDefault="00332490" w14:paraId="2232ACC3" w14:textId="77777777">
      <w:pPr>
        <w:tabs>
          <w:tab w:val="center" w:pos="284"/>
        </w:tabs>
        <w:overflowPunct w:val="0"/>
        <w:autoSpaceDE w:val="0"/>
        <w:autoSpaceDN w:val="0"/>
        <w:adjustRightInd w:val="0"/>
        <w:spacing w:line="276" w:lineRule="auto"/>
        <w:ind w:left="266" w:hanging="266"/>
        <w:textAlignment w:val="baseline"/>
        <w:rPr>
          <w:bCs/>
          <w:sz w:val="16"/>
          <w:szCs w:val="16"/>
        </w:rPr>
      </w:pPr>
    </w:p>
    <w:p w:rsidRPr="00332490" w:rsidR="00332490" w:rsidP="00332490" w:rsidRDefault="00332490" w14:paraId="0D1A7AAD" w14:textId="77777777">
      <w:pPr>
        <w:overflowPunct w:val="0"/>
        <w:autoSpaceDE w:val="0"/>
        <w:autoSpaceDN w:val="0"/>
        <w:adjustRightInd w:val="0"/>
        <w:spacing w:line="240" w:lineRule="auto"/>
        <w:textAlignment w:val="baseline"/>
        <w:rPr>
          <w:bCs/>
          <w:iCs/>
        </w:rPr>
      </w:pPr>
      <w:r>
        <w:t>Der EWSA</w:t>
      </w:r>
    </w:p>
    <w:p w:rsidRPr="00332490" w:rsidR="00332490" w:rsidP="00332490" w:rsidRDefault="00332490" w14:paraId="4BE0FD6A" w14:textId="77777777">
      <w:pPr>
        <w:overflowPunct w:val="0"/>
        <w:autoSpaceDE w:val="0"/>
        <w:autoSpaceDN w:val="0"/>
        <w:adjustRightInd w:val="0"/>
        <w:spacing w:line="240" w:lineRule="auto"/>
        <w:textAlignment w:val="baseline"/>
        <w:rPr>
          <w:bCs/>
          <w:iCs/>
          <w:sz w:val="16"/>
          <w:szCs w:val="16"/>
        </w:rPr>
      </w:pPr>
    </w:p>
    <w:p w:rsidRPr="0014322B" w:rsidR="00332490" w:rsidP="005A622F" w:rsidRDefault="00332490" w14:paraId="116698B0"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begrüßt das Paket „Ein Stoff, eine Bewertung“</w:t>
      </w:r>
      <w:r>
        <w:t>;</w:t>
      </w:r>
    </w:p>
    <w:p w:rsidRPr="005A622F" w:rsidR="00332490" w:rsidP="005A622F" w:rsidRDefault="00332490" w14:paraId="27FC4EDD"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begrüßt die Einrichtung einer Plattform als zentrale Anlaufstelle</w:t>
      </w:r>
      <w:r>
        <w:t>, mit der Daten über Chemikalien aus verschiedenen Quellen zusammengeführt werden und die unter der Aufsicht der Europäischen Chemikalienagentur (ECHA) stehen wird;</w:t>
      </w:r>
    </w:p>
    <w:p w:rsidRPr="005A622F" w:rsidR="00332490" w:rsidP="005A622F" w:rsidRDefault="00332490" w14:paraId="156A2D3C" w14:textId="77777777">
      <w:pPr>
        <w:pStyle w:val="ListParagraph"/>
        <w:numPr>
          <w:ilvl w:val="0"/>
          <w:numId w:val="17"/>
        </w:numPr>
        <w:overflowPunct w:val="0"/>
        <w:autoSpaceDE w:val="0"/>
        <w:autoSpaceDN w:val="0"/>
        <w:adjustRightInd w:val="0"/>
        <w:ind w:left="426" w:hanging="426"/>
        <w:textAlignment w:val="baseline"/>
        <w:outlineLvl w:val="1"/>
        <w:rPr>
          <w:szCs w:val="20"/>
        </w:rPr>
      </w:pPr>
      <w:r>
        <w:t>ist besorgt, dass die Rolle der ECHA beim Konzept „Ein Stoff, eine Bewertung“ nicht umfassend bewertet werden kann, da die neue Verordnung über die Umstrukturierung der ECHA nicht veröffentlicht wurde. Diese Rolle ist aber für die erfolgreiche Umsetzung des Konzepts maßgeblich;</w:t>
      </w:r>
    </w:p>
    <w:p w:rsidRPr="0014322B" w:rsidR="00332490" w:rsidP="005A622F" w:rsidRDefault="00332490" w14:paraId="25560C13"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äußert Zweifel daran, ob Unternehmer zur Zusammenarbeit bei der Durchführung wissenschaftlicher Studien verpflichtet sein werden oder gegen einen Auftrag der ECHA Widerspruch einlegen können</w:t>
      </w:r>
      <w:r>
        <w:t>, wenn die bestehenden Bestimmungen oder Verfahren im Rahmen der Rechtsvorschriften der Union nicht geeignet sind, um die erforderlichen Ergebnisse hervorzubringen;</w:t>
      </w:r>
    </w:p>
    <w:p w:rsidRPr="005A622F" w:rsidR="00332490" w:rsidP="005A622F" w:rsidRDefault="00332490" w14:paraId="7119EDFF"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ist der Ansicht, dass die für die gemeinsame Datenplattform geltenden Vertraulichkeitsbestimmungen klar festgelegt werden müssen</w:t>
      </w:r>
      <w:r>
        <w:t>, damit die Wirtschaftsteilnehmer uneingeschränktes Vertrauen in das System haben. In diesem Zusammenhang ist zu begrüßen, dass der Zugang zu vertraulichen Informationen überprüft werden kann. Darüber hinaus muss mehr Klarheit in Bezug auf den Austausch und die Weiterverwendung von Daten über Chemikalien geschaffen werden;</w:t>
      </w:r>
    </w:p>
    <w:p w:rsidRPr="005A622F" w:rsidR="00332490" w:rsidP="005A622F" w:rsidRDefault="00332490" w14:paraId="0ACC3937"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fragt sich, wie im Fall divergierender Einschätzungen bei in Auftrag gegebenen Studien vorzugehen ist, und </w:t>
      </w:r>
      <w:r>
        <w:rPr>
          <w:b/>
        </w:rPr>
        <w:t>fordert die Anwendung des Vorsorgeprinzips</w:t>
      </w:r>
      <w:r>
        <w:t xml:space="preserve"> zum Schutz der öffentlichen Gesundheit und der Umwelt;</w:t>
      </w:r>
    </w:p>
    <w:p w:rsidRPr="0014322B" w:rsidR="00332490" w:rsidP="005A622F" w:rsidRDefault="00332490" w14:paraId="57BBA3E8"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ist der Ansicht, dass die </w:t>
      </w:r>
      <w:r>
        <w:rPr>
          <w:b/>
        </w:rPr>
        <w:t>Meldung von Studien den Verwaltungsaufwand für Unternehmen erhöhen wird</w:t>
      </w:r>
      <w:r>
        <w:t>, und fordert, dies sorgfältig zu überwachen;</w:t>
      </w:r>
    </w:p>
    <w:p w:rsidRPr="005A622F" w:rsidR="00332490" w:rsidP="005A622F" w:rsidRDefault="00332490" w14:paraId="548BEC92" w14:textId="77777777">
      <w:pPr>
        <w:pStyle w:val="ListParagraph"/>
        <w:numPr>
          <w:ilvl w:val="0"/>
          <w:numId w:val="17"/>
        </w:numPr>
        <w:overflowPunct w:val="0"/>
        <w:autoSpaceDE w:val="0"/>
        <w:autoSpaceDN w:val="0"/>
        <w:adjustRightInd w:val="0"/>
        <w:ind w:left="426" w:hanging="426"/>
        <w:textAlignment w:val="baseline"/>
        <w:outlineLvl w:val="1"/>
        <w:rPr>
          <w:szCs w:val="20"/>
        </w:rPr>
      </w:pPr>
      <w:r>
        <w:t>hegt Zweifel, ob die ECHA das System so verwalten kann, dass größtmögliche Synergieeffekte und Zusammenarbeit erzielt werden;</w:t>
      </w:r>
    </w:p>
    <w:p w:rsidRPr="0014322B" w:rsidR="00332490" w:rsidP="005A622F" w:rsidRDefault="00332490" w14:paraId="16FF8F75"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fordert, dass die neuen Vorschläge einen möglichst breiten Zugang zu Dokumenten gewährleisten, die chemische Daten enthalten</w:t>
      </w:r>
      <w:r>
        <w:t>; hier müssen strenge Vorschriften gelten;</w:t>
      </w:r>
    </w:p>
    <w:p w:rsidRPr="0014322B" w:rsidR="00332490" w:rsidP="005A622F" w:rsidRDefault="00332490" w14:paraId="652F3CFD"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stellt fest, dass das </w:t>
      </w:r>
      <w:r>
        <w:rPr>
          <w:b/>
        </w:rPr>
        <w:t>Paket derzeit nicht ausreichend ist, um die Zuverlässigkeit der Daten zu gewährleisten und wertvolle Erkenntnisse aus unabhängigen Forschungsarbeiten in vollem Umfang zu nutzen</w:t>
      </w:r>
      <w:r>
        <w:t>, insbesondere im Frühwarn- und Reaktionssystem sowie allgemein bei Umwelt- und Gesundheitsbewertungen.</w:t>
      </w:r>
    </w:p>
    <w:p w:rsidRPr="00332490" w:rsidR="00332490" w:rsidP="00332490" w:rsidRDefault="00332490" w14:paraId="6043ACAB" w14:textId="77777777">
      <w:pPr>
        <w:overflowPunct w:val="0"/>
        <w:autoSpaceDE w:val="0"/>
        <w:autoSpaceDN w:val="0"/>
        <w:adjustRightInd w:val="0"/>
        <w:spacing w:line="240" w:lineRule="auto"/>
        <w:textAlignment w:val="baseline"/>
        <w:rPr>
          <w:sz w:val="18"/>
          <w:szCs w:val="18"/>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62"/>
      </w:tblGrid>
      <w:tr w:rsidRPr="00332490" w:rsidR="00332490" w:rsidTr="00776454" w14:paraId="741DF89D" w14:textId="77777777">
        <w:tc>
          <w:tcPr>
            <w:tcW w:w="1418" w:type="dxa"/>
          </w:tcPr>
          <w:p w:rsidRPr="00332490" w:rsidR="00332490" w:rsidP="00776454" w:rsidRDefault="00332490" w14:paraId="1F441881" w14:textId="77777777">
            <w:pPr>
              <w:keepNext/>
              <w:keepLines/>
              <w:overflowPunct w:val="0"/>
              <w:autoSpaceDE w:val="0"/>
              <w:autoSpaceDN w:val="0"/>
              <w:adjustRightInd w:val="0"/>
              <w:spacing w:line="240" w:lineRule="auto"/>
              <w:ind w:left="34" w:right="-253"/>
              <w:textAlignment w:val="baseline"/>
              <w:rPr>
                <w:i/>
              </w:rPr>
            </w:pPr>
            <w:r>
              <w:rPr>
                <w:b/>
                <w:i/>
              </w:rPr>
              <w:lastRenderedPageBreak/>
              <w:t>Kontakt</w:t>
            </w:r>
          </w:p>
        </w:tc>
        <w:tc>
          <w:tcPr>
            <w:tcW w:w="7762" w:type="dxa"/>
          </w:tcPr>
          <w:p w:rsidRPr="00332490" w:rsidR="00332490" w:rsidP="00776454" w:rsidRDefault="00332490" w14:paraId="126CD46C" w14:textId="77777777">
            <w:pPr>
              <w:keepNext/>
              <w:keepLines/>
              <w:overflowPunct w:val="0"/>
              <w:autoSpaceDE w:val="0"/>
              <w:autoSpaceDN w:val="0"/>
              <w:adjustRightInd w:val="0"/>
              <w:spacing w:line="240" w:lineRule="auto"/>
              <w:ind w:left="145"/>
              <w:textAlignment w:val="baseline"/>
              <w:rPr>
                <w:i/>
                <w:iCs/>
              </w:rPr>
            </w:pPr>
            <w:r>
              <w:rPr>
                <w:i/>
              </w:rPr>
              <w:t xml:space="preserve">Gaia </w:t>
            </w:r>
            <w:proofErr w:type="spellStart"/>
            <w:r>
              <w:rPr>
                <w:i/>
              </w:rPr>
              <w:t>Bottoni</w:t>
            </w:r>
            <w:proofErr w:type="spellEnd"/>
          </w:p>
        </w:tc>
      </w:tr>
      <w:tr w:rsidRPr="00332490" w:rsidR="00332490" w:rsidTr="00776454" w14:paraId="3B44AD7D" w14:textId="77777777">
        <w:tc>
          <w:tcPr>
            <w:tcW w:w="1418" w:type="dxa"/>
          </w:tcPr>
          <w:p w:rsidRPr="00332490" w:rsidR="00332490" w:rsidP="00776454" w:rsidRDefault="00332490" w14:paraId="3CD7A6E1" w14:textId="77777777">
            <w:pPr>
              <w:keepNext/>
              <w:keepLines/>
              <w:overflowPunct w:val="0"/>
              <w:autoSpaceDE w:val="0"/>
              <w:autoSpaceDN w:val="0"/>
              <w:adjustRightInd w:val="0"/>
              <w:spacing w:line="240" w:lineRule="auto"/>
              <w:ind w:left="34"/>
              <w:textAlignment w:val="baseline"/>
              <w:rPr>
                <w:i/>
              </w:rPr>
            </w:pPr>
            <w:r>
              <w:rPr>
                <w:i/>
              </w:rPr>
              <w:t>Tel.</w:t>
            </w:r>
          </w:p>
        </w:tc>
        <w:tc>
          <w:tcPr>
            <w:tcW w:w="7762" w:type="dxa"/>
          </w:tcPr>
          <w:p w:rsidRPr="00332490" w:rsidR="00332490" w:rsidP="00776454" w:rsidRDefault="00332490" w14:paraId="3829EBB7" w14:textId="77777777">
            <w:pPr>
              <w:keepNext/>
              <w:keepLines/>
              <w:overflowPunct w:val="0"/>
              <w:autoSpaceDE w:val="0"/>
              <w:autoSpaceDN w:val="0"/>
              <w:adjustRightInd w:val="0"/>
              <w:spacing w:line="240" w:lineRule="auto"/>
              <w:ind w:left="145"/>
              <w:textAlignment w:val="baseline"/>
              <w:rPr>
                <w:i/>
                <w:iCs/>
              </w:rPr>
            </w:pPr>
            <w:r>
              <w:rPr>
                <w:i/>
              </w:rPr>
              <w:t>+32 25469447</w:t>
            </w:r>
          </w:p>
        </w:tc>
      </w:tr>
      <w:tr w:rsidRPr="00332490" w:rsidR="00332490" w:rsidTr="00776454" w14:paraId="21C0AC4E" w14:textId="77777777">
        <w:tc>
          <w:tcPr>
            <w:tcW w:w="1418" w:type="dxa"/>
          </w:tcPr>
          <w:p w:rsidRPr="00332490" w:rsidR="00332490" w:rsidP="00776454" w:rsidRDefault="00274C1C" w14:paraId="54C05E5D" w14:textId="35EA1654">
            <w:pPr>
              <w:keepNext/>
              <w:keepLines/>
              <w:overflowPunct w:val="0"/>
              <w:autoSpaceDE w:val="0"/>
              <w:autoSpaceDN w:val="0"/>
              <w:adjustRightInd w:val="0"/>
              <w:spacing w:line="240" w:lineRule="auto"/>
              <w:ind w:left="34"/>
              <w:textAlignment w:val="baseline"/>
              <w:rPr>
                <w:i/>
              </w:rPr>
            </w:pPr>
            <w:r>
              <w:rPr>
                <w:i/>
              </w:rPr>
              <w:t>E-Mail</w:t>
            </w:r>
          </w:p>
        </w:tc>
        <w:tc>
          <w:tcPr>
            <w:tcW w:w="7762" w:type="dxa"/>
          </w:tcPr>
          <w:p w:rsidRPr="00332490" w:rsidR="00332490" w:rsidP="00776454" w:rsidRDefault="00455BAD" w14:paraId="72F0FA56" w14:textId="77777777">
            <w:pPr>
              <w:keepNext/>
              <w:keepLines/>
              <w:overflowPunct w:val="0"/>
              <w:autoSpaceDE w:val="0"/>
              <w:autoSpaceDN w:val="0"/>
              <w:adjustRightInd w:val="0"/>
              <w:spacing w:line="240" w:lineRule="auto"/>
              <w:ind w:left="145"/>
              <w:textAlignment w:val="baseline"/>
              <w:rPr>
                <w:i/>
                <w:iCs/>
                <w:color w:val="0000FF"/>
                <w:u w:val="single"/>
              </w:rPr>
            </w:pPr>
            <w:hyperlink w:history="1" r:id="rId35">
              <w:r w:rsidR="005D1A62">
                <w:rPr>
                  <w:i/>
                  <w:color w:val="0000FF"/>
                  <w:u w:val="single"/>
                </w:rPr>
                <w:t>Gaia.Bottoni@eesc.europa.eu</w:t>
              </w:r>
            </w:hyperlink>
          </w:p>
        </w:tc>
      </w:tr>
    </w:tbl>
    <w:p w:rsidR="00E20508" w:rsidRDefault="00E20508" w14:paraId="4578CC15" w14:textId="004FCB76">
      <w:pPr>
        <w:spacing w:after="160" w:line="259" w:lineRule="auto"/>
        <w:jc w:val="left"/>
        <w:rPr>
          <w:b/>
          <w:bCs/>
        </w:rPr>
      </w:pPr>
      <w:r>
        <w:br w:type="page"/>
      </w:r>
    </w:p>
    <w:p w:rsidRPr="00351248" w:rsidR="00351248" w:rsidP="004351D4" w:rsidRDefault="00455BAD" w14:paraId="1281A98E" w14:textId="4BC4E1F0">
      <w:pPr>
        <w:numPr>
          <w:ilvl w:val="0"/>
          <w:numId w:val="3"/>
        </w:numPr>
        <w:overflowPunct w:val="0"/>
        <w:autoSpaceDE w:val="0"/>
        <w:autoSpaceDN w:val="0"/>
        <w:adjustRightInd w:val="0"/>
        <w:spacing w:line="276" w:lineRule="auto"/>
        <w:contextualSpacing/>
        <w:jc w:val="left"/>
        <w:textAlignment w:val="baseline"/>
        <w:rPr>
          <w:i/>
          <w:iCs/>
        </w:rPr>
      </w:pPr>
      <w:hyperlink w:history="1" r:id="rId36">
        <w:r w:rsidR="005D1A62">
          <w:rPr>
            <w:b/>
            <w:i/>
            <w:color w:val="0000FF"/>
            <w:sz w:val="28"/>
            <w:u w:val="single"/>
          </w:rPr>
          <w:t>Wälder in der EU – neuer EU-Rahmen für Waldmonitoring und Strategiepläne</w:t>
        </w:r>
      </w:hyperlink>
    </w:p>
    <w:p w:rsidR="00351248" w:rsidP="00351248" w:rsidRDefault="00351248" w14:paraId="135263F6" w14:textId="22F61DA5">
      <w:pPr>
        <w:widowControl w:val="0"/>
        <w:overflowPunct w:val="0"/>
        <w:autoSpaceDE w:val="0"/>
        <w:autoSpaceDN w:val="0"/>
        <w:adjustRightInd w:val="0"/>
        <w:ind w:left="567"/>
        <w:textAlignment w:val="baseline"/>
        <w:rPr>
          <w:bCs/>
          <w:sz w:val="16"/>
          <w:szCs w:val="16"/>
        </w:rPr>
      </w:pPr>
    </w:p>
    <w:p w:rsidRPr="00351248" w:rsidR="000925AF" w:rsidP="00351248" w:rsidRDefault="000925AF" w14:paraId="56DC0CD2" w14:textId="77777777">
      <w:pPr>
        <w:widowControl w:val="0"/>
        <w:overflowPunct w:val="0"/>
        <w:autoSpaceDE w:val="0"/>
        <w:autoSpaceDN w:val="0"/>
        <w:adjustRightInd w:val="0"/>
        <w:ind w:left="567"/>
        <w:textAlignment w:val="baseline"/>
        <w:rPr>
          <w:bCs/>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349"/>
      </w:tblGrid>
      <w:tr w:rsidRPr="00351248" w:rsidR="00351248" w:rsidTr="0053712F" w14:paraId="2A85E675" w14:textId="77777777">
        <w:tc>
          <w:tcPr>
            <w:tcW w:w="1384" w:type="dxa"/>
          </w:tcPr>
          <w:p w:rsidRPr="00351248" w:rsidR="00351248" w:rsidP="00351248" w:rsidRDefault="00351248" w14:paraId="5AD190C2" w14:textId="77777777">
            <w:pPr>
              <w:tabs>
                <w:tab w:val="center" w:pos="284"/>
              </w:tabs>
              <w:overflowPunct w:val="0"/>
              <w:autoSpaceDE w:val="0"/>
              <w:autoSpaceDN w:val="0"/>
              <w:adjustRightInd w:val="0"/>
              <w:ind w:left="266" w:hanging="266"/>
              <w:textAlignment w:val="baseline"/>
              <w:rPr>
                <w:b/>
              </w:rPr>
            </w:pPr>
            <w:r>
              <w:rPr>
                <w:b/>
              </w:rPr>
              <w:t>Berichterstatter</w:t>
            </w:r>
          </w:p>
        </w:tc>
        <w:tc>
          <w:tcPr>
            <w:tcW w:w="7796" w:type="dxa"/>
          </w:tcPr>
          <w:p w:rsidRPr="00351248" w:rsidR="00351248" w:rsidP="00351248" w:rsidRDefault="00351248" w14:paraId="34AB4BC0" w14:textId="5B1C8209">
            <w:pPr>
              <w:tabs>
                <w:tab w:val="center" w:pos="284"/>
              </w:tabs>
              <w:overflowPunct w:val="0"/>
              <w:autoSpaceDE w:val="0"/>
              <w:autoSpaceDN w:val="0"/>
              <w:adjustRightInd w:val="0"/>
              <w:ind w:left="266" w:hanging="266"/>
              <w:textAlignment w:val="baseline"/>
              <w:rPr>
                <w:bCs/>
              </w:rPr>
            </w:pPr>
            <w:r>
              <w:rPr>
                <w:b/>
              </w:rPr>
              <w:t>Florian MARIN</w:t>
            </w:r>
            <w:r>
              <w:t xml:space="preserve"> (Gruppe Arbeitnehmer – RO)</w:t>
            </w:r>
          </w:p>
        </w:tc>
      </w:tr>
      <w:tr w:rsidRPr="00351248" w:rsidR="00351248" w:rsidTr="0053712F" w14:paraId="4ED03AF4" w14:textId="77777777">
        <w:tc>
          <w:tcPr>
            <w:tcW w:w="9180" w:type="dxa"/>
            <w:gridSpan w:val="2"/>
          </w:tcPr>
          <w:p w:rsidRPr="00351248" w:rsidR="00351248" w:rsidP="00351248" w:rsidRDefault="00351248" w14:paraId="6DE6EAF2"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51248" w:rsidR="00351248" w:rsidTr="0053712F" w14:paraId="3AE22FC1" w14:textId="77777777">
        <w:tc>
          <w:tcPr>
            <w:tcW w:w="1384" w:type="dxa"/>
            <w:vMerge w:val="restart"/>
          </w:tcPr>
          <w:p w:rsidRPr="00351248" w:rsidR="00351248" w:rsidP="00351248" w:rsidRDefault="00351248" w14:paraId="257271FE" w14:textId="77777777">
            <w:pPr>
              <w:tabs>
                <w:tab w:val="center" w:pos="284"/>
              </w:tabs>
              <w:overflowPunct w:val="0"/>
              <w:autoSpaceDE w:val="0"/>
              <w:autoSpaceDN w:val="0"/>
              <w:adjustRightInd w:val="0"/>
              <w:ind w:left="266" w:hanging="266"/>
              <w:textAlignment w:val="baseline"/>
              <w:rPr>
                <w:b/>
              </w:rPr>
            </w:pPr>
            <w:r>
              <w:rPr>
                <w:b/>
              </w:rPr>
              <w:t>Referenzdokumente</w:t>
            </w:r>
          </w:p>
        </w:tc>
        <w:tc>
          <w:tcPr>
            <w:tcW w:w="7796" w:type="dxa"/>
          </w:tcPr>
          <w:p w:rsidR="00F1544C" w:rsidP="00351248" w:rsidRDefault="00351248" w14:paraId="1AC07155" w14:textId="77777777">
            <w:pPr>
              <w:tabs>
                <w:tab w:val="center" w:pos="0"/>
              </w:tabs>
              <w:overflowPunct w:val="0"/>
              <w:autoSpaceDE w:val="0"/>
              <w:autoSpaceDN w:val="0"/>
              <w:adjustRightInd w:val="0"/>
              <w:textAlignment w:val="baseline"/>
            </w:pPr>
            <w:r>
              <w:t>COM(2023) 728 final</w:t>
            </w:r>
          </w:p>
          <w:p w:rsidRPr="00351248" w:rsidR="00351248" w:rsidP="00351248" w:rsidRDefault="00351248" w14:paraId="328BDE76" w14:textId="22520CDE">
            <w:pPr>
              <w:tabs>
                <w:tab w:val="center" w:pos="0"/>
              </w:tabs>
              <w:overflowPunct w:val="0"/>
              <w:autoSpaceDE w:val="0"/>
              <w:autoSpaceDN w:val="0"/>
              <w:adjustRightInd w:val="0"/>
              <w:textAlignment w:val="baseline"/>
            </w:pPr>
            <w:r>
              <w:t xml:space="preserve">COM(2023) 727 final </w:t>
            </w:r>
          </w:p>
        </w:tc>
      </w:tr>
      <w:tr w:rsidRPr="00351248" w:rsidR="00351248" w:rsidTr="0053712F" w14:paraId="5A70EFF9" w14:textId="77777777">
        <w:tc>
          <w:tcPr>
            <w:tcW w:w="1384" w:type="dxa"/>
            <w:vMerge/>
          </w:tcPr>
          <w:p w:rsidRPr="00351248" w:rsidR="00351248" w:rsidP="00351248" w:rsidRDefault="00351248" w14:paraId="124EE59E" w14:textId="77777777">
            <w:pPr>
              <w:tabs>
                <w:tab w:val="center" w:pos="284"/>
              </w:tabs>
              <w:overflowPunct w:val="0"/>
              <w:autoSpaceDE w:val="0"/>
              <w:autoSpaceDN w:val="0"/>
              <w:adjustRightInd w:val="0"/>
              <w:ind w:left="266" w:hanging="266"/>
              <w:textAlignment w:val="baseline"/>
              <w:rPr>
                <w:b/>
              </w:rPr>
            </w:pPr>
          </w:p>
        </w:tc>
        <w:tc>
          <w:tcPr>
            <w:tcW w:w="7796" w:type="dxa"/>
          </w:tcPr>
          <w:p w:rsidRPr="00351248" w:rsidR="00351248" w:rsidP="00351248" w:rsidRDefault="00351248" w14:paraId="77CBA474" w14:textId="40C4595F">
            <w:pPr>
              <w:tabs>
                <w:tab w:val="center" w:pos="284"/>
              </w:tabs>
              <w:overflowPunct w:val="0"/>
              <w:autoSpaceDE w:val="0"/>
              <w:autoSpaceDN w:val="0"/>
              <w:adjustRightInd w:val="0"/>
              <w:ind w:left="266" w:hanging="266"/>
              <w:textAlignment w:val="baseline"/>
            </w:pPr>
            <w:r>
              <w:t>EESC-2023-02733-00-00-AC</w:t>
            </w:r>
          </w:p>
        </w:tc>
      </w:tr>
    </w:tbl>
    <w:p w:rsidRPr="00351248" w:rsidR="00351248" w:rsidP="00351248" w:rsidRDefault="00351248" w14:paraId="39B30AC9" w14:textId="77777777">
      <w:pPr>
        <w:keepNext/>
        <w:keepLines/>
        <w:tabs>
          <w:tab w:val="center" w:pos="284"/>
        </w:tabs>
        <w:overflowPunct w:val="0"/>
        <w:autoSpaceDE w:val="0"/>
        <w:autoSpaceDN w:val="0"/>
        <w:adjustRightInd w:val="0"/>
        <w:ind w:left="266" w:hanging="266"/>
        <w:textAlignment w:val="baseline"/>
        <w:rPr>
          <w:b/>
          <w:sz w:val="10"/>
          <w:szCs w:val="10"/>
        </w:rPr>
      </w:pPr>
    </w:p>
    <w:p w:rsidRPr="00351248" w:rsidR="00351248" w:rsidP="00351248" w:rsidRDefault="00351248" w14:paraId="24B18701"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Kernaussagen</w:t>
      </w:r>
    </w:p>
    <w:p w:rsidRPr="00351248" w:rsidR="00351248" w:rsidP="00351248" w:rsidRDefault="00351248" w14:paraId="4994FDDD"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351248" w:rsidP="00351248" w:rsidRDefault="00351248" w14:paraId="73DBF294" w14:textId="62B36E15">
      <w:pPr>
        <w:overflowPunct w:val="0"/>
        <w:autoSpaceDE w:val="0"/>
        <w:autoSpaceDN w:val="0"/>
        <w:adjustRightInd w:val="0"/>
        <w:spacing w:line="240" w:lineRule="auto"/>
        <w:textAlignment w:val="baseline"/>
        <w:rPr>
          <w:bCs/>
          <w:iCs/>
        </w:rPr>
      </w:pPr>
      <w:r>
        <w:t>Der EWSA</w:t>
      </w:r>
    </w:p>
    <w:p w:rsidRPr="00351248" w:rsidR="00F1544C" w:rsidP="00351248" w:rsidRDefault="00F1544C" w14:paraId="1892F70B" w14:textId="77777777">
      <w:pPr>
        <w:overflowPunct w:val="0"/>
        <w:autoSpaceDE w:val="0"/>
        <w:autoSpaceDN w:val="0"/>
        <w:adjustRightInd w:val="0"/>
        <w:spacing w:line="240" w:lineRule="auto"/>
        <w:textAlignment w:val="baseline"/>
        <w:rPr>
          <w:bCs/>
          <w:iCs/>
        </w:rPr>
      </w:pPr>
    </w:p>
    <w:p w:rsidRPr="005A622F" w:rsidR="00351248" w:rsidP="00776454" w:rsidRDefault="00351248" w14:paraId="57F61C2A" w14:textId="77777777">
      <w:pPr>
        <w:pStyle w:val="ListParagraph"/>
        <w:numPr>
          <w:ilvl w:val="0"/>
          <w:numId w:val="18"/>
        </w:numPr>
        <w:overflowPunct w:val="0"/>
        <w:autoSpaceDE w:val="0"/>
        <w:autoSpaceDN w:val="0"/>
        <w:adjustRightInd w:val="0"/>
        <w:textAlignment w:val="baseline"/>
        <w:outlineLvl w:val="1"/>
        <w:rPr>
          <w:spacing w:val="-4"/>
          <w:szCs w:val="20"/>
        </w:rPr>
      </w:pPr>
      <w:r>
        <w:t xml:space="preserve">begrüßt den vorgeschlagenen </w:t>
      </w:r>
      <w:proofErr w:type="spellStart"/>
      <w:r>
        <w:t>Waldmonitoringrahmen</w:t>
      </w:r>
      <w:proofErr w:type="spellEnd"/>
      <w:r>
        <w:t xml:space="preserve"> mit gewissen Vorbehalten. Er sollte als statistisches Instrument und nicht als Kontrollinstrument gesehen werden, denn die Waldbewirtschaftung fällt in die Zuständigkeit der Mitgliedstaaten;</w:t>
      </w:r>
    </w:p>
    <w:p w:rsidRPr="005A622F" w:rsidR="00351248" w:rsidP="00776454" w:rsidRDefault="00351248" w14:paraId="17A34F9A" w14:textId="77777777">
      <w:pPr>
        <w:pStyle w:val="ListParagraph"/>
        <w:numPr>
          <w:ilvl w:val="0"/>
          <w:numId w:val="18"/>
        </w:numPr>
        <w:overflowPunct w:val="0"/>
        <w:autoSpaceDE w:val="0"/>
        <w:autoSpaceDN w:val="0"/>
        <w:adjustRightInd w:val="0"/>
        <w:textAlignment w:val="baseline"/>
        <w:outlineLvl w:val="1"/>
        <w:rPr>
          <w:szCs w:val="20"/>
        </w:rPr>
      </w:pPr>
      <w:r>
        <w:t>weist darauf hin, dass einige Interessenträger dem Gedanken einer Verordnung nicht zustimmen und klaren Leitlinien sowie der Fortführung der bestehenden Monitoringsysteme den Vorzug geben;</w:t>
      </w:r>
    </w:p>
    <w:p w:rsidRPr="005A622F" w:rsidR="00351248" w:rsidP="00776454" w:rsidRDefault="00351248" w14:paraId="6F318056" w14:textId="77777777">
      <w:pPr>
        <w:pStyle w:val="ListParagraph"/>
        <w:keepNext/>
        <w:keepLines/>
        <w:numPr>
          <w:ilvl w:val="0"/>
          <w:numId w:val="18"/>
        </w:numPr>
        <w:overflowPunct w:val="0"/>
        <w:autoSpaceDE w:val="0"/>
        <w:autoSpaceDN w:val="0"/>
        <w:adjustRightInd w:val="0"/>
        <w:textAlignment w:val="baseline"/>
        <w:outlineLvl w:val="1"/>
        <w:rPr>
          <w:szCs w:val="20"/>
        </w:rPr>
      </w:pPr>
      <w:r>
        <w:t>begrüßt die langfristige Waldplanung und empfiehlt Folgendes:</w:t>
      </w:r>
    </w:p>
    <w:p w:rsidRPr="00351248" w:rsidR="00351248" w:rsidP="00776454" w:rsidRDefault="00351248" w14:paraId="591568B0" w14:textId="77777777">
      <w:pPr>
        <w:numPr>
          <w:ilvl w:val="0"/>
          <w:numId w:val="19"/>
        </w:numPr>
        <w:overflowPunct w:val="0"/>
        <w:autoSpaceDE w:val="0"/>
        <w:autoSpaceDN w:val="0"/>
        <w:adjustRightInd w:val="0"/>
        <w:textAlignment w:val="baseline"/>
        <w:rPr>
          <w:szCs w:val="20"/>
        </w:rPr>
      </w:pPr>
      <w:r>
        <w:t xml:space="preserve">Mitgliedstaaten der EU, die einen Nutzen aus Wäldern ziehen, werden dringend aufgefordert, einen langfristigen </w:t>
      </w:r>
      <w:proofErr w:type="spellStart"/>
      <w:r>
        <w:t>Waldplan</w:t>
      </w:r>
      <w:proofErr w:type="spellEnd"/>
      <w:r>
        <w:t xml:space="preserve"> aufzustellen.</w:t>
      </w:r>
    </w:p>
    <w:p w:rsidRPr="00351248" w:rsidR="00351248" w:rsidP="00776454" w:rsidRDefault="00351248" w14:paraId="255E151C" w14:textId="77777777">
      <w:pPr>
        <w:numPr>
          <w:ilvl w:val="0"/>
          <w:numId w:val="19"/>
        </w:numPr>
        <w:overflowPunct w:val="0"/>
        <w:autoSpaceDE w:val="0"/>
        <w:autoSpaceDN w:val="0"/>
        <w:adjustRightInd w:val="0"/>
        <w:textAlignment w:val="baseline"/>
        <w:rPr>
          <w:szCs w:val="20"/>
        </w:rPr>
      </w:pPr>
      <w:r>
        <w:t>Soziale und wirtschaftliche Aspekte sollten in die Struktur der Waldpläne unter Berücksichtigung der vielfältigen Werte der Wälder und der sozialen Auswirkungen auf die vom Wald abhängigen Gruppen einbezogen werden.</w:t>
      </w:r>
    </w:p>
    <w:p w:rsidRPr="00351248" w:rsidR="00351248" w:rsidP="00776454" w:rsidRDefault="00351248" w14:paraId="255C9F9A" w14:textId="77777777">
      <w:pPr>
        <w:numPr>
          <w:ilvl w:val="0"/>
          <w:numId w:val="19"/>
        </w:numPr>
        <w:overflowPunct w:val="0"/>
        <w:autoSpaceDE w:val="0"/>
        <w:autoSpaceDN w:val="0"/>
        <w:adjustRightInd w:val="0"/>
        <w:textAlignment w:val="baseline"/>
        <w:rPr>
          <w:spacing w:val="-4"/>
          <w:szCs w:val="20"/>
        </w:rPr>
      </w:pPr>
      <w:r>
        <w:t>Das Partnerschaftsprinzip sollte bei der Entwicklung und Umsetzung der Pläne dahingehend berücksichtigt werden, dass die Zivilgesellschaft nach Maßgabe der Situation im jeweiligen Mitgliedstaat mit einbezogen wird.</w:t>
      </w:r>
    </w:p>
    <w:p w:rsidRPr="00351248" w:rsidR="00351248" w:rsidP="00776454" w:rsidRDefault="00351248" w14:paraId="6D6394E9" w14:textId="77777777">
      <w:pPr>
        <w:numPr>
          <w:ilvl w:val="0"/>
          <w:numId w:val="19"/>
        </w:numPr>
        <w:overflowPunct w:val="0"/>
        <w:autoSpaceDE w:val="0"/>
        <w:autoSpaceDN w:val="0"/>
        <w:adjustRightInd w:val="0"/>
        <w:textAlignment w:val="baseline"/>
        <w:rPr>
          <w:szCs w:val="20"/>
        </w:rPr>
      </w:pPr>
      <w:r>
        <w:t>Gestaltung, Umsetzung und Überwachung der langfristigen Waldpläne sollten aus bestehenden und neuen EU-Fonds finanziert werden.</w:t>
      </w:r>
    </w:p>
    <w:p w:rsidRPr="00351248" w:rsidR="00351248" w:rsidP="00776454" w:rsidRDefault="00351248" w14:paraId="205490CE" w14:textId="77777777">
      <w:pPr>
        <w:numPr>
          <w:ilvl w:val="0"/>
          <w:numId w:val="19"/>
        </w:numPr>
        <w:overflowPunct w:val="0"/>
        <w:autoSpaceDE w:val="0"/>
        <w:autoSpaceDN w:val="0"/>
        <w:adjustRightInd w:val="0"/>
        <w:textAlignment w:val="baseline"/>
        <w:rPr>
          <w:szCs w:val="20"/>
        </w:rPr>
      </w:pPr>
      <w:r>
        <w:t>Der Plan sollte die übrigen Wald- und Holzstrategien ergänzen.</w:t>
      </w:r>
    </w:p>
    <w:p w:rsidRPr="00351248" w:rsidR="00351248" w:rsidP="00776454" w:rsidRDefault="00351248" w14:paraId="6743E083" w14:textId="77777777">
      <w:pPr>
        <w:numPr>
          <w:ilvl w:val="0"/>
          <w:numId w:val="19"/>
        </w:numPr>
        <w:overflowPunct w:val="0"/>
        <w:autoSpaceDE w:val="0"/>
        <w:autoSpaceDN w:val="0"/>
        <w:adjustRightInd w:val="0"/>
        <w:textAlignment w:val="baseline"/>
        <w:rPr>
          <w:spacing w:val="-4"/>
          <w:szCs w:val="20"/>
        </w:rPr>
      </w:pPr>
      <w:r>
        <w:t>Es ist für eine klare Abstimmung und Synergien mit den Nachhaltigkeitszielen, zu denen der Plan beitragen sollte, zu sorgen;</w:t>
      </w:r>
    </w:p>
    <w:p w:rsidRPr="005A622F" w:rsidR="00351248" w:rsidP="00776454" w:rsidRDefault="00351248" w14:paraId="3208EBD7" w14:textId="77777777">
      <w:pPr>
        <w:pStyle w:val="ListParagraph"/>
        <w:numPr>
          <w:ilvl w:val="0"/>
          <w:numId w:val="20"/>
        </w:numPr>
        <w:overflowPunct w:val="0"/>
        <w:autoSpaceDE w:val="0"/>
        <w:autoSpaceDN w:val="0"/>
        <w:adjustRightInd w:val="0"/>
        <w:ind w:left="426" w:hanging="426"/>
        <w:textAlignment w:val="baseline"/>
        <w:outlineLvl w:val="1"/>
        <w:rPr>
          <w:szCs w:val="20"/>
        </w:rPr>
      </w:pPr>
      <w:r>
        <w:t>schlägt vor, die Rolle des Ständigen Forstausschusses mit Blick auf künftige Aufgaben im Waldmonitoring zu stärken. Relevante Interessenträger aus der Zivilgesellschaft sollten daran beteiligt werden, um der herausragenden Bedeutung der Wälder für die Gesellschaft Rechnung zu tragen;</w:t>
      </w:r>
    </w:p>
    <w:p w:rsidRPr="005A622F" w:rsidR="00351248" w:rsidP="00776454" w:rsidRDefault="00351248" w14:paraId="1B4C6050" w14:textId="77777777">
      <w:pPr>
        <w:pStyle w:val="ListParagraph"/>
        <w:numPr>
          <w:ilvl w:val="0"/>
          <w:numId w:val="20"/>
        </w:numPr>
        <w:overflowPunct w:val="0"/>
        <w:autoSpaceDE w:val="0"/>
        <w:autoSpaceDN w:val="0"/>
        <w:adjustRightInd w:val="0"/>
        <w:ind w:left="426" w:hanging="426"/>
        <w:textAlignment w:val="baseline"/>
        <w:outlineLvl w:val="1"/>
        <w:rPr>
          <w:spacing w:val="-6"/>
          <w:szCs w:val="20"/>
        </w:rPr>
      </w:pPr>
      <w:r>
        <w:t>spricht sich für Ausgewogenheit zwischen dem Subsidiaritätsprinzip und der Achtung der nationalen und europäischen Zuständigkeiten, des privaten Eigentumsrechts und dem Eigentum an Daten aus. Walddaten zu wirtschaftlichen, sozialen und ökologischen Aspekten müssen gleich gewichtet werden;</w:t>
      </w:r>
    </w:p>
    <w:p w:rsidRPr="005A622F" w:rsidR="00351248" w:rsidP="00776454" w:rsidRDefault="00351248" w14:paraId="5C17A24B" w14:textId="77777777">
      <w:pPr>
        <w:pStyle w:val="ListParagraph"/>
        <w:numPr>
          <w:ilvl w:val="0"/>
          <w:numId w:val="20"/>
        </w:numPr>
        <w:overflowPunct w:val="0"/>
        <w:autoSpaceDE w:val="0"/>
        <w:autoSpaceDN w:val="0"/>
        <w:adjustRightInd w:val="0"/>
        <w:ind w:left="426" w:hanging="426"/>
        <w:textAlignment w:val="baseline"/>
        <w:outlineLvl w:val="1"/>
        <w:rPr>
          <w:spacing w:val="-6"/>
          <w:szCs w:val="20"/>
        </w:rPr>
      </w:pPr>
      <w:r>
        <w:t xml:space="preserve">dringt darauf, die Zivilgesellschaft in die Entwicklung des </w:t>
      </w:r>
      <w:proofErr w:type="spellStart"/>
      <w:r>
        <w:t>Waldmonitoringrahmens</w:t>
      </w:r>
      <w:proofErr w:type="spellEnd"/>
      <w:r>
        <w:t xml:space="preserve"> einzubinden, wobei für eine ausreichende Transparenz gesorgt werden muss.</w:t>
      </w:r>
    </w:p>
    <w:p w:rsidRPr="00351248" w:rsidR="00351248" w:rsidP="00351248" w:rsidRDefault="00351248" w14:paraId="11BA1128" w14:textId="77777777">
      <w:pPr>
        <w:overflowPunct w:val="0"/>
        <w:autoSpaceDE w:val="0"/>
        <w:autoSpaceDN w:val="0"/>
        <w:adjustRightInd w:val="0"/>
        <w:spacing w:line="240" w:lineRule="auto"/>
        <w:textAlignment w:val="baseline"/>
        <w:rPr>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62"/>
      </w:tblGrid>
      <w:tr w:rsidRPr="00351248" w:rsidR="00351248" w:rsidTr="00776454" w14:paraId="33E037D1" w14:textId="77777777">
        <w:tc>
          <w:tcPr>
            <w:tcW w:w="1418" w:type="dxa"/>
          </w:tcPr>
          <w:p w:rsidRPr="00351248" w:rsidR="00351248" w:rsidP="00351248" w:rsidRDefault="00351248" w14:paraId="2A30F350" w14:textId="77777777">
            <w:pPr>
              <w:overflowPunct w:val="0"/>
              <w:autoSpaceDE w:val="0"/>
              <w:autoSpaceDN w:val="0"/>
              <w:adjustRightInd w:val="0"/>
              <w:spacing w:line="240" w:lineRule="auto"/>
              <w:ind w:left="34" w:right="-253"/>
              <w:textAlignment w:val="baseline"/>
              <w:rPr>
                <w:i/>
              </w:rPr>
            </w:pPr>
            <w:r>
              <w:rPr>
                <w:b/>
                <w:i/>
              </w:rPr>
              <w:t>Kontakt</w:t>
            </w:r>
          </w:p>
        </w:tc>
        <w:tc>
          <w:tcPr>
            <w:tcW w:w="7762" w:type="dxa"/>
          </w:tcPr>
          <w:p w:rsidRPr="00351248" w:rsidR="00351248" w:rsidP="00351248" w:rsidRDefault="00351248" w14:paraId="32F31E5A" w14:textId="77777777">
            <w:pPr>
              <w:overflowPunct w:val="0"/>
              <w:autoSpaceDE w:val="0"/>
              <w:autoSpaceDN w:val="0"/>
              <w:adjustRightInd w:val="0"/>
              <w:spacing w:line="240" w:lineRule="auto"/>
              <w:ind w:left="709"/>
              <w:textAlignment w:val="baseline"/>
              <w:rPr>
                <w:i/>
                <w:iCs/>
              </w:rPr>
            </w:pPr>
            <w:r>
              <w:rPr>
                <w:i/>
              </w:rPr>
              <w:t xml:space="preserve">Arturo </w:t>
            </w:r>
            <w:proofErr w:type="spellStart"/>
            <w:r>
              <w:rPr>
                <w:i/>
              </w:rPr>
              <w:t>Iñiguez</w:t>
            </w:r>
            <w:proofErr w:type="spellEnd"/>
          </w:p>
        </w:tc>
      </w:tr>
      <w:tr w:rsidRPr="00351248" w:rsidR="00351248" w:rsidTr="00776454" w14:paraId="09FCB581" w14:textId="77777777">
        <w:tc>
          <w:tcPr>
            <w:tcW w:w="1418" w:type="dxa"/>
          </w:tcPr>
          <w:p w:rsidRPr="00351248" w:rsidR="00351248" w:rsidP="00351248" w:rsidRDefault="00351248" w14:paraId="3BCA0D97" w14:textId="77777777">
            <w:pPr>
              <w:overflowPunct w:val="0"/>
              <w:autoSpaceDE w:val="0"/>
              <w:autoSpaceDN w:val="0"/>
              <w:adjustRightInd w:val="0"/>
              <w:spacing w:line="240" w:lineRule="auto"/>
              <w:ind w:left="34"/>
              <w:textAlignment w:val="baseline"/>
              <w:rPr>
                <w:i/>
              </w:rPr>
            </w:pPr>
            <w:r>
              <w:rPr>
                <w:i/>
              </w:rPr>
              <w:t>Tel.</w:t>
            </w:r>
          </w:p>
        </w:tc>
        <w:tc>
          <w:tcPr>
            <w:tcW w:w="7762" w:type="dxa"/>
          </w:tcPr>
          <w:p w:rsidRPr="00351248" w:rsidR="00351248" w:rsidP="00351248" w:rsidRDefault="00351248" w14:paraId="51782A54" w14:textId="77777777">
            <w:pPr>
              <w:overflowPunct w:val="0"/>
              <w:autoSpaceDE w:val="0"/>
              <w:autoSpaceDN w:val="0"/>
              <w:adjustRightInd w:val="0"/>
              <w:spacing w:line="240" w:lineRule="auto"/>
              <w:ind w:left="709"/>
              <w:textAlignment w:val="baseline"/>
              <w:rPr>
                <w:i/>
                <w:iCs/>
              </w:rPr>
            </w:pPr>
            <w:r>
              <w:rPr>
                <w:i/>
              </w:rPr>
              <w:t>+32 25468768</w:t>
            </w:r>
          </w:p>
        </w:tc>
      </w:tr>
      <w:tr w:rsidRPr="00351248" w:rsidR="00351248" w:rsidTr="00776454" w14:paraId="42F9F7E5" w14:textId="77777777">
        <w:tc>
          <w:tcPr>
            <w:tcW w:w="1418" w:type="dxa"/>
          </w:tcPr>
          <w:p w:rsidRPr="00351248" w:rsidR="00351248" w:rsidP="00351248" w:rsidRDefault="00F1544C" w14:paraId="3ECBD94D" w14:textId="47A5583E">
            <w:pPr>
              <w:overflowPunct w:val="0"/>
              <w:autoSpaceDE w:val="0"/>
              <w:autoSpaceDN w:val="0"/>
              <w:adjustRightInd w:val="0"/>
              <w:spacing w:line="240" w:lineRule="auto"/>
              <w:ind w:left="34"/>
              <w:textAlignment w:val="baseline"/>
              <w:rPr>
                <w:i/>
              </w:rPr>
            </w:pPr>
            <w:r>
              <w:rPr>
                <w:i/>
              </w:rPr>
              <w:t>E-Mail</w:t>
            </w:r>
          </w:p>
        </w:tc>
        <w:tc>
          <w:tcPr>
            <w:tcW w:w="7762" w:type="dxa"/>
          </w:tcPr>
          <w:p w:rsidRPr="00351248" w:rsidR="00351248" w:rsidP="00351248" w:rsidRDefault="00455BAD" w14:paraId="2D5C24BB" w14:textId="77777777">
            <w:pPr>
              <w:overflowPunct w:val="0"/>
              <w:autoSpaceDE w:val="0"/>
              <w:autoSpaceDN w:val="0"/>
              <w:adjustRightInd w:val="0"/>
              <w:spacing w:line="240" w:lineRule="auto"/>
              <w:ind w:left="709"/>
              <w:textAlignment w:val="baseline"/>
              <w:rPr>
                <w:i/>
                <w:iCs/>
                <w:color w:val="0000FF"/>
                <w:u w:val="single"/>
              </w:rPr>
            </w:pPr>
            <w:hyperlink w:history="1" r:id="rId37">
              <w:r w:rsidR="005D1A62">
                <w:rPr>
                  <w:i/>
                  <w:color w:val="0000FF"/>
                  <w:u w:val="single"/>
                </w:rPr>
                <w:t>Arturo.Iniguez@eesc.europa.eu</w:t>
              </w:r>
            </w:hyperlink>
          </w:p>
        </w:tc>
      </w:tr>
    </w:tbl>
    <w:p w:rsidRPr="00776454" w:rsidR="00351248" w:rsidRDefault="00351248" w14:paraId="0A05F62E" w14:textId="77777777">
      <w:pPr>
        <w:spacing w:after="160" w:line="259" w:lineRule="auto"/>
        <w:jc w:val="left"/>
        <w:rPr>
          <w:b/>
          <w:bCs/>
          <w:sz w:val="2"/>
          <w:szCs w:val="2"/>
        </w:rPr>
      </w:pPr>
      <w:r w:rsidRPr="00776454">
        <w:rPr>
          <w:sz w:val="2"/>
          <w:szCs w:val="2"/>
        </w:rPr>
        <w:br w:type="page"/>
      </w:r>
    </w:p>
    <w:p w:rsidRPr="005A622F" w:rsidR="00351248" w:rsidP="004351D4" w:rsidRDefault="00455BAD" w14:paraId="21C1FDD5" w14:textId="2D372E59">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38">
        <w:r w:rsidR="005D1A62">
          <w:rPr>
            <w:b/>
            <w:i/>
            <w:color w:val="0000FF"/>
            <w:sz w:val="28"/>
            <w:u w:val="single"/>
          </w:rPr>
          <w:t>Verordnung über das Wohlergehen von Hunden und Katzen und ihre Rückverfolgbarkeit</w:t>
        </w:r>
      </w:hyperlink>
    </w:p>
    <w:p w:rsidR="00EE5280" w:rsidP="00EE5280" w:rsidRDefault="00EE5280" w14:paraId="5FE2A55C" w14:textId="14EEA6EC">
      <w:pPr>
        <w:widowControl w:val="0"/>
        <w:overflowPunct w:val="0"/>
        <w:autoSpaceDE w:val="0"/>
        <w:autoSpaceDN w:val="0"/>
        <w:adjustRightInd w:val="0"/>
        <w:spacing w:after="200" w:line="276" w:lineRule="auto"/>
        <w:ind w:left="360"/>
        <w:contextualSpacing/>
        <w:textAlignment w:val="baseline"/>
        <w:rPr>
          <w:sz w:val="20"/>
          <w:lang w:eastAsia="zh-CN"/>
        </w:rPr>
      </w:pPr>
    </w:p>
    <w:p w:rsidRPr="00351248" w:rsidR="00EE5280" w:rsidP="005A622F" w:rsidRDefault="00EE5280" w14:paraId="22865FD0"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384"/>
      </w:tblGrid>
      <w:tr w:rsidRPr="00351248" w:rsidR="00351248" w:rsidTr="00776454" w14:paraId="01447F39" w14:textId="77777777">
        <w:tc>
          <w:tcPr>
            <w:tcW w:w="1938" w:type="dxa"/>
          </w:tcPr>
          <w:p w:rsidRPr="00351248" w:rsidR="00351248" w:rsidP="00351248" w:rsidRDefault="00351248" w14:paraId="2A3393EB" w14:textId="77777777">
            <w:pPr>
              <w:tabs>
                <w:tab w:val="center" w:pos="284"/>
              </w:tabs>
              <w:overflowPunct w:val="0"/>
              <w:autoSpaceDE w:val="0"/>
              <w:autoSpaceDN w:val="0"/>
              <w:adjustRightInd w:val="0"/>
              <w:ind w:left="266" w:hanging="266"/>
              <w:textAlignment w:val="baseline"/>
              <w:rPr>
                <w:b/>
              </w:rPr>
            </w:pPr>
            <w:r>
              <w:rPr>
                <w:b/>
              </w:rPr>
              <w:t>Berichterstatter</w:t>
            </w:r>
          </w:p>
        </w:tc>
        <w:tc>
          <w:tcPr>
            <w:tcW w:w="7384" w:type="dxa"/>
          </w:tcPr>
          <w:p w:rsidRPr="00351248" w:rsidR="00351248" w:rsidP="00351248" w:rsidRDefault="00351248" w14:paraId="17BE7969" w14:textId="38F9CE6B">
            <w:pPr>
              <w:tabs>
                <w:tab w:val="center" w:pos="284"/>
              </w:tabs>
              <w:overflowPunct w:val="0"/>
              <w:autoSpaceDE w:val="0"/>
              <w:autoSpaceDN w:val="0"/>
              <w:adjustRightInd w:val="0"/>
              <w:ind w:left="266" w:hanging="266"/>
              <w:textAlignment w:val="baseline"/>
            </w:pPr>
            <w:r>
              <w:t xml:space="preserve">Maciej Dawid KUNYSZ (Gruppe Organisationen der Zivilgesellschaft – PL) </w:t>
            </w:r>
          </w:p>
        </w:tc>
      </w:tr>
      <w:tr w:rsidRPr="00351248" w:rsidR="00351248" w:rsidTr="00776454" w14:paraId="6C16C7E6" w14:textId="77777777">
        <w:tc>
          <w:tcPr>
            <w:tcW w:w="9322" w:type="dxa"/>
            <w:gridSpan w:val="2"/>
          </w:tcPr>
          <w:p w:rsidRPr="00351248" w:rsidR="00351248" w:rsidP="00351248" w:rsidRDefault="00351248" w14:paraId="3BD16B8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351248" w:rsidR="00351248" w:rsidTr="00776454" w14:paraId="5487F143" w14:textId="77777777">
        <w:tc>
          <w:tcPr>
            <w:tcW w:w="1938" w:type="dxa"/>
          </w:tcPr>
          <w:p w:rsidRPr="00351248" w:rsidR="00351248" w:rsidP="00351248" w:rsidRDefault="00351248" w14:paraId="40FFAE27" w14:textId="6270C0A7">
            <w:pPr>
              <w:tabs>
                <w:tab w:val="center" w:pos="284"/>
              </w:tabs>
              <w:overflowPunct w:val="0"/>
              <w:autoSpaceDE w:val="0"/>
              <w:autoSpaceDN w:val="0"/>
              <w:adjustRightInd w:val="0"/>
              <w:ind w:left="266" w:hanging="266"/>
              <w:textAlignment w:val="baseline"/>
              <w:rPr>
                <w:b/>
              </w:rPr>
            </w:pPr>
            <w:r>
              <w:rPr>
                <w:b/>
              </w:rPr>
              <w:t>Referenzdokumente</w:t>
            </w:r>
          </w:p>
        </w:tc>
        <w:tc>
          <w:tcPr>
            <w:tcW w:w="7384" w:type="dxa"/>
          </w:tcPr>
          <w:p w:rsidR="00E93ED5" w:rsidP="00351248" w:rsidRDefault="00E93ED5" w14:paraId="2FEAD1A0" w14:textId="57A90725">
            <w:pPr>
              <w:tabs>
                <w:tab w:val="center" w:pos="284"/>
              </w:tabs>
              <w:overflowPunct w:val="0"/>
              <w:autoSpaceDE w:val="0"/>
              <w:autoSpaceDN w:val="0"/>
              <w:adjustRightInd w:val="0"/>
              <w:ind w:left="266" w:hanging="266"/>
              <w:textAlignment w:val="baseline"/>
            </w:pPr>
            <w:r>
              <w:t xml:space="preserve">COM(2023) 769 final </w:t>
            </w:r>
          </w:p>
          <w:p w:rsidRPr="00351248" w:rsidR="00351248" w:rsidP="00351248" w:rsidRDefault="00351248" w14:paraId="2BC8E1B7" w14:textId="49467B09">
            <w:pPr>
              <w:tabs>
                <w:tab w:val="center" w:pos="284"/>
              </w:tabs>
              <w:overflowPunct w:val="0"/>
              <w:autoSpaceDE w:val="0"/>
              <w:autoSpaceDN w:val="0"/>
              <w:adjustRightInd w:val="0"/>
              <w:ind w:left="266" w:hanging="266"/>
              <w:textAlignment w:val="baseline"/>
            </w:pPr>
            <w:r>
              <w:t>EESC-2024-00532-00-00-AC</w:t>
            </w:r>
          </w:p>
        </w:tc>
      </w:tr>
    </w:tbl>
    <w:p w:rsidRPr="00351248" w:rsidR="00351248" w:rsidP="00351248" w:rsidRDefault="00351248" w14:paraId="7E3F71A0" w14:textId="77777777">
      <w:pPr>
        <w:tabs>
          <w:tab w:val="center" w:pos="284"/>
        </w:tabs>
        <w:overflowPunct w:val="0"/>
        <w:autoSpaceDE w:val="0"/>
        <w:autoSpaceDN w:val="0"/>
        <w:adjustRightInd w:val="0"/>
        <w:ind w:left="266" w:hanging="266"/>
        <w:textAlignment w:val="baseline"/>
        <w:rPr>
          <w:lang w:val="fr-LU"/>
        </w:rPr>
      </w:pPr>
    </w:p>
    <w:p w:rsidRPr="00351248" w:rsidR="00351248" w:rsidP="005A622F" w:rsidRDefault="00351248" w14:paraId="62F7029B" w14:textId="77777777">
      <w:pPr>
        <w:keepNext/>
        <w:keepLines/>
        <w:tabs>
          <w:tab w:val="center" w:pos="284"/>
        </w:tabs>
        <w:overflowPunct w:val="0"/>
        <w:autoSpaceDE w:val="0"/>
        <w:autoSpaceDN w:val="0"/>
        <w:adjustRightInd w:val="0"/>
        <w:ind w:left="266" w:hanging="124"/>
        <w:textAlignment w:val="baseline"/>
        <w:rPr>
          <w:b/>
        </w:rPr>
      </w:pPr>
      <w:r>
        <w:rPr>
          <w:b/>
        </w:rPr>
        <w:t>Kernaussagen</w:t>
      </w:r>
    </w:p>
    <w:p w:rsidRPr="00351248" w:rsidR="00351248" w:rsidP="00351248" w:rsidRDefault="00351248" w14:paraId="392BDB56" w14:textId="77777777">
      <w:pPr>
        <w:overflowPunct w:val="0"/>
        <w:autoSpaceDE w:val="0"/>
        <w:autoSpaceDN w:val="0"/>
        <w:adjustRightInd w:val="0"/>
        <w:textAlignment w:val="baseline"/>
        <w:rPr>
          <w:bCs/>
          <w:iCs/>
          <w:lang w:val="fr-LU"/>
        </w:rPr>
      </w:pPr>
    </w:p>
    <w:p w:rsidRPr="00351248" w:rsidR="00351248" w:rsidP="005A622F" w:rsidRDefault="00351248" w14:paraId="628A42B7" w14:textId="77777777">
      <w:pPr>
        <w:overflowPunct w:val="0"/>
        <w:autoSpaceDE w:val="0"/>
        <w:autoSpaceDN w:val="0"/>
        <w:adjustRightInd w:val="0"/>
        <w:ind w:firstLine="142"/>
        <w:textAlignment w:val="baseline"/>
        <w:rPr>
          <w:szCs w:val="20"/>
        </w:rPr>
      </w:pPr>
      <w:r>
        <w:t>Der EWSA</w:t>
      </w:r>
    </w:p>
    <w:p w:rsidRPr="00351248" w:rsidR="00351248" w:rsidP="00351248" w:rsidRDefault="00351248" w14:paraId="6D2E4377" w14:textId="77777777">
      <w:pPr>
        <w:overflowPunct w:val="0"/>
        <w:autoSpaceDE w:val="0"/>
        <w:autoSpaceDN w:val="0"/>
        <w:adjustRightInd w:val="0"/>
        <w:textAlignment w:val="baseline"/>
        <w:rPr>
          <w:szCs w:val="20"/>
        </w:rPr>
      </w:pPr>
    </w:p>
    <w:p w:rsidRPr="00351248" w:rsidR="00351248" w:rsidP="005A622F" w:rsidRDefault="00351248" w14:paraId="22DF1608"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begrüßt nachdrücklich die von der EU ergriffenen Maßnahmen zur Förderung des Wohlergehens und der Rückverfolgbarkeit von Hunden und Katzen;</w:t>
      </w:r>
    </w:p>
    <w:p w:rsidRPr="00351248" w:rsidR="00351248" w:rsidP="005A622F" w:rsidRDefault="00351248" w14:paraId="635CF6AA"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weist darauf hin, dass die Entwicklung von Identifizierungs- und Registrierungssystemen für die Verbesserung des Wohlergehens von Hunden und Katzen von entscheidender Bedeutung ist, da sie die Rückverfolgung der Herkunft und der Angaben zur Gesundheit der Tiere erleichtert;</w:t>
      </w:r>
    </w:p>
    <w:p w:rsidRPr="00351248" w:rsidR="00351248" w:rsidP="005A622F" w:rsidRDefault="00351248" w14:paraId="006FB5B9"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weist darauf hin, dass die diesbezüglichen Bestimmungen erhebliche Auswirkungen auf den Heimtiermarkt haben werden, da sie möglicherweise die Kosten für die Züchter und Händler erhöhen, die sich an die neuen Anforderungen anpassen müssen;</w:t>
      </w:r>
    </w:p>
    <w:p w:rsidRPr="00351248" w:rsidR="00351248" w:rsidP="005A622F" w:rsidRDefault="00351248" w14:paraId="589B252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fordert Mindestvorschriften für Sanktionen bei Verstößen gegen die Bestimmungen der Verordnung;</w:t>
      </w:r>
    </w:p>
    <w:p w:rsidRPr="00351248" w:rsidR="00351248" w:rsidP="005A622F" w:rsidRDefault="00351248" w14:paraId="52ECB2FD"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empfiehlt, der Unterstützung und Aufklärung von Züchtern und Händlern besondere Aufmerksamkeit zu widmen, um ihnen die Anpassung an die neuen Anforderungen zu erleichtern;</w:t>
      </w:r>
    </w:p>
    <w:p w:rsidRPr="00351248" w:rsidR="00351248" w:rsidP="005A622F" w:rsidRDefault="00351248" w14:paraId="5D9B823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weist darauf hin, dass die internationale Zusammenarbeit beim Austausch von Informationen, besonders bewährten Verfahren und gemeinsamen Aktionen zur Bekämpfung des illegalen Handels mit Tieren, verstärkt werden muss;</w:t>
      </w:r>
    </w:p>
    <w:p w:rsidRPr="00351248" w:rsidR="00351248" w:rsidP="005A622F" w:rsidRDefault="00351248" w14:paraId="31DEED1E"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betont, dass angemessene Ressourcen für Identifizierungs- und Registrierungssysteme bereitgestellt werden müssen, damit diese wirksam sind und von allen Beteiligten genutzt werden können;</w:t>
      </w:r>
    </w:p>
    <w:p w:rsidRPr="00351248" w:rsidR="00351248" w:rsidP="005A622F" w:rsidRDefault="00351248" w14:paraId="503B64C6"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begrüßt den Vorschlag, mit dem für ein hohes Maß an Wohlergehen für alle Hunde und Katzen in der EU sowie für deren ordnungsgemäße Identifizierung und Registrierung gesorgt werden soll, wodurch ihre Rückverfolgbarkeit und die Verhinderung von Schmuggel erleichtert werden.</w:t>
      </w:r>
    </w:p>
    <w:p w:rsidRPr="00351248" w:rsidR="00351248" w:rsidP="00351248" w:rsidRDefault="00351248" w14:paraId="1195E7B5" w14:textId="77777777">
      <w:pPr>
        <w:spacing w:after="200" w:line="276" w:lineRule="auto"/>
        <w:contextualSpacing/>
        <w:jc w:val="left"/>
        <w:outlineLvl w:val="1"/>
        <w:rPr>
          <w:rFonts w:ascii="Calibri" w:hAnsi="Calibri"/>
          <w:lang w:val="fr-LU"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62"/>
      </w:tblGrid>
      <w:tr w:rsidRPr="00351248" w:rsidR="00351248" w:rsidTr="00776454" w14:paraId="5F0DAA29" w14:textId="77777777">
        <w:tc>
          <w:tcPr>
            <w:tcW w:w="1418" w:type="dxa"/>
          </w:tcPr>
          <w:p w:rsidRPr="00351248" w:rsidR="00351248" w:rsidP="00351248" w:rsidRDefault="00351248" w14:paraId="3EE6D42F" w14:textId="77777777">
            <w:pPr>
              <w:overflowPunct w:val="0"/>
              <w:autoSpaceDE w:val="0"/>
              <w:autoSpaceDN w:val="0"/>
              <w:adjustRightInd w:val="0"/>
              <w:spacing w:line="240" w:lineRule="auto"/>
              <w:textAlignment w:val="baseline"/>
              <w:rPr>
                <w:i/>
              </w:rPr>
            </w:pPr>
            <w:r>
              <w:rPr>
                <w:b/>
                <w:i/>
              </w:rPr>
              <w:t>Kontakt</w:t>
            </w:r>
          </w:p>
        </w:tc>
        <w:tc>
          <w:tcPr>
            <w:tcW w:w="7762" w:type="dxa"/>
          </w:tcPr>
          <w:p w:rsidRPr="00351248" w:rsidR="00351248" w:rsidP="00351248" w:rsidRDefault="00351248" w14:paraId="3866E937" w14:textId="77777777">
            <w:pPr>
              <w:overflowPunct w:val="0"/>
              <w:autoSpaceDE w:val="0"/>
              <w:autoSpaceDN w:val="0"/>
              <w:adjustRightInd w:val="0"/>
              <w:spacing w:line="240" w:lineRule="auto"/>
              <w:textAlignment w:val="baseline"/>
              <w:rPr>
                <w:i/>
              </w:rPr>
            </w:pPr>
            <w:r>
              <w:rPr>
                <w:i/>
              </w:rPr>
              <w:t xml:space="preserve">Arturo </w:t>
            </w:r>
            <w:proofErr w:type="spellStart"/>
            <w:r>
              <w:rPr>
                <w:i/>
              </w:rPr>
              <w:t>Iñiguez</w:t>
            </w:r>
            <w:proofErr w:type="spellEnd"/>
          </w:p>
        </w:tc>
      </w:tr>
      <w:tr w:rsidRPr="00351248" w:rsidR="00351248" w:rsidTr="00776454" w14:paraId="30D1F937" w14:textId="77777777">
        <w:tc>
          <w:tcPr>
            <w:tcW w:w="1418" w:type="dxa"/>
          </w:tcPr>
          <w:p w:rsidRPr="00351248" w:rsidR="00351248" w:rsidP="00351248" w:rsidRDefault="00351248" w14:paraId="2A45D62A" w14:textId="1A9BA215">
            <w:pPr>
              <w:overflowPunct w:val="0"/>
              <w:autoSpaceDE w:val="0"/>
              <w:autoSpaceDN w:val="0"/>
              <w:adjustRightInd w:val="0"/>
              <w:spacing w:line="240" w:lineRule="auto"/>
              <w:textAlignment w:val="baseline"/>
              <w:rPr>
                <w:i/>
              </w:rPr>
            </w:pPr>
            <w:r>
              <w:rPr>
                <w:i/>
              </w:rPr>
              <w:t>Tel.</w:t>
            </w:r>
          </w:p>
        </w:tc>
        <w:tc>
          <w:tcPr>
            <w:tcW w:w="7762" w:type="dxa"/>
          </w:tcPr>
          <w:p w:rsidRPr="00351248" w:rsidR="00351248" w:rsidP="00351248" w:rsidRDefault="00351248" w14:paraId="5435D8FB" w14:textId="77777777">
            <w:pPr>
              <w:overflowPunct w:val="0"/>
              <w:autoSpaceDE w:val="0"/>
              <w:autoSpaceDN w:val="0"/>
              <w:adjustRightInd w:val="0"/>
              <w:spacing w:line="240" w:lineRule="auto"/>
              <w:textAlignment w:val="baseline"/>
              <w:rPr>
                <w:i/>
              </w:rPr>
            </w:pPr>
            <w:r>
              <w:rPr>
                <w:i/>
              </w:rPr>
              <w:t>+32 25468768</w:t>
            </w:r>
          </w:p>
        </w:tc>
      </w:tr>
      <w:tr w:rsidRPr="00351248" w:rsidR="00351248" w:rsidTr="00776454" w14:paraId="6C165DC8" w14:textId="77777777">
        <w:tc>
          <w:tcPr>
            <w:tcW w:w="1418" w:type="dxa"/>
          </w:tcPr>
          <w:p w:rsidRPr="00351248" w:rsidR="00351248" w:rsidP="00351248" w:rsidRDefault="00EE5280" w14:paraId="02527944" w14:textId="764A3CA5">
            <w:pPr>
              <w:overflowPunct w:val="0"/>
              <w:autoSpaceDE w:val="0"/>
              <w:autoSpaceDN w:val="0"/>
              <w:adjustRightInd w:val="0"/>
              <w:spacing w:line="240" w:lineRule="auto"/>
              <w:textAlignment w:val="baseline"/>
              <w:rPr>
                <w:i/>
              </w:rPr>
            </w:pPr>
            <w:r>
              <w:rPr>
                <w:i/>
              </w:rPr>
              <w:t>E-Mail</w:t>
            </w:r>
          </w:p>
        </w:tc>
        <w:tc>
          <w:tcPr>
            <w:tcW w:w="7762" w:type="dxa"/>
          </w:tcPr>
          <w:p w:rsidRPr="00351248" w:rsidR="00351248" w:rsidP="00351248" w:rsidRDefault="00455BAD" w14:paraId="3102E7B7" w14:textId="77777777">
            <w:pPr>
              <w:spacing w:after="200" w:line="276" w:lineRule="auto"/>
              <w:contextualSpacing/>
              <w:jc w:val="left"/>
              <w:outlineLvl w:val="1"/>
              <w:rPr>
                <w:rFonts w:ascii="Calibri" w:hAnsi="Calibri"/>
              </w:rPr>
            </w:pPr>
            <w:hyperlink w:history="1" r:id="rId39">
              <w:r w:rsidR="005D1A62">
                <w:rPr>
                  <w:i/>
                  <w:color w:val="0000FF"/>
                  <w:u w:val="single"/>
                </w:rPr>
                <w:t>Arturo.Iniguez@eesc.europa.eu</w:t>
              </w:r>
            </w:hyperlink>
          </w:p>
          <w:p w:rsidRPr="00351248" w:rsidR="00351248" w:rsidP="00351248" w:rsidRDefault="00351248" w14:paraId="5780324B" w14:textId="77777777">
            <w:pPr>
              <w:overflowPunct w:val="0"/>
              <w:autoSpaceDE w:val="0"/>
              <w:autoSpaceDN w:val="0"/>
              <w:adjustRightInd w:val="0"/>
              <w:spacing w:line="240" w:lineRule="auto"/>
              <w:textAlignment w:val="baseline"/>
              <w:rPr>
                <w:i/>
                <w:lang w:val="fr-LU"/>
              </w:rPr>
            </w:pPr>
          </w:p>
        </w:tc>
      </w:tr>
    </w:tbl>
    <w:p w:rsidR="002D10D5" w:rsidP="00996E9C" w:rsidRDefault="002D10D5" w14:paraId="63FA541F" w14:textId="77777777">
      <w:pPr>
        <w:pStyle w:val="Heading1"/>
        <w:keepNext/>
        <w:keepLines/>
        <w:numPr>
          <w:ilvl w:val="0"/>
          <w:numId w:val="0"/>
        </w:numPr>
        <w:spacing w:before="0"/>
        <w:ind w:left="568"/>
        <w:rPr>
          <w:b/>
          <w:bCs/>
        </w:rPr>
      </w:pPr>
    </w:p>
    <w:p w:rsidR="006938FA" w:rsidRDefault="006938FA" w14:paraId="6AD61F9D" w14:textId="351D7CC4">
      <w:pPr>
        <w:spacing w:after="160" w:line="259" w:lineRule="auto"/>
        <w:jc w:val="left"/>
        <w:rPr>
          <w:b/>
          <w:bCs/>
        </w:rPr>
      </w:pPr>
    </w:p>
    <w:p w:rsidR="00351248" w:rsidRDefault="00351248" w14:paraId="7D717691" w14:textId="5AA1E8C2">
      <w:pPr>
        <w:spacing w:after="160" w:line="259" w:lineRule="auto"/>
        <w:jc w:val="left"/>
        <w:rPr>
          <w:b/>
          <w:bCs/>
          <w:i/>
          <w:iCs/>
          <w:sz w:val="28"/>
          <w:szCs w:val="28"/>
        </w:rPr>
      </w:pPr>
      <w:r>
        <w:br w:type="page"/>
      </w:r>
    </w:p>
    <w:p w:rsidRPr="000B1C30" w:rsidR="00E110D0" w:rsidP="005B4680" w:rsidRDefault="00E110D0" w14:paraId="268D0B18" w14:textId="0D072EE0">
      <w:pPr>
        <w:pStyle w:val="Heading1"/>
        <w:ind w:hanging="928"/>
        <w:rPr>
          <w:b/>
          <w:bCs/>
        </w:rPr>
      </w:pPr>
      <w:bookmarkStart w:name="_Toc162435207" w:id="7"/>
      <w:bookmarkStart w:name="_Toc162435208" w:id="8"/>
      <w:bookmarkStart w:name="_Toc163637043" w:id="9"/>
      <w:bookmarkEnd w:id="7"/>
      <w:bookmarkEnd w:id="8"/>
      <w:r>
        <w:rPr>
          <w:b/>
        </w:rPr>
        <w:lastRenderedPageBreak/>
        <w:t>VERKEHR, ENERGIE, INFRASTRUKTUREN, INFORMATIONSGESELLSCHAFT</w:t>
      </w:r>
      <w:bookmarkEnd w:id="9"/>
    </w:p>
    <w:p w:rsidR="0045690D" w:rsidP="00775FC4" w:rsidRDefault="0045690D" w14:paraId="4F161A92" w14:textId="77777777">
      <w:pPr>
        <w:keepNext/>
        <w:keepLines/>
      </w:pPr>
    </w:p>
    <w:p w:rsidRPr="00351248" w:rsidR="00351248" w:rsidP="004351D4" w:rsidRDefault="00633FC6" w14:paraId="4BC5BED4" w14:textId="4903803F">
      <w:pPr>
        <w:widowControl w:val="0"/>
        <w:numPr>
          <w:ilvl w:val="0"/>
          <w:numId w:val="2"/>
        </w:numPr>
        <w:overflowPunct w:val="0"/>
        <w:autoSpaceDE w:val="0"/>
        <w:autoSpaceDN w:val="0"/>
        <w:adjustRightInd w:val="0"/>
        <w:ind w:left="266" w:hanging="266"/>
        <w:textAlignment w:val="baseline"/>
        <w:rPr>
          <w:b/>
        </w:rPr>
      </w:pPr>
      <w:r>
        <w:rPr>
          <w:b/>
          <w:i/>
          <w:sz w:val="28"/>
        </w:rPr>
        <w:tab/>
      </w:r>
      <w:hyperlink w:history="1" r:id="rId40">
        <w:r>
          <w:rPr>
            <w:b/>
            <w:i/>
            <w:color w:val="0000FF"/>
            <w:sz w:val="28"/>
            <w:u w:val="single"/>
          </w:rPr>
          <w:t>Überarbeitung des Rechtsrahmens für Fahr - und Fluggastrechte</w:t>
        </w:r>
      </w:hyperlink>
    </w:p>
    <w:tbl>
      <w:tblPr>
        <w:tblStyle w:val="TableGrid192"/>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560"/>
      </w:tblGrid>
      <w:tr w:rsidRPr="00351248" w:rsidR="00351248" w:rsidTr="0053712F" w14:paraId="1EA1F37A" w14:textId="77777777">
        <w:tc>
          <w:tcPr>
            <w:tcW w:w="1701" w:type="dxa"/>
          </w:tcPr>
          <w:p w:rsidRPr="00351248" w:rsidR="00351248" w:rsidP="00351248" w:rsidRDefault="00351248" w14:paraId="7C36B7F5" w14:textId="77777777">
            <w:pPr>
              <w:tabs>
                <w:tab w:val="center" w:pos="284"/>
              </w:tabs>
              <w:overflowPunct w:val="0"/>
              <w:autoSpaceDE w:val="0"/>
              <w:autoSpaceDN w:val="0"/>
              <w:adjustRightInd w:val="0"/>
              <w:ind w:left="266" w:hanging="266"/>
              <w:textAlignment w:val="baseline"/>
              <w:rPr>
                <w:b/>
              </w:rPr>
            </w:pPr>
          </w:p>
          <w:p w:rsidRPr="00351248" w:rsidR="00351248" w:rsidP="00351248" w:rsidRDefault="00351248" w14:paraId="5A3C3640" w14:textId="77777777">
            <w:pPr>
              <w:tabs>
                <w:tab w:val="center" w:pos="284"/>
              </w:tabs>
              <w:overflowPunct w:val="0"/>
              <w:autoSpaceDE w:val="0"/>
              <w:autoSpaceDN w:val="0"/>
              <w:adjustRightInd w:val="0"/>
              <w:ind w:left="266" w:hanging="266"/>
              <w:textAlignment w:val="baseline"/>
              <w:rPr>
                <w:b/>
              </w:rPr>
            </w:pPr>
            <w:r>
              <w:rPr>
                <w:b/>
              </w:rPr>
              <w:t xml:space="preserve">Berichterstatterin </w:t>
            </w:r>
          </w:p>
        </w:tc>
        <w:tc>
          <w:tcPr>
            <w:tcW w:w="7797" w:type="dxa"/>
          </w:tcPr>
          <w:p w:rsidRPr="00351248" w:rsidR="00351248" w:rsidP="00351248" w:rsidRDefault="00351248" w14:paraId="52FA2604" w14:textId="77777777">
            <w:pPr>
              <w:tabs>
                <w:tab w:val="center" w:pos="284"/>
              </w:tabs>
              <w:overflowPunct w:val="0"/>
              <w:autoSpaceDE w:val="0"/>
              <w:autoSpaceDN w:val="0"/>
              <w:adjustRightInd w:val="0"/>
              <w:ind w:left="266" w:hanging="266"/>
              <w:textAlignment w:val="baseline"/>
            </w:pPr>
          </w:p>
          <w:p w:rsidRPr="00351248" w:rsidR="00351248" w:rsidP="00776454" w:rsidRDefault="00351248" w14:paraId="61914F74" w14:textId="28832A01">
            <w:pPr>
              <w:tabs>
                <w:tab w:val="center" w:pos="0"/>
              </w:tabs>
              <w:overflowPunct w:val="0"/>
              <w:autoSpaceDE w:val="0"/>
              <w:autoSpaceDN w:val="0"/>
              <w:adjustRightInd w:val="0"/>
              <w:textAlignment w:val="baseline"/>
            </w:pPr>
            <w:r>
              <w:t>Ileana IZVERNICEANU DE LA IGLESIA (Gruppe Organisationen der Zivilgesellschaft – ES)</w:t>
            </w:r>
          </w:p>
        </w:tc>
      </w:tr>
      <w:tr w:rsidRPr="00351248" w:rsidR="00351248" w:rsidTr="0053712F" w14:paraId="7D2E5062" w14:textId="77777777">
        <w:tc>
          <w:tcPr>
            <w:tcW w:w="9498" w:type="dxa"/>
            <w:gridSpan w:val="2"/>
          </w:tcPr>
          <w:p w:rsidRPr="00351248" w:rsidR="00351248" w:rsidP="00351248" w:rsidRDefault="00351248" w14:paraId="46065D19"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53712F" w14:paraId="0C6B2E47" w14:textId="77777777">
        <w:tc>
          <w:tcPr>
            <w:tcW w:w="1701" w:type="dxa"/>
            <w:vMerge w:val="restart"/>
          </w:tcPr>
          <w:p w:rsidRPr="00351248" w:rsidR="00351248" w:rsidP="00351248" w:rsidRDefault="00351248" w14:paraId="74CECAAA" w14:textId="77777777">
            <w:pPr>
              <w:tabs>
                <w:tab w:val="center" w:pos="284"/>
              </w:tabs>
              <w:overflowPunct w:val="0"/>
              <w:autoSpaceDE w:val="0"/>
              <w:autoSpaceDN w:val="0"/>
              <w:adjustRightInd w:val="0"/>
              <w:ind w:left="266" w:hanging="266"/>
              <w:textAlignment w:val="baseline"/>
              <w:rPr>
                <w:b/>
              </w:rPr>
            </w:pPr>
            <w:r>
              <w:rPr>
                <w:b/>
              </w:rPr>
              <w:t>Referenzdokumente</w:t>
            </w:r>
          </w:p>
        </w:tc>
        <w:tc>
          <w:tcPr>
            <w:tcW w:w="7797" w:type="dxa"/>
          </w:tcPr>
          <w:p w:rsidRPr="00351248" w:rsidR="00351248" w:rsidP="00351248" w:rsidRDefault="00351248" w14:paraId="3C41E0C2" w14:textId="77777777">
            <w:pPr>
              <w:tabs>
                <w:tab w:val="center" w:pos="284"/>
              </w:tabs>
              <w:overflowPunct w:val="0"/>
              <w:autoSpaceDE w:val="0"/>
              <w:autoSpaceDN w:val="0"/>
              <w:adjustRightInd w:val="0"/>
              <w:ind w:left="266" w:hanging="266"/>
              <w:textAlignment w:val="baseline"/>
            </w:pPr>
            <w:r>
              <w:t>COM(2023) 753 final </w:t>
            </w:r>
          </w:p>
          <w:p w:rsidRPr="00351248" w:rsidR="00351248" w:rsidP="00351248" w:rsidRDefault="00351248" w14:paraId="465835D6" w14:textId="77777777">
            <w:pPr>
              <w:tabs>
                <w:tab w:val="center" w:pos="284"/>
              </w:tabs>
              <w:overflowPunct w:val="0"/>
              <w:autoSpaceDE w:val="0"/>
              <w:autoSpaceDN w:val="0"/>
              <w:adjustRightInd w:val="0"/>
              <w:ind w:left="266" w:hanging="266"/>
              <w:textAlignment w:val="baseline"/>
            </w:pPr>
            <w:r>
              <w:t>COM(2023) 752 final </w:t>
            </w:r>
          </w:p>
          <w:p w:rsidRPr="00351248" w:rsidR="00351248" w:rsidP="00351248" w:rsidRDefault="00351248" w14:paraId="411637E5" w14:textId="77777777">
            <w:pPr>
              <w:tabs>
                <w:tab w:val="center" w:pos="284"/>
              </w:tabs>
              <w:overflowPunct w:val="0"/>
              <w:autoSpaceDE w:val="0"/>
              <w:autoSpaceDN w:val="0"/>
              <w:adjustRightInd w:val="0"/>
              <w:ind w:left="266" w:hanging="266"/>
              <w:textAlignment w:val="baseline"/>
            </w:pPr>
            <w:r>
              <w:t>EESC-2023-05130-00-00-AC</w:t>
            </w:r>
          </w:p>
        </w:tc>
      </w:tr>
      <w:tr w:rsidRPr="00351248" w:rsidR="00351248" w:rsidTr="0053712F" w14:paraId="6D5DB00F" w14:textId="77777777">
        <w:tc>
          <w:tcPr>
            <w:tcW w:w="1701" w:type="dxa"/>
            <w:vMerge/>
          </w:tcPr>
          <w:p w:rsidRPr="00351248" w:rsidR="00351248" w:rsidP="00351248" w:rsidRDefault="00351248" w14:paraId="06DB045B" w14:textId="77777777">
            <w:pPr>
              <w:tabs>
                <w:tab w:val="center" w:pos="284"/>
              </w:tabs>
              <w:overflowPunct w:val="0"/>
              <w:autoSpaceDE w:val="0"/>
              <w:autoSpaceDN w:val="0"/>
              <w:adjustRightInd w:val="0"/>
              <w:ind w:left="266" w:hanging="266"/>
              <w:textAlignment w:val="baseline"/>
              <w:rPr>
                <w:b/>
              </w:rPr>
            </w:pPr>
          </w:p>
        </w:tc>
        <w:tc>
          <w:tcPr>
            <w:tcW w:w="7797" w:type="dxa"/>
          </w:tcPr>
          <w:p w:rsidRPr="00351248" w:rsidR="00351248" w:rsidP="00351248" w:rsidRDefault="00351248" w14:paraId="1B42D12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3E381DD2" w14:textId="77777777">
      <w:pPr>
        <w:tabs>
          <w:tab w:val="center" w:pos="284"/>
        </w:tabs>
        <w:overflowPunct w:val="0"/>
        <w:autoSpaceDE w:val="0"/>
        <w:autoSpaceDN w:val="0"/>
        <w:adjustRightInd w:val="0"/>
        <w:ind w:left="266" w:hanging="266"/>
        <w:textAlignment w:val="baseline"/>
      </w:pPr>
    </w:p>
    <w:p w:rsidRPr="00351248" w:rsidR="00351248" w:rsidP="00351248" w:rsidRDefault="00351248" w14:paraId="09DCCA33"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351248" w:rsidR="00351248" w:rsidP="00351248" w:rsidRDefault="00351248" w14:paraId="7645AFE3" w14:textId="77777777">
      <w:pPr>
        <w:keepNext/>
        <w:keepLines/>
        <w:tabs>
          <w:tab w:val="center" w:pos="284"/>
        </w:tabs>
        <w:overflowPunct w:val="0"/>
        <w:autoSpaceDE w:val="0"/>
        <w:autoSpaceDN w:val="0"/>
        <w:adjustRightInd w:val="0"/>
        <w:ind w:left="266" w:hanging="266"/>
        <w:textAlignment w:val="baseline"/>
        <w:rPr>
          <w:b/>
        </w:rPr>
      </w:pPr>
    </w:p>
    <w:p w:rsidRPr="00351248" w:rsidR="00351248" w:rsidP="00351248" w:rsidRDefault="00351248" w14:paraId="6A797B7E" w14:textId="77777777">
      <w:pPr>
        <w:overflowPunct w:val="0"/>
        <w:autoSpaceDE w:val="0"/>
        <w:autoSpaceDN w:val="0"/>
        <w:adjustRightInd w:val="0"/>
        <w:textAlignment w:val="baseline"/>
        <w:rPr>
          <w:bCs/>
          <w:iCs/>
        </w:rPr>
      </w:pPr>
      <w:r>
        <w:t>Der EWSA</w:t>
      </w:r>
    </w:p>
    <w:p w:rsidRPr="00351248" w:rsidR="00351248" w:rsidP="00351248" w:rsidRDefault="00351248" w14:paraId="51837D7E" w14:textId="77777777">
      <w:pPr>
        <w:overflowPunct w:val="0"/>
        <w:autoSpaceDE w:val="0"/>
        <w:autoSpaceDN w:val="0"/>
        <w:adjustRightInd w:val="0"/>
        <w:textAlignment w:val="baseline"/>
        <w:rPr>
          <w:bCs/>
          <w:iCs/>
        </w:rPr>
      </w:pPr>
    </w:p>
    <w:p w:rsidRPr="00351248" w:rsidR="00351248" w:rsidP="005A622F" w:rsidRDefault="00351248" w14:paraId="3C723A1E"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begrüßt die von der Europäischen Kommission vorgeschlagene neue Verordnung, mit der die Rechte von Fahr- und Fluggästen gestärkt und sie besser informiert werden sollen. Die Bestandteile dieser neuen Verordnung (Pauschalreisen, Fahr- und Fluggastrechte und multimodale Reisen) sind als einander ergänzend aufzufassen;</w:t>
      </w:r>
    </w:p>
    <w:p w:rsidRPr="00351248" w:rsidR="00351248" w:rsidP="005A622F" w:rsidRDefault="00351248" w14:paraId="138EEBC4"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sieht die Unkenntnis der Bürgerinnen und Bürger über ihre Rechte und die Probleme bei der Ausübung dieser Rechte mit Sorge und hält Information für das nützlichste und wirksamste Mittel, um zu erreichen, dass Passagiere ihre Rechte kennen und im Falle einer Rechtsverletzung auch durchsetzen können;</w:t>
      </w:r>
    </w:p>
    <w:p w:rsidRPr="00351248" w:rsidR="00351248" w:rsidP="005A622F" w:rsidRDefault="00351248" w14:paraId="6EB0D0C6"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empfiehlt der Kommission, dafür zu sorgen, dass Tourismusdienstleister umfassende und fundierte Informationen bereitstellen, zu denen die Passagiere Zugang haben und die ihnen persönlich übermittelt werden, was auch über andere, etwa digitale Übertragungskanäle geschehen kann.</w:t>
      </w:r>
    </w:p>
    <w:p w:rsidRPr="005A622F" w:rsidR="00351248" w:rsidP="005A622F" w:rsidRDefault="00351248" w14:paraId="6E9257B8" w14:textId="77777777">
      <w:pPr>
        <w:widowControl w:val="0"/>
        <w:overflowPunct w:val="0"/>
        <w:autoSpaceDE w:val="0"/>
        <w:autoSpaceDN w:val="0"/>
        <w:adjustRightInd w:val="0"/>
        <w:ind w:left="284"/>
        <w:textAlignment w:val="baseline"/>
        <w:rPr>
          <w:bCs/>
          <w:iCs/>
        </w:rPr>
      </w:pPr>
    </w:p>
    <w:tbl>
      <w:tblPr>
        <w:tblStyle w:val="TableGrid192"/>
        <w:tblW w:w="9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8046"/>
      </w:tblGrid>
      <w:tr w:rsidRPr="00351248" w:rsidR="00351248" w:rsidTr="00776454" w14:paraId="39146889" w14:textId="77777777">
        <w:tc>
          <w:tcPr>
            <w:tcW w:w="1418" w:type="dxa"/>
          </w:tcPr>
          <w:p w:rsidRPr="00351248" w:rsidR="00351248" w:rsidP="00351248" w:rsidRDefault="00351248" w14:paraId="7F3C31DD" w14:textId="77777777">
            <w:pPr>
              <w:overflowPunct w:val="0"/>
              <w:autoSpaceDE w:val="0"/>
              <w:autoSpaceDN w:val="0"/>
              <w:adjustRightInd w:val="0"/>
              <w:spacing w:line="240" w:lineRule="auto"/>
              <w:textAlignment w:val="baseline"/>
              <w:rPr>
                <w:i/>
              </w:rPr>
            </w:pPr>
            <w:r>
              <w:rPr>
                <w:b/>
                <w:i/>
              </w:rPr>
              <w:t>Kontakt</w:t>
            </w:r>
          </w:p>
        </w:tc>
        <w:tc>
          <w:tcPr>
            <w:tcW w:w="8046" w:type="dxa"/>
          </w:tcPr>
          <w:p w:rsidRPr="00351248" w:rsidR="00351248" w:rsidP="00351248" w:rsidRDefault="00351248" w14:paraId="4351ED96" w14:textId="6DA7D430">
            <w:pPr>
              <w:overflowPunct w:val="0"/>
              <w:autoSpaceDE w:val="0"/>
              <w:autoSpaceDN w:val="0"/>
              <w:adjustRightInd w:val="0"/>
              <w:spacing w:line="240" w:lineRule="auto"/>
              <w:textAlignment w:val="baseline"/>
              <w:rPr>
                <w:i/>
              </w:rPr>
            </w:pPr>
            <w:r>
              <w:rPr>
                <w:i/>
              </w:rPr>
              <w:t>António Ribeiro Pereira</w:t>
            </w:r>
          </w:p>
        </w:tc>
      </w:tr>
      <w:tr w:rsidRPr="00351248" w:rsidR="00351248" w:rsidTr="00776454" w14:paraId="2EF8B949" w14:textId="77777777">
        <w:tc>
          <w:tcPr>
            <w:tcW w:w="1418" w:type="dxa"/>
          </w:tcPr>
          <w:p w:rsidRPr="00351248" w:rsidR="00351248" w:rsidP="00351248" w:rsidRDefault="00351248" w14:paraId="5EFB2FD3" w14:textId="77777777">
            <w:pPr>
              <w:overflowPunct w:val="0"/>
              <w:autoSpaceDE w:val="0"/>
              <w:autoSpaceDN w:val="0"/>
              <w:adjustRightInd w:val="0"/>
              <w:spacing w:line="240" w:lineRule="auto"/>
              <w:textAlignment w:val="baseline"/>
              <w:rPr>
                <w:i/>
              </w:rPr>
            </w:pPr>
            <w:r>
              <w:rPr>
                <w:i/>
              </w:rPr>
              <w:t>Tel.</w:t>
            </w:r>
          </w:p>
        </w:tc>
        <w:tc>
          <w:tcPr>
            <w:tcW w:w="8046" w:type="dxa"/>
          </w:tcPr>
          <w:p w:rsidRPr="00351248" w:rsidR="00351248" w:rsidP="00351248" w:rsidRDefault="00351248" w14:paraId="6566AC9C" w14:textId="77777777">
            <w:pPr>
              <w:overflowPunct w:val="0"/>
              <w:autoSpaceDE w:val="0"/>
              <w:autoSpaceDN w:val="0"/>
              <w:adjustRightInd w:val="0"/>
              <w:spacing w:line="240" w:lineRule="auto"/>
              <w:textAlignment w:val="baseline"/>
              <w:rPr>
                <w:i/>
              </w:rPr>
            </w:pPr>
            <w:r>
              <w:rPr>
                <w:i/>
              </w:rPr>
              <w:t>+32 25469363</w:t>
            </w:r>
          </w:p>
        </w:tc>
      </w:tr>
      <w:tr w:rsidRPr="00351248" w:rsidR="00351248" w:rsidTr="00776454" w14:paraId="1B9FBBAA" w14:textId="77777777">
        <w:tc>
          <w:tcPr>
            <w:tcW w:w="1418" w:type="dxa"/>
          </w:tcPr>
          <w:p w:rsidRPr="00351248" w:rsidR="00351248" w:rsidP="00351248" w:rsidRDefault="00351248" w14:paraId="16E8EC7B" w14:textId="77777777">
            <w:pPr>
              <w:overflowPunct w:val="0"/>
              <w:autoSpaceDE w:val="0"/>
              <w:autoSpaceDN w:val="0"/>
              <w:adjustRightInd w:val="0"/>
              <w:spacing w:line="240" w:lineRule="auto"/>
              <w:textAlignment w:val="baseline"/>
              <w:rPr>
                <w:i/>
              </w:rPr>
            </w:pPr>
            <w:r>
              <w:rPr>
                <w:i/>
              </w:rPr>
              <w:t>E-Mail</w:t>
            </w:r>
          </w:p>
        </w:tc>
        <w:tc>
          <w:tcPr>
            <w:tcW w:w="8046" w:type="dxa"/>
          </w:tcPr>
          <w:p w:rsidRPr="00351248" w:rsidR="00351248" w:rsidP="00351248" w:rsidRDefault="00455BAD" w14:paraId="00C4DEB0" w14:textId="4AEF3E28">
            <w:pPr>
              <w:overflowPunct w:val="0"/>
              <w:autoSpaceDE w:val="0"/>
              <w:autoSpaceDN w:val="0"/>
              <w:adjustRightInd w:val="0"/>
              <w:spacing w:line="240" w:lineRule="auto"/>
              <w:textAlignment w:val="baseline"/>
              <w:rPr>
                <w:i/>
              </w:rPr>
            </w:pPr>
            <w:hyperlink w:history="1" r:id="rId41">
              <w:r w:rsidR="005D1A62">
                <w:rPr>
                  <w:i/>
                  <w:color w:val="0000FF"/>
                  <w:u w:val="single"/>
                </w:rPr>
                <w:t>Antonio.RibeiroPereira@eesc.europa.eu</w:t>
              </w:r>
            </w:hyperlink>
          </w:p>
        </w:tc>
      </w:tr>
    </w:tbl>
    <w:p w:rsidR="00351248" w:rsidRDefault="00351248" w14:paraId="06521FF1" w14:textId="77777777">
      <w:pPr>
        <w:spacing w:after="160" w:line="259" w:lineRule="auto"/>
        <w:jc w:val="left"/>
      </w:pPr>
    </w:p>
    <w:p w:rsidR="00351248" w:rsidRDefault="00351248" w14:paraId="710AFAC9" w14:textId="77777777">
      <w:pPr>
        <w:spacing w:after="160" w:line="259" w:lineRule="auto"/>
        <w:jc w:val="left"/>
      </w:pPr>
      <w:r>
        <w:br w:type="page"/>
      </w:r>
    </w:p>
    <w:p w:rsidRPr="00351248" w:rsidR="00351248" w:rsidP="004351D4" w:rsidRDefault="00455BAD" w14:paraId="6A595934" w14:textId="57305D8C">
      <w:pPr>
        <w:widowControl w:val="0"/>
        <w:numPr>
          <w:ilvl w:val="0"/>
          <w:numId w:val="2"/>
        </w:numPr>
        <w:overflowPunct w:val="0"/>
        <w:autoSpaceDE w:val="0"/>
        <w:autoSpaceDN w:val="0"/>
        <w:adjustRightInd w:val="0"/>
        <w:ind w:hanging="567"/>
        <w:textAlignment w:val="baseline"/>
        <w:rPr>
          <w:sz w:val="20"/>
          <w:szCs w:val="20"/>
        </w:rPr>
      </w:pPr>
      <w:hyperlink w:history="1" r:id="rId42">
        <w:r w:rsidR="005D1A62">
          <w:rPr>
            <w:b/>
            <w:i/>
            <w:color w:val="0000FF"/>
            <w:sz w:val="28"/>
            <w:u w:val="single"/>
          </w:rPr>
          <w:t>Windkraftpaket</w:t>
        </w:r>
      </w:hyperlink>
    </w:p>
    <w:p w:rsidR="00351248" w:rsidP="00351248" w:rsidRDefault="00351248" w14:paraId="00C018E7" w14:textId="08D1A0A6">
      <w:pPr>
        <w:tabs>
          <w:tab w:val="center" w:pos="284"/>
        </w:tabs>
        <w:overflowPunct w:val="0"/>
        <w:autoSpaceDE w:val="0"/>
        <w:autoSpaceDN w:val="0"/>
        <w:adjustRightInd w:val="0"/>
        <w:ind w:left="266" w:hanging="266"/>
        <w:textAlignment w:val="baseline"/>
        <w:rPr>
          <w:b/>
          <w:sz w:val="16"/>
          <w:szCs w:val="16"/>
        </w:rPr>
      </w:pPr>
    </w:p>
    <w:p w:rsidRPr="00351248" w:rsidR="00E66AAC" w:rsidP="00351248" w:rsidRDefault="00E66AAC" w14:paraId="6D0CC16A" w14:textId="77777777">
      <w:pPr>
        <w:tabs>
          <w:tab w:val="center" w:pos="284"/>
        </w:tabs>
        <w:overflowPunct w:val="0"/>
        <w:autoSpaceDE w:val="0"/>
        <w:autoSpaceDN w:val="0"/>
        <w:adjustRightInd w:val="0"/>
        <w:ind w:left="266" w:hanging="266"/>
        <w:textAlignment w:val="baseline"/>
        <w:rPr>
          <w:b/>
          <w:sz w:val="16"/>
          <w:szCs w:val="16"/>
        </w:rPr>
      </w:pPr>
    </w:p>
    <w:tbl>
      <w:tblPr>
        <w:tblStyle w:val="TableGrid193"/>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7087"/>
      </w:tblGrid>
      <w:tr w:rsidRPr="00351248" w:rsidR="00351248" w:rsidTr="00776454" w14:paraId="4A2A9411" w14:textId="77777777">
        <w:tc>
          <w:tcPr>
            <w:tcW w:w="2235" w:type="dxa"/>
          </w:tcPr>
          <w:p w:rsidRPr="00351248" w:rsidR="00351248" w:rsidP="00351248" w:rsidRDefault="00351248" w14:paraId="648816CE" w14:textId="77777777">
            <w:pPr>
              <w:tabs>
                <w:tab w:val="center" w:pos="284"/>
              </w:tabs>
              <w:overflowPunct w:val="0"/>
              <w:autoSpaceDE w:val="0"/>
              <w:autoSpaceDN w:val="0"/>
              <w:adjustRightInd w:val="0"/>
              <w:ind w:left="266" w:hanging="266"/>
              <w:textAlignment w:val="baseline"/>
              <w:rPr>
                <w:b/>
              </w:rPr>
            </w:pPr>
            <w:r>
              <w:rPr>
                <w:b/>
              </w:rPr>
              <w:t xml:space="preserve">Berichterstatter </w:t>
            </w:r>
          </w:p>
        </w:tc>
        <w:tc>
          <w:tcPr>
            <w:tcW w:w="7087" w:type="dxa"/>
          </w:tcPr>
          <w:p w:rsidRPr="00351248" w:rsidR="00351248" w:rsidP="00351248" w:rsidRDefault="00351248" w14:paraId="53DFC237" w14:textId="7581959A">
            <w:pPr>
              <w:tabs>
                <w:tab w:val="center" w:pos="284"/>
              </w:tabs>
              <w:overflowPunct w:val="0"/>
              <w:autoSpaceDE w:val="0"/>
              <w:autoSpaceDN w:val="0"/>
              <w:adjustRightInd w:val="0"/>
              <w:ind w:left="266" w:hanging="266"/>
              <w:textAlignment w:val="baseline"/>
            </w:pPr>
            <w:r>
              <w:t>Thomas KATTNIG (Gruppe Arbeitnehmer – AT)</w:t>
            </w:r>
          </w:p>
        </w:tc>
      </w:tr>
      <w:tr w:rsidRPr="00351248" w:rsidR="00351248" w:rsidTr="00776454" w14:paraId="50D77D7A" w14:textId="77777777">
        <w:tc>
          <w:tcPr>
            <w:tcW w:w="9322" w:type="dxa"/>
            <w:gridSpan w:val="2"/>
          </w:tcPr>
          <w:p w:rsidRPr="00351248" w:rsidR="00351248" w:rsidP="00351248" w:rsidRDefault="00351248" w14:paraId="5E7F3314"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776454" w14:paraId="07014A43" w14:textId="77777777">
        <w:tc>
          <w:tcPr>
            <w:tcW w:w="2235" w:type="dxa"/>
            <w:vMerge w:val="restart"/>
          </w:tcPr>
          <w:p w:rsidRPr="00351248" w:rsidR="00351248" w:rsidP="00351248" w:rsidRDefault="00351248" w14:paraId="75F58AC8" w14:textId="77777777">
            <w:pPr>
              <w:tabs>
                <w:tab w:val="center" w:pos="284"/>
              </w:tabs>
              <w:overflowPunct w:val="0"/>
              <w:autoSpaceDE w:val="0"/>
              <w:autoSpaceDN w:val="0"/>
              <w:adjustRightInd w:val="0"/>
              <w:ind w:left="266" w:hanging="266"/>
              <w:textAlignment w:val="baseline"/>
              <w:rPr>
                <w:b/>
              </w:rPr>
            </w:pPr>
            <w:r>
              <w:rPr>
                <w:b/>
              </w:rPr>
              <w:t>Referenzdokumente</w:t>
            </w:r>
          </w:p>
        </w:tc>
        <w:tc>
          <w:tcPr>
            <w:tcW w:w="7087" w:type="dxa"/>
          </w:tcPr>
          <w:p w:rsidR="00DE4C21" w:rsidP="00351248" w:rsidRDefault="00351248" w14:paraId="490D8943" w14:textId="07553BAC">
            <w:pPr>
              <w:tabs>
                <w:tab w:val="center" w:pos="0"/>
              </w:tabs>
              <w:overflowPunct w:val="0"/>
              <w:autoSpaceDE w:val="0"/>
              <w:autoSpaceDN w:val="0"/>
              <w:adjustRightInd w:val="0"/>
              <w:textAlignment w:val="baseline"/>
            </w:pPr>
            <w:r>
              <w:t>COM(2023) 668 final</w:t>
            </w:r>
          </w:p>
          <w:p w:rsidRPr="00351248" w:rsidR="00351248" w:rsidP="00351248" w:rsidRDefault="00351248" w14:paraId="67DA1636" w14:textId="5C65D0F1">
            <w:pPr>
              <w:tabs>
                <w:tab w:val="center" w:pos="0"/>
              </w:tabs>
              <w:overflowPunct w:val="0"/>
              <w:autoSpaceDE w:val="0"/>
              <w:autoSpaceDN w:val="0"/>
              <w:adjustRightInd w:val="0"/>
              <w:textAlignment w:val="baseline"/>
            </w:pPr>
            <w:r>
              <w:t>COM(2023) 669 final</w:t>
            </w:r>
          </w:p>
          <w:p w:rsidRPr="00351248" w:rsidR="00351248" w:rsidP="00351248" w:rsidRDefault="00351248" w14:paraId="349303B0" w14:textId="77777777">
            <w:pPr>
              <w:tabs>
                <w:tab w:val="center" w:pos="284"/>
              </w:tabs>
              <w:overflowPunct w:val="0"/>
              <w:autoSpaceDE w:val="0"/>
              <w:autoSpaceDN w:val="0"/>
              <w:adjustRightInd w:val="0"/>
              <w:ind w:left="266" w:hanging="266"/>
              <w:textAlignment w:val="baseline"/>
            </w:pPr>
            <w:r>
              <w:t>EESC-2023-05073-00-00-AC</w:t>
            </w:r>
          </w:p>
        </w:tc>
      </w:tr>
      <w:tr w:rsidRPr="00351248" w:rsidR="00351248" w:rsidTr="00776454" w14:paraId="496505D9" w14:textId="77777777">
        <w:tc>
          <w:tcPr>
            <w:tcW w:w="2235" w:type="dxa"/>
            <w:vMerge/>
          </w:tcPr>
          <w:p w:rsidRPr="00351248" w:rsidR="00351248" w:rsidP="00351248" w:rsidRDefault="00351248" w14:paraId="578A9F37" w14:textId="77777777">
            <w:pPr>
              <w:tabs>
                <w:tab w:val="center" w:pos="284"/>
              </w:tabs>
              <w:overflowPunct w:val="0"/>
              <w:autoSpaceDE w:val="0"/>
              <w:autoSpaceDN w:val="0"/>
              <w:adjustRightInd w:val="0"/>
              <w:ind w:left="266" w:hanging="266"/>
              <w:textAlignment w:val="baseline"/>
              <w:rPr>
                <w:b/>
              </w:rPr>
            </w:pPr>
          </w:p>
        </w:tc>
        <w:tc>
          <w:tcPr>
            <w:tcW w:w="7087" w:type="dxa"/>
          </w:tcPr>
          <w:p w:rsidRPr="00351248" w:rsidR="00351248" w:rsidP="00351248" w:rsidRDefault="00351248" w14:paraId="7C0AE7A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439E2123"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00351248" w:rsidP="00DE4C21" w:rsidRDefault="00351248" w14:paraId="246A043F" w14:textId="1D64F9CB">
      <w:pPr>
        <w:keepNext/>
        <w:keepLines/>
        <w:tabs>
          <w:tab w:val="center" w:pos="284"/>
        </w:tabs>
        <w:overflowPunct w:val="0"/>
        <w:autoSpaceDE w:val="0"/>
        <w:autoSpaceDN w:val="0"/>
        <w:adjustRightInd w:val="0"/>
        <w:ind w:left="266" w:hanging="266"/>
        <w:textAlignment w:val="baseline"/>
        <w:rPr>
          <w:b/>
          <w:sz w:val="16"/>
          <w:szCs w:val="16"/>
        </w:rPr>
      </w:pPr>
    </w:p>
    <w:p w:rsidRPr="00351248" w:rsidR="00E66AAC" w:rsidRDefault="00E66AAC" w14:paraId="45CFA501"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351248" w:rsidRDefault="00351248" w14:paraId="1231B823" w14:textId="77777777">
      <w:pPr>
        <w:overflowPunct w:val="0"/>
        <w:autoSpaceDE w:val="0"/>
        <w:autoSpaceDN w:val="0"/>
        <w:adjustRightInd w:val="0"/>
        <w:textAlignment w:val="baseline"/>
        <w:rPr>
          <w:bCs/>
          <w:iCs/>
        </w:rPr>
      </w:pPr>
      <w:r>
        <w:t>Der EWSA</w:t>
      </w:r>
    </w:p>
    <w:p w:rsidRPr="00351248" w:rsidR="00351248" w:rsidP="00351248" w:rsidRDefault="00351248" w14:paraId="1871C2A0"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5A622F" w:rsidRDefault="00351248" w14:paraId="5F443888"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unterstützt die Bemühungen der Kommission, die Windkraftindustrie in der EU zu stärken und den Ausbau der Windenergie in der Union zu fördern, da der Druck internationaler Wettbewerber wie China zunimmt und eine starke EU-Windenergiebranche für das ökologische, wirtschaftliche und soziale Wohlergehen von entscheidender Bedeutung ist. Hierfür muss die Netzinfrastruktur massiv ausgebaut, modernisiert und digitalisiert und die entsprechende Speicherinfrastruktur muss geschaffen werden. Windenergie ist als kritische Infrastruktur zu betrachten – mit allen entsprechenden Privilegien und Sorgfaltspflichten;</w:t>
      </w:r>
    </w:p>
    <w:p w:rsidRPr="00351248" w:rsidR="00351248" w:rsidP="005A622F" w:rsidRDefault="00351248" w14:paraId="5739B363"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betont, dass es einen enormen Bedarf an Beschäftigten geben wird, der nur gedeckt werden kann, wenn auf nationaler und EU-Ebene massiv in Ausbildungs- und Umschulungsprogramme investiert wird. In enger Zusammenarbeit mit den Sozialpartnern auf allen Ebenen muss sichergestellt werden, dass die neuen Arbeitsplätze gute Arbeitsbedingungen und sichere langfristige Perspektiven für die Beschäftigten bieten;</w:t>
      </w:r>
    </w:p>
    <w:p w:rsidRPr="00351248" w:rsidR="00351248" w:rsidP="005A622F" w:rsidRDefault="00351248" w14:paraId="5BA3D214"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 xml:space="preserve">bedauert, dass im Windkraft-Aktionsplans (WAP) Energiegemeinschaften, Energiegenossenschaften und die gemeinsame Energienutzung trotz ihrer Bedeutung in sozialer und wirtschaftlicher Hinsicht und mit Blick auf die Energieeffizienz nicht als Formen des erweiterten </w:t>
      </w:r>
      <w:proofErr w:type="spellStart"/>
      <w:r>
        <w:t>Prosums</w:t>
      </w:r>
      <w:proofErr w:type="spellEnd"/>
      <w:r>
        <w:t xml:space="preserve"> anerkannt werden. Eine wirksame Bürgerbeteiligung sollte als siebte Säule in den WAP aufgenommen werden. Andernfalls ist die gesellschaftliche Akzeptanz der Energiewende und insbesondere der Windkraft gefährdet;</w:t>
      </w:r>
    </w:p>
    <w:p w:rsidRPr="00351248" w:rsidR="00351248" w:rsidP="005A622F" w:rsidRDefault="00351248" w14:paraId="36BF1F6F"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fordert zu prüfen, ob bei der regionalen Planung der Windenergie weitergehende Vorgaben (wie etwa „Netzfreundlichkeit“, Abstimmung auf das Lastprofil, regionale Zuweisung der Verbraucher, die in der Lage sind, ihre Lastspitzen zu reduzieren) gemacht werden könnten;</w:t>
      </w:r>
    </w:p>
    <w:p w:rsidRPr="005A622F" w:rsidR="00351248" w:rsidP="005A622F" w:rsidRDefault="00351248" w14:paraId="5D25BAD1" w14:textId="3B9F023A">
      <w:pPr>
        <w:widowControl w:val="0"/>
        <w:numPr>
          <w:ilvl w:val="0"/>
          <w:numId w:val="23"/>
        </w:numPr>
        <w:overflowPunct w:val="0"/>
        <w:autoSpaceDE w:val="0"/>
        <w:autoSpaceDN w:val="0"/>
        <w:adjustRightInd w:val="0"/>
        <w:spacing w:after="200" w:line="276" w:lineRule="auto"/>
        <w:ind w:left="426" w:hanging="426"/>
        <w:contextualSpacing/>
        <w:textAlignment w:val="baseline"/>
        <w:rPr>
          <w:rFonts w:ascii="Calibri" w:hAnsi="Calibri"/>
        </w:rPr>
      </w:pPr>
      <w:r>
        <w:t>empfiehlt, strenge Präqualifikationskriterien für Ausschreibungen einzuführen, die sicherstellen, dass alle Bieter Anforderungen zu Sicherheit, Arbeitsschutz, Kollektivvertragsbildung, Sozialschutz und Umwelt wie das Erfordernis, die Kreislaufwirtschaft zu fördern, erfüllen. Darüber hinaus müssen alle relevanten Verfahren, insbesondere die in Bezug auf Ausschreibungen und Genehmigungen, dringend gänzlich digitalisiert und beschleunigt werden.</w:t>
      </w:r>
    </w:p>
    <w:p w:rsidRPr="00351248" w:rsidR="00DE4C21" w:rsidP="005A622F" w:rsidRDefault="00DE4C21" w14:paraId="5E255218" w14:textId="77777777">
      <w:pPr>
        <w:widowControl w:val="0"/>
        <w:overflowPunct w:val="0"/>
        <w:autoSpaceDE w:val="0"/>
        <w:autoSpaceDN w:val="0"/>
        <w:adjustRightInd w:val="0"/>
        <w:spacing w:after="200" w:line="276" w:lineRule="auto"/>
        <w:ind w:left="360"/>
        <w:contextualSpacing/>
        <w:textAlignment w:val="baseline"/>
        <w:rPr>
          <w:rFonts w:ascii="Calibri" w:hAnsi="Calibri"/>
          <w:lang w:eastAsia="zh-CN"/>
        </w:rPr>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62"/>
      </w:tblGrid>
      <w:tr w:rsidRPr="00351248" w:rsidR="00351248" w:rsidTr="00776454" w14:paraId="6D969BA8" w14:textId="77777777">
        <w:tc>
          <w:tcPr>
            <w:tcW w:w="1418" w:type="dxa"/>
          </w:tcPr>
          <w:p w:rsidRPr="00351248" w:rsidR="00351248" w:rsidP="00351248" w:rsidRDefault="00351248" w14:paraId="0B7CC76F" w14:textId="77777777">
            <w:pPr>
              <w:overflowPunct w:val="0"/>
              <w:autoSpaceDE w:val="0"/>
              <w:autoSpaceDN w:val="0"/>
              <w:adjustRightInd w:val="0"/>
              <w:spacing w:line="240" w:lineRule="auto"/>
              <w:textAlignment w:val="baseline"/>
              <w:rPr>
                <w:i/>
              </w:rPr>
            </w:pPr>
            <w:r>
              <w:rPr>
                <w:b/>
                <w:i/>
              </w:rPr>
              <w:t>Kontakt</w:t>
            </w:r>
          </w:p>
        </w:tc>
        <w:tc>
          <w:tcPr>
            <w:tcW w:w="7762" w:type="dxa"/>
          </w:tcPr>
          <w:p w:rsidRPr="00351248" w:rsidR="00351248" w:rsidP="00351248" w:rsidRDefault="00351248" w14:paraId="4CFBA931" w14:textId="1F97339A">
            <w:pPr>
              <w:overflowPunct w:val="0"/>
              <w:autoSpaceDE w:val="0"/>
              <w:autoSpaceDN w:val="0"/>
              <w:adjustRightInd w:val="0"/>
              <w:spacing w:line="240" w:lineRule="auto"/>
              <w:textAlignment w:val="baseline"/>
              <w:rPr>
                <w:i/>
              </w:rPr>
            </w:pPr>
            <w:r>
              <w:rPr>
                <w:i/>
              </w:rPr>
              <w:t xml:space="preserve">Giorgia </w:t>
            </w:r>
            <w:proofErr w:type="spellStart"/>
            <w:r>
              <w:rPr>
                <w:i/>
              </w:rPr>
              <w:t>Bordignon</w:t>
            </w:r>
            <w:proofErr w:type="spellEnd"/>
          </w:p>
        </w:tc>
      </w:tr>
      <w:tr w:rsidRPr="00351248" w:rsidR="00351248" w:rsidTr="00776454" w14:paraId="55F62A42" w14:textId="77777777">
        <w:tc>
          <w:tcPr>
            <w:tcW w:w="1418" w:type="dxa"/>
          </w:tcPr>
          <w:p w:rsidRPr="00351248" w:rsidR="00351248" w:rsidP="00351248" w:rsidRDefault="00351248" w14:paraId="45DE7A96" w14:textId="77777777">
            <w:pPr>
              <w:overflowPunct w:val="0"/>
              <w:autoSpaceDE w:val="0"/>
              <w:autoSpaceDN w:val="0"/>
              <w:adjustRightInd w:val="0"/>
              <w:spacing w:line="240" w:lineRule="auto"/>
              <w:textAlignment w:val="baseline"/>
              <w:rPr>
                <w:i/>
              </w:rPr>
            </w:pPr>
            <w:r>
              <w:rPr>
                <w:i/>
              </w:rPr>
              <w:t>Tel.</w:t>
            </w:r>
          </w:p>
        </w:tc>
        <w:tc>
          <w:tcPr>
            <w:tcW w:w="7762" w:type="dxa"/>
          </w:tcPr>
          <w:p w:rsidRPr="00351248" w:rsidR="00351248" w:rsidP="00351248" w:rsidRDefault="00351248" w14:paraId="03119E65" w14:textId="77777777">
            <w:pPr>
              <w:overflowPunct w:val="0"/>
              <w:autoSpaceDE w:val="0"/>
              <w:autoSpaceDN w:val="0"/>
              <w:adjustRightInd w:val="0"/>
              <w:spacing w:line="240" w:lineRule="auto"/>
              <w:textAlignment w:val="baseline"/>
              <w:rPr>
                <w:i/>
              </w:rPr>
            </w:pPr>
            <w:r>
              <w:rPr>
                <w:i/>
              </w:rPr>
              <w:t>+32 25468535</w:t>
            </w:r>
          </w:p>
        </w:tc>
      </w:tr>
      <w:tr w:rsidRPr="00351248" w:rsidR="00351248" w:rsidTr="00776454" w14:paraId="6DA29846" w14:textId="77777777">
        <w:tc>
          <w:tcPr>
            <w:tcW w:w="1418" w:type="dxa"/>
          </w:tcPr>
          <w:p w:rsidRPr="00351248" w:rsidR="00351248" w:rsidP="00351248" w:rsidRDefault="00DE4C21" w14:paraId="5FC00E34" w14:textId="6BDED95F">
            <w:pPr>
              <w:overflowPunct w:val="0"/>
              <w:autoSpaceDE w:val="0"/>
              <w:autoSpaceDN w:val="0"/>
              <w:adjustRightInd w:val="0"/>
              <w:spacing w:line="240" w:lineRule="auto"/>
              <w:textAlignment w:val="baseline"/>
              <w:rPr>
                <w:i/>
              </w:rPr>
            </w:pPr>
            <w:r>
              <w:rPr>
                <w:i/>
              </w:rPr>
              <w:t>E-Mail</w:t>
            </w:r>
          </w:p>
        </w:tc>
        <w:tc>
          <w:tcPr>
            <w:tcW w:w="7762" w:type="dxa"/>
          </w:tcPr>
          <w:p w:rsidRPr="00351248" w:rsidR="00351248" w:rsidP="00351248" w:rsidRDefault="00455BAD" w14:paraId="65EDC4C5" w14:textId="77777777">
            <w:pPr>
              <w:overflowPunct w:val="0"/>
              <w:autoSpaceDE w:val="0"/>
              <w:autoSpaceDN w:val="0"/>
              <w:adjustRightInd w:val="0"/>
              <w:spacing w:line="240" w:lineRule="auto"/>
              <w:textAlignment w:val="baseline"/>
            </w:pPr>
            <w:hyperlink w:history="1" r:id="rId43">
              <w:r w:rsidR="005D1A62">
                <w:rPr>
                  <w:i/>
                  <w:color w:val="0000FF"/>
                  <w:u w:val="single"/>
                </w:rPr>
                <w:t>GiorgiaAndrea.Bordignon@eesc.europa.eu</w:t>
              </w:r>
            </w:hyperlink>
            <w:r w:rsidR="005D1A62">
              <w:rPr>
                <w:i/>
              </w:rPr>
              <w:t xml:space="preserve"> </w:t>
            </w:r>
          </w:p>
        </w:tc>
      </w:tr>
    </w:tbl>
    <w:p w:rsidR="0091091E" w:rsidRDefault="0091091E" w14:paraId="5EAC0A6C" w14:textId="17A005CB">
      <w:pPr>
        <w:spacing w:after="160" w:line="259" w:lineRule="auto"/>
        <w:jc w:val="left"/>
      </w:pPr>
      <w:r>
        <w:br w:type="page"/>
      </w:r>
    </w:p>
    <w:p w:rsidRPr="00810736" w:rsidR="0010109E" w:rsidP="005B4680" w:rsidRDefault="0010109E" w14:paraId="291D2325" w14:textId="78012967">
      <w:pPr>
        <w:pStyle w:val="Heading1"/>
        <w:ind w:hanging="928"/>
        <w:rPr>
          <w:b/>
          <w:bCs/>
        </w:rPr>
      </w:pPr>
      <w:bookmarkStart w:name="_Toc162435210" w:id="10"/>
      <w:bookmarkStart w:name="_Toc163637044" w:id="11"/>
      <w:bookmarkEnd w:id="10"/>
      <w:r>
        <w:rPr>
          <w:b/>
        </w:rPr>
        <w:lastRenderedPageBreak/>
        <w:t>BERATENDE KOMMISSION FÜR DEN INDUSTRIELLEN WANDEL</w:t>
      </w:r>
      <w:bookmarkEnd w:id="11"/>
      <w:r>
        <w:rPr>
          <w:b/>
        </w:rPr>
        <w:t xml:space="preserve"> </w:t>
      </w:r>
    </w:p>
    <w:p w:rsidR="004351D4" w:rsidP="006C7863" w:rsidRDefault="004351D4" w14:paraId="7D36EAE9" w14:textId="77777777">
      <w:pPr>
        <w:overflowPunct w:val="0"/>
        <w:autoSpaceDE w:val="0"/>
        <w:autoSpaceDN w:val="0"/>
        <w:adjustRightInd w:val="0"/>
        <w:jc w:val="center"/>
        <w:textAlignment w:val="baseline"/>
        <w:rPr>
          <w:lang w:val="nl-BE"/>
        </w:rPr>
      </w:pPr>
    </w:p>
    <w:p w:rsidRPr="004351D4" w:rsidR="004351D4" w:rsidP="004351D4" w:rsidRDefault="00FF64D0" w14:paraId="0C2790F4" w14:textId="183AB934">
      <w:pPr>
        <w:widowControl w:val="0"/>
        <w:numPr>
          <w:ilvl w:val="0"/>
          <w:numId w:val="13"/>
        </w:numPr>
        <w:tabs>
          <w:tab w:val="center" w:pos="284"/>
        </w:tabs>
        <w:overflowPunct w:val="0"/>
        <w:autoSpaceDE w:val="0"/>
        <w:autoSpaceDN w:val="0"/>
        <w:adjustRightInd w:val="0"/>
        <w:spacing w:after="160" w:line="259" w:lineRule="auto"/>
        <w:ind w:left="266" w:hanging="266"/>
        <w:contextualSpacing/>
        <w:jc w:val="left"/>
        <w:textAlignment w:val="baseline"/>
        <w:rPr>
          <w:rFonts w:eastAsiaTheme="minorHAnsi"/>
          <w:b/>
          <w:i/>
          <w:iCs/>
          <w:sz w:val="28"/>
          <w:szCs w:val="28"/>
        </w:rPr>
      </w:pPr>
      <w:r>
        <w:rPr>
          <w:b/>
          <w:i/>
          <w:sz w:val="28"/>
        </w:rPr>
        <w:tab/>
      </w:r>
      <w:r>
        <w:rPr>
          <w:b/>
          <w:i/>
          <w:sz w:val="28"/>
        </w:rPr>
        <w:tab/>
      </w:r>
      <w:hyperlink w:history="1" r:id="rId44">
        <w:r>
          <w:rPr>
            <w:b/>
            <w:i/>
            <w:color w:val="0000FF"/>
            <w:sz w:val="28"/>
            <w:u w:val="single"/>
          </w:rPr>
          <w:t>Mitteilung über die Verfügbarkeit von Arzneimitteln</w:t>
        </w:r>
      </w:hyperlink>
    </w:p>
    <w:p w:rsidRPr="004351D4" w:rsidR="004351D4" w:rsidP="004351D4" w:rsidRDefault="004351D4" w14:paraId="64F09F34" w14:textId="77777777">
      <w:pPr>
        <w:widowControl w:val="0"/>
        <w:tabs>
          <w:tab w:val="center" w:pos="284"/>
        </w:tabs>
        <w:overflowPunct w:val="0"/>
        <w:autoSpaceDE w:val="0"/>
        <w:autoSpaceDN w:val="0"/>
        <w:adjustRightInd w:val="0"/>
        <w:textAlignment w:val="baseline"/>
        <w:rPr>
          <w:rFonts w:eastAsiaTheme="minorHAnsi"/>
          <w:b/>
          <w:lang w:val="en-US"/>
        </w:rPr>
      </w:pPr>
    </w:p>
    <w:tbl>
      <w:tblPr>
        <w:tblStyle w:val="TableGrid19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4351D4" w:rsidR="004351D4" w:rsidTr="00776454" w14:paraId="276FEE46" w14:textId="77777777">
        <w:tc>
          <w:tcPr>
            <w:tcW w:w="1107" w:type="pct"/>
          </w:tcPr>
          <w:p w:rsidRPr="004351D4" w:rsidR="004351D4" w:rsidP="004351D4" w:rsidRDefault="004351D4" w14:paraId="7E18816D" w14:textId="77777777">
            <w:pPr>
              <w:tabs>
                <w:tab w:val="center" w:pos="284"/>
              </w:tabs>
              <w:spacing w:line="240" w:lineRule="auto"/>
              <w:ind w:left="266" w:hanging="266"/>
              <w:jc w:val="left"/>
              <w:rPr>
                <w:b/>
              </w:rPr>
            </w:pPr>
            <w:r>
              <w:rPr>
                <w:b/>
              </w:rPr>
              <w:t>Berichterstatter</w:t>
            </w:r>
          </w:p>
        </w:tc>
        <w:tc>
          <w:tcPr>
            <w:tcW w:w="3893" w:type="pct"/>
          </w:tcPr>
          <w:p w:rsidRPr="004351D4" w:rsidR="004351D4" w:rsidP="005A622F" w:rsidRDefault="004351D4" w14:paraId="0D2A3640" w14:textId="77777777">
            <w:pPr>
              <w:spacing w:line="240" w:lineRule="auto"/>
              <w:ind w:left="30" w:right="-674"/>
              <w:jc w:val="left"/>
            </w:pPr>
            <w:r>
              <w:t>Danko RELIĆ (Gruppe Organisationen der Zivilgesellschaft – HR)</w:t>
            </w:r>
          </w:p>
        </w:tc>
      </w:tr>
      <w:tr w:rsidRPr="004351D4" w:rsidR="004351D4" w:rsidTr="00776454" w14:paraId="068B463E" w14:textId="77777777">
        <w:tc>
          <w:tcPr>
            <w:tcW w:w="1107" w:type="pct"/>
          </w:tcPr>
          <w:p w:rsidRPr="004351D4" w:rsidR="004351D4" w:rsidP="004351D4" w:rsidRDefault="004351D4" w14:paraId="0C14AFAD" w14:textId="77777777">
            <w:pPr>
              <w:tabs>
                <w:tab w:val="center" w:pos="284"/>
              </w:tabs>
              <w:spacing w:line="240" w:lineRule="auto"/>
              <w:ind w:left="266" w:hanging="266"/>
              <w:jc w:val="left"/>
              <w:rPr>
                <w:b/>
              </w:rPr>
            </w:pPr>
            <w:r>
              <w:rPr>
                <w:b/>
              </w:rPr>
              <w:t>Ko-Berichterstatter</w:t>
            </w:r>
          </w:p>
        </w:tc>
        <w:tc>
          <w:tcPr>
            <w:tcW w:w="3893" w:type="pct"/>
          </w:tcPr>
          <w:p w:rsidRPr="004351D4" w:rsidR="004351D4" w:rsidP="004351D4" w:rsidRDefault="004351D4" w14:paraId="10A434D3" w14:textId="77777777">
            <w:pPr>
              <w:tabs>
                <w:tab w:val="center" w:pos="284"/>
              </w:tabs>
              <w:spacing w:line="240" w:lineRule="auto"/>
              <w:ind w:left="266" w:hanging="266"/>
              <w:jc w:val="left"/>
            </w:pPr>
            <w:r>
              <w:t>Thomas STUDENT (Kat. 2 – DE)</w:t>
            </w:r>
          </w:p>
        </w:tc>
      </w:tr>
      <w:tr w:rsidRPr="004351D4" w:rsidR="004351D4" w:rsidTr="00776454" w14:paraId="64DA5846" w14:textId="77777777">
        <w:tc>
          <w:tcPr>
            <w:tcW w:w="5000" w:type="pct"/>
            <w:gridSpan w:val="2"/>
          </w:tcPr>
          <w:p w:rsidRPr="004351D4" w:rsidR="004351D4" w:rsidP="004351D4" w:rsidRDefault="004351D4" w14:paraId="281265DB" w14:textId="77777777">
            <w:pPr>
              <w:tabs>
                <w:tab w:val="center" w:pos="284"/>
              </w:tabs>
              <w:spacing w:line="160" w:lineRule="exact"/>
              <w:ind w:left="266" w:hanging="266"/>
              <w:jc w:val="left"/>
            </w:pPr>
          </w:p>
        </w:tc>
      </w:tr>
      <w:tr w:rsidRPr="004351D4" w:rsidR="004351D4" w:rsidTr="00776454" w14:paraId="214D7E71" w14:textId="77777777">
        <w:tc>
          <w:tcPr>
            <w:tcW w:w="1107" w:type="pct"/>
            <w:vMerge w:val="restart"/>
          </w:tcPr>
          <w:p w:rsidRPr="004351D4" w:rsidR="004351D4" w:rsidP="004351D4" w:rsidRDefault="004351D4" w14:paraId="27796DD7" w14:textId="77777777">
            <w:pPr>
              <w:tabs>
                <w:tab w:val="center" w:pos="284"/>
              </w:tabs>
              <w:spacing w:line="240" w:lineRule="auto"/>
              <w:ind w:left="266" w:hanging="266"/>
              <w:jc w:val="left"/>
              <w:rPr>
                <w:b/>
              </w:rPr>
            </w:pPr>
            <w:r>
              <w:rPr>
                <w:b/>
              </w:rPr>
              <w:t>Referenzdokumente</w:t>
            </w:r>
          </w:p>
        </w:tc>
        <w:tc>
          <w:tcPr>
            <w:tcW w:w="3893" w:type="pct"/>
          </w:tcPr>
          <w:p w:rsidRPr="004351D4" w:rsidR="004351D4" w:rsidP="004351D4" w:rsidRDefault="004351D4" w14:paraId="7877A6F8" w14:textId="77777777">
            <w:pPr>
              <w:tabs>
                <w:tab w:val="center" w:pos="284"/>
              </w:tabs>
              <w:spacing w:line="240" w:lineRule="auto"/>
              <w:ind w:left="266" w:hanging="266"/>
              <w:jc w:val="left"/>
            </w:pPr>
            <w:r>
              <w:t>COM(2023) 672 final</w:t>
            </w:r>
          </w:p>
        </w:tc>
      </w:tr>
      <w:tr w:rsidRPr="004351D4" w:rsidR="004351D4" w:rsidTr="00776454" w14:paraId="36080F9A" w14:textId="77777777">
        <w:tc>
          <w:tcPr>
            <w:tcW w:w="1107" w:type="pct"/>
            <w:vMerge/>
          </w:tcPr>
          <w:p w:rsidRPr="004351D4" w:rsidR="004351D4" w:rsidP="004351D4" w:rsidRDefault="004351D4" w14:paraId="34F882C1" w14:textId="77777777">
            <w:pPr>
              <w:tabs>
                <w:tab w:val="center" w:pos="284"/>
              </w:tabs>
              <w:spacing w:line="240" w:lineRule="auto"/>
              <w:ind w:left="266" w:hanging="266"/>
              <w:jc w:val="left"/>
              <w:rPr>
                <w:b/>
              </w:rPr>
            </w:pPr>
          </w:p>
        </w:tc>
        <w:tc>
          <w:tcPr>
            <w:tcW w:w="3893" w:type="pct"/>
          </w:tcPr>
          <w:p w:rsidRPr="004351D4" w:rsidR="004351D4" w:rsidP="004351D4" w:rsidRDefault="004351D4" w14:paraId="3CBCE774" w14:textId="77777777">
            <w:pPr>
              <w:tabs>
                <w:tab w:val="center" w:pos="284"/>
              </w:tabs>
              <w:spacing w:line="240" w:lineRule="auto"/>
              <w:ind w:left="266" w:hanging="266"/>
              <w:jc w:val="left"/>
            </w:pPr>
            <w:r>
              <w:t>EESC-2023-05446-00-00-AC</w:t>
            </w:r>
          </w:p>
        </w:tc>
      </w:tr>
    </w:tbl>
    <w:p w:rsidRPr="004351D4" w:rsidR="004351D4" w:rsidP="004351D4" w:rsidRDefault="004351D4" w14:paraId="6E4B6534" w14:textId="77777777">
      <w:pPr>
        <w:widowControl w:val="0"/>
        <w:tabs>
          <w:tab w:val="center" w:pos="284"/>
        </w:tabs>
        <w:overflowPunct w:val="0"/>
        <w:autoSpaceDE w:val="0"/>
        <w:autoSpaceDN w:val="0"/>
        <w:adjustRightInd w:val="0"/>
        <w:textAlignment w:val="baseline"/>
        <w:rPr>
          <w:rFonts w:eastAsiaTheme="minorHAnsi"/>
          <w:b/>
          <w:lang w:val="en-US"/>
        </w:rPr>
      </w:pPr>
    </w:p>
    <w:p w:rsidR="004351D4" w:rsidP="004351D4" w:rsidRDefault="004351D4" w14:paraId="5D76690F" w14:textId="2ADB55F0">
      <w:pPr>
        <w:keepNext/>
        <w:keepLines/>
        <w:spacing w:after="160" w:line="259" w:lineRule="auto"/>
        <w:ind w:left="142" w:hanging="142"/>
        <w:jc w:val="left"/>
        <w:rPr>
          <w:rFonts w:eastAsiaTheme="minorHAnsi"/>
          <w:b/>
        </w:rPr>
      </w:pPr>
      <w:r>
        <w:rPr>
          <w:b/>
        </w:rPr>
        <w:t>Kernaussagen</w:t>
      </w:r>
    </w:p>
    <w:p w:rsidRPr="004351D4" w:rsidR="007A63CB" w:rsidP="004351D4" w:rsidRDefault="007A63CB" w14:paraId="3B7CB2DA" w14:textId="77777777">
      <w:pPr>
        <w:keepNext/>
        <w:keepLines/>
        <w:spacing w:after="160" w:line="259" w:lineRule="auto"/>
        <w:ind w:left="142" w:hanging="142"/>
        <w:jc w:val="left"/>
        <w:rPr>
          <w:rFonts w:eastAsiaTheme="minorHAnsi"/>
          <w:b/>
          <w:lang w:val="en-US"/>
        </w:rPr>
      </w:pPr>
    </w:p>
    <w:p w:rsidRPr="004351D4" w:rsidR="004351D4" w:rsidP="004351D4" w:rsidRDefault="004351D4" w14:paraId="22A95751" w14:textId="77777777">
      <w:pPr>
        <w:spacing w:after="160" w:line="259" w:lineRule="auto"/>
        <w:jc w:val="left"/>
        <w:rPr>
          <w:rFonts w:eastAsiaTheme="minorHAnsi"/>
        </w:rPr>
      </w:pPr>
      <w:r>
        <w:t>Der EWSA</w:t>
      </w:r>
    </w:p>
    <w:p w:rsidRPr="004351D4" w:rsidR="004351D4" w:rsidP="005A622F" w:rsidRDefault="004351D4" w14:paraId="5587835C" w14:textId="77777777">
      <w:pPr>
        <w:numPr>
          <w:ilvl w:val="0"/>
          <w:numId w:val="24"/>
        </w:numPr>
        <w:spacing w:after="160" w:line="276" w:lineRule="auto"/>
        <w:ind w:left="426" w:hanging="426"/>
        <w:contextualSpacing/>
        <w:rPr>
          <w:rFonts w:eastAsiaTheme="minorHAnsi"/>
        </w:rPr>
      </w:pPr>
      <w:r>
        <w:t>ist der festen Überzeugung, dass die Europäerinnen und Europäer nirgendwo in der EU darunter leiden sollten, dass der Zugang zu Arzneimitteln eingeschränkt ist;</w:t>
      </w:r>
    </w:p>
    <w:p w:rsidRPr="004351D4" w:rsidR="004351D4" w:rsidP="005A622F" w:rsidRDefault="004351D4" w14:paraId="4AC73E75" w14:textId="77777777">
      <w:pPr>
        <w:numPr>
          <w:ilvl w:val="0"/>
          <w:numId w:val="24"/>
        </w:numPr>
        <w:spacing w:after="160" w:line="276" w:lineRule="auto"/>
        <w:ind w:left="426" w:hanging="426"/>
        <w:contextualSpacing/>
        <w:rPr>
          <w:rFonts w:eastAsiaTheme="minorHAnsi"/>
        </w:rPr>
      </w:pPr>
      <w:r>
        <w:t>fordert bei der Herstellung von pharmazeutischen Wirkstoffen und Fertigarzneimitteln mit Blick auf die Autarkie einen strategischen Wandel, um die Abhängigkeit von externen Quellen zu verringern und die pharmazeutische Unabhängigkeit der EU zu stärken; befürwortet mit Blick auf die Vermeidung von Arzneimittelengpässen die erste Fassung der Unionsliste kritischer Arzneimittel;</w:t>
      </w:r>
    </w:p>
    <w:p w:rsidRPr="004351D4" w:rsidR="004351D4" w:rsidP="005A622F" w:rsidRDefault="004351D4" w14:paraId="58B3E6C5" w14:textId="77777777">
      <w:pPr>
        <w:numPr>
          <w:ilvl w:val="0"/>
          <w:numId w:val="24"/>
        </w:numPr>
        <w:spacing w:after="160" w:line="276" w:lineRule="auto"/>
        <w:ind w:left="426" w:hanging="426"/>
        <w:contextualSpacing/>
        <w:rPr>
          <w:rFonts w:eastAsiaTheme="minorHAnsi"/>
        </w:rPr>
      </w:pPr>
      <w:r>
        <w:t>empfiehlt die Schaffung eines stabilen rechtlichen und wirtschaftlichen Umfelds, das durch qualifizierte Arbeitskräfte und angemessene Finanzmittel ergänzt wird, um einen Wettbewerbsvorteil der europäischen Arzneimittelindustrie auf dem Weltmarkt sicherzustellen;</w:t>
      </w:r>
    </w:p>
    <w:p w:rsidRPr="004351D4" w:rsidR="004351D4" w:rsidP="005A622F" w:rsidRDefault="004351D4" w14:paraId="08A8EC5C" w14:textId="77777777">
      <w:pPr>
        <w:numPr>
          <w:ilvl w:val="0"/>
          <w:numId w:val="24"/>
        </w:numPr>
        <w:spacing w:after="160" w:line="276" w:lineRule="auto"/>
        <w:ind w:left="426" w:hanging="426"/>
        <w:contextualSpacing/>
        <w:rPr>
          <w:rFonts w:eastAsiaTheme="minorHAnsi"/>
        </w:rPr>
      </w:pPr>
      <w:r>
        <w:t>schlägt die Einführung innovativer Ansätze für den Zugang zu Arzneimitteln vor und spricht sich ferner für die Entwicklung umfassender EU-weiter Leitlinien und Verfahren sowie generell für den Datenaustausch zwischen den wichtigsten Interessenträgern aus;</w:t>
      </w:r>
    </w:p>
    <w:p w:rsidRPr="004351D4" w:rsidR="004351D4" w:rsidP="005A622F" w:rsidRDefault="004351D4" w14:paraId="53804243" w14:textId="77777777">
      <w:pPr>
        <w:numPr>
          <w:ilvl w:val="0"/>
          <w:numId w:val="24"/>
        </w:numPr>
        <w:spacing w:after="160" w:line="276" w:lineRule="auto"/>
        <w:ind w:left="426" w:hanging="426"/>
        <w:contextualSpacing/>
        <w:rPr>
          <w:rFonts w:eastAsiaTheme="minorHAnsi"/>
        </w:rPr>
      </w:pPr>
      <w:r>
        <w:t>fordert die Verbesserung des Dialogs über Produktionskapazitäten und die Bewältigung von Marktstörungen zwischen den Institutionen der EU, der Arzneimittelindustrie, den Sozialpartnern und den Organisationen der Zivilgesellschaft;</w:t>
      </w:r>
    </w:p>
    <w:p w:rsidRPr="004351D4" w:rsidR="004351D4" w:rsidP="005A622F" w:rsidRDefault="004351D4" w14:paraId="7A7AF10F" w14:textId="77777777">
      <w:pPr>
        <w:numPr>
          <w:ilvl w:val="0"/>
          <w:numId w:val="24"/>
        </w:numPr>
        <w:spacing w:after="160" w:line="276" w:lineRule="auto"/>
        <w:ind w:left="426" w:hanging="426"/>
        <w:contextualSpacing/>
        <w:rPr>
          <w:rFonts w:eastAsiaTheme="minorHAnsi"/>
        </w:rPr>
      </w:pPr>
      <w:r>
        <w:t>fordert die Pharmaunternehmen dazu auf, Behörden vorausschauend über mögliche Engpässe zu informieren, um besser auf Herausforderungen in der Lieferkette reagieren zu können;</w:t>
      </w:r>
    </w:p>
    <w:p w:rsidRPr="004351D4" w:rsidR="004351D4" w:rsidP="005A622F" w:rsidRDefault="004351D4" w14:paraId="597EBBCB" w14:textId="77777777">
      <w:pPr>
        <w:numPr>
          <w:ilvl w:val="0"/>
          <w:numId w:val="24"/>
        </w:numPr>
        <w:spacing w:after="160" w:line="276" w:lineRule="auto"/>
        <w:ind w:left="426" w:hanging="426"/>
        <w:contextualSpacing/>
        <w:rPr>
          <w:rFonts w:asciiTheme="minorHAnsi" w:hAnsiTheme="minorHAnsi" w:eastAsiaTheme="minorHAnsi" w:cstheme="minorBidi"/>
        </w:rPr>
      </w:pPr>
      <w:r>
        <w:t>unterstreicht, wie wichtig es ist, Patientenorganisationen, Verbände der Angehörigen von Gesundheitsberufen und Organisationen, die Menschen mit Behinderungen vertreten, in die Politikgestaltung einzubeziehen, insbesondere in die Ausarbeitung von Strategien zur Verbesserung der Verfügbarkeit von Arzneimitteln sowie zur Bekämpfung der Arzneimittelverschwendung und der übermäßigen Verschreibung von Arzneimitteln;</w:t>
      </w:r>
    </w:p>
    <w:p w:rsidRPr="004351D4" w:rsidR="004351D4" w:rsidP="005A622F" w:rsidRDefault="004351D4" w14:paraId="6DF73196" w14:textId="77777777">
      <w:pPr>
        <w:numPr>
          <w:ilvl w:val="0"/>
          <w:numId w:val="24"/>
        </w:numPr>
        <w:spacing w:after="160" w:line="276" w:lineRule="auto"/>
        <w:ind w:left="426" w:hanging="426"/>
        <w:contextualSpacing/>
        <w:rPr>
          <w:rFonts w:asciiTheme="minorHAnsi" w:hAnsiTheme="minorHAnsi" w:eastAsiaTheme="minorHAnsi" w:cstheme="minorBidi"/>
        </w:rPr>
      </w:pPr>
      <w:r>
        <w:t>befürwortet die Stärkung internationaler Partnerschaften und die Diversifizierung der Arzneimittelversorgungsketten als Reaktion auf die Entwicklungen der globalen Gesundheitslandschaft.</w:t>
      </w:r>
    </w:p>
    <w:p w:rsidR="004351D4" w:rsidP="004351D4" w:rsidRDefault="004351D4" w14:paraId="3F363556" w14:textId="3B661DBC">
      <w:pPr>
        <w:spacing w:after="160" w:line="259" w:lineRule="auto"/>
        <w:ind w:left="720"/>
        <w:contextualSpacing/>
        <w:jc w:val="left"/>
        <w:rPr>
          <w:rFonts w:eastAsiaTheme="minorHAnsi"/>
        </w:rPr>
      </w:pPr>
    </w:p>
    <w:p w:rsidRPr="004351D4" w:rsidR="00CC2678" w:rsidP="004351D4" w:rsidRDefault="00CC2678" w14:paraId="578F8638" w14:textId="77777777">
      <w:pPr>
        <w:spacing w:after="160" w:line="259" w:lineRule="auto"/>
        <w:ind w:left="720"/>
        <w:contextualSpacing/>
        <w:jc w:val="left"/>
        <w:rPr>
          <w:rFonts w:eastAsiaTheme="minorHAnsi"/>
        </w:rPr>
      </w:pPr>
    </w:p>
    <w:tbl>
      <w:tblPr>
        <w:tblStyle w:val="TableGrid19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6"/>
        <w:gridCol w:w="5953"/>
      </w:tblGrid>
      <w:tr w:rsidRPr="004351D4" w:rsidR="004351D4" w:rsidTr="00776454" w14:paraId="1E79C42F" w14:textId="77777777">
        <w:tc>
          <w:tcPr>
            <w:tcW w:w="1757" w:type="pct"/>
          </w:tcPr>
          <w:p w:rsidRPr="004351D4" w:rsidR="004351D4" w:rsidP="004351D4" w:rsidRDefault="004351D4" w14:paraId="1DA9092C" w14:textId="77777777">
            <w:pPr>
              <w:spacing w:line="240" w:lineRule="auto"/>
              <w:jc w:val="left"/>
              <w:rPr>
                <w:i/>
              </w:rPr>
            </w:pPr>
            <w:r>
              <w:rPr>
                <w:b/>
                <w:i/>
              </w:rPr>
              <w:t>Kontakt</w:t>
            </w:r>
          </w:p>
        </w:tc>
        <w:tc>
          <w:tcPr>
            <w:tcW w:w="3243" w:type="pct"/>
            <w:tcBorders>
              <w:left w:val="nil"/>
            </w:tcBorders>
          </w:tcPr>
          <w:p w:rsidRPr="004351D4" w:rsidR="004351D4" w:rsidP="004351D4" w:rsidRDefault="004351D4" w14:paraId="78D1AA28" w14:textId="6C71E200">
            <w:pPr>
              <w:spacing w:line="240" w:lineRule="auto"/>
              <w:jc w:val="left"/>
              <w:rPr>
                <w:i/>
              </w:rPr>
            </w:pPr>
            <w:r>
              <w:rPr>
                <w:i/>
              </w:rPr>
              <w:t xml:space="preserve">Laia Tomas </w:t>
            </w:r>
            <w:proofErr w:type="spellStart"/>
            <w:r>
              <w:rPr>
                <w:i/>
              </w:rPr>
              <w:t>Vinardell</w:t>
            </w:r>
            <w:proofErr w:type="spellEnd"/>
          </w:p>
        </w:tc>
      </w:tr>
      <w:tr w:rsidRPr="004351D4" w:rsidR="004351D4" w:rsidTr="00776454" w14:paraId="3E11B27E" w14:textId="77777777">
        <w:tc>
          <w:tcPr>
            <w:tcW w:w="1757" w:type="pct"/>
          </w:tcPr>
          <w:p w:rsidRPr="004351D4" w:rsidR="004351D4" w:rsidP="004351D4" w:rsidRDefault="004351D4" w14:paraId="4067F818" w14:textId="77777777">
            <w:pPr>
              <w:spacing w:line="240" w:lineRule="auto"/>
              <w:jc w:val="left"/>
              <w:rPr>
                <w:i/>
              </w:rPr>
            </w:pPr>
            <w:r>
              <w:rPr>
                <w:i/>
              </w:rPr>
              <w:t xml:space="preserve">Tel. </w:t>
            </w:r>
          </w:p>
        </w:tc>
        <w:tc>
          <w:tcPr>
            <w:tcW w:w="3243" w:type="pct"/>
            <w:tcBorders>
              <w:left w:val="nil"/>
            </w:tcBorders>
          </w:tcPr>
          <w:p w:rsidRPr="004351D4" w:rsidR="004351D4" w:rsidP="004351D4" w:rsidRDefault="004351D4" w14:paraId="6FA59352" w14:textId="77777777">
            <w:pPr>
              <w:spacing w:line="240" w:lineRule="auto"/>
              <w:jc w:val="left"/>
              <w:rPr>
                <w:i/>
              </w:rPr>
            </w:pPr>
            <w:r>
              <w:rPr>
                <w:i/>
              </w:rPr>
              <w:t>+32 25469149</w:t>
            </w:r>
          </w:p>
        </w:tc>
      </w:tr>
      <w:tr w:rsidRPr="004351D4" w:rsidR="004351D4" w:rsidTr="00776454" w14:paraId="5862CE82" w14:textId="77777777">
        <w:tc>
          <w:tcPr>
            <w:tcW w:w="1757" w:type="pct"/>
          </w:tcPr>
          <w:p w:rsidRPr="004351D4" w:rsidR="004351D4" w:rsidP="004351D4" w:rsidRDefault="007A63CB" w14:paraId="47F94F6F" w14:textId="79639217">
            <w:pPr>
              <w:spacing w:line="240" w:lineRule="auto"/>
              <w:jc w:val="left"/>
              <w:rPr>
                <w:i/>
                <w:iCs/>
              </w:rPr>
            </w:pPr>
            <w:r>
              <w:rPr>
                <w:i/>
              </w:rPr>
              <w:t>E-Mail</w:t>
            </w:r>
          </w:p>
        </w:tc>
        <w:tc>
          <w:tcPr>
            <w:tcW w:w="3243" w:type="pct"/>
            <w:tcBorders>
              <w:left w:val="nil"/>
            </w:tcBorders>
          </w:tcPr>
          <w:p w:rsidRPr="004351D4" w:rsidR="004351D4" w:rsidP="004351D4" w:rsidRDefault="00455BAD" w14:paraId="42692FFD" w14:textId="77777777">
            <w:pPr>
              <w:spacing w:line="240" w:lineRule="auto"/>
              <w:jc w:val="left"/>
              <w:rPr>
                <w:i/>
                <w:iCs/>
              </w:rPr>
            </w:pPr>
            <w:hyperlink w:history="1" r:id="rId45">
              <w:r w:rsidR="005D1A62">
                <w:rPr>
                  <w:i/>
                  <w:color w:val="0000FF"/>
                  <w:u w:val="single"/>
                </w:rPr>
                <w:t>Laia.TomasVinardell@eesc.europa.eu</w:t>
              </w:r>
            </w:hyperlink>
          </w:p>
        </w:tc>
      </w:tr>
    </w:tbl>
    <w:p w:rsidR="004351D4" w:rsidP="006C7863" w:rsidRDefault="004351D4" w14:paraId="0AE04AB9"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A85A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E22B" w14:textId="77777777" w:rsidR="00A85A01" w:rsidRPr="00A85A01" w:rsidRDefault="00A85A01" w:rsidP="00A85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440ABC8" w:rsidR="00765C4F" w:rsidRPr="00A85A01" w:rsidRDefault="00A85A01" w:rsidP="00A85A01">
    <w:pPr>
      <w:pStyle w:val="Footer"/>
    </w:pPr>
    <w:r>
      <w:t xml:space="preserve">EESC-2024-00740-00-01-TCD-TRA (EN) </w:t>
    </w:r>
    <w:r>
      <w:fldChar w:fldCharType="begin"/>
    </w:r>
    <w:r>
      <w:instrText xml:space="preserve"> PAGE  \* Arabic  \* MERGEFORMAT </w:instrText>
    </w:r>
    <w:r>
      <w:fldChar w:fldCharType="separate"/>
    </w:r>
    <w:r w:rsidR="008A08BC">
      <w:t>1</w:t>
    </w:r>
    <w:r>
      <w:fldChar w:fldCharType="end"/>
    </w:r>
    <w:r>
      <w:t>/</w:t>
    </w:r>
    <w:fldSimple w:instr=" NUMPAGES ">
      <w:r w:rsidR="008A08BC">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2EED" w14:textId="77777777" w:rsidR="00A85A01" w:rsidRPr="00A85A01" w:rsidRDefault="00A85A01" w:rsidP="00A85A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A85A01" w:rsidRDefault="00E4258F" w:rsidP="00A85A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09A4E49" w:rsidR="00E4258F" w:rsidRPr="00A85A01" w:rsidRDefault="00A85A01" w:rsidP="00A85A01">
    <w:pPr>
      <w:pStyle w:val="Footer"/>
    </w:pPr>
    <w:r>
      <w:t xml:space="preserve">EESC-2024-00740-00-01-TCD-TRA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A85A01" w:rsidRDefault="00E4258F" w:rsidP="00A8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 w:id="1">
    <w:p w14:paraId="2912081B" w14:textId="77777777" w:rsidR="009401A5" w:rsidRPr="00606F0C" w:rsidRDefault="009401A5" w:rsidP="009401A5">
      <w:pPr>
        <w:pStyle w:val="FootnoteText"/>
      </w:pPr>
      <w:r>
        <w:rPr>
          <w:rStyle w:val="FootnoteReference"/>
        </w:rPr>
        <w:footnoteRef/>
      </w:r>
      <w:r>
        <w:tab/>
      </w:r>
      <w:proofErr w:type="spellStart"/>
      <w:r>
        <w:t>ABl.</w:t>
      </w:r>
      <w:proofErr w:type="spellEnd"/>
      <w:r>
        <w:t xml:space="preserve"> C, C/2023/867, 8.12.2023, ELI: </w:t>
      </w:r>
      <w:hyperlink r:id="rId1" w:history="1">
        <w:r>
          <w:rPr>
            <w:rStyle w:val="Hyperlink"/>
          </w:rPr>
          <w:t>http://data.europa.eu/eli/C/2023/867/oj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1803" w14:textId="77777777" w:rsidR="00A85A01" w:rsidRPr="00A85A01" w:rsidRDefault="00A85A01" w:rsidP="00A85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F013" w14:textId="23757D12" w:rsidR="00A85A01" w:rsidRPr="00A85A01" w:rsidRDefault="00A85A01" w:rsidP="00A85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BF73" w14:textId="77777777" w:rsidR="00A85A01" w:rsidRPr="00A85A01" w:rsidRDefault="00A85A01" w:rsidP="00A85A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A85A01" w:rsidRDefault="00E4258F" w:rsidP="00A85A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140ED310" w:rsidR="00E4258F" w:rsidRPr="00A85A01" w:rsidRDefault="00E4258F" w:rsidP="00A85A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A85A01" w:rsidRDefault="00E4258F" w:rsidP="00A85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6"/>
  </w:num>
  <w:num w:numId="4">
    <w:abstractNumId w:val="11"/>
  </w:num>
  <w:num w:numId="5">
    <w:abstractNumId w:val="10"/>
  </w:num>
  <w:num w:numId="6">
    <w:abstractNumId w:val="6"/>
  </w:num>
  <w:num w:numId="7">
    <w:abstractNumId w:val="23"/>
  </w:num>
  <w:num w:numId="8">
    <w:abstractNumId w:val="21"/>
  </w:num>
  <w:num w:numId="9">
    <w:abstractNumId w:val="3"/>
  </w:num>
  <w:num w:numId="10">
    <w:abstractNumId w:val="15"/>
  </w:num>
  <w:num w:numId="11">
    <w:abstractNumId w:val="22"/>
  </w:num>
  <w:num w:numId="12">
    <w:abstractNumId w:val="9"/>
  </w:num>
  <w:num w:numId="13">
    <w:abstractNumId w:val="18"/>
  </w:num>
  <w:num w:numId="14">
    <w:abstractNumId w:val="4"/>
  </w:num>
  <w:num w:numId="15">
    <w:abstractNumId w:val="17"/>
  </w:num>
  <w:num w:numId="16">
    <w:abstractNumId w:val="14"/>
  </w:num>
  <w:num w:numId="17">
    <w:abstractNumId w:val="8"/>
  </w:num>
  <w:num w:numId="18">
    <w:abstractNumId w:val="5"/>
  </w:num>
  <w:num w:numId="19">
    <w:abstractNumId w:val="12"/>
  </w:num>
  <w:num w:numId="20">
    <w:abstractNumId w:val="2"/>
  </w:num>
  <w:num w:numId="21">
    <w:abstractNumId w:val="20"/>
  </w:num>
  <w:num w:numId="22">
    <w:abstractNumId w:val="19"/>
  </w:num>
  <w:num w:numId="23">
    <w:abstractNumId w:val="1"/>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B4A"/>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5BAD"/>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1A62"/>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49E"/>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54"/>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8BC"/>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011"/>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776454"/>
    <w:pPr>
      <w:tabs>
        <w:tab w:val="left" w:pos="440"/>
        <w:tab w:val="right" w:leader="dot" w:pos="9072"/>
      </w:tabs>
      <w:spacing w:before="240"/>
      <w:ind w:left="426" w:right="424" w:hanging="426"/>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e-D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de/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de/our-work/opinions-information-reports/opinions/changes-amounts-certain-programmes-and-funds" TargetMode="External"/><Relationship Id="rId39" Type="http://schemas.openxmlformats.org/officeDocument/2006/relationships/hyperlink" Target="mailto:Arturo.Iniguez@eesc.europa.eu" TargetMode="External"/><Relationship Id="rId21" Type="http://schemas.openxmlformats.org/officeDocument/2006/relationships/hyperlink" Target="mailto:Sophie.Zimmer@eesc.europa.eu" TargetMode="External"/><Relationship Id="rId34" Type="http://schemas.openxmlformats.org/officeDocument/2006/relationships/hyperlink" Target="https://www.eesc.europa.eu/de/our-work/opinions-information-reports/opinions/chemicals-one-substance-one-assessment" TargetMode="External"/><Relationship Id="rId42" Type="http://schemas.openxmlformats.org/officeDocument/2006/relationships/hyperlink" Target="https://www.eesc.europa.eu/en/our-work/opinions-information-reports/opinions/wind-power-package"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Alice.Tetu@eesc.europa.eu" TargetMode="External"/><Relationship Id="rId11" Type="http://schemas.openxmlformats.org/officeDocument/2006/relationships/endnotes" Target="endnotes.xml"/><Relationship Id="rId24" Type="http://schemas.openxmlformats.org/officeDocument/2006/relationships/hyperlink" Target="mailto:Colombe.Gregoire@eesc.europa.eu" TargetMode="External"/><Relationship Id="rId32" Type="http://schemas.openxmlformats.org/officeDocument/2006/relationships/hyperlink" Target="https://www.eesc.europa.eu/de/our-work/opinions-information-reports/opinions/equivalence-des-semences-produites-en-moldavie-et-en-ukraine" TargetMode="External"/><Relationship Id="rId37" Type="http://schemas.openxmlformats.org/officeDocument/2006/relationships/hyperlink" Target="mailto:Arturo.Iniguez@eesc.europa.eu" TargetMode="External"/><Relationship Id="rId40" Type="http://schemas.openxmlformats.org/officeDocument/2006/relationships/hyperlink" Target="https://www.eesc.europa.eu/de/our-work/opinions-information-reports/opinions/review-passengers-rights-framework" TargetMode="External"/><Relationship Id="rId45" Type="http://schemas.openxmlformats.org/officeDocument/2006/relationships/hyperlink" Target="mailto:Laia.TomasVinardell@eesc.europa.eu" TargetMode="External"/><Relationship Id="rId53" Type="http://schemas.openxmlformats.org/officeDocument/2006/relationships/theme" Target="theme/theme1.xml"/><Relationship Id="rId15" Type="http://schemas.openxmlformats.org/officeDocument/2006/relationships/header" Target="header1.xml"/><Relationship Id="rId23" Type="http://schemas.openxmlformats.org/officeDocument/2006/relationships/hyperlink" Target="https://www.eesc.europa.eu/de/our-work/opinions-information-reports/opinions/boosting-long-term-inclusive-growth-through-reforms-and-investment" TargetMode="External"/><Relationship Id="rId28" Type="http://schemas.openxmlformats.org/officeDocument/2006/relationships/hyperlink" Target="https://www.eesc.europa.eu/en/our-work/opinions-information-reports/opinions/une-initiative-eurohpc-lintention-des-jeunes-entreprises-afin-de-renforcer-le-role-moteur-de-leurope-en-matiere" TargetMode="External"/><Relationship Id="rId36" Type="http://schemas.openxmlformats.org/officeDocument/2006/relationships/hyperlink" Target="https://www.eesc.europa.eu/de/our-work/opinions-information-reports/opinions/eu-forests-new-eu-framework-forest-monitoring-and-strategic-plans" TargetMode="External"/><Relationship Id="rId49" Type="http://schemas.openxmlformats.org/officeDocument/2006/relationships/footer" Target="footer5.xml"/><Relationship Id="rId57"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Silvia.Staffa@eesc.europa.eu" TargetMode="External"/><Relationship Id="rId44" Type="http://schemas.openxmlformats.org/officeDocument/2006/relationships/hyperlink" Target="https://www.eesc.europa.eu/de/our-work/opinions-information-reports/opinions/communication-availability-medicines" TargetMode="External"/><Relationship Id="rId5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mma.Amran@eesc.europa.eu"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de/our-work/opinions-information-reports/opinions/eudamed-and-vitro-diagnostic-medical-devices" TargetMode="External"/><Relationship Id="rId35" Type="http://schemas.openxmlformats.org/officeDocument/2006/relationships/hyperlink" Target="mailto:Gaia.Bottoni@eesc.europa.eu" TargetMode="External"/><Relationship Id="rId43" Type="http://schemas.openxmlformats.org/officeDocument/2006/relationships/hyperlink" Target="mailto:GiorgiaAndrea.Bordignon@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footer" Target="footer6.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Krisztina.PerlakyToth@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de/our-work/opinions-information-reports/opinions/regulation-welfare-dogs-and-cats-and-their-traceability" TargetMode="External"/><Relationship Id="rId46" Type="http://schemas.openxmlformats.org/officeDocument/2006/relationships/header" Target="header4.xml"/><Relationship Id="rId20" Type="http://schemas.openxmlformats.org/officeDocument/2006/relationships/footer" Target="footer3.xml"/><Relationship Id="rId41" Type="http://schemas.openxmlformats.org/officeDocument/2006/relationships/hyperlink" Target="mailto:Antonio.RibeiroPereira@eesc.europa.eu" TargetMode="External"/><Relationship Id="rId54"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C/2023/86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F7M6YNZUATRX-416430479-7257</_dlc_DocId>
    <_dlc_DocIdUrl xmlns="59ace41b-6786-4ce3-be71-52c27066c6ef">
      <Url>http://dm/eesc/2024/_layouts/15/DocIdRedir.aspx?ID=F7M6YNZUATRX-416430479-7257</Url>
      <Description>F7M6YNZUATRX-416430479-7257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2024-04-10T12:00:00+00:00</ProductionDate>
    <DocumentNumber xmlns="1178e5e2-058a-41a1-9851-331c7b3fffb8">740</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4011</FicheNumber>
    <OriginalSender xmlns="59ace41b-6786-4ce3-be71-52c27066c6ef">
      <UserInfo>
        <DisplayName>Deichsel Josefine</DisplayName>
        <AccountId>1518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23F538-3340-4241-A854-A7AF79329A98}"/>
</file>

<file path=customXml/itemProps2.xml><?xml version="1.0" encoding="utf-8"?>
<ds:datastoreItem xmlns:ds="http://schemas.openxmlformats.org/officeDocument/2006/customXml" ds:itemID="{2FCB8EAD-C83B-44A2-A03B-177A3EB1C1B4}"/>
</file>

<file path=customXml/itemProps3.xml><?xml version="1.0" encoding="utf-8"?>
<ds:datastoreItem xmlns:ds="http://schemas.openxmlformats.org/officeDocument/2006/customXml" ds:itemID="{F7E155F5-8366-42CC-BB19-F4FB8B028879}"/>
</file>

<file path=customXml/itemProps4.xml><?xml version="1.0" encoding="utf-8"?>
<ds:datastoreItem xmlns:ds="http://schemas.openxmlformats.org/officeDocument/2006/customXml" ds:itemID="{0F44B9E6-9DB8-4FE8-A3CD-72BA14584CF0}"/>
</file>

<file path=docProps/app.xml><?xml version="1.0" encoding="utf-8"?>
<Properties xmlns="http://schemas.openxmlformats.org/officeDocument/2006/extended-properties" xmlns:vt="http://schemas.openxmlformats.org/officeDocument/2006/docPropsVTypes">
  <Template>Normal.dotm</Template>
  <TotalTime>0</TotalTime>
  <Pages>16</Pages>
  <Words>3908</Words>
  <Characters>22278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Stellungnahmen der 586. Plenartagung - März 2024</dc:title>
  <dc:subject>TCD</dc:subject>
  <dc:creator>Nieddu Emma</dc:creator>
  <cp:keywords>EESC-2024-00740-00-01-TCD-TRA-EN</cp:keywords>
  <dc:description>Rapporteur:  - Original language: EN - Date of document: 10/04/2024 - Date of meeting: 30/24/2024 14:30 - External documents:  - Administrator: MME TAMASAUSKIENE Julija</dc:description>
  <cp:lastModifiedBy>Deichsel Josefine</cp:lastModifiedBy>
  <cp:revision>9</cp:revision>
  <cp:lastPrinted>2023-06-15T08:00:00Z</cp:lastPrinted>
  <dcterms:created xsi:type="dcterms:W3CDTF">2024-04-09T15:12:00Z</dcterms:created>
  <dcterms:modified xsi:type="dcterms:W3CDTF">2024-04-10T08:28:00Z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09/04/2024, 27/03/2024, 03/01/2024, 13/11/2023, 25/09/2023, 25/07/2023, 30/06/2023, 23/06/2023, 26/05/2023, 07/03/2023, 11/01/2023, 10/01/2023, 29/03/2022, 04/03/2022, 15/12/2021, 13/09/2021, 03/09/2021, 28/06/2021</vt:lpwstr>
  </property>
  <property fmtid="{D5CDD505-2E9C-101B-9397-08002B2CF9AE}" pid="4" name="Pref_Time">
    <vt:lpwstr>17:11:40, 12:24:19, 15:02:18, 17:01:12, 16:07:19, 11:58:41, 14:00:08, 12:39:02, 15:12:50, 10:27:54, 10:12:15, 11:41:25, 14:21:50, 16:54:06, 17:56:36, 14:13:00, 10:08:10, 08:41:48</vt:lpwstr>
  </property>
  <property fmtid="{D5CDD505-2E9C-101B-9397-08002B2CF9AE}" pid="5" name="Pref_User">
    <vt:lpwstr>jhvi, pacup, enied, amett, amett, jhvi, pacup, jhvi, pacup, enied, pacup, enied, jhvi, enied, hnic, amett, enied, enied</vt:lpwstr>
  </property>
  <property fmtid="{D5CDD505-2E9C-101B-9397-08002B2CF9AE}" pid="6" name="Pref_FileName">
    <vt:lpwstr>EESC-2024-00740-00-01-TCD-ORI.docx, EESC-2024-00740-00-00-TCD-TRA.docx,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0x010100EA97B91038054C99906057A708A1480A00E20A70424F8EF14D84929FAE9E34774B</vt:lpwstr>
  </property>
  <property fmtid="{D5CDD505-2E9C-101B-9397-08002B2CF9AE}" pid="8" name="_dlc_DocIdItemGuid">
    <vt:lpwstr>6b910e00-a556-4bc8-aa61-ea9c8fc2422e</vt:lpwstr>
  </property>
  <property fmtid="{D5CDD505-2E9C-101B-9397-08002B2CF9AE}" pid="9" name="AvailableTranslations">
    <vt:lpwstr>26;#SK|46d9fce0-ef79-4f71-b89b-cd6aa82426b8;#33;#ET|ff6c3f4c-b02c-4c3c-ab07-2c37995a7a0a;#17;#PL|1e03da61-4678-4e07-b136-b5024ca9197b;#16;#DA|5d49c027-8956-412b-aa16-e85a0f96ad0e;#30;#HR|2f555653-ed1a-4fe6-8362-9082d95989e5;#36;#PT|50ccc04a-eadd-42ae-a0cb-acaf45f812ba;#34;#LT|a7ff5ce7-6123-4f68-865a-a57c31810414;#22;#BG|1a1b3951-7821-4e6a-85f5-5673fc08bd2c;#37;#RO|feb747a2-64cd-4299-af12-4833ddc30497;#24;#ES|e7a6b05b-ae16-40c8-add9-68b64b03aeba;#31;#NL|55c6556c-b4f4-441d-9acf-c498d4f838bd;#28;#LV|46f7e311-5d9f-4663-b433-18aeccb7ace7;#27;#SL|98a412ae-eb01-49e9-ae3d-585a81724cfc;#29;#EL|6d4f4d51-af9b-4650-94b4-4276bee85c91;#32;#HU|6b229040-c589-4408-b4c1-4285663d20a8;#35;#FI|87606a43-d45f-42d6-b8c9-e1a3457db5b7;#43;#CS|72f9705b-0217-4fd3-bea2-cbc7ed80e26e;#21;#SV|c2ed69e7-a339-43d7-8f22-d93680a92aa0;#14;#FR|d2afafd3-4c81-4f60-8f52-ee33f2f54ff3;#5;#EN|f2175f21-25d7-44a3-96da-d6a61b075e1b;#25;#DE|f6b31e5a-26fa-4935-b661-318e46daf27e;#12;#IT|0774613c-01ed-4e5d-a25d-11d2388de825</vt:lpwstr>
  </property>
  <property fmtid="{D5CDD505-2E9C-101B-9397-08002B2CF9AE}" pid="10" name="DocumentType_0">
    <vt:lpwstr>TCD|cd9d6eb6-3f4f-424a-b2d1-57c9d450eaaf</vt:lpwstr>
  </property>
  <property fmtid="{D5CDD505-2E9C-101B-9397-08002B2CF9AE}" pid="11" name="MeetingNumber">
    <vt:i4>587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740</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2024-04-24T12:00:00Z</vt:filetime>
  </property>
  <property fmtid="{D5CDD505-2E9C-101B-9397-08002B2CF9AE}" pid="29" name="AvailableTranslations_0">
    <vt:lpwstr>HR|2f555653-ed1a-4fe6-8362-9082d95989e5;PT|50ccc04a-eadd-42ae-a0cb-acaf45f812ba;ES|e7a6b05b-ae16-40c8-add9-68b64b03aeba;NL|55c6556c-b4f4-441d-9acf-c498d4f838bd;LV|46f7e311-5d9f-4663-b433-18aeccb7ace7;HU|6b229040-c589-4408-b4c1-4285663d20a8;FI|87606a43-d45f-42d6-b8c9-e1a3457db5b7;SV|c2ed69e7-a339-43d7-8f22-d93680a92aa0;FR|d2afafd3-4c81-4f60-8f52-ee33f2f54ff3;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32;#HU|6b229040-c589-4408-b4c1-4285663d20a8;#31;#NL|55c6556c-b4f4-441d-9acf-c498d4f838bd;#30;#HR|2f555653-ed1a-4fe6-8362-9082d95989e5;#28;#LV|46f7e311-5d9f-4663-b433-18aeccb7ace7;#24;#ES|e7a6b05b-ae16-40c8-add9-68b64b03aeba;#21;#SV|c2ed69e7-a339-43d7-8f22-d93680a92aa0;#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4011</vt:i4>
  </property>
  <property fmtid="{D5CDD505-2E9C-101B-9397-08002B2CF9AE}" pid="37" name="DocumentLanguage">
    <vt:lpwstr>25;#DE|f6b31e5a-26fa-4935-b661-318e46daf27e</vt:lpwstr>
  </property>
</Properties>
</file>