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306C" w14:textId="77777777" w:rsidR="003C2229" w:rsidRPr="00517C9E" w:rsidRDefault="00837B82" w:rsidP="00686EC2">
      <w:pPr>
        <w:spacing w:line="240" w:lineRule="auto"/>
        <w:rPr>
          <w:rFonts w:ascii="Verdana" w:hAnsi="Verdana"/>
          <w:sz w:val="20"/>
        </w:rPr>
      </w:pPr>
      <w:r>
        <w:rPr>
          <w:rFonts w:ascii="Verdana" w:hAnsi="Verdana"/>
          <w:noProof/>
          <w:sz w:val="20"/>
        </w:rPr>
        <w:drawing>
          <wp:inline distT="0" distB="0" distL="0" distR="0" wp14:anchorId="149B9ABC" wp14:editId="308BEBC6">
            <wp:extent cx="5760000" cy="1396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SC-PressRelease-EN-wordheader.jpg"/>
                    <pic:cNvPicPr/>
                  </pic:nvPicPr>
                  <pic:blipFill>
                    <a:blip r:embed="rId11">
                      <a:extLst>
                        <a:ext uri="{28A0092B-C50C-407E-A947-70E740481C1C}">
                          <a14:useLocalDpi xmlns:a14="http://schemas.microsoft.com/office/drawing/2010/main" val="0"/>
                        </a:ext>
                      </a:extLst>
                    </a:blip>
                    <a:stretch>
                      <a:fillRect/>
                    </a:stretch>
                  </pic:blipFill>
                  <pic:spPr>
                    <a:xfrm>
                      <a:off x="0" y="0"/>
                      <a:ext cx="5760000" cy="1396800"/>
                    </a:xfrm>
                    <a:prstGeom prst="rect">
                      <a:avLst/>
                    </a:prstGeom>
                  </pic:spPr>
                </pic:pic>
              </a:graphicData>
            </a:graphic>
          </wp:inline>
        </w:drawing>
      </w:r>
    </w:p>
    <w:tbl>
      <w:tblPr>
        <w:tblW w:w="0" w:type="auto"/>
        <w:tblLook w:val="0000" w:firstRow="0" w:lastRow="0" w:firstColumn="0" w:lastColumn="0" w:noHBand="0" w:noVBand="0"/>
      </w:tblPr>
      <w:tblGrid>
        <w:gridCol w:w="5168"/>
        <w:gridCol w:w="4119"/>
      </w:tblGrid>
      <w:tr w:rsidR="00C93E55" w:rsidRPr="00517C9E" w14:paraId="16E539E7" w14:textId="77777777" w:rsidTr="00705C0F">
        <w:trPr>
          <w:cantSplit/>
        </w:trPr>
        <w:tc>
          <w:tcPr>
            <w:tcW w:w="5168" w:type="dxa"/>
          </w:tcPr>
          <w:p w14:paraId="2A287900" w14:textId="290D4BAE" w:rsidR="00C93E55" w:rsidRPr="00517C9E" w:rsidRDefault="00C93E55" w:rsidP="002F79A3">
            <w:pPr>
              <w:spacing w:before="120" w:after="120" w:line="240" w:lineRule="auto"/>
              <w:rPr>
                <w:rFonts w:ascii="Verdana" w:hAnsi="Verdana"/>
                <w:b/>
                <w:bCs/>
                <w:sz w:val="20"/>
              </w:rPr>
            </w:pPr>
            <w:r>
              <w:rPr>
                <w:rFonts w:ascii="Verdana" w:hAnsi="Verdana"/>
                <w:b/>
                <w:sz w:val="20"/>
              </w:rPr>
              <w:t>Nº 11/2024</w:t>
            </w:r>
          </w:p>
        </w:tc>
        <w:tc>
          <w:tcPr>
            <w:tcW w:w="4119" w:type="dxa"/>
          </w:tcPr>
          <w:p w14:paraId="6DB6BFB3" w14:textId="2148F293" w:rsidR="00C93E55" w:rsidRPr="00517C9E" w:rsidRDefault="006A61DA" w:rsidP="00F92DAC">
            <w:pPr>
              <w:spacing w:before="120" w:after="120" w:line="240" w:lineRule="auto"/>
              <w:jc w:val="right"/>
              <w:rPr>
                <w:rFonts w:ascii="Verdana" w:hAnsi="Verdana"/>
                <w:b/>
                <w:bCs/>
                <w:sz w:val="20"/>
              </w:rPr>
            </w:pPr>
            <w:r>
              <w:rPr>
                <w:rFonts w:ascii="Verdana" w:hAnsi="Verdana"/>
                <w:b/>
                <w:sz w:val="20"/>
              </w:rPr>
              <w:t>20 février 2024</w:t>
            </w:r>
          </w:p>
        </w:tc>
      </w:tr>
    </w:tbl>
    <w:p w14:paraId="72EB20C4" w14:textId="626804FD" w:rsidR="00F83179" w:rsidRPr="00517C9E" w:rsidRDefault="00F83179" w:rsidP="00686EC2">
      <w:pPr>
        <w:spacing w:line="240" w:lineRule="auto"/>
        <w:rPr>
          <w:rFonts w:ascii="Verdana" w:hAnsi="Verdana"/>
          <w:sz w:val="20"/>
        </w:rPr>
      </w:pPr>
    </w:p>
    <w:p w14:paraId="4154F4D7" w14:textId="77777777" w:rsidR="00F83179" w:rsidRPr="00517C9E" w:rsidRDefault="00F83179" w:rsidP="00686EC2">
      <w:pPr>
        <w:spacing w:line="240" w:lineRule="auto"/>
        <w:rPr>
          <w:rFonts w:ascii="Verdana" w:hAnsi="Verdana"/>
          <w:sz w:val="20"/>
        </w:rPr>
        <w:sectPr w:rsidR="00F83179" w:rsidRPr="00517C9E" w:rsidSect="00837B82">
          <w:footerReference w:type="default" r:id="rId12"/>
          <w:pgSz w:w="11907" w:h="16839" w:code="9"/>
          <w:pgMar w:top="425" w:right="1418" w:bottom="1418" w:left="1418" w:header="709" w:footer="709" w:gutter="0"/>
          <w:cols w:space="720"/>
          <w:docGrid w:linePitch="299"/>
        </w:sectPr>
      </w:pPr>
    </w:p>
    <w:p w14:paraId="7341BCD6" w14:textId="7E1D2CA5" w:rsidR="008850E4" w:rsidRPr="00517C9E" w:rsidRDefault="006679C1" w:rsidP="008850E4">
      <w:pPr>
        <w:rPr>
          <w:rFonts w:ascii="Verdana" w:hAnsi="Verdana"/>
          <w:sz w:val="18"/>
        </w:rPr>
      </w:pPr>
      <w:r>
        <w:rPr>
          <w:rFonts w:ascii="Verdana" w:hAnsi="Verdana"/>
          <w:noProof/>
          <w:sz w:val="20"/>
        </w:rPr>
        <mc:AlternateContent>
          <mc:Choice Requires="wps">
            <w:drawing>
              <wp:anchor distT="0" distB="0" distL="114300" distR="114300" simplePos="0" relativeHeight="251659264" behindDoc="1" locked="0" layoutInCell="0" allowOverlap="1" wp14:anchorId="02E0DDBB" wp14:editId="24920F32">
                <wp:simplePos x="0" y="0"/>
                <wp:positionH relativeFrom="page">
                  <wp:posOffset>6770788</wp:posOffset>
                </wp:positionH>
                <wp:positionV relativeFrom="page">
                  <wp:posOffset>10083352</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A69A6" w14:textId="77777777" w:rsidR="00321382" w:rsidRPr="00260E65" w:rsidRDefault="00321382">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E0DDBB" id="_x0000_t202" coordsize="21600,21600" o:spt="202" path="m,l,21600r21600,l21600,xe">
                <v:stroke joinstyle="miter"/>
                <v:path gradientshapeok="t" o:connecttype="rect"/>
              </v:shapetype>
              <v:shape id="Text Box 17" o:spid="_x0000_s1026" type="#_x0000_t202" style="position:absolute;left:0;text-align:left;margin-left:533.15pt;margin-top:793.95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" o:allowincell="f" filled="f" stroked="f">
                <v:textbox>
                  <w:txbxContent>
                    <w:p w14:paraId="6C3A69A6" w14:textId="77777777" w:rsidR="00321382" w:rsidRPr="00260E65" w:rsidRDefault="00321382">
                      <w:pPr>
                        <w:jc w:val="center"/>
                        <w:rPr>
                          <w:rFonts w:ascii="Arial" w:hAnsi="Arial" w:cs="Arial"/>
                          <w:b/>
                          <w:bCs/>
                          <w:sz w:val="48"/>
                        </w:rPr>
                      </w:pPr>
                      <w:r>
                        <w:rPr>
                          <w:rFonts w:ascii="Arial" w:hAnsi="Arial"/>
                          <w:b/>
                          <w:sz w:val="48"/>
                        </w:rPr>
                        <w:t>FR</w:t>
                      </w:r>
                    </w:p>
                  </w:txbxContent>
                </v:textbox>
                <w10:wrap anchorx="page" anchory="page"/>
              </v:shape>
            </w:pict>
          </mc:Fallback>
        </mc:AlternateContent>
      </w:r>
    </w:p>
    <w:p w14:paraId="3BF64AB0" w14:textId="24F38399" w:rsidR="00F45A6F" w:rsidRPr="0088285D" w:rsidRDefault="009B736A" w:rsidP="00795B49">
      <w:pPr>
        <w:jc w:val="center"/>
        <w:rPr>
          <w:rFonts w:ascii="Verdana" w:hAnsi="Verdana"/>
          <w:b/>
          <w:bCs/>
          <w:color w:val="0070C0"/>
          <w:sz w:val="28"/>
          <w:szCs w:val="24"/>
        </w:rPr>
      </w:pPr>
      <w:r>
        <w:rPr>
          <w:rFonts w:ascii="Verdana" w:hAnsi="Verdana"/>
          <w:b/>
          <w:color w:val="0070C0"/>
          <w:sz w:val="28"/>
        </w:rPr>
        <w:t>Trouver ensemble une solution à la crise croissante du</w:t>
      </w:r>
      <w:r w:rsidR="00630A15">
        <w:rPr>
          <w:rFonts w:ascii="Verdana" w:hAnsi="Verdana"/>
          <w:b/>
          <w:color w:val="0070C0"/>
          <w:sz w:val="28"/>
        </w:rPr>
        <w:t> </w:t>
      </w:r>
      <w:r>
        <w:rPr>
          <w:rFonts w:ascii="Verdana" w:hAnsi="Verdana"/>
          <w:b/>
          <w:color w:val="0070C0"/>
          <w:sz w:val="28"/>
        </w:rPr>
        <w:t>logement, en particulier pour les groupes vulnérables et les jeunes</w:t>
      </w:r>
    </w:p>
    <w:p w14:paraId="729C1FF8" w14:textId="3E6A8AFC" w:rsidR="00826961" w:rsidRPr="00517C9E" w:rsidRDefault="00826961" w:rsidP="00826961">
      <w:pPr>
        <w:rPr>
          <w:rFonts w:ascii="Verdana" w:hAnsi="Verdana"/>
          <w:sz w:val="18"/>
        </w:rPr>
      </w:pPr>
    </w:p>
    <w:p w14:paraId="4ABB61AD" w14:textId="76E612C9" w:rsidR="002C07C7" w:rsidRPr="00517C9E" w:rsidRDefault="001739C0" w:rsidP="00795B49">
      <w:pPr>
        <w:rPr>
          <w:rFonts w:ascii="Verdana" w:hAnsi="Verdana"/>
          <w:b/>
          <w:bCs/>
          <w:sz w:val="20"/>
        </w:rPr>
      </w:pPr>
      <w:r>
        <w:rPr>
          <w:rFonts w:ascii="Verdana" w:hAnsi="Verdana"/>
          <w:b/>
          <w:sz w:val="20"/>
        </w:rPr>
        <w:t>Lors d’une conférence à haut niveau, le CESE, la maison de la société civile organisée de l’Union européenne, a tiré la sonnette d’alarme: la pénurie de logements décents accessibles à un prix abordable constitue une source de préoccupation croissante, en particulier pour les groupes vulnérables et les jeunes, et l’Union doit mobiliser les ressources nécessaires pour lutter contre ce phénomène.</w:t>
      </w:r>
    </w:p>
    <w:p w14:paraId="6A973F45" w14:textId="1BA4D89F" w:rsidR="001F660F" w:rsidRPr="00517C9E" w:rsidRDefault="001F660F" w:rsidP="00795B49">
      <w:pPr>
        <w:rPr>
          <w:rFonts w:ascii="Verdana" w:hAnsi="Verdana"/>
          <w:sz w:val="18"/>
        </w:rPr>
      </w:pPr>
    </w:p>
    <w:p w14:paraId="53C3DECD" w14:textId="0918D718" w:rsidR="009F67C6" w:rsidRPr="00517C9E" w:rsidRDefault="00517C9E" w:rsidP="009F67C6">
      <w:pPr>
        <w:rPr>
          <w:rFonts w:ascii="Verdana" w:hAnsi="Verdana"/>
          <w:sz w:val="18"/>
        </w:rPr>
      </w:pPr>
      <w:r>
        <w:rPr>
          <w:rFonts w:ascii="Verdana" w:hAnsi="Verdana"/>
          <w:sz w:val="18"/>
        </w:rPr>
        <w:t>De plus en plus d’Européens s’inquiètent de ne pas pouvoir s’offrir un logement décent, risquant ainsi de devoir se rabattre sur un logement inadapté, de rencontrer des difficultés financières, de tomber dans une situation d’insécurité en matière de logement, voire de se retrouver à la rue. L’incapacité de s’offrir un logement adapté peut avoir une incidence sur la santé et le bien-être, générer des inégalités du point de vue des conditions et des perspectives de vie, et entraîner une hausse des budgets consacrés aux soins de santé, une baisse de la productivité, ainsi que des dommages environnementaux.</w:t>
      </w:r>
    </w:p>
    <w:p w14:paraId="02CE4C35" w14:textId="257AC492" w:rsidR="006A61DA" w:rsidRPr="00517C9E" w:rsidRDefault="006A61DA" w:rsidP="006A61DA">
      <w:pPr>
        <w:rPr>
          <w:rFonts w:ascii="Verdana" w:hAnsi="Verdana"/>
          <w:sz w:val="18"/>
        </w:rPr>
      </w:pPr>
    </w:p>
    <w:p w14:paraId="71D3EB94" w14:textId="19006074" w:rsidR="006A61DA" w:rsidRDefault="006A61DA" w:rsidP="006A61DA">
      <w:pPr>
        <w:rPr>
          <w:rFonts w:ascii="Verdana" w:hAnsi="Verdana"/>
          <w:sz w:val="18"/>
        </w:rPr>
      </w:pPr>
      <w:r>
        <w:rPr>
          <w:rFonts w:ascii="Verdana" w:hAnsi="Verdana"/>
          <w:sz w:val="18"/>
        </w:rPr>
        <w:t>La conférence organisée par le Comité économique et social européen (CESE) à Bruxelles, le 20 février 2024, a envoyé un message clair: la crise du logement que connaît l’Europe est en train de s’aggraver et a un certain nombre de répercussions.</w:t>
      </w:r>
    </w:p>
    <w:p w14:paraId="673BA83B" w14:textId="77777777" w:rsidR="009F67C6" w:rsidRPr="00517C9E" w:rsidRDefault="009F67C6" w:rsidP="006A61DA">
      <w:pPr>
        <w:rPr>
          <w:rFonts w:ascii="Verdana" w:hAnsi="Verdana"/>
          <w:sz w:val="18"/>
        </w:rPr>
      </w:pPr>
    </w:p>
    <w:p w14:paraId="7C955977" w14:textId="30927075" w:rsidR="00517C9E" w:rsidRDefault="00896FBF" w:rsidP="009F67C6">
      <w:pPr>
        <w:rPr>
          <w:rFonts w:ascii="Verdana" w:hAnsi="Verdana"/>
          <w:sz w:val="18"/>
        </w:rPr>
      </w:pPr>
      <w:r>
        <w:rPr>
          <w:rFonts w:ascii="Verdana" w:hAnsi="Verdana"/>
          <w:sz w:val="18"/>
        </w:rPr>
        <w:t xml:space="preserve">Les problèmes actuels en matière de logement jouent pour beaucoup dans l’érosion progressive de la cohésion économique, sociale et territoriale. L’accès à un logement décent à un prix abordable constitue une nécessité autant qu’un droit sur le plan social, mais il est constamment remis en question par les différentes crises auxquelles l’UE a été confrontée ces dernières années. </w:t>
      </w:r>
    </w:p>
    <w:p w14:paraId="057923F8" w14:textId="77777777" w:rsidR="00517C9E" w:rsidRDefault="00517C9E" w:rsidP="009F67C6">
      <w:pPr>
        <w:rPr>
          <w:rFonts w:ascii="Verdana" w:hAnsi="Verdana"/>
          <w:sz w:val="18"/>
        </w:rPr>
      </w:pPr>
    </w:p>
    <w:p w14:paraId="419F4F4B" w14:textId="117CDD26" w:rsidR="008146D0" w:rsidRPr="00517C9E" w:rsidRDefault="006A61DA" w:rsidP="009F67C6">
      <w:pPr>
        <w:rPr>
          <w:rFonts w:ascii="Verdana" w:hAnsi="Verdana"/>
          <w:sz w:val="18"/>
        </w:rPr>
      </w:pPr>
      <w:r>
        <w:rPr>
          <w:rFonts w:ascii="Verdana" w:hAnsi="Verdana"/>
          <w:sz w:val="18"/>
        </w:rPr>
        <w:t>La disponibilité et l’accessibilité de logements à la fois durables et décents constituent des préoccupations sans cesse croissantes pour les citoyens de l’Union, et en particulier pour les groupes les plus vulnérables. Nombre de ménages sont confrontés à des coûts du logement trop élevés, qui représentent leur poste de dépense principal ainsi qu’une charge excessive, au détriment d’autres besoins fondamentaux.</w:t>
      </w:r>
    </w:p>
    <w:p w14:paraId="2C2ED72C" w14:textId="0A18CC22" w:rsidR="008146D0" w:rsidRPr="00517C9E" w:rsidRDefault="008146D0" w:rsidP="009F67C6">
      <w:pPr>
        <w:rPr>
          <w:rFonts w:ascii="Verdana" w:hAnsi="Verdana"/>
          <w:sz w:val="18"/>
        </w:rPr>
      </w:pPr>
    </w:p>
    <w:p w14:paraId="3EBF58B4" w14:textId="77B358F6" w:rsidR="00190E01" w:rsidRPr="00517C9E" w:rsidRDefault="00190E01" w:rsidP="009F67C6">
      <w:pPr>
        <w:rPr>
          <w:rFonts w:ascii="Verdana" w:hAnsi="Verdana"/>
          <w:sz w:val="18"/>
        </w:rPr>
      </w:pPr>
      <w:r>
        <w:rPr>
          <w:rFonts w:ascii="Verdana" w:hAnsi="Verdana"/>
          <w:sz w:val="18"/>
        </w:rPr>
        <w:t>Selon une récente étude d’</w:t>
      </w:r>
      <w:proofErr w:type="spellStart"/>
      <w:r>
        <w:rPr>
          <w:rFonts w:ascii="Verdana" w:hAnsi="Verdana"/>
          <w:sz w:val="18"/>
        </w:rPr>
        <w:t>Eurofound</w:t>
      </w:r>
      <w:proofErr w:type="spellEnd"/>
      <w:r>
        <w:rPr>
          <w:rFonts w:ascii="Verdana" w:hAnsi="Verdana"/>
          <w:sz w:val="18"/>
        </w:rPr>
        <w:t>, la crise du logement touche en particulier les jeunes, les empêchant de quitter le logement familial. L’âge auquel au moins 50 % des personnes établies dans l’UE ont quitté le domicile de leurs parents est passé de 26 à 28 ans entre 2007 et 2019. Entre 2010 et 2019, l’Espagne, la Croatie, l’Italie, Chypre, la Belgique, la Grèce et l’Irlande ont enregistré les plus fortes augmentations du nombre de personnes âgées de 25 à 34 ans vivant avec leurs parents.</w:t>
      </w:r>
    </w:p>
    <w:p w14:paraId="085319E5" w14:textId="77777777" w:rsidR="00992A5E" w:rsidRPr="00517C9E" w:rsidRDefault="00992A5E" w:rsidP="009F67C6">
      <w:pPr>
        <w:rPr>
          <w:rFonts w:ascii="Verdana" w:hAnsi="Verdana"/>
          <w:sz w:val="18"/>
        </w:rPr>
      </w:pPr>
    </w:p>
    <w:p w14:paraId="5C85F713" w14:textId="61E9B287" w:rsidR="00992A5E" w:rsidRPr="00517C9E" w:rsidRDefault="00992A5E" w:rsidP="001F660F">
      <w:pPr>
        <w:rPr>
          <w:rFonts w:ascii="Verdana" w:hAnsi="Verdana"/>
          <w:b/>
          <w:bCs/>
          <w:sz w:val="18"/>
        </w:rPr>
      </w:pPr>
      <w:r>
        <w:rPr>
          <w:rFonts w:ascii="Verdana" w:hAnsi="Verdana"/>
          <w:b/>
          <w:sz w:val="18"/>
        </w:rPr>
        <w:lastRenderedPageBreak/>
        <w:t>Le CESE met en garde depuis longtemps contre la crise du logement</w:t>
      </w:r>
    </w:p>
    <w:p w14:paraId="368803C8" w14:textId="77777777" w:rsidR="00992A5E" w:rsidRPr="00517C9E" w:rsidRDefault="00992A5E" w:rsidP="001F660F">
      <w:pPr>
        <w:rPr>
          <w:rFonts w:ascii="Verdana" w:hAnsi="Verdana"/>
          <w:sz w:val="18"/>
        </w:rPr>
      </w:pPr>
    </w:p>
    <w:p w14:paraId="507EB7F9" w14:textId="29F7EF69" w:rsidR="005F5E52" w:rsidRPr="00517C9E" w:rsidRDefault="00992A5E" w:rsidP="005F5E52">
      <w:pPr>
        <w:rPr>
          <w:rFonts w:ascii="Verdana" w:hAnsi="Verdana"/>
          <w:sz w:val="18"/>
        </w:rPr>
      </w:pPr>
      <w:r>
        <w:rPr>
          <w:rFonts w:ascii="Verdana" w:hAnsi="Verdana"/>
          <w:sz w:val="18"/>
        </w:rPr>
        <w:t>Au fil des ans, le CESE s’est efforcé de mettre en lumière les problèmes de logement qui se posent dans l’ensemble de l’Union. En 2020, il a adopté un avis sur le thème «</w:t>
      </w:r>
      <w:hyperlink r:id="rId13" w:history="1">
        <w:r>
          <w:rPr>
            <w:rStyle w:val="Hyperlink"/>
            <w:rFonts w:ascii="Verdana" w:hAnsi="Verdana"/>
            <w:i/>
            <w:sz w:val="18"/>
          </w:rPr>
          <w:t>Un accès universel à un logement décent, durable et abordable dans la durée</w:t>
        </w:r>
      </w:hyperlink>
      <w:r>
        <w:rPr>
          <w:rFonts w:ascii="Verdana" w:hAnsi="Verdana"/>
          <w:sz w:val="18"/>
        </w:rPr>
        <w:t xml:space="preserve">», élaboré par </w:t>
      </w:r>
      <w:r>
        <w:rPr>
          <w:rFonts w:ascii="Verdana" w:hAnsi="Verdana"/>
          <w:b/>
          <w:sz w:val="18"/>
        </w:rPr>
        <w:t>Raymond </w:t>
      </w:r>
      <w:proofErr w:type="spellStart"/>
      <w:r>
        <w:rPr>
          <w:rFonts w:ascii="Verdana" w:hAnsi="Verdana"/>
          <w:b/>
          <w:sz w:val="18"/>
        </w:rPr>
        <w:t>Hencks</w:t>
      </w:r>
      <w:proofErr w:type="spellEnd"/>
      <w:r>
        <w:rPr>
          <w:rFonts w:ascii="Verdana" w:hAnsi="Verdana"/>
          <w:sz w:val="18"/>
        </w:rPr>
        <w:t xml:space="preserve"> et </w:t>
      </w:r>
      <w:r>
        <w:rPr>
          <w:rFonts w:ascii="Verdana" w:hAnsi="Verdana"/>
          <w:b/>
          <w:sz w:val="18"/>
        </w:rPr>
        <w:t>András Edelényi</w:t>
      </w:r>
      <w:r>
        <w:rPr>
          <w:rFonts w:ascii="Verdana" w:hAnsi="Verdana"/>
          <w:sz w:val="18"/>
        </w:rPr>
        <w:t xml:space="preserve">, dans lequel il appelait de ses vœux un </w:t>
      </w:r>
      <w:r>
        <w:rPr>
          <w:rFonts w:ascii="Verdana" w:hAnsi="Verdana"/>
          <w:b/>
          <w:sz w:val="18"/>
        </w:rPr>
        <w:t>plan d’action européen du logement</w:t>
      </w:r>
      <w:r>
        <w:rPr>
          <w:rFonts w:ascii="Verdana" w:hAnsi="Verdana"/>
          <w:sz w:val="18"/>
        </w:rPr>
        <w:t>.</w:t>
      </w:r>
    </w:p>
    <w:p w14:paraId="03D3AB46" w14:textId="77777777" w:rsidR="005F5E52" w:rsidRPr="00517C9E" w:rsidRDefault="005F5E52" w:rsidP="001F660F">
      <w:pPr>
        <w:rPr>
          <w:rFonts w:ascii="Verdana" w:hAnsi="Verdana"/>
          <w:sz w:val="18"/>
        </w:rPr>
      </w:pPr>
    </w:p>
    <w:p w14:paraId="46DD4735" w14:textId="7C6B2A78" w:rsidR="005F5E52" w:rsidRPr="00517C9E" w:rsidRDefault="00B47DE2" w:rsidP="001F660F">
      <w:pPr>
        <w:rPr>
          <w:rFonts w:ascii="Verdana" w:hAnsi="Verdana"/>
          <w:sz w:val="18"/>
        </w:rPr>
      </w:pPr>
      <w:r>
        <w:rPr>
          <w:rFonts w:ascii="Verdana" w:hAnsi="Verdana"/>
          <w:sz w:val="18"/>
        </w:rPr>
        <w:t>Le Comité a exhorté l’Union européenne à adopter une stratégie incluant un train de mesures exhaustif destiné à aider les États membres, les régions et les villes d’Europe à stimuler durablement l’offre de logements sociaux accessibles à un prix abordable et à lutter efficacement contre le sans-abrisme.</w:t>
      </w:r>
    </w:p>
    <w:p w14:paraId="445FA0A4" w14:textId="77777777" w:rsidR="00B47DE2" w:rsidRPr="00517C9E" w:rsidRDefault="00B47DE2" w:rsidP="001F660F">
      <w:pPr>
        <w:rPr>
          <w:rFonts w:ascii="Verdana" w:hAnsi="Verdana"/>
          <w:sz w:val="18"/>
        </w:rPr>
      </w:pPr>
    </w:p>
    <w:p w14:paraId="31317012" w14:textId="1AF0EB58" w:rsidR="00992A5E" w:rsidRDefault="0080166E" w:rsidP="00B47DE2">
      <w:pPr>
        <w:rPr>
          <w:rFonts w:ascii="Verdana" w:hAnsi="Verdana"/>
          <w:sz w:val="18"/>
        </w:rPr>
      </w:pPr>
      <w:r>
        <w:rPr>
          <w:rFonts w:ascii="Verdana" w:hAnsi="Verdana"/>
          <w:sz w:val="18"/>
        </w:rPr>
        <w:t>Si la politique du logement demeure une compétence nationale, le Comité a proposé les mesures suivantes pour lutter contre la pénurie de logements décents et abordables au niveau de l’UE:</w:t>
      </w:r>
    </w:p>
    <w:p w14:paraId="78711448" w14:textId="77777777" w:rsidR="00265973" w:rsidRPr="00517C9E" w:rsidRDefault="00265973" w:rsidP="00B47DE2">
      <w:pPr>
        <w:rPr>
          <w:rFonts w:ascii="Verdana" w:hAnsi="Verdana"/>
          <w:sz w:val="18"/>
        </w:rPr>
      </w:pPr>
    </w:p>
    <w:p w14:paraId="6171890E" w14:textId="18E401B0" w:rsidR="00992A5E" w:rsidRPr="00517C9E" w:rsidRDefault="005F5E52" w:rsidP="005F5E52">
      <w:pPr>
        <w:pStyle w:val="ListParagraph"/>
        <w:numPr>
          <w:ilvl w:val="0"/>
          <w:numId w:val="3"/>
        </w:numPr>
        <w:ind w:left="284" w:hanging="284"/>
        <w:rPr>
          <w:rFonts w:ascii="Verdana" w:hAnsi="Verdana"/>
          <w:sz w:val="18"/>
        </w:rPr>
      </w:pPr>
      <w:r>
        <w:rPr>
          <w:rFonts w:ascii="Verdana" w:hAnsi="Verdana"/>
          <w:sz w:val="18"/>
        </w:rPr>
        <w:t xml:space="preserve">organiser, sur une base annuelle, un </w:t>
      </w:r>
      <w:r>
        <w:rPr>
          <w:rFonts w:ascii="Verdana" w:hAnsi="Verdana"/>
          <w:b/>
          <w:sz w:val="18"/>
        </w:rPr>
        <w:t>sommet européen du logement abordable</w:t>
      </w:r>
      <w:r>
        <w:rPr>
          <w:rFonts w:ascii="Verdana" w:hAnsi="Verdana"/>
          <w:sz w:val="18"/>
        </w:rPr>
        <w:t xml:space="preserve"> réunissant l’ensemble des parties prenantes concernées, étayé par un rapport annuel sur l’état du logement dans l’UE;</w:t>
      </w:r>
    </w:p>
    <w:p w14:paraId="53F0F5CF" w14:textId="39694EEB" w:rsidR="005F5E52" w:rsidRPr="00517C9E" w:rsidRDefault="005F5E52" w:rsidP="005F5E52">
      <w:pPr>
        <w:pStyle w:val="ListParagraph"/>
        <w:numPr>
          <w:ilvl w:val="0"/>
          <w:numId w:val="3"/>
        </w:numPr>
        <w:ind w:left="284" w:hanging="284"/>
        <w:rPr>
          <w:rFonts w:ascii="Verdana" w:hAnsi="Verdana"/>
          <w:sz w:val="18"/>
        </w:rPr>
      </w:pPr>
      <w:r>
        <w:rPr>
          <w:rFonts w:ascii="Verdana" w:hAnsi="Verdana"/>
          <w:sz w:val="18"/>
        </w:rPr>
        <w:t xml:space="preserve">consacrer un </w:t>
      </w:r>
      <w:r>
        <w:rPr>
          <w:rFonts w:ascii="Verdana" w:hAnsi="Verdana"/>
          <w:b/>
          <w:sz w:val="18"/>
        </w:rPr>
        <w:t>réel droit universel au logement</w:t>
      </w:r>
      <w:r>
        <w:rPr>
          <w:rFonts w:ascii="Verdana" w:hAnsi="Verdana"/>
          <w:sz w:val="18"/>
        </w:rPr>
        <w:t>, notamment au moyen d’un règlement sectoriel, conformément à la procédure législative ordinaire;</w:t>
      </w:r>
    </w:p>
    <w:p w14:paraId="66BF29BD" w14:textId="54E90885" w:rsidR="001739C0" w:rsidRPr="00517C9E" w:rsidRDefault="005F5E52" w:rsidP="005F5E52">
      <w:pPr>
        <w:pStyle w:val="ListParagraph"/>
        <w:numPr>
          <w:ilvl w:val="0"/>
          <w:numId w:val="3"/>
        </w:numPr>
        <w:ind w:left="284" w:hanging="284"/>
        <w:rPr>
          <w:rFonts w:ascii="Verdana" w:hAnsi="Verdana"/>
          <w:sz w:val="18"/>
        </w:rPr>
      </w:pPr>
      <w:r>
        <w:rPr>
          <w:rFonts w:ascii="Verdana" w:hAnsi="Verdana"/>
          <w:sz w:val="18"/>
        </w:rPr>
        <w:t xml:space="preserve">instituer un </w:t>
      </w:r>
      <w:r>
        <w:rPr>
          <w:rFonts w:ascii="Verdana" w:hAnsi="Verdana"/>
          <w:b/>
          <w:sz w:val="18"/>
        </w:rPr>
        <w:t>fonds européen d’investissement dans le logement abordable, décent et adéquat</w:t>
      </w:r>
      <w:r>
        <w:rPr>
          <w:rFonts w:ascii="Verdana" w:hAnsi="Verdana"/>
          <w:sz w:val="18"/>
        </w:rPr>
        <w:t>, destiné à la création et au maintien de logements à coût modéré.</w:t>
      </w:r>
    </w:p>
    <w:p w14:paraId="324E048D" w14:textId="152CC6B8" w:rsidR="00992A5E" w:rsidRPr="00517C9E" w:rsidRDefault="00992A5E" w:rsidP="00992A5E">
      <w:pPr>
        <w:rPr>
          <w:rFonts w:ascii="Verdana" w:hAnsi="Verdana"/>
          <w:sz w:val="18"/>
        </w:rPr>
      </w:pPr>
    </w:p>
    <w:p w14:paraId="71D05057" w14:textId="5A4D0665" w:rsidR="00992A5E" w:rsidRPr="00517C9E" w:rsidRDefault="00992A5E" w:rsidP="00992A5E">
      <w:pPr>
        <w:rPr>
          <w:rFonts w:ascii="Verdana" w:hAnsi="Verdana"/>
          <w:sz w:val="18"/>
        </w:rPr>
      </w:pPr>
      <w:r>
        <w:rPr>
          <w:rFonts w:ascii="Verdana" w:hAnsi="Verdana"/>
          <w:sz w:val="18"/>
        </w:rPr>
        <w:t xml:space="preserve">Le Comité va maintenant formuler ses recommandations (qu’il publiera prochainement sur son </w:t>
      </w:r>
      <w:hyperlink r:id="rId14" w:history="1">
        <w:r>
          <w:rPr>
            <w:rStyle w:val="Hyperlink"/>
            <w:rFonts w:ascii="Verdana" w:hAnsi="Verdana"/>
            <w:sz w:val="18"/>
          </w:rPr>
          <w:t>site internet</w:t>
        </w:r>
      </w:hyperlink>
      <w:r>
        <w:rPr>
          <w:rFonts w:ascii="Verdana" w:hAnsi="Verdana"/>
          <w:sz w:val="18"/>
        </w:rPr>
        <w:t>) et les soumettre à la conférence ministérielle sur le logement qui se tiendra à Liège les 4 et 5 mars 2024, sous la présidence belge du Conseil de l’UE. Il entend ainsi donner une impulsion politique au débat et faire en sorte que la crise du logement qui frappe l’UE soit inscrite au programme du nouveau Parlement européen et de la nouvelle Commission pour la période 2024-2029.</w:t>
      </w:r>
    </w:p>
    <w:p w14:paraId="6309C512" w14:textId="77777777" w:rsidR="006A61DA" w:rsidRPr="00517C9E" w:rsidRDefault="006A61DA" w:rsidP="006A61DA">
      <w:pPr>
        <w:rPr>
          <w:rFonts w:ascii="Verdana" w:hAnsi="Verdana"/>
          <w:sz w:val="18"/>
        </w:rPr>
      </w:pPr>
    </w:p>
    <w:p w14:paraId="08DA2E51" w14:textId="77777777" w:rsidR="006A61DA" w:rsidRPr="00517C9E" w:rsidRDefault="006A61DA" w:rsidP="006A61DA">
      <w:pPr>
        <w:rPr>
          <w:rFonts w:ascii="Verdana" w:hAnsi="Verdana"/>
          <w:b/>
          <w:bCs/>
          <w:sz w:val="18"/>
        </w:rPr>
      </w:pPr>
      <w:r>
        <w:rPr>
          <w:rFonts w:ascii="Verdana" w:hAnsi="Verdana"/>
          <w:b/>
          <w:sz w:val="18"/>
        </w:rPr>
        <w:t>Des intervenants de haut niveau</w:t>
      </w:r>
    </w:p>
    <w:p w14:paraId="352F86AF" w14:textId="07B28E7F" w:rsidR="006A61DA" w:rsidRPr="00517C9E" w:rsidRDefault="006A61DA" w:rsidP="006A61DA">
      <w:pPr>
        <w:rPr>
          <w:rFonts w:ascii="Verdana" w:hAnsi="Verdana"/>
          <w:sz w:val="18"/>
        </w:rPr>
      </w:pPr>
    </w:p>
    <w:p w14:paraId="681154FB" w14:textId="2B8E3C6F" w:rsidR="00992A5E" w:rsidRPr="00517C9E" w:rsidRDefault="00992A5E" w:rsidP="006A61DA">
      <w:pPr>
        <w:rPr>
          <w:rFonts w:ascii="Verdana" w:hAnsi="Verdana"/>
          <w:sz w:val="18"/>
        </w:rPr>
      </w:pPr>
      <w:r>
        <w:rPr>
          <w:rFonts w:ascii="Verdana" w:hAnsi="Verdana"/>
          <w:sz w:val="18"/>
        </w:rPr>
        <w:t>La conférence, organisée par la section «Transports, énergie, infrastructures et société de l’information» (TEN) du CESE, a accueilli des orateurs de premier plan.</w:t>
      </w:r>
    </w:p>
    <w:p w14:paraId="13A2F803" w14:textId="77777777" w:rsidR="00992A5E" w:rsidRPr="00517C9E" w:rsidRDefault="00992A5E" w:rsidP="006A61DA">
      <w:pPr>
        <w:rPr>
          <w:rFonts w:ascii="Verdana" w:hAnsi="Verdana"/>
          <w:sz w:val="18"/>
        </w:rPr>
      </w:pPr>
    </w:p>
    <w:p w14:paraId="08E9035A" w14:textId="0A6DEF97" w:rsidR="00B345EE" w:rsidRPr="00B345EE" w:rsidRDefault="002D5F24" w:rsidP="001F660F">
      <w:pPr>
        <w:rPr>
          <w:rFonts w:ascii="Verdana" w:hAnsi="Verdana"/>
          <w:sz w:val="18"/>
        </w:rPr>
      </w:pPr>
      <w:r>
        <w:rPr>
          <w:rFonts w:ascii="Verdana" w:hAnsi="Verdana"/>
          <w:sz w:val="18"/>
        </w:rPr>
        <w:t>«La question de la disponibilité et de l’accessibilité de logements durables et décents constitue aujourd’hui une préoccupation croissante pour les Européens, à laquelle le CESE s’efforce pleinement de répondre au moyen de nombreuses propositions concrètes. Les organisations de la société civile jouent un rôle essentiel lorsqu’il s’agit de promouvoir une politique en faveur d’un logement abordable associant toutes les parties prenantes aux niveaux local, national et européen.»</w:t>
      </w:r>
    </w:p>
    <w:p w14:paraId="55422D8E" w14:textId="3E602144" w:rsidR="006A61DA" w:rsidRPr="00517C9E" w:rsidRDefault="006A61DA" w:rsidP="001F660F">
      <w:pPr>
        <w:rPr>
          <w:rFonts w:ascii="Verdana" w:hAnsi="Verdana"/>
          <w:sz w:val="18"/>
        </w:rPr>
      </w:pPr>
      <w:r>
        <w:rPr>
          <w:rFonts w:ascii="Verdana" w:hAnsi="Verdana"/>
          <w:b/>
          <w:sz w:val="18"/>
        </w:rPr>
        <w:t>Oliver Röpke</w:t>
      </w:r>
      <w:r>
        <w:rPr>
          <w:rFonts w:ascii="Verdana" w:hAnsi="Verdana"/>
          <w:sz w:val="18"/>
        </w:rPr>
        <w:t>, président du CESE</w:t>
      </w:r>
    </w:p>
    <w:p w14:paraId="698B7741" w14:textId="4AF6D980" w:rsidR="006A61DA" w:rsidRPr="00517C9E" w:rsidRDefault="006A61DA" w:rsidP="001F660F">
      <w:pPr>
        <w:rPr>
          <w:rFonts w:ascii="Verdana" w:hAnsi="Verdana"/>
          <w:sz w:val="18"/>
        </w:rPr>
      </w:pPr>
    </w:p>
    <w:p w14:paraId="6BFE587A" w14:textId="3B243DAA" w:rsidR="00AA5AF3" w:rsidRPr="00AA5AF3" w:rsidRDefault="00AA5AF3" w:rsidP="00AA5AF3">
      <w:pPr>
        <w:rPr>
          <w:rFonts w:ascii="Verdana" w:hAnsi="Verdana"/>
          <w:sz w:val="18"/>
        </w:rPr>
      </w:pPr>
      <w:r>
        <w:rPr>
          <w:rFonts w:ascii="Verdana" w:hAnsi="Verdana"/>
          <w:sz w:val="18"/>
        </w:rPr>
        <w:t>«Il est indéniable que l’Europe est confrontée à une crise du logement. Le droit d’accéder à un logement décent à un prix abordable est au cœur de cette Europe sociale forte que nous appelons de nos vœux et fait clairement partie intégrante du socle européen des droits sociaux. S’assurer que chacun puisse accéder à un logement à un prix abordable est une entreprise complexe mais néanmoins indispensable. Il est urgent d’agir maintenant, à tous les niveaux, en mettant en place des politiques et des investissements efficaces.»</w:t>
      </w:r>
    </w:p>
    <w:p w14:paraId="7B02E055" w14:textId="1DA41629" w:rsidR="00812CBD" w:rsidRPr="00517C9E" w:rsidRDefault="00812CBD" w:rsidP="00812CBD">
      <w:pPr>
        <w:rPr>
          <w:rFonts w:ascii="Verdana" w:hAnsi="Verdana"/>
          <w:sz w:val="18"/>
        </w:rPr>
      </w:pPr>
      <w:r>
        <w:rPr>
          <w:rFonts w:ascii="Verdana" w:hAnsi="Verdana"/>
          <w:b/>
          <w:sz w:val="18"/>
        </w:rPr>
        <w:t>Nicolas Schmit</w:t>
      </w:r>
      <w:r>
        <w:rPr>
          <w:rFonts w:ascii="Verdana" w:hAnsi="Verdana"/>
          <w:sz w:val="18"/>
        </w:rPr>
        <w:t>, commissaire européen à l’emploi et aux droits sociaux</w:t>
      </w:r>
    </w:p>
    <w:p w14:paraId="1A671CF6" w14:textId="43FC1183" w:rsidR="00812CBD" w:rsidRPr="00517C9E" w:rsidRDefault="00812CBD" w:rsidP="001F660F">
      <w:pPr>
        <w:rPr>
          <w:rFonts w:ascii="Verdana" w:hAnsi="Verdana"/>
          <w:sz w:val="18"/>
        </w:rPr>
      </w:pPr>
    </w:p>
    <w:p w14:paraId="378EC2A3" w14:textId="49A75C35" w:rsidR="009B7EA2" w:rsidRPr="00517C9E" w:rsidRDefault="00ED7FD2" w:rsidP="009B7EA2">
      <w:pPr>
        <w:rPr>
          <w:rFonts w:ascii="Verdana" w:hAnsi="Verdana"/>
          <w:sz w:val="18"/>
        </w:rPr>
      </w:pPr>
      <w:r>
        <w:rPr>
          <w:rFonts w:ascii="Verdana" w:hAnsi="Verdana"/>
          <w:sz w:val="18"/>
        </w:rPr>
        <w:t>«Nous avons besoin d’une initiative visant à établir une stratégie intégrée de l’Union au service d’un logement qui soit social, public et abordable. Nous devons inclure le logement dans la décision relative à la liste des services d’intérêt économique général (SIEG), sans pour autant faire référence à un groupe spécifique (personnes défavorisées ou groupes sociaux moins avantagés), car une telle démarche pourrait limiter la possibilité d’offrir à chacun un logement social et abordable.»</w:t>
      </w:r>
    </w:p>
    <w:p w14:paraId="3838B791" w14:textId="7D06CA63" w:rsidR="00812CBD" w:rsidRPr="00517C9E" w:rsidRDefault="00812CBD" w:rsidP="00812CBD">
      <w:pPr>
        <w:rPr>
          <w:rFonts w:ascii="Verdana" w:hAnsi="Verdana"/>
          <w:sz w:val="18"/>
        </w:rPr>
      </w:pPr>
      <w:r>
        <w:rPr>
          <w:rFonts w:ascii="Verdana" w:hAnsi="Verdana"/>
          <w:b/>
          <w:sz w:val="18"/>
        </w:rPr>
        <w:lastRenderedPageBreak/>
        <w:t>Estrella </w:t>
      </w:r>
      <w:proofErr w:type="spellStart"/>
      <w:r>
        <w:rPr>
          <w:rFonts w:ascii="Verdana" w:hAnsi="Verdana"/>
          <w:b/>
          <w:sz w:val="18"/>
        </w:rPr>
        <w:t>Durá</w:t>
      </w:r>
      <w:proofErr w:type="spellEnd"/>
      <w:r>
        <w:rPr>
          <w:rFonts w:ascii="Verdana" w:hAnsi="Verdana"/>
          <w:b/>
          <w:sz w:val="18"/>
        </w:rPr>
        <w:t> </w:t>
      </w:r>
      <w:proofErr w:type="spellStart"/>
      <w:r>
        <w:rPr>
          <w:rFonts w:ascii="Verdana" w:hAnsi="Verdana"/>
          <w:b/>
          <w:sz w:val="18"/>
        </w:rPr>
        <w:t>Ferrandis</w:t>
      </w:r>
      <w:proofErr w:type="spellEnd"/>
      <w:r>
        <w:rPr>
          <w:rFonts w:ascii="Verdana" w:hAnsi="Verdana"/>
          <w:sz w:val="18"/>
        </w:rPr>
        <w:t>, députée au Parlement européen, membre du groupe de l’Alliance progressiste des socialistes et démocrates</w:t>
      </w:r>
    </w:p>
    <w:p w14:paraId="27AAF9AB" w14:textId="57069563" w:rsidR="00A17743" w:rsidRPr="00517C9E" w:rsidRDefault="00A17743" w:rsidP="00A17743">
      <w:pPr>
        <w:rPr>
          <w:rFonts w:ascii="Verdana" w:hAnsi="Verdana"/>
          <w:sz w:val="18"/>
        </w:rPr>
      </w:pPr>
    </w:p>
    <w:p w14:paraId="5FA18811" w14:textId="117AB581" w:rsidR="00443FEE" w:rsidRPr="009926B0" w:rsidRDefault="00ED7FD2" w:rsidP="00443FEE">
      <w:pPr>
        <w:rPr>
          <w:rFonts w:ascii="Verdana" w:hAnsi="Verdana"/>
          <w:sz w:val="18"/>
        </w:rPr>
      </w:pPr>
      <w:r>
        <w:rPr>
          <w:rFonts w:ascii="Verdana" w:hAnsi="Verdana"/>
          <w:sz w:val="18"/>
        </w:rPr>
        <w:t>«Le droit au logement est un droit fondamental. Garantir l’accès à un logement décent à un prix abordable est le meilleur moyen d’éviter une augmentation du sans-abrisme et de l’exclusion en matière de logement. La crise du logement abordable est une réalité européenne qui transcende les frontières nationales et affecte la cohésion économique et sociale de l’Union européenne.»</w:t>
      </w:r>
    </w:p>
    <w:p w14:paraId="568A80E1" w14:textId="231ECDC1" w:rsidR="00D60065" w:rsidRPr="00517C9E" w:rsidRDefault="00D60065" w:rsidP="00A17743">
      <w:pPr>
        <w:rPr>
          <w:rFonts w:ascii="Verdana" w:hAnsi="Verdana"/>
          <w:sz w:val="18"/>
        </w:rPr>
      </w:pPr>
      <w:r>
        <w:rPr>
          <w:rFonts w:ascii="Verdana" w:hAnsi="Verdana"/>
          <w:b/>
          <w:sz w:val="18"/>
        </w:rPr>
        <w:t>Christophe Collignon</w:t>
      </w:r>
      <w:r>
        <w:rPr>
          <w:rFonts w:ascii="Verdana" w:hAnsi="Verdana"/>
          <w:sz w:val="18"/>
        </w:rPr>
        <w:t>, ministre wallon du logement, des pouvoirs locaux et de la ville</w:t>
      </w:r>
    </w:p>
    <w:p w14:paraId="6233C99B" w14:textId="77777777" w:rsidR="00A17743" w:rsidRPr="00517C9E" w:rsidRDefault="00A17743" w:rsidP="001F660F">
      <w:pPr>
        <w:rPr>
          <w:rFonts w:ascii="Verdana" w:hAnsi="Verdana"/>
          <w:sz w:val="18"/>
        </w:rPr>
      </w:pPr>
    </w:p>
    <w:p w14:paraId="6CDC6280" w14:textId="5A738D97" w:rsidR="00E0132B" w:rsidRPr="00517C9E" w:rsidRDefault="006B2091" w:rsidP="00992A5E">
      <w:pPr>
        <w:rPr>
          <w:rFonts w:ascii="Verdana" w:hAnsi="Verdana"/>
          <w:sz w:val="18"/>
        </w:rPr>
      </w:pPr>
      <w:r>
        <w:rPr>
          <w:rFonts w:ascii="Verdana" w:hAnsi="Verdana"/>
          <w:sz w:val="18"/>
        </w:rPr>
        <w:t>«La question du logement est une préoccupation centrale du Comité économique et social européen. Nous n’avons eu de cesse de souligner que l’accès à un logement abordable et de qualité est un besoin fondamental des citoyens européens. Il constitue en outre un facteur essentiel pour atteindre un certain nombre d’objectifs de politique économique, environnementale et sociale et promouvoir l’égalité des chances, l’inclusion sociale et la mobilité.»</w:t>
      </w:r>
    </w:p>
    <w:p w14:paraId="16B6DE15" w14:textId="7BC76F53" w:rsidR="00992A5E" w:rsidRPr="00517C9E" w:rsidRDefault="00992A5E" w:rsidP="001F660F">
      <w:pPr>
        <w:rPr>
          <w:rFonts w:ascii="Verdana" w:hAnsi="Verdana"/>
          <w:sz w:val="18"/>
        </w:rPr>
      </w:pPr>
      <w:r>
        <w:rPr>
          <w:rFonts w:ascii="Verdana" w:hAnsi="Verdana"/>
          <w:b/>
          <w:sz w:val="18"/>
        </w:rPr>
        <w:t>Baiba Miltoviča</w:t>
      </w:r>
      <w:r>
        <w:rPr>
          <w:rFonts w:ascii="Verdana" w:hAnsi="Verdana"/>
          <w:sz w:val="18"/>
        </w:rPr>
        <w:t>, présidente de la section «Transports, énergie, infrastructures et société de l’information» du CESE</w:t>
      </w:r>
    </w:p>
    <w:p w14:paraId="0E9100E9" w14:textId="75E2B453" w:rsidR="0044529A" w:rsidRPr="00517C9E" w:rsidRDefault="0044529A" w:rsidP="00177BD4">
      <w:pPr>
        <w:rPr>
          <w:rFonts w:ascii="Verdana" w:hAnsi="Verdana"/>
          <w:sz w:val="18"/>
        </w:rPr>
      </w:pPr>
    </w:p>
    <w:p w14:paraId="579301EB" w14:textId="77777777" w:rsidR="0082746B" w:rsidRDefault="0082746B" w:rsidP="00177BD4">
      <w:pPr>
        <w:rPr>
          <w:rFonts w:ascii="Verdana" w:hAnsi="Verdana"/>
          <w:sz w:val="18"/>
        </w:rPr>
      </w:pPr>
    </w:p>
    <w:p w14:paraId="5A957941" w14:textId="77777777" w:rsidR="00B9523E" w:rsidRPr="00517C9E" w:rsidRDefault="00B9523E" w:rsidP="00177BD4">
      <w:pPr>
        <w:rPr>
          <w:rFonts w:ascii="Verdana" w:hAnsi="Verdana"/>
          <w:sz w:val="18"/>
        </w:rPr>
      </w:pPr>
    </w:p>
    <w:p w14:paraId="4255D68F" w14:textId="77777777" w:rsidR="005C43A1" w:rsidRPr="00517C9E" w:rsidRDefault="005C43A1" w:rsidP="00795B49">
      <w:pPr>
        <w:rPr>
          <w:rFonts w:ascii="Verdana" w:hAnsi="Verdana"/>
          <w:bCs/>
          <w:sz w:val="18"/>
          <w:szCs w:val="18"/>
        </w:rPr>
      </w:pPr>
    </w:p>
    <w:p w14:paraId="721508B5" w14:textId="77777777" w:rsidR="00BD7293" w:rsidRPr="00517C9E" w:rsidRDefault="00BD7293" w:rsidP="00BD7293">
      <w:pPr>
        <w:jc w:val="center"/>
        <w:rPr>
          <w:rFonts w:ascii="Verdana" w:hAnsi="Verdana"/>
          <w:sz w:val="18"/>
          <w:szCs w:val="18"/>
        </w:rPr>
      </w:pPr>
      <w:r>
        <w:rPr>
          <w:rFonts w:ascii="Verdana" w:hAnsi="Verdana"/>
          <w:b/>
          <w:sz w:val="18"/>
        </w:rPr>
        <w:t>Pour de plus amples informations, veuillez prendre contact avec le:</w:t>
      </w:r>
    </w:p>
    <w:p w14:paraId="2BFC0303" w14:textId="77777777" w:rsidR="00BD7293" w:rsidRPr="00517C9E" w:rsidRDefault="00BD7293" w:rsidP="00BD7293">
      <w:pPr>
        <w:pStyle w:val="Heading1"/>
        <w:numPr>
          <w:ilvl w:val="0"/>
          <w:numId w:val="0"/>
        </w:numPr>
        <w:ind w:left="360"/>
        <w:jc w:val="center"/>
        <w:rPr>
          <w:rFonts w:ascii="Verdana" w:hAnsi="Verdana"/>
          <w:sz w:val="18"/>
          <w:szCs w:val="18"/>
        </w:rPr>
      </w:pPr>
      <w:r>
        <w:rPr>
          <w:rFonts w:ascii="Verdana" w:hAnsi="Verdana"/>
          <w:sz w:val="18"/>
        </w:rPr>
        <w:t>Service de presse du CESE — Marco Pezzani</w:t>
      </w:r>
      <w:r>
        <w:rPr>
          <w:rFonts w:ascii="Verdana" w:hAnsi="Verdana"/>
          <w:sz w:val="18"/>
        </w:rPr>
        <w:br/>
        <w:t>+32 (0)2 546 97 93 · Mobile +32 (0)470 881 903</w:t>
      </w:r>
    </w:p>
    <w:p w14:paraId="7E0C5C48" w14:textId="77777777" w:rsidR="00BD7293" w:rsidRPr="00517C9E" w:rsidRDefault="00B246B4" w:rsidP="00BD7293">
      <w:pPr>
        <w:jc w:val="center"/>
        <w:rPr>
          <w:rFonts w:ascii="Verdana" w:hAnsi="Verdana"/>
          <w:sz w:val="18"/>
          <w:szCs w:val="18"/>
        </w:rPr>
      </w:pPr>
      <w:hyperlink r:id="rId15" w:history="1">
        <w:r w:rsidR="006E07B9">
          <w:rPr>
            <w:rStyle w:val="Hyperlink"/>
            <w:rFonts w:ascii="Verdana" w:hAnsi="Verdana"/>
            <w:sz w:val="18"/>
          </w:rPr>
          <w:t>marco.pezzani@eesc.europa.eu</w:t>
        </w:r>
      </w:hyperlink>
    </w:p>
    <w:p w14:paraId="3B3D4053" w14:textId="4D9A942B" w:rsidR="00BD7293" w:rsidRPr="00517C9E" w:rsidRDefault="00BD7293" w:rsidP="00BD7293">
      <w:pPr>
        <w:pStyle w:val="Heading1"/>
        <w:numPr>
          <w:ilvl w:val="0"/>
          <w:numId w:val="0"/>
        </w:numPr>
        <w:jc w:val="center"/>
        <w:rPr>
          <w:rFonts w:ascii="Verdana" w:hAnsi="Verdana"/>
          <w:b/>
          <w:bCs/>
          <w:sz w:val="18"/>
          <w:szCs w:val="18"/>
        </w:rPr>
      </w:pPr>
      <w:r>
        <w:rPr>
          <w:rFonts w:ascii="Verdana" w:hAnsi="Verdana"/>
          <w:b/>
          <w:sz w:val="18"/>
        </w:rPr>
        <w:t>@EESC_PRESS</w:t>
      </w:r>
    </w:p>
    <w:p w14:paraId="2D86040E" w14:textId="77777777" w:rsidR="004177F4" w:rsidRPr="00517C9E" w:rsidRDefault="004177F4" w:rsidP="004177F4">
      <w:pPr>
        <w:rPr>
          <w:rFonts w:ascii="Verdana" w:hAnsi="Verdana"/>
          <w:sz w:val="18"/>
        </w:rPr>
      </w:pPr>
    </w:p>
    <w:p w14:paraId="2F3F2A91" w14:textId="77777777" w:rsidR="00F83179" w:rsidRPr="00517C9E" w:rsidRDefault="00F83179" w:rsidP="00CE439D">
      <w:pPr>
        <w:rPr>
          <w:rFonts w:ascii="Verdana" w:hAnsi="Verdana"/>
          <w:b/>
          <w:bCs/>
          <w:i/>
          <w:sz w:val="16"/>
          <w:szCs w:val="16"/>
        </w:rPr>
      </w:pPr>
      <w:r>
        <w:rPr>
          <w:rFonts w:ascii="Verdana" w:hAnsi="Verdana"/>
          <w:i/>
          <w:sz w:val="16"/>
        </w:rPr>
        <w:t>__</w:t>
      </w:r>
      <w:r>
        <w:rPr>
          <w:rFonts w:ascii="Verdana" w:hAnsi="Verdana"/>
          <w:b/>
          <w:i/>
          <w:sz w:val="16"/>
        </w:rPr>
        <w:t>_____________________________________________________________________________</w:t>
      </w:r>
    </w:p>
    <w:p w14:paraId="2550D65E" w14:textId="77777777" w:rsidR="00F83179" w:rsidRPr="00517C9E" w:rsidRDefault="00F83179" w:rsidP="00CE439D">
      <w:pPr>
        <w:rPr>
          <w:rFonts w:ascii="Verdana" w:hAnsi="Verdana"/>
          <w:i/>
          <w:sz w:val="16"/>
          <w:szCs w:val="16"/>
        </w:rPr>
      </w:pPr>
      <w:r>
        <w:rPr>
          <w:rFonts w:ascii="Verdana" w:hAnsi="Verdana"/>
          <w:i/>
          <w:sz w:val="16"/>
        </w:rPr>
        <w:t>Le Comité économique et social européen assure la représentation des différentes composantes à caractère économique et social de la société civile organisée. Il constitue un organe institutionnel consultatif, établi en 1957 par le traité de Rome. Sa mission de consultation permet à ses membres, et donc aux organisations qu’ils représentent, de participer au processus décisionnel de l’Union européenne.</w:t>
      </w:r>
    </w:p>
    <w:p w14:paraId="293C97E3" w14:textId="77777777" w:rsidR="00F83179" w:rsidRPr="00517C9E" w:rsidRDefault="00F83179" w:rsidP="00AB5D9C">
      <w:pPr>
        <w:rPr>
          <w:rFonts w:ascii="Verdana" w:hAnsi="Verdana"/>
          <w:sz w:val="18"/>
        </w:rPr>
      </w:pPr>
      <w:r>
        <w:rPr>
          <w:rFonts w:ascii="Verdana" w:hAnsi="Verdana"/>
          <w:i/>
          <w:sz w:val="16"/>
        </w:rPr>
        <w:t>__</w:t>
      </w:r>
      <w:r>
        <w:rPr>
          <w:rFonts w:ascii="Verdana" w:hAnsi="Verdana"/>
          <w:b/>
          <w:i/>
          <w:sz w:val="16"/>
        </w:rPr>
        <w:t>_____________________________________________________________________________</w:t>
      </w:r>
    </w:p>
    <w:sectPr w:rsidR="00F83179" w:rsidRPr="00517C9E" w:rsidSect="00A70691">
      <w:type w:val="continuous"/>
      <w:pgSz w:w="11907" w:h="16839" w:code="9"/>
      <w:pgMar w:top="425" w:right="1418" w:bottom="1418" w:left="1418" w:header="3062" w:footer="1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1E09D" w14:textId="77777777" w:rsidR="0009232E" w:rsidRDefault="0009232E">
      <w:r>
        <w:separator/>
      </w:r>
    </w:p>
  </w:endnote>
  <w:endnote w:type="continuationSeparator" w:id="0">
    <w:p w14:paraId="24373ACA" w14:textId="77777777" w:rsidR="0009232E" w:rsidRDefault="0009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okChampa">
    <w:altName w:val="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8EF4" w14:textId="77777777" w:rsidR="00F83179" w:rsidRPr="0004715C" w:rsidRDefault="00F83179" w:rsidP="0004715C">
    <w:pPr>
      <w:spacing w:line="240" w:lineRule="auto"/>
      <w:jc w:val="center"/>
      <w:rPr>
        <w:rFonts w:ascii="Verdana" w:hAnsi="Verdana"/>
        <w:sz w:val="16"/>
        <w:szCs w:val="16"/>
      </w:rPr>
    </w:pPr>
    <w:r>
      <w:rPr>
        <w:rFonts w:ascii="Verdana" w:hAnsi="Verdana"/>
        <w:sz w:val="16"/>
      </w:rPr>
      <w:t>Rue Belliard 99 — 1040 Bruxelles — BELGIQUE</w:t>
    </w:r>
  </w:p>
  <w:p w14:paraId="7818F7A3" w14:textId="77777777" w:rsidR="00F83179" w:rsidRPr="0004715C" w:rsidRDefault="00F83179" w:rsidP="0004715C">
    <w:pPr>
      <w:spacing w:line="240" w:lineRule="auto"/>
      <w:jc w:val="center"/>
      <w:rPr>
        <w:rFonts w:ascii="Verdana" w:hAnsi="Verdana"/>
        <w:sz w:val="16"/>
        <w:szCs w:val="16"/>
      </w:rPr>
    </w:pPr>
    <w:r>
      <w:rPr>
        <w:rFonts w:ascii="Verdana" w:hAnsi="Verdana"/>
        <w:sz w:val="16"/>
      </w:rPr>
      <w:t>Tél. +32 25469406 — Fax: +32 25469764</w:t>
    </w:r>
  </w:p>
  <w:p w14:paraId="70E10F9D" w14:textId="77777777" w:rsidR="00F83179" w:rsidRDefault="00F83179" w:rsidP="0004715C">
    <w:pPr>
      <w:spacing w:line="240" w:lineRule="auto"/>
      <w:jc w:val="center"/>
      <w:rPr>
        <w:rFonts w:ascii="Verdana" w:hAnsi="Verdana"/>
        <w:sz w:val="16"/>
        <w:szCs w:val="16"/>
      </w:rPr>
    </w:pPr>
    <w:r>
      <w:rPr>
        <w:rFonts w:ascii="Verdana" w:hAnsi="Verdana"/>
        <w:sz w:val="16"/>
      </w:rPr>
      <w:t xml:space="preserve">Courrier électronique: </w:t>
    </w:r>
    <w:hyperlink r:id="rId1" w:history="1">
      <w:r>
        <w:rPr>
          <w:rStyle w:val="Hyperlink"/>
          <w:rFonts w:ascii="Verdana" w:hAnsi="Verdana"/>
          <w:sz w:val="16"/>
        </w:rPr>
        <w:t>press@eesc.europa.eu</w:t>
      </w:r>
    </w:hyperlink>
    <w:r>
      <w:rPr>
        <w:rFonts w:ascii="Verdana" w:hAnsi="Verdana"/>
        <w:sz w:val="16"/>
      </w:rPr>
      <w:t xml:space="preserve"> — Internet: </w:t>
    </w:r>
    <w:hyperlink r:id="rId2" w:history="1">
      <w:r>
        <w:rPr>
          <w:rStyle w:val="Hyperlink"/>
          <w:rFonts w:ascii="Verdana" w:hAnsi="Verdana"/>
          <w:sz w:val="16"/>
        </w:rPr>
        <w:t>www.eesc.europa.eu</w:t>
      </w:r>
    </w:hyperlink>
  </w:p>
  <w:p w14:paraId="0520ED5B" w14:textId="77777777" w:rsidR="00F83179" w:rsidRPr="0004715C" w:rsidRDefault="00046C01" w:rsidP="00F61167">
    <w:pPr>
      <w:spacing w:line="240" w:lineRule="auto"/>
      <w:jc w:val="center"/>
      <w:rPr>
        <w:rFonts w:ascii="Verdana" w:hAnsi="Verdana"/>
        <w:sz w:val="16"/>
        <w:szCs w:val="16"/>
      </w:rPr>
    </w:pPr>
    <w:r>
      <w:rPr>
        <w:rFonts w:ascii="Verdana" w:hAnsi="Verdana"/>
        <w:sz w:val="16"/>
      </w:rPr>
      <w:t xml:space="preserve">Suivez le CESE sur </w:t>
    </w:r>
    <w:r>
      <w:rPr>
        <w:noProof/>
      </w:rPr>
      <w:drawing>
        <wp:inline distT="0" distB="0" distL="0" distR="0" wp14:anchorId="06994DCF" wp14:editId="424AC23D">
          <wp:extent cx="323850" cy="323850"/>
          <wp:effectExtent l="0" t="0" r="0" b="0"/>
          <wp:docPr id="8" name="Graphic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a:hlinkClick r:id="rId3"/>
                  </pic:cNvPr>
                  <pic:cNvPicPr/>
                </pic:nvPicPr>
                <pic:blipFill>
                  <a:blip r:embed="rId4">
                    <a:extLst>
                      <a:ext uri="{96DAC541-7B7A-43D3-8B79-37D633B846F1}">
                        <asvg:svgBlip xmlns:asvg="http://schemas.microsoft.com/office/drawing/2016/SVG/main" r:embed="rId5"/>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490A65EF" wp14:editId="2EF54CD4">
          <wp:extent cx="323850" cy="323850"/>
          <wp:effectExtent l="0" t="0" r="0" b="0"/>
          <wp:docPr id="7" name="Graphic 7">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a:hlinkClick r:id="rId6"/>
                  </pic:cNvPr>
                  <pic:cNvPicPr/>
                </pic:nvPicPr>
                <pic:blipFill>
                  <a:blip r:embed="rId7">
                    <a:extLst>
                      <a:ext uri="{96DAC541-7B7A-43D3-8B79-37D633B846F1}">
                        <asvg:svgBlip xmlns:asvg="http://schemas.microsoft.com/office/drawing/2016/SVG/main" r:embed="rId8"/>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1391340A" wp14:editId="44862100">
          <wp:extent cx="323850" cy="323850"/>
          <wp:effectExtent l="0" t="0" r="0" b="0"/>
          <wp:docPr id="3" name="Graphic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a:hlinkClick r:id="rId9"/>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68ACCDC5" wp14:editId="485EF76D">
          <wp:extent cx="323850" cy="323850"/>
          <wp:effectExtent l="0" t="0" r="0" b="0"/>
          <wp:docPr id="2" name="Graphic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hlinkClick r:id="rId12"/>
                  </pic:cNvPr>
                  <pic:cNvPicPr/>
                </pic:nvPicPr>
                <pic:blipFill>
                  <a:blip r:embed="rId13">
                    <a:extLst>
                      <a:ext uri="{96DAC541-7B7A-43D3-8B79-37D633B846F1}">
                        <asvg:svgBlip xmlns:asvg="http://schemas.microsoft.com/office/drawing/2016/SVG/main" r:embed="rId14"/>
                      </a:ext>
                    </a:extLst>
                  </a:blip>
                  <a:stretch>
                    <a:fillRect/>
                  </a:stretch>
                </pic:blipFill>
                <pic:spPr>
                  <a:xfrm>
                    <a:off x="0" y="0"/>
                    <a:ext cx="323850" cy="323850"/>
                  </a:xfrm>
                  <a:prstGeom prst="rect">
                    <a:avLst/>
                  </a:prstGeom>
                </pic:spPr>
              </pic:pic>
            </a:graphicData>
          </a:graphic>
        </wp:inline>
      </w:drawing>
    </w:r>
    <w:r>
      <w:rPr>
        <w:noProof/>
      </w:rPr>
      <w:drawing>
        <wp:inline distT="0" distB="0" distL="0" distR="0" wp14:anchorId="7E46E9E9" wp14:editId="01887D45">
          <wp:extent cx="323850" cy="323850"/>
          <wp:effectExtent l="0" t="0" r="0" b="0"/>
          <wp:docPr id="1" name="Graphic 1" descr="https://www.facebook.com/EuropeanEconomicAndSocialCommittee&#1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https://www.facebook.com/EuropeanEconomicAndSocialCommittee&#10;">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323850" cy="3238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55FC7" w14:textId="77777777" w:rsidR="0009232E" w:rsidRDefault="0009232E">
      <w:r>
        <w:separator/>
      </w:r>
    </w:p>
  </w:footnote>
  <w:footnote w:type="continuationSeparator" w:id="0">
    <w:p w14:paraId="1C0C4CDC" w14:textId="77777777" w:rsidR="0009232E" w:rsidRDefault="00092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rPr>
        <w:rFonts w:cs="Times New Roman"/>
      </w:rPr>
    </w:lvl>
    <w:lvl w:ilvl="1">
      <w:start w:val="1"/>
      <w:numFmt w:val="decimal"/>
      <w:pStyle w:val="Heading2"/>
      <w:lvlText w:val="%1.%2"/>
      <w:legacy w:legacy="1" w:legacySpace="144" w:legacyIndent="0"/>
      <w:lvlJc w:val="left"/>
      <w:rPr>
        <w:rFonts w:cs="Times New Roman"/>
      </w:rPr>
    </w:lvl>
    <w:lvl w:ilvl="2">
      <w:start w:val="1"/>
      <w:numFmt w:val="decimal"/>
      <w:pStyle w:val="Heading3"/>
      <w:lvlText w:val="%1.%2.%3"/>
      <w:legacy w:legacy="1" w:legacySpace="144" w:legacyIndent="0"/>
      <w:lvlJc w:val="left"/>
      <w:rPr>
        <w:rFonts w:cs="Times New Roman"/>
      </w:rPr>
    </w:lvl>
    <w:lvl w:ilvl="3">
      <w:start w:val="1"/>
      <w:numFmt w:val="decimal"/>
      <w:pStyle w:val="Heading4"/>
      <w:lvlText w:val="%1.%2.%3.%4"/>
      <w:legacy w:legacy="1" w:legacySpace="144"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37725C48"/>
    <w:multiLevelType w:val="hybridMultilevel"/>
    <w:tmpl w:val="FF60C2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AED7306"/>
    <w:multiLevelType w:val="hybridMultilevel"/>
    <w:tmpl w:val="DCBA53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6F5"/>
    <w:rsid w:val="00000BF5"/>
    <w:rsid w:val="00006664"/>
    <w:rsid w:val="00023F9C"/>
    <w:rsid w:val="000440D3"/>
    <w:rsid w:val="00044548"/>
    <w:rsid w:val="00045128"/>
    <w:rsid w:val="00046C01"/>
    <w:rsid w:val="00046C51"/>
    <w:rsid w:val="0004715C"/>
    <w:rsid w:val="00067F21"/>
    <w:rsid w:val="00071F79"/>
    <w:rsid w:val="00090438"/>
    <w:rsid w:val="0009232E"/>
    <w:rsid w:val="00094485"/>
    <w:rsid w:val="000B4610"/>
    <w:rsid w:val="000D145C"/>
    <w:rsid w:val="000F2AD2"/>
    <w:rsid w:val="00100731"/>
    <w:rsid w:val="00101E94"/>
    <w:rsid w:val="001020BC"/>
    <w:rsid w:val="00104DFA"/>
    <w:rsid w:val="00105E49"/>
    <w:rsid w:val="00112EAE"/>
    <w:rsid w:val="00115153"/>
    <w:rsid w:val="00123470"/>
    <w:rsid w:val="001262E8"/>
    <w:rsid w:val="00132486"/>
    <w:rsid w:val="00132CB8"/>
    <w:rsid w:val="00142677"/>
    <w:rsid w:val="001457C2"/>
    <w:rsid w:val="0015150A"/>
    <w:rsid w:val="001527B2"/>
    <w:rsid w:val="001543F2"/>
    <w:rsid w:val="00155ED8"/>
    <w:rsid w:val="0016203B"/>
    <w:rsid w:val="001739C0"/>
    <w:rsid w:val="00177BD4"/>
    <w:rsid w:val="00181B91"/>
    <w:rsid w:val="0018613F"/>
    <w:rsid w:val="00186ABF"/>
    <w:rsid w:val="00190E01"/>
    <w:rsid w:val="001C5BD4"/>
    <w:rsid w:val="001C5F46"/>
    <w:rsid w:val="001D73C0"/>
    <w:rsid w:val="001E2D5A"/>
    <w:rsid w:val="001F4F1D"/>
    <w:rsid w:val="001F660F"/>
    <w:rsid w:val="00202C14"/>
    <w:rsid w:val="0021466B"/>
    <w:rsid w:val="002150A2"/>
    <w:rsid w:val="00220030"/>
    <w:rsid w:val="00227A31"/>
    <w:rsid w:val="00240A95"/>
    <w:rsid w:val="0026528E"/>
    <w:rsid w:val="00265973"/>
    <w:rsid w:val="002734F3"/>
    <w:rsid w:val="00275154"/>
    <w:rsid w:val="002A2267"/>
    <w:rsid w:val="002A51B9"/>
    <w:rsid w:val="002B4379"/>
    <w:rsid w:val="002C07C7"/>
    <w:rsid w:val="002C2316"/>
    <w:rsid w:val="002D0CCC"/>
    <w:rsid w:val="002D19F0"/>
    <w:rsid w:val="002D4DF1"/>
    <w:rsid w:val="002D5709"/>
    <w:rsid w:val="002D5F24"/>
    <w:rsid w:val="002E5A1B"/>
    <w:rsid w:val="002F1A65"/>
    <w:rsid w:val="002F1B62"/>
    <w:rsid w:val="002F55CB"/>
    <w:rsid w:val="002F79A3"/>
    <w:rsid w:val="00321382"/>
    <w:rsid w:val="00337F0A"/>
    <w:rsid w:val="00347036"/>
    <w:rsid w:val="003759BE"/>
    <w:rsid w:val="00380820"/>
    <w:rsid w:val="00384F7A"/>
    <w:rsid w:val="0038577F"/>
    <w:rsid w:val="003872F9"/>
    <w:rsid w:val="00394D81"/>
    <w:rsid w:val="003959F5"/>
    <w:rsid w:val="003A1300"/>
    <w:rsid w:val="003A21DF"/>
    <w:rsid w:val="003A77E7"/>
    <w:rsid w:val="003B714A"/>
    <w:rsid w:val="003C1F6B"/>
    <w:rsid w:val="003C2229"/>
    <w:rsid w:val="003C60BB"/>
    <w:rsid w:val="003D5773"/>
    <w:rsid w:val="003E76A5"/>
    <w:rsid w:val="00405574"/>
    <w:rsid w:val="00411E56"/>
    <w:rsid w:val="004138F2"/>
    <w:rsid w:val="00414734"/>
    <w:rsid w:val="00415456"/>
    <w:rsid w:val="004177F4"/>
    <w:rsid w:val="00421BC5"/>
    <w:rsid w:val="0042470A"/>
    <w:rsid w:val="00424928"/>
    <w:rsid w:val="00442BCC"/>
    <w:rsid w:val="00443FEE"/>
    <w:rsid w:val="0044529A"/>
    <w:rsid w:val="00452C55"/>
    <w:rsid w:val="004605FD"/>
    <w:rsid w:val="00474606"/>
    <w:rsid w:val="0047608F"/>
    <w:rsid w:val="00486D46"/>
    <w:rsid w:val="004873DA"/>
    <w:rsid w:val="00494BBC"/>
    <w:rsid w:val="004A06BC"/>
    <w:rsid w:val="004C0408"/>
    <w:rsid w:val="004C6597"/>
    <w:rsid w:val="004D6672"/>
    <w:rsid w:val="004E422F"/>
    <w:rsid w:val="004F4C5B"/>
    <w:rsid w:val="005022D4"/>
    <w:rsid w:val="00512080"/>
    <w:rsid w:val="00517C9E"/>
    <w:rsid w:val="00520507"/>
    <w:rsid w:val="005244B3"/>
    <w:rsid w:val="005270ED"/>
    <w:rsid w:val="00527D5E"/>
    <w:rsid w:val="00531975"/>
    <w:rsid w:val="005520A7"/>
    <w:rsid w:val="00552EA9"/>
    <w:rsid w:val="005549A1"/>
    <w:rsid w:val="00556CD0"/>
    <w:rsid w:val="00560900"/>
    <w:rsid w:val="00566D83"/>
    <w:rsid w:val="0056705F"/>
    <w:rsid w:val="0057111D"/>
    <w:rsid w:val="005730BB"/>
    <w:rsid w:val="00574D18"/>
    <w:rsid w:val="00582C7E"/>
    <w:rsid w:val="0058450C"/>
    <w:rsid w:val="005847E5"/>
    <w:rsid w:val="005A0E46"/>
    <w:rsid w:val="005A186C"/>
    <w:rsid w:val="005A1ABE"/>
    <w:rsid w:val="005B3342"/>
    <w:rsid w:val="005C07A3"/>
    <w:rsid w:val="005C08F4"/>
    <w:rsid w:val="005C2258"/>
    <w:rsid w:val="005C43A1"/>
    <w:rsid w:val="005C46DB"/>
    <w:rsid w:val="005C6D97"/>
    <w:rsid w:val="005D3D97"/>
    <w:rsid w:val="005D4A5F"/>
    <w:rsid w:val="005E2455"/>
    <w:rsid w:val="005F09F9"/>
    <w:rsid w:val="005F5E52"/>
    <w:rsid w:val="005F7092"/>
    <w:rsid w:val="00612B3A"/>
    <w:rsid w:val="00624950"/>
    <w:rsid w:val="00626C38"/>
    <w:rsid w:val="006302FC"/>
    <w:rsid w:val="00630A15"/>
    <w:rsid w:val="0063783D"/>
    <w:rsid w:val="00640DDB"/>
    <w:rsid w:val="00640E00"/>
    <w:rsid w:val="0064141E"/>
    <w:rsid w:val="0064298E"/>
    <w:rsid w:val="00642F54"/>
    <w:rsid w:val="00662EE3"/>
    <w:rsid w:val="006679C1"/>
    <w:rsid w:val="0067024F"/>
    <w:rsid w:val="006743C8"/>
    <w:rsid w:val="00677E9B"/>
    <w:rsid w:val="00686EC2"/>
    <w:rsid w:val="006A0D60"/>
    <w:rsid w:val="006A61DA"/>
    <w:rsid w:val="006A744F"/>
    <w:rsid w:val="006B2091"/>
    <w:rsid w:val="006B3979"/>
    <w:rsid w:val="006B4D96"/>
    <w:rsid w:val="006B4DBE"/>
    <w:rsid w:val="006B688E"/>
    <w:rsid w:val="006D68CD"/>
    <w:rsid w:val="006E01EA"/>
    <w:rsid w:val="006E07B9"/>
    <w:rsid w:val="006E2FE3"/>
    <w:rsid w:val="006E724F"/>
    <w:rsid w:val="006F338B"/>
    <w:rsid w:val="006F774D"/>
    <w:rsid w:val="007010E4"/>
    <w:rsid w:val="00703840"/>
    <w:rsid w:val="00712975"/>
    <w:rsid w:val="00712EA3"/>
    <w:rsid w:val="007223EF"/>
    <w:rsid w:val="007253F3"/>
    <w:rsid w:val="0072607B"/>
    <w:rsid w:val="007313DC"/>
    <w:rsid w:val="007313E0"/>
    <w:rsid w:val="0073691E"/>
    <w:rsid w:val="007378A7"/>
    <w:rsid w:val="00741024"/>
    <w:rsid w:val="0079001F"/>
    <w:rsid w:val="00795B49"/>
    <w:rsid w:val="007A23CA"/>
    <w:rsid w:val="007A5486"/>
    <w:rsid w:val="007B338F"/>
    <w:rsid w:val="007C71FD"/>
    <w:rsid w:val="007D5510"/>
    <w:rsid w:val="007D76CF"/>
    <w:rsid w:val="007E14EC"/>
    <w:rsid w:val="007E7541"/>
    <w:rsid w:val="0080166E"/>
    <w:rsid w:val="00804CF1"/>
    <w:rsid w:val="00807DED"/>
    <w:rsid w:val="00812CBD"/>
    <w:rsid w:val="008133EA"/>
    <w:rsid w:val="008141F8"/>
    <w:rsid w:val="008146D0"/>
    <w:rsid w:val="00816631"/>
    <w:rsid w:val="0082166E"/>
    <w:rsid w:val="00826961"/>
    <w:rsid w:val="0082746B"/>
    <w:rsid w:val="00837B82"/>
    <w:rsid w:val="008412F6"/>
    <w:rsid w:val="00853D56"/>
    <w:rsid w:val="00874A65"/>
    <w:rsid w:val="008820BE"/>
    <w:rsid w:val="0088285D"/>
    <w:rsid w:val="008850E4"/>
    <w:rsid w:val="00896FBF"/>
    <w:rsid w:val="008A055C"/>
    <w:rsid w:val="008A15C7"/>
    <w:rsid w:val="008A69E0"/>
    <w:rsid w:val="008B051E"/>
    <w:rsid w:val="008C573E"/>
    <w:rsid w:val="008E2965"/>
    <w:rsid w:val="008E71E6"/>
    <w:rsid w:val="008F4CA5"/>
    <w:rsid w:val="00904607"/>
    <w:rsid w:val="0091356C"/>
    <w:rsid w:val="0092004D"/>
    <w:rsid w:val="00921A9C"/>
    <w:rsid w:val="00925DA3"/>
    <w:rsid w:val="00932CFF"/>
    <w:rsid w:val="00945B9A"/>
    <w:rsid w:val="00955D3C"/>
    <w:rsid w:val="009572EA"/>
    <w:rsid w:val="009666A2"/>
    <w:rsid w:val="0098368F"/>
    <w:rsid w:val="00990253"/>
    <w:rsid w:val="009926B0"/>
    <w:rsid w:val="00992A5E"/>
    <w:rsid w:val="009A1F99"/>
    <w:rsid w:val="009A4C63"/>
    <w:rsid w:val="009B18B1"/>
    <w:rsid w:val="009B736A"/>
    <w:rsid w:val="009B7EA2"/>
    <w:rsid w:val="009C2FCF"/>
    <w:rsid w:val="009C5B5F"/>
    <w:rsid w:val="009D2494"/>
    <w:rsid w:val="009D2D03"/>
    <w:rsid w:val="009D3245"/>
    <w:rsid w:val="009E41C4"/>
    <w:rsid w:val="009E75B7"/>
    <w:rsid w:val="009F093A"/>
    <w:rsid w:val="009F67C6"/>
    <w:rsid w:val="00A010F0"/>
    <w:rsid w:val="00A1723B"/>
    <w:rsid w:val="00A17743"/>
    <w:rsid w:val="00A3743B"/>
    <w:rsid w:val="00A37B52"/>
    <w:rsid w:val="00A44C45"/>
    <w:rsid w:val="00A53AA2"/>
    <w:rsid w:val="00A70691"/>
    <w:rsid w:val="00A74687"/>
    <w:rsid w:val="00A778B6"/>
    <w:rsid w:val="00A90392"/>
    <w:rsid w:val="00A9418C"/>
    <w:rsid w:val="00A96CE7"/>
    <w:rsid w:val="00AA5AF3"/>
    <w:rsid w:val="00AA61D9"/>
    <w:rsid w:val="00AA68B4"/>
    <w:rsid w:val="00AB5D9C"/>
    <w:rsid w:val="00AC46D3"/>
    <w:rsid w:val="00AF2692"/>
    <w:rsid w:val="00AF458E"/>
    <w:rsid w:val="00B03F22"/>
    <w:rsid w:val="00B15098"/>
    <w:rsid w:val="00B2321D"/>
    <w:rsid w:val="00B239E2"/>
    <w:rsid w:val="00B246B4"/>
    <w:rsid w:val="00B24B28"/>
    <w:rsid w:val="00B26429"/>
    <w:rsid w:val="00B3271E"/>
    <w:rsid w:val="00B345EE"/>
    <w:rsid w:val="00B40FE0"/>
    <w:rsid w:val="00B47DE2"/>
    <w:rsid w:val="00B514E0"/>
    <w:rsid w:val="00B66648"/>
    <w:rsid w:val="00B66DB9"/>
    <w:rsid w:val="00B710AF"/>
    <w:rsid w:val="00B75489"/>
    <w:rsid w:val="00B8166F"/>
    <w:rsid w:val="00B823AD"/>
    <w:rsid w:val="00B87297"/>
    <w:rsid w:val="00B903CC"/>
    <w:rsid w:val="00B92193"/>
    <w:rsid w:val="00B92C5A"/>
    <w:rsid w:val="00B9349D"/>
    <w:rsid w:val="00B9523E"/>
    <w:rsid w:val="00B96D77"/>
    <w:rsid w:val="00BA247D"/>
    <w:rsid w:val="00BA72BC"/>
    <w:rsid w:val="00BB36F5"/>
    <w:rsid w:val="00BB4292"/>
    <w:rsid w:val="00BC0660"/>
    <w:rsid w:val="00BD617C"/>
    <w:rsid w:val="00BD7293"/>
    <w:rsid w:val="00BE3453"/>
    <w:rsid w:val="00BE62DF"/>
    <w:rsid w:val="00BF0E86"/>
    <w:rsid w:val="00BF2441"/>
    <w:rsid w:val="00BF6293"/>
    <w:rsid w:val="00C0652E"/>
    <w:rsid w:val="00C22804"/>
    <w:rsid w:val="00C22A5C"/>
    <w:rsid w:val="00C26FD8"/>
    <w:rsid w:val="00C72503"/>
    <w:rsid w:val="00C72B00"/>
    <w:rsid w:val="00C740E7"/>
    <w:rsid w:val="00C85646"/>
    <w:rsid w:val="00C8634A"/>
    <w:rsid w:val="00C91698"/>
    <w:rsid w:val="00C93E55"/>
    <w:rsid w:val="00C97D1B"/>
    <w:rsid w:val="00CB17D3"/>
    <w:rsid w:val="00CB326F"/>
    <w:rsid w:val="00CB5993"/>
    <w:rsid w:val="00CC276E"/>
    <w:rsid w:val="00CE439D"/>
    <w:rsid w:val="00CE4A15"/>
    <w:rsid w:val="00CE6DB7"/>
    <w:rsid w:val="00CF3901"/>
    <w:rsid w:val="00CF456E"/>
    <w:rsid w:val="00D016BE"/>
    <w:rsid w:val="00D06185"/>
    <w:rsid w:val="00D1029C"/>
    <w:rsid w:val="00D212E0"/>
    <w:rsid w:val="00D32C93"/>
    <w:rsid w:val="00D33655"/>
    <w:rsid w:val="00D41605"/>
    <w:rsid w:val="00D44F8B"/>
    <w:rsid w:val="00D522CE"/>
    <w:rsid w:val="00D56843"/>
    <w:rsid w:val="00D60065"/>
    <w:rsid w:val="00D6369C"/>
    <w:rsid w:val="00D70036"/>
    <w:rsid w:val="00D8197C"/>
    <w:rsid w:val="00D831D3"/>
    <w:rsid w:val="00D9016E"/>
    <w:rsid w:val="00D9379D"/>
    <w:rsid w:val="00D93A09"/>
    <w:rsid w:val="00DA03A2"/>
    <w:rsid w:val="00DA048B"/>
    <w:rsid w:val="00DA7868"/>
    <w:rsid w:val="00DB575B"/>
    <w:rsid w:val="00DB6FF3"/>
    <w:rsid w:val="00DC66B3"/>
    <w:rsid w:val="00DD3BAC"/>
    <w:rsid w:val="00DE0845"/>
    <w:rsid w:val="00DE3436"/>
    <w:rsid w:val="00E0132B"/>
    <w:rsid w:val="00E01BEB"/>
    <w:rsid w:val="00E27081"/>
    <w:rsid w:val="00E47ED9"/>
    <w:rsid w:val="00E71695"/>
    <w:rsid w:val="00E87104"/>
    <w:rsid w:val="00E904CD"/>
    <w:rsid w:val="00E914ED"/>
    <w:rsid w:val="00EA22E5"/>
    <w:rsid w:val="00EC4417"/>
    <w:rsid w:val="00EC55A1"/>
    <w:rsid w:val="00ED08AC"/>
    <w:rsid w:val="00ED1CAC"/>
    <w:rsid w:val="00ED35AF"/>
    <w:rsid w:val="00ED7FD2"/>
    <w:rsid w:val="00EE424A"/>
    <w:rsid w:val="00EE66AF"/>
    <w:rsid w:val="00F135E2"/>
    <w:rsid w:val="00F27CD5"/>
    <w:rsid w:val="00F376C6"/>
    <w:rsid w:val="00F45A6F"/>
    <w:rsid w:val="00F46C77"/>
    <w:rsid w:val="00F51000"/>
    <w:rsid w:val="00F61167"/>
    <w:rsid w:val="00F61A99"/>
    <w:rsid w:val="00F7410C"/>
    <w:rsid w:val="00F76B4C"/>
    <w:rsid w:val="00F83179"/>
    <w:rsid w:val="00F876F3"/>
    <w:rsid w:val="00F90CFF"/>
    <w:rsid w:val="00F92DAC"/>
    <w:rsid w:val="00FA1B78"/>
    <w:rsid w:val="00FB4EA9"/>
    <w:rsid w:val="00FD794D"/>
    <w:rsid w:val="00FE2775"/>
    <w:rsid w:val="00FE4564"/>
    <w:rsid w:val="00FE4D83"/>
    <w:rsid w:val="00FF4788"/>
  </w:rsids>
  <m:mathPr>
    <m:mathFont m:val="Cambria Math"/>
    <m:brkBin m:val="before"/>
    <m:brkBinSub m:val="--"/>
    <m:smallFrac m:val="0"/>
    <m:dispDef/>
    <m:lMargin m:val="0"/>
    <m:rMargin m:val="0"/>
    <m:defJc m:val="centerGroup"/>
    <m:wrapIndent m:val="1440"/>
    <m:intLim m:val="subSup"/>
    <m:naryLim m:val="undOvr"/>
  </m:mathPr>
  <w:themeFontLang w:val="fr-BE"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0CAEBB43"/>
  <w15:docId w15:val="{E1200CD2-0F58-4465-8C7F-6A425784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1167"/>
    <w:pPr>
      <w:overflowPunct w:val="0"/>
      <w:autoSpaceDE w:val="0"/>
      <w:autoSpaceDN w:val="0"/>
      <w:adjustRightInd w:val="0"/>
      <w:spacing w:line="288" w:lineRule="auto"/>
      <w:jc w:val="both"/>
      <w:textAlignment w:val="baseline"/>
    </w:pPr>
    <w:rPr>
      <w:sz w:val="22"/>
      <w:lang w:eastAsia="en-US"/>
    </w:rPr>
  </w:style>
  <w:style w:type="paragraph" w:styleId="Heading1">
    <w:name w:val="heading 1"/>
    <w:basedOn w:val="Normal"/>
    <w:next w:val="Normal"/>
    <w:link w:val="Heading1Char"/>
    <w:uiPriority w:val="9"/>
    <w:qFormat/>
    <w:rsid w:val="00F61167"/>
    <w:pPr>
      <w:numPr>
        <w:numId w:val="1"/>
      </w:numPr>
      <w:ind w:left="720" w:hanging="720"/>
      <w:outlineLvl w:val="0"/>
    </w:pPr>
    <w:rPr>
      <w:kern w:val="28"/>
    </w:rPr>
  </w:style>
  <w:style w:type="paragraph" w:styleId="Heading2">
    <w:name w:val="heading 2"/>
    <w:basedOn w:val="Normal"/>
    <w:next w:val="Normal"/>
    <w:link w:val="Heading2Char"/>
    <w:uiPriority w:val="9"/>
    <w:qFormat/>
    <w:rsid w:val="00F61167"/>
    <w:pPr>
      <w:numPr>
        <w:ilvl w:val="1"/>
        <w:numId w:val="1"/>
      </w:numPr>
      <w:ind w:left="720" w:hanging="720"/>
      <w:outlineLvl w:val="1"/>
    </w:pPr>
  </w:style>
  <w:style w:type="paragraph" w:styleId="Heading3">
    <w:name w:val="heading 3"/>
    <w:basedOn w:val="Normal"/>
    <w:next w:val="Normal"/>
    <w:link w:val="Heading3Char"/>
    <w:uiPriority w:val="9"/>
    <w:qFormat/>
    <w:rsid w:val="00F61167"/>
    <w:pPr>
      <w:numPr>
        <w:ilvl w:val="2"/>
        <w:numId w:val="1"/>
      </w:numPr>
      <w:ind w:left="720" w:hanging="720"/>
      <w:outlineLvl w:val="2"/>
    </w:pPr>
  </w:style>
  <w:style w:type="paragraph" w:styleId="Heading4">
    <w:name w:val="heading 4"/>
    <w:basedOn w:val="Normal"/>
    <w:next w:val="Normal"/>
    <w:link w:val="Heading4Char"/>
    <w:uiPriority w:val="9"/>
    <w:qFormat/>
    <w:rsid w:val="00F61167"/>
    <w:pPr>
      <w:numPr>
        <w:ilvl w:val="3"/>
        <w:numId w:val="1"/>
      </w:numPr>
      <w:ind w:left="720" w:hanging="720"/>
      <w:outlineLvl w:val="3"/>
    </w:pPr>
  </w:style>
  <w:style w:type="paragraph" w:styleId="Heading5">
    <w:name w:val="heading 5"/>
    <w:basedOn w:val="Normal"/>
    <w:next w:val="Normal"/>
    <w:link w:val="Heading5Char"/>
    <w:uiPriority w:val="9"/>
    <w:qFormat/>
    <w:rsid w:val="00F61167"/>
    <w:pPr>
      <w:numPr>
        <w:ilvl w:val="4"/>
        <w:numId w:val="1"/>
      </w:numPr>
      <w:ind w:left="720" w:hanging="720"/>
      <w:outlineLvl w:val="4"/>
    </w:pPr>
  </w:style>
  <w:style w:type="paragraph" w:styleId="Heading6">
    <w:name w:val="heading 6"/>
    <w:basedOn w:val="Normal"/>
    <w:next w:val="Normal"/>
    <w:link w:val="Heading6Char"/>
    <w:uiPriority w:val="9"/>
    <w:qFormat/>
    <w:rsid w:val="00F61167"/>
    <w:pPr>
      <w:numPr>
        <w:ilvl w:val="5"/>
        <w:numId w:val="1"/>
      </w:numPr>
      <w:ind w:left="720" w:hanging="720"/>
      <w:outlineLvl w:val="5"/>
    </w:pPr>
  </w:style>
  <w:style w:type="paragraph" w:styleId="Heading7">
    <w:name w:val="heading 7"/>
    <w:basedOn w:val="Normal"/>
    <w:next w:val="Normal"/>
    <w:link w:val="Heading7Char"/>
    <w:uiPriority w:val="9"/>
    <w:qFormat/>
    <w:rsid w:val="00F61167"/>
    <w:pPr>
      <w:numPr>
        <w:ilvl w:val="6"/>
        <w:numId w:val="1"/>
      </w:numPr>
      <w:ind w:left="720" w:hanging="720"/>
      <w:outlineLvl w:val="6"/>
    </w:pPr>
  </w:style>
  <w:style w:type="paragraph" w:styleId="Heading8">
    <w:name w:val="heading 8"/>
    <w:basedOn w:val="Normal"/>
    <w:next w:val="Normal"/>
    <w:link w:val="Heading8Char"/>
    <w:uiPriority w:val="9"/>
    <w:qFormat/>
    <w:rsid w:val="00F61167"/>
    <w:pPr>
      <w:numPr>
        <w:ilvl w:val="7"/>
        <w:numId w:val="1"/>
      </w:numPr>
      <w:ind w:left="720" w:hanging="720"/>
      <w:outlineLvl w:val="7"/>
    </w:pPr>
  </w:style>
  <w:style w:type="paragraph" w:styleId="Heading9">
    <w:name w:val="heading 9"/>
    <w:basedOn w:val="Normal"/>
    <w:next w:val="Normal"/>
    <w:link w:val="Heading9Char"/>
    <w:uiPriority w:val="9"/>
    <w:qFormat/>
    <w:rsid w:val="00F6116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F9"/>
    <w:rPr>
      <w:rFonts w:asciiTheme="majorHAnsi" w:eastAsiaTheme="majorEastAsia" w:hAnsiTheme="majorHAnsi" w:cstheme="majorBidi"/>
      <w:b/>
      <w:bCs/>
      <w:color w:val="365F91" w:themeColor="accent1" w:themeShade="BF"/>
      <w:sz w:val="28"/>
      <w:szCs w:val="28"/>
      <w:lang w:val="fr-FR" w:eastAsia="en-US"/>
    </w:rPr>
  </w:style>
  <w:style w:type="character" w:customStyle="1" w:styleId="Heading2Char">
    <w:name w:val="Heading 2 Char"/>
    <w:basedOn w:val="DefaultParagraphFont"/>
    <w:link w:val="Heading2"/>
    <w:uiPriority w:val="9"/>
    <w:semiHidden/>
    <w:rsid w:val="001374F9"/>
    <w:rPr>
      <w:rFonts w:asciiTheme="majorHAnsi" w:eastAsiaTheme="majorEastAsia" w:hAnsiTheme="majorHAnsi" w:cstheme="majorBidi"/>
      <w:b/>
      <w:bCs/>
      <w:color w:val="4F81BD" w:themeColor="accent1"/>
      <w:sz w:val="26"/>
      <w:szCs w:val="26"/>
      <w:lang w:val="fr-FR" w:eastAsia="en-US"/>
    </w:rPr>
  </w:style>
  <w:style w:type="character" w:customStyle="1" w:styleId="Heading3Char">
    <w:name w:val="Heading 3 Char"/>
    <w:basedOn w:val="DefaultParagraphFont"/>
    <w:link w:val="Heading3"/>
    <w:uiPriority w:val="9"/>
    <w:semiHidden/>
    <w:rsid w:val="001374F9"/>
    <w:rPr>
      <w:rFonts w:asciiTheme="majorHAnsi" w:eastAsiaTheme="majorEastAsia" w:hAnsiTheme="majorHAnsi" w:cstheme="majorBidi"/>
      <w:b/>
      <w:bCs/>
      <w:color w:val="4F81BD" w:themeColor="accent1"/>
      <w:sz w:val="22"/>
      <w:lang w:val="fr-FR" w:eastAsia="en-US"/>
    </w:rPr>
  </w:style>
  <w:style w:type="character" w:customStyle="1" w:styleId="Heading4Char">
    <w:name w:val="Heading 4 Char"/>
    <w:basedOn w:val="DefaultParagraphFont"/>
    <w:link w:val="Heading4"/>
    <w:uiPriority w:val="9"/>
    <w:semiHidden/>
    <w:rsid w:val="001374F9"/>
    <w:rPr>
      <w:rFonts w:asciiTheme="majorHAnsi" w:eastAsiaTheme="majorEastAsia" w:hAnsiTheme="majorHAnsi" w:cstheme="majorBidi"/>
      <w:b/>
      <w:bCs/>
      <w:i/>
      <w:iCs/>
      <w:color w:val="4F81BD" w:themeColor="accent1"/>
      <w:sz w:val="22"/>
      <w:lang w:val="fr-FR" w:eastAsia="en-US"/>
    </w:rPr>
  </w:style>
  <w:style w:type="character" w:customStyle="1" w:styleId="Heading5Char">
    <w:name w:val="Heading 5 Char"/>
    <w:basedOn w:val="DefaultParagraphFont"/>
    <w:link w:val="Heading5"/>
    <w:uiPriority w:val="9"/>
    <w:semiHidden/>
    <w:rsid w:val="001374F9"/>
    <w:rPr>
      <w:rFonts w:asciiTheme="majorHAnsi" w:eastAsiaTheme="majorEastAsia" w:hAnsiTheme="majorHAnsi" w:cstheme="majorBidi"/>
      <w:color w:val="243F60" w:themeColor="accent1" w:themeShade="7F"/>
      <w:sz w:val="22"/>
      <w:lang w:val="fr-FR" w:eastAsia="en-US"/>
    </w:rPr>
  </w:style>
  <w:style w:type="character" w:customStyle="1" w:styleId="Heading6Char">
    <w:name w:val="Heading 6 Char"/>
    <w:basedOn w:val="DefaultParagraphFont"/>
    <w:link w:val="Heading6"/>
    <w:uiPriority w:val="9"/>
    <w:semiHidden/>
    <w:rsid w:val="001374F9"/>
    <w:rPr>
      <w:rFonts w:asciiTheme="majorHAnsi" w:eastAsiaTheme="majorEastAsia" w:hAnsiTheme="majorHAnsi" w:cstheme="majorBidi"/>
      <w:i/>
      <w:iCs/>
      <w:color w:val="243F60" w:themeColor="accent1" w:themeShade="7F"/>
      <w:sz w:val="22"/>
      <w:lang w:val="fr-FR" w:eastAsia="en-US"/>
    </w:rPr>
  </w:style>
  <w:style w:type="character" w:customStyle="1" w:styleId="Heading7Char">
    <w:name w:val="Heading 7 Char"/>
    <w:basedOn w:val="DefaultParagraphFont"/>
    <w:link w:val="Heading7"/>
    <w:uiPriority w:val="9"/>
    <w:semiHidden/>
    <w:rsid w:val="001374F9"/>
    <w:rPr>
      <w:rFonts w:asciiTheme="majorHAnsi" w:eastAsiaTheme="majorEastAsia" w:hAnsiTheme="majorHAnsi" w:cstheme="majorBidi"/>
      <w:i/>
      <w:iCs/>
      <w:color w:val="404040" w:themeColor="text1" w:themeTint="BF"/>
      <w:sz w:val="22"/>
      <w:lang w:val="fr-FR" w:eastAsia="en-US"/>
    </w:rPr>
  </w:style>
  <w:style w:type="character" w:customStyle="1" w:styleId="Heading8Char">
    <w:name w:val="Heading 8 Char"/>
    <w:basedOn w:val="DefaultParagraphFont"/>
    <w:link w:val="Heading8"/>
    <w:uiPriority w:val="9"/>
    <w:semiHidden/>
    <w:rsid w:val="001374F9"/>
    <w:rPr>
      <w:rFonts w:asciiTheme="majorHAnsi" w:eastAsiaTheme="majorEastAsia" w:hAnsiTheme="majorHAnsi" w:cstheme="majorBidi"/>
      <w:color w:val="404040" w:themeColor="text1" w:themeTint="BF"/>
      <w:lang w:val="fr-FR" w:eastAsia="en-US"/>
    </w:rPr>
  </w:style>
  <w:style w:type="character" w:customStyle="1" w:styleId="Heading9Char">
    <w:name w:val="Heading 9 Char"/>
    <w:basedOn w:val="DefaultParagraphFont"/>
    <w:link w:val="Heading9"/>
    <w:uiPriority w:val="9"/>
    <w:semiHidden/>
    <w:rsid w:val="001374F9"/>
    <w:rPr>
      <w:rFonts w:asciiTheme="majorHAnsi" w:eastAsiaTheme="majorEastAsia" w:hAnsiTheme="majorHAnsi" w:cstheme="majorBidi"/>
      <w:i/>
      <w:iCs/>
      <w:color w:val="404040" w:themeColor="text1" w:themeTint="BF"/>
      <w:lang w:val="fr-FR" w:eastAsia="en-US"/>
    </w:rPr>
  </w:style>
  <w:style w:type="paragraph" w:styleId="Footer">
    <w:name w:val="footer"/>
    <w:basedOn w:val="Normal"/>
    <w:link w:val="FooterChar"/>
    <w:uiPriority w:val="99"/>
    <w:rsid w:val="00F61167"/>
  </w:style>
  <w:style w:type="character" w:customStyle="1" w:styleId="FooterChar">
    <w:name w:val="Footer Char"/>
    <w:basedOn w:val="DefaultParagraphFont"/>
    <w:link w:val="Footer"/>
    <w:uiPriority w:val="99"/>
    <w:semiHidden/>
    <w:rsid w:val="001374F9"/>
    <w:rPr>
      <w:sz w:val="22"/>
      <w:lang w:val="fr-FR" w:eastAsia="en-US"/>
    </w:rPr>
  </w:style>
  <w:style w:type="paragraph" w:styleId="FootnoteText">
    <w:name w:val="footnote text"/>
    <w:basedOn w:val="Normal"/>
    <w:link w:val="FootnoteTextChar"/>
    <w:uiPriority w:val="99"/>
    <w:rsid w:val="00F61167"/>
    <w:pPr>
      <w:keepLines/>
      <w:spacing w:after="60" w:line="240" w:lineRule="auto"/>
      <w:ind w:left="720" w:hanging="720"/>
    </w:pPr>
    <w:rPr>
      <w:sz w:val="16"/>
    </w:rPr>
  </w:style>
  <w:style w:type="character" w:customStyle="1" w:styleId="FootnoteTextChar">
    <w:name w:val="Footnote Text Char"/>
    <w:basedOn w:val="DefaultParagraphFont"/>
    <w:link w:val="FootnoteText"/>
    <w:uiPriority w:val="99"/>
    <w:semiHidden/>
    <w:rsid w:val="001374F9"/>
    <w:rPr>
      <w:lang w:val="fr-FR" w:eastAsia="en-US"/>
    </w:rPr>
  </w:style>
  <w:style w:type="paragraph" w:styleId="Header">
    <w:name w:val="header"/>
    <w:basedOn w:val="Normal"/>
    <w:link w:val="HeaderChar"/>
    <w:uiPriority w:val="99"/>
    <w:rsid w:val="00F61167"/>
  </w:style>
  <w:style w:type="character" w:customStyle="1" w:styleId="HeaderChar">
    <w:name w:val="Header Char"/>
    <w:basedOn w:val="DefaultParagraphFont"/>
    <w:link w:val="Header"/>
    <w:uiPriority w:val="99"/>
    <w:semiHidden/>
    <w:rsid w:val="001374F9"/>
    <w:rPr>
      <w:sz w:val="22"/>
      <w:lang w:val="fr-FR" w:eastAsia="en-US"/>
    </w:rPr>
  </w:style>
  <w:style w:type="paragraph" w:customStyle="1" w:styleId="quotes">
    <w:name w:val="quotes"/>
    <w:basedOn w:val="Normal"/>
    <w:next w:val="Normal"/>
    <w:rsid w:val="00F61167"/>
    <w:pPr>
      <w:ind w:left="720"/>
    </w:pPr>
    <w:rPr>
      <w:i/>
    </w:rPr>
  </w:style>
  <w:style w:type="character" w:styleId="FootnoteReference">
    <w:name w:val="footnote reference"/>
    <w:basedOn w:val="DefaultParagraphFont"/>
    <w:uiPriority w:val="99"/>
    <w:semiHidden/>
    <w:rsid w:val="00F61167"/>
    <w:rPr>
      <w:sz w:val="24"/>
      <w:vertAlign w:val="superscript"/>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rsid w:val="00B710A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710AF"/>
    <w:rPr>
      <w:rFonts w:ascii="Tahoma" w:hAnsi="Tahoma" w:cs="Tahoma"/>
      <w:sz w:val="16"/>
      <w:szCs w:val="16"/>
      <w:lang w:val="fr-FR" w:eastAsia="en-US"/>
    </w:rPr>
  </w:style>
  <w:style w:type="table" w:styleId="TableGrid">
    <w:name w:val="Table Grid"/>
    <w:basedOn w:val="TableNormal"/>
    <w:uiPriority w:val="59"/>
    <w:rsid w:val="00BD72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07A3"/>
    <w:pPr>
      <w:ind w:left="720"/>
      <w:contextualSpacing/>
    </w:pPr>
  </w:style>
  <w:style w:type="character" w:styleId="CommentReference">
    <w:name w:val="annotation reference"/>
    <w:basedOn w:val="DefaultParagraphFont"/>
    <w:semiHidden/>
    <w:unhideWhenUsed/>
    <w:rsid w:val="0073691E"/>
    <w:rPr>
      <w:sz w:val="16"/>
      <w:szCs w:val="16"/>
    </w:rPr>
  </w:style>
  <w:style w:type="paragraph" w:styleId="CommentText">
    <w:name w:val="annotation text"/>
    <w:basedOn w:val="Normal"/>
    <w:link w:val="CommentTextChar"/>
    <w:semiHidden/>
    <w:unhideWhenUsed/>
    <w:rsid w:val="0073691E"/>
    <w:pPr>
      <w:spacing w:line="240" w:lineRule="auto"/>
    </w:pPr>
    <w:rPr>
      <w:sz w:val="20"/>
    </w:rPr>
  </w:style>
  <w:style w:type="character" w:customStyle="1" w:styleId="CommentTextChar">
    <w:name w:val="Comment Text Char"/>
    <w:basedOn w:val="DefaultParagraphFont"/>
    <w:link w:val="CommentText"/>
    <w:semiHidden/>
    <w:rsid w:val="0073691E"/>
    <w:rPr>
      <w:lang w:val="fr-FR" w:eastAsia="en-US"/>
    </w:rPr>
  </w:style>
  <w:style w:type="paragraph" w:styleId="CommentSubject">
    <w:name w:val="annotation subject"/>
    <w:basedOn w:val="CommentText"/>
    <w:next w:val="CommentText"/>
    <w:link w:val="CommentSubjectChar"/>
    <w:semiHidden/>
    <w:unhideWhenUsed/>
    <w:rsid w:val="0073691E"/>
    <w:rPr>
      <w:b/>
      <w:bCs/>
    </w:rPr>
  </w:style>
  <w:style w:type="character" w:customStyle="1" w:styleId="CommentSubjectChar">
    <w:name w:val="Comment Subject Char"/>
    <w:basedOn w:val="CommentTextChar"/>
    <w:link w:val="CommentSubject"/>
    <w:semiHidden/>
    <w:rsid w:val="0073691E"/>
    <w:rPr>
      <w:b/>
      <w:bCs/>
      <w:lang w:val="fr-FR" w:eastAsia="en-US"/>
    </w:rPr>
  </w:style>
  <w:style w:type="paragraph" w:styleId="Revision">
    <w:name w:val="Revision"/>
    <w:hidden/>
    <w:uiPriority w:val="99"/>
    <w:semiHidden/>
    <w:rsid w:val="0073691E"/>
    <w:rPr>
      <w:sz w:val="22"/>
      <w:lang w:eastAsia="en-US"/>
    </w:rPr>
  </w:style>
  <w:style w:type="character" w:customStyle="1" w:styleId="UnresolvedMention1">
    <w:name w:val="Unresolved Mention1"/>
    <w:basedOn w:val="DefaultParagraphFont"/>
    <w:uiPriority w:val="99"/>
    <w:semiHidden/>
    <w:unhideWhenUsed/>
    <w:rsid w:val="001739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4054">
      <w:bodyDiv w:val="1"/>
      <w:marLeft w:val="0"/>
      <w:marRight w:val="0"/>
      <w:marTop w:val="0"/>
      <w:marBottom w:val="0"/>
      <w:divBdr>
        <w:top w:val="none" w:sz="0" w:space="0" w:color="auto"/>
        <w:left w:val="none" w:sz="0" w:space="0" w:color="auto"/>
        <w:bottom w:val="none" w:sz="0" w:space="0" w:color="auto"/>
        <w:right w:val="none" w:sz="0" w:space="0" w:color="auto"/>
      </w:divBdr>
    </w:div>
    <w:div w:id="937757973">
      <w:marLeft w:val="0"/>
      <w:marRight w:val="0"/>
      <w:marTop w:val="0"/>
      <w:marBottom w:val="0"/>
      <w:divBdr>
        <w:top w:val="none" w:sz="0" w:space="0" w:color="auto"/>
        <w:left w:val="none" w:sz="0" w:space="0" w:color="auto"/>
        <w:bottom w:val="none" w:sz="0" w:space="0" w:color="auto"/>
        <w:right w:val="none" w:sz="0" w:space="0" w:color="auto"/>
      </w:divBdr>
    </w:div>
    <w:div w:id="937757974">
      <w:marLeft w:val="0"/>
      <w:marRight w:val="0"/>
      <w:marTop w:val="0"/>
      <w:marBottom w:val="0"/>
      <w:divBdr>
        <w:top w:val="none" w:sz="0" w:space="0" w:color="auto"/>
        <w:left w:val="none" w:sz="0" w:space="0" w:color="auto"/>
        <w:bottom w:val="none" w:sz="0" w:space="0" w:color="auto"/>
        <w:right w:val="none" w:sz="0" w:space="0" w:color="auto"/>
      </w:divBdr>
    </w:div>
    <w:div w:id="140865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esc.europa.eu/fr/our-work/opinions-information-reports/opinions/un-acces-universel-un-logement-decent-durable-et-abordable-dans-la-dur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marco.pezzani@eesc.europa.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esc.europa.eu/fr/agenda/our-events/events/conference-sur-la-crise-du-logement-en-europe-la-voie-suivre"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13" Type="http://schemas.openxmlformats.org/officeDocument/2006/relationships/image" Target="media/image8.png"/><Relationship Id="rId3" Type="http://schemas.openxmlformats.org/officeDocument/2006/relationships/hyperlink" Target="https://www.youtube.com/user/EurEcoSocCommittee" TargetMode="External"/><Relationship Id="rId7" Type="http://schemas.openxmlformats.org/officeDocument/2006/relationships/image" Target="media/image4.png"/><Relationship Id="rId12" Type="http://schemas.openxmlformats.org/officeDocument/2006/relationships/hyperlink" Target="https://www.instagram.com/accounts/login/?next=/eu_civilsociety/" TargetMode="External"/><Relationship Id="rId17" Type="http://schemas.openxmlformats.org/officeDocument/2006/relationships/image" Target="media/image11.svg"/><Relationship Id="rId2" Type="http://schemas.openxmlformats.org/officeDocument/2006/relationships/hyperlink" Target="http://www.eesc.europa.eu" TargetMode="External"/><Relationship Id="rId16" Type="http://schemas.openxmlformats.org/officeDocument/2006/relationships/image" Target="media/image10.png"/><Relationship Id="rId1" Type="http://schemas.openxmlformats.org/officeDocument/2006/relationships/hyperlink" Target="mailto:press@eesc.europa.eu" TargetMode="External"/><Relationship Id="rId6" Type="http://schemas.openxmlformats.org/officeDocument/2006/relationships/hyperlink" Target="https://twitter.com/EU_EESC" TargetMode="External"/><Relationship Id="rId11" Type="http://schemas.openxmlformats.org/officeDocument/2006/relationships/image" Target="media/image7.svg"/><Relationship Id="rId5" Type="http://schemas.openxmlformats.org/officeDocument/2006/relationships/image" Target="media/image3.svg"/><Relationship Id="rId15" Type="http://schemas.openxmlformats.org/officeDocument/2006/relationships/hyperlink" Target="https://www.facebook.com/EuropeanEconomicAndSocialCommittee" TargetMode="External"/><Relationship Id="rId10" Type="http://schemas.openxmlformats.org/officeDocument/2006/relationships/image" Target="media/image6.png"/><Relationship Id="rId4" Type="http://schemas.openxmlformats.org/officeDocument/2006/relationships/image" Target="media/image2.png"/><Relationship Id="rId9" Type="http://schemas.openxmlformats.org/officeDocument/2006/relationships/hyperlink" Target="https://be.linkedin.com/company/european-economic-social-committee" TargetMode="External"/><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F7M6YNZUATRX-416430479-3037</_dlc_DocId>
    <_dlc_DocIdUrl xmlns="59ace41b-6786-4ce3-be71-52c27066c6ef">
      <Url>http://dm/eesc/2024/_layouts/15/DocIdRedir.aspx?ID=F7M6YNZUATRX-416430479-3037</Url>
      <Description>F7M6YNZUATRX-416430479-3037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CP</TermName>
          <TermId xmlns="http://schemas.microsoft.com/office/infopath/2007/PartnerControls">de8ad211-9e8d-408b-8324-674d21bb7d18</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2024-02-21T12:00:00+00:00</ProductionDate>
    <DocumentNumber xmlns="1178e5e2-058a-41a1-9851-331c7b3fffb8">438</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 xsi:nil="true"/>
    <TaxCatchAll xmlns="59ace41b-6786-4ce3-be71-52c27066c6ef">
      <Value>22</Value>
      <Value>48</Value>
      <Value>37</Value>
      <Value>12</Value>
      <Value>8</Value>
      <Value>24</Value>
      <Value>6</Value>
      <Value>5</Value>
      <Value>14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2087</FicheNumber>
    <OriginalSender xmlns="59ace41b-6786-4ce3-be71-52c27066c6ef">
      <UserInfo>
        <DisplayName>Lacroix Grégory</DisplayName>
        <AccountId>1665</AccountId>
        <AccountType/>
      </UserInfo>
    </OriginalSender>
    <DocumentPart xmlns="59ace41b-6786-4ce3-be71-52c27066c6ef">0</DocumentPart>
    <AdoptionDate xmlns="59ace41b-6786-4ce3-be71-52c27066c6ef" xsi:nil="true"/>
    <RequestingService xmlns="59ace41b-6786-4ce3-be71-52c27066c6ef">Presse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 xsi:nil="true"/>
    <DossierName_0 xmlns="http://schemas.microsoft.com/sharepoint/v3/fields">
      <Terms xmlns="http://schemas.microsoft.com/office/infopath/2007/PartnerControls"/>
    </DossierName_0>
    <DocumentVersion xmlns="59ace41b-6786-4ce3-be71-52c27066c6ef">1</DocumentVer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8D9AA05-F3C1-4CA7-9400-DE54D8B0AA48}">
  <ds:schemaRefs>
    <ds:schemaRef ds:uri="http://schemas.microsoft.com/sharepoint/v3/contenttype/forms"/>
  </ds:schemaRefs>
</ds:datastoreItem>
</file>

<file path=customXml/itemProps2.xml><?xml version="1.0" encoding="utf-8"?>
<ds:datastoreItem xmlns:ds="http://schemas.openxmlformats.org/officeDocument/2006/customXml" ds:itemID="{FA7C8855-C0F9-4128-BF34-470796EBD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ce41b-6786-4ce3-be71-52c27066c6ef"/>
    <ds:schemaRef ds:uri="http://schemas.microsoft.com/sharepoint/v3/fields"/>
    <ds:schemaRef ds:uri="1178e5e2-058a-41a1-9851-331c7b3ff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66D2D-7F8B-4A44-8FE8-047E2269B657}">
  <ds:schemaRefs>
    <ds:schemaRef ds:uri="http://schemas.microsoft.com/office/2006/metadata/properties"/>
    <ds:schemaRef ds:uri="http://schemas.microsoft.com/office/infopath/2007/PartnerControls"/>
    <ds:schemaRef ds:uri="59ace41b-6786-4ce3-be71-52c27066c6ef"/>
    <ds:schemaRef ds:uri="http://schemas.microsoft.com/sharepoint/v3/fields"/>
    <ds:schemaRef ds:uri="1178e5e2-058a-41a1-9851-331c7b3fffb8"/>
  </ds:schemaRefs>
</ds:datastoreItem>
</file>

<file path=customXml/itemProps4.xml><?xml version="1.0" encoding="utf-8"?>
<ds:datastoreItem xmlns:ds="http://schemas.openxmlformats.org/officeDocument/2006/customXml" ds:itemID="{8F95CA10-6BF6-429D-9F29-FAAF21E2BB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1340</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EESC CP template updated</vt:lpstr>
    </vt:vector>
  </TitlesOfParts>
  <Company>CESE-CdR</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Crise du logement: le Comité économique et social européen exhorte l'UE à prendre des mesures</dc:title>
  <dc:subject>CP</dc:subject>
  <dc:creator>Emma Nieddu</dc:creator>
  <cp:keywords>EESC-2024-00438-00-01-CP-TRA-EN</cp:keywords>
  <dc:description>Rapporteur:  - Original language: EN - Date of document: 21-02-2024 - Date of meeting:  - External documents:  - Administrator: M. PEZZANI Marco</dc:description>
  <cp:lastModifiedBy>Pezzani Marco</cp:lastModifiedBy>
  <cp:revision>11</cp:revision>
  <cp:lastPrinted>2007-06-05T13:08:00Z</cp:lastPrinted>
  <dcterms:created xsi:type="dcterms:W3CDTF">2024-02-21T08:39:00Z</dcterms:created>
  <dcterms:modified xsi:type="dcterms:W3CDTF">2024-03-04T08:48:00Z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21/02/2024, 20/02/2024, 05/04/2022</vt:lpwstr>
  </property>
  <property fmtid="{D5CDD505-2E9C-101B-9397-08002B2CF9AE}" pid="4" name="Pref_Time">
    <vt:lpwstr>09:39:53, 11:05:21, 16:28:46</vt:lpwstr>
  </property>
  <property fmtid="{D5CDD505-2E9C-101B-9397-08002B2CF9AE}" pid="5" name="Pref_User">
    <vt:lpwstr>amett, jhvi, enied</vt:lpwstr>
  </property>
  <property fmtid="{D5CDD505-2E9C-101B-9397-08002B2CF9AE}" pid="6" name="Pref_FileName">
    <vt:lpwstr>EESC-2024-00438-00-01-CP-ORI.docx, EESC-2024-00438-00-00-CP-ORI.docx, EESC-2022-01954-00-00-ADMIN-ORI.docx</vt:lpwstr>
  </property>
  <property fmtid="{D5CDD505-2E9C-101B-9397-08002B2CF9AE}" pid="7" name="ContentTypeId">
    <vt:lpwstr>0x010100EA97B91038054C99906057A708A1480A00E20A70424F8EF14D84929FAE9E34774B</vt:lpwstr>
  </property>
  <property fmtid="{D5CDD505-2E9C-101B-9397-08002B2CF9AE}" pid="8" name="_dlc_DocIdItemGuid">
    <vt:lpwstr>233ecb9e-d4c1-454c-8bff-34ea661cfeee</vt:lpwstr>
  </property>
  <property fmtid="{D5CDD505-2E9C-101B-9397-08002B2CF9AE}" pid="9" name="AvailableTranslations">
    <vt:lpwstr>24;#ES|e7a6b05b-ae16-40c8-add9-68b64b03aeba;#37;#RO|feb747a2-64cd-4299-af12-4833ddc30497;#14;#FR|d2afafd3-4c81-4f60-8f52-ee33f2f54ff3;#5;#EN|f2175f21-25d7-44a3-96da-d6a61b075e1b;#22;#BG|1a1b3951-7821-4e6a-85f5-5673fc08bd2c;#12;#IT|0774613c-01ed-4e5d-a25d-11d2388de825</vt:lpwstr>
  </property>
  <property fmtid="{D5CDD505-2E9C-101B-9397-08002B2CF9AE}" pid="10" name="DocumentType_0">
    <vt:lpwstr>CP|de8ad211-9e8d-408b-8324-674d21bb7d18</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438</vt:i4>
  </property>
  <property fmtid="{D5CDD505-2E9C-101B-9397-08002B2CF9AE}" pid="14" name="DocumentVersion">
    <vt:i4>1</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19" name="DocumentType">
    <vt:lpwstr>48;#CP|de8ad211-9e8d-408b-8324-674d21bb7d18</vt:lpwstr>
  </property>
  <property fmtid="{D5CDD505-2E9C-101B-9397-08002B2CF9AE}" pid="20" name="RequestingService">
    <vt:lpwstr>Presse</vt:lpwstr>
  </property>
  <property fmtid="{D5CDD505-2E9C-101B-9397-08002B2CF9AE}" pid="21" name="Confidentiality">
    <vt:lpwstr>6;#Unrestricted|826e22d7-d029-4ec0-a450-0c28ff673572</vt:lpwstr>
  </property>
  <property fmtid="{D5CDD505-2E9C-101B-9397-08002B2CF9AE}" pid="22" name="MeetingName_0">
    <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
  </property>
  <property fmtid="{D5CDD505-2E9C-101B-9397-08002B2CF9AE}" pid="26" name="AvailableTranslations_0">
    <vt:lpwstr>ES|e7a6b05b-ae16-40c8-add9-68b64b03aeba;RO|feb747a2-64cd-4299-af12-4833ddc30497;EN|f2175f21-25d7-44a3-96da-d6a61b075e1b;BG|1a1b3951-7821-4e6a-85f5-5673fc08bd2c;IT|0774613c-01ed-4e5d-a25d-11d2388de825</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22;#BG|1a1b3951-7821-4e6a-85f5-5673fc08bd2c;#48;#CP|de8ad211-9e8d-408b-8324-674d21bb7d18;#37;#RO|feb747a2-64cd-4299-af12-4833ddc30497;#12;#IT|0774613c-01ed-4e5d-a25d-11d2388de825;#8;#Final|ea5e6674-7b27-4bac-b091-73adbb394efe;#24;#ES|e7a6b05b-ae16-40c8-add9-68b64b03aeba;#6;#Unrestricted|826e22d7-d029-4ec0-a450-0c28ff673572;#5;#EN|f2175f21-25d7-44a3-96da-d6a61b075e1b;#3;#TRA|150d2a88-1431-44e6-a8ca-0bb753ab8672;#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2024</vt:i4>
  </property>
  <property fmtid="{D5CDD505-2E9C-101B-9397-08002B2CF9AE}" pid="33" name="FicheNumber">
    <vt:i4>2087</vt:i4>
  </property>
  <property fmtid="{D5CDD505-2E9C-101B-9397-08002B2CF9AE}" pid="34" name="DocumentLanguage">
    <vt:lpwstr>14;#FR|d2afafd3-4c81-4f60-8f52-ee33f2f54ff3</vt:lpwstr>
  </property>
  <property fmtid="{D5CDD505-2E9C-101B-9397-08002B2CF9AE}" pid="35" name="_docset_NoMedatataSyncRequired">
    <vt:lpwstr>False</vt:lpwstr>
  </property>
</Properties>
</file>