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2306C" w14:textId="19E6643E" w:rsidR="003C2229" w:rsidRPr="00517C9E" w:rsidRDefault="004B705E" w:rsidP="00686EC2">
      <w:pPr>
        <w:spacing w:line="240" w:lineRule="auto"/>
        <w:rPr>
          <w:rFonts w:ascii="Verdana" w:hAnsi="Verdana"/>
          <w:sz w:val="20"/>
        </w:rPr>
      </w:pPr>
      <w:r>
        <w:rPr>
          <w:rFonts w:ascii="Verdana" w:hAnsi="Verdana"/>
          <w:noProof/>
          <w:sz w:val="20"/>
        </w:rPr>
        <w:drawing>
          <wp:anchor distT="0" distB="0" distL="114300" distR="114300" simplePos="0" relativeHeight="251660288" behindDoc="0" locked="0" layoutInCell="1" allowOverlap="1" wp14:anchorId="36A05047" wp14:editId="72554B68">
            <wp:simplePos x="0" y="0"/>
            <wp:positionH relativeFrom="margin">
              <wp:align>center</wp:align>
            </wp:positionH>
            <wp:positionV relativeFrom="margin">
              <wp:align>top</wp:align>
            </wp:positionV>
            <wp:extent cx="5928360" cy="14389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a:fillRect/>
                    </a:stretch>
                  </pic:blipFill>
                  <pic:spPr>
                    <a:xfrm>
                      <a:off x="0" y="0"/>
                      <a:ext cx="5928360" cy="143891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Look w:val="0000" w:firstRow="0" w:lastRow="0" w:firstColumn="0" w:lastColumn="0" w:noHBand="0" w:noVBand="0"/>
      </w:tblPr>
      <w:tblGrid>
        <w:gridCol w:w="5168"/>
        <w:gridCol w:w="4119"/>
      </w:tblGrid>
      <w:tr w:rsidR="00C93E55" w:rsidRPr="00517C9E" w14:paraId="16E539E7" w14:textId="77777777" w:rsidTr="00705C0F">
        <w:trPr>
          <w:cantSplit/>
        </w:trPr>
        <w:tc>
          <w:tcPr>
            <w:tcW w:w="5168" w:type="dxa"/>
          </w:tcPr>
          <w:p w14:paraId="2A287900" w14:textId="290D4BAE" w:rsidR="00C93E55" w:rsidRPr="00517C9E" w:rsidRDefault="00C93E55" w:rsidP="002F79A3">
            <w:pPr>
              <w:spacing w:before="120" w:after="120" w:line="240" w:lineRule="auto"/>
              <w:rPr>
                <w:rFonts w:ascii="Verdana" w:hAnsi="Verdana"/>
                <w:b/>
                <w:bCs/>
                <w:sz w:val="20"/>
              </w:rPr>
            </w:pPr>
            <w:r>
              <w:rPr>
                <w:rFonts w:ascii="Verdana" w:hAnsi="Verdana"/>
                <w:b/>
                <w:sz w:val="20"/>
              </w:rPr>
              <w:t>N.º 11/2024</w:t>
            </w:r>
          </w:p>
        </w:tc>
        <w:tc>
          <w:tcPr>
            <w:tcW w:w="4119" w:type="dxa"/>
          </w:tcPr>
          <w:p w14:paraId="6DB6BFB3" w14:textId="2148F293" w:rsidR="00C93E55" w:rsidRPr="00517C9E" w:rsidRDefault="006A61DA" w:rsidP="00F92DAC">
            <w:pPr>
              <w:spacing w:before="120" w:after="120" w:line="240" w:lineRule="auto"/>
              <w:jc w:val="right"/>
              <w:rPr>
                <w:rFonts w:ascii="Verdana" w:hAnsi="Verdana"/>
                <w:b/>
                <w:bCs/>
                <w:sz w:val="20"/>
              </w:rPr>
            </w:pPr>
            <w:r>
              <w:rPr>
                <w:rFonts w:ascii="Verdana" w:hAnsi="Verdana"/>
                <w:b/>
                <w:sz w:val="20"/>
              </w:rPr>
              <w:t>20 de febrero de 2024</w:t>
            </w:r>
          </w:p>
        </w:tc>
      </w:tr>
    </w:tbl>
    <w:p w14:paraId="72EB20C4" w14:textId="626804FD" w:rsidR="00F83179" w:rsidRPr="00517C9E" w:rsidRDefault="00F83179" w:rsidP="00686EC2">
      <w:pPr>
        <w:spacing w:line="240" w:lineRule="auto"/>
        <w:rPr>
          <w:rFonts w:ascii="Verdana" w:hAnsi="Verdana"/>
          <w:sz w:val="20"/>
        </w:rPr>
      </w:pPr>
    </w:p>
    <w:p w14:paraId="4154F4D7" w14:textId="77777777" w:rsidR="00F83179" w:rsidRPr="00517C9E" w:rsidRDefault="00F83179" w:rsidP="00686EC2">
      <w:pPr>
        <w:spacing w:line="240" w:lineRule="auto"/>
        <w:rPr>
          <w:rFonts w:ascii="Verdana" w:hAnsi="Verdana"/>
          <w:sz w:val="20"/>
        </w:rPr>
        <w:sectPr w:rsidR="00F83179" w:rsidRPr="00517C9E" w:rsidSect="00837B82">
          <w:footerReference w:type="default" r:id="rId12"/>
          <w:pgSz w:w="11907" w:h="16839" w:code="9"/>
          <w:pgMar w:top="425" w:right="1418" w:bottom="1418" w:left="1418" w:header="709" w:footer="709" w:gutter="0"/>
          <w:cols w:space="720"/>
          <w:docGrid w:linePitch="299"/>
        </w:sectPr>
      </w:pPr>
    </w:p>
    <w:p w14:paraId="7341BCD6" w14:textId="7E1D2CA5" w:rsidR="008850E4" w:rsidRPr="00517C9E" w:rsidRDefault="006679C1" w:rsidP="008850E4">
      <w:pPr>
        <w:rPr>
          <w:rFonts w:ascii="Verdana" w:hAnsi="Verdana"/>
          <w:sz w:val="18"/>
        </w:rPr>
      </w:pPr>
      <w:r>
        <w:rPr>
          <w:rFonts w:ascii="Verdana" w:hAnsi="Verdana"/>
          <w:noProof/>
          <w:sz w:val="20"/>
        </w:rPr>
        <mc:AlternateContent>
          <mc:Choice Requires="wps">
            <w:drawing>
              <wp:anchor distT="0" distB="0" distL="114300" distR="114300" simplePos="0" relativeHeight="251659264" behindDoc="1" locked="0" layoutInCell="0" allowOverlap="1" wp14:anchorId="02E0DDBB" wp14:editId="24920F32">
                <wp:simplePos x="0" y="0"/>
                <wp:positionH relativeFrom="page">
                  <wp:posOffset>6770788</wp:posOffset>
                </wp:positionH>
                <wp:positionV relativeFrom="page">
                  <wp:posOffset>10083352</wp:posOffset>
                </wp:positionV>
                <wp:extent cx="647700" cy="3962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A69A6" w14:textId="77777777" w:rsidR="00321382" w:rsidRPr="00260E65" w:rsidRDefault="00321382">
                            <w:pPr>
                              <w:jc w:val="center"/>
                              <w:rPr>
                                <w:rFonts w:ascii="Arial" w:hAnsi="Arial" w:cs="Arial"/>
                                <w:b/>
                                <w:bCs/>
                                <w:sz w:val="48"/>
                              </w:rPr>
                            </w:pPr>
                            <w:r>
                              <w:rPr>
                                <w:rFonts w:ascii="Arial" w:hAnsi="Arial"/>
                                <w:b/>
                                <w:sz w:val="48"/>
                              </w:rPr>
                              <w: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0DDBB" id="_x0000_t202" coordsize="21600,21600" o:spt="202" path="m,l,21600r21600,l21600,xe">
                <v:stroke joinstyle="miter"/>
                <v:path gradientshapeok="t" o:connecttype="rect"/>
              </v:shapetype>
              <v:shape id="Text Box 17" o:spid="_x0000_s1026" type="#_x0000_t202" style="position:absolute;left:0;text-align:left;margin-left:533.15pt;margin-top:793.95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" o:allowincell="f" filled="f" stroked="f">
                <v:textbox>
                  <w:txbxContent>
                    <w:p w14:paraId="6C3A69A6" w14:textId="77777777" w:rsidR="00321382" w:rsidRPr="00260E65" w:rsidRDefault="00321382">
                      <w:pPr>
                        <w:jc w:val="center"/>
                        <w:rPr>
                          <w:rFonts w:ascii="Arial" w:hAnsi="Arial" w:cs="Arial"/>
                          <w:b/>
                          <w:bCs/>
                          <w:sz w:val="48"/>
                        </w:rPr>
                      </w:pPr>
                      <w:r>
                        <w:rPr>
                          <w:rFonts w:ascii="Arial" w:hAnsi="Arial"/>
                          <w:b/>
                          <w:sz w:val="48"/>
                        </w:rPr>
                        <w:t>ES</w:t>
                      </w:r>
                    </w:p>
                  </w:txbxContent>
                </v:textbox>
                <w10:wrap anchorx="page" anchory="page"/>
              </v:shape>
            </w:pict>
          </mc:Fallback>
        </mc:AlternateContent>
      </w:r>
    </w:p>
    <w:p w14:paraId="3BF64AB0" w14:textId="1331435D" w:rsidR="00F45A6F" w:rsidRPr="0088285D" w:rsidRDefault="009B736A" w:rsidP="00795B49">
      <w:pPr>
        <w:jc w:val="center"/>
        <w:rPr>
          <w:rFonts w:ascii="Verdana" w:hAnsi="Verdana"/>
          <w:b/>
          <w:bCs/>
          <w:color w:val="0070C0"/>
          <w:sz w:val="28"/>
          <w:szCs w:val="24"/>
        </w:rPr>
      </w:pPr>
      <w:r>
        <w:rPr>
          <w:rFonts w:ascii="Verdana" w:hAnsi="Verdana"/>
          <w:b/>
          <w:color w:val="0070C0"/>
          <w:sz w:val="28"/>
        </w:rPr>
        <w:t>Una solución concertada a la creciente crisis de la vivienda, que afecta especialmente a los grupos vulnerables y la juventud</w:t>
      </w:r>
    </w:p>
    <w:p w14:paraId="729C1FF8" w14:textId="3E6A8AFC" w:rsidR="00826961" w:rsidRPr="00517C9E" w:rsidRDefault="00826961" w:rsidP="00826961">
      <w:pPr>
        <w:rPr>
          <w:rFonts w:ascii="Verdana" w:hAnsi="Verdana"/>
          <w:sz w:val="18"/>
        </w:rPr>
      </w:pPr>
    </w:p>
    <w:p w14:paraId="4ABB61AD" w14:textId="76E612C9" w:rsidR="002C07C7" w:rsidRPr="00517C9E" w:rsidRDefault="001739C0" w:rsidP="00795B49">
      <w:pPr>
        <w:rPr>
          <w:rFonts w:ascii="Verdana" w:hAnsi="Verdana"/>
          <w:b/>
          <w:bCs/>
          <w:sz w:val="20"/>
        </w:rPr>
      </w:pPr>
      <w:r>
        <w:rPr>
          <w:rFonts w:ascii="Verdana" w:hAnsi="Verdana"/>
          <w:b/>
          <w:sz w:val="20"/>
        </w:rPr>
        <w:t>En una conferencia de alto nivel, el CESE, sede de la sociedad civil organizada de la UE, ha lanzado la voz de alarma: la escasez de viviendas dignas y asequibles es un problema cada vez más preocupante, sobre todo para los grupos vulnerables y la juventud, y la Unión Europea debe reunir los recursos necesarios para combatirlo.</w:t>
      </w:r>
    </w:p>
    <w:p w14:paraId="6A973F45" w14:textId="1BA4D89F" w:rsidR="001F660F" w:rsidRPr="00517C9E" w:rsidRDefault="001F660F" w:rsidP="00795B49">
      <w:pPr>
        <w:rPr>
          <w:rFonts w:ascii="Verdana" w:hAnsi="Verdana"/>
          <w:sz w:val="18"/>
        </w:rPr>
      </w:pPr>
    </w:p>
    <w:p w14:paraId="53C3DECD" w14:textId="0918D718" w:rsidR="009F67C6" w:rsidRPr="00517C9E" w:rsidRDefault="00517C9E" w:rsidP="009F67C6">
      <w:pPr>
        <w:rPr>
          <w:rFonts w:ascii="Verdana" w:hAnsi="Verdana"/>
          <w:sz w:val="18"/>
        </w:rPr>
      </w:pPr>
      <w:r>
        <w:rPr>
          <w:rFonts w:ascii="Verdana" w:hAnsi="Verdana"/>
          <w:sz w:val="18"/>
        </w:rPr>
        <w:t>Cada vez son más los europeos preocupados ante la imposibilidad de encontrar un alojamiento digno y asequible. Los riesgos derivados de esta situación pueden materializarse en alojamientos deficientes, presión financiera o inseguridad en materia de vivienda, e incluso puede generarse el problema de que algunas personas se queden sin hogar. La inasequibilidad de la vivienda puede afectar a la salud y el bienestar de las personas, dar lugar a desigualdades en lo que respecta a las condiciones de vida y las oportunidades y traducirse en mayores costes sanitarios, una menor productividad y daños medioambientales.</w:t>
      </w:r>
    </w:p>
    <w:p w14:paraId="02CE4C35" w14:textId="257AC492" w:rsidR="006A61DA" w:rsidRPr="00517C9E" w:rsidRDefault="006A61DA" w:rsidP="006A61DA">
      <w:pPr>
        <w:rPr>
          <w:rFonts w:ascii="Verdana" w:hAnsi="Verdana"/>
          <w:sz w:val="18"/>
        </w:rPr>
      </w:pPr>
    </w:p>
    <w:p w14:paraId="71D3EB94" w14:textId="4BD67E12" w:rsidR="006A61DA" w:rsidRDefault="006A61DA" w:rsidP="006A61DA">
      <w:pPr>
        <w:rPr>
          <w:rFonts w:ascii="Verdana" w:hAnsi="Verdana"/>
          <w:sz w:val="18"/>
        </w:rPr>
      </w:pPr>
      <w:r>
        <w:rPr>
          <w:rFonts w:ascii="Verdana" w:hAnsi="Verdana"/>
          <w:sz w:val="18"/>
        </w:rPr>
        <w:t>La conferencia celebrada por el Comité Económico y Social Europeo (CESE) en Bruselas el 20</w:t>
      </w:r>
      <w:r w:rsidR="00F218A4">
        <w:rPr>
          <w:rFonts w:ascii="Verdana" w:hAnsi="Verdana"/>
          <w:sz w:val="18"/>
        </w:rPr>
        <w:t> </w:t>
      </w:r>
      <w:r>
        <w:rPr>
          <w:rFonts w:ascii="Verdana" w:hAnsi="Verdana"/>
          <w:sz w:val="18"/>
        </w:rPr>
        <w:t>de</w:t>
      </w:r>
      <w:r w:rsidR="00F218A4">
        <w:rPr>
          <w:rFonts w:ascii="Verdana" w:hAnsi="Verdana"/>
          <w:sz w:val="18"/>
        </w:rPr>
        <w:t> </w:t>
      </w:r>
      <w:r>
        <w:rPr>
          <w:rFonts w:ascii="Verdana" w:hAnsi="Verdana"/>
          <w:sz w:val="18"/>
        </w:rPr>
        <w:t>febrero de</w:t>
      </w:r>
      <w:r w:rsidR="00F218A4">
        <w:rPr>
          <w:rFonts w:ascii="Verdana" w:hAnsi="Verdana"/>
          <w:sz w:val="18"/>
        </w:rPr>
        <w:t> </w:t>
      </w:r>
      <w:r>
        <w:rPr>
          <w:rFonts w:ascii="Verdana" w:hAnsi="Verdana"/>
          <w:sz w:val="18"/>
        </w:rPr>
        <w:t>2024 lanzó una clara advertencia: la crisis de la vivienda en Europa se está agravando, lo que está provocando una serie de efectos secundarios.</w:t>
      </w:r>
    </w:p>
    <w:p w14:paraId="673BA83B" w14:textId="77777777" w:rsidR="009F67C6" w:rsidRPr="00517C9E" w:rsidRDefault="009F67C6" w:rsidP="006A61DA">
      <w:pPr>
        <w:rPr>
          <w:rFonts w:ascii="Verdana" w:hAnsi="Verdana"/>
          <w:sz w:val="18"/>
        </w:rPr>
      </w:pPr>
    </w:p>
    <w:p w14:paraId="7C955977" w14:textId="30927075" w:rsidR="00517C9E" w:rsidRDefault="00896FBF" w:rsidP="009F67C6">
      <w:pPr>
        <w:rPr>
          <w:rFonts w:ascii="Verdana" w:hAnsi="Verdana"/>
          <w:sz w:val="18"/>
        </w:rPr>
      </w:pPr>
      <w:r>
        <w:rPr>
          <w:rFonts w:ascii="Verdana" w:hAnsi="Verdana"/>
          <w:sz w:val="18"/>
        </w:rPr>
        <w:t xml:space="preserve">En la actualidad, la vivienda es una de las principales causas de la progresiva erosión de la cohesión económica, social y territorial. El acceso a una vivienda asequible y digna es, desde el punto de vista social, tanto una necesidad como un derecho, que sin embargo las diferentes crisis a las que se ha enfrentado la UE en los últimos años ponen bajo constante amenaza. </w:t>
      </w:r>
    </w:p>
    <w:p w14:paraId="057923F8" w14:textId="77777777" w:rsidR="00517C9E" w:rsidRDefault="00517C9E" w:rsidP="009F67C6">
      <w:pPr>
        <w:rPr>
          <w:rFonts w:ascii="Verdana" w:hAnsi="Verdana"/>
          <w:sz w:val="18"/>
        </w:rPr>
      </w:pPr>
    </w:p>
    <w:p w14:paraId="419F4F4B" w14:textId="117CDD26" w:rsidR="008146D0" w:rsidRPr="00517C9E" w:rsidRDefault="006A61DA" w:rsidP="009F67C6">
      <w:pPr>
        <w:rPr>
          <w:rFonts w:ascii="Verdana" w:hAnsi="Verdana"/>
          <w:sz w:val="18"/>
        </w:rPr>
      </w:pPr>
      <w:r>
        <w:rPr>
          <w:rFonts w:ascii="Verdana" w:hAnsi="Verdana"/>
          <w:sz w:val="18"/>
        </w:rPr>
        <w:t>La disponibilidad, accesibilidad y sostenibilidad de una vivienda digna son preocupaciones cada vez más importantes para la ciudadanía de la UE, especialmente para los grupos más vulnerables. Numerosos hogares se enfrentan a unos costes de vivienda excesivos, que representan su principal partida de gasto de consumo y suponen una carga excesiva que repercute en detrimento de otras necesidades básicas.</w:t>
      </w:r>
    </w:p>
    <w:p w14:paraId="2C2ED72C" w14:textId="0A18CC22" w:rsidR="008146D0" w:rsidRPr="00517C9E" w:rsidRDefault="008146D0" w:rsidP="009F67C6">
      <w:pPr>
        <w:rPr>
          <w:rFonts w:ascii="Verdana" w:hAnsi="Verdana"/>
          <w:sz w:val="18"/>
        </w:rPr>
      </w:pPr>
    </w:p>
    <w:p w14:paraId="3EBF58B4" w14:textId="272342F9" w:rsidR="00190E01" w:rsidRPr="00517C9E" w:rsidRDefault="00190E01" w:rsidP="009F67C6">
      <w:pPr>
        <w:rPr>
          <w:rFonts w:ascii="Verdana" w:hAnsi="Verdana"/>
          <w:sz w:val="18"/>
        </w:rPr>
      </w:pPr>
      <w:r>
        <w:rPr>
          <w:rFonts w:ascii="Verdana" w:hAnsi="Verdana"/>
          <w:sz w:val="18"/>
        </w:rPr>
        <w:t>Según un reciente estudio de Eurofound, la crisis de la vivienda afecta especialmente a la juventud, al dificultarle el abandono del hogar familiar. La edad a partir de la cual al menos el 50 % de las personas de la UE vive fuera del domicilio de sus padres ha pasado de 26 años en 2007 a 28 en</w:t>
      </w:r>
      <w:r w:rsidR="00F218A4">
        <w:rPr>
          <w:rFonts w:ascii="Verdana" w:hAnsi="Verdana"/>
          <w:sz w:val="18"/>
        </w:rPr>
        <w:t> </w:t>
      </w:r>
      <w:r>
        <w:rPr>
          <w:rFonts w:ascii="Verdana" w:hAnsi="Verdana"/>
          <w:sz w:val="18"/>
        </w:rPr>
        <w:t>2019. Entre 2010 y 2019, España, Croacia, Italia, Chipre, Bélgica, Grecia e Irlanda registraron el mayor aumento en cuanto al número de personas de entre 25 y 34 años que sigue viviendo con sus padres.</w:t>
      </w:r>
    </w:p>
    <w:p w14:paraId="085319E5" w14:textId="77777777" w:rsidR="00992A5E" w:rsidRPr="00517C9E" w:rsidRDefault="00992A5E" w:rsidP="009F67C6">
      <w:pPr>
        <w:rPr>
          <w:rFonts w:ascii="Verdana" w:hAnsi="Verdana"/>
          <w:sz w:val="18"/>
        </w:rPr>
      </w:pPr>
    </w:p>
    <w:p w14:paraId="5C85F713" w14:textId="61E9B287" w:rsidR="00992A5E" w:rsidRPr="00517C9E" w:rsidRDefault="00992A5E" w:rsidP="001F660F">
      <w:pPr>
        <w:rPr>
          <w:rFonts w:ascii="Verdana" w:hAnsi="Verdana"/>
          <w:b/>
          <w:bCs/>
          <w:sz w:val="18"/>
        </w:rPr>
      </w:pPr>
      <w:r>
        <w:rPr>
          <w:rFonts w:ascii="Verdana" w:hAnsi="Verdana"/>
          <w:b/>
          <w:sz w:val="18"/>
        </w:rPr>
        <w:lastRenderedPageBreak/>
        <w:t>El CESE lleva mucho tiempo alertando sobre la crisis de la vivienda</w:t>
      </w:r>
    </w:p>
    <w:p w14:paraId="368803C8" w14:textId="77777777" w:rsidR="00992A5E" w:rsidRPr="00517C9E" w:rsidRDefault="00992A5E" w:rsidP="001F660F">
      <w:pPr>
        <w:rPr>
          <w:rFonts w:ascii="Verdana" w:hAnsi="Verdana"/>
          <w:sz w:val="18"/>
        </w:rPr>
      </w:pPr>
    </w:p>
    <w:p w14:paraId="507EB7F9" w14:textId="4662B0AE" w:rsidR="005F5E52" w:rsidRPr="00517C9E" w:rsidRDefault="00992A5E" w:rsidP="005F5E52">
      <w:pPr>
        <w:rPr>
          <w:rFonts w:ascii="Verdana" w:hAnsi="Verdana"/>
          <w:sz w:val="18"/>
        </w:rPr>
      </w:pPr>
      <w:r>
        <w:rPr>
          <w:rFonts w:ascii="Verdana" w:hAnsi="Verdana"/>
          <w:sz w:val="18"/>
        </w:rPr>
        <w:t>A lo largo de los años, el CESE ha tratado de llamar la atención sobre los problemas de vivienda en toda la UE. En 2020, el Comité aprobó un Dictamen con el título «</w:t>
      </w:r>
      <w:hyperlink r:id="rId13" w:history="1">
        <w:r>
          <w:rPr>
            <w:rStyle w:val="Hyperlink"/>
            <w:rFonts w:ascii="Verdana" w:hAnsi="Verdana"/>
            <w:i/>
            <w:sz w:val="18"/>
          </w:rPr>
          <w:t>Acceso universal a una vivienda digna, sostenible y asequible a largo plazo</w:t>
        </w:r>
      </w:hyperlink>
      <w:r>
        <w:rPr>
          <w:rFonts w:ascii="Verdana" w:hAnsi="Verdana"/>
          <w:sz w:val="18"/>
        </w:rPr>
        <w:t xml:space="preserve">», elaborado por </w:t>
      </w:r>
      <w:r>
        <w:rPr>
          <w:rFonts w:ascii="Verdana" w:hAnsi="Verdana"/>
          <w:b/>
          <w:sz w:val="18"/>
        </w:rPr>
        <w:t>Raymond</w:t>
      </w:r>
      <w:r w:rsidR="00F218A4">
        <w:rPr>
          <w:rFonts w:ascii="Verdana" w:hAnsi="Verdana"/>
          <w:b/>
          <w:sz w:val="18"/>
        </w:rPr>
        <w:t> </w:t>
      </w:r>
      <w:proofErr w:type="spellStart"/>
      <w:r>
        <w:rPr>
          <w:rFonts w:ascii="Verdana" w:hAnsi="Verdana"/>
          <w:b/>
          <w:sz w:val="18"/>
        </w:rPr>
        <w:t>Hencks</w:t>
      </w:r>
      <w:proofErr w:type="spellEnd"/>
      <w:r>
        <w:rPr>
          <w:rFonts w:ascii="Verdana" w:hAnsi="Verdana"/>
          <w:sz w:val="18"/>
        </w:rPr>
        <w:t xml:space="preserve"> y </w:t>
      </w:r>
      <w:r>
        <w:rPr>
          <w:rFonts w:ascii="Verdana" w:hAnsi="Verdana"/>
          <w:b/>
          <w:sz w:val="18"/>
        </w:rPr>
        <w:t>András</w:t>
      </w:r>
      <w:r w:rsidR="00F218A4">
        <w:rPr>
          <w:rFonts w:ascii="Verdana" w:hAnsi="Verdana"/>
          <w:b/>
          <w:sz w:val="18"/>
        </w:rPr>
        <w:t> </w:t>
      </w:r>
      <w:r>
        <w:rPr>
          <w:rFonts w:ascii="Verdana" w:hAnsi="Verdana"/>
          <w:b/>
          <w:sz w:val="18"/>
        </w:rPr>
        <w:t>Edelényi</w:t>
      </w:r>
      <w:r>
        <w:rPr>
          <w:rFonts w:ascii="Verdana" w:hAnsi="Verdana"/>
          <w:sz w:val="18"/>
        </w:rPr>
        <w:t xml:space="preserve">, y pidió un </w:t>
      </w:r>
      <w:r>
        <w:rPr>
          <w:rFonts w:ascii="Verdana" w:hAnsi="Verdana"/>
          <w:b/>
          <w:sz w:val="18"/>
        </w:rPr>
        <w:t>plan de acción europeo de vivienda</w:t>
      </w:r>
      <w:r>
        <w:rPr>
          <w:rFonts w:ascii="Verdana" w:hAnsi="Verdana"/>
          <w:sz w:val="18"/>
        </w:rPr>
        <w:t>.</w:t>
      </w:r>
    </w:p>
    <w:p w14:paraId="03D3AB46" w14:textId="77777777" w:rsidR="005F5E52" w:rsidRPr="00517C9E" w:rsidRDefault="005F5E52" w:rsidP="001F660F">
      <w:pPr>
        <w:rPr>
          <w:rFonts w:ascii="Verdana" w:hAnsi="Verdana"/>
          <w:sz w:val="18"/>
        </w:rPr>
      </w:pPr>
    </w:p>
    <w:p w14:paraId="46DD4735" w14:textId="7C6B2A78" w:rsidR="005F5E52" w:rsidRPr="00517C9E" w:rsidRDefault="00B47DE2" w:rsidP="001F660F">
      <w:pPr>
        <w:rPr>
          <w:rFonts w:ascii="Verdana" w:hAnsi="Verdana"/>
          <w:sz w:val="18"/>
        </w:rPr>
      </w:pPr>
      <w:r>
        <w:rPr>
          <w:rFonts w:ascii="Verdana" w:hAnsi="Verdana"/>
          <w:sz w:val="18"/>
        </w:rPr>
        <w:t>El CESE ha instado a la UE a adoptar una estrategia que incluya un conjunto completo de medidas para ayudar a los Estados miembros, las regiones y las ciudades de Europa a impulsar de forma sostenible la oferta de viviendas sociales y asequibles y a combatir eficazmente el problema de las personas sin hogar.</w:t>
      </w:r>
    </w:p>
    <w:p w14:paraId="445FA0A4" w14:textId="77777777" w:rsidR="00B47DE2" w:rsidRPr="00517C9E" w:rsidRDefault="00B47DE2" w:rsidP="001F660F">
      <w:pPr>
        <w:rPr>
          <w:rFonts w:ascii="Verdana" w:hAnsi="Verdana"/>
          <w:sz w:val="18"/>
        </w:rPr>
      </w:pPr>
    </w:p>
    <w:p w14:paraId="31317012" w14:textId="1AF0EB58" w:rsidR="00992A5E" w:rsidRDefault="0080166E" w:rsidP="00B47DE2">
      <w:pPr>
        <w:rPr>
          <w:rFonts w:ascii="Verdana" w:hAnsi="Verdana"/>
          <w:sz w:val="18"/>
        </w:rPr>
      </w:pPr>
      <w:r>
        <w:rPr>
          <w:rFonts w:ascii="Verdana" w:hAnsi="Verdana"/>
          <w:sz w:val="18"/>
        </w:rPr>
        <w:t>Aunque la política de vivienda sigue siendo una competencia nacional, el Comité ha propuesto las siguientes medidas para luchar contra la escasez de viviendas dignas y asequibles en la UE:</w:t>
      </w:r>
    </w:p>
    <w:p w14:paraId="78711448" w14:textId="77777777" w:rsidR="00265973" w:rsidRPr="00517C9E" w:rsidRDefault="00265973" w:rsidP="00B47DE2">
      <w:pPr>
        <w:rPr>
          <w:rFonts w:ascii="Verdana" w:hAnsi="Verdana"/>
          <w:sz w:val="18"/>
        </w:rPr>
      </w:pPr>
    </w:p>
    <w:p w14:paraId="6171890E" w14:textId="18E401B0" w:rsidR="00992A5E" w:rsidRPr="00517C9E" w:rsidRDefault="005F5E52" w:rsidP="005F5E52">
      <w:pPr>
        <w:pStyle w:val="ListParagraph"/>
        <w:numPr>
          <w:ilvl w:val="0"/>
          <w:numId w:val="3"/>
        </w:numPr>
        <w:ind w:left="284" w:hanging="284"/>
        <w:rPr>
          <w:rFonts w:ascii="Verdana" w:hAnsi="Verdana"/>
          <w:sz w:val="18"/>
        </w:rPr>
      </w:pPr>
      <w:r>
        <w:rPr>
          <w:rFonts w:ascii="Verdana" w:hAnsi="Verdana"/>
          <w:sz w:val="18"/>
        </w:rPr>
        <w:t xml:space="preserve">organizar una </w:t>
      </w:r>
      <w:r>
        <w:rPr>
          <w:rFonts w:ascii="Verdana" w:hAnsi="Verdana"/>
          <w:b/>
          <w:sz w:val="18"/>
        </w:rPr>
        <w:t>cumbre anual de la UE sobre vivienda asequible</w:t>
      </w:r>
      <w:r>
        <w:rPr>
          <w:rFonts w:ascii="Verdana" w:hAnsi="Verdana"/>
          <w:sz w:val="18"/>
        </w:rPr>
        <w:t xml:space="preserve"> que reúna a todas las partes interesadas, sobre la base de un informe anual sobre el estado de la vivienda en la UE;</w:t>
      </w:r>
    </w:p>
    <w:p w14:paraId="53F0F5CF" w14:textId="39694EEB" w:rsidR="005F5E52" w:rsidRPr="00517C9E" w:rsidRDefault="005F5E52" w:rsidP="005F5E52">
      <w:pPr>
        <w:pStyle w:val="ListParagraph"/>
        <w:numPr>
          <w:ilvl w:val="0"/>
          <w:numId w:val="3"/>
        </w:numPr>
        <w:ind w:left="284" w:hanging="284"/>
        <w:rPr>
          <w:rFonts w:ascii="Verdana" w:hAnsi="Verdana"/>
          <w:sz w:val="18"/>
        </w:rPr>
      </w:pPr>
      <w:r>
        <w:rPr>
          <w:rFonts w:ascii="Verdana" w:hAnsi="Verdana"/>
          <w:sz w:val="18"/>
        </w:rPr>
        <w:t xml:space="preserve">consagrar un </w:t>
      </w:r>
      <w:r>
        <w:rPr>
          <w:rFonts w:ascii="Verdana" w:hAnsi="Verdana"/>
          <w:b/>
          <w:sz w:val="18"/>
        </w:rPr>
        <w:t>verdadero derecho universal a la vivienda</w:t>
      </w:r>
      <w:r>
        <w:rPr>
          <w:rFonts w:ascii="Verdana" w:hAnsi="Verdana"/>
          <w:sz w:val="18"/>
        </w:rPr>
        <w:t>, en particular mediante un Reglamento sectorial adoptado con arreglo al procedimiento legislativo ordinario;</w:t>
      </w:r>
    </w:p>
    <w:p w14:paraId="66BF29BD" w14:textId="54E90885" w:rsidR="001739C0" w:rsidRPr="00517C9E" w:rsidRDefault="005F5E52" w:rsidP="005F5E52">
      <w:pPr>
        <w:pStyle w:val="ListParagraph"/>
        <w:numPr>
          <w:ilvl w:val="0"/>
          <w:numId w:val="3"/>
        </w:numPr>
        <w:ind w:left="284" w:hanging="284"/>
        <w:rPr>
          <w:rFonts w:ascii="Verdana" w:hAnsi="Verdana"/>
          <w:sz w:val="18"/>
        </w:rPr>
      </w:pPr>
      <w:r>
        <w:rPr>
          <w:rFonts w:ascii="Verdana" w:hAnsi="Verdana"/>
          <w:sz w:val="18"/>
        </w:rPr>
        <w:t xml:space="preserve">crear un </w:t>
      </w:r>
      <w:r>
        <w:rPr>
          <w:rFonts w:ascii="Verdana" w:hAnsi="Verdana"/>
          <w:b/>
          <w:sz w:val="18"/>
        </w:rPr>
        <w:t>fondo europeo de inversión en viviendas asequibles, dignas y adecuadas</w:t>
      </w:r>
      <w:r>
        <w:rPr>
          <w:rFonts w:ascii="Verdana" w:hAnsi="Verdana"/>
          <w:sz w:val="18"/>
        </w:rPr>
        <w:t>, destinado a la creación y el mantenimiento de viviendas de coste moderado.</w:t>
      </w:r>
    </w:p>
    <w:p w14:paraId="324E048D" w14:textId="152CC6B8" w:rsidR="00992A5E" w:rsidRPr="00517C9E" w:rsidRDefault="00992A5E" w:rsidP="00992A5E">
      <w:pPr>
        <w:rPr>
          <w:rFonts w:ascii="Verdana" w:hAnsi="Verdana"/>
          <w:sz w:val="18"/>
        </w:rPr>
      </w:pPr>
    </w:p>
    <w:p w14:paraId="71D05057" w14:textId="05DE700F" w:rsidR="00992A5E" w:rsidRPr="00517C9E" w:rsidRDefault="00992A5E" w:rsidP="00992A5E">
      <w:pPr>
        <w:rPr>
          <w:rFonts w:ascii="Verdana" w:hAnsi="Verdana"/>
          <w:sz w:val="18"/>
        </w:rPr>
      </w:pPr>
      <w:r>
        <w:rPr>
          <w:rFonts w:ascii="Verdana" w:hAnsi="Verdana"/>
          <w:sz w:val="18"/>
        </w:rPr>
        <w:t xml:space="preserve">El CESE reunirá ahora sus recomendaciones (que se publicarán en breve en su </w:t>
      </w:r>
      <w:hyperlink r:id="rId14" w:history="1">
        <w:r>
          <w:rPr>
            <w:rStyle w:val="Hyperlink"/>
            <w:rFonts w:ascii="Verdana" w:hAnsi="Verdana"/>
            <w:sz w:val="18"/>
          </w:rPr>
          <w:t>sitio web</w:t>
        </w:r>
      </w:hyperlink>
      <w:r>
        <w:rPr>
          <w:rFonts w:ascii="Verdana" w:hAnsi="Verdana"/>
          <w:sz w:val="18"/>
        </w:rPr>
        <w:t>) y las presentará en la Conferencia Ministerial sobre la Vivienda que se celebrará en Lieja los días</w:t>
      </w:r>
      <w:r w:rsidR="00F218A4">
        <w:rPr>
          <w:rFonts w:ascii="Verdana" w:hAnsi="Verdana"/>
          <w:sz w:val="18"/>
        </w:rPr>
        <w:t> </w:t>
      </w:r>
      <w:r>
        <w:rPr>
          <w:rFonts w:ascii="Verdana" w:hAnsi="Verdana"/>
          <w:sz w:val="18"/>
        </w:rPr>
        <w:t>4</w:t>
      </w:r>
      <w:r w:rsidR="00F218A4">
        <w:rPr>
          <w:rFonts w:ascii="Verdana" w:hAnsi="Verdana"/>
          <w:sz w:val="18"/>
        </w:rPr>
        <w:t> </w:t>
      </w:r>
      <w:r>
        <w:rPr>
          <w:rFonts w:ascii="Verdana" w:hAnsi="Verdana"/>
          <w:sz w:val="18"/>
        </w:rPr>
        <w:t>y</w:t>
      </w:r>
      <w:r w:rsidR="00F218A4">
        <w:rPr>
          <w:rFonts w:ascii="Verdana" w:hAnsi="Verdana"/>
          <w:sz w:val="18"/>
        </w:rPr>
        <w:t> </w:t>
      </w:r>
      <w:r>
        <w:rPr>
          <w:rFonts w:ascii="Verdana" w:hAnsi="Verdana"/>
          <w:sz w:val="18"/>
        </w:rPr>
        <w:t>5</w:t>
      </w:r>
      <w:r w:rsidR="00F218A4">
        <w:rPr>
          <w:rFonts w:ascii="Verdana" w:hAnsi="Verdana"/>
          <w:sz w:val="18"/>
        </w:rPr>
        <w:t> </w:t>
      </w:r>
      <w:r>
        <w:rPr>
          <w:rFonts w:ascii="Verdana" w:hAnsi="Verdana"/>
          <w:sz w:val="18"/>
        </w:rPr>
        <w:t>de marzo de 2024, bajo la Presidencia belga del Consejo de la UE. De este modo, el CESE pretende dar un impulso político al debate y garantizar que la crisis de la vivienda de la UE figure en la agenda 2024-2029 del nuevo Parlamento Europeo y de la nueva Comisión.</w:t>
      </w:r>
    </w:p>
    <w:p w14:paraId="6309C512" w14:textId="77777777" w:rsidR="006A61DA" w:rsidRPr="00517C9E" w:rsidRDefault="006A61DA" w:rsidP="006A61DA">
      <w:pPr>
        <w:rPr>
          <w:rFonts w:ascii="Verdana" w:hAnsi="Verdana"/>
          <w:sz w:val="18"/>
        </w:rPr>
      </w:pPr>
    </w:p>
    <w:p w14:paraId="08DA2E51" w14:textId="77777777" w:rsidR="006A61DA" w:rsidRPr="00517C9E" w:rsidRDefault="006A61DA" w:rsidP="006A61DA">
      <w:pPr>
        <w:rPr>
          <w:rFonts w:ascii="Verdana" w:hAnsi="Verdana"/>
          <w:b/>
          <w:bCs/>
          <w:sz w:val="18"/>
        </w:rPr>
      </w:pPr>
      <w:r>
        <w:rPr>
          <w:rFonts w:ascii="Verdana" w:hAnsi="Verdana"/>
          <w:b/>
          <w:sz w:val="18"/>
        </w:rPr>
        <w:t>Oradores de alto nivel</w:t>
      </w:r>
    </w:p>
    <w:p w14:paraId="352F86AF" w14:textId="07B28E7F" w:rsidR="006A61DA" w:rsidRPr="00517C9E" w:rsidRDefault="006A61DA" w:rsidP="006A61DA">
      <w:pPr>
        <w:rPr>
          <w:rFonts w:ascii="Verdana" w:hAnsi="Verdana"/>
          <w:sz w:val="18"/>
        </w:rPr>
      </w:pPr>
    </w:p>
    <w:p w14:paraId="681154FB" w14:textId="2B8E3C6F" w:rsidR="00992A5E" w:rsidRPr="00517C9E" w:rsidRDefault="00992A5E" w:rsidP="006A61DA">
      <w:pPr>
        <w:rPr>
          <w:rFonts w:ascii="Verdana" w:hAnsi="Verdana"/>
          <w:sz w:val="18"/>
        </w:rPr>
      </w:pPr>
      <w:r>
        <w:rPr>
          <w:rFonts w:ascii="Verdana" w:hAnsi="Verdana"/>
          <w:sz w:val="18"/>
        </w:rPr>
        <w:t>La conferencia fue organizada por la Sección de Transportes, Energía, Infraestructuras y Sociedad de la Información (TEN) del CESE y contó con la participación de destacados oradores.</w:t>
      </w:r>
    </w:p>
    <w:p w14:paraId="13A2F803" w14:textId="77777777" w:rsidR="00992A5E" w:rsidRPr="00517C9E" w:rsidRDefault="00992A5E" w:rsidP="006A61DA">
      <w:pPr>
        <w:rPr>
          <w:rFonts w:ascii="Verdana" w:hAnsi="Verdana"/>
          <w:sz w:val="18"/>
        </w:rPr>
      </w:pPr>
    </w:p>
    <w:p w14:paraId="08E9035A" w14:textId="0A6DEF97" w:rsidR="00B345EE" w:rsidRPr="00B345EE" w:rsidRDefault="002D5F24" w:rsidP="001F660F">
      <w:pPr>
        <w:rPr>
          <w:rFonts w:ascii="Verdana" w:hAnsi="Verdana"/>
          <w:sz w:val="18"/>
        </w:rPr>
      </w:pPr>
      <w:r>
        <w:rPr>
          <w:rFonts w:ascii="Verdana" w:hAnsi="Verdana"/>
          <w:sz w:val="18"/>
        </w:rPr>
        <w:t>«Hoy en día, los europeos están cada vez más preocupados por la disponibilidad, accesibilidad y sostenibilidad de una vivienda digna, y el CESE asume plenamente su compromiso de abordar estas preocupaciones con numerosas propuestas concretas. Las organizaciones de la sociedad civil son fundamentales para promover una política de vivienda asequible en la que participen todas las partes interesadas a escala local, nacional y de la UE».</w:t>
      </w:r>
    </w:p>
    <w:p w14:paraId="55422D8E" w14:textId="3E602144" w:rsidR="006A61DA" w:rsidRPr="00517C9E" w:rsidRDefault="006A61DA" w:rsidP="001F660F">
      <w:pPr>
        <w:rPr>
          <w:rFonts w:ascii="Verdana" w:hAnsi="Verdana"/>
          <w:sz w:val="18"/>
        </w:rPr>
      </w:pPr>
      <w:r>
        <w:rPr>
          <w:rFonts w:ascii="Verdana" w:hAnsi="Verdana"/>
          <w:b/>
          <w:sz w:val="18"/>
        </w:rPr>
        <w:t>Oliver Röpke</w:t>
      </w:r>
      <w:r>
        <w:rPr>
          <w:rFonts w:ascii="Verdana" w:hAnsi="Verdana"/>
          <w:sz w:val="18"/>
        </w:rPr>
        <w:t>, presidente del CESE</w:t>
      </w:r>
    </w:p>
    <w:p w14:paraId="698B7741" w14:textId="4AF6D980" w:rsidR="006A61DA" w:rsidRPr="00517C9E" w:rsidRDefault="006A61DA" w:rsidP="001F660F">
      <w:pPr>
        <w:rPr>
          <w:rFonts w:ascii="Verdana" w:hAnsi="Verdana"/>
          <w:sz w:val="18"/>
        </w:rPr>
      </w:pPr>
    </w:p>
    <w:p w14:paraId="6BFE587A" w14:textId="3B243DAA" w:rsidR="00AA5AF3" w:rsidRPr="00AA5AF3" w:rsidRDefault="00AA5AF3" w:rsidP="00AA5AF3">
      <w:pPr>
        <w:rPr>
          <w:rFonts w:ascii="Verdana" w:hAnsi="Verdana"/>
          <w:sz w:val="18"/>
        </w:rPr>
      </w:pPr>
      <w:r>
        <w:rPr>
          <w:rFonts w:ascii="Verdana" w:hAnsi="Verdana"/>
          <w:sz w:val="18"/>
        </w:rPr>
        <w:t>«Es innegable que Europa se enfrenta a una crisis de la vivienda. El derecho a acceder a una vivienda digna y asequible ocupa un lugar central en la Europa social fuerte que queremos, y está claramente consagrado en el pilar europeo de derechos sociales. Garantizar que todo el mundo pueda acceder a una vivienda asequible es complicado, pero constituye un imperativo. Urge actuar ahora, a todos los niveles, poniendo en marcha políticas e inversiones eficaces».</w:t>
      </w:r>
    </w:p>
    <w:p w14:paraId="7B02E055" w14:textId="1DA41629" w:rsidR="00812CBD" w:rsidRPr="00517C9E" w:rsidRDefault="00812CBD" w:rsidP="00812CBD">
      <w:pPr>
        <w:rPr>
          <w:rFonts w:ascii="Verdana" w:hAnsi="Verdana"/>
          <w:sz w:val="18"/>
        </w:rPr>
      </w:pPr>
      <w:r>
        <w:rPr>
          <w:rFonts w:ascii="Verdana" w:hAnsi="Verdana"/>
          <w:b/>
          <w:sz w:val="18"/>
        </w:rPr>
        <w:t>Nicolas Schmit</w:t>
      </w:r>
      <w:r>
        <w:rPr>
          <w:rFonts w:ascii="Verdana" w:hAnsi="Verdana"/>
          <w:sz w:val="18"/>
        </w:rPr>
        <w:t>, comisario europeo de Empleo y Derechos Sociales</w:t>
      </w:r>
    </w:p>
    <w:p w14:paraId="1A671CF6" w14:textId="43FC1183" w:rsidR="00812CBD" w:rsidRPr="00517C9E" w:rsidRDefault="00812CBD" w:rsidP="001F660F">
      <w:pPr>
        <w:rPr>
          <w:rFonts w:ascii="Verdana" w:hAnsi="Verdana"/>
          <w:sz w:val="18"/>
        </w:rPr>
      </w:pPr>
    </w:p>
    <w:p w14:paraId="378EC2A3" w14:textId="49A75C35" w:rsidR="009B7EA2" w:rsidRPr="00517C9E" w:rsidRDefault="00ED7FD2" w:rsidP="009B7EA2">
      <w:pPr>
        <w:rPr>
          <w:rFonts w:ascii="Verdana" w:hAnsi="Verdana"/>
          <w:sz w:val="18"/>
        </w:rPr>
      </w:pPr>
      <w:r>
        <w:rPr>
          <w:rFonts w:ascii="Verdana" w:hAnsi="Verdana"/>
          <w:sz w:val="18"/>
        </w:rPr>
        <w:t>«Es necesaria una iniciativa para una estrategia integrada de la UE en materia de vivienda social, pública y asequible. Precisamos incluir la vivienda en la Decisión sobre la lista de servicios de interés económico general, pero sin necesidad de mencionar a un colectivo determinado (ciudadanos desfavorecidos o grupos menos favorecidos socialmente), ya que esto puede limitar la posibilidad de ofrecer viviendas sociales y asequibles para todos».</w:t>
      </w:r>
    </w:p>
    <w:p w14:paraId="3838B791" w14:textId="7D06CA63" w:rsidR="00812CBD" w:rsidRPr="00517C9E" w:rsidRDefault="00812CBD" w:rsidP="00812CBD">
      <w:pPr>
        <w:rPr>
          <w:rFonts w:ascii="Verdana" w:hAnsi="Verdana"/>
          <w:sz w:val="18"/>
        </w:rPr>
      </w:pPr>
      <w:r>
        <w:rPr>
          <w:rFonts w:ascii="Verdana" w:hAnsi="Verdana"/>
          <w:b/>
          <w:sz w:val="18"/>
        </w:rPr>
        <w:t>Estrella Durá Ferrandis</w:t>
      </w:r>
      <w:r>
        <w:rPr>
          <w:rFonts w:ascii="Verdana" w:hAnsi="Verdana"/>
          <w:sz w:val="18"/>
        </w:rPr>
        <w:t>, diputada al Parlamento Europeo, Grupo de la Alianza Progresista de Socialistas y Demócratas</w:t>
      </w:r>
    </w:p>
    <w:p w14:paraId="27AAF9AB" w14:textId="57069563" w:rsidR="00A17743" w:rsidRPr="00517C9E" w:rsidRDefault="00A17743" w:rsidP="00A17743">
      <w:pPr>
        <w:rPr>
          <w:rFonts w:ascii="Verdana" w:hAnsi="Verdana"/>
          <w:sz w:val="18"/>
        </w:rPr>
      </w:pPr>
    </w:p>
    <w:p w14:paraId="5FA18811" w14:textId="117AB581" w:rsidR="00443FEE" w:rsidRPr="009926B0" w:rsidRDefault="00ED7FD2" w:rsidP="00F218A4">
      <w:pPr>
        <w:keepNext/>
        <w:keepLines/>
        <w:rPr>
          <w:rFonts w:ascii="Verdana" w:hAnsi="Verdana"/>
          <w:sz w:val="18"/>
        </w:rPr>
      </w:pPr>
      <w:r>
        <w:rPr>
          <w:rFonts w:ascii="Verdana" w:hAnsi="Verdana"/>
          <w:sz w:val="18"/>
        </w:rPr>
        <w:lastRenderedPageBreak/>
        <w:t>«El derecho a la vivienda es un derecho fundamental. Garantizar el acceso a una vivienda digna y asequible es la mejor manera de evitar que empeore el problema de las personas sin hogar y aumente la exclusión en materia de vivienda. La crisis de la vivienda asequible es una realidad europea que trasciende las fronteras nacionales y afecta a la cohesión económica y social de la Unión Europea».</w:t>
      </w:r>
    </w:p>
    <w:p w14:paraId="568A80E1" w14:textId="231ECDC1" w:rsidR="00D60065" w:rsidRPr="00517C9E" w:rsidRDefault="00D60065" w:rsidP="00A17743">
      <w:pPr>
        <w:rPr>
          <w:rFonts w:ascii="Verdana" w:hAnsi="Verdana"/>
          <w:sz w:val="18"/>
        </w:rPr>
      </w:pPr>
      <w:r>
        <w:rPr>
          <w:rFonts w:ascii="Verdana" w:hAnsi="Verdana"/>
          <w:b/>
          <w:sz w:val="18"/>
        </w:rPr>
        <w:t>Christophe Collignon</w:t>
      </w:r>
      <w:r>
        <w:rPr>
          <w:rFonts w:ascii="Verdana" w:hAnsi="Verdana"/>
          <w:sz w:val="18"/>
        </w:rPr>
        <w:t>, ministro de Vivienda y Entes Locales de Valonia</w:t>
      </w:r>
    </w:p>
    <w:p w14:paraId="6233C99B" w14:textId="77777777" w:rsidR="00A17743" w:rsidRPr="00517C9E" w:rsidRDefault="00A17743" w:rsidP="001F660F">
      <w:pPr>
        <w:rPr>
          <w:rFonts w:ascii="Verdana" w:hAnsi="Verdana"/>
          <w:sz w:val="18"/>
        </w:rPr>
      </w:pPr>
    </w:p>
    <w:p w14:paraId="6CDC6280" w14:textId="5A738D97" w:rsidR="00E0132B" w:rsidRPr="00517C9E" w:rsidRDefault="006B2091" w:rsidP="00992A5E">
      <w:pPr>
        <w:rPr>
          <w:rFonts w:ascii="Verdana" w:hAnsi="Verdana"/>
          <w:sz w:val="18"/>
        </w:rPr>
      </w:pPr>
      <w:r>
        <w:rPr>
          <w:rFonts w:ascii="Verdana" w:hAnsi="Verdana"/>
          <w:sz w:val="18"/>
        </w:rPr>
        <w:t>«La vivienda tiene una importancia capital para el Comité Económico y Social Europeo. No hemos dejado de subrayar que el acceso a una vivienda asequible y de buena calidad es una necesidad básica de los ciudadanos europeos. Además, también es un elemento clave para alcanzar una serie de objetivos de política económica, medioambiental y social, así como para promover la igualdad de oportunidades, la inclusión social y la movilidad».</w:t>
      </w:r>
    </w:p>
    <w:p w14:paraId="16B6DE15" w14:textId="7BC76F53" w:rsidR="00992A5E" w:rsidRPr="00517C9E" w:rsidRDefault="00992A5E" w:rsidP="001F660F">
      <w:pPr>
        <w:rPr>
          <w:rFonts w:ascii="Verdana" w:hAnsi="Verdana"/>
          <w:sz w:val="18"/>
        </w:rPr>
      </w:pPr>
      <w:r>
        <w:rPr>
          <w:rFonts w:ascii="Verdana" w:hAnsi="Verdana"/>
          <w:b/>
          <w:sz w:val="18"/>
        </w:rPr>
        <w:t>Baiba Miltoviča</w:t>
      </w:r>
      <w:r>
        <w:rPr>
          <w:rFonts w:ascii="Verdana" w:hAnsi="Verdana"/>
          <w:sz w:val="18"/>
        </w:rPr>
        <w:t>, presidenta de la Sección de Transportes, Energía, Infraestructuras y Sociedad de la Información del CESE</w:t>
      </w:r>
    </w:p>
    <w:p w14:paraId="0E9100E9" w14:textId="75E2B453" w:rsidR="0044529A" w:rsidRPr="00517C9E" w:rsidRDefault="0044529A" w:rsidP="00177BD4">
      <w:pPr>
        <w:rPr>
          <w:rFonts w:ascii="Verdana" w:hAnsi="Verdana"/>
          <w:sz w:val="18"/>
        </w:rPr>
      </w:pPr>
    </w:p>
    <w:p w14:paraId="08238E23" w14:textId="6E17EEC7" w:rsidR="006A61DA" w:rsidRDefault="006A61DA" w:rsidP="00177BD4">
      <w:pPr>
        <w:rPr>
          <w:rFonts w:ascii="Verdana" w:hAnsi="Verdana"/>
          <w:sz w:val="18"/>
        </w:rPr>
      </w:pPr>
    </w:p>
    <w:p w14:paraId="5A957941" w14:textId="77777777" w:rsidR="00B9523E" w:rsidRPr="00517C9E" w:rsidRDefault="00B9523E" w:rsidP="00177BD4">
      <w:pPr>
        <w:rPr>
          <w:rFonts w:ascii="Verdana" w:hAnsi="Verdana"/>
          <w:sz w:val="18"/>
        </w:rPr>
      </w:pPr>
    </w:p>
    <w:p w14:paraId="4255D68F" w14:textId="77777777" w:rsidR="005C43A1" w:rsidRPr="00517C9E" w:rsidRDefault="005C43A1" w:rsidP="00795B49">
      <w:pPr>
        <w:rPr>
          <w:rFonts w:ascii="Verdana" w:hAnsi="Verdana"/>
          <w:bCs/>
          <w:sz w:val="18"/>
          <w:szCs w:val="18"/>
        </w:rPr>
      </w:pPr>
    </w:p>
    <w:p w14:paraId="721508B5" w14:textId="77777777" w:rsidR="00BD7293" w:rsidRPr="00517C9E" w:rsidRDefault="00BD7293" w:rsidP="00BD7293">
      <w:pPr>
        <w:jc w:val="center"/>
        <w:rPr>
          <w:rFonts w:ascii="Verdana" w:hAnsi="Verdana"/>
          <w:sz w:val="18"/>
          <w:szCs w:val="18"/>
        </w:rPr>
      </w:pPr>
      <w:r>
        <w:rPr>
          <w:rFonts w:ascii="Verdana" w:hAnsi="Verdana"/>
          <w:b/>
          <w:sz w:val="18"/>
        </w:rPr>
        <w:t>Para más información, póngase en contacto con:</w:t>
      </w:r>
    </w:p>
    <w:p w14:paraId="2BFC0303" w14:textId="77777777" w:rsidR="00BD7293" w:rsidRPr="00517C9E" w:rsidRDefault="00BD7293" w:rsidP="00BD7293">
      <w:pPr>
        <w:pStyle w:val="Heading1"/>
        <w:numPr>
          <w:ilvl w:val="0"/>
          <w:numId w:val="0"/>
        </w:numPr>
        <w:ind w:left="360"/>
        <w:jc w:val="center"/>
        <w:rPr>
          <w:rFonts w:ascii="Verdana" w:hAnsi="Verdana"/>
          <w:sz w:val="18"/>
          <w:szCs w:val="18"/>
        </w:rPr>
      </w:pPr>
      <w:r>
        <w:rPr>
          <w:rFonts w:ascii="Verdana" w:hAnsi="Verdana"/>
          <w:sz w:val="18"/>
        </w:rPr>
        <w:t>Unidad de Prensa del CESE – Marco Pezzani</w:t>
      </w:r>
      <w:r>
        <w:rPr>
          <w:rFonts w:ascii="Verdana" w:hAnsi="Verdana"/>
          <w:sz w:val="18"/>
        </w:rPr>
        <w:br/>
        <w:t>+32 (0)2 546 9793 – Móvil: +32 (0)470 881 903</w:t>
      </w:r>
    </w:p>
    <w:p w14:paraId="7E0C5C48" w14:textId="77777777" w:rsidR="00BD7293" w:rsidRPr="00517C9E" w:rsidRDefault="00104401" w:rsidP="00BD7293">
      <w:pPr>
        <w:jc w:val="center"/>
        <w:rPr>
          <w:rFonts w:ascii="Verdana" w:hAnsi="Verdana"/>
          <w:sz w:val="18"/>
          <w:szCs w:val="18"/>
        </w:rPr>
      </w:pPr>
      <w:hyperlink r:id="rId15" w:history="1">
        <w:r w:rsidR="006E07B9">
          <w:rPr>
            <w:rStyle w:val="Hyperlink"/>
            <w:rFonts w:ascii="Verdana" w:hAnsi="Verdana"/>
            <w:sz w:val="18"/>
          </w:rPr>
          <w:t>marco.pezzani@eesc.europa.eu</w:t>
        </w:r>
      </w:hyperlink>
    </w:p>
    <w:p w14:paraId="3B3D4053" w14:textId="4D9A942B" w:rsidR="00BD7293" w:rsidRPr="00517C9E" w:rsidRDefault="00BD7293" w:rsidP="00BD7293">
      <w:pPr>
        <w:pStyle w:val="Heading1"/>
        <w:numPr>
          <w:ilvl w:val="0"/>
          <w:numId w:val="0"/>
        </w:numPr>
        <w:jc w:val="center"/>
        <w:rPr>
          <w:rFonts w:ascii="Verdana" w:hAnsi="Verdana"/>
          <w:b/>
          <w:bCs/>
          <w:sz w:val="18"/>
          <w:szCs w:val="18"/>
        </w:rPr>
      </w:pPr>
      <w:r>
        <w:rPr>
          <w:rFonts w:ascii="Verdana" w:hAnsi="Verdana"/>
          <w:b/>
          <w:sz w:val="18"/>
        </w:rPr>
        <w:t>@EESC_PRESS</w:t>
      </w:r>
    </w:p>
    <w:p w14:paraId="2D86040E" w14:textId="77777777" w:rsidR="004177F4" w:rsidRPr="00517C9E" w:rsidRDefault="004177F4" w:rsidP="004177F4">
      <w:pPr>
        <w:rPr>
          <w:rFonts w:ascii="Verdana" w:hAnsi="Verdana"/>
          <w:sz w:val="18"/>
        </w:rPr>
      </w:pPr>
    </w:p>
    <w:p w14:paraId="2F3F2A91" w14:textId="77777777" w:rsidR="00F83179" w:rsidRPr="00517C9E" w:rsidRDefault="00F83179" w:rsidP="00CE439D">
      <w:pPr>
        <w:rPr>
          <w:rFonts w:ascii="Verdana" w:hAnsi="Verdana"/>
          <w:b/>
          <w:bCs/>
          <w:i/>
          <w:sz w:val="16"/>
          <w:szCs w:val="16"/>
        </w:rPr>
      </w:pPr>
      <w:r>
        <w:rPr>
          <w:rFonts w:ascii="Verdana" w:hAnsi="Verdana"/>
          <w:i/>
          <w:sz w:val="16"/>
        </w:rPr>
        <w:t>__</w:t>
      </w:r>
      <w:r>
        <w:rPr>
          <w:rFonts w:ascii="Verdana" w:hAnsi="Verdana"/>
          <w:b/>
          <w:i/>
          <w:sz w:val="16"/>
        </w:rPr>
        <w:t>_____________________________________________________________________________</w:t>
      </w:r>
    </w:p>
    <w:p w14:paraId="2550D65E" w14:textId="77777777" w:rsidR="00F83179" w:rsidRPr="00517C9E" w:rsidRDefault="00F83179" w:rsidP="00CE439D">
      <w:pPr>
        <w:rPr>
          <w:rFonts w:ascii="Verdana" w:hAnsi="Verdana"/>
          <w:i/>
          <w:sz w:val="16"/>
          <w:szCs w:val="16"/>
        </w:rPr>
      </w:pPr>
      <w:r>
        <w:rPr>
          <w:rFonts w:ascii="Verdana" w:hAnsi="Verdana"/>
          <w:i/>
          <w:sz w:val="16"/>
        </w:rPr>
        <w:t>El Comité Económico y Social Europeo garantiza la representación de los diferentes componentes de carácter económico y social de la sociedad civil organizada. Es un órgano institucional consultivo, creado por el Tratado de Roma en 1957. Su función consultiva hace posible que sus miembros —y, por tanto, las organizaciones a las que representan— participen en el proceso de toma de decisiones de la UE.</w:t>
      </w:r>
    </w:p>
    <w:p w14:paraId="293C97E3" w14:textId="77777777" w:rsidR="00F83179" w:rsidRPr="00517C9E" w:rsidRDefault="00F83179" w:rsidP="00AB5D9C">
      <w:pPr>
        <w:rPr>
          <w:rFonts w:ascii="Verdana" w:hAnsi="Verdana"/>
          <w:sz w:val="18"/>
        </w:rPr>
      </w:pPr>
      <w:r>
        <w:rPr>
          <w:rFonts w:ascii="Verdana" w:hAnsi="Verdana"/>
          <w:i/>
          <w:sz w:val="16"/>
        </w:rPr>
        <w:t>__</w:t>
      </w:r>
      <w:r>
        <w:rPr>
          <w:rFonts w:ascii="Verdana" w:hAnsi="Verdana"/>
          <w:b/>
          <w:i/>
          <w:sz w:val="16"/>
        </w:rPr>
        <w:t>_____________________________________________________________________________</w:t>
      </w:r>
    </w:p>
    <w:sectPr w:rsidR="00F83179" w:rsidRPr="00517C9E" w:rsidSect="00A70691">
      <w:type w:val="continuous"/>
      <w:pgSz w:w="11907" w:h="16839" w:code="9"/>
      <w:pgMar w:top="425" w:right="1418" w:bottom="1418" w:left="1418" w:header="3062" w:footer="1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1E09D" w14:textId="77777777" w:rsidR="0009232E" w:rsidRDefault="0009232E">
      <w:r>
        <w:separator/>
      </w:r>
    </w:p>
  </w:endnote>
  <w:endnote w:type="continuationSeparator" w:id="0">
    <w:p w14:paraId="24373ACA" w14:textId="77777777" w:rsidR="0009232E" w:rsidRDefault="0009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8EF4" w14:textId="77777777" w:rsidR="00F83179" w:rsidRPr="0004715C" w:rsidRDefault="00F83179" w:rsidP="0004715C">
    <w:pPr>
      <w:spacing w:line="240" w:lineRule="auto"/>
      <w:jc w:val="center"/>
      <w:rPr>
        <w:rFonts w:ascii="Verdana" w:hAnsi="Verdana"/>
        <w:sz w:val="16"/>
        <w:szCs w:val="16"/>
      </w:rPr>
    </w:pPr>
    <w:r>
      <w:rPr>
        <w:rFonts w:ascii="Verdana" w:hAnsi="Verdana"/>
        <w:sz w:val="16"/>
      </w:rPr>
      <w:t>Rue Belliard/Belliardstraat 99, 1040 Bruselas (BÉLGICA)</w:t>
    </w:r>
  </w:p>
  <w:p w14:paraId="7818F7A3" w14:textId="77777777" w:rsidR="00F83179" w:rsidRPr="0004715C" w:rsidRDefault="00F83179" w:rsidP="0004715C">
    <w:pPr>
      <w:spacing w:line="240" w:lineRule="auto"/>
      <w:jc w:val="center"/>
      <w:rPr>
        <w:rFonts w:ascii="Verdana" w:hAnsi="Verdana"/>
        <w:sz w:val="16"/>
        <w:szCs w:val="16"/>
      </w:rPr>
    </w:pPr>
    <w:r>
      <w:rPr>
        <w:rFonts w:ascii="Verdana" w:hAnsi="Verdana"/>
        <w:sz w:val="16"/>
      </w:rPr>
      <w:t>Tel.: +32 (0)25469406 – Fax: +32 (0)25469764</w:t>
    </w:r>
  </w:p>
  <w:p w14:paraId="70E10F9D" w14:textId="77777777" w:rsidR="00F83179" w:rsidRDefault="00F83179" w:rsidP="0004715C">
    <w:pPr>
      <w:spacing w:line="240" w:lineRule="auto"/>
      <w:jc w:val="center"/>
      <w:rPr>
        <w:rFonts w:ascii="Verdana" w:hAnsi="Verdana"/>
        <w:sz w:val="16"/>
        <w:szCs w:val="16"/>
      </w:rPr>
    </w:pPr>
    <w:r>
      <w:rPr>
        <w:rFonts w:ascii="Verdana" w:hAnsi="Verdana"/>
        <w:sz w:val="16"/>
      </w:rPr>
      <w:t xml:space="preserve">Correo electrónico: </w:t>
    </w:r>
    <w:hyperlink r:id="rId1" w:history="1">
      <w:r>
        <w:rPr>
          <w:rStyle w:val="Hyperlink"/>
          <w:rFonts w:ascii="Verdana" w:hAnsi="Verdana"/>
          <w:sz w:val="16"/>
        </w:rPr>
        <w:t>press@eesc.europa.eu</w:t>
      </w:r>
    </w:hyperlink>
    <w:r>
      <w:rPr>
        <w:rFonts w:ascii="Verdana" w:hAnsi="Verdana"/>
        <w:sz w:val="16"/>
      </w:rPr>
      <w:t xml:space="preserve"> – Internet: </w:t>
    </w:r>
    <w:hyperlink r:id="rId2" w:history="1">
      <w:r>
        <w:rPr>
          <w:rStyle w:val="Hyperlink"/>
          <w:rFonts w:ascii="Verdana" w:hAnsi="Verdana"/>
          <w:sz w:val="16"/>
        </w:rPr>
        <w:t>www.eesc.europa.eu</w:t>
      </w:r>
    </w:hyperlink>
  </w:p>
  <w:p w14:paraId="0520ED5B" w14:textId="77777777" w:rsidR="00F83179" w:rsidRPr="0004715C" w:rsidRDefault="00046C01" w:rsidP="00F61167">
    <w:pPr>
      <w:spacing w:line="240" w:lineRule="auto"/>
      <w:jc w:val="center"/>
      <w:rPr>
        <w:rFonts w:ascii="Verdana" w:hAnsi="Verdana"/>
        <w:sz w:val="16"/>
        <w:szCs w:val="16"/>
      </w:rPr>
    </w:pPr>
    <w:r>
      <w:rPr>
        <w:rFonts w:ascii="Verdana" w:hAnsi="Verdana"/>
        <w:sz w:val="16"/>
      </w:rPr>
      <w:t xml:space="preserve">Síganos en </w:t>
    </w:r>
    <w:r>
      <w:rPr>
        <w:noProof/>
      </w:rPr>
      <w:drawing>
        <wp:inline distT="0" distB="0" distL="0" distR="0" wp14:anchorId="06994DCF" wp14:editId="424AC23D">
          <wp:extent cx="323850" cy="323850"/>
          <wp:effectExtent l="0" t="0" r="0" b="0"/>
          <wp:docPr id="8" name="Graphic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hlinkClick r:id="rId3"/>
                  </pic:cNvPr>
                  <pic:cNvPicPr/>
                </pic:nvPicPr>
                <pic:blipFill>
                  <a:blip r:embed="rId4">
                    <a:extLst>
                      <a:ext uri="{96DAC541-7B7A-43D3-8B79-37D633B846F1}">
                        <asvg:svgBlip xmlns:asvg="http://schemas.microsoft.com/office/drawing/2016/SVG/main" r:embed="rId5"/>
                      </a:ext>
                    </a:extLst>
                  </a:blip>
                  <a:stretch>
                    <a:fillRect/>
                  </a:stretch>
                </pic:blipFill>
                <pic:spPr>
                  <a:xfrm>
                    <a:off x="0" y="0"/>
                    <a:ext cx="323850" cy="323850"/>
                  </a:xfrm>
                  <a:prstGeom prst="rect">
                    <a:avLst/>
                  </a:prstGeom>
                </pic:spPr>
              </pic:pic>
            </a:graphicData>
          </a:graphic>
        </wp:inline>
      </w:drawing>
    </w:r>
    <w:r>
      <w:rPr>
        <w:noProof/>
      </w:rPr>
      <w:drawing>
        <wp:inline distT="0" distB="0" distL="0" distR="0" wp14:anchorId="490A65EF" wp14:editId="2EF54CD4">
          <wp:extent cx="323850" cy="323850"/>
          <wp:effectExtent l="0" t="0" r="0" b="0"/>
          <wp:docPr id="7" name="Graphic 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hlinkClick r:id="rId6"/>
                  </pic:cNvPr>
                  <pic:cNvPicPr/>
                </pic:nvPicPr>
                <pic:blipFill>
                  <a:blip r:embed="rId7">
                    <a:extLst>
                      <a:ext uri="{96DAC541-7B7A-43D3-8B79-37D633B846F1}">
                        <asvg:svgBlip xmlns:asvg="http://schemas.microsoft.com/office/drawing/2016/SVG/main" r:embed="rId8"/>
                      </a:ext>
                    </a:extLst>
                  </a:blip>
                  <a:stretch>
                    <a:fillRect/>
                  </a:stretch>
                </pic:blipFill>
                <pic:spPr>
                  <a:xfrm>
                    <a:off x="0" y="0"/>
                    <a:ext cx="323850" cy="323850"/>
                  </a:xfrm>
                  <a:prstGeom prst="rect">
                    <a:avLst/>
                  </a:prstGeom>
                </pic:spPr>
              </pic:pic>
            </a:graphicData>
          </a:graphic>
        </wp:inline>
      </w:drawing>
    </w:r>
    <w:r>
      <w:rPr>
        <w:noProof/>
      </w:rPr>
      <w:drawing>
        <wp:inline distT="0" distB="0" distL="0" distR="0" wp14:anchorId="1391340A" wp14:editId="44862100">
          <wp:extent cx="323850" cy="323850"/>
          <wp:effectExtent l="0" t="0" r="0" b="0"/>
          <wp:docPr id="3" name="Graphic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hlinkClick r:id="rId9"/>
                  </pic:cNvPr>
                  <pic:cNvPicPr/>
                </pic:nvPicPr>
                <pic:blipFill>
                  <a:blip r:embed="rId10">
                    <a:extLst>
                      <a:ext uri="{96DAC541-7B7A-43D3-8B79-37D633B846F1}">
                        <asvg:svgBlip xmlns:asvg="http://schemas.microsoft.com/office/drawing/2016/SVG/main" r:embed="rId11"/>
                      </a:ext>
                    </a:extLst>
                  </a:blip>
                  <a:stretch>
                    <a:fillRect/>
                  </a:stretch>
                </pic:blipFill>
                <pic:spPr>
                  <a:xfrm>
                    <a:off x="0" y="0"/>
                    <a:ext cx="323850" cy="323850"/>
                  </a:xfrm>
                  <a:prstGeom prst="rect">
                    <a:avLst/>
                  </a:prstGeom>
                </pic:spPr>
              </pic:pic>
            </a:graphicData>
          </a:graphic>
        </wp:inline>
      </w:drawing>
    </w:r>
    <w:r>
      <w:rPr>
        <w:noProof/>
      </w:rPr>
      <w:drawing>
        <wp:inline distT="0" distB="0" distL="0" distR="0" wp14:anchorId="68ACCDC5" wp14:editId="485EF76D">
          <wp:extent cx="323850" cy="323850"/>
          <wp:effectExtent l="0" t="0" r="0" b="0"/>
          <wp:docPr id="2" name="Graphic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hlinkClick r:id="rId12"/>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323850" cy="323850"/>
                  </a:xfrm>
                  <a:prstGeom prst="rect">
                    <a:avLst/>
                  </a:prstGeom>
                </pic:spPr>
              </pic:pic>
            </a:graphicData>
          </a:graphic>
        </wp:inline>
      </w:drawing>
    </w:r>
    <w:r>
      <w:rPr>
        <w:noProof/>
      </w:rPr>
      <w:drawing>
        <wp:inline distT="0" distB="0" distL="0" distR="0" wp14:anchorId="7E46E9E9" wp14:editId="01887D45">
          <wp:extent cx="323850" cy="323850"/>
          <wp:effectExtent l="0" t="0" r="0" b="0"/>
          <wp:docPr id="1" name="Graphic 1" descr="https://www.facebook.com/EuropeanEconomicAndSocialCommittee&#1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https://www.facebook.com/EuropeanEconomicAndSocialCommittee&#10;">
                    <a:hlinkClick r:id="rId15"/>
                  </pic:cNvPr>
                  <pic:cNvPicPr/>
                </pic:nvPicPr>
                <pic:blipFill>
                  <a:blip r:embed="rId16">
                    <a:extLst>
                      <a:ext uri="{96DAC541-7B7A-43D3-8B79-37D633B846F1}">
                        <asvg:svgBlip xmlns:asvg="http://schemas.microsoft.com/office/drawing/2016/SVG/main" r:embed="rId17"/>
                      </a:ext>
                    </a:extLst>
                  </a:blip>
                  <a:stretch>
                    <a:fillRect/>
                  </a:stretch>
                </pic:blipFill>
                <pic:spPr>
                  <a:xfrm>
                    <a:off x="0" y="0"/>
                    <a:ext cx="323850" cy="3238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5FC7" w14:textId="77777777" w:rsidR="0009232E" w:rsidRDefault="0009232E">
      <w:r>
        <w:separator/>
      </w:r>
    </w:p>
  </w:footnote>
  <w:footnote w:type="continuationSeparator" w:id="0">
    <w:p w14:paraId="1C0C4CDC" w14:textId="77777777" w:rsidR="0009232E" w:rsidRDefault="00092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37725C48"/>
    <w:multiLevelType w:val="hybridMultilevel"/>
    <w:tmpl w:val="FF60C2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AED7306"/>
    <w:multiLevelType w:val="hybridMultilevel"/>
    <w:tmpl w:val="DCBA53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6F5"/>
    <w:rsid w:val="00000BF5"/>
    <w:rsid w:val="00006664"/>
    <w:rsid w:val="00023F9C"/>
    <w:rsid w:val="000440D3"/>
    <w:rsid w:val="00044548"/>
    <w:rsid w:val="00045128"/>
    <w:rsid w:val="00046C01"/>
    <w:rsid w:val="00046C51"/>
    <w:rsid w:val="0004715C"/>
    <w:rsid w:val="00067F21"/>
    <w:rsid w:val="00071F79"/>
    <w:rsid w:val="00090438"/>
    <w:rsid w:val="0009232E"/>
    <w:rsid w:val="00094485"/>
    <w:rsid w:val="000B4610"/>
    <w:rsid w:val="000D145C"/>
    <w:rsid w:val="000F2AD2"/>
    <w:rsid w:val="00100731"/>
    <w:rsid w:val="00101E94"/>
    <w:rsid w:val="001020BC"/>
    <w:rsid w:val="00104401"/>
    <w:rsid w:val="00104DFA"/>
    <w:rsid w:val="00105E49"/>
    <w:rsid w:val="00112EAE"/>
    <w:rsid w:val="00115153"/>
    <w:rsid w:val="00123470"/>
    <w:rsid w:val="001262E8"/>
    <w:rsid w:val="00132CB8"/>
    <w:rsid w:val="00142677"/>
    <w:rsid w:val="001457C2"/>
    <w:rsid w:val="0015150A"/>
    <w:rsid w:val="001527B2"/>
    <w:rsid w:val="001543F2"/>
    <w:rsid w:val="00155ED8"/>
    <w:rsid w:val="001739C0"/>
    <w:rsid w:val="00177BD4"/>
    <w:rsid w:val="00181B91"/>
    <w:rsid w:val="0018613F"/>
    <w:rsid w:val="00186ABF"/>
    <w:rsid w:val="00190E01"/>
    <w:rsid w:val="001C5BD4"/>
    <w:rsid w:val="001C5F46"/>
    <w:rsid w:val="001D73C0"/>
    <w:rsid w:val="001E2D5A"/>
    <w:rsid w:val="001F4F1D"/>
    <w:rsid w:val="001F660F"/>
    <w:rsid w:val="00202C14"/>
    <w:rsid w:val="0021466B"/>
    <w:rsid w:val="002150A2"/>
    <w:rsid w:val="00220030"/>
    <w:rsid w:val="00227A31"/>
    <w:rsid w:val="00240A95"/>
    <w:rsid w:val="0026528E"/>
    <w:rsid w:val="00265973"/>
    <w:rsid w:val="002734F3"/>
    <w:rsid w:val="00275154"/>
    <w:rsid w:val="00280D25"/>
    <w:rsid w:val="002A2267"/>
    <w:rsid w:val="002A51B9"/>
    <w:rsid w:val="002B4379"/>
    <w:rsid w:val="002C07C7"/>
    <w:rsid w:val="002C2316"/>
    <w:rsid w:val="002D0CCC"/>
    <w:rsid w:val="002D19F0"/>
    <w:rsid w:val="002D4DF1"/>
    <w:rsid w:val="002D5709"/>
    <w:rsid w:val="002D5F24"/>
    <w:rsid w:val="002E5A1B"/>
    <w:rsid w:val="002F1A65"/>
    <w:rsid w:val="002F1B62"/>
    <w:rsid w:val="002F55CB"/>
    <w:rsid w:val="002F79A3"/>
    <w:rsid w:val="00321382"/>
    <w:rsid w:val="00337F0A"/>
    <w:rsid w:val="00347036"/>
    <w:rsid w:val="003759BE"/>
    <w:rsid w:val="00380820"/>
    <w:rsid w:val="00384F7A"/>
    <w:rsid w:val="0038577F"/>
    <w:rsid w:val="003872F9"/>
    <w:rsid w:val="00394D81"/>
    <w:rsid w:val="003959F5"/>
    <w:rsid w:val="003A1300"/>
    <w:rsid w:val="003A21DF"/>
    <w:rsid w:val="003A77E7"/>
    <w:rsid w:val="003B5FA3"/>
    <w:rsid w:val="003B714A"/>
    <w:rsid w:val="003C1F6B"/>
    <w:rsid w:val="003C2229"/>
    <w:rsid w:val="003C60BB"/>
    <w:rsid w:val="003D5773"/>
    <w:rsid w:val="003E76A5"/>
    <w:rsid w:val="00405574"/>
    <w:rsid w:val="00411E56"/>
    <w:rsid w:val="004138F2"/>
    <w:rsid w:val="00414734"/>
    <w:rsid w:val="00415456"/>
    <w:rsid w:val="004177F4"/>
    <w:rsid w:val="00421BC5"/>
    <w:rsid w:val="0042470A"/>
    <w:rsid w:val="00424928"/>
    <w:rsid w:val="00442BCC"/>
    <w:rsid w:val="00443FEE"/>
    <w:rsid w:val="0044529A"/>
    <w:rsid w:val="00452C55"/>
    <w:rsid w:val="004605FD"/>
    <w:rsid w:val="00474606"/>
    <w:rsid w:val="0047608F"/>
    <w:rsid w:val="00482175"/>
    <w:rsid w:val="00486D46"/>
    <w:rsid w:val="004873DA"/>
    <w:rsid w:val="00494BBC"/>
    <w:rsid w:val="004A06BC"/>
    <w:rsid w:val="004B705E"/>
    <w:rsid w:val="004C0408"/>
    <w:rsid w:val="004C6597"/>
    <w:rsid w:val="004D6672"/>
    <w:rsid w:val="004E422F"/>
    <w:rsid w:val="004F4C5B"/>
    <w:rsid w:val="005022D4"/>
    <w:rsid w:val="00512080"/>
    <w:rsid w:val="00517C9E"/>
    <w:rsid w:val="00520507"/>
    <w:rsid w:val="005244B3"/>
    <w:rsid w:val="005270ED"/>
    <w:rsid w:val="00527D5E"/>
    <w:rsid w:val="00531975"/>
    <w:rsid w:val="005520A7"/>
    <w:rsid w:val="00552EA9"/>
    <w:rsid w:val="005549A1"/>
    <w:rsid w:val="00556CD0"/>
    <w:rsid w:val="00560900"/>
    <w:rsid w:val="00566D83"/>
    <w:rsid w:val="0056705F"/>
    <w:rsid w:val="0057111D"/>
    <w:rsid w:val="005730BB"/>
    <w:rsid w:val="00574D18"/>
    <w:rsid w:val="00582C7E"/>
    <w:rsid w:val="0058450C"/>
    <w:rsid w:val="005847E5"/>
    <w:rsid w:val="005A0E46"/>
    <w:rsid w:val="005A186C"/>
    <w:rsid w:val="005A1ABE"/>
    <w:rsid w:val="005B3342"/>
    <w:rsid w:val="005C07A3"/>
    <w:rsid w:val="005C08F4"/>
    <w:rsid w:val="005C2258"/>
    <w:rsid w:val="005C43A1"/>
    <w:rsid w:val="005C46DB"/>
    <w:rsid w:val="005C6D97"/>
    <w:rsid w:val="005D3D97"/>
    <w:rsid w:val="005D4A5F"/>
    <w:rsid w:val="005E2455"/>
    <w:rsid w:val="005F09F9"/>
    <w:rsid w:val="005F5E52"/>
    <w:rsid w:val="005F7092"/>
    <w:rsid w:val="00612B3A"/>
    <w:rsid w:val="00624950"/>
    <w:rsid w:val="00626C38"/>
    <w:rsid w:val="006302FC"/>
    <w:rsid w:val="0063783D"/>
    <w:rsid w:val="00640DDB"/>
    <w:rsid w:val="00640E00"/>
    <w:rsid w:val="0064141E"/>
    <w:rsid w:val="0064298E"/>
    <w:rsid w:val="00642F54"/>
    <w:rsid w:val="00662EE3"/>
    <w:rsid w:val="006679C1"/>
    <w:rsid w:val="0067024F"/>
    <w:rsid w:val="006743C8"/>
    <w:rsid w:val="00677E9B"/>
    <w:rsid w:val="00686EC2"/>
    <w:rsid w:val="006A0D60"/>
    <w:rsid w:val="006A61DA"/>
    <w:rsid w:val="006A744F"/>
    <w:rsid w:val="006B2091"/>
    <w:rsid w:val="006B3979"/>
    <w:rsid w:val="006B4D96"/>
    <w:rsid w:val="006B4DBE"/>
    <w:rsid w:val="006B688E"/>
    <w:rsid w:val="006D68CD"/>
    <w:rsid w:val="006E01EA"/>
    <w:rsid w:val="006E07B9"/>
    <w:rsid w:val="006E2FE3"/>
    <w:rsid w:val="006E724F"/>
    <w:rsid w:val="006F338B"/>
    <w:rsid w:val="006F774D"/>
    <w:rsid w:val="007010E4"/>
    <w:rsid w:val="00703840"/>
    <w:rsid w:val="00712975"/>
    <w:rsid w:val="00712EA3"/>
    <w:rsid w:val="007223EF"/>
    <w:rsid w:val="007253F3"/>
    <w:rsid w:val="0072607B"/>
    <w:rsid w:val="007313DC"/>
    <w:rsid w:val="007313E0"/>
    <w:rsid w:val="0073691E"/>
    <w:rsid w:val="007378A7"/>
    <w:rsid w:val="00741024"/>
    <w:rsid w:val="00755A5E"/>
    <w:rsid w:val="0079001F"/>
    <w:rsid w:val="00795B49"/>
    <w:rsid w:val="007A23CA"/>
    <w:rsid w:val="007A5486"/>
    <w:rsid w:val="007B338F"/>
    <w:rsid w:val="007C71FD"/>
    <w:rsid w:val="007D5510"/>
    <w:rsid w:val="007D76CF"/>
    <w:rsid w:val="007E14EC"/>
    <w:rsid w:val="007E7541"/>
    <w:rsid w:val="0080166E"/>
    <w:rsid w:val="00804CF1"/>
    <w:rsid w:val="00807DED"/>
    <w:rsid w:val="00812CBD"/>
    <w:rsid w:val="008133EA"/>
    <w:rsid w:val="008141F8"/>
    <w:rsid w:val="008146D0"/>
    <w:rsid w:val="00816631"/>
    <w:rsid w:val="0082166E"/>
    <w:rsid w:val="00826961"/>
    <w:rsid w:val="0082746B"/>
    <w:rsid w:val="00837B82"/>
    <w:rsid w:val="008412F6"/>
    <w:rsid w:val="00853D56"/>
    <w:rsid w:val="00874A65"/>
    <w:rsid w:val="008820BE"/>
    <w:rsid w:val="0088285D"/>
    <w:rsid w:val="008850E4"/>
    <w:rsid w:val="00896FBF"/>
    <w:rsid w:val="008A055C"/>
    <w:rsid w:val="008A15C7"/>
    <w:rsid w:val="008A69E0"/>
    <w:rsid w:val="008B051E"/>
    <w:rsid w:val="008C573E"/>
    <w:rsid w:val="008E2965"/>
    <w:rsid w:val="008E71E6"/>
    <w:rsid w:val="008F4CA5"/>
    <w:rsid w:val="00904607"/>
    <w:rsid w:val="0091356C"/>
    <w:rsid w:val="0092004D"/>
    <w:rsid w:val="00921A9C"/>
    <w:rsid w:val="00925DA3"/>
    <w:rsid w:val="00932CFF"/>
    <w:rsid w:val="00945B9A"/>
    <w:rsid w:val="00955D3C"/>
    <w:rsid w:val="009572EA"/>
    <w:rsid w:val="009666A2"/>
    <w:rsid w:val="0098368F"/>
    <w:rsid w:val="00990253"/>
    <w:rsid w:val="009926B0"/>
    <w:rsid w:val="00992A5E"/>
    <w:rsid w:val="009A1F99"/>
    <w:rsid w:val="009A4C63"/>
    <w:rsid w:val="009B18B1"/>
    <w:rsid w:val="009B736A"/>
    <w:rsid w:val="009B7EA2"/>
    <w:rsid w:val="009C2FCF"/>
    <w:rsid w:val="009C5B5F"/>
    <w:rsid w:val="009D2494"/>
    <w:rsid w:val="009D2D03"/>
    <w:rsid w:val="009D3245"/>
    <w:rsid w:val="009E41C4"/>
    <w:rsid w:val="009E75B7"/>
    <w:rsid w:val="009F093A"/>
    <w:rsid w:val="009F67C6"/>
    <w:rsid w:val="00A010F0"/>
    <w:rsid w:val="00A1723B"/>
    <w:rsid w:val="00A17743"/>
    <w:rsid w:val="00A3743B"/>
    <w:rsid w:val="00A37B52"/>
    <w:rsid w:val="00A44C45"/>
    <w:rsid w:val="00A47E92"/>
    <w:rsid w:val="00A53AA2"/>
    <w:rsid w:val="00A70691"/>
    <w:rsid w:val="00A74687"/>
    <w:rsid w:val="00A778B6"/>
    <w:rsid w:val="00A90392"/>
    <w:rsid w:val="00A93AF2"/>
    <w:rsid w:val="00A9418C"/>
    <w:rsid w:val="00A96CE7"/>
    <w:rsid w:val="00AA5AF3"/>
    <w:rsid w:val="00AA61D9"/>
    <w:rsid w:val="00AA68B4"/>
    <w:rsid w:val="00AB5D9C"/>
    <w:rsid w:val="00AC46D3"/>
    <w:rsid w:val="00AF2692"/>
    <w:rsid w:val="00AF458E"/>
    <w:rsid w:val="00B03F22"/>
    <w:rsid w:val="00B15098"/>
    <w:rsid w:val="00B2321D"/>
    <w:rsid w:val="00B239E2"/>
    <w:rsid w:val="00B24B28"/>
    <w:rsid w:val="00B26429"/>
    <w:rsid w:val="00B3271E"/>
    <w:rsid w:val="00B345EE"/>
    <w:rsid w:val="00B40FE0"/>
    <w:rsid w:val="00B47DE2"/>
    <w:rsid w:val="00B514E0"/>
    <w:rsid w:val="00B66648"/>
    <w:rsid w:val="00B66DB9"/>
    <w:rsid w:val="00B710AF"/>
    <w:rsid w:val="00B75489"/>
    <w:rsid w:val="00B8166F"/>
    <w:rsid w:val="00B87297"/>
    <w:rsid w:val="00B903CC"/>
    <w:rsid w:val="00B92193"/>
    <w:rsid w:val="00B92C5A"/>
    <w:rsid w:val="00B9349D"/>
    <w:rsid w:val="00B9523E"/>
    <w:rsid w:val="00B96D77"/>
    <w:rsid w:val="00BA247D"/>
    <w:rsid w:val="00BA72BC"/>
    <w:rsid w:val="00BB36F5"/>
    <w:rsid w:val="00BB4292"/>
    <w:rsid w:val="00BC0660"/>
    <w:rsid w:val="00BD617C"/>
    <w:rsid w:val="00BD7293"/>
    <w:rsid w:val="00BE3453"/>
    <w:rsid w:val="00BE62DF"/>
    <w:rsid w:val="00BF0E86"/>
    <w:rsid w:val="00BF2441"/>
    <w:rsid w:val="00BF6293"/>
    <w:rsid w:val="00C0652E"/>
    <w:rsid w:val="00C22804"/>
    <w:rsid w:val="00C22A5C"/>
    <w:rsid w:val="00C26FD8"/>
    <w:rsid w:val="00C72503"/>
    <w:rsid w:val="00C72B00"/>
    <w:rsid w:val="00C740E7"/>
    <w:rsid w:val="00C85646"/>
    <w:rsid w:val="00C8634A"/>
    <w:rsid w:val="00C90871"/>
    <w:rsid w:val="00C91698"/>
    <w:rsid w:val="00C93E55"/>
    <w:rsid w:val="00C97D1B"/>
    <w:rsid w:val="00CB17D3"/>
    <w:rsid w:val="00CB326F"/>
    <w:rsid w:val="00CB5993"/>
    <w:rsid w:val="00CC276E"/>
    <w:rsid w:val="00CE439D"/>
    <w:rsid w:val="00CE4A15"/>
    <w:rsid w:val="00CE6DB7"/>
    <w:rsid w:val="00CF3901"/>
    <w:rsid w:val="00CF456E"/>
    <w:rsid w:val="00D016BE"/>
    <w:rsid w:val="00D06185"/>
    <w:rsid w:val="00D1029C"/>
    <w:rsid w:val="00D212E0"/>
    <w:rsid w:val="00D32C93"/>
    <w:rsid w:val="00D33655"/>
    <w:rsid w:val="00D41605"/>
    <w:rsid w:val="00D44F8B"/>
    <w:rsid w:val="00D522CE"/>
    <w:rsid w:val="00D56843"/>
    <w:rsid w:val="00D60065"/>
    <w:rsid w:val="00D6369C"/>
    <w:rsid w:val="00D70036"/>
    <w:rsid w:val="00D8197C"/>
    <w:rsid w:val="00D831D3"/>
    <w:rsid w:val="00D9016E"/>
    <w:rsid w:val="00D9379D"/>
    <w:rsid w:val="00D93A09"/>
    <w:rsid w:val="00DA03A2"/>
    <w:rsid w:val="00DA048B"/>
    <w:rsid w:val="00DA7868"/>
    <w:rsid w:val="00DB575B"/>
    <w:rsid w:val="00DB6FF3"/>
    <w:rsid w:val="00DC66B3"/>
    <w:rsid w:val="00DD3BAC"/>
    <w:rsid w:val="00DE0845"/>
    <w:rsid w:val="00DE3436"/>
    <w:rsid w:val="00E0132B"/>
    <w:rsid w:val="00E01BEB"/>
    <w:rsid w:val="00E27081"/>
    <w:rsid w:val="00E47ED9"/>
    <w:rsid w:val="00E71695"/>
    <w:rsid w:val="00E87104"/>
    <w:rsid w:val="00E904CD"/>
    <w:rsid w:val="00E914ED"/>
    <w:rsid w:val="00EA22E5"/>
    <w:rsid w:val="00EC4417"/>
    <w:rsid w:val="00EC55A1"/>
    <w:rsid w:val="00ED08AC"/>
    <w:rsid w:val="00ED1CAC"/>
    <w:rsid w:val="00ED35AF"/>
    <w:rsid w:val="00ED7FD2"/>
    <w:rsid w:val="00EE424A"/>
    <w:rsid w:val="00EE66AF"/>
    <w:rsid w:val="00F135E2"/>
    <w:rsid w:val="00F218A4"/>
    <w:rsid w:val="00F27CD5"/>
    <w:rsid w:val="00F376C6"/>
    <w:rsid w:val="00F45A6F"/>
    <w:rsid w:val="00F46C77"/>
    <w:rsid w:val="00F51000"/>
    <w:rsid w:val="00F61167"/>
    <w:rsid w:val="00F61A99"/>
    <w:rsid w:val="00F7410C"/>
    <w:rsid w:val="00F76B4C"/>
    <w:rsid w:val="00F83179"/>
    <w:rsid w:val="00F876F3"/>
    <w:rsid w:val="00F90CFF"/>
    <w:rsid w:val="00F92DAC"/>
    <w:rsid w:val="00FA1B78"/>
    <w:rsid w:val="00FB4EA9"/>
    <w:rsid w:val="00FD794D"/>
    <w:rsid w:val="00FE2775"/>
    <w:rsid w:val="00FE4564"/>
    <w:rsid w:val="00FE4D83"/>
    <w:rsid w:val="00FF4788"/>
  </w:rsids>
  <m:mathPr>
    <m:mathFont m:val="Cambria Math"/>
    <m:brkBin m:val="before"/>
    <m:brkBinSub m:val="--"/>
    <m:smallFrac m:val="0"/>
    <m:dispDef/>
    <m:lMargin m:val="0"/>
    <m:rMargin m:val="0"/>
    <m:defJc m:val="centerGroup"/>
    <m:wrapIndent m:val="1440"/>
    <m:intLim m:val="subSup"/>
    <m:naryLim m:val="undOvr"/>
  </m:mathPr>
  <w:themeFontLang w:val="fr-BE"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0CAEBB43"/>
  <w15:docId w15:val="{E1200CD2-0F58-4465-8C7F-6A425784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fr-B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1167"/>
    <w:pPr>
      <w:overflowPunct w:val="0"/>
      <w:autoSpaceDE w:val="0"/>
      <w:autoSpaceDN w:val="0"/>
      <w:adjustRightInd w:val="0"/>
      <w:spacing w:line="288" w:lineRule="auto"/>
      <w:jc w:val="both"/>
      <w:textAlignment w:val="baseline"/>
    </w:pPr>
    <w:rPr>
      <w:sz w:val="22"/>
      <w:lang w:eastAsia="en-US"/>
    </w:rPr>
  </w:style>
  <w:style w:type="paragraph" w:styleId="Heading1">
    <w:name w:val="heading 1"/>
    <w:basedOn w:val="Normal"/>
    <w:next w:val="Normal"/>
    <w:link w:val="Heading1Char"/>
    <w:uiPriority w:val="9"/>
    <w:qFormat/>
    <w:rsid w:val="00F61167"/>
    <w:pPr>
      <w:numPr>
        <w:numId w:val="1"/>
      </w:numPr>
      <w:ind w:left="720" w:hanging="720"/>
      <w:outlineLvl w:val="0"/>
    </w:pPr>
    <w:rPr>
      <w:kern w:val="28"/>
    </w:rPr>
  </w:style>
  <w:style w:type="paragraph" w:styleId="Heading2">
    <w:name w:val="heading 2"/>
    <w:basedOn w:val="Normal"/>
    <w:next w:val="Normal"/>
    <w:link w:val="Heading2Char"/>
    <w:uiPriority w:val="9"/>
    <w:qFormat/>
    <w:rsid w:val="00F61167"/>
    <w:pPr>
      <w:numPr>
        <w:ilvl w:val="1"/>
        <w:numId w:val="1"/>
      </w:numPr>
      <w:ind w:left="720" w:hanging="720"/>
      <w:outlineLvl w:val="1"/>
    </w:pPr>
  </w:style>
  <w:style w:type="paragraph" w:styleId="Heading3">
    <w:name w:val="heading 3"/>
    <w:basedOn w:val="Normal"/>
    <w:next w:val="Normal"/>
    <w:link w:val="Heading3Char"/>
    <w:uiPriority w:val="9"/>
    <w:qFormat/>
    <w:rsid w:val="00F61167"/>
    <w:pPr>
      <w:numPr>
        <w:ilvl w:val="2"/>
        <w:numId w:val="1"/>
      </w:numPr>
      <w:ind w:left="720" w:hanging="720"/>
      <w:outlineLvl w:val="2"/>
    </w:pPr>
  </w:style>
  <w:style w:type="paragraph" w:styleId="Heading4">
    <w:name w:val="heading 4"/>
    <w:basedOn w:val="Normal"/>
    <w:next w:val="Normal"/>
    <w:link w:val="Heading4Char"/>
    <w:uiPriority w:val="9"/>
    <w:qFormat/>
    <w:rsid w:val="00F61167"/>
    <w:pPr>
      <w:numPr>
        <w:ilvl w:val="3"/>
        <w:numId w:val="1"/>
      </w:numPr>
      <w:ind w:left="720" w:hanging="720"/>
      <w:outlineLvl w:val="3"/>
    </w:pPr>
  </w:style>
  <w:style w:type="paragraph" w:styleId="Heading5">
    <w:name w:val="heading 5"/>
    <w:basedOn w:val="Normal"/>
    <w:next w:val="Normal"/>
    <w:link w:val="Heading5Char"/>
    <w:uiPriority w:val="9"/>
    <w:qFormat/>
    <w:rsid w:val="00F61167"/>
    <w:pPr>
      <w:numPr>
        <w:ilvl w:val="4"/>
        <w:numId w:val="1"/>
      </w:numPr>
      <w:ind w:left="720" w:hanging="720"/>
      <w:outlineLvl w:val="4"/>
    </w:pPr>
  </w:style>
  <w:style w:type="paragraph" w:styleId="Heading6">
    <w:name w:val="heading 6"/>
    <w:basedOn w:val="Normal"/>
    <w:next w:val="Normal"/>
    <w:link w:val="Heading6Char"/>
    <w:uiPriority w:val="9"/>
    <w:qFormat/>
    <w:rsid w:val="00F61167"/>
    <w:pPr>
      <w:numPr>
        <w:ilvl w:val="5"/>
        <w:numId w:val="1"/>
      </w:numPr>
      <w:ind w:left="720" w:hanging="720"/>
      <w:outlineLvl w:val="5"/>
    </w:pPr>
  </w:style>
  <w:style w:type="paragraph" w:styleId="Heading7">
    <w:name w:val="heading 7"/>
    <w:basedOn w:val="Normal"/>
    <w:next w:val="Normal"/>
    <w:link w:val="Heading7Char"/>
    <w:uiPriority w:val="9"/>
    <w:qFormat/>
    <w:rsid w:val="00F61167"/>
    <w:pPr>
      <w:numPr>
        <w:ilvl w:val="6"/>
        <w:numId w:val="1"/>
      </w:numPr>
      <w:ind w:left="720" w:hanging="720"/>
      <w:outlineLvl w:val="6"/>
    </w:pPr>
  </w:style>
  <w:style w:type="paragraph" w:styleId="Heading8">
    <w:name w:val="heading 8"/>
    <w:basedOn w:val="Normal"/>
    <w:next w:val="Normal"/>
    <w:link w:val="Heading8Char"/>
    <w:uiPriority w:val="9"/>
    <w:qFormat/>
    <w:rsid w:val="00F61167"/>
    <w:pPr>
      <w:numPr>
        <w:ilvl w:val="7"/>
        <w:numId w:val="1"/>
      </w:numPr>
      <w:ind w:left="720" w:hanging="720"/>
      <w:outlineLvl w:val="7"/>
    </w:pPr>
  </w:style>
  <w:style w:type="paragraph" w:styleId="Heading9">
    <w:name w:val="heading 9"/>
    <w:basedOn w:val="Normal"/>
    <w:next w:val="Normal"/>
    <w:link w:val="Heading9Char"/>
    <w:uiPriority w:val="9"/>
    <w:qFormat/>
    <w:rsid w:val="00F61167"/>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4F9"/>
    <w:rPr>
      <w:rFonts w:asciiTheme="majorHAnsi" w:eastAsiaTheme="majorEastAsia" w:hAnsiTheme="majorHAnsi" w:cstheme="majorBidi"/>
      <w:b/>
      <w:bCs/>
      <w:color w:val="365F91" w:themeColor="accent1" w:themeShade="BF"/>
      <w:sz w:val="28"/>
      <w:szCs w:val="28"/>
      <w:lang w:val="es-ES" w:eastAsia="en-US"/>
    </w:rPr>
  </w:style>
  <w:style w:type="character" w:customStyle="1" w:styleId="Heading2Char">
    <w:name w:val="Heading 2 Char"/>
    <w:basedOn w:val="DefaultParagraphFont"/>
    <w:link w:val="Heading2"/>
    <w:uiPriority w:val="9"/>
    <w:semiHidden/>
    <w:rsid w:val="001374F9"/>
    <w:rPr>
      <w:rFonts w:asciiTheme="majorHAnsi" w:eastAsiaTheme="majorEastAsia" w:hAnsiTheme="majorHAnsi" w:cstheme="majorBidi"/>
      <w:b/>
      <w:bCs/>
      <w:color w:val="4F81BD" w:themeColor="accent1"/>
      <w:sz w:val="26"/>
      <w:szCs w:val="26"/>
      <w:lang w:val="es-ES" w:eastAsia="en-US"/>
    </w:rPr>
  </w:style>
  <w:style w:type="character" w:customStyle="1" w:styleId="Heading3Char">
    <w:name w:val="Heading 3 Char"/>
    <w:basedOn w:val="DefaultParagraphFont"/>
    <w:link w:val="Heading3"/>
    <w:uiPriority w:val="9"/>
    <w:semiHidden/>
    <w:rsid w:val="001374F9"/>
    <w:rPr>
      <w:rFonts w:asciiTheme="majorHAnsi" w:eastAsiaTheme="majorEastAsia" w:hAnsiTheme="majorHAnsi" w:cstheme="majorBidi"/>
      <w:b/>
      <w:bCs/>
      <w:color w:val="4F81BD" w:themeColor="accent1"/>
      <w:sz w:val="22"/>
      <w:lang w:val="es-ES" w:eastAsia="en-US"/>
    </w:rPr>
  </w:style>
  <w:style w:type="character" w:customStyle="1" w:styleId="Heading4Char">
    <w:name w:val="Heading 4 Char"/>
    <w:basedOn w:val="DefaultParagraphFont"/>
    <w:link w:val="Heading4"/>
    <w:uiPriority w:val="9"/>
    <w:semiHidden/>
    <w:rsid w:val="001374F9"/>
    <w:rPr>
      <w:rFonts w:asciiTheme="majorHAnsi" w:eastAsiaTheme="majorEastAsia" w:hAnsiTheme="majorHAnsi" w:cstheme="majorBidi"/>
      <w:b/>
      <w:bCs/>
      <w:i/>
      <w:iCs/>
      <w:color w:val="4F81BD" w:themeColor="accent1"/>
      <w:sz w:val="22"/>
      <w:lang w:val="es-ES" w:eastAsia="en-US"/>
    </w:rPr>
  </w:style>
  <w:style w:type="character" w:customStyle="1" w:styleId="Heading5Char">
    <w:name w:val="Heading 5 Char"/>
    <w:basedOn w:val="DefaultParagraphFont"/>
    <w:link w:val="Heading5"/>
    <w:uiPriority w:val="9"/>
    <w:semiHidden/>
    <w:rsid w:val="001374F9"/>
    <w:rPr>
      <w:rFonts w:asciiTheme="majorHAnsi" w:eastAsiaTheme="majorEastAsia" w:hAnsiTheme="majorHAnsi" w:cstheme="majorBidi"/>
      <w:color w:val="243F60" w:themeColor="accent1" w:themeShade="7F"/>
      <w:sz w:val="22"/>
      <w:lang w:val="es-ES" w:eastAsia="en-US"/>
    </w:rPr>
  </w:style>
  <w:style w:type="character" w:customStyle="1" w:styleId="Heading6Char">
    <w:name w:val="Heading 6 Char"/>
    <w:basedOn w:val="DefaultParagraphFont"/>
    <w:link w:val="Heading6"/>
    <w:uiPriority w:val="9"/>
    <w:semiHidden/>
    <w:rsid w:val="001374F9"/>
    <w:rPr>
      <w:rFonts w:asciiTheme="majorHAnsi" w:eastAsiaTheme="majorEastAsia" w:hAnsiTheme="majorHAnsi" w:cstheme="majorBidi"/>
      <w:i/>
      <w:iCs/>
      <w:color w:val="243F60" w:themeColor="accent1" w:themeShade="7F"/>
      <w:sz w:val="22"/>
      <w:lang w:val="es-ES" w:eastAsia="en-US"/>
    </w:rPr>
  </w:style>
  <w:style w:type="character" w:customStyle="1" w:styleId="Heading7Char">
    <w:name w:val="Heading 7 Char"/>
    <w:basedOn w:val="DefaultParagraphFont"/>
    <w:link w:val="Heading7"/>
    <w:uiPriority w:val="9"/>
    <w:semiHidden/>
    <w:rsid w:val="001374F9"/>
    <w:rPr>
      <w:rFonts w:asciiTheme="majorHAnsi" w:eastAsiaTheme="majorEastAsia" w:hAnsiTheme="majorHAnsi" w:cstheme="majorBidi"/>
      <w:i/>
      <w:iCs/>
      <w:color w:val="404040" w:themeColor="text1" w:themeTint="BF"/>
      <w:sz w:val="22"/>
      <w:lang w:val="es-ES" w:eastAsia="en-US"/>
    </w:rPr>
  </w:style>
  <w:style w:type="character" w:customStyle="1" w:styleId="Heading8Char">
    <w:name w:val="Heading 8 Char"/>
    <w:basedOn w:val="DefaultParagraphFont"/>
    <w:link w:val="Heading8"/>
    <w:uiPriority w:val="9"/>
    <w:semiHidden/>
    <w:rsid w:val="001374F9"/>
    <w:rPr>
      <w:rFonts w:asciiTheme="majorHAnsi" w:eastAsiaTheme="majorEastAsia" w:hAnsiTheme="majorHAnsi" w:cstheme="majorBidi"/>
      <w:color w:val="404040" w:themeColor="text1" w:themeTint="BF"/>
      <w:lang w:val="es-ES" w:eastAsia="en-US"/>
    </w:rPr>
  </w:style>
  <w:style w:type="character" w:customStyle="1" w:styleId="Heading9Char">
    <w:name w:val="Heading 9 Char"/>
    <w:basedOn w:val="DefaultParagraphFont"/>
    <w:link w:val="Heading9"/>
    <w:uiPriority w:val="9"/>
    <w:semiHidden/>
    <w:rsid w:val="001374F9"/>
    <w:rPr>
      <w:rFonts w:asciiTheme="majorHAnsi" w:eastAsiaTheme="majorEastAsia" w:hAnsiTheme="majorHAnsi" w:cstheme="majorBidi"/>
      <w:i/>
      <w:iCs/>
      <w:color w:val="404040" w:themeColor="text1" w:themeTint="BF"/>
      <w:lang w:val="es-ES" w:eastAsia="en-US"/>
    </w:rPr>
  </w:style>
  <w:style w:type="paragraph" w:styleId="Footer">
    <w:name w:val="footer"/>
    <w:basedOn w:val="Normal"/>
    <w:link w:val="FooterChar"/>
    <w:uiPriority w:val="99"/>
    <w:rsid w:val="00F61167"/>
  </w:style>
  <w:style w:type="character" w:customStyle="1" w:styleId="FooterChar">
    <w:name w:val="Footer Char"/>
    <w:basedOn w:val="DefaultParagraphFont"/>
    <w:link w:val="Footer"/>
    <w:uiPriority w:val="99"/>
    <w:semiHidden/>
    <w:rsid w:val="001374F9"/>
    <w:rPr>
      <w:sz w:val="22"/>
      <w:lang w:val="es-ES" w:eastAsia="en-US"/>
    </w:rPr>
  </w:style>
  <w:style w:type="paragraph" w:styleId="FootnoteText">
    <w:name w:val="footnote text"/>
    <w:basedOn w:val="Normal"/>
    <w:link w:val="FootnoteTextChar"/>
    <w:uiPriority w:val="99"/>
    <w:rsid w:val="00F61167"/>
    <w:pPr>
      <w:keepLines/>
      <w:spacing w:after="60" w:line="240" w:lineRule="auto"/>
      <w:ind w:left="720" w:hanging="720"/>
    </w:pPr>
    <w:rPr>
      <w:sz w:val="16"/>
    </w:rPr>
  </w:style>
  <w:style w:type="character" w:customStyle="1" w:styleId="FootnoteTextChar">
    <w:name w:val="Footnote Text Char"/>
    <w:basedOn w:val="DefaultParagraphFont"/>
    <w:link w:val="FootnoteText"/>
    <w:uiPriority w:val="99"/>
    <w:semiHidden/>
    <w:rsid w:val="001374F9"/>
    <w:rPr>
      <w:lang w:val="es-ES" w:eastAsia="en-US"/>
    </w:rPr>
  </w:style>
  <w:style w:type="paragraph" w:styleId="Header">
    <w:name w:val="header"/>
    <w:basedOn w:val="Normal"/>
    <w:link w:val="HeaderChar"/>
    <w:uiPriority w:val="99"/>
    <w:rsid w:val="00F61167"/>
  </w:style>
  <w:style w:type="character" w:customStyle="1" w:styleId="HeaderChar">
    <w:name w:val="Header Char"/>
    <w:basedOn w:val="DefaultParagraphFont"/>
    <w:link w:val="Header"/>
    <w:uiPriority w:val="99"/>
    <w:semiHidden/>
    <w:rsid w:val="001374F9"/>
    <w:rPr>
      <w:sz w:val="22"/>
      <w:lang w:val="es-ES" w:eastAsia="en-US"/>
    </w:rPr>
  </w:style>
  <w:style w:type="paragraph" w:customStyle="1" w:styleId="quotes">
    <w:name w:val="quotes"/>
    <w:basedOn w:val="Normal"/>
    <w:next w:val="Normal"/>
    <w:rsid w:val="00F61167"/>
    <w:pPr>
      <w:ind w:left="720"/>
    </w:pPr>
    <w:rPr>
      <w:i/>
    </w:rPr>
  </w:style>
  <w:style w:type="character" w:styleId="FootnoteReference">
    <w:name w:val="footnote reference"/>
    <w:basedOn w:val="DefaultParagraphFont"/>
    <w:uiPriority w:val="99"/>
    <w:semiHidden/>
    <w:rsid w:val="00F61167"/>
    <w:rPr>
      <w:sz w:val="24"/>
      <w:vertAlign w:val="superscript"/>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rsid w:val="00B710A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710AF"/>
    <w:rPr>
      <w:rFonts w:ascii="Tahoma" w:hAnsi="Tahoma" w:cs="Tahoma"/>
      <w:sz w:val="16"/>
      <w:szCs w:val="16"/>
      <w:lang w:val="es-ES" w:eastAsia="en-US"/>
    </w:rPr>
  </w:style>
  <w:style w:type="table" w:styleId="TableGrid">
    <w:name w:val="Table Grid"/>
    <w:basedOn w:val="TableNormal"/>
    <w:uiPriority w:val="59"/>
    <w:rsid w:val="00BD72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7A3"/>
    <w:pPr>
      <w:ind w:left="720"/>
      <w:contextualSpacing/>
    </w:pPr>
  </w:style>
  <w:style w:type="character" w:styleId="CommentReference">
    <w:name w:val="annotation reference"/>
    <w:basedOn w:val="DefaultParagraphFont"/>
    <w:semiHidden/>
    <w:unhideWhenUsed/>
    <w:rsid w:val="0073691E"/>
    <w:rPr>
      <w:sz w:val="16"/>
      <w:szCs w:val="16"/>
    </w:rPr>
  </w:style>
  <w:style w:type="paragraph" w:styleId="CommentText">
    <w:name w:val="annotation text"/>
    <w:basedOn w:val="Normal"/>
    <w:link w:val="CommentTextChar"/>
    <w:semiHidden/>
    <w:unhideWhenUsed/>
    <w:rsid w:val="0073691E"/>
    <w:pPr>
      <w:spacing w:line="240" w:lineRule="auto"/>
    </w:pPr>
    <w:rPr>
      <w:sz w:val="20"/>
    </w:rPr>
  </w:style>
  <w:style w:type="character" w:customStyle="1" w:styleId="CommentTextChar">
    <w:name w:val="Comment Text Char"/>
    <w:basedOn w:val="DefaultParagraphFont"/>
    <w:link w:val="CommentText"/>
    <w:semiHidden/>
    <w:rsid w:val="0073691E"/>
    <w:rPr>
      <w:lang w:val="es-ES" w:eastAsia="en-US"/>
    </w:rPr>
  </w:style>
  <w:style w:type="paragraph" w:styleId="CommentSubject">
    <w:name w:val="annotation subject"/>
    <w:basedOn w:val="CommentText"/>
    <w:next w:val="CommentText"/>
    <w:link w:val="CommentSubjectChar"/>
    <w:semiHidden/>
    <w:unhideWhenUsed/>
    <w:rsid w:val="0073691E"/>
    <w:rPr>
      <w:b/>
      <w:bCs/>
    </w:rPr>
  </w:style>
  <w:style w:type="character" w:customStyle="1" w:styleId="CommentSubjectChar">
    <w:name w:val="Comment Subject Char"/>
    <w:basedOn w:val="CommentTextChar"/>
    <w:link w:val="CommentSubject"/>
    <w:semiHidden/>
    <w:rsid w:val="0073691E"/>
    <w:rPr>
      <w:b/>
      <w:bCs/>
      <w:lang w:val="es-ES" w:eastAsia="en-US"/>
    </w:rPr>
  </w:style>
  <w:style w:type="paragraph" w:styleId="Revision">
    <w:name w:val="Revision"/>
    <w:hidden/>
    <w:uiPriority w:val="99"/>
    <w:semiHidden/>
    <w:rsid w:val="0073691E"/>
    <w:rPr>
      <w:sz w:val="22"/>
      <w:lang w:eastAsia="en-US"/>
    </w:rPr>
  </w:style>
  <w:style w:type="character" w:customStyle="1" w:styleId="UnresolvedMention1">
    <w:name w:val="Unresolved Mention1"/>
    <w:basedOn w:val="DefaultParagraphFont"/>
    <w:uiPriority w:val="99"/>
    <w:semiHidden/>
    <w:unhideWhenUsed/>
    <w:rsid w:val="00173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74054">
      <w:bodyDiv w:val="1"/>
      <w:marLeft w:val="0"/>
      <w:marRight w:val="0"/>
      <w:marTop w:val="0"/>
      <w:marBottom w:val="0"/>
      <w:divBdr>
        <w:top w:val="none" w:sz="0" w:space="0" w:color="auto"/>
        <w:left w:val="none" w:sz="0" w:space="0" w:color="auto"/>
        <w:bottom w:val="none" w:sz="0" w:space="0" w:color="auto"/>
        <w:right w:val="none" w:sz="0" w:space="0" w:color="auto"/>
      </w:divBdr>
    </w:div>
    <w:div w:id="937757973">
      <w:marLeft w:val="0"/>
      <w:marRight w:val="0"/>
      <w:marTop w:val="0"/>
      <w:marBottom w:val="0"/>
      <w:divBdr>
        <w:top w:val="none" w:sz="0" w:space="0" w:color="auto"/>
        <w:left w:val="none" w:sz="0" w:space="0" w:color="auto"/>
        <w:bottom w:val="none" w:sz="0" w:space="0" w:color="auto"/>
        <w:right w:val="none" w:sz="0" w:space="0" w:color="auto"/>
      </w:divBdr>
    </w:div>
    <w:div w:id="937757974">
      <w:marLeft w:val="0"/>
      <w:marRight w:val="0"/>
      <w:marTop w:val="0"/>
      <w:marBottom w:val="0"/>
      <w:divBdr>
        <w:top w:val="none" w:sz="0" w:space="0" w:color="auto"/>
        <w:left w:val="none" w:sz="0" w:space="0" w:color="auto"/>
        <w:bottom w:val="none" w:sz="0" w:space="0" w:color="auto"/>
        <w:right w:val="none" w:sz="0" w:space="0" w:color="auto"/>
      </w:divBdr>
    </w:div>
    <w:div w:id="140865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sc.europa.eu/es/our-work/opinions-information-reports/opinions/universal-access-housing-decent-sustainable-and-affordable-over-long-ter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arco.pezzani@eesc.europa.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esc.europa.eu/es/agenda/our-events/events/conference-housing-crisis-europe-way-forward"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5.svg"/><Relationship Id="rId13" Type="http://schemas.openxmlformats.org/officeDocument/2006/relationships/image" Target="media/image8.png"/><Relationship Id="rId3" Type="http://schemas.openxmlformats.org/officeDocument/2006/relationships/hyperlink" Target="https://www.youtube.com/user/EurEcoSocCommittee" TargetMode="External"/><Relationship Id="rId7" Type="http://schemas.openxmlformats.org/officeDocument/2006/relationships/image" Target="media/image4.png"/><Relationship Id="rId12" Type="http://schemas.openxmlformats.org/officeDocument/2006/relationships/hyperlink" Target="https://www.instagram.com/accounts/login/?next=/eu_civilsociety/" TargetMode="External"/><Relationship Id="rId17" Type="http://schemas.openxmlformats.org/officeDocument/2006/relationships/image" Target="media/image11.svg"/><Relationship Id="rId2" Type="http://schemas.openxmlformats.org/officeDocument/2006/relationships/hyperlink" Target="http://www.eesc.europa.eu" TargetMode="External"/><Relationship Id="rId16" Type="http://schemas.openxmlformats.org/officeDocument/2006/relationships/image" Target="media/image10.png"/><Relationship Id="rId1" Type="http://schemas.openxmlformats.org/officeDocument/2006/relationships/hyperlink" Target="mailto:press@eesc.europa.eu" TargetMode="External"/><Relationship Id="rId6" Type="http://schemas.openxmlformats.org/officeDocument/2006/relationships/hyperlink" Target="https://twitter.com/EU_EESC" TargetMode="External"/><Relationship Id="rId11" Type="http://schemas.openxmlformats.org/officeDocument/2006/relationships/image" Target="media/image7.svg"/><Relationship Id="rId5" Type="http://schemas.openxmlformats.org/officeDocument/2006/relationships/image" Target="media/image3.svg"/><Relationship Id="rId15" Type="http://schemas.openxmlformats.org/officeDocument/2006/relationships/hyperlink" Target="https://www.facebook.com/EuropeanEconomicAndSocialCommittee" TargetMode="External"/><Relationship Id="rId10" Type="http://schemas.openxmlformats.org/officeDocument/2006/relationships/image" Target="media/image6.png"/><Relationship Id="rId4" Type="http://schemas.openxmlformats.org/officeDocument/2006/relationships/image" Target="media/image2.png"/><Relationship Id="rId9" Type="http://schemas.openxmlformats.org/officeDocument/2006/relationships/hyperlink" Target="https://be.linkedin.com/company/european-economic-social-committee" TargetMode="External"/><Relationship Id="rId14" Type="http://schemas.openxmlformats.org/officeDocument/2006/relationships/image" Target="media/image9.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E20A70424F8EF14D84929FAE9E34774B" ma:contentTypeVersion="4" ma:contentTypeDescription="Defines the documents for Document Manager V2" ma:contentTypeScope="" ma:versionID="3c88e340e370a402dfed352137800822">
  <xsd:schema xmlns:xsd="http://www.w3.org/2001/XMLSchema" xmlns:xs="http://www.w3.org/2001/XMLSchema" xmlns:p="http://schemas.microsoft.com/office/2006/metadata/properties" xmlns:ns2="59ace41b-6786-4ce3-be71-52c27066c6ef" xmlns:ns3="http://schemas.microsoft.com/sharepoint/v3/fields" xmlns:ns4="1178e5e2-058a-41a1-9851-331c7b3fffb8" targetNamespace="http://schemas.microsoft.com/office/2006/metadata/properties" ma:root="true" ma:fieldsID="cff03e2a422031f7afb63180aa455c21" ns2:_="" ns3:_="" ns4:_="">
    <xsd:import namespace="59ace41b-6786-4ce3-be71-52c27066c6ef"/>
    <xsd:import namespace="http://schemas.microsoft.com/sharepoint/v3/fields"/>
    <xsd:import namespace="1178e5e2-058a-41a1-9851-331c7b3fffb8"/>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78e5e2-058a-41a1-9851-331c7b3fffb8"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F7M6YNZUATRX-416430479-3031</_dlc_DocId>
    <_dlc_DocIdUrl xmlns="59ace41b-6786-4ce3-be71-52c27066c6ef">
      <Url>http://dm/eesc/2024/_layouts/15/DocIdRedir.aspx?ID=F7M6YNZUATRX-416430479-3031</Url>
      <Description>F7M6YNZUATRX-416430479-3031</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2024-02-21T12:00:00+00:00</ProductionDate>
    <DocumentNumber xmlns="1178e5e2-058a-41a1-9851-331c7b3fffb8">438</DocumentNumber>
    <FicheYear xmlns="59ace41b-6786-4ce3-be71-52c27066c6ef" xsi:nil="true"/>
    <DossierNumber xmlns="59ace41b-6786-4ce3-be71-52c27066c6e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9ace41b-6786-4ce3-be71-52c27066c6ef" xsi:nil="true"/>
    <TaxCatchAll xmlns="59ace41b-6786-4ce3-be71-52c27066c6ef">
      <Value>22</Value>
      <Value>48</Value>
      <Value>37</Value>
      <Value>12</Value>
      <Value>8</Value>
      <Value>24</Value>
      <Value>6</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e7a6b05b-ae16-40c8-add9-68b64b03aeba</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9ace41b-6786-4ce3-be71-52c27066c6ef" xsi:nil="true"/>
    <DocumentYear xmlns="59ace41b-6786-4ce3-be71-52c27066c6ef">2024</DocumentYear>
    <FicheNumber xmlns="59ace41b-6786-4ce3-be71-52c27066c6ef">2087</FicheNumber>
    <OriginalSender xmlns="59ace41b-6786-4ce3-be71-52c27066c6ef">
      <UserInfo>
        <DisplayName>Dumitrescu Mihai</DisplayName>
        <AccountId>1565</AccountId>
        <AccountType/>
      </UserInfo>
    </OriginalSender>
    <DocumentPart xmlns="59ace41b-6786-4ce3-be71-52c27066c6ef">0</DocumentPart>
    <AdoptionDate xmlns="59ace41b-6786-4ce3-be71-52c27066c6ef" xsi:nil="true"/>
    <RequestingService xmlns="59ace41b-6786-4ce3-be71-52c27066c6ef">Presse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1178e5e2-058a-41a1-9851-331c7b3fffb8" xsi:nil="true"/>
    <DossierName_0 xmlns="http://schemas.microsoft.com/sharepoint/v3/fields">
      <Terms xmlns="http://schemas.microsoft.com/office/infopath/2007/PartnerControls"/>
    </DossierName_0>
    <DocumentVersion xmlns="59ace41b-6786-4ce3-be71-52c27066c6ef">1</DocumentVersion>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0FC232-34DB-4CD4-813D-778659FBE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ce41b-6786-4ce3-be71-52c27066c6ef"/>
    <ds:schemaRef ds:uri="http://schemas.microsoft.com/sharepoint/v3/fields"/>
    <ds:schemaRef ds:uri="1178e5e2-058a-41a1-9851-331c7b3ff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2A2E7E-FEEF-42E1-AE81-DBC495C7DE2C}">
  <ds:schemaRefs>
    <ds:schemaRef ds:uri="http://schemas.microsoft.com/office/2006/metadata/properties"/>
    <ds:schemaRef ds:uri="http://schemas.microsoft.com/office/infopath/2007/PartnerControls"/>
    <ds:schemaRef ds:uri="59ace41b-6786-4ce3-be71-52c27066c6ef"/>
    <ds:schemaRef ds:uri="http://schemas.microsoft.com/sharepoint/v3/fields"/>
    <ds:schemaRef ds:uri="1178e5e2-058a-41a1-9851-331c7b3fffb8"/>
  </ds:schemaRefs>
</ds:datastoreItem>
</file>

<file path=customXml/itemProps3.xml><?xml version="1.0" encoding="utf-8"?>
<ds:datastoreItem xmlns:ds="http://schemas.openxmlformats.org/officeDocument/2006/customXml" ds:itemID="{227D1D56-F685-4746-9FE3-2DED65195822}">
  <ds:schemaRefs>
    <ds:schemaRef ds:uri="http://schemas.microsoft.com/sharepoint/events"/>
  </ds:schemaRefs>
</ds:datastoreItem>
</file>

<file path=customXml/itemProps4.xml><?xml version="1.0" encoding="utf-8"?>
<ds:datastoreItem xmlns:ds="http://schemas.openxmlformats.org/officeDocument/2006/customXml" ds:itemID="{A5D4FE08-6963-4F9B-B363-104E5F9E2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1291</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Housing crisis  The European Economic and Social Committee calls on the EU to act</vt:lpstr>
    </vt:vector>
  </TitlesOfParts>
  <Company>CESE-CdR</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solución concertada a la creciente crisis de la vivienda, que afecta especialmente a los grupos vulnerables y la juventud</dc:title>
  <dc:subject>CP</dc:subject>
  <dc:creator>Emma Nieddu</dc:creator>
  <cp:keywords>EESC-2024-00438-00-01-CP-TRA-EN</cp:keywords>
  <dc:description>Rapporteur:  - Original language: EN - Date of document: 21/02/2024 - Date of meeting:  - External documents:  - Administrator: M. PEZZANI Marco</dc:description>
  <cp:lastModifiedBy>Pezzani Marco</cp:lastModifiedBy>
  <cp:revision>15</cp:revision>
  <cp:lastPrinted>2007-06-05T13:08:00Z</cp:lastPrinted>
  <dcterms:created xsi:type="dcterms:W3CDTF">2024-02-21T08:39:00Z</dcterms:created>
  <dcterms:modified xsi:type="dcterms:W3CDTF">2024-03-04T08:48:00Z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21/02/2024, 20/02/2024, 05/04/2022</vt:lpwstr>
  </property>
  <property fmtid="{D5CDD505-2E9C-101B-9397-08002B2CF9AE}" pid="4" name="Pref_Time">
    <vt:lpwstr>09:39:53, 11:05:21, 16:28:46</vt:lpwstr>
  </property>
  <property fmtid="{D5CDD505-2E9C-101B-9397-08002B2CF9AE}" pid="5" name="Pref_User">
    <vt:lpwstr>amett, jhvi, enied</vt:lpwstr>
  </property>
  <property fmtid="{D5CDD505-2E9C-101B-9397-08002B2CF9AE}" pid="6" name="Pref_FileName">
    <vt:lpwstr>EESC-2024-00438-00-01-CP-ORI.docx, EESC-2024-00438-00-00-CP-ORI.docx, EESC-2022-01954-00-00-ADMIN-ORI.docx</vt:lpwstr>
  </property>
  <property fmtid="{D5CDD505-2E9C-101B-9397-08002B2CF9AE}" pid="7" name="ContentTypeId">
    <vt:lpwstr>0x010100EA97B91038054C99906057A708A1480A00E20A70424F8EF14D84929FAE9E34774B</vt:lpwstr>
  </property>
  <property fmtid="{D5CDD505-2E9C-101B-9397-08002B2CF9AE}" pid="8" name="_dlc_DocIdItemGuid">
    <vt:lpwstr>45f283b2-f51c-474c-8588-195506571ed2</vt:lpwstr>
  </property>
  <property fmtid="{D5CDD505-2E9C-101B-9397-08002B2CF9AE}" pid="9" name="AvailableTranslations">
    <vt:lpwstr>24;#ES|e7a6b05b-ae16-40c8-add9-68b64b03aeba;#37;#RO|feb747a2-64cd-4299-af12-4833ddc30497;#5;#EN|f2175f21-25d7-44a3-96da-d6a61b075e1b;#22;#BG|1a1b3951-7821-4e6a-85f5-5673fc08bd2c;#12;#IT|0774613c-01ed-4e5d-a25d-11d2388de825</vt:lpwstr>
  </property>
  <property fmtid="{D5CDD505-2E9C-101B-9397-08002B2CF9AE}" pid="10" name="DocumentType_0">
    <vt:lpwstr>CP|de8ad211-9e8d-408b-8324-674d21bb7d18</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438</vt:i4>
  </property>
  <property fmtid="{D5CDD505-2E9C-101B-9397-08002B2CF9AE}" pid="14" name="DocumentVersion">
    <vt:i4>1</vt:i4>
  </property>
  <property fmtid="{D5CDD505-2E9C-101B-9397-08002B2CF9AE}" pid="15" name="DocumentStatus">
    <vt:lpwstr>3;#TRA|150d2a88-1431-44e6-a8ca-0bb753ab8672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19" name="DocumentType">
    <vt:lpwstr>48;#CP|de8ad211-9e8d-408b-8324-674d21bb7d18</vt:lpwstr>
  </property>
  <property fmtid="{D5CDD505-2E9C-101B-9397-08002B2CF9AE}" pid="20" name="RequestingService">
    <vt:lpwstr>Presse</vt:lpwstr>
  </property>
  <property fmtid="{D5CDD505-2E9C-101B-9397-08002B2CF9AE}" pid="21" name="Confidentiality">
    <vt:lpwstr>6;#Unrestricted|826e22d7-d029-4ec0-a450-0c28ff673572</vt:lpwstr>
  </property>
  <property fmtid="{D5CDD505-2E9C-101B-9397-08002B2CF9AE}" pid="22" name="MeetingName_0">
    <vt:lpwstr/>
  </property>
  <property fmtid="{D5CDD505-2E9C-101B-9397-08002B2CF9AE}" pid="23" name="Confidentiality_0">
    <vt:lpwstr>Unrestricted|826e22d7-d029-4ec0-a450-0c28ff673572</vt:lpwstr>
  </property>
  <property fmtid="{D5CDD505-2E9C-101B-9397-08002B2CF9AE}" pid="24" name="OriginalLanguage">
    <vt:lpwstr>5;#EN|f2175f21-25d7-44a3-96da-d6a61b075e1b</vt:lpwstr>
  </property>
  <property fmtid="{D5CDD505-2E9C-101B-9397-08002B2CF9AE}" pid="25" name="MeetingName">
    <vt:lpwstr/>
  </property>
  <property fmtid="{D5CDD505-2E9C-101B-9397-08002B2CF9AE}" pid="26" name="AvailableTranslations_0">
    <vt:lpwstr>RO|feb747a2-64cd-4299-af12-4833ddc30497;EN|f2175f21-25d7-44a3-96da-d6a61b075e1b;BG|1a1b3951-7821-4e6a-85f5-5673fc08bd2c;IT|0774613c-01ed-4e5d-a25d-11d2388de825</vt:lpwstr>
  </property>
  <property fmtid="{D5CDD505-2E9C-101B-9397-08002B2CF9AE}" pid="27" name="DocumentStatus_0">
    <vt:lpwstr>TRA|150d2a88-1431-44e6-a8ca-0bb753ab8672</vt:lpwstr>
  </property>
  <property fmtid="{D5CDD505-2E9C-101B-9397-08002B2CF9AE}" pid="28" name="OriginalLanguage_0">
    <vt:lpwstr>EN|f2175f21-25d7-44a3-96da-d6a61b075e1b</vt:lpwstr>
  </property>
  <property fmtid="{D5CDD505-2E9C-101B-9397-08002B2CF9AE}" pid="29" name="TaxCatchAll">
    <vt:lpwstr>22;#BG|1a1b3951-7821-4e6a-85f5-5673fc08bd2c;#48;#CP|de8ad211-9e8d-408b-8324-674d21bb7d18;#37;#RO|feb747a2-64cd-4299-af12-4833ddc30497;#12;#IT|0774613c-01ed-4e5d-a25d-11d2388de825;#8;#Final|ea5e6674-7b27-4bac-b091-73adbb394efe;#6;#Unrestricted|826e22d7-d029-4ec0-a450-0c28ff673572;#5;#EN|f2175f21-25d7-44a3-96da-d6a61b075e1b;#3;#TRA|150d2a88-1431-44e6-a8ca-0bb753ab8672;#1;#EESC|422833ec-8d7e-4e65-8e4e-8bed07ffb729</vt:lpwstr>
  </property>
  <property fmtid="{D5CDD505-2E9C-101B-9397-08002B2CF9AE}" pid="30" name="VersionStatus_0">
    <vt:lpwstr>Final|ea5e6674-7b27-4bac-b091-73adbb394efe</vt:lpwstr>
  </property>
  <property fmtid="{D5CDD505-2E9C-101B-9397-08002B2CF9AE}" pid="31" name="VersionStatus">
    <vt:lpwstr>8;#Final|ea5e6674-7b27-4bac-b091-73adbb394efe</vt:lpwstr>
  </property>
  <property fmtid="{D5CDD505-2E9C-101B-9397-08002B2CF9AE}" pid="32" name="DocumentYear">
    <vt:i4>2024</vt:i4>
  </property>
  <property fmtid="{D5CDD505-2E9C-101B-9397-08002B2CF9AE}" pid="33" name="FicheNumber">
    <vt:i4>2087</vt:i4>
  </property>
  <property fmtid="{D5CDD505-2E9C-101B-9397-08002B2CF9AE}" pid="34" name="DocumentLanguage">
    <vt:lpwstr>24;#ES|e7a6b05b-ae16-40c8-add9-68b64b03aeba</vt:lpwstr>
  </property>
  <property fmtid="{D5CDD505-2E9C-101B-9397-08002B2CF9AE}" pid="35" name="_docset_NoMedatataSyncRequired">
    <vt:lpwstr>False</vt:lpwstr>
  </property>
</Properties>
</file>