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2372" w:rsidR="00461AA8" w:rsidP="00147C3F" w:rsidRDefault="00461AA8" w14:paraId="3BDD34D7" w14:textId="6A4DD485">
      <w:pPr>
        <w:rPr>
          <w:rFonts w:ascii="Verdana" w:hAnsi="Verdana"/>
          <w:sz w:val="18"/>
          <w:szCs w:val="18"/>
        </w:rPr>
      </w:pPr>
      <w:r>
        <w:rPr>
          <w:rFonts w:ascii="Verdana" w:hAnsi="Verdana"/>
          <w:noProof/>
          <w:sz w:val="20"/>
        </w:rPr>
        <w:drawing>
          <wp:inline distT="0" distB="0" distL="0" distR="0" wp14:anchorId="46DED632" wp14:editId="300F814D">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049"/>
        <w:gridCol w:w="4022"/>
      </w:tblGrid>
      <w:tr w:rsidRPr="00232372" w:rsidR="00C93E55" w:rsidTr="00461AA8" w14:paraId="16E539E7" w14:textId="77777777">
        <w:trPr>
          <w:cantSplit/>
        </w:trPr>
        <w:tc>
          <w:tcPr>
            <w:tcW w:w="5049" w:type="dxa"/>
          </w:tcPr>
          <w:p w:rsidRPr="00232372" w:rsidR="00C93E55" w:rsidP="002F79A3" w:rsidRDefault="00321382" w14:paraId="2A287900" w14:textId="2F015220">
            <w:pPr>
              <w:spacing w:before="120" w:after="120" w:line="240" w:lineRule="auto"/>
              <w:rPr>
                <w:rFonts w:ascii="Verdana" w:hAnsi="Verdana"/>
                <w:b/>
                <w:bCs/>
                <w:sz w:val="20"/>
              </w:rPr>
            </w:pPr>
            <w:r>
              <w:rPr>
                <w:rFonts w:ascii="Verdana" w:hAnsi="Verdana"/>
                <w:noProof/>
                <w:sz w:val="20"/>
              </w:rPr>
              <mc:AlternateContent>
                <mc:Choice Requires="wps">
                  <w:drawing>
                    <wp:anchor distT="0" distB="0" distL="114300" distR="114300" simplePos="0" relativeHeight="251659264" behindDoc="1" locked="0" layoutInCell="0" allowOverlap="1" wp14:editId="07A6F766" wp14:anchorId="02E0DDB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6C3A69A6" w14:textId="77777777">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2E0DDBB">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321382" w:rsidRDefault="00321382" w14:paraId="6C3A69A6" w14:textId="77777777">
                            <w:pPr>
                              <w:jc w:val="center"/>
                              <w:rPr>
                                <w:rFonts w:ascii="Arial" w:hAnsi="Arial" w:cs="Arial"/>
                                <w:b/>
                                <w:bCs/>
                                <w:sz w:val="48"/>
                              </w:rPr>
                            </w:pPr>
                            <w:r>
                              <w:rPr>
                                <w:rFonts w:ascii="Arial" w:hAnsi="Arial"/>
                                <w:b/>
                                <w:sz w:val="48"/>
                              </w:rPr>
                              <w:t>ES</w:t>
                            </w:r>
                          </w:p>
                        </w:txbxContent>
                      </v:textbox>
                      <w10:wrap anchorx="page" anchory="page"/>
                    </v:shape>
                  </w:pict>
                </mc:Fallback>
              </mc:AlternateContent>
            </w:r>
            <w:r>
              <w:rPr>
                <w:rFonts w:ascii="Verdana" w:hAnsi="Verdana"/>
                <w:b/>
                <w:sz w:val="20"/>
              </w:rPr>
              <w:t>N.º 18/2024</w:t>
            </w:r>
          </w:p>
        </w:tc>
        <w:tc>
          <w:tcPr>
            <w:tcW w:w="4022" w:type="dxa"/>
          </w:tcPr>
          <w:p w:rsidRPr="00232372" w:rsidR="00C93E55" w:rsidP="00F92DAC" w:rsidRDefault="009466A3" w14:paraId="6DB6BFB3" w14:textId="470026B8">
            <w:pPr>
              <w:spacing w:before="120" w:after="120" w:line="240" w:lineRule="auto"/>
              <w:jc w:val="right"/>
              <w:rPr>
                <w:rFonts w:ascii="Verdana" w:hAnsi="Verdana"/>
                <w:b/>
                <w:bCs/>
                <w:sz w:val="20"/>
              </w:rPr>
            </w:pPr>
            <w:r>
              <w:rPr>
                <w:rFonts w:ascii="Verdana" w:hAnsi="Verdana"/>
                <w:b/>
                <w:sz w:val="20"/>
              </w:rPr>
              <w:t>20 de marzo de 2024</w:t>
            </w:r>
          </w:p>
        </w:tc>
      </w:tr>
    </w:tbl>
    <w:p w:rsidRPr="00232372" w:rsidR="00F83179" w:rsidP="00686EC2" w:rsidRDefault="00955D3C" w14:paraId="72EB20C4" w14:textId="77777777">
      <w:pPr>
        <w:spacing w:line="240" w:lineRule="auto"/>
        <w:rPr>
          <w:rFonts w:ascii="Verdana" w:hAnsi="Verdana"/>
          <w:sz w:val="20"/>
        </w:rPr>
      </w:pPr>
      <w:r>
        <w:rPr>
          <w:rFonts w:ascii="Verdana" w:hAnsi="Verdana"/>
          <w:b/>
          <w:noProof/>
          <w:sz w:val="20"/>
        </w:rPr>
        <mc:AlternateContent>
          <mc:Choice Requires="wps">
            <w:drawing>
              <wp:anchor distT="0" distB="0" distL="114300" distR="114300" simplePos="0" relativeHeight="251661312" behindDoc="1" locked="0" layoutInCell="0" allowOverlap="1" wp14:editId="2BA53F62" wp14:anchorId="2B6DBAD5">
                <wp:simplePos x="0" y="0"/>
                <wp:positionH relativeFrom="page">
                  <wp:posOffset>6770788</wp:posOffset>
                </wp:positionH>
                <wp:positionV relativeFrom="page">
                  <wp:posOffset>10084828</wp:posOffset>
                </wp:positionV>
                <wp:extent cx="647700" cy="3962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55D3C" w:rsidRDefault="00955D3C" w14:paraId="066D55FC" w14:textId="77777777">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left:0;text-align:left;margin-left:533.15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" w14:anchorId="2B6DBAD5">
                <v:textbox>
                  <w:txbxContent>
                    <w:p w:rsidRPr="00260E65" w:rsidR="00955D3C" w:rsidRDefault="00955D3C" w14:paraId="066D55FC" w14:textId="77777777">
                      <w:pPr>
                        <w:jc w:val="center"/>
                        <w:rPr>
                          <w:rFonts w:ascii="Arial" w:hAnsi="Arial" w:cs="Arial"/>
                          <w:b/>
                          <w:bCs/>
                          <w:sz w:val="48"/>
                        </w:rPr>
                      </w:pPr>
                      <w:r>
                        <w:rPr>
                          <w:rFonts w:ascii="Arial" w:hAnsi="Arial"/>
                          <w:b/>
                          <w:sz w:val="48"/>
                        </w:rPr>
                        <w:t>ES</w:t>
                      </w:r>
                    </w:p>
                  </w:txbxContent>
                </v:textbox>
                <w10:wrap anchorx="page" anchory="page"/>
              </v:shape>
            </w:pict>
          </mc:Fallback>
        </mc:AlternateContent>
      </w:r>
    </w:p>
    <w:p w:rsidRPr="00232372" w:rsidR="00F83179" w:rsidP="00686EC2" w:rsidRDefault="00F83179" w14:paraId="4154F4D7" w14:textId="77777777">
      <w:pPr>
        <w:spacing w:line="240" w:lineRule="auto"/>
        <w:rPr>
          <w:rFonts w:ascii="Verdana" w:hAnsi="Verdana"/>
          <w:sz w:val="20"/>
        </w:rPr>
        <w:sectPr w:rsidRPr="00232372" w:rsidR="00F83179" w:rsidSect="00837B82">
          <w:footerReference w:type="default" r:id="rId12"/>
          <w:pgSz w:w="11907" w:h="16839" w:code="9"/>
          <w:pgMar w:top="425" w:right="1418" w:bottom="1418" w:left="1418" w:header="709" w:footer="709" w:gutter="0"/>
          <w:cols w:space="720"/>
          <w:docGrid w:linePitch="299"/>
        </w:sectPr>
      </w:pPr>
    </w:p>
    <w:p w:rsidRPr="00232372" w:rsidR="008850E4" w:rsidP="008850E4" w:rsidRDefault="008850E4" w14:paraId="7341BCD6" w14:textId="77777777">
      <w:pPr>
        <w:rPr>
          <w:rFonts w:ascii="Verdana" w:hAnsi="Verdana"/>
          <w:sz w:val="18"/>
        </w:rPr>
      </w:pPr>
    </w:p>
    <w:p w:rsidRPr="00232372" w:rsidR="004D1484" w:rsidP="00795B49" w:rsidRDefault="00562EB5" w14:paraId="350B7A8A" w14:textId="6873A0E8">
      <w:pPr>
        <w:jc w:val="center"/>
        <w:rPr>
          <w:rFonts w:ascii="Verdana" w:hAnsi="Verdana"/>
          <w:b/>
          <w:bCs/>
          <w:color w:val="0070C0"/>
          <w:sz w:val="28"/>
          <w:szCs w:val="24"/>
        </w:rPr>
      </w:pPr>
      <w:r>
        <w:rPr>
          <w:rFonts w:ascii="Verdana" w:hAnsi="Verdana"/>
          <w:b/>
          <w:color w:val="0070C0"/>
          <w:sz w:val="28"/>
        </w:rPr>
        <w:t xml:space="preserve">El futuro mercado único europeo </w:t>
      </w:r>
      <w:r w:rsidR="003D2DEC">
        <w:rPr>
          <w:rFonts w:ascii="Verdana" w:hAnsi="Verdana"/>
          <w:b/>
          <w:color w:val="0070C0"/>
          <w:sz w:val="28"/>
        </w:rPr>
        <w:br/>
      </w:r>
      <w:r>
        <w:rPr>
          <w:rFonts w:ascii="Verdana" w:hAnsi="Verdana"/>
          <w:b/>
          <w:color w:val="0070C0"/>
          <w:sz w:val="28"/>
        </w:rPr>
        <w:t>necesita un nuevo enfoque geopolítico</w:t>
      </w:r>
    </w:p>
    <w:p w:rsidRPr="00232372" w:rsidR="00826961" w:rsidP="00826961" w:rsidRDefault="00826961" w14:paraId="729C1FF8" w14:textId="3E6A8AFC">
      <w:pPr>
        <w:rPr>
          <w:rFonts w:ascii="Verdana" w:hAnsi="Verdana"/>
          <w:sz w:val="18"/>
        </w:rPr>
      </w:pPr>
    </w:p>
    <w:p w:rsidRPr="00232372" w:rsidR="005A5BB2" w:rsidP="005A5BB2" w:rsidRDefault="00F41988" w14:paraId="3EF57FC1" w14:textId="76BDF26C">
      <w:pPr>
        <w:rPr>
          <w:rFonts w:ascii="Verdana" w:hAnsi="Verdana"/>
          <w:b/>
          <w:bCs/>
          <w:sz w:val="20"/>
        </w:rPr>
      </w:pPr>
      <w:r>
        <w:rPr>
          <w:rFonts w:ascii="Verdana" w:hAnsi="Verdana"/>
          <w:b/>
          <w:sz w:val="20"/>
        </w:rPr>
        <w:t>En el pleno de marzo del Comité Económico y Social Europeo (CESE), Enrico Letta, antiguo primer ministro italiano, dejó claro que el mercado único europeo atañe ante todo a las personas y que, treinta años después de su puesta en marcha, debe centrarse en la autonomía estratégica de Europa y en pilares como la defensa, las telecomunicaciones, la energía y las finanzas.</w:t>
      </w:r>
    </w:p>
    <w:p w:rsidRPr="00232372" w:rsidR="001F660F" w:rsidP="00795B49" w:rsidRDefault="001F660F" w14:paraId="6A973F45" w14:textId="1BA4D89F">
      <w:pPr>
        <w:rPr>
          <w:rFonts w:ascii="Verdana" w:hAnsi="Verdana"/>
          <w:sz w:val="18"/>
        </w:rPr>
      </w:pPr>
    </w:p>
    <w:p w:rsidR="00711F04" w:rsidP="00A82612" w:rsidRDefault="009466A3" w14:paraId="28E4BD65" w14:textId="2E96FC62">
      <w:pPr>
        <w:rPr>
          <w:rFonts w:ascii="Verdana" w:hAnsi="Verdana"/>
          <w:sz w:val="18"/>
        </w:rPr>
      </w:pPr>
      <w:r>
        <w:rPr>
          <w:rFonts w:ascii="Verdana" w:hAnsi="Verdana"/>
          <w:sz w:val="18"/>
        </w:rPr>
        <w:t xml:space="preserve">El replanteamiento estratégico del mercado único de la UE es ahora una necesidad: el mundo ha cambiado en los últimos treinta años y el mercado único debe adaptarse al nuevo panorama internacional. Así lo afirmó el antiguo jefe del Gobierno italiano </w:t>
      </w:r>
      <w:r>
        <w:rPr>
          <w:rFonts w:ascii="Verdana" w:hAnsi="Verdana"/>
          <w:b/>
          <w:sz w:val="18"/>
        </w:rPr>
        <w:t>Enrico Letta</w:t>
      </w:r>
      <w:r>
        <w:rPr>
          <w:rFonts w:ascii="Verdana" w:hAnsi="Verdana"/>
          <w:sz w:val="18"/>
        </w:rPr>
        <w:t xml:space="preserve"> en el debate del pleno del CESE celebrado el 20 de marzo de 2024.</w:t>
      </w:r>
    </w:p>
    <w:p w:rsidR="008B103E" w:rsidP="00A82612" w:rsidRDefault="008B103E" w14:paraId="7EA71E46" w14:textId="77777777">
      <w:pPr>
        <w:rPr>
          <w:rFonts w:ascii="Verdana" w:hAnsi="Verdana"/>
          <w:sz w:val="18"/>
        </w:rPr>
      </w:pPr>
    </w:p>
    <w:p w:rsidR="00F41988" w:rsidP="008B103E" w:rsidRDefault="008B103E" w14:paraId="3AED2576" w14:textId="184456ED">
      <w:pPr>
        <w:rPr>
          <w:rFonts w:ascii="Verdana" w:hAnsi="Verdana"/>
          <w:sz w:val="18"/>
        </w:rPr>
      </w:pPr>
      <w:r>
        <w:rPr>
          <w:rFonts w:ascii="Verdana" w:hAnsi="Verdana"/>
          <w:sz w:val="18"/>
        </w:rPr>
        <w:t xml:space="preserve">Al presentar la idea clave que subyace a su informe de alto nivel sobre el futuro del mercado único, el </w:t>
      </w:r>
      <w:r>
        <w:rPr>
          <w:rFonts w:ascii="Verdana" w:hAnsi="Verdana"/>
          <w:b/>
          <w:sz w:val="18"/>
        </w:rPr>
        <w:t>Sr. Letta</w:t>
      </w:r>
      <w:r>
        <w:rPr>
          <w:rFonts w:ascii="Verdana" w:hAnsi="Verdana"/>
          <w:sz w:val="18"/>
        </w:rPr>
        <w:t>, actual presidente del Instituto Jacques Delors, subrayó que el futuro mercado único debe aplicar un enfoque geopolítico y centrarse en la autonomía estratégica de Europa y en pilares como la defensa, las telecomunicaciones, la energía y las finanzas.</w:t>
      </w:r>
    </w:p>
    <w:p w:rsidR="00F41988" w:rsidP="008B103E" w:rsidRDefault="00F41988" w14:paraId="6DF8A8B2" w14:textId="77777777">
      <w:pPr>
        <w:rPr>
          <w:rFonts w:ascii="Verdana" w:hAnsi="Verdana"/>
          <w:sz w:val="18"/>
        </w:rPr>
      </w:pPr>
    </w:p>
    <w:p w:rsidR="008B103E" w:rsidP="008B103E" w:rsidRDefault="00AF7776" w14:paraId="698DCEAA" w14:textId="5740F344">
      <w:pPr>
        <w:rPr>
          <w:rFonts w:ascii="Verdana" w:hAnsi="Verdana"/>
          <w:sz w:val="18"/>
        </w:rPr>
      </w:pPr>
      <w:r>
        <w:rPr>
          <w:rFonts w:ascii="Verdana" w:hAnsi="Verdana"/>
          <w:sz w:val="18"/>
        </w:rPr>
        <w:t>Y añadió: «El panorama geopolítico es ahora totalmente distinto al de hace treinta años. Nuestro cometido actual consiste en examinar las consecuencias del nuevo escenario mundial para el mercado único y su futuro. Tenemos que adoptar un nuevo enfoque e incluir cuestiones como la defensa y la ampliación».</w:t>
      </w:r>
    </w:p>
    <w:p w:rsidR="00552B8D" w:rsidP="008B103E" w:rsidRDefault="00552B8D" w14:paraId="7AAC1D74" w14:textId="77777777">
      <w:pPr>
        <w:rPr>
          <w:rFonts w:ascii="Verdana" w:hAnsi="Verdana"/>
          <w:sz w:val="18"/>
        </w:rPr>
      </w:pPr>
    </w:p>
    <w:p w:rsidR="00604CE9" w:rsidP="008B103E" w:rsidRDefault="00552B8D" w14:paraId="7674EFC0" w14:textId="5192307D">
      <w:pPr>
        <w:rPr>
          <w:rFonts w:ascii="Verdana" w:hAnsi="Verdana"/>
          <w:sz w:val="18"/>
        </w:rPr>
      </w:pPr>
      <w:r>
        <w:rPr>
          <w:rFonts w:ascii="Verdana" w:hAnsi="Verdana"/>
          <w:b/>
          <w:sz w:val="18"/>
        </w:rPr>
        <w:t>Oliver Röpke</w:t>
      </w:r>
      <w:r>
        <w:rPr>
          <w:rFonts w:ascii="Verdana" w:hAnsi="Verdana"/>
          <w:sz w:val="18"/>
        </w:rPr>
        <w:t>, presidente del CESE, subrayó que el éxito del mercado único no puede medirse únicamente en términos económicos, sino que también debe reflejar las esperanzas y el bienestar de la ciudadanía europea: «En el CESE creemos que el mercado único atañe ante todo a las personas y que el derecho de circulación también conlleva la libertad de estancia».</w:t>
      </w:r>
    </w:p>
    <w:p w:rsidR="00552B8D" w:rsidP="008B103E" w:rsidRDefault="00552B8D" w14:paraId="7B9A938A" w14:textId="77777777">
      <w:pPr>
        <w:rPr>
          <w:rFonts w:ascii="Verdana" w:hAnsi="Verdana"/>
          <w:sz w:val="18"/>
        </w:rPr>
      </w:pPr>
    </w:p>
    <w:p w:rsidR="00D4404B" w:rsidP="008B103E" w:rsidRDefault="00604CE9" w14:paraId="5F3CDA8E" w14:textId="4C9B1E40">
      <w:pPr>
        <w:rPr>
          <w:rFonts w:ascii="Verdana" w:hAnsi="Verdana"/>
          <w:sz w:val="18"/>
        </w:rPr>
      </w:pPr>
      <w:r>
        <w:rPr>
          <w:rFonts w:ascii="Verdana" w:hAnsi="Verdana"/>
          <w:sz w:val="18"/>
        </w:rPr>
        <w:t xml:space="preserve">El </w:t>
      </w:r>
      <w:r>
        <w:rPr>
          <w:rFonts w:ascii="Verdana" w:hAnsi="Verdana"/>
          <w:b/>
          <w:sz w:val="18"/>
        </w:rPr>
        <w:t>Sr. Letta</w:t>
      </w:r>
      <w:r>
        <w:rPr>
          <w:rFonts w:ascii="Verdana" w:hAnsi="Verdana"/>
          <w:sz w:val="18"/>
        </w:rPr>
        <w:t xml:space="preserve"> señaló que el mercado único atañe a las personas y se ocupa de ellas. La competitividad económica debe ir de la mano de la protección social, y la libertad de circulación y el derecho de retorno son inherentes a la misma libertad: «La fuga de cerebros tiene un impacto devastador en algunos países. Hemos de plantearnos las libertades de estancia y de retorno. Hoy es un billete solo de ida, lo que afecta a la competitividad y crea un gran problema en Europa».</w:t>
      </w:r>
    </w:p>
    <w:p w:rsidR="00F06C67" w:rsidP="00F06C67" w:rsidRDefault="00F06C67" w14:paraId="39ABDB9B" w14:textId="4C01AC8F">
      <w:pPr>
        <w:rPr>
          <w:rFonts w:ascii="Verdana" w:hAnsi="Verdana"/>
          <w:sz w:val="18"/>
        </w:rPr>
      </w:pPr>
    </w:p>
    <w:p w:rsidR="00010BD6" w:rsidP="00F06C67" w:rsidRDefault="0027766A" w14:paraId="3220A615" w14:textId="79BC8442">
      <w:pPr>
        <w:rPr>
          <w:rFonts w:ascii="Verdana" w:hAnsi="Verdana"/>
          <w:sz w:val="18"/>
        </w:rPr>
      </w:pPr>
      <w:r>
        <w:rPr>
          <w:rFonts w:ascii="Verdana" w:hAnsi="Verdana"/>
          <w:sz w:val="18"/>
        </w:rPr>
        <w:t xml:space="preserve">Al mencionar la necesidad de proteger y mejorar el futuro mercado único, el </w:t>
      </w:r>
      <w:r>
        <w:rPr>
          <w:rFonts w:ascii="Verdana" w:hAnsi="Verdana"/>
          <w:b/>
          <w:sz w:val="18"/>
        </w:rPr>
        <w:t>Sr. Röpke</w:t>
      </w:r>
      <w:r>
        <w:rPr>
          <w:rFonts w:ascii="Verdana" w:hAnsi="Verdana"/>
          <w:sz w:val="18"/>
        </w:rPr>
        <w:t xml:space="preserve"> añadió: «Cualquier plan a largo plazo para el mercado único debe centrarse en la convergencia social y económica y atajar las desigualdades y disparidades sociales que amenazan la integración europea. Esto requiere un esfuerzo colectivo en el que participen los entes locales y regionales, las empresas y la sociedad civil para construir una Europa socialmente consciente que no deje a nadie atrás».</w:t>
      </w:r>
    </w:p>
    <w:p w:rsidRPr="00552B8D" w:rsidR="00552B8D" w:rsidP="00552B8D" w:rsidRDefault="000C023F" w14:paraId="0A5DB763" w14:textId="71882FDA">
      <w:pPr>
        <w:rPr>
          <w:rFonts w:ascii="Verdana" w:hAnsi="Verdana"/>
          <w:bCs/>
          <w:sz w:val="18"/>
          <w:szCs w:val="18"/>
        </w:rPr>
      </w:pPr>
      <w:r>
        <w:rPr>
          <w:rFonts w:ascii="Verdana" w:hAnsi="Verdana"/>
          <w:sz w:val="18"/>
        </w:rPr>
        <w:lastRenderedPageBreak/>
        <w:t xml:space="preserve">En nombre del Grupo de Organizaciones de la Sociedad Civil, </w:t>
      </w:r>
      <w:r>
        <w:rPr>
          <w:rFonts w:ascii="Verdana" w:hAnsi="Verdana"/>
          <w:b/>
          <w:sz w:val="18"/>
        </w:rPr>
        <w:t>Luca Jahier</w:t>
      </w:r>
      <w:r>
        <w:rPr>
          <w:rFonts w:ascii="Verdana" w:hAnsi="Verdana"/>
          <w:sz w:val="18"/>
        </w:rPr>
        <w:t xml:space="preserve">, presidente del Grupo </w:t>
      </w:r>
      <w:r>
        <w:rPr>
          <w:rFonts w:ascii="Verdana" w:hAnsi="Verdana"/>
          <w:i/>
          <w:iCs/>
          <w:sz w:val="18"/>
        </w:rPr>
        <w:t>ad hoc</w:t>
      </w:r>
      <w:r>
        <w:rPr>
          <w:rFonts w:ascii="Verdana" w:hAnsi="Verdana"/>
          <w:sz w:val="18"/>
        </w:rPr>
        <w:t xml:space="preserve"> sobre el Semestre Europeo del CESE, destacó que el mercado único no puede referirse únicamente a la energía, las telecomunicaciones, la inteligencia artificial, la unión de los mercados de capitales y la defensa. La UE también necesita un pilar social como condición para su competitividad y prosperidad.</w:t>
      </w:r>
    </w:p>
    <w:p w:rsidR="00585B0F" w:rsidP="00F06C67" w:rsidRDefault="00585B0F" w14:paraId="0CE5AC8B" w14:textId="77777777">
      <w:pPr>
        <w:rPr>
          <w:rFonts w:ascii="Verdana" w:hAnsi="Verdana"/>
          <w:bCs/>
          <w:sz w:val="18"/>
          <w:szCs w:val="18"/>
        </w:rPr>
      </w:pPr>
    </w:p>
    <w:p w:rsidR="00585B0F" w:rsidP="004A465F" w:rsidRDefault="009D3AF8" w14:paraId="3C32A67A" w14:textId="1DF18ED0">
      <w:pPr>
        <w:rPr>
          <w:rFonts w:ascii="Verdana" w:hAnsi="Verdana"/>
          <w:bCs/>
          <w:sz w:val="18"/>
          <w:szCs w:val="18"/>
        </w:rPr>
      </w:pPr>
      <w:r>
        <w:rPr>
          <w:rFonts w:ascii="Verdana" w:hAnsi="Verdana"/>
          <w:b/>
          <w:sz w:val="18"/>
        </w:rPr>
        <w:t>Stefano Mallia</w:t>
      </w:r>
      <w:r>
        <w:rPr>
          <w:rFonts w:ascii="Verdana" w:hAnsi="Verdana"/>
          <w:sz w:val="18"/>
        </w:rPr>
        <w:t>, presidente del Grupo de Empresarios del CESE, afirmó que el futuro del mercado único debe empezar «mañana mismo», no dentro de unos años, y señaló que la UE ha de prestar atención a todas las empresas, pero también centrarse en las que incentiven la innovación y generen crecimiento y empleo.</w:t>
      </w:r>
    </w:p>
    <w:p w:rsidR="004A465F" w:rsidP="00F06C67" w:rsidRDefault="004A465F" w14:paraId="1E57315A" w14:textId="77777777">
      <w:pPr>
        <w:rPr>
          <w:rFonts w:ascii="Verdana" w:hAnsi="Verdana"/>
          <w:bCs/>
          <w:sz w:val="18"/>
          <w:szCs w:val="18"/>
        </w:rPr>
      </w:pPr>
    </w:p>
    <w:p w:rsidRPr="004A465F" w:rsidR="004A465F" w:rsidP="004A465F" w:rsidRDefault="004A465F" w14:paraId="05F59D1A" w14:textId="7D350837">
      <w:pPr>
        <w:rPr>
          <w:rFonts w:ascii="Verdana" w:hAnsi="Verdana"/>
          <w:bCs/>
          <w:sz w:val="18"/>
          <w:szCs w:val="18"/>
        </w:rPr>
      </w:pPr>
      <w:r>
        <w:rPr>
          <w:rFonts w:ascii="Verdana" w:hAnsi="Verdana"/>
          <w:sz w:val="18"/>
        </w:rPr>
        <w:t xml:space="preserve">Por último, en nombre del Grupo de Trabajadores del CESE, su vicepresidente, </w:t>
      </w:r>
      <w:r>
        <w:rPr>
          <w:rFonts w:ascii="Verdana" w:hAnsi="Verdana"/>
          <w:b/>
          <w:sz w:val="18"/>
        </w:rPr>
        <w:t>Philip Von Brockdorf</w:t>
      </w:r>
      <w:r>
        <w:rPr>
          <w:rFonts w:ascii="Verdana" w:hAnsi="Verdana"/>
          <w:sz w:val="18"/>
        </w:rPr>
        <w:t>, subrayó que la unión de los mercados de capitales es fundamental para culminar el mercado único, si bien la UE se ha centrado en los aspectos más fáciles sin afrontar los problemas reales de los mercados de capitales nacionales y la introspección de algunos países.</w:t>
      </w:r>
    </w:p>
    <w:p w:rsidR="00F06C67" w:rsidP="00A82612" w:rsidRDefault="00F06C67" w14:paraId="0FB511DE" w14:textId="77777777">
      <w:pPr>
        <w:rPr>
          <w:rFonts w:ascii="Verdana" w:hAnsi="Verdana"/>
          <w:sz w:val="18"/>
        </w:rPr>
      </w:pPr>
    </w:p>
    <w:p w:rsidRPr="00F06C67" w:rsidR="00F06C67" w:rsidP="00A82612" w:rsidRDefault="00F06C67" w14:paraId="7B48DC9A" w14:textId="59537CF4">
      <w:pPr>
        <w:rPr>
          <w:rFonts w:ascii="Verdana" w:hAnsi="Verdana"/>
          <w:b/>
          <w:bCs/>
          <w:sz w:val="18"/>
        </w:rPr>
      </w:pPr>
      <w:r>
        <w:rPr>
          <w:rFonts w:ascii="Verdana" w:hAnsi="Verdana"/>
          <w:b/>
          <w:sz w:val="18"/>
        </w:rPr>
        <w:t>Contexto</w:t>
      </w:r>
    </w:p>
    <w:p w:rsidR="009466A3" w:rsidP="00A82612" w:rsidRDefault="009466A3" w14:paraId="311456AB" w14:textId="77777777">
      <w:pPr>
        <w:rPr>
          <w:rFonts w:ascii="Verdana" w:hAnsi="Verdana"/>
          <w:sz w:val="18"/>
        </w:rPr>
      </w:pPr>
    </w:p>
    <w:p w:rsidR="009466A3" w:rsidP="00A82612" w:rsidRDefault="009466A3" w14:paraId="01E664FF" w14:textId="702071AC">
      <w:pPr>
        <w:rPr>
          <w:rFonts w:ascii="Verdana" w:hAnsi="Verdana"/>
          <w:sz w:val="18"/>
        </w:rPr>
      </w:pPr>
      <w:r>
        <w:rPr>
          <w:rFonts w:ascii="Verdana" w:hAnsi="Verdana"/>
          <w:sz w:val="18"/>
        </w:rPr>
        <w:t>El 30 de junio de 2023 el Consejo Europeo solicitó la elaboración de un informe de alto nivel sobre el futuro del mercado único. Enrico Letta, antiguo jefe del Gobierno italiano, se encargó de recabar las opiniones de los organismos europeos y nacionales, las organizaciones patronales y sindicales y la sociedad civil. El principal objetivo era presentar recomendaciones concretas y ambiciosas.</w:t>
      </w:r>
    </w:p>
    <w:p w:rsidR="00010BD6" w:rsidP="00010BD6" w:rsidRDefault="00010BD6" w14:paraId="3A8492FE" w14:textId="0E1FAD25">
      <w:pPr>
        <w:rPr>
          <w:rFonts w:ascii="Verdana" w:hAnsi="Verdana"/>
          <w:sz w:val="18"/>
        </w:rPr>
      </w:pPr>
    </w:p>
    <w:p w:rsidR="009466A3" w:rsidP="00010BD6" w:rsidRDefault="00010BD6" w14:paraId="77DAFE39" w14:textId="48284865">
      <w:pPr>
        <w:rPr>
          <w:rFonts w:ascii="Verdana" w:hAnsi="Verdana"/>
          <w:sz w:val="18"/>
        </w:rPr>
      </w:pPr>
      <w:r>
        <w:rPr>
          <w:rFonts w:ascii="Verdana" w:hAnsi="Verdana"/>
          <w:sz w:val="18"/>
        </w:rPr>
        <w:t>Se espera que el informe se someta a debate en la reunión del Consejo Europeo de abril de 2024 y siente las bases de la actuación de las futuras Presidencias del Consejo, de la próxima Comisión Europea y de los Estados miembros.</w:t>
      </w:r>
    </w:p>
    <w:p w:rsidR="00010BD6" w:rsidP="00010BD6" w:rsidRDefault="00010BD6" w14:paraId="1328D2F7" w14:textId="77777777">
      <w:pPr>
        <w:rPr>
          <w:rFonts w:ascii="Verdana" w:hAnsi="Verdana"/>
          <w:sz w:val="18"/>
        </w:rPr>
      </w:pPr>
    </w:p>
    <w:p w:rsidR="001242B7" w:rsidP="009466A3" w:rsidRDefault="009466A3" w14:paraId="71474153" w14:textId="3D7F2B66">
      <w:pPr>
        <w:rPr>
          <w:rFonts w:ascii="Verdana" w:hAnsi="Verdana"/>
          <w:bCs/>
          <w:sz w:val="18"/>
          <w:szCs w:val="18"/>
        </w:rPr>
      </w:pPr>
      <w:r>
        <w:rPr>
          <w:rFonts w:ascii="Verdana" w:hAnsi="Verdana"/>
          <w:sz w:val="18"/>
        </w:rPr>
        <w:t>Puesto en marcha el 1 de noviembre de 1993, hace más de treinta años, el mercado único es el activo más valioso de la integración europea: un territorio sin fronteras interiores ni otros obstáculos normativos a la libre circulación de personas, bienes, servicios y capitales, las llamadas «cuatro libertades».</w:t>
      </w:r>
    </w:p>
    <w:p w:rsidR="001242B7" w:rsidP="009466A3" w:rsidRDefault="001242B7" w14:paraId="1671094C" w14:textId="51FC46C3">
      <w:pPr>
        <w:rPr>
          <w:rFonts w:ascii="Verdana" w:hAnsi="Verdana"/>
          <w:bCs/>
          <w:sz w:val="18"/>
          <w:szCs w:val="18"/>
        </w:rPr>
      </w:pPr>
    </w:p>
    <w:p w:rsidR="001242B7" w:rsidP="009466A3" w:rsidRDefault="00356044" w14:paraId="5E1939FF" w14:textId="1048A10F">
      <w:pPr>
        <w:rPr>
          <w:rFonts w:ascii="Verdana" w:hAnsi="Verdana"/>
          <w:bCs/>
          <w:sz w:val="18"/>
          <w:szCs w:val="18"/>
        </w:rPr>
      </w:pPr>
      <w:r>
        <w:rPr>
          <w:rFonts w:ascii="Verdana" w:hAnsi="Verdana"/>
          <w:sz w:val="18"/>
        </w:rPr>
        <w:t>Sin embargo, aunque el mercado único ha facilitado la vida cotidiana de la ciudadanía y las empresas de Europa, sus beneficios no siempre se materializan por el ocasional desconocimiento e inaplicación de la normativa o, simplemente, por la existencia de diversos obstáculos que la socavan.</w:t>
      </w:r>
    </w:p>
    <w:p w:rsidRPr="00232372" w:rsidR="008F2EE0" w:rsidP="00795B49" w:rsidRDefault="008F2EE0" w14:paraId="081C1FF5" w14:textId="77777777">
      <w:pPr>
        <w:rPr>
          <w:rFonts w:ascii="Verdana" w:hAnsi="Verdana"/>
          <w:bCs/>
          <w:sz w:val="18"/>
          <w:szCs w:val="18"/>
        </w:rPr>
      </w:pPr>
    </w:p>
    <w:p w:rsidRPr="00232372" w:rsidR="00BD7293" w:rsidP="00BD7293" w:rsidRDefault="00BD7293" w14:paraId="721508B5" w14:textId="77777777">
      <w:pPr>
        <w:jc w:val="center"/>
        <w:rPr>
          <w:rFonts w:ascii="Verdana" w:hAnsi="Verdana"/>
          <w:sz w:val="18"/>
          <w:szCs w:val="18"/>
        </w:rPr>
      </w:pPr>
      <w:r>
        <w:rPr>
          <w:rFonts w:ascii="Verdana" w:hAnsi="Verdana"/>
          <w:b/>
          <w:sz w:val="18"/>
        </w:rPr>
        <w:t>Para obtener más información, póngase en contacto con:</w:t>
      </w:r>
    </w:p>
    <w:p w:rsidR="0003089C" w:rsidP="00BD7293" w:rsidRDefault="00BD7293" w14:paraId="090E5946" w14:textId="77777777">
      <w:pPr>
        <w:pStyle w:val="Heading1"/>
        <w:numPr>
          <w:ilvl w:val="0"/>
          <w:numId w:val="0"/>
        </w:numPr>
        <w:ind w:left="360"/>
        <w:jc w:val="center"/>
        <w:rPr>
          <w:rFonts w:ascii="Verdana" w:hAnsi="Verdana"/>
          <w:sz w:val="18"/>
          <w:szCs w:val="18"/>
        </w:rPr>
      </w:pPr>
      <w:r>
        <w:rPr>
          <w:rFonts w:ascii="Verdana" w:hAnsi="Verdana"/>
          <w:sz w:val="18"/>
        </w:rPr>
        <w:t>Unidad de Prensa del CESE – Marco Pezzani</w:t>
      </w:r>
    </w:p>
    <w:p w:rsidRPr="00232372" w:rsidR="00BD7293" w:rsidP="00BD7293" w:rsidRDefault="00BD7293" w14:paraId="2BFC0303" w14:textId="06838935">
      <w:pPr>
        <w:pStyle w:val="Heading1"/>
        <w:numPr>
          <w:ilvl w:val="0"/>
          <w:numId w:val="0"/>
        </w:numPr>
        <w:ind w:left="360"/>
        <w:jc w:val="center"/>
        <w:rPr>
          <w:rFonts w:ascii="Verdana" w:hAnsi="Verdana"/>
          <w:sz w:val="18"/>
          <w:szCs w:val="18"/>
        </w:rPr>
      </w:pPr>
      <w:r>
        <w:rPr>
          <w:rFonts w:ascii="Verdana" w:hAnsi="Verdana"/>
          <w:sz w:val="18"/>
        </w:rPr>
        <w:t>+32 (0)2 546 97 93 – Móvil: +32 (0)470 881 903</w:t>
      </w:r>
    </w:p>
    <w:p w:rsidRPr="00232372" w:rsidR="00BD7293" w:rsidP="00BD7293" w:rsidRDefault="00563AA8" w14:paraId="7E0C5C48" w14:textId="77777777">
      <w:pPr>
        <w:jc w:val="center"/>
        <w:rPr>
          <w:rFonts w:ascii="Verdana" w:hAnsi="Verdana"/>
          <w:sz w:val="18"/>
          <w:szCs w:val="18"/>
        </w:rPr>
      </w:pPr>
      <w:hyperlink w:history="1" r:id="rId13">
        <w:r w:rsidR="0003089C">
          <w:rPr>
            <w:rStyle w:val="Hyperlink"/>
            <w:rFonts w:ascii="Verdana" w:hAnsi="Verdana"/>
            <w:sz w:val="18"/>
          </w:rPr>
          <w:t>marco.pezzani@eesc.europa.eu</w:t>
        </w:r>
      </w:hyperlink>
    </w:p>
    <w:p w:rsidRPr="00232372" w:rsidR="00BD7293" w:rsidP="00BD7293" w:rsidRDefault="00BD7293" w14:paraId="3B3D4053" w14:textId="4D9A942B">
      <w:pPr>
        <w:pStyle w:val="Heading1"/>
        <w:numPr>
          <w:ilvl w:val="0"/>
          <w:numId w:val="0"/>
        </w:numPr>
        <w:jc w:val="center"/>
        <w:rPr>
          <w:rFonts w:ascii="Verdana" w:hAnsi="Verdana"/>
          <w:b/>
          <w:bCs/>
          <w:sz w:val="18"/>
          <w:szCs w:val="18"/>
        </w:rPr>
      </w:pPr>
      <w:r>
        <w:rPr>
          <w:rFonts w:ascii="Verdana" w:hAnsi="Verdana"/>
          <w:b/>
          <w:sz w:val="18"/>
        </w:rPr>
        <w:t>@EESC_PRESS</w:t>
      </w:r>
    </w:p>
    <w:p w:rsidRPr="00232372" w:rsidR="00F83179" w:rsidP="00CE439D" w:rsidRDefault="00F83179" w14:paraId="2F3F2A91" w14:textId="77777777">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Pr="00232372" w:rsidR="00F83179" w:rsidP="00CE439D" w:rsidRDefault="00F83179" w14:paraId="2550D65E" w14:textId="77777777">
      <w:pPr>
        <w:rPr>
          <w:rFonts w:ascii="Verdana" w:hAnsi="Verdana"/>
          <w:i/>
          <w:sz w:val="16"/>
          <w:szCs w:val="16"/>
        </w:rPr>
      </w:pPr>
      <w:r>
        <w:rPr>
          <w:rFonts w:ascii="Verdana" w:hAnsi="Verdana"/>
          <w:i/>
          <w:sz w:val="16"/>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representan— participen en el proceso de decisión de la UE.</w:t>
      </w:r>
    </w:p>
    <w:p w:rsidRPr="00232372" w:rsidR="00F83179" w:rsidP="00AB5D9C" w:rsidRDefault="00F83179" w14:paraId="293C97E3" w14:textId="77777777">
      <w:pPr>
        <w:rPr>
          <w:rFonts w:ascii="Verdana" w:hAnsi="Verdana"/>
          <w:sz w:val="18"/>
        </w:rPr>
      </w:pPr>
      <w:r>
        <w:rPr>
          <w:rFonts w:ascii="Verdana" w:hAnsi="Verdana"/>
          <w:i/>
          <w:sz w:val="16"/>
        </w:rPr>
        <w:t>__</w:t>
      </w:r>
      <w:r>
        <w:rPr>
          <w:rFonts w:ascii="Verdana" w:hAnsi="Verdana"/>
          <w:b/>
          <w:i/>
          <w:sz w:val="16"/>
        </w:rPr>
        <w:t>_____________________________________________________________________________</w:t>
      </w:r>
    </w:p>
    <w:sectPr w:rsidRPr="00232372" w:rsidR="00F83179"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29F5" w14:textId="77777777" w:rsidR="00467962" w:rsidRDefault="00467962">
      <w:r>
        <w:separator/>
      </w:r>
    </w:p>
  </w:endnote>
  <w:endnote w:type="continuationSeparator" w:id="0">
    <w:p w14:paraId="4200A9C9" w14:textId="77777777" w:rsidR="00467962" w:rsidRDefault="0046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EF4" w14:textId="77777777" w:rsidR="00F83179" w:rsidRPr="0004715C" w:rsidRDefault="00F83179" w:rsidP="0004715C">
    <w:pPr>
      <w:spacing w:line="240" w:lineRule="auto"/>
      <w:jc w:val="center"/>
      <w:rPr>
        <w:rFonts w:ascii="Verdana" w:hAnsi="Verdana"/>
        <w:sz w:val="16"/>
        <w:szCs w:val="16"/>
      </w:rPr>
    </w:pPr>
    <w:r>
      <w:rPr>
        <w:rFonts w:ascii="Verdana" w:hAnsi="Verdana"/>
        <w:sz w:val="16"/>
      </w:rPr>
      <w:t>Rue Belliard/Belliardstraat 99, 1040 Bruselas (BÉLGICA)</w:t>
    </w:r>
  </w:p>
  <w:p w14:paraId="7818F7A3" w14:textId="77777777" w:rsidR="00F83179" w:rsidRPr="0004715C" w:rsidRDefault="00F83179" w:rsidP="0004715C">
    <w:pPr>
      <w:spacing w:line="240" w:lineRule="auto"/>
      <w:jc w:val="center"/>
      <w:rPr>
        <w:rFonts w:ascii="Verdana" w:hAnsi="Verdana"/>
        <w:sz w:val="16"/>
        <w:szCs w:val="16"/>
      </w:rPr>
    </w:pPr>
    <w:r>
      <w:rPr>
        <w:rFonts w:ascii="Verdana" w:hAnsi="Verdana"/>
        <w:sz w:val="16"/>
      </w:rPr>
      <w:t>Tel.: +32 (0)25469406 – Fax: +32 (0)25469764</w:t>
    </w:r>
  </w:p>
  <w:p w14:paraId="70E10F9D" w14:textId="77777777" w:rsidR="00F83179" w:rsidRDefault="00F83179" w:rsidP="0004715C">
    <w:pPr>
      <w:spacing w:line="240" w:lineRule="auto"/>
      <w:jc w:val="center"/>
      <w:rPr>
        <w:rFonts w:ascii="Verdana" w:hAnsi="Verdana"/>
        <w:sz w:val="16"/>
        <w:szCs w:val="16"/>
      </w:rPr>
    </w:pPr>
    <w:r>
      <w:rPr>
        <w:rFonts w:ascii="Verdana" w:hAnsi="Verdana"/>
        <w:sz w:val="16"/>
      </w:rPr>
      <w:t xml:space="preserve">Correo electrónico: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0520ED5B"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Síganos en </w:t>
    </w:r>
    <w:r>
      <w:rPr>
        <w:noProof/>
      </w:rPr>
      <w:drawing>
        <wp:inline distT="0" distB="0" distL="0" distR="0" wp14:anchorId="06994DCF" wp14:editId="424AC23D">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490A65EF" wp14:editId="2EF54CD4">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1391340A" wp14:editId="44862100">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68ACCDC5" wp14:editId="485EF76D">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7E46E9E9" wp14:editId="01887D45">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379D" w14:textId="77777777" w:rsidR="00467962" w:rsidRDefault="00467962">
      <w:r>
        <w:separator/>
      </w:r>
    </w:p>
  </w:footnote>
  <w:footnote w:type="continuationSeparator" w:id="0">
    <w:p w14:paraId="04F93939" w14:textId="77777777" w:rsidR="00467962" w:rsidRDefault="00467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37725C48"/>
    <w:multiLevelType w:val="hybridMultilevel"/>
    <w:tmpl w:val="FF60C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AED7306"/>
    <w:multiLevelType w:val="hybridMultilevel"/>
    <w:tmpl w:val="DCBA53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00BF5"/>
    <w:rsid w:val="00006664"/>
    <w:rsid w:val="00010BD6"/>
    <w:rsid w:val="00015069"/>
    <w:rsid w:val="00021801"/>
    <w:rsid w:val="00023F9C"/>
    <w:rsid w:val="0003089C"/>
    <w:rsid w:val="000440D3"/>
    <w:rsid w:val="00044548"/>
    <w:rsid w:val="00045128"/>
    <w:rsid w:val="00046ABD"/>
    <w:rsid w:val="00046C01"/>
    <w:rsid w:val="00046C51"/>
    <w:rsid w:val="0004715C"/>
    <w:rsid w:val="00067F21"/>
    <w:rsid w:val="00071E28"/>
    <w:rsid w:val="00071F79"/>
    <w:rsid w:val="00075F09"/>
    <w:rsid w:val="00090438"/>
    <w:rsid w:val="0009232E"/>
    <w:rsid w:val="00094485"/>
    <w:rsid w:val="000B4610"/>
    <w:rsid w:val="000C023F"/>
    <w:rsid w:val="000D145C"/>
    <w:rsid w:val="000F2AD2"/>
    <w:rsid w:val="000F41A7"/>
    <w:rsid w:val="00100731"/>
    <w:rsid w:val="00101E94"/>
    <w:rsid w:val="001020BC"/>
    <w:rsid w:val="00104DFA"/>
    <w:rsid w:val="00105E49"/>
    <w:rsid w:val="00112EAE"/>
    <w:rsid w:val="00115153"/>
    <w:rsid w:val="00123470"/>
    <w:rsid w:val="001242B7"/>
    <w:rsid w:val="001262E8"/>
    <w:rsid w:val="00132CB8"/>
    <w:rsid w:val="00142677"/>
    <w:rsid w:val="001457C2"/>
    <w:rsid w:val="00147C3F"/>
    <w:rsid w:val="0015150A"/>
    <w:rsid w:val="001527B2"/>
    <w:rsid w:val="00155ED8"/>
    <w:rsid w:val="00163907"/>
    <w:rsid w:val="001739C0"/>
    <w:rsid w:val="00177BD4"/>
    <w:rsid w:val="00181B91"/>
    <w:rsid w:val="0018613F"/>
    <w:rsid w:val="00186ABF"/>
    <w:rsid w:val="00190E01"/>
    <w:rsid w:val="001B4A15"/>
    <w:rsid w:val="001C4864"/>
    <w:rsid w:val="001C5BD4"/>
    <w:rsid w:val="001C5F46"/>
    <w:rsid w:val="001D73C0"/>
    <w:rsid w:val="001E281D"/>
    <w:rsid w:val="001E2D5A"/>
    <w:rsid w:val="001F4F1D"/>
    <w:rsid w:val="001F660F"/>
    <w:rsid w:val="00202C14"/>
    <w:rsid w:val="0021466B"/>
    <w:rsid w:val="00214DFE"/>
    <w:rsid w:val="002150A2"/>
    <w:rsid w:val="00220030"/>
    <w:rsid w:val="00227A31"/>
    <w:rsid w:val="00232372"/>
    <w:rsid w:val="00237759"/>
    <w:rsid w:val="00240A95"/>
    <w:rsid w:val="00243346"/>
    <w:rsid w:val="002632F9"/>
    <w:rsid w:val="0026528E"/>
    <w:rsid w:val="00265973"/>
    <w:rsid w:val="002734F3"/>
    <w:rsid w:val="00275154"/>
    <w:rsid w:val="0027766A"/>
    <w:rsid w:val="002A2267"/>
    <w:rsid w:val="002B4379"/>
    <w:rsid w:val="002B6562"/>
    <w:rsid w:val="002C07C7"/>
    <w:rsid w:val="002C2316"/>
    <w:rsid w:val="002D0CCC"/>
    <w:rsid w:val="002D1C29"/>
    <w:rsid w:val="002D4DF1"/>
    <w:rsid w:val="002D5709"/>
    <w:rsid w:val="002D5F24"/>
    <w:rsid w:val="002E3648"/>
    <w:rsid w:val="002E5A1B"/>
    <w:rsid w:val="002F1A65"/>
    <w:rsid w:val="002F1B62"/>
    <w:rsid w:val="002F55CB"/>
    <w:rsid w:val="002F79A3"/>
    <w:rsid w:val="003153DC"/>
    <w:rsid w:val="00321382"/>
    <w:rsid w:val="00337F0A"/>
    <w:rsid w:val="00347036"/>
    <w:rsid w:val="00356044"/>
    <w:rsid w:val="00366F96"/>
    <w:rsid w:val="003759BE"/>
    <w:rsid w:val="00377A4E"/>
    <w:rsid w:val="00380820"/>
    <w:rsid w:val="00384F7A"/>
    <w:rsid w:val="0038577F"/>
    <w:rsid w:val="003872F9"/>
    <w:rsid w:val="00394D81"/>
    <w:rsid w:val="003959F5"/>
    <w:rsid w:val="003A1300"/>
    <w:rsid w:val="003A21DF"/>
    <w:rsid w:val="003A77E7"/>
    <w:rsid w:val="003B714A"/>
    <w:rsid w:val="003C1F6B"/>
    <w:rsid w:val="003C2229"/>
    <w:rsid w:val="003C5F4C"/>
    <w:rsid w:val="003C60BB"/>
    <w:rsid w:val="003C72F9"/>
    <w:rsid w:val="003D2DEC"/>
    <w:rsid w:val="003D5773"/>
    <w:rsid w:val="003D6A62"/>
    <w:rsid w:val="003E76A5"/>
    <w:rsid w:val="003F1A03"/>
    <w:rsid w:val="0041345B"/>
    <w:rsid w:val="004138F2"/>
    <w:rsid w:val="00414734"/>
    <w:rsid w:val="00415456"/>
    <w:rsid w:val="004177F4"/>
    <w:rsid w:val="00421BC5"/>
    <w:rsid w:val="0042470A"/>
    <w:rsid w:val="00424928"/>
    <w:rsid w:val="00442BCC"/>
    <w:rsid w:val="00443FEE"/>
    <w:rsid w:val="0044529A"/>
    <w:rsid w:val="00452C55"/>
    <w:rsid w:val="004605FD"/>
    <w:rsid w:val="00461AA8"/>
    <w:rsid w:val="00467962"/>
    <w:rsid w:val="00474606"/>
    <w:rsid w:val="0047608F"/>
    <w:rsid w:val="00486D46"/>
    <w:rsid w:val="004873DA"/>
    <w:rsid w:val="00491FB1"/>
    <w:rsid w:val="00494BBC"/>
    <w:rsid w:val="00494D87"/>
    <w:rsid w:val="004A06BC"/>
    <w:rsid w:val="004A36E6"/>
    <w:rsid w:val="004A465F"/>
    <w:rsid w:val="004A7DE1"/>
    <w:rsid w:val="004C0408"/>
    <w:rsid w:val="004C6597"/>
    <w:rsid w:val="004D1484"/>
    <w:rsid w:val="004D31EE"/>
    <w:rsid w:val="004D6672"/>
    <w:rsid w:val="004E422F"/>
    <w:rsid w:val="004F4C5B"/>
    <w:rsid w:val="005022D4"/>
    <w:rsid w:val="00512080"/>
    <w:rsid w:val="00517C9E"/>
    <w:rsid w:val="00520507"/>
    <w:rsid w:val="005244B3"/>
    <w:rsid w:val="005270ED"/>
    <w:rsid w:val="00527D5E"/>
    <w:rsid w:val="00531975"/>
    <w:rsid w:val="00543FA2"/>
    <w:rsid w:val="005520A7"/>
    <w:rsid w:val="00552B8D"/>
    <w:rsid w:val="00552EA9"/>
    <w:rsid w:val="005549A1"/>
    <w:rsid w:val="00556CD0"/>
    <w:rsid w:val="00560900"/>
    <w:rsid w:val="00562EB5"/>
    <w:rsid w:val="00563AA8"/>
    <w:rsid w:val="00566D83"/>
    <w:rsid w:val="0056705F"/>
    <w:rsid w:val="0057111D"/>
    <w:rsid w:val="005730BB"/>
    <w:rsid w:val="00574D18"/>
    <w:rsid w:val="00582C7E"/>
    <w:rsid w:val="0058450C"/>
    <w:rsid w:val="005847E5"/>
    <w:rsid w:val="00585B0F"/>
    <w:rsid w:val="005A0E46"/>
    <w:rsid w:val="005A186C"/>
    <w:rsid w:val="005A1ABE"/>
    <w:rsid w:val="005A5BB2"/>
    <w:rsid w:val="005B3342"/>
    <w:rsid w:val="005C07A3"/>
    <w:rsid w:val="005C08F4"/>
    <w:rsid w:val="005C2258"/>
    <w:rsid w:val="005C43A1"/>
    <w:rsid w:val="005C46DB"/>
    <w:rsid w:val="005C6D97"/>
    <w:rsid w:val="005D3D97"/>
    <w:rsid w:val="005D4A5F"/>
    <w:rsid w:val="005E2455"/>
    <w:rsid w:val="005E3419"/>
    <w:rsid w:val="005F09F9"/>
    <w:rsid w:val="005F5E52"/>
    <w:rsid w:val="005F7092"/>
    <w:rsid w:val="00604CE9"/>
    <w:rsid w:val="00612B3A"/>
    <w:rsid w:val="00624950"/>
    <w:rsid w:val="00626C38"/>
    <w:rsid w:val="00627538"/>
    <w:rsid w:val="006302FC"/>
    <w:rsid w:val="0063783D"/>
    <w:rsid w:val="00640DDB"/>
    <w:rsid w:val="00640E00"/>
    <w:rsid w:val="0064141E"/>
    <w:rsid w:val="0064298E"/>
    <w:rsid w:val="00642F54"/>
    <w:rsid w:val="006572F2"/>
    <w:rsid w:val="00662D9D"/>
    <w:rsid w:val="00662EE3"/>
    <w:rsid w:val="0067024F"/>
    <w:rsid w:val="006743C8"/>
    <w:rsid w:val="00676226"/>
    <w:rsid w:val="00677E9B"/>
    <w:rsid w:val="006854FA"/>
    <w:rsid w:val="00686B52"/>
    <w:rsid w:val="00686EC2"/>
    <w:rsid w:val="00695E10"/>
    <w:rsid w:val="006A0D60"/>
    <w:rsid w:val="006A61DA"/>
    <w:rsid w:val="006A744F"/>
    <w:rsid w:val="006B2091"/>
    <w:rsid w:val="006B3979"/>
    <w:rsid w:val="006B4D96"/>
    <w:rsid w:val="006B4DBE"/>
    <w:rsid w:val="006B6238"/>
    <w:rsid w:val="006B688E"/>
    <w:rsid w:val="006C5838"/>
    <w:rsid w:val="006D5B1A"/>
    <w:rsid w:val="006D62CA"/>
    <w:rsid w:val="006D68CD"/>
    <w:rsid w:val="006E01EA"/>
    <w:rsid w:val="006E0A76"/>
    <w:rsid w:val="006E2FE3"/>
    <w:rsid w:val="006E4025"/>
    <w:rsid w:val="006E724F"/>
    <w:rsid w:val="006F338B"/>
    <w:rsid w:val="006F774D"/>
    <w:rsid w:val="007010E4"/>
    <w:rsid w:val="00703840"/>
    <w:rsid w:val="00711F04"/>
    <w:rsid w:val="00712975"/>
    <w:rsid w:val="00712CA0"/>
    <w:rsid w:val="00712EA3"/>
    <w:rsid w:val="007223EF"/>
    <w:rsid w:val="007253F3"/>
    <w:rsid w:val="0072607B"/>
    <w:rsid w:val="007313DC"/>
    <w:rsid w:val="007313E0"/>
    <w:rsid w:val="0073691E"/>
    <w:rsid w:val="007378A7"/>
    <w:rsid w:val="00741024"/>
    <w:rsid w:val="0074155A"/>
    <w:rsid w:val="00751CCE"/>
    <w:rsid w:val="0076114C"/>
    <w:rsid w:val="00775B73"/>
    <w:rsid w:val="00776CF3"/>
    <w:rsid w:val="0079001F"/>
    <w:rsid w:val="00795B49"/>
    <w:rsid w:val="007A23CA"/>
    <w:rsid w:val="007A5486"/>
    <w:rsid w:val="007B338F"/>
    <w:rsid w:val="007C71FD"/>
    <w:rsid w:val="007D5510"/>
    <w:rsid w:val="007D76CF"/>
    <w:rsid w:val="007E14EC"/>
    <w:rsid w:val="007E31F4"/>
    <w:rsid w:val="007E7541"/>
    <w:rsid w:val="0080166E"/>
    <w:rsid w:val="00804CF1"/>
    <w:rsid w:val="00807DED"/>
    <w:rsid w:val="00812CBD"/>
    <w:rsid w:val="008133EA"/>
    <w:rsid w:val="008141F8"/>
    <w:rsid w:val="008146D0"/>
    <w:rsid w:val="00816631"/>
    <w:rsid w:val="0082166E"/>
    <w:rsid w:val="00826961"/>
    <w:rsid w:val="0082746B"/>
    <w:rsid w:val="00830E2E"/>
    <w:rsid w:val="00837B82"/>
    <w:rsid w:val="008412F6"/>
    <w:rsid w:val="00853D56"/>
    <w:rsid w:val="008749F3"/>
    <w:rsid w:val="00874A65"/>
    <w:rsid w:val="008820BE"/>
    <w:rsid w:val="0088285D"/>
    <w:rsid w:val="008850E4"/>
    <w:rsid w:val="0089058F"/>
    <w:rsid w:val="00893DFB"/>
    <w:rsid w:val="00896FBF"/>
    <w:rsid w:val="008A055C"/>
    <w:rsid w:val="008A15C7"/>
    <w:rsid w:val="008A69E0"/>
    <w:rsid w:val="008B051E"/>
    <w:rsid w:val="008B103E"/>
    <w:rsid w:val="008B5B86"/>
    <w:rsid w:val="008B7344"/>
    <w:rsid w:val="008C04E9"/>
    <w:rsid w:val="008C573E"/>
    <w:rsid w:val="008E2965"/>
    <w:rsid w:val="008E71E6"/>
    <w:rsid w:val="008F2EE0"/>
    <w:rsid w:val="008F4CA5"/>
    <w:rsid w:val="00901A3C"/>
    <w:rsid w:val="00904371"/>
    <w:rsid w:val="00904607"/>
    <w:rsid w:val="00905E45"/>
    <w:rsid w:val="0091356C"/>
    <w:rsid w:val="0092004D"/>
    <w:rsid w:val="00921A9C"/>
    <w:rsid w:val="009240C8"/>
    <w:rsid w:val="00925DA3"/>
    <w:rsid w:val="00927B88"/>
    <w:rsid w:val="00932CFF"/>
    <w:rsid w:val="00945B9A"/>
    <w:rsid w:val="009466A3"/>
    <w:rsid w:val="00955D3C"/>
    <w:rsid w:val="009572EA"/>
    <w:rsid w:val="009666A2"/>
    <w:rsid w:val="0098368F"/>
    <w:rsid w:val="00990253"/>
    <w:rsid w:val="009926B0"/>
    <w:rsid w:val="00992A5E"/>
    <w:rsid w:val="009A1F99"/>
    <w:rsid w:val="009A4C63"/>
    <w:rsid w:val="009B18B1"/>
    <w:rsid w:val="009B7EA2"/>
    <w:rsid w:val="009C2FCF"/>
    <w:rsid w:val="009C5B5F"/>
    <w:rsid w:val="009D2494"/>
    <w:rsid w:val="009D2D03"/>
    <w:rsid w:val="009D3245"/>
    <w:rsid w:val="009D3AF8"/>
    <w:rsid w:val="009D7004"/>
    <w:rsid w:val="009E41C4"/>
    <w:rsid w:val="009E75B7"/>
    <w:rsid w:val="009F093A"/>
    <w:rsid w:val="009F67C6"/>
    <w:rsid w:val="00A010F0"/>
    <w:rsid w:val="00A147BA"/>
    <w:rsid w:val="00A1723B"/>
    <w:rsid w:val="00A17743"/>
    <w:rsid w:val="00A275DA"/>
    <w:rsid w:val="00A3743B"/>
    <w:rsid w:val="00A37B52"/>
    <w:rsid w:val="00A44C45"/>
    <w:rsid w:val="00A53AA2"/>
    <w:rsid w:val="00A66855"/>
    <w:rsid w:val="00A66BE5"/>
    <w:rsid w:val="00A70691"/>
    <w:rsid w:val="00A74687"/>
    <w:rsid w:val="00A778B6"/>
    <w:rsid w:val="00A82612"/>
    <w:rsid w:val="00A870B8"/>
    <w:rsid w:val="00A93F6F"/>
    <w:rsid w:val="00A9418C"/>
    <w:rsid w:val="00A96CE7"/>
    <w:rsid w:val="00AA5AF3"/>
    <w:rsid w:val="00AA5FAA"/>
    <w:rsid w:val="00AA61D9"/>
    <w:rsid w:val="00AA68B4"/>
    <w:rsid w:val="00AA760C"/>
    <w:rsid w:val="00AB5D9C"/>
    <w:rsid w:val="00AC1AB8"/>
    <w:rsid w:val="00AC46D3"/>
    <w:rsid w:val="00AF2692"/>
    <w:rsid w:val="00AF458E"/>
    <w:rsid w:val="00AF7776"/>
    <w:rsid w:val="00B02F54"/>
    <w:rsid w:val="00B03F22"/>
    <w:rsid w:val="00B15098"/>
    <w:rsid w:val="00B2321D"/>
    <w:rsid w:val="00B239E2"/>
    <w:rsid w:val="00B24B28"/>
    <w:rsid w:val="00B26429"/>
    <w:rsid w:val="00B3271E"/>
    <w:rsid w:val="00B345EE"/>
    <w:rsid w:val="00B40FE0"/>
    <w:rsid w:val="00B4413D"/>
    <w:rsid w:val="00B47DE2"/>
    <w:rsid w:val="00B514E0"/>
    <w:rsid w:val="00B66648"/>
    <w:rsid w:val="00B66DB9"/>
    <w:rsid w:val="00B710AF"/>
    <w:rsid w:val="00B75489"/>
    <w:rsid w:val="00B8166F"/>
    <w:rsid w:val="00B8690C"/>
    <w:rsid w:val="00B87297"/>
    <w:rsid w:val="00B903CC"/>
    <w:rsid w:val="00B92193"/>
    <w:rsid w:val="00B92C5A"/>
    <w:rsid w:val="00B9349D"/>
    <w:rsid w:val="00B9523E"/>
    <w:rsid w:val="00B96D77"/>
    <w:rsid w:val="00BA247D"/>
    <w:rsid w:val="00BA72BC"/>
    <w:rsid w:val="00BB36F5"/>
    <w:rsid w:val="00BB4292"/>
    <w:rsid w:val="00BC0660"/>
    <w:rsid w:val="00BC4284"/>
    <w:rsid w:val="00BD617C"/>
    <w:rsid w:val="00BD7293"/>
    <w:rsid w:val="00BE3453"/>
    <w:rsid w:val="00BE62DF"/>
    <w:rsid w:val="00BF0E86"/>
    <w:rsid w:val="00BF2441"/>
    <w:rsid w:val="00BF6293"/>
    <w:rsid w:val="00C0652E"/>
    <w:rsid w:val="00C06D00"/>
    <w:rsid w:val="00C21932"/>
    <w:rsid w:val="00C22A5C"/>
    <w:rsid w:val="00C26FD8"/>
    <w:rsid w:val="00C72503"/>
    <w:rsid w:val="00C72B00"/>
    <w:rsid w:val="00C73AF1"/>
    <w:rsid w:val="00C740E7"/>
    <w:rsid w:val="00C85646"/>
    <w:rsid w:val="00C8634A"/>
    <w:rsid w:val="00C91698"/>
    <w:rsid w:val="00C93E55"/>
    <w:rsid w:val="00C97D1B"/>
    <w:rsid w:val="00CA0F25"/>
    <w:rsid w:val="00CB17D3"/>
    <w:rsid w:val="00CB326F"/>
    <w:rsid w:val="00CB5993"/>
    <w:rsid w:val="00CC276E"/>
    <w:rsid w:val="00CD0BBD"/>
    <w:rsid w:val="00CD350E"/>
    <w:rsid w:val="00CE439D"/>
    <w:rsid w:val="00CE4A15"/>
    <w:rsid w:val="00CE6DB7"/>
    <w:rsid w:val="00CF3901"/>
    <w:rsid w:val="00CF456E"/>
    <w:rsid w:val="00D016BE"/>
    <w:rsid w:val="00D06185"/>
    <w:rsid w:val="00D07422"/>
    <w:rsid w:val="00D07F7C"/>
    <w:rsid w:val="00D1029C"/>
    <w:rsid w:val="00D212E0"/>
    <w:rsid w:val="00D22EB5"/>
    <w:rsid w:val="00D32C93"/>
    <w:rsid w:val="00D33655"/>
    <w:rsid w:val="00D41605"/>
    <w:rsid w:val="00D435A2"/>
    <w:rsid w:val="00D4404B"/>
    <w:rsid w:val="00D44F8B"/>
    <w:rsid w:val="00D512AF"/>
    <w:rsid w:val="00D522CE"/>
    <w:rsid w:val="00D54936"/>
    <w:rsid w:val="00D56843"/>
    <w:rsid w:val="00D60065"/>
    <w:rsid w:val="00D6369C"/>
    <w:rsid w:val="00D70036"/>
    <w:rsid w:val="00D8197C"/>
    <w:rsid w:val="00D831D3"/>
    <w:rsid w:val="00D9016E"/>
    <w:rsid w:val="00D91A37"/>
    <w:rsid w:val="00D9379D"/>
    <w:rsid w:val="00D93A09"/>
    <w:rsid w:val="00DA03A2"/>
    <w:rsid w:val="00DA048B"/>
    <w:rsid w:val="00DA7868"/>
    <w:rsid w:val="00DB575B"/>
    <w:rsid w:val="00DB6FF3"/>
    <w:rsid w:val="00DC66B3"/>
    <w:rsid w:val="00DD3BAC"/>
    <w:rsid w:val="00DE0297"/>
    <w:rsid w:val="00DE0845"/>
    <w:rsid w:val="00DE3218"/>
    <w:rsid w:val="00DE3436"/>
    <w:rsid w:val="00E0132B"/>
    <w:rsid w:val="00E01BEB"/>
    <w:rsid w:val="00E11B4D"/>
    <w:rsid w:val="00E25B97"/>
    <w:rsid w:val="00E27081"/>
    <w:rsid w:val="00E47ED9"/>
    <w:rsid w:val="00E52908"/>
    <w:rsid w:val="00E72790"/>
    <w:rsid w:val="00E811D4"/>
    <w:rsid w:val="00E904CD"/>
    <w:rsid w:val="00E914ED"/>
    <w:rsid w:val="00EA0682"/>
    <w:rsid w:val="00EA22E5"/>
    <w:rsid w:val="00EA5FAC"/>
    <w:rsid w:val="00EC2BE3"/>
    <w:rsid w:val="00EC4417"/>
    <w:rsid w:val="00EC55A1"/>
    <w:rsid w:val="00ED08AC"/>
    <w:rsid w:val="00ED1CAC"/>
    <w:rsid w:val="00ED35AF"/>
    <w:rsid w:val="00ED7FD2"/>
    <w:rsid w:val="00EE424A"/>
    <w:rsid w:val="00EE66AF"/>
    <w:rsid w:val="00EE6FC4"/>
    <w:rsid w:val="00F06C67"/>
    <w:rsid w:val="00F13584"/>
    <w:rsid w:val="00F135E2"/>
    <w:rsid w:val="00F14DF7"/>
    <w:rsid w:val="00F27CD5"/>
    <w:rsid w:val="00F376C6"/>
    <w:rsid w:val="00F41988"/>
    <w:rsid w:val="00F45A6F"/>
    <w:rsid w:val="00F46C77"/>
    <w:rsid w:val="00F51000"/>
    <w:rsid w:val="00F564F5"/>
    <w:rsid w:val="00F61167"/>
    <w:rsid w:val="00F61A99"/>
    <w:rsid w:val="00F67F97"/>
    <w:rsid w:val="00F7410C"/>
    <w:rsid w:val="00F76B4C"/>
    <w:rsid w:val="00F83179"/>
    <w:rsid w:val="00F876F3"/>
    <w:rsid w:val="00F90CFF"/>
    <w:rsid w:val="00F914FD"/>
    <w:rsid w:val="00F92DAC"/>
    <w:rsid w:val="00F959B7"/>
    <w:rsid w:val="00FA1B78"/>
    <w:rsid w:val="00FA1D63"/>
    <w:rsid w:val="00FA4A0A"/>
    <w:rsid w:val="00FB4EA9"/>
    <w:rsid w:val="00FB510C"/>
    <w:rsid w:val="00FD794D"/>
    <w:rsid w:val="00FE2775"/>
    <w:rsid w:val="00FE4564"/>
    <w:rsid w:val="00FE4D83"/>
    <w:rsid w:val="00FF4788"/>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CAEBB43"/>
  <w15:docId w15:val="{19780FDF-9903-4037-B9CE-4A0B54D0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s-ES"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s-ES"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s-ES"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s-ES"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s-ES"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s-ES"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s-ES"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s-ES"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s-ES"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s-ES"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s-ES"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s-ES"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s-ES"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7A3"/>
    <w:pPr>
      <w:ind w:left="720"/>
      <w:contextualSpacing/>
    </w:pPr>
  </w:style>
  <w:style w:type="character" w:styleId="CommentReference">
    <w:name w:val="annotation reference"/>
    <w:basedOn w:val="DefaultParagraphFont"/>
    <w:semiHidden/>
    <w:unhideWhenUsed/>
    <w:rsid w:val="0073691E"/>
    <w:rPr>
      <w:sz w:val="16"/>
      <w:szCs w:val="16"/>
    </w:rPr>
  </w:style>
  <w:style w:type="paragraph" w:styleId="CommentText">
    <w:name w:val="annotation text"/>
    <w:basedOn w:val="Normal"/>
    <w:link w:val="CommentTextChar"/>
    <w:semiHidden/>
    <w:unhideWhenUsed/>
    <w:rsid w:val="0073691E"/>
    <w:pPr>
      <w:spacing w:line="240" w:lineRule="auto"/>
    </w:pPr>
    <w:rPr>
      <w:sz w:val="20"/>
    </w:rPr>
  </w:style>
  <w:style w:type="character" w:customStyle="1" w:styleId="CommentTextChar">
    <w:name w:val="Comment Text Char"/>
    <w:basedOn w:val="DefaultParagraphFont"/>
    <w:link w:val="CommentText"/>
    <w:semiHidden/>
    <w:rsid w:val="0073691E"/>
    <w:rPr>
      <w:lang w:val="es-ES" w:eastAsia="en-US"/>
    </w:rPr>
  </w:style>
  <w:style w:type="paragraph" w:styleId="CommentSubject">
    <w:name w:val="annotation subject"/>
    <w:basedOn w:val="CommentText"/>
    <w:next w:val="CommentText"/>
    <w:link w:val="CommentSubjectChar"/>
    <w:semiHidden/>
    <w:unhideWhenUsed/>
    <w:rsid w:val="0073691E"/>
    <w:rPr>
      <w:b/>
      <w:bCs/>
    </w:rPr>
  </w:style>
  <w:style w:type="character" w:customStyle="1" w:styleId="CommentSubjectChar">
    <w:name w:val="Comment Subject Char"/>
    <w:basedOn w:val="CommentTextChar"/>
    <w:link w:val="CommentSubject"/>
    <w:semiHidden/>
    <w:rsid w:val="0073691E"/>
    <w:rPr>
      <w:b/>
      <w:bCs/>
      <w:lang w:val="es-ES" w:eastAsia="en-US"/>
    </w:rPr>
  </w:style>
  <w:style w:type="paragraph" w:styleId="Revision">
    <w:name w:val="Revision"/>
    <w:hidden/>
    <w:uiPriority w:val="99"/>
    <w:semiHidden/>
    <w:rsid w:val="0073691E"/>
    <w:rPr>
      <w:sz w:val="22"/>
      <w:lang w:eastAsia="en-US"/>
    </w:rPr>
  </w:style>
  <w:style w:type="character" w:styleId="UnresolvedMention">
    <w:name w:val="Unresolved Mention"/>
    <w:basedOn w:val="DefaultParagraphFont"/>
    <w:uiPriority w:val="99"/>
    <w:semiHidden/>
    <w:unhideWhenUsed/>
    <w:rsid w:val="00173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17044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o.pezzani@eesc.europa.eu" TargetMode="External"/><Relationship Id="rId18"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2.xml"/><Relationship Id="rId16"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F7M6YNZUATRX-917472228-443</_dlc_DocId>
    <_dlc_DocIdUrl xmlns="59ace41b-6786-4ce3-be71-52c27066c6ef">
      <Url>http://dm/eesc/2024/_layouts/15/DocIdRedir.aspx?ID=F7M6YNZUATRX-917472228-443</Url>
      <Description>F7M6YNZUATRX-917472228-443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2024-03-21T12:00:00+00:00</ProductionDate>
    <DocumentNumber xmlns="14d11ec3-fd82-4994-a217-1a91de9b2d2a">1178</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25</Value>
      <Value>24</Value>
      <Value>22</Value>
      <Value>14</Value>
      <Value>12</Value>
      <Value>48</Value>
      <Value>8</Value>
      <Value>6</Value>
      <Value>5</Value>
      <Value>3</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9ace41b-6786-4ce3-be71-52c27066c6ef" xsi:nil="true"/>
    <DocumentYear xmlns="59ace41b-6786-4ce3-be71-52c27066c6ef">2024</DocumentYear>
    <FicheNumber xmlns="59ace41b-6786-4ce3-be71-52c27066c6ef">3171</FicheNumber>
    <OriginalSender xmlns="59ace41b-6786-4ce3-be71-52c27066c6ef">
      <UserInfo>
        <DisplayName>Fernandez Riego Maria Gabriela</DisplayName>
        <AccountId>1517</AccountId>
        <AccountType/>
      </UserInfo>
    </OriginalSender>
    <DocumentPart xmlns="59ace41b-6786-4ce3-be71-52c27066c6ef">0</DocumentPart>
    <AdoptionDate xmlns="59ace41b-6786-4ce3-be71-52c27066c6ef" xsi:nil="true"/>
    <RequestingService xmlns="59ace41b-6786-4ce3-be71-52c27066c6ef">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4d11ec3-fd82-4994-a217-1a91de9b2d2a"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F19A95DDE2574C950D6652ED703BFE" ma:contentTypeVersion="4" ma:contentTypeDescription="Defines the documents for Document Manager V2" ma:contentTypeScope="" ma:versionID="aa4a52a6a5593ecd1041875929ead8f4">
  <xsd:schema xmlns:xsd="http://www.w3.org/2001/XMLSchema" xmlns:xs="http://www.w3.org/2001/XMLSchema" xmlns:p="http://schemas.microsoft.com/office/2006/metadata/properties" xmlns:ns2="59ace41b-6786-4ce3-be71-52c27066c6ef" xmlns:ns3="http://schemas.microsoft.com/sharepoint/v3/fields" xmlns:ns4="14d11ec3-fd82-4994-a217-1a91de9b2d2a" targetNamespace="http://schemas.microsoft.com/office/2006/metadata/properties" ma:root="true" ma:fieldsID="0d1ccbad9410dd1ff387d7952c9a9f44" ns2:_="" ns3:_="" ns4:_="">
    <xsd:import namespace="59ace41b-6786-4ce3-be71-52c27066c6ef"/>
    <xsd:import namespace="http://schemas.microsoft.com/sharepoint/v3/fields"/>
    <xsd:import namespace="14d11ec3-fd82-4994-a217-1a91de9b2d2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d11ec3-fd82-4994-a217-1a91de9b2d2a"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8EDE7-885E-4A38-968B-CB092EDCF879}"/>
</file>

<file path=customXml/itemProps2.xml><?xml version="1.0" encoding="utf-8"?>
<ds:datastoreItem xmlns:ds="http://schemas.openxmlformats.org/officeDocument/2006/customXml" ds:itemID="{BC374E1F-2314-4274-96AB-CCF0ED70175B}"/>
</file>

<file path=customXml/itemProps3.xml><?xml version="1.0" encoding="utf-8"?>
<ds:datastoreItem xmlns:ds="http://schemas.openxmlformats.org/officeDocument/2006/customXml" ds:itemID="{9C25BC92-2DDD-4BDC-BE56-340201446128}"/>
</file>

<file path=customXml/itemProps4.xml><?xml version="1.0" encoding="utf-8"?>
<ds:datastoreItem xmlns:ds="http://schemas.openxmlformats.org/officeDocument/2006/customXml" ds:itemID="{DC01D420-3A3A-4603-8AF3-721D41263E37}"/>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futuro mercado único europeo necesita un nuevo enfoque geopolítico</dc:title>
  <dc:subject>CP</dc:subject>
  <dc:creator>Emma Nieddu</dc:creator>
  <cp:keywords>EESC-2024-01178-00-00-CP-TRA-EN</cp:keywords>
  <dc:description>Rapporteur:  - Original language: EN - Date of document: 21/03/2024 - Date of meeting:  - External documents:  - Administrator: M. PEZZANI Marco</dc:description>
  <cp:lastModifiedBy>Fernandez Riego Maria Gabriela</cp:lastModifiedBy>
  <cp:revision>10</cp:revision>
  <cp:lastPrinted>2007-06-05T13:08:00Z</cp:lastPrinted>
  <dcterms:created xsi:type="dcterms:W3CDTF">2024-03-21T09:45:00Z</dcterms:created>
  <dcterms:modified xsi:type="dcterms:W3CDTF">2024-03-21T16:14:00Z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05/04/2022</vt:lpwstr>
  </property>
  <property fmtid="{D5CDD505-2E9C-101B-9397-08002B2CF9AE}" pid="4" name="Pref_Time">
    <vt:lpwstr>10:43:51, 16:28:46</vt:lpwstr>
  </property>
  <property fmtid="{D5CDD505-2E9C-101B-9397-08002B2CF9AE}" pid="5" name="Pref_User">
    <vt:lpwstr>amett, enied</vt:lpwstr>
  </property>
  <property fmtid="{D5CDD505-2E9C-101B-9397-08002B2CF9AE}" pid="6" name="Pref_FileName">
    <vt:lpwstr>EESC-2024-01178-00-00-CP-ORI.docx, EESC-2022-01954-00-00-ADMIN-ORI.docx</vt:lpwstr>
  </property>
  <property fmtid="{D5CDD505-2E9C-101B-9397-08002B2CF9AE}" pid="7" name="ContentTypeId">
    <vt:lpwstr>0x010100EA97B91038054C99906057A708A1480A00C3F19A95DDE2574C950D6652ED703BFE</vt:lpwstr>
  </property>
  <property fmtid="{D5CDD505-2E9C-101B-9397-08002B2CF9AE}" pid="8" name="_dlc_DocIdItemGuid">
    <vt:lpwstr>8e20560a-866e-4295-b5a6-255688522073</vt:lpwstr>
  </property>
  <property fmtid="{D5CDD505-2E9C-101B-9397-08002B2CF9AE}" pid="9" name="AvailableTranslations">
    <vt:lpwstr>12;#IT|0774613c-01ed-4e5d-a25d-11d2388de825;#5;#EN|f2175f21-25d7-44a3-96da-d6a61b075e1b;#24;#ES|e7a6b05b-ae16-40c8-add9-68b64b03aeba;#25;#DE|f6b31e5a-26fa-4935-b661-318e46daf27e;#22;#BG|1a1b3951-7821-4e6a-85f5-5673fc08bd2c;#37;#RO|feb747a2-64cd-4299-af12-4833ddc30497;#14;#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1178</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20" name="DocumentType">
    <vt:lpwstr>48;#CP|de8ad211-9e8d-408b-8324-674d21bb7d18</vt:lpwstr>
  </property>
  <property fmtid="{D5CDD505-2E9C-101B-9397-08002B2CF9AE}" pid="21" name="RequestingService">
    <vt:lpwstr>Presse</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48;#CP|de8ad211-9e8d-408b-8324-674d21bb7d18;#8;#Final|ea5e6674-7b27-4bac-b091-73adbb394efe;#6;#Unrestricted|826e22d7-d029-4ec0-a450-0c28ff673572;#5;#EN|f2175f21-25d7-44a3-96da-d6a61b075e1b;#3;#TRA|150d2a88-1431-44e6-a8ca-0bb753ab8672;#1;#EESC|422833ec-8d7e-4e65-8e4e-8bed07ffb729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8;#Final|ea5e6674-7b27-4bac-b091-73adbb394efe</vt:lpwstr>
  </property>
  <property fmtid="{D5CDD505-2E9C-101B-9397-08002B2CF9AE}" pid="34" name="DocumentYear">
    <vt:i4>2024</vt:i4>
  </property>
  <property fmtid="{D5CDD505-2E9C-101B-9397-08002B2CF9AE}" pid="35" name="FicheNumber">
    <vt:i4>3171</vt:i4>
  </property>
  <property fmtid="{D5CDD505-2E9C-101B-9397-08002B2CF9AE}" pid="36" name="DocumentLanguage">
    <vt:lpwstr>24;#ES|e7a6b05b-ae16-40c8-add9-68b64b03aeba</vt:lpwstr>
  </property>
  <property fmtid="{D5CDD505-2E9C-101B-9397-08002B2CF9AE}" pid="37" name="_docset_NoMedatataSyncRequired">
    <vt:lpwstr>False</vt:lpwstr>
  </property>
</Properties>
</file>