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016559" w14:paraId="785AE44C" w14:textId="7FC0AFCF">
      <w:pPr>
        <w:jc w:val="center"/>
      </w:pPr>
      <w:bookmarkStart w:name="_Hlk141173132" w:id="0"/>
      <w:r>
        <w:rPr>
          <w:noProof/>
        </w:rPr>
        <w:drawing>
          <wp:inline distT="0" distB="0" distL="0" distR="0" wp14:anchorId="4A588264" wp14:editId="14FB177C">
            <wp:extent cx="1792605" cy="1239520"/>
            <wp:effectExtent l="0" t="0" r="0" b="0"/>
            <wp:docPr id="2" name="Picture 2" title="EESCLogo_SV"/>
            <wp:cNvGraphicFramePr/>
            <a:graphic xmlns:a="http://schemas.openxmlformats.org/drawingml/2006/main">
              <a:graphicData uri="http://schemas.openxmlformats.org/drawingml/2006/picture">
                <pic:pic xmlns:pic="http://schemas.openxmlformats.org/drawingml/2006/picture">
                  <pic:nvPicPr>
                    <pic:cNvPr id="2" name="Picture 2" title="EESCLogo_S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58240"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Pr="00094B6B" w:rsidR="004D7AC0" w:rsidP="00775FC4" w:rsidRDefault="00014C93" w14:paraId="45DE4A28" w14:textId="5402B3AE">
      <w:pPr>
        <w:jc w:val="right"/>
      </w:pPr>
      <w:r>
        <w:t>Bryssel, den 18 mars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Pr>
                <w:b/>
                <w:sz w:val="32"/>
              </w:rPr>
              <w:t>585:e plenarsessionen</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32F5F03F">
            <w:pPr>
              <w:snapToGrid w:val="0"/>
              <w:jc w:val="center"/>
              <w:rPr>
                <w:b/>
                <w:sz w:val="32"/>
              </w:rPr>
            </w:pPr>
            <w:r>
              <w:rPr>
                <w:b/>
                <w:sz w:val="32"/>
              </w:rPr>
              <w:t>14–15 februari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SAMMANFATTNING AV ANTAGNA YTTRANDEN, RESOLUTIONER OCH INFORMATIONS- OCH UTVÄRDERINGSRAPPORTER</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Detta dokument finns tillgängligt på de officiella språken på </w:t>
            </w:r>
            <w:proofErr w:type="spellStart"/>
            <w:r>
              <w:t>EESK:s</w:t>
            </w:r>
            <w:proofErr w:type="spellEnd"/>
            <w:r>
              <w:t xml:space="preserve"> webbplats på följande adress:</w:t>
            </w:r>
          </w:p>
          <w:p w:rsidRPr="00094B6B" w:rsidR="00B16284" w:rsidP="00775FC4" w:rsidRDefault="00B16284" w14:paraId="4F26A4CE" w14:textId="77777777">
            <w:pPr>
              <w:snapToGrid w:val="0"/>
              <w:jc w:val="center"/>
            </w:pPr>
          </w:p>
          <w:p w:rsidRPr="00094B6B" w:rsidR="004D7AC0" w:rsidP="00775FC4" w:rsidRDefault="00313C89" w14:paraId="2A9352A2" w14:textId="0680ADB6">
            <w:pPr>
              <w:snapToGrid w:val="0"/>
              <w:jc w:val="center"/>
            </w:pPr>
            <w:hyperlink w:history="1">
              <w:r w:rsidR="00016559">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De yttranden som tas upp finns tillgängliga på internet via </w:t>
            </w:r>
            <w:proofErr w:type="spellStart"/>
            <w:r>
              <w:t>EESK:s</w:t>
            </w:r>
            <w:proofErr w:type="spellEnd"/>
            <w:r>
              <w:t xml:space="preserve"> sökmotor:</w:t>
            </w:r>
          </w:p>
          <w:p w:rsidRPr="00094B6B" w:rsidR="00B16284" w:rsidP="00775FC4" w:rsidRDefault="00B16284" w14:paraId="7A5411A5" w14:textId="77777777">
            <w:pPr>
              <w:snapToGrid w:val="0"/>
              <w:jc w:val="center"/>
            </w:pPr>
          </w:p>
          <w:p w:rsidRPr="00094B6B" w:rsidR="004D7AC0" w:rsidP="00775FC4" w:rsidRDefault="00313C89" w14:paraId="441AC4DD" w14:textId="1194D751">
            <w:pPr>
              <w:snapToGrid w:val="0"/>
              <w:jc w:val="center"/>
            </w:pPr>
            <w:hyperlink w:history="1" r:id="rId12">
              <w:r w:rsidR="00016559">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4417CD">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Innehåll</w:t>
          </w:r>
        </w:p>
        <w:p w:rsidR="00256A3E" w:rsidRDefault="00544D95" w14:paraId="0DEBACE1" w14:textId="4906EA96">
          <w:pPr>
            <w:pStyle w:val="TOC1"/>
            <w:rPr>
              <w:rFonts w:asciiTheme="minorHAnsi" w:hAnsiTheme="minorHAnsi" w:eastAsiaTheme="minorEastAsia" w:cstheme="minorBidi"/>
              <w:bCs w:val="0"/>
              <w:sz w:val="22"/>
              <w:szCs w:val="22"/>
              <w:lang w:val="en-US"/>
            </w:rPr>
          </w:pPr>
          <w:r w:rsidRPr="00544D95">
            <w:fldChar w:fldCharType="begin"/>
          </w:r>
          <w:r w:rsidRPr="00544D95">
            <w:instrText xml:space="preserve"> TOC \o "1-3" \h \z \u </w:instrText>
          </w:r>
          <w:r w:rsidRPr="00544D95">
            <w:fldChar w:fldCharType="separate"/>
          </w:r>
          <w:hyperlink w:history="1" w:anchor="_Toc160789102">
            <w:r w:rsidRPr="00764B86" w:rsidR="00256A3E">
              <w:rPr>
                <w:rStyle w:val="Hyperlink"/>
                <w14:scene3d>
                  <w14:camera w14:prst="orthographicFront"/>
                  <w14:lightRig w14:rig="threePt" w14:dir="t">
                    <w14:rot w14:lat="0" w14:lon="0" w14:rev="0"/>
                  </w14:lightRig>
                </w14:scene3d>
              </w:rPr>
              <w:t>1.</w:t>
            </w:r>
            <w:r w:rsidR="00256A3E">
              <w:rPr>
                <w:rFonts w:asciiTheme="minorHAnsi" w:hAnsiTheme="minorHAnsi" w:eastAsiaTheme="minorEastAsia" w:cstheme="minorBidi"/>
                <w:bCs w:val="0"/>
                <w:sz w:val="22"/>
                <w:szCs w:val="22"/>
                <w:lang w:val="en-US"/>
              </w:rPr>
              <w:tab/>
            </w:r>
            <w:r w:rsidRPr="00764B86" w:rsidR="00256A3E">
              <w:rPr>
                <w:rStyle w:val="Hyperlink"/>
                <w:b/>
              </w:rPr>
              <w:t>EKONOMISKA OCH MONETÄRA UNIONEN, EKONOMISK OCH SOCIAL SAMMANHÅLLNING</w:t>
            </w:r>
            <w:r w:rsidR="00256A3E">
              <w:rPr>
                <w:webHidden/>
              </w:rPr>
              <w:tab/>
            </w:r>
            <w:r w:rsidR="00256A3E">
              <w:rPr>
                <w:webHidden/>
              </w:rPr>
              <w:fldChar w:fldCharType="begin"/>
            </w:r>
            <w:r w:rsidR="00256A3E">
              <w:rPr>
                <w:webHidden/>
              </w:rPr>
              <w:instrText xml:space="preserve"> PAGEREF _Toc160789102 \h </w:instrText>
            </w:r>
            <w:r w:rsidR="00256A3E">
              <w:rPr>
                <w:webHidden/>
              </w:rPr>
            </w:r>
            <w:r w:rsidR="00256A3E">
              <w:rPr>
                <w:webHidden/>
              </w:rPr>
              <w:fldChar w:fldCharType="separate"/>
            </w:r>
            <w:r w:rsidR="00256A3E">
              <w:rPr>
                <w:webHidden/>
              </w:rPr>
              <w:t>4</w:t>
            </w:r>
            <w:r w:rsidR="00256A3E">
              <w:rPr>
                <w:webHidden/>
              </w:rPr>
              <w:fldChar w:fldCharType="end"/>
            </w:r>
          </w:hyperlink>
        </w:p>
        <w:p w:rsidR="00256A3E" w:rsidRDefault="00256A3E" w14:paraId="72DCB925" w14:textId="3E9ED21C">
          <w:pPr>
            <w:pStyle w:val="TOC1"/>
            <w:rPr>
              <w:rFonts w:asciiTheme="minorHAnsi" w:hAnsiTheme="minorHAnsi" w:eastAsiaTheme="minorEastAsia" w:cstheme="minorBidi"/>
              <w:bCs w:val="0"/>
              <w:sz w:val="22"/>
              <w:szCs w:val="22"/>
              <w:lang w:val="en-US"/>
            </w:rPr>
          </w:pPr>
          <w:hyperlink w:history="1" w:anchor="_Toc160789114">
            <w:r w:rsidRPr="00764B86">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764B86">
              <w:rPr>
                <w:rStyle w:val="Hyperlink"/>
                <w:b/>
              </w:rPr>
              <w:t>SYSSELSÄTTNING, SOCIALA FRÅGOR OCH MEDBORGARNA</w:t>
            </w:r>
            <w:r>
              <w:rPr>
                <w:webHidden/>
              </w:rPr>
              <w:tab/>
            </w:r>
            <w:r>
              <w:rPr>
                <w:webHidden/>
              </w:rPr>
              <w:fldChar w:fldCharType="begin"/>
            </w:r>
            <w:r>
              <w:rPr>
                <w:webHidden/>
              </w:rPr>
              <w:instrText xml:space="preserve"> PAGEREF _Toc160789114 \h </w:instrText>
            </w:r>
            <w:r>
              <w:rPr>
                <w:webHidden/>
              </w:rPr>
            </w:r>
            <w:r>
              <w:rPr>
                <w:webHidden/>
              </w:rPr>
              <w:fldChar w:fldCharType="separate"/>
            </w:r>
            <w:r>
              <w:rPr>
                <w:webHidden/>
              </w:rPr>
              <w:t>8</w:t>
            </w:r>
            <w:r>
              <w:rPr>
                <w:webHidden/>
              </w:rPr>
              <w:fldChar w:fldCharType="end"/>
            </w:r>
          </w:hyperlink>
        </w:p>
        <w:p w:rsidR="00256A3E" w:rsidRDefault="00256A3E" w14:paraId="18B7B58F" w14:textId="32B75797">
          <w:pPr>
            <w:pStyle w:val="TOC1"/>
            <w:rPr>
              <w:rFonts w:asciiTheme="minorHAnsi" w:hAnsiTheme="minorHAnsi" w:eastAsiaTheme="minorEastAsia" w:cstheme="minorBidi"/>
              <w:bCs w:val="0"/>
              <w:sz w:val="22"/>
              <w:szCs w:val="22"/>
              <w:lang w:val="en-US"/>
            </w:rPr>
          </w:pPr>
          <w:hyperlink w:history="1" w:anchor="_Toc160789115">
            <w:r w:rsidRPr="00764B86">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764B86">
              <w:rPr>
                <w:rStyle w:val="Hyperlink"/>
                <w:b/>
              </w:rPr>
              <w:t>INRE MARKNADEN, PRODUKTION OCH KONSUMTION</w:t>
            </w:r>
            <w:r>
              <w:rPr>
                <w:webHidden/>
              </w:rPr>
              <w:tab/>
            </w:r>
            <w:r>
              <w:rPr>
                <w:webHidden/>
              </w:rPr>
              <w:fldChar w:fldCharType="begin"/>
            </w:r>
            <w:r>
              <w:rPr>
                <w:webHidden/>
              </w:rPr>
              <w:instrText xml:space="preserve"> PAGEREF _Toc160789115 \h </w:instrText>
            </w:r>
            <w:r>
              <w:rPr>
                <w:webHidden/>
              </w:rPr>
            </w:r>
            <w:r>
              <w:rPr>
                <w:webHidden/>
              </w:rPr>
              <w:fldChar w:fldCharType="separate"/>
            </w:r>
            <w:r>
              <w:rPr>
                <w:webHidden/>
              </w:rPr>
              <w:t>10</w:t>
            </w:r>
            <w:r>
              <w:rPr>
                <w:webHidden/>
              </w:rPr>
              <w:fldChar w:fldCharType="end"/>
            </w:r>
          </w:hyperlink>
        </w:p>
        <w:p w:rsidR="00256A3E" w:rsidRDefault="00256A3E" w14:paraId="5ABCDED4" w14:textId="08C1488C">
          <w:pPr>
            <w:pStyle w:val="TOC1"/>
            <w:rPr>
              <w:rFonts w:asciiTheme="minorHAnsi" w:hAnsiTheme="minorHAnsi" w:eastAsiaTheme="minorEastAsia" w:cstheme="minorBidi"/>
              <w:bCs w:val="0"/>
              <w:sz w:val="22"/>
              <w:szCs w:val="22"/>
              <w:lang w:val="en-US"/>
            </w:rPr>
          </w:pPr>
          <w:hyperlink w:history="1" w:anchor="_Toc160789116">
            <w:r w:rsidRPr="00764B86">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764B86">
              <w:rPr>
                <w:rStyle w:val="Hyperlink"/>
                <w:b/>
              </w:rPr>
              <w:t>JORDBRUK, LANDSBYGDSUTVECKLING OCH MILJÖ</w:t>
            </w:r>
            <w:r>
              <w:rPr>
                <w:webHidden/>
              </w:rPr>
              <w:tab/>
            </w:r>
            <w:r>
              <w:rPr>
                <w:webHidden/>
              </w:rPr>
              <w:fldChar w:fldCharType="begin"/>
            </w:r>
            <w:r>
              <w:rPr>
                <w:webHidden/>
              </w:rPr>
              <w:instrText xml:space="preserve"> PAGEREF _Toc160789116 \h </w:instrText>
            </w:r>
            <w:r>
              <w:rPr>
                <w:webHidden/>
              </w:rPr>
            </w:r>
            <w:r>
              <w:rPr>
                <w:webHidden/>
              </w:rPr>
              <w:fldChar w:fldCharType="separate"/>
            </w:r>
            <w:r>
              <w:rPr>
                <w:webHidden/>
              </w:rPr>
              <w:t>12</w:t>
            </w:r>
            <w:r>
              <w:rPr>
                <w:webHidden/>
              </w:rPr>
              <w:fldChar w:fldCharType="end"/>
            </w:r>
          </w:hyperlink>
        </w:p>
        <w:p w:rsidR="00256A3E" w:rsidRDefault="00256A3E" w14:paraId="47AD94E0" w14:textId="6D3A9656">
          <w:pPr>
            <w:pStyle w:val="TOC1"/>
            <w:rPr>
              <w:rFonts w:asciiTheme="minorHAnsi" w:hAnsiTheme="minorHAnsi" w:eastAsiaTheme="minorEastAsia" w:cstheme="minorBidi"/>
              <w:bCs w:val="0"/>
              <w:sz w:val="22"/>
              <w:szCs w:val="22"/>
              <w:lang w:val="en-US"/>
            </w:rPr>
          </w:pPr>
          <w:hyperlink w:history="1" w:anchor="_Toc160789127">
            <w:r w:rsidRPr="00764B86">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764B86">
              <w:rPr>
                <w:rStyle w:val="Hyperlink"/>
                <w:b/>
              </w:rPr>
              <w:t>YTTRE FÖRBINDELSER</w:t>
            </w:r>
            <w:r>
              <w:rPr>
                <w:webHidden/>
              </w:rPr>
              <w:tab/>
            </w:r>
            <w:r>
              <w:rPr>
                <w:webHidden/>
              </w:rPr>
              <w:fldChar w:fldCharType="begin"/>
            </w:r>
            <w:r>
              <w:rPr>
                <w:webHidden/>
              </w:rPr>
              <w:instrText xml:space="preserve"> PAGEREF _Toc160789127 \h </w:instrText>
            </w:r>
            <w:r>
              <w:rPr>
                <w:webHidden/>
              </w:rPr>
            </w:r>
            <w:r>
              <w:rPr>
                <w:webHidden/>
              </w:rPr>
              <w:fldChar w:fldCharType="separate"/>
            </w:r>
            <w:r>
              <w:rPr>
                <w:webHidden/>
              </w:rPr>
              <w:t>13</w:t>
            </w:r>
            <w:r>
              <w:rPr>
                <w:webHidden/>
              </w:rPr>
              <w:fldChar w:fldCharType="end"/>
            </w:r>
          </w:hyperlink>
        </w:p>
        <w:p w:rsidR="00256A3E" w:rsidRDefault="00256A3E" w14:paraId="6935361B" w14:textId="7E168286">
          <w:pPr>
            <w:pStyle w:val="TOC1"/>
            <w:rPr>
              <w:rFonts w:asciiTheme="minorHAnsi" w:hAnsiTheme="minorHAnsi" w:eastAsiaTheme="minorEastAsia" w:cstheme="minorBidi"/>
              <w:bCs w:val="0"/>
              <w:sz w:val="22"/>
              <w:szCs w:val="22"/>
              <w:lang w:val="en-US"/>
            </w:rPr>
          </w:pPr>
          <w:hyperlink w:history="1" w:anchor="_Toc160789128">
            <w:r w:rsidRPr="00764B86">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764B86">
              <w:rPr>
                <w:rStyle w:val="Hyperlink"/>
                <w:b/>
              </w:rPr>
              <w:t>TRANSPORTER, ENERGI, INFRASTRUKTUR OCH INFORMATIONSSAMHÄLLET</w:t>
            </w:r>
            <w:r>
              <w:rPr>
                <w:webHidden/>
              </w:rPr>
              <w:tab/>
            </w:r>
            <w:r>
              <w:rPr>
                <w:webHidden/>
              </w:rPr>
              <w:fldChar w:fldCharType="begin"/>
            </w:r>
            <w:r>
              <w:rPr>
                <w:webHidden/>
              </w:rPr>
              <w:instrText xml:space="preserve"> PAGEREF _Toc160789128 \h </w:instrText>
            </w:r>
            <w:r>
              <w:rPr>
                <w:webHidden/>
              </w:rPr>
            </w:r>
            <w:r>
              <w:rPr>
                <w:webHidden/>
              </w:rPr>
              <w:fldChar w:fldCharType="separate"/>
            </w:r>
            <w:r>
              <w:rPr>
                <w:webHidden/>
              </w:rPr>
              <w:t>14</w:t>
            </w:r>
            <w:r>
              <w:rPr>
                <w:webHidden/>
              </w:rPr>
              <w:fldChar w:fldCharType="end"/>
            </w:r>
          </w:hyperlink>
        </w:p>
        <w:p w:rsidR="00256A3E" w:rsidRDefault="00256A3E" w14:paraId="396996C1" w14:textId="7E6F1CAA">
          <w:pPr>
            <w:pStyle w:val="TOC1"/>
            <w:rPr>
              <w:rFonts w:asciiTheme="minorHAnsi" w:hAnsiTheme="minorHAnsi" w:eastAsiaTheme="minorEastAsia" w:cstheme="minorBidi"/>
              <w:bCs w:val="0"/>
              <w:sz w:val="22"/>
              <w:szCs w:val="22"/>
              <w:lang w:val="en-US"/>
            </w:rPr>
          </w:pPr>
          <w:hyperlink w:history="1" w:anchor="_Toc160789129">
            <w:r w:rsidRPr="00764B86">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764B86">
              <w:rPr>
                <w:rStyle w:val="Hyperlink"/>
                <w:b/>
              </w:rPr>
              <w:t>RÅDGIVANDE UTSKOTTET FÖR INDUSTRIELL OMVANDLING</w:t>
            </w:r>
            <w:r>
              <w:rPr>
                <w:webHidden/>
              </w:rPr>
              <w:tab/>
            </w:r>
            <w:r>
              <w:rPr>
                <w:webHidden/>
              </w:rPr>
              <w:fldChar w:fldCharType="begin"/>
            </w:r>
            <w:r>
              <w:rPr>
                <w:webHidden/>
              </w:rPr>
              <w:instrText xml:space="preserve"> PAGEREF _Toc160789129 \h </w:instrText>
            </w:r>
            <w:r>
              <w:rPr>
                <w:webHidden/>
              </w:rPr>
            </w:r>
            <w:r>
              <w:rPr>
                <w:webHidden/>
              </w:rPr>
              <w:fldChar w:fldCharType="separate"/>
            </w:r>
            <w:r>
              <w:rPr>
                <w:webHidden/>
              </w:rPr>
              <w:t>15</w:t>
            </w:r>
            <w:r>
              <w:rPr>
                <w:webHidden/>
              </w:rPr>
              <w:fldChar w:fldCharType="end"/>
            </w:r>
          </w:hyperlink>
        </w:p>
        <w:p w:rsidRPr="00544D95" w:rsidR="00544D95" w:rsidP="00544D95" w:rsidRDefault="00544D95" w14:paraId="589C47D7" w14:textId="22C94800">
          <w:pPr>
            <w:rPr>
              <w:b/>
            </w:rPr>
          </w:pPr>
          <w:r w:rsidRPr="00544D95">
            <w:rPr>
              <w:b/>
            </w:rPr>
            <w:fldChar w:fldCharType="end"/>
          </w:r>
        </w:p>
      </w:sdtContent>
    </w:sdt>
    <w:p w:rsidR="00BE2C1E" w:rsidRDefault="00BE2C1E" w14:paraId="2900045F" w14:textId="7EF0810A">
      <w:pPr>
        <w:spacing w:after="160" w:line="259" w:lineRule="auto"/>
        <w:jc w:val="left"/>
      </w:pPr>
      <w:r>
        <w:br w:type="page"/>
      </w:r>
    </w:p>
    <w:p w:rsidR="00A07736" w:rsidRDefault="00A07736" w14:paraId="6B93666C" w14:textId="77777777">
      <w:pPr>
        <w:spacing w:after="160" w:line="259" w:lineRule="auto"/>
        <w:jc w:val="left"/>
      </w:pPr>
    </w:p>
    <w:p w:rsidR="0038273B" w:rsidP="00C83487" w:rsidRDefault="0038273B" w14:paraId="62CE6920" w14:textId="4713069C">
      <w:pPr>
        <w:pStyle w:val="Heading1"/>
        <w:spacing w:before="0"/>
        <w:ind w:left="930" w:hanging="928"/>
        <w:rPr>
          <w:b/>
          <w:bCs/>
        </w:rPr>
      </w:pPr>
      <w:bookmarkStart w:name="_Toc160789102" w:id="1"/>
      <w:r>
        <w:rPr>
          <w:b/>
        </w:rPr>
        <w:t>EKONOMISKA OCH MONETÄRA UNIONEN, EKONOMISK OCH SOCIAL SAMMANHÅLLNING</w:t>
      </w:r>
      <w:bookmarkEnd w:id="1"/>
    </w:p>
    <w:p w:rsidRPr="00115BBC" w:rsidR="00115BBC" w:rsidP="00115BBC" w:rsidRDefault="00115BBC" w14:paraId="5C4FD48E" w14:textId="77777777"/>
    <w:p w:rsidRPr="00CF3B63" w:rsidR="00CF3B63" w:rsidP="00CC4510" w:rsidRDefault="00313C89" w14:paraId="7EC430AC" w14:textId="415F6520">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19">
        <w:r w:rsidR="00016559">
          <w:rPr>
            <w:b/>
            <w:i/>
            <w:color w:val="0000FF"/>
            <w:sz w:val="28"/>
            <w:u w:val="single"/>
          </w:rPr>
          <w:t>Beskattning av gränsöverskridande distansarbetare globalt och konsekvenserna för EU</w:t>
        </w:r>
      </w:hyperlink>
    </w:p>
    <w:p w:rsidR="00CF3B63" w:rsidP="00CF3B63" w:rsidRDefault="00CF3B63" w14:paraId="478C2AB3" w14:textId="340E8FC3">
      <w:pPr>
        <w:tabs>
          <w:tab w:val="center" w:pos="284"/>
        </w:tabs>
        <w:overflowPunct w:val="0"/>
        <w:autoSpaceDE w:val="0"/>
        <w:autoSpaceDN w:val="0"/>
        <w:adjustRightInd w:val="0"/>
        <w:ind w:left="266" w:hanging="266"/>
        <w:textAlignment w:val="baseline"/>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670"/>
      </w:tblGrid>
      <w:tr w:rsidRPr="00CF3B63" w:rsidR="00E73010" w:rsidTr="00B17F65" w14:paraId="751D3B32" w14:textId="77777777">
        <w:tc>
          <w:tcPr>
            <w:tcW w:w="1701" w:type="dxa"/>
          </w:tcPr>
          <w:p w:rsidRPr="00CF3B63" w:rsidR="00E73010" w:rsidP="00B17F65" w:rsidRDefault="00E73010" w14:paraId="1452C9B6" w14:textId="77777777">
            <w:pPr>
              <w:tabs>
                <w:tab w:val="center" w:pos="284"/>
              </w:tabs>
              <w:overflowPunct w:val="0"/>
              <w:autoSpaceDE w:val="0"/>
              <w:autoSpaceDN w:val="0"/>
              <w:adjustRightInd w:val="0"/>
              <w:ind w:left="266" w:hanging="266"/>
              <w:textAlignment w:val="baseline"/>
              <w:rPr>
                <w:b/>
              </w:rPr>
            </w:pPr>
            <w:r>
              <w:rPr>
                <w:b/>
                <w:u w:val="single"/>
              </w:rPr>
              <w:t>Föredragande</w:t>
            </w:r>
          </w:p>
        </w:tc>
        <w:tc>
          <w:tcPr>
            <w:tcW w:w="5670" w:type="dxa"/>
          </w:tcPr>
          <w:p w:rsidRPr="00CF3B63" w:rsidR="00E73010" w:rsidP="00B17F65" w:rsidRDefault="00E73010" w14:paraId="47111346" w14:textId="77777777">
            <w:pPr>
              <w:tabs>
                <w:tab w:val="center" w:pos="284"/>
              </w:tabs>
              <w:overflowPunct w:val="0"/>
              <w:autoSpaceDE w:val="0"/>
              <w:autoSpaceDN w:val="0"/>
              <w:adjustRightInd w:val="0"/>
              <w:ind w:left="266" w:hanging="266"/>
              <w:textAlignment w:val="baseline"/>
            </w:pPr>
            <w:r>
              <w:t>Krister Andersson (Arbetsgivargruppen – SE)</w:t>
            </w:r>
          </w:p>
        </w:tc>
      </w:tr>
      <w:tr w:rsidRPr="00CF3B63" w:rsidR="00E73010" w:rsidTr="00B17F65" w14:paraId="744149D0" w14:textId="77777777">
        <w:tc>
          <w:tcPr>
            <w:tcW w:w="1701" w:type="dxa"/>
          </w:tcPr>
          <w:p w:rsidRPr="00CF3B63" w:rsidR="00E73010" w:rsidP="00B17F65" w:rsidRDefault="00E73010" w14:paraId="000E6296"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42E8B3AA" w14:textId="77777777">
            <w:pPr>
              <w:tabs>
                <w:tab w:val="center" w:pos="284"/>
              </w:tabs>
              <w:overflowPunct w:val="0"/>
              <w:autoSpaceDE w:val="0"/>
              <w:autoSpaceDN w:val="0"/>
              <w:adjustRightInd w:val="0"/>
              <w:ind w:left="266" w:hanging="266"/>
              <w:textAlignment w:val="baseline"/>
            </w:pPr>
          </w:p>
        </w:tc>
      </w:tr>
      <w:tr w:rsidRPr="00CF3B63" w:rsidR="00E73010" w:rsidTr="00B17F65" w14:paraId="46478281" w14:textId="77777777">
        <w:tc>
          <w:tcPr>
            <w:tcW w:w="1701" w:type="dxa"/>
          </w:tcPr>
          <w:p w:rsidRPr="00CF3B63" w:rsidR="00E73010" w:rsidP="00B17F65" w:rsidRDefault="00E73010" w14:paraId="059FA346" w14:textId="0CE5F4EC">
            <w:pPr>
              <w:tabs>
                <w:tab w:val="center" w:pos="284"/>
              </w:tabs>
              <w:overflowPunct w:val="0"/>
              <w:autoSpaceDE w:val="0"/>
              <w:autoSpaceDN w:val="0"/>
              <w:adjustRightInd w:val="0"/>
              <w:ind w:left="266" w:hanging="266"/>
              <w:textAlignment w:val="baseline"/>
              <w:rPr>
                <w:b/>
                <w:bCs/>
              </w:rPr>
            </w:pPr>
            <w:r>
              <w:rPr>
                <w:b/>
              </w:rPr>
              <w:t>Referensdokument:</w:t>
            </w:r>
          </w:p>
        </w:tc>
        <w:tc>
          <w:tcPr>
            <w:tcW w:w="5670" w:type="dxa"/>
          </w:tcPr>
          <w:p w:rsidR="00E73010" w:rsidP="00E73010" w:rsidRDefault="00E73010" w14:paraId="0E3642EE" w14:textId="77777777">
            <w:pPr>
              <w:tabs>
                <w:tab w:val="center" w:pos="284"/>
              </w:tabs>
              <w:overflowPunct w:val="0"/>
              <w:autoSpaceDE w:val="0"/>
              <w:autoSpaceDN w:val="0"/>
              <w:adjustRightInd w:val="0"/>
              <w:ind w:left="266" w:hanging="266"/>
              <w:textAlignment w:val="baseline"/>
            </w:pPr>
            <w:r>
              <w:t>Yttrande på eget initiativ</w:t>
            </w:r>
          </w:p>
          <w:p w:rsidRPr="00CF3B63" w:rsidR="00E73010" w:rsidP="00E73010" w:rsidRDefault="00E73010" w14:paraId="58476701" w14:textId="52B2602E">
            <w:pPr>
              <w:tabs>
                <w:tab w:val="center" w:pos="284"/>
              </w:tabs>
              <w:overflowPunct w:val="0"/>
              <w:autoSpaceDE w:val="0"/>
              <w:autoSpaceDN w:val="0"/>
              <w:adjustRightInd w:val="0"/>
              <w:ind w:left="266" w:hanging="266"/>
              <w:textAlignment w:val="baseline"/>
            </w:pPr>
            <w:r>
              <w:t>EESC-2023-00860-00-AC</w:t>
            </w:r>
          </w:p>
        </w:tc>
      </w:tr>
      <w:tr w:rsidRPr="00CF3B63" w:rsidR="00E73010" w:rsidTr="00B17F65" w14:paraId="65C7AC0C" w14:textId="77777777">
        <w:tc>
          <w:tcPr>
            <w:tcW w:w="1701" w:type="dxa"/>
          </w:tcPr>
          <w:p w:rsidRPr="00CF3B63" w:rsidR="00E73010" w:rsidP="00B17F65" w:rsidRDefault="00E73010" w14:paraId="4EE462AD"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2AAA63E9" w14:textId="77777777">
            <w:pPr>
              <w:tabs>
                <w:tab w:val="center" w:pos="284"/>
              </w:tabs>
              <w:overflowPunct w:val="0"/>
              <w:autoSpaceDE w:val="0"/>
              <w:autoSpaceDN w:val="0"/>
              <w:adjustRightInd w:val="0"/>
              <w:ind w:left="266" w:hanging="266"/>
              <w:textAlignment w:val="baseline"/>
            </w:pPr>
          </w:p>
        </w:tc>
      </w:tr>
    </w:tbl>
    <w:p w:rsidR="00E73010" w:rsidP="00CF3B63" w:rsidRDefault="00E73010" w14:paraId="54675DBA" w14:textId="1C83796C">
      <w:pPr>
        <w:tabs>
          <w:tab w:val="center" w:pos="284"/>
        </w:tabs>
        <w:overflowPunct w:val="0"/>
        <w:autoSpaceDE w:val="0"/>
        <w:autoSpaceDN w:val="0"/>
        <w:adjustRightInd w:val="0"/>
        <w:ind w:left="266" w:hanging="266"/>
        <w:textAlignment w:val="baseline"/>
        <w:rPr>
          <w:b/>
        </w:rPr>
      </w:pPr>
    </w:p>
    <w:p w:rsidRPr="00CF3B63" w:rsidR="00CF3B63" w:rsidP="00CC4510" w:rsidRDefault="00CF3B63" w14:paraId="37EC7423" w14:textId="77777777">
      <w:pPr>
        <w:keepNext/>
        <w:keepLines/>
        <w:tabs>
          <w:tab w:val="center" w:pos="284"/>
        </w:tabs>
        <w:overflowPunct w:val="0"/>
        <w:autoSpaceDE w:val="0"/>
        <w:autoSpaceDN w:val="0"/>
        <w:adjustRightInd w:val="0"/>
        <w:ind w:left="266" w:hanging="124"/>
        <w:textAlignment w:val="baseline"/>
        <w:rPr>
          <w:b/>
        </w:rPr>
      </w:pPr>
      <w:r>
        <w:rPr>
          <w:b/>
        </w:rPr>
        <w:t>Huvudpunkter</w:t>
      </w:r>
    </w:p>
    <w:p w:rsidRPr="00CF3B63" w:rsidR="00CF3B63" w:rsidP="00CC4510" w:rsidRDefault="00CF3B63" w14:paraId="05302960" w14:textId="77777777">
      <w:pPr>
        <w:keepNext/>
        <w:keepLines/>
        <w:tabs>
          <w:tab w:val="center" w:pos="284"/>
        </w:tabs>
        <w:overflowPunct w:val="0"/>
        <w:autoSpaceDE w:val="0"/>
        <w:autoSpaceDN w:val="0"/>
        <w:adjustRightInd w:val="0"/>
        <w:ind w:left="266" w:hanging="124"/>
        <w:textAlignment w:val="baseline"/>
        <w:rPr>
          <w:b/>
        </w:rPr>
      </w:pPr>
    </w:p>
    <w:p w:rsidRPr="00CF3B63" w:rsidR="00CF3B63" w:rsidP="00CC4510" w:rsidRDefault="00CF3B63" w14:paraId="23B0065E" w14:textId="77777777">
      <w:pPr>
        <w:keepNext/>
        <w:keepLines/>
        <w:tabs>
          <w:tab w:val="center" w:pos="284"/>
        </w:tabs>
        <w:overflowPunct w:val="0"/>
        <w:autoSpaceDE w:val="0"/>
        <w:autoSpaceDN w:val="0"/>
        <w:adjustRightInd w:val="0"/>
        <w:ind w:left="266" w:hanging="124"/>
        <w:textAlignment w:val="baseline"/>
        <w:rPr>
          <w:bCs/>
        </w:rPr>
      </w:pPr>
      <w:r>
        <w:t>Europeiska ekonomiska och sociala kommitténs (EESK) ståndpunkt:</w:t>
      </w:r>
    </w:p>
    <w:p w:rsidRPr="00CF3B63" w:rsidR="00CF3B63" w:rsidP="00CF3B63" w:rsidRDefault="00CF3B63" w14:paraId="32F10A5B" w14:textId="77777777">
      <w:pPr>
        <w:keepNext/>
        <w:keepLines/>
        <w:tabs>
          <w:tab w:val="center" w:pos="284"/>
        </w:tabs>
        <w:overflowPunct w:val="0"/>
        <w:autoSpaceDE w:val="0"/>
        <w:autoSpaceDN w:val="0"/>
        <w:adjustRightInd w:val="0"/>
        <w:ind w:left="266" w:hanging="266"/>
        <w:textAlignment w:val="baseline"/>
        <w:rPr>
          <w:b/>
        </w:rPr>
      </w:pPr>
    </w:p>
    <w:p w:rsidRPr="00CF3B63" w:rsidR="00CF3B63" w:rsidP="00CC4510" w:rsidRDefault="00CF3B63" w14:paraId="64272677"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Under det senaste årtiondet har globaliseringen och digitaliseringen skapat nya möjligheter till distansarbete. Covid-19-pandemin medförde en exempellös förändring av både arbetstagarnas liv och affärslivet, och ledde till en exponentiell ökning av distansarbetet.</w:t>
      </w:r>
    </w:p>
    <w:p w:rsidR="00CF3B63" w:rsidP="00CC4510" w:rsidRDefault="00CF3B63" w14:paraId="67BD646A" w14:textId="2729F36C">
      <w:pPr>
        <w:numPr>
          <w:ilvl w:val="0"/>
          <w:numId w:val="15"/>
        </w:numPr>
        <w:overflowPunct w:val="0"/>
        <w:autoSpaceDE w:val="0"/>
        <w:autoSpaceDN w:val="0"/>
        <w:adjustRightInd w:val="0"/>
        <w:spacing w:after="200" w:line="276" w:lineRule="auto"/>
        <w:ind w:left="284" w:hanging="284"/>
        <w:contextualSpacing/>
        <w:textAlignment w:val="baseline"/>
        <w:rPr>
          <w:szCs w:val="20"/>
        </w:rPr>
      </w:pPr>
      <w:r>
        <w:t>Med den nya tekniken kan exakt samma arbete utföras utan att fysisk närvaro är nödvändig. Detta innebär också att många fler människor kan distansarbeta över landsgränserna och att antalet gränsöverskridande distansarbetare har ökat kraftigt.</w:t>
      </w:r>
    </w:p>
    <w:p w:rsidR="00CF3B63" w:rsidP="00CC4510" w:rsidRDefault="00CF3B63" w14:paraId="1EE80ABE" w14:textId="474071FB">
      <w:pPr>
        <w:numPr>
          <w:ilvl w:val="0"/>
          <w:numId w:val="15"/>
        </w:numPr>
        <w:overflowPunct w:val="0"/>
        <w:autoSpaceDE w:val="0"/>
        <w:autoSpaceDN w:val="0"/>
        <w:adjustRightInd w:val="0"/>
        <w:spacing w:after="200" w:line="276" w:lineRule="auto"/>
        <w:ind w:left="284" w:hanging="284"/>
        <w:contextualSpacing/>
        <w:textAlignment w:val="baseline"/>
        <w:rPr>
          <w:szCs w:val="20"/>
        </w:rPr>
      </w:pPr>
      <w:r>
        <w:t>EESK anser att alternativet att beskatta arbetstagarens inkomst som löneinkomst i arbetsgivarens hemvistland är att föredra. Ett sådant system skulle underlätta för arbetstagarna och kan även vara attraktivt för arbetsgivarna. För att kompensera för förlorade intäkter i arbetstagarens hemvistland skulle det troligtvis krävas en mekanism för intäktsdelning.</w:t>
      </w:r>
    </w:p>
    <w:p w:rsidRPr="00CF3B63" w:rsidR="00CF3B63" w:rsidP="00CC4510" w:rsidRDefault="00CF3B63" w14:paraId="216DBC4F"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EESK föreslår att skattemyndigheterna kan dela upp inkomsten mellan länderna med hjälp av uppgifter om den faktiska individuella närvaron i varje berörd stat (som arbetsgivaren rapporterar till skattemyndigheten i sitt hemvistland, som därmed fungerar som enda kontaktpunkt) eller genom att använda någon form av makroekonomisk aggregerad nyckel.</w:t>
      </w:r>
    </w:p>
    <w:p w:rsidRPr="00CF3B63" w:rsidR="00CF3B63" w:rsidP="00CF3B63" w:rsidRDefault="00CF3B63" w14:paraId="09DDE983" w14:textId="77777777">
      <w:pPr>
        <w:spacing w:after="200" w:line="276" w:lineRule="auto"/>
        <w:ind w:left="567"/>
        <w:contextualSpacing/>
        <w:jc w:val="left"/>
        <w:rPr>
          <w:color w:val="000000" w:themeColor="text1"/>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CF3B63" w:rsidR="00CF3B63" w:rsidTr="00B05454" w14:paraId="4CD566CB" w14:textId="77777777">
        <w:tc>
          <w:tcPr>
            <w:tcW w:w="1418" w:type="dxa"/>
          </w:tcPr>
          <w:p w:rsidRPr="00CF3B63" w:rsidR="00CF3B63" w:rsidP="00CF3B63" w:rsidRDefault="00CF3B63" w14:paraId="2153ECA8"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CF3B63" w:rsidR="00CF3B63" w:rsidP="00CF3B63" w:rsidRDefault="00CF3B63" w14:paraId="2BAAA700"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w:t>
            </w:r>
            <w:proofErr w:type="spellStart"/>
            <w:r>
              <w:rPr>
                <w:i/>
              </w:rPr>
              <w:t>Soosaar</w:t>
            </w:r>
            <w:proofErr w:type="spellEnd"/>
            <w:r>
              <w:rPr>
                <w:i/>
              </w:rPr>
              <w:t xml:space="preserve"> </w:t>
            </w:r>
          </w:p>
        </w:tc>
      </w:tr>
      <w:tr w:rsidRPr="00CF3B63" w:rsidR="00CF3B63" w:rsidTr="00B05454" w14:paraId="0CCC2A7E" w14:textId="77777777">
        <w:tc>
          <w:tcPr>
            <w:tcW w:w="1418" w:type="dxa"/>
          </w:tcPr>
          <w:p w:rsidRPr="00CF3B63" w:rsidR="00CF3B63" w:rsidP="00CF3B63" w:rsidRDefault="00CF3B63" w14:paraId="31D551A3" w14:textId="77777777">
            <w:pPr>
              <w:overflowPunct w:val="0"/>
              <w:autoSpaceDE w:val="0"/>
              <w:autoSpaceDN w:val="0"/>
              <w:adjustRightInd w:val="0"/>
              <w:spacing w:line="240" w:lineRule="auto"/>
              <w:textAlignment w:val="baseline"/>
              <w:rPr>
                <w:i/>
              </w:rPr>
            </w:pPr>
            <w:r>
              <w:rPr>
                <w:i/>
              </w:rPr>
              <w:t>Tfn</w:t>
            </w:r>
          </w:p>
        </w:tc>
        <w:tc>
          <w:tcPr>
            <w:tcW w:w="5670" w:type="dxa"/>
          </w:tcPr>
          <w:p w:rsidRPr="00CF3B63" w:rsidR="00CF3B63" w:rsidP="00CF3B63" w:rsidRDefault="00CF3B63" w14:paraId="5FA9B686" w14:textId="77777777">
            <w:pPr>
              <w:overflowPunct w:val="0"/>
              <w:autoSpaceDE w:val="0"/>
              <w:autoSpaceDN w:val="0"/>
              <w:adjustRightInd w:val="0"/>
              <w:spacing w:line="240" w:lineRule="auto"/>
              <w:textAlignment w:val="baseline"/>
              <w:rPr>
                <w:i/>
              </w:rPr>
            </w:pPr>
            <w:r>
              <w:rPr>
                <w:i/>
              </w:rPr>
              <w:t>+32 25469628</w:t>
            </w:r>
          </w:p>
        </w:tc>
      </w:tr>
      <w:tr w:rsidRPr="00CF3B63" w:rsidR="00CF3B63" w:rsidTr="00B05454" w14:paraId="52648DE1" w14:textId="77777777">
        <w:tc>
          <w:tcPr>
            <w:tcW w:w="1418" w:type="dxa"/>
          </w:tcPr>
          <w:p w:rsidRPr="00CF3B63" w:rsidR="00CF3B63" w:rsidP="00CF3B63" w:rsidRDefault="009A2DD6" w14:paraId="0F86E843" w14:textId="73EA9BCB">
            <w:pPr>
              <w:overflowPunct w:val="0"/>
              <w:autoSpaceDE w:val="0"/>
              <w:autoSpaceDN w:val="0"/>
              <w:adjustRightInd w:val="0"/>
              <w:spacing w:line="240" w:lineRule="auto"/>
              <w:textAlignment w:val="baseline"/>
              <w:rPr>
                <w:i/>
              </w:rPr>
            </w:pPr>
            <w:r>
              <w:rPr>
                <w:i/>
              </w:rPr>
              <w:t>E-post:</w:t>
            </w:r>
          </w:p>
        </w:tc>
        <w:tc>
          <w:tcPr>
            <w:tcW w:w="5670" w:type="dxa"/>
          </w:tcPr>
          <w:p w:rsidRPr="00CF3B63" w:rsidR="00CF3B63" w:rsidRDefault="00313C89" w14:paraId="34CDB34E" w14:textId="0A67A9F1">
            <w:pPr>
              <w:overflowPunct w:val="0"/>
              <w:autoSpaceDE w:val="0"/>
              <w:autoSpaceDN w:val="0"/>
              <w:adjustRightInd w:val="0"/>
              <w:spacing w:line="240" w:lineRule="auto"/>
              <w:textAlignment w:val="baseline"/>
              <w:rPr>
                <w:i/>
              </w:rPr>
            </w:pPr>
            <w:hyperlink w:history="1" r:id="rId20">
              <w:r w:rsidR="00016559">
                <w:rPr>
                  <w:color w:val="0000FF"/>
                  <w:u w:val="single"/>
                </w:rPr>
                <w:t>Juri.Soosaar@eesc.europa.eu</w:t>
              </w:r>
            </w:hyperlink>
            <w:r w:rsidR="00016559">
              <w:t xml:space="preserve"> </w:t>
            </w:r>
          </w:p>
        </w:tc>
      </w:tr>
    </w:tbl>
    <w:p w:rsidR="00CF3B63" w:rsidRDefault="00CF3B63" w14:paraId="03718F05" w14:textId="77777777">
      <w:pPr>
        <w:spacing w:after="160" w:line="259" w:lineRule="auto"/>
        <w:jc w:val="left"/>
        <w:rPr>
          <w:b/>
          <w:bCs/>
        </w:rPr>
      </w:pPr>
    </w:p>
    <w:p w:rsidR="00CF3B63" w:rsidRDefault="00CF3B63" w14:paraId="2B55CB13" w14:textId="77777777">
      <w:pPr>
        <w:spacing w:after="160" w:line="259" w:lineRule="auto"/>
        <w:jc w:val="left"/>
        <w:rPr>
          <w:b/>
          <w:bCs/>
        </w:rPr>
      </w:pPr>
      <w:r>
        <w:br w:type="page"/>
      </w:r>
    </w:p>
    <w:bookmarkStart w:name="_Toc159831758" w:id="2"/>
    <w:p w:rsidRPr="00256A3E" w:rsidR="00A32597" w:rsidP="00CC4510" w:rsidRDefault="004716B8" w14:paraId="1BD9833F" w14:textId="40DA622E">
      <w:pPr>
        <w:pStyle w:val="ListParagraph"/>
        <w:numPr>
          <w:ilvl w:val="0"/>
          <w:numId w:val="16"/>
        </w:numPr>
        <w:shd w:val="clear" w:color="auto" w:fill="FFFFFF"/>
        <w:ind w:hanging="578"/>
        <w:outlineLvl w:val="0"/>
        <w:rPr>
          <w:b/>
          <w:kern w:val="28"/>
        </w:rPr>
      </w:pPr>
      <w:r>
        <w:lastRenderedPageBreak/>
        <w:fldChar w:fldCharType="begin"/>
      </w:r>
      <w:r>
        <w:instrText xml:space="preserve"> HYPERLINK "https://www.eesc.europa.eu/sv/our-work/opinions-information-reports/opinions/annual-sustainable-growth-survey-2024" </w:instrText>
      </w:r>
      <w:r>
        <w:fldChar w:fldCharType="separate"/>
      </w:r>
      <w:bookmarkStart w:name="_Toc160789103" w:id="3"/>
      <w:r>
        <w:rPr>
          <w:b/>
          <w:i/>
          <w:color w:val="0000FF"/>
          <w:sz w:val="28"/>
          <w:u w:val="single"/>
        </w:rPr>
        <w:t>Årlig översikt över hållbar tillväxt 2024</w:t>
      </w:r>
      <w:bookmarkEnd w:id="2"/>
      <w:bookmarkEnd w:id="3"/>
      <w:r>
        <w:rPr>
          <w:b/>
          <w:i/>
          <w:color w:val="0000FF"/>
          <w:sz w:val="28"/>
          <w:u w:val="single"/>
        </w:rPr>
        <w:fldChar w:fldCharType="end"/>
      </w:r>
    </w:p>
    <w:p w:rsidRPr="00DA68C7" w:rsidR="00256A3E" w:rsidP="00256A3E" w:rsidRDefault="00256A3E" w14:paraId="14F559E7" w14:textId="77777777">
      <w:pPr>
        <w:pStyle w:val="ListParagraph"/>
        <w:shd w:val="clear" w:color="auto" w:fill="FFFFFF"/>
        <w:outlineLvl w:val="0"/>
        <w:rPr>
          <w:b/>
          <w:kern w:val="28"/>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A32597" w:rsidR="00A32597" w:rsidTr="00B05454" w14:paraId="7BCB2534" w14:textId="77777777">
        <w:tc>
          <w:tcPr>
            <w:tcW w:w="1701" w:type="dxa"/>
          </w:tcPr>
          <w:p w:rsidRPr="00A32597" w:rsidR="007B6C34" w:rsidRDefault="007B6C34" w14:paraId="5143B750" w14:textId="77777777">
            <w:pPr>
              <w:widowControl w:val="0"/>
              <w:spacing w:line="276" w:lineRule="auto"/>
              <w:ind w:left="142"/>
              <w:contextualSpacing/>
              <w:jc w:val="left"/>
              <w:rPr>
                <w:b/>
                <w:bCs/>
                <w:iCs/>
                <w:noProof/>
                <w:sz w:val="16"/>
                <w:szCs w:val="16"/>
                <w:lang w:eastAsia="fr-BE"/>
              </w:rPr>
            </w:pPr>
          </w:p>
          <w:p w:rsidRPr="00A32597" w:rsidR="00A32597" w:rsidRDefault="00A32597" w14:paraId="6BE8915C" w14:textId="22A4DF31">
            <w:pPr>
              <w:widowControl w:val="0"/>
              <w:spacing w:line="276" w:lineRule="auto"/>
              <w:ind w:left="142"/>
              <w:contextualSpacing/>
              <w:jc w:val="left"/>
              <w:rPr>
                <w:b/>
                <w:bCs/>
                <w:iCs/>
                <w:noProof/>
              </w:rPr>
            </w:pPr>
            <w:r>
              <w:rPr>
                <w:b/>
              </w:rPr>
              <w:t>Föredragande</w:t>
            </w:r>
          </w:p>
        </w:tc>
        <w:tc>
          <w:tcPr>
            <w:tcW w:w="7371" w:type="dxa"/>
          </w:tcPr>
          <w:p w:rsidRPr="00A32597" w:rsidR="00A32597" w:rsidRDefault="00A32597" w14:paraId="541D6CA9" w14:textId="77777777">
            <w:pPr>
              <w:widowControl w:val="0"/>
              <w:spacing w:line="276" w:lineRule="auto"/>
              <w:ind w:left="142"/>
              <w:contextualSpacing/>
              <w:jc w:val="left"/>
              <w:rPr>
                <w:bCs/>
                <w:iCs/>
                <w:noProof/>
                <w:sz w:val="16"/>
                <w:szCs w:val="16"/>
                <w:lang w:eastAsia="fr-BE"/>
              </w:rPr>
            </w:pPr>
          </w:p>
          <w:p w:rsidRPr="00A32597" w:rsidR="00A32597" w:rsidRDefault="00A32597" w14:paraId="07DE7214" w14:textId="38316A4D">
            <w:pPr>
              <w:widowControl w:val="0"/>
              <w:spacing w:line="276" w:lineRule="auto"/>
              <w:ind w:left="142" w:right="-1380"/>
              <w:contextualSpacing/>
              <w:jc w:val="left"/>
              <w:rPr>
                <w:bCs/>
                <w:iCs/>
                <w:noProof/>
              </w:rPr>
            </w:pPr>
            <w:r>
              <w:t xml:space="preserve">Elena-Alexandra </w:t>
            </w:r>
            <w:proofErr w:type="spellStart"/>
            <w:r>
              <w:t>Calistru</w:t>
            </w:r>
            <w:proofErr w:type="spellEnd"/>
            <w:r>
              <w:t xml:space="preserve"> (Gruppen för civilsamhällesorganisationer – RO) </w:t>
            </w:r>
          </w:p>
        </w:tc>
      </w:tr>
    </w:tbl>
    <w:p w:rsidRPr="00A32597" w:rsidR="00A32597" w:rsidRDefault="00A32597" w14:paraId="3B5F4815" w14:textId="77777777">
      <w:pPr>
        <w:widowControl w:val="0"/>
        <w:spacing w:line="259" w:lineRule="auto"/>
        <w:ind w:left="567"/>
        <w:jc w:val="left"/>
        <w:rPr>
          <w:rFonts w:eastAsia="Calibri"/>
          <w:b/>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5670"/>
      </w:tblGrid>
      <w:tr w:rsidRPr="00A32597" w:rsidR="00A32597" w:rsidTr="00B05454" w14:paraId="7B85BF7E" w14:textId="77777777">
        <w:tc>
          <w:tcPr>
            <w:tcW w:w="1701" w:type="dxa"/>
          </w:tcPr>
          <w:p w:rsidRPr="00CC4510" w:rsidR="00A32597" w:rsidP="00CC4510" w:rsidRDefault="00A32597" w14:paraId="515D21C6" w14:textId="77777777">
            <w:pPr>
              <w:widowControl w:val="0"/>
              <w:spacing w:line="276" w:lineRule="auto"/>
              <w:ind w:left="142"/>
              <w:contextualSpacing/>
              <w:jc w:val="left"/>
              <w:rPr>
                <w:b/>
                <w:bCs/>
                <w:iCs/>
                <w:noProof/>
              </w:rPr>
            </w:pPr>
            <w:r>
              <w:rPr>
                <w:b/>
              </w:rPr>
              <w:t>Referensdokument:</w:t>
            </w:r>
          </w:p>
        </w:tc>
        <w:tc>
          <w:tcPr>
            <w:tcW w:w="5670" w:type="dxa"/>
          </w:tcPr>
          <w:p w:rsidRPr="00A32597" w:rsidR="00A32597" w:rsidP="00CC4510" w:rsidRDefault="00A32597" w14:paraId="7CE58217" w14:textId="77777777">
            <w:pPr>
              <w:tabs>
                <w:tab w:val="center" w:pos="284"/>
              </w:tabs>
              <w:spacing w:line="240" w:lineRule="auto"/>
              <w:ind w:left="266"/>
              <w:jc w:val="left"/>
            </w:pPr>
            <w:r>
              <w:t>COM(2023) 901 final</w:t>
            </w:r>
          </w:p>
          <w:p w:rsidRPr="00A32597" w:rsidR="00A32597" w:rsidP="00CC4510" w:rsidRDefault="00A32597" w14:paraId="0BBCB268" w14:textId="77777777">
            <w:pPr>
              <w:tabs>
                <w:tab w:val="center" w:pos="284"/>
              </w:tabs>
              <w:spacing w:line="240" w:lineRule="auto"/>
              <w:ind w:left="266"/>
              <w:jc w:val="left"/>
            </w:pPr>
            <w:r>
              <w:t>EESC-2023-05137-00-00-AC</w:t>
            </w:r>
          </w:p>
          <w:p w:rsidRPr="00A32597" w:rsidR="00A32597" w:rsidP="00CC4510" w:rsidRDefault="00A32597" w14:paraId="6114F19B" w14:textId="77777777">
            <w:pPr>
              <w:tabs>
                <w:tab w:val="center" w:pos="284"/>
              </w:tabs>
              <w:spacing w:line="240" w:lineRule="auto"/>
              <w:ind w:left="266"/>
              <w:jc w:val="left"/>
            </w:pPr>
          </w:p>
        </w:tc>
      </w:tr>
    </w:tbl>
    <w:p w:rsidR="00A32597" w:rsidP="00CC4510" w:rsidRDefault="00A32597" w14:paraId="55102C19" w14:textId="3C028EF4">
      <w:pPr>
        <w:keepNext/>
        <w:keepLines/>
        <w:tabs>
          <w:tab w:val="center" w:pos="284"/>
        </w:tabs>
        <w:spacing w:after="80" w:line="360" w:lineRule="auto"/>
        <w:ind w:left="266"/>
        <w:jc w:val="left"/>
        <w:rPr>
          <w:rFonts w:eastAsia="Calibri"/>
          <w:b/>
        </w:rPr>
      </w:pPr>
      <w:r>
        <w:rPr>
          <w:b/>
        </w:rPr>
        <w:t>Huvudpunkter</w:t>
      </w:r>
    </w:p>
    <w:p w:rsidR="00A32597" w:rsidP="00CC4510" w:rsidRDefault="00A32597" w14:paraId="6878A780" w14:textId="62407221">
      <w:pPr>
        <w:spacing w:after="80" w:line="360" w:lineRule="auto"/>
        <w:ind w:firstLine="284"/>
        <w:rPr>
          <w:rFonts w:eastAsia="Calibri"/>
        </w:rPr>
      </w:pPr>
      <w:r>
        <w:t xml:space="preserve">Europeiska ekonomiska och sociala kommitténs (EESK) ståndpunkt: </w:t>
      </w:r>
    </w:p>
    <w:p w:rsidRPr="00A32597" w:rsidR="00A32597" w:rsidP="00CC4510" w:rsidRDefault="00A32597" w14:paraId="77BED355" w14:textId="77777777">
      <w:pPr>
        <w:numPr>
          <w:ilvl w:val="0"/>
          <w:numId w:val="17"/>
        </w:numPr>
        <w:spacing w:line="276" w:lineRule="auto"/>
        <w:ind w:left="284" w:hanging="284"/>
        <w:outlineLvl w:val="1"/>
      </w:pPr>
      <w:bookmarkStart w:name="_Toc159831759" w:id="4"/>
      <w:bookmarkStart w:name="_Toc160789104" w:id="5"/>
      <w:r>
        <w:t>EESK rekommenderar att Europeiska centralbanken noga övervakar de ekonomiska riskerna och genomför noggranna beredskapsplaner för att säkerställa trovärdiga inflationsprognoser, och rekommenderar Europeiska centralbanken att vara beredd att anpassa sin politik om den prognostiserade nedgången i inflationen avtar, om inflationen åter börjar stiga eller alternativt sjunker alltför långt under 2 %, och förespråkar därför en tydligare beredskapsplanering för att upprätthålla inflationsprognosernas trovärdighet.</w:t>
      </w:r>
      <w:bookmarkEnd w:id="4"/>
      <w:bookmarkEnd w:id="5"/>
    </w:p>
    <w:p w:rsidRPr="00A32597" w:rsidR="00A32597" w:rsidP="00CC4510" w:rsidRDefault="00A32597" w14:paraId="6EBE4B0D" w14:textId="77777777">
      <w:pPr>
        <w:numPr>
          <w:ilvl w:val="0"/>
          <w:numId w:val="17"/>
        </w:numPr>
        <w:spacing w:line="276" w:lineRule="auto"/>
        <w:ind w:left="284" w:hanging="284"/>
        <w:outlineLvl w:val="1"/>
      </w:pPr>
      <w:bookmarkStart w:name="_Toc159831760" w:id="6"/>
      <w:bookmarkStart w:name="_Toc160789105" w:id="7"/>
      <w:r>
        <w:t>Det behövs ett konkret samarbete med nationella parlament, regionala och lokala myndigheter, det civila samhället och arbetsmarknadens parter om reformer av EU:s ram för makroekonomisk styrning. Kommittén betonar vikten av att ta ansvar för dessa reformer på nationell nivå genom en effektiv dialog.</w:t>
      </w:r>
      <w:bookmarkEnd w:id="6"/>
      <w:bookmarkEnd w:id="7"/>
    </w:p>
    <w:p w:rsidRPr="00A32597" w:rsidR="00A32597" w:rsidP="00CC4510" w:rsidRDefault="00A32597" w14:paraId="15523693" w14:textId="77777777">
      <w:pPr>
        <w:numPr>
          <w:ilvl w:val="0"/>
          <w:numId w:val="17"/>
        </w:numPr>
        <w:spacing w:line="276" w:lineRule="auto"/>
        <w:ind w:left="284" w:hanging="284"/>
        <w:outlineLvl w:val="1"/>
      </w:pPr>
      <w:bookmarkStart w:name="_Toc159831761" w:id="8"/>
      <w:bookmarkStart w:name="_Toc160789106" w:id="9"/>
      <w:r>
        <w:t>Det är av avgörande betydelse att integrera demokratiska värden och rättsstatsprinciper i EU:s ekonomiska styrning.</w:t>
      </w:r>
      <w:bookmarkEnd w:id="8"/>
      <w:bookmarkEnd w:id="9"/>
    </w:p>
    <w:p w:rsidRPr="00A32597" w:rsidR="00A32597" w:rsidP="00CC4510" w:rsidRDefault="00A32597" w14:paraId="0E045AD4" w14:textId="77777777">
      <w:pPr>
        <w:numPr>
          <w:ilvl w:val="0"/>
          <w:numId w:val="17"/>
        </w:numPr>
        <w:spacing w:line="276" w:lineRule="auto"/>
        <w:ind w:left="284" w:hanging="284"/>
        <w:outlineLvl w:val="1"/>
      </w:pPr>
      <w:bookmarkStart w:name="_Toc159831762" w:id="10"/>
      <w:bookmarkStart w:name="_Toc160789107" w:id="11"/>
      <w:r>
        <w:t>Med tanke på medlemsstaternas olika ekonomiska förhållanden och tillväxtrelaterade utmaningar vill EESK se en finanspolitisk konsolidering som tar hänsyn till varje medlemsstats unika situation.</w:t>
      </w:r>
      <w:bookmarkEnd w:id="10"/>
      <w:bookmarkEnd w:id="11"/>
    </w:p>
    <w:p w:rsidRPr="00A32597" w:rsidR="00A32597" w:rsidP="00CC4510" w:rsidRDefault="00A32597" w14:paraId="581D3E0C" w14:textId="77777777">
      <w:pPr>
        <w:numPr>
          <w:ilvl w:val="0"/>
          <w:numId w:val="17"/>
        </w:numPr>
        <w:spacing w:line="276" w:lineRule="auto"/>
        <w:ind w:left="284" w:hanging="284"/>
        <w:outlineLvl w:val="1"/>
      </w:pPr>
      <w:bookmarkStart w:name="_Toc159831763" w:id="12"/>
      <w:bookmarkStart w:name="_Toc160789108" w:id="13"/>
      <w:r>
        <w:t>En balanserad strategi är av största betydelse för att fasa ut krisstödet, som fortsätter att hjälpa utsatta grupper som påverkas av höga energikostnader och inflation, och kommittén efterlyser en permanent ram för behovsprövat stöd i vissa länder och betonar behovet av en ingående diskussion om de sociala konsekvenserna.</w:t>
      </w:r>
      <w:bookmarkEnd w:id="12"/>
      <w:bookmarkEnd w:id="13"/>
    </w:p>
    <w:p w:rsidRPr="00A32597" w:rsidR="00A32597" w:rsidP="00CC4510" w:rsidRDefault="00A32597" w14:paraId="74E233B0" w14:textId="77777777">
      <w:pPr>
        <w:numPr>
          <w:ilvl w:val="0"/>
          <w:numId w:val="17"/>
        </w:numPr>
        <w:spacing w:line="276" w:lineRule="auto"/>
        <w:ind w:left="284" w:hanging="284"/>
        <w:outlineLvl w:val="1"/>
      </w:pPr>
      <w:bookmarkStart w:name="_Toc159831764" w:id="14"/>
      <w:bookmarkStart w:name="_Toc160789109" w:id="15"/>
      <w:r>
        <w:t xml:space="preserve">Kommissionen och de nationella regeringarna uppmanas att tillhandahålla det stöd som krävs för att förbättra den administrativa kapaciteten och effektivisera processerna, och att involvera det civila samhället i genomförandet av de nationella planerna för återhämtning och </w:t>
      </w:r>
      <w:proofErr w:type="spellStart"/>
      <w:r>
        <w:t>resiliens</w:t>
      </w:r>
      <w:proofErr w:type="spellEnd"/>
      <w:r>
        <w:t>.</w:t>
      </w:r>
      <w:bookmarkEnd w:id="14"/>
      <w:bookmarkEnd w:id="15"/>
    </w:p>
    <w:p w:rsidRPr="00A32597" w:rsidR="00A32597" w:rsidP="00CC4510" w:rsidRDefault="00A32597" w14:paraId="24E5E545" w14:textId="77777777">
      <w:pPr>
        <w:numPr>
          <w:ilvl w:val="0"/>
          <w:numId w:val="18"/>
        </w:numPr>
        <w:spacing w:line="276" w:lineRule="auto"/>
        <w:ind w:left="284" w:hanging="284"/>
        <w:outlineLvl w:val="1"/>
      </w:pPr>
      <w:bookmarkStart w:name="_Toc159831765" w:id="16"/>
      <w:bookmarkStart w:name="_Toc160789110" w:id="17"/>
      <w:r>
        <w:t>Kommittén betonar behovet av att öka deltagandet på arbetsmarknaden genom kompetenshöjning, säkerställande av lika möjligheter och åtgärder för att komma till rätta med regionala skillnader, och förespråkar strategier för att ta itu med pandemirelaterade inlärningsförluster, med fokus på mindre gynnade elevers och skolors behov.</w:t>
      </w:r>
      <w:bookmarkEnd w:id="16"/>
      <w:bookmarkEnd w:id="17"/>
    </w:p>
    <w:p w:rsidRPr="00A32597" w:rsidR="00A32597" w:rsidP="00CC4510" w:rsidRDefault="00A32597" w14:paraId="22994523" w14:textId="77777777">
      <w:pPr>
        <w:numPr>
          <w:ilvl w:val="0"/>
          <w:numId w:val="18"/>
        </w:numPr>
        <w:spacing w:line="276" w:lineRule="auto"/>
        <w:ind w:left="284" w:hanging="284"/>
        <w:outlineLvl w:val="1"/>
      </w:pPr>
      <w:bookmarkStart w:name="_Toc159831766" w:id="18"/>
      <w:bookmarkStart w:name="_Toc160789111" w:id="19"/>
      <w:r>
        <w:t>EESK stöder åtgärder för att öka produktiviteten, men efterlyser mer djärva åtgärder för att undanröja administrativa hinder för näringslivet inom EU och andra aktörer. Initiativ för att minska rapporteringsskyldigheterna måste kombineras med starkare incitament för investeringar i hållbarhet, inklusive gränsöverskridande sådana.</w:t>
      </w:r>
      <w:bookmarkEnd w:id="18"/>
      <w:bookmarkEnd w:id="19"/>
    </w:p>
    <w:p w:rsidRPr="00A32597" w:rsidR="00A32597" w:rsidP="00CC4510" w:rsidRDefault="00A32597" w14:paraId="6CFE049D" w14:textId="77777777">
      <w:pPr>
        <w:numPr>
          <w:ilvl w:val="0"/>
          <w:numId w:val="18"/>
        </w:numPr>
        <w:spacing w:line="276" w:lineRule="auto"/>
        <w:ind w:left="284" w:hanging="284"/>
        <w:outlineLvl w:val="1"/>
      </w:pPr>
      <w:bookmarkStart w:name="_Toc159831767" w:id="20"/>
      <w:bookmarkStart w:name="_Toc160789112" w:id="21"/>
      <w:r>
        <w:t>Kommittén förespråkar en balanserad finanspolitisk strategi inom vilken man beaktar de synpunkter som framförs av berörda parter och den ekonomiska verkligheten i medlemsstaterna. Genomförandet av återhämtningsplaner bör anpassas till denna nyanserade strategi för att förhindra att miljömål och sociala mål undergrävs.</w:t>
      </w:r>
      <w:bookmarkEnd w:id="20"/>
      <w:bookmarkEnd w:id="21"/>
    </w:p>
    <w:p w:rsidRPr="00A32597" w:rsidR="00A32597" w:rsidP="00CC4510" w:rsidRDefault="00A32597" w14:paraId="6803DE03" w14:textId="77777777">
      <w:pPr>
        <w:numPr>
          <w:ilvl w:val="0"/>
          <w:numId w:val="18"/>
        </w:numPr>
        <w:spacing w:line="276" w:lineRule="auto"/>
        <w:ind w:left="284" w:hanging="284"/>
        <w:outlineLvl w:val="1"/>
      </w:pPr>
      <w:bookmarkStart w:name="_Toc159831768" w:id="22"/>
      <w:bookmarkStart w:name="_Toc160789113" w:id="23"/>
      <w:r>
        <w:t>Det är beklagligt att inrättandet av EU:s suveränitetsfond är försenat, samtidigt som den begränsade budgeten för den europeiska plattformen för strategisk teknik (STEP) ger upphov till allvarliga tvivel om EU:s engagemang och förmåga att uppnå målen för den gröna omställningen förutom att det väcker frågor om investering i unionens konkurrenskraft.</w:t>
      </w:r>
      <w:bookmarkEnd w:id="22"/>
      <w:bookmarkEnd w:id="23"/>
    </w:p>
    <w:p w:rsidR="00A32597" w:rsidP="004D1AE7" w:rsidRDefault="00A32597" w14:paraId="77691757" w14:textId="1699C7E9">
      <w:pPr>
        <w:spacing w:line="276" w:lineRule="auto"/>
        <w:ind w:left="567"/>
        <w:contextualSpacing/>
        <w:rPr>
          <w:sz w:val="16"/>
          <w:szCs w:val="16"/>
        </w:rPr>
      </w:pPr>
    </w:p>
    <w:p w:rsidRPr="00A32597" w:rsidR="002C52B8" w:rsidP="00CC4510" w:rsidRDefault="002C52B8" w14:paraId="2496F124" w14:textId="77777777">
      <w:pPr>
        <w:spacing w:line="276" w:lineRule="auto"/>
        <w:ind w:left="567"/>
        <w:contextualSpacing/>
        <w:rPr>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A32597" w:rsidR="00A32597" w:rsidTr="00B05454" w14:paraId="4E0E2CCB" w14:textId="77777777">
        <w:tc>
          <w:tcPr>
            <w:tcW w:w="1418" w:type="dxa"/>
          </w:tcPr>
          <w:p w:rsidRPr="00A32597" w:rsidR="00A32597" w:rsidP="00CC4510" w:rsidRDefault="00A32597" w14:paraId="15B16749" w14:textId="77777777">
            <w:pPr>
              <w:keepNext/>
              <w:keepLines/>
              <w:spacing w:line="240" w:lineRule="auto"/>
              <w:jc w:val="left"/>
              <w:rPr>
                <w:i/>
              </w:rPr>
            </w:pPr>
            <w:r>
              <w:rPr>
                <w:b/>
                <w:i/>
              </w:rPr>
              <w:t>Kontaktperson:</w:t>
            </w:r>
          </w:p>
        </w:tc>
        <w:tc>
          <w:tcPr>
            <w:tcW w:w="5670" w:type="dxa"/>
          </w:tcPr>
          <w:p w:rsidRPr="00D36819" w:rsidR="00A32597" w:rsidP="00CC4510" w:rsidRDefault="00A32597" w14:paraId="51D4069A" w14:textId="77777777">
            <w:pPr>
              <w:keepNext/>
              <w:keepLines/>
              <w:spacing w:line="240" w:lineRule="auto"/>
              <w:jc w:val="left"/>
              <w:rPr>
                <w:i/>
                <w:iCs/>
              </w:rPr>
            </w:pPr>
            <w:proofErr w:type="spellStart"/>
            <w:r>
              <w:rPr>
                <w:i/>
              </w:rPr>
              <w:t>Colombe</w:t>
            </w:r>
            <w:proofErr w:type="spellEnd"/>
            <w:r>
              <w:rPr>
                <w:i/>
              </w:rPr>
              <w:t xml:space="preserve"> </w:t>
            </w:r>
            <w:proofErr w:type="spellStart"/>
            <w:r>
              <w:rPr>
                <w:i/>
              </w:rPr>
              <w:t>Grégoire</w:t>
            </w:r>
            <w:proofErr w:type="spellEnd"/>
          </w:p>
        </w:tc>
      </w:tr>
      <w:tr w:rsidRPr="00A32597" w:rsidR="00A32597" w:rsidTr="00B05454" w14:paraId="217EEC8E" w14:textId="77777777">
        <w:tc>
          <w:tcPr>
            <w:tcW w:w="1418" w:type="dxa"/>
          </w:tcPr>
          <w:p w:rsidRPr="00A32597" w:rsidR="00A32597" w:rsidP="00CC4510" w:rsidRDefault="00A32597" w14:paraId="10D94256" w14:textId="77777777">
            <w:pPr>
              <w:keepNext/>
              <w:keepLines/>
              <w:spacing w:line="240" w:lineRule="auto"/>
              <w:jc w:val="left"/>
              <w:rPr>
                <w:i/>
              </w:rPr>
            </w:pPr>
            <w:r>
              <w:rPr>
                <w:i/>
              </w:rPr>
              <w:t>Tfn</w:t>
            </w:r>
          </w:p>
        </w:tc>
        <w:tc>
          <w:tcPr>
            <w:tcW w:w="5670" w:type="dxa"/>
          </w:tcPr>
          <w:p w:rsidRPr="00A32597" w:rsidR="00A32597" w:rsidP="00CC4510" w:rsidRDefault="00A32597" w14:paraId="79D2A7DE" w14:textId="77777777">
            <w:pPr>
              <w:keepNext/>
              <w:keepLines/>
              <w:spacing w:line="240" w:lineRule="auto"/>
              <w:jc w:val="left"/>
              <w:rPr>
                <w:i/>
                <w:iCs/>
              </w:rPr>
            </w:pPr>
            <w:r>
              <w:rPr>
                <w:i/>
              </w:rPr>
              <w:t>+32 25469286</w:t>
            </w:r>
          </w:p>
        </w:tc>
      </w:tr>
      <w:tr w:rsidRPr="00A32597" w:rsidR="00A32597" w:rsidTr="00B05454" w14:paraId="6EE0DBD3" w14:textId="77777777">
        <w:tc>
          <w:tcPr>
            <w:tcW w:w="1418" w:type="dxa"/>
          </w:tcPr>
          <w:p w:rsidRPr="00A32597" w:rsidR="00A32597" w:rsidP="00CC4510" w:rsidRDefault="00A32597" w14:paraId="1D45D5A3" w14:textId="77777777">
            <w:pPr>
              <w:keepNext/>
              <w:keepLines/>
              <w:spacing w:line="240" w:lineRule="auto"/>
              <w:jc w:val="left"/>
              <w:rPr>
                <w:i/>
              </w:rPr>
            </w:pPr>
            <w:r>
              <w:rPr>
                <w:i/>
              </w:rPr>
              <w:t>E-post:</w:t>
            </w:r>
          </w:p>
        </w:tc>
        <w:tc>
          <w:tcPr>
            <w:tcW w:w="5670" w:type="dxa"/>
          </w:tcPr>
          <w:p w:rsidRPr="00A32597" w:rsidR="00A32597" w:rsidP="00CC4510" w:rsidRDefault="00313C89" w14:paraId="1B217DB9" w14:textId="77777777">
            <w:pPr>
              <w:keepNext/>
              <w:keepLines/>
              <w:spacing w:line="240" w:lineRule="auto"/>
              <w:jc w:val="left"/>
              <w:rPr>
                <w:i/>
                <w:iCs/>
              </w:rPr>
            </w:pPr>
            <w:hyperlink w:history="1" r:id="rId21">
              <w:r w:rsidR="00016559">
                <w:rPr>
                  <w:color w:val="0000FF"/>
                  <w:u w:val="single"/>
                </w:rPr>
                <w:t>Colombe.Gregoire@eesc.europa.eu</w:t>
              </w:r>
            </w:hyperlink>
            <w:r w:rsidR="00016559">
              <w:t xml:space="preserve"> </w:t>
            </w:r>
          </w:p>
        </w:tc>
      </w:tr>
    </w:tbl>
    <w:p w:rsidR="00256A3E" w:rsidRDefault="00256A3E" w14:paraId="11F6A301" w14:textId="3FBAC201">
      <w:pPr>
        <w:spacing w:after="160" w:line="259" w:lineRule="auto"/>
        <w:jc w:val="left"/>
        <w:rPr>
          <w:b/>
          <w:bCs/>
        </w:rPr>
      </w:pPr>
    </w:p>
    <w:p w:rsidR="00256A3E" w:rsidRDefault="00256A3E" w14:paraId="7AB1799A" w14:textId="77777777">
      <w:pPr>
        <w:spacing w:after="160" w:line="259" w:lineRule="auto"/>
        <w:jc w:val="left"/>
        <w:rPr>
          <w:b/>
          <w:bCs/>
        </w:rPr>
      </w:pPr>
      <w:r>
        <w:rPr>
          <w:b/>
          <w:bCs/>
        </w:rPr>
        <w:br w:type="page"/>
      </w:r>
    </w:p>
    <w:p w:rsidRPr="00E76ACE" w:rsidR="00E76ACE" w:rsidP="00E76ACE" w:rsidRDefault="00313C89" w14:paraId="10608E4B" w14:textId="1310A6A9">
      <w:pPr>
        <w:widowControl w:val="0"/>
        <w:numPr>
          <w:ilvl w:val="0"/>
          <w:numId w:val="2"/>
        </w:numPr>
        <w:overflowPunct w:val="0"/>
        <w:autoSpaceDE w:val="0"/>
        <w:autoSpaceDN w:val="0"/>
        <w:adjustRightInd w:val="0"/>
        <w:ind w:hanging="567"/>
        <w:textAlignment w:val="baseline"/>
        <w:rPr>
          <w:sz w:val="20"/>
          <w:szCs w:val="20"/>
        </w:rPr>
      </w:pPr>
      <w:hyperlink w:history="1" r:id="rId22">
        <w:r w:rsidR="00016559">
          <w:rPr>
            <w:b/>
            <w:i/>
            <w:color w:val="0000FF"/>
            <w:sz w:val="28"/>
            <w:u w:val="single"/>
          </w:rPr>
          <w:t>Bättre referensvärden och rapporteringskrav på områdena finansiella tjänster och investeringsstöd</w:t>
        </w:r>
      </w:hyperlink>
    </w:p>
    <w:p w:rsidRPr="00E76ACE" w:rsidR="00E76ACE" w:rsidP="00E76ACE" w:rsidRDefault="00E76ACE" w14:paraId="633F7F87" w14:textId="77777777">
      <w:pPr>
        <w:tabs>
          <w:tab w:val="center" w:pos="284"/>
        </w:tabs>
        <w:overflowPunct w:val="0"/>
        <w:autoSpaceDE w:val="0"/>
        <w:autoSpaceDN w:val="0"/>
        <w:adjustRightInd w:val="0"/>
        <w:ind w:left="266" w:hanging="266"/>
        <w:textAlignment w:val="baseline"/>
        <w:rPr>
          <w:b/>
        </w:rPr>
      </w:pPr>
    </w:p>
    <w:tbl>
      <w:tblPr>
        <w:tblStyle w:val="TableGrid199"/>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E76ACE" w:rsidR="00E76ACE" w:rsidTr="00B05454" w14:paraId="618851BF" w14:textId="77777777">
        <w:tc>
          <w:tcPr>
            <w:tcW w:w="1129" w:type="pct"/>
          </w:tcPr>
          <w:p w:rsidRPr="00E76ACE" w:rsidR="00E76ACE" w:rsidP="00CC4510" w:rsidRDefault="00E76ACE" w14:paraId="160C454C" w14:textId="77777777">
            <w:pPr>
              <w:tabs>
                <w:tab w:val="center" w:pos="284"/>
              </w:tabs>
              <w:overflowPunct w:val="0"/>
              <w:autoSpaceDE w:val="0"/>
              <w:autoSpaceDN w:val="0"/>
              <w:adjustRightInd w:val="0"/>
              <w:ind w:left="266" w:hanging="376"/>
              <w:textAlignment w:val="baseline"/>
              <w:rPr>
                <w:b/>
              </w:rPr>
            </w:pPr>
            <w:r>
              <w:rPr>
                <w:b/>
              </w:rPr>
              <w:t>Föredragande:</w:t>
            </w:r>
          </w:p>
        </w:tc>
        <w:tc>
          <w:tcPr>
            <w:tcW w:w="3871" w:type="pct"/>
          </w:tcPr>
          <w:p w:rsidRPr="00E76ACE" w:rsidR="00E76ACE" w:rsidP="00CC4510" w:rsidRDefault="00E76ACE" w14:paraId="6FCB339F" w14:textId="00D67000">
            <w:pPr>
              <w:tabs>
                <w:tab w:val="center" w:pos="284"/>
              </w:tabs>
              <w:overflowPunct w:val="0"/>
              <w:autoSpaceDE w:val="0"/>
              <w:autoSpaceDN w:val="0"/>
              <w:adjustRightInd w:val="0"/>
              <w:ind w:left="266" w:hanging="376"/>
              <w:textAlignment w:val="baseline"/>
            </w:pPr>
            <w:r>
              <w:t xml:space="preserve">Krzysztof </w:t>
            </w:r>
            <w:proofErr w:type="spellStart"/>
            <w:r>
              <w:t>Balon</w:t>
            </w:r>
            <w:proofErr w:type="spellEnd"/>
            <w:r>
              <w:t xml:space="preserve"> (Gruppen för civilsamhällesorganisationer – PL)</w:t>
            </w:r>
          </w:p>
        </w:tc>
      </w:tr>
      <w:tr w:rsidRPr="00E76ACE" w:rsidR="00E76ACE" w:rsidTr="00B05454" w14:paraId="4A807341" w14:textId="77777777">
        <w:tc>
          <w:tcPr>
            <w:tcW w:w="5000" w:type="pct"/>
            <w:gridSpan w:val="2"/>
          </w:tcPr>
          <w:p w:rsidRPr="00E76ACE" w:rsidR="00E76ACE" w:rsidP="00CC4510" w:rsidRDefault="00E76ACE" w14:paraId="45B4F74F" w14:textId="77777777">
            <w:pPr>
              <w:tabs>
                <w:tab w:val="center" w:pos="284"/>
              </w:tabs>
              <w:overflowPunct w:val="0"/>
              <w:autoSpaceDE w:val="0"/>
              <w:autoSpaceDN w:val="0"/>
              <w:adjustRightInd w:val="0"/>
              <w:spacing w:line="160" w:lineRule="exact"/>
              <w:ind w:left="266" w:hanging="376"/>
              <w:textAlignment w:val="baseline"/>
            </w:pPr>
          </w:p>
        </w:tc>
      </w:tr>
      <w:tr w:rsidRPr="00E76ACE" w:rsidR="00E76ACE" w:rsidTr="00B05454" w14:paraId="6F674771" w14:textId="77777777">
        <w:tc>
          <w:tcPr>
            <w:tcW w:w="1129" w:type="pct"/>
            <w:vMerge w:val="restart"/>
          </w:tcPr>
          <w:p w:rsidRPr="00E76ACE" w:rsidR="00E76ACE" w:rsidP="00CC4510" w:rsidRDefault="00E76ACE" w14:paraId="3CD2717C" w14:textId="77777777">
            <w:pPr>
              <w:tabs>
                <w:tab w:val="center" w:pos="284"/>
              </w:tabs>
              <w:overflowPunct w:val="0"/>
              <w:autoSpaceDE w:val="0"/>
              <w:autoSpaceDN w:val="0"/>
              <w:adjustRightInd w:val="0"/>
              <w:ind w:left="266" w:hanging="376"/>
              <w:textAlignment w:val="baseline"/>
              <w:rPr>
                <w:b/>
              </w:rPr>
            </w:pPr>
            <w:r>
              <w:rPr>
                <w:b/>
              </w:rPr>
              <w:t>Referensdokument:</w:t>
            </w:r>
          </w:p>
        </w:tc>
        <w:tc>
          <w:tcPr>
            <w:tcW w:w="3871" w:type="pct"/>
          </w:tcPr>
          <w:p w:rsidRPr="00E76ACE" w:rsidR="00E76ACE" w:rsidP="00CC4510" w:rsidRDefault="00E76ACE" w14:paraId="705878F6" w14:textId="3D9351DE">
            <w:pPr>
              <w:tabs>
                <w:tab w:val="center" w:pos="284"/>
              </w:tabs>
              <w:overflowPunct w:val="0"/>
              <w:autoSpaceDE w:val="0"/>
              <w:autoSpaceDN w:val="0"/>
              <w:adjustRightInd w:val="0"/>
              <w:ind w:left="266" w:hanging="376"/>
              <w:textAlignment w:val="baseline"/>
            </w:pPr>
            <w:r>
              <w:t xml:space="preserve">COM(2023) 593 final </w:t>
            </w:r>
          </w:p>
          <w:p w:rsidRPr="00E76ACE" w:rsidR="00E76ACE" w:rsidP="00CC4510" w:rsidRDefault="00E76ACE" w14:paraId="0D256A2F" w14:textId="57B88F62">
            <w:pPr>
              <w:tabs>
                <w:tab w:val="center" w:pos="284"/>
              </w:tabs>
              <w:overflowPunct w:val="0"/>
              <w:autoSpaceDE w:val="0"/>
              <w:autoSpaceDN w:val="0"/>
              <w:adjustRightInd w:val="0"/>
              <w:ind w:left="266" w:hanging="376"/>
              <w:textAlignment w:val="baseline"/>
            </w:pPr>
            <w:r>
              <w:t xml:space="preserve">COM(2023) 660 final </w:t>
            </w:r>
          </w:p>
        </w:tc>
      </w:tr>
      <w:tr w:rsidRPr="00E76ACE" w:rsidR="00E76ACE" w:rsidTr="00B05454" w14:paraId="2D4938C0" w14:textId="77777777">
        <w:tc>
          <w:tcPr>
            <w:tcW w:w="1129" w:type="pct"/>
            <w:vMerge/>
          </w:tcPr>
          <w:p w:rsidRPr="00E76ACE" w:rsidR="00E76ACE" w:rsidP="00CC4510" w:rsidRDefault="00E76ACE" w14:paraId="682CA6FF" w14:textId="77777777">
            <w:pPr>
              <w:tabs>
                <w:tab w:val="center" w:pos="284"/>
              </w:tabs>
              <w:overflowPunct w:val="0"/>
              <w:autoSpaceDE w:val="0"/>
              <w:autoSpaceDN w:val="0"/>
              <w:adjustRightInd w:val="0"/>
              <w:ind w:left="266" w:hanging="376"/>
              <w:textAlignment w:val="baseline"/>
              <w:rPr>
                <w:b/>
              </w:rPr>
            </w:pPr>
          </w:p>
        </w:tc>
        <w:tc>
          <w:tcPr>
            <w:tcW w:w="3871" w:type="pct"/>
          </w:tcPr>
          <w:p w:rsidRPr="00E76ACE" w:rsidR="00E76ACE" w:rsidP="00CC4510" w:rsidRDefault="00E76ACE" w14:paraId="140F62AD" w14:textId="77777777">
            <w:pPr>
              <w:tabs>
                <w:tab w:val="center" w:pos="284"/>
              </w:tabs>
              <w:overflowPunct w:val="0"/>
              <w:autoSpaceDE w:val="0"/>
              <w:autoSpaceDN w:val="0"/>
              <w:adjustRightInd w:val="0"/>
              <w:ind w:left="266" w:hanging="376"/>
              <w:textAlignment w:val="baseline"/>
            </w:pPr>
            <w:r>
              <w:t>EESC-2023-05424-00-00-AC</w:t>
            </w:r>
          </w:p>
        </w:tc>
      </w:tr>
    </w:tbl>
    <w:p w:rsidRPr="00E76ACE" w:rsidR="00E76ACE" w:rsidP="00E76ACE" w:rsidRDefault="00E76ACE" w14:paraId="6D12F68A"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E76ACE" w:rsidR="00E76ACE" w:rsidP="00E76ACE" w:rsidRDefault="00E76ACE" w14:paraId="0B88EF57" w14:textId="77777777">
      <w:pPr>
        <w:widowControl w:val="0"/>
        <w:spacing w:line="24" w:lineRule="atLeast"/>
        <w:ind w:left="709"/>
        <w:contextualSpacing/>
        <w:jc w:val="left"/>
        <w:rPr>
          <w:rFonts w:ascii="Calibri" w:hAnsi="Calibri"/>
          <w:lang w:eastAsia="zh-CN"/>
        </w:rPr>
      </w:pPr>
    </w:p>
    <w:p w:rsidRPr="00E76ACE" w:rsidR="00E76ACE" w:rsidP="00CC4510" w:rsidRDefault="00E76ACE" w14:paraId="1F52A2F7" w14:textId="77777777">
      <w:pPr>
        <w:widowControl w:val="0"/>
        <w:spacing w:line="276" w:lineRule="auto"/>
        <w:contextualSpacing/>
      </w:pPr>
      <w:r>
        <w:t>När det gäller datadelning och minskade administrativa krav för finansiella tjänster och investeringsstöd:</w:t>
      </w:r>
    </w:p>
    <w:p w:rsidRPr="00E76ACE" w:rsidR="00E76ACE" w:rsidP="00CC4510" w:rsidRDefault="00E76ACE" w14:paraId="4042A6B6" w14:textId="77777777">
      <w:pPr>
        <w:widowControl w:val="0"/>
        <w:overflowPunct w:val="0"/>
        <w:autoSpaceDE w:val="0"/>
        <w:autoSpaceDN w:val="0"/>
        <w:adjustRightInd w:val="0"/>
        <w:spacing w:line="276" w:lineRule="auto"/>
        <w:ind w:left="284" w:firstLine="425"/>
        <w:jc w:val="left"/>
        <w:rPr>
          <w:szCs w:val="20"/>
        </w:rPr>
      </w:pPr>
    </w:p>
    <w:p w:rsidRPr="00E76ACE" w:rsidR="00E76ACE" w:rsidP="00CC4510" w:rsidRDefault="00E76ACE" w14:paraId="58026ACF"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EESK välkomnar initiativet att rationalisera och förenkla tillsynsrapporteringskrav och undvika att samma uppgifter begärs in flera gånger. </w:t>
      </w:r>
    </w:p>
    <w:p w:rsidRPr="00E76ACE" w:rsidR="00E76ACE" w:rsidP="00CC4510" w:rsidRDefault="00E76ACE" w14:paraId="762863D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Det är nödvändigt att standardisera omfattningen och formatet för de uppgifter som ingår i informationsutbytet mellan de myndigheter som utövar tillsyn över finanssektorn. </w:t>
      </w:r>
    </w:p>
    <w:p w:rsidRPr="00E76ACE" w:rsidR="00E76ACE" w:rsidP="00CC4510" w:rsidRDefault="00E76ACE" w14:paraId="1F63FC8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De föreslagna ändringarna kan komma att ge upphov till vissa genomförande- och/eller ytterligare standardiseringskostnader. Att minimera kostnaderna bör inte skiljas från de andra målen för datainsamling och datadelning.</w:t>
      </w:r>
    </w:p>
    <w:p w:rsidRPr="00E76ACE" w:rsidR="00E76ACE" w:rsidP="00CC4510" w:rsidRDefault="00E76ACE" w14:paraId="42EC964E"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Framtida initiativ bör fastställa att leverans av uppgifter till en behörig myndighet (eller en delad plattform) behandlas som leverans till alla andra behöriga myndigheter (konceptet med en enda kontaktpunkt).</w:t>
      </w:r>
    </w:p>
    <w:p w:rsidRPr="00E76ACE" w:rsidR="00E76ACE" w:rsidP="00CC4510" w:rsidRDefault="00E76ACE" w14:paraId="0831C626"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Vi noterar att datadelning mellan myndigheter även fortsättningsvis skulle vara föremål för en frivillig begäran. I detta avseende måste (inte bara ”får”) myndigheterna ingå samförståndsavtal för att närmare fastställa villkoren för utbytet av uppgifter.</w:t>
      </w:r>
    </w:p>
    <w:p w:rsidRPr="00E76ACE" w:rsidR="00E76ACE" w:rsidP="00CC4510" w:rsidRDefault="00E76ACE" w14:paraId="13DBA4C5"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För att uppnå förenkling bör det vara obligatoriskt att regelbundet se över rapporteringskraven.</w:t>
      </w:r>
    </w:p>
    <w:p w:rsidRPr="00E76ACE" w:rsidR="00E76ACE" w:rsidP="00CC4510" w:rsidRDefault="00E76ACE" w14:paraId="6C4CE41E"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5CD848D6" w14:textId="77777777">
      <w:pPr>
        <w:widowControl w:val="0"/>
        <w:spacing w:line="276" w:lineRule="auto"/>
        <w:contextualSpacing/>
        <w:jc w:val="left"/>
      </w:pPr>
      <w:r>
        <w:t>När det gäller ändringarna av referensvärdesförordningen:</w:t>
      </w:r>
    </w:p>
    <w:p w:rsidRPr="00E76ACE" w:rsidR="00E76ACE" w:rsidP="00CC4510" w:rsidRDefault="00E76ACE" w14:paraId="706F0FFB"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6FC51301"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 xml:space="preserve">EESK välkomnar en mer balanserad och proportionerlig strategi för att trygga den finansiella stabiliteten och de europeiska marknadernas integritet samt för att minska kostnader och regleringskrav, inte minst genom att kraven för icke-signifikanta referensvärden sänks. </w:t>
      </w:r>
    </w:p>
    <w:p w:rsidRPr="00E76ACE" w:rsidR="00E76ACE" w:rsidP="00CC4510" w:rsidRDefault="00E76ACE" w14:paraId="512ABB98"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Kommittén välkomnar förtydligandet av kommissionens, Europeiska värdepappers- och marknadsmyndighetens (</w:t>
      </w:r>
      <w:proofErr w:type="spellStart"/>
      <w:r>
        <w:t>Esma</w:t>
      </w:r>
      <w:proofErr w:type="spellEnd"/>
      <w:r>
        <w:t>) och de nationella myndigheternas roll i den process som är tillämplig på signifikanta och kritiska referensvärden.</w:t>
      </w:r>
    </w:p>
    <w:p w:rsidRPr="00E76ACE" w:rsidR="00E76ACE" w:rsidP="00CC4510" w:rsidRDefault="00E76ACE" w14:paraId="39EE635D"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Vi rekommenderar starkt att man kontrollerar om det är möjligt att ta initiativ till att minimera rapporteringskraven eller minska kostnaderna för kritiska eller signifikanta referensvärden.</w:t>
      </w:r>
    </w:p>
    <w:p w:rsidRPr="00E76ACE" w:rsidR="00E76ACE" w:rsidP="00E76ACE" w:rsidRDefault="00E76ACE" w14:paraId="0966C473" w14:textId="77777777">
      <w:pPr>
        <w:widowControl w:val="0"/>
        <w:overflowPunct w:val="0"/>
        <w:autoSpaceDE w:val="0"/>
        <w:autoSpaceDN w:val="0"/>
        <w:adjustRightInd w:val="0"/>
        <w:rPr>
          <w:szCs w:val="20"/>
        </w:rPr>
      </w:pPr>
    </w:p>
    <w:p w:rsidRPr="00E76ACE" w:rsidR="00E76ACE" w:rsidP="00E76ACE" w:rsidRDefault="00E76ACE" w14:paraId="468B2533" w14:textId="77777777">
      <w:pPr>
        <w:spacing w:line="360" w:lineRule="auto"/>
        <w:ind w:left="714"/>
        <w:contextualSpacing/>
        <w:rPr>
          <w:rFonts w:ascii="Calibri" w:hAnsi="Calibri"/>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E76ACE" w:rsidR="00E76ACE" w:rsidTr="00B05454" w14:paraId="5AC2D924" w14:textId="77777777">
        <w:tc>
          <w:tcPr>
            <w:tcW w:w="1556" w:type="pct"/>
          </w:tcPr>
          <w:p w:rsidRPr="00E76ACE" w:rsidR="00E76ACE" w:rsidP="00E76ACE" w:rsidRDefault="00E76ACE" w14:paraId="631F02EC"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E76ACE" w:rsidR="00E76ACE" w:rsidP="00E76ACE" w:rsidRDefault="00E76ACE" w14:paraId="37BFF911" w14:textId="26B6403B">
            <w:pPr>
              <w:overflowPunct w:val="0"/>
              <w:autoSpaceDE w:val="0"/>
              <w:autoSpaceDN w:val="0"/>
              <w:adjustRightInd w:val="0"/>
              <w:spacing w:line="240" w:lineRule="auto"/>
              <w:textAlignment w:val="baseline"/>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Pr="00E76ACE" w:rsidR="00E76ACE" w:rsidTr="00B05454" w14:paraId="38EECD9C" w14:textId="77777777">
        <w:tc>
          <w:tcPr>
            <w:tcW w:w="1556" w:type="pct"/>
          </w:tcPr>
          <w:p w:rsidRPr="00E76ACE" w:rsidR="00E76ACE" w:rsidP="00E76ACE" w:rsidRDefault="00E76ACE" w14:paraId="00111D5D" w14:textId="77777777">
            <w:pPr>
              <w:overflowPunct w:val="0"/>
              <w:autoSpaceDE w:val="0"/>
              <w:autoSpaceDN w:val="0"/>
              <w:adjustRightInd w:val="0"/>
              <w:spacing w:line="240" w:lineRule="auto"/>
              <w:textAlignment w:val="baseline"/>
              <w:rPr>
                <w:i/>
              </w:rPr>
            </w:pPr>
            <w:r>
              <w:rPr>
                <w:i/>
              </w:rPr>
              <w:t>Tfn</w:t>
            </w:r>
          </w:p>
        </w:tc>
        <w:tc>
          <w:tcPr>
            <w:tcW w:w="3444" w:type="pct"/>
          </w:tcPr>
          <w:p w:rsidRPr="00E76ACE" w:rsidR="00E76ACE" w:rsidP="00E76ACE" w:rsidRDefault="00E76ACE" w14:paraId="2BA01FC0" w14:textId="77777777">
            <w:pPr>
              <w:overflowPunct w:val="0"/>
              <w:autoSpaceDE w:val="0"/>
              <w:autoSpaceDN w:val="0"/>
              <w:adjustRightInd w:val="0"/>
              <w:spacing w:line="240" w:lineRule="auto"/>
              <w:textAlignment w:val="baseline"/>
              <w:rPr>
                <w:i/>
              </w:rPr>
            </w:pPr>
            <w:r>
              <w:rPr>
                <w:i/>
              </w:rPr>
              <w:t>+32 25469240</w:t>
            </w:r>
          </w:p>
        </w:tc>
      </w:tr>
      <w:tr w:rsidRPr="00E76ACE" w:rsidR="00E76ACE" w:rsidTr="00B05454" w14:paraId="34EA2FE0" w14:textId="77777777">
        <w:tc>
          <w:tcPr>
            <w:tcW w:w="1556" w:type="pct"/>
          </w:tcPr>
          <w:p w:rsidRPr="00E76ACE" w:rsidR="00E76ACE" w:rsidP="00E76ACE" w:rsidRDefault="00E76ACE" w14:paraId="3C52BE60" w14:textId="77777777">
            <w:pPr>
              <w:overflowPunct w:val="0"/>
              <w:autoSpaceDE w:val="0"/>
              <w:autoSpaceDN w:val="0"/>
              <w:adjustRightInd w:val="0"/>
              <w:spacing w:line="240" w:lineRule="auto"/>
              <w:textAlignment w:val="baseline"/>
              <w:rPr>
                <w:i/>
              </w:rPr>
            </w:pPr>
            <w:r>
              <w:rPr>
                <w:i/>
              </w:rPr>
              <w:t>E-post:</w:t>
            </w:r>
          </w:p>
        </w:tc>
        <w:tc>
          <w:tcPr>
            <w:tcW w:w="3444" w:type="pct"/>
          </w:tcPr>
          <w:p w:rsidRPr="00E76ACE" w:rsidR="00E76ACE" w:rsidP="00E76ACE" w:rsidRDefault="00313C89" w14:paraId="4D5E4782" w14:textId="77777777">
            <w:pPr>
              <w:overflowPunct w:val="0"/>
              <w:autoSpaceDE w:val="0"/>
              <w:autoSpaceDN w:val="0"/>
              <w:adjustRightInd w:val="0"/>
              <w:spacing w:line="240" w:lineRule="auto"/>
              <w:textAlignment w:val="baseline"/>
              <w:rPr>
                <w:i/>
              </w:rPr>
            </w:pPr>
            <w:hyperlink w:history="1" r:id="rId23">
              <w:r w:rsidR="00016559">
                <w:rPr>
                  <w:i/>
                  <w:color w:val="0000FF"/>
                  <w:u w:val="single"/>
                </w:rPr>
                <w:t>Sergio.LorencioMatallana@eesc.europa.eu</w:t>
              </w:r>
            </w:hyperlink>
          </w:p>
        </w:tc>
      </w:tr>
    </w:tbl>
    <w:p w:rsidR="00E76ACE" w:rsidRDefault="00E76ACE" w14:paraId="610C8E26" w14:textId="77777777">
      <w:pPr>
        <w:spacing w:after="160" w:line="259" w:lineRule="auto"/>
        <w:jc w:val="left"/>
        <w:rPr>
          <w:b/>
          <w:bCs/>
        </w:rPr>
      </w:pPr>
    </w:p>
    <w:p w:rsidR="00E76ACE" w:rsidRDefault="00E76ACE" w14:paraId="1F90D670" w14:textId="77777777">
      <w:pPr>
        <w:spacing w:after="160" w:line="259" w:lineRule="auto"/>
        <w:jc w:val="left"/>
        <w:rPr>
          <w:b/>
          <w:bCs/>
        </w:rPr>
      </w:pPr>
      <w:r>
        <w:br w:type="page"/>
      </w:r>
    </w:p>
    <w:p w:rsidR="006C6A1E" w:rsidP="00234EA0" w:rsidRDefault="006C6A1E" w14:paraId="55E56154" w14:textId="2549BDD3">
      <w:pPr>
        <w:pStyle w:val="Heading1"/>
        <w:ind w:hanging="928"/>
        <w:rPr>
          <w:b/>
          <w:bCs/>
        </w:rPr>
      </w:pPr>
      <w:bookmarkStart w:name="_Toc150179063" w:id="24"/>
      <w:bookmarkStart w:name="_Toc153539680" w:id="25"/>
      <w:bookmarkStart w:name="_Toc160789114" w:id="26"/>
      <w:bookmarkEnd w:id="24"/>
      <w:r>
        <w:rPr>
          <w:b/>
        </w:rPr>
        <w:lastRenderedPageBreak/>
        <w:t>SYSSELSÄTTNING, SOCIALA FRÅGOR OCH MEDBORGARNA</w:t>
      </w:r>
      <w:bookmarkEnd w:id="26"/>
    </w:p>
    <w:p w:rsidR="006C6A1E" w:rsidP="006C6A1E" w:rsidRDefault="006C6A1E" w14:paraId="190420D2" w14:textId="4E6BD19C"/>
    <w:p w:rsidRPr="006C6A1E" w:rsidR="006C6A1E" w:rsidP="006C6A1E" w:rsidRDefault="00313C89" w14:paraId="7AA2DF65" w14:textId="5E6190D2">
      <w:pPr>
        <w:widowControl w:val="0"/>
        <w:numPr>
          <w:ilvl w:val="0"/>
          <w:numId w:val="2"/>
        </w:numPr>
        <w:overflowPunct w:val="0"/>
        <w:autoSpaceDE w:val="0"/>
        <w:autoSpaceDN w:val="0"/>
        <w:adjustRightInd w:val="0"/>
        <w:ind w:hanging="567"/>
        <w:textAlignment w:val="baseline"/>
        <w:rPr>
          <w:sz w:val="20"/>
          <w:szCs w:val="20"/>
        </w:rPr>
      </w:pPr>
      <w:hyperlink w:history="1" r:id="rId24">
        <w:r w:rsidR="00016559">
          <w:rPr>
            <w:b/>
            <w:i/>
            <w:color w:val="0000FF"/>
            <w:sz w:val="28"/>
            <w:u w:val="single"/>
          </w:rPr>
          <w:t>Digitalisering av de sociala trygghetssystemen</w:t>
        </w:r>
      </w:hyperlink>
    </w:p>
    <w:p w:rsidRPr="006C6A1E"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459"/>
      </w:tblGrid>
      <w:tr w:rsidRPr="006C6A1E" w:rsidR="006C6A1E" w:rsidTr="00CC4510" w14:paraId="1E5744BE" w14:textId="77777777">
        <w:trPr>
          <w:trHeight w:val="564"/>
        </w:trPr>
        <w:tc>
          <w:tcPr>
            <w:tcW w:w="1128" w:type="pct"/>
          </w:tcPr>
          <w:p w:rsidRPr="006C6A1E" w:rsidR="006C6A1E" w:rsidP="006C6A1E" w:rsidRDefault="006C6A1E" w14:paraId="0C0E6752" w14:textId="77777777">
            <w:pPr>
              <w:tabs>
                <w:tab w:val="center" w:pos="284"/>
              </w:tabs>
              <w:overflowPunct w:val="0"/>
              <w:autoSpaceDE w:val="0"/>
              <w:autoSpaceDN w:val="0"/>
              <w:adjustRightInd w:val="0"/>
              <w:ind w:left="266" w:hanging="266"/>
              <w:textAlignment w:val="baseline"/>
              <w:rPr>
                <w:b/>
              </w:rPr>
            </w:pPr>
            <w:r>
              <w:rPr>
                <w:b/>
              </w:rPr>
              <w:t>Föredragande:</w:t>
            </w:r>
          </w:p>
        </w:tc>
        <w:tc>
          <w:tcPr>
            <w:tcW w:w="3872" w:type="pct"/>
          </w:tcPr>
          <w:p w:rsidRPr="006C6A1E" w:rsidR="006C6A1E" w:rsidP="006C6A1E" w:rsidRDefault="006C6A1E" w14:paraId="1F9E7E12" w14:textId="5FFDA98B">
            <w:pPr>
              <w:tabs>
                <w:tab w:val="center" w:pos="284"/>
              </w:tabs>
              <w:overflowPunct w:val="0"/>
              <w:autoSpaceDE w:val="0"/>
              <w:autoSpaceDN w:val="0"/>
              <w:adjustRightInd w:val="0"/>
              <w:ind w:left="266" w:hanging="266"/>
              <w:textAlignment w:val="baseline"/>
            </w:pPr>
            <w:r>
              <w:t xml:space="preserve">Krzysztof </w:t>
            </w:r>
            <w:proofErr w:type="spellStart"/>
            <w:r>
              <w:t>Balon</w:t>
            </w:r>
            <w:proofErr w:type="spellEnd"/>
            <w:r>
              <w:t xml:space="preserve"> (Gruppen för civilsamhällesorganisationer – PL)</w:t>
            </w:r>
          </w:p>
        </w:tc>
      </w:tr>
      <w:tr w:rsidRPr="006C6A1E" w:rsidR="006C6A1E" w:rsidTr="00CC4510" w14:paraId="3FEF9A97" w14:textId="77777777">
        <w:trPr>
          <w:trHeight w:val="294"/>
        </w:trPr>
        <w:tc>
          <w:tcPr>
            <w:tcW w:w="1128" w:type="pct"/>
          </w:tcPr>
          <w:p w:rsidRPr="006C6A1E" w:rsidR="006C6A1E" w:rsidP="006C6A1E" w:rsidRDefault="006C6A1E" w14:paraId="14F4FC73" w14:textId="77777777">
            <w:pPr>
              <w:tabs>
                <w:tab w:val="center" w:pos="284"/>
              </w:tabs>
              <w:overflowPunct w:val="0"/>
              <w:autoSpaceDE w:val="0"/>
              <w:autoSpaceDN w:val="0"/>
              <w:adjustRightInd w:val="0"/>
              <w:ind w:left="266" w:hanging="266"/>
              <w:textAlignment w:val="baseline"/>
              <w:rPr>
                <w:b/>
              </w:rPr>
            </w:pPr>
            <w:r>
              <w:rPr>
                <w:b/>
              </w:rPr>
              <w:t>Medföredragande:</w:t>
            </w:r>
          </w:p>
        </w:tc>
        <w:tc>
          <w:tcPr>
            <w:tcW w:w="3872" w:type="pct"/>
          </w:tcPr>
          <w:p w:rsidRPr="006C6A1E" w:rsidR="006C6A1E" w:rsidP="006C6A1E" w:rsidRDefault="006C6A1E" w14:paraId="15858FF0" w14:textId="215E30DC">
            <w:pPr>
              <w:tabs>
                <w:tab w:val="center" w:pos="284"/>
              </w:tabs>
              <w:overflowPunct w:val="0"/>
              <w:autoSpaceDE w:val="0"/>
              <w:autoSpaceDN w:val="0"/>
              <w:adjustRightInd w:val="0"/>
              <w:ind w:left="266" w:hanging="266"/>
              <w:textAlignment w:val="baseline"/>
            </w:pPr>
            <w:r>
              <w:t>Maria del Carmen Barrera Chamorro (Arbetstagargruppen – ES)</w:t>
            </w:r>
          </w:p>
        </w:tc>
      </w:tr>
      <w:tr w:rsidRPr="006C6A1E" w:rsidR="006C6A1E" w:rsidTr="00CC4510" w14:paraId="3AECE3D5" w14:textId="77777777">
        <w:trPr>
          <w:trHeight w:val="153"/>
        </w:trPr>
        <w:tc>
          <w:tcPr>
            <w:tcW w:w="5000" w:type="pct"/>
            <w:gridSpan w:val="2"/>
          </w:tcPr>
          <w:p w:rsidRPr="006C6A1E"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pPr>
          </w:p>
        </w:tc>
      </w:tr>
      <w:tr w:rsidRPr="006C6A1E" w:rsidR="006C6A1E" w:rsidTr="00CC4510" w14:paraId="4552C784" w14:textId="77777777">
        <w:trPr>
          <w:trHeight w:val="282"/>
        </w:trPr>
        <w:tc>
          <w:tcPr>
            <w:tcW w:w="1128" w:type="pct"/>
          </w:tcPr>
          <w:p w:rsidRPr="006C6A1E" w:rsidR="006C6A1E" w:rsidP="006C6A1E" w:rsidRDefault="006C6A1E" w14:paraId="2CED479C" w14:textId="77777777">
            <w:pPr>
              <w:tabs>
                <w:tab w:val="center" w:pos="284"/>
              </w:tabs>
              <w:overflowPunct w:val="0"/>
              <w:autoSpaceDE w:val="0"/>
              <w:autoSpaceDN w:val="0"/>
              <w:adjustRightInd w:val="0"/>
              <w:ind w:left="266" w:hanging="266"/>
              <w:textAlignment w:val="baseline"/>
              <w:rPr>
                <w:b/>
              </w:rPr>
            </w:pPr>
            <w:r>
              <w:rPr>
                <w:b/>
              </w:rPr>
              <w:t>Referensdokument:</w:t>
            </w:r>
          </w:p>
        </w:tc>
        <w:tc>
          <w:tcPr>
            <w:tcW w:w="3872" w:type="pct"/>
          </w:tcPr>
          <w:p w:rsidRPr="006C6A1E" w:rsidR="006C6A1E" w:rsidP="006C6A1E" w:rsidRDefault="006C6A1E" w14:paraId="25E0EE5C" w14:textId="77777777">
            <w:pPr>
              <w:tabs>
                <w:tab w:val="center" w:pos="284"/>
              </w:tabs>
              <w:overflowPunct w:val="0"/>
              <w:autoSpaceDE w:val="0"/>
              <w:autoSpaceDN w:val="0"/>
              <w:adjustRightInd w:val="0"/>
              <w:ind w:left="266" w:hanging="266"/>
              <w:textAlignment w:val="baseline"/>
            </w:pPr>
            <w:r>
              <w:t>COM(2023) 501 final</w:t>
            </w:r>
          </w:p>
          <w:p w:rsidRPr="006C6A1E" w:rsidR="006C6A1E" w:rsidP="006C6A1E" w:rsidRDefault="006C6A1E" w14:paraId="41250C39" w14:textId="77777777">
            <w:pPr>
              <w:tabs>
                <w:tab w:val="center" w:pos="284"/>
              </w:tabs>
              <w:overflowPunct w:val="0"/>
              <w:autoSpaceDE w:val="0"/>
              <w:autoSpaceDN w:val="0"/>
              <w:adjustRightInd w:val="0"/>
              <w:ind w:left="266" w:hanging="266"/>
              <w:textAlignment w:val="baseline"/>
            </w:pPr>
            <w:r>
              <w:t>EESC-2023-03875-00-00-AC</w:t>
            </w:r>
          </w:p>
        </w:tc>
      </w:tr>
    </w:tbl>
    <w:p w:rsidRPr="006C6A1E"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6C6A1E"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6C6A1E"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6C6A1E" w:rsidR="006C6A1E" w:rsidP="006C6A1E" w:rsidRDefault="006C6A1E" w14:paraId="644A124F" w14:textId="77777777">
      <w:pPr>
        <w:overflowPunct w:val="0"/>
        <w:autoSpaceDE w:val="0"/>
        <w:autoSpaceDN w:val="0"/>
        <w:adjustRightInd w:val="0"/>
        <w:textAlignment w:val="baseline"/>
        <w:rPr>
          <w:bCs/>
          <w:iCs/>
        </w:rPr>
      </w:pPr>
      <w:r>
        <w:t>Europeiska ekonomiska och sociala kommitténs (EESK) ståndpunkt:</w:t>
      </w:r>
    </w:p>
    <w:p w:rsidRPr="006C6A1E" w:rsidR="006C6A1E" w:rsidP="006C6A1E" w:rsidRDefault="006C6A1E" w14:paraId="08AD54EB" w14:textId="77777777">
      <w:pPr>
        <w:overflowPunct w:val="0"/>
        <w:autoSpaceDE w:val="0"/>
        <w:autoSpaceDN w:val="0"/>
        <w:adjustRightInd w:val="0"/>
        <w:textAlignment w:val="baseline"/>
        <w:rPr>
          <w:bCs/>
          <w:iCs/>
        </w:rPr>
      </w:pPr>
    </w:p>
    <w:p w:rsidRPr="006C6A1E" w:rsidR="006C6A1E" w:rsidP="00CC4510"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Kommittén är medveten om utmaningarna i samband med gränsöverskridande samordning av de sociala trygghetssystemen, såsom de komplicerade byråkratiska förfarandena, de manuella förfarandena, behovet av vissa handlingar i fysisk form samt svårigheterna att kontrollera eller validera dem, vilket hindrar den fria rörligheten för medborgare och företag.</w:t>
      </w:r>
    </w:p>
    <w:p w:rsidRPr="006C6A1E" w:rsidR="006C6A1E" w:rsidP="00CC4510"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EESK välkomnar och stöder till fullo kommissionens mål att förenkla den gränsöverskridande samordningen av social trygghet och hälso- och sjukvård genom digitalisering.</w:t>
      </w:r>
    </w:p>
    <w:p w:rsidRPr="006C6A1E" w:rsidR="006C6A1E" w:rsidP="00CC4510"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EESK efterlyser ett omedelbart utarbetande av en omfattande handlingsplan för digitaliserad samordning av de sociala trygghetssystemen med en nedifrån-och-upp-strategi, samtidigt som man betonar vikten av att beakta behoven hos socialförsäkringsinstitutioner och berörda parter, bl.a. medborgare, arbetsgivare, företag och enheter inom den sociala ekonomin.</w:t>
      </w:r>
    </w:p>
    <w:p w:rsidRPr="006C6A1E" w:rsidR="006C6A1E" w:rsidP="00CC4510"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t>Kommittén efterlyser alternativa lösningar för dem som inte kan använda elektroniska medel eller som på annat sätt är digitalt utestängda. EESK betonar att digital identifiering bör vara ett alternativ, inte ett krav, förrän lämpliga alternativ har fastställts som respekterar relevanta dataskyddsstandarder.</w:t>
      </w:r>
    </w:p>
    <w:p w:rsidRPr="006C6A1E" w:rsidR="006C6A1E" w:rsidP="00CC4510"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t>Vi kommer inte att kunna uppnå våra mål att undanröja hinder för den fria rörligheten enbart genom att digitalisera de sociala trygghetssystemen förrän reformen av förordning (EG) nr 883/2004 om samordning av de sociala trygghetssystemen har slutförts.</w:t>
      </w:r>
    </w:p>
    <w:p w:rsidRPr="006C6A1E" w:rsidR="006C6A1E" w:rsidP="00CC4510"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t>EESK föreslår ett permanent utbyte mellan medlemsstaterna av bästa praxis för digitaliserad samordning av de sociala trygghetssystemen. För att uppmuntra och främja detta föreslår vi att kommissionen och Europeiska arbetsmyndigheten anordnar en konferens där medlemsstaternas regeringar och det civila samhället deltar.</w:t>
      </w:r>
    </w:p>
    <w:p w:rsidRPr="006C6A1E"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6A1E" w:rsidR="006C6A1E" w:rsidTr="00B05454" w14:paraId="4E6E4B82" w14:textId="77777777">
        <w:tc>
          <w:tcPr>
            <w:tcW w:w="1556" w:type="pct"/>
          </w:tcPr>
          <w:p w:rsidRPr="006C6A1E" w:rsidR="006C6A1E" w:rsidP="006C6A1E" w:rsidRDefault="006C6A1E" w14:paraId="10BE9558"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6C6A1E" w:rsidR="006C6A1E" w:rsidP="006C6A1E" w:rsidRDefault="006C6A1E" w14:paraId="7A73FAED" w14:textId="77777777">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6C6A1E" w:rsidR="006C6A1E" w:rsidTr="00B05454" w14:paraId="62915FF2" w14:textId="77777777">
        <w:tc>
          <w:tcPr>
            <w:tcW w:w="1556" w:type="pct"/>
          </w:tcPr>
          <w:p w:rsidRPr="006C6A1E" w:rsidR="006C6A1E" w:rsidP="006C6A1E" w:rsidRDefault="006C6A1E" w14:paraId="7853AC57" w14:textId="77777777">
            <w:pPr>
              <w:overflowPunct w:val="0"/>
              <w:autoSpaceDE w:val="0"/>
              <w:autoSpaceDN w:val="0"/>
              <w:adjustRightInd w:val="0"/>
              <w:spacing w:line="240" w:lineRule="auto"/>
              <w:textAlignment w:val="baseline"/>
              <w:rPr>
                <w:i/>
              </w:rPr>
            </w:pPr>
            <w:r>
              <w:rPr>
                <w:i/>
              </w:rPr>
              <w:t>Tfn</w:t>
            </w:r>
          </w:p>
        </w:tc>
        <w:tc>
          <w:tcPr>
            <w:tcW w:w="3444" w:type="pct"/>
          </w:tcPr>
          <w:p w:rsidRPr="006C6A1E" w:rsidR="006C6A1E" w:rsidP="006C6A1E" w:rsidRDefault="006C6A1E" w14:paraId="3D0777F2" w14:textId="77777777">
            <w:pPr>
              <w:overflowPunct w:val="0"/>
              <w:autoSpaceDE w:val="0"/>
              <w:autoSpaceDN w:val="0"/>
              <w:adjustRightInd w:val="0"/>
              <w:spacing w:line="240" w:lineRule="auto"/>
              <w:textAlignment w:val="baseline"/>
              <w:rPr>
                <w:i/>
              </w:rPr>
            </w:pPr>
            <w:r>
              <w:rPr>
                <w:i/>
              </w:rPr>
              <w:t>+32 25469229</w:t>
            </w:r>
          </w:p>
        </w:tc>
      </w:tr>
      <w:tr w:rsidRPr="006C6A1E" w:rsidR="006C6A1E" w:rsidTr="00B05454" w14:paraId="400BD2E9" w14:textId="77777777">
        <w:tc>
          <w:tcPr>
            <w:tcW w:w="1556" w:type="pct"/>
          </w:tcPr>
          <w:p w:rsidRPr="006C6A1E" w:rsidR="006C6A1E" w:rsidP="006C6A1E" w:rsidRDefault="006C6A1E" w14:paraId="7E1AA95E" w14:textId="77777777">
            <w:pPr>
              <w:overflowPunct w:val="0"/>
              <w:autoSpaceDE w:val="0"/>
              <w:autoSpaceDN w:val="0"/>
              <w:adjustRightInd w:val="0"/>
              <w:spacing w:line="240" w:lineRule="auto"/>
              <w:textAlignment w:val="baseline"/>
              <w:rPr>
                <w:i/>
              </w:rPr>
            </w:pPr>
            <w:r>
              <w:rPr>
                <w:i/>
              </w:rPr>
              <w:t>E-post:</w:t>
            </w:r>
          </w:p>
        </w:tc>
        <w:tc>
          <w:tcPr>
            <w:tcW w:w="3444" w:type="pct"/>
          </w:tcPr>
          <w:p w:rsidRPr="006C6A1E" w:rsidR="006C6A1E" w:rsidP="006C6A1E" w:rsidRDefault="00313C89" w14:paraId="5FE06EE9" w14:textId="77777777">
            <w:pPr>
              <w:overflowPunct w:val="0"/>
              <w:autoSpaceDE w:val="0"/>
              <w:autoSpaceDN w:val="0"/>
              <w:adjustRightInd w:val="0"/>
              <w:spacing w:line="240" w:lineRule="auto"/>
              <w:textAlignment w:val="baseline"/>
              <w:rPr>
                <w:i/>
              </w:rPr>
            </w:pPr>
            <w:hyperlink w:history="1" r:id="rId25">
              <w:r w:rsidR="00016559">
                <w:rPr>
                  <w:i/>
                  <w:color w:val="0000FF"/>
                  <w:u w:val="single"/>
                </w:rPr>
                <w:t>Bartek.Bednarowicz@eesc.europa.eu</w:t>
              </w:r>
            </w:hyperlink>
          </w:p>
        </w:tc>
      </w:tr>
    </w:tbl>
    <w:p w:rsidR="006C6A1E" w:rsidP="006C6A1E" w:rsidRDefault="006C6A1E" w14:paraId="195525CA" w14:textId="777AE21F"/>
    <w:p w:rsidR="00280432" w:rsidRDefault="00280432" w14:paraId="1109D69A" w14:textId="77777777">
      <w:pPr>
        <w:spacing w:after="160" w:line="259" w:lineRule="auto"/>
        <w:jc w:val="left"/>
      </w:pPr>
      <w:r>
        <w:br w:type="page"/>
      </w:r>
    </w:p>
    <w:p w:rsidRPr="00EE6FEF" w:rsidR="00EE6FEF" w:rsidP="00EE6FEF" w:rsidRDefault="00313C89" w14:paraId="233F82BA" w14:textId="358528F6">
      <w:pPr>
        <w:widowControl w:val="0"/>
        <w:numPr>
          <w:ilvl w:val="0"/>
          <w:numId w:val="29"/>
        </w:numPr>
        <w:overflowPunct w:val="0"/>
        <w:autoSpaceDE w:val="0"/>
        <w:autoSpaceDN w:val="0"/>
        <w:adjustRightInd w:val="0"/>
        <w:ind w:hanging="567"/>
        <w:textAlignment w:val="baseline"/>
        <w:rPr>
          <w:b/>
        </w:rPr>
      </w:pPr>
      <w:hyperlink w:history="1" r:id="rId26">
        <w:r w:rsidR="00016559">
          <w:rPr>
            <w:b/>
            <w:i/>
            <w:color w:val="0000FF"/>
            <w:sz w:val="28"/>
            <w:u w:val="single"/>
          </w:rPr>
          <w:t>Att stärka den civila dialogen och deltagandedemokratin i EU: vägen framåt</w:t>
        </w:r>
      </w:hyperlink>
    </w:p>
    <w:p w:rsidR="00EE6FEF" w:rsidP="00EE6FEF" w:rsidRDefault="00EE6FEF" w14:paraId="5686EDCA" w14:textId="2AAEC5B9">
      <w:pPr>
        <w:tabs>
          <w:tab w:val="center" w:pos="284"/>
        </w:tabs>
        <w:overflowPunct w:val="0"/>
        <w:autoSpaceDE w:val="0"/>
        <w:autoSpaceDN w:val="0"/>
        <w:adjustRightInd w:val="0"/>
        <w:ind w:left="567" w:hanging="567"/>
        <w:textAlignment w:val="baseline"/>
        <w:rPr>
          <w:sz w:val="16"/>
          <w:szCs w:val="16"/>
          <w:lang w:val="pt-PT"/>
        </w:rPr>
      </w:pPr>
    </w:p>
    <w:p w:rsidRPr="00EE6FEF" w:rsidR="00EE6FEF" w:rsidP="00EE6FEF" w:rsidRDefault="00EE6FEF" w14:paraId="0DE421BA"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813"/>
      </w:tblGrid>
      <w:tr w:rsidRPr="00EE6FEF" w:rsidR="00EE6FEF" w:rsidTr="00CC4510" w14:paraId="7774CF3A" w14:textId="77777777">
        <w:tc>
          <w:tcPr>
            <w:tcW w:w="1834" w:type="dxa"/>
          </w:tcPr>
          <w:p w:rsidRPr="00EE6FEF" w:rsidR="00EE6FEF" w:rsidP="00EE6FEF" w:rsidRDefault="00EE6FEF" w14:paraId="115D3E85" w14:textId="77777777">
            <w:pPr>
              <w:tabs>
                <w:tab w:val="center" w:pos="284"/>
              </w:tabs>
              <w:overflowPunct w:val="0"/>
              <w:autoSpaceDE w:val="0"/>
              <w:autoSpaceDN w:val="0"/>
              <w:adjustRightInd w:val="0"/>
              <w:ind w:left="567" w:hanging="567"/>
              <w:textAlignment w:val="baseline"/>
              <w:rPr>
                <w:b/>
              </w:rPr>
            </w:pPr>
            <w:r>
              <w:rPr>
                <w:b/>
              </w:rPr>
              <w:t>Föredragande:</w:t>
            </w:r>
          </w:p>
          <w:p w:rsidRPr="00EE6FEF" w:rsidR="00EE6FEF" w:rsidP="00EE6FEF" w:rsidRDefault="00EE6FEF" w14:paraId="41342984" w14:textId="77777777">
            <w:pPr>
              <w:tabs>
                <w:tab w:val="center" w:pos="284"/>
              </w:tabs>
              <w:overflowPunct w:val="0"/>
              <w:autoSpaceDE w:val="0"/>
              <w:autoSpaceDN w:val="0"/>
              <w:adjustRightInd w:val="0"/>
              <w:ind w:left="567" w:hanging="567"/>
              <w:textAlignment w:val="baseline"/>
              <w:rPr>
                <w:b/>
              </w:rPr>
            </w:pPr>
            <w:r>
              <w:rPr>
                <w:b/>
              </w:rPr>
              <w:t>Medföredragande:</w:t>
            </w:r>
          </w:p>
        </w:tc>
        <w:tc>
          <w:tcPr>
            <w:tcW w:w="6813" w:type="dxa"/>
          </w:tcPr>
          <w:p w:rsidRPr="00EE6FEF" w:rsidR="00EE6FEF" w:rsidP="00EE6FEF" w:rsidRDefault="00EE6FEF" w14:paraId="09298572" w14:textId="1E4C99CC">
            <w:pPr>
              <w:overflowPunct w:val="0"/>
              <w:autoSpaceDE w:val="0"/>
              <w:autoSpaceDN w:val="0"/>
              <w:adjustRightInd w:val="0"/>
              <w:ind w:left="567" w:hanging="567"/>
              <w:textAlignment w:val="baseline"/>
            </w:pPr>
            <w:r>
              <w:t xml:space="preserve">Pietro Vittorio </w:t>
            </w:r>
            <w:proofErr w:type="spellStart"/>
            <w:r>
              <w:t>Barbieri</w:t>
            </w:r>
            <w:proofErr w:type="spellEnd"/>
            <w:r>
              <w:t xml:space="preserve"> (Gruppen för civilsamhällesorganisationer – IT)</w:t>
            </w:r>
          </w:p>
          <w:p w:rsidR="00EE6FEF" w:rsidP="00EE6FEF" w:rsidRDefault="00EE6FEF" w14:paraId="440A5CB9" w14:textId="50813251">
            <w:pPr>
              <w:tabs>
                <w:tab w:val="center" w:pos="284"/>
              </w:tabs>
              <w:overflowPunct w:val="0"/>
              <w:autoSpaceDE w:val="0"/>
              <w:autoSpaceDN w:val="0"/>
              <w:adjustRightInd w:val="0"/>
              <w:ind w:left="567" w:hanging="567"/>
              <w:textAlignment w:val="baseline"/>
            </w:pPr>
            <w:r>
              <w:t xml:space="preserve">Miranda </w:t>
            </w:r>
            <w:proofErr w:type="spellStart"/>
            <w:r>
              <w:t>Ulens</w:t>
            </w:r>
            <w:proofErr w:type="spellEnd"/>
            <w:r>
              <w:t xml:space="preserve"> (Arbetstagargruppen – BE)</w:t>
            </w:r>
          </w:p>
          <w:p w:rsidRPr="00EE6FEF" w:rsidR="00734081" w:rsidP="00EE6FEF" w:rsidRDefault="00734081" w14:paraId="18F12DC0" w14:textId="6E440F43">
            <w:pPr>
              <w:tabs>
                <w:tab w:val="center" w:pos="284"/>
              </w:tabs>
              <w:overflowPunct w:val="0"/>
              <w:autoSpaceDE w:val="0"/>
              <w:autoSpaceDN w:val="0"/>
              <w:adjustRightInd w:val="0"/>
              <w:ind w:left="567" w:hanging="567"/>
              <w:textAlignment w:val="baseline"/>
              <w:rPr>
                <w:lang w:val="es-ES"/>
              </w:rPr>
            </w:pPr>
          </w:p>
        </w:tc>
      </w:tr>
      <w:tr w:rsidRPr="00EE6FEF" w:rsidR="00EE6FEF" w:rsidTr="00CC4510" w14:paraId="6999DE5D" w14:textId="77777777">
        <w:tc>
          <w:tcPr>
            <w:tcW w:w="1834" w:type="dxa"/>
            <w:vMerge w:val="restart"/>
          </w:tcPr>
          <w:p w:rsidRPr="00EE6FEF" w:rsidR="00EE6FEF" w:rsidP="00EE6FEF" w:rsidRDefault="00EE6FEF" w14:paraId="573ED1EA" w14:textId="77777777">
            <w:pPr>
              <w:tabs>
                <w:tab w:val="center" w:pos="284"/>
              </w:tabs>
              <w:overflowPunct w:val="0"/>
              <w:autoSpaceDE w:val="0"/>
              <w:autoSpaceDN w:val="0"/>
              <w:adjustRightInd w:val="0"/>
              <w:ind w:left="567" w:hanging="567"/>
              <w:textAlignment w:val="baseline"/>
              <w:rPr>
                <w:b/>
              </w:rPr>
            </w:pPr>
            <w:r>
              <w:rPr>
                <w:b/>
              </w:rPr>
              <w:t>Referensdokument:</w:t>
            </w:r>
          </w:p>
        </w:tc>
        <w:tc>
          <w:tcPr>
            <w:tcW w:w="6813" w:type="dxa"/>
          </w:tcPr>
          <w:p w:rsidR="00734081" w:rsidP="00EE6FEF" w:rsidRDefault="00734081" w14:paraId="35FF71C6" w14:textId="62F6C7E5">
            <w:pPr>
              <w:tabs>
                <w:tab w:val="center" w:pos="284"/>
              </w:tabs>
              <w:overflowPunct w:val="0"/>
              <w:autoSpaceDE w:val="0"/>
              <w:autoSpaceDN w:val="0"/>
              <w:adjustRightInd w:val="0"/>
              <w:ind w:left="567" w:hanging="567"/>
              <w:textAlignment w:val="baseline"/>
            </w:pPr>
            <w:r>
              <w:t>Förberedande yttrande på begäran av det belgiska rådsordförandeskapet</w:t>
            </w:r>
          </w:p>
          <w:p w:rsidRPr="00EE6FEF" w:rsidR="00EE6FEF" w:rsidP="00EE6FEF" w:rsidRDefault="00EE6FEF" w14:paraId="2007E2F0" w14:textId="5C9407E3">
            <w:pPr>
              <w:tabs>
                <w:tab w:val="center" w:pos="284"/>
              </w:tabs>
              <w:overflowPunct w:val="0"/>
              <w:autoSpaceDE w:val="0"/>
              <w:autoSpaceDN w:val="0"/>
              <w:adjustRightInd w:val="0"/>
              <w:ind w:left="567" w:hanging="567"/>
              <w:textAlignment w:val="baseline"/>
            </w:pPr>
            <w:r>
              <w:t>EESC-2023-03879-00-00-AC.</w:t>
            </w:r>
          </w:p>
        </w:tc>
      </w:tr>
      <w:tr w:rsidRPr="00EE6FEF" w:rsidR="00EE6FEF" w:rsidTr="00CC4510" w14:paraId="03305879" w14:textId="77777777">
        <w:tc>
          <w:tcPr>
            <w:tcW w:w="1834" w:type="dxa"/>
            <w:vMerge/>
          </w:tcPr>
          <w:p w:rsidRPr="00EE6FEF" w:rsidR="00EE6FEF" w:rsidP="00EE6FEF" w:rsidRDefault="00EE6FEF" w14:paraId="4EF47312" w14:textId="77777777">
            <w:pPr>
              <w:tabs>
                <w:tab w:val="center" w:pos="284"/>
              </w:tabs>
              <w:overflowPunct w:val="0"/>
              <w:autoSpaceDE w:val="0"/>
              <w:autoSpaceDN w:val="0"/>
              <w:adjustRightInd w:val="0"/>
              <w:ind w:left="266" w:hanging="266"/>
              <w:textAlignment w:val="baseline"/>
              <w:rPr>
                <w:b/>
                <w:lang w:val="pt-PT"/>
              </w:rPr>
            </w:pPr>
          </w:p>
        </w:tc>
        <w:tc>
          <w:tcPr>
            <w:tcW w:w="6813" w:type="dxa"/>
          </w:tcPr>
          <w:p w:rsidRPr="00EE6FEF"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lang w:val="pt-PT"/>
              </w:rPr>
            </w:pPr>
          </w:p>
        </w:tc>
      </w:tr>
    </w:tbl>
    <w:p w:rsidRPr="00EE6FEF" w:rsidR="00EE6FEF" w:rsidP="00CC4510" w:rsidRDefault="00EE6FEF" w14:paraId="70BED30D" w14:textId="77777777">
      <w:pPr>
        <w:keepNext/>
        <w:keepLines/>
        <w:tabs>
          <w:tab w:val="center" w:pos="284"/>
        </w:tabs>
        <w:overflowPunct w:val="0"/>
        <w:autoSpaceDE w:val="0"/>
        <w:autoSpaceDN w:val="0"/>
        <w:adjustRightInd w:val="0"/>
        <w:ind w:left="266" w:hanging="124"/>
        <w:textAlignment w:val="baseline"/>
        <w:rPr>
          <w:b/>
        </w:rPr>
      </w:pPr>
      <w:r>
        <w:rPr>
          <w:b/>
        </w:rPr>
        <w:t>Huvudpunkter</w:t>
      </w:r>
    </w:p>
    <w:p w:rsidRPr="00EE6FEF" w:rsidR="00EE6FEF" w:rsidP="00EE6FEF" w:rsidRDefault="00EE6FEF" w14:paraId="63B3834C" w14:textId="77777777">
      <w:pPr>
        <w:overflowPunct w:val="0"/>
        <w:autoSpaceDE w:val="0"/>
        <w:autoSpaceDN w:val="0"/>
        <w:adjustRightInd w:val="0"/>
        <w:textAlignment w:val="baseline"/>
        <w:rPr>
          <w:szCs w:val="20"/>
        </w:rPr>
      </w:pPr>
    </w:p>
    <w:p w:rsidR="00EE6FEF" w:rsidP="00EE6FEF" w:rsidRDefault="00EE6FEF" w14:paraId="78C0E8D3" w14:textId="3BEEDDA7">
      <w:pPr>
        <w:overflowPunct w:val="0"/>
        <w:autoSpaceDE w:val="0"/>
        <w:autoSpaceDN w:val="0"/>
        <w:adjustRightInd w:val="0"/>
        <w:ind w:firstLine="142"/>
        <w:textAlignment w:val="baseline"/>
        <w:rPr>
          <w:szCs w:val="20"/>
        </w:rPr>
      </w:pPr>
      <w:r>
        <w:t>Europeiska ekonomiska och sociala kommitténs (EESK) ståndpunkt:</w:t>
      </w:r>
    </w:p>
    <w:p w:rsidRPr="00EE6FEF" w:rsidR="00EE6FEF" w:rsidP="00CC4510"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pPr>
      <w:r>
        <w:t xml:space="preserve">Kommittén betonar att genomförandet av artikel 11 i EU-fördraget, som en uppföljning av konferensen om Europas framtid, samtidigt som </w:t>
      </w:r>
      <w:proofErr w:type="spellStart"/>
      <w:r>
        <w:t>EESK:s</w:t>
      </w:r>
      <w:proofErr w:type="spellEnd"/>
      <w:r>
        <w:t xml:space="preserve"> roll stärks, kan leda till en effektivare politik. Kommittén stöder rekommendationen från konferensen om Europas framtid att utveckla ytterligare instrument för deltagandedemokrati. Flera av dess rekommendationer handlar om att skapa en gynnsam ram för den civila dialogen och erkänner </w:t>
      </w:r>
      <w:proofErr w:type="spellStart"/>
      <w:r>
        <w:t>EESK:s</w:t>
      </w:r>
      <w:proofErr w:type="spellEnd"/>
      <w:r>
        <w:t xml:space="preserve"> roll, även som ett potentiellt verkligt nav för medborgarpaneler. Arbetsmarknadsparternas särskilda roll bör respekteras fullt ut i strukturer och processer för social dialog. Den civila dialogen är en separat process.</w:t>
      </w:r>
    </w:p>
    <w:p w:rsidRPr="00EE6FEF" w:rsidR="00EE6FEF" w:rsidP="00CC4510" w:rsidRDefault="00EE6FEF" w14:paraId="6DB1C493" w14:textId="21953BEA">
      <w:pPr>
        <w:numPr>
          <w:ilvl w:val="0"/>
          <w:numId w:val="31"/>
        </w:numPr>
        <w:overflowPunct w:val="0"/>
        <w:autoSpaceDE w:val="0"/>
        <w:autoSpaceDN w:val="0"/>
        <w:adjustRightInd w:val="0"/>
        <w:spacing w:after="200" w:line="276" w:lineRule="auto"/>
        <w:ind w:left="284" w:hanging="284"/>
        <w:contextualSpacing/>
        <w:textAlignment w:val="baseline"/>
      </w:pPr>
      <w:r>
        <w:t>Som ett första steg efterlyser EESK en strategi för civil dialog som utmynnar i en handlingsplan och skulle kunna utgöra en pelare i EU-paketet för försvar av demokratin. Dessutom skulle detta kunna syfta till att försöka få till stånd ett interinstitutionellt avtal mellan EU-institutionerna, i</w:t>
      </w:r>
      <w:r w:rsidR="00256A3E">
        <w:t> </w:t>
      </w:r>
      <w:r>
        <w:t>vilket man fastställer åtgärder och därtill hörande resurser som ska användas. Arbetet skulle kunna underlättas av kommittén, med hjälp av civilsamhällesnätverk på EU-nivå.</w:t>
      </w:r>
    </w:p>
    <w:p w:rsidRPr="00EE6FEF" w:rsidR="00EE6FEF" w:rsidP="00CC4510"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pPr>
      <w:r>
        <w:t>EESK anser rollen för de ansvariga i de olika institutionerna bör stärkas så att artikel 11 i EU-fördraget faktiskt genomförs och vissa normer tillämpas av alla EU-institutioner, såsom innebörden av civil dialog, dess resultatinriktning, en gemensam politisk dagordning och gemensamma politiska prioriteringar, utsatta gruppers delaktighet osv.</w:t>
      </w:r>
    </w:p>
    <w:p w:rsidRPr="00EE6FEF" w:rsidR="00EE6FEF" w:rsidP="00CC4510"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pPr>
      <w:r>
        <w:t>EESK efterlyser en årlig resultattavla för civil dialog (eller demokratiskt utrymme) för civilsamhällesorganisationers bidrag till samrådsprocesser, med en motivering till huruvida deras bidrag har beaktats eller inte. Den konsekvensbedömning som görs med hjälp av den årliga resultattavlan skulle kunna utgöra underlag för en rapport om den civila dialogen som läggs fram vartannat år, i vilken man redogör för EU:s samarbete med det civila samhället i allmänhet och bedömer läget för den civila dialogen och civilsamhällesorganisationernas genomslagskraft.</w:t>
      </w:r>
    </w:p>
    <w:p w:rsidRPr="00EE6FEF" w:rsidR="00EE6FEF" w:rsidP="00CC4510" w:rsidRDefault="00EE6FEF" w14:paraId="50548E2B" w14:textId="77777777">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rPr>
      </w:pPr>
      <w:r>
        <w:t xml:space="preserve">Kommittén upprepar att EESK måste stå i centrum i strävan att stärka deltagandedemokratin inom och emellan EU-institutionerna, och föreslår att </w:t>
      </w:r>
      <w:proofErr w:type="spellStart"/>
      <w:r>
        <w:t>EESK:s</w:t>
      </w:r>
      <w:proofErr w:type="spellEnd"/>
      <w:r>
        <w:t xml:space="preserve"> roll anpassas så att kommittén kan experimentera med en rad olika instrument för deltagande, såsom medborgarpaneler, i sitt rådgivande arbete och på så sätt belysa </w:t>
      </w:r>
      <w:proofErr w:type="spellStart"/>
      <w:r>
        <w:t>EESK:s</w:t>
      </w:r>
      <w:proofErr w:type="spellEnd"/>
      <w:r>
        <w:t xml:space="preserve"> särskilda ställning som institutionell väktare av samrådet med det civila samhället och den civila dialogen i allmänhet.</w:t>
      </w:r>
    </w:p>
    <w:p w:rsidRPr="00EE6FEF" w:rsidR="00EE6FEF" w:rsidP="00CC4510"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pPr>
      <w:r>
        <w:t>Det civila samhällets organisationer måste bygga på intern demokrati, autonomi och öppenhet. De måste vara ideella samt tjäna allmänintresset och/eller sina medlemmars särintressen för att vara legitima och representativa. Kommittén efterlyser därför en ackrediteringsmekanism som bygger på ovannämnda principer.</w:t>
      </w:r>
    </w:p>
    <w:p w:rsidRPr="00EE6FEF" w:rsidR="00EE6FEF" w:rsidP="00CC4510"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4493"/>
      </w:tblGrid>
      <w:tr w:rsidRPr="003F6640" w:rsidR="00EE6FEF" w:rsidTr="00AF1B74" w14:paraId="141D7495" w14:textId="77777777">
        <w:tc>
          <w:tcPr>
            <w:tcW w:w="1210" w:type="dxa"/>
          </w:tcPr>
          <w:p w:rsidRPr="003F6640" w:rsidR="00EE6FEF" w:rsidP="00A838DE" w:rsidRDefault="00EE6FEF" w14:paraId="41ABC0CE" w14:textId="77777777">
            <w:pPr>
              <w:keepNext/>
              <w:keepLines/>
              <w:overflowPunct w:val="0"/>
              <w:autoSpaceDE w:val="0"/>
              <w:autoSpaceDN w:val="0"/>
              <w:adjustRightInd w:val="0"/>
              <w:spacing w:line="240" w:lineRule="auto"/>
              <w:textAlignment w:val="baseline"/>
              <w:rPr>
                <w:i/>
              </w:rPr>
            </w:pPr>
            <w:r>
              <w:rPr>
                <w:b/>
                <w:i/>
              </w:rPr>
              <w:t>Kontaktperson:</w:t>
            </w:r>
          </w:p>
        </w:tc>
        <w:tc>
          <w:tcPr>
            <w:tcW w:w="4493" w:type="dxa"/>
          </w:tcPr>
          <w:p w:rsidRPr="003F6640" w:rsidR="00EE6FEF" w:rsidP="00A838DE" w:rsidRDefault="00EE6FEF" w14:paraId="751079CC" w14:textId="77777777">
            <w:pPr>
              <w:keepNext/>
              <w:keepLines/>
              <w:overflowPunct w:val="0"/>
              <w:autoSpaceDE w:val="0"/>
              <w:autoSpaceDN w:val="0"/>
              <w:adjustRightInd w:val="0"/>
              <w:spacing w:line="240" w:lineRule="auto"/>
              <w:ind w:hanging="12"/>
              <w:textAlignment w:val="baseline"/>
              <w:rPr>
                <w:i/>
              </w:rPr>
            </w:pPr>
            <w:r>
              <w:rPr>
                <w:i/>
              </w:rPr>
              <w:t xml:space="preserve">June </w:t>
            </w:r>
            <w:proofErr w:type="spellStart"/>
            <w:r>
              <w:rPr>
                <w:i/>
              </w:rPr>
              <w:t>Bedaton</w:t>
            </w:r>
            <w:proofErr w:type="spellEnd"/>
          </w:p>
        </w:tc>
      </w:tr>
      <w:tr w:rsidRPr="003F6640" w:rsidR="00EE6FEF" w:rsidTr="00AF1B74" w14:paraId="4927775D" w14:textId="77777777">
        <w:tc>
          <w:tcPr>
            <w:tcW w:w="1210" w:type="dxa"/>
          </w:tcPr>
          <w:p w:rsidRPr="003F6640" w:rsidR="00EE6FEF" w:rsidP="00A838DE" w:rsidRDefault="00EE6FEF" w14:paraId="490E3A24" w14:textId="77777777">
            <w:pPr>
              <w:keepNext/>
              <w:keepLines/>
              <w:overflowPunct w:val="0"/>
              <w:autoSpaceDE w:val="0"/>
              <w:autoSpaceDN w:val="0"/>
              <w:adjustRightInd w:val="0"/>
              <w:spacing w:line="240" w:lineRule="auto"/>
              <w:textAlignment w:val="baseline"/>
              <w:rPr>
                <w:i/>
              </w:rPr>
            </w:pPr>
            <w:r>
              <w:rPr>
                <w:i/>
              </w:rPr>
              <w:t>Tfn</w:t>
            </w:r>
          </w:p>
        </w:tc>
        <w:tc>
          <w:tcPr>
            <w:tcW w:w="4493" w:type="dxa"/>
          </w:tcPr>
          <w:p w:rsidRPr="003F6640" w:rsidR="00EE6FEF" w:rsidP="00A838DE" w:rsidRDefault="00EE6FEF" w14:paraId="41D951E4" w14:textId="77777777">
            <w:pPr>
              <w:keepNext/>
              <w:keepLines/>
              <w:overflowPunct w:val="0"/>
              <w:autoSpaceDE w:val="0"/>
              <w:autoSpaceDN w:val="0"/>
              <w:adjustRightInd w:val="0"/>
              <w:spacing w:line="240" w:lineRule="auto"/>
              <w:textAlignment w:val="baseline"/>
              <w:rPr>
                <w:i/>
              </w:rPr>
            </w:pPr>
            <w:r>
              <w:rPr>
                <w:i/>
              </w:rPr>
              <w:t>+32 25468134</w:t>
            </w:r>
          </w:p>
        </w:tc>
      </w:tr>
      <w:tr w:rsidRPr="003F6640" w:rsidR="00EE6FEF" w:rsidTr="00AF1B74" w14:paraId="4358DB5A" w14:textId="77777777">
        <w:tc>
          <w:tcPr>
            <w:tcW w:w="1210" w:type="dxa"/>
          </w:tcPr>
          <w:p w:rsidRPr="003F6640" w:rsidR="00EE6FEF" w:rsidP="00EE6FEF" w:rsidRDefault="00EE6FEF" w14:paraId="0A1AF4F8" w14:textId="77777777">
            <w:pPr>
              <w:overflowPunct w:val="0"/>
              <w:autoSpaceDE w:val="0"/>
              <w:autoSpaceDN w:val="0"/>
              <w:adjustRightInd w:val="0"/>
              <w:spacing w:line="240" w:lineRule="auto"/>
              <w:textAlignment w:val="baseline"/>
              <w:rPr>
                <w:i/>
              </w:rPr>
            </w:pPr>
            <w:r>
              <w:rPr>
                <w:i/>
              </w:rPr>
              <w:t>E-post:</w:t>
            </w:r>
          </w:p>
        </w:tc>
        <w:tc>
          <w:tcPr>
            <w:tcW w:w="4493" w:type="dxa"/>
          </w:tcPr>
          <w:p w:rsidRPr="003F6640" w:rsidR="00EE6FEF" w:rsidP="00EE6FEF" w:rsidRDefault="00313C89" w14:paraId="47347AD3" w14:textId="77777777">
            <w:pPr>
              <w:overflowPunct w:val="0"/>
              <w:autoSpaceDE w:val="0"/>
              <w:autoSpaceDN w:val="0"/>
              <w:adjustRightInd w:val="0"/>
              <w:spacing w:line="240" w:lineRule="auto"/>
              <w:textAlignment w:val="baseline"/>
              <w:rPr>
                <w:i/>
              </w:rPr>
            </w:pPr>
            <w:hyperlink w:history="1" r:id="rId27">
              <w:r w:rsidR="00016559">
                <w:rPr>
                  <w:i/>
                  <w:color w:val="0000FF"/>
                  <w:u w:val="single"/>
                </w:rPr>
                <w:t>June.Bedaton@eesc.europa.eu</w:t>
              </w:r>
            </w:hyperlink>
          </w:p>
        </w:tc>
      </w:tr>
    </w:tbl>
    <w:p w:rsidRPr="00D6423D" w:rsidR="005A67F3" w:rsidP="00234EA0" w:rsidRDefault="004C3902" w14:paraId="3792A077" w14:textId="3F1CFB67">
      <w:pPr>
        <w:pStyle w:val="Heading1"/>
        <w:ind w:hanging="928"/>
        <w:rPr>
          <w:b/>
          <w:bCs/>
        </w:rPr>
      </w:pPr>
      <w:bookmarkStart w:name="_Toc160789115" w:id="27"/>
      <w:r>
        <w:rPr>
          <w:b/>
        </w:rPr>
        <w:lastRenderedPageBreak/>
        <w:t>INRE MARKNADEN, PRODUKTION OCH KONSUMTION</w:t>
      </w:r>
      <w:bookmarkEnd w:id="25"/>
      <w:bookmarkEnd w:id="27"/>
    </w:p>
    <w:p w:rsidRPr="00094B6B" w:rsidR="004C3902" w:rsidP="00775FC4" w:rsidRDefault="004C3902" w14:paraId="51590E30" w14:textId="7D4E8C1F">
      <w:pPr>
        <w:keepNext/>
        <w:keepLines/>
        <w:jc w:val="left"/>
        <w:rPr>
          <w:b/>
          <w:iCs/>
        </w:rPr>
      </w:pPr>
    </w:p>
    <w:p w:rsidRPr="00115BBC" w:rsidR="00115BBC" w:rsidP="00CC4510" w:rsidRDefault="00313C89" w14:paraId="331C902E" w14:textId="22AAD788">
      <w:pPr>
        <w:widowControl w:val="0"/>
        <w:numPr>
          <w:ilvl w:val="0"/>
          <w:numId w:val="4"/>
        </w:numPr>
        <w:overflowPunct w:val="0"/>
        <w:autoSpaceDE w:val="0"/>
        <w:autoSpaceDN w:val="0"/>
        <w:adjustRightInd w:val="0"/>
        <w:ind w:left="720" w:hanging="720"/>
        <w:textAlignment w:val="baseline"/>
        <w:rPr>
          <w:b/>
        </w:rPr>
      </w:pPr>
      <w:hyperlink w:history="1" r:id="rId28">
        <w:r w:rsidR="00016559">
          <w:rPr>
            <w:b/>
            <w:i/>
            <w:color w:val="0000FF"/>
            <w:sz w:val="28"/>
            <w:u w:val="single"/>
          </w:rPr>
          <w:t>Alternativ tvistlösning</w:t>
        </w:r>
      </w:hyperlink>
    </w:p>
    <w:p w:rsidRPr="00115BBC" w:rsidR="00115BBC" w:rsidP="00115BBC" w:rsidRDefault="00115BBC" w14:paraId="69D406FB" w14:textId="77777777">
      <w:pPr>
        <w:widowControl w:val="0"/>
        <w:overflowPunct w:val="0"/>
        <w:autoSpaceDE w:val="0"/>
        <w:autoSpaceDN w:val="0"/>
        <w:adjustRightInd w:val="0"/>
        <w:ind w:left="567"/>
        <w:textAlignment w:val="baseline"/>
        <w:rPr>
          <w:b/>
          <w:highlight w:val="yellow"/>
        </w:rPr>
      </w:pPr>
    </w:p>
    <w:tbl>
      <w:tblPr>
        <w:tblStyle w:val="TableGrid200"/>
        <w:tblW w:w="9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3"/>
        <w:gridCol w:w="7257"/>
      </w:tblGrid>
      <w:tr w:rsidRPr="00115BBC" w:rsidR="00115BBC" w:rsidTr="00CC4510" w14:paraId="5FCB07DF" w14:textId="77777777">
        <w:trPr>
          <w:trHeight w:val="265"/>
        </w:trPr>
        <w:tc>
          <w:tcPr>
            <w:tcW w:w="1418" w:type="dxa"/>
          </w:tcPr>
          <w:p w:rsidRPr="00115BBC" w:rsidR="00115BBC" w:rsidP="00115BBC" w:rsidRDefault="00115BBC" w14:paraId="061CB5F6" w14:textId="77777777">
            <w:pPr>
              <w:tabs>
                <w:tab w:val="center" w:pos="284"/>
              </w:tabs>
              <w:overflowPunct w:val="0"/>
              <w:autoSpaceDE w:val="0"/>
              <w:autoSpaceDN w:val="0"/>
              <w:adjustRightInd w:val="0"/>
              <w:ind w:left="266" w:hanging="408"/>
              <w:textAlignment w:val="baseline"/>
              <w:rPr>
                <w:b/>
                <w:highlight w:val="yellow"/>
              </w:rPr>
            </w:pPr>
            <w:r>
              <w:rPr>
                <w:b/>
              </w:rPr>
              <w:t>Föredragande:</w:t>
            </w:r>
          </w:p>
        </w:tc>
        <w:tc>
          <w:tcPr>
            <w:tcW w:w="7602" w:type="dxa"/>
          </w:tcPr>
          <w:p w:rsidRPr="00115BBC" w:rsidR="00115BBC" w:rsidP="00115BBC" w:rsidRDefault="00115BBC" w14:paraId="167D4BA0" w14:textId="249DC758">
            <w:pPr>
              <w:tabs>
                <w:tab w:val="center" w:pos="284"/>
              </w:tabs>
              <w:overflowPunct w:val="0"/>
              <w:autoSpaceDE w:val="0"/>
              <w:autoSpaceDN w:val="0"/>
              <w:adjustRightInd w:val="0"/>
              <w:ind w:left="266" w:hanging="408"/>
              <w:textAlignment w:val="baseline"/>
              <w:rPr>
                <w:highlight w:val="yellow"/>
              </w:rPr>
            </w:pPr>
            <w:proofErr w:type="spellStart"/>
            <w:r>
              <w:t>Wautier</w:t>
            </w:r>
            <w:proofErr w:type="spellEnd"/>
            <w:r>
              <w:t xml:space="preserve"> Robyns de </w:t>
            </w:r>
            <w:proofErr w:type="spellStart"/>
            <w:r>
              <w:t>Schneidauer</w:t>
            </w:r>
            <w:proofErr w:type="spellEnd"/>
            <w:r>
              <w:t xml:space="preserve"> (Arbetsgivargruppen – BE)</w:t>
            </w:r>
          </w:p>
        </w:tc>
      </w:tr>
      <w:tr w:rsidRPr="00115BBC" w:rsidR="00115BBC" w:rsidTr="00CC4510" w14:paraId="296C346B" w14:textId="77777777">
        <w:trPr>
          <w:trHeight w:val="265"/>
        </w:trPr>
        <w:tc>
          <w:tcPr>
            <w:tcW w:w="1418" w:type="dxa"/>
          </w:tcPr>
          <w:p w:rsidRPr="00115BBC" w:rsidR="00115BBC" w:rsidP="00115BBC" w:rsidRDefault="00115BBC" w14:paraId="0AF9F28C" w14:textId="77777777">
            <w:pPr>
              <w:tabs>
                <w:tab w:val="center" w:pos="284"/>
              </w:tabs>
              <w:overflowPunct w:val="0"/>
              <w:autoSpaceDE w:val="0"/>
              <w:autoSpaceDN w:val="0"/>
              <w:adjustRightInd w:val="0"/>
              <w:ind w:left="266" w:hanging="408"/>
              <w:textAlignment w:val="baseline"/>
              <w:rPr>
                <w:b/>
                <w:highlight w:val="yellow"/>
              </w:rPr>
            </w:pPr>
          </w:p>
        </w:tc>
        <w:tc>
          <w:tcPr>
            <w:tcW w:w="7602" w:type="dxa"/>
          </w:tcPr>
          <w:p w:rsidRPr="00115BBC" w:rsidR="00115BBC" w:rsidP="00115BBC" w:rsidRDefault="00115BBC" w14:paraId="31DA93FE" w14:textId="77777777">
            <w:pPr>
              <w:tabs>
                <w:tab w:val="center" w:pos="284"/>
              </w:tabs>
              <w:overflowPunct w:val="0"/>
              <w:autoSpaceDE w:val="0"/>
              <w:autoSpaceDN w:val="0"/>
              <w:adjustRightInd w:val="0"/>
              <w:ind w:left="266" w:hanging="408"/>
              <w:textAlignment w:val="baseline"/>
              <w:rPr>
                <w:highlight w:val="yellow"/>
              </w:rPr>
            </w:pPr>
          </w:p>
        </w:tc>
      </w:tr>
      <w:tr w:rsidRPr="00115BBC" w:rsidR="00115BBC" w:rsidTr="00CC4510" w14:paraId="05E2FC21" w14:textId="77777777">
        <w:trPr>
          <w:trHeight w:val="289"/>
        </w:trPr>
        <w:tc>
          <w:tcPr>
            <w:tcW w:w="1418" w:type="dxa"/>
            <w:vMerge w:val="restart"/>
          </w:tcPr>
          <w:p w:rsidRPr="00115BBC" w:rsidR="00115BBC" w:rsidP="00115BBC" w:rsidRDefault="00115BBC" w14:paraId="3723A8BD" w14:textId="77777777">
            <w:pPr>
              <w:tabs>
                <w:tab w:val="center" w:pos="284"/>
              </w:tabs>
              <w:overflowPunct w:val="0"/>
              <w:autoSpaceDE w:val="0"/>
              <w:autoSpaceDN w:val="0"/>
              <w:adjustRightInd w:val="0"/>
              <w:ind w:left="266" w:hanging="408"/>
              <w:textAlignment w:val="baseline"/>
              <w:rPr>
                <w:b/>
              </w:rPr>
            </w:pPr>
            <w:r>
              <w:rPr>
                <w:b/>
              </w:rPr>
              <w:t>Referensdokument:</w:t>
            </w:r>
          </w:p>
        </w:tc>
        <w:tc>
          <w:tcPr>
            <w:tcW w:w="7602" w:type="dxa"/>
          </w:tcPr>
          <w:p w:rsidRPr="00115BBC" w:rsidR="00115BBC" w:rsidP="00115BBC" w:rsidRDefault="00115BBC" w14:paraId="6E0D3984" w14:textId="53F54A94">
            <w:pPr>
              <w:tabs>
                <w:tab w:val="center" w:pos="284"/>
              </w:tabs>
              <w:overflowPunct w:val="0"/>
              <w:autoSpaceDE w:val="0"/>
              <w:autoSpaceDN w:val="0"/>
              <w:adjustRightInd w:val="0"/>
              <w:ind w:left="266" w:hanging="408"/>
              <w:textAlignment w:val="baseline"/>
            </w:pPr>
            <w:r>
              <w:t xml:space="preserve">COM(2023) 647 final </w:t>
            </w:r>
          </w:p>
          <w:p w:rsidRPr="00115BBC" w:rsidR="00115BBC" w:rsidP="00115BBC" w:rsidRDefault="00115BBC" w14:paraId="0C647B83" w14:textId="65F68049">
            <w:pPr>
              <w:tabs>
                <w:tab w:val="center" w:pos="284"/>
              </w:tabs>
              <w:overflowPunct w:val="0"/>
              <w:autoSpaceDE w:val="0"/>
              <w:autoSpaceDN w:val="0"/>
              <w:adjustRightInd w:val="0"/>
              <w:ind w:left="266" w:hanging="408"/>
              <w:textAlignment w:val="baseline"/>
            </w:pPr>
            <w:r>
              <w:t>COM(2023) 649 final</w:t>
            </w:r>
          </w:p>
        </w:tc>
      </w:tr>
      <w:tr w:rsidRPr="00115BBC" w:rsidR="00115BBC" w:rsidTr="00CC4510" w14:paraId="17336284" w14:textId="77777777">
        <w:trPr>
          <w:trHeight w:val="289"/>
        </w:trPr>
        <w:tc>
          <w:tcPr>
            <w:tcW w:w="1418" w:type="dxa"/>
            <w:vMerge/>
          </w:tcPr>
          <w:p w:rsidRPr="00115BBC" w:rsidR="00115BBC" w:rsidP="00115BBC" w:rsidRDefault="00115BBC" w14:paraId="6FEF1F8E" w14:textId="77777777">
            <w:pPr>
              <w:tabs>
                <w:tab w:val="center" w:pos="284"/>
              </w:tabs>
              <w:overflowPunct w:val="0"/>
              <w:autoSpaceDE w:val="0"/>
              <w:autoSpaceDN w:val="0"/>
              <w:adjustRightInd w:val="0"/>
              <w:ind w:left="266" w:hanging="408"/>
              <w:textAlignment w:val="baseline"/>
              <w:rPr>
                <w:b/>
              </w:rPr>
            </w:pPr>
          </w:p>
        </w:tc>
        <w:tc>
          <w:tcPr>
            <w:tcW w:w="7602" w:type="dxa"/>
          </w:tcPr>
          <w:p w:rsidRPr="00115BBC" w:rsidR="00115BBC" w:rsidP="00CC4510" w:rsidRDefault="00115BBC" w14:paraId="439A72D0" w14:textId="3CA46808">
            <w:pPr>
              <w:tabs>
                <w:tab w:val="center" w:pos="284"/>
              </w:tabs>
              <w:overflowPunct w:val="0"/>
              <w:autoSpaceDE w:val="0"/>
              <w:autoSpaceDN w:val="0"/>
              <w:adjustRightInd w:val="0"/>
              <w:ind w:left="266" w:hanging="378"/>
              <w:textAlignment w:val="baseline"/>
            </w:pPr>
            <w:r>
              <w:t>EESC-2023-04939-00-00-AC</w:t>
            </w:r>
          </w:p>
        </w:tc>
      </w:tr>
    </w:tbl>
    <w:p w:rsidRPr="00115BBC"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00115BBC" w:rsidP="00CC4510" w:rsidRDefault="00115BBC" w14:paraId="0FFFEA8E" w14:textId="6FE135C0">
      <w:pPr>
        <w:keepNext/>
        <w:keepLines/>
        <w:tabs>
          <w:tab w:val="center" w:pos="284"/>
        </w:tabs>
        <w:overflowPunct w:val="0"/>
        <w:autoSpaceDE w:val="0"/>
        <w:autoSpaceDN w:val="0"/>
        <w:adjustRightInd w:val="0"/>
        <w:ind w:left="266" w:hanging="266"/>
        <w:textAlignment w:val="baseline"/>
        <w:rPr>
          <w:b/>
        </w:rPr>
      </w:pPr>
      <w:r>
        <w:rPr>
          <w:b/>
        </w:rPr>
        <w:t>Huvudpunkter</w:t>
      </w:r>
    </w:p>
    <w:p w:rsidR="0096247E" w:rsidP="00CC4510" w:rsidRDefault="0096247E" w14:paraId="1F14F94E" w14:textId="02ACF0CB">
      <w:pPr>
        <w:keepNext/>
        <w:keepLines/>
        <w:tabs>
          <w:tab w:val="center" w:pos="284"/>
        </w:tabs>
        <w:overflowPunct w:val="0"/>
        <w:autoSpaceDE w:val="0"/>
        <w:autoSpaceDN w:val="0"/>
        <w:adjustRightInd w:val="0"/>
        <w:ind w:left="266" w:hanging="266"/>
        <w:textAlignment w:val="baseline"/>
        <w:rPr>
          <w:b/>
        </w:rPr>
      </w:pPr>
    </w:p>
    <w:p w:rsidRPr="00D36819" w:rsidR="0096247E" w:rsidP="00CC4510" w:rsidRDefault="0096247E" w14:paraId="3F9E4BDA" w14:textId="01735E5D">
      <w:pPr>
        <w:keepNext/>
        <w:keepLines/>
        <w:tabs>
          <w:tab w:val="center" w:pos="284"/>
        </w:tabs>
        <w:overflowPunct w:val="0"/>
        <w:autoSpaceDE w:val="0"/>
        <w:autoSpaceDN w:val="0"/>
        <w:adjustRightInd w:val="0"/>
        <w:ind w:left="266" w:hanging="266"/>
        <w:textAlignment w:val="baseline"/>
        <w:rPr>
          <w:bCs/>
        </w:rPr>
      </w:pPr>
      <w:r>
        <w:t>Europeiska ekonomiska och sociala kommitténs (EESK) ståndpunkt:</w:t>
      </w:r>
    </w:p>
    <w:p w:rsidRPr="00115BBC"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115BBC" w:rsidR="00115BBC" w:rsidP="00CC4510" w:rsidRDefault="00115BBC" w14:paraId="1773FF5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EESK ställer sig positiv till att alternativ tvistlösning används som </w:t>
      </w:r>
      <w:r>
        <w:rPr>
          <w:b/>
        </w:rPr>
        <w:t>ett alternativ till domstolsförfaranden</w:t>
      </w:r>
      <w:r>
        <w:t xml:space="preserve"> när konsumenter söker gottgörelse för skada som orsakats av näringsidkare, vid sidan av tillgängliga rättsliga förfaranden och nationella myndigheters åtgärder för att se till att konsumenters rättigheter upprätthålls.</w:t>
      </w:r>
    </w:p>
    <w:p w:rsidRPr="00115BBC" w:rsidR="00115BBC" w:rsidP="00CC4510"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Vi understryker vikten av att uppmuntra medlemsstaterna och näringslivet att inrätta dessa system och att uppmuntra </w:t>
      </w:r>
      <w:r>
        <w:rPr>
          <w:b/>
        </w:rPr>
        <w:t>näringsidkare</w:t>
      </w:r>
      <w:r>
        <w:t xml:space="preserve">, även </w:t>
      </w:r>
      <w:r>
        <w:rPr>
          <w:b/>
        </w:rPr>
        <w:t>små och medelstora företag</w:t>
      </w:r>
      <w:r>
        <w:t xml:space="preserve">, att frivilligt ansluta sig till dem och uppmanar kommissionen att </w:t>
      </w:r>
      <w:r>
        <w:rPr>
          <w:b/>
        </w:rPr>
        <w:t>se över framstegen med systemen för alternativ tvistlösning tre år efter det att det föreslagna direktivet genomförts</w:t>
      </w:r>
      <w:r>
        <w:t>.</w:t>
      </w:r>
    </w:p>
    <w:p w:rsidRPr="00115BBC" w:rsidR="00115BBC" w:rsidP="00CC4510"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rPr>
          <w:b/>
        </w:rPr>
        <w:t>Återkopplingen från instanser för alternativ tvistlösning</w:t>
      </w:r>
      <w:r>
        <w:t xml:space="preserve"> är ytterst värdefull för såväl branschfolk som lagstiftare och tillsynsmyndigheter. Kommittén efterlyser därför en </w:t>
      </w:r>
      <w:r>
        <w:rPr>
          <w:b/>
        </w:rPr>
        <w:t>påskyndad rapportering vid krissituationer</w:t>
      </w:r>
      <w:r>
        <w:t xml:space="preserve"> utöver kravet på att verksamhetsrapporter ska offentliggöras vartannat år av organen för alternativ tvistlösning. EESK uppmanar kommissionen att inkludera återkopplingen från plattformarna för alternativ tvistlösning i sina utvärderingar av branschspecifika bestämmelser.</w:t>
      </w:r>
    </w:p>
    <w:p w:rsidRPr="00115BBC" w:rsidR="00115BBC" w:rsidP="00CC4510"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Vi uppmanar lagstiftarna att </w:t>
      </w:r>
      <w:r>
        <w:rPr>
          <w:b/>
        </w:rPr>
        <w:t>förtydliga kravet på att konsumenterna först ska kontakta näringsidkaren innan de vänder sig till systemet för alternativ tvistlösning</w:t>
      </w:r>
      <w:r>
        <w:t xml:space="preserve">. Även frågan om </w:t>
      </w:r>
      <w:r>
        <w:rPr>
          <w:b/>
        </w:rPr>
        <w:t>påföljder</w:t>
      </w:r>
      <w:r>
        <w:t xml:space="preserve"> för näringsidkare som inte uppfyller kravet att meddela om de godtar förfarandet för alternativ tvistlösning inom de 20 arbetsdagar som nämns i förslagen bör förtydligas.</w:t>
      </w:r>
    </w:p>
    <w:p w:rsidRPr="00115BBC"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115BBC" w:rsidR="00115BBC" w:rsidTr="00B05454" w14:paraId="0EF87FAC" w14:textId="77777777">
        <w:tc>
          <w:tcPr>
            <w:tcW w:w="1418" w:type="dxa"/>
          </w:tcPr>
          <w:p w:rsidRPr="00115BBC" w:rsidR="00115BBC" w:rsidP="00115BBC" w:rsidRDefault="00115BBC" w14:paraId="3A608033"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115BBC" w:rsidR="00115BBC" w:rsidP="00115BBC" w:rsidRDefault="00115BBC" w14:paraId="2322F407" w14:textId="1D370AF8">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115BBC" w:rsidR="00115BBC" w:rsidTr="00B05454" w14:paraId="1C49B2AC" w14:textId="77777777">
        <w:tc>
          <w:tcPr>
            <w:tcW w:w="1418" w:type="dxa"/>
          </w:tcPr>
          <w:p w:rsidRPr="00115BBC" w:rsidR="00115BBC" w:rsidP="00115BBC" w:rsidRDefault="00115BBC" w14:paraId="6E4695C4" w14:textId="77777777">
            <w:pPr>
              <w:overflowPunct w:val="0"/>
              <w:autoSpaceDE w:val="0"/>
              <w:autoSpaceDN w:val="0"/>
              <w:adjustRightInd w:val="0"/>
              <w:spacing w:line="240" w:lineRule="auto"/>
              <w:textAlignment w:val="baseline"/>
              <w:rPr>
                <w:i/>
              </w:rPr>
            </w:pPr>
            <w:r>
              <w:rPr>
                <w:i/>
              </w:rPr>
              <w:t>Tfn</w:t>
            </w:r>
          </w:p>
        </w:tc>
        <w:tc>
          <w:tcPr>
            <w:tcW w:w="5670" w:type="dxa"/>
          </w:tcPr>
          <w:p w:rsidRPr="00115BBC" w:rsidR="00115BBC" w:rsidP="00115BBC" w:rsidRDefault="00115BBC" w14:paraId="24EC6775" w14:textId="77777777">
            <w:pPr>
              <w:overflowPunct w:val="0"/>
              <w:autoSpaceDE w:val="0"/>
              <w:autoSpaceDN w:val="0"/>
              <w:adjustRightInd w:val="0"/>
              <w:spacing w:line="240" w:lineRule="auto"/>
              <w:textAlignment w:val="baseline"/>
              <w:rPr>
                <w:i/>
              </w:rPr>
            </w:pPr>
            <w:r>
              <w:rPr>
                <w:i/>
              </w:rPr>
              <w:t>+32 25468378</w:t>
            </w:r>
          </w:p>
        </w:tc>
      </w:tr>
      <w:tr w:rsidRPr="00115BBC" w:rsidR="00115BBC" w:rsidTr="00B05454" w14:paraId="55737622" w14:textId="77777777">
        <w:tc>
          <w:tcPr>
            <w:tcW w:w="1418" w:type="dxa"/>
          </w:tcPr>
          <w:p w:rsidRPr="00115BBC" w:rsidR="00115BBC" w:rsidP="00115BBC" w:rsidRDefault="00115BBC" w14:paraId="525828AE" w14:textId="77777777">
            <w:pPr>
              <w:overflowPunct w:val="0"/>
              <w:autoSpaceDE w:val="0"/>
              <w:autoSpaceDN w:val="0"/>
              <w:adjustRightInd w:val="0"/>
              <w:spacing w:line="240" w:lineRule="auto"/>
              <w:textAlignment w:val="baseline"/>
              <w:rPr>
                <w:i/>
              </w:rPr>
            </w:pPr>
            <w:r>
              <w:rPr>
                <w:i/>
              </w:rPr>
              <w:t>E-post:</w:t>
            </w:r>
          </w:p>
        </w:tc>
        <w:tc>
          <w:tcPr>
            <w:tcW w:w="5670" w:type="dxa"/>
          </w:tcPr>
          <w:p w:rsidRPr="00115BBC" w:rsidR="00115BBC" w:rsidP="00115BBC" w:rsidRDefault="00313C89" w14:paraId="1B1D7DE5" w14:textId="77777777">
            <w:pPr>
              <w:overflowPunct w:val="0"/>
              <w:autoSpaceDE w:val="0"/>
              <w:autoSpaceDN w:val="0"/>
              <w:adjustRightInd w:val="0"/>
              <w:spacing w:line="240" w:lineRule="auto"/>
              <w:textAlignment w:val="baseline"/>
              <w:rPr>
                <w:i/>
                <w:iCs/>
              </w:rPr>
            </w:pPr>
            <w:hyperlink w:history="1" r:id="rId29">
              <w:r w:rsidR="00016559">
                <w:rPr>
                  <w:i/>
                  <w:color w:val="0000FF"/>
                  <w:u w:val="single"/>
                </w:rPr>
                <w:t>Silvia.Staffa@eesc.europa.eu</w:t>
              </w:r>
            </w:hyperlink>
          </w:p>
        </w:tc>
      </w:tr>
    </w:tbl>
    <w:p w:rsidR="00115BBC" w:rsidRDefault="00115BBC" w14:paraId="7C16A4C7" w14:textId="77777777">
      <w:pPr>
        <w:spacing w:after="160" w:line="259" w:lineRule="auto"/>
        <w:jc w:val="left"/>
        <w:rPr>
          <w:sz w:val="16"/>
          <w:szCs w:val="16"/>
        </w:rPr>
      </w:pPr>
    </w:p>
    <w:p w:rsidR="00115BBC" w:rsidRDefault="00115BBC" w14:paraId="548FB513" w14:textId="77777777">
      <w:pPr>
        <w:spacing w:after="160" w:line="259" w:lineRule="auto"/>
        <w:jc w:val="left"/>
        <w:rPr>
          <w:sz w:val="16"/>
          <w:szCs w:val="16"/>
        </w:rPr>
      </w:pPr>
      <w:r>
        <w:br w:type="page"/>
      </w:r>
    </w:p>
    <w:p w:rsidRPr="00016C21" w:rsidR="00016C21" w:rsidP="00016C21" w:rsidRDefault="00313C89" w14:paraId="53C9A431" w14:textId="0A37C9E2">
      <w:pPr>
        <w:widowControl w:val="0"/>
        <w:numPr>
          <w:ilvl w:val="0"/>
          <w:numId w:val="2"/>
        </w:numPr>
        <w:overflowPunct w:val="0"/>
        <w:autoSpaceDE w:val="0"/>
        <w:autoSpaceDN w:val="0"/>
        <w:adjustRightInd w:val="0"/>
        <w:ind w:hanging="567"/>
        <w:textAlignment w:val="baseline"/>
        <w:rPr>
          <w:sz w:val="20"/>
          <w:szCs w:val="20"/>
        </w:rPr>
      </w:pPr>
      <w:hyperlink w:tgtFrame="_blank" w:history="1" r:id="rId30">
        <w:r w:rsidR="00016559">
          <w:rPr>
            <w:b/>
            <w:i/>
            <w:color w:val="0000FF"/>
            <w:sz w:val="28"/>
            <w:u w:val="single"/>
          </w:rPr>
          <w:t>Stödpaket för små och medelstora företag</w:t>
        </w:r>
      </w:hyperlink>
    </w:p>
    <w:p w:rsidRPr="00016C21"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241"/>
      </w:tblGrid>
      <w:tr w:rsidRPr="00016C21" w:rsidR="00016C21" w:rsidTr="00CC4510" w14:paraId="4F2580C3" w14:textId="77777777">
        <w:tc>
          <w:tcPr>
            <w:tcW w:w="1228" w:type="pct"/>
          </w:tcPr>
          <w:p w:rsidRPr="00016C21" w:rsidR="00016C21" w:rsidP="00016C21" w:rsidRDefault="00016C21" w14:paraId="72DF44FE" w14:textId="77777777">
            <w:pPr>
              <w:tabs>
                <w:tab w:val="center" w:pos="0"/>
              </w:tabs>
              <w:overflowPunct w:val="0"/>
              <w:autoSpaceDE w:val="0"/>
              <w:autoSpaceDN w:val="0"/>
              <w:adjustRightInd w:val="0"/>
              <w:jc w:val="left"/>
              <w:textAlignment w:val="baseline"/>
              <w:rPr>
                <w:b/>
              </w:rPr>
            </w:pPr>
            <w:r>
              <w:rPr>
                <w:b/>
              </w:rPr>
              <w:t>Föredragande</w:t>
            </w:r>
            <w:r>
              <w:rPr>
                <w:b/>
              </w:rPr>
              <w:br/>
              <w:t>Medföredragande</w:t>
            </w:r>
          </w:p>
        </w:tc>
        <w:tc>
          <w:tcPr>
            <w:tcW w:w="3772" w:type="pct"/>
          </w:tcPr>
          <w:p w:rsidRPr="00016C21" w:rsidR="00016C21" w:rsidP="00CC4510" w:rsidRDefault="00016C21" w14:paraId="7A66A71A" w14:textId="1948A7D0">
            <w:pPr>
              <w:tabs>
                <w:tab w:val="center" w:pos="0"/>
              </w:tabs>
              <w:overflowPunct w:val="0"/>
              <w:autoSpaceDE w:val="0"/>
              <w:autoSpaceDN w:val="0"/>
              <w:adjustRightInd w:val="0"/>
              <w:ind w:right="1591"/>
              <w:textAlignment w:val="baseline"/>
            </w:pPr>
            <w:proofErr w:type="spellStart"/>
            <w:r>
              <w:t>Alena</w:t>
            </w:r>
            <w:proofErr w:type="spellEnd"/>
            <w:r>
              <w:t xml:space="preserve"> </w:t>
            </w:r>
            <w:proofErr w:type="spellStart"/>
            <w:r>
              <w:t>Mastantuono</w:t>
            </w:r>
            <w:proofErr w:type="spellEnd"/>
            <w:r>
              <w:t xml:space="preserve"> (Arbetsgivargruppen – CZ)</w:t>
            </w:r>
            <w:r>
              <w:br/>
              <w:t xml:space="preserve">Angelo </w:t>
            </w:r>
            <w:proofErr w:type="spellStart"/>
            <w:r>
              <w:t>Pagliara</w:t>
            </w:r>
            <w:proofErr w:type="spellEnd"/>
            <w:r>
              <w:t xml:space="preserve"> (Arbetstagargruppen – IT)</w:t>
            </w:r>
          </w:p>
        </w:tc>
      </w:tr>
      <w:tr w:rsidRPr="00016C21" w:rsidR="00016C21" w:rsidTr="00CC4510" w14:paraId="0DAADC43" w14:textId="77777777">
        <w:tc>
          <w:tcPr>
            <w:tcW w:w="5000" w:type="pct"/>
            <w:gridSpan w:val="2"/>
          </w:tcPr>
          <w:p w:rsidRPr="00016C21"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pPr>
          </w:p>
        </w:tc>
      </w:tr>
      <w:tr w:rsidRPr="00016C21" w:rsidR="00016C21" w:rsidTr="00CC4510" w14:paraId="3C188AC4" w14:textId="77777777">
        <w:tc>
          <w:tcPr>
            <w:tcW w:w="1228" w:type="pct"/>
            <w:vMerge w:val="restart"/>
          </w:tcPr>
          <w:p w:rsidRPr="00016C21" w:rsidR="00016C21" w:rsidP="00016C21" w:rsidRDefault="00016C21" w14:paraId="6ED0BDE5" w14:textId="77777777">
            <w:pPr>
              <w:tabs>
                <w:tab w:val="center" w:pos="284"/>
              </w:tabs>
              <w:overflowPunct w:val="0"/>
              <w:autoSpaceDE w:val="0"/>
              <w:autoSpaceDN w:val="0"/>
              <w:adjustRightInd w:val="0"/>
              <w:ind w:left="266" w:hanging="266"/>
              <w:textAlignment w:val="baseline"/>
              <w:rPr>
                <w:b/>
              </w:rPr>
            </w:pPr>
            <w:r>
              <w:rPr>
                <w:b/>
              </w:rPr>
              <w:t>Referensdokument:</w:t>
            </w:r>
          </w:p>
        </w:tc>
        <w:tc>
          <w:tcPr>
            <w:tcW w:w="3772" w:type="pct"/>
          </w:tcPr>
          <w:p w:rsidRPr="00016C21" w:rsidR="00016C21" w:rsidP="00016C21" w:rsidRDefault="00016C21" w14:paraId="5911E5F0" w14:textId="77777777">
            <w:pPr>
              <w:tabs>
                <w:tab w:val="center" w:pos="284"/>
              </w:tabs>
              <w:overflowPunct w:val="0"/>
              <w:autoSpaceDE w:val="0"/>
              <w:autoSpaceDN w:val="0"/>
              <w:adjustRightInd w:val="0"/>
              <w:ind w:left="266" w:hanging="266"/>
              <w:textAlignment w:val="baseline"/>
            </w:pPr>
            <w:r>
              <w:t>COM(2023) 535 final</w:t>
            </w:r>
          </w:p>
          <w:p w:rsidRPr="00016C21" w:rsidR="00016C21" w:rsidP="00016C21" w:rsidRDefault="00016C21" w14:paraId="1EAF09D2" w14:textId="77777777">
            <w:pPr>
              <w:tabs>
                <w:tab w:val="center" w:pos="284"/>
              </w:tabs>
              <w:overflowPunct w:val="0"/>
              <w:autoSpaceDE w:val="0"/>
              <w:autoSpaceDN w:val="0"/>
              <w:adjustRightInd w:val="0"/>
              <w:ind w:left="266" w:hanging="266"/>
              <w:textAlignment w:val="baseline"/>
            </w:pPr>
            <w:r>
              <w:t>EESC-2023-05071-00-00-AC</w:t>
            </w:r>
          </w:p>
        </w:tc>
      </w:tr>
      <w:tr w:rsidRPr="00016C21" w:rsidR="00016C21" w:rsidTr="00CC4510" w14:paraId="34BD45CA" w14:textId="77777777">
        <w:tc>
          <w:tcPr>
            <w:tcW w:w="1228" w:type="pct"/>
            <w:vMerge/>
          </w:tcPr>
          <w:p w:rsidRPr="00016C21"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016C21"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016C21" w:rsidR="00016C21" w:rsidP="00CC4510" w:rsidRDefault="00016C21" w14:paraId="5C2B27D4" w14:textId="77777777">
      <w:pPr>
        <w:keepNext/>
        <w:keepLines/>
        <w:tabs>
          <w:tab w:val="center" w:pos="284"/>
        </w:tabs>
        <w:overflowPunct w:val="0"/>
        <w:autoSpaceDE w:val="0"/>
        <w:autoSpaceDN w:val="0"/>
        <w:adjustRightInd w:val="0"/>
        <w:ind w:left="266" w:hanging="124"/>
        <w:textAlignment w:val="baseline"/>
        <w:rPr>
          <w:b/>
        </w:rPr>
      </w:pPr>
      <w:r>
        <w:rPr>
          <w:b/>
        </w:rPr>
        <w:t>Huvudpunkter</w:t>
      </w:r>
    </w:p>
    <w:p w:rsidRPr="00016C21"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016C21" w:rsidR="00016C21" w:rsidP="00CC4510" w:rsidRDefault="00016C21" w14:paraId="6F102ADF" w14:textId="77777777">
      <w:pPr>
        <w:overflowPunct w:val="0"/>
        <w:autoSpaceDE w:val="0"/>
        <w:autoSpaceDN w:val="0"/>
        <w:adjustRightInd w:val="0"/>
        <w:ind w:firstLine="142"/>
        <w:textAlignment w:val="baseline"/>
        <w:rPr>
          <w:bCs/>
          <w:iCs/>
        </w:rPr>
      </w:pPr>
      <w:r>
        <w:t>Europeiska ekonomiska och sociala kommitténs (EESK) ståndpunkt:</w:t>
      </w:r>
    </w:p>
    <w:p w:rsidRPr="00016C21" w:rsidR="00016C21" w:rsidP="00016C21" w:rsidRDefault="00016C21" w14:paraId="5A499E14" w14:textId="77777777">
      <w:pPr>
        <w:overflowPunct w:val="0"/>
        <w:autoSpaceDE w:val="0"/>
        <w:autoSpaceDN w:val="0"/>
        <w:adjustRightInd w:val="0"/>
        <w:textAlignment w:val="baseline"/>
        <w:rPr>
          <w:bCs/>
          <w:iCs/>
        </w:rPr>
      </w:pPr>
    </w:p>
    <w:p w:rsidRPr="00016C21" w:rsidR="00016C21" w:rsidP="00CC4510"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EESK välkomnar stödpaketet för små och medelstora företag som ett försök att sätta </w:t>
      </w:r>
      <w:r>
        <w:rPr>
          <w:b/>
        </w:rPr>
        <w:t>små och medelstora företag i centrum för EU:s lagstiftning</w:t>
      </w:r>
      <w:r>
        <w:t xml:space="preserve"> och i hjärtat av EU:s strategier, diskussioner och åtgärder till stöd för konkurrenskraften. Nästa kommission bör </w:t>
      </w:r>
      <w:r>
        <w:rPr>
          <w:b/>
        </w:rPr>
        <w:t>prioritera detta och ge åtagandet kontinuitet</w:t>
      </w:r>
      <w:r>
        <w:t>.</w:t>
      </w:r>
    </w:p>
    <w:p w:rsidRPr="00016C21" w:rsidR="00016C21" w:rsidP="00CC4510"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Kommissionen måste se till att </w:t>
      </w:r>
      <w:r>
        <w:rPr>
          <w:b/>
        </w:rPr>
        <w:t>EU-företrädaren för små och medelstora företag har en företagarbakgrund</w:t>
      </w:r>
      <w:r>
        <w:t xml:space="preserve"> och en väldefinierad uppsättning befogenheter och ansvarsområden under den kommande mandatperioden 2024–2029 och att tjänsten åtföljs av </w:t>
      </w:r>
      <w:r>
        <w:rPr>
          <w:b/>
        </w:rPr>
        <w:t>tillräckliga resurser</w:t>
      </w:r>
      <w:r>
        <w:t xml:space="preserve"> i form av personal och ekonomiskt stöd.</w:t>
      </w:r>
    </w:p>
    <w:p w:rsidRPr="00016C21" w:rsidR="00016C21" w:rsidP="00CC4510"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EESK välkomnar insatserna för att förenkla och minska bördorna på momsområdet vid gränsöverskridande verksamhet. Vi noterar dock att mer måste göras för att undanröja andra ihållande hinder. </w:t>
      </w:r>
      <w:r>
        <w:rPr>
          <w:b/>
        </w:rPr>
        <w:t>Fragmenteringen på den inre marknaden och olika nationella regler</w:t>
      </w:r>
      <w:r>
        <w:t xml:space="preserve"> för varor och tjänster </w:t>
      </w:r>
      <w:r>
        <w:rPr>
          <w:b/>
        </w:rPr>
        <w:t>innebär en avsevärd börda för företagen</w:t>
      </w:r>
      <w:r>
        <w:t>.</w:t>
      </w:r>
    </w:p>
    <w:p w:rsidRPr="00016C21" w:rsidR="00016C21" w:rsidP="00CC4510"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Kommittén anser att </w:t>
      </w:r>
      <w:r>
        <w:rPr>
          <w:b/>
        </w:rPr>
        <w:t>det bör bli lättare för små och medelstora företag att få tillgång till finansiella medel</w:t>
      </w:r>
      <w:r>
        <w:t>, genom antingen bidrag, lån eller andra finansiella instrument, med skräddarsytt stöd. Vi uppmanar också kommissionen att vidta alla nödvändiga åtgärder för att uppmuntra små och medelstora företag att agera ansvarsfullt när de får tillgång till EU-medel.</w:t>
      </w:r>
    </w:p>
    <w:p w:rsidRPr="00016C21" w:rsidR="00016C21" w:rsidP="00CC4510"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EESK betonar att bättre användning av befintliga verktyg kan bidra till att byråkrati undviks. Ett bra exempel är att </w:t>
      </w:r>
      <w:r>
        <w:rPr>
          <w:b/>
        </w:rPr>
        <w:t>i alla lagstiftningsförslag ange de förväntade skyldigheter som följer av förslaget</w:t>
      </w:r>
      <w:r>
        <w:t>, vilket bl.a. bidrar till en bättre förståelse av den kumulativa bördan.</w:t>
      </w:r>
    </w:p>
    <w:p w:rsidRPr="00016C21" w:rsidR="00016C21" w:rsidP="00016C21" w:rsidRDefault="00016C21" w14:paraId="29A5A99B" w14:textId="77777777">
      <w:pPr>
        <w:spacing w:after="120" w:line="276" w:lineRule="auto"/>
        <w:ind w:left="1434"/>
        <w:rPr>
          <w:bCs/>
          <w:iCs/>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16C21" w:rsidR="00016C21" w:rsidTr="00B05454" w14:paraId="33461CA2" w14:textId="77777777">
        <w:tc>
          <w:tcPr>
            <w:tcW w:w="1556" w:type="pct"/>
          </w:tcPr>
          <w:p w:rsidRPr="00016C21" w:rsidR="00016C21" w:rsidP="00016C21" w:rsidRDefault="00016C21" w14:paraId="536875C6"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016C21" w:rsidR="00016C21" w:rsidP="00016C21" w:rsidRDefault="00016C21" w14:paraId="697B1E4B"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Bernard</w:t>
            </w:r>
          </w:p>
        </w:tc>
      </w:tr>
      <w:tr w:rsidRPr="00016C21" w:rsidR="00016C21" w:rsidTr="00B05454" w14:paraId="11E64266" w14:textId="77777777">
        <w:tc>
          <w:tcPr>
            <w:tcW w:w="1556" w:type="pct"/>
          </w:tcPr>
          <w:p w:rsidRPr="00016C21" w:rsidR="00016C21" w:rsidP="00016C21" w:rsidRDefault="00016C21" w14:paraId="23C53038" w14:textId="77777777">
            <w:pPr>
              <w:overflowPunct w:val="0"/>
              <w:autoSpaceDE w:val="0"/>
              <w:autoSpaceDN w:val="0"/>
              <w:adjustRightInd w:val="0"/>
              <w:spacing w:line="240" w:lineRule="auto"/>
              <w:textAlignment w:val="baseline"/>
              <w:rPr>
                <w:i/>
              </w:rPr>
            </w:pPr>
            <w:r>
              <w:rPr>
                <w:i/>
              </w:rPr>
              <w:t>Tfn</w:t>
            </w:r>
          </w:p>
        </w:tc>
        <w:tc>
          <w:tcPr>
            <w:tcW w:w="3444" w:type="pct"/>
          </w:tcPr>
          <w:p w:rsidRPr="00016C21" w:rsidR="00016C21" w:rsidP="00016C21" w:rsidRDefault="00016C21" w14:paraId="5ED7A51D" w14:textId="77777777">
            <w:pPr>
              <w:overflowPunct w:val="0"/>
              <w:autoSpaceDE w:val="0"/>
              <w:autoSpaceDN w:val="0"/>
              <w:adjustRightInd w:val="0"/>
              <w:spacing w:line="240" w:lineRule="auto"/>
              <w:textAlignment w:val="baseline"/>
              <w:rPr>
                <w:i/>
              </w:rPr>
            </w:pPr>
            <w:r>
              <w:rPr>
                <w:i/>
              </w:rPr>
              <w:t>+32 25468438</w:t>
            </w:r>
          </w:p>
        </w:tc>
      </w:tr>
      <w:tr w:rsidRPr="00016C21" w:rsidR="00016C21" w:rsidTr="00B05454" w14:paraId="72056838" w14:textId="77777777">
        <w:tc>
          <w:tcPr>
            <w:tcW w:w="1556" w:type="pct"/>
          </w:tcPr>
          <w:p w:rsidRPr="00016C21" w:rsidR="00016C21" w:rsidP="00016C21" w:rsidRDefault="00016C21" w14:paraId="498DF601" w14:textId="77777777">
            <w:pPr>
              <w:overflowPunct w:val="0"/>
              <w:autoSpaceDE w:val="0"/>
              <w:autoSpaceDN w:val="0"/>
              <w:adjustRightInd w:val="0"/>
              <w:spacing w:line="240" w:lineRule="auto"/>
              <w:textAlignment w:val="baseline"/>
              <w:rPr>
                <w:i/>
              </w:rPr>
            </w:pPr>
            <w:r>
              <w:rPr>
                <w:i/>
              </w:rPr>
              <w:t>E-post:</w:t>
            </w:r>
          </w:p>
        </w:tc>
        <w:tc>
          <w:tcPr>
            <w:tcW w:w="3444" w:type="pct"/>
          </w:tcPr>
          <w:p w:rsidRPr="00016C21" w:rsidR="00016C21" w:rsidP="00016C21" w:rsidRDefault="00313C89" w14:paraId="78D8A06B" w14:textId="135A9FB2">
            <w:pPr>
              <w:overflowPunct w:val="0"/>
              <w:autoSpaceDE w:val="0"/>
              <w:autoSpaceDN w:val="0"/>
              <w:adjustRightInd w:val="0"/>
              <w:spacing w:line="240" w:lineRule="auto"/>
              <w:textAlignment w:val="baseline"/>
              <w:rPr>
                <w:i/>
              </w:rPr>
            </w:pPr>
            <w:hyperlink w:history="1" r:id="rId31">
              <w:r w:rsidR="00016559">
                <w:rPr>
                  <w:color w:val="0000FF"/>
                  <w:u w:val="single"/>
                </w:rPr>
                <w:t>Dalila.Bernard@eesc.europa.eu</w:t>
              </w:r>
            </w:hyperlink>
          </w:p>
          <w:p w:rsidRPr="00016C21" w:rsidR="00016C21" w:rsidP="00016C21" w:rsidRDefault="00016C21" w14:paraId="298F1AD7" w14:textId="77777777">
            <w:pPr>
              <w:overflowPunct w:val="0"/>
              <w:autoSpaceDE w:val="0"/>
              <w:autoSpaceDN w:val="0"/>
              <w:adjustRightInd w:val="0"/>
              <w:spacing w:line="240" w:lineRule="auto"/>
              <w:textAlignment w:val="baseline"/>
              <w:rPr>
                <w:i/>
              </w:rPr>
            </w:pPr>
          </w:p>
        </w:tc>
      </w:tr>
    </w:tbl>
    <w:p w:rsidR="00DC121F" w:rsidRDefault="00DC121F" w14:paraId="6AFE14EC" w14:textId="0BBC5EDB">
      <w:pPr>
        <w:spacing w:after="160" w:line="259" w:lineRule="auto"/>
        <w:jc w:val="left"/>
        <w:rPr>
          <w:sz w:val="16"/>
          <w:szCs w:val="16"/>
        </w:rPr>
      </w:pPr>
      <w:r>
        <w:br w:type="page"/>
      </w:r>
    </w:p>
    <w:p w:rsidRPr="00EE2FBD" w:rsidR="004C3902" w:rsidP="00234EA0" w:rsidRDefault="008E2A59" w14:paraId="7AD922B6" w14:textId="6D6B967E">
      <w:pPr>
        <w:pStyle w:val="Heading1"/>
        <w:ind w:hanging="928"/>
        <w:rPr>
          <w:b/>
          <w:bCs/>
        </w:rPr>
      </w:pPr>
      <w:bookmarkStart w:name="_Toc153539681" w:id="28"/>
      <w:bookmarkStart w:name="_Toc160789116" w:id="29"/>
      <w:r>
        <w:rPr>
          <w:b/>
        </w:rPr>
        <w:lastRenderedPageBreak/>
        <w:t>JORDBRUK, LANDSBYGDSUTVECKLING OCH MILJÖ</w:t>
      </w:r>
      <w:bookmarkStart w:name="_Hlk145944317" w:id="30"/>
      <w:bookmarkEnd w:id="28"/>
      <w:bookmarkEnd w:id="29"/>
    </w:p>
    <w:bookmarkEnd w:id="30"/>
    <w:p w:rsidRPr="00256A3E" w:rsidR="002C016E" w:rsidP="00DE43CE" w:rsidRDefault="002C016E" w14:paraId="0E7342A4" w14:textId="73254B30">
      <w:pPr>
        <w:keepNext/>
        <w:keepLines/>
        <w:jc w:val="left"/>
        <w:rPr>
          <w:bCs/>
          <w:iCs/>
          <w:sz w:val="16"/>
          <w:szCs w:val="16"/>
        </w:rPr>
      </w:pPr>
    </w:p>
    <w:p w:rsidRPr="00016C21" w:rsidR="00016C21" w:rsidP="00016C21" w:rsidRDefault="00313C89" w14:paraId="48966958" w14:textId="16AD2DEF">
      <w:pPr>
        <w:numPr>
          <w:ilvl w:val="0"/>
          <w:numId w:val="3"/>
        </w:numPr>
        <w:overflowPunct w:val="0"/>
        <w:autoSpaceDE w:val="0"/>
        <w:autoSpaceDN w:val="0"/>
        <w:adjustRightInd w:val="0"/>
        <w:spacing w:line="276" w:lineRule="auto"/>
        <w:ind w:left="425" w:hanging="357"/>
        <w:contextualSpacing/>
        <w:jc w:val="left"/>
        <w:textAlignment w:val="baseline"/>
        <w:rPr>
          <w:i/>
          <w:iCs/>
        </w:rPr>
      </w:pPr>
      <w:hyperlink w:history="1" r:id="rId32">
        <w:r w:rsidR="00016559">
          <w:rPr>
            <w:b/>
            <w:i/>
            <w:color w:val="0000FF"/>
            <w:sz w:val="28"/>
            <w:u w:val="single"/>
          </w:rPr>
          <w:t>Förebyggande av förluster av plastpellets i syfte att minska mikroplastförorening</w:t>
        </w:r>
      </w:hyperlink>
    </w:p>
    <w:p w:rsidRPr="00016C21" w:rsidR="005E64DC" w:rsidP="00016C21" w:rsidRDefault="005E64DC" w14:paraId="32E7BE77" w14:textId="77777777">
      <w:pPr>
        <w:widowControl w:val="0"/>
        <w:overflowPunct w:val="0"/>
        <w:autoSpaceDE w:val="0"/>
        <w:autoSpaceDN w:val="0"/>
        <w:adjustRightInd w:val="0"/>
        <w:ind w:left="567"/>
        <w:textAlignment w:val="baseline"/>
        <w:rPr>
          <w:bCs/>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096"/>
      </w:tblGrid>
      <w:tr w:rsidRPr="00016C21" w:rsidR="00016C21" w:rsidTr="00B05454" w14:paraId="2AA339FF" w14:textId="77777777">
        <w:tc>
          <w:tcPr>
            <w:tcW w:w="1701" w:type="dxa"/>
          </w:tcPr>
          <w:p w:rsidRPr="00016C21" w:rsidR="00016C21" w:rsidP="00CC4510" w:rsidRDefault="00016C21" w14:paraId="3160CF33" w14:textId="77777777">
            <w:pPr>
              <w:tabs>
                <w:tab w:val="center" w:pos="284"/>
              </w:tabs>
              <w:overflowPunct w:val="0"/>
              <w:autoSpaceDE w:val="0"/>
              <w:autoSpaceDN w:val="0"/>
              <w:adjustRightInd w:val="0"/>
              <w:spacing w:line="276" w:lineRule="auto"/>
              <w:ind w:left="266" w:hanging="266"/>
              <w:textAlignment w:val="baseline"/>
              <w:rPr>
                <w:b/>
              </w:rPr>
            </w:pPr>
            <w:r>
              <w:rPr>
                <w:b/>
              </w:rPr>
              <w:t>Föredragande:</w:t>
            </w:r>
          </w:p>
        </w:tc>
        <w:tc>
          <w:tcPr>
            <w:tcW w:w="6096" w:type="dxa"/>
          </w:tcPr>
          <w:p w:rsidRPr="00016C21" w:rsidR="00016C21" w:rsidP="00CC4510" w:rsidRDefault="00016C21" w14:paraId="69F9AE5E" w14:textId="0CC7DB21">
            <w:pPr>
              <w:tabs>
                <w:tab w:val="center" w:pos="284"/>
              </w:tabs>
              <w:overflowPunct w:val="0"/>
              <w:autoSpaceDE w:val="0"/>
              <w:autoSpaceDN w:val="0"/>
              <w:adjustRightInd w:val="0"/>
              <w:spacing w:line="276" w:lineRule="auto"/>
              <w:ind w:left="266" w:hanging="266"/>
              <w:textAlignment w:val="baseline"/>
              <w:rPr>
                <w:bCs/>
              </w:rPr>
            </w:pPr>
            <w:proofErr w:type="spellStart"/>
            <w:r>
              <w:rPr>
                <w:b/>
              </w:rPr>
              <w:t>András</w:t>
            </w:r>
            <w:proofErr w:type="spellEnd"/>
            <w:r>
              <w:rPr>
                <w:b/>
              </w:rPr>
              <w:t xml:space="preserve"> </w:t>
            </w:r>
            <w:proofErr w:type="spellStart"/>
            <w:r>
              <w:rPr>
                <w:b/>
              </w:rPr>
              <w:t>Edelényi</w:t>
            </w:r>
            <w:proofErr w:type="spellEnd"/>
            <w:r>
              <w:t xml:space="preserve"> (Arbetsgivargruppen – HU)</w:t>
            </w:r>
          </w:p>
        </w:tc>
      </w:tr>
      <w:tr w:rsidRPr="00016C21" w:rsidR="00016C21" w:rsidTr="00B05454" w14:paraId="3D2947AE" w14:textId="77777777">
        <w:tc>
          <w:tcPr>
            <w:tcW w:w="1701" w:type="dxa"/>
          </w:tcPr>
          <w:p w:rsidRPr="00016C21" w:rsidR="00016C21" w:rsidP="00CC4510" w:rsidRDefault="00016C21" w14:paraId="52F4AA0D" w14:textId="77777777">
            <w:pPr>
              <w:tabs>
                <w:tab w:val="center" w:pos="284"/>
              </w:tabs>
              <w:overflowPunct w:val="0"/>
              <w:autoSpaceDE w:val="0"/>
              <w:autoSpaceDN w:val="0"/>
              <w:adjustRightInd w:val="0"/>
              <w:spacing w:line="276" w:lineRule="auto"/>
              <w:ind w:left="266" w:hanging="266"/>
              <w:textAlignment w:val="baseline"/>
              <w:rPr>
                <w:b/>
              </w:rPr>
            </w:pPr>
            <w:r>
              <w:rPr>
                <w:b/>
              </w:rPr>
              <w:t>Medföredragande:</w:t>
            </w:r>
          </w:p>
        </w:tc>
        <w:tc>
          <w:tcPr>
            <w:tcW w:w="6096" w:type="dxa"/>
          </w:tcPr>
          <w:p w:rsidRPr="00016C21" w:rsidR="00016C21" w:rsidP="00CC4510" w:rsidRDefault="00016C21" w14:paraId="0F2C9A54" w14:textId="6A2E4865">
            <w:pPr>
              <w:overflowPunct w:val="0"/>
              <w:autoSpaceDE w:val="0"/>
              <w:autoSpaceDN w:val="0"/>
              <w:adjustRightInd w:val="0"/>
              <w:spacing w:line="276" w:lineRule="auto"/>
              <w:textAlignment w:val="baseline"/>
              <w:rPr>
                <w:b/>
              </w:rPr>
            </w:pPr>
            <w:r>
              <w:rPr>
                <w:b/>
              </w:rPr>
              <w:t xml:space="preserve">Maria NIKOLOPOULOU </w:t>
            </w:r>
            <w:r>
              <w:t>(Arbetstagargruppen</w:t>
            </w:r>
            <w:r>
              <w:rPr>
                <w:color w:val="000000"/>
              </w:rPr>
              <w:t xml:space="preserve"> - ES</w:t>
            </w:r>
            <w:r>
              <w:t>)</w:t>
            </w:r>
          </w:p>
        </w:tc>
      </w:tr>
      <w:tr w:rsidRPr="00016C21" w:rsidR="00016C21" w:rsidTr="00B05454" w14:paraId="37E9B43F" w14:textId="77777777">
        <w:tc>
          <w:tcPr>
            <w:tcW w:w="7797" w:type="dxa"/>
            <w:gridSpan w:val="2"/>
          </w:tcPr>
          <w:p w:rsidRPr="00016C21" w:rsidR="00016C21" w:rsidP="00CC4510" w:rsidRDefault="00016C21" w14:paraId="73AFBCC5"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016C21" w:rsidR="00016C21" w:rsidTr="00B05454" w14:paraId="15D23674" w14:textId="77777777">
        <w:tc>
          <w:tcPr>
            <w:tcW w:w="1701" w:type="dxa"/>
            <w:vMerge w:val="restart"/>
          </w:tcPr>
          <w:p w:rsidRPr="00016C21" w:rsidR="00016C21" w:rsidP="00CC4510" w:rsidRDefault="00016C21" w14:paraId="1BB4B745" w14:textId="77777777">
            <w:pPr>
              <w:tabs>
                <w:tab w:val="center" w:pos="284"/>
              </w:tabs>
              <w:overflowPunct w:val="0"/>
              <w:autoSpaceDE w:val="0"/>
              <w:autoSpaceDN w:val="0"/>
              <w:adjustRightInd w:val="0"/>
              <w:spacing w:line="276" w:lineRule="auto"/>
              <w:ind w:left="266" w:hanging="266"/>
              <w:textAlignment w:val="baseline"/>
              <w:rPr>
                <w:b/>
              </w:rPr>
            </w:pPr>
            <w:r>
              <w:rPr>
                <w:b/>
              </w:rPr>
              <w:t>Referensdokument:</w:t>
            </w:r>
          </w:p>
        </w:tc>
        <w:tc>
          <w:tcPr>
            <w:tcW w:w="6096" w:type="dxa"/>
          </w:tcPr>
          <w:p w:rsidRPr="00016C21" w:rsidR="00016C21" w:rsidP="00CC4510" w:rsidRDefault="00016C21" w14:paraId="7EE7987F" w14:textId="0C9C2881">
            <w:pPr>
              <w:tabs>
                <w:tab w:val="center" w:pos="284"/>
              </w:tabs>
              <w:overflowPunct w:val="0"/>
              <w:autoSpaceDE w:val="0"/>
              <w:autoSpaceDN w:val="0"/>
              <w:adjustRightInd w:val="0"/>
              <w:spacing w:line="276" w:lineRule="auto"/>
              <w:ind w:left="266" w:hanging="266"/>
              <w:textAlignment w:val="baseline"/>
            </w:pPr>
            <w:r>
              <w:t>COM(2023) 645 final</w:t>
            </w:r>
          </w:p>
        </w:tc>
      </w:tr>
      <w:tr w:rsidRPr="00016C21" w:rsidR="00016C21" w:rsidTr="00B05454" w14:paraId="5C2E846C" w14:textId="77777777">
        <w:tc>
          <w:tcPr>
            <w:tcW w:w="1701" w:type="dxa"/>
            <w:vMerge/>
          </w:tcPr>
          <w:p w:rsidRPr="00016C21" w:rsidR="00016C21" w:rsidP="00CC4510" w:rsidRDefault="00016C21" w14:paraId="3C7FAC6C" w14:textId="77777777">
            <w:pPr>
              <w:tabs>
                <w:tab w:val="center" w:pos="284"/>
              </w:tabs>
              <w:overflowPunct w:val="0"/>
              <w:autoSpaceDE w:val="0"/>
              <w:autoSpaceDN w:val="0"/>
              <w:adjustRightInd w:val="0"/>
              <w:spacing w:line="276" w:lineRule="auto"/>
              <w:ind w:left="266" w:hanging="266"/>
              <w:textAlignment w:val="baseline"/>
              <w:rPr>
                <w:b/>
              </w:rPr>
            </w:pPr>
          </w:p>
        </w:tc>
        <w:tc>
          <w:tcPr>
            <w:tcW w:w="6096" w:type="dxa"/>
          </w:tcPr>
          <w:p w:rsidRPr="00016C21" w:rsidR="00016C21" w:rsidP="00CC4510" w:rsidRDefault="00016C21" w14:paraId="0906927D" w14:textId="5DCAA039">
            <w:pPr>
              <w:tabs>
                <w:tab w:val="center" w:pos="284"/>
              </w:tabs>
              <w:overflowPunct w:val="0"/>
              <w:autoSpaceDE w:val="0"/>
              <w:autoSpaceDN w:val="0"/>
              <w:adjustRightInd w:val="0"/>
              <w:spacing w:line="276" w:lineRule="auto"/>
              <w:ind w:left="266" w:hanging="266"/>
              <w:textAlignment w:val="baseline"/>
            </w:pPr>
            <w:r>
              <w:t>EESC-2023-04923-00-00-AC</w:t>
            </w:r>
          </w:p>
        </w:tc>
      </w:tr>
    </w:tbl>
    <w:p w:rsidRPr="00256A3E" w:rsidR="00C05C6B" w:rsidP="005E64DC" w:rsidRDefault="00C05C6B" w14:paraId="53A18EF3" w14:textId="77777777">
      <w:pPr>
        <w:keepNext/>
        <w:keepLines/>
        <w:tabs>
          <w:tab w:val="center" w:pos="284"/>
        </w:tabs>
        <w:overflowPunct w:val="0"/>
        <w:autoSpaceDE w:val="0"/>
        <w:autoSpaceDN w:val="0"/>
        <w:adjustRightInd w:val="0"/>
        <w:spacing w:line="276" w:lineRule="auto"/>
        <w:ind w:left="266" w:hanging="124"/>
        <w:textAlignment w:val="baseline"/>
        <w:rPr>
          <w:b/>
          <w:sz w:val="16"/>
          <w:szCs w:val="16"/>
        </w:rPr>
      </w:pPr>
    </w:p>
    <w:p w:rsidRPr="00016C21" w:rsidR="00016C21" w:rsidP="00CC4510" w:rsidRDefault="00016C21" w14:paraId="7C49C143" w14:textId="4C6ED9AD">
      <w:pPr>
        <w:keepNext/>
        <w:keepLines/>
        <w:tabs>
          <w:tab w:val="center" w:pos="284"/>
        </w:tabs>
        <w:overflowPunct w:val="0"/>
        <w:autoSpaceDE w:val="0"/>
        <w:autoSpaceDN w:val="0"/>
        <w:adjustRightInd w:val="0"/>
        <w:spacing w:line="276" w:lineRule="auto"/>
        <w:ind w:left="266" w:hanging="124"/>
        <w:textAlignment w:val="baseline"/>
        <w:rPr>
          <w:b/>
        </w:rPr>
      </w:pPr>
      <w:r>
        <w:rPr>
          <w:b/>
        </w:rPr>
        <w:t>Huvudpunkter</w:t>
      </w:r>
    </w:p>
    <w:p w:rsidRPr="00016C21" w:rsidR="00016C21" w:rsidRDefault="00016C21" w14:paraId="34882F56"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016C21" w:rsidP="00CC4510" w:rsidRDefault="00016C21" w14:paraId="678CC3CA" w14:textId="6F26DAA6">
      <w:pPr>
        <w:overflowPunct w:val="0"/>
        <w:autoSpaceDE w:val="0"/>
        <w:autoSpaceDN w:val="0"/>
        <w:adjustRightInd w:val="0"/>
        <w:spacing w:line="276" w:lineRule="auto"/>
        <w:ind w:firstLine="142"/>
        <w:textAlignment w:val="baseline"/>
        <w:rPr>
          <w:bCs/>
          <w:iCs/>
        </w:rPr>
      </w:pPr>
      <w:r>
        <w:t>Europeiska ekonomiska och sociala kommitténs (EESK) ståndpunkt:</w:t>
      </w:r>
    </w:p>
    <w:p w:rsidRPr="00256A3E" w:rsidR="005E64DC" w:rsidP="00CC4510" w:rsidRDefault="005E64DC" w14:paraId="409EF56F" w14:textId="77777777">
      <w:pPr>
        <w:overflowPunct w:val="0"/>
        <w:autoSpaceDE w:val="0"/>
        <w:autoSpaceDN w:val="0"/>
        <w:adjustRightInd w:val="0"/>
        <w:spacing w:line="276" w:lineRule="auto"/>
        <w:textAlignment w:val="baseline"/>
        <w:rPr>
          <w:bCs/>
          <w:iCs/>
          <w:sz w:val="16"/>
          <w:szCs w:val="16"/>
        </w:rPr>
      </w:pPr>
    </w:p>
    <w:p w:rsidRPr="00CC4510" w:rsidR="00016C21" w:rsidP="00CC4510" w:rsidRDefault="00016C21" w14:paraId="1E401C83"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2" w:id="31"/>
      <w:bookmarkStart w:name="_Toc160789117" w:id="32"/>
      <w:r>
        <w:t xml:space="preserve">Kommittén är positiv till och </w:t>
      </w:r>
      <w:r>
        <w:rPr>
          <w:b/>
        </w:rPr>
        <w:t>stöder</w:t>
      </w:r>
      <w:r>
        <w:t xml:space="preserve"> i huvudsak </w:t>
      </w:r>
      <w:r>
        <w:rPr>
          <w:b/>
        </w:rPr>
        <w:t>kommissionens förslag</w:t>
      </w:r>
      <w:r>
        <w:t xml:space="preserve"> om att reglera hantering och utsläpp av mikroplastpellets och minska de farliga föroreningarna inom detta specifika område.</w:t>
      </w:r>
      <w:bookmarkEnd w:id="31"/>
      <w:bookmarkEnd w:id="32"/>
    </w:p>
    <w:p w:rsidRPr="00CC4510" w:rsidR="00016C21" w:rsidP="00CC4510" w:rsidRDefault="00016C21" w14:paraId="1C92984C"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2"/>
          <w:szCs w:val="20"/>
        </w:rPr>
      </w:pPr>
      <w:bookmarkStart w:name="_Toc159831773" w:id="33"/>
      <w:bookmarkStart w:name="_Toc160789118" w:id="34"/>
      <w:r>
        <w:t xml:space="preserve">Det finns ett akut behov av att </w:t>
      </w:r>
      <w:r>
        <w:rPr>
          <w:b/>
        </w:rPr>
        <w:t>utveckla den standardiserade metoden för spårning</w:t>
      </w:r>
      <w:r>
        <w:t xml:space="preserve"> och korrekt </w:t>
      </w:r>
      <w:r>
        <w:rPr>
          <w:b/>
        </w:rPr>
        <w:t>uppskattning av förlusterna av mikroplastpellets</w:t>
      </w:r>
      <w:r>
        <w:t xml:space="preserve"> längs hela leveranskedjan. Detta skulle kunna göra det möjligt att beräkna utsläppen och övervaka framstegen mot att uppnå det fastställda målet om en minskning på 30 % fram till 2030.</w:t>
      </w:r>
      <w:bookmarkEnd w:id="33"/>
      <w:bookmarkEnd w:id="34"/>
    </w:p>
    <w:p w:rsidRPr="00CC4510" w:rsidR="00016C21" w:rsidP="00CC4510" w:rsidRDefault="00016C21" w14:paraId="3EE952C2"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8"/>
          <w:szCs w:val="20"/>
        </w:rPr>
      </w:pPr>
      <w:bookmarkStart w:name="_Toc159831774" w:id="35"/>
      <w:bookmarkStart w:name="_Toc160789119" w:id="36"/>
      <w:r>
        <w:t xml:space="preserve">EESK anser att EU </w:t>
      </w:r>
      <w:r>
        <w:rPr>
          <w:b/>
        </w:rPr>
        <w:t>bör ansluta sig till Internationella sjöfartsorganisationens (IMO) lagstiftningsprocess</w:t>
      </w:r>
      <w:r>
        <w:t>. Om IMO inte tillhandahåller några regler senast i mitten av 2026 bör kommissionen överväga att införa bestämmelser för sjötransporter inom EU samt lägga grunden för att ta itu med frågan om sekundär mikroplast i däck, färger, textilier, geotextilier och kapslar med rengöringsmedel för tvätt- och diskmaskiner.</w:t>
      </w:r>
      <w:bookmarkEnd w:id="35"/>
      <w:bookmarkEnd w:id="36"/>
    </w:p>
    <w:p w:rsidRPr="00CC4510" w:rsidR="00016C21" w:rsidP="00CC4510" w:rsidRDefault="00016C21" w14:paraId="1818AA54"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5" w:id="37"/>
      <w:bookmarkStart w:name="_Toc160789120" w:id="38"/>
      <w:r>
        <w:t xml:space="preserve">När det gäller miljö- och människorättsaspekter föreslår EESK att man i förordningen </w:t>
      </w:r>
      <w:r>
        <w:rPr>
          <w:b/>
        </w:rPr>
        <w:t>tar hänsyn till de geografiska områden</w:t>
      </w:r>
      <w:r>
        <w:t xml:space="preserve"> – som potentiella insatspunkter för att begränsa/minska föroreningar – som är mest utsatta för mikroplastutsläpp.</w:t>
      </w:r>
      <w:bookmarkEnd w:id="37"/>
      <w:bookmarkEnd w:id="38"/>
    </w:p>
    <w:p w:rsidRPr="00CC4510" w:rsidR="00016C21" w:rsidP="00CC4510" w:rsidRDefault="00016C21" w14:paraId="054B27CB"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6" w:id="39"/>
      <w:bookmarkStart w:name="_Toc160789121" w:id="40"/>
      <w:r>
        <w:t xml:space="preserve">Kommittén betonar behovet av att </w:t>
      </w:r>
      <w:r>
        <w:rPr>
          <w:b/>
        </w:rPr>
        <w:t>öka frekvensen av efterlevnadkontroller och införa en halvtidsöversyn av lagstiftningen</w:t>
      </w:r>
      <w:r>
        <w:t xml:space="preserve"> för att bedöma dess effektivitet samt se över och vid behov finjustera den volymgräns för pelletshantering som fastställs i de mindre stränga lagstadgade kraven för mikroföretag och små företag.</w:t>
      </w:r>
      <w:bookmarkEnd w:id="39"/>
      <w:bookmarkEnd w:id="40"/>
    </w:p>
    <w:p w:rsidRPr="00CC4510" w:rsidR="00016C21" w:rsidP="00CC4510" w:rsidRDefault="00016C21" w14:paraId="2F4250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7" w:id="41"/>
      <w:bookmarkStart w:name="_Toc160789122" w:id="42"/>
      <w:r>
        <w:t xml:space="preserve">EESK varnar för att den snabbt växande produktionen av nya och återvunna plastpellets gör det allt svårare att mildra deras effekter. Därför bör insatserna för att </w:t>
      </w:r>
      <w:r>
        <w:rPr>
          <w:b/>
        </w:rPr>
        <w:t>genomföra och kontrollera efterlevnaden</w:t>
      </w:r>
      <w:r>
        <w:t xml:space="preserve"> av förordningen påskyndas.</w:t>
      </w:r>
      <w:bookmarkEnd w:id="41"/>
      <w:bookmarkEnd w:id="42"/>
    </w:p>
    <w:p w:rsidRPr="00CC4510" w:rsidR="00016C21" w:rsidP="00CC4510" w:rsidRDefault="00016C21" w14:paraId="1E28F2BE"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8" w:id="43"/>
      <w:bookmarkStart w:name="_Toc160789123" w:id="44"/>
      <w:r>
        <w:t xml:space="preserve">Det finns inte någon stor efterfrågan på ytterligare arbetstagare, utom inom miljösektorn, men </w:t>
      </w:r>
      <w:r>
        <w:rPr>
          <w:b/>
        </w:rPr>
        <w:t>medvetenheten och utbildningsnivån måste höjas hos all arbetskraft</w:t>
      </w:r>
      <w:r>
        <w:t>.</w:t>
      </w:r>
      <w:bookmarkEnd w:id="43"/>
      <w:bookmarkEnd w:id="44"/>
    </w:p>
    <w:p w:rsidRPr="00CC4510" w:rsidR="00016C21" w:rsidP="00CC4510" w:rsidRDefault="00016C21" w14:paraId="23F522CA"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9" w:id="45"/>
      <w:bookmarkStart w:name="_Toc160789124" w:id="46"/>
      <w:r>
        <w:t xml:space="preserve">De </w:t>
      </w:r>
      <w:r>
        <w:rPr>
          <w:b/>
        </w:rPr>
        <w:t>internationella aspekterna av förordningen bör beaktas</w:t>
      </w:r>
      <w:r>
        <w:t xml:space="preserve"> för att säkerställa lika konkurrensvillkor mellan EU-aktörer som följer förordningen och aktörer från tredjeländer.</w:t>
      </w:r>
      <w:bookmarkEnd w:id="45"/>
      <w:bookmarkEnd w:id="46"/>
    </w:p>
    <w:p w:rsidRPr="00CC4510" w:rsidR="00016C21" w:rsidP="00CC4510" w:rsidRDefault="00016C21" w14:paraId="0E4468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4"/>
          <w:szCs w:val="20"/>
        </w:rPr>
      </w:pPr>
      <w:bookmarkStart w:name="_Toc159831780" w:id="47"/>
      <w:bookmarkStart w:name="_Toc160789125" w:id="48"/>
      <w:r>
        <w:t>Vetenskaps- och forskningsverksamheten måste intensifieras, främst för att få kunskap om de skadliga effekterna på människors och naturens hälsa av föroreningar från mikroplastpellets.</w:t>
      </w:r>
      <w:bookmarkEnd w:id="47"/>
      <w:bookmarkEnd w:id="48"/>
    </w:p>
    <w:p w:rsidRPr="00CC4510" w:rsidR="00016C21" w:rsidP="00CC4510" w:rsidRDefault="00016C21" w14:paraId="717B8D71"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6"/>
          <w:szCs w:val="20"/>
        </w:rPr>
      </w:pPr>
      <w:bookmarkStart w:name="_Toc159831781" w:id="49"/>
      <w:bookmarkStart w:name="_Toc160789126" w:id="50"/>
      <w:r>
        <w:t xml:space="preserve">Vi föreslår att man </w:t>
      </w:r>
      <w:r>
        <w:rPr>
          <w:b/>
        </w:rPr>
        <w:t>ser över bästa tillgängliga teknik</w:t>
      </w:r>
      <w:r>
        <w:t xml:space="preserve"> för de ekonomiska aktörerna, så att den inkluderar förluster av pellets.</w:t>
      </w:r>
      <w:bookmarkEnd w:id="49"/>
      <w:bookmarkEnd w:id="50"/>
    </w:p>
    <w:p w:rsidRPr="00016C21" w:rsidR="00DC108A" w:rsidP="00016C21" w:rsidRDefault="00DC108A" w14:paraId="62259C3A" w14:textId="77777777">
      <w:pPr>
        <w:keepNext/>
        <w:keepLines/>
        <w:overflowPunct w:val="0"/>
        <w:autoSpaceDE w:val="0"/>
        <w:autoSpaceDN w:val="0"/>
        <w:adjustRightInd w:val="0"/>
        <w:spacing w:line="240" w:lineRule="auto"/>
        <w:textAlignment w:val="baseline"/>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16C21" w:rsidR="00016C21" w:rsidTr="00B05454" w14:paraId="5AD55413" w14:textId="77777777">
        <w:tc>
          <w:tcPr>
            <w:tcW w:w="1418" w:type="dxa"/>
          </w:tcPr>
          <w:p w:rsidRPr="00016C21" w:rsidR="00016C21" w:rsidP="00016C21" w:rsidRDefault="00016C21" w14:paraId="668325B6" w14:textId="77777777">
            <w:pPr>
              <w:keepNext/>
              <w:keepLines/>
              <w:overflowPunct w:val="0"/>
              <w:autoSpaceDE w:val="0"/>
              <w:autoSpaceDN w:val="0"/>
              <w:adjustRightInd w:val="0"/>
              <w:spacing w:line="240" w:lineRule="auto"/>
              <w:ind w:left="34" w:right="-253"/>
              <w:textAlignment w:val="baseline"/>
              <w:rPr>
                <w:i/>
              </w:rPr>
            </w:pPr>
            <w:r>
              <w:rPr>
                <w:b/>
                <w:i/>
              </w:rPr>
              <w:t>Kontaktperson:</w:t>
            </w:r>
          </w:p>
        </w:tc>
        <w:tc>
          <w:tcPr>
            <w:tcW w:w="5670" w:type="dxa"/>
          </w:tcPr>
          <w:p w:rsidRPr="00016C21" w:rsidR="00016C21" w:rsidP="00016C21" w:rsidRDefault="00016C21" w14:paraId="504AA629" w14:textId="77777777">
            <w:pPr>
              <w:keepNext/>
              <w:keepLines/>
              <w:overflowPunct w:val="0"/>
              <w:autoSpaceDE w:val="0"/>
              <w:autoSpaceDN w:val="0"/>
              <w:adjustRightInd w:val="0"/>
              <w:spacing w:line="240" w:lineRule="auto"/>
              <w:ind w:left="709"/>
              <w:textAlignment w:val="baseline"/>
              <w:rPr>
                <w:i/>
                <w:iCs/>
              </w:rPr>
            </w:pPr>
            <w:r>
              <w:rPr>
                <w:i/>
              </w:rPr>
              <w:t xml:space="preserve">Caroline </w:t>
            </w:r>
            <w:proofErr w:type="spellStart"/>
            <w:r>
              <w:rPr>
                <w:i/>
              </w:rPr>
              <w:t>Verhelst</w:t>
            </w:r>
            <w:proofErr w:type="spellEnd"/>
          </w:p>
        </w:tc>
      </w:tr>
      <w:tr w:rsidRPr="00016C21" w:rsidR="00016C21" w:rsidTr="00B05454" w14:paraId="12754F25" w14:textId="77777777">
        <w:tc>
          <w:tcPr>
            <w:tcW w:w="1418" w:type="dxa"/>
          </w:tcPr>
          <w:p w:rsidRPr="00016C21" w:rsidR="00016C21" w:rsidP="00016C21" w:rsidRDefault="00016C21" w14:paraId="45074D4B" w14:textId="77777777">
            <w:pPr>
              <w:keepNext/>
              <w:keepLines/>
              <w:overflowPunct w:val="0"/>
              <w:autoSpaceDE w:val="0"/>
              <w:autoSpaceDN w:val="0"/>
              <w:adjustRightInd w:val="0"/>
              <w:spacing w:line="240" w:lineRule="auto"/>
              <w:ind w:left="34"/>
              <w:textAlignment w:val="baseline"/>
              <w:rPr>
                <w:i/>
              </w:rPr>
            </w:pPr>
            <w:r>
              <w:rPr>
                <w:i/>
              </w:rPr>
              <w:t>Tfn</w:t>
            </w:r>
          </w:p>
        </w:tc>
        <w:tc>
          <w:tcPr>
            <w:tcW w:w="5670" w:type="dxa"/>
          </w:tcPr>
          <w:p w:rsidRPr="00016C21" w:rsidR="00016C21" w:rsidP="00016C21" w:rsidRDefault="00016C21" w14:paraId="442D21C5" w14:textId="77777777">
            <w:pPr>
              <w:keepNext/>
              <w:keepLines/>
              <w:overflowPunct w:val="0"/>
              <w:autoSpaceDE w:val="0"/>
              <w:autoSpaceDN w:val="0"/>
              <w:adjustRightInd w:val="0"/>
              <w:spacing w:line="240" w:lineRule="auto"/>
              <w:ind w:left="709"/>
              <w:textAlignment w:val="baseline"/>
              <w:rPr>
                <w:i/>
                <w:iCs/>
              </w:rPr>
            </w:pPr>
            <w:r>
              <w:rPr>
                <w:i/>
              </w:rPr>
              <w:t>+32 25469497</w:t>
            </w:r>
          </w:p>
        </w:tc>
      </w:tr>
      <w:tr w:rsidRPr="00016C21" w:rsidR="00016C21" w:rsidTr="00B05454" w14:paraId="249DD5BE" w14:textId="77777777">
        <w:tc>
          <w:tcPr>
            <w:tcW w:w="1418" w:type="dxa"/>
          </w:tcPr>
          <w:p w:rsidRPr="00016C21" w:rsidR="00016C21" w:rsidP="00016C21" w:rsidRDefault="00DC108A" w14:paraId="396A0A58" w14:textId="71177E55">
            <w:pPr>
              <w:overflowPunct w:val="0"/>
              <w:autoSpaceDE w:val="0"/>
              <w:autoSpaceDN w:val="0"/>
              <w:adjustRightInd w:val="0"/>
              <w:spacing w:line="240" w:lineRule="auto"/>
              <w:ind w:left="34"/>
              <w:textAlignment w:val="baseline"/>
              <w:rPr>
                <w:i/>
              </w:rPr>
            </w:pPr>
            <w:r>
              <w:rPr>
                <w:i/>
              </w:rPr>
              <w:t>E-post:</w:t>
            </w:r>
          </w:p>
        </w:tc>
        <w:tc>
          <w:tcPr>
            <w:tcW w:w="5670" w:type="dxa"/>
          </w:tcPr>
          <w:p w:rsidRPr="00016C21" w:rsidR="00016C21" w:rsidP="00016C21" w:rsidRDefault="00313C89" w14:paraId="341BABE2" w14:textId="77777777">
            <w:pPr>
              <w:overflowPunct w:val="0"/>
              <w:autoSpaceDE w:val="0"/>
              <w:autoSpaceDN w:val="0"/>
              <w:adjustRightInd w:val="0"/>
              <w:spacing w:line="240" w:lineRule="auto"/>
              <w:ind w:left="709"/>
              <w:textAlignment w:val="baseline"/>
              <w:rPr>
                <w:i/>
                <w:iCs/>
                <w:color w:val="0000FF"/>
                <w:u w:val="single"/>
              </w:rPr>
            </w:pPr>
            <w:hyperlink w:history="1" r:id="rId33">
              <w:r w:rsidR="00016559">
                <w:rPr>
                  <w:i/>
                  <w:color w:val="0000FF"/>
                  <w:u w:val="single"/>
                </w:rPr>
                <w:t>Caroline.Verhelst@eesc.europa.eu</w:t>
              </w:r>
            </w:hyperlink>
          </w:p>
        </w:tc>
      </w:tr>
    </w:tbl>
    <w:p w:rsidRPr="00256A3E" w:rsidR="00256A3E" w:rsidRDefault="00256A3E" w14:paraId="6AD61F9D" w14:textId="719C7CBB">
      <w:pPr>
        <w:spacing w:after="160" w:line="259" w:lineRule="auto"/>
        <w:jc w:val="left"/>
        <w:rPr>
          <w:b/>
          <w:bCs/>
          <w:sz w:val="16"/>
          <w:szCs w:val="16"/>
        </w:rPr>
      </w:pPr>
    </w:p>
    <w:p w:rsidR="00256A3E" w:rsidRDefault="00256A3E" w14:paraId="1B6A1822" w14:textId="77777777">
      <w:pPr>
        <w:spacing w:after="160" w:line="259" w:lineRule="auto"/>
        <w:jc w:val="left"/>
        <w:rPr>
          <w:b/>
          <w:bCs/>
        </w:rPr>
      </w:pPr>
      <w:r>
        <w:rPr>
          <w:b/>
          <w:bCs/>
        </w:rPr>
        <w:br w:type="page"/>
      </w:r>
    </w:p>
    <w:p w:rsidRPr="00810736" w:rsidR="006B3316" w:rsidP="0074419C" w:rsidRDefault="005374D2" w14:paraId="4FE1ECEE" w14:textId="7B16969B">
      <w:pPr>
        <w:pStyle w:val="Heading1"/>
        <w:ind w:hanging="928"/>
        <w:rPr>
          <w:b/>
          <w:bCs/>
        </w:rPr>
      </w:pPr>
      <w:bookmarkStart w:name="_Toc153539702" w:id="51"/>
      <w:bookmarkStart w:name="_Toc160789127" w:id="52"/>
      <w:r>
        <w:rPr>
          <w:b/>
        </w:rPr>
        <w:lastRenderedPageBreak/>
        <w:t>YTTRE FÖRBINDELSER</w:t>
      </w:r>
      <w:bookmarkEnd w:id="51"/>
      <w:bookmarkEnd w:id="52"/>
    </w:p>
    <w:p w:rsidR="00BD0493" w:rsidP="00BD0493" w:rsidRDefault="00BD0493" w14:paraId="10EC00FD" w14:textId="45B98434"/>
    <w:p w:rsidRPr="00231267" w:rsidR="00231267" w:rsidP="00CC4510" w:rsidRDefault="00313C89" w14:paraId="1DBCF0C9" w14:textId="6A3796A6">
      <w:pPr>
        <w:widowControl w:val="0"/>
        <w:numPr>
          <w:ilvl w:val="0"/>
          <w:numId w:val="12"/>
        </w:numPr>
        <w:overflowPunct w:val="0"/>
        <w:autoSpaceDE w:val="0"/>
        <w:autoSpaceDN w:val="0"/>
        <w:adjustRightInd w:val="0"/>
        <w:ind w:hanging="720"/>
        <w:jc w:val="left"/>
        <w:textAlignment w:val="baseline"/>
        <w:rPr>
          <w:sz w:val="20"/>
          <w:szCs w:val="20"/>
        </w:rPr>
      </w:pPr>
      <w:hyperlink w:history="1" r:id="rId34">
        <w:r w:rsidR="00016559">
          <w:rPr>
            <w:b/>
            <w:i/>
            <w:color w:val="0000FF"/>
            <w:sz w:val="28"/>
            <w:u w:val="single"/>
          </w:rPr>
          <w:t>En europeisk strategi för ekonomisk säkerhet</w:t>
        </w:r>
      </w:hyperlink>
    </w:p>
    <w:p w:rsidRPr="00231267"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387"/>
      </w:tblGrid>
      <w:tr w:rsidRPr="00231267" w:rsidR="00231267" w:rsidTr="00CC4510" w14:paraId="588E9B2D" w14:textId="77777777">
        <w:trPr>
          <w:trHeight w:val="330"/>
        </w:trPr>
        <w:tc>
          <w:tcPr>
            <w:tcW w:w="1843" w:type="dxa"/>
          </w:tcPr>
          <w:p w:rsidRPr="00231267" w:rsidR="00231267" w:rsidP="00CC4510" w:rsidRDefault="00231267" w14:paraId="3F8D03D4" w14:textId="77777777">
            <w:pPr>
              <w:tabs>
                <w:tab w:val="center" w:pos="284"/>
              </w:tabs>
              <w:overflowPunct w:val="0"/>
              <w:autoSpaceDE w:val="0"/>
              <w:autoSpaceDN w:val="0"/>
              <w:adjustRightInd w:val="0"/>
              <w:ind w:left="266" w:hanging="376"/>
              <w:textAlignment w:val="baseline"/>
              <w:rPr>
                <w:b/>
              </w:rPr>
            </w:pPr>
            <w:r>
              <w:rPr>
                <w:b/>
              </w:rPr>
              <w:t>Föredragande:</w:t>
            </w:r>
          </w:p>
        </w:tc>
        <w:tc>
          <w:tcPr>
            <w:tcW w:w="5387" w:type="dxa"/>
          </w:tcPr>
          <w:p w:rsidRPr="00231267" w:rsidR="00231267" w:rsidP="00CC4510" w:rsidRDefault="00231267" w14:paraId="1FD8BB1A" w14:textId="719B603A">
            <w:pPr>
              <w:tabs>
                <w:tab w:val="center" w:pos="2585"/>
              </w:tabs>
              <w:overflowPunct w:val="0"/>
              <w:autoSpaceDE w:val="0"/>
              <w:autoSpaceDN w:val="0"/>
              <w:adjustRightInd w:val="0"/>
              <w:ind w:left="317" w:hanging="424"/>
              <w:jc w:val="left"/>
              <w:textAlignment w:val="baseline"/>
            </w:pPr>
            <w:r>
              <w:t>Milena Angelova (Arbetsgivargruppen – BG)</w:t>
            </w:r>
          </w:p>
        </w:tc>
      </w:tr>
      <w:tr w:rsidRPr="00231267" w:rsidR="00231267" w:rsidTr="00CC4510" w14:paraId="5246C778" w14:textId="77777777">
        <w:tc>
          <w:tcPr>
            <w:tcW w:w="1843" w:type="dxa"/>
          </w:tcPr>
          <w:p w:rsidRPr="00231267" w:rsidR="00231267" w:rsidP="00CC4510" w:rsidRDefault="00231267" w14:paraId="71E3F92B" w14:textId="77777777">
            <w:pPr>
              <w:tabs>
                <w:tab w:val="center" w:pos="284"/>
              </w:tabs>
              <w:overflowPunct w:val="0"/>
              <w:autoSpaceDE w:val="0"/>
              <w:autoSpaceDN w:val="0"/>
              <w:adjustRightInd w:val="0"/>
              <w:ind w:left="266" w:hanging="376"/>
              <w:textAlignment w:val="baseline"/>
              <w:rPr>
                <w:b/>
              </w:rPr>
            </w:pPr>
            <w:r>
              <w:rPr>
                <w:b/>
              </w:rPr>
              <w:t>Referensdokument:</w:t>
            </w:r>
          </w:p>
        </w:tc>
        <w:tc>
          <w:tcPr>
            <w:tcW w:w="5387" w:type="dxa"/>
          </w:tcPr>
          <w:p w:rsidRPr="00231267" w:rsidR="00231267" w:rsidP="00CC4510" w:rsidRDefault="00231267" w14:paraId="51DACF12" w14:textId="77777777">
            <w:pPr>
              <w:tabs>
                <w:tab w:val="center" w:pos="284"/>
              </w:tabs>
              <w:overflowPunct w:val="0"/>
              <w:autoSpaceDE w:val="0"/>
              <w:autoSpaceDN w:val="0"/>
              <w:adjustRightInd w:val="0"/>
              <w:ind w:left="266" w:hanging="376"/>
              <w:textAlignment w:val="baseline"/>
            </w:pPr>
            <w:r>
              <w:t>EESC-2023-04250-00-00-AC.</w:t>
            </w:r>
          </w:p>
        </w:tc>
      </w:tr>
    </w:tbl>
    <w:p w:rsidRPr="00231267"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231267"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31267"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00231267" w:rsidP="00231267" w:rsidRDefault="00231267" w14:paraId="43917E21" w14:textId="07835E4F">
      <w:pPr>
        <w:overflowPunct w:val="0"/>
        <w:autoSpaceDE w:val="0"/>
        <w:autoSpaceDN w:val="0"/>
        <w:adjustRightInd w:val="0"/>
        <w:textAlignment w:val="baseline"/>
        <w:rPr>
          <w:bCs/>
          <w:iCs/>
        </w:rPr>
      </w:pPr>
      <w:r>
        <w:t>Europeiska ekonomiska och sociala kommitténs (EESK) ståndpunkt:</w:t>
      </w:r>
    </w:p>
    <w:p w:rsidRPr="00231267" w:rsidR="00C05C6B" w:rsidP="00231267" w:rsidRDefault="00C05C6B" w14:paraId="55C5A328" w14:textId="77777777">
      <w:pPr>
        <w:overflowPunct w:val="0"/>
        <w:autoSpaceDE w:val="0"/>
        <w:autoSpaceDN w:val="0"/>
        <w:adjustRightInd w:val="0"/>
        <w:textAlignment w:val="baseline"/>
        <w:rPr>
          <w:bCs/>
          <w:iCs/>
        </w:rPr>
      </w:pPr>
    </w:p>
    <w:p w:rsidRPr="00231267" w:rsidR="00231267" w:rsidP="00CC4510" w:rsidRDefault="00231267" w14:paraId="3FA07EDF"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Kommittén välkomnar meddelandet ”En europeisk strategi för ekonomisk säkerhet”, som ett initiativ för att bemöta de nya och ständigt föränderliga geopolitiska och geoekonomiska förutsättningarna.  EESK stöder den strategi som bygger på en bedömning av hot, risker och sårbarheter, men anser att man också bör göra en heltäckande bedömning av EU:s styrkor och ta tillvara de möjligheter som de globala utmaningarna kan innebära.</w:t>
      </w:r>
    </w:p>
    <w:p w:rsidRPr="00231267" w:rsidR="00231267" w:rsidP="00CC4510"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Vi betonar att investeringar i innovation, kompetensutveckling och industriell kapacitet, vid sidan av åtgärder för att säkerställa en välfungerande inre marknad, är oumbärliga medel för att både stärka produktiviteten och konkurrenskraften och minska det kritiska beroendet samtidigt som EU:s sociala marknadsekonomi bevaras. Andra viktiga aspekter att beakta är energi, råvaror, digital kapacitet och stabil tillgång till finansiering, vilket kräver att kapitalmarknadsunionen och bankunionen fullbordas.</w:t>
      </w:r>
    </w:p>
    <w:p w:rsidRPr="00231267" w:rsidR="00231267" w:rsidP="00CC4510" w:rsidRDefault="00231267" w14:paraId="4C25E9FD"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För att förbättra möjligheterna till diversifierade leveranskedjor och växande varumarknader är det viktigt att dra största möjliga nytta av befintliga handels- och investeringsavtal, snabbt slutföra pågående handelsförhandlingar och inleda nya förhandlingar med potentiella nya partner. EU bör också prioritera arbetet med att främja regelbaserade multilaterala handelssystem och globala avtal. </w:t>
      </w:r>
    </w:p>
    <w:p w:rsidRPr="00231267" w:rsidR="00231267" w:rsidP="00CC4510" w:rsidRDefault="00231267" w14:paraId="658E7170"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Det krävs också beslutsamma skyddsåtgärder för att motverka eventuella risker som tredjeländer utgör för EU:s ekonomiska säkerhet med anledning av åtgärder som påverkar handel, investeringar eller tekniskt samarbete.</w:t>
      </w:r>
    </w:p>
    <w:p w:rsidRPr="00231267" w:rsidR="00231267" w:rsidP="00CC4510" w:rsidRDefault="00231267" w14:paraId="24A2D06C"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EESK uppmanar EU:s beslutsfattare att skapa gynnsammare villkor som stimulerar och stöder företagen i EU, inbegripet mikroföretag samt små och medelstora företag, och gör det möjligt för dem att hantera de nya geoekonomiska riskerna i den egna verksamheten, och samtidigt se till att de politiska åtgärderna inte medför oproportionerliga kostnader eller hinder för dem. </w:t>
      </w:r>
    </w:p>
    <w:p w:rsidRPr="00231267" w:rsidR="00231267" w:rsidP="00CC4510" w:rsidRDefault="00231267" w14:paraId="152286F2"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Vi betonar också att näringslivet inom EU och andra relevanta aktörer i det civila samhället måste involveras i det fortsatta arbetet med att utforma och genomföra strategin för ekonomisk säkerhet. Det är också viktigt att stärka synergierna mellan medlemsstaterna för att på så sätt bidra till EU:s enighet, globala styrka och övergripande ekonomiska säkerhet.</w:t>
      </w:r>
    </w:p>
    <w:p w:rsidRPr="00CC4510" w:rsidR="00231267" w:rsidP="00231267" w:rsidRDefault="00231267" w14:paraId="689F9EDE" w14:textId="77777777">
      <w:pPr>
        <w:widowControl w:val="0"/>
        <w:overflowPunct w:val="0"/>
        <w:autoSpaceDE w:val="0"/>
        <w:autoSpaceDN w:val="0"/>
        <w:adjustRightInd w:val="0"/>
        <w:ind w:left="709"/>
        <w:textAlignment w:val="baseline"/>
        <w:rPr>
          <w:sz w:val="18"/>
          <w:szCs w:val="16"/>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231267" w:rsidR="00231267" w:rsidTr="00B05454" w14:paraId="7CFE54E9" w14:textId="77777777">
        <w:tc>
          <w:tcPr>
            <w:tcW w:w="1418" w:type="dxa"/>
          </w:tcPr>
          <w:p w:rsidRPr="00231267" w:rsidR="00231267" w:rsidP="00231267" w:rsidRDefault="00231267" w14:paraId="4E9EAA40" w14:textId="77777777">
            <w:pPr>
              <w:overflowPunct w:val="0"/>
              <w:autoSpaceDE w:val="0"/>
              <w:autoSpaceDN w:val="0"/>
              <w:adjustRightInd w:val="0"/>
              <w:textAlignment w:val="baseline"/>
              <w:rPr>
                <w:i/>
              </w:rPr>
            </w:pPr>
            <w:r>
              <w:rPr>
                <w:b/>
                <w:i/>
              </w:rPr>
              <w:t>Kontaktperson:</w:t>
            </w:r>
          </w:p>
        </w:tc>
        <w:tc>
          <w:tcPr>
            <w:tcW w:w="5670" w:type="dxa"/>
          </w:tcPr>
          <w:p w:rsidRPr="00231267" w:rsidR="00231267" w:rsidP="00231267" w:rsidRDefault="00231267" w14:paraId="37F63FE7" w14:textId="77777777">
            <w:pPr>
              <w:overflowPunct w:val="0"/>
              <w:autoSpaceDE w:val="0"/>
              <w:autoSpaceDN w:val="0"/>
              <w:adjustRightInd w:val="0"/>
              <w:textAlignment w:val="baseline"/>
              <w:rPr>
                <w:i/>
              </w:rPr>
            </w:pPr>
            <w:r>
              <w:rPr>
                <w:i/>
              </w:rPr>
              <w:t xml:space="preserve">Marco </w:t>
            </w:r>
            <w:proofErr w:type="spellStart"/>
            <w:r>
              <w:rPr>
                <w:i/>
              </w:rPr>
              <w:t>Ristori</w:t>
            </w:r>
            <w:proofErr w:type="spellEnd"/>
          </w:p>
        </w:tc>
      </w:tr>
      <w:tr w:rsidRPr="00231267" w:rsidR="00231267" w:rsidTr="00B05454" w14:paraId="62B22192" w14:textId="77777777">
        <w:tc>
          <w:tcPr>
            <w:tcW w:w="1418" w:type="dxa"/>
          </w:tcPr>
          <w:p w:rsidRPr="00231267" w:rsidR="00231267" w:rsidP="00231267" w:rsidRDefault="00231267" w14:paraId="440C603C" w14:textId="77777777">
            <w:pPr>
              <w:overflowPunct w:val="0"/>
              <w:autoSpaceDE w:val="0"/>
              <w:autoSpaceDN w:val="0"/>
              <w:adjustRightInd w:val="0"/>
              <w:textAlignment w:val="baseline"/>
              <w:rPr>
                <w:i/>
              </w:rPr>
            </w:pPr>
            <w:r>
              <w:rPr>
                <w:i/>
              </w:rPr>
              <w:t>Tfn</w:t>
            </w:r>
          </w:p>
        </w:tc>
        <w:tc>
          <w:tcPr>
            <w:tcW w:w="5670" w:type="dxa"/>
          </w:tcPr>
          <w:p w:rsidRPr="00231267" w:rsidR="00231267" w:rsidP="00231267" w:rsidRDefault="00231267" w14:paraId="29D4C5B9" w14:textId="77777777">
            <w:pPr>
              <w:overflowPunct w:val="0"/>
              <w:autoSpaceDE w:val="0"/>
              <w:autoSpaceDN w:val="0"/>
              <w:adjustRightInd w:val="0"/>
              <w:textAlignment w:val="baseline"/>
              <w:rPr>
                <w:i/>
              </w:rPr>
            </w:pPr>
            <w:r>
              <w:rPr>
                <w:i/>
              </w:rPr>
              <w:t>+32 25469969</w:t>
            </w:r>
          </w:p>
        </w:tc>
      </w:tr>
      <w:tr w:rsidRPr="00231267" w:rsidR="00231267" w:rsidTr="00B05454" w14:paraId="48DEF925" w14:textId="77777777">
        <w:tc>
          <w:tcPr>
            <w:tcW w:w="1418" w:type="dxa"/>
          </w:tcPr>
          <w:p w:rsidRPr="00231267" w:rsidR="00231267" w:rsidP="00231267" w:rsidRDefault="00231267" w14:paraId="66BED64C" w14:textId="77777777">
            <w:pPr>
              <w:overflowPunct w:val="0"/>
              <w:autoSpaceDE w:val="0"/>
              <w:autoSpaceDN w:val="0"/>
              <w:adjustRightInd w:val="0"/>
              <w:textAlignment w:val="baseline"/>
              <w:rPr>
                <w:i/>
              </w:rPr>
            </w:pPr>
            <w:r>
              <w:rPr>
                <w:i/>
              </w:rPr>
              <w:t>E-post:</w:t>
            </w:r>
          </w:p>
        </w:tc>
        <w:tc>
          <w:tcPr>
            <w:tcW w:w="5670" w:type="dxa"/>
          </w:tcPr>
          <w:p w:rsidRPr="00231267" w:rsidR="00231267" w:rsidP="00231267" w:rsidRDefault="00313C89" w14:paraId="42300FE7" w14:textId="77777777">
            <w:pPr>
              <w:overflowPunct w:val="0"/>
              <w:autoSpaceDE w:val="0"/>
              <w:autoSpaceDN w:val="0"/>
              <w:adjustRightInd w:val="0"/>
              <w:textAlignment w:val="baseline"/>
              <w:rPr>
                <w:i/>
              </w:rPr>
            </w:pPr>
            <w:hyperlink w:history="1" r:id="rId35">
              <w:r w:rsidR="00016559">
                <w:rPr>
                  <w:i/>
                  <w:color w:val="0000FF"/>
                  <w:u w:val="single"/>
                </w:rPr>
                <w:t>Marco.Ristori@eesc.europa.eu</w:t>
              </w:r>
            </w:hyperlink>
          </w:p>
        </w:tc>
      </w:tr>
    </w:tbl>
    <w:p w:rsidR="00256A3E" w:rsidRDefault="00256A3E" w14:paraId="0E201C9B" w14:textId="0A0DC9A6">
      <w:pPr>
        <w:spacing w:after="160" w:line="259" w:lineRule="auto"/>
        <w:jc w:val="left"/>
      </w:pPr>
    </w:p>
    <w:p w:rsidR="00256A3E" w:rsidRDefault="00256A3E" w14:paraId="4DFD89CB" w14:textId="77777777">
      <w:pPr>
        <w:spacing w:after="160" w:line="259" w:lineRule="auto"/>
        <w:jc w:val="left"/>
      </w:pPr>
      <w:r>
        <w:br w:type="page"/>
      </w:r>
    </w:p>
    <w:p w:rsidR="003B636C" w:rsidP="005B4680" w:rsidRDefault="003B636C" w14:paraId="2AFC2D25" w14:textId="6E54F172">
      <w:pPr>
        <w:pStyle w:val="Heading1"/>
        <w:ind w:hanging="928"/>
        <w:rPr>
          <w:b/>
          <w:bCs/>
        </w:rPr>
      </w:pPr>
      <w:bookmarkStart w:name="_Toc153539712" w:id="53"/>
      <w:bookmarkStart w:name="_Toc160789128" w:id="54"/>
      <w:r>
        <w:rPr>
          <w:b/>
        </w:rPr>
        <w:lastRenderedPageBreak/>
        <w:t>TRANSPORTER, ENERGI, INFRASTRUKTUR OCH INFORMATIONSSAMHÄLLET</w:t>
      </w:r>
      <w:bookmarkEnd w:id="54"/>
    </w:p>
    <w:p w:rsidRPr="003B636C" w:rsidR="003B636C" w:rsidP="003B636C" w:rsidRDefault="003B636C" w14:paraId="4BBF9BF3" w14:textId="77777777"/>
    <w:p w:rsidRPr="00B114D4" w:rsidR="003B636C" w:rsidP="003B636C" w:rsidRDefault="00313C89" w14:paraId="2292F34E" w14:textId="32E93E81">
      <w:pPr>
        <w:widowControl w:val="0"/>
        <w:numPr>
          <w:ilvl w:val="0"/>
          <w:numId w:val="2"/>
        </w:numPr>
        <w:overflowPunct w:val="0"/>
        <w:autoSpaceDE w:val="0"/>
        <w:autoSpaceDN w:val="0"/>
        <w:adjustRightInd w:val="0"/>
        <w:ind w:hanging="567"/>
        <w:textAlignment w:val="baseline"/>
        <w:rPr>
          <w:sz w:val="20"/>
          <w:szCs w:val="20"/>
        </w:rPr>
      </w:pPr>
      <w:hyperlink w:history="1" r:id="rId36">
        <w:r w:rsidR="00016559">
          <w:rPr>
            <w:b/>
            <w:i/>
            <w:color w:val="0000FF"/>
            <w:sz w:val="28"/>
            <w:u w:val="single"/>
          </w:rPr>
          <w:t>Översyn av direktiv 92/106/EEG om kombinerad transport</w:t>
        </w:r>
      </w:hyperlink>
    </w:p>
    <w:p w:rsidRPr="00B114D4" w:rsidR="003B636C" w:rsidP="003B636C" w:rsidRDefault="003B636C" w14:paraId="7A8CB646" w14:textId="77777777">
      <w:pPr>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114D4" w:rsidR="003B636C" w:rsidTr="00B05454" w14:paraId="226DE090" w14:textId="77777777">
        <w:tc>
          <w:tcPr>
            <w:tcW w:w="2235" w:type="dxa"/>
          </w:tcPr>
          <w:p w:rsidRPr="00B114D4" w:rsidR="003B636C" w:rsidP="00B05454" w:rsidRDefault="003B636C" w14:paraId="03398B74" w14:textId="77777777">
            <w:pPr>
              <w:tabs>
                <w:tab w:val="center" w:pos="284"/>
              </w:tabs>
              <w:overflowPunct w:val="0"/>
              <w:autoSpaceDE w:val="0"/>
              <w:autoSpaceDN w:val="0"/>
              <w:adjustRightInd w:val="0"/>
              <w:ind w:left="266" w:hanging="266"/>
              <w:textAlignment w:val="baseline"/>
              <w:rPr>
                <w:b/>
              </w:rPr>
            </w:pPr>
            <w:r>
              <w:rPr>
                <w:b/>
              </w:rPr>
              <w:t xml:space="preserve">Föredragande: </w:t>
            </w:r>
          </w:p>
        </w:tc>
        <w:tc>
          <w:tcPr>
            <w:tcW w:w="6838" w:type="dxa"/>
          </w:tcPr>
          <w:p w:rsidRPr="00B114D4" w:rsidR="003B636C" w:rsidP="00B05454" w:rsidRDefault="003B636C" w14:paraId="51A78388" w14:textId="77777777">
            <w:pPr>
              <w:tabs>
                <w:tab w:val="center" w:pos="284"/>
              </w:tabs>
              <w:overflowPunct w:val="0"/>
              <w:autoSpaceDE w:val="0"/>
              <w:autoSpaceDN w:val="0"/>
              <w:adjustRightInd w:val="0"/>
              <w:ind w:left="266" w:hanging="266"/>
              <w:textAlignment w:val="baseline"/>
            </w:pPr>
            <w:r>
              <w:t xml:space="preserve">Pierre Jean </w:t>
            </w:r>
            <w:proofErr w:type="spellStart"/>
            <w:r>
              <w:t>Coulon</w:t>
            </w:r>
            <w:proofErr w:type="spellEnd"/>
            <w:r>
              <w:t xml:space="preserve"> (Arbetstagargruppen – FR)</w:t>
            </w:r>
          </w:p>
        </w:tc>
      </w:tr>
      <w:tr w:rsidRPr="00B114D4" w:rsidR="003B636C" w:rsidTr="00B05454" w14:paraId="54439CC0" w14:textId="77777777">
        <w:tc>
          <w:tcPr>
            <w:tcW w:w="9073" w:type="dxa"/>
            <w:gridSpan w:val="2"/>
          </w:tcPr>
          <w:p w:rsidRPr="00B114D4" w:rsidR="003B636C" w:rsidP="00B05454" w:rsidRDefault="003B636C" w14:paraId="6C4CAADC" w14:textId="77777777">
            <w:pPr>
              <w:tabs>
                <w:tab w:val="center" w:pos="284"/>
              </w:tabs>
              <w:overflowPunct w:val="0"/>
              <w:autoSpaceDE w:val="0"/>
              <w:autoSpaceDN w:val="0"/>
              <w:adjustRightInd w:val="0"/>
              <w:spacing w:line="160" w:lineRule="exact"/>
              <w:ind w:left="266" w:hanging="266"/>
              <w:textAlignment w:val="baseline"/>
            </w:pPr>
          </w:p>
        </w:tc>
      </w:tr>
      <w:tr w:rsidRPr="00B114D4" w:rsidR="003B636C" w:rsidTr="00B05454" w14:paraId="5C84AA61" w14:textId="77777777">
        <w:tc>
          <w:tcPr>
            <w:tcW w:w="2235" w:type="dxa"/>
          </w:tcPr>
          <w:p w:rsidRPr="00B114D4" w:rsidR="003B636C" w:rsidP="00B05454" w:rsidRDefault="003B636C" w14:paraId="40E16211" w14:textId="77777777">
            <w:pPr>
              <w:tabs>
                <w:tab w:val="center" w:pos="284"/>
              </w:tabs>
              <w:overflowPunct w:val="0"/>
              <w:autoSpaceDE w:val="0"/>
              <w:autoSpaceDN w:val="0"/>
              <w:adjustRightInd w:val="0"/>
              <w:ind w:left="266" w:hanging="266"/>
              <w:textAlignment w:val="baseline"/>
              <w:rPr>
                <w:b/>
              </w:rPr>
            </w:pPr>
            <w:r>
              <w:rPr>
                <w:b/>
              </w:rPr>
              <w:t>Referensdokument:</w:t>
            </w:r>
          </w:p>
        </w:tc>
        <w:tc>
          <w:tcPr>
            <w:tcW w:w="6838" w:type="dxa"/>
          </w:tcPr>
          <w:p w:rsidRPr="00B114D4" w:rsidR="003B636C" w:rsidP="00B05454" w:rsidRDefault="003B636C" w14:paraId="217C0ABB" w14:textId="77777777">
            <w:pPr>
              <w:tabs>
                <w:tab w:val="center" w:pos="284"/>
              </w:tabs>
              <w:overflowPunct w:val="0"/>
              <w:autoSpaceDE w:val="0"/>
              <w:autoSpaceDN w:val="0"/>
              <w:adjustRightInd w:val="0"/>
              <w:ind w:left="266" w:hanging="266"/>
              <w:textAlignment w:val="baseline"/>
            </w:pPr>
            <w:r>
              <w:t xml:space="preserve">COM(2023) 702 final </w:t>
            </w:r>
          </w:p>
          <w:p w:rsidRPr="00B114D4" w:rsidR="003B636C" w:rsidP="00B05454" w:rsidRDefault="003B636C" w14:paraId="2EB478A2" w14:textId="77777777">
            <w:pPr>
              <w:tabs>
                <w:tab w:val="center" w:pos="284"/>
              </w:tabs>
              <w:overflowPunct w:val="0"/>
              <w:autoSpaceDE w:val="0"/>
              <w:autoSpaceDN w:val="0"/>
              <w:adjustRightInd w:val="0"/>
              <w:ind w:left="266" w:hanging="266"/>
              <w:textAlignment w:val="baseline"/>
            </w:pPr>
            <w:r>
              <w:t>EESC-2023-03105-00-00-AC</w:t>
            </w:r>
          </w:p>
        </w:tc>
      </w:tr>
    </w:tbl>
    <w:p w:rsidRPr="00B114D4" w:rsidR="003B636C" w:rsidP="003B636C"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70EA3BBA"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B114D4" w:rsidR="003B636C" w:rsidP="003B636C"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239D9ECD" w14:textId="77777777">
      <w:pPr>
        <w:overflowPunct w:val="0"/>
        <w:autoSpaceDE w:val="0"/>
        <w:autoSpaceDN w:val="0"/>
        <w:adjustRightInd w:val="0"/>
        <w:textAlignment w:val="baseline"/>
        <w:rPr>
          <w:bCs/>
          <w:iCs/>
        </w:rPr>
      </w:pPr>
      <w:r>
        <w:t>Europeiska ekonomiska och sociala kommitténs (EESK) ståndpunkt:</w:t>
      </w:r>
    </w:p>
    <w:p w:rsidRPr="00B114D4" w:rsidR="003B636C" w:rsidP="003B636C" w:rsidRDefault="003B636C" w14:paraId="70E1E19B" w14:textId="77777777">
      <w:pPr>
        <w:contextualSpacing/>
        <w:rPr>
          <w:rFonts w:ascii="Calibri" w:hAnsi="Calibri"/>
          <w:b/>
          <w:bCs/>
          <w:sz w:val="28"/>
          <w:szCs w:val="28"/>
          <w:lang w:eastAsia="zh-CN"/>
        </w:rPr>
      </w:pPr>
    </w:p>
    <w:p w:rsidRPr="00B114D4" w:rsidR="003B636C" w:rsidP="00CC4510" w:rsidRDefault="003B636C" w14:paraId="2498EDEC" w14:textId="77777777">
      <w:pPr>
        <w:numPr>
          <w:ilvl w:val="0"/>
          <w:numId w:val="27"/>
        </w:numPr>
        <w:overflowPunct w:val="0"/>
        <w:autoSpaceDE w:val="0"/>
        <w:autoSpaceDN w:val="0"/>
        <w:adjustRightInd w:val="0"/>
        <w:ind w:left="284" w:hanging="284"/>
        <w:textAlignment w:val="baseline"/>
        <w:rPr>
          <w:rFonts w:eastAsiaTheme="minorHAnsi"/>
        </w:rPr>
      </w:pPr>
      <w:r>
        <w:t>EESK bekräftar att det behövs intermodalitet i alla godstransporter och att man samtidigt inte får glömma skyldigheten att samordna och optimera alla transportslag på EU-nivå.</w:t>
      </w:r>
    </w:p>
    <w:p w:rsidRPr="00B114D4" w:rsidR="003B636C" w:rsidP="00CC4510" w:rsidRDefault="003B636C" w14:paraId="17358799" w14:textId="77777777">
      <w:pPr>
        <w:numPr>
          <w:ilvl w:val="0"/>
          <w:numId w:val="27"/>
        </w:numPr>
        <w:overflowPunct w:val="0"/>
        <w:autoSpaceDE w:val="0"/>
        <w:autoSpaceDN w:val="0"/>
        <w:adjustRightInd w:val="0"/>
        <w:ind w:left="284" w:hanging="284"/>
        <w:textAlignment w:val="baseline"/>
        <w:rPr>
          <w:rFonts w:eastAsiaTheme="minorHAnsi"/>
        </w:rPr>
      </w:pPr>
      <w:r>
        <w:t xml:space="preserve"> Inrättandet av intermodala transportsystem förutsätter att allmänheten är underrättad om de intressanta möjligheter sådana kan medföra: intermodala transportsystem utformas så att de tjänar allmänheten och allmänheten bör få ha ett finger med i spelet vid beslut om projekt och åtgärder på transportområdet.</w:t>
      </w:r>
    </w:p>
    <w:p w:rsidRPr="00B114D4" w:rsidR="003B636C" w:rsidP="00CC4510" w:rsidRDefault="003B636C" w14:paraId="398CB69E" w14:textId="77777777">
      <w:pPr>
        <w:numPr>
          <w:ilvl w:val="0"/>
          <w:numId w:val="27"/>
        </w:numPr>
        <w:overflowPunct w:val="0"/>
        <w:autoSpaceDE w:val="0"/>
        <w:autoSpaceDN w:val="0"/>
        <w:adjustRightInd w:val="0"/>
        <w:ind w:left="284" w:hanging="284"/>
        <w:textAlignment w:val="baseline"/>
        <w:rPr>
          <w:rFonts w:eastAsiaTheme="minorHAnsi"/>
        </w:rPr>
      </w:pPr>
      <w:r>
        <w:t>För att dessa politiska åtgärder ska krönas med framgång krävs det full överensstämmelse med sociallagstiftningen samt en specifik och systematisk utbildningspolitik för företagens personal och ledning.</w:t>
      </w:r>
      <w:bookmarkStart w:name="x__Hlk157163546" w:id="55"/>
      <w:bookmarkEnd w:id="55"/>
    </w:p>
    <w:p w:rsidRPr="00B114D4" w:rsidR="003B636C" w:rsidP="00CC4510" w:rsidRDefault="003B636C" w14:paraId="40F2D32D" w14:textId="77777777">
      <w:pPr>
        <w:numPr>
          <w:ilvl w:val="0"/>
          <w:numId w:val="27"/>
        </w:numPr>
        <w:overflowPunct w:val="0"/>
        <w:autoSpaceDE w:val="0"/>
        <w:autoSpaceDN w:val="0"/>
        <w:adjustRightInd w:val="0"/>
        <w:ind w:left="284" w:hanging="284"/>
        <w:textAlignment w:val="baseline"/>
        <w:rPr>
          <w:rFonts w:eastAsiaTheme="minorHAnsi"/>
        </w:rPr>
      </w:pPr>
      <w:r>
        <w:t>Denna nya åtgärd bör tillämpas med beaktande av viloperioder och raster för förare av tunga godsfordon. Ekonomisk lönsamhet bör inte väga tyngre än trafiksäkerhet eller förarnas arbetsvillkor inom EU.</w:t>
      </w:r>
    </w:p>
    <w:p w:rsidRPr="00B114D4" w:rsidR="003B636C" w:rsidP="00CC4510" w:rsidRDefault="003B636C" w14:paraId="3E9C3226" w14:textId="77777777">
      <w:pPr>
        <w:widowControl w:val="0"/>
        <w:overflowPunct w:val="0"/>
        <w:autoSpaceDE w:val="0"/>
        <w:autoSpaceDN w:val="0"/>
        <w:adjustRightInd w:val="0"/>
        <w:ind w:left="284" w:hanging="284"/>
        <w:textAlignment w:val="baseline"/>
        <w:rPr>
          <w:szCs w:val="20"/>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B114D4" w:rsidR="003B636C" w:rsidTr="00B05454" w14:paraId="37497442" w14:textId="77777777">
        <w:tc>
          <w:tcPr>
            <w:tcW w:w="1418" w:type="dxa"/>
          </w:tcPr>
          <w:p w:rsidRPr="00B114D4" w:rsidR="003B636C" w:rsidP="00B05454" w:rsidRDefault="003B636C" w14:paraId="093CBC9E"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B114D4" w:rsidR="003B636C" w:rsidP="00B05454" w:rsidRDefault="003B636C" w14:paraId="7A1CA095" w14:textId="22882764">
            <w:pPr>
              <w:overflowPunct w:val="0"/>
              <w:autoSpaceDE w:val="0"/>
              <w:autoSpaceDN w:val="0"/>
              <w:adjustRightInd w:val="0"/>
              <w:spacing w:line="240" w:lineRule="auto"/>
              <w:jc w:val="left"/>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p>
        </w:tc>
      </w:tr>
      <w:tr w:rsidRPr="00B114D4" w:rsidR="003B636C" w:rsidTr="00B05454" w14:paraId="04CE6CD8" w14:textId="77777777">
        <w:tc>
          <w:tcPr>
            <w:tcW w:w="1418" w:type="dxa"/>
          </w:tcPr>
          <w:p w:rsidRPr="00B114D4" w:rsidR="003B636C" w:rsidP="00B05454" w:rsidRDefault="003B636C" w14:paraId="17FDD2D5" w14:textId="77777777">
            <w:pPr>
              <w:overflowPunct w:val="0"/>
              <w:autoSpaceDE w:val="0"/>
              <w:autoSpaceDN w:val="0"/>
              <w:adjustRightInd w:val="0"/>
              <w:spacing w:line="240" w:lineRule="auto"/>
              <w:textAlignment w:val="baseline"/>
              <w:rPr>
                <w:i/>
              </w:rPr>
            </w:pPr>
            <w:r>
              <w:rPr>
                <w:i/>
              </w:rPr>
              <w:t>Tfn</w:t>
            </w:r>
          </w:p>
        </w:tc>
        <w:tc>
          <w:tcPr>
            <w:tcW w:w="5670" w:type="dxa"/>
          </w:tcPr>
          <w:p w:rsidRPr="00B114D4" w:rsidR="003B636C" w:rsidP="00B05454" w:rsidRDefault="003B636C" w14:paraId="7F8DFA76" w14:textId="77777777">
            <w:pPr>
              <w:overflowPunct w:val="0"/>
              <w:autoSpaceDE w:val="0"/>
              <w:autoSpaceDN w:val="0"/>
              <w:adjustRightInd w:val="0"/>
              <w:spacing w:line="240" w:lineRule="auto"/>
              <w:textAlignment w:val="baseline"/>
              <w:rPr>
                <w:i/>
              </w:rPr>
            </w:pPr>
            <w:r>
              <w:rPr>
                <w:i/>
              </w:rPr>
              <w:t>+32 25468333</w:t>
            </w:r>
          </w:p>
        </w:tc>
      </w:tr>
      <w:tr w:rsidRPr="00B114D4" w:rsidR="003B636C" w:rsidTr="00B05454" w14:paraId="70ABA418" w14:textId="77777777">
        <w:tc>
          <w:tcPr>
            <w:tcW w:w="1418" w:type="dxa"/>
          </w:tcPr>
          <w:p w:rsidRPr="00B114D4" w:rsidR="003B636C" w:rsidP="00B05454" w:rsidRDefault="003B636C" w14:paraId="7E324433" w14:textId="77777777">
            <w:pPr>
              <w:overflowPunct w:val="0"/>
              <w:autoSpaceDE w:val="0"/>
              <w:autoSpaceDN w:val="0"/>
              <w:adjustRightInd w:val="0"/>
              <w:spacing w:line="240" w:lineRule="auto"/>
              <w:textAlignment w:val="baseline"/>
              <w:rPr>
                <w:i/>
              </w:rPr>
            </w:pPr>
            <w:r>
              <w:rPr>
                <w:i/>
              </w:rPr>
              <w:t>E-post:</w:t>
            </w:r>
          </w:p>
        </w:tc>
        <w:tc>
          <w:tcPr>
            <w:tcW w:w="5670" w:type="dxa"/>
          </w:tcPr>
          <w:p w:rsidRPr="00B114D4" w:rsidR="003B636C" w:rsidP="00B05454" w:rsidRDefault="00313C89" w14:paraId="696F5F65" w14:textId="77777777">
            <w:pPr>
              <w:overflowPunct w:val="0"/>
              <w:autoSpaceDE w:val="0"/>
              <w:autoSpaceDN w:val="0"/>
              <w:adjustRightInd w:val="0"/>
              <w:spacing w:line="240" w:lineRule="auto"/>
              <w:textAlignment w:val="baseline"/>
              <w:rPr>
                <w:i/>
                <w:iCs/>
              </w:rPr>
            </w:pPr>
            <w:hyperlink w:history="1" r:id="rId37">
              <w:r w:rsidR="00016559">
                <w:rPr>
                  <w:i/>
                  <w:color w:val="0000FF"/>
                  <w:u w:val="single"/>
                </w:rPr>
                <w:t>Aleksandra.SarmanGrilc@eesc.europa.eu</w:t>
              </w:r>
            </w:hyperlink>
            <w:r w:rsidR="00016559">
              <w:rPr>
                <w:i/>
              </w:rPr>
              <w:t xml:space="preserve"> </w:t>
            </w:r>
          </w:p>
        </w:tc>
      </w:tr>
    </w:tbl>
    <w:p w:rsidRPr="00B114D4" w:rsidR="003B636C" w:rsidP="003B636C" w:rsidRDefault="003B636C" w14:paraId="03C316F9" w14:textId="77777777">
      <w:pPr>
        <w:overflowPunct w:val="0"/>
        <w:autoSpaceDE w:val="0"/>
        <w:autoSpaceDN w:val="0"/>
        <w:adjustRightInd w:val="0"/>
        <w:jc w:val="center"/>
        <w:textAlignment w:val="baseline"/>
        <w:rPr>
          <w:szCs w:val="20"/>
          <w:lang w:val="nl-BE"/>
        </w:rPr>
      </w:pPr>
    </w:p>
    <w:p w:rsidR="003B636C" w:rsidRDefault="003B636C" w14:paraId="00774D54" w14:textId="10CE84BC">
      <w:pPr>
        <w:spacing w:after="160" w:line="259" w:lineRule="auto"/>
        <w:jc w:val="left"/>
      </w:pPr>
      <w:r>
        <w:br w:type="page"/>
      </w:r>
    </w:p>
    <w:p w:rsidR="003B636C" w:rsidP="005B4680" w:rsidRDefault="009C785E" w14:paraId="2BEB799C" w14:textId="1D1D6CC2">
      <w:pPr>
        <w:pStyle w:val="Heading1"/>
        <w:ind w:hanging="928"/>
        <w:rPr>
          <w:b/>
          <w:bCs/>
        </w:rPr>
      </w:pPr>
      <w:bookmarkStart w:name="_Toc160789129" w:id="56"/>
      <w:r>
        <w:rPr>
          <w:b/>
        </w:rPr>
        <w:lastRenderedPageBreak/>
        <w:t>RÅDGIVANDE UTSKOTTET FÖR INDUSTRIELL OMVANDLING</w:t>
      </w:r>
      <w:bookmarkEnd w:id="56"/>
    </w:p>
    <w:p w:rsidR="003B3E18" w:rsidP="003B3E18" w:rsidRDefault="003B3E18" w14:paraId="0CE20361" w14:textId="55A85CDB"/>
    <w:p w:rsidRPr="000F732E" w:rsidR="000F732E" w:rsidP="00CC4510" w:rsidRDefault="00313C89" w14:paraId="67A73674" w14:textId="390FB8C0">
      <w:pPr>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rPr>
      </w:pPr>
      <w:hyperlink w:history="1" r:id="rId38">
        <w:r w:rsidR="00016559">
          <w:rPr>
            <w:b/>
            <w:i/>
            <w:color w:val="0000FF"/>
            <w:sz w:val="28"/>
            <w:u w:val="single"/>
          </w:rPr>
          <w:t>Mot en övergripande strategi för EU:s träindustri</w:t>
        </w:r>
      </w:hyperlink>
    </w:p>
    <w:p w:rsidRPr="000F732E" w:rsidR="000F732E" w:rsidP="000F732E" w:rsidRDefault="000F732E" w14:paraId="14E0FEEC" w14:textId="77777777">
      <w:pPr>
        <w:tabs>
          <w:tab w:val="center" w:pos="284"/>
        </w:tabs>
        <w:spacing w:after="160" w:line="259" w:lineRule="auto"/>
        <w:ind w:left="266" w:hanging="266"/>
        <w:jc w:val="left"/>
        <w:rPr>
          <w:rFonts w:eastAsiaTheme="minorHAnsi"/>
          <w:b/>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5"/>
        <w:gridCol w:w="7492"/>
      </w:tblGrid>
      <w:tr w:rsidRPr="000F732E" w:rsidR="000F732E" w:rsidTr="00B05454" w14:paraId="2C390288" w14:textId="77777777">
        <w:tc>
          <w:tcPr>
            <w:tcW w:w="946" w:type="pct"/>
          </w:tcPr>
          <w:p w:rsidRPr="000F732E" w:rsidR="000F732E" w:rsidP="00CC4510" w:rsidRDefault="000F732E" w14:paraId="16A0641A" w14:textId="77777777">
            <w:pPr>
              <w:tabs>
                <w:tab w:val="center" w:pos="284"/>
              </w:tabs>
              <w:spacing w:line="240" w:lineRule="auto"/>
              <w:ind w:left="266" w:hanging="376"/>
              <w:jc w:val="left"/>
              <w:rPr>
                <w:b/>
              </w:rPr>
            </w:pPr>
            <w:r>
              <w:rPr>
                <w:b/>
              </w:rPr>
              <w:t>Föredragande:</w:t>
            </w:r>
          </w:p>
          <w:p w:rsidRPr="000F732E" w:rsidR="000F732E" w:rsidP="00CC4510" w:rsidRDefault="000F732E" w14:paraId="222CEE0C" w14:textId="77777777">
            <w:pPr>
              <w:tabs>
                <w:tab w:val="center" w:pos="284"/>
              </w:tabs>
              <w:spacing w:line="240" w:lineRule="auto"/>
              <w:ind w:left="266" w:hanging="376"/>
              <w:jc w:val="left"/>
              <w:rPr>
                <w:b/>
              </w:rPr>
            </w:pPr>
          </w:p>
        </w:tc>
        <w:tc>
          <w:tcPr>
            <w:tcW w:w="4054" w:type="pct"/>
          </w:tcPr>
          <w:p w:rsidRPr="00CC4510" w:rsidR="000F732E" w:rsidP="00CC4510" w:rsidRDefault="000F732E" w14:paraId="30B50978" w14:textId="2B2F6815">
            <w:pPr>
              <w:tabs>
                <w:tab w:val="center" w:pos="284"/>
              </w:tabs>
              <w:spacing w:line="240" w:lineRule="auto"/>
              <w:ind w:left="266" w:hanging="376"/>
              <w:jc w:val="left"/>
              <w:rPr>
                <w:bCs/>
              </w:rPr>
            </w:pPr>
            <w:proofErr w:type="spellStart"/>
            <w:r>
              <w:t>Anastasis</w:t>
            </w:r>
            <w:proofErr w:type="spellEnd"/>
            <w:r>
              <w:t xml:space="preserve"> </w:t>
            </w:r>
            <w:proofErr w:type="spellStart"/>
            <w:r>
              <w:t>Yiapanis</w:t>
            </w:r>
            <w:proofErr w:type="spellEnd"/>
            <w:r>
              <w:t xml:space="preserve"> (Gruppen för civilsamhällesorganisationer – CY)</w:t>
            </w:r>
          </w:p>
        </w:tc>
      </w:tr>
      <w:tr w:rsidRPr="000F732E" w:rsidR="000F732E" w:rsidTr="00B05454" w14:paraId="5F892D9C" w14:textId="77777777">
        <w:tc>
          <w:tcPr>
            <w:tcW w:w="946" w:type="pct"/>
          </w:tcPr>
          <w:p w:rsidRPr="000F732E" w:rsidR="000F732E" w:rsidP="00CC4510" w:rsidRDefault="000F732E" w14:paraId="2222EF41" w14:textId="77777777">
            <w:pPr>
              <w:tabs>
                <w:tab w:val="center" w:pos="284"/>
              </w:tabs>
              <w:spacing w:line="240" w:lineRule="auto"/>
              <w:ind w:left="266" w:hanging="376"/>
              <w:jc w:val="left"/>
              <w:rPr>
                <w:b/>
              </w:rPr>
            </w:pPr>
            <w:r>
              <w:rPr>
                <w:b/>
              </w:rPr>
              <w:t>Medföredragande:</w:t>
            </w:r>
          </w:p>
          <w:p w:rsidRPr="000F732E" w:rsidR="000F732E" w:rsidP="00CC4510" w:rsidRDefault="000F732E" w14:paraId="31414DE8" w14:textId="77777777">
            <w:pPr>
              <w:tabs>
                <w:tab w:val="center" w:pos="284"/>
              </w:tabs>
              <w:spacing w:line="240" w:lineRule="auto"/>
              <w:ind w:left="266" w:hanging="376"/>
              <w:jc w:val="left"/>
              <w:rPr>
                <w:b/>
              </w:rPr>
            </w:pPr>
          </w:p>
        </w:tc>
        <w:tc>
          <w:tcPr>
            <w:tcW w:w="4054" w:type="pct"/>
          </w:tcPr>
          <w:p w:rsidRPr="001E04B8" w:rsidR="000F732E" w:rsidP="00CC4510" w:rsidRDefault="000F732E" w14:paraId="31568716" w14:textId="3337EFC8">
            <w:pPr>
              <w:tabs>
                <w:tab w:val="center" w:pos="284"/>
              </w:tabs>
              <w:spacing w:line="240" w:lineRule="auto"/>
              <w:ind w:left="266" w:hanging="376"/>
              <w:jc w:val="left"/>
            </w:pPr>
            <w:r>
              <w:t xml:space="preserve">Rolf </w:t>
            </w:r>
            <w:proofErr w:type="spellStart"/>
            <w:r>
              <w:t>Gehring</w:t>
            </w:r>
            <w:proofErr w:type="spellEnd"/>
            <w:r>
              <w:t xml:space="preserve"> (Kat. 2–DE)</w:t>
            </w:r>
          </w:p>
        </w:tc>
      </w:tr>
      <w:tr w:rsidRPr="000F732E" w:rsidR="000F732E" w:rsidTr="00B05454" w14:paraId="0FBF1F0B" w14:textId="77777777">
        <w:tc>
          <w:tcPr>
            <w:tcW w:w="946" w:type="pct"/>
          </w:tcPr>
          <w:p w:rsidRPr="000F732E" w:rsidR="000F732E" w:rsidP="00CC4510" w:rsidRDefault="000F732E" w14:paraId="2CA7929D" w14:textId="77777777">
            <w:pPr>
              <w:tabs>
                <w:tab w:val="center" w:pos="284"/>
              </w:tabs>
              <w:spacing w:line="240" w:lineRule="auto"/>
              <w:ind w:left="266" w:hanging="376"/>
              <w:jc w:val="left"/>
            </w:pPr>
            <w:r>
              <w:rPr>
                <w:b/>
              </w:rPr>
              <w:t>Referensdokument:</w:t>
            </w:r>
          </w:p>
        </w:tc>
        <w:tc>
          <w:tcPr>
            <w:tcW w:w="4054" w:type="pct"/>
          </w:tcPr>
          <w:p w:rsidR="00C41D73" w:rsidP="001E04B8" w:rsidRDefault="00C41D73" w14:paraId="320586E0" w14:textId="24B220EB">
            <w:pPr>
              <w:tabs>
                <w:tab w:val="center" w:pos="284"/>
              </w:tabs>
              <w:spacing w:line="240" w:lineRule="auto"/>
              <w:ind w:left="266" w:hanging="376"/>
              <w:jc w:val="left"/>
            </w:pPr>
            <w:r>
              <w:t>Yttrande på eget initiativ</w:t>
            </w:r>
          </w:p>
          <w:p w:rsidRPr="000F732E" w:rsidR="000F732E" w:rsidP="00CC4510" w:rsidRDefault="000F732E" w14:paraId="33B05BD1" w14:textId="754D5011">
            <w:pPr>
              <w:tabs>
                <w:tab w:val="center" w:pos="284"/>
              </w:tabs>
              <w:spacing w:line="240" w:lineRule="auto"/>
              <w:ind w:left="266" w:hanging="376"/>
              <w:jc w:val="left"/>
            </w:pPr>
            <w:r>
              <w:t>EESC-2023-03538-00-00-AC</w:t>
            </w:r>
          </w:p>
        </w:tc>
      </w:tr>
    </w:tbl>
    <w:p w:rsidRPr="000F732E" w:rsidR="000F732E" w:rsidP="000F732E" w:rsidRDefault="000F732E" w14:paraId="3216B2BA" w14:textId="77777777">
      <w:pPr>
        <w:keepNext/>
        <w:keepLines/>
        <w:tabs>
          <w:tab w:val="center" w:pos="284"/>
        </w:tabs>
        <w:spacing w:after="160" w:line="259" w:lineRule="auto"/>
        <w:ind w:left="266" w:hanging="266"/>
        <w:jc w:val="left"/>
        <w:rPr>
          <w:rFonts w:eastAsiaTheme="minorHAnsi"/>
          <w:b/>
          <w:lang w:val="fr-FR"/>
        </w:rPr>
      </w:pPr>
    </w:p>
    <w:p w:rsidR="000F732E" w:rsidP="00CC4510" w:rsidRDefault="000F732E" w14:paraId="2BD35938" w14:textId="46AE9C8D">
      <w:pPr>
        <w:keepNext/>
        <w:keepLines/>
        <w:tabs>
          <w:tab w:val="center" w:pos="284"/>
        </w:tabs>
        <w:spacing w:after="160" w:line="360" w:lineRule="auto"/>
        <w:ind w:left="266" w:hanging="266"/>
        <w:jc w:val="left"/>
        <w:rPr>
          <w:rFonts w:eastAsiaTheme="minorHAnsi"/>
          <w:b/>
        </w:rPr>
      </w:pPr>
      <w:r>
        <w:rPr>
          <w:b/>
        </w:rPr>
        <w:t>Huvudpunkter</w:t>
      </w:r>
    </w:p>
    <w:p w:rsidR="000F732E" w:rsidP="00CC4510" w:rsidRDefault="000F732E" w14:paraId="66129667" w14:textId="184E3AF9">
      <w:pPr>
        <w:spacing w:after="160" w:line="360" w:lineRule="auto"/>
        <w:jc w:val="left"/>
        <w:rPr>
          <w:rFonts w:eastAsiaTheme="minorHAnsi"/>
        </w:rPr>
      </w:pPr>
      <w:r>
        <w:t>Europeiska ekonomiska och sociala kommitténs (EESK) ståndpunkt:</w:t>
      </w:r>
    </w:p>
    <w:p w:rsidRPr="000F732E" w:rsidR="000F732E" w:rsidP="00256A3E" w:rsidRDefault="000F732E" w14:paraId="7220DE2F" w14:textId="77777777">
      <w:pPr>
        <w:numPr>
          <w:ilvl w:val="0"/>
          <w:numId w:val="28"/>
        </w:numPr>
        <w:spacing w:after="160"/>
        <w:ind w:left="284" w:hanging="284"/>
        <w:contextualSpacing/>
        <w:rPr>
          <w:rFonts w:eastAsiaTheme="minorHAnsi"/>
        </w:rPr>
      </w:pPr>
      <w:r>
        <w:t xml:space="preserve">EU och de nationella offentliga myndigheterna bör </w:t>
      </w:r>
      <w:r>
        <w:rPr>
          <w:b/>
        </w:rPr>
        <w:t>prioritera den europeiska träindustrins konkurrenskraft</w:t>
      </w:r>
      <w:r>
        <w:t xml:space="preserve"> genom att </w:t>
      </w:r>
      <w:r>
        <w:rPr>
          <w:b/>
        </w:rPr>
        <w:t>säkerställa marknadstillträde</w:t>
      </w:r>
      <w:r>
        <w:t xml:space="preserve"> och få bukt med kostnadsrelaterade problem och </w:t>
      </w:r>
      <w:r>
        <w:rPr>
          <w:b/>
        </w:rPr>
        <w:t>illojala handelsmetoder</w:t>
      </w:r>
      <w:r>
        <w:t>, och samtidigt se till att det råder lika villkor på marknaden.</w:t>
      </w:r>
    </w:p>
    <w:p w:rsidRPr="000F732E" w:rsidR="000F732E" w:rsidP="00256A3E" w:rsidRDefault="000F732E" w14:paraId="71F89912" w14:textId="77777777">
      <w:pPr>
        <w:numPr>
          <w:ilvl w:val="0"/>
          <w:numId w:val="28"/>
        </w:numPr>
        <w:spacing w:after="160"/>
        <w:ind w:left="284" w:hanging="284"/>
        <w:contextualSpacing/>
        <w:rPr>
          <w:rFonts w:eastAsiaTheme="minorHAnsi"/>
        </w:rPr>
      </w:pPr>
      <w:r>
        <w:t xml:space="preserve">Kommittén uppmanar alla EU-institutioner att ta vederbörlig hänsyn till att förnybara material bidrar till hållbarhet, den cirkulära ekonomin och klimatneutralitet, och att </w:t>
      </w:r>
      <w:r>
        <w:rPr>
          <w:b/>
        </w:rPr>
        <w:t>erkänna trä som en värdefull cirkulär resurs och råvara</w:t>
      </w:r>
      <w:r>
        <w:t>.</w:t>
      </w:r>
    </w:p>
    <w:p w:rsidRPr="000F732E" w:rsidR="000F732E" w:rsidP="00256A3E" w:rsidRDefault="000F732E" w14:paraId="69154C3C" w14:textId="77777777">
      <w:pPr>
        <w:numPr>
          <w:ilvl w:val="0"/>
          <w:numId w:val="28"/>
        </w:numPr>
        <w:spacing w:after="160"/>
        <w:ind w:left="284" w:hanging="284"/>
        <w:contextualSpacing/>
        <w:rPr>
          <w:rFonts w:eastAsiaTheme="minorHAnsi"/>
        </w:rPr>
      </w:pPr>
      <w:r>
        <w:t xml:space="preserve">EESK understryker behovet av att fastställa miniminormer för livscykelutsläpp av koldioxid inom byggsektorn samt </w:t>
      </w:r>
      <w:r>
        <w:rPr>
          <w:b/>
        </w:rPr>
        <w:t>kravet på koldioxidrapportering</w:t>
      </w:r>
      <w:r>
        <w:t xml:space="preserve"> inom industrin.</w:t>
      </w:r>
    </w:p>
    <w:p w:rsidRPr="000F732E" w:rsidR="000F732E" w:rsidP="00256A3E" w:rsidRDefault="000F732E" w14:paraId="711A8E02" w14:textId="77777777">
      <w:pPr>
        <w:numPr>
          <w:ilvl w:val="0"/>
          <w:numId w:val="28"/>
        </w:numPr>
        <w:spacing w:after="160"/>
        <w:ind w:left="284" w:hanging="284"/>
        <w:contextualSpacing/>
        <w:rPr>
          <w:rFonts w:eastAsiaTheme="minorHAnsi"/>
        </w:rPr>
      </w:pPr>
      <w:r>
        <w:t xml:space="preserve">EESK efterfrågar kraftfullare och proaktiva åtgärder i syfte att </w:t>
      </w:r>
      <w:r>
        <w:rPr>
          <w:b/>
        </w:rPr>
        <w:t>bekämpa olaglig avverkning, avskogning och olaglig handel med timmer</w:t>
      </w:r>
      <w:r>
        <w:t>.</w:t>
      </w:r>
    </w:p>
    <w:p w:rsidRPr="000F732E" w:rsidR="000F732E" w:rsidP="00256A3E" w:rsidRDefault="000F732E" w14:paraId="22C6D85E" w14:textId="77777777">
      <w:pPr>
        <w:numPr>
          <w:ilvl w:val="0"/>
          <w:numId w:val="28"/>
        </w:numPr>
        <w:spacing w:after="160"/>
        <w:ind w:left="284" w:hanging="284"/>
        <w:contextualSpacing/>
        <w:rPr>
          <w:rFonts w:eastAsiaTheme="minorHAnsi"/>
        </w:rPr>
      </w:pPr>
      <w:r>
        <w:t>EESK anser att en</w:t>
      </w:r>
      <w:r>
        <w:rPr>
          <w:b/>
        </w:rPr>
        <w:t xml:space="preserve"> EU-strategi bör utarbetas för att locka och behålla yngre talanger</w:t>
      </w:r>
      <w:r>
        <w:t xml:space="preserve"> och kvinnor inom sektorn </w:t>
      </w:r>
      <w:r>
        <w:rPr>
          <w:b/>
        </w:rPr>
        <w:t>samt säkerställa tillgången till kvalificerad arbetskraft</w:t>
      </w:r>
      <w:r>
        <w:t>.</w:t>
      </w:r>
    </w:p>
    <w:p w:rsidRPr="000F732E" w:rsidR="000F732E" w:rsidP="00256A3E" w:rsidRDefault="000F732E" w14:paraId="41674885" w14:textId="77777777">
      <w:pPr>
        <w:numPr>
          <w:ilvl w:val="0"/>
          <w:numId w:val="28"/>
        </w:numPr>
        <w:spacing w:after="160"/>
        <w:ind w:left="284" w:hanging="284"/>
        <w:contextualSpacing/>
        <w:rPr>
          <w:rFonts w:eastAsiaTheme="minorHAnsi"/>
        </w:rPr>
      </w:pPr>
      <w:r>
        <w:t xml:space="preserve">Kommittén betonar vikten av att </w:t>
      </w:r>
      <w:r>
        <w:rPr>
          <w:b/>
        </w:rPr>
        <w:t>upprätthålla den europeiska pelaren för sociala rättigheter</w:t>
      </w:r>
      <w:r>
        <w:t xml:space="preserve"> inom EU:s träindustri.</w:t>
      </w:r>
    </w:p>
    <w:p w:rsidRPr="000F732E" w:rsidR="000F732E" w:rsidP="00256A3E" w:rsidRDefault="000F732E" w14:paraId="3255DCE6" w14:textId="77777777">
      <w:pPr>
        <w:numPr>
          <w:ilvl w:val="0"/>
          <w:numId w:val="28"/>
        </w:numPr>
        <w:spacing w:after="160"/>
        <w:ind w:left="284" w:hanging="284"/>
        <w:contextualSpacing/>
        <w:rPr>
          <w:rFonts w:eastAsiaTheme="minorHAnsi"/>
          <w:b/>
          <w:bCs/>
        </w:rPr>
      </w:pPr>
      <w:r>
        <w:t xml:space="preserve">Det finns ett ökat behov av effektiv skogsförvaltning samt bättre samordning av och utrustning till europeiska och nationella brandbekämpningsstyrkor för att kunna </w:t>
      </w:r>
      <w:r>
        <w:rPr>
          <w:b/>
        </w:rPr>
        <w:t>motverka den ökande tendensen med stora skogsbränder</w:t>
      </w:r>
      <w:r>
        <w:t>.</w:t>
      </w:r>
    </w:p>
    <w:p w:rsidRPr="000F732E" w:rsidR="000F732E" w:rsidP="00256A3E" w:rsidRDefault="000F732E" w14:paraId="23084171" w14:textId="77F1496F">
      <w:pPr>
        <w:numPr>
          <w:ilvl w:val="0"/>
          <w:numId w:val="28"/>
        </w:numPr>
        <w:spacing w:after="160"/>
        <w:ind w:left="284" w:hanging="284"/>
        <w:contextualSpacing/>
        <w:rPr>
          <w:rFonts w:eastAsiaTheme="minorHAnsi"/>
        </w:rPr>
      </w:pPr>
      <w:r>
        <w:t xml:space="preserve">EESK efterlyser ett konsekvent </w:t>
      </w:r>
      <w:r>
        <w:rPr>
          <w:b/>
        </w:rPr>
        <w:t>genomförande av förordningen om ekodesign för hållbara produkter</w:t>
      </w:r>
      <w:r>
        <w:t xml:space="preserve"> för att göra hållbara produkter till normen och upprätthålla en rättvis konkurrens i</w:t>
      </w:r>
      <w:r w:rsidR="00256A3E">
        <w:t> </w:t>
      </w:r>
      <w:r>
        <w:t>förhållande till import. Arbetsmarknadsparterna inom EU:s träsektor bör dessutom inbjudas att delta i samrådsforumet för ekodesign.</w:t>
      </w:r>
    </w:p>
    <w:p w:rsidRPr="000F732E" w:rsidR="000F732E" w:rsidP="00256A3E" w:rsidRDefault="000F732E" w14:paraId="0EC35662" w14:textId="77777777">
      <w:pPr>
        <w:spacing w:after="160"/>
        <w:ind w:left="720"/>
        <w:contextualSpacing/>
        <w:jc w:val="left"/>
        <w:rPr>
          <w:rFonts w:eastAsiaTheme="minorHAnsi"/>
          <w:bCs/>
          <w:lang w:val="fr-FR"/>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0F732E" w:rsidR="000F732E" w:rsidTr="00B05454" w14:paraId="47CF7F3B" w14:textId="77777777">
        <w:tc>
          <w:tcPr>
            <w:tcW w:w="1870" w:type="pct"/>
          </w:tcPr>
          <w:p w:rsidRPr="000F732E" w:rsidR="000F732E" w:rsidP="00256A3E" w:rsidRDefault="000F732E" w14:paraId="76D5A844" w14:textId="77777777">
            <w:pPr>
              <w:jc w:val="left"/>
              <w:rPr>
                <w:i/>
              </w:rPr>
            </w:pPr>
            <w:r>
              <w:rPr>
                <w:b/>
                <w:i/>
              </w:rPr>
              <w:t>Kontaktperson:</w:t>
            </w:r>
          </w:p>
        </w:tc>
        <w:tc>
          <w:tcPr>
            <w:tcW w:w="3130" w:type="pct"/>
            <w:tcBorders>
              <w:left w:val="nil"/>
            </w:tcBorders>
          </w:tcPr>
          <w:p w:rsidRPr="00CC4510" w:rsidR="000F732E" w:rsidP="00256A3E" w:rsidRDefault="000F732E" w14:paraId="7DA54185" w14:textId="31EEC934">
            <w:pPr>
              <w:jc w:val="left"/>
              <w:rPr>
                <w:bCs/>
                <w:i/>
              </w:rPr>
            </w:pPr>
            <w:r>
              <w:rPr>
                <w:i/>
              </w:rPr>
              <w:t>Heli Niemelä-</w:t>
            </w:r>
            <w:proofErr w:type="spellStart"/>
            <w:r>
              <w:rPr>
                <w:i/>
              </w:rPr>
              <w:t>Farrer</w:t>
            </w:r>
            <w:proofErr w:type="spellEnd"/>
          </w:p>
        </w:tc>
      </w:tr>
      <w:tr w:rsidRPr="000F732E" w:rsidR="000F732E" w:rsidTr="00B05454" w14:paraId="6E3CE5FB" w14:textId="77777777">
        <w:tc>
          <w:tcPr>
            <w:tcW w:w="1870" w:type="pct"/>
          </w:tcPr>
          <w:p w:rsidRPr="000F732E" w:rsidR="000F732E" w:rsidP="00256A3E" w:rsidRDefault="000F732E" w14:paraId="7E50D445" w14:textId="77777777">
            <w:pPr>
              <w:jc w:val="left"/>
              <w:rPr>
                <w:i/>
              </w:rPr>
            </w:pPr>
            <w:r>
              <w:rPr>
                <w:i/>
              </w:rPr>
              <w:t xml:space="preserve">Tfn </w:t>
            </w:r>
          </w:p>
        </w:tc>
        <w:tc>
          <w:tcPr>
            <w:tcW w:w="3130" w:type="pct"/>
            <w:tcBorders>
              <w:left w:val="nil"/>
            </w:tcBorders>
          </w:tcPr>
          <w:p w:rsidRPr="000F732E" w:rsidR="000F732E" w:rsidP="00256A3E" w:rsidRDefault="000F732E" w14:paraId="7DEC5319" w14:textId="77777777">
            <w:pPr>
              <w:jc w:val="left"/>
              <w:rPr>
                <w:i/>
              </w:rPr>
            </w:pPr>
            <w:r>
              <w:rPr>
                <w:i/>
              </w:rPr>
              <w:t>+32 22822464</w:t>
            </w:r>
          </w:p>
        </w:tc>
      </w:tr>
      <w:tr w:rsidRPr="000F732E" w:rsidR="000F732E" w:rsidTr="00B05454" w14:paraId="2C89CBFA" w14:textId="77777777">
        <w:tc>
          <w:tcPr>
            <w:tcW w:w="1870" w:type="pct"/>
          </w:tcPr>
          <w:p w:rsidRPr="000F732E" w:rsidR="000F732E" w:rsidP="00256A3E" w:rsidRDefault="000F732E" w14:paraId="314FD0C9" w14:textId="77777777">
            <w:pPr>
              <w:jc w:val="left"/>
              <w:rPr>
                <w:i/>
                <w:iCs/>
              </w:rPr>
            </w:pPr>
            <w:r>
              <w:rPr>
                <w:i/>
              </w:rPr>
              <w:t>E-post:</w:t>
            </w:r>
          </w:p>
        </w:tc>
        <w:tc>
          <w:tcPr>
            <w:tcW w:w="3130" w:type="pct"/>
            <w:tcBorders>
              <w:left w:val="nil"/>
            </w:tcBorders>
          </w:tcPr>
          <w:p w:rsidRPr="000F732E" w:rsidR="000F732E" w:rsidP="00256A3E" w:rsidRDefault="00313C89" w14:paraId="5E097992" w14:textId="77777777">
            <w:pPr>
              <w:jc w:val="left"/>
              <w:rPr>
                <w:i/>
              </w:rPr>
            </w:pPr>
            <w:hyperlink w:history="1" r:id="rId39">
              <w:r w:rsidR="00016559">
                <w:rPr>
                  <w:i/>
                  <w:color w:val="0000FF"/>
                  <w:u w:val="single"/>
                </w:rPr>
                <w:t>Heli.Niemela-Farrer@eesc.europa.eu</w:t>
              </w:r>
            </w:hyperlink>
          </w:p>
        </w:tc>
      </w:tr>
      <w:bookmarkEnd w:id="0"/>
      <w:bookmarkEnd w:id="53"/>
    </w:tbl>
    <w:p w:rsidR="003F6640" w:rsidP="006C7863" w:rsidRDefault="003F6640" w14:paraId="494EE16D"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62AAB0D6">
      <w:pPr>
        <w:overflowPunct w:val="0"/>
        <w:autoSpaceDE w:val="0"/>
        <w:autoSpaceDN w:val="0"/>
        <w:adjustRightInd w:val="0"/>
        <w:jc w:val="center"/>
        <w:textAlignment w:val="baseline"/>
      </w:pPr>
      <w:r>
        <w:t>_____________</w:t>
      </w:r>
    </w:p>
    <w:sectPr w:rsidRPr="006C7863" w:rsidR="0092772D" w:rsidSect="004417CD">
      <w:headerReference w:type="even" r:id="rId40"/>
      <w:headerReference w:type="default" r:id="rId41"/>
      <w:footerReference w:type="even" r:id="rId42"/>
      <w:footerReference w:type="default" r:id="rId43"/>
      <w:headerReference w:type="first" r:id="rId44"/>
      <w:footerReference w:type="first" r:id="rId4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2BF" w14:textId="77777777" w:rsidR="004417CD" w:rsidRPr="004417CD" w:rsidRDefault="004417CD" w:rsidP="0044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E15D74B" w:rsidR="00765C4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rsidR="00D36819">
      <w:t>1</w:t>
    </w:r>
    <w:r>
      <w:fldChar w:fldCharType="end"/>
    </w:r>
    <w:r>
      <w:t>/</w:t>
    </w:r>
    <w:fldSimple w:instr=" NUMPAGES ">
      <w:r w:rsidR="00D3681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A77" w14:textId="77777777" w:rsidR="004417CD" w:rsidRPr="004417CD" w:rsidRDefault="004417CD" w:rsidP="00441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4417CD" w:rsidRDefault="00E4258F" w:rsidP="004417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E2BD989" w:rsidR="00E4258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4417CD" w:rsidRDefault="00E4258F" w:rsidP="0044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236" w14:textId="77777777" w:rsidR="004417CD" w:rsidRPr="004417CD" w:rsidRDefault="004417CD" w:rsidP="0044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D3EE" w14:textId="25799B83" w:rsidR="004417CD" w:rsidRPr="004417CD" w:rsidRDefault="004417CD" w:rsidP="00441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AAA5" w14:textId="77777777" w:rsidR="004417CD" w:rsidRPr="004417CD" w:rsidRDefault="004417CD" w:rsidP="00441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4417CD" w:rsidRDefault="00E4258F" w:rsidP="00441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02CDA1C" w:rsidR="00E4258F" w:rsidRPr="004417CD" w:rsidRDefault="00E4258F" w:rsidP="004417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4417CD" w:rsidRDefault="00E4258F" w:rsidP="0044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3"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8"/>
  </w:num>
  <w:num w:numId="4">
    <w:abstractNumId w:val="13"/>
  </w:num>
  <w:num w:numId="5">
    <w:abstractNumId w:val="2"/>
  </w:num>
  <w:num w:numId="6">
    <w:abstractNumId w:val="17"/>
  </w:num>
  <w:num w:numId="7">
    <w:abstractNumId w:val="10"/>
  </w:num>
  <w:num w:numId="8">
    <w:abstractNumId w:val="21"/>
  </w:num>
  <w:num w:numId="9">
    <w:abstractNumId w:val="16"/>
  </w:num>
  <w:num w:numId="10">
    <w:abstractNumId w:val="19"/>
  </w:num>
  <w:num w:numId="11">
    <w:abstractNumId w:val="6"/>
  </w:num>
  <w:num w:numId="12">
    <w:abstractNumId w:val="5"/>
  </w:num>
  <w:num w:numId="13">
    <w:abstractNumId w:val="27"/>
  </w:num>
  <w:num w:numId="14">
    <w:abstractNumId w:val="24"/>
  </w:num>
  <w:num w:numId="15">
    <w:abstractNumId w:val="20"/>
  </w:num>
  <w:num w:numId="16">
    <w:abstractNumId w:val="8"/>
  </w:num>
  <w:num w:numId="17">
    <w:abstractNumId w:val="29"/>
  </w:num>
  <w:num w:numId="18">
    <w:abstractNumId w:val="23"/>
  </w:num>
  <w:num w:numId="19">
    <w:abstractNumId w:val="3"/>
  </w:num>
  <w:num w:numId="20">
    <w:abstractNumId w:val="1"/>
  </w:num>
  <w:num w:numId="21">
    <w:abstractNumId w:val="25"/>
  </w:num>
  <w:num w:numId="22">
    <w:abstractNumId w:val="9"/>
  </w:num>
  <w:num w:numId="23">
    <w:abstractNumId w:val="7"/>
  </w:num>
  <w:num w:numId="24">
    <w:abstractNumId w:val="26"/>
  </w:num>
  <w:num w:numId="25">
    <w:abstractNumId w:val="4"/>
  </w:num>
  <w:num w:numId="26">
    <w:abstractNumId w:val="22"/>
  </w:num>
  <w:num w:numId="27">
    <w:abstractNumId w:val="28"/>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1"/>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559"/>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247"/>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A3E"/>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C89"/>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819"/>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3E4"/>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v-S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eesc.europa.eu/en/our-work/opinions-information-reports/opinions/strengthening-civil-dialogue-and-participatory-democracy-eu-path-forward" TargetMode="External"/><Relationship Id="rId39" Type="http://schemas.openxmlformats.org/officeDocument/2006/relationships/hyperlink" Target="mailto:Heli.Niemela-Farrer@eesc.europa.eu" TargetMode="External"/><Relationship Id="rId21" Type="http://schemas.openxmlformats.org/officeDocument/2006/relationships/hyperlink" Target="mailto:Colombe.Gregoire@eesc.europa.eu" TargetMode="External"/><Relationship Id="rId34" Type="http://schemas.openxmlformats.org/officeDocument/2006/relationships/hyperlink" Target="https://www.eesc.europa.eu/sv/our-work/opinions-information-reports/opinions/european-economic-security-strategy" TargetMode="External"/><Relationship Id="rId42" Type="http://schemas.openxmlformats.org/officeDocument/2006/relationships/footer" Target="footer4.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2.xml"/><Relationship Id="rId29" Type="http://schemas.openxmlformats.org/officeDocument/2006/relationships/hyperlink" Target="mailto:Silvia.Staffa@eesc.europa.eu"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en/our-work/opinions-information-reports/opinions/digitalisation-social-security" TargetMode="External"/><Relationship Id="rId32" Type="http://schemas.openxmlformats.org/officeDocument/2006/relationships/hyperlink" Target="https://www.eesc.europa.eu/en/our-work/opinions-information-reports/opinions/preventing-plastic-pellet-losses-reduce-microplastics-pollution" TargetMode="External"/><Relationship Id="rId37" Type="http://schemas.openxmlformats.org/officeDocument/2006/relationships/hyperlink" Target="mailto:Aleksandra.SarmanGrilc@eesc.europa.eu"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Sergio.LorencioMatallana@eesc.europa.eu" TargetMode="External"/><Relationship Id="rId28" Type="http://schemas.openxmlformats.org/officeDocument/2006/relationships/hyperlink" Target="https://www.eesc.europa.eu/sv/our-work/opinions-information-reports/opinions/alternative-dispute-resolution" TargetMode="External"/><Relationship Id="rId36" Type="http://schemas.openxmlformats.org/officeDocument/2006/relationships/hyperlink" Target="https://www.eesc.europa.eu/en/our-work/opinions-information-reports/opinions/revision-combined-transport-directive-92106eec"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yperlink" Target="https://www.eesc.europa.eu/sv/our-work/opinions-information-reports/opinions/taxation-cross-border-teleworkers-globally-and-impact-eu" TargetMode="External"/><Relationship Id="rId31" Type="http://schemas.openxmlformats.org/officeDocument/2006/relationships/hyperlink" Target="mailto:Dalila.Bernard@eesc.europa.eu" TargetMode="External"/><Relationship Id="rId44" Type="http://schemas.openxmlformats.org/officeDocument/2006/relationships/header" Target="header6.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eesc.europa.eu/sv/our-work/opinions-information-reports/opinions/improving-benchmarks-and-reporting-requirements-financial-services-and-investment-support" TargetMode="External"/><Relationship Id="rId27" Type="http://schemas.openxmlformats.org/officeDocument/2006/relationships/hyperlink" Target="mailto:June.Bedaton@eesc.europa.eu" TargetMode="External"/><Relationship Id="rId30" Type="http://schemas.openxmlformats.org/officeDocument/2006/relationships/hyperlink" Target="https://www.eesc.europa.eu/sv/our-work/opinions-information-reports/opinions/sme-relief-package" TargetMode="External"/><Relationship Id="rId35" Type="http://schemas.openxmlformats.org/officeDocument/2006/relationships/hyperlink" Target="mailto:Marco.Ristori@eesc.europa.eu" TargetMode="External"/><Relationship Id="rId43" Type="http://schemas.openxmlformats.org/officeDocument/2006/relationships/footer" Target="footer5.xm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dmsearch.eesc.europa.eu/search/opinion" TargetMode="External"/><Relationship Id="rId17" Type="http://schemas.openxmlformats.org/officeDocument/2006/relationships/header" Target="header3.xml"/><Relationship Id="rId25" Type="http://schemas.openxmlformats.org/officeDocument/2006/relationships/hyperlink" Target="mailto:Bartek.Bednarowicz@eesc.europa.eu" TargetMode="External"/><Relationship Id="rId33" Type="http://schemas.openxmlformats.org/officeDocument/2006/relationships/hyperlink" Target="mailto:Caroline.Verhelst@eesc.europa.eu" TargetMode="External"/><Relationship Id="rId38" Type="http://schemas.openxmlformats.org/officeDocument/2006/relationships/hyperlink" Target="https://www.eesc.europa.eu/sv/our-work/opinions-information-reports/opinions/towards-comprehensive-strategy-eu-wood-industry" TargetMode="External"/><Relationship Id="rId46" Type="http://schemas.openxmlformats.org/officeDocument/2006/relationships/fontTable" Target="fontTable.xml"/><Relationship Id="rId20" Type="http://schemas.openxmlformats.org/officeDocument/2006/relationships/hyperlink" Target="mailto:Juri.Soosaar@eesc.europa.eu"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F7M6YNZUATRX-416430479-4526</_dlc_DocId>
    <_dlc_DocIdUrl xmlns="59ace41b-6786-4ce3-be71-52c27066c6ef">
      <Url>http://dm/eesc/2024/_layouts/15/DocIdRedir.aspx?ID=F7M6YNZUATRX-416430479-4526</Url>
      <Description>F7M6YNZUATRX-416430479-4526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2024-03-08T12:00:00+00:00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Eklund Lisa</DisplayName>
        <AccountId>1512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F5897-37E5-4BC2-A2B7-F269F7D9DCC3}"/>
</file>

<file path=customXml/itemProps2.xml><?xml version="1.0" encoding="utf-8"?>
<ds:datastoreItem xmlns:ds="http://schemas.openxmlformats.org/officeDocument/2006/customXml" ds:itemID="{E5EFFA22-D2E5-47F0-8DEC-7E41D7528EEC}"/>
</file>

<file path=customXml/itemProps3.xml><?xml version="1.0" encoding="utf-8"?>
<ds:datastoreItem xmlns:ds="http://schemas.openxmlformats.org/officeDocument/2006/customXml" ds:itemID="{AA677575-6E9C-466B-8216-41226D42AE76}"/>
</file>

<file path=customXml/itemProps4.xml><?xml version="1.0" encoding="utf-8"?>
<ds:datastoreItem xmlns:ds="http://schemas.openxmlformats.org/officeDocument/2006/customXml" ds:itemID="{8F91D744-3A22-4A5A-A2E9-227E895AB8E5}"/>
</file>

<file path=docProps/app.xml><?xml version="1.0" encoding="utf-8"?>
<Properties xmlns="http://schemas.openxmlformats.org/officeDocument/2006/extended-properties" xmlns:vt="http://schemas.openxmlformats.org/officeDocument/2006/docPropsVTypes">
  <Template>Normal.dotm</Template>
  <TotalTime>0</TotalTime>
  <Pages>14</Pages>
  <Words>4392</Words>
  <Characters>25040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- 585:e plenarsessionen - februari 2024</dc:title>
  <dc:subject>TCD</dc:subject>
  <dc:creator>Nieddu Emma</dc:creator>
  <cp:keywords>EESC-2024-00286-00-01-TCD-TRA-EN</cp:keywords>
  <dc:description>Rapporteur:  - Original language: EN - Date of document: 08/03/2024 - Date of meeting: 30/20/2024 14:30 - External documents:  - Administrator: MME TAMASAUSKIENE Julija</dc:description>
  <cp:lastModifiedBy>Eklund Lisa</cp:lastModifiedBy>
  <cp:revision>9</cp:revision>
  <cp:lastPrinted>2023-06-15T08:00:00Z</cp:lastPrinted>
  <dcterms:created xsi:type="dcterms:W3CDTF">2024-03-06T16:02:00Z</dcterms:created>
  <dcterms:modified xsi:type="dcterms:W3CDTF">2024-03-08T10:27:00Z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add6a279-7c93-4904-b0f9-7e5eb3dd45e1</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PT|50ccc04a-eadd-42ae-a0cb-acaf45f812ba;FR|d2afafd3-4c81-4f60-8f52-ee33f2f54ff3;HR|2f555653-ed1a-4fe6-8362-9082d95989e5;DA|5d49c027-8956-412b-aa16-e85a0f96ad0e;IT|0774613c-01ed-4e5d-a25d-11d2388de825;ET|ff6c3f4c-b02c-4c3c-ab07-2c37995a7a0a;LT|a7ff5ce7-6123-4f68-865a-a57c31810414;SL|98a412ae-eb01-49e9-ae3d-585a81724cfc;HU|6b229040-c589-4408-b4c1-4285663d20a8;FI|87606a43-d45f-42d6-b8c9-e1a3457db5b7;NL|55c6556c-b4f4-441d-9acf-c498d4f838bd;BG|1a1b3951-7821-4e6a-85f5-5673fc08bd2c;LV|46f7e311-5d9f-4663-b433-18aeccb7ace7;ES|e7a6b05b-ae16-40c8-add9-68b64b03aeba;DE|f6b31e5a-26fa-4935-b661-318e46daf27e;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32;#HU|6b229040-c589-4408-b4c1-4285663d20a8;#31;#NL|55c6556c-b4f4-441d-9acf-c498d4f838bd;#30;#HR|2f555653-ed1a-4fe6-8362-9082d95989e5;#28;#LV|46f7e311-5d9f-4663-b433-18aeccb7ace7;#27;#SL|98a412ae-eb01-49e9-ae3d-585a81724cfc;#25;#DE|f6b31e5a-26fa-4935-b661-318e46daf27e;#24;#ES|e7a6b05b-ae16-40c8-add9-68b64b03aeba;#22;#BG|1a1b3951-7821-4e6a-85f5-5673fc08bd2c;#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21;#SV|c2ed69e7-a339-43d7-8f22-d93680a92aa0</vt:lpwstr>
  </property>
</Properties>
</file>