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0B09AA" w14:paraId="785AE44C" w14:textId="4D784723">
      <w:pPr>
        <w:jc w:val="center"/>
      </w:pPr>
      <w:bookmarkStart w:name="_Hlk141173132" w:id="0"/>
      <w:r>
        <w:rPr>
          <w:noProof/>
        </w:rPr>
        <w:drawing>
          <wp:inline distT="0" distB="0" distL="0" distR="0" wp14:anchorId="48D3117D" wp14:editId="754E073B">
            <wp:extent cx="1792605" cy="1239520"/>
            <wp:effectExtent l="0" t="0" r="0" b="0"/>
            <wp:docPr id="2" name="Picture 2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P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4B6B" w:rsidR="004D7AC0" w:rsidP="00775FC4" w:rsidRDefault="00A8243E" w14:paraId="51F52D79" w14:textId="6B5142C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5A05454C" wp14:anchorId="60050413">
                <wp:simplePos x="0" y="0"/>
                <wp:positionH relativeFrom="page">
                  <wp:posOffset>6770788</wp:posOffset>
                </wp:positionH>
                <wp:positionV relativeFrom="page">
                  <wp:posOffset>10083352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.15pt;margin-top:793.95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M+t4z3gAAAADwEAAA8AAABkcnMvZG93bnJl&#10;di54bWxMj81OwzAQhO9IvIO1SNyoXUpMGuJUCMQVRPmRuLnxNomI11HsNuHt2Z7gNrM7mv223My+&#10;F0ccYxfIwHKhQCDVwXXUGHh/e7rKQcRkydk+EBr4wQib6vystIULE73icZsawSUUC2ugTWkopIx1&#10;i97GRRiQeLcPo7eJ7dhIN9qJy30vr5XS0tuO+EJrB3xosf7eHryBj+f91+eNemkefTZMYVaS/Foa&#10;c3kx39+BSDinvzCc8BkdKmbahQO5KHr2SusVZ1ll+e0axCmz1DnPdqx0plYgq1L+/6P6BQAA//8D&#10;AFBLAQItABQABgAIAAAAIQC2gziS/gAAAOEBAAATAAAAAAAAAAAAAAAAAAAAAABbQ29udGVudF9U&#10;eXBlc10ueG1sUEsBAi0AFAAGAAgAAAAhADj9If/WAAAAlAEAAAsAAAAAAAAAAAAAAAAALwEAAF9y&#10;ZWxzLy5yZWxzUEsBAi0AFAAGAAgAAAAhANDQ29XyAQAAxwMAAA4AAAAAAAAAAAAAAAAALgIAAGRy&#10;cy9lMm9Eb2MueG1sUEsBAi0AFAAGAAgAAAAhAM+t4z3gAAAADwEAAA8AAAAAAAAAAAAAAAAATAQA&#10;AGRycy9kb3ducmV2LnhtbFBLBQYAAAAABAAEAPMAAABZBQAAAAA=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014C93" w14:paraId="45DE4A28" w14:textId="5402B3AE">
      <w:pPr>
        <w:jc w:val="right"/>
      </w:pPr>
      <w:r>
        <w:t>Bruxelas, 18 de março de 2024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73D9AE9C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585.ª REUNIÃO PLENÁRIA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335DF3" w14:paraId="6CF7229C" w14:textId="32F5F03F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 e 15 de fevereiro de 2024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SÍNTESE DOS PARECERES E RESOLUÇÕES ADOTADOS E DOS RELATÓRIOS DE INFORMAÇÃO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O presente documento pode ser consultado nas línguas oficiais no sítio Web do CESE, no seguinte endereço: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760300" w14:paraId="2A9352A2" w14:textId="0680ADB6">
            <w:pPr>
              <w:snapToGrid w:val="0"/>
              <w:jc w:val="center"/>
            </w:pPr>
            <w:hyperlink w:history="1" r:id="rId12">
              <w:r w:rsidR="000B09AA">
                <w:rPr>
                  <w:rStyle w:val="Hyperlink"/>
                  <w:highlight w:val="yellow"/>
                </w:rPr>
                <w:t>http://www.eesc.europa.eu/pt/our-work/opinions-informatio</w:t>
              </w:r>
              <w:r w:rsidR="000B09AA">
                <w:rPr>
                  <w:rStyle w:val="Hyperlink"/>
                  <w:highlight w:val="yellow"/>
                </w:rPr>
                <w:t>n</w:t>
              </w:r>
              <w:r w:rsidR="000B09AA">
                <w:rPr>
                  <w:rStyle w:val="Hyperlink"/>
                  <w:highlight w:val="yellow"/>
                </w:rPr>
                <w:t>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Os pareceres mencionados podem ser consultados em linha através do motor de busca do CESE: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760300" w14:paraId="441AC4DD" w14:textId="1194D751">
            <w:pPr>
              <w:snapToGrid w:val="0"/>
              <w:jc w:val="center"/>
            </w:pPr>
            <w:hyperlink w:history="1" r:id="rId13">
              <w:r w:rsidR="000B09AA">
                <w:rPr>
                  <w:rStyle w:val="Hyperlink"/>
                </w:rPr>
                <w:t>https://dmse</w:t>
              </w:r>
              <w:r w:rsidR="000B09AA">
                <w:rPr>
                  <w:rStyle w:val="Hyperlink"/>
                </w:rPr>
                <w:t>a</w:t>
              </w:r>
              <w:r w:rsidR="000B09AA">
                <w:rPr>
                  <w:rStyle w:val="Hyperlink"/>
                </w:rPr>
                <w:t>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4417C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E31152" w14:paraId="0D3450B1" w14:textId="62EC5944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</w:p>
    <w:sdt>
      <w:sdtPr>
        <w:id w:val="-3063295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544D95" w:rsidR="00544D95" w:rsidP="00544D95" w:rsidRDefault="00544D95" w14:paraId="58A03F7E" w14:textId="77777777">
          <w:pPr>
            <w:keepNext/>
            <w:keepLines/>
            <w:spacing w:before="240" w:line="259" w:lineRule="auto"/>
            <w:jc w:val="left"/>
            <w:rPr>
              <w:rFonts w:asciiTheme="majorHAnsi" w:hAnsiTheme="majorHAnsi" w:eastAsiaTheme="majorEastAsia" w:cstheme="majorBidi"/>
              <w:color w:val="2E74B5" w:themeColor="accent1" w:themeShade="BF"/>
              <w:sz w:val="32"/>
              <w:szCs w:val="32"/>
            </w:rPr>
          </w:pPr>
          <w:r>
            <w:rPr>
              <w:rFonts w:asciiTheme="majorHAnsi" w:hAnsiTheme="majorHAnsi"/>
              <w:color w:val="2E74B5" w:themeColor="accent1" w:themeShade="BF"/>
              <w:sz w:val="32"/>
            </w:rPr>
            <w:t>Índice</w:t>
          </w:r>
        </w:p>
        <w:p w:rsidR="00A73956" w:rsidRDefault="00544D95" w14:paraId="32C615FF" w14:textId="444FDDCC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r w:rsidRPr="00544D95">
            <w:fldChar w:fldCharType="begin"/>
          </w:r>
          <w:r w:rsidRPr="00544D95">
            <w:instrText xml:space="preserve"> TOC \o "1-3" \h \z \u </w:instrText>
          </w:r>
          <w:r w:rsidRPr="00544D95">
            <w:fldChar w:fldCharType="separate"/>
          </w:r>
          <w:hyperlink w:history="1" w:anchor="_Toc159831757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F2051E">
              <w:rPr>
                <w:b/>
              </w:rPr>
              <w:t>UNIÃO ECONÓMICA E MONETÁRIA E COESÃO ECONÓMICA E SOCIAL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_Toc159831757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3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7D604740" w14:textId="5FD8CA1C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69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4C1D59">
              <w:rPr>
                <w:b/>
              </w:rPr>
              <w:t>EMPREGO, ASSUNTOS SOCIAIS E CIDADANIA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_Toc159831769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7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719A63A6" w14:textId="05751062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70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705AC9">
              <w:rPr>
                <w:b/>
              </w:rPr>
              <w:t>MERCADO ÚNICO, PRODUÇÃO E CONSUMO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_Toc159831770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9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4AEDCBD1" w14:textId="61E62F2B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71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0B4C34">
              <w:rPr>
                <w:b/>
              </w:rPr>
              <w:t>AGRICULTURA, DESENVOLVIMENTO RURAL E AMBIENTE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_Toc159831771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11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51F44AA7" w14:textId="2531B157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82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F86F11">
              <w:rPr>
                <w:b/>
              </w:rPr>
              <w:t>RELAÇÕES EXTERNAS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_Toc159831782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13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23E0BF5D" w14:textId="29DC0674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83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E81530">
              <w:rPr>
                <w:b/>
              </w:rPr>
              <w:t>TRANSPORTES, ENERGIA, INFRAESTRUTURAS E SOCIEDADE DA INFORMAÇÃO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_Toc159831783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14</w:t>
            </w:r>
            <w:r w:rsidR="00A73956">
              <w:rPr>
                <w:webHidden/>
              </w:rPr>
              <w:fldChar w:fldCharType="end"/>
            </w:r>
          </w:hyperlink>
        </w:p>
        <w:p w:rsidR="00A73956" w:rsidRDefault="00760300" w14:paraId="001A0C56" w14:textId="36546252">
          <w:pPr>
            <w:pStyle w:val="TOC1"/>
            <w:rPr>
              <w:rFonts w:asciiTheme="minorHAnsi" w:hAnsiTheme="minorHAnsi" w:eastAsiaTheme="minorEastAsia" w:cstheme="minorBidi"/>
              <w:sz w:val="22"/>
            </w:rPr>
          </w:pPr>
          <w:hyperlink w:history="1" w:anchor="_Toc159831784">
            <w:r w:rsidRPr="00403592" w:rsidR="00A73956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A73956">
              <w:rPr>
                <w:rFonts w:asciiTheme="minorHAnsi" w:hAnsiTheme="minorHAnsi" w:eastAsiaTheme="minorEastAsia" w:cstheme="minorBidi"/>
                <w:sz w:val="22"/>
              </w:rPr>
              <w:tab/>
            </w:r>
            <w:r w:rsidR="00772A6B">
              <w:rPr>
                <w:b/>
              </w:rPr>
              <w:t>COMISSÃO CONSULTIVA DAS MUTAÇÕES INDUSTRIAIS</w:t>
            </w:r>
            <w:r w:rsidR="00A73956">
              <w:rPr>
                <w:webHidden/>
              </w:rPr>
              <w:tab/>
            </w:r>
            <w:r w:rsidR="00A73956">
              <w:rPr>
                <w:webHidden/>
              </w:rPr>
              <w:fldChar w:fldCharType="begin"/>
            </w:r>
            <w:r w:rsidR="00A73956">
              <w:rPr>
                <w:webHidden/>
              </w:rPr>
              <w:instrText xml:space="preserve"> PAGEREF _Toc159831784 \h </w:instrText>
            </w:r>
            <w:r w:rsidR="00A73956">
              <w:rPr>
                <w:webHidden/>
              </w:rPr>
            </w:r>
            <w:r w:rsidR="00A73956">
              <w:rPr>
                <w:webHidden/>
              </w:rPr>
              <w:fldChar w:fldCharType="separate"/>
            </w:r>
            <w:r w:rsidR="00F4525B">
              <w:rPr>
                <w:webHidden/>
              </w:rPr>
              <w:t>15</w:t>
            </w:r>
            <w:r w:rsidR="00A73956">
              <w:rPr>
                <w:webHidden/>
              </w:rPr>
              <w:fldChar w:fldCharType="end"/>
            </w:r>
          </w:hyperlink>
        </w:p>
        <w:p w:rsidRPr="00544D95" w:rsidR="00544D95" w:rsidP="00544D95" w:rsidRDefault="00544D95" w14:paraId="589C47D7" w14:textId="7E72C08F">
          <w:pPr>
            <w:rPr>
              <w:b/>
            </w:rPr>
          </w:pPr>
          <w:r w:rsidRPr="00544D95">
            <w:rPr>
              <w:b/>
            </w:rPr>
            <w:fldChar w:fldCharType="end"/>
          </w:r>
        </w:p>
      </w:sdtContent>
    </w:sdt>
    <w:p w:rsidR="00BE2C1E" w:rsidRDefault="00BE2C1E" w14:paraId="2900045F" w14:textId="7EF0810A">
      <w:pPr>
        <w:spacing w:after="160" w:line="259" w:lineRule="auto"/>
        <w:jc w:val="left"/>
      </w:pPr>
      <w:r>
        <w:br w:type="page"/>
      </w:r>
    </w:p>
    <w:p w:rsidR="00A07736" w:rsidRDefault="00A07736" w14:paraId="6B93666C" w14:textId="77777777">
      <w:pPr>
        <w:spacing w:after="160" w:line="259" w:lineRule="auto"/>
        <w:jc w:val="left"/>
      </w:pPr>
    </w:p>
    <w:p w:rsidR="0038273B" w:rsidP="00C83487" w:rsidRDefault="0038273B" w14:paraId="62CE6920" w14:textId="4713069C">
      <w:pPr>
        <w:pStyle w:val="Heading1"/>
        <w:spacing w:before="0"/>
        <w:ind w:left="930" w:hanging="928"/>
        <w:rPr>
          <w:b/>
          <w:bCs/>
        </w:rPr>
      </w:pPr>
      <w:bookmarkStart w:name="_Toc159831757" w:id="1"/>
      <w:r>
        <w:rPr>
          <w:b/>
        </w:rPr>
        <w:t>UNIÃO ECONÓMICA E MONETÁRIA E COESÃO ECONÓMICA E SOCIAL</w:t>
      </w:r>
      <w:bookmarkEnd w:id="1"/>
    </w:p>
    <w:p w:rsidRPr="00115BBC" w:rsidR="00115BBC" w:rsidP="00115BBC" w:rsidRDefault="00115BBC" w14:paraId="5C4FD48E" w14:textId="77777777"/>
    <w:p w:rsidRPr="00CF3B63" w:rsidR="00CF3B63" w:rsidP="00CC4510" w:rsidRDefault="00760300" w14:paraId="7EC430AC" w14:textId="415F652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20">
        <w:r w:rsidR="000B09AA">
          <w:rPr>
            <w:b/>
            <w:i/>
            <w:color w:val="0000FF"/>
            <w:sz w:val="28"/>
            <w:u w:val="single"/>
          </w:rPr>
          <w:t xml:space="preserve">Tributação dos teletrabalhadores </w:t>
        </w:r>
        <w:r w:rsidR="000B09AA">
          <w:rPr>
            <w:b/>
            <w:i/>
            <w:color w:val="0000FF"/>
            <w:sz w:val="28"/>
            <w:u w:val="single"/>
          </w:rPr>
          <w:t>t</w:t>
        </w:r>
        <w:r w:rsidR="000B09AA">
          <w:rPr>
            <w:b/>
            <w:i/>
            <w:color w:val="0000FF"/>
            <w:sz w:val="28"/>
            <w:u w:val="single"/>
          </w:rPr>
          <w:t>ransfronteiriços a nível mundial e impacto na UE</w:t>
        </w:r>
      </w:hyperlink>
    </w:p>
    <w:p w:rsidR="00CF3B63" w:rsidP="00CF3B63" w:rsidRDefault="00CF3B63" w14:paraId="478C2AB3" w14:textId="340E8FC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CF3B63" w:rsidR="00E73010" w:rsidTr="00B17F65" w14:paraId="751D3B32" w14:textId="77777777">
        <w:tc>
          <w:tcPr>
            <w:tcW w:w="1701" w:type="dxa"/>
          </w:tcPr>
          <w:p w:rsidRPr="00CF3B63" w:rsidR="00E73010" w:rsidP="00B17F65" w:rsidRDefault="00E73010" w14:paraId="1452C9B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5670" w:type="dxa"/>
          </w:tcPr>
          <w:p w:rsidRPr="00CF3B63" w:rsidR="00E73010" w:rsidP="00B17F65" w:rsidRDefault="00E73010" w14:paraId="4711134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Krister Andersson (SE – Grupo dos Empregadores)</w:t>
            </w:r>
          </w:p>
        </w:tc>
      </w:tr>
      <w:tr w:rsidRPr="00CF3B63" w:rsidR="00E73010" w:rsidTr="00B17F65" w14:paraId="744149D0" w14:textId="77777777">
        <w:tc>
          <w:tcPr>
            <w:tcW w:w="1701" w:type="dxa"/>
          </w:tcPr>
          <w:p w:rsidRPr="00CF3B63" w:rsidR="00E73010" w:rsidP="00B17F65" w:rsidRDefault="00E73010" w14:paraId="000E62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</w:p>
        </w:tc>
        <w:tc>
          <w:tcPr>
            <w:tcW w:w="5670" w:type="dxa"/>
          </w:tcPr>
          <w:p w:rsidRPr="00CF3B63" w:rsidR="00E73010" w:rsidP="00B17F65" w:rsidRDefault="00E73010" w14:paraId="42E8B3A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Pr="00CF3B63" w:rsidR="00E73010" w:rsidTr="00B17F65" w14:paraId="46478281" w14:textId="77777777">
        <w:tc>
          <w:tcPr>
            <w:tcW w:w="1701" w:type="dxa"/>
          </w:tcPr>
          <w:p w:rsidRPr="00CF3B63" w:rsidR="00E73010" w:rsidP="00B17F65" w:rsidRDefault="00E73010" w14:paraId="059FA346" w14:textId="0CE5F4E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5670" w:type="dxa"/>
          </w:tcPr>
          <w:p w:rsidR="00E73010" w:rsidP="00E73010" w:rsidRDefault="00E73010" w14:paraId="0E3642E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CF3B63" w:rsidR="00E73010" w:rsidP="00E73010" w:rsidRDefault="00E73010" w14:paraId="58476701" w14:textId="52B2602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EESC-2023-00860-00-AC</w:t>
            </w:r>
          </w:p>
        </w:tc>
      </w:tr>
      <w:tr w:rsidRPr="00CF3B63" w:rsidR="00E73010" w:rsidTr="00B17F65" w14:paraId="65C7AC0C" w14:textId="77777777">
        <w:tc>
          <w:tcPr>
            <w:tcW w:w="1701" w:type="dxa"/>
          </w:tcPr>
          <w:p w:rsidRPr="00CF3B63" w:rsidR="00E73010" w:rsidP="00B17F65" w:rsidRDefault="00E73010" w14:paraId="4EE462A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</w:p>
        </w:tc>
        <w:tc>
          <w:tcPr>
            <w:tcW w:w="5670" w:type="dxa"/>
          </w:tcPr>
          <w:p w:rsidRPr="00CF3B63" w:rsidR="00E73010" w:rsidP="00B17F65" w:rsidRDefault="00E73010" w14:paraId="2AAA63E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="00E73010" w:rsidP="00CF3B63" w:rsidRDefault="00E73010" w14:paraId="54675DBA" w14:textId="1C83796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F3B63" w:rsidR="00CF3B63" w:rsidP="00CC4510" w:rsidRDefault="00CF3B63" w14:paraId="37EC74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Pontos principais</w:t>
      </w:r>
    </w:p>
    <w:p w:rsidRPr="00CF3B63" w:rsidR="00CF3B63" w:rsidP="00CC4510" w:rsidRDefault="00CF3B63" w14:paraId="0530296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Pr="00CF3B63" w:rsidR="00CF3B63" w:rsidP="00CC4510" w:rsidRDefault="00CF3B63" w14:paraId="23B0065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Cs/>
        </w:rPr>
      </w:pPr>
      <w:r>
        <w:t>O Comité Económico e Social Europeu:</w:t>
      </w:r>
    </w:p>
    <w:p w:rsidRPr="00CF3B63" w:rsidR="00CF3B63" w:rsidP="00CF3B63" w:rsidRDefault="00CF3B63" w14:paraId="32F10A5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F3B63" w:rsidR="00CF3B63" w:rsidP="00CC4510" w:rsidRDefault="00CF3B63" w14:paraId="64272677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szCs w:val="20"/>
        </w:rPr>
      </w:pPr>
      <w:r>
        <w:t>salienta que, ao longo da última década, a globalização e a digitalização criaram novas oportunidades de trabalho à distância. A pandemia de COVID-19 desencadeou uma mudança sem precedentes na vida dos trabalhadores e das empresas, conduzindo à ascensão exponencial do teletrabalho;</w:t>
      </w:r>
    </w:p>
    <w:p w:rsidR="00CF3B63" w:rsidP="00CC4510" w:rsidRDefault="00CF3B63" w14:paraId="67BD646A" w14:textId="2729F36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szCs w:val="20"/>
        </w:rPr>
      </w:pPr>
      <w:r>
        <w:t>recorda que, graças às novas tecnologias, é possível realizar exatamente o mesmo trabalho sem necessidade de presença física, o que também significa que um número muito superior de pessoas pode trabalhar à distância além-fronteiras, tendo o número de teletrabalhadores transfronteiriços aumentado consideravelmente;</w:t>
      </w:r>
    </w:p>
    <w:p w:rsidR="00CF3B63" w:rsidP="00CC4510" w:rsidRDefault="00CF3B63" w14:paraId="1EE80ABE" w14:textId="474071F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szCs w:val="20"/>
        </w:rPr>
      </w:pPr>
      <w:r>
        <w:t>considera que é preferível tributar os rendimentos dos trabalhadores por conta de outrem como rendimentos salariais no país de residência do empregador. Tal regime simplificaria a situação para os trabalhadores e poderia também ser atrativo para os empregadores. A fim de compensar a perda de rendimentos no país de residência do trabalhador, seria provavelmente necessário um mecanismo de repartição das receitas;</w:t>
      </w:r>
    </w:p>
    <w:p w:rsidRPr="00CF3B63" w:rsidR="00CF3B63" w:rsidP="00CC4510" w:rsidRDefault="00CF3B63" w14:paraId="216DBC4F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szCs w:val="20"/>
        </w:rPr>
      </w:pPr>
      <w:r>
        <w:t>propõe que as autoridades tributárias possam repartir as receitas entre os países com base em dados sobre a presença efetiva das pessoas nos Estados em causa (comunicados pelo empregador à autoridade tributária do seu país de residência, a qual funcionaria, assim, como um balcão único) ou utilizando uma chave macroeconómica agregada.</w:t>
      </w:r>
    </w:p>
    <w:p w:rsidRPr="00CF3B63" w:rsidR="00CF3B63" w:rsidP="00CF3B63" w:rsidRDefault="00CF3B63" w14:paraId="09DDE983" w14:textId="77777777">
      <w:pPr>
        <w:spacing w:after="200" w:line="276" w:lineRule="auto"/>
        <w:ind w:left="567"/>
        <w:contextualSpacing/>
        <w:jc w:val="left"/>
        <w:rPr>
          <w:color w:val="000000" w:themeColor="text1"/>
          <w:lang w:eastAsia="zh-CN"/>
        </w:rPr>
      </w:pPr>
    </w:p>
    <w:tbl>
      <w:tblPr>
        <w:tblStyle w:val="TableGrid1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CF3B63" w:rsidR="00CF3B63" w:rsidTr="00B05454" w14:paraId="4CD566CB" w14:textId="77777777">
        <w:tc>
          <w:tcPr>
            <w:tcW w:w="1418" w:type="dxa"/>
          </w:tcPr>
          <w:p w:rsidRPr="00CF3B63" w:rsidR="00CF3B63" w:rsidP="00CF3B63" w:rsidRDefault="00CF3B63" w14:paraId="2153EC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CF3B63" w:rsidR="00CF3B63" w:rsidP="00CF3B63" w:rsidRDefault="00CF3B63" w14:paraId="2BAAA70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Jüri Soosaar </w:t>
            </w:r>
          </w:p>
        </w:tc>
      </w:tr>
      <w:tr w:rsidRPr="00CF3B63" w:rsidR="00CF3B63" w:rsidTr="00B05454" w14:paraId="0CCC2A7E" w14:textId="77777777">
        <w:tc>
          <w:tcPr>
            <w:tcW w:w="1418" w:type="dxa"/>
          </w:tcPr>
          <w:p w:rsidRPr="00CF3B63" w:rsidR="00CF3B63" w:rsidP="00CF3B63" w:rsidRDefault="00CF3B63" w14:paraId="31D551A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CF3B63" w:rsidR="00CF3B63" w:rsidP="00CF3B63" w:rsidRDefault="00CF3B63" w14:paraId="5FA9B68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+32 2 546 96 28</w:t>
            </w:r>
          </w:p>
        </w:tc>
      </w:tr>
      <w:tr w:rsidRPr="00CF3B63" w:rsidR="00CF3B63" w:rsidTr="00B05454" w14:paraId="52648DE1" w14:textId="77777777">
        <w:tc>
          <w:tcPr>
            <w:tcW w:w="1418" w:type="dxa"/>
          </w:tcPr>
          <w:p w:rsidRPr="00CF3B63" w:rsidR="00CF3B63" w:rsidP="00CF3B63" w:rsidRDefault="009A2DD6" w14:paraId="0F86E843" w14:textId="73EA9BC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CF3B63" w:rsidR="00CF3B63" w:rsidRDefault="00760300" w14:paraId="34CDB34E" w14:textId="0A67A9F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1">
              <w:r w:rsidR="000B09AA">
                <w:rPr>
                  <w:color w:val="0000FF"/>
                  <w:u w:val="single"/>
                </w:rPr>
                <w:t>Juri.Soosaar@eesc.europa.eu</w:t>
              </w:r>
            </w:hyperlink>
            <w:r w:rsidR="000B09AA">
              <w:t xml:space="preserve"> </w:t>
            </w:r>
          </w:p>
        </w:tc>
      </w:tr>
    </w:tbl>
    <w:p w:rsidR="00CF3B63" w:rsidRDefault="00CF3B63" w14:paraId="03718F05" w14:textId="77777777">
      <w:pPr>
        <w:spacing w:after="160" w:line="259" w:lineRule="auto"/>
        <w:jc w:val="left"/>
        <w:rPr>
          <w:b/>
          <w:bCs/>
        </w:rPr>
      </w:pPr>
    </w:p>
    <w:p w:rsidR="00CF3B63" w:rsidRDefault="00CF3B63" w14:paraId="2B55CB13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bookmarkStart w:name="_Toc159831758" w:id="2"/>
    <w:p w:rsidRPr="00DA68C7" w:rsidR="00A32597" w:rsidP="00CC4510" w:rsidRDefault="004716B8" w14:paraId="1BD9833F" w14:textId="1748A743">
      <w:pPr>
        <w:pStyle w:val="ListParagraph"/>
        <w:numPr>
          <w:ilvl w:val="0"/>
          <w:numId w:val="16"/>
        </w:numPr>
        <w:shd w:val="clear" w:color="auto" w:fill="FFFFFF"/>
        <w:ind w:hanging="578"/>
        <w:outlineLvl w:val="0"/>
        <w:rPr>
          <w:b/>
          <w:kern w:val="28"/>
        </w:rPr>
      </w:pPr>
      <w:r>
        <w:lastRenderedPageBreak/>
        <w:fldChar w:fldCharType="begin"/>
      </w:r>
      <w:r>
        <w:instrText xml:space="preserve"> HYPERLINK "https://www.eesc.europa.eu/pt/our-work/opinions-information-reports/opinions/annual-sustainable-growth-survey-2024" </w:instrText>
      </w:r>
      <w:r>
        <w:fldChar w:fldCharType="separate"/>
      </w:r>
      <w:r>
        <w:rPr>
          <w:b/>
          <w:i/>
          <w:color w:val="0000FF"/>
          <w:sz w:val="28"/>
          <w:u w:val="single"/>
        </w:rPr>
        <w:t>Análise Anual do Crescimento Sustentável de 2024</w:t>
      </w:r>
      <w:bookmarkEnd w:id="2"/>
      <w:r>
        <w:rPr>
          <w:b/>
          <w:i/>
          <w:color w:val="0000FF"/>
          <w:sz w:val="28"/>
          <w:u w:val="single"/>
        </w:rPr>
        <w:fldChar w:fldCharType="end"/>
      </w:r>
    </w:p>
    <w:tbl>
      <w:tblPr>
        <w:tblStyle w:val="TableGrid1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Pr="00A32597" w:rsidR="00A32597" w:rsidTr="00B05454" w14:paraId="7BCB2534" w14:textId="77777777">
        <w:tc>
          <w:tcPr>
            <w:tcW w:w="1701" w:type="dxa"/>
          </w:tcPr>
          <w:p w:rsidRPr="00A32597" w:rsidR="007B6C34" w:rsidRDefault="007B6C34" w14:paraId="5143B750" w14:textId="77777777">
            <w:pPr>
              <w:widowControl w:val="0"/>
              <w:spacing w:line="276" w:lineRule="auto"/>
              <w:ind w:left="142"/>
              <w:contextualSpacing/>
              <w:jc w:val="left"/>
              <w:rPr>
                <w:b/>
                <w:bCs/>
                <w:iCs/>
                <w:noProof/>
                <w:sz w:val="16"/>
                <w:szCs w:val="16"/>
                <w:lang w:eastAsia="fr-BE"/>
              </w:rPr>
            </w:pPr>
          </w:p>
          <w:p w:rsidRPr="00A32597" w:rsidR="00A32597" w:rsidRDefault="00A32597" w14:paraId="6BE8915C" w14:textId="22A4DF31">
            <w:pPr>
              <w:widowControl w:val="0"/>
              <w:spacing w:line="276" w:lineRule="auto"/>
              <w:ind w:left="142"/>
              <w:contextualSpacing/>
              <w:jc w:val="left"/>
              <w:rPr>
                <w:b/>
                <w:bCs/>
                <w:iCs/>
                <w:noProof/>
              </w:rPr>
            </w:pPr>
            <w:r>
              <w:rPr>
                <w:b/>
              </w:rPr>
              <w:t>Relatora:</w:t>
            </w:r>
          </w:p>
        </w:tc>
        <w:tc>
          <w:tcPr>
            <w:tcW w:w="7371" w:type="dxa"/>
          </w:tcPr>
          <w:p w:rsidRPr="00A32597" w:rsidR="00A32597" w:rsidRDefault="00A32597" w14:paraId="541D6CA9" w14:textId="77777777">
            <w:pPr>
              <w:widowControl w:val="0"/>
              <w:spacing w:line="276" w:lineRule="auto"/>
              <w:ind w:left="142"/>
              <w:contextualSpacing/>
              <w:jc w:val="left"/>
              <w:rPr>
                <w:bCs/>
                <w:iCs/>
                <w:noProof/>
                <w:sz w:val="16"/>
                <w:szCs w:val="16"/>
                <w:lang w:eastAsia="fr-BE"/>
              </w:rPr>
            </w:pPr>
          </w:p>
          <w:p w:rsidRPr="00A32597" w:rsidR="00A32597" w:rsidRDefault="00A32597" w14:paraId="07DE7214" w14:textId="38316A4D">
            <w:pPr>
              <w:widowControl w:val="0"/>
              <w:spacing w:line="276" w:lineRule="auto"/>
              <w:ind w:left="142" w:right="-1380"/>
              <w:contextualSpacing/>
              <w:jc w:val="left"/>
              <w:rPr>
                <w:bCs/>
                <w:iCs/>
                <w:noProof/>
              </w:rPr>
            </w:pPr>
            <w:r>
              <w:t xml:space="preserve">Elena-Alexandra Calistru (RO – Grupo das Organizações da Sociedade Civil) </w:t>
            </w:r>
          </w:p>
        </w:tc>
      </w:tr>
    </w:tbl>
    <w:p w:rsidRPr="00A32597" w:rsidR="00A32597" w:rsidRDefault="00A32597" w14:paraId="3B5F4815" w14:textId="77777777">
      <w:pPr>
        <w:widowControl w:val="0"/>
        <w:spacing w:line="259" w:lineRule="auto"/>
        <w:ind w:left="567"/>
        <w:jc w:val="left"/>
        <w:rPr>
          <w:rFonts w:eastAsia="Calibri"/>
          <w:b/>
          <w:sz w:val="16"/>
          <w:szCs w:val="16"/>
        </w:rPr>
      </w:pPr>
    </w:p>
    <w:tbl>
      <w:tblPr>
        <w:tblStyle w:val="TableGrid1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A32597" w:rsidR="00A32597" w:rsidTr="00B05454" w14:paraId="7B85BF7E" w14:textId="77777777">
        <w:tc>
          <w:tcPr>
            <w:tcW w:w="1701" w:type="dxa"/>
          </w:tcPr>
          <w:p w:rsidRPr="00CC4510" w:rsidR="00A32597" w:rsidP="00CC4510" w:rsidRDefault="00A32597" w14:paraId="515D21C6" w14:textId="77777777">
            <w:pPr>
              <w:widowControl w:val="0"/>
              <w:spacing w:line="276" w:lineRule="auto"/>
              <w:ind w:left="142"/>
              <w:contextualSpacing/>
              <w:jc w:val="left"/>
              <w:rPr>
                <w:b/>
                <w:bCs/>
                <w:iCs/>
                <w:noProof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5670" w:type="dxa"/>
          </w:tcPr>
          <w:p w:rsidRPr="00A32597" w:rsidR="00A32597" w:rsidP="00CC4510" w:rsidRDefault="00A32597" w14:paraId="7CE58217" w14:textId="77777777">
            <w:pPr>
              <w:tabs>
                <w:tab w:val="center" w:pos="284"/>
              </w:tabs>
              <w:spacing w:line="240" w:lineRule="auto"/>
              <w:ind w:left="266"/>
              <w:jc w:val="left"/>
            </w:pPr>
            <w:r>
              <w:t>COM(2023) 901 final</w:t>
            </w:r>
          </w:p>
          <w:p w:rsidRPr="00A32597" w:rsidR="00A32597" w:rsidP="00CC4510" w:rsidRDefault="00A32597" w14:paraId="0BBCB268" w14:textId="77777777">
            <w:pPr>
              <w:tabs>
                <w:tab w:val="center" w:pos="284"/>
              </w:tabs>
              <w:spacing w:line="240" w:lineRule="auto"/>
              <w:ind w:left="266"/>
              <w:jc w:val="left"/>
            </w:pPr>
            <w:r>
              <w:t>EESC-2023-05137-00-00-AC</w:t>
            </w:r>
          </w:p>
          <w:p w:rsidRPr="00A32597" w:rsidR="00A32597" w:rsidP="00CC4510" w:rsidRDefault="00A32597" w14:paraId="6114F19B" w14:textId="77777777">
            <w:pPr>
              <w:tabs>
                <w:tab w:val="center" w:pos="284"/>
              </w:tabs>
              <w:spacing w:line="240" w:lineRule="auto"/>
              <w:ind w:left="266"/>
              <w:jc w:val="left"/>
            </w:pPr>
          </w:p>
        </w:tc>
      </w:tr>
    </w:tbl>
    <w:p w:rsidR="00A32597" w:rsidP="00CC4510" w:rsidRDefault="00A32597" w14:paraId="55102C19" w14:textId="3C028EF4">
      <w:pPr>
        <w:keepNext/>
        <w:keepLines/>
        <w:tabs>
          <w:tab w:val="center" w:pos="284"/>
        </w:tabs>
        <w:spacing w:after="80" w:line="360" w:lineRule="auto"/>
        <w:ind w:left="266"/>
        <w:jc w:val="left"/>
        <w:rPr>
          <w:rFonts w:eastAsia="Calibri"/>
          <w:b/>
        </w:rPr>
      </w:pPr>
      <w:r>
        <w:rPr>
          <w:b/>
        </w:rPr>
        <w:t>Pontos principais</w:t>
      </w:r>
    </w:p>
    <w:p w:rsidR="00A32597" w:rsidP="00CC4510" w:rsidRDefault="00A32597" w14:paraId="6878A780" w14:textId="62407221">
      <w:pPr>
        <w:spacing w:after="80" w:line="360" w:lineRule="auto"/>
        <w:ind w:firstLine="284"/>
        <w:rPr>
          <w:rFonts w:eastAsia="Calibri"/>
        </w:rPr>
      </w:pPr>
      <w:r>
        <w:t xml:space="preserve">O Comité Económico e Social Europeu: </w:t>
      </w:r>
    </w:p>
    <w:p w:rsidRPr="00A32597" w:rsidR="00A32597" w:rsidP="00CC4510" w:rsidRDefault="00A32597" w14:paraId="77BED355" w14:textId="77777777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59" w:id="3"/>
      <w:r>
        <w:t>recomenda que o Banco Central Europeu (BCE) acompanhe de perto os riscos económicos e elabore cuidadosamente planos de contingência, a fim de assegurar perspetivas credíveis no que toca à inflação, e aconselha o BCE a estar preparado para ajustar as políticas em caso de abrandamento ou inversão da descida prevista da inflação, ou, em alternativa, se a inflação ficar demasiado abaixo dos 2%, pelo que preconiza planos de contingência mais claros para manter a credibilidade das perspetivas relativas à inflação;</w:t>
      </w:r>
      <w:bookmarkEnd w:id="3"/>
    </w:p>
    <w:p w:rsidRPr="00A32597" w:rsidR="00A32597" w:rsidP="00CC4510" w:rsidRDefault="00A32597" w14:paraId="6EBE4B0D" w14:textId="77777777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60" w:id="4"/>
      <w:r>
        <w:t>apela para um diálogo concreto com os parlamentos nacionais, os órgãos de poder local e regional, a sociedade civil e os parceiros sociais no que diz respeito às reformas do quadro de governação macroeconómica da UE, e salienta a importância da apropriação destas reformas a nível nacional através de um diálogo eficaz;</w:t>
      </w:r>
      <w:bookmarkEnd w:id="4"/>
    </w:p>
    <w:p w:rsidRPr="00A32597" w:rsidR="00A32597" w:rsidP="00CC4510" w:rsidRDefault="00A32597" w14:paraId="15523693" w14:textId="77777777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61" w:id="5"/>
      <w:r>
        <w:t>salienta a extrema importância de integrar os valores democráticos e os princípios do Estado de direito na governação económica da UE;</w:t>
      </w:r>
      <w:bookmarkEnd w:id="5"/>
    </w:p>
    <w:p w:rsidRPr="00A32597" w:rsidR="00A32597" w:rsidP="00CC4510" w:rsidRDefault="00A32597" w14:paraId="0E045AD4" w14:textId="04DCED01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62" w:id="6"/>
      <w:r>
        <w:t>defende uma consolidação orçamental que tenha em conta a situação única de cada Estado</w:t>
      </w:r>
      <w:r w:rsidR="00F2051E">
        <w:noBreakHyphen/>
      </w:r>
      <w:r>
        <w:t>Membro, reconhecendo simultaneamente a diversidade das condições económicas e os desafios de crescimento dos Estados-Membros;</w:t>
      </w:r>
      <w:bookmarkEnd w:id="6"/>
    </w:p>
    <w:p w:rsidRPr="00A32597" w:rsidR="00A32597" w:rsidP="00CC4510" w:rsidRDefault="00A32597" w14:paraId="581D3E0C" w14:textId="77777777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63" w:id="7"/>
      <w:r>
        <w:t>apela para uma abordagem equilibrada na eliminação progressiva dos apoios em situação de crise, que continuam a ajudar os grupos vulneráveis afetados pelos elevados custos da energia e pela inflação, e para a criação de um quadro permanente de apoio sujeito a condição de recursos em alguns países, salientando a necessidade de um debate aprofundado sobre os impactos sociais;</w:t>
      </w:r>
      <w:bookmarkEnd w:id="7"/>
    </w:p>
    <w:p w:rsidRPr="00A32597" w:rsidR="00A32597" w:rsidP="00CC4510" w:rsidRDefault="00A32597" w14:paraId="74E233B0" w14:textId="77777777">
      <w:pPr>
        <w:numPr>
          <w:ilvl w:val="0"/>
          <w:numId w:val="17"/>
        </w:numPr>
        <w:spacing w:line="276" w:lineRule="auto"/>
        <w:ind w:left="284" w:hanging="284"/>
        <w:outlineLvl w:val="1"/>
      </w:pPr>
      <w:bookmarkStart w:name="_Toc159831764" w:id="8"/>
      <w:r>
        <w:t>insta a Comissão Europeia e os governos nacionais a prestarem o apoio necessário para reforçar as capacidades administrativas e racionalizar os processos, bem como a envolverem a sociedade civil na execução dos planos nacionais de recuperação e resiliência;</w:t>
      </w:r>
      <w:bookmarkEnd w:id="8"/>
    </w:p>
    <w:p w:rsidRPr="00A32597" w:rsidR="00A32597" w:rsidP="00CC4510" w:rsidRDefault="00A32597" w14:paraId="24E5E545" w14:textId="147A6AEE">
      <w:pPr>
        <w:numPr>
          <w:ilvl w:val="0"/>
          <w:numId w:val="18"/>
        </w:numPr>
        <w:spacing w:line="276" w:lineRule="auto"/>
        <w:ind w:left="284" w:hanging="284"/>
        <w:outlineLvl w:val="1"/>
      </w:pPr>
      <w:bookmarkStart w:name="_Toc159831765" w:id="9"/>
      <w:r>
        <w:t>salienta a necessidade de aumentar a participação no mercado de trabalho através da melhoria das competências, da garantia da igualdade de oportunidades e da luta contra as disparidades regionais, e defende políticas que combatam os défices de aprendizagem induzidos pela pandemia, centrando</w:t>
      </w:r>
      <w:r w:rsidR="00F2051E">
        <w:noBreakHyphen/>
      </w:r>
      <w:r>
        <w:t>se nas necessidades dos alunos e escolas desfavorecidos;</w:t>
      </w:r>
      <w:bookmarkEnd w:id="9"/>
    </w:p>
    <w:p w:rsidRPr="00A32597" w:rsidR="00A32597" w:rsidP="00CC4510" w:rsidRDefault="00A32597" w14:paraId="22994523" w14:textId="77777777">
      <w:pPr>
        <w:numPr>
          <w:ilvl w:val="0"/>
          <w:numId w:val="18"/>
        </w:numPr>
        <w:spacing w:line="276" w:lineRule="auto"/>
        <w:ind w:left="284" w:hanging="284"/>
        <w:outlineLvl w:val="1"/>
      </w:pPr>
      <w:bookmarkStart w:name="_Toc159831766" w:id="10"/>
      <w:r>
        <w:t>apela para ações mais audazes a fim de eliminar os obstáculos administrativos enfrentados pelas empresas da UE e por outras partes interessadas, ao mesmo tempo que apoia medidas para aumentar a produtividade, e defende que as iniciativas destinadas a reduzir as obrigações de comunicação de informações devem ser acompanhadas de incentivos mais fortes para os investimentos na sustentabilidade, incluindo os transfronteiriços;</w:t>
      </w:r>
      <w:bookmarkEnd w:id="10"/>
    </w:p>
    <w:p w:rsidRPr="00A32597" w:rsidR="00A32597" w:rsidP="00CC4510" w:rsidRDefault="00A32597" w14:paraId="6CFE049D" w14:textId="77777777">
      <w:pPr>
        <w:numPr>
          <w:ilvl w:val="0"/>
          <w:numId w:val="18"/>
        </w:numPr>
        <w:spacing w:line="276" w:lineRule="auto"/>
        <w:ind w:left="284" w:hanging="284"/>
        <w:outlineLvl w:val="1"/>
      </w:pPr>
      <w:bookmarkStart w:name="_Toc159831767" w:id="11"/>
      <w:r>
        <w:t>defende uma abordagem orçamental equilibrada que integre o contributo das partes interessadas e tenha em conta as realidades económicas em todos os Estados-Membros, e sublinha que a execução dos planos de recuperação deve ser consentânea com esta abordagem diferenciada, a fim de evitar comprometer os objetivos ambientais e sociais;</w:t>
      </w:r>
      <w:bookmarkEnd w:id="11"/>
    </w:p>
    <w:p w:rsidRPr="00A32597" w:rsidR="00A32597" w:rsidP="00CC4510" w:rsidRDefault="00A32597" w14:paraId="6803DE03" w14:textId="77777777">
      <w:pPr>
        <w:numPr>
          <w:ilvl w:val="0"/>
          <w:numId w:val="18"/>
        </w:numPr>
        <w:spacing w:line="276" w:lineRule="auto"/>
        <w:ind w:left="284" w:hanging="284"/>
        <w:outlineLvl w:val="1"/>
      </w:pPr>
      <w:bookmarkStart w:name="_Toc159831768" w:id="12"/>
      <w:r>
        <w:t xml:space="preserve">lamenta o atraso na criação do Fundo de Soberania da UE, enquanto o orçamento limitado da Plataforma de Tecnologias Estratégicas para a Europa suscita sérias dúvidas quanto à dedicação da </w:t>
      </w:r>
      <w:r>
        <w:lastRenderedPageBreak/>
        <w:t>UE e à sua capacidade de alcançar os objetivos de transição ecológica, bem como preocupações quanto ao investimento na competitividade da União.</w:t>
      </w:r>
      <w:bookmarkEnd w:id="12"/>
    </w:p>
    <w:p w:rsidR="00A32597" w:rsidP="004D1AE7" w:rsidRDefault="00A32597" w14:paraId="77691757" w14:textId="1699C7E9">
      <w:pPr>
        <w:spacing w:line="276" w:lineRule="auto"/>
        <w:ind w:left="567"/>
        <w:contextualSpacing/>
        <w:rPr>
          <w:sz w:val="16"/>
          <w:szCs w:val="16"/>
        </w:rPr>
      </w:pPr>
    </w:p>
    <w:p w:rsidRPr="00A32597" w:rsidR="002C52B8" w:rsidP="00CC4510" w:rsidRDefault="002C52B8" w14:paraId="2496F124" w14:textId="77777777">
      <w:pPr>
        <w:spacing w:line="276" w:lineRule="auto"/>
        <w:ind w:left="567"/>
        <w:contextualSpacing/>
        <w:rPr>
          <w:sz w:val="16"/>
          <w:szCs w:val="16"/>
        </w:rPr>
      </w:pPr>
    </w:p>
    <w:tbl>
      <w:tblPr>
        <w:tblStyle w:val="TableGrid1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A32597" w:rsidR="00A32597" w:rsidTr="00B05454" w14:paraId="4E0E2CCB" w14:textId="77777777">
        <w:tc>
          <w:tcPr>
            <w:tcW w:w="1418" w:type="dxa"/>
          </w:tcPr>
          <w:p w:rsidRPr="00A32597" w:rsidR="00A32597" w:rsidP="00CC4510" w:rsidRDefault="00A32597" w14:paraId="15B16749" w14:textId="77777777">
            <w:pPr>
              <w:keepNext/>
              <w:keepLines/>
              <w:spacing w:line="240" w:lineRule="auto"/>
              <w:jc w:val="left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D36819" w:rsidR="00A32597" w:rsidP="00CC4510" w:rsidRDefault="00A32597" w14:paraId="51D4069A" w14:textId="77777777">
            <w:pPr>
              <w:keepNext/>
              <w:keepLines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</w:rPr>
              <w:t>Colombe Grégoire</w:t>
            </w:r>
          </w:p>
        </w:tc>
      </w:tr>
      <w:tr w:rsidRPr="00A32597" w:rsidR="00A32597" w:rsidTr="00B05454" w14:paraId="217EEC8E" w14:textId="77777777">
        <w:tc>
          <w:tcPr>
            <w:tcW w:w="1418" w:type="dxa"/>
          </w:tcPr>
          <w:p w:rsidRPr="00A32597" w:rsidR="00A32597" w:rsidP="00CC4510" w:rsidRDefault="00A32597" w14:paraId="10D94256" w14:textId="77777777">
            <w:pPr>
              <w:keepNext/>
              <w:keepLines/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A32597" w:rsidR="00A32597" w:rsidP="00CC4510" w:rsidRDefault="00A32597" w14:paraId="79D2A7DE" w14:textId="77777777">
            <w:pPr>
              <w:keepNext/>
              <w:keepLines/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</w:rPr>
              <w:t>+32 2 546 92 86</w:t>
            </w:r>
          </w:p>
        </w:tc>
      </w:tr>
      <w:tr w:rsidRPr="00A32597" w:rsidR="00A32597" w:rsidTr="00B05454" w14:paraId="6EE0DBD3" w14:textId="77777777">
        <w:tc>
          <w:tcPr>
            <w:tcW w:w="1418" w:type="dxa"/>
          </w:tcPr>
          <w:p w:rsidRPr="00A32597" w:rsidR="00A32597" w:rsidP="00CC4510" w:rsidRDefault="00A32597" w14:paraId="1D45D5A3" w14:textId="77777777">
            <w:pPr>
              <w:keepNext/>
              <w:keepLines/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A32597" w:rsidR="00A32597" w:rsidP="00CC4510" w:rsidRDefault="00760300" w14:paraId="1B217DB9" w14:textId="77777777">
            <w:pPr>
              <w:keepNext/>
              <w:keepLines/>
              <w:spacing w:line="240" w:lineRule="auto"/>
              <w:jc w:val="left"/>
              <w:rPr>
                <w:i/>
                <w:iCs/>
              </w:rPr>
            </w:pPr>
            <w:hyperlink w:history="1" r:id="rId22">
              <w:r w:rsidR="000B09AA">
                <w:rPr>
                  <w:color w:val="0000FF"/>
                  <w:u w:val="single"/>
                </w:rPr>
                <w:t>Colombe.Gregoire@eesc.europa.eu</w:t>
              </w:r>
            </w:hyperlink>
            <w:r w:rsidR="000B09AA">
              <w:t xml:space="preserve"> </w:t>
            </w:r>
          </w:p>
        </w:tc>
      </w:tr>
    </w:tbl>
    <w:p w:rsidR="00993514" w:rsidRDefault="00993514" w14:paraId="272245DC" w14:textId="77777777">
      <w:pPr>
        <w:spacing w:after="160" w:line="259" w:lineRule="auto"/>
        <w:jc w:val="left"/>
        <w:rPr>
          <w:b/>
          <w:bCs/>
        </w:rPr>
        <w:sectPr w:rsidR="00993514" w:rsidSect="004417C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:rsidRPr="00E76ACE" w:rsidR="00E76ACE" w:rsidP="00E76ACE" w:rsidRDefault="00760300" w14:paraId="10608E4B" w14:textId="1310A6A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9">
        <w:r w:rsidR="000B09AA">
          <w:rPr>
            <w:b/>
            <w:i/>
            <w:color w:val="0000FF"/>
            <w:sz w:val="28"/>
            <w:u w:val="single"/>
          </w:rPr>
          <w:t>Melhorar os índices de referência e os requisitos de comunicação de informações no domínio dos serviços financeiros e do apoio ao investimento</w:t>
        </w:r>
      </w:hyperlink>
    </w:p>
    <w:p w:rsidRPr="00E76ACE" w:rsidR="00E76ACE" w:rsidP="00E76ACE" w:rsidRDefault="00E76ACE" w14:paraId="633F7F8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9"/>
        <w:tblW w:w="484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967"/>
      </w:tblGrid>
      <w:tr w:rsidRPr="00E76ACE" w:rsidR="00E76ACE" w:rsidTr="00B05454" w14:paraId="618851BF" w14:textId="77777777">
        <w:tc>
          <w:tcPr>
            <w:tcW w:w="1129" w:type="pct"/>
          </w:tcPr>
          <w:p w:rsidRPr="00E76ACE" w:rsidR="00E76ACE" w:rsidP="00CC4510" w:rsidRDefault="00E76ACE" w14:paraId="160C454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871" w:type="pct"/>
          </w:tcPr>
          <w:p w:rsidRPr="00E76ACE" w:rsidR="00E76ACE" w:rsidP="00CC4510" w:rsidRDefault="00E76ACE" w14:paraId="6FCB339F" w14:textId="00D6700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Krzysztof Balon (PL – Grupo das Organizações da Sociedade Civil)</w:t>
            </w:r>
          </w:p>
        </w:tc>
      </w:tr>
      <w:tr w:rsidRPr="00E76ACE" w:rsidR="00E76ACE" w:rsidTr="00B05454" w14:paraId="4A807341" w14:textId="77777777">
        <w:tc>
          <w:tcPr>
            <w:tcW w:w="5000" w:type="pct"/>
            <w:gridSpan w:val="2"/>
          </w:tcPr>
          <w:p w:rsidRPr="00E76ACE" w:rsidR="00E76ACE" w:rsidP="00CC4510" w:rsidRDefault="00E76ACE" w14:paraId="45B4F74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376"/>
              <w:textAlignment w:val="baseline"/>
            </w:pPr>
          </w:p>
        </w:tc>
      </w:tr>
      <w:tr w:rsidRPr="00E76ACE" w:rsidR="00E76ACE" w:rsidTr="00B05454" w14:paraId="6F674771" w14:textId="77777777">
        <w:tc>
          <w:tcPr>
            <w:tcW w:w="1129" w:type="pct"/>
            <w:vMerge w:val="restart"/>
          </w:tcPr>
          <w:p w:rsidRPr="00E76ACE" w:rsidR="00E76ACE" w:rsidP="00CC4510" w:rsidRDefault="00E76ACE" w14:paraId="3CD2717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871" w:type="pct"/>
          </w:tcPr>
          <w:p w:rsidRPr="00E76ACE" w:rsidR="00E76ACE" w:rsidP="00CC4510" w:rsidRDefault="00E76ACE" w14:paraId="705878F6" w14:textId="3D9351D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 xml:space="preserve">COM(2023) 593 final </w:t>
            </w:r>
          </w:p>
          <w:p w:rsidRPr="00E76ACE" w:rsidR="00E76ACE" w:rsidP="00CC4510" w:rsidRDefault="00E76ACE" w14:paraId="0D256A2F" w14:textId="57B88F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 xml:space="preserve">COM(2023) 660 final </w:t>
            </w:r>
          </w:p>
        </w:tc>
      </w:tr>
      <w:tr w:rsidRPr="00E76ACE" w:rsidR="00E76ACE" w:rsidTr="00B05454" w14:paraId="2D4938C0" w14:textId="77777777">
        <w:tc>
          <w:tcPr>
            <w:tcW w:w="1129" w:type="pct"/>
            <w:vMerge/>
          </w:tcPr>
          <w:p w:rsidRPr="00E76ACE" w:rsidR="00E76ACE" w:rsidP="00CC4510" w:rsidRDefault="00E76ACE" w14:paraId="682CA6F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</w:p>
        </w:tc>
        <w:tc>
          <w:tcPr>
            <w:tcW w:w="3871" w:type="pct"/>
          </w:tcPr>
          <w:p w:rsidRPr="00E76ACE" w:rsidR="00E76ACE" w:rsidP="00CC4510" w:rsidRDefault="00E76ACE" w14:paraId="140F62A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EESC-2023-05424-00-00-AC</w:t>
            </w:r>
          </w:p>
        </w:tc>
      </w:tr>
    </w:tbl>
    <w:p w:rsidRPr="00E76ACE" w:rsidR="00E76ACE" w:rsidP="00E76ACE" w:rsidRDefault="00E76ACE" w14:paraId="6D12F68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76ACE" w:rsidR="00E76ACE" w:rsidP="00E76ACE" w:rsidRDefault="00E76ACE" w14:paraId="0B88EF57" w14:textId="77777777">
      <w:pPr>
        <w:widowControl w:val="0"/>
        <w:spacing w:line="24" w:lineRule="atLeast"/>
        <w:ind w:left="709"/>
        <w:contextualSpacing/>
        <w:jc w:val="left"/>
        <w:rPr>
          <w:rFonts w:ascii="Calibri" w:hAnsi="Calibri"/>
          <w:lang w:eastAsia="zh-CN"/>
        </w:rPr>
      </w:pPr>
    </w:p>
    <w:p w:rsidRPr="00E76ACE" w:rsidR="00E76ACE" w:rsidP="00CC4510" w:rsidRDefault="00E76ACE" w14:paraId="1F52A2F7" w14:textId="77777777">
      <w:pPr>
        <w:widowControl w:val="0"/>
        <w:spacing w:line="276" w:lineRule="auto"/>
        <w:contextualSpacing/>
      </w:pPr>
      <w:r>
        <w:t>No que se refere à partilha de dados e à redução dos custos administrativos nos serviços financeiros e no apoio ao investimento, o CESE:</w:t>
      </w:r>
    </w:p>
    <w:p w:rsidRPr="00E76ACE" w:rsidR="00E76ACE" w:rsidP="00CC4510" w:rsidRDefault="00E76ACE" w14:paraId="4042A6B6" w14:textId="77777777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firstLine="425"/>
        <w:jc w:val="left"/>
        <w:rPr>
          <w:szCs w:val="20"/>
        </w:rPr>
      </w:pPr>
    </w:p>
    <w:p w:rsidRPr="00E76ACE" w:rsidR="00E76ACE" w:rsidP="00CC4510" w:rsidRDefault="00E76ACE" w14:paraId="58026ACF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 xml:space="preserve">congratula-se com a iniciativa de racionalizar e simplificar os requisitos de comunicação de informações para fins de supervisão e de evitar a duplicação de pedidos de comunicação de informações; </w:t>
      </w:r>
    </w:p>
    <w:p w:rsidRPr="00E76ACE" w:rsidR="00E76ACE" w:rsidP="00CC4510" w:rsidRDefault="00E76ACE" w14:paraId="762863D4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 xml:space="preserve">considera necessário normalizar o âmbito e o formato dos dados utilizados no intercâmbio de informações entre as autoridades que supervisionam o setor financeiro; </w:t>
      </w:r>
    </w:p>
    <w:p w:rsidRPr="00E76ACE" w:rsidR="00E76ACE" w:rsidP="00CC4510" w:rsidRDefault="00E76ACE" w14:paraId="1F63FC84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observa que as alterações propostas podem gerar alguns custos de aplicação e/ou custos de normalização adicionais. o requisito de minimização dos custos não deve ser dissociado dos outros objetivos de recolha e partilha de dados;</w:t>
      </w:r>
    </w:p>
    <w:p w:rsidRPr="00E76ACE" w:rsidR="00E76ACE" w:rsidP="00CC4510" w:rsidRDefault="00E76ACE" w14:paraId="42EC964E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considera que qualquer iniciativa futura deve prever que a transmissão de dados a uma autoridade competente (ou plataforma partilhada) seja tratada como uma transmissão a todas as outras autoridades competentes (conceito de balcão único);</w:t>
      </w:r>
    </w:p>
    <w:p w:rsidRPr="00E76ACE" w:rsidR="00E76ACE" w:rsidP="00CC4510" w:rsidRDefault="00E76ACE" w14:paraId="0831C626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observa que a partilha de dados entre as autoridades deverá continuar a estar sujeita a um pedido voluntário. A este respeito, as autoridades não só «podem», como devem celebrar memorandos de entendimento para especificar as modalidades de intercâmbio de informações;</w:t>
      </w:r>
    </w:p>
    <w:p w:rsidRPr="00E76ACE" w:rsidR="00E76ACE" w:rsidP="00CC4510" w:rsidRDefault="00E76ACE" w14:paraId="13DBA4C5" w14:textId="7777777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sublinha que, para lograr a simplificação, deve ser obrigatória a revisão regular dos requisitos de comunicação de informações.</w:t>
      </w:r>
    </w:p>
    <w:p w:rsidRPr="00E76ACE" w:rsidR="00E76ACE" w:rsidP="00CC4510" w:rsidRDefault="00E76ACE" w14:paraId="6C4CE41E" w14:textId="77777777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jc w:val="left"/>
        <w:rPr>
          <w:szCs w:val="20"/>
        </w:rPr>
      </w:pPr>
    </w:p>
    <w:p w:rsidRPr="00E76ACE" w:rsidR="00E76ACE" w:rsidP="00CC4510" w:rsidRDefault="00E76ACE" w14:paraId="5CD848D6" w14:textId="77777777">
      <w:pPr>
        <w:widowControl w:val="0"/>
        <w:spacing w:line="276" w:lineRule="auto"/>
        <w:contextualSpacing/>
        <w:jc w:val="left"/>
      </w:pPr>
      <w:r>
        <w:t>No que se refere às alterações ao Regulamento relativo aos índices de referência, o CESE:</w:t>
      </w:r>
    </w:p>
    <w:p w:rsidRPr="00E76ACE" w:rsidR="00E76ACE" w:rsidP="00CC4510" w:rsidRDefault="00E76ACE" w14:paraId="706F0FFB" w14:textId="77777777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jc w:val="left"/>
        <w:rPr>
          <w:szCs w:val="20"/>
        </w:rPr>
      </w:pPr>
    </w:p>
    <w:p w:rsidRPr="00E76ACE" w:rsidR="00E76ACE" w:rsidP="00CC4510" w:rsidRDefault="00E76ACE" w14:paraId="6FC51301" w14:textId="7777777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 xml:space="preserve">congratula-se com a abordagem mais equilibrada e proporcionada para salvaguardar a estabilidade financeira e a integridade dos mercados europeus, bem como para reduzir os custos e os requisitos regulamentares, nomeadamente através da redução dos requisitos aplicáveis aos índices de referência não significativos; </w:t>
      </w:r>
    </w:p>
    <w:p w:rsidRPr="00E76ACE" w:rsidR="00E76ACE" w:rsidP="00CC4510" w:rsidRDefault="00E76ACE" w14:paraId="512ABB98" w14:textId="7777777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acolhe favoravelmente a clarificação do papel da Comissão, da Autoridade Europeia dos Valores Mobiliários e dos Mercados (ESMA) e das autoridades nacionais no processo aplicável aos índices de referência significativos e críticos;</w:t>
      </w:r>
    </w:p>
    <w:p w:rsidRPr="00E76ACE" w:rsidR="00E76ACE" w:rsidP="00CC4510" w:rsidRDefault="00E76ACE" w14:paraId="39EE635D" w14:textId="7777777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recomenda vivamente que se estude a possibilidade de uma iniciativa destinada a minimizar os requisitos de comunicação de informações ou a reduzir os custos associados aos índices de referência críticos ou significativos.</w:t>
      </w:r>
    </w:p>
    <w:p w:rsidRPr="00E76ACE" w:rsidR="00E76ACE" w:rsidP="00E76ACE" w:rsidRDefault="00E76ACE" w14:paraId="0966C473" w14:textId="77777777">
      <w:pPr>
        <w:widowControl w:val="0"/>
        <w:overflowPunct w:val="0"/>
        <w:autoSpaceDE w:val="0"/>
        <w:autoSpaceDN w:val="0"/>
        <w:adjustRightInd w:val="0"/>
        <w:rPr>
          <w:szCs w:val="20"/>
        </w:rPr>
      </w:pPr>
    </w:p>
    <w:tbl>
      <w:tblPr>
        <w:tblStyle w:val="TableGrid19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E76ACE" w:rsidR="00E76ACE" w:rsidTr="00B05454" w14:paraId="5AC2D924" w14:textId="77777777">
        <w:tc>
          <w:tcPr>
            <w:tcW w:w="1556" w:type="pct"/>
          </w:tcPr>
          <w:p w:rsidRPr="00E76ACE" w:rsidR="00E76ACE" w:rsidP="00E76ACE" w:rsidRDefault="00E76ACE" w14:paraId="631F02E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E76ACE" w:rsidR="00E76ACE" w:rsidP="00E76ACE" w:rsidRDefault="00E76ACE" w14:paraId="37BFF911" w14:textId="26B6403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Sergio Lorencio Matallana</w:t>
            </w:r>
          </w:p>
        </w:tc>
      </w:tr>
      <w:tr w:rsidRPr="00E76ACE" w:rsidR="00E76ACE" w:rsidTr="00B05454" w14:paraId="38EECD9C" w14:textId="77777777">
        <w:tc>
          <w:tcPr>
            <w:tcW w:w="1556" w:type="pct"/>
          </w:tcPr>
          <w:p w:rsidRPr="00E76ACE" w:rsidR="00E76ACE" w:rsidP="00E76ACE" w:rsidRDefault="00E76ACE" w14:paraId="00111D5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E76ACE" w:rsidR="00E76ACE" w:rsidP="00E76ACE" w:rsidRDefault="00E76ACE" w14:paraId="2BA01FC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+32 2 546 92 40</w:t>
            </w:r>
          </w:p>
        </w:tc>
      </w:tr>
      <w:tr w:rsidRPr="00E76ACE" w:rsidR="00E76ACE" w:rsidTr="00B05454" w14:paraId="34EA2FE0" w14:textId="77777777">
        <w:tc>
          <w:tcPr>
            <w:tcW w:w="1556" w:type="pct"/>
          </w:tcPr>
          <w:p w:rsidRPr="00E76ACE" w:rsidR="00E76ACE" w:rsidP="00E76ACE" w:rsidRDefault="00E76ACE" w14:paraId="3C52BE6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E76ACE" w:rsidR="00E76ACE" w:rsidP="00E76ACE" w:rsidRDefault="00760300" w14:paraId="4D5E478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0">
              <w:r w:rsidR="000B09AA">
                <w:rPr>
                  <w:i/>
                  <w:color w:val="0000FF"/>
                  <w:u w:val="single"/>
                </w:rPr>
                <w:t>Sergio.LorencioMatallana@eesc.europa.eu</w:t>
              </w:r>
            </w:hyperlink>
          </w:p>
        </w:tc>
      </w:tr>
    </w:tbl>
    <w:p w:rsidR="00E76ACE" w:rsidRDefault="00E76ACE" w14:paraId="1F90D670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="006C6A1E" w:rsidP="00234EA0" w:rsidRDefault="006C6A1E" w14:paraId="55E56154" w14:textId="2549BDD3">
      <w:pPr>
        <w:pStyle w:val="Heading1"/>
        <w:ind w:hanging="928"/>
        <w:rPr>
          <w:b/>
          <w:bCs/>
        </w:rPr>
      </w:pPr>
      <w:bookmarkStart w:name="_Toc150179063" w:id="13"/>
      <w:bookmarkStart w:name="_Toc159831769" w:id="14"/>
      <w:bookmarkStart w:name="_Toc153539680" w:id="15"/>
      <w:bookmarkEnd w:id="13"/>
      <w:r>
        <w:rPr>
          <w:b/>
        </w:rPr>
        <w:lastRenderedPageBreak/>
        <w:t>EMPREGO, ASSUNTOS SOCIAIS E CIDADANIA</w:t>
      </w:r>
      <w:bookmarkEnd w:id="14"/>
    </w:p>
    <w:p w:rsidR="006C6A1E" w:rsidP="006C6A1E" w:rsidRDefault="006C6A1E" w14:paraId="190420D2" w14:textId="4E6BD19C"/>
    <w:p w:rsidRPr="006C6A1E" w:rsidR="006C6A1E" w:rsidP="006C6A1E" w:rsidRDefault="00760300" w14:paraId="7AA2DF65" w14:textId="5E6190D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1">
        <w:r w:rsidR="000B09AA">
          <w:rPr>
            <w:b/>
            <w:i/>
            <w:color w:val="0000FF"/>
            <w:sz w:val="28"/>
            <w:u w:val="single"/>
          </w:rPr>
          <w:t>Digitalização na segurança social</w:t>
        </w:r>
      </w:hyperlink>
    </w:p>
    <w:p w:rsidRPr="006C6A1E" w:rsidR="006C6A1E" w:rsidP="006C6A1E" w:rsidRDefault="006C6A1E" w14:paraId="55612D2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03"/>
        <w:tblW w:w="4503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87"/>
        <w:gridCol w:w="6477"/>
      </w:tblGrid>
      <w:tr w:rsidRPr="006C6A1E" w:rsidR="006C6A1E" w:rsidTr="00CC4510" w14:paraId="1E5744BE" w14:textId="77777777">
        <w:trPr>
          <w:trHeight w:val="564"/>
        </w:trPr>
        <w:tc>
          <w:tcPr>
            <w:tcW w:w="1128" w:type="pct"/>
          </w:tcPr>
          <w:p w:rsidRPr="006C6A1E" w:rsidR="006C6A1E" w:rsidP="006C6A1E" w:rsidRDefault="006C6A1E" w14:paraId="0C0E675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872" w:type="pct"/>
          </w:tcPr>
          <w:p w:rsidRPr="006C6A1E" w:rsidR="006C6A1E" w:rsidP="006C6A1E" w:rsidRDefault="006C6A1E" w14:paraId="1F9E7E12" w14:textId="5FFDA98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Krzysztof Balon (PL – Grupo das Organizações da Sociedade Civil)</w:t>
            </w:r>
          </w:p>
        </w:tc>
      </w:tr>
      <w:tr w:rsidRPr="006C6A1E" w:rsidR="006C6A1E" w:rsidTr="00CC4510" w14:paraId="3FEF9A97" w14:textId="77777777">
        <w:trPr>
          <w:trHeight w:val="294"/>
        </w:trPr>
        <w:tc>
          <w:tcPr>
            <w:tcW w:w="1128" w:type="pct"/>
          </w:tcPr>
          <w:p w:rsidRPr="006C6A1E" w:rsidR="006C6A1E" w:rsidP="006C6A1E" w:rsidRDefault="006C6A1E" w14:paraId="14F4FC7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Correlatora</w:t>
            </w:r>
          </w:p>
        </w:tc>
        <w:tc>
          <w:tcPr>
            <w:tcW w:w="3872" w:type="pct"/>
          </w:tcPr>
          <w:p w:rsidRPr="006C6A1E" w:rsidR="006C6A1E" w:rsidP="006C6A1E" w:rsidRDefault="006C6A1E" w14:paraId="15858FF0" w14:textId="215E30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Maria del Carmen Barrera Chamorro (ES – Grupo dos Trabalhadores)</w:t>
            </w:r>
          </w:p>
        </w:tc>
      </w:tr>
      <w:tr w:rsidRPr="006C6A1E" w:rsidR="006C6A1E" w:rsidTr="00CC4510" w14:paraId="3AECE3D5" w14:textId="77777777">
        <w:trPr>
          <w:trHeight w:val="153"/>
        </w:trPr>
        <w:tc>
          <w:tcPr>
            <w:tcW w:w="5000" w:type="pct"/>
            <w:gridSpan w:val="2"/>
          </w:tcPr>
          <w:p w:rsidRPr="006C6A1E" w:rsidR="006C6A1E" w:rsidP="006C6A1E" w:rsidRDefault="006C6A1E" w14:paraId="660A79B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6C6A1E" w:rsidR="006C6A1E" w:rsidTr="00CC4510" w14:paraId="4552C784" w14:textId="77777777">
        <w:trPr>
          <w:trHeight w:val="282"/>
        </w:trPr>
        <w:tc>
          <w:tcPr>
            <w:tcW w:w="1128" w:type="pct"/>
          </w:tcPr>
          <w:p w:rsidRPr="006C6A1E" w:rsidR="006C6A1E" w:rsidP="006C6A1E" w:rsidRDefault="006C6A1E" w14:paraId="2CED479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872" w:type="pct"/>
          </w:tcPr>
          <w:p w:rsidRPr="006C6A1E" w:rsidR="006C6A1E" w:rsidP="006C6A1E" w:rsidRDefault="006C6A1E" w14:paraId="25E0EE5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501 final</w:t>
            </w:r>
          </w:p>
          <w:p w:rsidRPr="006C6A1E" w:rsidR="006C6A1E" w:rsidP="006C6A1E" w:rsidRDefault="006C6A1E" w14:paraId="41250C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EESC-2023-03875-00-00-AC</w:t>
            </w:r>
          </w:p>
        </w:tc>
      </w:tr>
    </w:tbl>
    <w:p w:rsidRPr="006C6A1E" w:rsidR="006C6A1E" w:rsidP="006C6A1E" w:rsidRDefault="006C6A1E" w14:paraId="13BCE08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6C6A1E" w:rsidR="006C6A1E" w:rsidP="006C6A1E" w:rsidRDefault="006C6A1E" w14:paraId="4FFD8EA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6C6A1E" w:rsidR="006C6A1E" w:rsidP="006C6A1E" w:rsidRDefault="006C6A1E" w14:paraId="4D55813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6C6A1E" w:rsidR="006C6A1E" w:rsidP="006C6A1E" w:rsidRDefault="006C6A1E" w14:paraId="644A124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6C6A1E" w:rsidR="006C6A1E" w:rsidP="006C6A1E" w:rsidRDefault="006C6A1E" w14:paraId="08AD54E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6C6A1E" w:rsidR="006C6A1E" w:rsidP="00CC4510" w:rsidRDefault="006C6A1E" w14:paraId="7C9F6447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reconhece os desafios da coordenação transfronteiriça da segurança social, tais como a complexidade dos procedimentos burocráticos, os procedimentos manuais, a necessidade de determinados documentos em formato físico e as dificuldades de verificação ou validação dos mesmos, que colocam obstáculos à livre circulação dos cidadãos e das empresas;</w:t>
      </w:r>
    </w:p>
    <w:p w:rsidRPr="006C6A1E" w:rsidR="006C6A1E" w:rsidP="00CC4510" w:rsidRDefault="006C6A1E" w14:paraId="09D6FEBE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acolhe com agrado e apoia plenamente o objetivo da Comissão de simplificar a coordenação transfronteiriça da segurança social e dos cuidados de saúde através da digitalização;</w:t>
      </w:r>
    </w:p>
    <w:p w:rsidRPr="006C6A1E" w:rsidR="006C6A1E" w:rsidP="00CC4510" w:rsidRDefault="006C6A1E" w14:paraId="17F777BF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solicita a elaboração imediata de um plano de ação abrangente para concretizar a digitalização no âmbito da coordenação da segurança social, com uma abordagem ascendente, salientando ao mesmo tempo a importância de ter em conta as necessidades das instituições de segurança social e das partes interessadas: cidadãos, empregadores, empresas e entidades da economia social;</w:t>
      </w:r>
    </w:p>
    <w:p w:rsidRPr="006C6A1E" w:rsidR="006C6A1E" w:rsidP="00CC4510" w:rsidRDefault="006C6A1E" w14:paraId="0BB9A11F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insta a soluções alternativas para as pessoas que não podem utilizar meios eletrónicos ou que se encontram de alguma forma excluídas em termos digitais; sublinha que a identificação por via eletrónica deve ser uma opção e não uma obrigação, enquanto não forem estabelecidas alternativas adequadas que respeitem as normas pertinentes em matéria de proteção de dados;</w:t>
      </w:r>
    </w:p>
    <w:p w:rsidRPr="006C6A1E" w:rsidR="006C6A1E" w:rsidP="00CC4510" w:rsidRDefault="006C6A1E" w14:paraId="6B66E7B8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estima que a digitalização da segurança social não alcançará, por si só, todos os objetivos pretendidos em termos de eliminação dos obstáculos à livre circulação, a menos que se conclua a reforma do Regulamento (CE) n.º 883/2004 relativo à coordenação dos sistemas de segurança social;</w:t>
      </w:r>
    </w:p>
    <w:p w:rsidRPr="006C6A1E" w:rsidR="006C6A1E" w:rsidP="00CC4510" w:rsidRDefault="006C6A1E" w14:paraId="65D4664B" w14:textId="352EDD8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propõe o estabelecimento de um intercâmbio permanente de boas práticas entre os Estados</w:t>
      </w:r>
      <w:r w:rsidR="00F2051E">
        <w:noBreakHyphen/>
      </w:r>
      <w:r>
        <w:t>Membros sobre digitalização no âmbito da coordenação dos sistemas de segurança social. Para incentivar e promover este intercâmbio, propõe que a Comissão e a Autoridade Europeia do Trabalho organizem uma conferência com a participação dos governos dos Estados-Membros e da sociedade civil.</w:t>
      </w:r>
    </w:p>
    <w:p w:rsidRPr="006C6A1E" w:rsidR="006C6A1E" w:rsidP="006C6A1E" w:rsidRDefault="006C6A1E" w14:paraId="648300B2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0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6C6A1E" w:rsidR="006C6A1E" w:rsidTr="00B05454" w14:paraId="4E6E4B82" w14:textId="77777777">
        <w:tc>
          <w:tcPr>
            <w:tcW w:w="1556" w:type="pct"/>
          </w:tcPr>
          <w:p w:rsidRPr="006C6A1E" w:rsidR="006C6A1E" w:rsidP="006C6A1E" w:rsidRDefault="006C6A1E" w14:paraId="10BE955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6C6A1E" w:rsidR="006C6A1E" w:rsidP="006C6A1E" w:rsidRDefault="006C6A1E" w14:paraId="7A73FAE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Bartek Bednarowicz</w:t>
            </w:r>
          </w:p>
        </w:tc>
      </w:tr>
      <w:tr w:rsidRPr="006C6A1E" w:rsidR="006C6A1E" w:rsidTr="00B05454" w14:paraId="62915FF2" w14:textId="77777777">
        <w:tc>
          <w:tcPr>
            <w:tcW w:w="1556" w:type="pct"/>
          </w:tcPr>
          <w:p w:rsidRPr="006C6A1E" w:rsidR="006C6A1E" w:rsidP="006C6A1E" w:rsidRDefault="006C6A1E" w14:paraId="7853AC5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6C6A1E" w:rsidR="006C6A1E" w:rsidP="006C6A1E" w:rsidRDefault="006C6A1E" w14:paraId="3D0777F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+32 2 546 92 29</w:t>
            </w:r>
          </w:p>
        </w:tc>
      </w:tr>
      <w:tr w:rsidRPr="006C6A1E" w:rsidR="006C6A1E" w:rsidTr="00B05454" w14:paraId="400BD2E9" w14:textId="77777777">
        <w:tc>
          <w:tcPr>
            <w:tcW w:w="1556" w:type="pct"/>
          </w:tcPr>
          <w:p w:rsidRPr="006C6A1E" w:rsidR="006C6A1E" w:rsidP="006C6A1E" w:rsidRDefault="006C6A1E" w14:paraId="7E1AA95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6C6A1E" w:rsidR="006C6A1E" w:rsidP="006C6A1E" w:rsidRDefault="00760300" w14:paraId="5FE06EE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2">
              <w:r w:rsidR="000B09AA"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</w:tc>
      </w:tr>
    </w:tbl>
    <w:p w:rsidR="006C6A1E" w:rsidP="006C6A1E" w:rsidRDefault="006C6A1E" w14:paraId="195525CA" w14:textId="777AE21F"/>
    <w:p w:rsidR="00280432" w:rsidRDefault="00280432" w14:paraId="1109D69A" w14:textId="77777777">
      <w:pPr>
        <w:spacing w:after="160" w:line="259" w:lineRule="auto"/>
        <w:jc w:val="left"/>
      </w:pPr>
      <w:r>
        <w:br w:type="page"/>
      </w:r>
    </w:p>
    <w:p w:rsidRPr="00EE6FEF" w:rsidR="00EE6FEF" w:rsidP="00EE6FEF" w:rsidRDefault="00760300" w14:paraId="233F82BA" w14:textId="358528F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history="1" r:id="rId33">
        <w:r w:rsidR="000B09AA">
          <w:rPr>
            <w:b/>
            <w:i/>
            <w:color w:val="0000FF"/>
            <w:sz w:val="28"/>
            <w:u w:val="single"/>
          </w:rPr>
          <w:t>Reforçar o diálogo civil e a democracia participativa na UE: rumo a seguir</w:t>
        </w:r>
      </w:hyperlink>
    </w:p>
    <w:p w:rsidRPr="00EE6FEF" w:rsidR="00EE6FEF" w:rsidP="00F4525B" w:rsidRDefault="00EE6FEF" w14:paraId="0DE421BA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168" w:lineRule="auto"/>
        <w:ind w:left="567" w:hanging="567"/>
        <w:textAlignment w:val="baseline"/>
        <w:rPr>
          <w:sz w:val="16"/>
          <w:szCs w:val="16"/>
        </w:rPr>
      </w:pPr>
    </w:p>
    <w:tbl>
      <w:tblPr>
        <w:tblStyle w:val="TableGrid20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4"/>
        <w:gridCol w:w="6813"/>
      </w:tblGrid>
      <w:tr w:rsidRPr="00EE6FEF" w:rsidR="00EE6FEF" w:rsidTr="00CC4510" w14:paraId="7774CF3A" w14:textId="77777777">
        <w:tc>
          <w:tcPr>
            <w:tcW w:w="1834" w:type="dxa"/>
          </w:tcPr>
          <w:p w:rsidRPr="00EE6FEF" w:rsidR="00EE6FEF" w:rsidP="00EE6FEF" w:rsidRDefault="00EE6FEF" w14:paraId="115D3E8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  <w:p w:rsidRPr="00EE6FEF" w:rsidR="00EE6FEF" w:rsidP="00EE6FEF" w:rsidRDefault="00EE6FEF" w14:paraId="4134298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Correlatora</w:t>
            </w:r>
          </w:p>
        </w:tc>
        <w:tc>
          <w:tcPr>
            <w:tcW w:w="6813" w:type="dxa"/>
          </w:tcPr>
          <w:p w:rsidRPr="00EE6FEF" w:rsidR="00EE6FEF" w:rsidP="00EE6FEF" w:rsidRDefault="00EE6FEF" w14:paraId="09298572" w14:textId="1E4C99CC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Pietro Vittorio Barbieri (IT – Grupo das Organizações da Sociedade Civil)</w:t>
            </w:r>
          </w:p>
          <w:p w:rsidR="00EE6FEF" w:rsidP="00EE6FEF" w:rsidRDefault="00EE6FEF" w14:paraId="440A5CB9" w14:textId="5081325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Miranda Ulens (BE – Grupo dos Trabalhadores)</w:t>
            </w:r>
          </w:p>
          <w:p w:rsidRPr="00EE6FEF" w:rsidR="00734081" w:rsidP="00F4525B" w:rsidRDefault="00734081" w14:paraId="18F12DC0" w14:textId="6E440F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266" w:hanging="266"/>
              <w:textAlignment w:val="baseline"/>
              <w:rPr>
                <w:lang w:val="es-ES"/>
              </w:rPr>
            </w:pPr>
          </w:p>
        </w:tc>
      </w:tr>
      <w:tr w:rsidRPr="00EE6FEF" w:rsidR="00EE6FEF" w:rsidTr="00CC4510" w14:paraId="6999DE5D" w14:textId="77777777">
        <w:tc>
          <w:tcPr>
            <w:tcW w:w="1834" w:type="dxa"/>
            <w:vMerge w:val="restart"/>
          </w:tcPr>
          <w:p w:rsidRPr="00EE6FEF" w:rsidR="00EE6FEF" w:rsidP="00EE6FEF" w:rsidRDefault="00EE6FEF" w14:paraId="573ED1E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6813" w:type="dxa"/>
          </w:tcPr>
          <w:p w:rsidR="00734081" w:rsidP="00EE6FEF" w:rsidRDefault="00734081" w14:paraId="35FF71C6" w14:textId="62F6C7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Parecer exploratório a pedido da Presidência belga do Conselho da UE</w:t>
            </w:r>
          </w:p>
          <w:p w:rsidRPr="00EE6FEF" w:rsidR="00EE6FEF" w:rsidP="00EE6FEF" w:rsidRDefault="00EE6FEF" w14:paraId="2007E2F0" w14:textId="5C9407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EESC-2023-03879-00-00-AC</w:t>
            </w:r>
          </w:p>
        </w:tc>
      </w:tr>
      <w:tr w:rsidRPr="00EE6FEF" w:rsidR="00EE6FEF" w:rsidTr="00CC4510" w14:paraId="03305879" w14:textId="77777777">
        <w:tc>
          <w:tcPr>
            <w:tcW w:w="1834" w:type="dxa"/>
            <w:vMerge/>
          </w:tcPr>
          <w:p w:rsidRPr="00EE6FEF" w:rsidR="00EE6FEF" w:rsidP="00EE6FEF" w:rsidRDefault="00EE6FEF" w14:paraId="4EF4731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813" w:type="dxa"/>
          </w:tcPr>
          <w:p w:rsidRPr="00EE6FEF" w:rsidR="00EE6FEF" w:rsidP="00F4525B" w:rsidRDefault="00EE6FEF" w14:paraId="12EF58D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266" w:hanging="266"/>
              <w:textAlignment w:val="baseline"/>
              <w:rPr>
                <w:sz w:val="16"/>
                <w:szCs w:val="16"/>
              </w:rPr>
            </w:pPr>
          </w:p>
        </w:tc>
      </w:tr>
    </w:tbl>
    <w:p w:rsidRPr="00EE6FEF" w:rsidR="00EE6FEF" w:rsidP="00F4525B" w:rsidRDefault="00EE6FEF" w14:paraId="70BED30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7" w:hanging="125"/>
        <w:textAlignment w:val="baseline"/>
        <w:rPr>
          <w:b/>
        </w:rPr>
      </w:pPr>
      <w:r>
        <w:rPr>
          <w:b/>
        </w:rPr>
        <w:t>Pontos principais</w:t>
      </w:r>
    </w:p>
    <w:p w:rsidRPr="00EE6FEF" w:rsidR="00EE6FEF" w:rsidP="00F4525B" w:rsidRDefault="00EE6FEF" w14:paraId="63B3834C" w14:textId="77777777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szCs w:val="20"/>
        </w:rPr>
      </w:pPr>
    </w:p>
    <w:p w:rsidR="00EE6FEF" w:rsidP="00F4525B" w:rsidRDefault="00EE6FEF" w14:paraId="78C0E8D3" w14:textId="3BEEDDA7">
      <w:pPr>
        <w:overflowPunct w:val="0"/>
        <w:autoSpaceDE w:val="0"/>
        <w:autoSpaceDN w:val="0"/>
        <w:adjustRightInd w:val="0"/>
        <w:spacing w:line="276" w:lineRule="auto"/>
        <w:ind w:firstLine="142"/>
        <w:textAlignment w:val="baseline"/>
        <w:rPr>
          <w:szCs w:val="20"/>
        </w:rPr>
      </w:pPr>
      <w:r>
        <w:t>O Comité Económico e Social Europeu:</w:t>
      </w:r>
    </w:p>
    <w:p w:rsidRPr="00EE6FEF" w:rsidR="00EE6FEF" w:rsidP="00F4525B" w:rsidRDefault="00EE6FEF" w14:paraId="1BB0EE46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</w:pPr>
      <w:r>
        <w:t>salienta que a aplicação do artigo 11.º do Tratado da União Europeia (TUE), no seguimento da Conferência sobre o Futuro da Europa, pode conduzir a políticas mais eficazes, reforçando, concomitantemente, o papel do CESE. Apoia a recomendação da Conferência sobre o Futuro da Europa no sentido de desenvolver mais instrumentos de democracia participativa. Parte dessas recomendações implica a criação de um quadro propício ao diálogo civil e reconhece o papel do CESE, apontando-o também como potencial elemento charneira de painéis de cidadãos. O papel específico das organizações de parceiros sociais deve ser plenamente respeitado nas estruturas e processos de diálogo social, constituindo o diálogo civil um processo distinto;</w:t>
      </w:r>
    </w:p>
    <w:p w:rsidRPr="00EE6FEF" w:rsidR="00EE6FEF" w:rsidP="00F4525B" w:rsidRDefault="00EE6FEF" w14:paraId="6DB1C493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</w:pPr>
      <w:r>
        <w:t>defende, como primeiro passo, uma estratégia para o diálogo civil, vertida num plano de ação, que poderia incluir um pilar no pacote Defesa da Democracia Europeia. Além disso, poder-se-ia considerar a possibilidade de procurar um acordo interinstitucional entre as instituições da UE, que defina as ações e os recursos conexos a utilizar. O CESE, com a participação de redes da sociedade civil a nível da UE, poderia facilitar a celebração desse acordo;</w:t>
      </w:r>
    </w:p>
    <w:p w:rsidRPr="00EE6FEF" w:rsidR="00EE6FEF" w:rsidP="00F4525B" w:rsidRDefault="00EE6FEF" w14:paraId="57CF30BD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</w:pPr>
      <w:r>
        <w:t>defende o reforço do papel dos responsáveis nas diferentes instituições, a fim de assegurar a aplicação efetiva do artigo 11.º do TUE, e a aplicação de algumas normas em todas as instituições da UE, como o significado do diálogo civil, a partilha da agenda política e das prioridades, a inclusão dos grupos vulneráveis, etc.;</w:t>
      </w:r>
    </w:p>
    <w:p w:rsidRPr="00EE6FEF" w:rsidR="00EE6FEF" w:rsidP="00F4525B" w:rsidRDefault="00EE6FEF" w14:paraId="428DADE2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</w:pPr>
      <w:r>
        <w:t>apela para a criação de um painel de avaliação anual do diálogo civil (ou do espaço cívico) sobre o contributo das organizações da sociedade civil para os processos de consulta, que indique se os seus contributos foram tidos em conta e, em caso negativo, explique as razões para tal. A avaliação de impacto através de um painel de avaliação anual poderia resultar num relatório bienal sobre o diálogo civil, que identificasse o compromisso da UE com a sociedade civil em geral e avaliasse a situação do diálogo civil e a eficácia das organizações da sociedade civil;</w:t>
      </w:r>
    </w:p>
    <w:p w:rsidRPr="00EE6FEF" w:rsidR="00EE6FEF" w:rsidP="00F4525B" w:rsidRDefault="00EE6FEF" w14:paraId="50548E2B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  <w:rPr>
          <w:rFonts w:ascii="Calibri" w:hAnsi="Calibri"/>
        </w:rPr>
      </w:pPr>
      <w:r>
        <w:t>reitera que deve estar no centro das iniciativas destinadas a reforçar a democracia participativa nas instituições europeias e entre as mesmas e propõe que se adapte o papel do CESE de forma a permitir, através da experimentação, o leque de instrumentos de participação, como os painéis de cidadãos, a que pode recorrer no seu trabalho consultivo, destacando assim o papel especial que desempenha enquanto guardião institucional da consulta da sociedade civil e do diálogo civil em geral;</w:t>
      </w:r>
    </w:p>
    <w:p w:rsidRPr="00EE6FEF" w:rsidR="00EE6FEF" w:rsidP="00F4525B" w:rsidRDefault="00EE6FEF" w14:paraId="56DEE402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69" w:lineRule="auto"/>
        <w:ind w:left="284" w:hanging="284"/>
        <w:contextualSpacing/>
        <w:textAlignment w:val="baseline"/>
      </w:pPr>
      <w:r>
        <w:t>considera que as organizações da sociedade civil, para serem legítimas e representativas, devem alicerçar-se na democracia interna, na autonomia e na transparência e assumir a forma de organização sem fins lucrativos que trabalha em prol do interesse geral e/ou dos interesses específicos dos indivíduos que representa. Por conseguinte, insta à criação de um mecanismo de acreditação baseado nos princípios acima referidos.</w:t>
      </w:r>
    </w:p>
    <w:p w:rsidRPr="00EE6FEF" w:rsidR="00EE6FEF" w:rsidP="00F4525B" w:rsidRDefault="00EE6FEF" w14:paraId="3FDDF924" w14:textId="77777777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szCs w:val="20"/>
        </w:rPr>
      </w:pPr>
    </w:p>
    <w:tbl>
      <w:tblPr>
        <w:tblStyle w:val="TableGrid20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Pr="003F6640" w:rsidR="00EE6FEF" w:rsidTr="00AF1B74" w14:paraId="141D7495" w14:textId="77777777">
        <w:tc>
          <w:tcPr>
            <w:tcW w:w="1210" w:type="dxa"/>
          </w:tcPr>
          <w:p w:rsidRPr="003F6640" w:rsidR="00EE6FEF" w:rsidP="00A838DE" w:rsidRDefault="00EE6FEF" w14:paraId="41ABC0CE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4493" w:type="dxa"/>
          </w:tcPr>
          <w:p w:rsidRPr="003F6640" w:rsidR="00EE6FEF" w:rsidP="00A838DE" w:rsidRDefault="00EE6FEF" w14:paraId="751079CC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</w:rPr>
            </w:pPr>
            <w:r>
              <w:rPr>
                <w:i/>
              </w:rPr>
              <w:t>June Bedaton</w:t>
            </w:r>
          </w:p>
        </w:tc>
      </w:tr>
      <w:tr w:rsidRPr="003F6640" w:rsidR="00EE6FEF" w:rsidTr="00AF1B74" w14:paraId="4927775D" w14:textId="77777777">
        <w:tc>
          <w:tcPr>
            <w:tcW w:w="1210" w:type="dxa"/>
          </w:tcPr>
          <w:p w:rsidRPr="003F6640" w:rsidR="00EE6FEF" w:rsidP="00A838DE" w:rsidRDefault="00EE6FEF" w14:paraId="490E3A24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493" w:type="dxa"/>
          </w:tcPr>
          <w:p w:rsidRPr="003F6640" w:rsidR="00EE6FEF" w:rsidP="00A838DE" w:rsidRDefault="00EE6FEF" w14:paraId="41D951E4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+32 2 546 81 34</w:t>
            </w:r>
          </w:p>
        </w:tc>
      </w:tr>
      <w:tr w:rsidRPr="003F6640" w:rsidR="00EE6FEF" w:rsidTr="00AF1B74" w14:paraId="4358DB5A" w14:textId="77777777">
        <w:tc>
          <w:tcPr>
            <w:tcW w:w="1210" w:type="dxa"/>
          </w:tcPr>
          <w:p w:rsidRPr="003F6640" w:rsidR="00EE6FEF" w:rsidP="00EE6FEF" w:rsidRDefault="00EE6FEF" w14:paraId="0A1AF4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4493" w:type="dxa"/>
          </w:tcPr>
          <w:p w:rsidRPr="003F6640" w:rsidR="00EE6FEF" w:rsidP="00EE6FEF" w:rsidRDefault="00760300" w14:paraId="47347AD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4">
              <w:r w:rsidR="000B09AA"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  <w:tr w:rsidRPr="003F6640" w:rsidR="00F4525B" w:rsidTr="00AF1B74" w14:paraId="1AFB6FE8" w14:textId="77777777">
        <w:tc>
          <w:tcPr>
            <w:tcW w:w="1210" w:type="dxa"/>
          </w:tcPr>
          <w:p w:rsidR="00F4525B" w:rsidP="00EE6FEF" w:rsidRDefault="00F4525B" w14:paraId="6C7048F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  <w:tc>
          <w:tcPr>
            <w:tcW w:w="4493" w:type="dxa"/>
          </w:tcPr>
          <w:p w:rsidR="00F4525B" w:rsidP="00EE6FEF" w:rsidRDefault="00F4525B" w14:paraId="2AABC6E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</w:p>
        </w:tc>
      </w:tr>
    </w:tbl>
    <w:p w:rsidR="005A67F3" w:rsidP="00234EA0" w:rsidRDefault="004C3902" w14:paraId="3792A077" w14:textId="5703D749">
      <w:pPr>
        <w:pStyle w:val="Heading1"/>
        <w:ind w:hanging="928"/>
        <w:rPr>
          <w:b/>
        </w:rPr>
      </w:pPr>
      <w:bookmarkStart w:name="_Toc159831770" w:id="16"/>
      <w:r>
        <w:rPr>
          <w:b/>
        </w:rPr>
        <w:t>MERCADO ÚNICO, PRODUÇÃO E CONSUMO</w:t>
      </w:r>
      <w:bookmarkEnd w:id="15"/>
      <w:bookmarkEnd w:id="16"/>
    </w:p>
    <w:p w:rsidRPr="00F4525B" w:rsidR="00F4525B" w:rsidP="00F4525B" w:rsidRDefault="00F4525B" w14:paraId="4966EC40" w14:textId="77777777"/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115BBC" w:rsidR="00115BBC" w:rsidP="00CC4510" w:rsidRDefault="00760300" w14:paraId="331C902E" w14:textId="22AAD78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b/>
        </w:rPr>
      </w:pPr>
      <w:hyperlink w:history="1" r:id="rId35">
        <w:r w:rsidR="000B09AA">
          <w:rPr>
            <w:b/>
            <w:i/>
            <w:color w:val="0000FF"/>
            <w:sz w:val="28"/>
            <w:u w:val="single"/>
          </w:rPr>
          <w:t>Resolução alternativa de litígios</w:t>
        </w:r>
      </w:hyperlink>
    </w:p>
    <w:p w:rsidRPr="00115BBC" w:rsidR="00115BBC" w:rsidP="00115BBC" w:rsidRDefault="00115BBC" w14:paraId="69D406FB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highlight w:val="yellow"/>
        </w:rPr>
      </w:pPr>
    </w:p>
    <w:tbl>
      <w:tblPr>
        <w:tblStyle w:val="TableGrid200"/>
        <w:tblW w:w="90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602"/>
      </w:tblGrid>
      <w:tr w:rsidRPr="00115BBC" w:rsidR="00115BBC" w:rsidTr="00CC4510" w14:paraId="5FCB07DF" w14:textId="77777777">
        <w:trPr>
          <w:trHeight w:val="265"/>
        </w:trPr>
        <w:tc>
          <w:tcPr>
            <w:tcW w:w="1418" w:type="dxa"/>
          </w:tcPr>
          <w:p w:rsidRPr="00115BBC" w:rsidR="00115BBC" w:rsidP="00115BBC" w:rsidRDefault="00115BBC" w14:paraId="061CB5F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b/>
                <w:highlight w:val="yellow"/>
              </w:rPr>
            </w:pPr>
            <w:r>
              <w:rPr>
                <w:b/>
              </w:rPr>
              <w:t>Relator</w:t>
            </w:r>
          </w:p>
        </w:tc>
        <w:tc>
          <w:tcPr>
            <w:tcW w:w="7602" w:type="dxa"/>
          </w:tcPr>
          <w:p w:rsidRPr="00115BBC" w:rsidR="00115BBC" w:rsidP="00115BBC" w:rsidRDefault="00115BBC" w14:paraId="167D4BA0" w14:textId="249DC7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highlight w:val="yellow"/>
              </w:rPr>
            </w:pPr>
            <w:r>
              <w:t>Wautier Robyns de Schneidauer (BE – Grupo dos Empregadores)</w:t>
            </w:r>
          </w:p>
        </w:tc>
      </w:tr>
      <w:tr w:rsidRPr="00115BBC" w:rsidR="00115BBC" w:rsidTr="00CC4510" w14:paraId="296C346B" w14:textId="77777777">
        <w:trPr>
          <w:trHeight w:val="265"/>
        </w:trPr>
        <w:tc>
          <w:tcPr>
            <w:tcW w:w="1418" w:type="dxa"/>
          </w:tcPr>
          <w:p w:rsidRPr="00115BBC" w:rsidR="00115BBC" w:rsidP="00115BBC" w:rsidRDefault="00115BBC" w14:paraId="0AF9F28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7602" w:type="dxa"/>
          </w:tcPr>
          <w:p w:rsidRPr="00115BBC" w:rsidR="00115BBC" w:rsidP="00115BBC" w:rsidRDefault="00115BBC" w14:paraId="31DA93F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highlight w:val="yellow"/>
              </w:rPr>
            </w:pPr>
          </w:p>
        </w:tc>
      </w:tr>
      <w:tr w:rsidRPr="00115BBC" w:rsidR="00115BBC" w:rsidTr="00CC4510" w14:paraId="05E2FC21" w14:textId="77777777">
        <w:trPr>
          <w:trHeight w:val="289"/>
        </w:trPr>
        <w:tc>
          <w:tcPr>
            <w:tcW w:w="1418" w:type="dxa"/>
            <w:vMerge w:val="restart"/>
          </w:tcPr>
          <w:p w:rsidRPr="00115BBC" w:rsidR="00115BBC" w:rsidP="00115BBC" w:rsidRDefault="00115BBC" w14:paraId="3723A8B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7602" w:type="dxa"/>
          </w:tcPr>
          <w:p w:rsidRPr="00115BBC" w:rsidR="00115BBC" w:rsidP="00115BBC" w:rsidRDefault="00115BBC" w14:paraId="6E0D3984" w14:textId="53F54A9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</w:pPr>
            <w:r>
              <w:t xml:space="preserve">COM(2023) 647 final </w:t>
            </w:r>
          </w:p>
          <w:p w:rsidRPr="00115BBC" w:rsidR="00115BBC" w:rsidP="00115BBC" w:rsidRDefault="00115BBC" w14:paraId="0C647B83" w14:textId="65F6804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</w:pPr>
            <w:r>
              <w:t>COM(2023) 649 final</w:t>
            </w:r>
          </w:p>
        </w:tc>
      </w:tr>
      <w:tr w:rsidRPr="00115BBC" w:rsidR="00115BBC" w:rsidTr="00CC4510" w14:paraId="17336284" w14:textId="77777777">
        <w:trPr>
          <w:trHeight w:val="289"/>
        </w:trPr>
        <w:tc>
          <w:tcPr>
            <w:tcW w:w="1418" w:type="dxa"/>
            <w:vMerge/>
          </w:tcPr>
          <w:p w:rsidRPr="00115BBC" w:rsidR="00115BBC" w:rsidP="00115BBC" w:rsidRDefault="00115BBC" w14:paraId="6FEF1F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b/>
              </w:rPr>
            </w:pPr>
          </w:p>
        </w:tc>
        <w:tc>
          <w:tcPr>
            <w:tcW w:w="7602" w:type="dxa"/>
          </w:tcPr>
          <w:p w:rsidRPr="00115BBC" w:rsidR="00115BBC" w:rsidP="00CC4510" w:rsidRDefault="00115BBC" w14:paraId="439A72D0" w14:textId="3CA4680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8"/>
              <w:textAlignment w:val="baseline"/>
            </w:pPr>
            <w:r>
              <w:t>EESC-2023-04939-00-00-AC</w:t>
            </w:r>
          </w:p>
        </w:tc>
      </w:tr>
    </w:tbl>
    <w:p w:rsidRPr="00115BBC" w:rsidR="00115BBC" w:rsidP="00115BBC" w:rsidRDefault="00115BBC" w14:paraId="29572A5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408"/>
        <w:textAlignment w:val="baseline"/>
        <w:rPr>
          <w:b/>
        </w:rPr>
      </w:pPr>
    </w:p>
    <w:p w:rsidR="00115BBC" w:rsidP="00CC4510" w:rsidRDefault="00115BBC" w14:paraId="0FFFEA8E" w14:textId="6FE135C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="0096247E" w:rsidP="00CC4510" w:rsidRDefault="0096247E" w14:paraId="1F14F94E" w14:textId="02ACF0C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D36819" w:rsidR="0096247E" w:rsidP="00CC4510" w:rsidRDefault="0096247E" w14:paraId="3F9E4BDA" w14:textId="01735E5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O Comité Económico e Social Europeu:</w:t>
      </w:r>
    </w:p>
    <w:p w:rsidRPr="00115BBC" w:rsidR="00115BBC" w:rsidP="00115BBC" w:rsidRDefault="00115BBC" w14:paraId="67D5FDB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15BBC" w:rsidR="00115BBC" w:rsidP="00CC4510" w:rsidRDefault="00115BBC" w14:paraId="1773FF53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apoia o desenvolvimento da resolução alternativa de litígios (RAL) como </w:t>
      </w:r>
      <w:r>
        <w:rPr>
          <w:b/>
        </w:rPr>
        <w:t>alternativa às ações em tribunal</w:t>
      </w:r>
      <w:r>
        <w:t xml:space="preserve"> quando os consumidores procuram obter reparação pelos danos que os comerciantes lhes possam causar, a par de processos judiciais acessíveis e da aplicação dos direitos dos consumidores pelas autoridades nacionais;</w:t>
      </w:r>
    </w:p>
    <w:p w:rsidRPr="00115BBC" w:rsidR="00115BBC" w:rsidP="00CC4510" w:rsidRDefault="00115BBC" w14:paraId="5816C773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sublinha a importância de incentivar os Estados-Membros e as indústrias a criarem este tipo de sistemas e de encorajar os </w:t>
      </w:r>
      <w:r>
        <w:rPr>
          <w:b/>
        </w:rPr>
        <w:t>comerciantes</w:t>
      </w:r>
      <w:r>
        <w:t xml:space="preserve">, incluindo as </w:t>
      </w:r>
      <w:r>
        <w:rPr>
          <w:b/>
        </w:rPr>
        <w:t>PME</w:t>
      </w:r>
      <w:r>
        <w:t xml:space="preserve">, a aderirem voluntariamente aos mesmos, e insta a Comissão Europeia a </w:t>
      </w:r>
      <w:r>
        <w:rPr>
          <w:b/>
        </w:rPr>
        <w:t>avaliar os progressos dos sistemas de RAL três anos após a aplicação</w:t>
      </w:r>
      <w:r>
        <w:t xml:space="preserve"> da diretiva proposta;</w:t>
      </w:r>
    </w:p>
    <w:p w:rsidRPr="00115BBC" w:rsidR="00115BBC" w:rsidP="00CC4510" w:rsidRDefault="00115BBC" w14:paraId="7CEE7EBC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considera que o </w:t>
      </w:r>
      <w:r>
        <w:rPr>
          <w:b/>
        </w:rPr>
        <w:t>retorno de informações pelas instâncias de RAL</w:t>
      </w:r>
      <w:r>
        <w:t xml:space="preserve"> é extremamente valioso tanto para os profissionais como para os legisladores ou as entidades reguladoras. Por conseguinte, apela para uma </w:t>
      </w:r>
      <w:r>
        <w:rPr>
          <w:b/>
        </w:rPr>
        <w:t>comunicação rápida de situações de crise</w:t>
      </w:r>
      <w:r>
        <w:t>, além da obrigação de publicação bienal de relatórios de atividade pelos sistemas de RAL. Insta a Comissão a integrar as reações das plataformas de RAL nas suas avaliações da regulamentação setorial;</w:t>
      </w:r>
    </w:p>
    <w:p w:rsidRPr="00115BBC" w:rsidR="00115BBC" w:rsidP="00CC4510" w:rsidRDefault="00115BBC" w14:paraId="6480EB14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exorta os legisladores a </w:t>
      </w:r>
      <w:r>
        <w:rPr>
          <w:b/>
        </w:rPr>
        <w:t>serem mais precisos quanto à obrigação de os consumidores procurarem primeiro entrar em contacto com o comerciante antes de recorrerem a um sistema de RAL</w:t>
      </w:r>
      <w:r>
        <w:t xml:space="preserve"> e quanto às </w:t>
      </w:r>
      <w:r>
        <w:rPr>
          <w:b/>
        </w:rPr>
        <w:t>sanções</w:t>
      </w:r>
      <w:r>
        <w:t xml:space="preserve"> aplicáveis aos comerciantes que não cumpram a obrigação de comunicarem a sua aceitação do procedimento de RAL no prazo de 20 dias úteis mencionado nas propostas.</w:t>
      </w:r>
    </w:p>
    <w:p w:rsidRPr="00115BBC" w:rsidR="007B51DD" w:rsidP="00115BBC" w:rsidRDefault="007B51DD" w14:paraId="163168C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15BBC" w:rsidR="00115BBC" w:rsidTr="00B05454" w14:paraId="0EF87FAC" w14:textId="77777777">
        <w:tc>
          <w:tcPr>
            <w:tcW w:w="1418" w:type="dxa"/>
          </w:tcPr>
          <w:p w:rsidRPr="00115BBC" w:rsidR="00115BBC" w:rsidP="00115BBC" w:rsidRDefault="00115BBC" w14:paraId="3A60803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115BBC" w:rsidR="00115BBC" w:rsidP="00115BBC" w:rsidRDefault="00115BBC" w14:paraId="2322F407" w14:textId="1D370A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Pr="00115BBC" w:rsidR="00115BBC" w:rsidTr="00B05454" w14:paraId="1C49B2AC" w14:textId="77777777">
        <w:tc>
          <w:tcPr>
            <w:tcW w:w="1418" w:type="dxa"/>
          </w:tcPr>
          <w:p w:rsidRPr="00115BBC" w:rsidR="00115BBC" w:rsidP="00115BBC" w:rsidRDefault="00115BBC" w14:paraId="6E4695C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15BBC" w:rsidR="00115BBC" w:rsidP="00115BBC" w:rsidRDefault="00115BBC" w14:paraId="24EC677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+32 2 546 83 78</w:t>
            </w:r>
          </w:p>
        </w:tc>
      </w:tr>
      <w:tr w:rsidRPr="00115BBC" w:rsidR="00115BBC" w:rsidTr="00B05454" w14:paraId="55737622" w14:textId="77777777">
        <w:tc>
          <w:tcPr>
            <w:tcW w:w="1418" w:type="dxa"/>
          </w:tcPr>
          <w:p w:rsidRPr="00115BBC" w:rsidR="00115BBC" w:rsidP="00115BBC" w:rsidRDefault="00115BBC" w14:paraId="525828A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115BBC" w:rsidR="00115BBC" w:rsidP="00115BBC" w:rsidRDefault="00760300" w14:paraId="1B1D7DE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36">
              <w:r w:rsidR="000B09AA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115BBC" w:rsidRDefault="00115BBC" w14:paraId="7C16A4C7" w14:textId="77777777">
      <w:pPr>
        <w:spacing w:after="160" w:line="259" w:lineRule="auto"/>
        <w:jc w:val="left"/>
        <w:rPr>
          <w:sz w:val="16"/>
          <w:szCs w:val="16"/>
        </w:rPr>
      </w:pPr>
    </w:p>
    <w:p w:rsidR="00115BBC" w:rsidRDefault="00115BBC" w14:paraId="548FB513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016C21" w:rsidR="00016C21" w:rsidP="00016C21" w:rsidRDefault="00760300" w14:paraId="53C9A431" w14:textId="0A37C9E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37">
        <w:r w:rsidR="000B09AA">
          <w:rPr>
            <w:b/>
            <w:i/>
            <w:color w:val="0000FF"/>
            <w:sz w:val="28"/>
            <w:u w:val="single"/>
          </w:rPr>
          <w:t>Pacote de medidas de apoio às PME</w:t>
        </w:r>
      </w:hyperlink>
    </w:p>
    <w:p w:rsidRPr="00016C21" w:rsidR="00016C21" w:rsidP="00016C21" w:rsidRDefault="00016C21" w14:paraId="79ACBD1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01"/>
        <w:tblW w:w="445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6241"/>
      </w:tblGrid>
      <w:tr w:rsidRPr="00016C21" w:rsidR="00016C21" w:rsidTr="00CC4510" w14:paraId="4F2580C3" w14:textId="77777777">
        <w:tc>
          <w:tcPr>
            <w:tcW w:w="1228" w:type="pct"/>
          </w:tcPr>
          <w:p w:rsidRPr="00016C21" w:rsidR="00016C21" w:rsidP="00016C21" w:rsidRDefault="00016C21" w14:paraId="72DF44FE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  <w:r>
              <w:rPr>
                <w:b/>
              </w:rPr>
              <w:br/>
              <w:t>Correlator</w:t>
            </w:r>
          </w:p>
        </w:tc>
        <w:tc>
          <w:tcPr>
            <w:tcW w:w="3772" w:type="pct"/>
          </w:tcPr>
          <w:p w:rsidRPr="00016C21" w:rsidR="00016C21" w:rsidP="00CC4510" w:rsidRDefault="00016C21" w14:paraId="7A66A71A" w14:textId="1948A7D0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right="1591"/>
              <w:textAlignment w:val="baseline"/>
            </w:pPr>
            <w:r>
              <w:t>Alena Mastantuono (CZ – Grupo dos Empregadores)</w:t>
            </w:r>
            <w:r>
              <w:br/>
              <w:t>Angelo Pagliara (IT – Grupo dos Trabalhadores)</w:t>
            </w:r>
          </w:p>
        </w:tc>
      </w:tr>
      <w:tr w:rsidRPr="00016C21" w:rsidR="00016C21" w:rsidTr="00CC4510" w14:paraId="0DAADC43" w14:textId="77777777">
        <w:tc>
          <w:tcPr>
            <w:tcW w:w="5000" w:type="pct"/>
            <w:gridSpan w:val="2"/>
          </w:tcPr>
          <w:p w:rsidRPr="00016C21" w:rsidR="00016C21" w:rsidP="00016C21" w:rsidRDefault="00016C21" w14:paraId="6CC99D7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016C21" w:rsidR="00016C21" w:rsidTr="00CC4510" w14:paraId="3C188AC4" w14:textId="77777777">
        <w:tc>
          <w:tcPr>
            <w:tcW w:w="1228" w:type="pct"/>
            <w:vMerge w:val="restart"/>
          </w:tcPr>
          <w:p w:rsidRPr="00016C21" w:rsidR="00016C21" w:rsidP="00016C21" w:rsidRDefault="00016C21" w14:paraId="6ED0BDE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772" w:type="pct"/>
          </w:tcPr>
          <w:p w:rsidRPr="00016C21" w:rsidR="00016C21" w:rsidP="00016C21" w:rsidRDefault="00016C21" w14:paraId="5911E5F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535 final</w:t>
            </w:r>
          </w:p>
          <w:p w:rsidRPr="00016C21" w:rsidR="00016C21" w:rsidP="00016C21" w:rsidRDefault="00016C21" w14:paraId="1EAF09D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EESC-2023-05071-00-00-AC</w:t>
            </w:r>
          </w:p>
        </w:tc>
      </w:tr>
      <w:tr w:rsidRPr="00016C21" w:rsidR="00016C21" w:rsidTr="00CC4510" w14:paraId="34BD45CA" w14:textId="77777777">
        <w:tc>
          <w:tcPr>
            <w:tcW w:w="1228" w:type="pct"/>
            <w:vMerge/>
          </w:tcPr>
          <w:p w:rsidRPr="00016C21" w:rsidR="00016C21" w:rsidP="00016C21" w:rsidRDefault="00016C21" w14:paraId="1490540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772" w:type="pct"/>
          </w:tcPr>
          <w:p w:rsidRPr="00016C21" w:rsidR="00016C21" w:rsidP="00016C21" w:rsidRDefault="00016C21" w14:paraId="7FF352D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016C21" w:rsidR="00016C21" w:rsidP="00CC4510" w:rsidRDefault="00016C21" w14:paraId="5C2B27D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Pontos principais</w:t>
      </w:r>
    </w:p>
    <w:p w:rsidRPr="00016C21" w:rsidR="00016C21" w:rsidP="00016C21" w:rsidRDefault="00016C21" w14:paraId="7EA3DAD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016C21" w:rsidR="00016C21" w:rsidP="00CC4510" w:rsidRDefault="00016C21" w14:paraId="6F102ADF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bCs/>
          <w:iCs/>
        </w:rPr>
      </w:pPr>
      <w:r>
        <w:t>O Comité Económico e Social Europeu:</w:t>
      </w:r>
    </w:p>
    <w:p w:rsidRPr="00016C21" w:rsidR="00016C21" w:rsidP="00016C21" w:rsidRDefault="00016C21" w14:paraId="5A499E1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016C21" w:rsidR="00016C21" w:rsidP="00CC4510" w:rsidRDefault="00016C21" w14:paraId="554242DA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rFonts w:ascii="Calibri" w:hAnsi="Calibri"/>
          <w:bCs/>
          <w:iCs/>
        </w:rPr>
      </w:pPr>
      <w:r>
        <w:t xml:space="preserve">congratula-se com o pacote de medidas de apoio às pequenas e médias empresas (PME) como tentativa de colocar </w:t>
      </w:r>
      <w:r>
        <w:rPr>
          <w:b/>
        </w:rPr>
        <w:t>as PME no centro da legislação europeia</w:t>
      </w:r>
      <w:r>
        <w:t xml:space="preserve"> e no cerne das estratégias, debates e ações de apoio à competitividade a nível europeu. A próxima Comissão deve dar </w:t>
      </w:r>
      <w:r>
        <w:rPr>
          <w:b/>
        </w:rPr>
        <w:t>prioridade a tais ações e assegurar a sua continuidade</w:t>
      </w:r>
      <w:r>
        <w:t>;</w:t>
      </w:r>
    </w:p>
    <w:p w:rsidRPr="00016C21" w:rsidR="00016C21" w:rsidP="00CC4510" w:rsidRDefault="00016C21" w14:paraId="6A0B7A03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estima que a Comissão deve assegurar que o </w:t>
      </w:r>
      <w:r>
        <w:rPr>
          <w:b/>
        </w:rPr>
        <w:t>representante da UE para as PME tenha experiência empresarial</w:t>
      </w:r>
      <w:r>
        <w:t xml:space="preserve"> e um conjunto bem definido de competências e responsabilidades no próximo mandato de 2024-2029 e que, no exercício das suas funções, disponha de </w:t>
      </w:r>
      <w:r>
        <w:rPr>
          <w:b/>
        </w:rPr>
        <w:t>recursos adequados</w:t>
      </w:r>
      <w:r>
        <w:t>, nomeadamente pessoal e apoio financeiro;</w:t>
      </w:r>
    </w:p>
    <w:p w:rsidRPr="00016C21" w:rsidR="00016C21" w:rsidP="00CC4510" w:rsidRDefault="00016C21" w14:paraId="5554B69B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congratula-se com os esforços de simplificação, bem como com a redução dos encargos associados ao IVA nas atividades transfronteiriças. No entanto, observa que é necessário envidar mais esforços para eliminar outros obstáculos persistentes. </w:t>
      </w:r>
      <w:r>
        <w:rPr>
          <w:b/>
        </w:rPr>
        <w:t>A fragmentação no mercado único e as diferentes regras nacionais</w:t>
      </w:r>
      <w:r>
        <w:t xml:space="preserve"> em matéria de bens e serviços </w:t>
      </w:r>
      <w:r>
        <w:rPr>
          <w:b/>
        </w:rPr>
        <w:t>impõem encargos consideráveis às empresas</w:t>
      </w:r>
      <w:r>
        <w:t>;</w:t>
      </w:r>
    </w:p>
    <w:p w:rsidRPr="00016C21" w:rsidR="00016C21" w:rsidP="00CC4510" w:rsidRDefault="00016C21" w14:paraId="2DEE3944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estima que </w:t>
      </w:r>
      <w:r>
        <w:rPr>
          <w:b/>
        </w:rPr>
        <w:t>cabe facilitar o acesso das PME a recursos financeiros</w:t>
      </w:r>
      <w:r>
        <w:t>, seja através de subvenções, empréstimos ou outros instrumentos financeiros, com uma assistência específica; solicita igualmente à Comissão que adote todas as medidas necessárias para incentivar as PME a adotarem uma conduta responsável no acesso ao financiamento da UE;</w:t>
      </w:r>
    </w:p>
    <w:p w:rsidRPr="00016C21" w:rsidR="00016C21" w:rsidP="00CC4510" w:rsidRDefault="00016C21" w14:paraId="2717C131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salienta que uma melhor utilização dos instrumentos já existentes pode contribuir para evitar a burocracia. Um bom exemplo consiste em </w:t>
      </w:r>
      <w:r>
        <w:rPr>
          <w:b/>
        </w:rPr>
        <w:t>indicar, em todas as propostas legislativas, as obrigações previstas decorrentes da proposta</w:t>
      </w:r>
      <w:r>
        <w:t>, o que contribuirá, nomeadamente, para uma melhor compreensão dos encargos cumulativos.</w:t>
      </w:r>
    </w:p>
    <w:p w:rsidRPr="00016C21" w:rsidR="00016C21" w:rsidP="00016C21" w:rsidRDefault="00016C21" w14:paraId="29A5A99B" w14:textId="77777777">
      <w:pPr>
        <w:spacing w:after="120" w:line="276" w:lineRule="auto"/>
        <w:ind w:left="1434"/>
        <w:rPr>
          <w:bCs/>
          <w:iCs/>
          <w:lang w:eastAsia="zh-CN"/>
        </w:rPr>
      </w:pPr>
    </w:p>
    <w:tbl>
      <w:tblPr>
        <w:tblStyle w:val="TableGrid20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4499"/>
      </w:tblGrid>
      <w:tr w:rsidRPr="00016C21" w:rsidR="00016C21" w:rsidTr="00B05454" w14:paraId="33461CA2" w14:textId="77777777">
        <w:tc>
          <w:tcPr>
            <w:tcW w:w="1556" w:type="pct"/>
          </w:tcPr>
          <w:p w:rsidRPr="00016C21" w:rsidR="00016C21" w:rsidP="00016C21" w:rsidRDefault="00016C21" w14:paraId="536875C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016C21" w:rsidR="00016C21" w:rsidP="00016C21" w:rsidRDefault="00016C21" w14:paraId="697B1E4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Dalila Bernard</w:t>
            </w:r>
          </w:p>
        </w:tc>
      </w:tr>
      <w:tr w:rsidRPr="00016C21" w:rsidR="00016C21" w:rsidTr="00B05454" w14:paraId="11E64266" w14:textId="77777777">
        <w:tc>
          <w:tcPr>
            <w:tcW w:w="1556" w:type="pct"/>
          </w:tcPr>
          <w:p w:rsidRPr="00016C21" w:rsidR="00016C21" w:rsidP="00016C21" w:rsidRDefault="00016C21" w14:paraId="23C5303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016C21" w:rsidR="00016C21" w:rsidP="00016C21" w:rsidRDefault="00016C21" w14:paraId="5ED7A51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+32 2 546 84 38</w:t>
            </w:r>
          </w:p>
        </w:tc>
      </w:tr>
      <w:tr w:rsidRPr="00016C21" w:rsidR="00016C21" w:rsidTr="00B05454" w14:paraId="72056838" w14:textId="77777777">
        <w:tc>
          <w:tcPr>
            <w:tcW w:w="1556" w:type="pct"/>
          </w:tcPr>
          <w:p w:rsidRPr="00016C21" w:rsidR="00016C21" w:rsidP="00016C21" w:rsidRDefault="00016C21" w14:paraId="498DF60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016C21" w:rsidR="00016C21" w:rsidP="00016C21" w:rsidRDefault="00760300" w14:paraId="78D8A06B" w14:textId="135A9F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8">
              <w:r w:rsidR="000B09AA">
                <w:rPr>
                  <w:color w:val="0000FF"/>
                  <w:u w:val="single"/>
                </w:rPr>
                <w:t>Dalila.Bernard@eesc.europa.eu</w:t>
              </w:r>
            </w:hyperlink>
          </w:p>
          <w:p w:rsidRPr="00016C21" w:rsidR="00016C21" w:rsidP="00016C21" w:rsidRDefault="00016C21" w14:paraId="298F1AD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:rsidR="00DC121F" w:rsidRDefault="00DC121F" w14:paraId="6AFE14EC" w14:textId="0BBC5EDB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="004B5B45" w:rsidRDefault="004B5B45" w14:paraId="4BF86895" w14:textId="385BC456">
      <w:pPr>
        <w:spacing w:after="160" w:line="259" w:lineRule="auto"/>
        <w:jc w:val="left"/>
        <w:rPr>
          <w:sz w:val="16"/>
          <w:szCs w:val="16"/>
        </w:rPr>
      </w:pPr>
    </w:p>
    <w:p w:rsidRPr="00EE2FBD" w:rsidR="004C3902" w:rsidP="00234EA0" w:rsidRDefault="008E2A59" w14:paraId="7AD922B6" w14:textId="6D6B967E">
      <w:pPr>
        <w:pStyle w:val="Heading1"/>
        <w:ind w:hanging="928"/>
        <w:rPr>
          <w:b/>
          <w:bCs/>
        </w:rPr>
      </w:pPr>
      <w:bookmarkStart w:name="_Toc153539681" w:id="17"/>
      <w:bookmarkStart w:name="_Toc159831771" w:id="18"/>
      <w:r>
        <w:rPr>
          <w:b/>
        </w:rPr>
        <w:t>AGRICULTURA, DESENVOLVIMENTO RURAL E AMBIENTE</w:t>
      </w:r>
      <w:bookmarkStart w:name="_Hlk145944317" w:id="19"/>
      <w:bookmarkEnd w:id="17"/>
      <w:bookmarkEnd w:id="18"/>
    </w:p>
    <w:bookmarkEnd w:id="19"/>
    <w:p w:rsidRPr="00094B6B" w:rsidR="002C016E" w:rsidP="00DE43CE" w:rsidRDefault="002C016E" w14:paraId="0E7342A4" w14:textId="73254B30">
      <w:pPr>
        <w:keepNext/>
        <w:keepLines/>
        <w:jc w:val="left"/>
        <w:rPr>
          <w:bCs/>
          <w:iCs/>
        </w:rPr>
      </w:pPr>
    </w:p>
    <w:p w:rsidRPr="00016C21" w:rsidR="00016C21" w:rsidP="00016C21" w:rsidRDefault="00760300" w14:paraId="48966958" w14:textId="16AD2DE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425" w:hanging="357"/>
        <w:contextualSpacing/>
        <w:jc w:val="left"/>
        <w:textAlignment w:val="baseline"/>
        <w:rPr>
          <w:i/>
          <w:iCs/>
        </w:rPr>
      </w:pPr>
      <w:hyperlink w:history="1" r:id="rId39">
        <w:r w:rsidR="000B09AA">
          <w:rPr>
            <w:b/>
            <w:i/>
            <w:color w:val="0000FF"/>
            <w:sz w:val="28"/>
            <w:u w:val="single"/>
          </w:rPr>
          <w:t>Prevenção das perdas de péletes de plástico para reduzir a poluição por microplásticos</w:t>
        </w:r>
      </w:hyperlink>
    </w:p>
    <w:p w:rsidRPr="00016C21" w:rsidR="005E64DC" w:rsidP="00016C21" w:rsidRDefault="005E64DC" w14:paraId="32E7BE77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tbl>
      <w:tblPr>
        <w:tblStyle w:val="TableGrid2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016C21" w:rsidR="00016C21" w:rsidTr="00B05454" w14:paraId="2AA339FF" w14:textId="77777777">
        <w:tc>
          <w:tcPr>
            <w:tcW w:w="1701" w:type="dxa"/>
          </w:tcPr>
          <w:p w:rsidRPr="00016C21" w:rsidR="00016C21" w:rsidP="00CC4510" w:rsidRDefault="00016C21" w14:paraId="3160CF3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6096" w:type="dxa"/>
          </w:tcPr>
          <w:p w:rsidRPr="00016C21" w:rsidR="00016C21" w:rsidP="00CC4510" w:rsidRDefault="00016C21" w14:paraId="69F9AE5E" w14:textId="0CC7DB2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Cs/>
              </w:rPr>
            </w:pPr>
            <w:r>
              <w:rPr>
                <w:b/>
              </w:rPr>
              <w:t>András Edelényi</w:t>
            </w:r>
            <w:r>
              <w:t xml:space="preserve"> (HU – Grupo dos Empregadores)</w:t>
            </w:r>
          </w:p>
        </w:tc>
      </w:tr>
      <w:tr w:rsidRPr="00016C21" w:rsidR="00016C21" w:rsidTr="00B05454" w14:paraId="3D2947AE" w14:textId="77777777">
        <w:tc>
          <w:tcPr>
            <w:tcW w:w="1701" w:type="dxa"/>
          </w:tcPr>
          <w:p w:rsidRPr="00016C21" w:rsidR="00016C21" w:rsidP="00CC4510" w:rsidRDefault="00016C21" w14:paraId="52F4AA0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Correlatora</w:t>
            </w:r>
          </w:p>
        </w:tc>
        <w:tc>
          <w:tcPr>
            <w:tcW w:w="6096" w:type="dxa"/>
          </w:tcPr>
          <w:p w:rsidRPr="00016C21" w:rsidR="00016C21" w:rsidP="00CC4510" w:rsidRDefault="00016C21" w14:paraId="0F2C9A54" w14:textId="6A2E48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>
              <w:rPr>
                <w:b/>
              </w:rPr>
              <w:t>Maria Nikolopoulou</w:t>
            </w:r>
            <w:r>
              <w:t xml:space="preserve"> (ES – Grupo dos Trabalhadores)</w:t>
            </w:r>
          </w:p>
        </w:tc>
      </w:tr>
      <w:tr w:rsidRPr="00016C21" w:rsidR="00016C21" w:rsidTr="00B05454" w14:paraId="37E9B43F" w14:textId="77777777">
        <w:tc>
          <w:tcPr>
            <w:tcW w:w="7797" w:type="dxa"/>
            <w:gridSpan w:val="2"/>
          </w:tcPr>
          <w:p w:rsidRPr="00016C21" w:rsidR="00016C21" w:rsidP="00CC4510" w:rsidRDefault="00016C21" w14:paraId="73AFBCC5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016C21" w:rsidR="00016C21" w:rsidTr="00B05454" w14:paraId="15D23674" w14:textId="77777777">
        <w:tc>
          <w:tcPr>
            <w:tcW w:w="1701" w:type="dxa"/>
            <w:vMerge w:val="restart"/>
          </w:tcPr>
          <w:p w:rsidRPr="00016C21" w:rsidR="00016C21" w:rsidP="00CC4510" w:rsidRDefault="00016C21" w14:paraId="1BB4B74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6096" w:type="dxa"/>
          </w:tcPr>
          <w:p w:rsidRPr="00016C21" w:rsidR="00016C21" w:rsidP="00CC4510" w:rsidRDefault="00016C21" w14:paraId="7EE7987F" w14:textId="0C9C288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>
              <w:t>COM(2023) 645 final</w:t>
            </w:r>
          </w:p>
        </w:tc>
      </w:tr>
      <w:tr w:rsidRPr="00016C21" w:rsidR="00016C21" w:rsidTr="00B05454" w14:paraId="5C2E846C" w14:textId="77777777">
        <w:tc>
          <w:tcPr>
            <w:tcW w:w="1701" w:type="dxa"/>
            <w:vMerge/>
          </w:tcPr>
          <w:p w:rsidRPr="00016C21" w:rsidR="00016C21" w:rsidP="00CC4510" w:rsidRDefault="00016C21" w14:paraId="3C7FAC6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Pr="00016C21" w:rsidR="00016C21" w:rsidP="00CC4510" w:rsidRDefault="00016C21" w14:paraId="0906927D" w14:textId="5DCAA03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>
              <w:t>EESC-2023-04923-00-00-AC</w:t>
            </w:r>
          </w:p>
        </w:tc>
      </w:tr>
    </w:tbl>
    <w:p w:rsidR="00C05C6B" w:rsidP="00B74EA5" w:rsidRDefault="00C05C6B" w14:paraId="53A18EF3" w14:textId="77777777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b/>
        </w:rPr>
      </w:pPr>
    </w:p>
    <w:p w:rsidRPr="00016C21" w:rsidR="00016C21" w:rsidP="00CC4510" w:rsidRDefault="00016C21" w14:paraId="7C49C143" w14:textId="4C6ED9A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124"/>
        <w:textAlignment w:val="baseline"/>
        <w:rPr>
          <w:b/>
        </w:rPr>
      </w:pPr>
      <w:r>
        <w:rPr>
          <w:b/>
        </w:rPr>
        <w:t>Pontos principais</w:t>
      </w:r>
    </w:p>
    <w:p w:rsidRPr="00016C21" w:rsidR="00016C21" w:rsidRDefault="00016C21" w14:paraId="34882F5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6"/>
          <w:szCs w:val="16"/>
        </w:rPr>
      </w:pPr>
    </w:p>
    <w:p w:rsidR="00016C21" w:rsidP="00CC4510" w:rsidRDefault="00016C21" w14:paraId="678CC3CA" w14:textId="6F26DAA6">
      <w:pPr>
        <w:overflowPunct w:val="0"/>
        <w:autoSpaceDE w:val="0"/>
        <w:autoSpaceDN w:val="0"/>
        <w:adjustRightInd w:val="0"/>
        <w:spacing w:line="276" w:lineRule="auto"/>
        <w:ind w:firstLine="142"/>
        <w:textAlignment w:val="baseline"/>
        <w:rPr>
          <w:bCs/>
          <w:iCs/>
        </w:rPr>
      </w:pPr>
      <w:r>
        <w:t>O Comité Económico e Social Europeu:</w:t>
      </w:r>
    </w:p>
    <w:p w:rsidRPr="00016C21" w:rsidR="005E64DC" w:rsidP="00B74EA5" w:rsidRDefault="005E64DC" w14:paraId="409EF56F" w14:textId="77777777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bCs/>
          <w:iCs/>
        </w:rPr>
      </w:pPr>
    </w:p>
    <w:p w:rsidRPr="00CC4510" w:rsidR="00016C21" w:rsidP="00CC4510" w:rsidRDefault="00016C21" w14:paraId="1E401C83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2" w:id="20"/>
      <w:r>
        <w:t xml:space="preserve">aprova e </w:t>
      </w:r>
      <w:r>
        <w:rPr>
          <w:b/>
        </w:rPr>
        <w:t>apoia</w:t>
      </w:r>
      <w:r>
        <w:t xml:space="preserve">, no essencial, </w:t>
      </w:r>
      <w:r>
        <w:rPr>
          <w:b/>
        </w:rPr>
        <w:t>a proposta da Comissão</w:t>
      </w:r>
      <w:r>
        <w:t xml:space="preserve"> relativa à regulamentação das operações com péletes de microplásticos e das respetivas emissões e à atenuação da poluição perigosa neste domínio específico;</w:t>
      </w:r>
      <w:bookmarkEnd w:id="20"/>
    </w:p>
    <w:p w:rsidRPr="00CC4510" w:rsidR="00016C21" w:rsidP="00CC4510" w:rsidRDefault="00016C21" w14:paraId="1C92984C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pacing w:val="-2"/>
          <w:szCs w:val="20"/>
        </w:rPr>
      </w:pPr>
      <w:bookmarkStart w:name="_Toc159831773" w:id="21"/>
      <w:r>
        <w:t xml:space="preserve">chama a atenção para a necessidade urgente de </w:t>
      </w:r>
      <w:r>
        <w:rPr>
          <w:b/>
        </w:rPr>
        <w:t>desenvolver uma metodologia normalizada para rastrear e estimar</w:t>
      </w:r>
      <w:r>
        <w:t xml:space="preserve"> adequadamente </w:t>
      </w:r>
      <w:r>
        <w:rPr>
          <w:b/>
        </w:rPr>
        <w:t>as perdas de péletes de microplásticos</w:t>
      </w:r>
      <w:r>
        <w:t xml:space="preserve"> em toda a cadeia de abastecimento, o que pode permitir estimar as emissões e acompanhar os progressos na consecução da meta ambiental fixada de redução de 30% até 2030;</w:t>
      </w:r>
      <w:bookmarkEnd w:id="21"/>
    </w:p>
    <w:p w:rsidRPr="00CC4510" w:rsidR="00016C21" w:rsidP="00CC4510" w:rsidRDefault="00016C21" w14:paraId="3EE952C2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pacing w:val="-8"/>
          <w:szCs w:val="20"/>
        </w:rPr>
      </w:pPr>
      <w:bookmarkStart w:name="_Toc159831774" w:id="22"/>
      <w:r>
        <w:t xml:space="preserve">recomenda que a UE se </w:t>
      </w:r>
      <w:r>
        <w:rPr>
          <w:b/>
        </w:rPr>
        <w:t>alinhe pelo processo legislativo da Organização Marítima Internacional</w:t>
      </w:r>
      <w:r>
        <w:t>. Se esta não adotar regras até meados de 2026, a Comissão deve ponderar a adoção de disposições a aplicar ao setor do transporte marítimo intra-UE e lançar as bases para abordar a questão dos microplásticos secundários provenientes de pneus, tintas, têxteis, geotêxteis e cápsulas de detergentes;</w:t>
      </w:r>
      <w:bookmarkEnd w:id="22"/>
    </w:p>
    <w:p w:rsidRPr="00CC4510" w:rsidR="00016C21" w:rsidP="00CC4510" w:rsidRDefault="00016C21" w14:paraId="1818AA54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5" w:id="23"/>
      <w:r>
        <w:t xml:space="preserve">propõe, no que toca aos aspetos ambientais e de proteção do ser humano, que o regulamento </w:t>
      </w:r>
      <w:r>
        <w:rPr>
          <w:b/>
        </w:rPr>
        <w:t>dedique especial atenção às zonas geográficas</w:t>
      </w:r>
      <w:r>
        <w:t xml:space="preserve"> – enquanto potenciais pontos de intervenção para atenuar/reduzir a poluição – mais expostas a emissões de microplásticos;</w:t>
      </w:r>
      <w:bookmarkEnd w:id="23"/>
    </w:p>
    <w:p w:rsidRPr="00CC4510" w:rsidR="00016C21" w:rsidP="00CC4510" w:rsidRDefault="00016C21" w14:paraId="054B27CB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6" w:id="24"/>
      <w:r>
        <w:t xml:space="preserve">salienta a necessidade de </w:t>
      </w:r>
      <w:r>
        <w:rPr>
          <w:b/>
        </w:rPr>
        <w:t>aumentar a frequência da verificação da conformidade</w:t>
      </w:r>
      <w:r>
        <w:t xml:space="preserve"> e de </w:t>
      </w:r>
      <w:r>
        <w:rPr>
          <w:b/>
        </w:rPr>
        <w:t>prever uma revisão intercalar da legislação</w:t>
      </w:r>
      <w:r>
        <w:t xml:space="preserve"> para avaliar a sua eficácia e para rever e, se necessário, ajustar o limite de volume para as operações com péletes estabelecido nos requisitos regulamentares menos rigorosos previstos para as micro e pequenas empresas;</w:t>
      </w:r>
      <w:bookmarkEnd w:id="24"/>
    </w:p>
    <w:p w:rsidRPr="00CC4510" w:rsidR="00016C21" w:rsidP="00CC4510" w:rsidRDefault="00016C21" w14:paraId="2F4250F7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7" w:id="25"/>
      <w:r>
        <w:t xml:space="preserve">adverte que o rápido crescimento da produção virgem e reciclada de péletes de plástico dificulta cada vez mais a atenuação do seu impacto. Por conseguinte, importa acelerar os esforços para </w:t>
      </w:r>
      <w:r>
        <w:rPr>
          <w:b/>
        </w:rPr>
        <w:t>aplicar e fazer cumprir</w:t>
      </w:r>
      <w:r>
        <w:t xml:space="preserve"> o regulamento;</w:t>
      </w:r>
      <w:bookmarkEnd w:id="25"/>
    </w:p>
    <w:p w:rsidRPr="00CC4510" w:rsidR="00016C21" w:rsidP="00CC4510" w:rsidRDefault="00016C21" w14:paraId="1E28F2BE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8" w:id="26"/>
      <w:r>
        <w:t xml:space="preserve">observa que não existe uma elevada procura de mais trabalhadores, exceto no domínio do emprego verde, mas que </w:t>
      </w:r>
      <w:r>
        <w:rPr>
          <w:b/>
        </w:rPr>
        <w:t>é necessário aumentar os níveis de sensibilização e formação de toda a mão de obra</w:t>
      </w:r>
      <w:r>
        <w:t>;</w:t>
      </w:r>
      <w:bookmarkEnd w:id="26"/>
    </w:p>
    <w:p w:rsidRPr="00CC4510" w:rsidR="00016C21" w:rsidP="00CC4510" w:rsidRDefault="00016C21" w14:paraId="23F522CA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Cs w:val="20"/>
        </w:rPr>
      </w:pPr>
      <w:bookmarkStart w:name="_Toc159831779" w:id="27"/>
      <w:r>
        <w:t xml:space="preserve">assinala que </w:t>
      </w:r>
      <w:r>
        <w:rPr>
          <w:b/>
        </w:rPr>
        <w:t>é importante ter em conta os aspetos internacionais do regulamento</w:t>
      </w:r>
      <w:r>
        <w:t xml:space="preserve"> para garantir condições de concorrência equitativas entre os operadores da UE que cumprem o regulamento e os operadores de países terceiros;</w:t>
      </w:r>
      <w:bookmarkEnd w:id="27"/>
    </w:p>
    <w:p w:rsidRPr="00CC4510" w:rsidR="00016C21" w:rsidP="00CC4510" w:rsidRDefault="00016C21" w14:paraId="0E4468F7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pacing w:val="-4"/>
          <w:szCs w:val="20"/>
        </w:rPr>
      </w:pPr>
      <w:bookmarkStart w:name="_Toc159831780" w:id="28"/>
      <w:r>
        <w:t>salienta que há que intensificar as atividades científicas e de investigação, principalmente com vista a compreender os efeitos nocivos para a saúde humana e do ambiente da poluição por péletes de microplásticos;</w:t>
      </w:r>
      <w:bookmarkEnd w:id="28"/>
    </w:p>
    <w:p w:rsidRPr="00CC4510" w:rsidR="00016C21" w:rsidP="00CC4510" w:rsidRDefault="00016C21" w14:paraId="717B8D71" w14:textId="77777777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pacing w:val="-6"/>
          <w:szCs w:val="20"/>
        </w:rPr>
      </w:pPr>
      <w:bookmarkStart w:name="_Toc159831781" w:id="29"/>
      <w:r>
        <w:lastRenderedPageBreak/>
        <w:t xml:space="preserve">recomenda a </w:t>
      </w:r>
      <w:r>
        <w:rPr>
          <w:b/>
        </w:rPr>
        <w:t>revisão das melhores técnicas disponíveis</w:t>
      </w:r>
      <w:r>
        <w:t xml:space="preserve"> para os operadores económicos, a fim de incluir as perdas de péletes.</w:t>
      </w:r>
      <w:bookmarkEnd w:id="29"/>
    </w:p>
    <w:p w:rsidR="00016C21" w:rsidP="00016C21" w:rsidRDefault="00016C21" w14:paraId="2BEE0D5B" w14:textId="4403D595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</w:rPr>
      </w:pPr>
    </w:p>
    <w:p w:rsidRPr="00016C21" w:rsidR="00DC108A" w:rsidP="00016C21" w:rsidRDefault="00DC108A" w14:paraId="62259C3A" w14:textId="77777777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</w:rPr>
      </w:pPr>
    </w:p>
    <w:tbl>
      <w:tblPr>
        <w:tblStyle w:val="TableGrid2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016C21" w:rsidR="00016C21" w:rsidTr="00B05454" w14:paraId="5AD55413" w14:textId="77777777">
        <w:tc>
          <w:tcPr>
            <w:tcW w:w="1418" w:type="dxa"/>
          </w:tcPr>
          <w:p w:rsidRPr="00016C21" w:rsidR="00016C21" w:rsidP="00016C21" w:rsidRDefault="00016C21" w14:paraId="668325B6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016C21" w:rsidR="00016C21" w:rsidP="00016C21" w:rsidRDefault="00016C21" w14:paraId="504AA629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>
              <w:rPr>
                <w:i/>
              </w:rPr>
              <w:t>Caroline Verhelst</w:t>
            </w:r>
          </w:p>
        </w:tc>
      </w:tr>
      <w:tr w:rsidRPr="00016C21" w:rsidR="00016C21" w:rsidTr="00B05454" w14:paraId="12754F25" w14:textId="77777777">
        <w:tc>
          <w:tcPr>
            <w:tcW w:w="1418" w:type="dxa"/>
          </w:tcPr>
          <w:p w:rsidRPr="00016C21" w:rsidR="00016C21" w:rsidP="00016C21" w:rsidRDefault="00016C21" w14:paraId="45074D4B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016C21" w:rsidR="00016C21" w:rsidP="00016C21" w:rsidRDefault="00016C21" w14:paraId="442D21C5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>
              <w:rPr>
                <w:i/>
              </w:rPr>
              <w:t>+32 2 546 94 97</w:t>
            </w:r>
          </w:p>
        </w:tc>
      </w:tr>
      <w:tr w:rsidRPr="00016C21" w:rsidR="00016C21" w:rsidTr="00B05454" w14:paraId="249DD5BE" w14:textId="77777777">
        <w:tc>
          <w:tcPr>
            <w:tcW w:w="1418" w:type="dxa"/>
          </w:tcPr>
          <w:p w:rsidRPr="00016C21" w:rsidR="00016C21" w:rsidP="00016C21" w:rsidRDefault="00DC108A" w14:paraId="396A0A58" w14:textId="71177E5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016C21" w:rsidR="00016C21" w:rsidP="00016C21" w:rsidRDefault="00760300" w14:paraId="341BABE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40">
              <w:r w:rsidR="000B09AA">
                <w:rPr>
                  <w:i/>
                  <w:color w:val="0000FF"/>
                  <w:u w:val="single"/>
                </w:rPr>
                <w:t>Caroline.Verhelst@eesc.europa.eu</w:t>
              </w:r>
            </w:hyperlink>
          </w:p>
        </w:tc>
      </w:tr>
    </w:tbl>
    <w:p w:rsidR="00B74EA5" w:rsidRDefault="00B74EA5" w14:paraId="0DF14DF3" w14:textId="77777777">
      <w:pPr>
        <w:spacing w:after="160" w:line="259" w:lineRule="auto"/>
        <w:jc w:val="left"/>
        <w:rPr>
          <w:b/>
          <w:bCs/>
        </w:rPr>
        <w:sectPr w:rsidR="00B74EA5" w:rsidSect="004417CD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:rsidRPr="00810736" w:rsidR="006B3316" w:rsidP="0074419C" w:rsidRDefault="005374D2" w14:paraId="4FE1ECEE" w14:textId="7B16969B">
      <w:pPr>
        <w:pStyle w:val="Heading1"/>
        <w:ind w:hanging="928"/>
        <w:rPr>
          <w:b/>
          <w:bCs/>
        </w:rPr>
      </w:pPr>
      <w:bookmarkStart w:name="_Toc153539702" w:id="30"/>
      <w:bookmarkStart w:name="_Toc159831782" w:id="31"/>
      <w:r>
        <w:rPr>
          <w:b/>
        </w:rPr>
        <w:lastRenderedPageBreak/>
        <w:t>RELAÇÕES EXTERNAS</w:t>
      </w:r>
      <w:bookmarkEnd w:id="30"/>
      <w:bookmarkEnd w:id="31"/>
    </w:p>
    <w:p w:rsidR="00BD0493" w:rsidP="00BD0493" w:rsidRDefault="00BD0493" w14:paraId="10EC00FD" w14:textId="45B98434"/>
    <w:p w:rsidRPr="00231267" w:rsidR="00231267" w:rsidP="00CC4510" w:rsidRDefault="00760300" w14:paraId="1DBCF0C9" w14:textId="6A3796A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hanging="720"/>
        <w:jc w:val="left"/>
        <w:textAlignment w:val="baseline"/>
        <w:rPr>
          <w:sz w:val="20"/>
          <w:szCs w:val="20"/>
        </w:rPr>
      </w:pPr>
      <w:hyperlink w:history="1" r:id="rId41">
        <w:r w:rsidR="000B09AA">
          <w:rPr>
            <w:b/>
            <w:i/>
            <w:color w:val="0000FF"/>
            <w:sz w:val="28"/>
            <w:u w:val="single"/>
          </w:rPr>
          <w:t>Estratégia Europeia em matéria de Segurança Económica</w:t>
        </w:r>
      </w:hyperlink>
    </w:p>
    <w:p w:rsidRPr="00231267" w:rsidR="00231267" w:rsidP="00231267" w:rsidRDefault="00231267" w14:paraId="746E1E4A" w14:textId="7777777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 w:val="20"/>
          <w:szCs w:val="20"/>
        </w:rPr>
      </w:pPr>
    </w:p>
    <w:tbl>
      <w:tblPr>
        <w:tblStyle w:val="TableGrid2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5387"/>
      </w:tblGrid>
      <w:tr w:rsidRPr="00231267" w:rsidR="00231267" w:rsidTr="00CC4510" w14:paraId="588E9B2D" w14:textId="77777777">
        <w:trPr>
          <w:trHeight w:val="330"/>
        </w:trPr>
        <w:tc>
          <w:tcPr>
            <w:tcW w:w="1843" w:type="dxa"/>
          </w:tcPr>
          <w:p w:rsidRPr="00231267" w:rsidR="00231267" w:rsidP="00CC4510" w:rsidRDefault="00231267" w14:paraId="3F8D03D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5387" w:type="dxa"/>
          </w:tcPr>
          <w:p w:rsidRPr="00231267" w:rsidR="00231267" w:rsidP="00CC4510" w:rsidRDefault="00231267" w14:paraId="1FD8BB1A" w14:textId="719B603A">
            <w:pPr>
              <w:tabs>
                <w:tab w:val="center" w:pos="2585"/>
              </w:tabs>
              <w:overflowPunct w:val="0"/>
              <w:autoSpaceDE w:val="0"/>
              <w:autoSpaceDN w:val="0"/>
              <w:adjustRightInd w:val="0"/>
              <w:ind w:left="317" w:hanging="424"/>
              <w:jc w:val="left"/>
              <w:textAlignment w:val="baseline"/>
            </w:pPr>
            <w:r>
              <w:t>Milena Angelova (BG – Grupo dos Empregadores)</w:t>
            </w:r>
          </w:p>
        </w:tc>
      </w:tr>
      <w:tr w:rsidRPr="00231267" w:rsidR="00231267" w:rsidTr="00CC4510" w14:paraId="5246C778" w14:textId="77777777">
        <w:tc>
          <w:tcPr>
            <w:tcW w:w="1843" w:type="dxa"/>
          </w:tcPr>
          <w:p w:rsidRPr="00231267" w:rsidR="00231267" w:rsidP="00CC4510" w:rsidRDefault="00231267" w14:paraId="71E3F92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5387" w:type="dxa"/>
          </w:tcPr>
          <w:p w:rsidRPr="00231267" w:rsidR="00231267" w:rsidP="00CC4510" w:rsidRDefault="00231267" w14:paraId="51DACF1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EESC-2023-04250-00-00-AC</w:t>
            </w:r>
          </w:p>
        </w:tc>
      </w:tr>
    </w:tbl>
    <w:p w:rsidRPr="00231267" w:rsidR="00231267" w:rsidP="00231267" w:rsidRDefault="00231267" w14:paraId="005F2FF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231267" w:rsidR="00231267" w:rsidP="00231267" w:rsidRDefault="00231267" w14:paraId="5EBF193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231267" w:rsidR="00231267" w:rsidP="00231267" w:rsidRDefault="00231267" w14:paraId="6437966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231267" w:rsidP="00231267" w:rsidRDefault="00231267" w14:paraId="43917E21" w14:textId="07835E4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231267" w:rsidR="00C05C6B" w:rsidP="00231267" w:rsidRDefault="00C05C6B" w14:paraId="55C5A32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231267" w:rsidR="00231267" w:rsidP="00CC4510" w:rsidRDefault="00231267" w14:paraId="3FA07EDF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congratula-se com a Comunicação relativa à Estratégia Europeia em matéria de Segurança Económica, uma iniciativa oportuna para dar resposta às novas condições geopolíticas e geoeconómicas em constante evolução.  Embora apoie a abordagem baseada na avaliação dos riscos, o CESE apela igualmente para uma avaliação global dos pontos fortes da UE e das oportunidades que os desafios mundiais podem apresentar;</w:t>
      </w:r>
    </w:p>
    <w:p w:rsidRPr="00231267" w:rsidR="00231267" w:rsidP="00CC4510" w:rsidRDefault="00231267" w14:paraId="0B300469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sublinha que o investimento na inovação, no desenvolvimento de competências e nas capacidades industriais, a par da necessidade de assegurar o bom funcionamento do mercado interno, são medidas indispensáveis tanto para reforçar a produtividade e a competitividade, como para reduzir as dependências críticas, preservando simultaneamente a economia social de mercado da UE. Outros aspetos fundamentais incluem a energia, as matérias-primas, a capacidade digital e um acesso estável ao financiamento, o que exige a conclusão da União dos Mercados de Capitais e da União Bancária;</w:t>
      </w:r>
    </w:p>
    <w:p w:rsidRPr="00231267" w:rsidR="00231267" w:rsidP="00CC4510" w:rsidRDefault="00231267" w14:paraId="4C25E9FD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solicita que se tire pleno partido dos acordos comerciais e de investimento, se concluam rapidamente as negociações comerciais em curso e se iniciem negociações com potenciais novos parceiros, a fim de diversificar as cadeias de abastecimento e expandir os mercados de produtos. O reforço do comércio multilateral assente em regras e dos acordos mundiais deve também constituir uma prioridade para a UE; </w:t>
      </w:r>
    </w:p>
    <w:p w:rsidRPr="00231267" w:rsidR="00231267" w:rsidP="00CC4510" w:rsidRDefault="00231267" w14:paraId="658E7170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salienta a necessidade de adotar medidas resolutas de defesa e proteção relativamente a países terceiros que representem um risco para a segurança económica da UE, nomeadamente medidas relacionadas com o comércio, o investimento ou a cooperação tecnológica;</w:t>
      </w:r>
    </w:p>
    <w:p w:rsidRPr="00231267" w:rsidR="00231267" w:rsidP="00CC4510" w:rsidRDefault="00231267" w14:paraId="24A2D06C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insta os decisores políticos da UE a reforçarem condições que capacitem, incentivem e apoiem as empresas da UE, incluindo as micro, pequenas e médias empresas (MPME), no âmbito da gestão dos riscos geoeconómicos das suas atividades, e a assegurarem que as medidas políticas não impõem custos ou obstáculos desproporcionados a essas empresas; </w:t>
      </w:r>
    </w:p>
    <w:p w:rsidRPr="00231267" w:rsidR="00231267" w:rsidP="00CC4510" w:rsidRDefault="00231267" w14:paraId="152286F2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apela para a participação das empresas da UE e de outros intervenientes pertinentes da sociedade civil no aprofundamento e na aplicação da estratégia em matéria de segurança económica, e salienta a necessidade de reforçar as sinergias entre os Estados-Membros, contribuindo assim para a unidade, a força a nível mundial e a segurança económica geral da UE.</w:t>
      </w:r>
    </w:p>
    <w:p w:rsidRPr="00CC4510" w:rsidR="00231267" w:rsidP="00231267" w:rsidRDefault="00231267" w14:paraId="689F9ED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8"/>
          <w:szCs w:val="16"/>
        </w:rPr>
      </w:pPr>
    </w:p>
    <w:tbl>
      <w:tblPr>
        <w:tblStyle w:val="TableGrid2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231267" w:rsidR="00231267" w:rsidTr="00B05454" w14:paraId="7CFE54E9" w14:textId="77777777">
        <w:tc>
          <w:tcPr>
            <w:tcW w:w="1418" w:type="dxa"/>
          </w:tcPr>
          <w:p w:rsidRPr="00231267" w:rsidR="00231267" w:rsidP="00231267" w:rsidRDefault="00231267" w14:paraId="4E9EAA4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231267" w:rsidR="00231267" w:rsidP="00231267" w:rsidRDefault="00231267" w14:paraId="37F63FE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Marco Ristori</w:t>
            </w:r>
          </w:p>
        </w:tc>
      </w:tr>
      <w:tr w:rsidRPr="00231267" w:rsidR="00231267" w:rsidTr="00B05454" w14:paraId="62B22192" w14:textId="77777777">
        <w:tc>
          <w:tcPr>
            <w:tcW w:w="1418" w:type="dxa"/>
          </w:tcPr>
          <w:p w:rsidRPr="00231267" w:rsidR="00231267" w:rsidP="00231267" w:rsidRDefault="00231267" w14:paraId="440C603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231267" w:rsidR="00231267" w:rsidP="00231267" w:rsidRDefault="00231267" w14:paraId="29D4C5B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+32 2 546 99 69</w:t>
            </w:r>
          </w:p>
        </w:tc>
      </w:tr>
      <w:tr w:rsidRPr="00231267" w:rsidR="00231267" w:rsidTr="00B05454" w14:paraId="48DEF925" w14:textId="77777777">
        <w:tc>
          <w:tcPr>
            <w:tcW w:w="1418" w:type="dxa"/>
          </w:tcPr>
          <w:p w:rsidRPr="00231267" w:rsidR="00231267" w:rsidP="00231267" w:rsidRDefault="00231267" w14:paraId="66BED64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231267" w:rsidR="00231267" w:rsidP="00231267" w:rsidRDefault="00760300" w14:paraId="42300FE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42">
              <w:r w:rsidR="000B09AA">
                <w:rPr>
                  <w:i/>
                  <w:color w:val="0000FF"/>
                  <w:u w:val="single"/>
                </w:rPr>
                <w:t>Marco.Ristori@eesc.europa.eu</w:t>
              </w:r>
            </w:hyperlink>
          </w:p>
        </w:tc>
      </w:tr>
    </w:tbl>
    <w:p w:rsidRPr="003F6640" w:rsidR="003F6640" w:rsidRDefault="003F6640" w14:paraId="0E201C9B" w14:textId="77777777">
      <w:pPr>
        <w:spacing w:after="160" w:line="259" w:lineRule="auto"/>
        <w:jc w:val="left"/>
      </w:pPr>
    </w:p>
    <w:p w:rsidRPr="00CC4510" w:rsidR="00FF485C" w:rsidRDefault="00FF485C" w14:paraId="005CB271" w14:textId="70C78FEC">
      <w:pPr>
        <w:spacing w:after="160" w:line="259" w:lineRule="auto"/>
        <w:jc w:val="left"/>
        <w:rPr>
          <w:sz w:val="14"/>
          <w:szCs w:val="14"/>
        </w:rPr>
      </w:pPr>
    </w:p>
    <w:p w:rsidR="003B636C" w:rsidP="005B4680" w:rsidRDefault="003B636C" w14:paraId="2AFC2D25" w14:textId="6E54F172">
      <w:pPr>
        <w:pStyle w:val="Heading1"/>
        <w:ind w:hanging="928"/>
        <w:rPr>
          <w:b/>
          <w:bCs/>
        </w:rPr>
      </w:pPr>
      <w:bookmarkStart w:name="_Toc159831783" w:id="32"/>
      <w:bookmarkStart w:name="_Toc153539712" w:id="33"/>
      <w:r>
        <w:rPr>
          <w:b/>
        </w:rPr>
        <w:lastRenderedPageBreak/>
        <w:t>TRANSPORTES, ENERGIA, INFRAESTRUTURAS E SOCIEDADE DA INFORMAÇÃO</w:t>
      </w:r>
      <w:bookmarkEnd w:id="32"/>
    </w:p>
    <w:p w:rsidRPr="003B636C" w:rsidR="003B636C" w:rsidP="003B636C" w:rsidRDefault="003B636C" w14:paraId="4BBF9BF3" w14:textId="77777777"/>
    <w:p w:rsidRPr="00B114D4" w:rsidR="003B636C" w:rsidP="003B636C" w:rsidRDefault="00760300" w14:paraId="2292F34E" w14:textId="32E93E8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3">
        <w:r w:rsidR="000B09AA">
          <w:rPr>
            <w:b/>
            <w:i/>
            <w:color w:val="0000FF"/>
            <w:sz w:val="28"/>
            <w:u w:val="single"/>
          </w:rPr>
          <w:t>Revisão da Diretiva Transporte Combinado (Diretiva 92/106/CEE)</w:t>
        </w:r>
      </w:hyperlink>
    </w:p>
    <w:p w:rsidRPr="00B114D4" w:rsidR="003B636C" w:rsidP="003B636C" w:rsidRDefault="003B636C" w14:paraId="7A8CB64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05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B114D4" w:rsidR="003B636C" w:rsidTr="00B05454" w14:paraId="226DE090" w14:textId="77777777">
        <w:tc>
          <w:tcPr>
            <w:tcW w:w="2235" w:type="dxa"/>
          </w:tcPr>
          <w:p w:rsidRPr="00B114D4" w:rsidR="003B636C" w:rsidP="00B05454" w:rsidRDefault="003B636C" w14:paraId="03398B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Relator </w:t>
            </w:r>
          </w:p>
        </w:tc>
        <w:tc>
          <w:tcPr>
            <w:tcW w:w="6838" w:type="dxa"/>
          </w:tcPr>
          <w:p w:rsidRPr="00B114D4" w:rsidR="003B636C" w:rsidP="00B05454" w:rsidRDefault="003B636C" w14:paraId="51A783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Pierre Jean Coulon (FR – Grupo dos Trabalhadores)</w:t>
            </w:r>
          </w:p>
        </w:tc>
      </w:tr>
      <w:tr w:rsidRPr="00B114D4" w:rsidR="003B636C" w:rsidTr="00B05454" w14:paraId="54439CC0" w14:textId="77777777">
        <w:tc>
          <w:tcPr>
            <w:tcW w:w="9073" w:type="dxa"/>
            <w:gridSpan w:val="2"/>
          </w:tcPr>
          <w:p w:rsidRPr="00B114D4" w:rsidR="003B636C" w:rsidP="00B05454" w:rsidRDefault="003B636C" w14:paraId="6C4CAA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B114D4" w:rsidR="003B636C" w:rsidTr="00B05454" w14:paraId="5C84AA61" w14:textId="77777777">
        <w:tc>
          <w:tcPr>
            <w:tcW w:w="2235" w:type="dxa"/>
          </w:tcPr>
          <w:p w:rsidRPr="00B114D4" w:rsidR="003B636C" w:rsidP="00B05454" w:rsidRDefault="003B636C" w14:paraId="40E1621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6838" w:type="dxa"/>
          </w:tcPr>
          <w:p w:rsidRPr="00B114D4" w:rsidR="003B636C" w:rsidP="00B05454" w:rsidRDefault="003B636C" w14:paraId="217C0AB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COM(2023) 702 final </w:t>
            </w:r>
          </w:p>
          <w:p w:rsidRPr="00B114D4" w:rsidR="003B636C" w:rsidP="00B05454" w:rsidRDefault="003B636C" w14:paraId="2EB478A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EESC-2023-03105-00-00-AC</w:t>
            </w:r>
          </w:p>
        </w:tc>
      </w:tr>
    </w:tbl>
    <w:p w:rsidRPr="00B114D4" w:rsidR="003B636C" w:rsidP="003B636C" w:rsidRDefault="003B636C" w14:paraId="688928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114D4" w:rsidR="003B636C" w:rsidP="003B636C" w:rsidRDefault="003B636C" w14:paraId="70EA3BB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B114D4" w:rsidR="003B636C" w:rsidP="003B636C" w:rsidRDefault="003B636C" w14:paraId="6502485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114D4" w:rsidR="003B636C" w:rsidP="003B636C" w:rsidRDefault="003B636C" w14:paraId="239D9EC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B114D4" w:rsidR="003B636C" w:rsidP="003B636C" w:rsidRDefault="003B636C" w14:paraId="70E1E19B" w14:textId="77777777">
      <w:pPr>
        <w:contextualSpacing/>
        <w:rPr>
          <w:rFonts w:ascii="Calibri" w:hAnsi="Calibri"/>
          <w:b/>
          <w:bCs/>
          <w:sz w:val="28"/>
          <w:szCs w:val="28"/>
          <w:lang w:eastAsia="zh-CN"/>
        </w:rPr>
      </w:pPr>
    </w:p>
    <w:p w:rsidRPr="00B114D4" w:rsidR="003B636C" w:rsidP="00CC4510" w:rsidRDefault="003B636C" w14:paraId="2498EDEC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Theme="minorHAnsi"/>
        </w:rPr>
      </w:pPr>
      <w:r>
        <w:t>afirma a necessidade de intermodalidade em todos os transportes de mercadorias, tendo sempre em conta a obrigação de coordenar e otimizar cada modo de transporte a nível europeu;</w:t>
      </w:r>
    </w:p>
    <w:p w:rsidRPr="00B114D4" w:rsidR="003B636C" w:rsidP="00CC4510" w:rsidRDefault="003B636C" w14:paraId="17358799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Theme="minorHAnsi"/>
        </w:rPr>
      </w:pPr>
      <w:r>
        <w:t xml:space="preserve"> entende que a criação de um sistema de transporte intermodal pressupõe que os cidadãos sejam informados das oportunidades interessantes que o mesmo oferece: uma vez que o sistema é concebido para servir os cidadãos, estes devem influenciar as decisões sobre os projetos e as políticas de transportes;</w:t>
      </w:r>
    </w:p>
    <w:p w:rsidRPr="00B114D4" w:rsidR="003B636C" w:rsidP="00CC4510" w:rsidRDefault="003B636C" w14:paraId="398CB69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Theme="minorHAnsi"/>
        </w:rPr>
      </w:pPr>
      <w:r>
        <w:t>salienta que o êxito desta política depende do cumprimento rigoroso das regras sociais e de uma política de formação específica e sistemática para o pessoal e os gestores das empresas;</w:t>
      </w:r>
      <w:bookmarkStart w:name="x__Hlk157163546" w:id="34"/>
      <w:bookmarkEnd w:id="34"/>
    </w:p>
    <w:p w:rsidRPr="00B114D4" w:rsidR="003B636C" w:rsidP="00CC4510" w:rsidRDefault="003B636C" w14:paraId="40F2D32D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Theme="minorHAnsi"/>
        </w:rPr>
      </w:pPr>
      <w:r>
        <w:t>solicita que a aplicação desta nova medida respeite os períodos de repouso e de pausa dos motoristas de veículos pesados. A rentabilidade económica não deve prejudicar a segurança rodoviária nem as condições de trabalho dos condutores na UE.</w:t>
      </w:r>
    </w:p>
    <w:p w:rsidRPr="00B114D4" w:rsidR="003B636C" w:rsidP="00CC4510" w:rsidRDefault="003B636C" w14:paraId="3E9C3226" w14:textId="77777777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</w:p>
    <w:tbl>
      <w:tblPr>
        <w:tblStyle w:val="TableGrid2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114D4" w:rsidR="003B636C" w:rsidTr="00B05454" w14:paraId="37497442" w14:textId="77777777">
        <w:tc>
          <w:tcPr>
            <w:tcW w:w="1418" w:type="dxa"/>
          </w:tcPr>
          <w:p w:rsidRPr="00B114D4" w:rsidR="003B636C" w:rsidP="00B05454" w:rsidRDefault="003B636C" w14:paraId="093CBC9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670" w:type="dxa"/>
          </w:tcPr>
          <w:p w:rsidRPr="00B114D4" w:rsidR="003B636C" w:rsidP="00B05454" w:rsidRDefault="003B636C" w14:paraId="7A1CA095" w14:textId="2288276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i/>
              </w:rPr>
            </w:pPr>
            <w:r>
              <w:rPr>
                <w:i/>
              </w:rPr>
              <w:t>Aleksandra Sarman Grilc</w:t>
            </w:r>
          </w:p>
        </w:tc>
      </w:tr>
      <w:tr w:rsidRPr="00B114D4" w:rsidR="003B636C" w:rsidTr="00B05454" w14:paraId="04CE6CD8" w14:textId="77777777">
        <w:tc>
          <w:tcPr>
            <w:tcW w:w="1418" w:type="dxa"/>
          </w:tcPr>
          <w:p w:rsidRPr="00B114D4" w:rsidR="003B636C" w:rsidP="00B05454" w:rsidRDefault="003B636C" w14:paraId="17FDD2D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B114D4" w:rsidR="003B636C" w:rsidP="00B05454" w:rsidRDefault="003B636C" w14:paraId="7F8DFA7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+32 2 546 83 33</w:t>
            </w:r>
          </w:p>
        </w:tc>
      </w:tr>
      <w:tr w:rsidRPr="00B114D4" w:rsidR="003B636C" w:rsidTr="00B05454" w14:paraId="70ABA418" w14:textId="77777777">
        <w:tc>
          <w:tcPr>
            <w:tcW w:w="1418" w:type="dxa"/>
          </w:tcPr>
          <w:p w:rsidRPr="00B114D4" w:rsidR="003B636C" w:rsidP="00B05454" w:rsidRDefault="003B636C" w14:paraId="7E32443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670" w:type="dxa"/>
          </w:tcPr>
          <w:p w:rsidRPr="00B114D4" w:rsidR="003B636C" w:rsidP="00B05454" w:rsidRDefault="00760300" w14:paraId="696F5F6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44">
              <w:r w:rsidR="000B09AA">
                <w:rPr>
                  <w:i/>
                  <w:color w:val="0000FF"/>
                  <w:u w:val="single"/>
                </w:rPr>
                <w:t>Aleksandra.SarmanGrilc@eesc.europa.eu</w:t>
              </w:r>
            </w:hyperlink>
            <w:r w:rsidR="000B09AA">
              <w:rPr>
                <w:i/>
              </w:rPr>
              <w:t xml:space="preserve"> </w:t>
            </w:r>
          </w:p>
        </w:tc>
      </w:tr>
    </w:tbl>
    <w:p w:rsidRPr="00B114D4" w:rsidR="003B636C" w:rsidP="003B636C" w:rsidRDefault="003B636C" w14:paraId="03C316F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nl-BE"/>
        </w:rPr>
      </w:pPr>
    </w:p>
    <w:p w:rsidR="003B636C" w:rsidRDefault="003B636C" w14:paraId="00774D54" w14:textId="10CE84BC">
      <w:pPr>
        <w:spacing w:after="160" w:line="259" w:lineRule="auto"/>
        <w:jc w:val="left"/>
      </w:pPr>
      <w:r>
        <w:br w:type="page"/>
      </w:r>
    </w:p>
    <w:p w:rsidR="003B636C" w:rsidP="005B4680" w:rsidRDefault="009C785E" w14:paraId="2BEB799C" w14:textId="1D1D6CC2">
      <w:pPr>
        <w:pStyle w:val="Heading1"/>
        <w:ind w:hanging="928"/>
        <w:rPr>
          <w:b/>
          <w:bCs/>
        </w:rPr>
      </w:pPr>
      <w:bookmarkStart w:name="_Toc159831784" w:id="35"/>
      <w:r>
        <w:rPr>
          <w:b/>
        </w:rPr>
        <w:lastRenderedPageBreak/>
        <w:t>COMISSÃO CONSULTIVA DAS MUTAÇÕES INDUSTRIAIS</w:t>
      </w:r>
      <w:bookmarkEnd w:id="35"/>
    </w:p>
    <w:p w:rsidR="003B3E18" w:rsidP="003B3E18" w:rsidRDefault="003B3E18" w14:paraId="0CE20361" w14:textId="55A85CDB"/>
    <w:p w:rsidRPr="000F732E" w:rsidR="000F732E" w:rsidP="00CC4510" w:rsidRDefault="00760300" w14:paraId="67A73674" w14:textId="390FB8C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60" w:line="259" w:lineRule="auto"/>
        <w:ind w:left="709" w:hanging="709"/>
        <w:contextualSpacing/>
        <w:jc w:val="left"/>
        <w:textAlignment w:val="baseline"/>
        <w:rPr>
          <w:rFonts w:eastAsiaTheme="minorHAnsi"/>
          <w:sz w:val="28"/>
          <w:szCs w:val="28"/>
        </w:rPr>
      </w:pPr>
      <w:hyperlink w:history="1" r:id="rId45">
        <w:r w:rsidR="000B09AA">
          <w:rPr>
            <w:b/>
            <w:i/>
            <w:color w:val="0000FF"/>
            <w:sz w:val="28"/>
            <w:u w:val="single"/>
          </w:rPr>
          <w:t>Rumo a uma estratégia global para a indústria da madeira na UE</w:t>
        </w:r>
      </w:hyperlink>
    </w:p>
    <w:p w:rsidRPr="000F732E" w:rsidR="000F732E" w:rsidP="000F732E" w:rsidRDefault="000F732E" w14:paraId="14E0FEEC" w14:textId="77777777">
      <w:pPr>
        <w:tabs>
          <w:tab w:val="center" w:pos="284"/>
        </w:tabs>
        <w:spacing w:after="160" w:line="259" w:lineRule="auto"/>
        <w:ind w:left="266" w:hanging="266"/>
        <w:jc w:val="left"/>
        <w:rPr>
          <w:rFonts w:eastAsiaTheme="minorHAnsi"/>
          <w:b/>
          <w:lang w:val="fr-FR"/>
        </w:rPr>
      </w:pPr>
    </w:p>
    <w:tbl>
      <w:tblPr>
        <w:tblStyle w:val="TableGrid20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57"/>
        <w:gridCol w:w="7530"/>
      </w:tblGrid>
      <w:tr w:rsidRPr="000F732E" w:rsidR="000F732E" w:rsidTr="00B05454" w14:paraId="2C390288" w14:textId="77777777">
        <w:tc>
          <w:tcPr>
            <w:tcW w:w="946" w:type="pct"/>
          </w:tcPr>
          <w:p w:rsidRPr="000F732E" w:rsidR="000F732E" w:rsidP="00CC4510" w:rsidRDefault="000F732E" w14:paraId="16A0641A" w14:textId="77777777">
            <w:pPr>
              <w:tabs>
                <w:tab w:val="center" w:pos="284"/>
              </w:tabs>
              <w:spacing w:line="240" w:lineRule="auto"/>
              <w:ind w:left="266" w:hanging="376"/>
              <w:jc w:val="left"/>
              <w:rPr>
                <w:b/>
              </w:rPr>
            </w:pPr>
            <w:r>
              <w:rPr>
                <w:b/>
              </w:rPr>
              <w:t>Relator</w:t>
            </w:r>
          </w:p>
          <w:p w:rsidRPr="000F732E" w:rsidR="000F732E" w:rsidP="00CC4510" w:rsidRDefault="000F732E" w14:paraId="222CEE0C" w14:textId="77777777">
            <w:pPr>
              <w:tabs>
                <w:tab w:val="center" w:pos="284"/>
              </w:tabs>
              <w:spacing w:line="240" w:lineRule="auto"/>
              <w:ind w:left="266" w:hanging="376"/>
              <w:jc w:val="left"/>
              <w:rPr>
                <w:b/>
              </w:rPr>
            </w:pPr>
          </w:p>
        </w:tc>
        <w:tc>
          <w:tcPr>
            <w:tcW w:w="4054" w:type="pct"/>
          </w:tcPr>
          <w:p w:rsidRPr="00CC4510" w:rsidR="000F732E" w:rsidP="00CC4510" w:rsidRDefault="000F732E" w14:paraId="30B50978" w14:textId="2B2F6815">
            <w:pPr>
              <w:tabs>
                <w:tab w:val="center" w:pos="284"/>
              </w:tabs>
              <w:spacing w:line="240" w:lineRule="auto"/>
              <w:ind w:left="266" w:hanging="376"/>
              <w:jc w:val="left"/>
              <w:rPr>
                <w:bCs/>
              </w:rPr>
            </w:pPr>
            <w:r>
              <w:t>Anastasis Yiapanis (CY – Grupo das Organizações da Sociedade Civil)</w:t>
            </w:r>
          </w:p>
        </w:tc>
      </w:tr>
      <w:tr w:rsidRPr="000F732E" w:rsidR="000F732E" w:rsidTr="00B05454" w14:paraId="5F892D9C" w14:textId="77777777">
        <w:tc>
          <w:tcPr>
            <w:tcW w:w="946" w:type="pct"/>
          </w:tcPr>
          <w:p w:rsidRPr="000F732E" w:rsidR="000F732E" w:rsidP="00CC4510" w:rsidRDefault="000F732E" w14:paraId="2222EF41" w14:textId="77777777">
            <w:pPr>
              <w:tabs>
                <w:tab w:val="center" w:pos="284"/>
              </w:tabs>
              <w:spacing w:line="240" w:lineRule="auto"/>
              <w:ind w:left="266" w:hanging="376"/>
              <w:jc w:val="left"/>
              <w:rPr>
                <w:b/>
              </w:rPr>
            </w:pPr>
            <w:r>
              <w:rPr>
                <w:b/>
              </w:rPr>
              <w:t>Correlator</w:t>
            </w:r>
          </w:p>
          <w:p w:rsidRPr="000F732E" w:rsidR="000F732E" w:rsidP="00CC4510" w:rsidRDefault="000F732E" w14:paraId="31414DE8" w14:textId="77777777">
            <w:pPr>
              <w:tabs>
                <w:tab w:val="center" w:pos="284"/>
              </w:tabs>
              <w:spacing w:line="240" w:lineRule="auto"/>
              <w:ind w:left="266" w:hanging="376"/>
              <w:jc w:val="left"/>
              <w:rPr>
                <w:b/>
              </w:rPr>
            </w:pPr>
          </w:p>
        </w:tc>
        <w:tc>
          <w:tcPr>
            <w:tcW w:w="4054" w:type="pct"/>
          </w:tcPr>
          <w:p w:rsidRPr="001E04B8" w:rsidR="000F732E" w:rsidP="00CC4510" w:rsidRDefault="000F732E" w14:paraId="31568716" w14:textId="3337EFC8">
            <w:pPr>
              <w:tabs>
                <w:tab w:val="center" w:pos="284"/>
              </w:tabs>
              <w:spacing w:line="240" w:lineRule="auto"/>
              <w:ind w:left="266" w:hanging="376"/>
              <w:jc w:val="left"/>
            </w:pPr>
            <w:r>
              <w:t>Rolf Gehring (DE – Cat. 2)</w:t>
            </w:r>
          </w:p>
        </w:tc>
      </w:tr>
      <w:tr w:rsidRPr="000F732E" w:rsidR="000F732E" w:rsidTr="00B05454" w14:paraId="0FBF1F0B" w14:textId="77777777">
        <w:tc>
          <w:tcPr>
            <w:tcW w:w="946" w:type="pct"/>
          </w:tcPr>
          <w:p w:rsidRPr="000F732E" w:rsidR="000F732E" w:rsidP="00CC4510" w:rsidRDefault="000F732E" w14:paraId="2CA7929D" w14:textId="77777777">
            <w:pPr>
              <w:tabs>
                <w:tab w:val="center" w:pos="284"/>
              </w:tabs>
              <w:spacing w:line="240" w:lineRule="auto"/>
              <w:ind w:left="266" w:hanging="376"/>
              <w:jc w:val="left"/>
            </w:pPr>
            <w:r>
              <w:rPr>
                <w:b/>
              </w:rPr>
              <w:t>Referência</w:t>
            </w:r>
          </w:p>
        </w:tc>
        <w:tc>
          <w:tcPr>
            <w:tcW w:w="4054" w:type="pct"/>
          </w:tcPr>
          <w:p w:rsidR="00C41D73" w:rsidP="001E04B8" w:rsidRDefault="00C41D73" w14:paraId="320586E0" w14:textId="24B220EB">
            <w:pPr>
              <w:tabs>
                <w:tab w:val="center" w:pos="284"/>
              </w:tabs>
              <w:spacing w:line="240" w:lineRule="auto"/>
              <w:ind w:left="266" w:hanging="376"/>
              <w:jc w:val="left"/>
            </w:pPr>
            <w:r>
              <w:t>Parecer de iniciativa</w:t>
            </w:r>
          </w:p>
          <w:p w:rsidRPr="000F732E" w:rsidR="000F732E" w:rsidP="00CC4510" w:rsidRDefault="000F732E" w14:paraId="33B05BD1" w14:textId="754D5011">
            <w:pPr>
              <w:tabs>
                <w:tab w:val="center" w:pos="284"/>
              </w:tabs>
              <w:spacing w:line="240" w:lineRule="auto"/>
              <w:ind w:left="266" w:hanging="376"/>
              <w:jc w:val="left"/>
            </w:pPr>
            <w:r>
              <w:t>EESC-2023-03538-00-00-AC</w:t>
            </w:r>
          </w:p>
        </w:tc>
      </w:tr>
    </w:tbl>
    <w:p w:rsidRPr="000F732E" w:rsidR="000F732E" w:rsidP="000F732E" w:rsidRDefault="000F732E" w14:paraId="3216B2BA" w14:textId="77777777">
      <w:pPr>
        <w:keepNext/>
        <w:keepLines/>
        <w:tabs>
          <w:tab w:val="center" w:pos="284"/>
        </w:tabs>
        <w:spacing w:after="160" w:line="259" w:lineRule="auto"/>
        <w:ind w:left="266" w:hanging="266"/>
        <w:jc w:val="left"/>
        <w:rPr>
          <w:rFonts w:eastAsiaTheme="minorHAnsi"/>
          <w:b/>
          <w:lang w:val="fr-FR"/>
        </w:rPr>
      </w:pPr>
    </w:p>
    <w:p w:rsidR="000F732E" w:rsidP="00CC4510" w:rsidRDefault="000F732E" w14:paraId="2BD35938" w14:textId="46AE9C8D">
      <w:pPr>
        <w:keepNext/>
        <w:keepLines/>
        <w:tabs>
          <w:tab w:val="center" w:pos="284"/>
        </w:tabs>
        <w:spacing w:after="160" w:line="360" w:lineRule="auto"/>
        <w:ind w:left="266" w:hanging="266"/>
        <w:jc w:val="left"/>
        <w:rPr>
          <w:rFonts w:eastAsiaTheme="minorHAnsi"/>
          <w:b/>
        </w:rPr>
      </w:pPr>
      <w:r>
        <w:rPr>
          <w:b/>
        </w:rPr>
        <w:t>Pontos principais</w:t>
      </w:r>
    </w:p>
    <w:p w:rsidR="000F732E" w:rsidP="00CC4510" w:rsidRDefault="000F732E" w14:paraId="66129667" w14:textId="184E3AF9">
      <w:pPr>
        <w:spacing w:after="160" w:line="360" w:lineRule="auto"/>
        <w:jc w:val="left"/>
        <w:rPr>
          <w:rFonts w:eastAsiaTheme="minorHAnsi"/>
        </w:rPr>
      </w:pPr>
      <w:r>
        <w:t>O Comité Económico e Social Europeu:</w:t>
      </w:r>
    </w:p>
    <w:p w:rsidRPr="000F732E" w:rsidR="000F732E" w:rsidP="00CC4510" w:rsidRDefault="000F732E" w14:paraId="7220DE2F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insta a UE e os poderes públicos nacionais a </w:t>
      </w:r>
      <w:r>
        <w:rPr>
          <w:b/>
        </w:rPr>
        <w:t>darem prioridade à competitividade internacional da indústria europeia da madeira, garantindo o acesso ao mercado</w:t>
      </w:r>
      <w:r>
        <w:t xml:space="preserve"> e abordando os desafios em matéria de custos e as </w:t>
      </w:r>
      <w:r>
        <w:rPr>
          <w:b/>
        </w:rPr>
        <w:t>práticas comerciais desleais</w:t>
      </w:r>
      <w:r>
        <w:t>, mas também assegurando, ao mesmo tempo, condições de concorrência equitativas no mercado;</w:t>
      </w:r>
    </w:p>
    <w:p w:rsidRPr="000F732E" w:rsidR="000F732E" w:rsidP="00CC4510" w:rsidRDefault="000F732E" w14:paraId="71F89912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insta todas as instituições da UE a reconhecerem devidamente o contributo dos materiais renováveis para a sustentabilidade, a economia circular e a neutralidade climática, </w:t>
      </w:r>
      <w:r>
        <w:rPr>
          <w:b/>
        </w:rPr>
        <w:t>reconhecendo simultaneamente a madeira como um recurso circular e uma matéria-prima preciosos</w:t>
      </w:r>
      <w:r>
        <w:t>;</w:t>
      </w:r>
    </w:p>
    <w:p w:rsidRPr="000F732E" w:rsidR="000F732E" w:rsidP="00CC4510" w:rsidRDefault="000F732E" w14:paraId="69154C3C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sublinha a necessidade de estabelecer normas mínimas para as emissões de carbono ao longo do ciclo de vida na construção e de tornar obrigatória a </w:t>
      </w:r>
      <w:r>
        <w:rPr>
          <w:b/>
        </w:rPr>
        <w:t>notificação das emissões de carbono</w:t>
      </w:r>
      <w:r>
        <w:t xml:space="preserve"> na indústria;</w:t>
      </w:r>
    </w:p>
    <w:p w:rsidRPr="000F732E" w:rsidR="000F732E" w:rsidP="00CC4510" w:rsidRDefault="000F732E" w14:paraId="711A8E02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apela para medidas mais firmes e proativas para </w:t>
      </w:r>
      <w:r>
        <w:rPr>
          <w:b/>
        </w:rPr>
        <w:t>combater a exploração madeireira ilegal, a desflorestação e o comércio ilegal de madeira</w:t>
      </w:r>
      <w:r>
        <w:t>;</w:t>
      </w:r>
    </w:p>
    <w:p w:rsidRPr="000F732E" w:rsidR="000F732E" w:rsidP="00CC4510" w:rsidRDefault="000F732E" w14:paraId="22C6D85E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solicita a elaboração de uma </w:t>
      </w:r>
      <w:r>
        <w:rPr>
          <w:b/>
        </w:rPr>
        <w:t>estratégia da UE para atrair e reter talentos mais jovens</w:t>
      </w:r>
      <w:r>
        <w:t xml:space="preserve"> e mulheres no setor e </w:t>
      </w:r>
      <w:r>
        <w:rPr>
          <w:b/>
        </w:rPr>
        <w:t>garantir a disponibilidade de trabalhadores qualificados</w:t>
      </w:r>
      <w:r>
        <w:t>;</w:t>
      </w:r>
    </w:p>
    <w:p w:rsidRPr="000F732E" w:rsidR="000F732E" w:rsidP="00CC4510" w:rsidRDefault="000F732E" w14:paraId="41674885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salienta a importância de </w:t>
      </w:r>
      <w:r>
        <w:rPr>
          <w:b/>
        </w:rPr>
        <w:t>aplicar o Pilar Europeu dos Direitos Sociais</w:t>
      </w:r>
      <w:r>
        <w:t xml:space="preserve"> na indústria da madeira na UE;</w:t>
      </w:r>
    </w:p>
    <w:p w:rsidRPr="000F732E" w:rsidR="000F732E" w:rsidP="00CC4510" w:rsidRDefault="000F732E" w14:paraId="3255DCE6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  <w:b/>
          <w:bCs/>
        </w:rPr>
      </w:pPr>
      <w:r>
        <w:t xml:space="preserve">realça que é cada vez mais necessária uma gestão florestal eficaz, assim como uma melhor coordenação e melhor equipamento para os serviços europeus e nacionais de combate a incêndios, a fim de </w:t>
      </w:r>
      <w:r>
        <w:rPr>
          <w:b/>
        </w:rPr>
        <w:t>combater a tendência crescente para os grandes incêndios florestais</w:t>
      </w:r>
      <w:r>
        <w:t>;</w:t>
      </w:r>
    </w:p>
    <w:p w:rsidRPr="000F732E" w:rsidR="000F732E" w:rsidP="00CC4510" w:rsidRDefault="000F732E" w14:paraId="23084171" w14:textId="77777777">
      <w:pPr>
        <w:numPr>
          <w:ilvl w:val="0"/>
          <w:numId w:val="28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insta à </w:t>
      </w:r>
      <w:r>
        <w:rPr>
          <w:b/>
        </w:rPr>
        <w:t>aplicação coerente do Regulamento Conceção Ecológica de Produtos Sustentáveis</w:t>
      </w:r>
      <w:r>
        <w:t>, a fim de tornar os produtos sustentáveis a norma e assegurar uma concorrência leal com as importações. Além disso, cumpre convidar os parceiros sociais do setor da madeira na UE a participar no Fórum de Consulta sobre a Conceção Ecológica.</w:t>
      </w:r>
    </w:p>
    <w:p w:rsidRPr="000F732E" w:rsidR="000F732E" w:rsidP="000F732E" w:rsidRDefault="000F732E" w14:paraId="0EC35662" w14:textId="77777777">
      <w:pPr>
        <w:spacing w:after="160" w:line="259" w:lineRule="auto"/>
        <w:ind w:left="720"/>
        <w:contextualSpacing/>
        <w:jc w:val="left"/>
        <w:rPr>
          <w:rFonts w:eastAsiaTheme="minorHAnsi"/>
          <w:bCs/>
          <w:lang w:val="fr-FR"/>
        </w:rPr>
      </w:pPr>
    </w:p>
    <w:tbl>
      <w:tblPr>
        <w:tblStyle w:val="TableGrid20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43"/>
        <w:gridCol w:w="4088"/>
      </w:tblGrid>
      <w:tr w:rsidRPr="000F732E" w:rsidR="000F732E" w:rsidTr="00B05454" w14:paraId="47CF7F3B" w14:textId="77777777">
        <w:tc>
          <w:tcPr>
            <w:tcW w:w="1870" w:type="pct"/>
          </w:tcPr>
          <w:p w:rsidRPr="000F732E" w:rsidR="000F732E" w:rsidP="000F732E" w:rsidRDefault="000F732E" w14:paraId="76D5A844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130" w:type="pct"/>
            <w:tcBorders>
              <w:left w:val="nil"/>
            </w:tcBorders>
          </w:tcPr>
          <w:p w:rsidRPr="00CC4510" w:rsidR="000F732E" w:rsidP="000F732E" w:rsidRDefault="000F732E" w14:paraId="7DA54185" w14:textId="31EEC934">
            <w:pPr>
              <w:spacing w:line="240" w:lineRule="auto"/>
              <w:jc w:val="left"/>
              <w:rPr>
                <w:bCs/>
                <w:i/>
              </w:rPr>
            </w:pPr>
            <w:r>
              <w:rPr>
                <w:i/>
              </w:rPr>
              <w:t>Heli Niemelä-Farrer</w:t>
            </w:r>
          </w:p>
        </w:tc>
      </w:tr>
      <w:tr w:rsidRPr="000F732E" w:rsidR="000F732E" w:rsidTr="00B05454" w14:paraId="6E3CE5FB" w14:textId="77777777">
        <w:tc>
          <w:tcPr>
            <w:tcW w:w="1870" w:type="pct"/>
          </w:tcPr>
          <w:p w:rsidRPr="000F732E" w:rsidR="000F732E" w:rsidP="000F732E" w:rsidRDefault="000F732E" w14:paraId="7E50D445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3130" w:type="pct"/>
            <w:tcBorders>
              <w:left w:val="nil"/>
            </w:tcBorders>
          </w:tcPr>
          <w:p w:rsidRPr="000F732E" w:rsidR="000F732E" w:rsidP="000F732E" w:rsidRDefault="000F732E" w14:paraId="7DEC5319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>+32 2 282 24 64</w:t>
            </w:r>
          </w:p>
        </w:tc>
      </w:tr>
      <w:tr w:rsidRPr="000F732E" w:rsidR="000F732E" w:rsidTr="00B05454" w14:paraId="2C89CBFA" w14:textId="77777777">
        <w:tc>
          <w:tcPr>
            <w:tcW w:w="1870" w:type="pct"/>
          </w:tcPr>
          <w:p w:rsidRPr="000F732E" w:rsidR="000F732E" w:rsidP="000F732E" w:rsidRDefault="000F732E" w14:paraId="314FD0C9" w14:textId="77777777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130" w:type="pct"/>
            <w:tcBorders>
              <w:left w:val="nil"/>
            </w:tcBorders>
          </w:tcPr>
          <w:p w:rsidRPr="000F732E" w:rsidR="000F732E" w:rsidP="000F732E" w:rsidRDefault="00760300" w14:paraId="5E097992" w14:textId="77777777">
            <w:pPr>
              <w:spacing w:line="240" w:lineRule="auto"/>
              <w:jc w:val="left"/>
              <w:rPr>
                <w:i/>
              </w:rPr>
            </w:pPr>
            <w:hyperlink w:history="1" r:id="rId46">
              <w:r w:rsidR="000B09AA">
                <w:rPr>
                  <w:i/>
                  <w:color w:val="0000FF"/>
                  <w:u w:val="single"/>
                </w:rPr>
                <w:t>Heli.Niemela-Farrer@eesc.europa.eu</w:t>
              </w:r>
            </w:hyperlink>
          </w:p>
        </w:tc>
      </w:tr>
      <w:bookmarkEnd w:id="0"/>
      <w:bookmarkEnd w:id="33"/>
    </w:tbl>
    <w:p w:rsidR="003F6640" w:rsidP="006C7863" w:rsidRDefault="003F6640" w14:paraId="494EE16D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6C7863" w:rsidR="0092772D" w:rsidP="006C7863" w:rsidRDefault="00556EDF" w14:paraId="7379A588" w14:textId="62AAB0D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4417CD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C989" w14:textId="77777777" w:rsidR="00FE6F48" w:rsidRDefault="00FE6F48" w:rsidP="003B0516">
      <w:pPr>
        <w:spacing w:line="240" w:lineRule="auto"/>
      </w:pPr>
      <w:r>
        <w:separator/>
      </w:r>
    </w:p>
  </w:endnote>
  <w:endnote w:type="continuationSeparator" w:id="0">
    <w:p w14:paraId="53145E4A" w14:textId="77777777" w:rsidR="00FE6F48" w:rsidRDefault="00FE6F48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C2BF" w14:textId="77777777" w:rsidR="004417CD" w:rsidRPr="004417CD" w:rsidRDefault="004417CD" w:rsidP="00441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5E15D74B" w:rsidR="00765C4F" w:rsidRPr="004417CD" w:rsidRDefault="004417CD" w:rsidP="004417CD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36819">
      <w:t>1</w:t>
    </w:r>
    <w:r>
      <w:fldChar w:fldCharType="end"/>
    </w:r>
    <w:r>
      <w:t>/</w:t>
    </w:r>
    <w:fldSimple w:instr=" NUMPAGES ">
      <w:r w:rsidR="00D36819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A77" w14:textId="77777777" w:rsidR="004417CD" w:rsidRPr="004417CD" w:rsidRDefault="004417CD" w:rsidP="004417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4417CD" w:rsidRDefault="00E4258F" w:rsidP="004417C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E2BD989" w:rsidR="00E4258F" w:rsidRPr="004417CD" w:rsidRDefault="004417CD" w:rsidP="004417CD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14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4417CD" w:rsidRDefault="00E4258F" w:rsidP="0044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6067" w14:textId="77777777" w:rsidR="00FE6F48" w:rsidRDefault="00FE6F48" w:rsidP="003B0516">
      <w:pPr>
        <w:spacing w:line="240" w:lineRule="auto"/>
      </w:pPr>
      <w:r>
        <w:separator/>
      </w:r>
    </w:p>
  </w:footnote>
  <w:footnote w:type="continuationSeparator" w:id="0">
    <w:p w14:paraId="60476E3C" w14:textId="77777777" w:rsidR="00FE6F48" w:rsidRDefault="00FE6F48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8236" w14:textId="77777777" w:rsidR="004417CD" w:rsidRPr="004417CD" w:rsidRDefault="004417CD" w:rsidP="00441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3EE" w14:textId="25799B83" w:rsidR="004417CD" w:rsidRPr="004417CD" w:rsidRDefault="004417CD" w:rsidP="00441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AAA5" w14:textId="77777777" w:rsidR="004417CD" w:rsidRPr="004417CD" w:rsidRDefault="004417CD" w:rsidP="004417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4417CD" w:rsidRDefault="00E4258F" w:rsidP="004417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202CDA1C" w:rsidR="00E4258F" w:rsidRPr="004417CD" w:rsidRDefault="00E4258F" w:rsidP="004417C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4417CD" w:rsidRDefault="00E4258F" w:rsidP="00441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12A5128"/>
    <w:multiLevelType w:val="hybridMultilevel"/>
    <w:tmpl w:val="6A5CEA1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19E"/>
    <w:multiLevelType w:val="hybridMultilevel"/>
    <w:tmpl w:val="B9B8622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E0C"/>
    <w:multiLevelType w:val="hybridMultilevel"/>
    <w:tmpl w:val="9364F78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F268"/>
    <w:multiLevelType w:val="hybridMultilevel"/>
    <w:tmpl w:val="F5A8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2D32"/>
    <w:multiLevelType w:val="hybridMultilevel"/>
    <w:tmpl w:val="3EE66B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00B"/>
    <w:multiLevelType w:val="hybridMultilevel"/>
    <w:tmpl w:val="C152FF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5F51"/>
    <w:multiLevelType w:val="hybridMultilevel"/>
    <w:tmpl w:val="B1A0CBD0"/>
    <w:lvl w:ilvl="0" w:tplc="7EF2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D79"/>
    <w:multiLevelType w:val="hybridMultilevel"/>
    <w:tmpl w:val="C7B62F5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5C5E"/>
    <w:multiLevelType w:val="hybridMultilevel"/>
    <w:tmpl w:val="7848F85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F2241"/>
    <w:multiLevelType w:val="hybridMultilevel"/>
    <w:tmpl w:val="0DB4F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61250"/>
    <w:multiLevelType w:val="hybridMultilevel"/>
    <w:tmpl w:val="5F3E2F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CB83CA6"/>
    <w:multiLevelType w:val="hybridMultilevel"/>
    <w:tmpl w:val="E0580AF4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ED45CA"/>
    <w:multiLevelType w:val="hybridMultilevel"/>
    <w:tmpl w:val="3116801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4212"/>
    <w:multiLevelType w:val="hybridMultilevel"/>
    <w:tmpl w:val="A7FE6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3056"/>
    <w:multiLevelType w:val="hybridMultilevel"/>
    <w:tmpl w:val="22989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7B2A"/>
    <w:multiLevelType w:val="hybridMultilevel"/>
    <w:tmpl w:val="B2201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A3200"/>
    <w:multiLevelType w:val="hybridMultilevel"/>
    <w:tmpl w:val="BDB6A23E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4EF5"/>
    <w:multiLevelType w:val="hybridMultilevel"/>
    <w:tmpl w:val="B6825228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DB1CE6"/>
    <w:multiLevelType w:val="hybridMultilevel"/>
    <w:tmpl w:val="A37EC5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95314"/>
    <w:multiLevelType w:val="hybridMultilevel"/>
    <w:tmpl w:val="E182F32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0D57"/>
    <w:multiLevelType w:val="hybridMultilevel"/>
    <w:tmpl w:val="D396A28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DF1691"/>
    <w:multiLevelType w:val="hybridMultilevel"/>
    <w:tmpl w:val="F5A8B66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D1044A8"/>
    <w:multiLevelType w:val="hybridMultilevel"/>
    <w:tmpl w:val="5A00225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B7E"/>
    <w:multiLevelType w:val="hybridMultilevel"/>
    <w:tmpl w:val="BFB88AA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154DA"/>
    <w:multiLevelType w:val="hybridMultilevel"/>
    <w:tmpl w:val="05DE86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">
    <w:abstractNumId w:val="18"/>
  </w:num>
  <w:num w:numId="4">
    <w:abstractNumId w:val="13"/>
  </w:num>
  <w:num w:numId="5">
    <w:abstractNumId w:val="2"/>
  </w:num>
  <w:num w:numId="6">
    <w:abstractNumId w:val="17"/>
  </w:num>
  <w:num w:numId="7">
    <w:abstractNumId w:val="10"/>
  </w:num>
  <w:num w:numId="8">
    <w:abstractNumId w:val="21"/>
  </w:num>
  <w:num w:numId="9">
    <w:abstractNumId w:val="16"/>
  </w:num>
  <w:num w:numId="10">
    <w:abstractNumId w:val="19"/>
  </w:num>
  <w:num w:numId="11">
    <w:abstractNumId w:val="6"/>
  </w:num>
  <w:num w:numId="12">
    <w:abstractNumId w:val="5"/>
  </w:num>
  <w:num w:numId="13">
    <w:abstractNumId w:val="27"/>
  </w:num>
  <w:num w:numId="14">
    <w:abstractNumId w:val="24"/>
  </w:num>
  <w:num w:numId="15">
    <w:abstractNumId w:val="20"/>
  </w:num>
  <w:num w:numId="16">
    <w:abstractNumId w:val="8"/>
  </w:num>
  <w:num w:numId="17">
    <w:abstractNumId w:val="29"/>
  </w:num>
  <w:num w:numId="18">
    <w:abstractNumId w:val="23"/>
  </w:num>
  <w:num w:numId="19">
    <w:abstractNumId w:val="3"/>
  </w:num>
  <w:num w:numId="20">
    <w:abstractNumId w:val="1"/>
  </w:num>
  <w:num w:numId="21">
    <w:abstractNumId w:val="25"/>
  </w:num>
  <w:num w:numId="22">
    <w:abstractNumId w:val="9"/>
  </w:num>
  <w:num w:numId="23">
    <w:abstractNumId w:val="7"/>
  </w:num>
  <w:num w:numId="24">
    <w:abstractNumId w:val="26"/>
  </w:num>
  <w:num w:numId="25">
    <w:abstractNumId w:val="4"/>
  </w:num>
  <w:num w:numId="26">
    <w:abstractNumId w:val="22"/>
  </w:num>
  <w:num w:numId="27">
    <w:abstractNumId w:val="28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0">
    <w:abstractNumId w:val="11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6967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E18"/>
    <w:rsid w:val="00016015"/>
    <w:rsid w:val="00016A29"/>
    <w:rsid w:val="00016C21"/>
    <w:rsid w:val="00017B56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385"/>
    <w:rsid w:val="00041C4A"/>
    <w:rsid w:val="0004205F"/>
    <w:rsid w:val="000421E0"/>
    <w:rsid w:val="000429BA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2E1C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79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1B7"/>
    <w:rsid w:val="000A2953"/>
    <w:rsid w:val="000A3603"/>
    <w:rsid w:val="000A558D"/>
    <w:rsid w:val="000A74DC"/>
    <w:rsid w:val="000A7BA8"/>
    <w:rsid w:val="000A7EC1"/>
    <w:rsid w:val="000B01F7"/>
    <w:rsid w:val="000B09AA"/>
    <w:rsid w:val="000B0B9A"/>
    <w:rsid w:val="000B19C4"/>
    <w:rsid w:val="000B1AE6"/>
    <w:rsid w:val="000B1C30"/>
    <w:rsid w:val="000B1C78"/>
    <w:rsid w:val="000B25D7"/>
    <w:rsid w:val="000B37D6"/>
    <w:rsid w:val="000B3917"/>
    <w:rsid w:val="000B4C34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88"/>
    <w:rsid w:val="000D40D0"/>
    <w:rsid w:val="000D5A98"/>
    <w:rsid w:val="000D65AC"/>
    <w:rsid w:val="000D6BC4"/>
    <w:rsid w:val="000D6C7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EDB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0F732E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172"/>
    <w:rsid w:val="001106FB"/>
    <w:rsid w:val="00111187"/>
    <w:rsid w:val="00111BD8"/>
    <w:rsid w:val="00113B00"/>
    <w:rsid w:val="001140AE"/>
    <w:rsid w:val="00115BBC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CEB"/>
    <w:rsid w:val="00126D3E"/>
    <w:rsid w:val="00126D40"/>
    <w:rsid w:val="001271C3"/>
    <w:rsid w:val="00127C4E"/>
    <w:rsid w:val="0013052F"/>
    <w:rsid w:val="0013145E"/>
    <w:rsid w:val="00132B56"/>
    <w:rsid w:val="001332A2"/>
    <w:rsid w:val="00133C08"/>
    <w:rsid w:val="001348CC"/>
    <w:rsid w:val="00135610"/>
    <w:rsid w:val="00135769"/>
    <w:rsid w:val="00137BCC"/>
    <w:rsid w:val="001400C7"/>
    <w:rsid w:val="00142A44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2FA6"/>
    <w:rsid w:val="00153032"/>
    <w:rsid w:val="00153F0C"/>
    <w:rsid w:val="001543FE"/>
    <w:rsid w:val="001546A6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095E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246"/>
    <w:rsid w:val="001B643B"/>
    <w:rsid w:val="001B6460"/>
    <w:rsid w:val="001B79F5"/>
    <w:rsid w:val="001C087D"/>
    <w:rsid w:val="001C08F2"/>
    <w:rsid w:val="001C1786"/>
    <w:rsid w:val="001C226F"/>
    <w:rsid w:val="001C3412"/>
    <w:rsid w:val="001C3A5B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D1C"/>
    <w:rsid w:val="001D1F54"/>
    <w:rsid w:val="001D2636"/>
    <w:rsid w:val="001D277D"/>
    <w:rsid w:val="001D31CF"/>
    <w:rsid w:val="001D357A"/>
    <w:rsid w:val="001D3D0A"/>
    <w:rsid w:val="001D6EF9"/>
    <w:rsid w:val="001D6FFF"/>
    <w:rsid w:val="001D770D"/>
    <w:rsid w:val="001E04B8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1A4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0A0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267"/>
    <w:rsid w:val="00231571"/>
    <w:rsid w:val="00232374"/>
    <w:rsid w:val="002326F4"/>
    <w:rsid w:val="00232868"/>
    <w:rsid w:val="002328D2"/>
    <w:rsid w:val="0023415A"/>
    <w:rsid w:val="00234EA0"/>
    <w:rsid w:val="00235B94"/>
    <w:rsid w:val="00235E61"/>
    <w:rsid w:val="00237481"/>
    <w:rsid w:val="00240C09"/>
    <w:rsid w:val="00240D4D"/>
    <w:rsid w:val="002419CA"/>
    <w:rsid w:val="00241C29"/>
    <w:rsid w:val="00242666"/>
    <w:rsid w:val="002435FB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1ED7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54EF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432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4A3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73B"/>
    <w:rsid w:val="002C2B80"/>
    <w:rsid w:val="002C4B6E"/>
    <w:rsid w:val="002C52B8"/>
    <w:rsid w:val="002C5F52"/>
    <w:rsid w:val="002C704D"/>
    <w:rsid w:val="002C76E9"/>
    <w:rsid w:val="002D03B9"/>
    <w:rsid w:val="002D10D5"/>
    <w:rsid w:val="002D1175"/>
    <w:rsid w:val="002D31E3"/>
    <w:rsid w:val="002D3D63"/>
    <w:rsid w:val="002D3FFF"/>
    <w:rsid w:val="002D4382"/>
    <w:rsid w:val="002D4A78"/>
    <w:rsid w:val="002D4C38"/>
    <w:rsid w:val="002D4C63"/>
    <w:rsid w:val="002D4D5D"/>
    <w:rsid w:val="002D5A51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1909"/>
    <w:rsid w:val="002F31FD"/>
    <w:rsid w:val="002F32E6"/>
    <w:rsid w:val="002F4AF0"/>
    <w:rsid w:val="002F5750"/>
    <w:rsid w:val="002F57AC"/>
    <w:rsid w:val="002F5819"/>
    <w:rsid w:val="002F5EE1"/>
    <w:rsid w:val="002F63EB"/>
    <w:rsid w:val="002F665D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17D48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CD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4B6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50F7"/>
    <w:rsid w:val="00356BAD"/>
    <w:rsid w:val="00356CCD"/>
    <w:rsid w:val="003604AE"/>
    <w:rsid w:val="00360C81"/>
    <w:rsid w:val="00361E48"/>
    <w:rsid w:val="00361F46"/>
    <w:rsid w:val="00362EE5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878F2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97F8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3E18"/>
    <w:rsid w:val="003B48B7"/>
    <w:rsid w:val="003B6100"/>
    <w:rsid w:val="003B62FD"/>
    <w:rsid w:val="003B636C"/>
    <w:rsid w:val="003B6653"/>
    <w:rsid w:val="003B6760"/>
    <w:rsid w:val="003B6EB5"/>
    <w:rsid w:val="003C07C5"/>
    <w:rsid w:val="003C0D9C"/>
    <w:rsid w:val="003C0E5B"/>
    <w:rsid w:val="003C0FF2"/>
    <w:rsid w:val="003C179C"/>
    <w:rsid w:val="003C23DD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2FFB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640"/>
    <w:rsid w:val="003F6762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417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36853"/>
    <w:rsid w:val="004408E6"/>
    <w:rsid w:val="004412D5"/>
    <w:rsid w:val="004415E2"/>
    <w:rsid w:val="004417CD"/>
    <w:rsid w:val="00441A37"/>
    <w:rsid w:val="00441E1B"/>
    <w:rsid w:val="00441E45"/>
    <w:rsid w:val="004429E2"/>
    <w:rsid w:val="004437F6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16B8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8644C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5F13"/>
    <w:rsid w:val="004961BF"/>
    <w:rsid w:val="004971E8"/>
    <w:rsid w:val="0049781C"/>
    <w:rsid w:val="004A3CBD"/>
    <w:rsid w:val="004A46D9"/>
    <w:rsid w:val="004A5CD7"/>
    <w:rsid w:val="004A6166"/>
    <w:rsid w:val="004A654F"/>
    <w:rsid w:val="004A66EE"/>
    <w:rsid w:val="004A688A"/>
    <w:rsid w:val="004A6B7F"/>
    <w:rsid w:val="004B2250"/>
    <w:rsid w:val="004B32D3"/>
    <w:rsid w:val="004B344F"/>
    <w:rsid w:val="004B4150"/>
    <w:rsid w:val="004B4B28"/>
    <w:rsid w:val="004B5B45"/>
    <w:rsid w:val="004B7248"/>
    <w:rsid w:val="004B72DD"/>
    <w:rsid w:val="004C0C1D"/>
    <w:rsid w:val="004C1D59"/>
    <w:rsid w:val="004C1E12"/>
    <w:rsid w:val="004C1EDE"/>
    <w:rsid w:val="004C2872"/>
    <w:rsid w:val="004C3902"/>
    <w:rsid w:val="004C40E4"/>
    <w:rsid w:val="004C4101"/>
    <w:rsid w:val="004C41FD"/>
    <w:rsid w:val="004C583B"/>
    <w:rsid w:val="004C6FAA"/>
    <w:rsid w:val="004C76BE"/>
    <w:rsid w:val="004C7B29"/>
    <w:rsid w:val="004D0366"/>
    <w:rsid w:val="004D0940"/>
    <w:rsid w:val="004D09EB"/>
    <w:rsid w:val="004D1910"/>
    <w:rsid w:val="004D1AE7"/>
    <w:rsid w:val="004D2E64"/>
    <w:rsid w:val="004D3247"/>
    <w:rsid w:val="004D3E27"/>
    <w:rsid w:val="004D45DE"/>
    <w:rsid w:val="004D495A"/>
    <w:rsid w:val="004D4CB3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097"/>
    <w:rsid w:val="00507FBD"/>
    <w:rsid w:val="00510903"/>
    <w:rsid w:val="00510F71"/>
    <w:rsid w:val="0051254E"/>
    <w:rsid w:val="005127F5"/>
    <w:rsid w:val="00512A34"/>
    <w:rsid w:val="005139C5"/>
    <w:rsid w:val="0051658B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397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83C"/>
    <w:rsid w:val="00555A39"/>
    <w:rsid w:val="00555C58"/>
    <w:rsid w:val="005563A9"/>
    <w:rsid w:val="00556EDF"/>
    <w:rsid w:val="005573FE"/>
    <w:rsid w:val="0055767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638B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5154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54A8"/>
    <w:rsid w:val="005A67F3"/>
    <w:rsid w:val="005A6946"/>
    <w:rsid w:val="005A755F"/>
    <w:rsid w:val="005A7D66"/>
    <w:rsid w:val="005B0E27"/>
    <w:rsid w:val="005B3012"/>
    <w:rsid w:val="005B36C8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E3D"/>
    <w:rsid w:val="005D326D"/>
    <w:rsid w:val="005D3431"/>
    <w:rsid w:val="005D3628"/>
    <w:rsid w:val="005D55F5"/>
    <w:rsid w:val="005D610D"/>
    <w:rsid w:val="005D621C"/>
    <w:rsid w:val="005D6E4D"/>
    <w:rsid w:val="005D76AC"/>
    <w:rsid w:val="005D7939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4DC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07F31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1F1"/>
    <w:rsid w:val="00622822"/>
    <w:rsid w:val="00623469"/>
    <w:rsid w:val="00624785"/>
    <w:rsid w:val="00624CAC"/>
    <w:rsid w:val="00625885"/>
    <w:rsid w:val="006262F2"/>
    <w:rsid w:val="006263FF"/>
    <w:rsid w:val="00626B92"/>
    <w:rsid w:val="006270FF"/>
    <w:rsid w:val="00627B8F"/>
    <w:rsid w:val="00627D71"/>
    <w:rsid w:val="00630047"/>
    <w:rsid w:val="0063079B"/>
    <w:rsid w:val="00630928"/>
    <w:rsid w:val="00631509"/>
    <w:rsid w:val="00631A84"/>
    <w:rsid w:val="00632139"/>
    <w:rsid w:val="0063245C"/>
    <w:rsid w:val="006324DA"/>
    <w:rsid w:val="006334BE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57A0A"/>
    <w:rsid w:val="006604D8"/>
    <w:rsid w:val="00661542"/>
    <w:rsid w:val="00662436"/>
    <w:rsid w:val="00662475"/>
    <w:rsid w:val="00662D95"/>
    <w:rsid w:val="0066408C"/>
    <w:rsid w:val="006669FA"/>
    <w:rsid w:val="00666A72"/>
    <w:rsid w:val="00667261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0336"/>
    <w:rsid w:val="0068132C"/>
    <w:rsid w:val="00681B23"/>
    <w:rsid w:val="0068241A"/>
    <w:rsid w:val="00682943"/>
    <w:rsid w:val="00682B1D"/>
    <w:rsid w:val="00682BBF"/>
    <w:rsid w:val="00683F53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406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1A4D"/>
    <w:rsid w:val="006B265F"/>
    <w:rsid w:val="006B2795"/>
    <w:rsid w:val="006B318C"/>
    <w:rsid w:val="006B3316"/>
    <w:rsid w:val="006B3644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6A1E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22C8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AC9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08B"/>
    <w:rsid w:val="00724702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081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1F36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A6B"/>
    <w:rsid w:val="00772F61"/>
    <w:rsid w:val="00775FC4"/>
    <w:rsid w:val="00775FDA"/>
    <w:rsid w:val="007764A8"/>
    <w:rsid w:val="00776BD0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6E66"/>
    <w:rsid w:val="007B081C"/>
    <w:rsid w:val="007B20AF"/>
    <w:rsid w:val="007B21C5"/>
    <w:rsid w:val="007B231B"/>
    <w:rsid w:val="007B4C34"/>
    <w:rsid w:val="007B4C38"/>
    <w:rsid w:val="007B4EBE"/>
    <w:rsid w:val="007B51DD"/>
    <w:rsid w:val="007B6259"/>
    <w:rsid w:val="007B6B96"/>
    <w:rsid w:val="007B6C34"/>
    <w:rsid w:val="007B76EB"/>
    <w:rsid w:val="007B7C40"/>
    <w:rsid w:val="007C0BDC"/>
    <w:rsid w:val="007C1057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020"/>
    <w:rsid w:val="007F2119"/>
    <w:rsid w:val="007F211C"/>
    <w:rsid w:val="007F292F"/>
    <w:rsid w:val="007F2C09"/>
    <w:rsid w:val="007F6026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B63"/>
    <w:rsid w:val="00822ED8"/>
    <w:rsid w:val="008230CE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3395"/>
    <w:rsid w:val="008944AD"/>
    <w:rsid w:val="008946BF"/>
    <w:rsid w:val="00894BA8"/>
    <w:rsid w:val="00895C48"/>
    <w:rsid w:val="008968EE"/>
    <w:rsid w:val="00896F71"/>
    <w:rsid w:val="008A0B15"/>
    <w:rsid w:val="008A0B2F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5CA"/>
    <w:rsid w:val="008B26C6"/>
    <w:rsid w:val="008B2708"/>
    <w:rsid w:val="008B4283"/>
    <w:rsid w:val="008B47C5"/>
    <w:rsid w:val="008B5320"/>
    <w:rsid w:val="008B5703"/>
    <w:rsid w:val="008B659D"/>
    <w:rsid w:val="008B66DD"/>
    <w:rsid w:val="008B7198"/>
    <w:rsid w:val="008B72DD"/>
    <w:rsid w:val="008C0662"/>
    <w:rsid w:val="008C18DE"/>
    <w:rsid w:val="008C3DBE"/>
    <w:rsid w:val="008C3E09"/>
    <w:rsid w:val="008C4B50"/>
    <w:rsid w:val="008C4FD1"/>
    <w:rsid w:val="008C5773"/>
    <w:rsid w:val="008C5DFD"/>
    <w:rsid w:val="008D089A"/>
    <w:rsid w:val="008D1E60"/>
    <w:rsid w:val="008D2131"/>
    <w:rsid w:val="008D315D"/>
    <w:rsid w:val="008D47D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CC"/>
    <w:rsid w:val="009173E7"/>
    <w:rsid w:val="009177FF"/>
    <w:rsid w:val="009200A8"/>
    <w:rsid w:val="009209AC"/>
    <w:rsid w:val="00921C81"/>
    <w:rsid w:val="0092273E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37F88"/>
    <w:rsid w:val="00940899"/>
    <w:rsid w:val="00940972"/>
    <w:rsid w:val="00942238"/>
    <w:rsid w:val="00942F41"/>
    <w:rsid w:val="00943A69"/>
    <w:rsid w:val="00944336"/>
    <w:rsid w:val="009444A2"/>
    <w:rsid w:val="00944A54"/>
    <w:rsid w:val="0094733C"/>
    <w:rsid w:val="009476EF"/>
    <w:rsid w:val="00947E08"/>
    <w:rsid w:val="009508AD"/>
    <w:rsid w:val="00950C4F"/>
    <w:rsid w:val="009530C5"/>
    <w:rsid w:val="009534AA"/>
    <w:rsid w:val="0095386D"/>
    <w:rsid w:val="0095396D"/>
    <w:rsid w:val="00957B83"/>
    <w:rsid w:val="00957CBF"/>
    <w:rsid w:val="0096099A"/>
    <w:rsid w:val="00960F6E"/>
    <w:rsid w:val="00961956"/>
    <w:rsid w:val="00961F3C"/>
    <w:rsid w:val="0096247E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5F5B"/>
    <w:rsid w:val="00986C7F"/>
    <w:rsid w:val="00987332"/>
    <w:rsid w:val="00987507"/>
    <w:rsid w:val="00987A9E"/>
    <w:rsid w:val="009916B2"/>
    <w:rsid w:val="00993514"/>
    <w:rsid w:val="009954A1"/>
    <w:rsid w:val="0099551B"/>
    <w:rsid w:val="009960A0"/>
    <w:rsid w:val="00996E9C"/>
    <w:rsid w:val="009A1B51"/>
    <w:rsid w:val="009A2DD6"/>
    <w:rsid w:val="009A3E0E"/>
    <w:rsid w:val="009A6D65"/>
    <w:rsid w:val="009A74B2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85E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D799E"/>
    <w:rsid w:val="009D7D40"/>
    <w:rsid w:val="009E03F3"/>
    <w:rsid w:val="009E2696"/>
    <w:rsid w:val="009E2B66"/>
    <w:rsid w:val="009E433D"/>
    <w:rsid w:val="009E4E92"/>
    <w:rsid w:val="009E57A4"/>
    <w:rsid w:val="009E6551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07736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597"/>
    <w:rsid w:val="00A3262A"/>
    <w:rsid w:val="00A3344B"/>
    <w:rsid w:val="00A33973"/>
    <w:rsid w:val="00A35436"/>
    <w:rsid w:val="00A35FF9"/>
    <w:rsid w:val="00A367AA"/>
    <w:rsid w:val="00A37880"/>
    <w:rsid w:val="00A400BF"/>
    <w:rsid w:val="00A40525"/>
    <w:rsid w:val="00A41417"/>
    <w:rsid w:val="00A41A3E"/>
    <w:rsid w:val="00A42C70"/>
    <w:rsid w:val="00A4378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0AE7"/>
    <w:rsid w:val="00A51F03"/>
    <w:rsid w:val="00A51F67"/>
    <w:rsid w:val="00A522D4"/>
    <w:rsid w:val="00A5367D"/>
    <w:rsid w:val="00A54E07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2D8B"/>
    <w:rsid w:val="00A73956"/>
    <w:rsid w:val="00A73BB9"/>
    <w:rsid w:val="00A73D4A"/>
    <w:rsid w:val="00A743EB"/>
    <w:rsid w:val="00A74B4C"/>
    <w:rsid w:val="00A7552F"/>
    <w:rsid w:val="00A76236"/>
    <w:rsid w:val="00A763E7"/>
    <w:rsid w:val="00A77796"/>
    <w:rsid w:val="00A81862"/>
    <w:rsid w:val="00A8187F"/>
    <w:rsid w:val="00A8243E"/>
    <w:rsid w:val="00A8271E"/>
    <w:rsid w:val="00A827D2"/>
    <w:rsid w:val="00A83351"/>
    <w:rsid w:val="00A838DE"/>
    <w:rsid w:val="00A847C3"/>
    <w:rsid w:val="00A855CF"/>
    <w:rsid w:val="00A86128"/>
    <w:rsid w:val="00A86D6A"/>
    <w:rsid w:val="00A86E2C"/>
    <w:rsid w:val="00A8766D"/>
    <w:rsid w:val="00A90F72"/>
    <w:rsid w:val="00A93DC3"/>
    <w:rsid w:val="00A9462E"/>
    <w:rsid w:val="00A946BB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258E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DB9"/>
    <w:rsid w:val="00AE4F16"/>
    <w:rsid w:val="00AE6038"/>
    <w:rsid w:val="00AE6861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4D4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6941"/>
    <w:rsid w:val="00B2754C"/>
    <w:rsid w:val="00B27E17"/>
    <w:rsid w:val="00B30118"/>
    <w:rsid w:val="00B3128F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378B6"/>
    <w:rsid w:val="00B40093"/>
    <w:rsid w:val="00B40158"/>
    <w:rsid w:val="00B408BC"/>
    <w:rsid w:val="00B417AB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44B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5EA6"/>
    <w:rsid w:val="00B66035"/>
    <w:rsid w:val="00B667ED"/>
    <w:rsid w:val="00B67C63"/>
    <w:rsid w:val="00B67EDA"/>
    <w:rsid w:val="00B7366B"/>
    <w:rsid w:val="00B73746"/>
    <w:rsid w:val="00B74EA5"/>
    <w:rsid w:val="00B7530C"/>
    <w:rsid w:val="00B76922"/>
    <w:rsid w:val="00B772EE"/>
    <w:rsid w:val="00B77513"/>
    <w:rsid w:val="00B77F1B"/>
    <w:rsid w:val="00B8063B"/>
    <w:rsid w:val="00B807B4"/>
    <w:rsid w:val="00B81D0F"/>
    <w:rsid w:val="00B823F6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5C39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057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2C1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05C6B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1E3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05D3"/>
    <w:rsid w:val="00C414F1"/>
    <w:rsid w:val="00C41D73"/>
    <w:rsid w:val="00C41F06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87"/>
    <w:rsid w:val="00C834A5"/>
    <w:rsid w:val="00C8431E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208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1EC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42B6"/>
    <w:rsid w:val="00CC4510"/>
    <w:rsid w:val="00CC521C"/>
    <w:rsid w:val="00CC7588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07AA"/>
    <w:rsid w:val="00CF1F97"/>
    <w:rsid w:val="00CF2B24"/>
    <w:rsid w:val="00CF2F88"/>
    <w:rsid w:val="00CF309F"/>
    <w:rsid w:val="00CF3B63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02C"/>
    <w:rsid w:val="00D02411"/>
    <w:rsid w:val="00D0461E"/>
    <w:rsid w:val="00D04678"/>
    <w:rsid w:val="00D0477D"/>
    <w:rsid w:val="00D04BC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699"/>
    <w:rsid w:val="00D35C97"/>
    <w:rsid w:val="00D36819"/>
    <w:rsid w:val="00D36CE6"/>
    <w:rsid w:val="00D41299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37FB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371A"/>
    <w:rsid w:val="00D6423D"/>
    <w:rsid w:val="00D64E2D"/>
    <w:rsid w:val="00D65FA6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86E5D"/>
    <w:rsid w:val="00D91EA9"/>
    <w:rsid w:val="00D92EBC"/>
    <w:rsid w:val="00D93D43"/>
    <w:rsid w:val="00D944B2"/>
    <w:rsid w:val="00D94C7B"/>
    <w:rsid w:val="00D9545B"/>
    <w:rsid w:val="00D957F7"/>
    <w:rsid w:val="00D95CCF"/>
    <w:rsid w:val="00D9691F"/>
    <w:rsid w:val="00D96DF6"/>
    <w:rsid w:val="00D97364"/>
    <w:rsid w:val="00D979E8"/>
    <w:rsid w:val="00D97AE5"/>
    <w:rsid w:val="00D97B0D"/>
    <w:rsid w:val="00D97E9C"/>
    <w:rsid w:val="00DA20F0"/>
    <w:rsid w:val="00DA2D88"/>
    <w:rsid w:val="00DA4A4C"/>
    <w:rsid w:val="00DA4A76"/>
    <w:rsid w:val="00DA5622"/>
    <w:rsid w:val="00DA608B"/>
    <w:rsid w:val="00DA68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08A"/>
    <w:rsid w:val="00DC121F"/>
    <w:rsid w:val="00DC15A9"/>
    <w:rsid w:val="00DC1607"/>
    <w:rsid w:val="00DC17CF"/>
    <w:rsid w:val="00DC1E19"/>
    <w:rsid w:val="00DC21F4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77"/>
    <w:rsid w:val="00DE5DA2"/>
    <w:rsid w:val="00DE65D0"/>
    <w:rsid w:val="00DE6659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3F2E"/>
    <w:rsid w:val="00E060CF"/>
    <w:rsid w:val="00E0620E"/>
    <w:rsid w:val="00E062AC"/>
    <w:rsid w:val="00E06456"/>
    <w:rsid w:val="00E074E2"/>
    <w:rsid w:val="00E07A49"/>
    <w:rsid w:val="00E102AB"/>
    <w:rsid w:val="00E10736"/>
    <w:rsid w:val="00E107C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7FF"/>
    <w:rsid w:val="00E25AC4"/>
    <w:rsid w:val="00E26939"/>
    <w:rsid w:val="00E26B20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BE0"/>
    <w:rsid w:val="00E67282"/>
    <w:rsid w:val="00E70A2D"/>
    <w:rsid w:val="00E70CCC"/>
    <w:rsid w:val="00E71209"/>
    <w:rsid w:val="00E72E7D"/>
    <w:rsid w:val="00E73010"/>
    <w:rsid w:val="00E73B1E"/>
    <w:rsid w:val="00E7466E"/>
    <w:rsid w:val="00E75479"/>
    <w:rsid w:val="00E75514"/>
    <w:rsid w:val="00E7553B"/>
    <w:rsid w:val="00E76ACE"/>
    <w:rsid w:val="00E775D4"/>
    <w:rsid w:val="00E80149"/>
    <w:rsid w:val="00E81287"/>
    <w:rsid w:val="00E81530"/>
    <w:rsid w:val="00E81FA5"/>
    <w:rsid w:val="00E81FDD"/>
    <w:rsid w:val="00E822C7"/>
    <w:rsid w:val="00E827E1"/>
    <w:rsid w:val="00E82B6C"/>
    <w:rsid w:val="00E8353F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0FBA"/>
    <w:rsid w:val="00E91000"/>
    <w:rsid w:val="00E91550"/>
    <w:rsid w:val="00E926A5"/>
    <w:rsid w:val="00E94AE8"/>
    <w:rsid w:val="00E94F65"/>
    <w:rsid w:val="00E96E30"/>
    <w:rsid w:val="00E9788D"/>
    <w:rsid w:val="00E9792C"/>
    <w:rsid w:val="00E97B50"/>
    <w:rsid w:val="00EA1181"/>
    <w:rsid w:val="00EA13B5"/>
    <w:rsid w:val="00EA147B"/>
    <w:rsid w:val="00EA2799"/>
    <w:rsid w:val="00EA2EC0"/>
    <w:rsid w:val="00EA3D3D"/>
    <w:rsid w:val="00EA403A"/>
    <w:rsid w:val="00EA46F7"/>
    <w:rsid w:val="00EA6728"/>
    <w:rsid w:val="00EA72E8"/>
    <w:rsid w:val="00EA74E6"/>
    <w:rsid w:val="00EA76FF"/>
    <w:rsid w:val="00EB051C"/>
    <w:rsid w:val="00EB0645"/>
    <w:rsid w:val="00EB0A27"/>
    <w:rsid w:val="00EB0AB5"/>
    <w:rsid w:val="00EB1ADA"/>
    <w:rsid w:val="00EB29C1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49D6"/>
    <w:rsid w:val="00EE5E80"/>
    <w:rsid w:val="00EE5FED"/>
    <w:rsid w:val="00EE6158"/>
    <w:rsid w:val="00EE6FEF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161"/>
    <w:rsid w:val="00F161F9"/>
    <w:rsid w:val="00F173C9"/>
    <w:rsid w:val="00F20511"/>
    <w:rsid w:val="00F2051E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2DA8"/>
    <w:rsid w:val="00F43ACE"/>
    <w:rsid w:val="00F443A0"/>
    <w:rsid w:val="00F44B50"/>
    <w:rsid w:val="00F4525B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029A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11"/>
    <w:rsid w:val="00F86F23"/>
    <w:rsid w:val="00F87BA8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5D6F"/>
    <w:rsid w:val="00FB65AC"/>
    <w:rsid w:val="00FB6E00"/>
    <w:rsid w:val="00FB7788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65"/>
    <w:rsid w:val="00FD2AB0"/>
    <w:rsid w:val="00FD3685"/>
    <w:rsid w:val="00FD3A69"/>
    <w:rsid w:val="00FD3D66"/>
    <w:rsid w:val="00FD3EB9"/>
    <w:rsid w:val="00FD4593"/>
    <w:rsid w:val="00FD4CB4"/>
    <w:rsid w:val="00FD4EF0"/>
    <w:rsid w:val="00FD506D"/>
    <w:rsid w:val="00FD5455"/>
    <w:rsid w:val="00FD63A1"/>
    <w:rsid w:val="00FD6E31"/>
    <w:rsid w:val="00FE044C"/>
    <w:rsid w:val="00FE0E91"/>
    <w:rsid w:val="00FE234C"/>
    <w:rsid w:val="00FE394E"/>
    <w:rsid w:val="00FE6288"/>
    <w:rsid w:val="00FE67BB"/>
    <w:rsid w:val="00FE68B2"/>
    <w:rsid w:val="00FE6ADF"/>
    <w:rsid w:val="00FE6F48"/>
    <w:rsid w:val="00FE7250"/>
    <w:rsid w:val="00FE7D7E"/>
    <w:rsid w:val="00FF0AB7"/>
    <w:rsid w:val="00FF16D1"/>
    <w:rsid w:val="00FF24B5"/>
    <w:rsid w:val="00FF2BA0"/>
    <w:rsid w:val="00FF3C13"/>
    <w:rsid w:val="00FF485C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5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pt-PT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12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2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1B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23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DE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9E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C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15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5D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AE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48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CF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CF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A3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E7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11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016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016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6C6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231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B1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0F7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EE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9" Type="http://schemas.openxmlformats.org/officeDocument/2006/relationships/hyperlink" Target="https://www.eesc.europa.eu/pt/our-work/opinions-information-reports/opinions/preventing-plastic-pellet-losses-reduce-microplastics-pollution" TargetMode="External"/><Relationship Id="rId21" Type="http://schemas.openxmlformats.org/officeDocument/2006/relationships/hyperlink" Target="mailto:Juri.Soosaar@eesc.europa.eu" TargetMode="External"/><Relationship Id="rId34" Type="http://schemas.openxmlformats.org/officeDocument/2006/relationships/hyperlink" Target="mailto:June.Bedaton@eesc.europa.eu" TargetMode="External"/><Relationship Id="rId42" Type="http://schemas.openxmlformats.org/officeDocument/2006/relationships/hyperlink" Target="mailto:Marco.Ristori@eesc.europa.eu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https://www.eesc.europa.eu/pt/our-work/opinions-information-reports/opinions/improving-benchmarks-and-reporting-requirements-financial-services-and-investment-support" TargetMode="Externa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5.xml"/><Relationship Id="rId32" Type="http://schemas.openxmlformats.org/officeDocument/2006/relationships/hyperlink" Target="mailto:Bartek.Bednarowicz@eesc.europa.eu" TargetMode="External"/><Relationship Id="rId37" Type="http://schemas.openxmlformats.org/officeDocument/2006/relationships/hyperlink" Target="https://www.eesc.europa.eu/pt/our-work/opinions-information-reports/opinions/sme-relief-package" TargetMode="External"/><Relationship Id="rId40" Type="http://schemas.openxmlformats.org/officeDocument/2006/relationships/hyperlink" Target="mailto:Caroline.Verhelst@eesc.europa.eu" TargetMode="External"/><Relationship Id="rId45" Type="http://schemas.openxmlformats.org/officeDocument/2006/relationships/hyperlink" Target="https://www.eesc.europa.eu/pt/our-work/opinions-information-reports/opinions/towards-comprehensive-strategy-eu-wood-indust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hyperlink" Target="mailto:Silvia.Staffa@eesc.europa.eu" TargetMode="External"/><Relationship Id="rId49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www.eesc.europa.eu/pt/our-work/opinions-information-reports/opinions/digitalisation-social-security" TargetMode="External"/><Relationship Id="rId44" Type="http://schemas.openxmlformats.org/officeDocument/2006/relationships/hyperlink" Target="mailto:Aleksandra.SarmanGrilc@eesc.europa.eu" TargetMode="External"/><Relationship Id="rId52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Colombe.Gregoire@eesc.europa.eu" TargetMode="External"/><Relationship Id="rId27" Type="http://schemas.openxmlformats.org/officeDocument/2006/relationships/header" Target="header6.xml"/><Relationship Id="rId30" Type="http://schemas.openxmlformats.org/officeDocument/2006/relationships/hyperlink" Target="mailto:Sergio.LorencioMatallana@eesc.europa.eu" TargetMode="External"/><Relationship Id="rId35" Type="http://schemas.openxmlformats.org/officeDocument/2006/relationships/hyperlink" Target="https://www.eesc.europa.eu/pt/our-work/opinions-information-reports/opinions/alternative-dispute-resolution" TargetMode="External"/><Relationship Id="rId43" Type="http://schemas.openxmlformats.org/officeDocument/2006/relationships/hyperlink" Target="https://www.eesc.europa.eu/pt/our-work/opinions-information-reports/opinions/revision-combined-transport-directive-92106eec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ustomXml" Target="../customXml/item3.xml"/><Relationship Id="rId12" Type="http://schemas.openxmlformats.org/officeDocument/2006/relationships/hyperlink" Target="http://www.eesc.europa.eu/pt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hyperlink" Target="https://www.eesc.europa.eu/pt/our-work/opinions-information-reports/opinions/strengthening-civil-dialogue-and-participatory-democracy-eu-path-forward" TargetMode="External"/><Relationship Id="rId38" Type="http://schemas.openxmlformats.org/officeDocument/2006/relationships/hyperlink" Target="mailto:Dalila.Bernard@eesc.europa.eu" TargetMode="External"/><Relationship Id="rId46" Type="http://schemas.openxmlformats.org/officeDocument/2006/relationships/hyperlink" Target="mailto:Heli.Niemela-Farrer@eesc.europa.eu" TargetMode="External"/><Relationship Id="rId20" Type="http://schemas.openxmlformats.org/officeDocument/2006/relationships/hyperlink" Target="https://www.eesc.europa.eu/pt/our-work/opinions-information-reports/opinions/taxation-cross-border-teleworkers-globally-and-impact-eu" TargetMode="External"/><Relationship Id="rId41" Type="http://schemas.openxmlformats.org/officeDocument/2006/relationships/hyperlink" Target="https://www.eesc.europa.eu/pt/our-work/opinions-information-reports/opinions/european-economic-security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F7M6YNZUATRX-416430479-4348</_dlc_DocId>
    <_dlc_DocIdUrl xmlns="59ace41b-6786-4ce3-be71-52c27066c6ef">
      <Url>http://dm/eesc/2024/_layouts/15/DocIdRedir.aspx?ID=F7M6YNZUATRX-416430479-4348</Url>
      <Description>F7M6YNZUATRX-416430479-4348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2024-03-07T12:00:00+00:00</ProductionDate>
    <DocumentNumber xmlns="1178e5e2-058a-41a1-9851-331c7b3fffb8">286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2024-03-20T12:00:00+00:00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2630</FicheNumber>
    <OriginalSender xmlns="59ace41b-6786-4ce3-be71-52c27066c6ef">
      <UserInfo>
        <DisplayName>Rodrigues Dias Aline</DisplayName>
        <AccountId>1534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586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D8719-C5FB-4AFE-BBB3-43BC51697BD5}"/>
</file>

<file path=customXml/itemProps2.xml><?xml version="1.0" encoding="utf-8"?>
<ds:datastoreItem xmlns:ds="http://schemas.openxmlformats.org/officeDocument/2006/customXml" ds:itemID="{DE453C3F-B79C-4D89-958C-5F4A136AE754}"/>
</file>

<file path=customXml/itemProps3.xml><?xml version="1.0" encoding="utf-8"?>
<ds:datastoreItem xmlns:ds="http://schemas.openxmlformats.org/officeDocument/2006/customXml" ds:itemID="{41BE4224-DFA8-4A3E-84F5-09C82D7234CC}"/>
</file>

<file path=customXml/itemProps4.xml><?xml version="1.0" encoding="utf-8"?>
<ds:datastoreItem xmlns:ds="http://schemas.openxmlformats.org/officeDocument/2006/customXml" ds:itemID="{477A366D-E96D-4527-AD4C-7574C79E3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4584</Words>
  <Characters>26132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- 584th Plenary Session January 2024</vt:lpstr>
    </vt:vector>
  </TitlesOfParts>
  <Company>CESE-CdR</Company>
  <LinksUpToDate>false</LinksUpToDate>
  <CharactersWithSpaces>30655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dos Pareceres - 585.ª reunião plenária - fevereiro de 2024</dc:title>
  <dc:subject>TCD</dc:subject>
  <dc:creator>Nieddu Emma</dc:creator>
  <cp:keywords>EESC-2024-00286-00-01-TCD-TRA-EN</cp:keywords>
  <dc:description>Rapporteur:  - Original language: EN - Date of document: 07/03/2024 - Date of meeting: 30/20/2024 14:30 - External documents:  - Administrator: MME TAMASAUSKIENE Julija</dc:description>
  <cp:lastModifiedBy>Rodrigues Dias Aline</cp:lastModifiedBy>
  <cp:revision>38</cp:revision>
  <cp:lastPrinted>2023-06-15T08:00:00Z</cp:lastPrinted>
  <dcterms:created xsi:type="dcterms:W3CDTF">2024-03-06T16:02:00Z</dcterms:created>
  <dcterms:modified xsi:type="dcterms:W3CDTF">2024-03-07T08:19:00Z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06/03/2024, 27/02/2024, 29/01/2024,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16:49:23, 12:56:45, 17:07:09,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jhvi, amett, enied, amett, amett, jhvi, pacup, jhvi, pacup, enied, pacup, enied, jhvi, enied, hnic, amett, enied, enied</vt:lpwstr>
  </property>
  <property fmtid="{D5CDD505-2E9C-101B-9397-08002B2CF9AE}" pid="6" name="Pref_FileName">
    <vt:lpwstr>EESC-2024-00286-00-01-TCD-ORI.docx, EESC-2024-00286-00-00-TCD-ORI.docx, EESC-2023-05816-00-00-TCD-ORI.docx, EESC-2023-04915-00-00-TCD-ORI.docx, EESC-2023-04201-00-00-TCD-ORI.docx, EESC-2023-03625-00-00-TCD-ORI.docx, EESC-2023-03078-00-00-TCD-TRA-EN-CRR.do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3315b9c7-0463-4e81-98e4-1391fa0c1bb9</vt:lpwstr>
  </property>
  <property fmtid="{D5CDD505-2E9C-101B-9397-08002B2CF9AE}" pid="9" name="AvailableTranslations">
    <vt:lpwstr>5;#EN|f2175f21-25d7-44a3-96da-d6a61b075e1b;#36;#PT|50ccc04a-eadd-42ae-a0cb-acaf45f812ba;#14;#FR|d2afafd3-4c81-4f60-8f52-ee33f2f54ff3;#30;#HR|2f555653-ed1a-4fe6-8362-9082d95989e5;#16;#DA|5d49c027-8956-412b-aa16-e85a0f96ad0e;#43;#CS|72f9705b-0217-4fd3-bea2-cbc7ed80e26e;#12;#IT|0774613c-01ed-4e5d-a25d-11d2388de825;#33;#ET|ff6c3f4c-b02c-4c3c-ab07-2c37995a7a0a;#34;#LT|a7ff5ce7-6123-4f68-865a-a57c31810414;#27;#SL|98a412ae-eb01-49e9-ae3d-585a81724cfc;#32;#HU|6b229040-c589-4408-b4c1-4285663d20a8;#21;#SV|c2ed69e7-a339-43d7-8f22-d93680a92aa0;#35;#FI|87606a43-d45f-42d6-b8c9-e1a3457db5b7;#31;#NL|55c6556c-b4f4-441d-9acf-c498d4f838bd;#22;#BG|1a1b3951-7821-4e6a-85f5-5673fc08bd2c;#37;#RO|feb747a2-64cd-4299-af12-4833ddc30497;#28;#LV|46f7e311-5d9f-4663-b433-18aeccb7ace7;#24;#ES|e7a6b05b-ae16-40c8-add9-68b64b03aeba;#29;#EL|6d4f4d51-af9b-4650-94b4-4276bee85c91;#25;#DE|f6b31e5a-26fa-4935-b661-318e46daf27e;#17;#PL|1e03da61-4678-4e07-b136-b5024ca9197b;#26;#SK|46d9fce0-ef79-4f71-b89b-cd6aa82426b8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286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2024-03-20T12:00:00Z</vt:filetime>
  </property>
  <property fmtid="{D5CDD505-2E9C-101B-9397-08002B2CF9AE}" pid="29" name="AvailableTranslations_0">
    <vt:lpwstr>EN|f2175f21-25d7-44a3-96da-d6a61b075e1b;DA|5d49c027-8956-412b-aa16-e85a0f96ad0e;IT|0774613c-01ed-4e5d-a25d-11d2388de825;LT|a7ff5ce7-6123-4f68-865a-a57c31810414;SL|98a412ae-eb01-49e9-ae3d-585a81724cfc;FI|87606a43-d45f-42d6-b8c9-e1a3457db5b7;ES|e7a6b05b-ae16-40c8-add9-68b64b03aeba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35;#FI|87606a43-d45f-42d6-b8c9-e1a3457db5b7;#34;#LT|a7ff5ce7-6123-4f68-865a-a57c31810414;#27;#SL|98a412ae-eb01-49e9-ae3d-585a81724cfc;#24;#ES|e7a6b05b-ae16-40c8-add9-68b64b03aeba;#16;#DA|5d49c027-8956-412b-aa16-e85a0f96ad0e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2630</vt:i4>
  </property>
  <property fmtid="{D5CDD505-2E9C-101B-9397-08002B2CF9AE}" pid="37" name="DocumentLanguage">
    <vt:lpwstr>36;#PT|50ccc04a-eadd-42ae-a0cb-acaf45f812ba</vt:lpwstr>
  </property>
  <property fmtid="{D5CDD505-2E9C-101B-9397-08002B2CF9AE}" pid="38" name="_docset_NoMedatataSyncRequired">
    <vt:lpwstr>False</vt:lpwstr>
  </property>
</Properties>
</file>