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A53E5" w:rsidR="004D7AC0" w:rsidP="00FC0E5F" w:rsidRDefault="00986441" w14:paraId="785AE44C" w14:textId="3CB6E2EA">
      <w:pPr>
        <w:suppressAutoHyphens/>
        <w:jc w:val="center"/>
      </w:pPr>
      <w:bookmarkStart w:name="_Hlk141173132" w:id="0"/>
      <w:r w:rsidRPr="002A53E5">
        <w:rPr>
          <w:noProof/>
        </w:rPr>
        <w:drawing>
          <wp:inline distT="0" distB="0" distL="0" distR="0" wp14:anchorId="11BD0AAA" wp14:editId="1E62507F">
            <wp:extent cx="1792605" cy="1239520"/>
            <wp:effectExtent l="0" t="0" r="0" b="0"/>
            <wp:docPr id="2" name="Picture 2" title="EESCLogo_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title="EESCLogo_P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A53E5" w:rsidR="004D7AC0" w:rsidP="00FC0E5F" w:rsidRDefault="00A8243E" w14:paraId="51F52D79" w14:textId="6B5142C7">
      <w:pPr>
        <w:suppressAutoHyphens/>
      </w:pPr>
      <w:r w:rsidRPr="002A53E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5A05454C" wp14:anchorId="60050413">
                <wp:simplePos x="0" y="0"/>
                <wp:positionH relativeFrom="page">
                  <wp:posOffset>6770788</wp:posOffset>
                </wp:positionH>
                <wp:positionV relativeFrom="page">
                  <wp:posOffset>10083352</wp:posOffset>
                </wp:positionV>
                <wp:extent cx="647700" cy="396240"/>
                <wp:effectExtent l="0" t="0" r="0" b="381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A53E5" w:rsidR="00765C4F" w:rsidP="004D7AC0" w:rsidRDefault="00765C4F" w14:paraId="2AA40EC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 w:rsidRPr="002A53E5"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050413">
                <v:stroke joinstyle="miter"/>
                <v:path gradientshapeok="t" o:connecttype="rect"/>
              </v:shapetype>
              <v:shape id="Text Box 17" style="position:absolute;left:0;text-align:left;margin-left:533.15pt;margin-top:793.95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">
                <v:textbox>
                  <w:txbxContent>
                    <w:p w:rsidRPr="002A53E5" w:rsidR="00765C4F" w:rsidP="004D7AC0" w:rsidRDefault="00765C4F" w14:paraId="2AA40EC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 w:rsidRPr="002A53E5">
                        <w:rPr>
                          <w:rFonts w:ascii="Arial" w:hAnsi="Arial"/>
                          <w:b/>
                          <w:sz w:val="48"/>
                        </w:rPr>
                        <w:t>PL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2A53E5" w:rsidR="004D7AC0" w:rsidP="00FC0E5F" w:rsidRDefault="00014C93" w14:paraId="45DE4A28" w14:textId="5402B3AE">
      <w:pPr>
        <w:suppressAutoHyphens/>
        <w:jc w:val="right"/>
      </w:pPr>
      <w:r w:rsidRPr="002A53E5">
        <w:t>Bruksela, 18 marca 2024 r.</w:t>
      </w:r>
    </w:p>
    <w:p w:rsidR="004D7AC0" w:rsidP="00FC0E5F" w:rsidRDefault="004D7AC0" w14:paraId="6B250092" w14:textId="6750B6FA">
      <w:pPr>
        <w:suppressAutoHyphens/>
      </w:pPr>
    </w:p>
    <w:p w:rsidR="00040A5A" w:rsidP="00FC0E5F" w:rsidRDefault="00040A5A" w14:paraId="1E887B66" w14:textId="74FB5B72">
      <w:pPr>
        <w:suppressAutoHyphens/>
      </w:pPr>
    </w:p>
    <w:p w:rsidRPr="002A53E5" w:rsidR="00040A5A" w:rsidP="00FC0E5F" w:rsidRDefault="00040A5A" w14:paraId="69F01135" w14:textId="77777777">
      <w:pPr>
        <w:suppressAutoHyphens/>
      </w:pPr>
    </w:p>
    <w:p w:rsidRPr="002A53E5" w:rsidR="004D7AC0" w:rsidP="00FC0E5F" w:rsidRDefault="004D7AC0" w14:paraId="0593C6DF" w14:textId="77777777">
      <w:pPr>
        <w:suppressAutoHyphens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Pr="002A53E5" w:rsidR="004D7AC0" w:rsidTr="00662436" w14:paraId="6D7B3453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2A53E5" w:rsidR="001760E9" w:rsidP="00FC0E5F" w:rsidRDefault="00DA2D88" w14:paraId="3B286D4E" w14:textId="73D9AE9C">
            <w:pPr>
              <w:suppressAutoHyphens/>
              <w:snapToGrid w:val="0"/>
              <w:jc w:val="center"/>
              <w:rPr>
                <w:b/>
                <w:sz w:val="32"/>
                <w:szCs w:val="32"/>
              </w:rPr>
            </w:pPr>
            <w:r w:rsidRPr="002A53E5">
              <w:rPr>
                <w:b/>
                <w:sz w:val="32"/>
                <w:szCs w:val="32"/>
              </w:rPr>
              <w:t>585. SESJA PLENARNA</w:t>
            </w:r>
          </w:p>
          <w:p w:rsidRPr="002A53E5" w:rsidR="001760E9" w:rsidP="00FC0E5F" w:rsidRDefault="001760E9" w14:paraId="6C87A626" w14:textId="0AE2882C">
            <w:pPr>
              <w:suppressAutoHyphens/>
              <w:snapToGrid w:val="0"/>
              <w:jc w:val="center"/>
              <w:rPr>
                <w:b/>
              </w:rPr>
            </w:pPr>
          </w:p>
          <w:p w:rsidRPr="002A53E5" w:rsidR="001760E9" w:rsidP="00FC0E5F" w:rsidRDefault="00335DF3" w14:paraId="6CF7229C" w14:textId="32F5F03F">
            <w:pPr>
              <w:suppressAutoHyphens/>
              <w:snapToGrid w:val="0"/>
              <w:jc w:val="center"/>
              <w:rPr>
                <w:b/>
                <w:sz w:val="32"/>
                <w:szCs w:val="32"/>
              </w:rPr>
            </w:pPr>
            <w:r w:rsidRPr="002A53E5">
              <w:rPr>
                <w:b/>
                <w:sz w:val="32"/>
                <w:szCs w:val="32"/>
              </w:rPr>
              <w:t>14 i 15 lutego 2024 r.</w:t>
            </w:r>
          </w:p>
          <w:p w:rsidRPr="002A53E5" w:rsidR="001760E9" w:rsidP="00FC0E5F" w:rsidRDefault="001760E9" w14:paraId="0C44BD01" w14:textId="2F8EBB07">
            <w:pPr>
              <w:suppressAutoHyphens/>
              <w:snapToGrid w:val="0"/>
              <w:jc w:val="center"/>
              <w:rPr>
                <w:b/>
              </w:rPr>
            </w:pPr>
          </w:p>
          <w:p w:rsidRPr="002A53E5" w:rsidR="004D7AC0" w:rsidP="00FC0E5F" w:rsidRDefault="00CF2F88" w14:paraId="114106CC" w14:textId="6323528E">
            <w:pPr>
              <w:suppressAutoHyphens/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 w:rsidRPr="002A53E5">
              <w:rPr>
                <w:b/>
                <w:sz w:val="32"/>
                <w:szCs w:val="32"/>
              </w:rPr>
              <w:t xml:space="preserve">STRESZCZENIE PRZYJĘTYCH OPINII, REZOLUCJI </w:t>
            </w:r>
            <w:r w:rsidR="002A53E5">
              <w:rPr>
                <w:b/>
                <w:sz w:val="32"/>
                <w:szCs w:val="32"/>
              </w:rPr>
              <w:br/>
            </w:r>
            <w:r w:rsidRPr="002A53E5">
              <w:rPr>
                <w:b/>
                <w:sz w:val="32"/>
                <w:szCs w:val="32"/>
              </w:rPr>
              <w:t>ORAZ RAPORTÓW INFORMACYJNYCH/</w:t>
            </w:r>
            <w:r w:rsidR="002A53E5">
              <w:rPr>
                <w:b/>
                <w:sz w:val="32"/>
                <w:szCs w:val="32"/>
              </w:rPr>
              <w:br/>
            </w:r>
            <w:r w:rsidRPr="002A53E5">
              <w:rPr>
                <w:b/>
                <w:sz w:val="32"/>
                <w:szCs w:val="32"/>
              </w:rPr>
              <w:t>RAPORTÓW Z OCENY</w:t>
            </w:r>
          </w:p>
          <w:p w:rsidRPr="002A53E5" w:rsidR="004D7AC0" w:rsidP="00FC0E5F" w:rsidRDefault="004D7AC0" w14:paraId="06AE72EA" w14:textId="77777777">
            <w:pPr>
              <w:suppressAutoHyphens/>
              <w:snapToGrid w:val="0"/>
            </w:pPr>
          </w:p>
        </w:tc>
      </w:tr>
      <w:tr w:rsidRPr="002A53E5" w:rsidR="004D7AC0" w:rsidTr="00662436" w14:paraId="45EAB22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2A53E5" w:rsidR="00FC0E5F" w:rsidP="00FC0E5F" w:rsidRDefault="00FC0E5F" w14:paraId="40231423" w14:textId="77777777">
            <w:pPr>
              <w:suppressAutoHyphens/>
              <w:snapToGrid w:val="0"/>
              <w:jc w:val="center"/>
            </w:pPr>
          </w:p>
          <w:p w:rsidRPr="002A53E5" w:rsidR="00B16284" w:rsidP="00FC0E5F" w:rsidRDefault="004D7AC0" w14:paraId="0A87E35B" w14:textId="395655B7">
            <w:pPr>
              <w:suppressAutoHyphens/>
              <w:snapToGrid w:val="0"/>
              <w:jc w:val="center"/>
            </w:pPr>
            <w:r w:rsidRPr="002A53E5">
              <w:t xml:space="preserve">Niniejszy dokument dostępny jest we wszystkich językach urzędowych </w:t>
            </w:r>
            <w:r w:rsidRPr="002A53E5" w:rsidR="00FC0E5F">
              <w:br/>
            </w:r>
            <w:r w:rsidRPr="002A53E5">
              <w:t>na stronie internetowej EKES-u:</w:t>
            </w:r>
          </w:p>
          <w:p w:rsidRPr="002A53E5" w:rsidR="00B16284" w:rsidP="00FC0E5F" w:rsidRDefault="00B16284" w14:paraId="4F26A4CE" w14:textId="77777777">
            <w:pPr>
              <w:suppressAutoHyphens/>
              <w:snapToGrid w:val="0"/>
              <w:jc w:val="center"/>
            </w:pPr>
          </w:p>
          <w:p w:rsidRPr="002A53E5" w:rsidR="004D7AC0" w:rsidP="00FC0E5F" w:rsidRDefault="00BE51E8" w14:paraId="2A9352A2" w14:textId="0680ADB6">
            <w:pPr>
              <w:suppressAutoHyphens/>
              <w:snapToGrid w:val="0"/>
              <w:jc w:val="center"/>
            </w:pPr>
            <w:hyperlink w:history="1" r:id="rId12">
              <w:r w:rsidRPr="002A53E5" w:rsidR="00986441">
                <w:rPr>
                  <w:rStyle w:val="Hyperlink"/>
                  <w:highlight w:val="yellow"/>
                </w:rPr>
                <w:t>https://www.eesc.europa.eu/pl/our-work/opinions-information-reports/plenary-session-summaries</w:t>
              </w:r>
            </w:hyperlink>
          </w:p>
          <w:p w:rsidRPr="002A53E5" w:rsidR="004D7AC0" w:rsidP="00FC0E5F" w:rsidRDefault="004D7AC0" w14:paraId="575A73D6" w14:textId="77777777">
            <w:pPr>
              <w:suppressAutoHyphens/>
              <w:snapToGrid w:val="0"/>
              <w:jc w:val="center"/>
              <w:rPr>
                <w:rFonts w:eastAsia="SimSun"/>
              </w:rPr>
            </w:pPr>
          </w:p>
          <w:p w:rsidRPr="002A53E5" w:rsidR="00B16284" w:rsidP="00FC0E5F" w:rsidRDefault="004D7AC0" w14:paraId="1C64BC20" w14:textId="16969A56">
            <w:pPr>
              <w:suppressAutoHyphens/>
              <w:snapToGrid w:val="0"/>
              <w:jc w:val="center"/>
            </w:pPr>
            <w:r w:rsidRPr="002A53E5">
              <w:t xml:space="preserve">Poniższe opinie można także znaleźć w formie elektronicznej </w:t>
            </w:r>
            <w:r w:rsidR="002A53E5">
              <w:br/>
            </w:r>
            <w:r w:rsidRPr="002A53E5">
              <w:t>za pomocą internetowej wyszukiwarki EKES-u:</w:t>
            </w:r>
          </w:p>
          <w:p w:rsidRPr="002A53E5" w:rsidR="00B16284" w:rsidP="00FC0E5F" w:rsidRDefault="00B16284" w14:paraId="7A5411A5" w14:textId="77777777">
            <w:pPr>
              <w:suppressAutoHyphens/>
              <w:snapToGrid w:val="0"/>
              <w:jc w:val="center"/>
            </w:pPr>
          </w:p>
          <w:p w:rsidRPr="002A53E5" w:rsidR="004D7AC0" w:rsidP="00FC0E5F" w:rsidRDefault="00BE51E8" w14:paraId="441AC4DD" w14:textId="1194D751">
            <w:pPr>
              <w:suppressAutoHyphens/>
              <w:snapToGrid w:val="0"/>
              <w:jc w:val="center"/>
            </w:pPr>
            <w:hyperlink w:history="1" r:id="rId13">
              <w:r w:rsidRPr="002A53E5" w:rsidR="00986441">
                <w:rPr>
                  <w:rStyle w:val="Hyperlink"/>
                </w:rPr>
                <w:t>https://dmsearch.eesc.europa.eu/search/opinion</w:t>
              </w:r>
            </w:hyperlink>
          </w:p>
          <w:p w:rsidRPr="002A53E5" w:rsidR="004D7AC0" w:rsidP="00FC0E5F" w:rsidRDefault="004D7AC0" w14:paraId="51FF303F" w14:textId="77777777">
            <w:pPr>
              <w:suppressAutoHyphens/>
              <w:snapToGrid w:val="0"/>
              <w:jc w:val="center"/>
            </w:pPr>
          </w:p>
        </w:tc>
      </w:tr>
    </w:tbl>
    <w:p w:rsidRPr="002A53E5" w:rsidR="004D7AC0" w:rsidP="00FC0E5F" w:rsidRDefault="004D7AC0" w14:paraId="5E675360" w14:textId="77777777">
      <w:pPr>
        <w:suppressAutoHyphens/>
      </w:pPr>
    </w:p>
    <w:p w:rsidRPr="002A53E5" w:rsidR="005A29D5" w:rsidP="00FC0E5F" w:rsidRDefault="005A29D5" w14:paraId="3CF67A1E" w14:textId="77777777">
      <w:pPr>
        <w:suppressAutoHyphens/>
        <w:sectPr w:rsidRPr="002A53E5" w:rsidR="005A29D5" w:rsidSect="002A53E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2A53E5" w:rsidR="00E31152" w:rsidP="00FC0E5F" w:rsidRDefault="00E31152" w14:paraId="0D3450B1" w14:textId="62EC5944">
      <w:pPr>
        <w:suppressAutoHyphens/>
        <w:ind w:hanging="284"/>
        <w:jc w:val="left"/>
        <w:rPr>
          <w:rFonts w:eastAsiaTheme="majorEastAsia"/>
          <w:color w:val="2E74B5" w:themeColor="accent1" w:themeShade="BF"/>
        </w:rPr>
      </w:pPr>
    </w:p>
    <w:sdt>
      <w:sdtPr>
        <w:id w:val="-3063295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Pr="00DD4DC8" w:rsidR="00544D95" w:rsidP="00FC0E5F" w:rsidRDefault="00544D95" w14:paraId="58A03F7E" w14:textId="77777777">
          <w:pPr>
            <w:suppressAutoHyphens/>
            <w:jc w:val="left"/>
            <w:rPr>
              <w:rFonts w:eastAsiaTheme="majorEastAsia"/>
              <w:color w:val="2E74B5" w:themeColor="accent1" w:themeShade="BF"/>
              <w:sz w:val="32"/>
              <w:szCs w:val="32"/>
            </w:rPr>
          </w:pPr>
          <w:r w:rsidRPr="00DD4DC8">
            <w:rPr>
              <w:color w:val="2E74B5" w:themeColor="accent1" w:themeShade="BF"/>
              <w:sz w:val="32"/>
              <w:szCs w:val="32"/>
            </w:rPr>
            <w:t>Treść:</w:t>
          </w:r>
        </w:p>
        <w:p w:rsidR="002652F7" w:rsidRDefault="00544D95" w14:paraId="45431838" w14:textId="076A4693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en-US"/>
            </w:rPr>
          </w:pPr>
          <w:r w:rsidRPr="002A53E5">
            <w:rPr>
              <w:noProof w:val="0"/>
              <w:sz w:val="22"/>
              <w:szCs w:val="22"/>
            </w:rPr>
            <w:fldChar w:fldCharType="begin"/>
          </w:r>
          <w:r w:rsidRPr="002A53E5">
            <w:rPr>
              <w:noProof w:val="0"/>
              <w:sz w:val="22"/>
              <w:szCs w:val="22"/>
            </w:rPr>
            <w:instrText xml:space="preserve"> TOC \o "1-3" \h \z \u </w:instrText>
          </w:r>
          <w:r w:rsidRPr="002A53E5">
            <w:rPr>
              <w:noProof w:val="0"/>
              <w:sz w:val="22"/>
              <w:szCs w:val="22"/>
            </w:rPr>
            <w:fldChar w:fldCharType="separate"/>
          </w:r>
          <w:hyperlink w:history="1" w:anchor="_Toc160774579">
            <w:r w:rsidRPr="00FE59C8" w:rsidR="002652F7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2652F7"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en-US"/>
              </w:rPr>
              <w:tab/>
            </w:r>
            <w:r w:rsidRPr="00FE59C8" w:rsidR="002652F7">
              <w:rPr>
                <w:rStyle w:val="Hyperlink"/>
                <w:b/>
              </w:rPr>
              <w:t>UNIA GOSPODARCZA I WALUTOWA ORAZ SPÓJNOŚĆ GOSPODARCZA I SPOŁECZNA</w:t>
            </w:r>
            <w:r w:rsidR="002652F7">
              <w:rPr>
                <w:webHidden/>
              </w:rPr>
              <w:tab/>
            </w:r>
            <w:r w:rsidR="002652F7">
              <w:rPr>
                <w:webHidden/>
              </w:rPr>
              <w:fldChar w:fldCharType="begin"/>
            </w:r>
            <w:r w:rsidR="002652F7">
              <w:rPr>
                <w:webHidden/>
              </w:rPr>
              <w:instrText xml:space="preserve"> PAGEREF _Toc160774579 \h </w:instrText>
            </w:r>
            <w:r w:rsidR="002652F7">
              <w:rPr>
                <w:webHidden/>
              </w:rPr>
            </w:r>
            <w:r w:rsidR="002652F7">
              <w:rPr>
                <w:webHidden/>
              </w:rPr>
              <w:fldChar w:fldCharType="separate"/>
            </w:r>
            <w:r w:rsidR="002652F7">
              <w:rPr>
                <w:webHidden/>
              </w:rPr>
              <w:t>5</w:t>
            </w:r>
            <w:r w:rsidR="002652F7">
              <w:rPr>
                <w:webHidden/>
              </w:rPr>
              <w:fldChar w:fldCharType="end"/>
            </w:r>
          </w:hyperlink>
        </w:p>
        <w:p w:rsidR="002652F7" w:rsidRDefault="002652F7" w14:paraId="54090BDD" w14:textId="31636149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en-US"/>
            </w:rPr>
          </w:pPr>
          <w:hyperlink w:history="1" w:anchor="_Toc160774592">
            <w:r w:rsidRPr="00FE59C8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en-US"/>
              </w:rPr>
              <w:tab/>
            </w:r>
            <w:r w:rsidRPr="00FE59C8">
              <w:rPr>
                <w:rStyle w:val="Hyperlink"/>
                <w:b/>
              </w:rPr>
              <w:t>ZATRUDNIENIE, SPRAWY SPOŁECZNE I OBYWATELSTWO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_Toc160774592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2652F7" w:rsidRDefault="002652F7" w14:paraId="22C13527" w14:textId="46E88BD2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en-US"/>
            </w:rPr>
          </w:pPr>
          <w:hyperlink w:history="1" w:anchor="_Toc160774595">
            <w:r w:rsidRPr="00FE59C8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en-US"/>
              </w:rPr>
              <w:tab/>
            </w:r>
            <w:r w:rsidRPr="00FE59C8">
              <w:rPr>
                <w:rStyle w:val="Hyperlink"/>
                <w:b/>
              </w:rPr>
              <w:t>JEDNOLITY RYNEK, PRODUKCJA I KONSUMPCJA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_Toc160774595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2652F7" w:rsidRDefault="002652F7" w14:paraId="5A4CDE09" w14:textId="770A797F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en-US"/>
            </w:rPr>
          </w:pPr>
          <w:hyperlink w:history="1" w:anchor="_Toc160774598">
            <w:r w:rsidRPr="00FE59C8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en-US"/>
              </w:rPr>
              <w:tab/>
            </w:r>
            <w:r w:rsidRPr="00FE59C8">
              <w:rPr>
                <w:rStyle w:val="Hyperlink"/>
                <w:b/>
              </w:rPr>
              <w:t>ROLNICTWO, ROZWÓJ WSI I ŚRODOWISKO NATURALNE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_Toc160774598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2652F7" w:rsidRDefault="002652F7" w14:paraId="51D00E49" w14:textId="3ACB5605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en-US"/>
            </w:rPr>
          </w:pPr>
          <w:hyperlink w:history="1" w:anchor="_Toc160774610">
            <w:r w:rsidRPr="00FE59C8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en-US"/>
              </w:rPr>
              <w:tab/>
            </w:r>
            <w:r w:rsidRPr="00FE59C8">
              <w:rPr>
                <w:rStyle w:val="Hyperlink"/>
                <w:b/>
              </w:rPr>
              <w:t>STOSUNKI ZEWNĘTRZNE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_Toc160774610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2652F7" w:rsidRDefault="002652F7" w14:paraId="43B9979A" w14:textId="24DBEB53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en-US"/>
            </w:rPr>
          </w:pPr>
          <w:hyperlink w:history="1" w:anchor="_Toc160774612">
            <w:r w:rsidRPr="00FE59C8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en-US"/>
              </w:rPr>
              <w:tab/>
            </w:r>
            <w:r w:rsidRPr="00FE59C8">
              <w:rPr>
                <w:rStyle w:val="Hyperlink"/>
                <w:b/>
              </w:rPr>
              <w:t>TRANSPORT, ENERGIA, INFRASTRUKTURA, SPOŁECZEŃSTWO INFORMACYJNE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_Toc160774612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2652F7" w:rsidRDefault="002652F7" w14:paraId="2719F2E0" w14:textId="3AAFB5C3">
          <w:pPr>
            <w:pStyle w:val="TOC1"/>
            <w:rPr>
              <w:rFonts w:asciiTheme="minorHAnsi" w:hAnsiTheme="minorHAnsi" w:eastAsiaTheme="minorEastAsia" w:cstheme="minorBidi"/>
              <w:bCs w:val="0"/>
              <w:sz w:val="22"/>
              <w:szCs w:val="22"/>
              <w:lang w:val="en-US"/>
            </w:rPr>
          </w:pPr>
          <w:hyperlink w:history="1" w:anchor="_Toc160774614">
            <w:r w:rsidRPr="00FE59C8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>
              <w:rPr>
                <w:rFonts w:asciiTheme="minorHAnsi" w:hAnsiTheme="minorHAnsi" w:eastAsiaTheme="minorEastAsia" w:cstheme="minorBidi"/>
                <w:bCs w:val="0"/>
                <w:sz w:val="22"/>
                <w:szCs w:val="22"/>
                <w:lang w:val="en-US"/>
              </w:rPr>
              <w:tab/>
            </w:r>
            <w:r w:rsidRPr="00FE59C8">
              <w:rPr>
                <w:rStyle w:val="Hyperlink"/>
                <w:b/>
              </w:rPr>
              <w:t>KOMISJA KONSULTACYJNA DS. PRZEMIAN W PRZEMYŚLE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_Toc160774614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:rsidRPr="002A53E5" w:rsidR="00544D95" w:rsidP="00FC0E5F" w:rsidRDefault="00544D95" w14:paraId="589C47D7" w14:textId="430048A7">
          <w:pPr>
            <w:suppressAutoHyphens/>
            <w:rPr>
              <w:b/>
            </w:rPr>
          </w:pPr>
          <w:r w:rsidRPr="002A53E5">
            <w:rPr>
              <w:b/>
            </w:rPr>
            <w:fldChar w:fldCharType="end"/>
          </w:r>
        </w:p>
      </w:sdtContent>
    </w:sdt>
    <w:p w:rsidRPr="002A53E5" w:rsidR="00BE2C1E" w:rsidP="00FC0E5F" w:rsidRDefault="00BE2C1E" w14:paraId="2900045F" w14:textId="7EF0810A">
      <w:pPr>
        <w:suppressAutoHyphens/>
        <w:jc w:val="left"/>
      </w:pPr>
      <w:r w:rsidRPr="002A53E5">
        <w:br w:type="page"/>
      </w:r>
    </w:p>
    <w:p w:rsidRPr="002A53E5" w:rsidR="0038273B" w:rsidP="002A53E5" w:rsidRDefault="0038273B" w14:paraId="62CE6920" w14:textId="0D67006C">
      <w:pPr>
        <w:pStyle w:val="Heading1"/>
        <w:tabs>
          <w:tab w:val="clear" w:pos="440"/>
        </w:tabs>
        <w:suppressAutoHyphens/>
        <w:spacing w:before="0"/>
        <w:ind w:left="567" w:right="0" w:hanging="567"/>
        <w:rPr>
          <w:b/>
          <w:bCs/>
        </w:rPr>
      </w:pPr>
      <w:bookmarkStart w:name="_Toc160774579" w:id="1"/>
      <w:r w:rsidRPr="002A53E5">
        <w:rPr>
          <w:b/>
        </w:rPr>
        <w:lastRenderedPageBreak/>
        <w:t>UNIA GOSPODARCZA I WALUTOWA ORAZ SPÓJNOŚĆ GOSPODARCZA I</w:t>
      </w:r>
      <w:r w:rsidR="007A5E28">
        <w:rPr>
          <w:b/>
        </w:rPr>
        <w:t> </w:t>
      </w:r>
      <w:r w:rsidRPr="002A53E5">
        <w:rPr>
          <w:b/>
        </w:rPr>
        <w:t>SPOŁECZNA</w:t>
      </w:r>
      <w:bookmarkEnd w:id="1"/>
    </w:p>
    <w:p w:rsidRPr="002A53E5" w:rsidR="00115BBC" w:rsidP="00EE36BF" w:rsidRDefault="00115BBC" w14:paraId="5C4FD48E" w14:textId="77777777">
      <w:pPr>
        <w:suppressAutoHyphens/>
        <w:jc w:val="left"/>
      </w:pPr>
    </w:p>
    <w:p w:rsidRPr="00040A5A" w:rsidR="00CF3B63" w:rsidP="00FC0E5F" w:rsidRDefault="00BE51E8" w14:paraId="7EC430AC" w14:textId="415F6520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color w:val="0000FF"/>
          <w:sz w:val="28"/>
          <w:szCs w:val="28"/>
          <w:u w:val="single"/>
        </w:rPr>
      </w:pPr>
      <w:hyperlink w:history="1" r:id="rId20">
        <w:r w:rsidRPr="00040A5A" w:rsidR="00986441">
          <w:rPr>
            <w:b/>
            <w:i/>
            <w:color w:val="0000FF"/>
            <w:sz w:val="28"/>
            <w:szCs w:val="28"/>
            <w:u w:val="single"/>
          </w:rPr>
          <w:t>Opodatkowanie telepracowników transgranicznych na świecie i wpływ na UE</w:t>
        </w:r>
      </w:hyperlink>
    </w:p>
    <w:p w:rsidRPr="00EE36BF" w:rsidR="00CF3B63" w:rsidP="00EE36BF" w:rsidRDefault="00CF3B63" w14:paraId="478C2AB3" w14:textId="340E8FC3">
      <w:pPr>
        <w:suppressAutoHyphens/>
        <w:jc w:val="left"/>
        <w:rPr>
          <w:color w:val="000000" w:themeColor="text1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5"/>
        <w:gridCol w:w="7054"/>
      </w:tblGrid>
      <w:tr w:rsidRPr="002A53E5" w:rsidR="00E73010" w:rsidTr="000D313C" w14:paraId="751D3B32" w14:textId="77777777">
        <w:tc>
          <w:tcPr>
            <w:tcW w:w="1203" w:type="pct"/>
          </w:tcPr>
          <w:p w:rsidRPr="002A53E5" w:rsidR="00E73010" w:rsidP="006A32CA" w:rsidRDefault="00E73010" w14:paraId="1452C9B6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Sprawozdawca</w:t>
            </w:r>
          </w:p>
        </w:tc>
        <w:tc>
          <w:tcPr>
            <w:tcW w:w="3797" w:type="pct"/>
          </w:tcPr>
          <w:p w:rsidRPr="002A53E5" w:rsidR="00E73010" w:rsidP="006A32CA" w:rsidRDefault="00E73010" w14:paraId="47111346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Krister ANDERSSON (Grupa Pracodawców – SE)</w:t>
            </w:r>
          </w:p>
        </w:tc>
      </w:tr>
      <w:tr w:rsidRPr="002A53E5" w:rsidR="00E73010" w:rsidTr="000D313C" w14:paraId="744149D0" w14:textId="77777777">
        <w:tc>
          <w:tcPr>
            <w:tcW w:w="1203" w:type="pct"/>
          </w:tcPr>
          <w:p w:rsidRPr="002A53E5" w:rsidR="00E73010" w:rsidP="006A32CA" w:rsidRDefault="00E73010" w14:paraId="000E6296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</w:p>
        </w:tc>
        <w:tc>
          <w:tcPr>
            <w:tcW w:w="3797" w:type="pct"/>
          </w:tcPr>
          <w:p w:rsidRPr="002A53E5" w:rsidR="00E73010" w:rsidP="006A32CA" w:rsidRDefault="00E73010" w14:paraId="42E8B3AA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Pr="002A53E5" w:rsidR="00E73010" w:rsidTr="000D313C" w14:paraId="46478281" w14:textId="77777777">
        <w:tc>
          <w:tcPr>
            <w:tcW w:w="1203" w:type="pct"/>
          </w:tcPr>
          <w:p w:rsidRPr="002A53E5" w:rsidR="00E73010" w:rsidP="006A32CA" w:rsidRDefault="00E73010" w14:paraId="059FA346" w14:textId="0063FA70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2A53E5">
              <w:rPr>
                <w:b/>
              </w:rPr>
              <w:t>Dokument źródłowy</w:t>
            </w:r>
          </w:p>
        </w:tc>
        <w:tc>
          <w:tcPr>
            <w:tcW w:w="3797" w:type="pct"/>
          </w:tcPr>
          <w:p w:rsidRPr="002A53E5" w:rsidR="00E73010" w:rsidP="006A32CA" w:rsidRDefault="00E73010" w14:paraId="0E3642EE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Opinia z inicjatywy własnej</w:t>
            </w:r>
          </w:p>
          <w:p w:rsidRPr="002A53E5" w:rsidR="00E73010" w:rsidP="006A32CA" w:rsidRDefault="00E73010" w14:paraId="58476701" w14:textId="52B2602E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EESC-2023-00860-00-AC</w:t>
            </w:r>
          </w:p>
        </w:tc>
      </w:tr>
    </w:tbl>
    <w:p w:rsidRPr="00EE36BF" w:rsidR="00E73010" w:rsidP="00EE36BF" w:rsidRDefault="00E73010" w14:paraId="54675DBA" w14:textId="1C83796C">
      <w:pPr>
        <w:suppressAutoHyphens/>
        <w:jc w:val="left"/>
        <w:rPr>
          <w:color w:val="000000" w:themeColor="text1"/>
          <w:lang w:eastAsia="zh-CN"/>
        </w:rPr>
      </w:pPr>
    </w:p>
    <w:p w:rsidRPr="002A53E5" w:rsidR="00CF3B63" w:rsidP="007A5E28" w:rsidRDefault="00CF3B63" w14:paraId="37EC7423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A53E5">
        <w:rPr>
          <w:b/>
        </w:rPr>
        <w:t>Główne punkty</w:t>
      </w:r>
    </w:p>
    <w:p w:rsidRPr="00EE36BF" w:rsidR="00CF3B63" w:rsidP="00EE36BF" w:rsidRDefault="00CF3B63" w14:paraId="05302960" w14:textId="77777777">
      <w:pPr>
        <w:suppressAutoHyphens/>
        <w:jc w:val="left"/>
        <w:rPr>
          <w:color w:val="000000" w:themeColor="text1"/>
          <w:lang w:eastAsia="zh-CN"/>
        </w:rPr>
      </w:pPr>
    </w:p>
    <w:p w:rsidRPr="002A53E5" w:rsidR="00CF3B63" w:rsidP="00EE36BF" w:rsidRDefault="00CF3B63" w14:paraId="23B0065E" w14:textId="77777777">
      <w:pPr>
        <w:suppressAutoHyphens/>
        <w:jc w:val="left"/>
        <w:rPr>
          <w:bCs/>
        </w:rPr>
      </w:pPr>
      <w:r w:rsidRPr="00EE36BF">
        <w:rPr>
          <w:color w:val="000000" w:themeColor="text1"/>
          <w:lang w:eastAsia="zh-CN"/>
        </w:rPr>
        <w:t>EKES</w:t>
      </w:r>
    </w:p>
    <w:p w:rsidRPr="00EE36BF" w:rsidR="00CF3B63" w:rsidP="00EE36BF" w:rsidRDefault="00CF3B63" w14:paraId="32F10A5B" w14:textId="77777777">
      <w:pPr>
        <w:suppressAutoHyphens/>
        <w:jc w:val="left"/>
        <w:rPr>
          <w:color w:val="000000" w:themeColor="text1"/>
          <w:lang w:eastAsia="zh-CN"/>
        </w:rPr>
      </w:pPr>
    </w:p>
    <w:p w:rsidRPr="002A53E5" w:rsidR="00CF3B63" w:rsidP="007A5E28" w:rsidRDefault="00CF3B63" w14:paraId="64272677" w14:textId="77777777">
      <w:pPr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Podkreśla, że w ostatnim dziesięcioleciu procesy globalizacji i cyfryzacji przyniosły nowe możliwości pracy zdalnej. Pandemia COVID-19 doprowadziła do bezprecedensowych zmian w życiu pracowników i w funkcjonowaniu firm, przyczyniając się do gwałtownego wzrostu popularności telepracy.</w:t>
      </w:r>
    </w:p>
    <w:p w:rsidRPr="002A53E5" w:rsidR="00CF3B63" w:rsidP="007A5E28" w:rsidRDefault="00CF3B63" w14:paraId="67BD646A" w14:textId="2729F36C">
      <w:pPr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Przypomina, że dzięki nowym technologiom można wykonywać dokładnie tę samą pracę bez fizycznej obecności w miejscu pracy. Oznacza to również, że znacznie więcej osób jest w stanie pracować zdalnie poza granicami swojego kraju, a liczba telepracowników transgranicznych znacząco;</w:t>
      </w:r>
    </w:p>
    <w:p w:rsidRPr="002A53E5" w:rsidR="00CF3B63" w:rsidP="007A5E28" w:rsidRDefault="00CF3B63" w14:paraId="1EE80ABE" w14:textId="14727B7B">
      <w:pPr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Uważa, że najlepszym rozwiązaniem jest opodatkowanie dochodu pracownika w kraju siedziby pracodawcy jako dochodu z płac. Taki system byłby ułatwieniem dla pracowników i mógłby stanowić atrakcyjne rozwiązanie dla pracodawców. Aby zrekompensować utratę dochodów w</w:t>
      </w:r>
      <w:r w:rsidR="00EB6DB2">
        <w:t> </w:t>
      </w:r>
      <w:r w:rsidRPr="002A53E5">
        <w:t>kraju zamieszkania pracownika, potrzebny byłby prawdopodobnie mechanizm podziału dochodów.</w:t>
      </w:r>
    </w:p>
    <w:p w:rsidRPr="002A53E5" w:rsidR="00CF3B63" w:rsidP="007A5E28" w:rsidRDefault="00CF3B63" w14:paraId="216DBC4F" w14:textId="77777777">
      <w:pPr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Proponuje, aby organy podatkowe dzieliły dochód między państwa na podstawie danych dotyczących rzeczywistej obecności poszczególnych pracowników w danych państwach (zgłaszanych przez pracodawcę organowi podatkowemu w kraju siedziby, tym samym działającemu jako punkt kompleksowej obsługi) lub na podstawie zagregowanego klucza o charakterze makroekonomicznym.</w:t>
      </w:r>
    </w:p>
    <w:p w:rsidRPr="002A53E5" w:rsidR="00CF3B63" w:rsidP="00EE36BF" w:rsidRDefault="00CF3B63" w14:paraId="09DDE983" w14:textId="77777777">
      <w:pPr>
        <w:suppressAutoHyphens/>
        <w:jc w:val="left"/>
        <w:rPr>
          <w:color w:val="000000" w:themeColor="text1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5670"/>
      </w:tblGrid>
      <w:tr w:rsidRPr="002A53E5" w:rsidR="00CF3B63" w:rsidTr="00B05454" w14:paraId="4CD566CB" w14:textId="77777777">
        <w:tc>
          <w:tcPr>
            <w:tcW w:w="1418" w:type="dxa"/>
          </w:tcPr>
          <w:p w:rsidRPr="002A53E5" w:rsidR="00CF3B63" w:rsidP="00FC0E5F" w:rsidRDefault="00CF3B63" w14:paraId="2153ECA8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2A53E5" w:rsidR="00CF3B63" w:rsidP="00FC0E5F" w:rsidRDefault="00CF3B63" w14:paraId="2BAAA700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 xml:space="preserve">Jüri Soosaar </w:t>
            </w:r>
          </w:p>
        </w:tc>
      </w:tr>
      <w:tr w:rsidRPr="002A53E5" w:rsidR="00CF3B63" w:rsidTr="00B05454" w14:paraId="0CCC2A7E" w14:textId="77777777">
        <w:tc>
          <w:tcPr>
            <w:tcW w:w="1418" w:type="dxa"/>
          </w:tcPr>
          <w:p w:rsidRPr="002A53E5" w:rsidR="00CF3B63" w:rsidP="00FC0E5F" w:rsidRDefault="00CF3B63" w14:paraId="31D551A3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2A53E5" w:rsidR="00CF3B63" w:rsidP="00FC0E5F" w:rsidRDefault="00CF3B63" w14:paraId="5FA9B686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+32 25469628</w:t>
            </w:r>
          </w:p>
        </w:tc>
      </w:tr>
      <w:tr w:rsidRPr="002A53E5" w:rsidR="00CF3B63" w:rsidTr="00B05454" w14:paraId="52648DE1" w14:textId="77777777">
        <w:tc>
          <w:tcPr>
            <w:tcW w:w="1418" w:type="dxa"/>
          </w:tcPr>
          <w:p w:rsidRPr="002A53E5" w:rsidR="00CF3B63" w:rsidP="00FC0E5F" w:rsidRDefault="009A2DD6" w14:paraId="0F86E843" w14:textId="73EA9BC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4E664E" w:rsidR="00CF3B63" w:rsidP="00FC0E5F" w:rsidRDefault="00BE51E8" w14:paraId="34CDB34E" w14:textId="0A67A9F1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21">
              <w:r w:rsidRPr="004E664E" w:rsidR="00986441">
                <w:rPr>
                  <w:i/>
                  <w:iCs/>
                  <w:color w:val="0000FF"/>
                  <w:u w:val="single"/>
                </w:rPr>
                <w:t>Juri.Soosaar@eesc.europa.eu</w:t>
              </w:r>
            </w:hyperlink>
            <w:r w:rsidRPr="004E664E" w:rsidR="00986441">
              <w:rPr>
                <w:i/>
                <w:iCs/>
              </w:rPr>
              <w:t xml:space="preserve"> </w:t>
            </w:r>
          </w:p>
        </w:tc>
      </w:tr>
    </w:tbl>
    <w:p w:rsidRPr="002A53E5" w:rsidR="00CF3B63" w:rsidP="00FC0E5F" w:rsidRDefault="00CF3B63" w14:paraId="2B55CB13" w14:textId="77777777">
      <w:pPr>
        <w:suppressAutoHyphens/>
        <w:jc w:val="left"/>
        <w:rPr>
          <w:b/>
          <w:bCs/>
        </w:rPr>
      </w:pPr>
      <w:r w:rsidRPr="002A53E5">
        <w:br w:type="page"/>
      </w:r>
    </w:p>
    <w:bookmarkStart w:name="_Toc159831758" w:id="2"/>
    <w:p w:rsidRPr="007A5E28" w:rsidR="00A32597" w:rsidP="003348DA" w:rsidRDefault="004716B8" w14:paraId="1BD9833F" w14:textId="49DFF68D">
      <w:pPr>
        <w:pStyle w:val="ListParagraph"/>
        <w:numPr>
          <w:ilvl w:val="0"/>
          <w:numId w:val="16"/>
        </w:numPr>
        <w:shd w:val="clear" w:color="auto" w:fill="FFFFFF"/>
        <w:suppressAutoHyphens/>
        <w:ind w:left="567" w:hanging="567"/>
        <w:contextualSpacing w:val="0"/>
        <w:outlineLvl w:val="0"/>
        <w:rPr>
          <w:b/>
          <w:kern w:val="28"/>
          <w:sz w:val="28"/>
          <w:szCs w:val="28"/>
        </w:rPr>
      </w:pPr>
      <w:r w:rsidRPr="00040A5A">
        <w:rPr>
          <w:sz w:val="28"/>
          <w:szCs w:val="28"/>
        </w:rPr>
        <w:lastRenderedPageBreak/>
        <w:fldChar w:fldCharType="begin"/>
      </w:r>
      <w:r w:rsidRPr="00040A5A">
        <w:rPr>
          <w:sz w:val="28"/>
          <w:szCs w:val="28"/>
        </w:rPr>
        <w:instrText xml:space="preserve"> HYPERLINK "https://www.eesc.europa.eu/pl/our-work/opinions-information-reports/opinions/annual-sustainable-growth-survey-2024" </w:instrText>
      </w:r>
      <w:r w:rsidRPr="00040A5A">
        <w:rPr>
          <w:sz w:val="28"/>
          <w:szCs w:val="28"/>
        </w:rPr>
        <w:fldChar w:fldCharType="separate"/>
      </w:r>
      <w:bookmarkStart w:name="_Toc160774580" w:id="3"/>
      <w:r w:rsidRPr="00040A5A">
        <w:rPr>
          <w:b/>
          <w:i/>
          <w:color w:val="0000FF"/>
          <w:sz w:val="28"/>
          <w:szCs w:val="28"/>
          <w:u w:val="single"/>
        </w:rPr>
        <w:t>Roczna analiza zrównoważonego wzrostu gospodarczego 2024</w:t>
      </w:r>
      <w:bookmarkEnd w:id="2"/>
      <w:bookmarkEnd w:id="3"/>
      <w:r w:rsidRPr="00040A5A">
        <w:rPr>
          <w:b/>
          <w:i/>
          <w:color w:val="0000FF"/>
          <w:sz w:val="28"/>
          <w:szCs w:val="28"/>
          <w:u w:val="single"/>
        </w:rPr>
        <w:fldChar w:fldCharType="end"/>
      </w:r>
    </w:p>
    <w:p w:rsidRPr="007A5E28" w:rsidR="007A5E28" w:rsidP="007A5E28" w:rsidRDefault="007A5E28" w14:paraId="300266A0" w14:textId="77777777">
      <w:pPr>
        <w:shd w:val="clear" w:color="auto" w:fill="FFFFFF"/>
        <w:suppressAutoHyphens/>
        <w:outlineLvl w:val="0"/>
        <w:rPr>
          <w:bCs/>
          <w:kern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76"/>
        <w:gridCol w:w="6913"/>
      </w:tblGrid>
      <w:tr w:rsidRPr="002A53E5" w:rsidR="00A32597" w:rsidTr="007A5E28" w14:paraId="7BCB2534" w14:textId="77777777">
        <w:tc>
          <w:tcPr>
            <w:tcW w:w="1279" w:type="pct"/>
          </w:tcPr>
          <w:p w:rsidRPr="002A53E5" w:rsidR="00A32597" w:rsidP="006A32CA" w:rsidRDefault="00A32597" w14:paraId="6BE8915C" w14:textId="6AA3F03D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iCs/>
              </w:rPr>
            </w:pPr>
            <w:r w:rsidRPr="002A53E5">
              <w:rPr>
                <w:b/>
              </w:rPr>
              <w:t>Sprawozdawczyni</w:t>
            </w:r>
          </w:p>
        </w:tc>
        <w:tc>
          <w:tcPr>
            <w:tcW w:w="3721" w:type="pct"/>
          </w:tcPr>
          <w:p w:rsidRPr="002A53E5" w:rsidR="00A32597" w:rsidP="006A32CA" w:rsidRDefault="00A32597" w14:paraId="07DE7214" w14:textId="38316A4D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</w:rPr>
            </w:pPr>
            <w:r w:rsidRPr="002A53E5">
              <w:t xml:space="preserve">Elena-Alexandra CALISTRU (Grupa Organizacji Społeczeństwa – RO) </w:t>
            </w:r>
          </w:p>
        </w:tc>
      </w:tr>
      <w:tr w:rsidRPr="002A53E5" w:rsidR="007A5E28" w:rsidTr="007A5E28" w14:paraId="457C76DE" w14:textId="77777777">
        <w:tc>
          <w:tcPr>
            <w:tcW w:w="1279" w:type="pct"/>
          </w:tcPr>
          <w:p w:rsidRPr="002A53E5" w:rsidR="007A5E28" w:rsidP="006A32CA" w:rsidRDefault="007A5E28" w14:paraId="4E433324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3721" w:type="pct"/>
          </w:tcPr>
          <w:p w:rsidRPr="002A53E5" w:rsidR="007A5E28" w:rsidP="006A32CA" w:rsidRDefault="007A5E28" w14:paraId="030DDA4D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Pr="002A53E5" w:rsidR="00A32597" w:rsidTr="007A5E28" w14:paraId="7B85BF7E" w14:textId="77777777">
        <w:tc>
          <w:tcPr>
            <w:tcW w:w="1279" w:type="pct"/>
          </w:tcPr>
          <w:p w:rsidRPr="002A53E5" w:rsidR="00A32597" w:rsidP="006A32CA" w:rsidRDefault="00A32597" w14:paraId="515D21C6" w14:textId="2801B4A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iCs/>
              </w:rPr>
            </w:pPr>
            <w:r w:rsidRPr="002A53E5">
              <w:rPr>
                <w:b/>
              </w:rPr>
              <w:t>Dokument źródłowy</w:t>
            </w:r>
          </w:p>
        </w:tc>
        <w:tc>
          <w:tcPr>
            <w:tcW w:w="3721" w:type="pct"/>
          </w:tcPr>
          <w:p w:rsidRPr="002A53E5" w:rsidR="00A32597" w:rsidP="006A32CA" w:rsidRDefault="00A32597" w14:paraId="7CE58217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COM(2023) 901 final</w:t>
            </w:r>
          </w:p>
          <w:p w:rsidRPr="002A53E5" w:rsidR="00A32597" w:rsidP="006A32CA" w:rsidRDefault="00A32597" w14:paraId="6114F19B" w14:textId="361596E0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EESC-2023-05137-00-00-AC</w:t>
            </w:r>
          </w:p>
        </w:tc>
      </w:tr>
    </w:tbl>
    <w:p w:rsidR="007A5E28" w:rsidP="007A5E28" w:rsidRDefault="007A5E28" w14:paraId="7158F85A" w14:textId="77777777">
      <w:pPr>
        <w:tabs>
          <w:tab w:val="center" w:pos="284"/>
        </w:tabs>
        <w:suppressAutoHyphens/>
        <w:jc w:val="left"/>
        <w:rPr>
          <w:b/>
        </w:rPr>
      </w:pPr>
    </w:p>
    <w:p w:rsidR="00A32597" w:rsidP="007A5E28" w:rsidRDefault="00A32597" w14:paraId="55102C19" w14:textId="03CEE8F5">
      <w:pPr>
        <w:tabs>
          <w:tab w:val="center" w:pos="284"/>
        </w:tabs>
        <w:suppressAutoHyphens/>
        <w:jc w:val="left"/>
        <w:rPr>
          <w:b/>
        </w:rPr>
      </w:pPr>
      <w:r w:rsidRPr="002A53E5">
        <w:rPr>
          <w:b/>
        </w:rPr>
        <w:t>Główne punkty</w:t>
      </w:r>
    </w:p>
    <w:p w:rsidRPr="002A53E5" w:rsidR="007A5E28" w:rsidP="007A5E28" w:rsidRDefault="007A5E28" w14:paraId="33CBA717" w14:textId="77777777">
      <w:pPr>
        <w:tabs>
          <w:tab w:val="center" w:pos="284"/>
        </w:tabs>
        <w:suppressAutoHyphens/>
        <w:jc w:val="left"/>
        <w:rPr>
          <w:rFonts w:eastAsia="Calibri"/>
          <w:b/>
        </w:rPr>
      </w:pPr>
    </w:p>
    <w:p w:rsidR="00A32597" w:rsidP="007A5E28" w:rsidRDefault="00A32597" w14:paraId="6878A780" w14:textId="48D26315">
      <w:pPr>
        <w:suppressAutoHyphens/>
      </w:pPr>
      <w:r w:rsidRPr="002A53E5">
        <w:t xml:space="preserve">EKES </w:t>
      </w:r>
    </w:p>
    <w:p w:rsidRPr="002A53E5" w:rsidR="007A5E28" w:rsidP="007A5E28" w:rsidRDefault="007A5E28" w14:paraId="4A2FF9D7" w14:textId="77777777">
      <w:pPr>
        <w:suppressAutoHyphens/>
        <w:rPr>
          <w:rFonts w:eastAsia="Calibri"/>
        </w:rPr>
      </w:pPr>
    </w:p>
    <w:p w:rsidRPr="002A53E5" w:rsidR="00A32597" w:rsidP="007A5E28" w:rsidRDefault="00A32597" w14:paraId="77BED355" w14:textId="40C1AAB3">
      <w:pPr>
        <w:numPr>
          <w:ilvl w:val="0"/>
          <w:numId w:val="17"/>
        </w:numPr>
        <w:suppressAutoHyphens/>
        <w:ind w:left="567" w:hanging="567"/>
        <w:outlineLvl w:val="1"/>
      </w:pPr>
      <w:bookmarkStart w:name="_Toc159831759" w:id="4"/>
      <w:bookmarkStart w:name="_Toc160774581" w:id="5"/>
      <w:r w:rsidRPr="002A53E5">
        <w:t>Sugeruje, by Europejski Bank Centralny (EBC) ściśle monitorował ryzyko gospodarcze i</w:t>
      </w:r>
      <w:r w:rsidR="00EB6DB2">
        <w:t> </w:t>
      </w:r>
      <w:r w:rsidRPr="002A53E5">
        <w:t>prowadził staranne planowanie ewentualnościowe w celu zapewnienia wiarygodnych perspektyw inflacyjnych., a także zaleca aby EBC był przygotowany na dostosowanie polityki w przypadku spowolnienia lub odwrócenia przewidywanego spadku inflacji bądź zbytniego odchylenia poniżej progu 2%. Opowiada się za jaśniejszym planowaniem awaryjnym w celu utrzymania wiarygodności prognoz inflacyjnych.</w:t>
      </w:r>
      <w:bookmarkEnd w:id="4"/>
      <w:bookmarkEnd w:id="5"/>
    </w:p>
    <w:p w:rsidRPr="002A53E5" w:rsidR="00A32597" w:rsidP="007A5E28" w:rsidRDefault="00A32597" w14:paraId="6EBE4B0D" w14:textId="586D97E6">
      <w:pPr>
        <w:numPr>
          <w:ilvl w:val="0"/>
          <w:numId w:val="17"/>
        </w:numPr>
        <w:suppressAutoHyphens/>
        <w:ind w:left="567" w:hanging="567"/>
        <w:outlineLvl w:val="1"/>
      </w:pPr>
      <w:bookmarkStart w:name="_Toc159831760" w:id="6"/>
      <w:bookmarkStart w:name="_Toc160774582" w:id="7"/>
      <w:r w:rsidRPr="002A53E5">
        <w:t>Wzywa do rzeczowej współpracy z parlamentami narodowymi, władzami regionalnymi i</w:t>
      </w:r>
      <w:r w:rsidR="00EB6DB2">
        <w:t> </w:t>
      </w:r>
      <w:r w:rsidRPr="002A53E5">
        <w:t>lokalnymi, społeczeństwem obywatelskim i partnerami społecznymi w zakresie reform unijnych ram zarządzania makroekonomicznego oraz podkreśla znaczenie przejęcia odpowiedzialności za te reformy na szczeblu krajowym poprzez skuteczny dialog.</w:t>
      </w:r>
      <w:bookmarkEnd w:id="6"/>
      <w:bookmarkEnd w:id="7"/>
    </w:p>
    <w:p w:rsidRPr="002A53E5" w:rsidR="00A32597" w:rsidP="007A5E28" w:rsidRDefault="00A32597" w14:paraId="15523693" w14:textId="77777777">
      <w:pPr>
        <w:numPr>
          <w:ilvl w:val="0"/>
          <w:numId w:val="17"/>
        </w:numPr>
        <w:suppressAutoHyphens/>
        <w:ind w:left="567" w:hanging="567"/>
        <w:outlineLvl w:val="1"/>
      </w:pPr>
      <w:bookmarkStart w:name="_Toc159831761" w:id="8"/>
      <w:bookmarkStart w:name="_Toc160774583" w:id="9"/>
      <w:r w:rsidRPr="002A53E5">
        <w:t>Zwraca uwagę na kluczowe znaczenie włączenia wartości demokratycznych i zasad praworządności do zarządzania gospodarczego UE.</w:t>
      </w:r>
      <w:bookmarkEnd w:id="8"/>
      <w:bookmarkEnd w:id="9"/>
    </w:p>
    <w:p w:rsidRPr="002A53E5" w:rsidR="00A32597" w:rsidP="007A5E28" w:rsidRDefault="00A32597" w14:paraId="0E045AD4" w14:textId="77777777">
      <w:pPr>
        <w:numPr>
          <w:ilvl w:val="0"/>
          <w:numId w:val="17"/>
        </w:numPr>
        <w:suppressAutoHyphens/>
        <w:ind w:left="567" w:hanging="567"/>
        <w:outlineLvl w:val="1"/>
      </w:pPr>
      <w:bookmarkStart w:name="_Toc159831762" w:id="10"/>
      <w:bookmarkStart w:name="_Toc160774584" w:id="11"/>
      <w:r w:rsidRPr="002A53E5">
        <w:t>Opowiada się za konsolidacją fiskalną, uwzględniającą wyjątkową sytuację każdego państwa członkowskiego, uznając zróżnicowane warunki gospodarcze i wyzwania dla wzrostu gospodarczego w poszczególnych państwach członkowskich.</w:t>
      </w:r>
      <w:bookmarkEnd w:id="10"/>
      <w:bookmarkEnd w:id="11"/>
    </w:p>
    <w:p w:rsidRPr="002A53E5" w:rsidR="00A32597" w:rsidP="007A5E28" w:rsidRDefault="00A32597" w14:paraId="581D3E0C" w14:textId="77777777">
      <w:pPr>
        <w:numPr>
          <w:ilvl w:val="0"/>
          <w:numId w:val="17"/>
        </w:numPr>
        <w:suppressAutoHyphens/>
        <w:ind w:left="567" w:hanging="567"/>
        <w:outlineLvl w:val="1"/>
      </w:pPr>
      <w:bookmarkStart w:name="_Toc159831763" w:id="12"/>
      <w:bookmarkStart w:name="_Toc160774585" w:id="13"/>
      <w:r w:rsidRPr="002A53E5">
        <w:t>Apeluje o zrównoważone podejście do stopniowego wycofywania wsparcia kryzysowego, które w dalszym ciągu pomaga słabszym grupom społecznym borykającym się z wysokimi kosztami energii i inflacją, oraz wzywa do ustanowienia stałych ram wsparcia uzależnionego od wysokości dochodów w niektórych krajach oraz podkreśla potrzebę przeprowadzenia szczegółowej dyskusji na temat skutków społecznych.</w:t>
      </w:r>
      <w:bookmarkEnd w:id="12"/>
      <w:bookmarkEnd w:id="13"/>
    </w:p>
    <w:p w:rsidRPr="002A53E5" w:rsidR="00A32597" w:rsidP="007A5E28" w:rsidRDefault="00A32597" w14:paraId="74E233B0" w14:textId="77777777">
      <w:pPr>
        <w:numPr>
          <w:ilvl w:val="0"/>
          <w:numId w:val="17"/>
        </w:numPr>
        <w:suppressAutoHyphens/>
        <w:ind w:left="567" w:hanging="567"/>
        <w:outlineLvl w:val="1"/>
      </w:pPr>
      <w:bookmarkStart w:name="_Toc159831764" w:id="14"/>
      <w:bookmarkStart w:name="_Toc160774586" w:id="15"/>
      <w:r w:rsidRPr="002A53E5">
        <w:t>Wzywa Komisję Europejską i rządy krajowe do zapewnienia niezbędnego wsparcia w celu zwiększenia zdolności administracyjnych i usprawnienia procesów oraz do zaangażowania społeczeństwa obywatelskiego we wdrażanie krajowych planów odbudowy i zwiększania odporności.</w:t>
      </w:r>
      <w:bookmarkEnd w:id="14"/>
      <w:bookmarkEnd w:id="15"/>
    </w:p>
    <w:p w:rsidRPr="002A53E5" w:rsidR="00A32597" w:rsidP="007A5E28" w:rsidRDefault="00A32597" w14:paraId="24E5E545" w14:textId="77777777">
      <w:pPr>
        <w:numPr>
          <w:ilvl w:val="0"/>
          <w:numId w:val="18"/>
        </w:numPr>
        <w:suppressAutoHyphens/>
        <w:ind w:left="567" w:hanging="567"/>
        <w:outlineLvl w:val="1"/>
      </w:pPr>
      <w:bookmarkStart w:name="_Toc159831765" w:id="16"/>
      <w:bookmarkStart w:name="_Toc160774587" w:id="17"/>
      <w:r w:rsidRPr="002A53E5">
        <w:t>Podkreśla potrzebę zwiększenia uczestnictwa w rynku pracy poprzez podnoszenie kwalifikacji, zapewnienie równych szans i zapobieganie dysproporcjom regionalnym, a także opowiada się za polityką przeciwdziałania stratom edukacyjnym spowodowanym pandemią, przy czym nacisk należy położyć na potrzeby uczniów i szkół znajdujących się w niekorzystnej sytuacji.</w:t>
      </w:r>
      <w:bookmarkEnd w:id="16"/>
      <w:bookmarkEnd w:id="17"/>
    </w:p>
    <w:p w:rsidRPr="002A53E5" w:rsidR="00A32597" w:rsidP="007A5E28" w:rsidRDefault="00A32597" w14:paraId="22994523" w14:textId="77777777">
      <w:pPr>
        <w:numPr>
          <w:ilvl w:val="0"/>
          <w:numId w:val="18"/>
        </w:numPr>
        <w:suppressAutoHyphens/>
        <w:ind w:left="567" w:hanging="567"/>
        <w:outlineLvl w:val="1"/>
      </w:pPr>
      <w:bookmarkStart w:name="_Toc159831766" w:id="18"/>
      <w:bookmarkStart w:name="_Toc160774588" w:id="19"/>
      <w:r w:rsidRPr="002A53E5">
        <w:t>Wzywa do podjęcia odważniejszych działań w celu usunięcia przeszkód administracyjnych utrudniających funkcjonowanie przedsiębiorstw w UE oraz pracę innych zainteresowanych podmiotów, przy jednoczesnym popieraniu środków mających zwiększyć wydajność, oraz twierdzi, że inicjatywom ukierunkowanym na ograniczenie obowiązków sprawozdawczych muszą towarzyszyć silniejsze zachęty do inwestycji w zrównoważony rozwój, w tym inwestycji transgranicznych.</w:t>
      </w:r>
      <w:bookmarkEnd w:id="18"/>
      <w:bookmarkEnd w:id="19"/>
    </w:p>
    <w:p w:rsidRPr="002A53E5" w:rsidR="00A32597" w:rsidP="007A5E28" w:rsidRDefault="00A32597" w14:paraId="6CFE049D" w14:textId="77777777">
      <w:pPr>
        <w:numPr>
          <w:ilvl w:val="0"/>
          <w:numId w:val="18"/>
        </w:numPr>
        <w:suppressAutoHyphens/>
        <w:ind w:left="567" w:hanging="567"/>
        <w:outlineLvl w:val="1"/>
      </w:pPr>
      <w:bookmarkStart w:name="_Toc159831767" w:id="20"/>
      <w:bookmarkStart w:name="_Toc160774589" w:id="21"/>
      <w:r w:rsidRPr="002A53E5">
        <w:lastRenderedPageBreak/>
        <w:t>opowiada się za zrównoważonym podejściem fiskalnym uwzględniającym wkład zainteresowanych stron i realia gospodarcze we wszystkich państwach członkowskich oraz podkreśla, że wdrażanie planów odbudowy powinno być dostosowane do tego zróżnicowanego podejścia, aby zapobiec podważaniu celów środowiskowych i społecznych.</w:t>
      </w:r>
      <w:bookmarkEnd w:id="20"/>
      <w:bookmarkEnd w:id="21"/>
    </w:p>
    <w:p w:rsidRPr="002A53E5" w:rsidR="00A32597" w:rsidP="007A5E28" w:rsidRDefault="00A32597" w14:paraId="6803DE03" w14:textId="7DA6D02D">
      <w:pPr>
        <w:numPr>
          <w:ilvl w:val="0"/>
          <w:numId w:val="18"/>
        </w:numPr>
        <w:suppressAutoHyphens/>
        <w:ind w:left="567" w:hanging="567"/>
        <w:outlineLvl w:val="1"/>
      </w:pPr>
      <w:bookmarkStart w:name="_Toc159831768" w:id="22"/>
      <w:bookmarkStart w:name="_Toc160774590" w:id="23"/>
      <w:r w:rsidRPr="002A53E5">
        <w:t>Jest rozczarowany opóźnieniem w tworzeniu Funduszu na rzecz Suwerenności; ponadto ograniczony budżet STEP budzi poważne wątpliwości co do determinacji i zdolności UE do osiągnięcia celów transformacji ekologicznej, a także obawy w związku z inwestycjami w</w:t>
      </w:r>
      <w:r w:rsidR="00EB6DB2">
        <w:t> </w:t>
      </w:r>
      <w:r w:rsidRPr="002A53E5">
        <w:t>konkurencyjność UE.</w:t>
      </w:r>
      <w:bookmarkEnd w:id="22"/>
      <w:bookmarkEnd w:id="23"/>
    </w:p>
    <w:p w:rsidRPr="002A53E5" w:rsidR="002C52B8" w:rsidP="00FC0E5F" w:rsidRDefault="002C52B8" w14:paraId="2496F124" w14:textId="77777777">
      <w:pPr>
        <w:suppressAutoHyphens/>
        <w:ind w:left="56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5670"/>
      </w:tblGrid>
      <w:tr w:rsidRPr="002A53E5" w:rsidR="00A32597" w:rsidTr="00B05454" w14:paraId="4E0E2CCB" w14:textId="77777777">
        <w:tc>
          <w:tcPr>
            <w:tcW w:w="1418" w:type="dxa"/>
          </w:tcPr>
          <w:p w:rsidRPr="002A53E5" w:rsidR="00A32597" w:rsidP="00FC0E5F" w:rsidRDefault="00A32597" w14:paraId="15B16749" w14:textId="77777777">
            <w:pPr>
              <w:suppressAutoHyphens/>
              <w:jc w:val="left"/>
              <w:rPr>
                <w:i/>
              </w:rPr>
            </w:pPr>
            <w:r w:rsidRPr="002A53E5"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2A53E5" w:rsidR="00A32597" w:rsidP="00FC0E5F" w:rsidRDefault="00A32597" w14:paraId="51D4069A" w14:textId="77777777">
            <w:pPr>
              <w:suppressAutoHyphens/>
              <w:jc w:val="left"/>
              <w:rPr>
                <w:i/>
                <w:iCs/>
              </w:rPr>
            </w:pPr>
            <w:r w:rsidRPr="002A53E5">
              <w:rPr>
                <w:i/>
              </w:rPr>
              <w:t>Colombe Grégoire</w:t>
            </w:r>
          </w:p>
        </w:tc>
      </w:tr>
      <w:tr w:rsidRPr="002A53E5" w:rsidR="00A32597" w:rsidTr="00B05454" w14:paraId="217EEC8E" w14:textId="77777777">
        <w:tc>
          <w:tcPr>
            <w:tcW w:w="1418" w:type="dxa"/>
          </w:tcPr>
          <w:p w:rsidRPr="002A53E5" w:rsidR="00A32597" w:rsidP="00FC0E5F" w:rsidRDefault="00A32597" w14:paraId="10D94256" w14:textId="77777777">
            <w:pPr>
              <w:suppressAutoHyphens/>
              <w:jc w:val="left"/>
              <w:rPr>
                <w:i/>
              </w:rPr>
            </w:pPr>
            <w:r w:rsidRPr="002A53E5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2A53E5" w:rsidR="00A32597" w:rsidP="00FC0E5F" w:rsidRDefault="00A32597" w14:paraId="79D2A7DE" w14:textId="77777777">
            <w:pPr>
              <w:suppressAutoHyphens/>
              <w:jc w:val="left"/>
              <w:rPr>
                <w:i/>
                <w:iCs/>
              </w:rPr>
            </w:pPr>
            <w:r w:rsidRPr="002A53E5">
              <w:rPr>
                <w:i/>
              </w:rPr>
              <w:t>+32 25469286</w:t>
            </w:r>
          </w:p>
        </w:tc>
      </w:tr>
      <w:tr w:rsidRPr="002A53E5" w:rsidR="00A32597" w:rsidTr="00B05454" w14:paraId="6EE0DBD3" w14:textId="77777777">
        <w:tc>
          <w:tcPr>
            <w:tcW w:w="1418" w:type="dxa"/>
          </w:tcPr>
          <w:p w:rsidRPr="002A53E5" w:rsidR="00A32597" w:rsidP="00FC0E5F" w:rsidRDefault="00A32597" w14:paraId="1D45D5A3" w14:textId="77777777">
            <w:pPr>
              <w:suppressAutoHyphens/>
              <w:jc w:val="left"/>
              <w:rPr>
                <w:i/>
              </w:rPr>
            </w:pPr>
            <w:r w:rsidRPr="002A53E5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4E664E" w:rsidR="00A32597" w:rsidP="00FC0E5F" w:rsidRDefault="00BE51E8" w14:paraId="1B217DB9" w14:textId="77777777">
            <w:pPr>
              <w:suppressAutoHyphens/>
              <w:jc w:val="left"/>
              <w:rPr>
                <w:i/>
                <w:iCs/>
              </w:rPr>
            </w:pPr>
            <w:hyperlink w:history="1" r:id="rId22">
              <w:r w:rsidRPr="004E664E" w:rsidR="00986441">
                <w:rPr>
                  <w:i/>
                  <w:iCs/>
                  <w:color w:val="0000FF"/>
                  <w:u w:val="single"/>
                </w:rPr>
                <w:t>Colombe.Gregoire@eesc.europa.eu</w:t>
              </w:r>
            </w:hyperlink>
            <w:r w:rsidRPr="004E664E" w:rsidR="00986441">
              <w:rPr>
                <w:i/>
                <w:iCs/>
              </w:rPr>
              <w:t xml:space="preserve"> </w:t>
            </w:r>
          </w:p>
        </w:tc>
      </w:tr>
    </w:tbl>
    <w:p w:rsidRPr="002A53E5" w:rsidR="00A32597" w:rsidP="00FC0E5F" w:rsidRDefault="00A32597" w14:paraId="11F6A301" w14:textId="30893F50">
      <w:pPr>
        <w:suppressAutoHyphens/>
        <w:jc w:val="left"/>
        <w:rPr>
          <w:b/>
          <w:bCs/>
        </w:rPr>
      </w:pPr>
    </w:p>
    <w:p w:rsidRPr="00040A5A" w:rsidR="00E76ACE" w:rsidP="003348DA" w:rsidRDefault="00BE51E8" w14:paraId="10608E4B" w14:textId="71CF8FDB">
      <w:pPr>
        <w:numPr>
          <w:ilvl w:val="0"/>
          <w:numId w:val="2"/>
        </w:numPr>
        <w:suppressAutoHyphens/>
        <w:ind w:hanging="567"/>
        <w:outlineLvl w:val="0"/>
        <w:rPr>
          <w:sz w:val="28"/>
          <w:szCs w:val="28"/>
        </w:rPr>
      </w:pPr>
      <w:hyperlink w:history="1" r:id="rId23">
        <w:bookmarkStart w:name="_Toc160774591" w:id="24"/>
        <w:r w:rsidRPr="00040A5A" w:rsidR="00986441">
          <w:rPr>
            <w:b/>
            <w:i/>
            <w:color w:val="0000FF"/>
            <w:sz w:val="28"/>
            <w:szCs w:val="28"/>
            <w:u w:val="single"/>
          </w:rPr>
          <w:t>Poprawa wskaźników referencyjnych i wymogów sprawozdawczych w</w:t>
        </w:r>
        <w:r w:rsidR="00EB6DB2">
          <w:rPr>
            <w:b/>
            <w:i/>
            <w:color w:val="0000FF"/>
            <w:sz w:val="28"/>
            <w:szCs w:val="28"/>
            <w:u w:val="single"/>
          </w:rPr>
          <w:t> </w:t>
        </w:r>
        <w:r w:rsidRPr="00040A5A" w:rsidR="00986441">
          <w:rPr>
            <w:b/>
            <w:i/>
            <w:color w:val="0000FF"/>
            <w:sz w:val="28"/>
            <w:szCs w:val="28"/>
            <w:u w:val="single"/>
          </w:rPr>
          <w:t>dziedzinach usług finansowych i wsparcia inwestycyjnego</w:t>
        </w:r>
        <w:bookmarkEnd w:id="24"/>
      </w:hyperlink>
    </w:p>
    <w:p w:rsidRPr="002A53E5" w:rsidR="00E76ACE" w:rsidP="00FC0E5F" w:rsidRDefault="00E76ACE" w14:paraId="633F7F87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W w:w="4845" w:type="pct"/>
        <w:tblLook w:val="04A0" w:firstRow="1" w:lastRow="0" w:firstColumn="1" w:lastColumn="0" w:noHBand="0" w:noVBand="1"/>
      </w:tblPr>
      <w:tblGrid>
        <w:gridCol w:w="2236"/>
        <w:gridCol w:w="6765"/>
      </w:tblGrid>
      <w:tr w:rsidRPr="002A53E5" w:rsidR="00E76ACE" w:rsidTr="00EB6DB2" w14:paraId="618851BF" w14:textId="77777777">
        <w:tc>
          <w:tcPr>
            <w:tcW w:w="1242" w:type="pct"/>
          </w:tcPr>
          <w:p w:rsidRPr="002A53E5" w:rsidR="00E76ACE" w:rsidP="006A32CA" w:rsidRDefault="00E76ACE" w14:paraId="160C454C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Sprawozdawca</w:t>
            </w:r>
          </w:p>
        </w:tc>
        <w:tc>
          <w:tcPr>
            <w:tcW w:w="3758" w:type="pct"/>
          </w:tcPr>
          <w:p w:rsidRPr="002A53E5" w:rsidR="00E76ACE" w:rsidP="006A32CA" w:rsidRDefault="00E76ACE" w14:paraId="6FCB339F" w14:textId="00D67000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Krzysztof BALON (Grupa Organizacji Społeczeństwa Obywatelskiego – PL)</w:t>
            </w:r>
          </w:p>
        </w:tc>
      </w:tr>
      <w:tr w:rsidRPr="002A53E5" w:rsidR="00E76ACE" w:rsidTr="00B05454" w14:paraId="4A807341" w14:textId="77777777">
        <w:tc>
          <w:tcPr>
            <w:tcW w:w="5000" w:type="pct"/>
            <w:gridSpan w:val="2"/>
          </w:tcPr>
          <w:p w:rsidRPr="002A53E5" w:rsidR="00E76ACE" w:rsidP="006A32CA" w:rsidRDefault="00E76ACE" w14:paraId="45B4F74F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Pr="002A53E5" w:rsidR="00E76ACE" w:rsidTr="00EB6DB2" w14:paraId="6F674771" w14:textId="77777777">
        <w:tc>
          <w:tcPr>
            <w:tcW w:w="1242" w:type="pct"/>
            <w:vMerge w:val="restart"/>
          </w:tcPr>
          <w:p w:rsidRPr="002A53E5" w:rsidR="00E76ACE" w:rsidP="006A32CA" w:rsidRDefault="00E76ACE" w14:paraId="3CD2717C" w14:textId="0FDBE00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Dokument źródłowy</w:t>
            </w:r>
          </w:p>
        </w:tc>
        <w:tc>
          <w:tcPr>
            <w:tcW w:w="3758" w:type="pct"/>
          </w:tcPr>
          <w:p w:rsidRPr="002A53E5" w:rsidR="00E76ACE" w:rsidP="006A32CA" w:rsidRDefault="00E76ACE" w14:paraId="705878F6" w14:textId="3D9351DE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 xml:space="preserve">COM(2023) 593 final </w:t>
            </w:r>
          </w:p>
          <w:p w:rsidRPr="002A53E5" w:rsidR="00E76ACE" w:rsidP="006A32CA" w:rsidRDefault="00E76ACE" w14:paraId="0D256A2F" w14:textId="57B88F62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 xml:space="preserve">COM(2023) 660 final </w:t>
            </w:r>
          </w:p>
        </w:tc>
      </w:tr>
      <w:tr w:rsidRPr="002A53E5" w:rsidR="00E76ACE" w:rsidTr="00EB6DB2" w14:paraId="2D4938C0" w14:textId="77777777">
        <w:tc>
          <w:tcPr>
            <w:tcW w:w="1242" w:type="pct"/>
            <w:vMerge/>
          </w:tcPr>
          <w:p w:rsidRPr="002A53E5" w:rsidR="00E76ACE" w:rsidP="006A32CA" w:rsidRDefault="00E76ACE" w14:paraId="682CA6FF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3758" w:type="pct"/>
          </w:tcPr>
          <w:p w:rsidRPr="002A53E5" w:rsidR="00E76ACE" w:rsidP="006A32CA" w:rsidRDefault="00E76ACE" w14:paraId="140F62AD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EESC-2023-05424-00-00-AC</w:t>
            </w:r>
          </w:p>
        </w:tc>
      </w:tr>
    </w:tbl>
    <w:p w:rsidR="00EB6DB2" w:rsidP="00EB6DB2" w:rsidRDefault="00EB6DB2" w14:paraId="4C69A4DF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Pr="002A53E5" w:rsidR="00E76ACE" w:rsidP="00EB6DB2" w:rsidRDefault="00E76ACE" w14:paraId="6D12F68A" w14:textId="648E9150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A53E5">
        <w:rPr>
          <w:b/>
        </w:rPr>
        <w:t>Główne punkty</w:t>
      </w:r>
    </w:p>
    <w:p w:rsidRPr="002A53E5" w:rsidR="00E76ACE" w:rsidP="00EB6DB2" w:rsidRDefault="00E76ACE" w14:paraId="0B88EF57" w14:textId="77777777">
      <w:pPr>
        <w:suppressAutoHyphens/>
        <w:jc w:val="left"/>
        <w:rPr>
          <w:lang w:eastAsia="zh-CN"/>
        </w:rPr>
      </w:pPr>
    </w:p>
    <w:p w:rsidRPr="002A53E5" w:rsidR="00E76ACE" w:rsidP="00EB6DB2" w:rsidRDefault="00E76ACE" w14:paraId="1F52A2F7" w14:textId="77777777">
      <w:pPr>
        <w:suppressAutoHyphens/>
      </w:pPr>
      <w:r w:rsidRPr="002A53E5">
        <w:t>W sprawie udostępniania danych i ograniczania wymogów administracyjnych w zakresie usług finansowych i wsparcia inwestycyjnego EKES:</w:t>
      </w:r>
    </w:p>
    <w:p w:rsidRPr="002A53E5" w:rsidR="00E76ACE" w:rsidP="00EB6DB2" w:rsidRDefault="00E76ACE" w14:paraId="4042A6B6" w14:textId="77777777">
      <w:pPr>
        <w:suppressAutoHyphens/>
        <w:overflowPunct w:val="0"/>
        <w:autoSpaceDE w:val="0"/>
        <w:autoSpaceDN w:val="0"/>
        <w:adjustRightInd w:val="0"/>
        <w:jc w:val="left"/>
      </w:pPr>
    </w:p>
    <w:p w:rsidRPr="002A53E5" w:rsidR="00E76ACE" w:rsidP="00EB6DB2" w:rsidRDefault="00E76ACE" w14:paraId="58026ACF" w14:textId="611282C6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Z zadowoleniem przyjmuje inicjatywę dotyczącą racjonalizacji i uproszczenia wymogów w</w:t>
      </w:r>
      <w:r w:rsidR="00EB6DB2">
        <w:t> </w:t>
      </w:r>
      <w:r w:rsidRPr="002A53E5">
        <w:t xml:space="preserve">zakresie sprawozdawczości nadzorczej oraz unikanie powielania wniosków o przekazanie informacji. </w:t>
      </w:r>
    </w:p>
    <w:p w:rsidRPr="002A53E5" w:rsidR="00E76ACE" w:rsidP="00EB6DB2" w:rsidRDefault="00E76ACE" w14:paraId="762863D4" w14:textId="77777777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 xml:space="preserve">Uważa, że konieczne będzie ujednolicenie zakresu i formatu danych przekazywanych w ramach wymiany informacji między organami nadzorującymi sektor finansowy. </w:t>
      </w:r>
    </w:p>
    <w:p w:rsidRPr="002A53E5" w:rsidR="00E76ACE" w:rsidP="00EB6DB2" w:rsidRDefault="00E76ACE" w14:paraId="1F63FC84" w14:textId="77777777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Zauważa, że proponowane zmiany mogą generować pewne koszty związane z wdrożeniem lub dalszą standaryzacją. Wymóg minimalizacji kosztów nie powinien być oddzielony od innych celów gromadzenia i udostępniania danych.</w:t>
      </w:r>
    </w:p>
    <w:p w:rsidRPr="002A53E5" w:rsidR="00E76ACE" w:rsidP="00EB6DB2" w:rsidRDefault="00E76ACE" w14:paraId="42EC964E" w14:textId="77777777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Uważa, że w ramach przyszłych inicjatyw należy ustalić, że dostarczenie danych do jednego właściwego organu (lub wspólnej platformy) powinno być traktowane jako dostarczenie także do wszystkich innych właściwych organów (koncepcja „punktu kompleksowej obsługi”).</w:t>
      </w:r>
    </w:p>
    <w:p w:rsidRPr="002A53E5" w:rsidR="00E76ACE" w:rsidP="00EB6DB2" w:rsidRDefault="00E76ACE" w14:paraId="0831C626" w14:textId="77777777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Zauważa, że wymiana danych między organami nadal następowałaby na dobrowolny wniosek. W związku z tym organy muszą (a nie tylko „mogą”) zawierać protokoły ustaleń w celu określenia warunków wymiany informacji.</w:t>
      </w:r>
    </w:p>
    <w:p w:rsidRPr="002A53E5" w:rsidR="00E76ACE" w:rsidP="00EB6DB2" w:rsidRDefault="00E76ACE" w14:paraId="13DBA4C5" w14:textId="77777777">
      <w:pPr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Wskazuje, że aby osiągnąć uproszczenie, należałoby obowiązkowo dokonywać regularnych przeglądów wymogów sprawozdawczych.</w:t>
      </w:r>
    </w:p>
    <w:p w:rsidRPr="002A53E5" w:rsidR="00E76ACE" w:rsidP="00FC0E5F" w:rsidRDefault="00E76ACE" w14:paraId="6C4CE41E" w14:textId="77777777">
      <w:pPr>
        <w:suppressAutoHyphens/>
        <w:overflowPunct w:val="0"/>
        <w:autoSpaceDE w:val="0"/>
        <w:autoSpaceDN w:val="0"/>
        <w:adjustRightInd w:val="0"/>
        <w:ind w:left="284"/>
        <w:jc w:val="left"/>
      </w:pPr>
    </w:p>
    <w:p w:rsidRPr="002A53E5" w:rsidR="00E76ACE" w:rsidP="00FC0E5F" w:rsidRDefault="00E76ACE" w14:paraId="5CD848D6" w14:textId="77777777">
      <w:pPr>
        <w:suppressAutoHyphens/>
        <w:jc w:val="left"/>
      </w:pPr>
      <w:r w:rsidRPr="002A53E5">
        <w:lastRenderedPageBreak/>
        <w:t>W odniesieniu do zmian w rozporządzeniu w sprawie wskaźników referencyjnych EKES:</w:t>
      </w:r>
    </w:p>
    <w:p w:rsidRPr="002A53E5" w:rsidR="00E76ACE" w:rsidP="00FC0E5F" w:rsidRDefault="00E76ACE" w14:paraId="706F0FFB" w14:textId="77777777">
      <w:pPr>
        <w:suppressAutoHyphens/>
        <w:overflowPunct w:val="0"/>
        <w:autoSpaceDE w:val="0"/>
        <w:autoSpaceDN w:val="0"/>
        <w:adjustRightInd w:val="0"/>
        <w:ind w:left="284"/>
        <w:jc w:val="left"/>
      </w:pPr>
    </w:p>
    <w:p w:rsidRPr="002A53E5" w:rsidR="00E76ACE" w:rsidP="00EB6DB2" w:rsidRDefault="00E76ACE" w14:paraId="6FC51301" w14:textId="79A20F6D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Z zadowoleniem przyjmuje bardziej wyważone i proporcjonalne podejście do ochrony stabilności finansowej i integralności rynków europejskich, a także do ograniczenia kosztów i</w:t>
      </w:r>
      <w:r w:rsidR="00EB6DB2">
        <w:t> </w:t>
      </w:r>
      <w:r w:rsidRPr="002A53E5">
        <w:t xml:space="preserve">wymogów regulacyjnych, w szczególności dzięki zmniejszeniu wymogów dotyczących pozaistotnych wskaźników referencyjnych. </w:t>
      </w:r>
    </w:p>
    <w:p w:rsidRPr="002A53E5" w:rsidR="00E76ACE" w:rsidP="00EB6DB2" w:rsidRDefault="00E76ACE" w14:paraId="512ABB98" w14:textId="77777777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Aprobuje doprecyzowanie roli Komisji, Europejskiego Urzędu Nadzoru Giełd i Papierów Wartościowych (ESMA) oraz organów krajowych w procesie mającym zastosowanie do istotnych i kluczowych wskaźników referencyjnych.</w:t>
      </w:r>
    </w:p>
    <w:p w:rsidRPr="002A53E5" w:rsidR="00E76ACE" w:rsidP="00EB6DB2" w:rsidRDefault="00E76ACE" w14:paraId="39EE635D" w14:textId="77777777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Zdecydowanie zaleca sprawdzenie, czy możliwe jest podjęcie inicjatywy mającej na celu zminimalizowanie wymogów sprawozdawczych lub obniżenie kosztów w odniesieniu do kluczowych lub istotnych wskaźników referencyjnych.</w:t>
      </w:r>
    </w:p>
    <w:p w:rsidRPr="002A53E5" w:rsidR="00E76ACE" w:rsidP="00FC0E5F" w:rsidRDefault="00E76ACE" w14:paraId="0966C473" w14:textId="77777777">
      <w:pPr>
        <w:suppressAutoHyphens/>
        <w:overflowPunct w:val="0"/>
        <w:autoSpaceDE w:val="0"/>
        <w:autoSpaceDN w:val="0"/>
        <w:adjustRightInd w:val="0"/>
      </w:pPr>
    </w:p>
    <w:p w:rsidRPr="002A53E5" w:rsidR="00E76ACE" w:rsidP="00FC0E5F" w:rsidRDefault="00E76ACE" w14:paraId="468B2533" w14:textId="77777777">
      <w:pPr>
        <w:suppressAutoHyphens/>
        <w:ind w:left="714"/>
        <w:rPr>
          <w:lang w:eastAsia="zh-CN"/>
        </w:rPr>
      </w:pPr>
    </w:p>
    <w:tbl>
      <w:tblPr>
        <w:tblW w:w="3516" w:type="pct"/>
        <w:tblLook w:val="04A0" w:firstRow="1" w:lastRow="0" w:firstColumn="1" w:lastColumn="0" w:noHBand="0" w:noVBand="1"/>
      </w:tblPr>
      <w:tblGrid>
        <w:gridCol w:w="2033"/>
        <w:gridCol w:w="4499"/>
      </w:tblGrid>
      <w:tr w:rsidRPr="002A53E5" w:rsidR="00E76ACE" w:rsidTr="00B05454" w14:paraId="5AC2D924" w14:textId="77777777">
        <w:tc>
          <w:tcPr>
            <w:tcW w:w="1556" w:type="pct"/>
          </w:tcPr>
          <w:p w:rsidRPr="002A53E5" w:rsidR="00E76ACE" w:rsidP="00FC0E5F" w:rsidRDefault="00E76ACE" w14:paraId="631F02EC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b/>
                <w:i/>
              </w:rPr>
              <w:t>Kontakt</w:t>
            </w:r>
          </w:p>
        </w:tc>
        <w:tc>
          <w:tcPr>
            <w:tcW w:w="3444" w:type="pct"/>
          </w:tcPr>
          <w:p w:rsidRPr="002A53E5" w:rsidR="00E76ACE" w:rsidP="00FC0E5F" w:rsidRDefault="00E76ACE" w14:paraId="37BFF911" w14:textId="26B6403B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Sergio Lorencio Matallana</w:t>
            </w:r>
          </w:p>
        </w:tc>
      </w:tr>
      <w:tr w:rsidRPr="002A53E5" w:rsidR="00E76ACE" w:rsidTr="00B05454" w14:paraId="38EECD9C" w14:textId="77777777">
        <w:tc>
          <w:tcPr>
            <w:tcW w:w="1556" w:type="pct"/>
          </w:tcPr>
          <w:p w:rsidRPr="002A53E5" w:rsidR="00E76ACE" w:rsidP="00FC0E5F" w:rsidRDefault="00E76ACE" w14:paraId="00111D5D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2A53E5" w:rsidR="00E76ACE" w:rsidP="00FC0E5F" w:rsidRDefault="00E76ACE" w14:paraId="2BA01FC0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+32 25469240</w:t>
            </w:r>
          </w:p>
        </w:tc>
      </w:tr>
      <w:tr w:rsidRPr="002A53E5" w:rsidR="00E76ACE" w:rsidTr="00B05454" w14:paraId="34EA2FE0" w14:textId="77777777">
        <w:tc>
          <w:tcPr>
            <w:tcW w:w="1556" w:type="pct"/>
          </w:tcPr>
          <w:p w:rsidRPr="002A53E5" w:rsidR="00E76ACE" w:rsidP="00FC0E5F" w:rsidRDefault="00E76ACE" w14:paraId="3C52BE60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e-mail:</w:t>
            </w:r>
          </w:p>
        </w:tc>
        <w:tc>
          <w:tcPr>
            <w:tcW w:w="3444" w:type="pct"/>
          </w:tcPr>
          <w:p w:rsidRPr="002A53E5" w:rsidR="00E76ACE" w:rsidP="00FC0E5F" w:rsidRDefault="00BE51E8" w14:paraId="4D5E4782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24">
              <w:r w:rsidRPr="002A53E5" w:rsidR="00986441">
                <w:rPr>
                  <w:i/>
                  <w:color w:val="0000FF"/>
                  <w:u w:val="single"/>
                </w:rPr>
                <w:t>Sergio.LorencioMatallana@eesc.europa.eu</w:t>
              </w:r>
            </w:hyperlink>
          </w:p>
        </w:tc>
      </w:tr>
    </w:tbl>
    <w:p w:rsidRPr="002A53E5" w:rsidR="00E76ACE" w:rsidP="00FC0E5F" w:rsidRDefault="00E76ACE" w14:paraId="1F90D670" w14:textId="77777777">
      <w:pPr>
        <w:suppressAutoHyphens/>
        <w:jc w:val="left"/>
        <w:rPr>
          <w:b/>
          <w:bCs/>
        </w:rPr>
      </w:pPr>
      <w:r w:rsidRPr="002A53E5">
        <w:br w:type="page"/>
      </w:r>
    </w:p>
    <w:p w:rsidRPr="002A53E5" w:rsidR="006C6A1E" w:rsidP="002A53E5" w:rsidRDefault="006C6A1E" w14:paraId="55E56154" w14:textId="2549BDD3">
      <w:pPr>
        <w:pStyle w:val="Heading1"/>
        <w:tabs>
          <w:tab w:val="clear" w:pos="440"/>
        </w:tabs>
        <w:suppressAutoHyphens/>
        <w:spacing w:before="0"/>
        <w:ind w:left="567" w:right="0" w:hanging="567"/>
        <w:rPr>
          <w:b/>
          <w:bCs/>
        </w:rPr>
      </w:pPr>
      <w:bookmarkStart w:name="_Toc150179063" w:id="25"/>
      <w:bookmarkStart w:name="_Toc153539680" w:id="26"/>
      <w:bookmarkStart w:name="_Toc160774592" w:id="27"/>
      <w:bookmarkEnd w:id="25"/>
      <w:r w:rsidRPr="002A53E5">
        <w:rPr>
          <w:b/>
        </w:rPr>
        <w:lastRenderedPageBreak/>
        <w:t>ZATRUDNIENIE, SPRAWY SPOŁECZNE I OBYWATELSTWO</w:t>
      </w:r>
      <w:bookmarkEnd w:id="27"/>
    </w:p>
    <w:p w:rsidRPr="002A53E5" w:rsidR="006C6A1E" w:rsidP="00FC0E5F" w:rsidRDefault="006C6A1E" w14:paraId="190420D2" w14:textId="4E6BD19C">
      <w:pPr>
        <w:suppressAutoHyphens/>
      </w:pPr>
    </w:p>
    <w:p w:rsidRPr="00040A5A" w:rsidR="006C6A1E" w:rsidP="003348DA" w:rsidRDefault="00BE51E8" w14:paraId="7AA2DF65" w14:textId="5E6190D2">
      <w:pPr>
        <w:numPr>
          <w:ilvl w:val="0"/>
          <w:numId w:val="2"/>
        </w:numPr>
        <w:suppressAutoHyphens/>
        <w:ind w:hanging="567"/>
        <w:outlineLvl w:val="0"/>
        <w:rPr>
          <w:sz w:val="28"/>
          <w:szCs w:val="28"/>
        </w:rPr>
      </w:pPr>
      <w:hyperlink w:history="1" r:id="rId25">
        <w:bookmarkStart w:name="_Toc160774593" w:id="28"/>
        <w:r w:rsidRPr="00040A5A" w:rsidR="00986441">
          <w:rPr>
            <w:b/>
            <w:i/>
            <w:color w:val="0000FF"/>
            <w:sz w:val="28"/>
            <w:szCs w:val="28"/>
            <w:u w:val="single"/>
          </w:rPr>
          <w:t>Cyfryzacja systemów zabezpieczenia społecznego</w:t>
        </w:r>
        <w:bookmarkEnd w:id="28"/>
      </w:hyperlink>
    </w:p>
    <w:p w:rsidRPr="002A53E5" w:rsidR="006C6A1E" w:rsidP="00FC0E5F" w:rsidRDefault="006C6A1E" w14:paraId="55612D29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5"/>
        <w:gridCol w:w="7054"/>
      </w:tblGrid>
      <w:tr w:rsidRPr="002A53E5" w:rsidR="006C6A1E" w:rsidTr="006F41D2" w14:paraId="1E5744BE" w14:textId="77777777">
        <w:trPr>
          <w:trHeight w:val="564"/>
        </w:trPr>
        <w:tc>
          <w:tcPr>
            <w:tcW w:w="1203" w:type="pct"/>
          </w:tcPr>
          <w:p w:rsidRPr="002A53E5" w:rsidR="006C6A1E" w:rsidP="006A32CA" w:rsidRDefault="006C6A1E" w14:paraId="0C0E6752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Sprawozdawca</w:t>
            </w:r>
          </w:p>
        </w:tc>
        <w:tc>
          <w:tcPr>
            <w:tcW w:w="3797" w:type="pct"/>
          </w:tcPr>
          <w:p w:rsidRPr="002A53E5" w:rsidR="006C6A1E" w:rsidP="006A32CA" w:rsidRDefault="006C6A1E" w14:paraId="1F9E7E12" w14:textId="5FFDA98B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Krzysztof BALON (Grupa Organizacji Społeczeństwa Obywatelskiego – PL)</w:t>
            </w:r>
          </w:p>
        </w:tc>
      </w:tr>
      <w:tr w:rsidRPr="002A53E5" w:rsidR="006C6A1E" w:rsidTr="006F41D2" w14:paraId="3FEF9A97" w14:textId="77777777">
        <w:trPr>
          <w:trHeight w:val="294"/>
        </w:trPr>
        <w:tc>
          <w:tcPr>
            <w:tcW w:w="1203" w:type="pct"/>
          </w:tcPr>
          <w:p w:rsidRPr="002A53E5" w:rsidR="006C6A1E" w:rsidP="006A32CA" w:rsidRDefault="006C6A1E" w14:paraId="14F4FC73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Współsprawozdawca</w:t>
            </w:r>
          </w:p>
        </w:tc>
        <w:tc>
          <w:tcPr>
            <w:tcW w:w="3797" w:type="pct"/>
          </w:tcPr>
          <w:p w:rsidRPr="002A53E5" w:rsidR="006C6A1E" w:rsidP="006A32CA" w:rsidRDefault="006C6A1E" w14:paraId="15858FF0" w14:textId="215E30DC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Maria del Carmen BARRERA CHAMORRO (Grupa Pracowników – ES)</w:t>
            </w:r>
          </w:p>
        </w:tc>
      </w:tr>
      <w:tr w:rsidRPr="002A53E5" w:rsidR="006C6A1E" w:rsidTr="005C5B0C" w14:paraId="3AECE3D5" w14:textId="77777777">
        <w:trPr>
          <w:trHeight w:val="153"/>
        </w:trPr>
        <w:tc>
          <w:tcPr>
            <w:tcW w:w="5000" w:type="pct"/>
            <w:gridSpan w:val="2"/>
          </w:tcPr>
          <w:p w:rsidRPr="002A53E5" w:rsidR="006C6A1E" w:rsidP="006A32CA" w:rsidRDefault="006C6A1E" w14:paraId="660A79BB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Pr="002A53E5" w:rsidR="006C6A1E" w:rsidTr="006F41D2" w14:paraId="4552C784" w14:textId="77777777">
        <w:trPr>
          <w:trHeight w:val="282"/>
        </w:trPr>
        <w:tc>
          <w:tcPr>
            <w:tcW w:w="1203" w:type="pct"/>
          </w:tcPr>
          <w:p w:rsidRPr="002A53E5" w:rsidR="006C6A1E" w:rsidP="006A32CA" w:rsidRDefault="006C6A1E" w14:paraId="2CED479C" w14:textId="52F6B60E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Dokument źródłowy</w:t>
            </w:r>
          </w:p>
        </w:tc>
        <w:tc>
          <w:tcPr>
            <w:tcW w:w="3797" w:type="pct"/>
          </w:tcPr>
          <w:p w:rsidRPr="002A53E5" w:rsidR="006C6A1E" w:rsidP="006A32CA" w:rsidRDefault="006C6A1E" w14:paraId="25E0EE5C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COM(2023) 501 final</w:t>
            </w:r>
          </w:p>
          <w:p w:rsidRPr="002A53E5" w:rsidR="006C6A1E" w:rsidP="006A32CA" w:rsidRDefault="006C6A1E" w14:paraId="41250C39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EESC-2023-03875-00-00-AC</w:t>
            </w:r>
          </w:p>
        </w:tc>
      </w:tr>
    </w:tbl>
    <w:p w:rsidRPr="002A53E5" w:rsidR="006C6A1E" w:rsidP="00FC0E5F" w:rsidRDefault="006C6A1E" w14:paraId="13BCE082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2A53E5" w:rsidR="006C6A1E" w:rsidP="00FC0E5F" w:rsidRDefault="006C6A1E" w14:paraId="4FFD8EA0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2A53E5">
        <w:rPr>
          <w:b/>
        </w:rPr>
        <w:t>Główne punkty</w:t>
      </w:r>
    </w:p>
    <w:p w:rsidRPr="002A53E5" w:rsidR="006C6A1E" w:rsidP="00FC0E5F" w:rsidRDefault="006C6A1E" w14:paraId="4D558131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2A53E5" w:rsidR="006C6A1E" w:rsidP="00FC0E5F" w:rsidRDefault="006C6A1E" w14:paraId="644A124F" w14:textId="77777777">
      <w:pPr>
        <w:suppressAutoHyphens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2A53E5">
        <w:t>EKES</w:t>
      </w:r>
    </w:p>
    <w:p w:rsidRPr="002A53E5" w:rsidR="006C6A1E" w:rsidP="00FC0E5F" w:rsidRDefault="006C6A1E" w14:paraId="08AD54EB" w14:textId="77777777">
      <w:pPr>
        <w:suppressAutoHyphens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2A53E5" w:rsidR="006C6A1E" w:rsidP="005C5B0C" w:rsidRDefault="006C6A1E" w14:paraId="7C9F6447" w14:textId="77777777">
      <w:pPr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2A53E5">
        <w:t>Dostrzega wyzwania związane z transgraniczną koordynacją systemów zabezpieczenia społecznego, takie jak złożoność procedur biurokratycznych, procedury wymagające fizycznej manipulacji i fizycznej formy niektórych dokumentów oraz trudności w ich weryfikacji lub walidacji, które utrudniają swobodny przepływ z punktu widzenia obywateli i przedsiębiorstw.</w:t>
      </w:r>
    </w:p>
    <w:p w:rsidRPr="002A53E5" w:rsidR="006C6A1E" w:rsidP="005C5B0C" w:rsidRDefault="006C6A1E" w14:paraId="09D6FEBE" w14:textId="77777777">
      <w:pPr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2A53E5">
        <w:t>Z zadowoleniem przyjmuje i w pełni popiera cel Komisji, jakim jest uproszczenie transgranicznej koordynacji systemów zabezpieczenia społecznego i opieki zdrowotnej poprzez cyfryzację.</w:t>
      </w:r>
    </w:p>
    <w:p w:rsidRPr="002A53E5" w:rsidR="006C6A1E" w:rsidP="005C5B0C" w:rsidRDefault="006C6A1E" w14:paraId="17F777BF" w14:textId="54ABD7E0">
      <w:pPr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2A53E5">
        <w:t>Wzywa do natychmiastowego opracowania kompleksowego planu działania na rzecz cyfryzacji koordynacji systemów zabezpieczenia społecznego przy zastosowaniu podejścia oddolnego, podkreślając jednocześnie znaczenie uwzględnienia potrzeb instytucji zabezpieczenia społecznego i zainteresowanych stron, w tym obywateli, pracodawców, przedsiębiorstw i</w:t>
      </w:r>
      <w:r w:rsidR="005C5B0C">
        <w:t> </w:t>
      </w:r>
      <w:r w:rsidRPr="002A53E5">
        <w:t>podmiotów gospodarki społecznej.</w:t>
      </w:r>
    </w:p>
    <w:p w:rsidRPr="002A53E5" w:rsidR="006C6A1E" w:rsidP="005C5B0C" w:rsidRDefault="006C6A1E" w14:paraId="0BB9A11F" w14:textId="77777777">
      <w:pPr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Wzywa do zapewnienia alternatywnych rozwiązań dla osób, które nie są w stanie korzystać ze środków elektronicznych lub które w inny sposób są wykluczone cyfrowo. EKES podkreśla, że identyfikacja cyfrowa powinna być opcją, a nie wymogiem, dopóki nie zostaną ustalone odpowiednie alternatywy zgodne z odpowiednimi standardami ochrony danych.</w:t>
      </w:r>
    </w:p>
    <w:p w:rsidRPr="002A53E5" w:rsidR="006C6A1E" w:rsidP="005C5B0C" w:rsidRDefault="006C6A1E" w14:paraId="6B66E7B8" w14:textId="77777777">
      <w:pPr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Uważa, że do czasu zakończenia reformy rozporządzenia 883/2004 w sprawie koordynacji systemów zabezpieczenia społecznego nie uda nam się osiągnąć wyłącznie poprzez cyfryzację zabezpieczenia społecznego naszych celów polegających na usuwaniu przeszkód w swobodnym przemieszczaniu się.</w:t>
      </w:r>
    </w:p>
    <w:p w:rsidRPr="002A53E5" w:rsidR="006C6A1E" w:rsidP="005C5B0C" w:rsidRDefault="006C6A1E" w14:paraId="65D4664B" w14:textId="39166C06">
      <w:pPr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Proponuje stałą wymianę najlepszych praktyk między państwami członkowskimi w zakresie cyfryzacji koordynacji systemów zabezpieczenia społecznego. Aby zachęcać do takich działań i</w:t>
      </w:r>
      <w:r w:rsidR="005C5B0C">
        <w:t> </w:t>
      </w:r>
      <w:r w:rsidRPr="002A53E5">
        <w:t>propagować je, EKES sugeruje, by Komisja i Europejski Urząd ds. Pracy zorganizowały konferencję, w której uczestniczyć będą rządy państw członkowskich i społeczeństwo obywatelskie.</w:t>
      </w:r>
    </w:p>
    <w:p w:rsidRPr="002A53E5" w:rsidR="006C6A1E" w:rsidP="00FC0E5F" w:rsidRDefault="006C6A1E" w14:paraId="648300B2" w14:textId="77777777">
      <w:pPr>
        <w:suppressAutoHyphens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W w:w="3516" w:type="pct"/>
        <w:tblLook w:val="04A0" w:firstRow="1" w:lastRow="0" w:firstColumn="1" w:lastColumn="0" w:noHBand="0" w:noVBand="1"/>
      </w:tblPr>
      <w:tblGrid>
        <w:gridCol w:w="2033"/>
        <w:gridCol w:w="4499"/>
      </w:tblGrid>
      <w:tr w:rsidRPr="002A53E5" w:rsidR="006C6A1E" w:rsidTr="00B05454" w14:paraId="4E6E4B82" w14:textId="77777777">
        <w:tc>
          <w:tcPr>
            <w:tcW w:w="1556" w:type="pct"/>
          </w:tcPr>
          <w:p w:rsidRPr="002A53E5" w:rsidR="006C6A1E" w:rsidP="00FC0E5F" w:rsidRDefault="006C6A1E" w14:paraId="10BE9558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b/>
                <w:i/>
              </w:rPr>
              <w:t>Kontakt</w:t>
            </w:r>
          </w:p>
        </w:tc>
        <w:tc>
          <w:tcPr>
            <w:tcW w:w="3444" w:type="pct"/>
          </w:tcPr>
          <w:p w:rsidRPr="002A53E5" w:rsidR="006C6A1E" w:rsidP="00FC0E5F" w:rsidRDefault="006C6A1E" w14:paraId="7A73FAED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Bartek Bednarowicz</w:t>
            </w:r>
          </w:p>
        </w:tc>
      </w:tr>
      <w:tr w:rsidRPr="002A53E5" w:rsidR="006C6A1E" w:rsidTr="00B05454" w14:paraId="62915FF2" w14:textId="77777777">
        <w:tc>
          <w:tcPr>
            <w:tcW w:w="1556" w:type="pct"/>
          </w:tcPr>
          <w:p w:rsidRPr="002A53E5" w:rsidR="006C6A1E" w:rsidP="00FC0E5F" w:rsidRDefault="006C6A1E" w14:paraId="7853AC57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2A53E5" w:rsidR="006C6A1E" w:rsidP="00FC0E5F" w:rsidRDefault="006C6A1E" w14:paraId="3D0777F2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+32 25469229</w:t>
            </w:r>
          </w:p>
        </w:tc>
      </w:tr>
      <w:tr w:rsidRPr="002A53E5" w:rsidR="006C6A1E" w:rsidTr="00B05454" w14:paraId="400BD2E9" w14:textId="77777777">
        <w:tc>
          <w:tcPr>
            <w:tcW w:w="1556" w:type="pct"/>
          </w:tcPr>
          <w:p w:rsidRPr="002A53E5" w:rsidR="006C6A1E" w:rsidP="00FC0E5F" w:rsidRDefault="006C6A1E" w14:paraId="7E1AA95E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e-mail:</w:t>
            </w:r>
          </w:p>
        </w:tc>
        <w:tc>
          <w:tcPr>
            <w:tcW w:w="3444" w:type="pct"/>
          </w:tcPr>
          <w:p w:rsidRPr="002A53E5" w:rsidR="006C6A1E" w:rsidP="00FC0E5F" w:rsidRDefault="00BE51E8" w14:paraId="5FE06EE9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26">
              <w:r w:rsidRPr="002A53E5" w:rsidR="00986441">
                <w:rPr>
                  <w:i/>
                  <w:color w:val="0000FF"/>
                  <w:u w:val="single"/>
                </w:rPr>
                <w:t>Bartek.Bednarowicz@eesc.europa.eu</w:t>
              </w:r>
            </w:hyperlink>
          </w:p>
        </w:tc>
      </w:tr>
    </w:tbl>
    <w:p w:rsidRPr="002A53E5" w:rsidR="00280432" w:rsidP="00FC0E5F" w:rsidRDefault="00280432" w14:paraId="1109D69A" w14:textId="77777777">
      <w:pPr>
        <w:suppressAutoHyphens/>
        <w:jc w:val="left"/>
      </w:pPr>
      <w:r w:rsidRPr="002A53E5">
        <w:br w:type="page"/>
      </w:r>
    </w:p>
    <w:p w:rsidRPr="00040A5A" w:rsidR="00EE6FEF" w:rsidP="003348DA" w:rsidRDefault="00BE51E8" w14:paraId="233F82BA" w14:textId="358528F6">
      <w:pPr>
        <w:numPr>
          <w:ilvl w:val="0"/>
          <w:numId w:val="29"/>
        </w:numPr>
        <w:suppressAutoHyphens/>
        <w:ind w:left="567" w:hanging="567"/>
        <w:outlineLvl w:val="0"/>
        <w:rPr>
          <w:b/>
          <w:sz w:val="28"/>
          <w:szCs w:val="28"/>
        </w:rPr>
      </w:pPr>
      <w:hyperlink w:history="1" r:id="rId27">
        <w:bookmarkStart w:name="_Toc160774594" w:id="29"/>
        <w:r w:rsidRPr="00040A5A" w:rsidR="00986441">
          <w:rPr>
            <w:b/>
            <w:i/>
            <w:color w:val="0000FF"/>
            <w:sz w:val="28"/>
            <w:szCs w:val="28"/>
            <w:u w:val="single"/>
          </w:rPr>
          <w:t>Wzmocnić dialog obywatelski i demokrację uczestniczącą w UE: kierunki działań</w:t>
        </w:r>
        <w:bookmarkEnd w:id="29"/>
      </w:hyperlink>
    </w:p>
    <w:p w:rsidRPr="002A53E5" w:rsidR="00EE6FEF" w:rsidP="00FC0E5F" w:rsidRDefault="00EE6FEF" w14:paraId="0DE421BA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65"/>
        <w:gridCol w:w="7024"/>
      </w:tblGrid>
      <w:tr w:rsidRPr="002A53E5" w:rsidR="00EE6FEF" w:rsidTr="005C5B0C" w14:paraId="7774CF3A" w14:textId="77777777">
        <w:tc>
          <w:tcPr>
            <w:tcW w:w="1219" w:type="pct"/>
          </w:tcPr>
          <w:p w:rsidRPr="002A53E5" w:rsidR="00EE6FEF" w:rsidP="006A32CA" w:rsidRDefault="00EE6FEF" w14:paraId="115D3E85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Sprawozdawca</w:t>
            </w:r>
          </w:p>
          <w:p w:rsidRPr="002A53E5" w:rsidR="00EE6FEF" w:rsidP="006A32CA" w:rsidRDefault="00EE6FEF" w14:paraId="41342984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Współsprawozdawca</w:t>
            </w:r>
          </w:p>
        </w:tc>
        <w:tc>
          <w:tcPr>
            <w:tcW w:w="3781" w:type="pct"/>
          </w:tcPr>
          <w:p w:rsidRPr="002A53E5" w:rsidR="00EE6FEF" w:rsidP="006A32CA" w:rsidRDefault="00EE6FEF" w14:paraId="09298572" w14:textId="1E4C99C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Pietro Vittorio BARBIERI (Grupa Organizacji Społeczeństwa Obywatelskiego – IT)</w:t>
            </w:r>
          </w:p>
          <w:p w:rsidRPr="002A53E5" w:rsidR="00EE6FEF" w:rsidP="006A32CA" w:rsidRDefault="00EE6FEF" w14:paraId="440A5CB9" w14:textId="50813251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Miranda ULENS (Grupa Pracowników – BE)</w:t>
            </w:r>
          </w:p>
          <w:p w:rsidRPr="002A53E5" w:rsidR="00734081" w:rsidP="006A32CA" w:rsidRDefault="00734081" w14:paraId="18F12DC0" w14:textId="6E440F43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Pr="002A53E5" w:rsidR="00EE6FEF" w:rsidTr="005C5B0C" w14:paraId="6999DE5D" w14:textId="77777777">
        <w:tc>
          <w:tcPr>
            <w:tcW w:w="1219" w:type="pct"/>
          </w:tcPr>
          <w:p w:rsidRPr="002A53E5" w:rsidR="00EE6FEF" w:rsidP="006A32CA" w:rsidRDefault="00EE6FEF" w14:paraId="573ED1EA" w14:textId="1DE110C9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Dokument źródłowy</w:t>
            </w:r>
          </w:p>
        </w:tc>
        <w:tc>
          <w:tcPr>
            <w:tcW w:w="3781" w:type="pct"/>
          </w:tcPr>
          <w:p w:rsidRPr="002A53E5" w:rsidR="00734081" w:rsidP="006A32CA" w:rsidRDefault="00734081" w14:paraId="35FF71C6" w14:textId="62F6C7E5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Opinia rozpoznawcza na wniosek belgijskiej prezydencji Rady UE</w:t>
            </w:r>
          </w:p>
          <w:p w:rsidRPr="002A53E5" w:rsidR="00EE6FEF" w:rsidP="006A32CA" w:rsidRDefault="00EE6FEF" w14:paraId="2007E2F0" w14:textId="5C9407E3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EESC-2023-03879-00-00-AC</w:t>
            </w:r>
          </w:p>
        </w:tc>
      </w:tr>
    </w:tbl>
    <w:p w:rsidRPr="00564ADF" w:rsidR="00496666" w:rsidP="005C5B0C" w:rsidRDefault="00496666" w14:paraId="3548CBA6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Pr="002A53E5" w:rsidR="00EE6FEF" w:rsidP="005C5B0C" w:rsidRDefault="00EE6FEF" w14:paraId="70BED30D" w14:textId="60519833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A53E5">
        <w:rPr>
          <w:b/>
        </w:rPr>
        <w:t>Główne punkty</w:t>
      </w:r>
    </w:p>
    <w:p w:rsidRPr="002A53E5" w:rsidR="00EE6FEF" w:rsidP="005C5B0C" w:rsidRDefault="00EE6FEF" w14:paraId="63B3834C" w14:textId="77777777">
      <w:pPr>
        <w:suppressAutoHyphens/>
        <w:overflowPunct w:val="0"/>
        <w:autoSpaceDE w:val="0"/>
        <w:autoSpaceDN w:val="0"/>
        <w:adjustRightInd w:val="0"/>
        <w:textAlignment w:val="baseline"/>
      </w:pPr>
    </w:p>
    <w:p w:rsidR="00EE6FEF" w:rsidP="005C5B0C" w:rsidRDefault="00EE6FEF" w14:paraId="78C0E8D3" w14:textId="6BDA5534">
      <w:pPr>
        <w:suppressAutoHyphens/>
        <w:overflowPunct w:val="0"/>
        <w:autoSpaceDE w:val="0"/>
        <w:autoSpaceDN w:val="0"/>
        <w:adjustRightInd w:val="0"/>
        <w:textAlignment w:val="baseline"/>
      </w:pPr>
      <w:r w:rsidRPr="002A53E5">
        <w:t>EKES</w:t>
      </w:r>
    </w:p>
    <w:p w:rsidRPr="002A53E5" w:rsidR="005C5B0C" w:rsidP="005C5B0C" w:rsidRDefault="005C5B0C" w14:paraId="3203A055" w14:textId="77777777">
      <w:pPr>
        <w:suppressAutoHyphens/>
        <w:overflowPunct w:val="0"/>
        <w:autoSpaceDE w:val="0"/>
        <w:autoSpaceDN w:val="0"/>
        <w:adjustRightInd w:val="0"/>
        <w:textAlignment w:val="baseline"/>
      </w:pPr>
    </w:p>
    <w:p w:rsidRPr="002A53E5" w:rsidR="00EE6FEF" w:rsidP="005C5B0C" w:rsidRDefault="00EE6FEF" w14:paraId="1BB0EE46" w14:textId="71BC3BDF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Podkreśla, że wdrożenie art. 11 TUE w następstwie Konferencji w sprawie przyszłości Europy, z jednoczesnym wzmocnieniem roli EKES-u, może zaowocować skuteczniejszą polityką. Popiera zalecenie Konferencji w sprawie przyszłości Europy dotyczące opracowania dodatkowych instrumentów demokracji uczestniczącej. Niektóre jej zalecenia odnoszą się do stworzenia sprzyjających ram dialogu obywatelskiego. W zaleceniach Konferencji uznaje się ponadto rolę EKES-u, również jako potencjalnego prawdziwego ośrodka paneli obywatelskich. Szczególna rola organizacji partnerów społecznych powinna być w pełni respektowana w</w:t>
      </w:r>
      <w:r w:rsidR="00E82A7A">
        <w:t> </w:t>
      </w:r>
      <w:r w:rsidRPr="002A53E5">
        <w:t>strukturach i procesach dialogu społecznego, przy czym należy pamiętać, że dialog obywatelski jest odrębnym procesem.</w:t>
      </w:r>
    </w:p>
    <w:p w:rsidRPr="002A53E5" w:rsidR="00EE6FEF" w:rsidP="005C5B0C" w:rsidRDefault="00EE6FEF" w14:paraId="6DB1C493" w14:textId="53154391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Wnosi, aby jako pierwszy krok opracowano strategię na rzecz dialogu obywatelskiego skutkującą planem działania, która mogłaby stać się jednym z filarów europejskiego paktu na rzecz obrony demokracji. Mogłoby to ponadto mieć na celu rozważenie opracowania porozumienia międzyinstytucjonalnego pomiędzy instytucjami Unii, określającego działania i</w:t>
      </w:r>
      <w:r w:rsidR="00E82A7A">
        <w:t> </w:t>
      </w:r>
      <w:r w:rsidRPr="002A53E5">
        <w:t>związane z nimi zasoby, które miałyby zostać wykorzystane. Powinno się to odbywać przy wsparciu EKES-u i udziale sieci społeczeństwa obywatelskiego na szczeblu UE.</w:t>
      </w:r>
    </w:p>
    <w:p w:rsidRPr="002A53E5" w:rsidR="00EE6FEF" w:rsidP="005C5B0C" w:rsidRDefault="00EE6FEF" w14:paraId="57CF30BD" w14:textId="77777777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Opowiada się za tym, aby wzmocnić rolę osób odpowiedzialnych w różnych instytucjach w celu zapewnienia skuteczności art. 11 TUE. Postuluje też, aby we wszystkich instytucjach UE stosowano pewne normy, takie jak znaczenie dialogu obywatelskiego, wspólny program polityczny i wspólne priorytety, włączenie słabszych grup społecznych itp.</w:t>
      </w:r>
    </w:p>
    <w:p w:rsidRPr="002A53E5" w:rsidR="00EE6FEF" w:rsidP="005C5B0C" w:rsidRDefault="00EE6FEF" w14:paraId="428DADE2" w14:textId="1C9E3A9A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Apeluje o sporządzanie rocznej tabeli wyników dialogu obywatelskiego (lub przestrzeni społeczeństwa obywatelskiego) dotyczącej wkładu organizacji społeczeństwa obywatelskiego w</w:t>
      </w:r>
      <w:r w:rsidR="00E82A7A">
        <w:t> </w:t>
      </w:r>
      <w:r w:rsidRPr="002A53E5">
        <w:t>procesy konsultacji, z wyjaśnieniem, czy ich uwagi zostały uwzględnione, a jeśli nie, to dlaczego. Dzięki ocenie skutków za pomocą rocznej tabeli wyników można by co dwa lata sporządzać sprawozdanie na temat dialogu obywatelskiego, w którym ukazywano by ogólną współpracę UE ze społeczeństwem obywatelskim, a także ocenę stanu dialogu obywatelskiego i</w:t>
      </w:r>
      <w:r w:rsidR="00E82A7A">
        <w:t> </w:t>
      </w:r>
      <w:r w:rsidRPr="002A53E5">
        <w:t>skuteczności działań organizacji społeczeństwa obywatelskiego.</w:t>
      </w:r>
    </w:p>
    <w:p w:rsidRPr="002A53E5" w:rsidR="00EE6FEF" w:rsidP="005C5B0C" w:rsidRDefault="00EE6FEF" w14:paraId="50548E2B" w14:textId="77777777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 xml:space="preserve">Ponownie stwierdza, że EKES musi zajmować centralne miejsce w dążeniu do wzmocnienia demokracji uczestniczącej w instytucjach europejskich i między nimi. Proponuje, aby dostosować rolę EKES-u tak, aby w ramach jego prac doradczych możliwe było wypróbowanie szeregu instrumentów partycypacyjnych, takich jak panele obywatelskie, co pozwoli uwypuklić </w:t>
      </w:r>
      <w:r w:rsidRPr="002A53E5">
        <w:lastRenderedPageBreak/>
        <w:t>szczególne znaczenie EKES-u jako instytucjonalnego strażnika konsultacji ze społeczeństwem obywatelskim i – ogólnie – dialogu obywatelskiego.</w:t>
      </w:r>
    </w:p>
    <w:p w:rsidRPr="002A53E5" w:rsidR="00EE6FEF" w:rsidP="005C5B0C" w:rsidRDefault="00EE6FEF" w14:paraId="56DEE402" w14:textId="77777777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Uważa, że organizacje społeczeństwa obywatelskiego muszą opierać się na zasadach wewnętrznej demokracji, autonomii i przejrzystości; model ich działalności musi być nienastawiony na zysk i służyć interesowi ogólnemu lub bardziej specyficznemu interesowi grup, które dana organizacja skupia. Uznanie organizacji za organizację społeczeństwa obywatelskiego musi mieć uzasadnione podstawy, a sama organizacja powinna być reprezentatywna. W związku z tym Komitet wzywa do ustanowienia mechanizmu akredytacji opartego na wyżej wymienionych zasadach.</w:t>
      </w:r>
    </w:p>
    <w:p w:rsidRPr="002A53E5" w:rsidR="00EE6FEF" w:rsidP="00FC0E5F" w:rsidRDefault="00EE6FEF" w14:paraId="3FDDF924" w14:textId="77777777">
      <w:pPr>
        <w:suppressAutoHyphens/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0"/>
        <w:gridCol w:w="4493"/>
      </w:tblGrid>
      <w:tr w:rsidRPr="002A53E5" w:rsidR="00EE6FEF" w:rsidTr="00AF1B74" w14:paraId="141D7495" w14:textId="77777777">
        <w:tc>
          <w:tcPr>
            <w:tcW w:w="1210" w:type="dxa"/>
          </w:tcPr>
          <w:p w:rsidRPr="002A53E5" w:rsidR="00EE6FEF" w:rsidP="00FC0E5F" w:rsidRDefault="00EE6FEF" w14:paraId="41ABC0CE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b/>
                <w:i/>
              </w:rPr>
              <w:t>Kontakt</w:t>
            </w:r>
          </w:p>
        </w:tc>
        <w:tc>
          <w:tcPr>
            <w:tcW w:w="4493" w:type="dxa"/>
          </w:tcPr>
          <w:p w:rsidRPr="002A53E5" w:rsidR="00EE6FEF" w:rsidP="00FC0E5F" w:rsidRDefault="00EE6FEF" w14:paraId="751079CC" w14:textId="77777777">
            <w:pPr>
              <w:suppressAutoHyphens/>
              <w:overflowPunct w:val="0"/>
              <w:autoSpaceDE w:val="0"/>
              <w:autoSpaceDN w:val="0"/>
              <w:adjustRightInd w:val="0"/>
              <w:ind w:hanging="12"/>
              <w:textAlignment w:val="baseline"/>
              <w:rPr>
                <w:i/>
              </w:rPr>
            </w:pPr>
            <w:r w:rsidRPr="002A53E5">
              <w:rPr>
                <w:i/>
              </w:rPr>
              <w:t>June Bedaton</w:t>
            </w:r>
          </w:p>
        </w:tc>
      </w:tr>
      <w:tr w:rsidRPr="002A53E5" w:rsidR="00EE6FEF" w:rsidTr="00AF1B74" w14:paraId="4927775D" w14:textId="77777777">
        <w:tc>
          <w:tcPr>
            <w:tcW w:w="1210" w:type="dxa"/>
          </w:tcPr>
          <w:p w:rsidRPr="002A53E5" w:rsidR="00EE6FEF" w:rsidP="00FC0E5F" w:rsidRDefault="00EE6FEF" w14:paraId="490E3A24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Tel.:</w:t>
            </w:r>
          </w:p>
        </w:tc>
        <w:tc>
          <w:tcPr>
            <w:tcW w:w="4493" w:type="dxa"/>
          </w:tcPr>
          <w:p w:rsidRPr="002A53E5" w:rsidR="00EE6FEF" w:rsidP="00FC0E5F" w:rsidRDefault="00EE6FEF" w14:paraId="41D951E4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+32 25468134</w:t>
            </w:r>
          </w:p>
        </w:tc>
      </w:tr>
      <w:tr w:rsidRPr="002A53E5" w:rsidR="00EE6FEF" w:rsidTr="00AF1B74" w14:paraId="4358DB5A" w14:textId="77777777">
        <w:tc>
          <w:tcPr>
            <w:tcW w:w="1210" w:type="dxa"/>
          </w:tcPr>
          <w:p w:rsidRPr="002A53E5" w:rsidR="00EE6FEF" w:rsidP="00FC0E5F" w:rsidRDefault="00EE6FEF" w14:paraId="0A1AF4F8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e-mail:</w:t>
            </w:r>
          </w:p>
        </w:tc>
        <w:tc>
          <w:tcPr>
            <w:tcW w:w="4493" w:type="dxa"/>
          </w:tcPr>
          <w:p w:rsidRPr="002A53E5" w:rsidR="00EE6FEF" w:rsidP="00FC0E5F" w:rsidRDefault="00BE51E8" w14:paraId="47347AD3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28">
              <w:r w:rsidRPr="002A53E5" w:rsidR="00986441">
                <w:rPr>
                  <w:i/>
                  <w:color w:val="0000FF"/>
                  <w:u w:val="single"/>
                </w:rPr>
                <w:t>June.Bedaton@eesc.europa.eu</w:t>
              </w:r>
            </w:hyperlink>
          </w:p>
        </w:tc>
      </w:tr>
    </w:tbl>
    <w:p w:rsidRPr="002A53E5" w:rsidR="005A67F3" w:rsidP="005C5B0C" w:rsidRDefault="004C3902" w14:paraId="3792A077" w14:textId="3F1CFB67">
      <w:pPr>
        <w:pStyle w:val="Heading1"/>
        <w:pageBreakBefore/>
        <w:tabs>
          <w:tab w:val="clear" w:pos="440"/>
        </w:tabs>
        <w:suppressAutoHyphens/>
        <w:spacing w:before="0"/>
        <w:ind w:left="567" w:right="0" w:hanging="567"/>
        <w:rPr>
          <w:b/>
          <w:bCs/>
        </w:rPr>
      </w:pPr>
      <w:bookmarkStart w:name="_Toc160774595" w:id="30"/>
      <w:r w:rsidRPr="002A53E5">
        <w:rPr>
          <w:b/>
        </w:rPr>
        <w:lastRenderedPageBreak/>
        <w:t>JEDNOLITY RYNEK, PRODUKCJA I KONSUMPCJA</w:t>
      </w:r>
      <w:bookmarkEnd w:id="26"/>
      <w:bookmarkEnd w:id="30"/>
    </w:p>
    <w:p w:rsidRPr="002A53E5" w:rsidR="004C3902" w:rsidP="00FC0E5F" w:rsidRDefault="004C3902" w14:paraId="51590E30" w14:textId="7D4E8C1F">
      <w:pPr>
        <w:suppressAutoHyphens/>
        <w:jc w:val="left"/>
        <w:rPr>
          <w:b/>
          <w:iCs/>
        </w:rPr>
      </w:pPr>
    </w:p>
    <w:p w:rsidRPr="00040A5A" w:rsidR="00115BBC" w:rsidP="003348DA" w:rsidRDefault="00BE51E8" w14:paraId="331C902E" w14:textId="22AAD788">
      <w:pPr>
        <w:numPr>
          <w:ilvl w:val="0"/>
          <w:numId w:val="4"/>
        </w:numPr>
        <w:suppressAutoHyphens/>
        <w:ind w:left="567" w:hanging="567"/>
        <w:outlineLvl w:val="0"/>
        <w:rPr>
          <w:b/>
          <w:sz w:val="28"/>
          <w:szCs w:val="28"/>
        </w:rPr>
      </w:pPr>
      <w:hyperlink w:history="1" r:id="rId29">
        <w:bookmarkStart w:name="_Toc160774596" w:id="31"/>
        <w:r w:rsidRPr="00040A5A" w:rsidR="00986441">
          <w:rPr>
            <w:b/>
            <w:i/>
            <w:color w:val="0000FF"/>
            <w:sz w:val="28"/>
            <w:szCs w:val="28"/>
            <w:u w:val="single"/>
          </w:rPr>
          <w:t>Alternatywne metody rozwiązywania sporów</w:t>
        </w:r>
        <w:bookmarkEnd w:id="31"/>
      </w:hyperlink>
    </w:p>
    <w:p w:rsidRPr="002A53E5" w:rsidR="00115BBC" w:rsidP="00FC0E5F" w:rsidRDefault="00115BBC" w14:paraId="69D406FB" w14:textId="77777777">
      <w:pPr>
        <w:suppressAutoHyphens/>
        <w:overflowPunct w:val="0"/>
        <w:autoSpaceDE w:val="0"/>
        <w:autoSpaceDN w:val="0"/>
        <w:adjustRightInd w:val="0"/>
        <w:ind w:left="567"/>
        <w:textAlignment w:val="baseline"/>
        <w:rPr>
          <w:b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5"/>
        <w:gridCol w:w="7054"/>
      </w:tblGrid>
      <w:tr w:rsidRPr="002A53E5" w:rsidR="00115BBC" w:rsidTr="00E82A7A" w14:paraId="5FCB07DF" w14:textId="77777777">
        <w:trPr>
          <w:trHeight w:val="265"/>
        </w:trPr>
        <w:tc>
          <w:tcPr>
            <w:tcW w:w="1203" w:type="pct"/>
          </w:tcPr>
          <w:p w:rsidRPr="002A53E5" w:rsidR="00115BBC" w:rsidP="006A32CA" w:rsidRDefault="00115BBC" w14:paraId="061CB5F6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highlight w:val="yellow"/>
              </w:rPr>
            </w:pPr>
            <w:r w:rsidRPr="002A53E5">
              <w:rPr>
                <w:b/>
              </w:rPr>
              <w:t>Sprawozdawca</w:t>
            </w:r>
          </w:p>
        </w:tc>
        <w:tc>
          <w:tcPr>
            <w:tcW w:w="3797" w:type="pct"/>
          </w:tcPr>
          <w:p w:rsidRPr="002A53E5" w:rsidR="00115BBC" w:rsidP="006A32CA" w:rsidRDefault="00115BBC" w14:paraId="167D4BA0" w14:textId="249DC758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highlight w:val="yellow"/>
              </w:rPr>
            </w:pPr>
            <w:r w:rsidRPr="002A53E5">
              <w:t>Wautier ROBYNS DE SCHNEIDAUER (Grupa Pracodawców – BE)</w:t>
            </w:r>
          </w:p>
        </w:tc>
      </w:tr>
      <w:tr w:rsidRPr="002A53E5" w:rsidR="00115BBC" w:rsidTr="00E82A7A" w14:paraId="296C346B" w14:textId="77777777">
        <w:trPr>
          <w:trHeight w:val="265"/>
        </w:trPr>
        <w:tc>
          <w:tcPr>
            <w:tcW w:w="1203" w:type="pct"/>
          </w:tcPr>
          <w:p w:rsidRPr="002A53E5" w:rsidR="00115BBC" w:rsidP="006A32CA" w:rsidRDefault="00115BBC" w14:paraId="0AF9F28C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highlight w:val="yellow"/>
              </w:rPr>
            </w:pPr>
          </w:p>
        </w:tc>
        <w:tc>
          <w:tcPr>
            <w:tcW w:w="3797" w:type="pct"/>
          </w:tcPr>
          <w:p w:rsidRPr="002A53E5" w:rsidR="00115BBC" w:rsidP="006A32CA" w:rsidRDefault="00115BBC" w14:paraId="31DA93FE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highlight w:val="yellow"/>
              </w:rPr>
            </w:pPr>
          </w:p>
        </w:tc>
      </w:tr>
      <w:tr w:rsidRPr="002A53E5" w:rsidR="00115BBC" w:rsidTr="00E82A7A" w14:paraId="05E2FC21" w14:textId="77777777">
        <w:trPr>
          <w:trHeight w:val="289"/>
        </w:trPr>
        <w:tc>
          <w:tcPr>
            <w:tcW w:w="1203" w:type="pct"/>
            <w:vMerge w:val="restart"/>
          </w:tcPr>
          <w:p w:rsidRPr="002A53E5" w:rsidR="00115BBC" w:rsidP="006A32CA" w:rsidRDefault="00115BBC" w14:paraId="3723A8BD" w14:textId="4FCFE9D4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Dokument źródłowy</w:t>
            </w:r>
          </w:p>
        </w:tc>
        <w:tc>
          <w:tcPr>
            <w:tcW w:w="3797" w:type="pct"/>
          </w:tcPr>
          <w:p w:rsidRPr="002A53E5" w:rsidR="00115BBC" w:rsidP="006A32CA" w:rsidRDefault="00115BBC" w14:paraId="6E0D3984" w14:textId="53F54A94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 xml:space="preserve">COM(2023) 647 final </w:t>
            </w:r>
          </w:p>
          <w:p w:rsidRPr="002A53E5" w:rsidR="00115BBC" w:rsidP="006A32CA" w:rsidRDefault="00115BBC" w14:paraId="0C647B83" w14:textId="65F68049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COM(2023) 649 final</w:t>
            </w:r>
          </w:p>
        </w:tc>
      </w:tr>
      <w:tr w:rsidRPr="002A53E5" w:rsidR="00115BBC" w:rsidTr="00E82A7A" w14:paraId="17336284" w14:textId="77777777">
        <w:trPr>
          <w:trHeight w:val="289"/>
        </w:trPr>
        <w:tc>
          <w:tcPr>
            <w:tcW w:w="1203" w:type="pct"/>
            <w:vMerge/>
          </w:tcPr>
          <w:p w:rsidRPr="002A53E5" w:rsidR="00115BBC" w:rsidP="006A32CA" w:rsidRDefault="00115BBC" w14:paraId="6FEF1F8E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3797" w:type="pct"/>
          </w:tcPr>
          <w:p w:rsidRPr="002A53E5" w:rsidR="00115BBC" w:rsidP="006A32CA" w:rsidRDefault="00115BBC" w14:paraId="439A72D0" w14:textId="3CA46808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EESC-2023-04939-00-00-AC</w:t>
            </w:r>
          </w:p>
        </w:tc>
      </w:tr>
    </w:tbl>
    <w:p w:rsidRPr="002A53E5" w:rsidR="00115BBC" w:rsidP="00E82A7A" w:rsidRDefault="00115BBC" w14:paraId="29572A56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Pr="002A53E5" w:rsidR="00115BBC" w:rsidP="00E82A7A" w:rsidRDefault="00115BBC" w14:paraId="0FFFEA8E" w14:textId="6FE135C0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A53E5">
        <w:rPr>
          <w:b/>
        </w:rPr>
        <w:t>Główne punkty</w:t>
      </w:r>
    </w:p>
    <w:p w:rsidRPr="002A53E5" w:rsidR="0096247E" w:rsidP="00E82A7A" w:rsidRDefault="0096247E" w14:paraId="1F14F94E" w14:textId="02ACF0CB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Pr="002A53E5" w:rsidR="0096247E" w:rsidP="00E82A7A" w:rsidRDefault="0096247E" w14:paraId="3F9E4BDA" w14:textId="01735E5D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2A53E5">
        <w:t>EKES</w:t>
      </w:r>
    </w:p>
    <w:p w:rsidRPr="002A53E5" w:rsidR="00115BBC" w:rsidP="00E82A7A" w:rsidRDefault="00115BBC" w14:paraId="67D5FDBC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Pr="002A53E5" w:rsidR="00115BBC" w:rsidP="00E82A7A" w:rsidRDefault="00115BBC" w14:paraId="1773FF53" w14:textId="5F3FDE1F">
      <w:pPr>
        <w:numPr>
          <w:ilvl w:val="0"/>
          <w:numId w:val="23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2A53E5">
        <w:t xml:space="preserve">Popiera rozwój alternatywnych metod rozwiązywania sporów (ADR) jako </w:t>
      </w:r>
      <w:r w:rsidRPr="002A53E5">
        <w:rPr>
          <w:b/>
        </w:rPr>
        <w:t>alternatywy dla postępowań sądowych</w:t>
      </w:r>
      <w:r w:rsidRPr="002A53E5">
        <w:t>, w przypadkach gdy konsumenci chcą dochodzić roszczeń za szkody wyrządzone przez przedsiębiorców. Powinno to uzupełniać dostępne postępowania sądowe i</w:t>
      </w:r>
      <w:r w:rsidR="00F43371">
        <w:t> </w:t>
      </w:r>
      <w:r w:rsidRPr="002A53E5">
        <w:t>egzekwowanie praw konsumentów przez organy krajowe.</w:t>
      </w:r>
    </w:p>
    <w:p w:rsidRPr="002A53E5" w:rsidR="00115BBC" w:rsidP="00E82A7A" w:rsidRDefault="00115BBC" w14:paraId="5816C773" w14:textId="77777777">
      <w:pPr>
        <w:numPr>
          <w:ilvl w:val="0"/>
          <w:numId w:val="23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2A53E5">
        <w:t xml:space="preserve">Podkreśla, że ważne jest, by zachęcać państwa członkowskie i branże do tworzenia takich systemów, a </w:t>
      </w:r>
      <w:r w:rsidRPr="002A53E5">
        <w:rPr>
          <w:b/>
        </w:rPr>
        <w:t>przedsiębiorców</w:t>
      </w:r>
      <w:r w:rsidRPr="002A53E5">
        <w:t xml:space="preserve">, w tym </w:t>
      </w:r>
      <w:r w:rsidRPr="002A53E5">
        <w:rPr>
          <w:b/>
        </w:rPr>
        <w:t>MŚP</w:t>
      </w:r>
      <w:r w:rsidRPr="002A53E5">
        <w:t xml:space="preserve"> – do dobrowolnego przystępowania do nich., oraz wzywa Komisję, by </w:t>
      </w:r>
      <w:r w:rsidRPr="002A53E5">
        <w:rPr>
          <w:b/>
        </w:rPr>
        <w:t>trzy lata po wdrożeniu</w:t>
      </w:r>
      <w:r w:rsidRPr="002A53E5">
        <w:t xml:space="preserve"> proponowanej dyrektywy </w:t>
      </w:r>
      <w:r w:rsidRPr="002A53E5">
        <w:rPr>
          <w:b/>
        </w:rPr>
        <w:t>przeprowadziła przegląd postępów w zakresie systemów ADR</w:t>
      </w:r>
      <w:r w:rsidRPr="002A53E5">
        <w:t>.</w:t>
      </w:r>
    </w:p>
    <w:p w:rsidRPr="002A53E5" w:rsidR="00115BBC" w:rsidP="00E82A7A" w:rsidRDefault="00115BBC" w14:paraId="7CEE7EBC" w14:textId="77777777">
      <w:pPr>
        <w:numPr>
          <w:ilvl w:val="0"/>
          <w:numId w:val="23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2A53E5">
        <w:t xml:space="preserve">Uważa, że </w:t>
      </w:r>
      <w:r w:rsidRPr="002A53E5">
        <w:rPr>
          <w:b/>
        </w:rPr>
        <w:t>informacje zwrotne od podmiotów ADR</w:t>
      </w:r>
      <w:r w:rsidRPr="002A53E5">
        <w:t xml:space="preserve"> są niezwykle cenne zarówno dla specjalistek i specjalistów, jak i ustawodawców lub organów regulacyjnych. W związku z tym wzywa, aby systemy ADR – obok wypełniania wymogu publikowania co dwa lata sprawozdań z działalności – </w:t>
      </w:r>
      <w:r w:rsidRPr="002A53E5">
        <w:rPr>
          <w:b/>
        </w:rPr>
        <w:t>szybko informowały także o sytuacjach kryzysowych</w:t>
      </w:r>
      <w:r w:rsidRPr="002A53E5">
        <w:t>. Wzywa Komisję do uwzględnienia w ocenach przepisów sektorowych informacji zwrotnych od platform.</w:t>
      </w:r>
    </w:p>
    <w:p w:rsidRPr="002A53E5" w:rsidR="00115BBC" w:rsidP="00E82A7A" w:rsidRDefault="00115BBC" w14:paraId="6480EB14" w14:textId="537E9614">
      <w:pPr>
        <w:numPr>
          <w:ilvl w:val="0"/>
          <w:numId w:val="23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2A53E5">
        <w:t>Wzywa ustawodawców, by</w:t>
      </w:r>
      <w:r w:rsidRPr="002A53E5">
        <w:rPr>
          <w:b/>
        </w:rPr>
        <w:t xml:space="preserve"> dokładniej określili wymóg, zgodnie z którym konsumenci muszą najpierw skontaktować się z przedsiębiorcą, zanim skorzystają z systemu ADR</w:t>
      </w:r>
      <w:r w:rsidRPr="002A53E5">
        <w:t>, a</w:t>
      </w:r>
      <w:r w:rsidR="00F43371">
        <w:t> </w:t>
      </w:r>
      <w:r w:rsidRPr="002A53E5">
        <w:t xml:space="preserve">także by doprecyzowali </w:t>
      </w:r>
      <w:r w:rsidRPr="002A53E5">
        <w:rPr>
          <w:b/>
        </w:rPr>
        <w:t>sankcje</w:t>
      </w:r>
      <w:r w:rsidRPr="002A53E5">
        <w:t xml:space="preserve"> mające zastosowanie do przedsiębiorców, którzy nie przestrzegają wymogu udzielenia w ciągu wspomnianych we wnioskach 20 dni roboczych odpowiedzi o zaakceptowaniu procedury ADR.</w:t>
      </w:r>
    </w:p>
    <w:p w:rsidRPr="002A53E5" w:rsidR="007B51DD" w:rsidP="00FC0E5F" w:rsidRDefault="007B51DD" w14:paraId="163168CE" w14:textId="77777777">
      <w:pPr>
        <w:suppressAutoHyphens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5670"/>
      </w:tblGrid>
      <w:tr w:rsidRPr="002A53E5" w:rsidR="00115BBC" w:rsidTr="00B05454" w14:paraId="0EF87FAC" w14:textId="77777777">
        <w:tc>
          <w:tcPr>
            <w:tcW w:w="1418" w:type="dxa"/>
          </w:tcPr>
          <w:p w:rsidRPr="002A53E5" w:rsidR="00115BBC" w:rsidP="00FC0E5F" w:rsidRDefault="00115BBC" w14:paraId="3A608033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2A53E5" w:rsidR="00115BBC" w:rsidP="00FC0E5F" w:rsidRDefault="00115BBC" w14:paraId="2322F407" w14:textId="1D370AF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Silvia Staffa</w:t>
            </w:r>
          </w:p>
        </w:tc>
      </w:tr>
      <w:tr w:rsidRPr="002A53E5" w:rsidR="00115BBC" w:rsidTr="00B05454" w14:paraId="1C49B2AC" w14:textId="77777777">
        <w:tc>
          <w:tcPr>
            <w:tcW w:w="1418" w:type="dxa"/>
          </w:tcPr>
          <w:p w:rsidRPr="002A53E5" w:rsidR="00115BBC" w:rsidP="00FC0E5F" w:rsidRDefault="00115BBC" w14:paraId="6E4695C4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2A53E5" w:rsidR="00115BBC" w:rsidP="00FC0E5F" w:rsidRDefault="00115BBC" w14:paraId="24EC6775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+32 25468378</w:t>
            </w:r>
          </w:p>
        </w:tc>
      </w:tr>
      <w:tr w:rsidRPr="002A53E5" w:rsidR="00115BBC" w:rsidTr="00B05454" w14:paraId="55737622" w14:textId="77777777">
        <w:tc>
          <w:tcPr>
            <w:tcW w:w="1418" w:type="dxa"/>
          </w:tcPr>
          <w:p w:rsidRPr="002A53E5" w:rsidR="00115BBC" w:rsidP="00FC0E5F" w:rsidRDefault="00115BBC" w14:paraId="525828AE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2A53E5" w:rsidR="00115BBC" w:rsidP="00FC0E5F" w:rsidRDefault="00BE51E8" w14:paraId="1B1D7DE5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30">
              <w:r w:rsidRPr="002A53E5" w:rsidR="00986441">
                <w:rPr>
                  <w:i/>
                  <w:color w:val="0000FF"/>
                  <w:u w:val="single"/>
                </w:rPr>
                <w:t>Silvia.Staffa@eesc.europa.eu</w:t>
              </w:r>
            </w:hyperlink>
          </w:p>
        </w:tc>
      </w:tr>
    </w:tbl>
    <w:p w:rsidRPr="002A53E5" w:rsidR="00115BBC" w:rsidP="00FC0E5F" w:rsidRDefault="00115BBC" w14:paraId="548FB513" w14:textId="77777777">
      <w:pPr>
        <w:suppressAutoHyphens/>
        <w:jc w:val="left"/>
      </w:pPr>
      <w:r w:rsidRPr="002A53E5">
        <w:br w:type="page"/>
      </w:r>
    </w:p>
    <w:p w:rsidRPr="00040A5A" w:rsidR="00016C21" w:rsidP="003348DA" w:rsidRDefault="00BE51E8" w14:paraId="53C9A431" w14:textId="0A37C9E2">
      <w:pPr>
        <w:numPr>
          <w:ilvl w:val="0"/>
          <w:numId w:val="2"/>
        </w:numPr>
        <w:suppressAutoHyphens/>
        <w:ind w:hanging="567"/>
        <w:outlineLvl w:val="0"/>
        <w:rPr>
          <w:sz w:val="28"/>
          <w:szCs w:val="28"/>
        </w:rPr>
      </w:pPr>
      <w:hyperlink w:tgtFrame="_blank" w:history="1" r:id="rId31">
        <w:bookmarkStart w:name="_Toc160774597" w:id="32"/>
        <w:r w:rsidRPr="00040A5A" w:rsidR="00986441">
          <w:rPr>
            <w:b/>
            <w:i/>
            <w:color w:val="0000FF"/>
            <w:sz w:val="28"/>
            <w:szCs w:val="28"/>
            <w:u w:val="single"/>
          </w:rPr>
          <w:t>Pakiet pomocy gospodarczej dla MŚP</w:t>
        </w:r>
        <w:bookmarkEnd w:id="32"/>
      </w:hyperlink>
    </w:p>
    <w:p w:rsidRPr="002A53E5" w:rsidR="00016C21" w:rsidP="00FC0E5F" w:rsidRDefault="00016C21" w14:paraId="79ACBD18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76"/>
        <w:gridCol w:w="6913"/>
      </w:tblGrid>
      <w:tr w:rsidRPr="002A53E5" w:rsidR="00016C21" w:rsidTr="00564ADF" w14:paraId="4F2580C3" w14:textId="77777777">
        <w:tc>
          <w:tcPr>
            <w:tcW w:w="1279" w:type="pct"/>
          </w:tcPr>
          <w:p w:rsidR="00C9042D" w:rsidP="00AC3970" w:rsidRDefault="00016C21" w14:paraId="26B448B6" w14:textId="77777777">
            <w:pPr>
              <w:tabs>
                <w:tab w:val="center" w:pos="0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</w:rPr>
            </w:pPr>
            <w:r w:rsidRPr="002A53E5">
              <w:rPr>
                <w:b/>
              </w:rPr>
              <w:t>Sprawozdawczyni</w:t>
            </w:r>
          </w:p>
          <w:p w:rsidRPr="002A53E5" w:rsidR="00016C21" w:rsidP="00AC3970" w:rsidRDefault="00016C21" w14:paraId="72DF44FE" w14:textId="75408A56">
            <w:pPr>
              <w:tabs>
                <w:tab w:val="center" w:pos="0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</w:rPr>
            </w:pPr>
            <w:r w:rsidRPr="002A53E5">
              <w:rPr>
                <w:b/>
              </w:rPr>
              <w:t>Współsprawozdawca</w:t>
            </w:r>
          </w:p>
        </w:tc>
        <w:tc>
          <w:tcPr>
            <w:tcW w:w="3721" w:type="pct"/>
          </w:tcPr>
          <w:p w:rsidR="00564ADF" w:rsidP="00AC3970" w:rsidRDefault="00016C21" w14:paraId="1E3719F9" w14:textId="77777777">
            <w:pPr>
              <w:tabs>
                <w:tab w:val="center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Alena MASTANTUONO (Grupa Pracodawców – CZ)</w:t>
            </w:r>
          </w:p>
          <w:p w:rsidRPr="002A53E5" w:rsidR="00016C21" w:rsidP="00AC3970" w:rsidRDefault="00016C21" w14:paraId="7A66A71A" w14:textId="3AA2D7BD">
            <w:pPr>
              <w:tabs>
                <w:tab w:val="center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Angelo PAGLIARA (Grupa Pracowników – IT)</w:t>
            </w:r>
          </w:p>
        </w:tc>
      </w:tr>
      <w:tr w:rsidRPr="002A53E5" w:rsidR="00016C21" w:rsidTr="00F43371" w14:paraId="0DAADC43" w14:textId="77777777">
        <w:tc>
          <w:tcPr>
            <w:tcW w:w="5000" w:type="pct"/>
            <w:gridSpan w:val="2"/>
          </w:tcPr>
          <w:p w:rsidRPr="002A53E5" w:rsidR="00016C21" w:rsidP="00AC3970" w:rsidRDefault="00016C21" w14:paraId="6CC99D77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Pr="002A53E5" w:rsidR="00016C21" w:rsidTr="00564ADF" w14:paraId="3C188AC4" w14:textId="77777777">
        <w:tc>
          <w:tcPr>
            <w:tcW w:w="1279" w:type="pct"/>
          </w:tcPr>
          <w:p w:rsidRPr="002A53E5" w:rsidR="00016C21" w:rsidP="00AC3970" w:rsidRDefault="00016C21" w14:paraId="6ED0BDE5" w14:textId="65DDE3BB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Dokument źródłowy</w:t>
            </w:r>
          </w:p>
        </w:tc>
        <w:tc>
          <w:tcPr>
            <w:tcW w:w="3721" w:type="pct"/>
          </w:tcPr>
          <w:p w:rsidRPr="002A53E5" w:rsidR="00016C21" w:rsidP="00AC3970" w:rsidRDefault="00016C21" w14:paraId="5911E5F0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COM(2023) 535 final</w:t>
            </w:r>
          </w:p>
          <w:p w:rsidRPr="002A53E5" w:rsidR="00016C21" w:rsidP="00AC3970" w:rsidRDefault="00016C21" w14:paraId="1EAF09D2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EESC-2023-05071-00-00-AC</w:t>
            </w:r>
          </w:p>
        </w:tc>
      </w:tr>
    </w:tbl>
    <w:p w:rsidR="00F43371" w:rsidP="00F43371" w:rsidRDefault="00F43371" w14:paraId="37303172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Pr="002A53E5" w:rsidR="00016C21" w:rsidP="00F43371" w:rsidRDefault="00016C21" w14:paraId="5C2B27D4" w14:textId="3D27B3F9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A53E5">
        <w:rPr>
          <w:b/>
        </w:rPr>
        <w:t>Główne punkty</w:t>
      </w:r>
    </w:p>
    <w:p w:rsidRPr="002A53E5" w:rsidR="00016C21" w:rsidP="00F43371" w:rsidRDefault="00016C21" w14:paraId="7EA3DADC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Pr="002A53E5" w:rsidR="00016C21" w:rsidP="00F43371" w:rsidRDefault="00016C21" w14:paraId="6F102ADF" w14:textId="77777777">
      <w:pPr>
        <w:suppressAutoHyphens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2A53E5">
        <w:t>EKES</w:t>
      </w:r>
    </w:p>
    <w:p w:rsidRPr="002A53E5" w:rsidR="00016C21" w:rsidP="00F43371" w:rsidRDefault="00016C21" w14:paraId="5A499E14" w14:textId="77777777">
      <w:pPr>
        <w:suppressAutoHyphens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2A53E5" w:rsidR="00016C21" w:rsidP="00F43371" w:rsidRDefault="00016C21" w14:paraId="554242DA" w14:textId="77777777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2A53E5">
        <w:t xml:space="preserve">Z zadowoleniem przyjmuje pakiet pomocy gospodarczej dla MŚP, gdyż świadczy on o dążeniu do umieszczenia </w:t>
      </w:r>
      <w:r w:rsidRPr="002A53E5">
        <w:rPr>
          <w:b/>
        </w:rPr>
        <w:t>MŚP w centrum prawodawstwa europejskiego</w:t>
      </w:r>
      <w:r w:rsidRPr="002A53E5">
        <w:t xml:space="preserve"> oraz europejskich strategii, dyskusji i działań wspierających konkurencyjność. Komisja powinna w nowej kadencji zapewnić</w:t>
      </w:r>
      <w:r w:rsidRPr="002A53E5">
        <w:rPr>
          <w:b/>
        </w:rPr>
        <w:t xml:space="preserve"> ciągłość temu zagadnieniu i nadać mu priorytetowe znaczenie</w:t>
      </w:r>
      <w:r w:rsidRPr="002A53E5">
        <w:t>.</w:t>
      </w:r>
    </w:p>
    <w:p w:rsidRPr="002A53E5" w:rsidR="00016C21" w:rsidP="00F43371" w:rsidRDefault="00016C21" w14:paraId="6A0B7A03" w14:textId="0F45D0D4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2A53E5">
        <w:t xml:space="preserve">Uważa, że Komisja musi dopilnować, aby </w:t>
      </w:r>
      <w:r w:rsidRPr="002A53E5">
        <w:rPr>
          <w:b/>
        </w:rPr>
        <w:t>pełnomocnik UE ds. MŚP posiadał doświadczenie w dziedzinie przedsiębiorczości</w:t>
      </w:r>
      <w:r w:rsidRPr="002A53E5">
        <w:t xml:space="preserve"> oraz dobrze określony zbiór kompetencji i obowiązków w</w:t>
      </w:r>
      <w:r w:rsidR="00DE43FE">
        <w:t> </w:t>
      </w:r>
      <w:r w:rsidRPr="002A53E5">
        <w:t xml:space="preserve">nowym mandacie na lata 2024–2029 oraz by stanowisku temu towarzyszyły </w:t>
      </w:r>
      <w:r w:rsidRPr="002A53E5">
        <w:rPr>
          <w:b/>
        </w:rPr>
        <w:t>odpowiednie zasoby</w:t>
      </w:r>
      <w:r w:rsidRPr="002A53E5">
        <w:t xml:space="preserve"> kadrowe i finansowe.</w:t>
      </w:r>
    </w:p>
    <w:p w:rsidRPr="002A53E5" w:rsidR="00016C21" w:rsidP="00F43371" w:rsidRDefault="00016C21" w14:paraId="5554B69B" w14:textId="5DF60A31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2A53E5">
        <w:t>Z zadowoleniem przyjmuje wysiłki na rzecz uproszczenia, a także zmniejszenie obciążeń w</w:t>
      </w:r>
      <w:r w:rsidR="00DE43FE">
        <w:t> </w:t>
      </w:r>
      <w:r w:rsidRPr="002A53E5">
        <w:t xml:space="preserve">obszarach VAT w działalności transgranicznej. Zauważa jednak, że trzeba zrobić więcej, aby usunąć inne długotrwałe utrudnienia. </w:t>
      </w:r>
      <w:r w:rsidRPr="002A53E5">
        <w:rPr>
          <w:b/>
        </w:rPr>
        <w:t>Fragmentacja jednolitego rynku i zróżnicowane przepisy krajowe</w:t>
      </w:r>
      <w:r w:rsidRPr="002A53E5">
        <w:t xml:space="preserve"> dotyczące towarów i usług </w:t>
      </w:r>
      <w:r w:rsidRPr="002A53E5">
        <w:rPr>
          <w:b/>
        </w:rPr>
        <w:t>stanowią znaczne obciążenie dla przedsiębiorstw</w:t>
      </w:r>
      <w:r w:rsidRPr="002A53E5">
        <w:t>.</w:t>
      </w:r>
    </w:p>
    <w:p w:rsidRPr="002A53E5" w:rsidR="00016C21" w:rsidP="00F43371" w:rsidRDefault="00016C21" w14:paraId="2DEE3944" w14:textId="77777777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2A53E5">
        <w:t xml:space="preserve">Uważa, że </w:t>
      </w:r>
      <w:r w:rsidRPr="002A53E5">
        <w:rPr>
          <w:b/>
        </w:rPr>
        <w:t>MŚP powinny mieć łatwiejszy dostęp do zasobów finansowych</w:t>
      </w:r>
      <w:r w:rsidRPr="002A53E5">
        <w:t xml:space="preserve"> poprzez dotacje, pożyczki lub inne instrumenty finansowe, a także otrzymywać dostosowane wsparcie. Zwraca się również do Komisji o wprowadzenie wszystkich niezbędnych środków w celu zachęcenia MŚP do odpowiedzialnego postępowania, gdy uzyskują finansowanie UE.</w:t>
      </w:r>
    </w:p>
    <w:p w:rsidRPr="002A53E5" w:rsidR="00016C21" w:rsidP="00F43371" w:rsidRDefault="00016C21" w14:paraId="2717C131" w14:textId="77777777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bCs/>
          <w:iCs/>
        </w:rPr>
      </w:pPr>
      <w:r w:rsidRPr="002A53E5">
        <w:t xml:space="preserve">Podkreśla, że lepsze wykorzystanie już istniejących narzędzi może przyczynić się do uniknięcia biurokracji. Dobrym przykładem jest </w:t>
      </w:r>
      <w:r w:rsidRPr="002A53E5">
        <w:rPr>
          <w:b/>
        </w:rPr>
        <w:t>wskazanie w każdym wniosku ustawodawczym oczekiwanych obowiązków</w:t>
      </w:r>
      <w:r w:rsidRPr="002A53E5">
        <w:t>, co m.in. pomaga lepiej zrozumieć łączne obciążenie.</w:t>
      </w:r>
    </w:p>
    <w:p w:rsidRPr="002A53E5" w:rsidR="00016C21" w:rsidP="00FC0E5F" w:rsidRDefault="00016C21" w14:paraId="29A5A99B" w14:textId="77777777">
      <w:pPr>
        <w:suppressAutoHyphens/>
        <w:ind w:left="1434"/>
        <w:rPr>
          <w:bCs/>
          <w:iCs/>
          <w:lang w:eastAsia="zh-CN"/>
        </w:rPr>
      </w:pPr>
    </w:p>
    <w:tbl>
      <w:tblPr>
        <w:tblW w:w="3516" w:type="pct"/>
        <w:tblLook w:val="04A0" w:firstRow="1" w:lastRow="0" w:firstColumn="1" w:lastColumn="0" w:noHBand="0" w:noVBand="1"/>
      </w:tblPr>
      <w:tblGrid>
        <w:gridCol w:w="2033"/>
        <w:gridCol w:w="4499"/>
      </w:tblGrid>
      <w:tr w:rsidRPr="002A53E5" w:rsidR="00016C21" w:rsidTr="00B05454" w14:paraId="33461CA2" w14:textId="77777777">
        <w:tc>
          <w:tcPr>
            <w:tcW w:w="1556" w:type="pct"/>
          </w:tcPr>
          <w:p w:rsidRPr="002A53E5" w:rsidR="00016C21" w:rsidP="00FC0E5F" w:rsidRDefault="00016C21" w14:paraId="536875C6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b/>
                <w:i/>
              </w:rPr>
              <w:t>Kontakt</w:t>
            </w:r>
          </w:p>
        </w:tc>
        <w:tc>
          <w:tcPr>
            <w:tcW w:w="3444" w:type="pct"/>
          </w:tcPr>
          <w:p w:rsidRPr="002A53E5" w:rsidR="00016C21" w:rsidP="00FC0E5F" w:rsidRDefault="00016C21" w14:paraId="697B1E4B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Dalila Bernard</w:t>
            </w:r>
          </w:p>
        </w:tc>
      </w:tr>
      <w:tr w:rsidRPr="002A53E5" w:rsidR="00016C21" w:rsidTr="00B05454" w14:paraId="11E64266" w14:textId="77777777">
        <w:tc>
          <w:tcPr>
            <w:tcW w:w="1556" w:type="pct"/>
          </w:tcPr>
          <w:p w:rsidRPr="002A53E5" w:rsidR="00016C21" w:rsidP="00FC0E5F" w:rsidRDefault="00016C21" w14:paraId="23C53038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Tel.:</w:t>
            </w:r>
          </w:p>
        </w:tc>
        <w:tc>
          <w:tcPr>
            <w:tcW w:w="3444" w:type="pct"/>
          </w:tcPr>
          <w:p w:rsidRPr="002A53E5" w:rsidR="00016C21" w:rsidP="00FC0E5F" w:rsidRDefault="00016C21" w14:paraId="5ED7A51D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+ 32 25468438</w:t>
            </w:r>
          </w:p>
        </w:tc>
      </w:tr>
      <w:tr w:rsidRPr="002A53E5" w:rsidR="00016C21" w:rsidTr="00B05454" w14:paraId="72056838" w14:textId="77777777">
        <w:tc>
          <w:tcPr>
            <w:tcW w:w="1556" w:type="pct"/>
          </w:tcPr>
          <w:p w:rsidRPr="008769CD" w:rsidR="00016C21" w:rsidP="00FC0E5F" w:rsidRDefault="00016C21" w14:paraId="498DF601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8769CD">
              <w:rPr>
                <w:i/>
              </w:rPr>
              <w:t>e-mail:</w:t>
            </w:r>
          </w:p>
        </w:tc>
        <w:tc>
          <w:tcPr>
            <w:tcW w:w="3444" w:type="pct"/>
          </w:tcPr>
          <w:p w:rsidRPr="008769CD" w:rsidR="00016C21" w:rsidP="00FC0E5F" w:rsidRDefault="00BE51E8" w14:paraId="298F1AD7" w14:textId="3D8C529E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32">
              <w:r w:rsidRPr="008769CD" w:rsidR="00986441">
                <w:rPr>
                  <w:i/>
                  <w:color w:val="0000FF"/>
                  <w:u w:val="single"/>
                </w:rPr>
                <w:t>Dalila.Bernard@eesc.europa.eu</w:t>
              </w:r>
            </w:hyperlink>
          </w:p>
        </w:tc>
      </w:tr>
    </w:tbl>
    <w:p w:rsidRPr="002A53E5" w:rsidR="00DC121F" w:rsidP="00FC0E5F" w:rsidRDefault="00DC121F" w14:paraId="6AFE14EC" w14:textId="0BBC5EDB">
      <w:pPr>
        <w:suppressAutoHyphens/>
        <w:jc w:val="left"/>
      </w:pPr>
      <w:r w:rsidRPr="002A53E5">
        <w:br w:type="page"/>
      </w:r>
    </w:p>
    <w:p w:rsidRPr="002A53E5" w:rsidR="004C3902" w:rsidP="002A53E5" w:rsidRDefault="008E2A59" w14:paraId="7AD922B6" w14:textId="6D6B967E">
      <w:pPr>
        <w:pStyle w:val="Heading1"/>
        <w:tabs>
          <w:tab w:val="clear" w:pos="440"/>
        </w:tabs>
        <w:suppressAutoHyphens/>
        <w:spacing w:before="0"/>
        <w:ind w:left="567" w:right="0" w:hanging="567"/>
        <w:rPr>
          <w:b/>
          <w:bCs/>
        </w:rPr>
      </w:pPr>
      <w:bookmarkStart w:name="_Toc153539681" w:id="33"/>
      <w:bookmarkStart w:name="_Toc160774598" w:id="34"/>
      <w:r w:rsidRPr="002A53E5">
        <w:rPr>
          <w:b/>
        </w:rPr>
        <w:lastRenderedPageBreak/>
        <w:t>ROLNICTWO, ROZWÓJ WSI I ŚRODOWISKO NATURALNE</w:t>
      </w:r>
      <w:bookmarkStart w:name="_Hlk145944317" w:id="35"/>
      <w:bookmarkEnd w:id="33"/>
      <w:bookmarkEnd w:id="34"/>
    </w:p>
    <w:bookmarkEnd w:id="35"/>
    <w:p w:rsidRPr="002A53E5" w:rsidR="002C016E" w:rsidP="00FC0E5F" w:rsidRDefault="002C016E" w14:paraId="0E7342A4" w14:textId="73254B30">
      <w:pPr>
        <w:suppressAutoHyphens/>
        <w:jc w:val="left"/>
        <w:rPr>
          <w:bCs/>
          <w:iCs/>
        </w:rPr>
      </w:pPr>
    </w:p>
    <w:p w:rsidRPr="00040A5A" w:rsidR="00016C21" w:rsidP="003348DA" w:rsidRDefault="00BE51E8" w14:paraId="48966958" w14:textId="16AD2DEF">
      <w:pPr>
        <w:numPr>
          <w:ilvl w:val="0"/>
          <w:numId w:val="3"/>
        </w:numPr>
        <w:suppressAutoHyphens/>
        <w:ind w:left="567" w:hanging="567"/>
        <w:outlineLvl w:val="0"/>
        <w:rPr>
          <w:i/>
          <w:iCs/>
          <w:sz w:val="28"/>
          <w:szCs w:val="28"/>
        </w:rPr>
      </w:pPr>
      <w:hyperlink w:history="1" r:id="rId33">
        <w:bookmarkStart w:name="_Toc160774599" w:id="36"/>
        <w:r w:rsidRPr="00040A5A" w:rsidR="00986441">
          <w:rPr>
            <w:b/>
            <w:i/>
            <w:color w:val="0000FF"/>
            <w:sz w:val="28"/>
            <w:szCs w:val="28"/>
            <w:u w:val="single"/>
          </w:rPr>
          <w:t>Zapobieganie stratom granulatu z tworzyw sztucznych w celu ograniczenia zanieczyszczenia mikrodrobinami plastiku</w:t>
        </w:r>
        <w:bookmarkEnd w:id="36"/>
      </w:hyperlink>
    </w:p>
    <w:p w:rsidRPr="002A53E5" w:rsidR="00016C21" w:rsidP="00FC0E5F" w:rsidRDefault="00016C21" w14:paraId="4D542D75" w14:textId="1DD5ECBD">
      <w:pPr>
        <w:suppressAutoHyphens/>
        <w:overflowPunct w:val="0"/>
        <w:autoSpaceDE w:val="0"/>
        <w:autoSpaceDN w:val="0"/>
        <w:adjustRightInd w:val="0"/>
        <w:ind w:left="567"/>
        <w:textAlignment w:val="baseline"/>
        <w:rPr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85"/>
        <w:gridCol w:w="6604"/>
      </w:tblGrid>
      <w:tr w:rsidRPr="002A53E5" w:rsidR="00016C21" w:rsidTr="00115A9B" w14:paraId="2AA339FF" w14:textId="77777777">
        <w:tc>
          <w:tcPr>
            <w:tcW w:w="1445" w:type="pct"/>
          </w:tcPr>
          <w:p w:rsidRPr="002A53E5" w:rsidR="00016C21" w:rsidP="00AC3970" w:rsidRDefault="00016C21" w14:paraId="3160CF33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Sprawozdawca</w:t>
            </w:r>
          </w:p>
        </w:tc>
        <w:tc>
          <w:tcPr>
            <w:tcW w:w="3555" w:type="pct"/>
          </w:tcPr>
          <w:p w:rsidRPr="00044A06" w:rsidR="00016C21" w:rsidP="00AC3970" w:rsidRDefault="00016C21" w14:paraId="69F9AE5E" w14:textId="0CC7DB21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044A06">
              <w:rPr>
                <w:bCs/>
              </w:rPr>
              <w:t xml:space="preserve">András EDELÉNYI (Grupa Pracodawców </w:t>
            </w:r>
            <w:r w:rsidRPr="00044A06">
              <w:rPr>
                <w:bCs/>
                <w:color w:val="000000"/>
              </w:rPr>
              <w:t>– HU</w:t>
            </w:r>
            <w:r w:rsidRPr="00044A06">
              <w:rPr>
                <w:bCs/>
              </w:rPr>
              <w:t>)</w:t>
            </w:r>
          </w:p>
        </w:tc>
      </w:tr>
      <w:tr w:rsidRPr="002A53E5" w:rsidR="00016C21" w:rsidTr="00115A9B" w14:paraId="3D2947AE" w14:textId="77777777">
        <w:tc>
          <w:tcPr>
            <w:tcW w:w="1445" w:type="pct"/>
          </w:tcPr>
          <w:p w:rsidRPr="002A53E5" w:rsidR="00016C21" w:rsidP="00AC3970" w:rsidRDefault="00016C21" w14:paraId="52F4AA0D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Współsprawozdawczyni</w:t>
            </w:r>
          </w:p>
        </w:tc>
        <w:tc>
          <w:tcPr>
            <w:tcW w:w="3555" w:type="pct"/>
          </w:tcPr>
          <w:p w:rsidRPr="00044A06" w:rsidR="00016C21" w:rsidP="00AC3970" w:rsidRDefault="00016C21" w14:paraId="0F2C9A54" w14:textId="6A2E4865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044A06">
              <w:rPr>
                <w:bCs/>
              </w:rPr>
              <w:t>Maria NIKOLOPOULOU (Grupa Pracowników –</w:t>
            </w:r>
            <w:r w:rsidRPr="00044A06">
              <w:rPr>
                <w:bCs/>
                <w:color w:val="000000"/>
              </w:rPr>
              <w:t xml:space="preserve"> ES</w:t>
            </w:r>
            <w:r w:rsidRPr="00044A06">
              <w:rPr>
                <w:bCs/>
              </w:rPr>
              <w:t>)</w:t>
            </w:r>
          </w:p>
        </w:tc>
      </w:tr>
      <w:tr w:rsidRPr="002A53E5" w:rsidR="00016C21" w:rsidTr="00044A06" w14:paraId="37E9B43F" w14:textId="77777777">
        <w:tc>
          <w:tcPr>
            <w:tcW w:w="5000" w:type="pct"/>
            <w:gridSpan w:val="2"/>
          </w:tcPr>
          <w:p w:rsidRPr="002A53E5" w:rsidR="00016C21" w:rsidP="00AC3970" w:rsidRDefault="00016C21" w14:paraId="73AFBCC5" w14:textId="77777777">
            <w:pPr>
              <w:tabs>
                <w:tab w:val="left" w:pos="269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Pr="002A53E5" w:rsidR="00016C21" w:rsidTr="00115A9B" w14:paraId="15D23674" w14:textId="77777777">
        <w:tc>
          <w:tcPr>
            <w:tcW w:w="1445" w:type="pct"/>
            <w:vMerge w:val="restart"/>
          </w:tcPr>
          <w:p w:rsidRPr="002A53E5" w:rsidR="00016C21" w:rsidP="00AC3970" w:rsidRDefault="00016C21" w14:paraId="1BB4B745" w14:textId="4F540954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Dokument źródłowy</w:t>
            </w:r>
          </w:p>
        </w:tc>
        <w:tc>
          <w:tcPr>
            <w:tcW w:w="3555" w:type="pct"/>
          </w:tcPr>
          <w:p w:rsidRPr="002A53E5" w:rsidR="00016C21" w:rsidP="00AC3970" w:rsidRDefault="00016C21" w14:paraId="7EE7987F" w14:textId="0C9C2881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COM(2023) 645 final</w:t>
            </w:r>
          </w:p>
        </w:tc>
      </w:tr>
      <w:tr w:rsidRPr="002A53E5" w:rsidR="00016C21" w:rsidTr="00115A9B" w14:paraId="5C2E846C" w14:textId="77777777">
        <w:tc>
          <w:tcPr>
            <w:tcW w:w="1445" w:type="pct"/>
            <w:vMerge/>
          </w:tcPr>
          <w:p w:rsidRPr="002A53E5" w:rsidR="00016C21" w:rsidP="00AC3970" w:rsidRDefault="00016C21" w14:paraId="3C7FAC6C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3555" w:type="pct"/>
          </w:tcPr>
          <w:p w:rsidRPr="002A53E5" w:rsidR="00016C21" w:rsidP="00AC3970" w:rsidRDefault="00016C21" w14:paraId="0906927D" w14:textId="5DCAA039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EESC-2023-04923-00-00-AC</w:t>
            </w:r>
          </w:p>
        </w:tc>
      </w:tr>
    </w:tbl>
    <w:p w:rsidRPr="002A53E5" w:rsidR="00C05C6B" w:rsidP="00044A06" w:rsidRDefault="00C05C6B" w14:paraId="53A18EF3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Pr="002A53E5" w:rsidR="00016C21" w:rsidP="00044A06" w:rsidRDefault="00016C21" w14:paraId="7C49C143" w14:textId="4C6ED9AD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A53E5">
        <w:rPr>
          <w:b/>
        </w:rPr>
        <w:t>Główne punkty</w:t>
      </w:r>
    </w:p>
    <w:p w:rsidRPr="002A53E5" w:rsidR="00016C21" w:rsidP="00044A06" w:rsidRDefault="00016C21" w14:paraId="34882F56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Cs/>
        </w:rPr>
      </w:pPr>
    </w:p>
    <w:p w:rsidRPr="002A53E5" w:rsidR="00016C21" w:rsidP="00044A06" w:rsidRDefault="00016C21" w14:paraId="678CC3CA" w14:textId="6F26DAA6">
      <w:pPr>
        <w:suppressAutoHyphens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2A53E5">
        <w:t>EKES</w:t>
      </w:r>
    </w:p>
    <w:p w:rsidRPr="002A53E5" w:rsidR="005E64DC" w:rsidP="00044A06" w:rsidRDefault="005E64DC" w14:paraId="409EF56F" w14:textId="77777777">
      <w:pPr>
        <w:suppressAutoHyphens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2A53E5" w:rsidR="00016C21" w:rsidP="00044A06" w:rsidRDefault="00016C21" w14:paraId="1E401C83" w14:textId="77777777">
      <w:pPr>
        <w:pStyle w:val="ListParagraph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  <w:outlineLvl w:val="1"/>
      </w:pPr>
      <w:bookmarkStart w:name="_Toc159831772" w:id="37"/>
      <w:bookmarkStart w:name="_Toc160774600" w:id="38"/>
      <w:r w:rsidRPr="002A53E5">
        <w:rPr>
          <w:b/>
        </w:rPr>
        <w:t>Zgadza się z wnioskiem Komisji</w:t>
      </w:r>
      <w:r w:rsidRPr="002A53E5">
        <w:t xml:space="preserve"> w sprawie uregulowania procesów związanych z granulatem mikrodrobin plastiku oraz emisji granulatu, a także ograniczenia niebezpiecznych zanieczyszczeń w tym szczególnym obszarze i zasadniczo popiera tenże wniosek.</w:t>
      </w:r>
      <w:bookmarkEnd w:id="37"/>
      <w:bookmarkEnd w:id="38"/>
    </w:p>
    <w:p w:rsidRPr="002A53E5" w:rsidR="00016C21" w:rsidP="00044A06" w:rsidRDefault="00016C21" w14:paraId="1C92984C" w14:textId="6A28A478">
      <w:pPr>
        <w:pStyle w:val="ListParagraph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  <w:outlineLvl w:val="1"/>
        <w:rPr>
          <w:spacing w:val="-2"/>
        </w:rPr>
      </w:pPr>
      <w:bookmarkStart w:name="_Toc159831773" w:id="39"/>
      <w:bookmarkStart w:name="_Toc160774601" w:id="40"/>
      <w:r w:rsidRPr="002A53E5">
        <w:t xml:space="preserve">Zwraca uwagę na pilną potrzebę </w:t>
      </w:r>
      <w:r w:rsidRPr="002A53E5">
        <w:rPr>
          <w:b/>
        </w:rPr>
        <w:t>opracowania ustandaryzowanej metodyki</w:t>
      </w:r>
      <w:r w:rsidR="00115A9B">
        <w:rPr>
          <w:b/>
        </w:rPr>
        <w:t xml:space="preserve"> </w:t>
      </w:r>
      <w:r w:rsidRPr="002A53E5">
        <w:rPr>
          <w:b/>
        </w:rPr>
        <w:t>śledzenia</w:t>
      </w:r>
      <w:r w:rsidRPr="002A53E5">
        <w:t xml:space="preserve"> i</w:t>
      </w:r>
      <w:r w:rsidR="00044A06">
        <w:t> </w:t>
      </w:r>
      <w:r w:rsidRPr="002A53E5">
        <w:t>właściwego</w:t>
      </w:r>
      <w:r w:rsidRPr="002A53E5">
        <w:rPr>
          <w:b/>
        </w:rPr>
        <w:t xml:space="preserve"> szacowania strat granulatu mikrodrobin plastiku</w:t>
      </w:r>
      <w:r w:rsidRPr="002A53E5">
        <w:t xml:space="preserve"> w całym łańcuchu dostaw. Mogłoby to umożliwić oszacowanie emisji i monitorowanie postępów w realizacji wyznaczonego celu środowiskowego, którym jest ograniczenie emisji o 30% do 2030 r.</w:t>
      </w:r>
      <w:bookmarkEnd w:id="39"/>
      <w:bookmarkEnd w:id="40"/>
    </w:p>
    <w:p w:rsidRPr="002A53E5" w:rsidR="00016C21" w:rsidP="00044A06" w:rsidRDefault="00016C21" w14:paraId="3EE952C2" w14:textId="0262050C">
      <w:pPr>
        <w:pStyle w:val="ListParagraph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  <w:outlineLvl w:val="1"/>
        <w:rPr>
          <w:spacing w:val="-8"/>
        </w:rPr>
      </w:pPr>
      <w:bookmarkStart w:name="_Toc159831774" w:id="41"/>
      <w:bookmarkStart w:name="_Toc160774602" w:id="42"/>
      <w:r w:rsidRPr="002A53E5">
        <w:t>Zaleca również, by UE dostosowała się do procesu legislacyjnego Międzynarodowej Organizacji Morskiej (IMO). Jeżeli IMO nie przedstawi żadnych przepisów do połowy 2026 r., Komisja powinna rozważyć przepisy, które należy wdrożyć w odniesieniu do wewnątrzunijnego transportu morskiego, a także stworzenie podstaw do rozwiązania drugorzędnego problemu mikrodrobin plastiku dotyczącego opon, farb, wyrobów włókienniczych, geotekstyliów i</w:t>
      </w:r>
      <w:r w:rsidR="00044A06">
        <w:t> </w:t>
      </w:r>
      <w:r w:rsidRPr="002A53E5">
        <w:t>kapsułek detergentowych.</w:t>
      </w:r>
      <w:bookmarkEnd w:id="41"/>
      <w:bookmarkEnd w:id="42"/>
    </w:p>
    <w:p w:rsidRPr="002A53E5" w:rsidR="00016C21" w:rsidP="00044A06" w:rsidRDefault="00016C21" w14:paraId="1818AA54" w14:textId="77777777">
      <w:pPr>
        <w:pStyle w:val="ListParagraph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  <w:outlineLvl w:val="1"/>
      </w:pPr>
      <w:bookmarkStart w:name="_Toc159831775" w:id="43"/>
      <w:bookmarkStart w:name="_Toc160774603" w:id="44"/>
      <w:r w:rsidRPr="002A53E5">
        <w:t xml:space="preserve">Jeśli chodzi o aspekty związane z ochroną środowiska i ludzi, sugeruje, aby w rozporządzeniu </w:t>
      </w:r>
      <w:r w:rsidRPr="002A53E5">
        <w:rPr>
          <w:b/>
        </w:rPr>
        <w:t>zwrócić uwagę</w:t>
      </w:r>
      <w:r w:rsidRPr="002A53E5">
        <w:t xml:space="preserve"> na </w:t>
      </w:r>
      <w:r w:rsidRPr="002A53E5">
        <w:rPr>
          <w:b/>
        </w:rPr>
        <w:t>obszary geograficzne</w:t>
      </w:r>
      <w:r w:rsidRPr="002A53E5">
        <w:t xml:space="preserve"> – jako potencjalne punkty interwencji w celu łagodzenia/ograniczenia zanieczyszczenia – które są najbardziej narażone na emisje mikrodrobin plastiku.</w:t>
      </w:r>
      <w:bookmarkEnd w:id="43"/>
      <w:bookmarkEnd w:id="44"/>
    </w:p>
    <w:p w:rsidRPr="002A53E5" w:rsidR="00016C21" w:rsidP="00044A06" w:rsidRDefault="00016C21" w14:paraId="054B27CB" w14:textId="21D39DDD">
      <w:pPr>
        <w:pStyle w:val="ListParagraph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  <w:outlineLvl w:val="1"/>
      </w:pPr>
      <w:bookmarkStart w:name="_Toc159831776" w:id="45"/>
      <w:bookmarkStart w:name="_Toc160774604" w:id="46"/>
      <w:r w:rsidRPr="002A53E5">
        <w:t xml:space="preserve">Podkreśla potrzebę </w:t>
      </w:r>
      <w:r w:rsidRPr="002A53E5">
        <w:rPr>
          <w:b/>
        </w:rPr>
        <w:t>zwiększenia częstotliwości weryfikacji zgodności i wprowadzenia śródokresowego przeglądu prawodawstwa</w:t>
      </w:r>
      <w:r w:rsidRPr="002A53E5">
        <w:t xml:space="preserve"> w celu oceny jego skuteczności oraz w celu dokonania przeglądu i, w razie potrzeby, dopracowania limitu ilości dla procesów związanych z</w:t>
      </w:r>
      <w:r w:rsidR="00044A06">
        <w:t> </w:t>
      </w:r>
      <w:r w:rsidRPr="002A53E5">
        <w:t>granulatem, określonego w mniej rygorystycznych wymogach regulacyjnych przewidzianych dla mikroprzedsiębiorstw i małych przedsiębiorstw.</w:t>
      </w:r>
      <w:bookmarkEnd w:id="45"/>
      <w:bookmarkEnd w:id="46"/>
    </w:p>
    <w:p w:rsidRPr="002A53E5" w:rsidR="00016C21" w:rsidP="00044A06" w:rsidRDefault="00016C21" w14:paraId="2F4250F7" w14:textId="3F577686">
      <w:pPr>
        <w:pStyle w:val="ListParagraph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  <w:outlineLvl w:val="1"/>
      </w:pPr>
      <w:bookmarkStart w:name="_Toc159831777" w:id="47"/>
      <w:bookmarkStart w:name="_Toc160774605" w:id="48"/>
      <w:r w:rsidRPr="002A53E5">
        <w:t>Ostrzega, że szybko rosnąca produkcja pierwotnego i pochodzącego z recyklingu granulatu z</w:t>
      </w:r>
      <w:r w:rsidR="00044A06">
        <w:t> </w:t>
      </w:r>
      <w:r w:rsidRPr="002A53E5">
        <w:t xml:space="preserve">tworzyw sztucznych coraz bardziej utrudnia łagodzenie skutków jego stosowania. W związku z tym należy </w:t>
      </w:r>
      <w:r w:rsidRPr="002A53E5">
        <w:rPr>
          <w:b/>
        </w:rPr>
        <w:t>przyspieszyć wysiłki na rzecz wdrażania i egzekwowania zgodności</w:t>
      </w:r>
      <w:r w:rsidRPr="002A53E5">
        <w:t xml:space="preserve"> z</w:t>
      </w:r>
      <w:r w:rsidR="00044A06">
        <w:t> </w:t>
      </w:r>
      <w:r w:rsidRPr="002A53E5">
        <w:t>rozporządzeniem.</w:t>
      </w:r>
      <w:bookmarkEnd w:id="47"/>
      <w:bookmarkEnd w:id="48"/>
    </w:p>
    <w:p w:rsidRPr="002A53E5" w:rsidR="00016C21" w:rsidP="00044A06" w:rsidRDefault="00016C21" w14:paraId="1E28F2BE" w14:textId="77777777">
      <w:pPr>
        <w:pStyle w:val="ListParagraph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  <w:outlineLvl w:val="1"/>
      </w:pPr>
      <w:bookmarkStart w:name="_Toc159831778" w:id="49"/>
      <w:bookmarkStart w:name="_Toc160774606" w:id="50"/>
      <w:r w:rsidRPr="002A53E5">
        <w:t xml:space="preserve">Odnotowuje, że z wyjątkiem sektorów ekologicznych nie istnieje duże zapotrzebowanie na dodatkowych pracowników, lecz należy </w:t>
      </w:r>
      <w:r w:rsidRPr="002A53E5">
        <w:rPr>
          <w:b/>
        </w:rPr>
        <w:t>zwiększyć poziom świadomości i wyszkolenia siły roboczej</w:t>
      </w:r>
      <w:r w:rsidRPr="002A53E5">
        <w:t>.</w:t>
      </w:r>
      <w:bookmarkEnd w:id="49"/>
      <w:bookmarkEnd w:id="50"/>
    </w:p>
    <w:p w:rsidRPr="002A53E5" w:rsidR="00016C21" w:rsidP="00044A06" w:rsidRDefault="00016C21" w14:paraId="23F522CA" w14:textId="77777777">
      <w:pPr>
        <w:pStyle w:val="ListParagraph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  <w:outlineLvl w:val="1"/>
      </w:pPr>
      <w:bookmarkStart w:name="_Toc159831779" w:id="51"/>
      <w:bookmarkStart w:name="_Toc160774607" w:id="52"/>
      <w:r w:rsidRPr="002A53E5">
        <w:lastRenderedPageBreak/>
        <w:t xml:space="preserve">Wskazuje, że </w:t>
      </w:r>
      <w:r w:rsidRPr="002A53E5">
        <w:rPr>
          <w:b/>
        </w:rPr>
        <w:t>należy wziąć pod uwagę międzynarodowe aspekty rozporządzenia,</w:t>
      </w:r>
      <w:r w:rsidRPr="002A53E5">
        <w:t xml:space="preserve"> aby zapewnić równe warunki działania w konkurencyjnym środowisku między podmiotami z UE przestrzegającymi przepisów a podmiotami z państw trzecich.</w:t>
      </w:r>
      <w:bookmarkEnd w:id="51"/>
      <w:bookmarkEnd w:id="52"/>
    </w:p>
    <w:p w:rsidRPr="002A53E5" w:rsidR="00016C21" w:rsidP="00044A06" w:rsidRDefault="00016C21" w14:paraId="0E4468F7" w14:textId="77777777">
      <w:pPr>
        <w:pStyle w:val="ListParagraph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  <w:outlineLvl w:val="1"/>
        <w:rPr>
          <w:spacing w:val="-4"/>
        </w:rPr>
      </w:pPr>
      <w:bookmarkStart w:name="_Toc159831780" w:id="53"/>
      <w:bookmarkStart w:name="_Toc160774608" w:id="54"/>
      <w:r w:rsidRPr="002A53E5">
        <w:t>Podkreśla potrzebę zintensyfikowania działań naukowo-badawczych, przede wszystkim w celu zrozumienia szkodliwego wpływu, który na zdrowie człowieka i zdrowie ekologiczne wywiera zanieczyszczenie granulatem mikrodrobin plastiku.</w:t>
      </w:r>
      <w:bookmarkEnd w:id="53"/>
      <w:bookmarkEnd w:id="54"/>
    </w:p>
    <w:p w:rsidRPr="002A53E5" w:rsidR="00016C21" w:rsidP="00044A06" w:rsidRDefault="00016C21" w14:paraId="717B8D71" w14:textId="77777777">
      <w:pPr>
        <w:pStyle w:val="ListParagraph"/>
        <w:numPr>
          <w:ilvl w:val="0"/>
          <w:numId w:val="25"/>
        </w:numPr>
        <w:suppressAutoHyphens/>
        <w:overflowPunct w:val="0"/>
        <w:autoSpaceDE w:val="0"/>
        <w:autoSpaceDN w:val="0"/>
        <w:adjustRightInd w:val="0"/>
        <w:ind w:left="567" w:hanging="567"/>
        <w:contextualSpacing w:val="0"/>
        <w:textAlignment w:val="baseline"/>
        <w:outlineLvl w:val="1"/>
        <w:rPr>
          <w:spacing w:val="-6"/>
        </w:rPr>
      </w:pPr>
      <w:bookmarkStart w:name="_Toc159831781" w:id="55"/>
      <w:bookmarkStart w:name="_Toc160774609" w:id="56"/>
      <w:r w:rsidRPr="002A53E5">
        <w:t xml:space="preserve">Sugeruje, aby dokonać </w:t>
      </w:r>
      <w:r w:rsidRPr="002A53E5">
        <w:rPr>
          <w:b/>
        </w:rPr>
        <w:t>przeglądu najlepszych dostępnych technik</w:t>
      </w:r>
      <w:r w:rsidRPr="002A53E5">
        <w:t xml:space="preserve"> dla podmiotów gospodarczych w celu uwzględnienia strat granulatu.</w:t>
      </w:r>
      <w:bookmarkEnd w:id="55"/>
      <w:bookmarkEnd w:id="56"/>
    </w:p>
    <w:p w:rsidRPr="002A53E5" w:rsidR="00DC108A" w:rsidP="00FC0E5F" w:rsidRDefault="00DC108A" w14:paraId="62259C3A" w14:textId="77777777">
      <w:pPr>
        <w:suppressAutoHyphens/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5670"/>
      </w:tblGrid>
      <w:tr w:rsidRPr="002A53E5" w:rsidR="00016C21" w:rsidTr="00B05454" w14:paraId="5AD55413" w14:textId="77777777">
        <w:tc>
          <w:tcPr>
            <w:tcW w:w="1418" w:type="dxa"/>
          </w:tcPr>
          <w:p w:rsidRPr="002A53E5" w:rsidR="00016C21" w:rsidP="00FC0E5F" w:rsidRDefault="00016C21" w14:paraId="668325B6" w14:textId="77777777">
            <w:pPr>
              <w:suppressAutoHyphens/>
              <w:overflowPunct w:val="0"/>
              <w:autoSpaceDE w:val="0"/>
              <w:autoSpaceDN w:val="0"/>
              <w:adjustRightInd w:val="0"/>
              <w:ind w:left="34" w:right="-253"/>
              <w:textAlignment w:val="baseline"/>
              <w:rPr>
                <w:i/>
              </w:rPr>
            </w:pPr>
            <w:r w:rsidRPr="002A53E5"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2A53E5" w:rsidR="00016C21" w:rsidP="00C62F3C" w:rsidRDefault="00016C21" w14:paraId="504AA629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 w:rsidRPr="002A53E5">
              <w:rPr>
                <w:i/>
              </w:rPr>
              <w:t>Caroline Verhelst</w:t>
            </w:r>
          </w:p>
        </w:tc>
      </w:tr>
      <w:tr w:rsidRPr="002A53E5" w:rsidR="00016C21" w:rsidTr="00B05454" w14:paraId="12754F25" w14:textId="77777777">
        <w:tc>
          <w:tcPr>
            <w:tcW w:w="1418" w:type="dxa"/>
          </w:tcPr>
          <w:p w:rsidRPr="002A53E5" w:rsidR="00016C21" w:rsidP="00FC0E5F" w:rsidRDefault="00016C21" w14:paraId="45074D4B" w14:textId="77777777">
            <w:pPr>
              <w:suppressAutoHyphens/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i/>
              </w:rPr>
            </w:pPr>
            <w:r w:rsidRPr="002A53E5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2A53E5" w:rsidR="00016C21" w:rsidP="00C62F3C" w:rsidRDefault="00016C21" w14:paraId="442D21C5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 w:rsidRPr="002A53E5">
              <w:rPr>
                <w:i/>
              </w:rPr>
              <w:t>+32 25469497</w:t>
            </w:r>
          </w:p>
        </w:tc>
      </w:tr>
      <w:tr w:rsidRPr="002A53E5" w:rsidR="00016C21" w:rsidTr="00B05454" w14:paraId="249DD5BE" w14:textId="77777777">
        <w:tc>
          <w:tcPr>
            <w:tcW w:w="1418" w:type="dxa"/>
          </w:tcPr>
          <w:p w:rsidRPr="002A53E5" w:rsidR="00016C21" w:rsidP="00FC0E5F" w:rsidRDefault="00DC108A" w14:paraId="396A0A58" w14:textId="71177E55">
            <w:pPr>
              <w:suppressAutoHyphens/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i/>
              </w:rPr>
            </w:pPr>
            <w:r w:rsidRPr="002A53E5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2A53E5" w:rsidR="00016C21" w:rsidP="00C62F3C" w:rsidRDefault="00BE51E8" w14:paraId="341BABE2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color w:val="0000FF"/>
                <w:u w:val="single"/>
              </w:rPr>
            </w:pPr>
            <w:hyperlink w:history="1" r:id="rId34">
              <w:r w:rsidRPr="002A53E5" w:rsidR="00986441">
                <w:rPr>
                  <w:i/>
                  <w:color w:val="0000FF"/>
                  <w:u w:val="single"/>
                </w:rPr>
                <w:t>Caroline.Verhelst@eesc.europa.eu</w:t>
              </w:r>
            </w:hyperlink>
          </w:p>
        </w:tc>
      </w:tr>
    </w:tbl>
    <w:p w:rsidRPr="002A53E5" w:rsidR="006938FA" w:rsidP="00FC0E5F" w:rsidRDefault="006938FA" w14:paraId="6AD61F9D" w14:textId="2D567E4A">
      <w:pPr>
        <w:suppressAutoHyphens/>
        <w:jc w:val="left"/>
        <w:rPr>
          <w:b/>
          <w:bCs/>
        </w:rPr>
      </w:pPr>
    </w:p>
    <w:p w:rsidRPr="002A53E5" w:rsidR="006B3316" w:rsidP="00044A06" w:rsidRDefault="005374D2" w14:paraId="4FE1ECEE" w14:textId="7B16969B">
      <w:pPr>
        <w:pStyle w:val="Heading1"/>
        <w:pageBreakBefore/>
        <w:tabs>
          <w:tab w:val="clear" w:pos="440"/>
        </w:tabs>
        <w:suppressAutoHyphens/>
        <w:spacing w:before="0"/>
        <w:ind w:left="567" w:right="0" w:hanging="567"/>
        <w:rPr>
          <w:b/>
          <w:bCs/>
        </w:rPr>
      </w:pPr>
      <w:bookmarkStart w:name="_Toc153539702" w:id="57"/>
      <w:bookmarkStart w:name="_Toc160774610" w:id="58"/>
      <w:r w:rsidRPr="002A53E5">
        <w:rPr>
          <w:b/>
        </w:rPr>
        <w:lastRenderedPageBreak/>
        <w:t>STOSUNKI ZEWNĘTRZNE</w:t>
      </w:r>
      <w:bookmarkEnd w:id="57"/>
      <w:bookmarkEnd w:id="58"/>
    </w:p>
    <w:p w:rsidRPr="002A53E5" w:rsidR="00BD0493" w:rsidP="00FC0E5F" w:rsidRDefault="00BD0493" w14:paraId="10EC00FD" w14:textId="45B98434">
      <w:pPr>
        <w:suppressAutoHyphens/>
      </w:pPr>
    </w:p>
    <w:p w:rsidRPr="00040A5A" w:rsidR="00231267" w:rsidP="003348DA" w:rsidRDefault="00BE51E8" w14:paraId="1DBCF0C9" w14:textId="6A3796A6">
      <w:pPr>
        <w:numPr>
          <w:ilvl w:val="0"/>
          <w:numId w:val="12"/>
        </w:numPr>
        <w:suppressAutoHyphens/>
        <w:ind w:left="567" w:hanging="567"/>
        <w:outlineLvl w:val="0"/>
        <w:rPr>
          <w:sz w:val="28"/>
          <w:szCs w:val="28"/>
        </w:rPr>
      </w:pPr>
      <w:hyperlink w:history="1" r:id="rId35">
        <w:bookmarkStart w:name="_Toc160774611" w:id="59"/>
        <w:r w:rsidRPr="00040A5A" w:rsidR="00986441">
          <w:rPr>
            <w:b/>
            <w:i/>
            <w:color w:val="0000FF"/>
            <w:sz w:val="28"/>
            <w:szCs w:val="28"/>
            <w:u w:val="single"/>
          </w:rPr>
          <w:t>Europejska strategia bezpieczeństwa gospodarczego</w:t>
        </w:r>
        <w:bookmarkEnd w:id="59"/>
      </w:hyperlink>
    </w:p>
    <w:p w:rsidRPr="002A53E5" w:rsidR="00231267" w:rsidP="00FC0E5F" w:rsidRDefault="00231267" w14:paraId="746E1E4A" w14:textId="77777777">
      <w:pPr>
        <w:suppressAutoHyphens/>
        <w:overflowPunct w:val="0"/>
        <w:autoSpaceDE w:val="0"/>
        <w:autoSpaceDN w:val="0"/>
        <w:adjustRightInd w:val="0"/>
        <w:jc w:val="left"/>
        <w:textAlignment w:val="baseline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5"/>
        <w:gridCol w:w="7054"/>
      </w:tblGrid>
      <w:tr w:rsidRPr="002A53E5" w:rsidR="00231267" w:rsidTr="00C62F3C" w14:paraId="588E9B2D" w14:textId="77777777">
        <w:trPr>
          <w:trHeight w:val="330"/>
        </w:trPr>
        <w:tc>
          <w:tcPr>
            <w:tcW w:w="1203" w:type="pct"/>
          </w:tcPr>
          <w:p w:rsidRPr="002A53E5" w:rsidR="00231267" w:rsidP="00AC3970" w:rsidRDefault="00231267" w14:paraId="3F8D03D4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Sprawozdawca</w:t>
            </w:r>
          </w:p>
        </w:tc>
        <w:tc>
          <w:tcPr>
            <w:tcW w:w="3797" w:type="pct"/>
          </w:tcPr>
          <w:p w:rsidRPr="002A53E5" w:rsidR="00231267" w:rsidP="00AC3970" w:rsidRDefault="00231267" w14:paraId="1FD8BB1A" w14:textId="719B603A">
            <w:pPr>
              <w:tabs>
                <w:tab w:val="center" w:pos="2585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2A53E5">
              <w:t>Milena ANGEŁOWA (Grupa Pracodawców – BG)</w:t>
            </w:r>
          </w:p>
        </w:tc>
      </w:tr>
      <w:tr w:rsidRPr="002A53E5" w:rsidR="00044A06" w:rsidTr="00C62F3C" w14:paraId="10FDC5FD" w14:textId="77777777">
        <w:trPr>
          <w:trHeight w:val="330"/>
        </w:trPr>
        <w:tc>
          <w:tcPr>
            <w:tcW w:w="1203" w:type="pct"/>
          </w:tcPr>
          <w:p w:rsidRPr="002A53E5" w:rsidR="00044A06" w:rsidP="00AC3970" w:rsidRDefault="00044A06" w14:paraId="7DDC953D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3797" w:type="pct"/>
          </w:tcPr>
          <w:p w:rsidRPr="002A53E5" w:rsidR="00044A06" w:rsidP="00AC3970" w:rsidRDefault="00044A06" w14:paraId="12563A0D" w14:textId="77777777">
            <w:pPr>
              <w:tabs>
                <w:tab w:val="center" w:pos="2585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</w:p>
        </w:tc>
      </w:tr>
      <w:tr w:rsidRPr="002A53E5" w:rsidR="00231267" w:rsidTr="00C62F3C" w14:paraId="5246C778" w14:textId="77777777">
        <w:tc>
          <w:tcPr>
            <w:tcW w:w="1203" w:type="pct"/>
          </w:tcPr>
          <w:p w:rsidRPr="002A53E5" w:rsidR="00231267" w:rsidP="00AC3970" w:rsidRDefault="00231267" w14:paraId="71E3F92B" w14:textId="06BC7E4A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Dokument źródłowy</w:t>
            </w:r>
          </w:p>
        </w:tc>
        <w:tc>
          <w:tcPr>
            <w:tcW w:w="3797" w:type="pct"/>
          </w:tcPr>
          <w:p w:rsidRPr="002A53E5" w:rsidR="00231267" w:rsidP="00AC3970" w:rsidRDefault="00231267" w14:paraId="51DACF12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EESC-2023-04250-00-00-AC</w:t>
            </w:r>
          </w:p>
        </w:tc>
      </w:tr>
    </w:tbl>
    <w:p w:rsidRPr="002A53E5" w:rsidR="00231267" w:rsidP="00044A06" w:rsidRDefault="00231267" w14:paraId="005F2FF2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Pr="002A53E5" w:rsidR="00231267" w:rsidP="00044A06" w:rsidRDefault="00231267" w14:paraId="5EBF1939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A53E5">
        <w:rPr>
          <w:b/>
        </w:rPr>
        <w:t>Główne punkty</w:t>
      </w:r>
    </w:p>
    <w:p w:rsidRPr="002A53E5" w:rsidR="00231267" w:rsidP="00044A06" w:rsidRDefault="00231267" w14:paraId="64379665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Pr="002A53E5" w:rsidR="00231267" w:rsidP="00044A06" w:rsidRDefault="00231267" w14:paraId="43917E21" w14:textId="07835E4F">
      <w:pPr>
        <w:suppressAutoHyphens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2A53E5">
        <w:t>EKES</w:t>
      </w:r>
    </w:p>
    <w:p w:rsidRPr="002A53E5" w:rsidR="00C05C6B" w:rsidP="00044A06" w:rsidRDefault="00C05C6B" w14:paraId="55C5A328" w14:textId="77777777">
      <w:pPr>
        <w:suppressAutoHyphens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2A53E5" w:rsidR="00231267" w:rsidP="00044A06" w:rsidRDefault="00231267" w14:paraId="3FA07EDF" w14:textId="5E2BA7E6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z zadowoleniem przyjmuje komunikat w sprawie „europejskiej strategii bezpieczeństwa gospodarczego” jako aktualną inicjatywę mającą na celu reagowanie na nowe i stale zmieniające się warunki geopolityczne i geoekonomiczne.</w:t>
      </w:r>
      <w:r w:rsidRPr="002A53E5" w:rsidR="002A53E5">
        <w:t xml:space="preserve"> </w:t>
      </w:r>
      <w:r w:rsidRPr="002A53E5">
        <w:t>Choć popiera podejście oparte na ocenie zagrożeń, to apeluje również o kompleksową ocenę mocnych stron UE i możliwości związanych z globalnymi wyzwaniami;</w:t>
      </w:r>
    </w:p>
    <w:p w:rsidRPr="002A53E5" w:rsidR="00231267" w:rsidP="00044A06" w:rsidRDefault="00231267" w14:paraId="0B300469" w14:textId="77777777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podkreśla, że inwestycje w innowacje, rozwój umiejętności i zdolności przemysłowe oraz zapewnienie sprawnie funkcjonującego rynku wewnętrznego są niezbędne zarówno do zwiększenia wydajności i konkurencyjności, jak i do zmniejszenia krytycznych zależności przy jednoczesnej ochronie społecznej gospodarki rynkowej UE. Inne podstawowe aspekty obejmują energię, surowce, zdolności cyfrowe i stabilny dostęp do finansowania, co wymaga dokończenia budowy unii rynków kapitałowych i unii bankowej;</w:t>
      </w:r>
    </w:p>
    <w:p w:rsidRPr="002A53E5" w:rsidR="00231267" w:rsidP="00044A06" w:rsidRDefault="00231267" w14:paraId="4C25E9FD" w14:textId="6BF8CA40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apeluje o pełne wykorzystywanie umów handlowo-inwestycyjnych oraz szybkie dokończenie trwających negocjacji handlowych, a także o rozpoczęcie nowych negocjacji z nowymi potencjalnymi partnerami, aby zwiększyć możliwości dywersyfikacji łańcuchów dostaw i</w:t>
      </w:r>
      <w:r w:rsidR="00044A06">
        <w:t> </w:t>
      </w:r>
      <w:r w:rsidRPr="002A53E5">
        <w:t xml:space="preserve">rozszerzenia rynków produktowych. Wzmocnienie wielostronnego handlu opartego na zasadach i umów globalnych również powinno być priorytetem UE; </w:t>
      </w:r>
    </w:p>
    <w:p w:rsidRPr="002A53E5" w:rsidR="00231267" w:rsidP="00044A06" w:rsidRDefault="00231267" w14:paraId="658E7170" w14:textId="77777777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podkreśla potrzebę zdecydowanych środków przeciwdziałania i ochrony w dziedzinie handlu, inwestycji i współpracy technologicznej w przypadkach, gdy państwa trzecie stanowią zagrożenie dla bezpieczeństwa gospodarczego UE;</w:t>
      </w:r>
    </w:p>
    <w:p w:rsidRPr="002A53E5" w:rsidR="00231267" w:rsidP="00044A06" w:rsidRDefault="00231267" w14:paraId="24A2D06C" w14:textId="11901FD1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wzywa decydentów UE, aby poprawili warunki, które umożliwiają unijnym przedsiębiorstwom, w tym MMŚP, zarządzanie ryzykiem geoekonomicznym w ich działalności, zachęcają do takiego zarządzania i je w tym wspierają. Apeluje również o zatroszczenie się o to, by środki z</w:t>
      </w:r>
      <w:r w:rsidR="00044A06">
        <w:t> </w:t>
      </w:r>
      <w:r w:rsidRPr="002A53E5">
        <w:t xml:space="preserve">zakresu polityki nie powodowały dla nich nieproporcjonalnych kosztów lub utrudnień. </w:t>
      </w:r>
    </w:p>
    <w:p w:rsidRPr="002A53E5" w:rsidR="00231267" w:rsidP="00044A06" w:rsidRDefault="00231267" w14:paraId="152286F2" w14:textId="77777777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</w:pPr>
      <w:r w:rsidRPr="002A53E5">
        <w:t>wzywa do włączenia unijnych przedsiębiorstw i innych odpowiednich podmiotów społeczeństwa obywatelskiego w dalsze opracowywanie i wdrażanie strategii bezpieczeństwa gospodarczego. Ponadto podkreśla, że trzeba wzmocnić synergię między państwami członkowskimi i tworzenie korzyści w całej UE, przyczyniając się w ten sposób do jedności, globalnej siły i ogólnego bezpieczeństwa gospodarczego UE.</w:t>
      </w:r>
    </w:p>
    <w:p w:rsidRPr="002A53E5" w:rsidR="00231267" w:rsidP="00FC0E5F" w:rsidRDefault="00231267" w14:paraId="689F9EDE" w14:textId="77777777">
      <w:pPr>
        <w:suppressAutoHyphens/>
        <w:overflowPunct w:val="0"/>
        <w:autoSpaceDE w:val="0"/>
        <w:autoSpaceDN w:val="0"/>
        <w:adjustRightInd w:val="0"/>
        <w:ind w:left="709"/>
        <w:textAlignment w:val="baselin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5670"/>
      </w:tblGrid>
      <w:tr w:rsidRPr="002A53E5" w:rsidR="00231267" w:rsidTr="00B05454" w14:paraId="7CFE54E9" w14:textId="77777777">
        <w:tc>
          <w:tcPr>
            <w:tcW w:w="1418" w:type="dxa"/>
          </w:tcPr>
          <w:p w:rsidRPr="002A53E5" w:rsidR="00231267" w:rsidP="00FC0E5F" w:rsidRDefault="00231267" w14:paraId="4E9EAA40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2A53E5" w:rsidR="00231267" w:rsidP="00FC0E5F" w:rsidRDefault="00231267" w14:paraId="37F63FE7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Marco Ristori</w:t>
            </w:r>
          </w:p>
        </w:tc>
      </w:tr>
      <w:tr w:rsidRPr="002A53E5" w:rsidR="00231267" w:rsidTr="00B05454" w14:paraId="62B22192" w14:textId="77777777">
        <w:tc>
          <w:tcPr>
            <w:tcW w:w="1418" w:type="dxa"/>
          </w:tcPr>
          <w:p w:rsidRPr="002A53E5" w:rsidR="00231267" w:rsidP="00FC0E5F" w:rsidRDefault="00231267" w14:paraId="440C603C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2A53E5" w:rsidR="00231267" w:rsidP="00FC0E5F" w:rsidRDefault="00231267" w14:paraId="29D4C5B9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+32 25469969</w:t>
            </w:r>
          </w:p>
        </w:tc>
      </w:tr>
      <w:tr w:rsidRPr="002A53E5" w:rsidR="00231267" w:rsidTr="00B05454" w14:paraId="48DEF925" w14:textId="77777777">
        <w:tc>
          <w:tcPr>
            <w:tcW w:w="1418" w:type="dxa"/>
          </w:tcPr>
          <w:p w:rsidRPr="002A53E5" w:rsidR="00231267" w:rsidP="00FC0E5F" w:rsidRDefault="00231267" w14:paraId="66BED64C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2A53E5" w:rsidR="00231267" w:rsidP="00FC0E5F" w:rsidRDefault="00BE51E8" w14:paraId="42300FE7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36">
              <w:r w:rsidRPr="002A53E5" w:rsidR="00986441">
                <w:rPr>
                  <w:i/>
                  <w:color w:val="0000FF"/>
                  <w:u w:val="single"/>
                </w:rPr>
                <w:t>Marco.Ristori@eesc.europa.eu</w:t>
              </w:r>
            </w:hyperlink>
          </w:p>
        </w:tc>
      </w:tr>
    </w:tbl>
    <w:p w:rsidRPr="002A53E5" w:rsidR="003B636C" w:rsidP="00044A06" w:rsidRDefault="003B636C" w14:paraId="2AFC2D25" w14:textId="6E54F172">
      <w:pPr>
        <w:pStyle w:val="Heading1"/>
        <w:pageBreakBefore/>
        <w:tabs>
          <w:tab w:val="clear" w:pos="440"/>
        </w:tabs>
        <w:suppressAutoHyphens/>
        <w:spacing w:before="0"/>
        <w:ind w:left="567" w:right="0" w:hanging="567"/>
        <w:rPr>
          <w:b/>
          <w:bCs/>
        </w:rPr>
      </w:pPr>
      <w:bookmarkStart w:name="_Toc153539712" w:id="60"/>
      <w:bookmarkStart w:name="_Toc160774612" w:id="61"/>
      <w:r w:rsidRPr="002A53E5">
        <w:rPr>
          <w:b/>
        </w:rPr>
        <w:lastRenderedPageBreak/>
        <w:t>TRANSPORT, ENERGIA, INFRASTRUKTURA, SPOŁECZEŃSTWO INFORMACYJNE</w:t>
      </w:r>
      <w:bookmarkEnd w:id="61"/>
    </w:p>
    <w:p w:rsidRPr="002A53E5" w:rsidR="003B636C" w:rsidP="00FC0E5F" w:rsidRDefault="003B636C" w14:paraId="4BBF9BF3" w14:textId="77777777">
      <w:pPr>
        <w:suppressAutoHyphens/>
      </w:pPr>
    </w:p>
    <w:p w:rsidRPr="00040A5A" w:rsidR="003B636C" w:rsidP="003348DA" w:rsidRDefault="00BE51E8" w14:paraId="2292F34E" w14:textId="32E93E81">
      <w:pPr>
        <w:numPr>
          <w:ilvl w:val="0"/>
          <w:numId w:val="2"/>
        </w:numPr>
        <w:suppressAutoHyphens/>
        <w:ind w:hanging="567"/>
        <w:outlineLvl w:val="0"/>
        <w:rPr>
          <w:sz w:val="28"/>
          <w:szCs w:val="28"/>
        </w:rPr>
      </w:pPr>
      <w:hyperlink w:history="1" r:id="rId37">
        <w:bookmarkStart w:name="_Toc160774613" w:id="62"/>
        <w:r w:rsidRPr="00040A5A" w:rsidR="00986441">
          <w:rPr>
            <w:b/>
            <w:i/>
            <w:color w:val="0000FF"/>
            <w:sz w:val="28"/>
            <w:szCs w:val="28"/>
            <w:u w:val="single"/>
          </w:rPr>
          <w:t>Zmiana dyrektywy 92/106/EWG w sprawie transportu kombinowanego</w:t>
        </w:r>
        <w:bookmarkEnd w:id="62"/>
      </w:hyperlink>
    </w:p>
    <w:p w:rsidRPr="002A53E5" w:rsidR="003B636C" w:rsidP="00FC0E5F" w:rsidRDefault="003B636C" w14:paraId="7A8CB646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89"/>
        <w:gridCol w:w="7000"/>
      </w:tblGrid>
      <w:tr w:rsidRPr="002A53E5" w:rsidR="003B636C" w:rsidTr="00115A9B" w14:paraId="226DE090" w14:textId="77777777">
        <w:tc>
          <w:tcPr>
            <w:tcW w:w="1232" w:type="pct"/>
          </w:tcPr>
          <w:p w:rsidRPr="002A53E5" w:rsidR="003B636C" w:rsidP="00AC3970" w:rsidRDefault="003B636C" w14:paraId="03398B74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 xml:space="preserve">Sprawozdawca </w:t>
            </w:r>
          </w:p>
        </w:tc>
        <w:tc>
          <w:tcPr>
            <w:tcW w:w="3768" w:type="pct"/>
          </w:tcPr>
          <w:p w:rsidRPr="002A53E5" w:rsidR="003B636C" w:rsidP="00AC3970" w:rsidRDefault="003B636C" w14:paraId="51A78388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Pierre Jean COULON (Grupa Pracowników – FR)</w:t>
            </w:r>
          </w:p>
        </w:tc>
      </w:tr>
      <w:tr w:rsidRPr="002A53E5" w:rsidR="003B636C" w:rsidTr="00115A9B" w14:paraId="54439CC0" w14:textId="77777777">
        <w:tc>
          <w:tcPr>
            <w:tcW w:w="5000" w:type="pct"/>
            <w:gridSpan w:val="2"/>
          </w:tcPr>
          <w:p w:rsidRPr="002A53E5" w:rsidR="003B636C" w:rsidP="00AC3970" w:rsidRDefault="003B636C" w14:paraId="6C4CAADC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Pr="002A53E5" w:rsidR="003B636C" w:rsidTr="00115A9B" w14:paraId="5C84AA61" w14:textId="77777777">
        <w:tc>
          <w:tcPr>
            <w:tcW w:w="1232" w:type="pct"/>
          </w:tcPr>
          <w:p w:rsidRPr="002A53E5" w:rsidR="003B636C" w:rsidP="00AC3970" w:rsidRDefault="003B636C" w14:paraId="40E16211" w14:textId="0294E49D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2A53E5">
              <w:rPr>
                <w:b/>
              </w:rPr>
              <w:t>Dokument źródłowy</w:t>
            </w:r>
          </w:p>
        </w:tc>
        <w:tc>
          <w:tcPr>
            <w:tcW w:w="3768" w:type="pct"/>
          </w:tcPr>
          <w:p w:rsidRPr="002A53E5" w:rsidR="003B636C" w:rsidP="00AC3970" w:rsidRDefault="003B636C" w14:paraId="217C0ABB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 xml:space="preserve">COM(2023) 702 final </w:t>
            </w:r>
          </w:p>
          <w:p w:rsidRPr="002A53E5" w:rsidR="003B636C" w:rsidP="00AC3970" w:rsidRDefault="003B636C" w14:paraId="2EB478A2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2A53E5">
              <w:t>EESC-2023-03105-00-00-AC</w:t>
            </w:r>
          </w:p>
        </w:tc>
      </w:tr>
    </w:tbl>
    <w:p w:rsidRPr="002A53E5" w:rsidR="003B636C" w:rsidP="00044A06" w:rsidRDefault="003B636C" w14:paraId="688928AC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Pr="002A53E5" w:rsidR="003B636C" w:rsidP="00044A06" w:rsidRDefault="003B636C" w14:paraId="70EA3BBA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2A53E5">
        <w:rPr>
          <w:b/>
        </w:rPr>
        <w:t>Główne punkty</w:t>
      </w:r>
    </w:p>
    <w:p w:rsidRPr="002A53E5" w:rsidR="003B636C" w:rsidP="00044A06" w:rsidRDefault="003B636C" w14:paraId="65024854" w14:textId="77777777">
      <w:pPr>
        <w:tabs>
          <w:tab w:val="center" w:pos="284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Pr="002A53E5" w:rsidR="003B636C" w:rsidP="00044A06" w:rsidRDefault="003B636C" w14:paraId="239D9ECD" w14:textId="77777777">
      <w:pPr>
        <w:suppressAutoHyphens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 w:rsidRPr="002A53E5">
        <w:t>EKES</w:t>
      </w:r>
    </w:p>
    <w:p w:rsidRPr="002A53E5" w:rsidR="003B636C" w:rsidP="00044A06" w:rsidRDefault="003B636C" w14:paraId="70E1E19B" w14:textId="77777777">
      <w:pPr>
        <w:suppressAutoHyphens/>
        <w:rPr>
          <w:b/>
          <w:bCs/>
          <w:lang w:eastAsia="zh-CN"/>
        </w:rPr>
      </w:pPr>
    </w:p>
    <w:p w:rsidRPr="002A53E5" w:rsidR="003B636C" w:rsidP="00044A06" w:rsidRDefault="003B636C" w14:paraId="2498EDEC" w14:textId="77777777">
      <w:pPr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Theme="minorHAnsi"/>
        </w:rPr>
      </w:pPr>
      <w:r w:rsidRPr="002A53E5">
        <w:t>Potwierdza potrzebę intermodalności we wszystkich rodzajach transportu towarowego, przy czym należy zawsze pamiętać o obowiązku koordynacji i optymalizacji każdego rodzaju transportu na szczeblu europejskim.</w:t>
      </w:r>
    </w:p>
    <w:p w:rsidRPr="002A53E5" w:rsidR="003B636C" w:rsidP="00044A06" w:rsidRDefault="003B636C" w14:paraId="17358799" w14:textId="5CD4E0F5">
      <w:pPr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Theme="minorHAnsi"/>
        </w:rPr>
      </w:pPr>
      <w:r w:rsidRPr="002A53E5">
        <w:t xml:space="preserve"> Jest przekonany, że stworzenie systemu transportu intermodalnego wymaga, by obywatele zostali poinformowani o związanych z nim korzyściach: ma on w zamyśle służyć społeczeństwu, którego zdanie powinno zaważyć na decyzjach w sprawie projektów i polityk w</w:t>
      </w:r>
      <w:r w:rsidR="00044A06">
        <w:t> </w:t>
      </w:r>
      <w:r w:rsidRPr="002A53E5">
        <w:t>dziedzinie transportu.</w:t>
      </w:r>
    </w:p>
    <w:p w:rsidRPr="002A53E5" w:rsidR="003B636C" w:rsidP="00044A06" w:rsidRDefault="003B636C" w14:paraId="398CB69E" w14:textId="521E0EAE">
      <w:pPr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Theme="minorHAnsi"/>
        </w:rPr>
      </w:pPr>
      <w:r w:rsidRPr="002A53E5">
        <w:t>Podkreśla, że powodzenie tej polityki zależy od pełnej zgodności z przepisami socjalnymi oraz od polityki specjalnych i systematycznych szkoleń dla pracowników i kadry kierowniczej w</w:t>
      </w:r>
      <w:r w:rsidR="00044A06">
        <w:t> </w:t>
      </w:r>
      <w:r w:rsidRPr="002A53E5">
        <w:t>przedsiębiorstwach.</w:t>
      </w:r>
      <w:bookmarkStart w:name="x__Hlk157163546" w:id="63"/>
      <w:bookmarkEnd w:id="63"/>
    </w:p>
    <w:p w:rsidRPr="002A53E5" w:rsidR="003B636C" w:rsidP="00044A06" w:rsidRDefault="003B636C" w14:paraId="40F2D32D" w14:textId="77777777">
      <w:pPr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ind w:left="567" w:hanging="567"/>
        <w:textAlignment w:val="baseline"/>
        <w:rPr>
          <w:rFonts w:eastAsiaTheme="minorHAnsi"/>
        </w:rPr>
      </w:pPr>
      <w:r w:rsidRPr="002A53E5">
        <w:t>Apeluje, by nowy środek był stosowany z zachowaniem czasu odpoczynku i przerw kierowców pojazdów ciężarowych. Rentowność nie powinna wpływać na bezpieczeństwo ruchu drogowego ani na warunki pracy kierowców w UE.</w:t>
      </w:r>
    </w:p>
    <w:p w:rsidRPr="002A53E5" w:rsidR="003B636C" w:rsidP="00FC0E5F" w:rsidRDefault="003B636C" w14:paraId="3E9C3226" w14:textId="77777777">
      <w:pPr>
        <w:suppressAutoHyphens/>
        <w:overflowPunct w:val="0"/>
        <w:autoSpaceDE w:val="0"/>
        <w:autoSpaceDN w:val="0"/>
        <w:adjustRightInd w:val="0"/>
        <w:ind w:left="284" w:hanging="284"/>
        <w:textAlignment w:val="baselin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5670"/>
      </w:tblGrid>
      <w:tr w:rsidRPr="002A53E5" w:rsidR="003B636C" w:rsidTr="00B05454" w14:paraId="37497442" w14:textId="77777777">
        <w:tc>
          <w:tcPr>
            <w:tcW w:w="1418" w:type="dxa"/>
          </w:tcPr>
          <w:p w:rsidRPr="002A53E5" w:rsidR="003B636C" w:rsidP="00FC0E5F" w:rsidRDefault="003B636C" w14:paraId="093CBC9E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2A53E5" w:rsidR="003B636C" w:rsidP="00FC0E5F" w:rsidRDefault="003B636C" w14:paraId="7A1CA095" w14:textId="22882764">
            <w:pPr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/>
              </w:rPr>
            </w:pPr>
            <w:r w:rsidRPr="002A53E5">
              <w:rPr>
                <w:i/>
              </w:rPr>
              <w:t>Aleksandra Sarman Grilc</w:t>
            </w:r>
          </w:p>
        </w:tc>
      </w:tr>
      <w:tr w:rsidRPr="002A53E5" w:rsidR="003B636C" w:rsidTr="00B05454" w14:paraId="04CE6CD8" w14:textId="77777777">
        <w:tc>
          <w:tcPr>
            <w:tcW w:w="1418" w:type="dxa"/>
          </w:tcPr>
          <w:p w:rsidRPr="002A53E5" w:rsidR="003B636C" w:rsidP="00FC0E5F" w:rsidRDefault="003B636C" w14:paraId="17FDD2D5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Tel.:</w:t>
            </w:r>
          </w:p>
        </w:tc>
        <w:tc>
          <w:tcPr>
            <w:tcW w:w="5670" w:type="dxa"/>
          </w:tcPr>
          <w:p w:rsidRPr="002A53E5" w:rsidR="003B636C" w:rsidP="00FC0E5F" w:rsidRDefault="003B636C" w14:paraId="7F8DFA76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+32 25468333</w:t>
            </w:r>
          </w:p>
        </w:tc>
      </w:tr>
      <w:tr w:rsidRPr="002A53E5" w:rsidR="003B636C" w:rsidTr="00B05454" w14:paraId="70ABA418" w14:textId="77777777">
        <w:tc>
          <w:tcPr>
            <w:tcW w:w="1418" w:type="dxa"/>
          </w:tcPr>
          <w:p w:rsidRPr="002A53E5" w:rsidR="003B636C" w:rsidP="00FC0E5F" w:rsidRDefault="003B636C" w14:paraId="7E324433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2A53E5"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2A53E5" w:rsidR="003B636C" w:rsidP="00FC0E5F" w:rsidRDefault="00BE51E8" w14:paraId="696F5F65" w14:textId="7777777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38">
              <w:r w:rsidRPr="002A53E5" w:rsidR="00986441">
                <w:rPr>
                  <w:i/>
                  <w:color w:val="0000FF"/>
                  <w:u w:val="single"/>
                </w:rPr>
                <w:t>Aleksandra.SarmanGrilc@eesc.europa.eu</w:t>
              </w:r>
            </w:hyperlink>
            <w:r w:rsidRPr="002A53E5" w:rsidR="00986441">
              <w:rPr>
                <w:i/>
              </w:rPr>
              <w:t xml:space="preserve"> </w:t>
            </w:r>
          </w:p>
        </w:tc>
      </w:tr>
    </w:tbl>
    <w:p w:rsidRPr="002A53E5" w:rsidR="003B636C" w:rsidP="00FC0E5F" w:rsidRDefault="003B636C" w14:paraId="00774D54" w14:textId="10CE84BC">
      <w:pPr>
        <w:suppressAutoHyphens/>
        <w:jc w:val="left"/>
      </w:pPr>
      <w:r w:rsidRPr="002A53E5">
        <w:br w:type="page"/>
      </w:r>
    </w:p>
    <w:p w:rsidRPr="002A53E5" w:rsidR="003B636C" w:rsidP="002A53E5" w:rsidRDefault="009C785E" w14:paraId="2BEB799C" w14:textId="1D1D6CC2">
      <w:pPr>
        <w:pStyle w:val="Heading1"/>
        <w:tabs>
          <w:tab w:val="clear" w:pos="440"/>
        </w:tabs>
        <w:suppressAutoHyphens/>
        <w:spacing w:before="0"/>
        <w:ind w:left="567" w:right="0" w:hanging="567"/>
        <w:rPr>
          <w:b/>
          <w:bCs/>
        </w:rPr>
      </w:pPr>
      <w:bookmarkStart w:name="_Toc160774614" w:id="64"/>
      <w:r w:rsidRPr="002A53E5">
        <w:rPr>
          <w:b/>
        </w:rPr>
        <w:lastRenderedPageBreak/>
        <w:t>KOMISJA KONSULTACYJNA DS. PRZEMIAN W PRZEMYŚLE</w:t>
      </w:r>
      <w:bookmarkEnd w:id="64"/>
    </w:p>
    <w:p w:rsidRPr="002A53E5" w:rsidR="003B3E18" w:rsidP="00FC0E5F" w:rsidRDefault="003B3E18" w14:paraId="0CE20361" w14:textId="55A85CDB">
      <w:pPr>
        <w:suppressAutoHyphens/>
      </w:pPr>
    </w:p>
    <w:p w:rsidRPr="00040A5A" w:rsidR="000F732E" w:rsidP="003348DA" w:rsidRDefault="00BE51E8" w14:paraId="67A73674" w14:textId="390FB8C0">
      <w:pPr>
        <w:numPr>
          <w:ilvl w:val="0"/>
          <w:numId w:val="14"/>
        </w:numPr>
        <w:suppressAutoHyphens/>
        <w:ind w:left="567" w:hanging="567"/>
        <w:outlineLvl w:val="0"/>
        <w:rPr>
          <w:rFonts w:eastAsiaTheme="minorHAnsi"/>
          <w:sz w:val="28"/>
          <w:szCs w:val="28"/>
        </w:rPr>
      </w:pPr>
      <w:hyperlink w:history="1" r:id="rId39">
        <w:bookmarkStart w:name="_Toc160774615" w:id="65"/>
        <w:r w:rsidRPr="00040A5A" w:rsidR="00986441">
          <w:rPr>
            <w:b/>
            <w:i/>
            <w:color w:val="0000FF"/>
            <w:sz w:val="28"/>
            <w:szCs w:val="28"/>
            <w:u w:val="single"/>
          </w:rPr>
          <w:t>W kierunku kompleksowej strategii dla unijnego przemysłu drzewnego</w:t>
        </w:r>
        <w:bookmarkEnd w:id="65"/>
      </w:hyperlink>
    </w:p>
    <w:p w:rsidRPr="002A53E5" w:rsidR="000F732E" w:rsidP="00FC0E5F" w:rsidRDefault="000F732E" w14:paraId="14E0FEEC" w14:textId="77777777">
      <w:pPr>
        <w:tabs>
          <w:tab w:val="center" w:pos="284"/>
        </w:tabs>
        <w:suppressAutoHyphens/>
        <w:ind w:left="266" w:hanging="266"/>
        <w:jc w:val="left"/>
        <w:rPr>
          <w:rFonts w:eastAsiaTheme="minorHAnsi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5"/>
        <w:gridCol w:w="7054"/>
      </w:tblGrid>
      <w:tr w:rsidRPr="002A53E5" w:rsidR="000F732E" w:rsidTr="00C62F3C" w14:paraId="2C390288" w14:textId="77777777">
        <w:tc>
          <w:tcPr>
            <w:tcW w:w="1203" w:type="pct"/>
          </w:tcPr>
          <w:p w:rsidRPr="002A53E5" w:rsidR="000F732E" w:rsidP="00AC3970" w:rsidRDefault="000F732E" w14:paraId="16A0641A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</w:rPr>
            </w:pPr>
            <w:r w:rsidRPr="002A53E5">
              <w:rPr>
                <w:b/>
              </w:rPr>
              <w:t>Sprawozdawca</w:t>
            </w:r>
          </w:p>
          <w:p w:rsidRPr="002A53E5" w:rsidR="000F732E" w:rsidP="00AC3970" w:rsidRDefault="000F732E" w14:paraId="222CEE0C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</w:rPr>
            </w:pPr>
          </w:p>
        </w:tc>
        <w:tc>
          <w:tcPr>
            <w:tcW w:w="3797" w:type="pct"/>
          </w:tcPr>
          <w:p w:rsidRPr="002A53E5" w:rsidR="000F732E" w:rsidP="00AC3970" w:rsidRDefault="000F732E" w14:paraId="30B50978" w14:textId="2B2F6815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Cs/>
              </w:rPr>
            </w:pPr>
            <w:r w:rsidRPr="002A53E5">
              <w:t>Anastasis YIAPANIS (Grupa Organizacji Społeczeństwa Obywatelskiego – CY)</w:t>
            </w:r>
          </w:p>
        </w:tc>
      </w:tr>
      <w:tr w:rsidRPr="002A53E5" w:rsidR="000F732E" w:rsidTr="00C62F3C" w14:paraId="5F892D9C" w14:textId="77777777">
        <w:tc>
          <w:tcPr>
            <w:tcW w:w="1203" w:type="pct"/>
          </w:tcPr>
          <w:p w:rsidRPr="002A53E5" w:rsidR="000F732E" w:rsidP="00AC3970" w:rsidRDefault="000F732E" w14:paraId="2222EF41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</w:rPr>
            </w:pPr>
            <w:r w:rsidRPr="002A53E5">
              <w:rPr>
                <w:b/>
              </w:rPr>
              <w:t>Współsprawozdawca</w:t>
            </w:r>
          </w:p>
          <w:p w:rsidRPr="002A53E5" w:rsidR="000F732E" w:rsidP="00AC3970" w:rsidRDefault="000F732E" w14:paraId="31414DE8" w14:textId="77777777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</w:rPr>
            </w:pPr>
          </w:p>
        </w:tc>
        <w:tc>
          <w:tcPr>
            <w:tcW w:w="3797" w:type="pct"/>
          </w:tcPr>
          <w:p w:rsidRPr="002A53E5" w:rsidR="000F732E" w:rsidP="00AC3970" w:rsidRDefault="000F732E" w14:paraId="31568716" w14:textId="3337EFC8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2A53E5">
              <w:t>Rolf GEHRING (Kat. 2 – DE)</w:t>
            </w:r>
          </w:p>
        </w:tc>
      </w:tr>
      <w:tr w:rsidRPr="002A53E5" w:rsidR="000F732E" w:rsidTr="00C62F3C" w14:paraId="0FBF1F0B" w14:textId="77777777">
        <w:tc>
          <w:tcPr>
            <w:tcW w:w="1203" w:type="pct"/>
          </w:tcPr>
          <w:p w:rsidRPr="002A53E5" w:rsidR="000F732E" w:rsidP="00AC3970" w:rsidRDefault="000F732E" w14:paraId="2CA7929D" w14:textId="33F1E294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2A53E5">
              <w:rPr>
                <w:b/>
              </w:rPr>
              <w:t>Dokument źródłowy</w:t>
            </w:r>
          </w:p>
        </w:tc>
        <w:tc>
          <w:tcPr>
            <w:tcW w:w="3797" w:type="pct"/>
          </w:tcPr>
          <w:p w:rsidRPr="002A53E5" w:rsidR="00C41D73" w:rsidP="00AC3970" w:rsidRDefault="00C41D73" w14:paraId="320586E0" w14:textId="24B220EB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2A53E5">
              <w:t>Opinia z inicjatywy własnej</w:t>
            </w:r>
          </w:p>
          <w:p w:rsidRPr="002A53E5" w:rsidR="000F732E" w:rsidP="00AC3970" w:rsidRDefault="000F732E" w14:paraId="33B05BD1" w14:textId="754D5011">
            <w:pPr>
              <w:tabs>
                <w:tab w:val="center" w:pos="284"/>
              </w:tabs>
              <w:suppressAutoHyphens/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2A53E5">
              <w:t>EESC-2023-03538-00-00-AC</w:t>
            </w:r>
          </w:p>
        </w:tc>
      </w:tr>
    </w:tbl>
    <w:p w:rsidRPr="002A53E5" w:rsidR="000F732E" w:rsidP="00F746C1" w:rsidRDefault="000F732E" w14:paraId="3216B2BA" w14:textId="77777777">
      <w:pPr>
        <w:tabs>
          <w:tab w:val="center" w:pos="284"/>
        </w:tabs>
        <w:suppressAutoHyphens/>
        <w:jc w:val="left"/>
        <w:rPr>
          <w:rFonts w:eastAsiaTheme="minorHAnsi"/>
          <w:b/>
        </w:rPr>
      </w:pPr>
    </w:p>
    <w:p w:rsidRPr="002A53E5" w:rsidR="000F732E" w:rsidP="00F746C1" w:rsidRDefault="000F732E" w14:paraId="2BD35938" w14:textId="46AE9C8D">
      <w:pPr>
        <w:tabs>
          <w:tab w:val="center" w:pos="284"/>
        </w:tabs>
        <w:suppressAutoHyphens/>
        <w:jc w:val="left"/>
        <w:rPr>
          <w:rFonts w:eastAsiaTheme="minorHAnsi"/>
          <w:b/>
        </w:rPr>
      </w:pPr>
      <w:r w:rsidRPr="002A53E5">
        <w:rPr>
          <w:b/>
        </w:rPr>
        <w:t>Główne punkty</w:t>
      </w:r>
    </w:p>
    <w:p w:rsidR="00F746C1" w:rsidP="00F746C1" w:rsidRDefault="00F746C1" w14:paraId="0C93EBAF" w14:textId="77777777">
      <w:pPr>
        <w:suppressAutoHyphens/>
        <w:jc w:val="left"/>
      </w:pPr>
    </w:p>
    <w:p w:rsidR="000F732E" w:rsidP="00F746C1" w:rsidRDefault="000F732E" w14:paraId="66129667" w14:textId="559C2219">
      <w:pPr>
        <w:suppressAutoHyphens/>
        <w:jc w:val="left"/>
      </w:pPr>
      <w:r w:rsidRPr="002A53E5">
        <w:t>EKES</w:t>
      </w:r>
    </w:p>
    <w:p w:rsidRPr="002A53E5" w:rsidR="00F746C1" w:rsidP="00F746C1" w:rsidRDefault="00F746C1" w14:paraId="61D50594" w14:textId="77777777">
      <w:pPr>
        <w:suppressAutoHyphens/>
        <w:jc w:val="left"/>
        <w:rPr>
          <w:rFonts w:eastAsiaTheme="minorHAnsi"/>
        </w:rPr>
      </w:pPr>
    </w:p>
    <w:p w:rsidRPr="002A53E5" w:rsidR="000F732E" w:rsidP="00F746C1" w:rsidRDefault="000F732E" w14:paraId="7220DE2F" w14:textId="77777777">
      <w:pPr>
        <w:numPr>
          <w:ilvl w:val="0"/>
          <w:numId w:val="28"/>
        </w:numPr>
        <w:suppressAutoHyphens/>
        <w:ind w:left="567" w:hanging="567"/>
        <w:rPr>
          <w:rFonts w:eastAsiaTheme="minorHAnsi"/>
        </w:rPr>
      </w:pPr>
      <w:r w:rsidRPr="002A53E5">
        <w:t xml:space="preserve">Wzywa Unię i krajowe organy publiczne do </w:t>
      </w:r>
      <w:r w:rsidRPr="002A53E5">
        <w:rPr>
          <w:b/>
          <w:bCs/>
        </w:rPr>
        <w:t>priorytetowego traktowania konkurencyjności europejskiego przemysłu drzewnego</w:t>
      </w:r>
      <w:r w:rsidRPr="002A53E5">
        <w:t xml:space="preserve"> poprzez </w:t>
      </w:r>
      <w:r w:rsidRPr="002A53E5">
        <w:rPr>
          <w:b/>
          <w:bCs/>
        </w:rPr>
        <w:t>zapewnienie dostępu do rynku</w:t>
      </w:r>
      <w:r w:rsidRPr="002A53E5">
        <w:t xml:space="preserve"> oraz pokonanie trudności związanych z kosztami i </w:t>
      </w:r>
      <w:r w:rsidRPr="002A53E5">
        <w:rPr>
          <w:b/>
          <w:bCs/>
        </w:rPr>
        <w:t>nieuczciwymi praktykami handlowymi</w:t>
      </w:r>
      <w:r w:rsidRPr="002A53E5">
        <w:t xml:space="preserve"> przy jednoczesnym zapewnieniu równych warunków działania na rynku.</w:t>
      </w:r>
    </w:p>
    <w:p w:rsidRPr="002A53E5" w:rsidR="000F732E" w:rsidP="00F746C1" w:rsidRDefault="000F732E" w14:paraId="71F89912" w14:textId="77777777">
      <w:pPr>
        <w:numPr>
          <w:ilvl w:val="0"/>
          <w:numId w:val="28"/>
        </w:numPr>
        <w:suppressAutoHyphens/>
        <w:ind w:left="567" w:hanging="567"/>
        <w:rPr>
          <w:rFonts w:eastAsiaTheme="minorHAnsi"/>
        </w:rPr>
      </w:pPr>
      <w:r w:rsidRPr="002A53E5">
        <w:t xml:space="preserve">Wnosi, by wszystkie instytucje UE doceniły wkład materiałów odnawialnych w zrównoważony rozwój, gospodarkę o obiegu zamkniętym i neutralność klimatyczną, a także </w:t>
      </w:r>
      <w:r w:rsidRPr="002A53E5">
        <w:rPr>
          <w:b/>
          <w:bCs/>
        </w:rPr>
        <w:t>uznały drewno za cenny surowiec i zasób o zamkniętym cyklu życia</w:t>
      </w:r>
      <w:r w:rsidRPr="002A53E5">
        <w:t>.</w:t>
      </w:r>
    </w:p>
    <w:p w:rsidRPr="002A53E5" w:rsidR="000F732E" w:rsidP="00F746C1" w:rsidRDefault="000F732E" w14:paraId="69154C3C" w14:textId="1588A96B">
      <w:pPr>
        <w:numPr>
          <w:ilvl w:val="0"/>
          <w:numId w:val="28"/>
        </w:numPr>
        <w:suppressAutoHyphens/>
        <w:ind w:left="567" w:hanging="567"/>
        <w:rPr>
          <w:rFonts w:eastAsiaTheme="minorHAnsi"/>
        </w:rPr>
      </w:pPr>
      <w:r w:rsidRPr="002A53E5">
        <w:t>Zwraca uwagę, że należy wprowadzić minimalne normy dotyczące emisji dwutlenku węgla w</w:t>
      </w:r>
      <w:r w:rsidR="00F746C1">
        <w:t> </w:t>
      </w:r>
      <w:r w:rsidRPr="002A53E5">
        <w:t xml:space="preserve">całym cyklu życia w budownictwie oraz </w:t>
      </w:r>
      <w:r w:rsidRPr="002A53E5">
        <w:rPr>
          <w:b/>
          <w:bCs/>
        </w:rPr>
        <w:t>wymóg raportowania tych emisji</w:t>
      </w:r>
      <w:r w:rsidRPr="002A53E5">
        <w:t xml:space="preserve"> w przemyśle.</w:t>
      </w:r>
    </w:p>
    <w:p w:rsidRPr="002A53E5" w:rsidR="000F732E" w:rsidP="00F746C1" w:rsidRDefault="000F732E" w14:paraId="711A8E02" w14:textId="77777777">
      <w:pPr>
        <w:numPr>
          <w:ilvl w:val="0"/>
          <w:numId w:val="28"/>
        </w:numPr>
        <w:suppressAutoHyphens/>
        <w:ind w:left="567" w:hanging="567"/>
        <w:rPr>
          <w:rFonts w:eastAsiaTheme="minorHAnsi"/>
        </w:rPr>
      </w:pPr>
      <w:r w:rsidRPr="002A53E5">
        <w:t xml:space="preserve">Domaga się, by bardziej zdecydowanie i proaktywnie </w:t>
      </w:r>
      <w:r w:rsidRPr="002A53E5">
        <w:rPr>
          <w:b/>
          <w:bCs/>
        </w:rPr>
        <w:t>zwalczać nielegalne pozyskiwanie drewna, wylesianie i nielegalny handel drewnem</w:t>
      </w:r>
      <w:r w:rsidRPr="002A53E5">
        <w:t>.</w:t>
      </w:r>
    </w:p>
    <w:p w:rsidRPr="002A53E5" w:rsidR="000F732E" w:rsidP="00F746C1" w:rsidRDefault="000F732E" w14:paraId="22C6D85E" w14:textId="77777777">
      <w:pPr>
        <w:numPr>
          <w:ilvl w:val="0"/>
          <w:numId w:val="28"/>
        </w:numPr>
        <w:suppressAutoHyphens/>
        <w:ind w:left="567" w:hanging="567"/>
        <w:rPr>
          <w:rFonts w:eastAsiaTheme="minorHAnsi"/>
        </w:rPr>
      </w:pPr>
      <w:r w:rsidRPr="002A53E5">
        <w:t xml:space="preserve">Wzywa do opracowania </w:t>
      </w:r>
      <w:r w:rsidRPr="002A53E5">
        <w:rPr>
          <w:b/>
          <w:bCs/>
        </w:rPr>
        <w:t>unijnej strategii mającej zachęcić młodych specjalistów</w:t>
      </w:r>
      <w:r w:rsidRPr="002A53E5">
        <w:t xml:space="preserve"> i kobiety do podjęcia i kontynuowania pracy w tym sektorze i </w:t>
      </w:r>
      <w:r w:rsidRPr="002A53E5">
        <w:rPr>
          <w:b/>
          <w:bCs/>
        </w:rPr>
        <w:t>zapewnić dostępność wykwalifikowanych pracowników</w:t>
      </w:r>
      <w:r w:rsidRPr="002A53E5">
        <w:t>.</w:t>
      </w:r>
    </w:p>
    <w:p w:rsidRPr="002A53E5" w:rsidR="000F732E" w:rsidP="00F746C1" w:rsidRDefault="000F732E" w14:paraId="41674885" w14:textId="77777777">
      <w:pPr>
        <w:numPr>
          <w:ilvl w:val="0"/>
          <w:numId w:val="28"/>
        </w:numPr>
        <w:suppressAutoHyphens/>
        <w:ind w:left="567" w:hanging="567"/>
        <w:rPr>
          <w:rFonts w:eastAsiaTheme="minorHAnsi"/>
        </w:rPr>
      </w:pPr>
      <w:r w:rsidRPr="002A53E5">
        <w:t xml:space="preserve">Podkreśla znaczenie </w:t>
      </w:r>
      <w:r w:rsidRPr="002A53E5">
        <w:rPr>
          <w:b/>
          <w:bCs/>
        </w:rPr>
        <w:t>stosowania zasad Europejskiego filaru praw socjalnych</w:t>
      </w:r>
      <w:r w:rsidRPr="002A53E5">
        <w:t xml:space="preserve"> w unijnym przemyśle drzewnym.</w:t>
      </w:r>
    </w:p>
    <w:p w:rsidRPr="002A53E5" w:rsidR="000F732E" w:rsidP="00F746C1" w:rsidRDefault="000F732E" w14:paraId="3255DCE6" w14:textId="77777777">
      <w:pPr>
        <w:numPr>
          <w:ilvl w:val="0"/>
          <w:numId w:val="28"/>
        </w:numPr>
        <w:suppressAutoHyphens/>
        <w:ind w:left="567" w:hanging="567"/>
        <w:rPr>
          <w:rFonts w:eastAsiaTheme="minorHAnsi"/>
          <w:b/>
          <w:bCs/>
        </w:rPr>
      </w:pPr>
      <w:r w:rsidRPr="002A53E5">
        <w:t xml:space="preserve">Podkreśla rosnące zapotrzebowanie na skuteczną gospodarkę leśną i lepszą koordynację, a także lepszy sprzęt dla europejskich i krajowych służb przeciwpożarowych w celu </w:t>
      </w:r>
      <w:r w:rsidRPr="002A53E5">
        <w:rPr>
          <w:b/>
          <w:bCs/>
        </w:rPr>
        <w:t>przeciwdziałania coraz powszechniejszemu zjawisku dużych pożarów lasów</w:t>
      </w:r>
      <w:r w:rsidRPr="002A53E5">
        <w:t>.</w:t>
      </w:r>
    </w:p>
    <w:p w:rsidRPr="002A53E5" w:rsidR="000F732E" w:rsidP="00F746C1" w:rsidRDefault="000F732E" w14:paraId="23084171" w14:textId="77777777">
      <w:pPr>
        <w:numPr>
          <w:ilvl w:val="0"/>
          <w:numId w:val="28"/>
        </w:numPr>
        <w:suppressAutoHyphens/>
        <w:ind w:left="567" w:hanging="567"/>
        <w:rPr>
          <w:rFonts w:eastAsiaTheme="minorHAnsi"/>
        </w:rPr>
      </w:pPr>
      <w:r w:rsidRPr="002A53E5">
        <w:t xml:space="preserve">Wzywa do spójnego </w:t>
      </w:r>
      <w:r w:rsidRPr="002A53E5">
        <w:rPr>
          <w:b/>
          <w:bCs/>
        </w:rPr>
        <w:t>wdrożenia rozporządzenia w sprawie ekoprojektu dla zrównoważonych produktów</w:t>
      </w:r>
      <w:r w:rsidRPr="002A53E5">
        <w:t>, aby te produkty stały się normą i by zapewnić uczciwą konkurencję z przywożonymi towarami. Do udziału w Forum Konsultacyjnym ds. Ekoprojektu należy ponadto zaprosić partnerów społecznych sektora drzewnego UE.</w:t>
      </w:r>
    </w:p>
    <w:p w:rsidRPr="002A53E5" w:rsidR="000F732E" w:rsidP="00FC0E5F" w:rsidRDefault="000F732E" w14:paraId="0EC35662" w14:textId="77777777">
      <w:pPr>
        <w:suppressAutoHyphens/>
        <w:ind w:left="720"/>
        <w:jc w:val="left"/>
        <w:rPr>
          <w:rFonts w:eastAsiaTheme="minorHAnsi"/>
          <w:bCs/>
        </w:rPr>
      </w:pPr>
    </w:p>
    <w:tbl>
      <w:tblPr>
        <w:tblW w:w="3516" w:type="pct"/>
        <w:tblLook w:val="04A0" w:firstRow="1" w:lastRow="0" w:firstColumn="1" w:lastColumn="0" w:noHBand="0" w:noVBand="1"/>
      </w:tblPr>
      <w:tblGrid>
        <w:gridCol w:w="2443"/>
        <w:gridCol w:w="4089"/>
      </w:tblGrid>
      <w:tr w:rsidRPr="002A53E5" w:rsidR="000F732E" w:rsidTr="00B05454" w14:paraId="47CF7F3B" w14:textId="77777777">
        <w:tc>
          <w:tcPr>
            <w:tcW w:w="1870" w:type="pct"/>
          </w:tcPr>
          <w:p w:rsidRPr="002A53E5" w:rsidR="000F732E" w:rsidP="00FC0E5F" w:rsidRDefault="000F732E" w14:paraId="76D5A844" w14:textId="77777777">
            <w:pPr>
              <w:suppressAutoHyphens/>
              <w:jc w:val="left"/>
              <w:rPr>
                <w:i/>
              </w:rPr>
            </w:pPr>
            <w:r w:rsidRPr="002A53E5">
              <w:rPr>
                <w:b/>
                <w:i/>
              </w:rPr>
              <w:t>Kontakt</w:t>
            </w:r>
          </w:p>
        </w:tc>
        <w:tc>
          <w:tcPr>
            <w:tcW w:w="3130" w:type="pct"/>
            <w:tcBorders>
              <w:left w:val="nil"/>
            </w:tcBorders>
          </w:tcPr>
          <w:p w:rsidRPr="002A53E5" w:rsidR="000F732E" w:rsidP="00FC0E5F" w:rsidRDefault="000F732E" w14:paraId="7DA54185" w14:textId="31EEC934">
            <w:pPr>
              <w:suppressAutoHyphens/>
              <w:jc w:val="left"/>
              <w:rPr>
                <w:bCs/>
                <w:i/>
              </w:rPr>
            </w:pPr>
            <w:r w:rsidRPr="002A53E5">
              <w:rPr>
                <w:i/>
              </w:rPr>
              <w:t>Heli Niemelä-Farrer</w:t>
            </w:r>
          </w:p>
        </w:tc>
      </w:tr>
      <w:tr w:rsidRPr="002A53E5" w:rsidR="000F732E" w:rsidTr="00B05454" w14:paraId="6E3CE5FB" w14:textId="77777777">
        <w:tc>
          <w:tcPr>
            <w:tcW w:w="1870" w:type="pct"/>
          </w:tcPr>
          <w:p w:rsidRPr="002A53E5" w:rsidR="000F732E" w:rsidP="00FC0E5F" w:rsidRDefault="000F732E" w14:paraId="7E50D445" w14:textId="77777777">
            <w:pPr>
              <w:suppressAutoHyphens/>
              <w:jc w:val="left"/>
              <w:rPr>
                <w:i/>
              </w:rPr>
            </w:pPr>
            <w:r w:rsidRPr="002A53E5">
              <w:rPr>
                <w:i/>
              </w:rPr>
              <w:t xml:space="preserve">Tel.: </w:t>
            </w:r>
          </w:p>
        </w:tc>
        <w:tc>
          <w:tcPr>
            <w:tcW w:w="3130" w:type="pct"/>
            <w:tcBorders>
              <w:left w:val="nil"/>
            </w:tcBorders>
          </w:tcPr>
          <w:p w:rsidRPr="002A53E5" w:rsidR="000F732E" w:rsidP="00FC0E5F" w:rsidRDefault="000F732E" w14:paraId="7DEC5319" w14:textId="77777777">
            <w:pPr>
              <w:suppressAutoHyphens/>
              <w:jc w:val="left"/>
              <w:rPr>
                <w:i/>
              </w:rPr>
            </w:pPr>
            <w:r w:rsidRPr="002A53E5">
              <w:rPr>
                <w:i/>
              </w:rPr>
              <w:t>+32 22822464</w:t>
            </w:r>
          </w:p>
        </w:tc>
      </w:tr>
      <w:tr w:rsidRPr="002A53E5" w:rsidR="000F732E" w:rsidTr="00B05454" w14:paraId="2C89CBFA" w14:textId="77777777">
        <w:tc>
          <w:tcPr>
            <w:tcW w:w="1870" w:type="pct"/>
          </w:tcPr>
          <w:p w:rsidRPr="002A53E5" w:rsidR="000F732E" w:rsidP="00FC0E5F" w:rsidRDefault="000F732E" w14:paraId="314FD0C9" w14:textId="77777777">
            <w:pPr>
              <w:suppressAutoHyphens/>
              <w:jc w:val="left"/>
              <w:rPr>
                <w:i/>
                <w:iCs/>
              </w:rPr>
            </w:pPr>
            <w:r w:rsidRPr="002A53E5">
              <w:rPr>
                <w:i/>
              </w:rPr>
              <w:t>e-mail:</w:t>
            </w:r>
          </w:p>
        </w:tc>
        <w:tc>
          <w:tcPr>
            <w:tcW w:w="3130" w:type="pct"/>
            <w:tcBorders>
              <w:left w:val="nil"/>
            </w:tcBorders>
          </w:tcPr>
          <w:p w:rsidRPr="002A53E5" w:rsidR="000F732E" w:rsidP="00FC0E5F" w:rsidRDefault="00BE51E8" w14:paraId="5E097992" w14:textId="77777777">
            <w:pPr>
              <w:suppressAutoHyphens/>
              <w:jc w:val="left"/>
              <w:rPr>
                <w:i/>
              </w:rPr>
            </w:pPr>
            <w:hyperlink w:history="1" r:id="rId40">
              <w:r w:rsidRPr="002A53E5" w:rsidR="00986441">
                <w:rPr>
                  <w:i/>
                  <w:color w:val="0000FF"/>
                  <w:u w:val="single"/>
                </w:rPr>
                <w:t>Heli.Niemela-Farrer@eesc.europa.eu</w:t>
              </w:r>
            </w:hyperlink>
          </w:p>
        </w:tc>
      </w:tr>
      <w:bookmarkEnd w:id="60"/>
      <w:bookmarkEnd w:id="0"/>
    </w:tbl>
    <w:p w:rsidRPr="002A53E5" w:rsidR="003F6640" w:rsidP="00F746C1" w:rsidRDefault="003F6640" w14:paraId="494EE16D" w14:textId="77777777">
      <w:pPr>
        <w:suppressAutoHyphens/>
        <w:overflowPunct w:val="0"/>
        <w:autoSpaceDE w:val="0"/>
        <w:autoSpaceDN w:val="0"/>
        <w:adjustRightInd w:val="0"/>
        <w:textAlignment w:val="baseline"/>
      </w:pPr>
    </w:p>
    <w:p w:rsidRPr="002A53E5" w:rsidR="0092772D" w:rsidP="00FC0E5F" w:rsidRDefault="00556EDF" w14:paraId="7379A588" w14:textId="62AAB0D6">
      <w:pPr>
        <w:suppressAutoHyphens/>
        <w:overflowPunct w:val="0"/>
        <w:autoSpaceDE w:val="0"/>
        <w:autoSpaceDN w:val="0"/>
        <w:adjustRightInd w:val="0"/>
        <w:jc w:val="center"/>
        <w:textAlignment w:val="baseline"/>
      </w:pPr>
      <w:r w:rsidRPr="002A53E5">
        <w:t>_____________</w:t>
      </w:r>
    </w:p>
    <w:sectPr w:rsidRPr="002A53E5" w:rsidR="0092772D" w:rsidSect="002A53E5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C989" w14:textId="77777777" w:rsidR="00FE6F48" w:rsidRDefault="00FE6F48" w:rsidP="003B0516">
      <w:pPr>
        <w:spacing w:line="240" w:lineRule="auto"/>
      </w:pPr>
      <w:r>
        <w:separator/>
      </w:r>
    </w:p>
  </w:endnote>
  <w:endnote w:type="continuationSeparator" w:id="0">
    <w:p w14:paraId="53145E4A" w14:textId="77777777" w:rsidR="00FE6F48" w:rsidRDefault="00FE6F48" w:rsidP="003B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C2BF" w14:textId="77777777" w:rsidR="004417CD" w:rsidRPr="002A53E5" w:rsidRDefault="004417CD" w:rsidP="002A5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9D38" w14:textId="0E22F0FE" w:rsidR="00765C4F" w:rsidRPr="002A53E5" w:rsidRDefault="002A53E5" w:rsidP="002A53E5">
    <w:pPr>
      <w:pStyle w:val="Footer"/>
    </w:pPr>
    <w:r>
      <w:t xml:space="preserve">EESC-2024-00286-00-01-TCD-TRA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 w:rsidR="00BE51E8">
      <w:fldChar w:fldCharType="begin"/>
    </w:r>
    <w:r w:rsidR="00BE51E8">
      <w:instrText xml:space="preserve"> NUMPAGES </w:instrText>
    </w:r>
    <w:r w:rsidR="00BE51E8">
      <w:fldChar w:fldCharType="separate"/>
    </w:r>
    <w:r w:rsidR="00264A59">
      <w:rPr>
        <w:noProof/>
      </w:rPr>
      <w:instrText>16</w:instrText>
    </w:r>
    <w:r w:rsidR="00BE51E8">
      <w:rPr>
        <w:noProof/>
      </w:rPr>
      <w:fldChar w:fldCharType="end"/>
    </w:r>
    <w:r>
      <w:instrText xml:space="preserve"> -0 </w:instrText>
    </w:r>
    <w:r>
      <w:fldChar w:fldCharType="separate"/>
    </w:r>
    <w:r w:rsidR="00264A59">
      <w:rPr>
        <w:noProof/>
      </w:rPr>
      <w:t>16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1A77" w14:textId="77777777" w:rsidR="004417CD" w:rsidRPr="002A53E5" w:rsidRDefault="004417CD" w:rsidP="002A53E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8855" w14:textId="77777777" w:rsidR="00E4258F" w:rsidRPr="002A53E5" w:rsidRDefault="00E4258F" w:rsidP="002A53E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C8A9" w14:textId="37D514C6" w:rsidR="00E4258F" w:rsidRPr="002A53E5" w:rsidRDefault="002A53E5" w:rsidP="002A53E5">
    <w:pPr>
      <w:pStyle w:val="Footer"/>
    </w:pPr>
    <w:r>
      <w:t xml:space="preserve">EESC-2024-00286-00-01-TCD-TRA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= </w:instrText>
    </w:r>
    <w:r w:rsidR="00BE51E8">
      <w:fldChar w:fldCharType="begin"/>
    </w:r>
    <w:r w:rsidR="00BE51E8">
      <w:instrText xml:space="preserve"> NUMPAGES </w:instrText>
    </w:r>
    <w:r w:rsidR="00BE51E8">
      <w:fldChar w:fldCharType="separate"/>
    </w:r>
    <w:r w:rsidR="00264A59">
      <w:rPr>
        <w:noProof/>
      </w:rPr>
      <w:instrText>16</w:instrText>
    </w:r>
    <w:r w:rsidR="00BE51E8">
      <w:rPr>
        <w:noProof/>
      </w:rPr>
      <w:fldChar w:fldCharType="end"/>
    </w:r>
    <w:r>
      <w:instrText xml:space="preserve"> -0 </w:instrText>
    </w:r>
    <w:r>
      <w:fldChar w:fldCharType="separate"/>
    </w:r>
    <w:r w:rsidR="00264A59">
      <w:rPr>
        <w:noProof/>
      </w:rPr>
      <w:t>16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7D43" w14:textId="77777777" w:rsidR="00E4258F" w:rsidRPr="002A53E5" w:rsidRDefault="00E4258F" w:rsidP="002A5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C6067" w14:textId="77777777" w:rsidR="00FE6F48" w:rsidRDefault="00FE6F48" w:rsidP="003B0516">
      <w:pPr>
        <w:spacing w:line="240" w:lineRule="auto"/>
      </w:pPr>
      <w:r>
        <w:separator/>
      </w:r>
    </w:p>
  </w:footnote>
  <w:footnote w:type="continuationSeparator" w:id="0">
    <w:p w14:paraId="60476E3C" w14:textId="77777777" w:rsidR="00FE6F48" w:rsidRDefault="00FE6F48" w:rsidP="003B05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8236" w14:textId="77777777" w:rsidR="004417CD" w:rsidRPr="002A53E5" w:rsidRDefault="004417CD" w:rsidP="002A5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D3EE" w14:textId="25799B83" w:rsidR="004417CD" w:rsidRPr="002A53E5" w:rsidRDefault="004417CD" w:rsidP="002A5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AAA5" w14:textId="77777777" w:rsidR="004417CD" w:rsidRPr="002A53E5" w:rsidRDefault="004417CD" w:rsidP="002A53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98DD" w14:textId="77777777" w:rsidR="00E4258F" w:rsidRPr="002A53E5" w:rsidRDefault="00E4258F" w:rsidP="002A53E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0FFF" w14:textId="202CDA1C" w:rsidR="00E4258F" w:rsidRPr="002A53E5" w:rsidRDefault="00E4258F" w:rsidP="002A53E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BED8" w14:textId="77777777" w:rsidR="00E4258F" w:rsidRPr="002A53E5" w:rsidRDefault="00E4258F" w:rsidP="002A5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EBEEFDE"/>
    <w:lvl w:ilvl="0">
      <w:numFmt w:val="decimal"/>
      <w:lvlText w:val="*"/>
      <w:lvlJc w:val="left"/>
    </w:lvl>
  </w:abstractNum>
  <w:abstractNum w:abstractNumId="1" w15:restartNumberingAfterBreak="0">
    <w:nsid w:val="012A5128"/>
    <w:multiLevelType w:val="hybridMultilevel"/>
    <w:tmpl w:val="6A5CEA1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B22DF6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3C71"/>
    <w:multiLevelType w:val="hybridMultilevel"/>
    <w:tmpl w:val="43A0CD4E"/>
    <w:lvl w:ilvl="0" w:tplc="D4708380">
      <w:start w:val="1"/>
      <w:numFmt w:val="decimal"/>
      <w:pStyle w:val="Heading1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519E"/>
    <w:multiLevelType w:val="hybridMultilevel"/>
    <w:tmpl w:val="B9B86228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B5E0C"/>
    <w:multiLevelType w:val="hybridMultilevel"/>
    <w:tmpl w:val="9364F78C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F268"/>
    <w:multiLevelType w:val="hybridMultilevel"/>
    <w:tmpl w:val="F5A8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E2474">
      <w:start w:val="1"/>
      <w:numFmt w:val="lowerLetter"/>
      <w:lvlText w:val="%2."/>
      <w:lvlJc w:val="left"/>
      <w:pPr>
        <w:ind w:left="1440" w:hanging="360"/>
      </w:pPr>
    </w:lvl>
    <w:lvl w:ilvl="2" w:tplc="CF80E7CA">
      <w:start w:val="1"/>
      <w:numFmt w:val="lowerRoman"/>
      <w:lvlText w:val="%3."/>
      <w:lvlJc w:val="right"/>
      <w:pPr>
        <w:ind w:left="2160" w:hanging="180"/>
      </w:pPr>
    </w:lvl>
    <w:lvl w:ilvl="3" w:tplc="E474BBE2">
      <w:start w:val="1"/>
      <w:numFmt w:val="decimal"/>
      <w:lvlText w:val="%4."/>
      <w:lvlJc w:val="left"/>
      <w:pPr>
        <w:ind w:left="2880" w:hanging="360"/>
      </w:pPr>
    </w:lvl>
    <w:lvl w:ilvl="4" w:tplc="462EC6F6">
      <w:start w:val="1"/>
      <w:numFmt w:val="lowerLetter"/>
      <w:lvlText w:val="%5."/>
      <w:lvlJc w:val="left"/>
      <w:pPr>
        <w:ind w:left="3600" w:hanging="360"/>
      </w:pPr>
    </w:lvl>
    <w:lvl w:ilvl="5" w:tplc="61E4D974">
      <w:start w:val="1"/>
      <w:numFmt w:val="lowerRoman"/>
      <w:lvlText w:val="%6."/>
      <w:lvlJc w:val="right"/>
      <w:pPr>
        <w:ind w:left="4320" w:hanging="180"/>
      </w:pPr>
    </w:lvl>
    <w:lvl w:ilvl="6" w:tplc="F6861F06">
      <w:start w:val="1"/>
      <w:numFmt w:val="decimal"/>
      <w:lvlText w:val="%7."/>
      <w:lvlJc w:val="left"/>
      <w:pPr>
        <w:ind w:left="5040" w:hanging="360"/>
      </w:pPr>
    </w:lvl>
    <w:lvl w:ilvl="7" w:tplc="737E3C6A">
      <w:start w:val="1"/>
      <w:numFmt w:val="lowerLetter"/>
      <w:lvlText w:val="%8."/>
      <w:lvlJc w:val="left"/>
      <w:pPr>
        <w:ind w:left="5760" w:hanging="360"/>
      </w:pPr>
    </w:lvl>
    <w:lvl w:ilvl="8" w:tplc="267CDF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12D32"/>
    <w:multiLevelType w:val="hybridMultilevel"/>
    <w:tmpl w:val="3EE66B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7300B"/>
    <w:multiLevelType w:val="hybridMultilevel"/>
    <w:tmpl w:val="C152FF0A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25F51"/>
    <w:multiLevelType w:val="hybridMultilevel"/>
    <w:tmpl w:val="B1A0CBD0"/>
    <w:lvl w:ilvl="0" w:tplc="7EF2A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97D79"/>
    <w:multiLevelType w:val="hybridMultilevel"/>
    <w:tmpl w:val="C7B62F5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25C5E"/>
    <w:multiLevelType w:val="hybridMultilevel"/>
    <w:tmpl w:val="7848F852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5F2241"/>
    <w:multiLevelType w:val="hybridMultilevel"/>
    <w:tmpl w:val="0DB4F2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EA7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5D08"/>
    <w:multiLevelType w:val="hybridMultilevel"/>
    <w:tmpl w:val="819CD394"/>
    <w:lvl w:ilvl="0" w:tplc="85C8C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61250"/>
    <w:multiLevelType w:val="hybridMultilevel"/>
    <w:tmpl w:val="5F3E2F3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CB83CA6"/>
    <w:multiLevelType w:val="hybridMultilevel"/>
    <w:tmpl w:val="E0580AF4"/>
    <w:lvl w:ilvl="0" w:tplc="F6166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ED45CA"/>
    <w:multiLevelType w:val="hybridMultilevel"/>
    <w:tmpl w:val="3116801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CEA7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94212"/>
    <w:multiLevelType w:val="hybridMultilevel"/>
    <w:tmpl w:val="A7FE6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2DF6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03056"/>
    <w:multiLevelType w:val="hybridMultilevel"/>
    <w:tmpl w:val="22989C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C7B2A"/>
    <w:multiLevelType w:val="hybridMultilevel"/>
    <w:tmpl w:val="B2201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2A3200"/>
    <w:multiLevelType w:val="hybridMultilevel"/>
    <w:tmpl w:val="BDB6A23E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14EF5"/>
    <w:multiLevelType w:val="hybridMultilevel"/>
    <w:tmpl w:val="B6825228"/>
    <w:lvl w:ilvl="0" w:tplc="F6166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0DB1CE6"/>
    <w:multiLevelType w:val="hybridMultilevel"/>
    <w:tmpl w:val="A37EC5B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95314"/>
    <w:multiLevelType w:val="hybridMultilevel"/>
    <w:tmpl w:val="E182F32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1E2474">
      <w:start w:val="1"/>
      <w:numFmt w:val="lowerLetter"/>
      <w:lvlText w:val="%2."/>
      <w:lvlJc w:val="left"/>
      <w:pPr>
        <w:ind w:left="1440" w:hanging="360"/>
      </w:pPr>
    </w:lvl>
    <w:lvl w:ilvl="2" w:tplc="CF80E7CA">
      <w:start w:val="1"/>
      <w:numFmt w:val="lowerRoman"/>
      <w:lvlText w:val="%3."/>
      <w:lvlJc w:val="right"/>
      <w:pPr>
        <w:ind w:left="2160" w:hanging="180"/>
      </w:pPr>
    </w:lvl>
    <w:lvl w:ilvl="3" w:tplc="E474BBE2">
      <w:start w:val="1"/>
      <w:numFmt w:val="decimal"/>
      <w:lvlText w:val="%4."/>
      <w:lvlJc w:val="left"/>
      <w:pPr>
        <w:ind w:left="2880" w:hanging="360"/>
      </w:pPr>
    </w:lvl>
    <w:lvl w:ilvl="4" w:tplc="462EC6F6">
      <w:start w:val="1"/>
      <w:numFmt w:val="lowerLetter"/>
      <w:lvlText w:val="%5."/>
      <w:lvlJc w:val="left"/>
      <w:pPr>
        <w:ind w:left="3600" w:hanging="360"/>
      </w:pPr>
    </w:lvl>
    <w:lvl w:ilvl="5" w:tplc="61E4D974">
      <w:start w:val="1"/>
      <w:numFmt w:val="lowerRoman"/>
      <w:lvlText w:val="%6."/>
      <w:lvlJc w:val="right"/>
      <w:pPr>
        <w:ind w:left="4320" w:hanging="180"/>
      </w:pPr>
    </w:lvl>
    <w:lvl w:ilvl="6" w:tplc="F6861F06">
      <w:start w:val="1"/>
      <w:numFmt w:val="decimal"/>
      <w:lvlText w:val="%7."/>
      <w:lvlJc w:val="left"/>
      <w:pPr>
        <w:ind w:left="5040" w:hanging="360"/>
      </w:pPr>
    </w:lvl>
    <w:lvl w:ilvl="7" w:tplc="737E3C6A">
      <w:start w:val="1"/>
      <w:numFmt w:val="lowerLetter"/>
      <w:lvlText w:val="%8."/>
      <w:lvlJc w:val="left"/>
      <w:pPr>
        <w:ind w:left="5760" w:hanging="360"/>
      </w:pPr>
    </w:lvl>
    <w:lvl w:ilvl="8" w:tplc="267CDF4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30D57"/>
    <w:multiLevelType w:val="hybridMultilevel"/>
    <w:tmpl w:val="D396A28E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16698"/>
    <w:multiLevelType w:val="hybridMultilevel"/>
    <w:tmpl w:val="B268C3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7DF1691"/>
    <w:multiLevelType w:val="hybridMultilevel"/>
    <w:tmpl w:val="F5A8B668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D1044A8"/>
    <w:multiLevelType w:val="hybridMultilevel"/>
    <w:tmpl w:val="5A00225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A0492"/>
    <w:multiLevelType w:val="hybridMultilevel"/>
    <w:tmpl w:val="69184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1B7E"/>
    <w:multiLevelType w:val="hybridMultilevel"/>
    <w:tmpl w:val="BFB88AA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154DA"/>
    <w:multiLevelType w:val="hybridMultilevel"/>
    <w:tmpl w:val="05DE8630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3">
    <w:abstractNumId w:val="18"/>
  </w:num>
  <w:num w:numId="4">
    <w:abstractNumId w:val="13"/>
  </w:num>
  <w:num w:numId="5">
    <w:abstractNumId w:val="2"/>
  </w:num>
  <w:num w:numId="6">
    <w:abstractNumId w:val="17"/>
  </w:num>
  <w:num w:numId="7">
    <w:abstractNumId w:val="10"/>
  </w:num>
  <w:num w:numId="8">
    <w:abstractNumId w:val="21"/>
  </w:num>
  <w:num w:numId="9">
    <w:abstractNumId w:val="16"/>
  </w:num>
  <w:num w:numId="10">
    <w:abstractNumId w:val="19"/>
  </w:num>
  <w:num w:numId="11">
    <w:abstractNumId w:val="6"/>
  </w:num>
  <w:num w:numId="12">
    <w:abstractNumId w:val="5"/>
  </w:num>
  <w:num w:numId="13">
    <w:abstractNumId w:val="27"/>
  </w:num>
  <w:num w:numId="14">
    <w:abstractNumId w:val="24"/>
  </w:num>
  <w:num w:numId="15">
    <w:abstractNumId w:val="20"/>
  </w:num>
  <w:num w:numId="16">
    <w:abstractNumId w:val="8"/>
  </w:num>
  <w:num w:numId="17">
    <w:abstractNumId w:val="29"/>
  </w:num>
  <w:num w:numId="18">
    <w:abstractNumId w:val="23"/>
  </w:num>
  <w:num w:numId="19">
    <w:abstractNumId w:val="3"/>
  </w:num>
  <w:num w:numId="20">
    <w:abstractNumId w:val="1"/>
  </w:num>
  <w:num w:numId="21">
    <w:abstractNumId w:val="25"/>
  </w:num>
  <w:num w:numId="22">
    <w:abstractNumId w:val="9"/>
  </w:num>
  <w:num w:numId="23">
    <w:abstractNumId w:val="7"/>
  </w:num>
  <w:num w:numId="24">
    <w:abstractNumId w:val="26"/>
  </w:num>
  <w:num w:numId="25">
    <w:abstractNumId w:val="4"/>
  </w:num>
  <w:num w:numId="26">
    <w:abstractNumId w:val="22"/>
  </w:num>
  <w:num w:numId="27">
    <w:abstractNumId w:val="28"/>
  </w:num>
  <w:num w:numId="28">
    <w:abstractNumId w:val="14"/>
  </w:num>
  <w:num w:numId="29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30">
    <w:abstractNumId w:val="11"/>
  </w:num>
  <w:num w:numId="31">
    <w:abstractNumId w:val="15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nl-BE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fr-FR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fi-FI" w:vendorID="64" w:dllVersion="4096" w:nlCheck="1" w:checkStyle="0"/>
  <w:activeWritingStyle w:appName="MSWord" w:lang="de-AT" w:vendorID="64" w:dllVersion="4096" w:nlCheck="1" w:checkStyle="0"/>
  <w:activeWritingStyle w:appName="MSWord" w:lang="nl-BE" w:vendorID="64" w:dllVersion="4096" w:nlCheck="1" w:checkStyle="0"/>
  <w:activeWritingStyle w:appName="MSWord" w:lang="da-DK" w:vendorID="64" w:dllVersion="4096" w:nlCheck="1" w:checkStyle="0"/>
  <w:activeWritingStyle w:appName="MSWord" w:lang="en-IE" w:vendorID="64" w:dllVersion="4096" w:nlCheck="1" w:checkStyle="0"/>
  <w:activeWritingStyle w:appName="MSWord" w:lang="fr-LU" w:vendorID="64" w:dllVersion="4096" w:nlCheck="1" w:checkStyle="0"/>
  <w:activeWritingStyle w:appName="MSWord" w:lang="en-AU" w:vendorID="64" w:dllVersion="4096" w:nlCheck="1" w:checkStyle="0"/>
  <w:activeWritingStyle w:appName="MSWord" w:lang="nl-NL" w:vendorID="64" w:dllVersion="4096" w:nlCheck="1" w:checkStyle="0"/>
  <w:activeWritingStyle w:appName="MSWord" w:lang="sv-SE" w:vendorID="64" w:dllVersion="4096" w:nlCheck="1" w:checkStyle="0"/>
  <w:activeWritingStyle w:appName="MSWord" w:lang="pl-PL" w:vendorID="64" w:dllVersion="4096" w:nlCheck="1" w:checkStyle="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11FC"/>
    <w:rsid w:val="00001786"/>
    <w:rsid w:val="00001A64"/>
    <w:rsid w:val="00002061"/>
    <w:rsid w:val="00002240"/>
    <w:rsid w:val="00002A4B"/>
    <w:rsid w:val="000058F8"/>
    <w:rsid w:val="00006967"/>
    <w:rsid w:val="00007729"/>
    <w:rsid w:val="00011582"/>
    <w:rsid w:val="00011846"/>
    <w:rsid w:val="00012071"/>
    <w:rsid w:val="000124A6"/>
    <w:rsid w:val="00013CEE"/>
    <w:rsid w:val="00014132"/>
    <w:rsid w:val="000142E0"/>
    <w:rsid w:val="00014C93"/>
    <w:rsid w:val="00015E18"/>
    <w:rsid w:val="00016015"/>
    <w:rsid w:val="00016A29"/>
    <w:rsid w:val="00016C21"/>
    <w:rsid w:val="00017B56"/>
    <w:rsid w:val="0002109C"/>
    <w:rsid w:val="00021CE3"/>
    <w:rsid w:val="000232FA"/>
    <w:rsid w:val="00023B5F"/>
    <w:rsid w:val="00023DE9"/>
    <w:rsid w:val="000243E7"/>
    <w:rsid w:val="0002450A"/>
    <w:rsid w:val="00024601"/>
    <w:rsid w:val="000247C5"/>
    <w:rsid w:val="00024D79"/>
    <w:rsid w:val="000257FE"/>
    <w:rsid w:val="00025CE3"/>
    <w:rsid w:val="0002700A"/>
    <w:rsid w:val="00027072"/>
    <w:rsid w:val="000273E5"/>
    <w:rsid w:val="00027441"/>
    <w:rsid w:val="0003047E"/>
    <w:rsid w:val="00030AA7"/>
    <w:rsid w:val="00031589"/>
    <w:rsid w:val="00031F57"/>
    <w:rsid w:val="00032038"/>
    <w:rsid w:val="0003252D"/>
    <w:rsid w:val="0003271A"/>
    <w:rsid w:val="00032BAA"/>
    <w:rsid w:val="00032C0F"/>
    <w:rsid w:val="00032DB1"/>
    <w:rsid w:val="00033456"/>
    <w:rsid w:val="00033478"/>
    <w:rsid w:val="000336F2"/>
    <w:rsid w:val="00033839"/>
    <w:rsid w:val="000349A2"/>
    <w:rsid w:val="00034E35"/>
    <w:rsid w:val="00035924"/>
    <w:rsid w:val="000359CB"/>
    <w:rsid w:val="00036505"/>
    <w:rsid w:val="0003786C"/>
    <w:rsid w:val="00037A85"/>
    <w:rsid w:val="000402AE"/>
    <w:rsid w:val="00040A5A"/>
    <w:rsid w:val="00040FE1"/>
    <w:rsid w:val="00041385"/>
    <w:rsid w:val="00041C4A"/>
    <w:rsid w:val="0004205F"/>
    <w:rsid w:val="000421E0"/>
    <w:rsid w:val="000429BA"/>
    <w:rsid w:val="00043287"/>
    <w:rsid w:val="00043A3F"/>
    <w:rsid w:val="00044A06"/>
    <w:rsid w:val="00046621"/>
    <w:rsid w:val="00046E56"/>
    <w:rsid w:val="00047887"/>
    <w:rsid w:val="00050002"/>
    <w:rsid w:val="000507DF"/>
    <w:rsid w:val="0005110E"/>
    <w:rsid w:val="0005170F"/>
    <w:rsid w:val="00052BF1"/>
    <w:rsid w:val="00052DD1"/>
    <w:rsid w:val="00052E1C"/>
    <w:rsid w:val="0005495B"/>
    <w:rsid w:val="00055A19"/>
    <w:rsid w:val="00055CA5"/>
    <w:rsid w:val="00055D63"/>
    <w:rsid w:val="00056079"/>
    <w:rsid w:val="00056B3E"/>
    <w:rsid w:val="00057592"/>
    <w:rsid w:val="00057A51"/>
    <w:rsid w:val="00060F9E"/>
    <w:rsid w:val="000636B3"/>
    <w:rsid w:val="00063DFF"/>
    <w:rsid w:val="00063F30"/>
    <w:rsid w:val="0006421B"/>
    <w:rsid w:val="00064442"/>
    <w:rsid w:val="00064EDE"/>
    <w:rsid w:val="000662D1"/>
    <w:rsid w:val="00066DC7"/>
    <w:rsid w:val="000676C4"/>
    <w:rsid w:val="0007015C"/>
    <w:rsid w:val="00070AAE"/>
    <w:rsid w:val="00070FEE"/>
    <w:rsid w:val="0007146F"/>
    <w:rsid w:val="00071568"/>
    <w:rsid w:val="00071B33"/>
    <w:rsid w:val="00071F4C"/>
    <w:rsid w:val="00072D9B"/>
    <w:rsid w:val="00073491"/>
    <w:rsid w:val="000736D0"/>
    <w:rsid w:val="0007419A"/>
    <w:rsid w:val="00075ECB"/>
    <w:rsid w:val="000764E8"/>
    <w:rsid w:val="00076BA9"/>
    <w:rsid w:val="00077FF5"/>
    <w:rsid w:val="000830F4"/>
    <w:rsid w:val="00083845"/>
    <w:rsid w:val="00085082"/>
    <w:rsid w:val="00086B53"/>
    <w:rsid w:val="00086D43"/>
    <w:rsid w:val="00091179"/>
    <w:rsid w:val="000911BF"/>
    <w:rsid w:val="000917D8"/>
    <w:rsid w:val="00092425"/>
    <w:rsid w:val="00093F23"/>
    <w:rsid w:val="00094B6B"/>
    <w:rsid w:val="000951A1"/>
    <w:rsid w:val="000956DB"/>
    <w:rsid w:val="00096786"/>
    <w:rsid w:val="00096CDE"/>
    <w:rsid w:val="000970CE"/>
    <w:rsid w:val="00097704"/>
    <w:rsid w:val="0009784F"/>
    <w:rsid w:val="000A007B"/>
    <w:rsid w:val="000A03BD"/>
    <w:rsid w:val="000A0B04"/>
    <w:rsid w:val="000A1218"/>
    <w:rsid w:val="000A1931"/>
    <w:rsid w:val="000A21B7"/>
    <w:rsid w:val="000A2953"/>
    <w:rsid w:val="000A3603"/>
    <w:rsid w:val="000A558D"/>
    <w:rsid w:val="000A74DC"/>
    <w:rsid w:val="000A7BA8"/>
    <w:rsid w:val="000A7EC1"/>
    <w:rsid w:val="000B01F7"/>
    <w:rsid w:val="000B0B9A"/>
    <w:rsid w:val="000B19C4"/>
    <w:rsid w:val="000B1AE6"/>
    <w:rsid w:val="000B1C30"/>
    <w:rsid w:val="000B1C78"/>
    <w:rsid w:val="000B25D7"/>
    <w:rsid w:val="000B37D6"/>
    <w:rsid w:val="000B3917"/>
    <w:rsid w:val="000B5831"/>
    <w:rsid w:val="000B5E57"/>
    <w:rsid w:val="000B652D"/>
    <w:rsid w:val="000B6A0A"/>
    <w:rsid w:val="000B79E2"/>
    <w:rsid w:val="000B7D8A"/>
    <w:rsid w:val="000C06CE"/>
    <w:rsid w:val="000C0708"/>
    <w:rsid w:val="000C18CA"/>
    <w:rsid w:val="000C2F19"/>
    <w:rsid w:val="000C3942"/>
    <w:rsid w:val="000C3E40"/>
    <w:rsid w:val="000C3E7C"/>
    <w:rsid w:val="000C43E2"/>
    <w:rsid w:val="000C4A91"/>
    <w:rsid w:val="000C4EED"/>
    <w:rsid w:val="000C5E9B"/>
    <w:rsid w:val="000C6D0B"/>
    <w:rsid w:val="000C73A6"/>
    <w:rsid w:val="000D0187"/>
    <w:rsid w:val="000D0A74"/>
    <w:rsid w:val="000D10ED"/>
    <w:rsid w:val="000D14C9"/>
    <w:rsid w:val="000D2F8F"/>
    <w:rsid w:val="000D313C"/>
    <w:rsid w:val="000D391B"/>
    <w:rsid w:val="000D4088"/>
    <w:rsid w:val="000D40D0"/>
    <w:rsid w:val="000D5A98"/>
    <w:rsid w:val="000D65AC"/>
    <w:rsid w:val="000D6BC4"/>
    <w:rsid w:val="000D6C7C"/>
    <w:rsid w:val="000D7181"/>
    <w:rsid w:val="000D72F5"/>
    <w:rsid w:val="000D754F"/>
    <w:rsid w:val="000D7878"/>
    <w:rsid w:val="000E1079"/>
    <w:rsid w:val="000E14F2"/>
    <w:rsid w:val="000E3485"/>
    <w:rsid w:val="000E37FD"/>
    <w:rsid w:val="000E437C"/>
    <w:rsid w:val="000E447F"/>
    <w:rsid w:val="000E5197"/>
    <w:rsid w:val="000E56EA"/>
    <w:rsid w:val="000E5EDB"/>
    <w:rsid w:val="000E5FFD"/>
    <w:rsid w:val="000E6108"/>
    <w:rsid w:val="000E698E"/>
    <w:rsid w:val="000E75F1"/>
    <w:rsid w:val="000F21B9"/>
    <w:rsid w:val="000F2598"/>
    <w:rsid w:val="000F2BDB"/>
    <w:rsid w:val="000F2E5A"/>
    <w:rsid w:val="000F442A"/>
    <w:rsid w:val="000F4825"/>
    <w:rsid w:val="000F53B7"/>
    <w:rsid w:val="000F679A"/>
    <w:rsid w:val="000F6FCF"/>
    <w:rsid w:val="000F732E"/>
    <w:rsid w:val="001000A8"/>
    <w:rsid w:val="0010109E"/>
    <w:rsid w:val="001016BE"/>
    <w:rsid w:val="00101D87"/>
    <w:rsid w:val="001023AA"/>
    <w:rsid w:val="00104302"/>
    <w:rsid w:val="00104B7A"/>
    <w:rsid w:val="001052A1"/>
    <w:rsid w:val="0010535A"/>
    <w:rsid w:val="00105758"/>
    <w:rsid w:val="00105EF9"/>
    <w:rsid w:val="00106358"/>
    <w:rsid w:val="00110085"/>
    <w:rsid w:val="00110172"/>
    <w:rsid w:val="001106FB"/>
    <w:rsid w:val="00111187"/>
    <w:rsid w:val="00111BD8"/>
    <w:rsid w:val="00113B00"/>
    <w:rsid w:val="001140AE"/>
    <w:rsid w:val="00115A9B"/>
    <w:rsid w:val="00115BBC"/>
    <w:rsid w:val="00115CB3"/>
    <w:rsid w:val="00115CD7"/>
    <w:rsid w:val="00115FCA"/>
    <w:rsid w:val="001167A1"/>
    <w:rsid w:val="001168D6"/>
    <w:rsid w:val="00116A1C"/>
    <w:rsid w:val="001179DB"/>
    <w:rsid w:val="00117AA8"/>
    <w:rsid w:val="00120215"/>
    <w:rsid w:val="00120BA5"/>
    <w:rsid w:val="00121BCE"/>
    <w:rsid w:val="00123FF3"/>
    <w:rsid w:val="00124D7C"/>
    <w:rsid w:val="00124D9E"/>
    <w:rsid w:val="0012548F"/>
    <w:rsid w:val="001264CB"/>
    <w:rsid w:val="00126BB5"/>
    <w:rsid w:val="00126CEB"/>
    <w:rsid w:val="00126D3E"/>
    <w:rsid w:val="00126D40"/>
    <w:rsid w:val="001271C3"/>
    <w:rsid w:val="00127C4E"/>
    <w:rsid w:val="0013052F"/>
    <w:rsid w:val="0013145E"/>
    <w:rsid w:val="00132B56"/>
    <w:rsid w:val="001332A2"/>
    <w:rsid w:val="00133C08"/>
    <w:rsid w:val="001348CC"/>
    <w:rsid w:val="00135610"/>
    <w:rsid w:val="00135769"/>
    <w:rsid w:val="00137BCC"/>
    <w:rsid w:val="001400C7"/>
    <w:rsid w:val="00142A44"/>
    <w:rsid w:val="001435E4"/>
    <w:rsid w:val="001445A7"/>
    <w:rsid w:val="001455A1"/>
    <w:rsid w:val="0014589C"/>
    <w:rsid w:val="00145DCD"/>
    <w:rsid w:val="00150AD8"/>
    <w:rsid w:val="00150B75"/>
    <w:rsid w:val="00150E51"/>
    <w:rsid w:val="001513FD"/>
    <w:rsid w:val="00151EDB"/>
    <w:rsid w:val="0015211E"/>
    <w:rsid w:val="00152FA6"/>
    <w:rsid w:val="00153032"/>
    <w:rsid w:val="00153F0C"/>
    <w:rsid w:val="001543FE"/>
    <w:rsid w:val="001546A6"/>
    <w:rsid w:val="00154EC7"/>
    <w:rsid w:val="00155B53"/>
    <w:rsid w:val="001563F6"/>
    <w:rsid w:val="00157F0F"/>
    <w:rsid w:val="001606AD"/>
    <w:rsid w:val="00163106"/>
    <w:rsid w:val="00164813"/>
    <w:rsid w:val="0016534C"/>
    <w:rsid w:val="00165EA2"/>
    <w:rsid w:val="0017095E"/>
    <w:rsid w:val="00172541"/>
    <w:rsid w:val="0017287C"/>
    <w:rsid w:val="00173E94"/>
    <w:rsid w:val="001744F9"/>
    <w:rsid w:val="00174763"/>
    <w:rsid w:val="001755E0"/>
    <w:rsid w:val="001756D1"/>
    <w:rsid w:val="00175EC3"/>
    <w:rsid w:val="001760E9"/>
    <w:rsid w:val="00176786"/>
    <w:rsid w:val="00180F59"/>
    <w:rsid w:val="0018231C"/>
    <w:rsid w:val="00182F92"/>
    <w:rsid w:val="0018432F"/>
    <w:rsid w:val="00184D19"/>
    <w:rsid w:val="001861B4"/>
    <w:rsid w:val="001865D3"/>
    <w:rsid w:val="00187F8B"/>
    <w:rsid w:val="00191584"/>
    <w:rsid w:val="00191597"/>
    <w:rsid w:val="00192911"/>
    <w:rsid w:val="00192BCD"/>
    <w:rsid w:val="00193D92"/>
    <w:rsid w:val="00194870"/>
    <w:rsid w:val="001951FD"/>
    <w:rsid w:val="00195380"/>
    <w:rsid w:val="001965D5"/>
    <w:rsid w:val="0019674A"/>
    <w:rsid w:val="0019715D"/>
    <w:rsid w:val="001A0AD4"/>
    <w:rsid w:val="001A1CC5"/>
    <w:rsid w:val="001A2273"/>
    <w:rsid w:val="001A2632"/>
    <w:rsid w:val="001A2ED2"/>
    <w:rsid w:val="001A7110"/>
    <w:rsid w:val="001A7476"/>
    <w:rsid w:val="001B10DA"/>
    <w:rsid w:val="001B146A"/>
    <w:rsid w:val="001B6246"/>
    <w:rsid w:val="001B643B"/>
    <w:rsid w:val="001B6460"/>
    <w:rsid w:val="001B79F5"/>
    <w:rsid w:val="001C087D"/>
    <w:rsid w:val="001C08F2"/>
    <w:rsid w:val="001C1786"/>
    <w:rsid w:val="001C226F"/>
    <w:rsid w:val="001C3412"/>
    <w:rsid w:val="001C3A5B"/>
    <w:rsid w:val="001C3C0F"/>
    <w:rsid w:val="001C4219"/>
    <w:rsid w:val="001C4A5D"/>
    <w:rsid w:val="001C4EDC"/>
    <w:rsid w:val="001C4EFA"/>
    <w:rsid w:val="001C5776"/>
    <w:rsid w:val="001C5D5C"/>
    <w:rsid w:val="001C64EB"/>
    <w:rsid w:val="001C6DC3"/>
    <w:rsid w:val="001C72AB"/>
    <w:rsid w:val="001C7B41"/>
    <w:rsid w:val="001D1D1C"/>
    <w:rsid w:val="001D1F54"/>
    <w:rsid w:val="001D2636"/>
    <w:rsid w:val="001D277D"/>
    <w:rsid w:val="001D31CF"/>
    <w:rsid w:val="001D357A"/>
    <w:rsid w:val="001D3D0A"/>
    <w:rsid w:val="001D6EF9"/>
    <w:rsid w:val="001D6FFF"/>
    <w:rsid w:val="001D770D"/>
    <w:rsid w:val="001E04B8"/>
    <w:rsid w:val="001E0F0C"/>
    <w:rsid w:val="001E1489"/>
    <w:rsid w:val="001E1833"/>
    <w:rsid w:val="001E2286"/>
    <w:rsid w:val="001E347B"/>
    <w:rsid w:val="001E3DFE"/>
    <w:rsid w:val="001E418F"/>
    <w:rsid w:val="001E6413"/>
    <w:rsid w:val="001E6AE6"/>
    <w:rsid w:val="001E6F69"/>
    <w:rsid w:val="001E715B"/>
    <w:rsid w:val="001E71D7"/>
    <w:rsid w:val="001F0687"/>
    <w:rsid w:val="001F11A4"/>
    <w:rsid w:val="001F1433"/>
    <w:rsid w:val="001F1862"/>
    <w:rsid w:val="001F3E4F"/>
    <w:rsid w:val="001F47B5"/>
    <w:rsid w:val="001F56CE"/>
    <w:rsid w:val="001F5A42"/>
    <w:rsid w:val="001F6FD5"/>
    <w:rsid w:val="001F773D"/>
    <w:rsid w:val="00200222"/>
    <w:rsid w:val="0020062C"/>
    <w:rsid w:val="0020064C"/>
    <w:rsid w:val="00200823"/>
    <w:rsid w:val="00200BE9"/>
    <w:rsid w:val="0020199E"/>
    <w:rsid w:val="00201A37"/>
    <w:rsid w:val="00202D9A"/>
    <w:rsid w:val="002030A0"/>
    <w:rsid w:val="002037FC"/>
    <w:rsid w:val="00203B0B"/>
    <w:rsid w:val="00203BF4"/>
    <w:rsid w:val="002040E7"/>
    <w:rsid w:val="002043D7"/>
    <w:rsid w:val="002048F7"/>
    <w:rsid w:val="002049FA"/>
    <w:rsid w:val="00204FE8"/>
    <w:rsid w:val="00205D0D"/>
    <w:rsid w:val="00206D17"/>
    <w:rsid w:val="00207025"/>
    <w:rsid w:val="00207B3C"/>
    <w:rsid w:val="00210F85"/>
    <w:rsid w:val="002119AD"/>
    <w:rsid w:val="00215520"/>
    <w:rsid w:val="0021590B"/>
    <w:rsid w:val="00215FAB"/>
    <w:rsid w:val="00217695"/>
    <w:rsid w:val="002205F3"/>
    <w:rsid w:val="00221313"/>
    <w:rsid w:val="002213A3"/>
    <w:rsid w:val="00221854"/>
    <w:rsid w:val="00223179"/>
    <w:rsid w:val="00224583"/>
    <w:rsid w:val="002247DC"/>
    <w:rsid w:val="00224E52"/>
    <w:rsid w:val="00224F73"/>
    <w:rsid w:val="0022582C"/>
    <w:rsid w:val="00225BCA"/>
    <w:rsid w:val="00225C52"/>
    <w:rsid w:val="002264B1"/>
    <w:rsid w:val="002268A5"/>
    <w:rsid w:val="00226A74"/>
    <w:rsid w:val="00226DC1"/>
    <w:rsid w:val="002274AE"/>
    <w:rsid w:val="0022774F"/>
    <w:rsid w:val="00227E12"/>
    <w:rsid w:val="00230910"/>
    <w:rsid w:val="00231267"/>
    <w:rsid w:val="00231571"/>
    <w:rsid w:val="00232374"/>
    <w:rsid w:val="002326F4"/>
    <w:rsid w:val="00232868"/>
    <w:rsid w:val="002328D2"/>
    <w:rsid w:val="0023415A"/>
    <w:rsid w:val="00234EA0"/>
    <w:rsid w:val="00235B94"/>
    <w:rsid w:val="00235E61"/>
    <w:rsid w:val="00237481"/>
    <w:rsid w:val="00240C09"/>
    <w:rsid w:val="00240D4D"/>
    <w:rsid w:val="002419CA"/>
    <w:rsid w:val="00241C29"/>
    <w:rsid w:val="00242666"/>
    <w:rsid w:val="002435FB"/>
    <w:rsid w:val="00243BC0"/>
    <w:rsid w:val="00245136"/>
    <w:rsid w:val="002457A2"/>
    <w:rsid w:val="00245A60"/>
    <w:rsid w:val="00245CD4"/>
    <w:rsid w:val="00246F51"/>
    <w:rsid w:val="002479AC"/>
    <w:rsid w:val="00247E02"/>
    <w:rsid w:val="00251418"/>
    <w:rsid w:val="00251ED7"/>
    <w:rsid w:val="002525C2"/>
    <w:rsid w:val="002527F0"/>
    <w:rsid w:val="00252D9C"/>
    <w:rsid w:val="00252DA5"/>
    <w:rsid w:val="00254776"/>
    <w:rsid w:val="00255669"/>
    <w:rsid w:val="0025617D"/>
    <w:rsid w:val="00256BEC"/>
    <w:rsid w:val="00256F0A"/>
    <w:rsid w:val="002571FC"/>
    <w:rsid w:val="00260907"/>
    <w:rsid w:val="00260B0A"/>
    <w:rsid w:val="00261903"/>
    <w:rsid w:val="00261EA6"/>
    <w:rsid w:val="00261FDB"/>
    <w:rsid w:val="002634CF"/>
    <w:rsid w:val="002635C7"/>
    <w:rsid w:val="00263616"/>
    <w:rsid w:val="00264A59"/>
    <w:rsid w:val="002652F7"/>
    <w:rsid w:val="002654EF"/>
    <w:rsid w:val="00267ABD"/>
    <w:rsid w:val="002706AD"/>
    <w:rsid w:val="00270828"/>
    <w:rsid w:val="00270AEC"/>
    <w:rsid w:val="002713AA"/>
    <w:rsid w:val="002713F4"/>
    <w:rsid w:val="002725D3"/>
    <w:rsid w:val="002736DF"/>
    <w:rsid w:val="002737D4"/>
    <w:rsid w:val="00274160"/>
    <w:rsid w:val="00274765"/>
    <w:rsid w:val="00274DCF"/>
    <w:rsid w:val="00275718"/>
    <w:rsid w:val="00275A32"/>
    <w:rsid w:val="002761B2"/>
    <w:rsid w:val="0027698E"/>
    <w:rsid w:val="00276CC9"/>
    <w:rsid w:val="002776B9"/>
    <w:rsid w:val="00277FEC"/>
    <w:rsid w:val="0028000C"/>
    <w:rsid w:val="00280432"/>
    <w:rsid w:val="00280603"/>
    <w:rsid w:val="00280A90"/>
    <w:rsid w:val="0028403D"/>
    <w:rsid w:val="002852F7"/>
    <w:rsid w:val="002859C4"/>
    <w:rsid w:val="00285E58"/>
    <w:rsid w:val="002879B4"/>
    <w:rsid w:val="00287B4A"/>
    <w:rsid w:val="002908E2"/>
    <w:rsid w:val="00291154"/>
    <w:rsid w:val="0029132C"/>
    <w:rsid w:val="00292D44"/>
    <w:rsid w:val="00293765"/>
    <w:rsid w:val="0029379B"/>
    <w:rsid w:val="00293E9C"/>
    <w:rsid w:val="0029442A"/>
    <w:rsid w:val="00295B31"/>
    <w:rsid w:val="00295B97"/>
    <w:rsid w:val="002962DA"/>
    <w:rsid w:val="0029725F"/>
    <w:rsid w:val="002A1827"/>
    <w:rsid w:val="002A2F38"/>
    <w:rsid w:val="002A3076"/>
    <w:rsid w:val="002A417C"/>
    <w:rsid w:val="002A417D"/>
    <w:rsid w:val="002A48B1"/>
    <w:rsid w:val="002A48BC"/>
    <w:rsid w:val="002A53E5"/>
    <w:rsid w:val="002A6192"/>
    <w:rsid w:val="002A696A"/>
    <w:rsid w:val="002A7009"/>
    <w:rsid w:val="002B0317"/>
    <w:rsid w:val="002B09A7"/>
    <w:rsid w:val="002B15F3"/>
    <w:rsid w:val="002B1961"/>
    <w:rsid w:val="002B2BA3"/>
    <w:rsid w:val="002B4E93"/>
    <w:rsid w:val="002B5031"/>
    <w:rsid w:val="002B6D6C"/>
    <w:rsid w:val="002B74A3"/>
    <w:rsid w:val="002B75A5"/>
    <w:rsid w:val="002B7981"/>
    <w:rsid w:val="002B7C5C"/>
    <w:rsid w:val="002B7F3A"/>
    <w:rsid w:val="002C016E"/>
    <w:rsid w:val="002C07E4"/>
    <w:rsid w:val="002C08B8"/>
    <w:rsid w:val="002C0E2F"/>
    <w:rsid w:val="002C2466"/>
    <w:rsid w:val="002C24B9"/>
    <w:rsid w:val="002C273B"/>
    <w:rsid w:val="002C2B80"/>
    <w:rsid w:val="002C4B6E"/>
    <w:rsid w:val="002C52B8"/>
    <w:rsid w:val="002C5F52"/>
    <w:rsid w:val="002C704D"/>
    <w:rsid w:val="002D03B9"/>
    <w:rsid w:val="002D10D5"/>
    <w:rsid w:val="002D1175"/>
    <w:rsid w:val="002D31E3"/>
    <w:rsid w:val="002D3D63"/>
    <w:rsid w:val="002D3FFF"/>
    <w:rsid w:val="002D4382"/>
    <w:rsid w:val="002D4A78"/>
    <w:rsid w:val="002D4C38"/>
    <w:rsid w:val="002D4C63"/>
    <w:rsid w:val="002D4D5D"/>
    <w:rsid w:val="002D5A51"/>
    <w:rsid w:val="002D6C8A"/>
    <w:rsid w:val="002E01B5"/>
    <w:rsid w:val="002E211F"/>
    <w:rsid w:val="002E29B4"/>
    <w:rsid w:val="002E44D6"/>
    <w:rsid w:val="002E459D"/>
    <w:rsid w:val="002E5473"/>
    <w:rsid w:val="002E615C"/>
    <w:rsid w:val="002E62B0"/>
    <w:rsid w:val="002E7F30"/>
    <w:rsid w:val="002F0853"/>
    <w:rsid w:val="002F0F3E"/>
    <w:rsid w:val="002F1909"/>
    <w:rsid w:val="002F31FD"/>
    <w:rsid w:val="002F32E6"/>
    <w:rsid w:val="002F4AF0"/>
    <w:rsid w:val="002F5750"/>
    <w:rsid w:val="002F57AC"/>
    <w:rsid w:val="002F5819"/>
    <w:rsid w:val="002F5EE1"/>
    <w:rsid w:val="002F63EB"/>
    <w:rsid w:val="002F665D"/>
    <w:rsid w:val="002F6997"/>
    <w:rsid w:val="002F6FA0"/>
    <w:rsid w:val="00300ABA"/>
    <w:rsid w:val="0030158A"/>
    <w:rsid w:val="00302E45"/>
    <w:rsid w:val="003036D0"/>
    <w:rsid w:val="00304E20"/>
    <w:rsid w:val="00305834"/>
    <w:rsid w:val="00306A12"/>
    <w:rsid w:val="00311562"/>
    <w:rsid w:val="003123CB"/>
    <w:rsid w:val="003131BA"/>
    <w:rsid w:val="00313D86"/>
    <w:rsid w:val="003165A9"/>
    <w:rsid w:val="0031681F"/>
    <w:rsid w:val="00316B72"/>
    <w:rsid w:val="00317D48"/>
    <w:rsid w:val="00320F33"/>
    <w:rsid w:val="0032128B"/>
    <w:rsid w:val="00321539"/>
    <w:rsid w:val="0032154F"/>
    <w:rsid w:val="0032266E"/>
    <w:rsid w:val="003227CC"/>
    <w:rsid w:val="0032340F"/>
    <w:rsid w:val="0032356C"/>
    <w:rsid w:val="00323A05"/>
    <w:rsid w:val="00325509"/>
    <w:rsid w:val="00325F6C"/>
    <w:rsid w:val="003262D8"/>
    <w:rsid w:val="00326919"/>
    <w:rsid w:val="00326CD9"/>
    <w:rsid w:val="00326F5F"/>
    <w:rsid w:val="00327162"/>
    <w:rsid w:val="0033098C"/>
    <w:rsid w:val="0033099B"/>
    <w:rsid w:val="00330A97"/>
    <w:rsid w:val="00331ACB"/>
    <w:rsid w:val="00331C12"/>
    <w:rsid w:val="00331F0C"/>
    <w:rsid w:val="00331F6F"/>
    <w:rsid w:val="00333BE7"/>
    <w:rsid w:val="00333F1A"/>
    <w:rsid w:val="00334052"/>
    <w:rsid w:val="003348DA"/>
    <w:rsid w:val="00335DF3"/>
    <w:rsid w:val="00336A36"/>
    <w:rsid w:val="00337140"/>
    <w:rsid w:val="00337D94"/>
    <w:rsid w:val="00337F36"/>
    <w:rsid w:val="00340D07"/>
    <w:rsid w:val="00340F46"/>
    <w:rsid w:val="003429F9"/>
    <w:rsid w:val="00342F72"/>
    <w:rsid w:val="00343E1E"/>
    <w:rsid w:val="003447C3"/>
    <w:rsid w:val="00344B13"/>
    <w:rsid w:val="00344BCF"/>
    <w:rsid w:val="00344D4D"/>
    <w:rsid w:val="003465B5"/>
    <w:rsid w:val="00346B57"/>
    <w:rsid w:val="00347160"/>
    <w:rsid w:val="003474B6"/>
    <w:rsid w:val="00347F9A"/>
    <w:rsid w:val="003505DD"/>
    <w:rsid w:val="00350A12"/>
    <w:rsid w:val="00350F5C"/>
    <w:rsid w:val="003512EC"/>
    <w:rsid w:val="0035145B"/>
    <w:rsid w:val="00351F56"/>
    <w:rsid w:val="003527B4"/>
    <w:rsid w:val="003529C2"/>
    <w:rsid w:val="00353184"/>
    <w:rsid w:val="00353D37"/>
    <w:rsid w:val="00354714"/>
    <w:rsid w:val="003550F7"/>
    <w:rsid w:val="00356BAD"/>
    <w:rsid w:val="00356CCD"/>
    <w:rsid w:val="003604AE"/>
    <w:rsid w:val="00360C81"/>
    <w:rsid w:val="00361E48"/>
    <w:rsid w:val="00361F46"/>
    <w:rsid w:val="00362EE5"/>
    <w:rsid w:val="00363F5C"/>
    <w:rsid w:val="003641AD"/>
    <w:rsid w:val="003661D3"/>
    <w:rsid w:val="0036641A"/>
    <w:rsid w:val="00370548"/>
    <w:rsid w:val="00370CCB"/>
    <w:rsid w:val="003746E1"/>
    <w:rsid w:val="003748B6"/>
    <w:rsid w:val="00374BB8"/>
    <w:rsid w:val="003754CD"/>
    <w:rsid w:val="00375F51"/>
    <w:rsid w:val="003761C7"/>
    <w:rsid w:val="00376574"/>
    <w:rsid w:val="00376592"/>
    <w:rsid w:val="00376B0A"/>
    <w:rsid w:val="003770B5"/>
    <w:rsid w:val="0037718B"/>
    <w:rsid w:val="00381901"/>
    <w:rsid w:val="003819C7"/>
    <w:rsid w:val="00381EF4"/>
    <w:rsid w:val="0038273B"/>
    <w:rsid w:val="00382C37"/>
    <w:rsid w:val="0038348C"/>
    <w:rsid w:val="00384E90"/>
    <w:rsid w:val="00386954"/>
    <w:rsid w:val="003873CF"/>
    <w:rsid w:val="003878F2"/>
    <w:rsid w:val="00390587"/>
    <w:rsid w:val="00391B98"/>
    <w:rsid w:val="0039201C"/>
    <w:rsid w:val="00394949"/>
    <w:rsid w:val="00395070"/>
    <w:rsid w:val="003953F0"/>
    <w:rsid w:val="00395762"/>
    <w:rsid w:val="00396061"/>
    <w:rsid w:val="0039613E"/>
    <w:rsid w:val="003965BB"/>
    <w:rsid w:val="00396707"/>
    <w:rsid w:val="00396CC5"/>
    <w:rsid w:val="00397F85"/>
    <w:rsid w:val="003A0DB7"/>
    <w:rsid w:val="003A2251"/>
    <w:rsid w:val="003A37C0"/>
    <w:rsid w:val="003A3C4C"/>
    <w:rsid w:val="003A7071"/>
    <w:rsid w:val="003B01EE"/>
    <w:rsid w:val="003B0516"/>
    <w:rsid w:val="003B2007"/>
    <w:rsid w:val="003B301F"/>
    <w:rsid w:val="003B3C5F"/>
    <w:rsid w:val="003B3D68"/>
    <w:rsid w:val="003B3E18"/>
    <w:rsid w:val="003B48B7"/>
    <w:rsid w:val="003B6100"/>
    <w:rsid w:val="003B62FD"/>
    <w:rsid w:val="003B636C"/>
    <w:rsid w:val="003B6653"/>
    <w:rsid w:val="003B6760"/>
    <w:rsid w:val="003B6EB5"/>
    <w:rsid w:val="003C07C5"/>
    <w:rsid w:val="003C0D9C"/>
    <w:rsid w:val="003C0E5B"/>
    <w:rsid w:val="003C0FF2"/>
    <w:rsid w:val="003C179C"/>
    <w:rsid w:val="003C23DD"/>
    <w:rsid w:val="003C2647"/>
    <w:rsid w:val="003C2F64"/>
    <w:rsid w:val="003C3C73"/>
    <w:rsid w:val="003C3F66"/>
    <w:rsid w:val="003C4172"/>
    <w:rsid w:val="003C4D5B"/>
    <w:rsid w:val="003C5614"/>
    <w:rsid w:val="003C5C25"/>
    <w:rsid w:val="003C5D97"/>
    <w:rsid w:val="003C7843"/>
    <w:rsid w:val="003D219D"/>
    <w:rsid w:val="003D33F7"/>
    <w:rsid w:val="003D4576"/>
    <w:rsid w:val="003D4F68"/>
    <w:rsid w:val="003D5339"/>
    <w:rsid w:val="003D55E1"/>
    <w:rsid w:val="003D5625"/>
    <w:rsid w:val="003D57BD"/>
    <w:rsid w:val="003D5824"/>
    <w:rsid w:val="003D5CC0"/>
    <w:rsid w:val="003D76E2"/>
    <w:rsid w:val="003D7B91"/>
    <w:rsid w:val="003E15E3"/>
    <w:rsid w:val="003E15FD"/>
    <w:rsid w:val="003E2373"/>
    <w:rsid w:val="003E262D"/>
    <w:rsid w:val="003E2757"/>
    <w:rsid w:val="003E2FFB"/>
    <w:rsid w:val="003E5137"/>
    <w:rsid w:val="003E5470"/>
    <w:rsid w:val="003E60EC"/>
    <w:rsid w:val="003E674F"/>
    <w:rsid w:val="003E692C"/>
    <w:rsid w:val="003F0013"/>
    <w:rsid w:val="003F0159"/>
    <w:rsid w:val="003F0594"/>
    <w:rsid w:val="003F07E1"/>
    <w:rsid w:val="003F0FDD"/>
    <w:rsid w:val="003F17D6"/>
    <w:rsid w:val="003F240C"/>
    <w:rsid w:val="003F25CD"/>
    <w:rsid w:val="003F2D36"/>
    <w:rsid w:val="003F437F"/>
    <w:rsid w:val="003F4F94"/>
    <w:rsid w:val="003F510A"/>
    <w:rsid w:val="003F549A"/>
    <w:rsid w:val="003F5D7F"/>
    <w:rsid w:val="003F6382"/>
    <w:rsid w:val="003F6640"/>
    <w:rsid w:val="003F6762"/>
    <w:rsid w:val="003F78A9"/>
    <w:rsid w:val="0040019C"/>
    <w:rsid w:val="00400842"/>
    <w:rsid w:val="00400A1F"/>
    <w:rsid w:val="004028F0"/>
    <w:rsid w:val="00402A19"/>
    <w:rsid w:val="004031E2"/>
    <w:rsid w:val="00403406"/>
    <w:rsid w:val="004047A6"/>
    <w:rsid w:val="004047B1"/>
    <w:rsid w:val="00405802"/>
    <w:rsid w:val="00405A32"/>
    <w:rsid w:val="00405FD9"/>
    <w:rsid w:val="0040654F"/>
    <w:rsid w:val="004068A5"/>
    <w:rsid w:val="00406DDB"/>
    <w:rsid w:val="00407760"/>
    <w:rsid w:val="00410782"/>
    <w:rsid w:val="00410811"/>
    <w:rsid w:val="004109E7"/>
    <w:rsid w:val="00412749"/>
    <w:rsid w:val="00412C56"/>
    <w:rsid w:val="004134ED"/>
    <w:rsid w:val="00413EA0"/>
    <w:rsid w:val="004146D0"/>
    <w:rsid w:val="0041498C"/>
    <w:rsid w:val="00415CFC"/>
    <w:rsid w:val="00416136"/>
    <w:rsid w:val="00420A3B"/>
    <w:rsid w:val="00420AB5"/>
    <w:rsid w:val="00421CBB"/>
    <w:rsid w:val="004220CA"/>
    <w:rsid w:val="004228C2"/>
    <w:rsid w:val="00423D72"/>
    <w:rsid w:val="00424F1B"/>
    <w:rsid w:val="00424FBB"/>
    <w:rsid w:val="00425793"/>
    <w:rsid w:val="00425B4A"/>
    <w:rsid w:val="00426417"/>
    <w:rsid w:val="004268C7"/>
    <w:rsid w:val="00426B8F"/>
    <w:rsid w:val="00426ECD"/>
    <w:rsid w:val="00427161"/>
    <w:rsid w:val="00427D31"/>
    <w:rsid w:val="004305AF"/>
    <w:rsid w:val="004331B4"/>
    <w:rsid w:val="00433439"/>
    <w:rsid w:val="0043387F"/>
    <w:rsid w:val="00435C78"/>
    <w:rsid w:val="00436853"/>
    <w:rsid w:val="004408E6"/>
    <w:rsid w:val="004412D5"/>
    <w:rsid w:val="004415E2"/>
    <w:rsid w:val="004417CD"/>
    <w:rsid w:val="00441A37"/>
    <w:rsid w:val="00441E1B"/>
    <w:rsid w:val="00441E45"/>
    <w:rsid w:val="004429E2"/>
    <w:rsid w:val="004437F6"/>
    <w:rsid w:val="0044393A"/>
    <w:rsid w:val="0044394C"/>
    <w:rsid w:val="00443C4F"/>
    <w:rsid w:val="00444114"/>
    <w:rsid w:val="004442D3"/>
    <w:rsid w:val="00447339"/>
    <w:rsid w:val="004477C9"/>
    <w:rsid w:val="00447EE5"/>
    <w:rsid w:val="00450E5A"/>
    <w:rsid w:val="004511AE"/>
    <w:rsid w:val="0045193E"/>
    <w:rsid w:val="004529D8"/>
    <w:rsid w:val="004539DA"/>
    <w:rsid w:val="00455312"/>
    <w:rsid w:val="00456E3C"/>
    <w:rsid w:val="00456FC2"/>
    <w:rsid w:val="00461AB2"/>
    <w:rsid w:val="004625BD"/>
    <w:rsid w:val="00462B31"/>
    <w:rsid w:val="00462FB3"/>
    <w:rsid w:val="00463300"/>
    <w:rsid w:val="00463D55"/>
    <w:rsid w:val="004646AF"/>
    <w:rsid w:val="00464E60"/>
    <w:rsid w:val="00465427"/>
    <w:rsid w:val="004655F9"/>
    <w:rsid w:val="004656EF"/>
    <w:rsid w:val="0046592D"/>
    <w:rsid w:val="0046631E"/>
    <w:rsid w:val="00467BE4"/>
    <w:rsid w:val="00470719"/>
    <w:rsid w:val="004716B8"/>
    <w:rsid w:val="00472A79"/>
    <w:rsid w:val="00472ACA"/>
    <w:rsid w:val="00472E72"/>
    <w:rsid w:val="004732C2"/>
    <w:rsid w:val="004734C7"/>
    <w:rsid w:val="004743D6"/>
    <w:rsid w:val="00474FF0"/>
    <w:rsid w:val="004755C3"/>
    <w:rsid w:val="00475D3E"/>
    <w:rsid w:val="0047677D"/>
    <w:rsid w:val="00477361"/>
    <w:rsid w:val="00477E0A"/>
    <w:rsid w:val="00480DF5"/>
    <w:rsid w:val="004823CB"/>
    <w:rsid w:val="00482F34"/>
    <w:rsid w:val="00483DD5"/>
    <w:rsid w:val="00485EA6"/>
    <w:rsid w:val="0048644C"/>
    <w:rsid w:val="00490086"/>
    <w:rsid w:val="004904F9"/>
    <w:rsid w:val="00491C8D"/>
    <w:rsid w:val="00492374"/>
    <w:rsid w:val="00492ED3"/>
    <w:rsid w:val="0049347F"/>
    <w:rsid w:val="004940E4"/>
    <w:rsid w:val="004940F8"/>
    <w:rsid w:val="00495110"/>
    <w:rsid w:val="004955DA"/>
    <w:rsid w:val="004961BF"/>
    <w:rsid w:val="00496666"/>
    <w:rsid w:val="004971E8"/>
    <w:rsid w:val="004A3CBD"/>
    <w:rsid w:val="004A46D9"/>
    <w:rsid w:val="004A5CD7"/>
    <w:rsid w:val="004A6166"/>
    <w:rsid w:val="004A654F"/>
    <w:rsid w:val="004A66EE"/>
    <w:rsid w:val="004A688A"/>
    <w:rsid w:val="004A6B7F"/>
    <w:rsid w:val="004B2250"/>
    <w:rsid w:val="004B32D3"/>
    <w:rsid w:val="004B344F"/>
    <w:rsid w:val="004B4150"/>
    <w:rsid w:val="004B4B28"/>
    <w:rsid w:val="004B5B45"/>
    <w:rsid w:val="004B7248"/>
    <w:rsid w:val="004B72DD"/>
    <w:rsid w:val="004C0C1D"/>
    <w:rsid w:val="004C1E12"/>
    <w:rsid w:val="004C1EDE"/>
    <w:rsid w:val="004C2872"/>
    <w:rsid w:val="004C3902"/>
    <w:rsid w:val="004C40E4"/>
    <w:rsid w:val="004C4101"/>
    <w:rsid w:val="004C583B"/>
    <w:rsid w:val="004C6FAA"/>
    <w:rsid w:val="004C76BE"/>
    <w:rsid w:val="004C7B29"/>
    <w:rsid w:val="004D0366"/>
    <w:rsid w:val="004D0940"/>
    <w:rsid w:val="004D09EB"/>
    <w:rsid w:val="004D1910"/>
    <w:rsid w:val="004D1AE7"/>
    <w:rsid w:val="004D2E64"/>
    <w:rsid w:val="004D3247"/>
    <w:rsid w:val="004D3E27"/>
    <w:rsid w:val="004D45DE"/>
    <w:rsid w:val="004D495A"/>
    <w:rsid w:val="004D4CB3"/>
    <w:rsid w:val="004D65FF"/>
    <w:rsid w:val="004D7AC0"/>
    <w:rsid w:val="004D7CB8"/>
    <w:rsid w:val="004D7F08"/>
    <w:rsid w:val="004E0C44"/>
    <w:rsid w:val="004E114D"/>
    <w:rsid w:val="004E1AA1"/>
    <w:rsid w:val="004E3304"/>
    <w:rsid w:val="004E34ED"/>
    <w:rsid w:val="004E41B9"/>
    <w:rsid w:val="004E5A3A"/>
    <w:rsid w:val="004E5DC9"/>
    <w:rsid w:val="004E664E"/>
    <w:rsid w:val="004E77E1"/>
    <w:rsid w:val="004F0CF5"/>
    <w:rsid w:val="004F2430"/>
    <w:rsid w:val="004F271C"/>
    <w:rsid w:val="004F32CD"/>
    <w:rsid w:val="004F4CD9"/>
    <w:rsid w:val="004F68A8"/>
    <w:rsid w:val="004F7FE1"/>
    <w:rsid w:val="00500031"/>
    <w:rsid w:val="00501036"/>
    <w:rsid w:val="00501B49"/>
    <w:rsid w:val="00502092"/>
    <w:rsid w:val="0050211A"/>
    <w:rsid w:val="00502B04"/>
    <w:rsid w:val="00502C82"/>
    <w:rsid w:val="005030F7"/>
    <w:rsid w:val="00503E8A"/>
    <w:rsid w:val="00504D3B"/>
    <w:rsid w:val="0050513B"/>
    <w:rsid w:val="00505C07"/>
    <w:rsid w:val="00507097"/>
    <w:rsid w:val="00507FBD"/>
    <w:rsid w:val="00510903"/>
    <w:rsid w:val="00510F71"/>
    <w:rsid w:val="0051254E"/>
    <w:rsid w:val="005127F5"/>
    <w:rsid w:val="00512A34"/>
    <w:rsid w:val="005139C5"/>
    <w:rsid w:val="0051658B"/>
    <w:rsid w:val="00516FB9"/>
    <w:rsid w:val="00520709"/>
    <w:rsid w:val="00520B85"/>
    <w:rsid w:val="005214D2"/>
    <w:rsid w:val="00521B5A"/>
    <w:rsid w:val="005224FE"/>
    <w:rsid w:val="00523057"/>
    <w:rsid w:val="005232B5"/>
    <w:rsid w:val="005232C6"/>
    <w:rsid w:val="0052394F"/>
    <w:rsid w:val="00523A8E"/>
    <w:rsid w:val="005241A2"/>
    <w:rsid w:val="00524649"/>
    <w:rsid w:val="00524960"/>
    <w:rsid w:val="00525B98"/>
    <w:rsid w:val="00525BE4"/>
    <w:rsid w:val="00530644"/>
    <w:rsid w:val="005318CD"/>
    <w:rsid w:val="00531E0B"/>
    <w:rsid w:val="00533AA9"/>
    <w:rsid w:val="00533BF2"/>
    <w:rsid w:val="0053502B"/>
    <w:rsid w:val="005374D2"/>
    <w:rsid w:val="0054010D"/>
    <w:rsid w:val="005414B4"/>
    <w:rsid w:val="00542A74"/>
    <w:rsid w:val="00542AB1"/>
    <w:rsid w:val="00542C6F"/>
    <w:rsid w:val="005445DD"/>
    <w:rsid w:val="00544D95"/>
    <w:rsid w:val="005463FF"/>
    <w:rsid w:val="0054651F"/>
    <w:rsid w:val="00546842"/>
    <w:rsid w:val="00546843"/>
    <w:rsid w:val="00546B94"/>
    <w:rsid w:val="005475DA"/>
    <w:rsid w:val="00550800"/>
    <w:rsid w:val="0055106D"/>
    <w:rsid w:val="00552022"/>
    <w:rsid w:val="005522C8"/>
    <w:rsid w:val="0055236A"/>
    <w:rsid w:val="005523A0"/>
    <w:rsid w:val="005531A7"/>
    <w:rsid w:val="00554499"/>
    <w:rsid w:val="0055583C"/>
    <w:rsid w:val="00555A39"/>
    <w:rsid w:val="00555C58"/>
    <w:rsid w:val="005563A9"/>
    <w:rsid w:val="00556EDF"/>
    <w:rsid w:val="005573FE"/>
    <w:rsid w:val="00560174"/>
    <w:rsid w:val="00560A05"/>
    <w:rsid w:val="005611EB"/>
    <w:rsid w:val="00562757"/>
    <w:rsid w:val="00563B99"/>
    <w:rsid w:val="00563F1B"/>
    <w:rsid w:val="00564493"/>
    <w:rsid w:val="0056457F"/>
    <w:rsid w:val="00564924"/>
    <w:rsid w:val="00564ADF"/>
    <w:rsid w:val="00564B9E"/>
    <w:rsid w:val="0056552C"/>
    <w:rsid w:val="00565C6E"/>
    <w:rsid w:val="00566919"/>
    <w:rsid w:val="00570527"/>
    <w:rsid w:val="00570DDC"/>
    <w:rsid w:val="00571BCD"/>
    <w:rsid w:val="00571FEB"/>
    <w:rsid w:val="00572679"/>
    <w:rsid w:val="00572735"/>
    <w:rsid w:val="005727A8"/>
    <w:rsid w:val="00574403"/>
    <w:rsid w:val="00574E5A"/>
    <w:rsid w:val="0057638B"/>
    <w:rsid w:val="00577672"/>
    <w:rsid w:val="00582A42"/>
    <w:rsid w:val="00584D91"/>
    <w:rsid w:val="00585857"/>
    <w:rsid w:val="0058593B"/>
    <w:rsid w:val="0058593F"/>
    <w:rsid w:val="00586967"/>
    <w:rsid w:val="00586B4B"/>
    <w:rsid w:val="005874AF"/>
    <w:rsid w:val="00587FA5"/>
    <w:rsid w:val="00590BDD"/>
    <w:rsid w:val="00593F1B"/>
    <w:rsid w:val="00594140"/>
    <w:rsid w:val="005941E3"/>
    <w:rsid w:val="00595154"/>
    <w:rsid w:val="0059541C"/>
    <w:rsid w:val="0059647B"/>
    <w:rsid w:val="005967FB"/>
    <w:rsid w:val="005A1FA3"/>
    <w:rsid w:val="005A297E"/>
    <w:rsid w:val="005A29D5"/>
    <w:rsid w:val="005A31A4"/>
    <w:rsid w:val="005A3AC1"/>
    <w:rsid w:val="005A3DF8"/>
    <w:rsid w:val="005A3E6D"/>
    <w:rsid w:val="005A4945"/>
    <w:rsid w:val="005A4ABB"/>
    <w:rsid w:val="005A4E72"/>
    <w:rsid w:val="005A54A8"/>
    <w:rsid w:val="005A67F3"/>
    <w:rsid w:val="005A6946"/>
    <w:rsid w:val="005A755F"/>
    <w:rsid w:val="005A7D66"/>
    <w:rsid w:val="005B0E27"/>
    <w:rsid w:val="005B3012"/>
    <w:rsid w:val="005B3E1F"/>
    <w:rsid w:val="005B3E41"/>
    <w:rsid w:val="005B4680"/>
    <w:rsid w:val="005B4EE6"/>
    <w:rsid w:val="005B5038"/>
    <w:rsid w:val="005B6007"/>
    <w:rsid w:val="005B7660"/>
    <w:rsid w:val="005C0363"/>
    <w:rsid w:val="005C0454"/>
    <w:rsid w:val="005C078D"/>
    <w:rsid w:val="005C5B0C"/>
    <w:rsid w:val="005C6297"/>
    <w:rsid w:val="005C63F8"/>
    <w:rsid w:val="005C6A74"/>
    <w:rsid w:val="005C72B5"/>
    <w:rsid w:val="005C7902"/>
    <w:rsid w:val="005C7C47"/>
    <w:rsid w:val="005D0E3D"/>
    <w:rsid w:val="005D326D"/>
    <w:rsid w:val="005D3431"/>
    <w:rsid w:val="005D3628"/>
    <w:rsid w:val="005D55F5"/>
    <w:rsid w:val="005D610D"/>
    <w:rsid w:val="005D621C"/>
    <w:rsid w:val="005D6E4D"/>
    <w:rsid w:val="005D76AC"/>
    <w:rsid w:val="005D7939"/>
    <w:rsid w:val="005E1D60"/>
    <w:rsid w:val="005E23CD"/>
    <w:rsid w:val="005E2C02"/>
    <w:rsid w:val="005E3426"/>
    <w:rsid w:val="005E3EE4"/>
    <w:rsid w:val="005E4970"/>
    <w:rsid w:val="005E547D"/>
    <w:rsid w:val="005E56F3"/>
    <w:rsid w:val="005E60E1"/>
    <w:rsid w:val="005E64DC"/>
    <w:rsid w:val="005E682E"/>
    <w:rsid w:val="005E764B"/>
    <w:rsid w:val="005E7B87"/>
    <w:rsid w:val="005E7FD6"/>
    <w:rsid w:val="005F12E9"/>
    <w:rsid w:val="005F1C0F"/>
    <w:rsid w:val="005F2042"/>
    <w:rsid w:val="005F2736"/>
    <w:rsid w:val="005F2E1D"/>
    <w:rsid w:val="005F41C5"/>
    <w:rsid w:val="005F4CC1"/>
    <w:rsid w:val="005F4FFC"/>
    <w:rsid w:val="005F5847"/>
    <w:rsid w:val="005F6816"/>
    <w:rsid w:val="005F755E"/>
    <w:rsid w:val="005F78D7"/>
    <w:rsid w:val="005F7E48"/>
    <w:rsid w:val="00600087"/>
    <w:rsid w:val="00600511"/>
    <w:rsid w:val="00600A25"/>
    <w:rsid w:val="00600E0A"/>
    <w:rsid w:val="00601E6B"/>
    <w:rsid w:val="00602107"/>
    <w:rsid w:val="006025C9"/>
    <w:rsid w:val="00604D64"/>
    <w:rsid w:val="00605135"/>
    <w:rsid w:val="0060527D"/>
    <w:rsid w:val="00607759"/>
    <w:rsid w:val="00607A25"/>
    <w:rsid w:val="00607F17"/>
    <w:rsid w:val="00607F31"/>
    <w:rsid w:val="00610B3B"/>
    <w:rsid w:val="0061132E"/>
    <w:rsid w:val="006119BD"/>
    <w:rsid w:val="00612458"/>
    <w:rsid w:val="006125A8"/>
    <w:rsid w:val="00613467"/>
    <w:rsid w:val="0061692F"/>
    <w:rsid w:val="00617140"/>
    <w:rsid w:val="0061753E"/>
    <w:rsid w:val="006178CC"/>
    <w:rsid w:val="006203CD"/>
    <w:rsid w:val="0062050F"/>
    <w:rsid w:val="00621329"/>
    <w:rsid w:val="0062138E"/>
    <w:rsid w:val="00621E7B"/>
    <w:rsid w:val="00622199"/>
    <w:rsid w:val="006221F1"/>
    <w:rsid w:val="00622822"/>
    <w:rsid w:val="00623469"/>
    <w:rsid w:val="00624785"/>
    <w:rsid w:val="00624CAC"/>
    <w:rsid w:val="00625885"/>
    <w:rsid w:val="006262F2"/>
    <w:rsid w:val="006263FF"/>
    <w:rsid w:val="00626B92"/>
    <w:rsid w:val="006270FF"/>
    <w:rsid w:val="00627B8F"/>
    <w:rsid w:val="00627D71"/>
    <w:rsid w:val="00630047"/>
    <w:rsid w:val="0063079B"/>
    <w:rsid w:val="00630928"/>
    <w:rsid w:val="00631509"/>
    <w:rsid w:val="00631A84"/>
    <w:rsid w:val="00632139"/>
    <w:rsid w:val="0063245C"/>
    <w:rsid w:val="006324DA"/>
    <w:rsid w:val="006334BE"/>
    <w:rsid w:val="00636F0E"/>
    <w:rsid w:val="00637ED7"/>
    <w:rsid w:val="00637F76"/>
    <w:rsid w:val="00640656"/>
    <w:rsid w:val="00640B6E"/>
    <w:rsid w:val="00640E92"/>
    <w:rsid w:val="00641262"/>
    <w:rsid w:val="00641B9B"/>
    <w:rsid w:val="006432CF"/>
    <w:rsid w:val="0064343F"/>
    <w:rsid w:val="00643A22"/>
    <w:rsid w:val="00643DBB"/>
    <w:rsid w:val="00644C57"/>
    <w:rsid w:val="00644EFD"/>
    <w:rsid w:val="00645723"/>
    <w:rsid w:val="00647FEA"/>
    <w:rsid w:val="00650972"/>
    <w:rsid w:val="00650DB1"/>
    <w:rsid w:val="0065109B"/>
    <w:rsid w:val="00651653"/>
    <w:rsid w:val="006549AE"/>
    <w:rsid w:val="00654C06"/>
    <w:rsid w:val="00655945"/>
    <w:rsid w:val="00656506"/>
    <w:rsid w:val="006568C6"/>
    <w:rsid w:val="006568C8"/>
    <w:rsid w:val="00657A0A"/>
    <w:rsid w:val="006604D8"/>
    <w:rsid w:val="00661542"/>
    <w:rsid w:val="00662436"/>
    <w:rsid w:val="00662475"/>
    <w:rsid w:val="00662D95"/>
    <w:rsid w:val="0066408C"/>
    <w:rsid w:val="006669FA"/>
    <w:rsid w:val="00666A72"/>
    <w:rsid w:val="00667261"/>
    <w:rsid w:val="00667E70"/>
    <w:rsid w:val="00670347"/>
    <w:rsid w:val="00670387"/>
    <w:rsid w:val="006722E8"/>
    <w:rsid w:val="0067337A"/>
    <w:rsid w:val="006736F5"/>
    <w:rsid w:val="006749D4"/>
    <w:rsid w:val="00674A47"/>
    <w:rsid w:val="00675177"/>
    <w:rsid w:val="00675C3E"/>
    <w:rsid w:val="00676CBB"/>
    <w:rsid w:val="00677979"/>
    <w:rsid w:val="00680336"/>
    <w:rsid w:val="0068132C"/>
    <w:rsid w:val="00681B23"/>
    <w:rsid w:val="0068241A"/>
    <w:rsid w:val="00682943"/>
    <w:rsid w:val="00682B1D"/>
    <w:rsid w:val="00682BBF"/>
    <w:rsid w:val="0068439A"/>
    <w:rsid w:val="006849A6"/>
    <w:rsid w:val="00685937"/>
    <w:rsid w:val="00685C57"/>
    <w:rsid w:val="00686FAC"/>
    <w:rsid w:val="00687437"/>
    <w:rsid w:val="00687C49"/>
    <w:rsid w:val="0069051C"/>
    <w:rsid w:val="00691253"/>
    <w:rsid w:val="00691356"/>
    <w:rsid w:val="00692875"/>
    <w:rsid w:val="006929F2"/>
    <w:rsid w:val="0069379F"/>
    <w:rsid w:val="006938FA"/>
    <w:rsid w:val="00693DE6"/>
    <w:rsid w:val="0069443F"/>
    <w:rsid w:val="00695E6A"/>
    <w:rsid w:val="006967AE"/>
    <w:rsid w:val="00697BC4"/>
    <w:rsid w:val="006A08B9"/>
    <w:rsid w:val="006A09C4"/>
    <w:rsid w:val="006A1317"/>
    <w:rsid w:val="006A15F8"/>
    <w:rsid w:val="006A32CA"/>
    <w:rsid w:val="006A3A88"/>
    <w:rsid w:val="006A42C1"/>
    <w:rsid w:val="006A4406"/>
    <w:rsid w:val="006A497B"/>
    <w:rsid w:val="006A5171"/>
    <w:rsid w:val="006A5764"/>
    <w:rsid w:val="006A5AA8"/>
    <w:rsid w:val="006A66F5"/>
    <w:rsid w:val="006A6D9B"/>
    <w:rsid w:val="006A6FE4"/>
    <w:rsid w:val="006A737A"/>
    <w:rsid w:val="006A7FB4"/>
    <w:rsid w:val="006B050A"/>
    <w:rsid w:val="006B106B"/>
    <w:rsid w:val="006B13C2"/>
    <w:rsid w:val="006B1A4D"/>
    <w:rsid w:val="006B265F"/>
    <w:rsid w:val="006B2795"/>
    <w:rsid w:val="006B318C"/>
    <w:rsid w:val="006B3316"/>
    <w:rsid w:val="006B3644"/>
    <w:rsid w:val="006B5025"/>
    <w:rsid w:val="006B58ED"/>
    <w:rsid w:val="006B5D99"/>
    <w:rsid w:val="006B6D88"/>
    <w:rsid w:val="006C1160"/>
    <w:rsid w:val="006C23B2"/>
    <w:rsid w:val="006C24B2"/>
    <w:rsid w:val="006C25B5"/>
    <w:rsid w:val="006C2C92"/>
    <w:rsid w:val="006C2EB9"/>
    <w:rsid w:val="006C4311"/>
    <w:rsid w:val="006C4ED2"/>
    <w:rsid w:val="006C61EF"/>
    <w:rsid w:val="006C6A1E"/>
    <w:rsid w:val="006C7863"/>
    <w:rsid w:val="006D0A58"/>
    <w:rsid w:val="006D1EA4"/>
    <w:rsid w:val="006D32E3"/>
    <w:rsid w:val="006D3464"/>
    <w:rsid w:val="006D3C90"/>
    <w:rsid w:val="006D4847"/>
    <w:rsid w:val="006D498C"/>
    <w:rsid w:val="006D6086"/>
    <w:rsid w:val="006D7794"/>
    <w:rsid w:val="006D7F35"/>
    <w:rsid w:val="006E0BCE"/>
    <w:rsid w:val="006E0E88"/>
    <w:rsid w:val="006E10B5"/>
    <w:rsid w:val="006E16D5"/>
    <w:rsid w:val="006E1DD7"/>
    <w:rsid w:val="006E224A"/>
    <w:rsid w:val="006E22C8"/>
    <w:rsid w:val="006E3078"/>
    <w:rsid w:val="006E3F60"/>
    <w:rsid w:val="006E4430"/>
    <w:rsid w:val="006E489B"/>
    <w:rsid w:val="006E4F6C"/>
    <w:rsid w:val="006E6434"/>
    <w:rsid w:val="006E679C"/>
    <w:rsid w:val="006F04AD"/>
    <w:rsid w:val="006F1193"/>
    <w:rsid w:val="006F11B8"/>
    <w:rsid w:val="006F1B2E"/>
    <w:rsid w:val="006F2BFD"/>
    <w:rsid w:val="006F2FC6"/>
    <w:rsid w:val="006F3089"/>
    <w:rsid w:val="006F31A0"/>
    <w:rsid w:val="006F3409"/>
    <w:rsid w:val="006F41D2"/>
    <w:rsid w:val="006F598E"/>
    <w:rsid w:val="006F62F8"/>
    <w:rsid w:val="006F775D"/>
    <w:rsid w:val="00700030"/>
    <w:rsid w:val="00700916"/>
    <w:rsid w:val="00701076"/>
    <w:rsid w:val="00701CBA"/>
    <w:rsid w:val="00702E62"/>
    <w:rsid w:val="007037CE"/>
    <w:rsid w:val="00703B85"/>
    <w:rsid w:val="00704442"/>
    <w:rsid w:val="00704C1E"/>
    <w:rsid w:val="0070525C"/>
    <w:rsid w:val="00705674"/>
    <w:rsid w:val="00705DFB"/>
    <w:rsid w:val="0070622E"/>
    <w:rsid w:val="0070640A"/>
    <w:rsid w:val="0070675C"/>
    <w:rsid w:val="0070677E"/>
    <w:rsid w:val="007105B2"/>
    <w:rsid w:val="007133BE"/>
    <w:rsid w:val="0071398A"/>
    <w:rsid w:val="007150C5"/>
    <w:rsid w:val="007155A0"/>
    <w:rsid w:val="00715A60"/>
    <w:rsid w:val="007179BC"/>
    <w:rsid w:val="00720D22"/>
    <w:rsid w:val="00721342"/>
    <w:rsid w:val="00721386"/>
    <w:rsid w:val="00721B7D"/>
    <w:rsid w:val="007220B3"/>
    <w:rsid w:val="0072408B"/>
    <w:rsid w:val="00724702"/>
    <w:rsid w:val="00724D6D"/>
    <w:rsid w:val="00727B0D"/>
    <w:rsid w:val="00730A22"/>
    <w:rsid w:val="00730BCC"/>
    <w:rsid w:val="00730F46"/>
    <w:rsid w:val="007313E4"/>
    <w:rsid w:val="007327CD"/>
    <w:rsid w:val="00732CC4"/>
    <w:rsid w:val="00733A55"/>
    <w:rsid w:val="00734081"/>
    <w:rsid w:val="00734181"/>
    <w:rsid w:val="00735256"/>
    <w:rsid w:val="00737766"/>
    <w:rsid w:val="007406C8"/>
    <w:rsid w:val="007425D2"/>
    <w:rsid w:val="0074379C"/>
    <w:rsid w:val="00743FAB"/>
    <w:rsid w:val="0074419C"/>
    <w:rsid w:val="00744C0A"/>
    <w:rsid w:val="00745EAA"/>
    <w:rsid w:val="00746B35"/>
    <w:rsid w:val="007473E6"/>
    <w:rsid w:val="00750BF7"/>
    <w:rsid w:val="00750F31"/>
    <w:rsid w:val="0075182B"/>
    <w:rsid w:val="00751D4A"/>
    <w:rsid w:val="007521F2"/>
    <w:rsid w:val="0075250B"/>
    <w:rsid w:val="00753F2A"/>
    <w:rsid w:val="00754DC5"/>
    <w:rsid w:val="00754E93"/>
    <w:rsid w:val="0075541F"/>
    <w:rsid w:val="00756490"/>
    <w:rsid w:val="00756AF7"/>
    <w:rsid w:val="00756F3D"/>
    <w:rsid w:val="0075779D"/>
    <w:rsid w:val="00760B02"/>
    <w:rsid w:val="00760C0A"/>
    <w:rsid w:val="00761F36"/>
    <w:rsid w:val="0076429F"/>
    <w:rsid w:val="007650A7"/>
    <w:rsid w:val="00765480"/>
    <w:rsid w:val="00765C4F"/>
    <w:rsid w:val="00766372"/>
    <w:rsid w:val="00766B65"/>
    <w:rsid w:val="0076753A"/>
    <w:rsid w:val="00770B2E"/>
    <w:rsid w:val="00771110"/>
    <w:rsid w:val="007717CB"/>
    <w:rsid w:val="00772F61"/>
    <w:rsid w:val="00775FC4"/>
    <w:rsid w:val="00775FDA"/>
    <w:rsid w:val="007764A8"/>
    <w:rsid w:val="007770B2"/>
    <w:rsid w:val="0077736D"/>
    <w:rsid w:val="0077792F"/>
    <w:rsid w:val="007818B3"/>
    <w:rsid w:val="00781B32"/>
    <w:rsid w:val="007830DD"/>
    <w:rsid w:val="007833BB"/>
    <w:rsid w:val="00783680"/>
    <w:rsid w:val="00785F4A"/>
    <w:rsid w:val="00786430"/>
    <w:rsid w:val="00786AC6"/>
    <w:rsid w:val="00786FF5"/>
    <w:rsid w:val="00787855"/>
    <w:rsid w:val="00791A8F"/>
    <w:rsid w:val="00791FDF"/>
    <w:rsid w:val="007931C2"/>
    <w:rsid w:val="00794BA0"/>
    <w:rsid w:val="00796F98"/>
    <w:rsid w:val="00797088"/>
    <w:rsid w:val="00797232"/>
    <w:rsid w:val="00797F54"/>
    <w:rsid w:val="007A04EA"/>
    <w:rsid w:val="007A0970"/>
    <w:rsid w:val="007A1548"/>
    <w:rsid w:val="007A19B8"/>
    <w:rsid w:val="007A26B7"/>
    <w:rsid w:val="007A4DC4"/>
    <w:rsid w:val="007A4F58"/>
    <w:rsid w:val="007A5E28"/>
    <w:rsid w:val="007A6E66"/>
    <w:rsid w:val="007B081C"/>
    <w:rsid w:val="007B20AF"/>
    <w:rsid w:val="007B21C5"/>
    <w:rsid w:val="007B231B"/>
    <w:rsid w:val="007B4C34"/>
    <w:rsid w:val="007B4C38"/>
    <w:rsid w:val="007B4EBE"/>
    <w:rsid w:val="007B51DD"/>
    <w:rsid w:val="007B6259"/>
    <w:rsid w:val="007B6B96"/>
    <w:rsid w:val="007B6C34"/>
    <w:rsid w:val="007B76EB"/>
    <w:rsid w:val="007B7C40"/>
    <w:rsid w:val="007C0BDC"/>
    <w:rsid w:val="007C1057"/>
    <w:rsid w:val="007C11A7"/>
    <w:rsid w:val="007C1E20"/>
    <w:rsid w:val="007C2536"/>
    <w:rsid w:val="007C35CD"/>
    <w:rsid w:val="007C41DA"/>
    <w:rsid w:val="007C58EA"/>
    <w:rsid w:val="007C58EF"/>
    <w:rsid w:val="007C6BC9"/>
    <w:rsid w:val="007C72B5"/>
    <w:rsid w:val="007C76FF"/>
    <w:rsid w:val="007C7CE2"/>
    <w:rsid w:val="007D02CE"/>
    <w:rsid w:val="007D0718"/>
    <w:rsid w:val="007D0B3B"/>
    <w:rsid w:val="007D1564"/>
    <w:rsid w:val="007D2E29"/>
    <w:rsid w:val="007D42D1"/>
    <w:rsid w:val="007D4D61"/>
    <w:rsid w:val="007D5174"/>
    <w:rsid w:val="007D5BEA"/>
    <w:rsid w:val="007D5F7F"/>
    <w:rsid w:val="007D7F66"/>
    <w:rsid w:val="007E0A57"/>
    <w:rsid w:val="007E0CE8"/>
    <w:rsid w:val="007E3E0D"/>
    <w:rsid w:val="007E3E60"/>
    <w:rsid w:val="007E3FFA"/>
    <w:rsid w:val="007E4667"/>
    <w:rsid w:val="007E48C6"/>
    <w:rsid w:val="007E4D33"/>
    <w:rsid w:val="007E5A06"/>
    <w:rsid w:val="007E682E"/>
    <w:rsid w:val="007E70D2"/>
    <w:rsid w:val="007E7610"/>
    <w:rsid w:val="007E7A4F"/>
    <w:rsid w:val="007E7DE3"/>
    <w:rsid w:val="007F0BB7"/>
    <w:rsid w:val="007F13A9"/>
    <w:rsid w:val="007F1BDF"/>
    <w:rsid w:val="007F1F20"/>
    <w:rsid w:val="007F2020"/>
    <w:rsid w:val="007F2119"/>
    <w:rsid w:val="007F211C"/>
    <w:rsid w:val="007F292F"/>
    <w:rsid w:val="007F2C09"/>
    <w:rsid w:val="007F6026"/>
    <w:rsid w:val="007F68CA"/>
    <w:rsid w:val="007F6922"/>
    <w:rsid w:val="007F6CE1"/>
    <w:rsid w:val="007F7DBA"/>
    <w:rsid w:val="007F7E38"/>
    <w:rsid w:val="00800DE9"/>
    <w:rsid w:val="00802A53"/>
    <w:rsid w:val="008033DC"/>
    <w:rsid w:val="00804736"/>
    <w:rsid w:val="0080501D"/>
    <w:rsid w:val="00806BBC"/>
    <w:rsid w:val="0080771B"/>
    <w:rsid w:val="00807FBF"/>
    <w:rsid w:val="008102E2"/>
    <w:rsid w:val="008103DE"/>
    <w:rsid w:val="008106AA"/>
    <w:rsid w:val="00810736"/>
    <w:rsid w:val="00810CA6"/>
    <w:rsid w:val="00812594"/>
    <w:rsid w:val="00813A00"/>
    <w:rsid w:val="00813C58"/>
    <w:rsid w:val="00814E33"/>
    <w:rsid w:val="008159E1"/>
    <w:rsid w:val="00816A45"/>
    <w:rsid w:val="008171DA"/>
    <w:rsid w:val="008172B0"/>
    <w:rsid w:val="00820120"/>
    <w:rsid w:val="00821220"/>
    <w:rsid w:val="008220BD"/>
    <w:rsid w:val="00822289"/>
    <w:rsid w:val="00822B63"/>
    <w:rsid w:val="00822ED8"/>
    <w:rsid w:val="008230CE"/>
    <w:rsid w:val="0082354F"/>
    <w:rsid w:val="00824647"/>
    <w:rsid w:val="00824DCF"/>
    <w:rsid w:val="00824E86"/>
    <w:rsid w:val="0082509A"/>
    <w:rsid w:val="00825787"/>
    <w:rsid w:val="0082786A"/>
    <w:rsid w:val="00827902"/>
    <w:rsid w:val="008279D0"/>
    <w:rsid w:val="00827B0E"/>
    <w:rsid w:val="00830C03"/>
    <w:rsid w:val="00830DE0"/>
    <w:rsid w:val="008327B1"/>
    <w:rsid w:val="00832A5A"/>
    <w:rsid w:val="00833016"/>
    <w:rsid w:val="00833E27"/>
    <w:rsid w:val="008342AA"/>
    <w:rsid w:val="00835925"/>
    <w:rsid w:val="00836740"/>
    <w:rsid w:val="00841374"/>
    <w:rsid w:val="00841FE4"/>
    <w:rsid w:val="0084226D"/>
    <w:rsid w:val="00842465"/>
    <w:rsid w:val="00842BDD"/>
    <w:rsid w:val="00842C71"/>
    <w:rsid w:val="00843201"/>
    <w:rsid w:val="008433C9"/>
    <w:rsid w:val="00843588"/>
    <w:rsid w:val="00843EC5"/>
    <w:rsid w:val="00844B87"/>
    <w:rsid w:val="00845AE2"/>
    <w:rsid w:val="00847288"/>
    <w:rsid w:val="0084732A"/>
    <w:rsid w:val="00847B19"/>
    <w:rsid w:val="00850767"/>
    <w:rsid w:val="0085096C"/>
    <w:rsid w:val="00854D9C"/>
    <w:rsid w:val="00855196"/>
    <w:rsid w:val="00855772"/>
    <w:rsid w:val="00855F0B"/>
    <w:rsid w:val="008561C7"/>
    <w:rsid w:val="0085737F"/>
    <w:rsid w:val="00857688"/>
    <w:rsid w:val="0086045C"/>
    <w:rsid w:val="008608BA"/>
    <w:rsid w:val="00861942"/>
    <w:rsid w:val="00862DC9"/>
    <w:rsid w:val="0086458A"/>
    <w:rsid w:val="008653E0"/>
    <w:rsid w:val="008663D5"/>
    <w:rsid w:val="00866533"/>
    <w:rsid w:val="00866A9D"/>
    <w:rsid w:val="00870153"/>
    <w:rsid w:val="00871481"/>
    <w:rsid w:val="00871B5A"/>
    <w:rsid w:val="008737C0"/>
    <w:rsid w:val="00873B6F"/>
    <w:rsid w:val="00873B93"/>
    <w:rsid w:val="00873E2F"/>
    <w:rsid w:val="008742E0"/>
    <w:rsid w:val="008745F7"/>
    <w:rsid w:val="00874AE5"/>
    <w:rsid w:val="00875684"/>
    <w:rsid w:val="00875906"/>
    <w:rsid w:val="008769CD"/>
    <w:rsid w:val="00876E46"/>
    <w:rsid w:val="00877395"/>
    <w:rsid w:val="00877776"/>
    <w:rsid w:val="008778E2"/>
    <w:rsid w:val="00877DC5"/>
    <w:rsid w:val="008811C8"/>
    <w:rsid w:val="00881C83"/>
    <w:rsid w:val="00881E9B"/>
    <w:rsid w:val="0088219D"/>
    <w:rsid w:val="00882D7E"/>
    <w:rsid w:val="00883640"/>
    <w:rsid w:val="00883682"/>
    <w:rsid w:val="0088465F"/>
    <w:rsid w:val="00884879"/>
    <w:rsid w:val="008854AE"/>
    <w:rsid w:val="00885CFC"/>
    <w:rsid w:val="00886448"/>
    <w:rsid w:val="008866A5"/>
    <w:rsid w:val="008870B6"/>
    <w:rsid w:val="008878CF"/>
    <w:rsid w:val="00891F6E"/>
    <w:rsid w:val="00892345"/>
    <w:rsid w:val="008927A3"/>
    <w:rsid w:val="00892C1A"/>
    <w:rsid w:val="00892D6C"/>
    <w:rsid w:val="0089333A"/>
    <w:rsid w:val="008934C7"/>
    <w:rsid w:val="008944AD"/>
    <w:rsid w:val="008946BF"/>
    <w:rsid w:val="00894BA8"/>
    <w:rsid w:val="00895C48"/>
    <w:rsid w:val="008968EE"/>
    <w:rsid w:val="00896F71"/>
    <w:rsid w:val="008A0B15"/>
    <w:rsid w:val="008A0B2F"/>
    <w:rsid w:val="008A0C54"/>
    <w:rsid w:val="008A0E09"/>
    <w:rsid w:val="008A16E3"/>
    <w:rsid w:val="008A4B7D"/>
    <w:rsid w:val="008A4C14"/>
    <w:rsid w:val="008A4D3B"/>
    <w:rsid w:val="008A55B6"/>
    <w:rsid w:val="008A6537"/>
    <w:rsid w:val="008A6871"/>
    <w:rsid w:val="008A6EC7"/>
    <w:rsid w:val="008A755A"/>
    <w:rsid w:val="008A7B98"/>
    <w:rsid w:val="008B2544"/>
    <w:rsid w:val="008B25CA"/>
    <w:rsid w:val="008B26C6"/>
    <w:rsid w:val="008B2708"/>
    <w:rsid w:val="008B4283"/>
    <w:rsid w:val="008B47C5"/>
    <w:rsid w:val="008B5320"/>
    <w:rsid w:val="008B5703"/>
    <w:rsid w:val="008B659D"/>
    <w:rsid w:val="008B66DD"/>
    <w:rsid w:val="008B7198"/>
    <w:rsid w:val="008B72DD"/>
    <w:rsid w:val="008C0662"/>
    <w:rsid w:val="008C18DE"/>
    <w:rsid w:val="008C1C70"/>
    <w:rsid w:val="008C3DBE"/>
    <w:rsid w:val="008C3E09"/>
    <w:rsid w:val="008C4B50"/>
    <w:rsid w:val="008C4FD1"/>
    <w:rsid w:val="008C5773"/>
    <w:rsid w:val="008C5DFD"/>
    <w:rsid w:val="008D089A"/>
    <w:rsid w:val="008D1E60"/>
    <w:rsid w:val="008D2131"/>
    <w:rsid w:val="008D315D"/>
    <w:rsid w:val="008D47DD"/>
    <w:rsid w:val="008D5168"/>
    <w:rsid w:val="008D5213"/>
    <w:rsid w:val="008D6032"/>
    <w:rsid w:val="008E0931"/>
    <w:rsid w:val="008E0C2D"/>
    <w:rsid w:val="008E0C2F"/>
    <w:rsid w:val="008E0E80"/>
    <w:rsid w:val="008E2A59"/>
    <w:rsid w:val="008E2BA0"/>
    <w:rsid w:val="008E2CDC"/>
    <w:rsid w:val="008E2CDD"/>
    <w:rsid w:val="008E4427"/>
    <w:rsid w:val="008E499D"/>
    <w:rsid w:val="008E5076"/>
    <w:rsid w:val="008E639A"/>
    <w:rsid w:val="008E679C"/>
    <w:rsid w:val="008E7C2A"/>
    <w:rsid w:val="008F1627"/>
    <w:rsid w:val="008F1F79"/>
    <w:rsid w:val="008F2744"/>
    <w:rsid w:val="008F54DF"/>
    <w:rsid w:val="008F6A2D"/>
    <w:rsid w:val="008F7402"/>
    <w:rsid w:val="009005D1"/>
    <w:rsid w:val="00900BFC"/>
    <w:rsid w:val="009011ED"/>
    <w:rsid w:val="00901C97"/>
    <w:rsid w:val="009021C2"/>
    <w:rsid w:val="009042F3"/>
    <w:rsid w:val="009049FC"/>
    <w:rsid w:val="00905566"/>
    <w:rsid w:val="00906550"/>
    <w:rsid w:val="009103B0"/>
    <w:rsid w:val="0091091E"/>
    <w:rsid w:val="009109F5"/>
    <w:rsid w:val="00910A44"/>
    <w:rsid w:val="0091101B"/>
    <w:rsid w:val="009113FB"/>
    <w:rsid w:val="00911804"/>
    <w:rsid w:val="00912E0E"/>
    <w:rsid w:val="00912F6B"/>
    <w:rsid w:val="0091310A"/>
    <w:rsid w:val="009134F0"/>
    <w:rsid w:val="00914265"/>
    <w:rsid w:val="009150E9"/>
    <w:rsid w:val="009173E7"/>
    <w:rsid w:val="009177FF"/>
    <w:rsid w:val="009200A8"/>
    <w:rsid w:val="009209AC"/>
    <w:rsid w:val="00921C81"/>
    <w:rsid w:val="0092273E"/>
    <w:rsid w:val="0092322D"/>
    <w:rsid w:val="00923439"/>
    <w:rsid w:val="00924AC1"/>
    <w:rsid w:val="00924B37"/>
    <w:rsid w:val="0092675E"/>
    <w:rsid w:val="00927055"/>
    <w:rsid w:val="009274B5"/>
    <w:rsid w:val="0092772D"/>
    <w:rsid w:val="00931577"/>
    <w:rsid w:val="00931584"/>
    <w:rsid w:val="00932DBC"/>
    <w:rsid w:val="00934472"/>
    <w:rsid w:val="009357C2"/>
    <w:rsid w:val="00935B1C"/>
    <w:rsid w:val="00937D7A"/>
    <w:rsid w:val="00937F88"/>
    <w:rsid w:val="00940899"/>
    <w:rsid w:val="00940972"/>
    <w:rsid w:val="00942238"/>
    <w:rsid w:val="00942F41"/>
    <w:rsid w:val="00943A69"/>
    <w:rsid w:val="00944336"/>
    <w:rsid w:val="009444A2"/>
    <w:rsid w:val="00944A54"/>
    <w:rsid w:val="0094733C"/>
    <w:rsid w:val="009476EF"/>
    <w:rsid w:val="00947E08"/>
    <w:rsid w:val="009508AD"/>
    <w:rsid w:val="00950C4F"/>
    <w:rsid w:val="009530C5"/>
    <w:rsid w:val="009534AA"/>
    <w:rsid w:val="0095386D"/>
    <w:rsid w:val="0095396D"/>
    <w:rsid w:val="00957B83"/>
    <w:rsid w:val="00957CBF"/>
    <w:rsid w:val="0096099A"/>
    <w:rsid w:val="00960F6E"/>
    <w:rsid w:val="00961956"/>
    <w:rsid w:val="00961F3C"/>
    <w:rsid w:val="0096247E"/>
    <w:rsid w:val="00964DE8"/>
    <w:rsid w:val="00965516"/>
    <w:rsid w:val="00965B61"/>
    <w:rsid w:val="0096721E"/>
    <w:rsid w:val="00967517"/>
    <w:rsid w:val="009679A9"/>
    <w:rsid w:val="00967CEC"/>
    <w:rsid w:val="00970971"/>
    <w:rsid w:val="00971495"/>
    <w:rsid w:val="00971842"/>
    <w:rsid w:val="00971A18"/>
    <w:rsid w:val="00972A8C"/>
    <w:rsid w:val="009737C7"/>
    <w:rsid w:val="009744BD"/>
    <w:rsid w:val="00974EE4"/>
    <w:rsid w:val="00975A67"/>
    <w:rsid w:val="0097659B"/>
    <w:rsid w:val="009775B8"/>
    <w:rsid w:val="00980E41"/>
    <w:rsid w:val="0098510D"/>
    <w:rsid w:val="00986441"/>
    <w:rsid w:val="00986C7F"/>
    <w:rsid w:val="00987332"/>
    <w:rsid w:val="00987507"/>
    <w:rsid w:val="00987A9E"/>
    <w:rsid w:val="009916B2"/>
    <w:rsid w:val="009954A1"/>
    <w:rsid w:val="0099551B"/>
    <w:rsid w:val="009960A0"/>
    <w:rsid w:val="00996E9C"/>
    <w:rsid w:val="009A1B51"/>
    <w:rsid w:val="009A2DD6"/>
    <w:rsid w:val="009A3E0E"/>
    <w:rsid w:val="009A6D65"/>
    <w:rsid w:val="009A74B2"/>
    <w:rsid w:val="009A7B62"/>
    <w:rsid w:val="009B0CDF"/>
    <w:rsid w:val="009B0E36"/>
    <w:rsid w:val="009B17D8"/>
    <w:rsid w:val="009B2ADD"/>
    <w:rsid w:val="009B2FE9"/>
    <w:rsid w:val="009B37E5"/>
    <w:rsid w:val="009B3AF4"/>
    <w:rsid w:val="009B4A5B"/>
    <w:rsid w:val="009B5944"/>
    <w:rsid w:val="009B6043"/>
    <w:rsid w:val="009B6587"/>
    <w:rsid w:val="009B65B1"/>
    <w:rsid w:val="009B6B5D"/>
    <w:rsid w:val="009B70E7"/>
    <w:rsid w:val="009B72AB"/>
    <w:rsid w:val="009C00E9"/>
    <w:rsid w:val="009C1329"/>
    <w:rsid w:val="009C2227"/>
    <w:rsid w:val="009C2562"/>
    <w:rsid w:val="009C4996"/>
    <w:rsid w:val="009C513E"/>
    <w:rsid w:val="009C53DA"/>
    <w:rsid w:val="009C574C"/>
    <w:rsid w:val="009C75E4"/>
    <w:rsid w:val="009C785E"/>
    <w:rsid w:val="009C7E57"/>
    <w:rsid w:val="009D07F4"/>
    <w:rsid w:val="009D0FCC"/>
    <w:rsid w:val="009D1CA2"/>
    <w:rsid w:val="009D1E59"/>
    <w:rsid w:val="009D2CD0"/>
    <w:rsid w:val="009D388E"/>
    <w:rsid w:val="009D5CC6"/>
    <w:rsid w:val="009D5F27"/>
    <w:rsid w:val="009D6767"/>
    <w:rsid w:val="009D6A81"/>
    <w:rsid w:val="009D7824"/>
    <w:rsid w:val="009D799E"/>
    <w:rsid w:val="009D7D40"/>
    <w:rsid w:val="009E03F3"/>
    <w:rsid w:val="009E2696"/>
    <w:rsid w:val="009E2B66"/>
    <w:rsid w:val="009E433D"/>
    <w:rsid w:val="009E4E92"/>
    <w:rsid w:val="009E57A4"/>
    <w:rsid w:val="009E6551"/>
    <w:rsid w:val="009E6BA2"/>
    <w:rsid w:val="009E6ED2"/>
    <w:rsid w:val="009E70A3"/>
    <w:rsid w:val="009E7942"/>
    <w:rsid w:val="009E7E30"/>
    <w:rsid w:val="009F09BE"/>
    <w:rsid w:val="009F1CFA"/>
    <w:rsid w:val="009F1E9D"/>
    <w:rsid w:val="009F300A"/>
    <w:rsid w:val="009F3768"/>
    <w:rsid w:val="009F39C6"/>
    <w:rsid w:val="009F3BC5"/>
    <w:rsid w:val="009F4E26"/>
    <w:rsid w:val="009F4EF7"/>
    <w:rsid w:val="009F5F78"/>
    <w:rsid w:val="009F61D9"/>
    <w:rsid w:val="009F6227"/>
    <w:rsid w:val="009F673E"/>
    <w:rsid w:val="009F706B"/>
    <w:rsid w:val="009F775F"/>
    <w:rsid w:val="009F7EDF"/>
    <w:rsid w:val="00A00F37"/>
    <w:rsid w:val="00A01DB8"/>
    <w:rsid w:val="00A039A1"/>
    <w:rsid w:val="00A03B0F"/>
    <w:rsid w:val="00A0410F"/>
    <w:rsid w:val="00A048E9"/>
    <w:rsid w:val="00A049D5"/>
    <w:rsid w:val="00A04A52"/>
    <w:rsid w:val="00A04BE8"/>
    <w:rsid w:val="00A05429"/>
    <w:rsid w:val="00A06825"/>
    <w:rsid w:val="00A06E9E"/>
    <w:rsid w:val="00A07736"/>
    <w:rsid w:val="00A1036D"/>
    <w:rsid w:val="00A10A98"/>
    <w:rsid w:val="00A10B0E"/>
    <w:rsid w:val="00A10C1C"/>
    <w:rsid w:val="00A11AB2"/>
    <w:rsid w:val="00A12627"/>
    <w:rsid w:val="00A12A65"/>
    <w:rsid w:val="00A13493"/>
    <w:rsid w:val="00A13A09"/>
    <w:rsid w:val="00A1414A"/>
    <w:rsid w:val="00A15A99"/>
    <w:rsid w:val="00A17267"/>
    <w:rsid w:val="00A2086E"/>
    <w:rsid w:val="00A20E9D"/>
    <w:rsid w:val="00A2120F"/>
    <w:rsid w:val="00A2178F"/>
    <w:rsid w:val="00A21FFA"/>
    <w:rsid w:val="00A23F52"/>
    <w:rsid w:val="00A24264"/>
    <w:rsid w:val="00A26217"/>
    <w:rsid w:val="00A3013F"/>
    <w:rsid w:val="00A3055E"/>
    <w:rsid w:val="00A30792"/>
    <w:rsid w:val="00A30B84"/>
    <w:rsid w:val="00A31DC8"/>
    <w:rsid w:val="00A32597"/>
    <w:rsid w:val="00A3262A"/>
    <w:rsid w:val="00A3344B"/>
    <w:rsid w:val="00A33973"/>
    <w:rsid w:val="00A35436"/>
    <w:rsid w:val="00A35FF9"/>
    <w:rsid w:val="00A367AA"/>
    <w:rsid w:val="00A37880"/>
    <w:rsid w:val="00A400BF"/>
    <w:rsid w:val="00A41417"/>
    <w:rsid w:val="00A41A3E"/>
    <w:rsid w:val="00A42C70"/>
    <w:rsid w:val="00A4378E"/>
    <w:rsid w:val="00A43CE0"/>
    <w:rsid w:val="00A4413F"/>
    <w:rsid w:val="00A44394"/>
    <w:rsid w:val="00A45B92"/>
    <w:rsid w:val="00A45EC3"/>
    <w:rsid w:val="00A46122"/>
    <w:rsid w:val="00A478BD"/>
    <w:rsid w:val="00A47CF5"/>
    <w:rsid w:val="00A5032A"/>
    <w:rsid w:val="00A50AC9"/>
    <w:rsid w:val="00A50AE7"/>
    <w:rsid w:val="00A51F03"/>
    <w:rsid w:val="00A51F67"/>
    <w:rsid w:val="00A522D4"/>
    <w:rsid w:val="00A5367D"/>
    <w:rsid w:val="00A54E07"/>
    <w:rsid w:val="00A5507B"/>
    <w:rsid w:val="00A57D98"/>
    <w:rsid w:val="00A61524"/>
    <w:rsid w:val="00A62F57"/>
    <w:rsid w:val="00A63413"/>
    <w:rsid w:val="00A6488B"/>
    <w:rsid w:val="00A6556C"/>
    <w:rsid w:val="00A659B5"/>
    <w:rsid w:val="00A65A66"/>
    <w:rsid w:val="00A661BB"/>
    <w:rsid w:val="00A70D6E"/>
    <w:rsid w:val="00A715F7"/>
    <w:rsid w:val="00A720CF"/>
    <w:rsid w:val="00A72192"/>
    <w:rsid w:val="00A72B07"/>
    <w:rsid w:val="00A73956"/>
    <w:rsid w:val="00A73BB9"/>
    <w:rsid w:val="00A73D4A"/>
    <w:rsid w:val="00A743EB"/>
    <w:rsid w:val="00A74B4C"/>
    <w:rsid w:val="00A7552F"/>
    <w:rsid w:val="00A76236"/>
    <w:rsid w:val="00A763E7"/>
    <w:rsid w:val="00A77796"/>
    <w:rsid w:val="00A81862"/>
    <w:rsid w:val="00A8187F"/>
    <w:rsid w:val="00A8243E"/>
    <w:rsid w:val="00A8271E"/>
    <w:rsid w:val="00A827D2"/>
    <w:rsid w:val="00A83351"/>
    <w:rsid w:val="00A838DE"/>
    <w:rsid w:val="00A847C3"/>
    <w:rsid w:val="00A855CF"/>
    <w:rsid w:val="00A86128"/>
    <w:rsid w:val="00A86D6A"/>
    <w:rsid w:val="00A86E2C"/>
    <w:rsid w:val="00A8766D"/>
    <w:rsid w:val="00A90F72"/>
    <w:rsid w:val="00A93DC3"/>
    <w:rsid w:val="00A9462E"/>
    <w:rsid w:val="00A94E45"/>
    <w:rsid w:val="00A950A5"/>
    <w:rsid w:val="00A978B6"/>
    <w:rsid w:val="00A97929"/>
    <w:rsid w:val="00AA05F8"/>
    <w:rsid w:val="00AA22BE"/>
    <w:rsid w:val="00AA44A3"/>
    <w:rsid w:val="00AA5C1D"/>
    <w:rsid w:val="00AA5C61"/>
    <w:rsid w:val="00AA6795"/>
    <w:rsid w:val="00AA69BF"/>
    <w:rsid w:val="00AA6CC7"/>
    <w:rsid w:val="00AA70B6"/>
    <w:rsid w:val="00AA7709"/>
    <w:rsid w:val="00AA7DA3"/>
    <w:rsid w:val="00AB0B18"/>
    <w:rsid w:val="00AB0B62"/>
    <w:rsid w:val="00AB192A"/>
    <w:rsid w:val="00AB20C0"/>
    <w:rsid w:val="00AB3045"/>
    <w:rsid w:val="00AB416F"/>
    <w:rsid w:val="00AB4300"/>
    <w:rsid w:val="00AB4D68"/>
    <w:rsid w:val="00AB4FD0"/>
    <w:rsid w:val="00AB5E6A"/>
    <w:rsid w:val="00AB72EB"/>
    <w:rsid w:val="00AC0D5E"/>
    <w:rsid w:val="00AC0EBD"/>
    <w:rsid w:val="00AC19E3"/>
    <w:rsid w:val="00AC1E71"/>
    <w:rsid w:val="00AC3116"/>
    <w:rsid w:val="00AC316A"/>
    <w:rsid w:val="00AC373B"/>
    <w:rsid w:val="00AC3970"/>
    <w:rsid w:val="00AC567A"/>
    <w:rsid w:val="00AC6D50"/>
    <w:rsid w:val="00AC7690"/>
    <w:rsid w:val="00AC76CE"/>
    <w:rsid w:val="00AD0527"/>
    <w:rsid w:val="00AD1524"/>
    <w:rsid w:val="00AD1CA2"/>
    <w:rsid w:val="00AD258E"/>
    <w:rsid w:val="00AD37AD"/>
    <w:rsid w:val="00AD3DB1"/>
    <w:rsid w:val="00AD49F7"/>
    <w:rsid w:val="00AD4AF8"/>
    <w:rsid w:val="00AD5B94"/>
    <w:rsid w:val="00AD66C7"/>
    <w:rsid w:val="00AD6708"/>
    <w:rsid w:val="00AD75EB"/>
    <w:rsid w:val="00AD762D"/>
    <w:rsid w:val="00AE0239"/>
    <w:rsid w:val="00AE0A52"/>
    <w:rsid w:val="00AE0E0E"/>
    <w:rsid w:val="00AE0F6C"/>
    <w:rsid w:val="00AE2E3C"/>
    <w:rsid w:val="00AE4A8E"/>
    <w:rsid w:val="00AE4DB9"/>
    <w:rsid w:val="00AE4F16"/>
    <w:rsid w:val="00AE6038"/>
    <w:rsid w:val="00AE6861"/>
    <w:rsid w:val="00AE6E34"/>
    <w:rsid w:val="00AE6F01"/>
    <w:rsid w:val="00AF07E3"/>
    <w:rsid w:val="00AF0BE2"/>
    <w:rsid w:val="00AF10D4"/>
    <w:rsid w:val="00AF1233"/>
    <w:rsid w:val="00AF1A9F"/>
    <w:rsid w:val="00AF27D5"/>
    <w:rsid w:val="00AF2C37"/>
    <w:rsid w:val="00AF45AD"/>
    <w:rsid w:val="00AF4F10"/>
    <w:rsid w:val="00AF562C"/>
    <w:rsid w:val="00AF5A72"/>
    <w:rsid w:val="00B00DCF"/>
    <w:rsid w:val="00B0112A"/>
    <w:rsid w:val="00B0112B"/>
    <w:rsid w:val="00B020DA"/>
    <w:rsid w:val="00B0229E"/>
    <w:rsid w:val="00B02467"/>
    <w:rsid w:val="00B06EFC"/>
    <w:rsid w:val="00B0753C"/>
    <w:rsid w:val="00B07DA6"/>
    <w:rsid w:val="00B07E5D"/>
    <w:rsid w:val="00B10582"/>
    <w:rsid w:val="00B10934"/>
    <w:rsid w:val="00B11496"/>
    <w:rsid w:val="00B114D4"/>
    <w:rsid w:val="00B11964"/>
    <w:rsid w:val="00B12489"/>
    <w:rsid w:val="00B1292A"/>
    <w:rsid w:val="00B13B9C"/>
    <w:rsid w:val="00B1403C"/>
    <w:rsid w:val="00B141CC"/>
    <w:rsid w:val="00B15AA5"/>
    <w:rsid w:val="00B16284"/>
    <w:rsid w:val="00B1647B"/>
    <w:rsid w:val="00B20E83"/>
    <w:rsid w:val="00B215DF"/>
    <w:rsid w:val="00B2309B"/>
    <w:rsid w:val="00B234C6"/>
    <w:rsid w:val="00B23515"/>
    <w:rsid w:val="00B23BBB"/>
    <w:rsid w:val="00B24B60"/>
    <w:rsid w:val="00B24C28"/>
    <w:rsid w:val="00B24DF3"/>
    <w:rsid w:val="00B253A1"/>
    <w:rsid w:val="00B258FA"/>
    <w:rsid w:val="00B26941"/>
    <w:rsid w:val="00B2754C"/>
    <w:rsid w:val="00B27E17"/>
    <w:rsid w:val="00B30118"/>
    <w:rsid w:val="00B3128F"/>
    <w:rsid w:val="00B31461"/>
    <w:rsid w:val="00B31929"/>
    <w:rsid w:val="00B3199A"/>
    <w:rsid w:val="00B31B33"/>
    <w:rsid w:val="00B320F5"/>
    <w:rsid w:val="00B334FC"/>
    <w:rsid w:val="00B339AC"/>
    <w:rsid w:val="00B34E93"/>
    <w:rsid w:val="00B35908"/>
    <w:rsid w:val="00B371BD"/>
    <w:rsid w:val="00B378B6"/>
    <w:rsid w:val="00B40093"/>
    <w:rsid w:val="00B40158"/>
    <w:rsid w:val="00B408BC"/>
    <w:rsid w:val="00B417AB"/>
    <w:rsid w:val="00B41E79"/>
    <w:rsid w:val="00B42E2F"/>
    <w:rsid w:val="00B42F7B"/>
    <w:rsid w:val="00B4330A"/>
    <w:rsid w:val="00B444D1"/>
    <w:rsid w:val="00B44B44"/>
    <w:rsid w:val="00B44BB9"/>
    <w:rsid w:val="00B44E37"/>
    <w:rsid w:val="00B4522B"/>
    <w:rsid w:val="00B4791A"/>
    <w:rsid w:val="00B47EDE"/>
    <w:rsid w:val="00B50FAE"/>
    <w:rsid w:val="00B51AF6"/>
    <w:rsid w:val="00B51B20"/>
    <w:rsid w:val="00B51EBC"/>
    <w:rsid w:val="00B5244B"/>
    <w:rsid w:val="00B52F9C"/>
    <w:rsid w:val="00B5317E"/>
    <w:rsid w:val="00B532BD"/>
    <w:rsid w:val="00B53791"/>
    <w:rsid w:val="00B539C0"/>
    <w:rsid w:val="00B53E01"/>
    <w:rsid w:val="00B540BA"/>
    <w:rsid w:val="00B54613"/>
    <w:rsid w:val="00B54A02"/>
    <w:rsid w:val="00B54B59"/>
    <w:rsid w:val="00B54D49"/>
    <w:rsid w:val="00B55E16"/>
    <w:rsid w:val="00B56041"/>
    <w:rsid w:val="00B5606F"/>
    <w:rsid w:val="00B5652D"/>
    <w:rsid w:val="00B60CC7"/>
    <w:rsid w:val="00B61819"/>
    <w:rsid w:val="00B62D22"/>
    <w:rsid w:val="00B6406F"/>
    <w:rsid w:val="00B652A4"/>
    <w:rsid w:val="00B656FE"/>
    <w:rsid w:val="00B65C4F"/>
    <w:rsid w:val="00B65EA6"/>
    <w:rsid w:val="00B66035"/>
    <w:rsid w:val="00B667ED"/>
    <w:rsid w:val="00B67C63"/>
    <w:rsid w:val="00B67EDA"/>
    <w:rsid w:val="00B7366B"/>
    <w:rsid w:val="00B73746"/>
    <w:rsid w:val="00B7530C"/>
    <w:rsid w:val="00B76922"/>
    <w:rsid w:val="00B772EE"/>
    <w:rsid w:val="00B77513"/>
    <w:rsid w:val="00B77F1B"/>
    <w:rsid w:val="00B8063B"/>
    <w:rsid w:val="00B807B4"/>
    <w:rsid w:val="00B81D0F"/>
    <w:rsid w:val="00B823F6"/>
    <w:rsid w:val="00B8331B"/>
    <w:rsid w:val="00B83A51"/>
    <w:rsid w:val="00B83E7B"/>
    <w:rsid w:val="00B83F1F"/>
    <w:rsid w:val="00B84B22"/>
    <w:rsid w:val="00B84DE4"/>
    <w:rsid w:val="00B85573"/>
    <w:rsid w:val="00B86481"/>
    <w:rsid w:val="00B873AE"/>
    <w:rsid w:val="00B876EC"/>
    <w:rsid w:val="00B90D85"/>
    <w:rsid w:val="00B92B86"/>
    <w:rsid w:val="00B93469"/>
    <w:rsid w:val="00B951E9"/>
    <w:rsid w:val="00B95972"/>
    <w:rsid w:val="00B95AE8"/>
    <w:rsid w:val="00B95B34"/>
    <w:rsid w:val="00B95C39"/>
    <w:rsid w:val="00B9707A"/>
    <w:rsid w:val="00B9776A"/>
    <w:rsid w:val="00B97839"/>
    <w:rsid w:val="00B978BC"/>
    <w:rsid w:val="00B97AA6"/>
    <w:rsid w:val="00BA0154"/>
    <w:rsid w:val="00BA0250"/>
    <w:rsid w:val="00BA051D"/>
    <w:rsid w:val="00BA123B"/>
    <w:rsid w:val="00BA189D"/>
    <w:rsid w:val="00BA2DE5"/>
    <w:rsid w:val="00BA3851"/>
    <w:rsid w:val="00BA46F3"/>
    <w:rsid w:val="00BA494E"/>
    <w:rsid w:val="00BA51ED"/>
    <w:rsid w:val="00BA579D"/>
    <w:rsid w:val="00BA6CB2"/>
    <w:rsid w:val="00BB0057"/>
    <w:rsid w:val="00BB054C"/>
    <w:rsid w:val="00BB1EE2"/>
    <w:rsid w:val="00BB219B"/>
    <w:rsid w:val="00BB29D4"/>
    <w:rsid w:val="00BB37C1"/>
    <w:rsid w:val="00BB3A55"/>
    <w:rsid w:val="00BB3AF7"/>
    <w:rsid w:val="00BB4097"/>
    <w:rsid w:val="00BB5AEC"/>
    <w:rsid w:val="00BB6CDD"/>
    <w:rsid w:val="00BB6DE1"/>
    <w:rsid w:val="00BB7297"/>
    <w:rsid w:val="00BB739D"/>
    <w:rsid w:val="00BB7B29"/>
    <w:rsid w:val="00BC0000"/>
    <w:rsid w:val="00BC0384"/>
    <w:rsid w:val="00BC156C"/>
    <w:rsid w:val="00BC1767"/>
    <w:rsid w:val="00BC1AAD"/>
    <w:rsid w:val="00BC1E78"/>
    <w:rsid w:val="00BC212E"/>
    <w:rsid w:val="00BC2966"/>
    <w:rsid w:val="00BC29C8"/>
    <w:rsid w:val="00BC3670"/>
    <w:rsid w:val="00BC375B"/>
    <w:rsid w:val="00BC376C"/>
    <w:rsid w:val="00BC39DD"/>
    <w:rsid w:val="00BC3EF9"/>
    <w:rsid w:val="00BC3FCE"/>
    <w:rsid w:val="00BC41D9"/>
    <w:rsid w:val="00BC64A6"/>
    <w:rsid w:val="00BD00EB"/>
    <w:rsid w:val="00BD0493"/>
    <w:rsid w:val="00BD073E"/>
    <w:rsid w:val="00BD08BE"/>
    <w:rsid w:val="00BD1E0C"/>
    <w:rsid w:val="00BD2877"/>
    <w:rsid w:val="00BD39A7"/>
    <w:rsid w:val="00BD436C"/>
    <w:rsid w:val="00BD43CF"/>
    <w:rsid w:val="00BD4824"/>
    <w:rsid w:val="00BD4DBF"/>
    <w:rsid w:val="00BD6A47"/>
    <w:rsid w:val="00BD6E79"/>
    <w:rsid w:val="00BD7550"/>
    <w:rsid w:val="00BD7A8C"/>
    <w:rsid w:val="00BE0775"/>
    <w:rsid w:val="00BE0D9C"/>
    <w:rsid w:val="00BE0FC6"/>
    <w:rsid w:val="00BE12B3"/>
    <w:rsid w:val="00BE233E"/>
    <w:rsid w:val="00BE2C1E"/>
    <w:rsid w:val="00BE40C9"/>
    <w:rsid w:val="00BE47EE"/>
    <w:rsid w:val="00BE51E8"/>
    <w:rsid w:val="00BE5754"/>
    <w:rsid w:val="00BE6BBD"/>
    <w:rsid w:val="00BE6D5A"/>
    <w:rsid w:val="00BE7759"/>
    <w:rsid w:val="00BF116E"/>
    <w:rsid w:val="00BF27C9"/>
    <w:rsid w:val="00BF2DA7"/>
    <w:rsid w:val="00BF2EC2"/>
    <w:rsid w:val="00BF30F8"/>
    <w:rsid w:val="00BF314D"/>
    <w:rsid w:val="00BF32B4"/>
    <w:rsid w:val="00BF397E"/>
    <w:rsid w:val="00BF6653"/>
    <w:rsid w:val="00BF7440"/>
    <w:rsid w:val="00BF74A4"/>
    <w:rsid w:val="00C005B2"/>
    <w:rsid w:val="00C00B1F"/>
    <w:rsid w:val="00C0119D"/>
    <w:rsid w:val="00C02717"/>
    <w:rsid w:val="00C02D8A"/>
    <w:rsid w:val="00C0325D"/>
    <w:rsid w:val="00C05C6B"/>
    <w:rsid w:val="00C10B48"/>
    <w:rsid w:val="00C10C77"/>
    <w:rsid w:val="00C1211B"/>
    <w:rsid w:val="00C129F3"/>
    <w:rsid w:val="00C14111"/>
    <w:rsid w:val="00C142B4"/>
    <w:rsid w:val="00C1585F"/>
    <w:rsid w:val="00C15B26"/>
    <w:rsid w:val="00C15C6A"/>
    <w:rsid w:val="00C16CAA"/>
    <w:rsid w:val="00C1769B"/>
    <w:rsid w:val="00C17A76"/>
    <w:rsid w:val="00C20094"/>
    <w:rsid w:val="00C21E34"/>
    <w:rsid w:val="00C2260E"/>
    <w:rsid w:val="00C23477"/>
    <w:rsid w:val="00C23683"/>
    <w:rsid w:val="00C237F1"/>
    <w:rsid w:val="00C259DF"/>
    <w:rsid w:val="00C25DB3"/>
    <w:rsid w:val="00C26828"/>
    <w:rsid w:val="00C27D32"/>
    <w:rsid w:val="00C27F0C"/>
    <w:rsid w:val="00C3104C"/>
    <w:rsid w:val="00C31ED8"/>
    <w:rsid w:val="00C32763"/>
    <w:rsid w:val="00C331A1"/>
    <w:rsid w:val="00C33312"/>
    <w:rsid w:val="00C33446"/>
    <w:rsid w:val="00C34AB4"/>
    <w:rsid w:val="00C34B35"/>
    <w:rsid w:val="00C351BF"/>
    <w:rsid w:val="00C35EED"/>
    <w:rsid w:val="00C362DC"/>
    <w:rsid w:val="00C37843"/>
    <w:rsid w:val="00C37AC2"/>
    <w:rsid w:val="00C403AD"/>
    <w:rsid w:val="00C405D3"/>
    <w:rsid w:val="00C414F1"/>
    <w:rsid w:val="00C41D73"/>
    <w:rsid w:val="00C41F06"/>
    <w:rsid w:val="00C428A8"/>
    <w:rsid w:val="00C42CC4"/>
    <w:rsid w:val="00C437AB"/>
    <w:rsid w:val="00C43A44"/>
    <w:rsid w:val="00C445FE"/>
    <w:rsid w:val="00C44A5C"/>
    <w:rsid w:val="00C451B1"/>
    <w:rsid w:val="00C456EF"/>
    <w:rsid w:val="00C46E4F"/>
    <w:rsid w:val="00C46F31"/>
    <w:rsid w:val="00C47129"/>
    <w:rsid w:val="00C47ED9"/>
    <w:rsid w:val="00C5078C"/>
    <w:rsid w:val="00C508EF"/>
    <w:rsid w:val="00C50BAE"/>
    <w:rsid w:val="00C554BB"/>
    <w:rsid w:val="00C554EC"/>
    <w:rsid w:val="00C559BF"/>
    <w:rsid w:val="00C56055"/>
    <w:rsid w:val="00C600B5"/>
    <w:rsid w:val="00C60A43"/>
    <w:rsid w:val="00C60AE2"/>
    <w:rsid w:val="00C61E75"/>
    <w:rsid w:val="00C61EE5"/>
    <w:rsid w:val="00C624C7"/>
    <w:rsid w:val="00C62F3C"/>
    <w:rsid w:val="00C644EA"/>
    <w:rsid w:val="00C64EEF"/>
    <w:rsid w:val="00C65A95"/>
    <w:rsid w:val="00C6773B"/>
    <w:rsid w:val="00C677AD"/>
    <w:rsid w:val="00C6785F"/>
    <w:rsid w:val="00C67ABA"/>
    <w:rsid w:val="00C70714"/>
    <w:rsid w:val="00C70E54"/>
    <w:rsid w:val="00C71AB7"/>
    <w:rsid w:val="00C73493"/>
    <w:rsid w:val="00C746FB"/>
    <w:rsid w:val="00C752C7"/>
    <w:rsid w:val="00C7574C"/>
    <w:rsid w:val="00C75B61"/>
    <w:rsid w:val="00C76C46"/>
    <w:rsid w:val="00C76D56"/>
    <w:rsid w:val="00C77DD4"/>
    <w:rsid w:val="00C80321"/>
    <w:rsid w:val="00C80462"/>
    <w:rsid w:val="00C82A3D"/>
    <w:rsid w:val="00C83487"/>
    <w:rsid w:val="00C834A5"/>
    <w:rsid w:val="00C8431E"/>
    <w:rsid w:val="00C85FA4"/>
    <w:rsid w:val="00C86443"/>
    <w:rsid w:val="00C8697D"/>
    <w:rsid w:val="00C86ABD"/>
    <w:rsid w:val="00C86F74"/>
    <w:rsid w:val="00C87097"/>
    <w:rsid w:val="00C9042D"/>
    <w:rsid w:val="00C91A43"/>
    <w:rsid w:val="00C92102"/>
    <w:rsid w:val="00C92A72"/>
    <w:rsid w:val="00C94208"/>
    <w:rsid w:val="00C94CB5"/>
    <w:rsid w:val="00C9562F"/>
    <w:rsid w:val="00C95751"/>
    <w:rsid w:val="00C9679B"/>
    <w:rsid w:val="00C96BF2"/>
    <w:rsid w:val="00C96DFA"/>
    <w:rsid w:val="00C972F1"/>
    <w:rsid w:val="00C97966"/>
    <w:rsid w:val="00CA0804"/>
    <w:rsid w:val="00CA1127"/>
    <w:rsid w:val="00CA1293"/>
    <w:rsid w:val="00CA24C1"/>
    <w:rsid w:val="00CA3848"/>
    <w:rsid w:val="00CA3913"/>
    <w:rsid w:val="00CA448D"/>
    <w:rsid w:val="00CA573A"/>
    <w:rsid w:val="00CA684E"/>
    <w:rsid w:val="00CA685D"/>
    <w:rsid w:val="00CA6894"/>
    <w:rsid w:val="00CA6928"/>
    <w:rsid w:val="00CA7C5E"/>
    <w:rsid w:val="00CA7D13"/>
    <w:rsid w:val="00CB016E"/>
    <w:rsid w:val="00CB0CBA"/>
    <w:rsid w:val="00CB0EEB"/>
    <w:rsid w:val="00CB11EC"/>
    <w:rsid w:val="00CB1215"/>
    <w:rsid w:val="00CB1CE5"/>
    <w:rsid w:val="00CB1D03"/>
    <w:rsid w:val="00CB2473"/>
    <w:rsid w:val="00CB2A8A"/>
    <w:rsid w:val="00CB32B2"/>
    <w:rsid w:val="00CB3305"/>
    <w:rsid w:val="00CB3335"/>
    <w:rsid w:val="00CB3574"/>
    <w:rsid w:val="00CB4448"/>
    <w:rsid w:val="00CB6509"/>
    <w:rsid w:val="00CB7CB5"/>
    <w:rsid w:val="00CB7F99"/>
    <w:rsid w:val="00CC1E5F"/>
    <w:rsid w:val="00CC25F9"/>
    <w:rsid w:val="00CC31B2"/>
    <w:rsid w:val="00CC42B6"/>
    <w:rsid w:val="00CC4510"/>
    <w:rsid w:val="00CC521C"/>
    <w:rsid w:val="00CC7588"/>
    <w:rsid w:val="00CD1976"/>
    <w:rsid w:val="00CD1982"/>
    <w:rsid w:val="00CD1F25"/>
    <w:rsid w:val="00CD252F"/>
    <w:rsid w:val="00CD2E0F"/>
    <w:rsid w:val="00CD3079"/>
    <w:rsid w:val="00CD47E9"/>
    <w:rsid w:val="00CD56E9"/>
    <w:rsid w:val="00CD6C2F"/>
    <w:rsid w:val="00CD6EAD"/>
    <w:rsid w:val="00CD7C4D"/>
    <w:rsid w:val="00CD7E1B"/>
    <w:rsid w:val="00CD7F66"/>
    <w:rsid w:val="00CE03FB"/>
    <w:rsid w:val="00CE0EA4"/>
    <w:rsid w:val="00CE12DB"/>
    <w:rsid w:val="00CE23CC"/>
    <w:rsid w:val="00CE2689"/>
    <w:rsid w:val="00CE2A4F"/>
    <w:rsid w:val="00CE405A"/>
    <w:rsid w:val="00CE423B"/>
    <w:rsid w:val="00CE48CB"/>
    <w:rsid w:val="00CE692D"/>
    <w:rsid w:val="00CE7111"/>
    <w:rsid w:val="00CF0005"/>
    <w:rsid w:val="00CF0261"/>
    <w:rsid w:val="00CF0270"/>
    <w:rsid w:val="00CF07AA"/>
    <w:rsid w:val="00CF1F97"/>
    <w:rsid w:val="00CF2B24"/>
    <w:rsid w:val="00CF2F88"/>
    <w:rsid w:val="00CF309F"/>
    <w:rsid w:val="00CF3B63"/>
    <w:rsid w:val="00CF3D01"/>
    <w:rsid w:val="00CF42E9"/>
    <w:rsid w:val="00CF53D9"/>
    <w:rsid w:val="00CF5AC7"/>
    <w:rsid w:val="00CF7381"/>
    <w:rsid w:val="00CF7F58"/>
    <w:rsid w:val="00D0023B"/>
    <w:rsid w:val="00D007F3"/>
    <w:rsid w:val="00D00BF8"/>
    <w:rsid w:val="00D014A8"/>
    <w:rsid w:val="00D01E10"/>
    <w:rsid w:val="00D0202C"/>
    <w:rsid w:val="00D02411"/>
    <w:rsid w:val="00D0461E"/>
    <w:rsid w:val="00D04678"/>
    <w:rsid w:val="00D0477D"/>
    <w:rsid w:val="00D04BCD"/>
    <w:rsid w:val="00D05789"/>
    <w:rsid w:val="00D076AE"/>
    <w:rsid w:val="00D07ABE"/>
    <w:rsid w:val="00D115CF"/>
    <w:rsid w:val="00D11DE8"/>
    <w:rsid w:val="00D12B14"/>
    <w:rsid w:val="00D13F40"/>
    <w:rsid w:val="00D145C1"/>
    <w:rsid w:val="00D157B9"/>
    <w:rsid w:val="00D157BB"/>
    <w:rsid w:val="00D1580E"/>
    <w:rsid w:val="00D16F69"/>
    <w:rsid w:val="00D205F2"/>
    <w:rsid w:val="00D20C54"/>
    <w:rsid w:val="00D22BC5"/>
    <w:rsid w:val="00D231D0"/>
    <w:rsid w:val="00D243A3"/>
    <w:rsid w:val="00D24601"/>
    <w:rsid w:val="00D26D53"/>
    <w:rsid w:val="00D30B88"/>
    <w:rsid w:val="00D327F0"/>
    <w:rsid w:val="00D32A81"/>
    <w:rsid w:val="00D330E1"/>
    <w:rsid w:val="00D35512"/>
    <w:rsid w:val="00D35699"/>
    <w:rsid w:val="00D356B8"/>
    <w:rsid w:val="00D35C97"/>
    <w:rsid w:val="00D36819"/>
    <w:rsid w:val="00D36CE6"/>
    <w:rsid w:val="00D41299"/>
    <w:rsid w:val="00D41D3C"/>
    <w:rsid w:val="00D41F72"/>
    <w:rsid w:val="00D423EB"/>
    <w:rsid w:val="00D442EE"/>
    <w:rsid w:val="00D468A2"/>
    <w:rsid w:val="00D47085"/>
    <w:rsid w:val="00D47589"/>
    <w:rsid w:val="00D50A85"/>
    <w:rsid w:val="00D5178D"/>
    <w:rsid w:val="00D51D0A"/>
    <w:rsid w:val="00D525F9"/>
    <w:rsid w:val="00D534BA"/>
    <w:rsid w:val="00D53537"/>
    <w:rsid w:val="00D537FB"/>
    <w:rsid w:val="00D554E6"/>
    <w:rsid w:val="00D55B4C"/>
    <w:rsid w:val="00D56AAA"/>
    <w:rsid w:val="00D56C99"/>
    <w:rsid w:val="00D61100"/>
    <w:rsid w:val="00D61B08"/>
    <w:rsid w:val="00D623C0"/>
    <w:rsid w:val="00D630B8"/>
    <w:rsid w:val="00D633D2"/>
    <w:rsid w:val="00D63656"/>
    <w:rsid w:val="00D6371A"/>
    <w:rsid w:val="00D6423D"/>
    <w:rsid w:val="00D64E2D"/>
    <w:rsid w:val="00D65FA6"/>
    <w:rsid w:val="00D67943"/>
    <w:rsid w:val="00D67B5F"/>
    <w:rsid w:val="00D67CAD"/>
    <w:rsid w:val="00D706C3"/>
    <w:rsid w:val="00D707A3"/>
    <w:rsid w:val="00D70F4B"/>
    <w:rsid w:val="00D7226F"/>
    <w:rsid w:val="00D725C2"/>
    <w:rsid w:val="00D761CD"/>
    <w:rsid w:val="00D76363"/>
    <w:rsid w:val="00D80558"/>
    <w:rsid w:val="00D805B3"/>
    <w:rsid w:val="00D80C88"/>
    <w:rsid w:val="00D8145F"/>
    <w:rsid w:val="00D81C25"/>
    <w:rsid w:val="00D82C3A"/>
    <w:rsid w:val="00D82E7E"/>
    <w:rsid w:val="00D83C26"/>
    <w:rsid w:val="00D84FBD"/>
    <w:rsid w:val="00D85838"/>
    <w:rsid w:val="00D85D67"/>
    <w:rsid w:val="00D86432"/>
    <w:rsid w:val="00D86E5D"/>
    <w:rsid w:val="00D91EA9"/>
    <w:rsid w:val="00D92EBC"/>
    <w:rsid w:val="00D93D43"/>
    <w:rsid w:val="00D944B2"/>
    <w:rsid w:val="00D94C7B"/>
    <w:rsid w:val="00D9545B"/>
    <w:rsid w:val="00D957F7"/>
    <w:rsid w:val="00D95CCF"/>
    <w:rsid w:val="00D9691F"/>
    <w:rsid w:val="00D96DF6"/>
    <w:rsid w:val="00D97364"/>
    <w:rsid w:val="00D979E8"/>
    <w:rsid w:val="00D97AE5"/>
    <w:rsid w:val="00D97B0D"/>
    <w:rsid w:val="00D97E9C"/>
    <w:rsid w:val="00DA20F0"/>
    <w:rsid w:val="00DA2D88"/>
    <w:rsid w:val="00DA4A4C"/>
    <w:rsid w:val="00DA4A76"/>
    <w:rsid w:val="00DA5622"/>
    <w:rsid w:val="00DA608B"/>
    <w:rsid w:val="00DA68C7"/>
    <w:rsid w:val="00DB2B61"/>
    <w:rsid w:val="00DB34D6"/>
    <w:rsid w:val="00DB3C05"/>
    <w:rsid w:val="00DB3DBA"/>
    <w:rsid w:val="00DB4124"/>
    <w:rsid w:val="00DB5B6E"/>
    <w:rsid w:val="00DB678B"/>
    <w:rsid w:val="00DB6D98"/>
    <w:rsid w:val="00DC057E"/>
    <w:rsid w:val="00DC097D"/>
    <w:rsid w:val="00DC108A"/>
    <w:rsid w:val="00DC121F"/>
    <w:rsid w:val="00DC15A9"/>
    <w:rsid w:val="00DC1607"/>
    <w:rsid w:val="00DC17CF"/>
    <w:rsid w:val="00DC1E19"/>
    <w:rsid w:val="00DC21F4"/>
    <w:rsid w:val="00DC2874"/>
    <w:rsid w:val="00DC28F0"/>
    <w:rsid w:val="00DC2D49"/>
    <w:rsid w:val="00DC3563"/>
    <w:rsid w:val="00DC3717"/>
    <w:rsid w:val="00DC53E9"/>
    <w:rsid w:val="00DC6FA7"/>
    <w:rsid w:val="00DD0146"/>
    <w:rsid w:val="00DD1B28"/>
    <w:rsid w:val="00DD1B77"/>
    <w:rsid w:val="00DD23A2"/>
    <w:rsid w:val="00DD2512"/>
    <w:rsid w:val="00DD289C"/>
    <w:rsid w:val="00DD2DEA"/>
    <w:rsid w:val="00DD3466"/>
    <w:rsid w:val="00DD42DD"/>
    <w:rsid w:val="00DD4DC8"/>
    <w:rsid w:val="00DD511D"/>
    <w:rsid w:val="00DD53BA"/>
    <w:rsid w:val="00DD53BD"/>
    <w:rsid w:val="00DD578E"/>
    <w:rsid w:val="00DD66B2"/>
    <w:rsid w:val="00DD7044"/>
    <w:rsid w:val="00DE010C"/>
    <w:rsid w:val="00DE2301"/>
    <w:rsid w:val="00DE29AC"/>
    <w:rsid w:val="00DE2C99"/>
    <w:rsid w:val="00DE308B"/>
    <w:rsid w:val="00DE3CA7"/>
    <w:rsid w:val="00DE43CE"/>
    <w:rsid w:val="00DE43FE"/>
    <w:rsid w:val="00DE4C77"/>
    <w:rsid w:val="00DE5DA2"/>
    <w:rsid w:val="00DE65D0"/>
    <w:rsid w:val="00DE6659"/>
    <w:rsid w:val="00DE69CB"/>
    <w:rsid w:val="00DE78E2"/>
    <w:rsid w:val="00DF132B"/>
    <w:rsid w:val="00DF2015"/>
    <w:rsid w:val="00DF25DF"/>
    <w:rsid w:val="00DF2640"/>
    <w:rsid w:val="00DF2B94"/>
    <w:rsid w:val="00DF305C"/>
    <w:rsid w:val="00DF349B"/>
    <w:rsid w:val="00DF3AB4"/>
    <w:rsid w:val="00DF3AB5"/>
    <w:rsid w:val="00DF3ABC"/>
    <w:rsid w:val="00DF3E74"/>
    <w:rsid w:val="00DF590D"/>
    <w:rsid w:val="00DF6944"/>
    <w:rsid w:val="00E00CD3"/>
    <w:rsid w:val="00E01B9A"/>
    <w:rsid w:val="00E01EE3"/>
    <w:rsid w:val="00E0226B"/>
    <w:rsid w:val="00E02818"/>
    <w:rsid w:val="00E02E1A"/>
    <w:rsid w:val="00E02F7F"/>
    <w:rsid w:val="00E03BF2"/>
    <w:rsid w:val="00E03F2E"/>
    <w:rsid w:val="00E060CF"/>
    <w:rsid w:val="00E0620E"/>
    <w:rsid w:val="00E062AC"/>
    <w:rsid w:val="00E06456"/>
    <w:rsid w:val="00E074E2"/>
    <w:rsid w:val="00E07A49"/>
    <w:rsid w:val="00E102AB"/>
    <w:rsid w:val="00E10736"/>
    <w:rsid w:val="00E110D0"/>
    <w:rsid w:val="00E11669"/>
    <w:rsid w:val="00E119DF"/>
    <w:rsid w:val="00E11C18"/>
    <w:rsid w:val="00E11CA9"/>
    <w:rsid w:val="00E13E01"/>
    <w:rsid w:val="00E1409A"/>
    <w:rsid w:val="00E1449B"/>
    <w:rsid w:val="00E14907"/>
    <w:rsid w:val="00E15330"/>
    <w:rsid w:val="00E15813"/>
    <w:rsid w:val="00E15965"/>
    <w:rsid w:val="00E20065"/>
    <w:rsid w:val="00E20508"/>
    <w:rsid w:val="00E20579"/>
    <w:rsid w:val="00E207F0"/>
    <w:rsid w:val="00E20FC5"/>
    <w:rsid w:val="00E211D9"/>
    <w:rsid w:val="00E21482"/>
    <w:rsid w:val="00E227B2"/>
    <w:rsid w:val="00E22C3B"/>
    <w:rsid w:val="00E22F64"/>
    <w:rsid w:val="00E24300"/>
    <w:rsid w:val="00E24CDF"/>
    <w:rsid w:val="00E257FF"/>
    <w:rsid w:val="00E25AC4"/>
    <w:rsid w:val="00E26939"/>
    <w:rsid w:val="00E26B20"/>
    <w:rsid w:val="00E26F29"/>
    <w:rsid w:val="00E302BC"/>
    <w:rsid w:val="00E31152"/>
    <w:rsid w:val="00E3132D"/>
    <w:rsid w:val="00E31954"/>
    <w:rsid w:val="00E33923"/>
    <w:rsid w:val="00E33D03"/>
    <w:rsid w:val="00E34279"/>
    <w:rsid w:val="00E35F6C"/>
    <w:rsid w:val="00E36007"/>
    <w:rsid w:val="00E36C7E"/>
    <w:rsid w:val="00E36EA1"/>
    <w:rsid w:val="00E3738B"/>
    <w:rsid w:val="00E37A8F"/>
    <w:rsid w:val="00E40125"/>
    <w:rsid w:val="00E4196E"/>
    <w:rsid w:val="00E4258F"/>
    <w:rsid w:val="00E42A19"/>
    <w:rsid w:val="00E42E80"/>
    <w:rsid w:val="00E4355F"/>
    <w:rsid w:val="00E43B90"/>
    <w:rsid w:val="00E44E96"/>
    <w:rsid w:val="00E451AC"/>
    <w:rsid w:val="00E461E1"/>
    <w:rsid w:val="00E46C3B"/>
    <w:rsid w:val="00E46D7D"/>
    <w:rsid w:val="00E47B45"/>
    <w:rsid w:val="00E5373B"/>
    <w:rsid w:val="00E53870"/>
    <w:rsid w:val="00E53EED"/>
    <w:rsid w:val="00E53F9A"/>
    <w:rsid w:val="00E54548"/>
    <w:rsid w:val="00E54B8B"/>
    <w:rsid w:val="00E54EEC"/>
    <w:rsid w:val="00E55AD5"/>
    <w:rsid w:val="00E568E1"/>
    <w:rsid w:val="00E56E9F"/>
    <w:rsid w:val="00E576E9"/>
    <w:rsid w:val="00E57EF5"/>
    <w:rsid w:val="00E61540"/>
    <w:rsid w:val="00E61582"/>
    <w:rsid w:val="00E62B5E"/>
    <w:rsid w:val="00E63571"/>
    <w:rsid w:val="00E63AC7"/>
    <w:rsid w:val="00E642C0"/>
    <w:rsid w:val="00E64300"/>
    <w:rsid w:val="00E653B3"/>
    <w:rsid w:val="00E65C6F"/>
    <w:rsid w:val="00E65D01"/>
    <w:rsid w:val="00E65DF1"/>
    <w:rsid w:val="00E66A9B"/>
    <w:rsid w:val="00E66BE0"/>
    <w:rsid w:val="00E67282"/>
    <w:rsid w:val="00E70A2D"/>
    <w:rsid w:val="00E70CCC"/>
    <w:rsid w:val="00E71209"/>
    <w:rsid w:val="00E72E7D"/>
    <w:rsid w:val="00E73010"/>
    <w:rsid w:val="00E73B1E"/>
    <w:rsid w:val="00E7466E"/>
    <w:rsid w:val="00E75479"/>
    <w:rsid w:val="00E75514"/>
    <w:rsid w:val="00E7553B"/>
    <w:rsid w:val="00E76ACE"/>
    <w:rsid w:val="00E775D4"/>
    <w:rsid w:val="00E80149"/>
    <w:rsid w:val="00E81287"/>
    <w:rsid w:val="00E81FA5"/>
    <w:rsid w:val="00E81FDD"/>
    <w:rsid w:val="00E822C7"/>
    <w:rsid w:val="00E827E1"/>
    <w:rsid w:val="00E82A7A"/>
    <w:rsid w:val="00E82B6C"/>
    <w:rsid w:val="00E8353F"/>
    <w:rsid w:val="00E84D9E"/>
    <w:rsid w:val="00E84DEC"/>
    <w:rsid w:val="00E84ED0"/>
    <w:rsid w:val="00E86232"/>
    <w:rsid w:val="00E86421"/>
    <w:rsid w:val="00E865BD"/>
    <w:rsid w:val="00E86F1E"/>
    <w:rsid w:val="00E87122"/>
    <w:rsid w:val="00E87965"/>
    <w:rsid w:val="00E90E50"/>
    <w:rsid w:val="00E90FBA"/>
    <w:rsid w:val="00E91000"/>
    <w:rsid w:val="00E91550"/>
    <w:rsid w:val="00E926A5"/>
    <w:rsid w:val="00E94AE8"/>
    <w:rsid w:val="00E94F65"/>
    <w:rsid w:val="00E96E30"/>
    <w:rsid w:val="00E9788D"/>
    <w:rsid w:val="00E9792C"/>
    <w:rsid w:val="00E97B50"/>
    <w:rsid w:val="00EA1181"/>
    <w:rsid w:val="00EA13B5"/>
    <w:rsid w:val="00EA147B"/>
    <w:rsid w:val="00EA2799"/>
    <w:rsid w:val="00EA2EC0"/>
    <w:rsid w:val="00EA3D3D"/>
    <w:rsid w:val="00EA403A"/>
    <w:rsid w:val="00EA46F7"/>
    <w:rsid w:val="00EA6728"/>
    <w:rsid w:val="00EA72E8"/>
    <w:rsid w:val="00EA74E6"/>
    <w:rsid w:val="00EA76FF"/>
    <w:rsid w:val="00EB051C"/>
    <w:rsid w:val="00EB0645"/>
    <w:rsid w:val="00EB0A27"/>
    <w:rsid w:val="00EB0AB5"/>
    <w:rsid w:val="00EB1ADA"/>
    <w:rsid w:val="00EB29C1"/>
    <w:rsid w:val="00EB3927"/>
    <w:rsid w:val="00EB46E1"/>
    <w:rsid w:val="00EB473F"/>
    <w:rsid w:val="00EB49CC"/>
    <w:rsid w:val="00EB6DB2"/>
    <w:rsid w:val="00EB7883"/>
    <w:rsid w:val="00EB7972"/>
    <w:rsid w:val="00EC13BB"/>
    <w:rsid w:val="00EC1820"/>
    <w:rsid w:val="00EC533C"/>
    <w:rsid w:val="00EC5A06"/>
    <w:rsid w:val="00EC6543"/>
    <w:rsid w:val="00EC6B43"/>
    <w:rsid w:val="00EC6D3A"/>
    <w:rsid w:val="00EC7156"/>
    <w:rsid w:val="00EC74A8"/>
    <w:rsid w:val="00EC77F1"/>
    <w:rsid w:val="00EC78C3"/>
    <w:rsid w:val="00EC79EC"/>
    <w:rsid w:val="00ED005C"/>
    <w:rsid w:val="00ED0F23"/>
    <w:rsid w:val="00ED1206"/>
    <w:rsid w:val="00ED13C3"/>
    <w:rsid w:val="00ED18AB"/>
    <w:rsid w:val="00ED1C41"/>
    <w:rsid w:val="00ED20B6"/>
    <w:rsid w:val="00ED29C6"/>
    <w:rsid w:val="00ED2A6A"/>
    <w:rsid w:val="00ED315A"/>
    <w:rsid w:val="00ED377B"/>
    <w:rsid w:val="00ED441B"/>
    <w:rsid w:val="00ED545E"/>
    <w:rsid w:val="00ED7BC2"/>
    <w:rsid w:val="00EE0235"/>
    <w:rsid w:val="00EE1D94"/>
    <w:rsid w:val="00EE1E04"/>
    <w:rsid w:val="00EE27EF"/>
    <w:rsid w:val="00EE2FBD"/>
    <w:rsid w:val="00EE36BF"/>
    <w:rsid w:val="00EE3B11"/>
    <w:rsid w:val="00EE478C"/>
    <w:rsid w:val="00EE5E80"/>
    <w:rsid w:val="00EE5FED"/>
    <w:rsid w:val="00EE6158"/>
    <w:rsid w:val="00EE6FEF"/>
    <w:rsid w:val="00EE7CEB"/>
    <w:rsid w:val="00EE7E4C"/>
    <w:rsid w:val="00EE7F61"/>
    <w:rsid w:val="00EF0853"/>
    <w:rsid w:val="00EF15B8"/>
    <w:rsid w:val="00EF1699"/>
    <w:rsid w:val="00EF1C3A"/>
    <w:rsid w:val="00EF262D"/>
    <w:rsid w:val="00EF2B87"/>
    <w:rsid w:val="00EF3946"/>
    <w:rsid w:val="00EF4117"/>
    <w:rsid w:val="00EF5C0C"/>
    <w:rsid w:val="00EF5F9E"/>
    <w:rsid w:val="00EF6631"/>
    <w:rsid w:val="00EF688F"/>
    <w:rsid w:val="00EF6D80"/>
    <w:rsid w:val="00EF76EA"/>
    <w:rsid w:val="00F00603"/>
    <w:rsid w:val="00F0060E"/>
    <w:rsid w:val="00F01119"/>
    <w:rsid w:val="00F0175A"/>
    <w:rsid w:val="00F01CF2"/>
    <w:rsid w:val="00F01E91"/>
    <w:rsid w:val="00F0250C"/>
    <w:rsid w:val="00F03155"/>
    <w:rsid w:val="00F03666"/>
    <w:rsid w:val="00F0373A"/>
    <w:rsid w:val="00F03950"/>
    <w:rsid w:val="00F049D6"/>
    <w:rsid w:val="00F057DB"/>
    <w:rsid w:val="00F06237"/>
    <w:rsid w:val="00F0646E"/>
    <w:rsid w:val="00F1199A"/>
    <w:rsid w:val="00F12428"/>
    <w:rsid w:val="00F12491"/>
    <w:rsid w:val="00F13607"/>
    <w:rsid w:val="00F15161"/>
    <w:rsid w:val="00F161F9"/>
    <w:rsid w:val="00F173C9"/>
    <w:rsid w:val="00F20511"/>
    <w:rsid w:val="00F2127E"/>
    <w:rsid w:val="00F223D7"/>
    <w:rsid w:val="00F23C66"/>
    <w:rsid w:val="00F24CA0"/>
    <w:rsid w:val="00F25B83"/>
    <w:rsid w:val="00F25F17"/>
    <w:rsid w:val="00F27A84"/>
    <w:rsid w:val="00F3172E"/>
    <w:rsid w:val="00F3200A"/>
    <w:rsid w:val="00F324AC"/>
    <w:rsid w:val="00F32577"/>
    <w:rsid w:val="00F332F0"/>
    <w:rsid w:val="00F33C79"/>
    <w:rsid w:val="00F33D9F"/>
    <w:rsid w:val="00F33DD2"/>
    <w:rsid w:val="00F34DAF"/>
    <w:rsid w:val="00F355B5"/>
    <w:rsid w:val="00F359DE"/>
    <w:rsid w:val="00F3644C"/>
    <w:rsid w:val="00F36987"/>
    <w:rsid w:val="00F37CBC"/>
    <w:rsid w:val="00F37E4A"/>
    <w:rsid w:val="00F41E00"/>
    <w:rsid w:val="00F423CE"/>
    <w:rsid w:val="00F42580"/>
    <w:rsid w:val="00F42DA8"/>
    <w:rsid w:val="00F43371"/>
    <w:rsid w:val="00F43ACE"/>
    <w:rsid w:val="00F443A0"/>
    <w:rsid w:val="00F44B50"/>
    <w:rsid w:val="00F453DD"/>
    <w:rsid w:val="00F4549F"/>
    <w:rsid w:val="00F471FB"/>
    <w:rsid w:val="00F47818"/>
    <w:rsid w:val="00F508B3"/>
    <w:rsid w:val="00F512BB"/>
    <w:rsid w:val="00F51327"/>
    <w:rsid w:val="00F52B9D"/>
    <w:rsid w:val="00F54023"/>
    <w:rsid w:val="00F54247"/>
    <w:rsid w:val="00F545CF"/>
    <w:rsid w:val="00F5682F"/>
    <w:rsid w:val="00F569A1"/>
    <w:rsid w:val="00F5763E"/>
    <w:rsid w:val="00F6029A"/>
    <w:rsid w:val="00F6157E"/>
    <w:rsid w:val="00F63F2A"/>
    <w:rsid w:val="00F646EF"/>
    <w:rsid w:val="00F64B0A"/>
    <w:rsid w:val="00F6655D"/>
    <w:rsid w:val="00F66741"/>
    <w:rsid w:val="00F70268"/>
    <w:rsid w:val="00F71024"/>
    <w:rsid w:val="00F71666"/>
    <w:rsid w:val="00F716BD"/>
    <w:rsid w:val="00F71BA0"/>
    <w:rsid w:val="00F71BFF"/>
    <w:rsid w:val="00F72D85"/>
    <w:rsid w:val="00F73CF6"/>
    <w:rsid w:val="00F73DFC"/>
    <w:rsid w:val="00F74001"/>
    <w:rsid w:val="00F746C1"/>
    <w:rsid w:val="00F7706A"/>
    <w:rsid w:val="00F804C6"/>
    <w:rsid w:val="00F80F0A"/>
    <w:rsid w:val="00F80F3B"/>
    <w:rsid w:val="00F82691"/>
    <w:rsid w:val="00F83DF2"/>
    <w:rsid w:val="00F841DB"/>
    <w:rsid w:val="00F84BD4"/>
    <w:rsid w:val="00F84F81"/>
    <w:rsid w:val="00F856AC"/>
    <w:rsid w:val="00F86531"/>
    <w:rsid w:val="00F86EB5"/>
    <w:rsid w:val="00F86F23"/>
    <w:rsid w:val="00F87BA8"/>
    <w:rsid w:val="00F9075B"/>
    <w:rsid w:val="00F90DB0"/>
    <w:rsid w:val="00F90E07"/>
    <w:rsid w:val="00F910F0"/>
    <w:rsid w:val="00F916E1"/>
    <w:rsid w:val="00F91B9A"/>
    <w:rsid w:val="00F926E7"/>
    <w:rsid w:val="00F929FB"/>
    <w:rsid w:val="00F93E07"/>
    <w:rsid w:val="00F941D5"/>
    <w:rsid w:val="00F946E1"/>
    <w:rsid w:val="00F94A84"/>
    <w:rsid w:val="00F94EC7"/>
    <w:rsid w:val="00F9553E"/>
    <w:rsid w:val="00F95D18"/>
    <w:rsid w:val="00F96EAF"/>
    <w:rsid w:val="00FA0183"/>
    <w:rsid w:val="00FA0704"/>
    <w:rsid w:val="00FA0D13"/>
    <w:rsid w:val="00FA357F"/>
    <w:rsid w:val="00FA4722"/>
    <w:rsid w:val="00FA5643"/>
    <w:rsid w:val="00FA64F1"/>
    <w:rsid w:val="00FA7D3C"/>
    <w:rsid w:val="00FB044B"/>
    <w:rsid w:val="00FB086F"/>
    <w:rsid w:val="00FB0F92"/>
    <w:rsid w:val="00FB17EA"/>
    <w:rsid w:val="00FB19D4"/>
    <w:rsid w:val="00FB1C7A"/>
    <w:rsid w:val="00FB24BA"/>
    <w:rsid w:val="00FB2A49"/>
    <w:rsid w:val="00FB2D9C"/>
    <w:rsid w:val="00FB39E6"/>
    <w:rsid w:val="00FB4955"/>
    <w:rsid w:val="00FB55E3"/>
    <w:rsid w:val="00FB5D6F"/>
    <w:rsid w:val="00FB65AC"/>
    <w:rsid w:val="00FB6E00"/>
    <w:rsid w:val="00FB7788"/>
    <w:rsid w:val="00FC0C7B"/>
    <w:rsid w:val="00FC0E5F"/>
    <w:rsid w:val="00FC2BE8"/>
    <w:rsid w:val="00FC39BA"/>
    <w:rsid w:val="00FC436F"/>
    <w:rsid w:val="00FC5914"/>
    <w:rsid w:val="00FC6799"/>
    <w:rsid w:val="00FC6EDF"/>
    <w:rsid w:val="00FC7765"/>
    <w:rsid w:val="00FD0F60"/>
    <w:rsid w:val="00FD118E"/>
    <w:rsid w:val="00FD2A65"/>
    <w:rsid w:val="00FD2AB0"/>
    <w:rsid w:val="00FD3685"/>
    <w:rsid w:val="00FD3A69"/>
    <w:rsid w:val="00FD3D66"/>
    <w:rsid w:val="00FD3EB9"/>
    <w:rsid w:val="00FD4593"/>
    <w:rsid w:val="00FD4CB4"/>
    <w:rsid w:val="00FD4EF0"/>
    <w:rsid w:val="00FD506D"/>
    <w:rsid w:val="00FD5455"/>
    <w:rsid w:val="00FD63A1"/>
    <w:rsid w:val="00FD6E31"/>
    <w:rsid w:val="00FE044C"/>
    <w:rsid w:val="00FE0E91"/>
    <w:rsid w:val="00FE234C"/>
    <w:rsid w:val="00FE394E"/>
    <w:rsid w:val="00FE6288"/>
    <w:rsid w:val="00FE67BB"/>
    <w:rsid w:val="00FE68B2"/>
    <w:rsid w:val="00FE6ADF"/>
    <w:rsid w:val="00FE6F48"/>
    <w:rsid w:val="00FE7250"/>
    <w:rsid w:val="00FE7D7E"/>
    <w:rsid w:val="00FF0AB7"/>
    <w:rsid w:val="00FF16D1"/>
    <w:rsid w:val="00FF24B5"/>
    <w:rsid w:val="00FF2BA0"/>
    <w:rsid w:val="00FF3C13"/>
    <w:rsid w:val="00FF485C"/>
    <w:rsid w:val="00FF528C"/>
    <w:rsid w:val="00FF5A6D"/>
    <w:rsid w:val="00FF693C"/>
    <w:rsid w:val="00FF6A4B"/>
    <w:rsid w:val="1EBA9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0C22DD5"/>
  <w15:chartTrackingRefBased/>
  <w15:docId w15:val="{2780E67D-1E37-4497-8D85-9F512E74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07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7287C"/>
    <w:pPr>
      <w:numPr>
        <w:numId w:val="5"/>
      </w:numPr>
      <w:tabs>
        <w:tab w:val="left" w:pos="440"/>
        <w:tab w:val="right" w:leader="dot" w:pos="9063"/>
      </w:tabs>
      <w:spacing w:before="240"/>
      <w:ind w:right="-284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D7AC0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87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aliases w:val="Footnote text,Fussnote,stile 1,Fußnote,Podrozdział,Footnote Text Char Char,Footnote Text Char1 Char Char,Footnote Text Char Char Char Char,Footnote Text Char Char1,Char Char,Sprotna opomba - besedilo Znak1,Tekst przypis,o,ALTS FOOTNOTE,fn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Footnote text Char,Fussnote Char,stile 1 Char,Fußnote Char,Podrozdział Char,Footnote Text Char Char Char,Footnote Text Char1 Char Char Char,Footnote Text Char Char Char Char Char,Footnote Text Char Char1 Char,Char Char Char,o Char"/>
    <w:basedOn w:val="DefaultParagraphFont"/>
    <w:link w:val="FootnoteText"/>
    <w:qFormat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aliases w:val="SUPERS,(NECG) Footnote Reference,fr,EN Footnote Text,EN Footnote Reference,Footnote symbol,number,Footnote Reference Superscript,stylish,BVI fnr,-E Fußnotenzeichen,Source Reference,Footnote reference number,note TESI,Times 10 Point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Resume Title,Listes,Citation List,Ha,List Paragraph1,Body,List Paragraph_Table bullets,Bullet List Paragraph,1st level - Bullet List Paragraph,Lettre d'introduction,Paragrafo elenco,Medium Grid 1 - Accent 21,AFW Body,Normal bullet 2,Nad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B5703"/>
    <w:pPr>
      <w:tabs>
        <w:tab w:val="left" w:pos="440"/>
        <w:tab w:val="right" w:leader="dot" w:pos="9063"/>
      </w:tabs>
      <w:spacing w:before="240"/>
      <w:ind w:right="-284"/>
      <w:outlineLvl w:val="0"/>
    </w:pPr>
    <w:rPr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B5317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D7E1B"/>
    <w:rPr>
      <w:color w:val="954F72" w:themeColor="followedHyperlink"/>
      <w:u w:val="single"/>
    </w:rPr>
  </w:style>
  <w:style w:type="character" w:customStyle="1" w:styleId="ListParagraphChar">
    <w:name w:val="List Paragraph Char"/>
    <w:aliases w:val="Resume Title Char,Listes Char,Citation List Char,Ha Char,List Paragraph1 Char,Body Char,List Paragraph_Table bullets Char,Bullet List Paragraph Char,1st level - Bullet List Paragraph Char,Lettre d'introduction Char,AFW Body Char"/>
    <w:link w:val="ListParagraph"/>
    <w:uiPriority w:val="34"/>
    <w:qFormat/>
    <w:locked/>
    <w:rsid w:val="00225C52"/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EE36B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25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79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744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4268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3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7424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0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2796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20312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eader" Target="header3.xml"/><Relationship Id="rId26" Type="http://schemas.openxmlformats.org/officeDocument/2006/relationships/hyperlink" Target="mailto:Bartek.Bednarowicz@eesc.europa.eu" TargetMode="External"/><Relationship Id="rId39" Type="http://schemas.openxmlformats.org/officeDocument/2006/relationships/hyperlink" Target="https://www.eesc.europa.eu/pl/our-work/opinions-information-reports/opinions/towards-comprehensive-strategy-eu-wood-industry" TargetMode="External"/><Relationship Id="rId21" Type="http://schemas.openxmlformats.org/officeDocument/2006/relationships/hyperlink" Target="mailto:Juri.Soosaar@eesc.europa.eu" TargetMode="External"/><Relationship Id="rId34" Type="http://schemas.openxmlformats.org/officeDocument/2006/relationships/hyperlink" Target="mailto:Caroline.Verhelst@eesc.europa.eu" TargetMode="External"/><Relationship Id="rId42" Type="http://schemas.openxmlformats.org/officeDocument/2006/relationships/header" Target="header5.xml"/><Relationship Id="rId47" Type="http://schemas.openxmlformats.org/officeDocument/2006/relationships/fontTable" Target="fontTable.xml"/><Relationship Id="rId50" Type="http://schemas.openxmlformats.org/officeDocument/2006/relationships/customXml" Target="../customXml/item2.xml"/><Relationship Id="rId7" Type="http://schemas.openxmlformats.org/officeDocument/2006/relationships/settings" Target="settings.xml"/><Relationship Id="rId16" Type="http://schemas.openxmlformats.org/officeDocument/2006/relationships/footer" Target="footer1.xml"/><Relationship Id="rId29" Type="http://schemas.openxmlformats.org/officeDocument/2006/relationships/hyperlink" Target="https://www.eesc.europa.eu/pl/our-work/opinions-information-reports/opinions/alternative-dispute-resolution" TargetMode="Externa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Sergio.LorencioMatallana@eesc.europa.eu" TargetMode="External"/><Relationship Id="rId32" Type="http://schemas.openxmlformats.org/officeDocument/2006/relationships/hyperlink" Target="mailto:Dalila.Bernard@eesc.europa.eu" TargetMode="External"/><Relationship Id="rId37" Type="http://schemas.openxmlformats.org/officeDocument/2006/relationships/hyperlink" Target="https://www.eesc.europa.eu/pl/our-work/opinions-information-reports/opinions/revision-combined-transport-directive-92106eec" TargetMode="External"/><Relationship Id="rId40" Type="http://schemas.openxmlformats.org/officeDocument/2006/relationships/hyperlink" Target="mailto:Heli.Niemela-Farrer@eesc.europa.eu" TargetMode="External"/><Relationship Id="rId45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eesc.europa.eu/pl/our-work/opinions-information-reports/opinions/improving-benchmarks-and-reporting-requirements-financial-services-and-investment-support" TargetMode="External"/><Relationship Id="rId28" Type="http://schemas.openxmlformats.org/officeDocument/2006/relationships/hyperlink" Target="mailto:June.Bedaton@eesc.europa.eu" TargetMode="External"/><Relationship Id="rId36" Type="http://schemas.openxmlformats.org/officeDocument/2006/relationships/hyperlink" Target="mailto:Marco.Ristori@eesc.europa.eu" TargetMode="External"/><Relationship Id="rId49" Type="http://schemas.openxmlformats.org/officeDocument/2006/relationships/customXml" Target="../customXml/item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yperlink" Target="https://www.eesc.europa.eu/pl/our-work/opinions-information-reports/opinions/sme-relief-package" TargetMode="External"/><Relationship Id="rId44" Type="http://schemas.openxmlformats.org/officeDocument/2006/relationships/footer" Target="footer5.xml"/><Relationship Id="rId52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Colombe.Gregoire@eesc.europa.eu" TargetMode="External"/><Relationship Id="rId27" Type="http://schemas.openxmlformats.org/officeDocument/2006/relationships/hyperlink" Target="https://www.eesc.europa.eu/pl/our-work/opinions-information-reports/opinions/strengthening-civil-dialogue-and-participatory-democracy-eu-path-forward" TargetMode="External"/><Relationship Id="rId30" Type="http://schemas.openxmlformats.org/officeDocument/2006/relationships/hyperlink" Target="mailto:Silvia.Staffa@eesc.europa.eu" TargetMode="External"/><Relationship Id="rId35" Type="http://schemas.openxmlformats.org/officeDocument/2006/relationships/hyperlink" Target="https://www.eesc.europa.eu/pl/our-work/opinions-information-reports/opinions/european-economic-security-strategy" TargetMode="External"/><Relationship Id="rId43" Type="http://schemas.openxmlformats.org/officeDocument/2006/relationships/footer" Target="footer4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customXml" Target="../customXml/item3.xml"/><Relationship Id="rId12" Type="http://schemas.openxmlformats.org/officeDocument/2006/relationships/hyperlink" Target="https://www.eesc.europa.eu/pl/our-work/opinions-information-reports/plenary-session-summaries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www.eesc.europa.eu/pl/our-work/opinions-information-reports/opinions/digitalisation-social-security" TargetMode="External"/><Relationship Id="rId33" Type="http://schemas.openxmlformats.org/officeDocument/2006/relationships/hyperlink" Target="https://www.eesc.europa.eu/pl/our-work/opinions-information-reports/opinions/preventing-plastic-pellet-losses-reduce-microplastics-pollution" TargetMode="External"/><Relationship Id="rId38" Type="http://schemas.openxmlformats.org/officeDocument/2006/relationships/hyperlink" Target="mailto:Aleksandra.SarmanGrilc@eesc.europa.eu" TargetMode="External"/><Relationship Id="rId46" Type="http://schemas.openxmlformats.org/officeDocument/2006/relationships/footer" Target="footer6.xml"/><Relationship Id="rId20" Type="http://schemas.openxmlformats.org/officeDocument/2006/relationships/hyperlink" Target="https://www.eesc.europa.eu/pl/our-work/opinions-information-reports/opinions/taxation-cross-border-teleworkers-globally-and-impact-eu" TargetMode="External"/><Relationship Id="rId41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F7M6YNZUATRX-416430479-4484</_dlc_DocId>
    <_dlc_DocIdUrl xmlns="59ace41b-6786-4ce3-be71-52c27066c6ef">
      <Url>http://dm/eesc/2024/_layouts/15/DocIdRedir.aspx?ID=F7M6YNZUATRX-416430479-4484</Url>
      <Description>F7M6YNZUATRX-416430479-4484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2024-03-08T12:00:00+00:00</ProductionDate>
    <DocumentNumber xmlns="1178e5e2-058a-41a1-9851-331c7b3fffb8">286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2024-03-20T12:00:00+00:00</MeetingDate>
    <TaxCatchAll xmlns="59ace41b-6786-4ce3-be71-52c27066c6ef"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22</Value>
      <Value>21</Value>
      <Value>17</Value>
      <Value>16</Value>
      <Value>14</Value>
      <Value>13</Value>
      <Value>12</Value>
      <Value>8</Value>
      <Value>7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2630</FicheNumber>
    <OriginalSender xmlns="59ace41b-6786-4ce3-be71-52c27066c6ef">
      <UserInfo>
        <DisplayName>Wisniewska Malgorzata</DisplayName>
        <AccountId>1570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178e5e2-058a-41a1-9851-331c7b3fffb8">586</MeetingNumber>
    <DossierName_0 xmlns="http://schemas.microsoft.com/sharepoint/v3/fields">
      <Terms xmlns="http://schemas.microsoft.com/office/infopath/2007/PartnerControls"/>
    </DossierName_0>
    <DocumentVersion xmlns="59ace41b-6786-4ce3-be71-52c27066c6ef">1</DocumentVersio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20A70424F8EF14D84929FAE9E34774B" ma:contentTypeVersion="4" ma:contentTypeDescription="Defines the documents for Document Manager V2" ma:contentTypeScope="" ma:versionID="3c88e340e370a402dfed352137800822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178e5e2-058a-41a1-9851-331c7b3fffb8" targetNamespace="http://schemas.microsoft.com/office/2006/metadata/properties" ma:root="true" ma:fieldsID="cff03e2a422031f7afb63180aa455c21" ns2:_="" ns3:_="" ns4:_="">
    <xsd:import namespace="59ace41b-6786-4ce3-be71-52c27066c6ef"/>
    <xsd:import namespace="http://schemas.microsoft.com/sharepoint/v3/fields"/>
    <xsd:import namespace="1178e5e2-058a-41a1-9851-331c7b3fff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e5e2-058a-41a1-9851-331c7b3fffb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598AD-DDF6-4DFF-8EE4-756A3D6565CF}"/>
</file>

<file path=customXml/itemProps2.xml><?xml version="1.0" encoding="utf-8"?>
<ds:datastoreItem xmlns:ds="http://schemas.openxmlformats.org/officeDocument/2006/customXml" ds:itemID="{CAE0FB90-E0FB-4116-8B70-BC3EB7564143}"/>
</file>

<file path=customXml/itemProps3.xml><?xml version="1.0" encoding="utf-8"?>
<ds:datastoreItem xmlns:ds="http://schemas.openxmlformats.org/officeDocument/2006/customXml" ds:itemID="{9F8DD668-98A9-4F93-BA23-31E3D7722256}"/>
</file>

<file path=customXml/itemProps4.xml><?xml version="1.0" encoding="utf-8"?>
<ds:datastoreItem xmlns:ds="http://schemas.openxmlformats.org/officeDocument/2006/customXml" ds:itemID="{6436530E-8E09-4939-9001-1B00054C3A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4497</Words>
  <Characters>25636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- 584th Plenary Session January 2024</vt:lpstr>
    </vt:vector>
  </TitlesOfParts>
  <Company>CESE-CdR</Company>
  <LinksUpToDate>false</LinksUpToDate>
  <CharactersWithSpaces>30073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Streszczenie przyjętych opinii - 585. sesja plenarna - luty 2024 r.</dc:title>
  <dc:subject>TCD</dc:subject>
  <dc:creator>Nieddu Emma</dc:creator>
  <cp:keywords>EESC-2024-00286-00-01-TCD-TRA-EN</cp:keywords>
  <dc:description>Rapporteur:  - Original language: EN - Date of document: 08 03 2024 - Date of meeting: 30 20 2024 14:30 - External documents:  - Administrator: MME TAMASAUSKIENE Julija</dc:description>
  <cp:lastModifiedBy>Wisniewska Malgorzata</cp:lastModifiedBy>
  <cp:revision>38</cp:revision>
  <cp:lastPrinted>2023-06-15T08:00:00Z</cp:lastPrinted>
  <dcterms:created xsi:type="dcterms:W3CDTF">2024-03-06T16:02:00Z</dcterms:created>
  <dcterms:modified xsi:type="dcterms:W3CDTF">2024-03-08T06:23:00Z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06/03/2024, 27/02/2024, 29/01/2024, 03/01/2024, 13/11/2023, 25/09/2023, 25/07/2023, 30/06/2023, 23/06/2023, 26/05/2023, 07/03/2023, 11/01/2023, 10/01/2023, 29/03/2022, 04/03/2022, 15/12/2021, 13/09/2021, 03/09/2021, 28/06/2021</vt:lpwstr>
  </property>
  <property fmtid="{D5CDD505-2E9C-101B-9397-08002B2CF9AE}" pid="4" name="Pref_Time">
    <vt:lpwstr>16:49:23, 12:56:45, 17:07:09, 15:02:18, 17:01:12, 16:07:19, 11:58:41, 14:00:08, 12:39:02, 15:12:50, 10:27:54, 10:12:15, 11:41:25, 14:21:50, 16:54:06, 17:56:36, 14:13:00, 10:08:10, 08:41:48</vt:lpwstr>
  </property>
  <property fmtid="{D5CDD505-2E9C-101B-9397-08002B2CF9AE}" pid="5" name="Pref_User">
    <vt:lpwstr>jhvi, jhvi, amett, enied, amett, amett, jhvi, pacup, jhvi, pacup, enied, pacup, enied, jhvi, enied, hnic, amett, enied, enied</vt:lpwstr>
  </property>
  <property fmtid="{D5CDD505-2E9C-101B-9397-08002B2CF9AE}" pid="6" name="Pref_FileName">
    <vt:lpwstr>EESC-2024-00286-00-01-TCD-ORI.docx, EESC-2024-00286-00-00-TCD-ORI.docx, EESC-2023-05816-00-00-TCD-ORI.docx, EESC-2023-04915-00-00-TCD-ORI.docx, EESC-2023-04201-00-00-TCD-ORI.docx, EESC-2023-03625-00-00-TCD-ORI.docx, EESC-2023-03078-00-00-TCD-TRA-EN-CRR.do</vt:lpwstr>
  </property>
  <property fmtid="{D5CDD505-2E9C-101B-9397-08002B2CF9AE}" pid="7" name="ContentTypeId">
    <vt:lpwstr>0x010100EA97B91038054C99906057A708A1480A00E20A70424F8EF14D84929FAE9E34774B</vt:lpwstr>
  </property>
  <property fmtid="{D5CDD505-2E9C-101B-9397-08002B2CF9AE}" pid="8" name="_dlc_DocIdItemGuid">
    <vt:lpwstr>6bbcea31-ea2c-4409-9f19-e26df3f43c7d</vt:lpwstr>
  </property>
  <property fmtid="{D5CDD505-2E9C-101B-9397-08002B2CF9AE}" pid="9" name="AvailableTranslations">
    <vt:lpwstr>5;#EN|f2175f21-25d7-44a3-96da-d6a61b075e1b;#36;#PT|50ccc04a-eadd-42ae-a0cb-acaf45f812ba;#14;#FR|d2afafd3-4c81-4f60-8f52-ee33f2f54ff3;#30;#HR|2f555653-ed1a-4fe6-8362-9082d95989e5;#16;#DA|5d49c027-8956-412b-aa16-e85a0f96ad0e;#43;#CS|72f9705b-0217-4fd3-bea2-cbc7ed80e26e;#12;#IT|0774613c-01ed-4e5d-a25d-11d2388de825;#33;#ET|ff6c3f4c-b02c-4c3c-ab07-2c37995a7a0a;#34;#LT|a7ff5ce7-6123-4f68-865a-a57c31810414;#27;#SL|98a412ae-eb01-49e9-ae3d-585a81724cfc;#32;#HU|6b229040-c589-4408-b4c1-4285663d20a8;#21;#SV|c2ed69e7-a339-43d7-8f22-d93680a92aa0;#35;#FI|87606a43-d45f-42d6-b8c9-e1a3457db5b7;#31;#NL|55c6556c-b4f4-441d-9acf-c498d4f838bd;#22;#BG|1a1b3951-7821-4e6a-85f5-5673fc08bd2c;#37;#RO|feb747a2-64cd-4299-af12-4833ddc30497;#28;#LV|46f7e311-5d9f-4663-b433-18aeccb7ace7;#24;#ES|e7a6b05b-ae16-40c8-add9-68b64b03aeba;#29;#EL|6d4f4d51-af9b-4650-94b4-4276bee85c91;#25;#DE|f6b31e5a-26fa-4935-b661-318e46daf27e;#17;#PL|1e03da61-4678-4e07-b136-b5024ca9197b;#26;#SK|46d9fce0-ef79-4f71-b89b-cd6aa82426b8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586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286</vt:i4>
  </property>
  <property fmtid="{D5CDD505-2E9C-101B-9397-08002B2CF9AE}" pid="15" name="DocumentVersion">
    <vt:i4>1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13;#TCD|cd9d6eb6-3f4f-424a-b2d1-57c9d450eaaf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6;#Unrestricted|826e22d7-d029-4ec0-a450-0c28ff673572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7;#SPL-CES|32d8cb1f-c9ec-4365-95c7-8385a18618ac</vt:lpwstr>
  </property>
  <property fmtid="{D5CDD505-2E9C-101B-9397-08002B2CF9AE}" pid="28" name="MeetingDate">
    <vt:filetime>2024-03-20T12:00:00Z</vt:filetime>
  </property>
  <property fmtid="{D5CDD505-2E9C-101B-9397-08002B2CF9AE}" pid="29" name="AvailableTranslations_0">
    <vt:lpwstr>EN|f2175f21-25d7-44a3-96da-d6a61b075e1b;PT|50ccc04a-eadd-42ae-a0cb-acaf45f812ba;FR|d2afafd3-4c81-4f60-8f52-ee33f2f54ff3;DA|5d49c027-8956-412b-aa16-e85a0f96ad0e;IT|0774613c-01ed-4e5d-a25d-11d2388de825;ET|ff6c3f4c-b02c-4c3c-ab07-2c37995a7a0a;LT|a7ff5ce7-6123-4f68-865a-a57c31810414;SL|98a412ae-eb01-49e9-ae3d-585a81724cfc;FI|87606a43-d45f-42d6-b8c9-e1a3457db5b7;NL|55c6556c-b4f4-441d-9acf-c498d4f838bd;BG|1a1b3951-7821-4e6a-85f5-5673fc08bd2c;LV|46f7e311-5d9f-4663-b433-18aeccb7ace7;ES|e7a6b05b-ae16-40c8-add9-68b64b03aeba;DE|f6b31e5a-26fa-4935-b661-318e46daf27e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36;#PT|50ccc04a-eadd-42ae-a0cb-acaf45f812ba;#35;#FI|87606a43-d45f-42d6-b8c9-e1a3457db5b7;#34;#LT|a7ff5ce7-6123-4f68-865a-a57c31810414;#33;#ET|ff6c3f4c-b02c-4c3c-ab07-2c37995a7a0a;#31;#NL|55c6556c-b4f4-441d-9acf-c498d4f838bd;#28;#LV|46f7e311-5d9f-4663-b433-18aeccb7ace7;#27;#SL|98a412ae-eb01-49e9-ae3d-585a81724cfc;#25;#DE|f6b31e5a-26fa-4935-b661-318e46daf27e;#24;#ES|e7a6b05b-ae16-40c8-add9-68b64b03aeba;#22;#BG|1a1b3951-7821-4e6a-85f5-5673fc08bd2c;#16;#DA|5d49c027-8956-412b-aa16-e85a0f96ad0e;#14;#FR|d2afafd3-4c81-4f60-8f52-ee33f2f54ff3;#13;#TCD|cd9d6eb6-3f4f-424a-b2d1-57c9d450eaaf;#12;#IT|0774613c-01ed-4e5d-a25d-11d2388de825;#8;#Final|ea5e6674-7b27-4bac-b091-73adbb394efe;#7;#SPL-CES|32d8cb1f-c9ec-4365-95c7-8385a18618ac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2024</vt:i4>
  </property>
  <property fmtid="{D5CDD505-2E9C-101B-9397-08002B2CF9AE}" pid="36" name="FicheNumber">
    <vt:i4>2630</vt:i4>
  </property>
  <property fmtid="{D5CDD505-2E9C-101B-9397-08002B2CF9AE}" pid="37" name="DocumentLanguage">
    <vt:lpwstr>17;#PL|1e03da61-4678-4e07-b136-b5024ca9197b</vt:lpwstr>
  </property>
</Properties>
</file>