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76361" w14:paraId="785AE44C" w14:textId="465A09BA">
      <w:pPr>
        <w:jc w:val="center"/>
      </w:pPr>
      <w:bookmarkStart w:name="_Hlk141173132" w:id="0"/>
      <w:r>
        <w:rPr>
          <w:noProof/>
        </w:rPr>
        <w:drawing>
          <wp:inline distT="0" distB="0" distL="0" distR="0" wp14:anchorId="66D2B362" wp14:editId="18531504">
            <wp:extent cx="1792605" cy="1239520"/>
            <wp:effectExtent l="0" t="0" r="0" b="0"/>
            <wp:docPr id="2" name="Picture 2" title="EESCLogo_NL"/>
            <wp:cNvGraphicFramePr/>
            <a:graphic xmlns:a="http://schemas.openxmlformats.org/drawingml/2006/main">
              <a:graphicData uri="http://schemas.openxmlformats.org/drawingml/2006/picture">
                <pic:pic xmlns:pic="http://schemas.openxmlformats.org/drawingml/2006/picture">
                  <pic:nvPicPr>
                    <pic:cNvPr id="2" name="Picture 2"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8240"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Pr="00094B6B" w:rsidR="004D7AC0" w:rsidP="00775FC4" w:rsidRDefault="00014C93" w14:paraId="45DE4A28" w14:textId="5402B3AE">
      <w:pPr>
        <w:jc w:val="right"/>
      </w:pPr>
      <w:r>
        <w:t>Brussel, 18 maart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w:t>
            </w:r>
            <w:r>
              <w:rPr>
                <w:b/>
                <w:sz w:val="32"/>
                <w:vertAlign w:val="superscript"/>
              </w:rPr>
              <w:t>e</w:t>
            </w:r>
            <w:r>
              <w:rPr>
                <w:b/>
                <w:sz w:val="32"/>
              </w:rPr>
              <w:t xml:space="preserve"> ZITTING</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14 en 15 februari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SAMENVATTING VAN DE GOEDGEKEURDE ADVIEZEN, RESOLUTIES, INFORMATIEVE RAPPORTEN EN EVALUATIEVERSLAGEN</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Dit document is in de officiële talen op te vragen op de website van het EESC:</w:t>
            </w:r>
          </w:p>
          <w:p w:rsidRPr="00094B6B" w:rsidR="00B16284" w:rsidP="00775FC4" w:rsidRDefault="00B16284" w14:paraId="4F26A4CE" w14:textId="77777777">
            <w:pPr>
              <w:snapToGrid w:val="0"/>
              <w:jc w:val="center"/>
            </w:pPr>
          </w:p>
          <w:p w:rsidRPr="00094B6B" w:rsidR="004D7AC0" w:rsidP="00775FC4" w:rsidRDefault="003D2634" w14:paraId="2A9352A2" w14:textId="0680ADB6">
            <w:pPr>
              <w:snapToGrid w:val="0"/>
              <w:jc w:val="center"/>
            </w:pPr>
            <w:hyperlink w:history="1" r:id="rId12">
              <w:r w:rsidR="00176361">
                <w:rPr>
                  <w:rStyle w:val="Hyperlink"/>
                  <w:highlight w:val="yellow"/>
                </w:rPr>
                <w:t>https://www.eesc.europa.eu/nl/our-work/opinions-information-reports/plenary-session-summaries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De genoemde adviezen kunnen online worden geraadpleegd via de zoekmachine van het EESC:</w:t>
            </w:r>
          </w:p>
          <w:p w:rsidRPr="00094B6B" w:rsidR="00B16284" w:rsidP="00775FC4" w:rsidRDefault="00B16284" w14:paraId="7A5411A5" w14:textId="77777777">
            <w:pPr>
              <w:snapToGrid w:val="0"/>
              <w:jc w:val="center"/>
            </w:pPr>
          </w:p>
          <w:p w:rsidRPr="00094B6B" w:rsidR="004D7AC0" w:rsidP="00775FC4" w:rsidRDefault="003D2634" w14:paraId="441AC4DD" w14:textId="1194D751">
            <w:pPr>
              <w:snapToGrid w:val="0"/>
              <w:jc w:val="center"/>
            </w:pPr>
            <w:hyperlink w:history="1" r:id="rId13">
              <w:r w:rsidR="00176361">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Inhoudsopgave</w:t>
          </w:r>
        </w:p>
        <w:p w:rsidR="003D5C61" w:rsidRDefault="00544D95" w14:paraId="5ED084B9" w14:textId="429D2367">
          <w:pPr>
            <w:pStyle w:val="TOC1"/>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60695051">
            <w:r w:rsidRPr="00EF613A" w:rsidR="003D5C61">
              <w:rPr>
                <w:rStyle w:val="Hyperlink"/>
                <w14:scene3d>
                  <w14:camera w14:prst="orthographicFront"/>
                  <w14:lightRig w14:rig="threePt" w14:dir="t">
                    <w14:rot w14:lat="0" w14:lon="0" w14:rev="0"/>
                  </w14:lightRig>
                </w14:scene3d>
              </w:rPr>
              <w:t>1.</w:t>
            </w:r>
            <w:r w:rsidR="003D5C61">
              <w:rPr>
                <w:rFonts w:asciiTheme="minorHAnsi" w:hAnsiTheme="minorHAnsi" w:eastAsiaTheme="minorEastAsia" w:cstheme="minorBidi"/>
                <w:bCs w:val="0"/>
                <w:sz w:val="22"/>
                <w:szCs w:val="22"/>
                <w:lang w:val="fr-BE" w:eastAsia="fr-BE"/>
              </w:rPr>
              <w:tab/>
            </w:r>
            <w:r w:rsidRPr="00EF613A" w:rsidR="003D5C61">
              <w:rPr>
                <w:rStyle w:val="Hyperlink"/>
                <w:b/>
              </w:rPr>
              <w:t>ECONOMISCHE EN MONETAIRE UNIE, ECONOMISCHE EN SOCIALE SAMENHANG</w:t>
            </w:r>
            <w:r w:rsidR="003D5C61">
              <w:rPr>
                <w:webHidden/>
              </w:rPr>
              <w:tab/>
            </w:r>
            <w:r w:rsidR="003D5C61">
              <w:rPr>
                <w:webHidden/>
              </w:rPr>
              <w:fldChar w:fldCharType="begin"/>
            </w:r>
            <w:r w:rsidR="003D5C61">
              <w:rPr>
                <w:webHidden/>
              </w:rPr>
              <w:instrText xml:space="preserve"> PAGEREF _Toc160695051 \h </w:instrText>
            </w:r>
            <w:r w:rsidR="003D5C61">
              <w:rPr>
                <w:webHidden/>
              </w:rPr>
            </w:r>
            <w:r w:rsidR="003D5C61">
              <w:rPr>
                <w:webHidden/>
              </w:rPr>
              <w:fldChar w:fldCharType="separate"/>
            </w:r>
            <w:r w:rsidR="00E26AE7">
              <w:rPr>
                <w:webHidden/>
              </w:rPr>
              <w:t>3</w:t>
            </w:r>
            <w:r w:rsidR="003D5C61">
              <w:rPr>
                <w:webHidden/>
              </w:rPr>
              <w:fldChar w:fldCharType="end"/>
            </w:r>
          </w:hyperlink>
        </w:p>
        <w:p w:rsidR="003D5C61" w:rsidRDefault="003D5C61" w14:paraId="75C2DB47" w14:textId="16F4586C">
          <w:pPr>
            <w:pStyle w:val="TOC1"/>
            <w:rPr>
              <w:rFonts w:asciiTheme="minorHAnsi" w:hAnsiTheme="minorHAnsi" w:eastAsiaTheme="minorEastAsia" w:cstheme="minorBidi"/>
              <w:bCs w:val="0"/>
              <w:sz w:val="22"/>
              <w:szCs w:val="22"/>
              <w:lang w:val="fr-BE" w:eastAsia="fr-BE"/>
            </w:rPr>
          </w:pPr>
          <w:hyperlink w:history="1" w:anchor="_Toc160695063">
            <w:r w:rsidRPr="00EF613A">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EF613A">
              <w:rPr>
                <w:rStyle w:val="Hyperlink"/>
                <w:b/>
              </w:rPr>
              <w:t>WERKGELEGENHEID, SOCIALE ZAKEN EN BURGERSCHAP</w:t>
            </w:r>
            <w:r>
              <w:rPr>
                <w:webHidden/>
              </w:rPr>
              <w:tab/>
            </w:r>
            <w:r>
              <w:rPr>
                <w:webHidden/>
              </w:rPr>
              <w:fldChar w:fldCharType="begin"/>
            </w:r>
            <w:r>
              <w:rPr>
                <w:webHidden/>
              </w:rPr>
              <w:instrText xml:space="preserve"> PAGEREF _Toc160695063 \h </w:instrText>
            </w:r>
            <w:r>
              <w:rPr>
                <w:webHidden/>
              </w:rPr>
            </w:r>
            <w:r>
              <w:rPr>
                <w:webHidden/>
              </w:rPr>
              <w:fldChar w:fldCharType="separate"/>
            </w:r>
            <w:r w:rsidR="00E26AE7">
              <w:rPr>
                <w:webHidden/>
              </w:rPr>
              <w:t>7</w:t>
            </w:r>
            <w:r>
              <w:rPr>
                <w:webHidden/>
              </w:rPr>
              <w:fldChar w:fldCharType="end"/>
            </w:r>
          </w:hyperlink>
        </w:p>
        <w:p w:rsidR="003D5C61" w:rsidRDefault="003D5C61" w14:paraId="4F633132" w14:textId="55199AB7">
          <w:pPr>
            <w:pStyle w:val="TOC1"/>
            <w:rPr>
              <w:rFonts w:asciiTheme="minorHAnsi" w:hAnsiTheme="minorHAnsi" w:eastAsiaTheme="minorEastAsia" w:cstheme="minorBidi"/>
              <w:bCs w:val="0"/>
              <w:sz w:val="22"/>
              <w:szCs w:val="22"/>
              <w:lang w:val="fr-BE" w:eastAsia="fr-BE"/>
            </w:rPr>
          </w:pPr>
          <w:hyperlink w:history="1" w:anchor="_Toc160695064">
            <w:r w:rsidRPr="00EF613A">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EF613A">
              <w:rPr>
                <w:rStyle w:val="Hyperlink"/>
                <w:b/>
              </w:rPr>
              <w:t>INTERNE MARKT, PRODUCTIE EN CONSUMPTIE</w:t>
            </w:r>
            <w:r>
              <w:rPr>
                <w:webHidden/>
              </w:rPr>
              <w:tab/>
            </w:r>
            <w:r>
              <w:rPr>
                <w:webHidden/>
              </w:rPr>
              <w:fldChar w:fldCharType="begin"/>
            </w:r>
            <w:r>
              <w:rPr>
                <w:webHidden/>
              </w:rPr>
              <w:instrText xml:space="preserve"> PAGEREF _Toc160695064 \h </w:instrText>
            </w:r>
            <w:r>
              <w:rPr>
                <w:webHidden/>
              </w:rPr>
            </w:r>
            <w:r>
              <w:rPr>
                <w:webHidden/>
              </w:rPr>
              <w:fldChar w:fldCharType="separate"/>
            </w:r>
            <w:r w:rsidR="00E26AE7">
              <w:rPr>
                <w:webHidden/>
              </w:rPr>
              <w:t>10</w:t>
            </w:r>
            <w:r>
              <w:rPr>
                <w:webHidden/>
              </w:rPr>
              <w:fldChar w:fldCharType="end"/>
            </w:r>
          </w:hyperlink>
        </w:p>
        <w:p w:rsidR="003D5C61" w:rsidRDefault="003D5C61" w14:paraId="2B63357D" w14:textId="1043BAF7">
          <w:pPr>
            <w:pStyle w:val="TOC1"/>
            <w:rPr>
              <w:rFonts w:asciiTheme="minorHAnsi" w:hAnsiTheme="minorHAnsi" w:eastAsiaTheme="minorEastAsia" w:cstheme="minorBidi"/>
              <w:bCs w:val="0"/>
              <w:sz w:val="22"/>
              <w:szCs w:val="22"/>
              <w:lang w:val="fr-BE" w:eastAsia="fr-BE"/>
            </w:rPr>
          </w:pPr>
          <w:hyperlink w:history="1" w:anchor="_Toc160695065">
            <w:r w:rsidRPr="00EF613A">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EF613A">
              <w:rPr>
                <w:rStyle w:val="Hyperlink"/>
                <w:b/>
              </w:rPr>
              <w:t>LANDBOUW, PLATTELANDSONTWIKKELING EN MILIEU</w:t>
            </w:r>
            <w:r>
              <w:rPr>
                <w:webHidden/>
              </w:rPr>
              <w:tab/>
            </w:r>
            <w:r>
              <w:rPr>
                <w:webHidden/>
              </w:rPr>
              <w:fldChar w:fldCharType="begin"/>
            </w:r>
            <w:r>
              <w:rPr>
                <w:webHidden/>
              </w:rPr>
              <w:instrText xml:space="preserve"> PAGEREF _Toc160695065 \h </w:instrText>
            </w:r>
            <w:r>
              <w:rPr>
                <w:webHidden/>
              </w:rPr>
            </w:r>
            <w:r>
              <w:rPr>
                <w:webHidden/>
              </w:rPr>
              <w:fldChar w:fldCharType="separate"/>
            </w:r>
            <w:r w:rsidR="00E26AE7">
              <w:rPr>
                <w:webHidden/>
              </w:rPr>
              <w:t>12</w:t>
            </w:r>
            <w:r>
              <w:rPr>
                <w:webHidden/>
              </w:rPr>
              <w:fldChar w:fldCharType="end"/>
            </w:r>
          </w:hyperlink>
        </w:p>
        <w:p w:rsidR="003D5C61" w:rsidRDefault="003D5C61" w14:paraId="63F9E8A9" w14:textId="6A0F3970">
          <w:pPr>
            <w:pStyle w:val="TOC1"/>
            <w:rPr>
              <w:rFonts w:asciiTheme="minorHAnsi" w:hAnsiTheme="minorHAnsi" w:eastAsiaTheme="minorEastAsia" w:cstheme="minorBidi"/>
              <w:bCs w:val="0"/>
              <w:sz w:val="22"/>
              <w:szCs w:val="22"/>
              <w:lang w:val="fr-BE" w:eastAsia="fr-BE"/>
            </w:rPr>
          </w:pPr>
          <w:hyperlink w:history="1" w:anchor="_Toc160695076">
            <w:r w:rsidRPr="00EF613A">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EF613A">
              <w:rPr>
                <w:rStyle w:val="Hyperlink"/>
                <w:b/>
              </w:rPr>
              <w:t>EXTERNE BETREKKINGEN</w:t>
            </w:r>
            <w:r>
              <w:rPr>
                <w:webHidden/>
              </w:rPr>
              <w:tab/>
            </w:r>
            <w:r>
              <w:rPr>
                <w:webHidden/>
              </w:rPr>
              <w:fldChar w:fldCharType="begin"/>
            </w:r>
            <w:r>
              <w:rPr>
                <w:webHidden/>
              </w:rPr>
              <w:instrText xml:space="preserve"> PAGEREF _Toc160695076 \h </w:instrText>
            </w:r>
            <w:r>
              <w:rPr>
                <w:webHidden/>
              </w:rPr>
            </w:r>
            <w:r>
              <w:rPr>
                <w:webHidden/>
              </w:rPr>
              <w:fldChar w:fldCharType="separate"/>
            </w:r>
            <w:r w:rsidR="00E26AE7">
              <w:rPr>
                <w:webHidden/>
              </w:rPr>
              <w:t>14</w:t>
            </w:r>
            <w:r>
              <w:rPr>
                <w:webHidden/>
              </w:rPr>
              <w:fldChar w:fldCharType="end"/>
            </w:r>
          </w:hyperlink>
        </w:p>
        <w:p w:rsidR="003D5C61" w:rsidRDefault="003D5C61" w14:paraId="055F9395" w14:textId="6A7A2858">
          <w:pPr>
            <w:pStyle w:val="TOC1"/>
            <w:rPr>
              <w:rFonts w:asciiTheme="minorHAnsi" w:hAnsiTheme="minorHAnsi" w:eastAsiaTheme="minorEastAsia" w:cstheme="minorBidi"/>
              <w:bCs w:val="0"/>
              <w:sz w:val="22"/>
              <w:szCs w:val="22"/>
              <w:lang w:val="fr-BE" w:eastAsia="fr-BE"/>
            </w:rPr>
          </w:pPr>
          <w:hyperlink w:history="1" w:anchor="_Toc160695077">
            <w:r w:rsidRPr="00EF613A">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fr-BE" w:eastAsia="fr-BE"/>
              </w:rPr>
              <w:tab/>
            </w:r>
            <w:r w:rsidRPr="00EF613A">
              <w:rPr>
                <w:rStyle w:val="Hyperlink"/>
                <w:b/>
              </w:rPr>
              <w:t>VERVOER, ENERGIE, INFRASTRUCTUUR EN INFORMATIEMAATSCHAPPIJ</w:t>
            </w:r>
            <w:r>
              <w:rPr>
                <w:webHidden/>
              </w:rPr>
              <w:tab/>
            </w:r>
            <w:r>
              <w:rPr>
                <w:webHidden/>
              </w:rPr>
              <w:fldChar w:fldCharType="begin"/>
            </w:r>
            <w:r>
              <w:rPr>
                <w:webHidden/>
              </w:rPr>
              <w:instrText xml:space="preserve"> PAGEREF _Toc160695077 \h </w:instrText>
            </w:r>
            <w:r>
              <w:rPr>
                <w:webHidden/>
              </w:rPr>
            </w:r>
            <w:r>
              <w:rPr>
                <w:webHidden/>
              </w:rPr>
              <w:fldChar w:fldCharType="separate"/>
            </w:r>
            <w:r w:rsidR="00E26AE7">
              <w:rPr>
                <w:webHidden/>
              </w:rPr>
              <w:t>15</w:t>
            </w:r>
            <w:r>
              <w:rPr>
                <w:webHidden/>
              </w:rPr>
              <w:fldChar w:fldCharType="end"/>
            </w:r>
          </w:hyperlink>
        </w:p>
        <w:p w:rsidR="003D5C61" w:rsidRDefault="003D5C61" w14:paraId="3EAD7C18" w14:textId="746DEC97">
          <w:pPr>
            <w:pStyle w:val="TOC1"/>
            <w:rPr>
              <w:rFonts w:asciiTheme="minorHAnsi" w:hAnsiTheme="minorHAnsi" w:eastAsiaTheme="minorEastAsia" w:cstheme="minorBidi"/>
              <w:bCs w:val="0"/>
              <w:sz w:val="22"/>
              <w:szCs w:val="22"/>
              <w:lang w:val="fr-BE" w:eastAsia="fr-BE"/>
            </w:rPr>
          </w:pPr>
          <w:hyperlink w:history="1" w:anchor="_Toc160695078">
            <w:r w:rsidRPr="00EF613A">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fr-BE" w:eastAsia="fr-BE"/>
              </w:rPr>
              <w:tab/>
            </w:r>
            <w:r w:rsidRPr="00EF613A">
              <w:rPr>
                <w:rStyle w:val="Hyperlink"/>
                <w:b/>
              </w:rPr>
              <w:t>ADVIESCOMMISSIE INDUSTRIËLE RECONVERSIE</w:t>
            </w:r>
            <w:r>
              <w:rPr>
                <w:webHidden/>
              </w:rPr>
              <w:tab/>
            </w:r>
            <w:r>
              <w:rPr>
                <w:webHidden/>
              </w:rPr>
              <w:fldChar w:fldCharType="begin"/>
            </w:r>
            <w:r>
              <w:rPr>
                <w:webHidden/>
              </w:rPr>
              <w:instrText xml:space="preserve"> PAGEREF _Toc160695078 \h </w:instrText>
            </w:r>
            <w:r>
              <w:rPr>
                <w:webHidden/>
              </w:rPr>
            </w:r>
            <w:r>
              <w:rPr>
                <w:webHidden/>
              </w:rPr>
              <w:fldChar w:fldCharType="separate"/>
            </w:r>
            <w:r w:rsidR="00E26AE7">
              <w:rPr>
                <w:webHidden/>
              </w:rPr>
              <w:t>16</w:t>
            </w:r>
            <w:r>
              <w:rPr>
                <w:webHidden/>
              </w:rPr>
              <w:fldChar w:fldCharType="end"/>
            </w:r>
          </w:hyperlink>
        </w:p>
        <w:p w:rsidRPr="00544D95" w:rsidR="00544D95" w:rsidP="00544D95" w:rsidRDefault="00544D95" w14:paraId="589C47D7" w14:textId="207E6AB4">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4713069C">
      <w:pPr>
        <w:pStyle w:val="Heading1"/>
        <w:spacing w:before="0"/>
        <w:ind w:left="930" w:hanging="928"/>
        <w:rPr>
          <w:b/>
          <w:bCs/>
        </w:rPr>
      </w:pPr>
      <w:bookmarkStart w:name="_Toc160695051" w:id="1"/>
      <w:r>
        <w:rPr>
          <w:b/>
        </w:rPr>
        <w:t>ECONOMISCHE EN MONETAIRE UNIE, ECONOMISCHE EN SOCIALE SAMENHANG</w:t>
      </w:r>
      <w:bookmarkEnd w:id="1"/>
    </w:p>
    <w:p w:rsidRPr="00115BBC" w:rsidR="00115BBC" w:rsidP="00115BBC" w:rsidRDefault="00115BBC" w14:paraId="5C4FD48E" w14:textId="77777777"/>
    <w:p w:rsidRPr="00CF3B63" w:rsidR="00CF3B63" w:rsidP="00CC4510" w:rsidRDefault="003D2634"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00176361">
          <w:rPr>
            <w:b/>
            <w:i/>
            <w:color w:val="0000FF"/>
            <w:sz w:val="28"/>
            <w:u w:val="single"/>
          </w:rPr>
          <w:t>Belastingheffing voor grensoverschrijdende telewerkers wereldwijd en de gevolgen voor de EU</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670"/>
      </w:tblGrid>
      <w:tr w:rsidRPr="00CF3B63" w:rsidR="00E73010" w:rsidTr="00B17F65" w14:paraId="751D3B32" w14:textId="77777777">
        <w:tc>
          <w:tcPr>
            <w:tcW w:w="1701" w:type="dxa"/>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Pr>
                <w:b/>
              </w:rPr>
              <w:t>Rapporteur</w:t>
            </w:r>
          </w:p>
        </w:tc>
        <w:tc>
          <w:tcPr>
            <w:tcW w:w="5670" w:type="dxa"/>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r>
              <w:t>Krister ANDERSSON (groep Werkgevers – SE)</w:t>
            </w:r>
          </w:p>
        </w:tc>
      </w:tr>
      <w:tr w:rsidRPr="00CF3B63" w:rsidR="00E73010" w:rsidTr="00B17F65" w14:paraId="744149D0" w14:textId="77777777">
        <w:tc>
          <w:tcPr>
            <w:tcW w:w="1701" w:type="dxa"/>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B17F65" w14:paraId="46478281" w14:textId="77777777">
        <w:tc>
          <w:tcPr>
            <w:tcW w:w="1701" w:type="dxa"/>
          </w:tcPr>
          <w:p w:rsidRPr="00CF3B63"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Pr>
                <w:b/>
              </w:rPr>
              <w:t>Referentiedocumenten</w:t>
            </w:r>
          </w:p>
        </w:tc>
        <w:tc>
          <w:tcPr>
            <w:tcW w:w="5670" w:type="dxa"/>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t>Initiatiefadvies</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t>EESC-2023-00860-00-AC</w:t>
            </w:r>
          </w:p>
        </w:tc>
      </w:tr>
      <w:tr w:rsidRPr="00CF3B63" w:rsidR="00E73010" w:rsidTr="00B17F65" w14:paraId="65C7AC0C" w14:textId="77777777">
        <w:tc>
          <w:tcPr>
            <w:tcW w:w="1701" w:type="dxa"/>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Pr>
          <w:b/>
        </w:rPr>
        <w:t>Hoofdpunten</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t>Het EESC:</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benadrukt dat globalisering en digitalisering in de afgelopen tien jaar nieuwe mogelijkheden hebben gecreëerd om op afstand te werken. De COVID-19-pandemie heeft een ongekende verandering teweeggebracht in zowel het leven van werknemers als in de werkwijze van bedrijven, wat ertoe heeft geleid dat telewerken exponentieel is toegenomen;</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wijst erop dat met de nieuwe technologie exact hetzelfde werk kan worden gedaan zonder dat men fysiek aanwezig hoeft te zijn. Dit betekent ook dat veel meer mensen vanuit een ander land op afstand kunnen werken en dat het aantal grensoverschrijdende telewerkers drastisch is gestegen;</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is van mening dat het de voorkeur verdient om het inkomen van werknemers te belasten als looninkomen in het land waar de werkgever is gevestigd. Een dergelijke regeling zou de zaken eenvoudiger maken voor werknemers en zou ook aantrekkelijk kunnen zijn voor werkgevers. Om het verlies aan inkomsten in het land van verblijf van de werknemer te compenseren, zou waarschijnlijk een mechanisme voor het delen van inkomsten nodig zijn;</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stelt voor dat de belastingautoriteiten het inkomen tussen de landen kunnen verdelen aan de hand van gegevens over de feitelijke aanwezigheid van personen in de betrokken staten (die door de werkgever worden doorgegeven aan de belastingautoriteit in zijn land van vestiging, waardoor de werkgever als one-stop shop fungeert) of aan de hand van een macro-economische aggregatiesleutel.</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CF3B63" w:rsidR="00CF3B63" w:rsidTr="00B05454" w14:paraId="4CD566CB" w14:textId="77777777">
        <w:tc>
          <w:tcPr>
            <w:tcW w:w="1418" w:type="dxa"/>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CF3B63" w:rsidR="00CF3B63" w:rsidP="00CF3B63" w:rsidRDefault="00CF3B63" w14:paraId="2BAAA700" w14:textId="77777777">
            <w:pPr>
              <w:overflowPunct w:val="0"/>
              <w:autoSpaceDE w:val="0"/>
              <w:autoSpaceDN w:val="0"/>
              <w:adjustRightInd w:val="0"/>
              <w:spacing w:line="240" w:lineRule="auto"/>
              <w:textAlignment w:val="baseline"/>
              <w:rPr>
                <w:i/>
              </w:rPr>
            </w:pPr>
            <w:r>
              <w:rPr>
                <w:i/>
              </w:rPr>
              <w:t xml:space="preserve">Jüri Soosaar </w:t>
            </w:r>
          </w:p>
        </w:tc>
      </w:tr>
      <w:tr w:rsidRPr="00CF3B63" w:rsidR="00CF3B63" w:rsidTr="00B05454" w14:paraId="0CCC2A7E" w14:textId="77777777">
        <w:tc>
          <w:tcPr>
            <w:tcW w:w="1418" w:type="dxa"/>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Pr>
                <w:i/>
              </w:rPr>
              <w:t>Tel.</w:t>
            </w:r>
          </w:p>
        </w:tc>
        <w:tc>
          <w:tcPr>
            <w:tcW w:w="5670" w:type="dxa"/>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Pr>
                <w:i/>
              </w:rPr>
              <w:t>+32 25469628</w:t>
            </w:r>
          </w:p>
        </w:tc>
      </w:tr>
      <w:tr w:rsidRPr="00CF3B63" w:rsidR="00CF3B63" w:rsidTr="00B05454" w14:paraId="52648DE1" w14:textId="77777777">
        <w:tc>
          <w:tcPr>
            <w:tcW w:w="1418" w:type="dxa"/>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E-mail</w:t>
            </w:r>
          </w:p>
        </w:tc>
        <w:tc>
          <w:tcPr>
            <w:tcW w:w="5670" w:type="dxa"/>
          </w:tcPr>
          <w:p w:rsidRPr="00CF3B63" w:rsidR="00CF3B63" w:rsidRDefault="003D2634" w14:paraId="34CDB34E" w14:textId="0A67A9F1">
            <w:pPr>
              <w:overflowPunct w:val="0"/>
              <w:autoSpaceDE w:val="0"/>
              <w:autoSpaceDN w:val="0"/>
              <w:adjustRightInd w:val="0"/>
              <w:spacing w:line="240" w:lineRule="auto"/>
              <w:textAlignment w:val="baseline"/>
              <w:rPr>
                <w:i/>
              </w:rPr>
            </w:pPr>
            <w:hyperlink w:history="1" r:id="rId21">
              <w:r w:rsidR="00176361">
                <w:rPr>
                  <w:color w:val="0000FF"/>
                  <w:u w:val="single"/>
                </w:rPr>
                <w:t>Juri.Soosaar@eesc.europa.eu</w:t>
              </w:r>
            </w:hyperlink>
            <w:r w:rsidR="00176361">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br w:type="page"/>
      </w:r>
    </w:p>
    <w:bookmarkStart w:name="_Toc159831758" w:id="2"/>
    <w:p w:rsidRPr="00DA68C7" w:rsidR="00A32597" w:rsidP="00CC4510" w:rsidRDefault="004716B8" w14:paraId="1BD9833F" w14:textId="1748A743">
      <w:pPr>
        <w:pStyle w:val="ListParagraph"/>
        <w:numPr>
          <w:ilvl w:val="0"/>
          <w:numId w:val="16"/>
        </w:numPr>
        <w:shd w:val="clear" w:color="auto" w:fill="FFFFFF"/>
        <w:ind w:hanging="578"/>
        <w:outlineLvl w:val="0"/>
        <w:rPr>
          <w:b/>
          <w:kern w:val="28"/>
        </w:rPr>
      </w:pPr>
      <w:r>
        <w:lastRenderedPageBreak/>
        <w:fldChar w:fldCharType="begin"/>
      </w:r>
      <w:r>
        <w:instrText xml:space="preserve"> HYPERLINK "https://www.eesc.europa.eu/nl/our-work/opinions-information-reports/opinions/annual-sustainable-growth-survey-2024" </w:instrText>
      </w:r>
      <w:r>
        <w:fldChar w:fldCharType="separate"/>
      </w:r>
      <w:bookmarkStart w:name="_Toc160695052" w:id="3"/>
      <w:r>
        <w:rPr>
          <w:b/>
          <w:i/>
          <w:color w:val="0000FF"/>
          <w:sz w:val="28"/>
          <w:u w:val="single"/>
        </w:rPr>
        <w:t>Jaarlijkse duurzamegroeianalyse 2024</w:t>
      </w:r>
      <w:bookmarkEnd w:id="2"/>
      <w:bookmarkEnd w:id="3"/>
      <w:r>
        <w:rPr>
          <w:b/>
          <w:i/>
          <w:color w:val="0000FF"/>
          <w:sz w:val="28"/>
          <w:u w:val="single"/>
        </w:rPr>
        <w:fldChar w:fldCharType="end"/>
      </w: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rPr>
            </w:pPr>
            <w:r>
              <w:rPr>
                <w:b/>
              </w:rPr>
              <w:t>Rapporteur</w:t>
            </w:r>
          </w:p>
        </w:tc>
        <w:tc>
          <w:tcPr>
            <w:tcW w:w="7371" w:type="dxa"/>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rPr>
            </w:pPr>
            <w:r>
              <w:t xml:space="preserve">Elena-Alexandra CALISTRU (groep Maatschappelijke Organisaties –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91"/>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rPr>
            </w:pPr>
            <w:r>
              <w:rPr>
                <w:b/>
              </w:rPr>
              <w:t>Referentiedocumenten</w:t>
            </w:r>
          </w:p>
        </w:tc>
        <w:tc>
          <w:tcPr>
            <w:tcW w:w="5670" w:type="dxa"/>
          </w:tcPr>
          <w:p w:rsidRPr="00A32597" w:rsidR="00A32597" w:rsidP="00CC4510" w:rsidRDefault="00A32597" w14:paraId="7CE58217" w14:textId="77777777">
            <w:pPr>
              <w:tabs>
                <w:tab w:val="center" w:pos="284"/>
              </w:tabs>
              <w:spacing w:line="240" w:lineRule="auto"/>
              <w:ind w:left="266"/>
              <w:jc w:val="left"/>
            </w:pPr>
            <w:r>
              <w:t>COM(2023) 901 final</w:t>
            </w:r>
          </w:p>
          <w:p w:rsidRPr="00A32597" w:rsidR="00A32597" w:rsidP="00CC4510" w:rsidRDefault="00A32597" w14:paraId="0BBCB268" w14:textId="77777777">
            <w:pPr>
              <w:tabs>
                <w:tab w:val="center" w:pos="284"/>
              </w:tabs>
              <w:spacing w:line="240" w:lineRule="auto"/>
              <w:ind w:left="266"/>
              <w:jc w:val="left"/>
            </w:pPr>
            <w:r>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Pr>
          <w:b/>
        </w:rPr>
        <w:t>Hoofdpunten</w:t>
      </w:r>
    </w:p>
    <w:p w:rsidR="00A32597" w:rsidP="00CC4510" w:rsidRDefault="00A32597" w14:paraId="6878A780" w14:textId="62407221">
      <w:pPr>
        <w:spacing w:after="80" w:line="360" w:lineRule="auto"/>
        <w:ind w:firstLine="284"/>
        <w:rPr>
          <w:rFonts w:eastAsia="Calibri"/>
        </w:rPr>
      </w:pPr>
      <w:r>
        <w:t xml:space="preserve">Het EESC: </w:t>
      </w:r>
    </w:p>
    <w:p w:rsidRPr="00A32597" w:rsidR="00A32597" w:rsidP="00CC4510" w:rsidRDefault="00A32597" w14:paraId="77BED355" w14:textId="77777777">
      <w:pPr>
        <w:numPr>
          <w:ilvl w:val="0"/>
          <w:numId w:val="17"/>
        </w:numPr>
        <w:spacing w:line="276" w:lineRule="auto"/>
        <w:ind w:left="284" w:hanging="284"/>
        <w:outlineLvl w:val="1"/>
      </w:pPr>
      <w:bookmarkStart w:name="_Toc159831759" w:id="4"/>
      <w:bookmarkStart w:name="_Toc160695053" w:id="5"/>
      <w:r>
        <w:t>beveelt aan dat de Europese Centrale Bank (ECB) de economische risico’s nauwlettend in het oog houdt en een zorgvuldige noodplanning maakt om geloofwaardige inflatievooruitzichten te waarborgen; raadt de ECB aan klaar te staan om het beleid aan te passen indien de inflatie trager daalt dan voorspeld, weer gaat stijgen of juist te ver onder de 2 % uitkomt, en pleit derhalve met het oog op de geloofwaardigheid van de inflatievooruitzichten voor een duidelijkere noodplanning;</w:t>
      </w:r>
      <w:bookmarkEnd w:id="4"/>
      <w:bookmarkEnd w:id="5"/>
    </w:p>
    <w:p w:rsidRPr="00A32597" w:rsidR="00A32597" w:rsidP="00CC4510" w:rsidRDefault="00A32597" w14:paraId="6EBE4B0D" w14:textId="77777777">
      <w:pPr>
        <w:numPr>
          <w:ilvl w:val="0"/>
          <w:numId w:val="17"/>
        </w:numPr>
        <w:spacing w:line="276" w:lineRule="auto"/>
        <w:ind w:left="284" w:hanging="284"/>
        <w:outlineLvl w:val="1"/>
      </w:pPr>
      <w:bookmarkStart w:name="_Toc159831760" w:id="6"/>
      <w:bookmarkStart w:name="_Toc160695054" w:id="7"/>
      <w:r>
        <w:t>dringt erop aan dat nationale parlementen, regionale en lokale overheden, maatschappelijk middenveld en sociale partners concreet bij de hervorming van het EU-kader voor macro-economische governance worden betrokken, en acht het belangrijk dat op nationaal niveau verantwoordelijkheid voor deze hervormingen wordt genomen door middel van een effectieve dialoog;</w:t>
      </w:r>
      <w:bookmarkEnd w:id="6"/>
      <w:bookmarkEnd w:id="7"/>
    </w:p>
    <w:p w:rsidRPr="00A32597" w:rsidR="00A32597" w:rsidP="00CC4510" w:rsidRDefault="00A32597" w14:paraId="15523693" w14:textId="77777777">
      <w:pPr>
        <w:numPr>
          <w:ilvl w:val="0"/>
          <w:numId w:val="17"/>
        </w:numPr>
        <w:spacing w:line="276" w:lineRule="auto"/>
        <w:ind w:left="284" w:hanging="284"/>
        <w:outlineLvl w:val="1"/>
      </w:pPr>
      <w:bookmarkStart w:name="_Toc159831761" w:id="8"/>
      <w:bookmarkStart w:name="_Toc160695055" w:id="9"/>
      <w:r>
        <w:t>wijst erop dat het van cruciaal belang is dat de democratische waarden en rechtsstatelijke beginselen in de economische governance van de EU geïntegreerd worden;</w:t>
      </w:r>
      <w:bookmarkEnd w:id="8"/>
      <w:bookmarkEnd w:id="9"/>
    </w:p>
    <w:p w:rsidRPr="00A32597" w:rsidR="00A32597" w:rsidP="00CC4510" w:rsidRDefault="00A32597" w14:paraId="0E045AD4" w14:textId="77777777">
      <w:pPr>
        <w:numPr>
          <w:ilvl w:val="0"/>
          <w:numId w:val="17"/>
        </w:numPr>
        <w:spacing w:line="276" w:lineRule="auto"/>
        <w:ind w:left="284" w:hanging="284"/>
        <w:outlineLvl w:val="1"/>
      </w:pPr>
      <w:bookmarkStart w:name="_Toc159831762" w:id="10"/>
      <w:bookmarkStart w:name="_Toc160695056" w:id="11"/>
      <w:r>
        <w:t>pleit er gezien de uiteenlopende economische omstandigheden en uitdagingen op het vlak van de groei in de lidstaten voor dat bij de begrotingsconsolidatie rekening wordt gehouden met de unieke situatie van elke lidstaat;</w:t>
      </w:r>
      <w:bookmarkEnd w:id="10"/>
      <w:bookmarkEnd w:id="11"/>
    </w:p>
    <w:p w:rsidRPr="00A32597" w:rsidR="00A32597" w:rsidP="00CC4510" w:rsidRDefault="00A32597" w14:paraId="581D3E0C" w14:textId="77777777">
      <w:pPr>
        <w:numPr>
          <w:ilvl w:val="0"/>
          <w:numId w:val="17"/>
        </w:numPr>
        <w:spacing w:line="276" w:lineRule="auto"/>
        <w:ind w:left="284" w:hanging="284"/>
        <w:outlineLvl w:val="1"/>
      </w:pPr>
      <w:bookmarkStart w:name="_Toc159831763" w:id="12"/>
      <w:bookmarkStart w:name="_Toc160695057" w:id="13"/>
      <w:r>
        <w:t>dringt aan op een evenwichtige benadering met betrekking tot het afbouwen van crisissteun voor kwetsbare groepen die worden getroffen door hoge energiekosten en inflatie, pleit ervoor dat in sommige landen een permanent kader voor inkomens- of vermogensafhankelijke steun wordt ingevoerd en benadrukt dat de sociale gevolgen uitvoerig besproken moeten worden;</w:t>
      </w:r>
      <w:bookmarkEnd w:id="12"/>
      <w:bookmarkEnd w:id="13"/>
    </w:p>
    <w:p w:rsidRPr="00A32597" w:rsidR="00A32597" w:rsidP="00CC4510" w:rsidRDefault="00A32597" w14:paraId="74E233B0" w14:textId="77777777">
      <w:pPr>
        <w:numPr>
          <w:ilvl w:val="0"/>
          <w:numId w:val="17"/>
        </w:numPr>
        <w:spacing w:line="276" w:lineRule="auto"/>
        <w:ind w:left="284" w:hanging="284"/>
        <w:outlineLvl w:val="1"/>
      </w:pPr>
      <w:bookmarkStart w:name="_Toc159831764" w:id="14"/>
      <w:bookmarkStart w:name="_Toc160695058" w:id="15"/>
      <w:r>
        <w:t>roept de Commissie en de nationale regeringen op om de nodige ondersteuning voor het opvoeren van de administratieve capaciteit en het stroomlijnen van processen te verlenen en het maatschappelijk middenveld bij de uitvoering van de nationale herstel- en veerkrachtplannen te betrekken;</w:t>
      </w:r>
      <w:bookmarkEnd w:id="14"/>
      <w:bookmarkEnd w:id="15"/>
    </w:p>
    <w:p w:rsidRPr="00A32597" w:rsidR="00A32597" w:rsidP="00CC4510" w:rsidRDefault="00A32597" w14:paraId="24E5E545" w14:textId="77777777">
      <w:pPr>
        <w:numPr>
          <w:ilvl w:val="0"/>
          <w:numId w:val="18"/>
        </w:numPr>
        <w:spacing w:line="276" w:lineRule="auto"/>
        <w:ind w:left="284" w:hanging="284"/>
        <w:outlineLvl w:val="1"/>
      </w:pPr>
      <w:bookmarkStart w:name="_Toc159831765" w:id="16"/>
      <w:bookmarkStart w:name="_Toc160695059" w:id="17"/>
      <w:r>
        <w:t>benadrukt dat de arbeidsmarktparticipatie moet worden verhoogd door vaardigheden te verbeteren, gelijke kansen te waarborgen en regionale verschillen aan te pakken en pleit ervoor dat leerachterstanden als gevolg van de coronapandemie worden aangepakt en dat daarbij extra aandacht uitgaat naar de behoeften van kansarme leerlingen en scholen;</w:t>
      </w:r>
      <w:bookmarkEnd w:id="16"/>
      <w:bookmarkEnd w:id="17"/>
    </w:p>
    <w:p w:rsidRPr="00A32597" w:rsidR="00A32597" w:rsidP="00CC4510" w:rsidRDefault="00A32597" w14:paraId="22994523" w14:textId="77777777">
      <w:pPr>
        <w:numPr>
          <w:ilvl w:val="0"/>
          <w:numId w:val="18"/>
        </w:numPr>
        <w:spacing w:line="276" w:lineRule="auto"/>
        <w:ind w:left="284" w:hanging="284"/>
        <w:outlineLvl w:val="1"/>
      </w:pPr>
      <w:bookmarkStart w:name="_Toc159831766" w:id="18"/>
      <w:bookmarkStart w:name="_Toc160695060" w:id="19"/>
      <w:r>
        <w:t>steunt maatregelen om de productiviteit te verhogen, maar dringt aan op gedurfdere stappen om administratieve belemmeringen voor EU-bedrijven en andere belanghebbenden weg te nemen, en stelt dat initiatieven om de rapportageverplichtingen te verminderen gepaard moeten gaan met sterkere stimulansen voor investeringen in duurzaamheid, waaronder grensoverschrijdende investeringen;</w:t>
      </w:r>
      <w:bookmarkEnd w:id="18"/>
      <w:bookmarkEnd w:id="19"/>
    </w:p>
    <w:p w:rsidRPr="00A32597" w:rsidR="00A32597" w:rsidP="00CC4510" w:rsidRDefault="00A32597" w14:paraId="6CFE049D" w14:textId="77777777">
      <w:pPr>
        <w:numPr>
          <w:ilvl w:val="0"/>
          <w:numId w:val="18"/>
        </w:numPr>
        <w:spacing w:line="276" w:lineRule="auto"/>
        <w:ind w:left="284" w:hanging="284"/>
        <w:outlineLvl w:val="1"/>
      </w:pPr>
      <w:bookmarkStart w:name="_Toc159831767" w:id="20"/>
      <w:bookmarkStart w:name="_Toc160695061" w:id="21"/>
      <w:r>
        <w:t>pleit voor een evenwichtige begrotingsbenadering waarin de input van belanghebbenden wordt meegenomen en waarbij rekening wordt gehouden met de per lidstaat verschillende economische omstandigheden, en benadrukt dat de uitvoering van herstelplannen moet worden afgestemd op deze genuanceerde benadering om te voorkomen dat de sociale en milieudoelstellingen ondermijnd worden;</w:t>
      </w:r>
      <w:bookmarkEnd w:id="20"/>
      <w:bookmarkEnd w:id="21"/>
    </w:p>
    <w:p w:rsidRPr="00A32597" w:rsidR="00A32597" w:rsidP="00CC4510" w:rsidRDefault="00A32597" w14:paraId="6803DE03" w14:textId="77777777">
      <w:pPr>
        <w:numPr>
          <w:ilvl w:val="0"/>
          <w:numId w:val="18"/>
        </w:numPr>
        <w:spacing w:line="276" w:lineRule="auto"/>
        <w:ind w:left="284" w:hanging="284"/>
        <w:outlineLvl w:val="1"/>
      </w:pPr>
      <w:bookmarkStart w:name="_Toc159831768" w:id="22"/>
      <w:bookmarkStart w:name="_Toc160695062" w:id="23"/>
      <w:r>
        <w:lastRenderedPageBreak/>
        <w:t>is teleurgesteld dat de oprichting van het EU-soevereiniteitsfonds op zich laat wachten, terwijl het er ook op wijst dat het beperkte budget voor STEP ernstige twijfels doet rijzen over de inzet en het vermogen van de EU om haar doelstellingen voor de groene transitie te bereiken en zorgen baart wat betreft investeringen in het concurrentievermogen van de Unie.</w:t>
      </w:r>
      <w:bookmarkEnd w:id="22"/>
      <w:bookmarkEnd w:id="23"/>
    </w:p>
    <w:p w:rsidR="00A32597" w:rsidP="004D1AE7" w:rsidRDefault="00A32597" w14:paraId="77691757" w14:textId="1699C7E9">
      <w:pPr>
        <w:spacing w:line="276" w:lineRule="auto"/>
        <w:ind w:left="567"/>
        <w:contextualSpacing/>
        <w:rPr>
          <w:sz w:val="16"/>
          <w:szCs w:val="16"/>
        </w:rPr>
      </w:pPr>
    </w:p>
    <w:p w:rsidRPr="00A32597"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A32597" w:rsidR="00A32597" w:rsidTr="00B05454" w14:paraId="4E0E2CCB" w14:textId="77777777">
        <w:tc>
          <w:tcPr>
            <w:tcW w:w="1418" w:type="dxa"/>
          </w:tcPr>
          <w:p w:rsidRPr="00A32597" w:rsidR="00A32597" w:rsidP="00CC4510" w:rsidRDefault="00A32597" w14:paraId="15B16749" w14:textId="77777777">
            <w:pPr>
              <w:keepNext/>
              <w:keepLines/>
              <w:spacing w:line="240" w:lineRule="auto"/>
              <w:jc w:val="left"/>
              <w:rPr>
                <w:i/>
              </w:rPr>
            </w:pPr>
            <w:r>
              <w:rPr>
                <w:b/>
                <w:i/>
              </w:rPr>
              <w:t>Contactpersoon</w:t>
            </w:r>
          </w:p>
        </w:tc>
        <w:tc>
          <w:tcPr>
            <w:tcW w:w="5670" w:type="dxa"/>
          </w:tcPr>
          <w:p w:rsidRPr="00D36819" w:rsidR="00A32597" w:rsidP="00CC4510" w:rsidRDefault="00A32597" w14:paraId="51D4069A" w14:textId="77777777">
            <w:pPr>
              <w:keepNext/>
              <w:keepLines/>
              <w:spacing w:line="240" w:lineRule="auto"/>
              <w:jc w:val="left"/>
              <w:rPr>
                <w:i/>
                <w:iCs/>
              </w:rPr>
            </w:pPr>
            <w:r>
              <w:rPr>
                <w:i/>
              </w:rPr>
              <w:t>Colombe Grégoire</w:t>
            </w:r>
          </w:p>
        </w:tc>
      </w:tr>
      <w:tr w:rsidRPr="00A32597" w:rsidR="00A32597" w:rsidTr="00B05454" w14:paraId="217EEC8E" w14:textId="77777777">
        <w:tc>
          <w:tcPr>
            <w:tcW w:w="1418" w:type="dxa"/>
          </w:tcPr>
          <w:p w:rsidRPr="00A32597" w:rsidR="00A32597" w:rsidP="00CC4510" w:rsidRDefault="00A32597" w14:paraId="10D94256" w14:textId="77777777">
            <w:pPr>
              <w:keepNext/>
              <w:keepLines/>
              <w:spacing w:line="240" w:lineRule="auto"/>
              <w:jc w:val="left"/>
              <w:rPr>
                <w:i/>
              </w:rPr>
            </w:pPr>
            <w:r>
              <w:rPr>
                <w:i/>
              </w:rPr>
              <w:t>Tel.</w:t>
            </w:r>
          </w:p>
        </w:tc>
        <w:tc>
          <w:tcPr>
            <w:tcW w:w="5670" w:type="dxa"/>
          </w:tcPr>
          <w:p w:rsidRPr="00A32597" w:rsidR="00A32597" w:rsidP="00CC4510" w:rsidRDefault="00A32597" w14:paraId="79D2A7DE" w14:textId="77777777">
            <w:pPr>
              <w:keepNext/>
              <w:keepLines/>
              <w:spacing w:line="240" w:lineRule="auto"/>
              <w:jc w:val="left"/>
              <w:rPr>
                <w:i/>
                <w:iCs/>
              </w:rPr>
            </w:pPr>
            <w:r>
              <w:rPr>
                <w:i/>
              </w:rPr>
              <w:t>+32 25469286</w:t>
            </w:r>
          </w:p>
        </w:tc>
      </w:tr>
      <w:tr w:rsidRPr="00A32597" w:rsidR="00A32597" w:rsidTr="00B05454" w14:paraId="6EE0DBD3" w14:textId="77777777">
        <w:tc>
          <w:tcPr>
            <w:tcW w:w="1418" w:type="dxa"/>
          </w:tcPr>
          <w:p w:rsidRPr="00A32597" w:rsidR="00A32597" w:rsidP="00CC4510" w:rsidRDefault="00A32597" w14:paraId="1D45D5A3" w14:textId="77777777">
            <w:pPr>
              <w:keepNext/>
              <w:keepLines/>
              <w:spacing w:line="240" w:lineRule="auto"/>
              <w:jc w:val="left"/>
              <w:rPr>
                <w:i/>
              </w:rPr>
            </w:pPr>
            <w:r>
              <w:rPr>
                <w:i/>
              </w:rPr>
              <w:t>E-mail</w:t>
            </w:r>
          </w:p>
        </w:tc>
        <w:tc>
          <w:tcPr>
            <w:tcW w:w="5670" w:type="dxa"/>
          </w:tcPr>
          <w:p w:rsidRPr="00A32597" w:rsidR="00A32597" w:rsidP="00CC4510" w:rsidRDefault="003D2634" w14:paraId="1B217DB9" w14:textId="77777777">
            <w:pPr>
              <w:keepNext/>
              <w:keepLines/>
              <w:spacing w:line="240" w:lineRule="auto"/>
              <w:jc w:val="left"/>
              <w:rPr>
                <w:i/>
                <w:iCs/>
              </w:rPr>
            </w:pPr>
            <w:hyperlink w:history="1" r:id="rId22">
              <w:r w:rsidR="00176361">
                <w:rPr>
                  <w:color w:val="0000FF"/>
                  <w:u w:val="single"/>
                </w:rPr>
                <w:t>Colombe.Gregoire@eesc.europa.eu</w:t>
              </w:r>
            </w:hyperlink>
            <w:r w:rsidR="00176361">
              <w:t xml:space="preserve"> </w:t>
            </w:r>
          </w:p>
        </w:tc>
      </w:tr>
    </w:tbl>
    <w:p w:rsidR="00A32597" w:rsidRDefault="00A32597" w14:paraId="11F6A301" w14:textId="30893F50">
      <w:pPr>
        <w:spacing w:after="160" w:line="259" w:lineRule="auto"/>
        <w:jc w:val="left"/>
        <w:rPr>
          <w:b/>
          <w:bCs/>
        </w:rPr>
      </w:pPr>
    </w:p>
    <w:p w:rsidRPr="00E76ACE" w:rsidR="00E76ACE" w:rsidP="00E76ACE" w:rsidRDefault="003D2634"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00176361">
          <w:rPr>
            <w:b/>
            <w:i/>
            <w:color w:val="0000FF"/>
            <w:sz w:val="28"/>
            <w:u w:val="single"/>
          </w:rPr>
          <w:t>Verbetering van benchmarks en verslaggevingsverplichtingen op het gebied van financiële diensten en investeringsondersteuning</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9"/>
        <w:gridCol w:w="6960"/>
      </w:tblGrid>
      <w:tr w:rsidRPr="00E76ACE" w:rsidR="00E76ACE" w:rsidTr="00B05454" w14:paraId="618851BF" w14:textId="77777777">
        <w:tc>
          <w:tcPr>
            <w:tcW w:w="1129" w:type="pct"/>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Pr>
                <w:b/>
              </w:rPr>
              <w:t>Rapporteur</w:t>
            </w:r>
          </w:p>
        </w:tc>
        <w:tc>
          <w:tcPr>
            <w:tcW w:w="3871" w:type="pct"/>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r>
              <w:t>Krzysztof BALON (groep Maatschappelijke Organisaties – PL)</w:t>
            </w:r>
          </w:p>
        </w:tc>
      </w:tr>
      <w:tr w:rsidRPr="00E76ACE" w:rsidR="00E76ACE" w:rsidTr="00B05454" w14:paraId="4A807341" w14:textId="77777777">
        <w:tc>
          <w:tcPr>
            <w:tcW w:w="5000" w:type="pct"/>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B05454" w14:paraId="6F674771" w14:textId="77777777">
        <w:tc>
          <w:tcPr>
            <w:tcW w:w="1129" w:type="pct"/>
            <w:vMerge w:val="restart"/>
          </w:tcPr>
          <w:p w:rsidRPr="00E76ACE"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Pr>
                <w:b/>
              </w:rPr>
              <w:t>Referentiedocumenten</w:t>
            </w:r>
          </w:p>
        </w:tc>
        <w:tc>
          <w:tcPr>
            <w:tcW w:w="3871" w:type="pct"/>
          </w:tcPr>
          <w:p w:rsidRPr="00E76ACE" w:rsidR="00E76ACE" w:rsidP="00CC4510" w:rsidRDefault="00E76ACE" w14:paraId="705878F6" w14:textId="3D9351DE">
            <w:pPr>
              <w:tabs>
                <w:tab w:val="center" w:pos="284"/>
              </w:tabs>
              <w:overflowPunct w:val="0"/>
              <w:autoSpaceDE w:val="0"/>
              <w:autoSpaceDN w:val="0"/>
              <w:adjustRightInd w:val="0"/>
              <w:ind w:left="266" w:hanging="376"/>
              <w:textAlignment w:val="baseline"/>
            </w:pPr>
            <w:r>
              <w:t xml:space="preserve">COM(2023) 593 final </w:t>
            </w:r>
          </w:p>
          <w:p w:rsidRPr="00E76ACE" w:rsidR="00E76ACE" w:rsidP="00CC4510" w:rsidRDefault="00E76ACE" w14:paraId="0D256A2F" w14:textId="57B88F62">
            <w:pPr>
              <w:tabs>
                <w:tab w:val="center" w:pos="284"/>
              </w:tabs>
              <w:overflowPunct w:val="0"/>
              <w:autoSpaceDE w:val="0"/>
              <w:autoSpaceDN w:val="0"/>
              <w:adjustRightInd w:val="0"/>
              <w:ind w:left="266" w:hanging="376"/>
              <w:textAlignment w:val="baseline"/>
            </w:pPr>
            <w:r>
              <w:t xml:space="preserve">COM(2023) 660 final </w:t>
            </w:r>
          </w:p>
        </w:tc>
      </w:tr>
      <w:tr w:rsidRPr="00E76ACE" w:rsidR="00E76ACE" w:rsidTr="00B05454" w14:paraId="2D4938C0" w14:textId="77777777">
        <w:tc>
          <w:tcPr>
            <w:tcW w:w="1129" w:type="pct"/>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pPr>
      <w:r>
        <w:t>Wat betreft het delen van gegevens en het verminderen van administratieve vereisten op het gebied van financiële diensten en investeringsondersteuning:</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is het EESC ingenomen met het initiatief om de toezichtrapportageverplichtingen te rationaliseren en te vereenvoudigen en overlappende rapportageverzoeken te voorkomen; </w:t>
      </w:r>
    </w:p>
    <w:p w:rsidRPr="00E76ACE"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acht het EESC het nodig om de reikwijdte en het formaat te standaardiseren van de gegevens die betrokken zijn bij de uitwisseling van informatie tussen autoriteiten die toezicht houden op de financiële sector; </w:t>
      </w:r>
    </w:p>
    <w:p w:rsidRPr="00E76ACE"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merkt het EESC op dat de voorgestelde wijzigingen enige uitvoerings- en/of verdere standaardiseringskosten met zich mee kunnen brengen. Het tot een minimum beperken van de kosten mag niet worden losgekoppeld van de andere doelstellingen van gegevensverzameling en gegevensuitwisseling;</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is het EESC van mening dat verstrekking van gegevens aan één bevoegde autoriteit (of een gedeeld platform) moet gelden als verstrekking aan alle bevoegde autoriteiten (éénloketconcept);</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merkt het EESC op dat het delen van gegevens tussen autoriteiten onderworpen blijft aan een vrijwillig verzoek. In dit verband moeten (en niet alleen “kunnen”) de autoriteiten memoranda van overeenstemming sluiten waarin de concrete voorwaarden voor het uitwisselen van informatie zijn vastgelegd;</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onderstreept het EESC dat met het oog op het verwezenlijken van die vereenvoudiging een regelmatige herziening van de rapportagevereisten verplicht moet worden gesteld;</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pPr>
      <w:r>
        <w:t>met betrekking tot de wijzigingen van de benchmarkverordening:</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is het EESC ingenomen met een evenwichtigere en evenredigere aanpak om de financiële stabiliteit en de integriteit van de Europese markten veilig te stellen en de kosten en regelgevingsvereisten te beperken, met name door de vereisten voor niet-significante benchmarks te beperken; </w:t>
      </w:r>
    </w:p>
    <w:p w:rsidRPr="00E76ACE"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is het EESC ingenomen met de verduidelijking van de rol van de Commissie, de Europese Autoriteit voor effecten en markten (ESMA) en de nationale autoriteiten in de procedure voor </w:t>
      </w:r>
      <w:r>
        <w:lastRenderedPageBreak/>
        <w:t>significante en kritieke benchmarks;</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beveelt het EESC ten zeerste aan om na te gaan of er initiatieven mogelijk zijn om de verslaggevingsvereisten tot een minimum te beperken of kosten te besparen voor kritieke of significante benchmarks.</w:t>
      </w:r>
    </w:p>
    <w:p w:rsidRPr="00E76ACE" w:rsidR="00E76ACE" w:rsidP="00E76ACE" w:rsidRDefault="00E76ACE" w14:paraId="0966C473" w14:textId="77777777">
      <w:pPr>
        <w:widowControl w:val="0"/>
        <w:overflowPunct w:val="0"/>
        <w:autoSpaceDE w:val="0"/>
        <w:autoSpaceDN w:val="0"/>
        <w:adjustRightInd w:val="0"/>
        <w:rPr>
          <w:szCs w:val="20"/>
        </w:rPr>
      </w:pP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r>
              <w:rPr>
                <w:i/>
              </w:rPr>
              <w:t>Sergio Lorencio Matallana</w:t>
            </w:r>
          </w:p>
        </w:tc>
      </w:tr>
      <w:tr w:rsidRPr="00E76ACE" w:rsidR="00E76ACE" w:rsidTr="00B05454" w14:paraId="38EECD9C" w14:textId="77777777">
        <w:tc>
          <w:tcPr>
            <w:tcW w:w="1556" w:type="pct"/>
          </w:tcPr>
          <w:p w:rsidRPr="00E76ACE" w:rsidR="00E76ACE" w:rsidP="00E76ACE" w:rsidRDefault="00E76ACE" w14:paraId="00111D5D" w14:textId="77777777">
            <w:pPr>
              <w:overflowPunct w:val="0"/>
              <w:autoSpaceDE w:val="0"/>
              <w:autoSpaceDN w:val="0"/>
              <w:adjustRightInd w:val="0"/>
              <w:spacing w:line="240" w:lineRule="auto"/>
              <w:textAlignment w:val="baseline"/>
              <w:rPr>
                <w:i/>
              </w:rPr>
            </w:pPr>
            <w:r>
              <w:rPr>
                <w:i/>
              </w:rPr>
              <w:t>Tel.</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Pr>
                <w:i/>
              </w:rPr>
              <w:t>E-mail</w:t>
            </w:r>
          </w:p>
        </w:tc>
        <w:tc>
          <w:tcPr>
            <w:tcW w:w="3444" w:type="pct"/>
          </w:tcPr>
          <w:p w:rsidRPr="00E76ACE" w:rsidR="00E76ACE" w:rsidP="00E76ACE" w:rsidRDefault="003D2634" w14:paraId="4D5E4782" w14:textId="77777777">
            <w:pPr>
              <w:overflowPunct w:val="0"/>
              <w:autoSpaceDE w:val="0"/>
              <w:autoSpaceDN w:val="0"/>
              <w:adjustRightInd w:val="0"/>
              <w:spacing w:line="240" w:lineRule="auto"/>
              <w:textAlignment w:val="baseline"/>
              <w:rPr>
                <w:i/>
              </w:rPr>
            </w:pPr>
            <w:hyperlink w:history="1" r:id="rId24">
              <w:r w:rsidR="00176361">
                <w:rPr>
                  <w:i/>
                  <w:color w:val="0000FF"/>
                  <w:u w:val="single"/>
                </w:rPr>
                <w:t>Sergio.LorencioMatallana@eesc.europa.eu</w:t>
              </w:r>
            </w:hyperlink>
          </w:p>
        </w:tc>
      </w:tr>
    </w:tbl>
    <w:p w:rsidR="00E76ACE" w:rsidRDefault="00E76ACE" w14:paraId="610C8E26" w14:textId="77777777">
      <w:pPr>
        <w:spacing w:after="160" w:line="259" w:lineRule="auto"/>
        <w:jc w:val="left"/>
        <w:rPr>
          <w:b/>
          <w:bCs/>
        </w:rPr>
      </w:pPr>
    </w:p>
    <w:p w:rsidR="00E76ACE" w:rsidRDefault="00E76ACE" w14:paraId="1F90D670" w14:textId="77777777">
      <w:pPr>
        <w:spacing w:after="160" w:line="259" w:lineRule="auto"/>
        <w:jc w:val="left"/>
        <w:rPr>
          <w:b/>
          <w:bCs/>
        </w:rPr>
      </w:pPr>
      <w:r>
        <w:br w:type="page"/>
      </w:r>
    </w:p>
    <w:p w:rsidR="006C6A1E" w:rsidP="00234EA0" w:rsidRDefault="006C6A1E" w14:paraId="55E56154" w14:textId="2549BDD3">
      <w:pPr>
        <w:pStyle w:val="Heading1"/>
        <w:ind w:hanging="928"/>
        <w:rPr>
          <w:b/>
          <w:bCs/>
        </w:rPr>
      </w:pPr>
      <w:bookmarkStart w:name="_Toc150179063" w:id="24"/>
      <w:bookmarkStart w:name="_Toc153539680" w:id="25"/>
      <w:bookmarkStart w:name="_Toc160695063" w:id="26"/>
      <w:bookmarkEnd w:id="24"/>
      <w:r>
        <w:rPr>
          <w:b/>
        </w:rPr>
        <w:lastRenderedPageBreak/>
        <w:t>WERKGELEGENHEID, SOCIALE ZAKEN EN BURGERSCHAP</w:t>
      </w:r>
      <w:bookmarkEnd w:id="26"/>
    </w:p>
    <w:p w:rsidR="006C6A1E" w:rsidP="006C6A1E" w:rsidRDefault="006C6A1E" w14:paraId="190420D2" w14:textId="4E6BD19C"/>
    <w:p w:rsidRPr="006C6A1E" w:rsidR="006C6A1E" w:rsidP="006C6A1E" w:rsidRDefault="003D2634"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r w:rsidR="00176361">
          <w:rPr>
            <w:b/>
            <w:i/>
            <w:color w:val="0000FF"/>
            <w:sz w:val="28"/>
            <w:u w:val="single"/>
          </w:rPr>
          <w:t>Digitalisering bij de sociale zekerheid</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215"/>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Rapporteur</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r>
              <w:t>Krzysztof BALON (groep Maatschappelijke Organisaties – 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Pr>
                <w:b/>
              </w:rPr>
              <w:t>Corapporteur</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t>María del Carmen BARRERA CHAMORRO (groep Werknemers – 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COM(2023) 501 final</w:t>
            </w:r>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Het EESC:</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erkent dat de grensoverschrijdende coördinatie van de sociale zekerheid uitdagingen met zich meebrengt, bijvoorbeeld doordat er ingewikkelde bureaucratische procedures mee gemoeid zijn, sommige handelingen handmatig uitgevoerd moeten worden, bepaalde documenten in fysieke vorm overlegd moeten worden en het verifiëren of valideren van documenten problemen oplevert. Het vrije verkeer van burgers en bedrijven wordt daardoor belemmerd;</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verwelkomt en schaart zich volledig achter het streven van de Commissie om de grensoverschrijdende sociale zekerheid en de coördinatie van de gezondheidszorg eenvoudiger te maken;</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vindt dat er onmiddellijk een integraal actieplan moet komen om de coördinatie van de sociale zekerheid te digitaliseren, uitgaande van een bottom-upbenadering, en wijst erop dat het zaak is rekening te houden met de behoeften van socialezekerheidsinstellingen en belanghebbenden, waaronder burgers, werkgevers, bedrijven en entiteiten van de sociale economie;</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dringt aan op alternatieve oplossingen voor mensen die geen gebruik kunnen maken van elektronische middelen of die anderszins digitaal uitgesloten zijn. Het benadrukt dat digitale identificatie een optie moet zijn, en geen vereiste, totdat er geschikte alternatieven zijn ingevoerd waarbij de relevante gegevensbeschermingsnormen in acht worden genomen;</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meent dat de digitalisering op het vlak van de sociale zekerheid niet zal volstaan om onze doelstellingen met betrekking tot het opheffen van de belemmeringen voor het vrije verkeer te bereiken als de hervorming van Verordening nr. 883/2004 betreffende de coördinatie van de socialezekerheidsstelsels niet wordt afgerond;</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stelt voor een permanente uitwisseling van best practices op het vlak van de digitalisering bij de coördinatie van socialezekerheidsstelsels op te zetten tussen de lidstaten. Om dit aan te moedigen en te bevorderen zouden de Commissie en de Europese Arbeidsautoriteit een conferentie voor overheden en maatschappelijk middenveld van de lidstaten kunnen organiseren.</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r>
              <w:rPr>
                <w:i/>
              </w:rPr>
              <w:t>Bartek Bednarowicz</w:t>
            </w:r>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Tel.</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E-mail</w:t>
            </w:r>
          </w:p>
        </w:tc>
        <w:tc>
          <w:tcPr>
            <w:tcW w:w="3444" w:type="pct"/>
          </w:tcPr>
          <w:p w:rsidRPr="006C6A1E" w:rsidR="006C6A1E" w:rsidP="006C6A1E" w:rsidRDefault="003D2634" w14:paraId="5FE06EE9" w14:textId="77777777">
            <w:pPr>
              <w:overflowPunct w:val="0"/>
              <w:autoSpaceDE w:val="0"/>
              <w:autoSpaceDN w:val="0"/>
              <w:adjustRightInd w:val="0"/>
              <w:spacing w:line="240" w:lineRule="auto"/>
              <w:textAlignment w:val="baseline"/>
              <w:rPr>
                <w:i/>
              </w:rPr>
            </w:pPr>
            <w:hyperlink w:history="1" r:id="rId26">
              <w:r w:rsidR="00176361">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3D2634"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00176361">
          <w:rPr>
            <w:b/>
            <w:i/>
            <w:color w:val="0000FF"/>
            <w:sz w:val="28"/>
            <w:u w:val="single"/>
          </w:rPr>
          <w:t>Perspectieven voor de versterking van de burgerdialoog en de participatiedemocratie in de EU</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813"/>
      </w:tblGrid>
      <w:tr w:rsidRPr="00EE6FEF" w:rsidR="00EE6FEF" w:rsidTr="00CC4510" w14:paraId="7774CF3A" w14:textId="77777777">
        <w:tc>
          <w:tcPr>
            <w:tcW w:w="1834" w:type="dxa"/>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Rapporteur</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Pr>
                <w:b/>
              </w:rPr>
              <w:t>Corapporteur</w:t>
            </w:r>
          </w:p>
        </w:tc>
        <w:tc>
          <w:tcPr>
            <w:tcW w:w="6813" w:type="dxa"/>
          </w:tcPr>
          <w:p w:rsidRPr="00EE6FEF" w:rsidR="00EE6FEF" w:rsidP="00EE6FEF" w:rsidRDefault="00EE6FEF" w14:paraId="09298572" w14:textId="1E4C99CC">
            <w:pPr>
              <w:overflowPunct w:val="0"/>
              <w:autoSpaceDE w:val="0"/>
              <w:autoSpaceDN w:val="0"/>
              <w:adjustRightInd w:val="0"/>
              <w:ind w:left="567" w:hanging="567"/>
              <w:textAlignment w:val="baseline"/>
            </w:pPr>
            <w:r>
              <w:t>Pietro Vittorio BARBIERI (groep Maatschappelijke Organisaties –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r>
              <w:t>Miranda ULENS (groep Werknemers –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CC4510" w14:paraId="6999DE5D" w14:textId="77777777">
        <w:tc>
          <w:tcPr>
            <w:tcW w:w="1834" w:type="dxa"/>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Pr>
                <w:b/>
              </w:rPr>
              <w:t>Referentiedocumenten</w:t>
            </w:r>
          </w:p>
        </w:tc>
        <w:tc>
          <w:tcPr>
            <w:tcW w:w="6813" w:type="dxa"/>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r>
              <w:t>Verkennend advies op verzoek van het Belgische voorzitterschap van de Raad van de EU</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CC4510"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Hoofdpunten</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Het EESC:</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beklemtoont dat de tenuitvoerlegging van artikel 11 VEU in het kader van de follow-up van de Conferentie over de toekomst van Europa (CoFoE) samen met de versterking van de rol van het EESC tot efficiënter beleid kan leiden. Het staat achter de aanbeveling van de Conferentie over de toekomst van Europa om bijkomende instrumenten van participatiedemocratie te ontwikkelen. Verschillende van de CoFoE-aanbevelingen hebben betrekking op de totstandbrenging van een stimulerend kader voor de burgerdialoog. Ook wordt de rol van het EESC erkend en wordt aangegeven dat het zou kunnen uitgroeien tot een echte hub voor burgerpanels. De specifieke rol van de organisaties van sociale partners in de structuren en processen van de sociale dialoog moet ten volle worden geëerbiedigd, en tegelijk moet worden erkend dat de burgerdialoog een afzonderlijk proces is;</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dringt als eerste stap aan op een burgerdialoogstrategie die uitmondt in een actieplan dat een pijler zou kunnen omvatten als onderdeel van het Europese pakket voor de verdediging van de democratie. Aanvullend zou hiermee beoogd kunnen worden om een interinstitutioneel akkoord tussen de EU-instellingen tot stand te brengen waarin acties en de bijbehorende middelen worden beschreven. Dit zou door het EESC kunnen worden gefaciliteerd, met deelname van netwerken van het maatschappelijk middenveld op EU-niveau;</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pleit voor een versterking van de rol van de verantwoordelijken binnen de verschillende instellingen, zodat echt werk kan worden gemaakt van artikel 11 VEU, en zou graag zien dat in alle EU-instellingen bepaalde normen worden toegepast. Hierbij valt te denken aan kwesties zoals de betekenis van de burgerdialoog, de verdeling van de beleidsagenda en -prioriteiten, de integratie van kwetsbare groepen enz.;</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pleit voor een jaarlijks scorebord voor de burgerdialoog (of een “scorebord voor de civiele ruimte”) waaruit blijkt wanneer maatschappelijke organisaties via raadplegingsprocessen hebben bijgedragen en of hun bijdragen in aanmerking zijn genomen. De effectbeoordeling door middel van een jaarlijks scorebord zou kunnen uitmonden in een tweejaarlijks burgerdialoogverslag waarin de betrokkenheid van het maatschappelijk middenveld door de EU in het algemeen wordt belicht en waarin wordt beoordeeld hoe de burgerdialoog ervoor staat en hoe efficiënt het optreden van maatschappelijke organisaties is;</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herhaalt dat het een centrale rol moet krijgen bij de versterking van de participatieve democratie in en tussen de Europese instellingen en stelt voor om de rol van het EESC aan te passen zodat door middel van experimenten kan worden nagedacht over het scala aan participatie-instrumenten, zoals burgerpanels, die het EESC bij zijn advieswerkzaamheden kan gebruiken. Op die manier zou de nadruk worden gelegd op de bijzondere rol van het EESC als institutionele hoeder van procedures voor raadpleging van het maatschappelijk middenveld en de burgerdialoog in het algemeen;</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lastRenderedPageBreak/>
        <w:t>is van oordeel dat maatschappelijke organisaties moeten berusten op interne democratie, autonomie en transparantie; zij moeten werken volgens een non-profitmodel, ten dienste van het algemeen belang en/of het specifieke belang van degenen die ze vertegenwoordigen, zodat ze legitiem en representatief zijn. Het EESC dringt daarom aan op een accreditatiemechanisme dat gebaseerd is op de hierboven genoemde beginselen.</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4493"/>
      </w:tblGrid>
      <w:tr w:rsidRPr="003F6640" w:rsidR="00EE6FEF" w:rsidTr="00AF1B74" w14:paraId="141D7495" w14:textId="77777777">
        <w:tc>
          <w:tcPr>
            <w:tcW w:w="1210" w:type="dxa"/>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t>Contactpersoon</w:t>
            </w:r>
          </w:p>
        </w:tc>
        <w:tc>
          <w:tcPr>
            <w:tcW w:w="4493" w:type="dxa"/>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r>
              <w:rPr>
                <w:i/>
              </w:rPr>
              <w:t>June Bedaton</w:t>
            </w:r>
          </w:p>
        </w:tc>
      </w:tr>
      <w:tr w:rsidRPr="003F6640" w:rsidR="00EE6FEF" w:rsidTr="00AF1B74" w14:paraId="4927775D" w14:textId="77777777">
        <w:tc>
          <w:tcPr>
            <w:tcW w:w="1210" w:type="dxa"/>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Tel.</w:t>
            </w:r>
          </w:p>
        </w:tc>
        <w:tc>
          <w:tcPr>
            <w:tcW w:w="4493" w:type="dxa"/>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AF1B74" w14:paraId="4358DB5A" w14:textId="77777777">
        <w:tc>
          <w:tcPr>
            <w:tcW w:w="1210" w:type="dxa"/>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E-mail</w:t>
            </w:r>
          </w:p>
        </w:tc>
        <w:tc>
          <w:tcPr>
            <w:tcW w:w="4493" w:type="dxa"/>
          </w:tcPr>
          <w:p w:rsidRPr="003F6640" w:rsidR="00EE6FEF" w:rsidP="00EE6FEF" w:rsidRDefault="003D2634" w14:paraId="47347AD3" w14:textId="77777777">
            <w:pPr>
              <w:overflowPunct w:val="0"/>
              <w:autoSpaceDE w:val="0"/>
              <w:autoSpaceDN w:val="0"/>
              <w:adjustRightInd w:val="0"/>
              <w:spacing w:line="240" w:lineRule="auto"/>
              <w:textAlignment w:val="baseline"/>
              <w:rPr>
                <w:i/>
              </w:rPr>
            </w:pPr>
            <w:hyperlink w:history="1" r:id="rId28">
              <w:r w:rsidR="00176361">
                <w:rPr>
                  <w:i/>
                  <w:color w:val="0000FF"/>
                  <w:u w:val="single"/>
                </w:rPr>
                <w:t>June.Bedaton@eesc.europa.eu</w:t>
              </w:r>
            </w:hyperlink>
          </w:p>
        </w:tc>
      </w:tr>
    </w:tbl>
    <w:p w:rsidR="003D5C61" w:rsidP="003D5C61" w:rsidRDefault="003D5C61" w14:paraId="1321B45F" w14:textId="061534F2">
      <w:pPr>
        <w:pStyle w:val="Heading1"/>
        <w:numPr>
          <w:ilvl w:val="0"/>
          <w:numId w:val="0"/>
        </w:numPr>
        <w:ind w:left="928"/>
        <w:rPr>
          <w:b/>
          <w:bCs/>
        </w:rPr>
      </w:pPr>
    </w:p>
    <w:p w:rsidR="003D5C61" w:rsidRDefault="003D5C61" w14:paraId="769CD518" w14:textId="77777777">
      <w:pPr>
        <w:spacing w:after="160" w:line="259" w:lineRule="auto"/>
        <w:jc w:val="left"/>
        <w:rPr>
          <w:b/>
          <w:bCs/>
        </w:rPr>
      </w:pPr>
      <w:r>
        <w:rPr>
          <w:b/>
          <w:bCs/>
        </w:rPr>
        <w:br w:type="page"/>
      </w:r>
    </w:p>
    <w:p w:rsidRPr="00D6423D" w:rsidR="005A67F3" w:rsidP="00234EA0" w:rsidRDefault="004C3902" w14:paraId="3792A077" w14:textId="0F116EBD">
      <w:pPr>
        <w:pStyle w:val="Heading1"/>
        <w:ind w:hanging="928"/>
        <w:rPr>
          <w:b/>
          <w:bCs/>
        </w:rPr>
      </w:pPr>
      <w:bookmarkStart w:name="_Toc160695064" w:id="27"/>
      <w:r>
        <w:rPr>
          <w:b/>
        </w:rPr>
        <w:lastRenderedPageBreak/>
        <w:t>INTERNE MARKT, PRODUCTIE EN CONSUMPTIE</w:t>
      </w:r>
      <w:bookmarkEnd w:id="25"/>
      <w:bookmarkEnd w:id="27"/>
    </w:p>
    <w:p w:rsidRPr="00094B6B" w:rsidR="004C3902" w:rsidP="00775FC4" w:rsidRDefault="004C3902" w14:paraId="51590E30" w14:textId="7D4E8C1F">
      <w:pPr>
        <w:keepNext/>
        <w:keepLines/>
        <w:jc w:val="left"/>
        <w:rPr>
          <w:b/>
          <w:iCs/>
        </w:rPr>
      </w:pPr>
    </w:p>
    <w:p w:rsidRPr="00115BBC" w:rsidR="00115BBC" w:rsidP="00CC4510" w:rsidRDefault="003D2634"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00176361">
          <w:rPr>
            <w:b/>
            <w:i/>
            <w:color w:val="0000FF"/>
            <w:sz w:val="28"/>
            <w:u w:val="single"/>
          </w:rPr>
          <w:t>Alternatieve geschillenbeslechting</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7"/>
        <w:gridCol w:w="7013"/>
      </w:tblGrid>
      <w:tr w:rsidRPr="00115BBC" w:rsidR="00115BBC" w:rsidTr="00CC4510" w14:paraId="5FCB07DF" w14:textId="77777777">
        <w:trPr>
          <w:trHeight w:val="265"/>
        </w:trPr>
        <w:tc>
          <w:tcPr>
            <w:tcW w:w="1418" w:type="dxa"/>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Pr>
                <w:b/>
              </w:rPr>
              <w:t>Rapporteur</w:t>
            </w:r>
          </w:p>
        </w:tc>
        <w:tc>
          <w:tcPr>
            <w:tcW w:w="7602" w:type="dxa"/>
          </w:tcPr>
          <w:p w:rsidRPr="00115BBC"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r>
              <w:t>Wautier ROBYNS DE SCHNEIDAUER (groep Werkgevers – BE)</w:t>
            </w:r>
          </w:p>
        </w:tc>
      </w:tr>
      <w:tr w:rsidRPr="00115BBC" w:rsidR="00115BBC" w:rsidTr="00CC4510" w14:paraId="296C346B" w14:textId="77777777">
        <w:trPr>
          <w:trHeight w:val="265"/>
        </w:trPr>
        <w:tc>
          <w:tcPr>
            <w:tcW w:w="1418" w:type="dxa"/>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115BBC"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115BBC" w:rsidR="00115BBC" w:rsidTr="00CC4510" w14:paraId="05E2FC21" w14:textId="77777777">
        <w:trPr>
          <w:trHeight w:val="289"/>
        </w:trPr>
        <w:tc>
          <w:tcPr>
            <w:tcW w:w="1418" w:type="dxa"/>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Pr>
                <w:b/>
              </w:rPr>
              <w:t>Referentiedocumenten</w:t>
            </w:r>
          </w:p>
        </w:tc>
        <w:tc>
          <w:tcPr>
            <w:tcW w:w="7602" w:type="dxa"/>
          </w:tcPr>
          <w:p w:rsidRPr="00115BBC" w:rsidR="00115BBC" w:rsidP="00115BBC" w:rsidRDefault="00115BBC" w14:paraId="6E0D3984" w14:textId="53F54A94">
            <w:pPr>
              <w:tabs>
                <w:tab w:val="center" w:pos="284"/>
              </w:tabs>
              <w:overflowPunct w:val="0"/>
              <w:autoSpaceDE w:val="0"/>
              <w:autoSpaceDN w:val="0"/>
              <w:adjustRightInd w:val="0"/>
              <w:ind w:left="266" w:hanging="408"/>
              <w:textAlignment w:val="baseline"/>
            </w:pPr>
            <w:r>
              <w:t xml:space="preserve">COM(2023) 647 final </w:t>
            </w:r>
          </w:p>
          <w:p w:rsidRPr="00115BBC" w:rsidR="00115BBC" w:rsidP="00115BBC" w:rsidRDefault="00115BBC" w14:paraId="0C647B83" w14:textId="65F68049">
            <w:pPr>
              <w:tabs>
                <w:tab w:val="center" w:pos="284"/>
              </w:tabs>
              <w:overflowPunct w:val="0"/>
              <w:autoSpaceDE w:val="0"/>
              <w:autoSpaceDN w:val="0"/>
              <w:adjustRightInd w:val="0"/>
              <w:ind w:left="266" w:hanging="408"/>
              <w:textAlignment w:val="baseline"/>
            </w:pPr>
            <w:r>
              <w:t>COM(2023) 649 final</w:t>
            </w:r>
          </w:p>
        </w:tc>
      </w:tr>
      <w:tr w:rsidRPr="00115BBC" w:rsidR="00115BBC" w:rsidTr="00CC4510" w14:paraId="17336284" w14:textId="77777777">
        <w:trPr>
          <w:trHeight w:val="289"/>
        </w:trPr>
        <w:tc>
          <w:tcPr>
            <w:tcW w:w="1418" w:type="dxa"/>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115BBC" w:rsidR="00115BBC" w:rsidP="00CC4510" w:rsidRDefault="00115BBC" w14:paraId="439A72D0" w14:textId="3CA46808">
            <w:pPr>
              <w:tabs>
                <w:tab w:val="center" w:pos="284"/>
              </w:tabs>
              <w:overflowPunct w:val="0"/>
              <w:autoSpaceDE w:val="0"/>
              <w:autoSpaceDN w:val="0"/>
              <w:adjustRightInd w:val="0"/>
              <w:ind w:left="266" w:hanging="378"/>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Pr>
          <w:b/>
        </w:rPr>
        <w:t>Hoofdpunten</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Het EESC:</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6476F0F5">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steunt de ontwikkeling van </w:t>
      </w:r>
      <w:r>
        <w:rPr>
          <w:b/>
        </w:rPr>
        <w:t>alternatieve procedures voor geschillenbeslechting</w:t>
      </w:r>
      <w:r>
        <w:t xml:space="preserve"> (Alternative</w:t>
      </w:r>
      <w:r w:rsidR="00E26AE7">
        <w:t> </w:t>
      </w:r>
      <w:r>
        <w:t>Dispute Resolution — ADR) als alternatief voor gerechtelijke procedures voor consumenten die een schadevergoeding eisen van een bedrijf, als aanvulling op laagdrempelige gerechtelijke procedures en handhaving van consumentenrechten door de nationale autoriteiten;</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acht het belangrijk dat de lidstaten en het bedrijfsleven worden aangemoedigd tot het opzetten van dit soort regelingen en dat </w:t>
      </w:r>
      <w:r>
        <w:rPr>
          <w:b/>
        </w:rPr>
        <w:t>ondernemers</w:t>
      </w:r>
      <w:r>
        <w:t xml:space="preserve">, ook in het </w:t>
      </w:r>
      <w:r>
        <w:rPr>
          <w:b/>
        </w:rPr>
        <w:t>midden- en kleinbedrijf</w:t>
      </w:r>
      <w:r>
        <w:t xml:space="preserve">, worden overgehaald tot vrijwillige deelname hieraan, en roept de Commissie dan ook op om </w:t>
      </w:r>
      <w:r>
        <w:rPr>
          <w:b/>
        </w:rPr>
        <w:t>drie jaar na de inwerkingtreding</w:t>
      </w:r>
      <w:r>
        <w:t xml:space="preserve"> van de voorgestelde richtlijn de </w:t>
      </w:r>
      <w:r>
        <w:rPr>
          <w:b/>
        </w:rPr>
        <w:t>vooruitgang op het vlak van ADR-regelingen te evalueren</w:t>
      </w:r>
      <w:r>
        <w:t>;</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is van mening dat </w:t>
      </w:r>
      <w:r>
        <w:rPr>
          <w:b/>
        </w:rPr>
        <w:t>feedback van ADR-instanties</w:t>
      </w:r>
      <w:r>
        <w:t xml:space="preserve"> uiterst waardevol is voor zowel professionals als wet- en regelgevers. Daarom wordt gepleit voor snelle rapportage in geval van crisissituaties en voor de verplichting om voor elke ADR-regeling tweejaarlijks een activiteitenverslag uit te brengen. Het EESC verzoekt de Commissie om de feedback van ADR-platforms mee te nemen in haar evaluaties van sectorale regelgeving;</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dringt er bij de wetgevers op aan om </w:t>
      </w:r>
      <w:r>
        <w:rPr>
          <w:b/>
        </w:rPr>
        <w:t>duidelijker aan te geven dat consumenten eerst contact moeten opnemen met de ondernemer in kwestie voordat ze hun toevlucht nemen tot alternatieve geschillenbeslechting</w:t>
      </w:r>
      <w:r>
        <w:t xml:space="preserve">, en om duidelijkheid te verschaffen omtrent de </w:t>
      </w:r>
      <w:r>
        <w:rPr>
          <w:b/>
        </w:rPr>
        <w:t>sancties</w:t>
      </w:r>
      <w:r>
        <w:t xml:space="preserve"> die van toepassing zijn op ondernemers die niet voldoen aan de verplichting om binnen de in de voorstellen genoemde 20 werkdagen aan te geven of zij van plan zijn deel te nemen aan een ADR-procedure.</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115BBC" w:rsidR="00115BBC" w:rsidTr="00B05454" w14:paraId="0EF87FAC" w14:textId="77777777">
        <w:tc>
          <w:tcPr>
            <w:tcW w:w="1418"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r>
              <w:rPr>
                <w:i/>
              </w:rPr>
              <w:t>Silvia Staffa</w:t>
            </w:r>
          </w:p>
        </w:tc>
      </w:tr>
      <w:tr w:rsidRPr="00115BBC" w:rsidR="00115BBC" w:rsidTr="00B05454" w14:paraId="1C49B2AC" w14:textId="77777777">
        <w:tc>
          <w:tcPr>
            <w:tcW w:w="1418"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Tel.</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B05454" w14:paraId="55737622" w14:textId="77777777">
        <w:tc>
          <w:tcPr>
            <w:tcW w:w="1418"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E-mail</w:t>
            </w:r>
          </w:p>
        </w:tc>
        <w:tc>
          <w:tcPr>
            <w:tcW w:w="5670" w:type="dxa"/>
          </w:tcPr>
          <w:p w:rsidRPr="00115BBC" w:rsidR="00115BBC" w:rsidP="00115BBC" w:rsidRDefault="003D2634" w14:paraId="1B1D7DE5" w14:textId="77777777">
            <w:pPr>
              <w:overflowPunct w:val="0"/>
              <w:autoSpaceDE w:val="0"/>
              <w:autoSpaceDN w:val="0"/>
              <w:adjustRightInd w:val="0"/>
              <w:spacing w:line="240" w:lineRule="auto"/>
              <w:textAlignment w:val="baseline"/>
              <w:rPr>
                <w:i/>
                <w:iCs/>
              </w:rPr>
            </w:pPr>
            <w:hyperlink w:history="1" r:id="rId30">
              <w:r w:rsidR="00176361">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Pr="00016C21" w:rsidR="00016C21" w:rsidP="003D5C61" w:rsidRDefault="00115BBC" w14:paraId="53C9A431" w14:textId="6F7B7622">
      <w:pPr>
        <w:spacing w:after="160" w:line="259" w:lineRule="auto"/>
        <w:jc w:val="left"/>
        <w:rPr>
          <w:sz w:val="20"/>
          <w:szCs w:val="20"/>
        </w:rPr>
      </w:pPr>
      <w:r>
        <w:br w:type="page"/>
      </w:r>
      <w:hyperlink w:tgtFrame="_blank" w:history="1" r:id="rId31">
        <w:r w:rsidR="00176361">
          <w:rPr>
            <w:b/>
            <w:i/>
            <w:color w:val="0000FF"/>
            <w:sz w:val="28"/>
            <w:u w:val="single"/>
          </w:rPr>
          <w:t>Steunpakket voor kleine en middelgrote ondernemingen</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124"/>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Rapporteur</w:t>
            </w:r>
            <w:r>
              <w:rPr>
                <w:b/>
              </w:rPr>
              <w:br/>
              <w:t>Corapporteur</w:t>
            </w:r>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r>
              <w:t>Alena MASTANTUONO (groep Werkgevers – CZ)</w:t>
            </w:r>
            <w:r>
              <w:br/>
              <w:t>Angelo PAGLIARA (groep Werknemers – IT)</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COM(2023) 535 final</w:t>
            </w:r>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Hoofdpunten</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Het EESC:</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is ingenomen met het steunpakket voor kleine en middelgrote ondernemingen (</w:t>
      </w:r>
      <w:r>
        <w:rPr>
          <w:b/>
        </w:rPr>
        <w:t>kmo’s</w:t>
      </w:r>
      <w:r>
        <w:t>) als een poging om deze</w:t>
      </w:r>
      <w:r>
        <w:rPr>
          <w:b/>
        </w:rPr>
        <w:t xml:space="preserve"> centraal te stellen in de Europese wetgeving</w:t>
      </w:r>
      <w:r>
        <w:t xml:space="preserve">, alsook in Europese strategieën, discussies en acties ter ondersteuning van het concurrentievermogen. De volgende Commissie moet dit tot </w:t>
      </w:r>
      <w:r>
        <w:rPr>
          <w:b/>
        </w:rPr>
        <w:t>prioriteit</w:t>
      </w:r>
      <w:r>
        <w:t xml:space="preserve"> maken e</w:t>
      </w:r>
      <w:r>
        <w:rPr>
          <w:b/>
        </w:rPr>
        <w:t>n zich hier continu voor inzetten</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meent dat de Commissie ervoor moet zorgen dat de </w:t>
      </w:r>
      <w:r>
        <w:rPr>
          <w:b/>
        </w:rPr>
        <w:t>kmo-gezant van de EU</w:t>
      </w:r>
      <w:r>
        <w:t xml:space="preserve"> in de komende mandaatsperiode 2024-2029 </w:t>
      </w:r>
      <w:r>
        <w:rPr>
          <w:b/>
        </w:rPr>
        <w:t>beschikt over een achtergrond in het bedrijfsleven</w:t>
      </w:r>
      <w:r>
        <w:t xml:space="preserve"> en een welomschreven reeks bevoegdheden en verantwoordelijkheden en dat de functie vergezeld gaat van </w:t>
      </w:r>
      <w:r>
        <w:rPr>
          <w:b/>
        </w:rPr>
        <w:t>voldoende</w:t>
      </w:r>
      <w:r>
        <w:t xml:space="preserve"> personele en financiële </w:t>
      </w:r>
      <w:r>
        <w:rPr>
          <w:b/>
        </w:rPr>
        <w:t>middelen</w:t>
      </w:r>
      <w:r>
        <w:t>;</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is verheugd over de inspanningen voor vereenvoudiging en vermindering van de lasten op btw-gebied bij grensoverschrijdende activiteiten. Er moet echter nog veel werk worden verzet om andere langdurige belemmeringen weg te nemen. </w:t>
      </w:r>
      <w:r>
        <w:rPr>
          <w:b/>
        </w:rPr>
        <w:t xml:space="preserve">De versnippering van de eengemaakte markt en de verschillende nationale regels </w:t>
      </w:r>
      <w:r>
        <w:t>voor goederen en diensten</w:t>
      </w:r>
      <w:r>
        <w:rPr>
          <w:b/>
        </w:rPr>
        <w:t xml:space="preserve"> drukken zwaar op het bedrijfsleven</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meent dat </w:t>
      </w:r>
      <w:r>
        <w:rPr>
          <w:b/>
        </w:rPr>
        <w:t>kmo’s gemakkelijker toegang moeten krijgen tot financiële middelen</w:t>
      </w:r>
      <w:r>
        <w:t>, via subsidies, leningen of andere financiële instrumenten, met ondersteuning op maat. Het EESC verzoekt de Commissie verder alle nodige maatregelen te nemen om kmo’s ertoe aan te zetten zich verantwoord te gedragen wanneer zij toegang krijgen tot EU-financiering;</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benadrukt dat een beter gebruik van reeds bestaande instrumenten administratieve rompslomp kan helpen voorkomen. Een goed voorbeeld is </w:t>
      </w:r>
      <w:r>
        <w:rPr>
          <w:b/>
        </w:rPr>
        <w:t>het vermelden in elk wetgevingsvoorstel van de verwachte verplichtingen die uit het voorstel voortvloeien</w:t>
      </w:r>
      <w:r>
        <w:t>, hetgeen onder meer bijdraagt tot een beter begrip van cumulatieve lasten.</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r>
              <w:rPr>
                <w:i/>
              </w:rPr>
              <w:t>Dalila Bernard</w:t>
            </w:r>
          </w:p>
        </w:tc>
      </w:tr>
      <w:tr w:rsidRPr="00016C21" w:rsidR="00016C21" w:rsidTr="00B05454"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Tel.</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B05454"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E-mail</w:t>
            </w:r>
          </w:p>
        </w:tc>
        <w:tc>
          <w:tcPr>
            <w:tcW w:w="3444" w:type="pct"/>
          </w:tcPr>
          <w:p w:rsidRPr="00016C21" w:rsidR="00016C21" w:rsidP="00016C21" w:rsidRDefault="003D2634" w14:paraId="78D8A06B" w14:textId="135A9FB2">
            <w:pPr>
              <w:overflowPunct w:val="0"/>
              <w:autoSpaceDE w:val="0"/>
              <w:autoSpaceDN w:val="0"/>
              <w:adjustRightInd w:val="0"/>
              <w:spacing w:line="240" w:lineRule="auto"/>
              <w:textAlignment w:val="baseline"/>
              <w:rPr>
                <w:i/>
              </w:rPr>
            </w:pPr>
            <w:hyperlink w:history="1" r:id="rId32">
              <w:r w:rsidR="00176361">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br w:type="page"/>
      </w:r>
    </w:p>
    <w:p w:rsidRPr="00EE2FBD" w:rsidR="004C3902" w:rsidP="00234EA0" w:rsidRDefault="008E2A59" w14:paraId="7AD922B6" w14:textId="6D6B967E">
      <w:pPr>
        <w:pStyle w:val="Heading1"/>
        <w:ind w:hanging="928"/>
        <w:rPr>
          <w:b/>
          <w:bCs/>
        </w:rPr>
      </w:pPr>
      <w:bookmarkStart w:name="_Toc153539681" w:id="28"/>
      <w:bookmarkStart w:name="_Toc160695065" w:id="29"/>
      <w:r>
        <w:rPr>
          <w:b/>
        </w:rPr>
        <w:lastRenderedPageBreak/>
        <w:t>LANDBOUW, PLATTELANDSONTWIKKELING EN MILIEU</w:t>
      </w:r>
      <w:bookmarkStart w:name="_Hlk145944317" w:id="30"/>
      <w:bookmarkEnd w:id="28"/>
      <w:bookmarkEnd w:id="29"/>
    </w:p>
    <w:bookmarkEnd w:id="30"/>
    <w:p w:rsidRPr="00094B6B" w:rsidR="002C016E" w:rsidP="00DE43CE" w:rsidRDefault="002C016E" w14:paraId="0E7342A4" w14:textId="73254B30">
      <w:pPr>
        <w:keepNext/>
        <w:keepLines/>
        <w:jc w:val="left"/>
        <w:rPr>
          <w:bCs/>
          <w:iCs/>
        </w:rPr>
      </w:pPr>
    </w:p>
    <w:p w:rsidRPr="00016C21" w:rsidR="00016C21" w:rsidP="00016C21" w:rsidRDefault="003D2634"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3">
        <w:r w:rsidR="00176361">
          <w:rPr>
            <w:b/>
            <w:i/>
            <w:color w:val="0000FF"/>
            <w:sz w:val="28"/>
            <w:u w:val="single"/>
          </w:rPr>
          <w:t>Voorkoming van het verlies van kunststofpellets om verontreiniging door microplastics te verminderen</w:t>
        </w:r>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096"/>
      </w:tblGrid>
      <w:tr w:rsidRPr="00016C21" w:rsidR="00016C21" w:rsidTr="00B05454" w14:paraId="2AA339FF" w14:textId="77777777">
        <w:tc>
          <w:tcPr>
            <w:tcW w:w="1701" w:type="dxa"/>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Pr>
                <w:b/>
              </w:rPr>
              <w:t>Rapporteur</w:t>
            </w:r>
          </w:p>
        </w:tc>
        <w:tc>
          <w:tcPr>
            <w:tcW w:w="6096" w:type="dxa"/>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r>
              <w:t>András EDELÉNYI (groep Werkgevers – HU)</w:t>
            </w:r>
          </w:p>
        </w:tc>
      </w:tr>
      <w:tr w:rsidRPr="00016C21" w:rsidR="00016C21" w:rsidTr="00B05454" w14:paraId="3D2947AE" w14:textId="77777777">
        <w:tc>
          <w:tcPr>
            <w:tcW w:w="1701" w:type="dxa"/>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r>
              <w:rPr>
                <w:b/>
              </w:rPr>
              <w:t>Corapporteur</w:t>
            </w:r>
          </w:p>
        </w:tc>
        <w:tc>
          <w:tcPr>
            <w:tcW w:w="6096" w:type="dxa"/>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t>Maria NIKOLOPOULOU (groep Werknemers – ES)</w:t>
            </w:r>
          </w:p>
        </w:tc>
      </w:tr>
      <w:tr w:rsidRPr="00016C21" w:rsidR="00016C21" w:rsidTr="00B05454" w14:paraId="37E9B43F" w14:textId="77777777">
        <w:tc>
          <w:tcPr>
            <w:tcW w:w="7797" w:type="dxa"/>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B05454" w14:paraId="15D23674" w14:textId="77777777">
        <w:tc>
          <w:tcPr>
            <w:tcW w:w="1701" w:type="dxa"/>
            <w:vMerge w:val="restart"/>
          </w:tcPr>
          <w:p w:rsidRPr="00016C21"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Pr>
                <w:b/>
              </w:rPr>
              <w:t>Referentiedocumenten</w:t>
            </w:r>
          </w:p>
        </w:tc>
        <w:tc>
          <w:tcPr>
            <w:tcW w:w="6096" w:type="dxa"/>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t>COM(2023) 645 final</w:t>
            </w:r>
          </w:p>
        </w:tc>
      </w:tr>
      <w:tr w:rsidRPr="00016C21" w:rsidR="00016C21" w:rsidTr="00B05454" w14:paraId="5C2E846C" w14:textId="77777777">
        <w:tc>
          <w:tcPr>
            <w:tcW w:w="1701" w:type="dxa"/>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Hoofdpunten</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t>Het EESC:</w:t>
      </w:r>
    </w:p>
    <w:p w:rsidRPr="00016C21" w:rsidR="005E64DC" w:rsidP="00CC4510" w:rsidRDefault="005E64DC" w14:paraId="409EF56F" w14:textId="77777777">
      <w:pPr>
        <w:overflowPunct w:val="0"/>
        <w:autoSpaceDE w:val="0"/>
        <w:autoSpaceDN w:val="0"/>
        <w:adjustRightInd w:val="0"/>
        <w:spacing w:line="276" w:lineRule="auto"/>
        <w:textAlignment w:val="baseline"/>
        <w:rPr>
          <w:bCs/>
          <w:iCs/>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60695066" w:id="32"/>
      <w:r>
        <w:t xml:space="preserve">stemt in met en </w:t>
      </w:r>
      <w:r>
        <w:rPr>
          <w:b/>
        </w:rPr>
        <w:t>steunt</w:t>
      </w:r>
      <w:r>
        <w:t xml:space="preserve"> in grote lijnen </w:t>
      </w:r>
      <w:r>
        <w:rPr>
          <w:b/>
        </w:rPr>
        <w:t>het voorstel van de Commissie</w:t>
      </w:r>
      <w:r>
        <w:t xml:space="preserve"> om de activiteiten met en de uitstoot van microplastics te reguleren en gevaarlijke verontreiniging op dit specifieke gebied te beperken;</w:t>
      </w:r>
      <w:bookmarkEnd w:id="31"/>
      <w:bookmarkEnd w:id="32"/>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60695067" w:id="34"/>
      <w:r>
        <w:t xml:space="preserve">wijst erop dat er dringend </w:t>
      </w:r>
      <w:r>
        <w:rPr>
          <w:b/>
        </w:rPr>
        <w:t>werk moet worden gemaakt van de gestandaardiseerde</w:t>
      </w:r>
      <w:r>
        <w:t xml:space="preserve"> </w:t>
      </w:r>
      <w:r>
        <w:rPr>
          <w:b/>
        </w:rPr>
        <w:t>methode</w:t>
      </w:r>
      <w:r>
        <w:t xml:space="preserve"> </w:t>
      </w:r>
      <w:r>
        <w:rPr>
          <w:b/>
        </w:rPr>
        <w:t>voor het traceren</w:t>
      </w:r>
      <w:r>
        <w:t xml:space="preserve"> en naar behoren </w:t>
      </w:r>
      <w:r>
        <w:rPr>
          <w:b/>
        </w:rPr>
        <w:t>ramen van verliezen van microplastic pellets</w:t>
      </w:r>
      <w:r>
        <w:t xml:space="preserve"> in de hele toeleveringsketen. Dit zou de mogelijkheid bieden de emissies te ramen en de vooruitgang op weg naar de vastgestelde doelstelling (nl. een vermindering met 30 % in 2030) te monitoren;</w:t>
      </w:r>
      <w:bookmarkEnd w:id="33"/>
      <w:bookmarkEnd w:id="34"/>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60695068" w:id="36"/>
      <w:r>
        <w:t xml:space="preserve">beveelt aan dat de EU </w:t>
      </w:r>
      <w:r>
        <w:rPr>
          <w:b/>
        </w:rPr>
        <w:t>een en ander afstemt op het wetgevingsproces van de Internationale Maritieme Organisatie (IMO)</w:t>
      </w:r>
      <w:r>
        <w:t>. Indien de IMO medio 2026 geen regels heeft vastgesteld, moet de Commissie overwegen bepalingen in te voeren voor maritiem vervoer binnen de EU, alsook de basis te leggen voor de aanpak van secundaire microplastics afkomstig van banden, verf, textiel, geotextiel en wasmiddelcapsules;</w:t>
      </w:r>
      <w:bookmarkEnd w:id="35"/>
      <w:bookmarkEnd w:id="36"/>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60695069" w:id="38"/>
      <w:r>
        <w:t xml:space="preserve">stelt voor om, met het oog op de bescherming van mens en milieu, in de verordening </w:t>
      </w:r>
      <w:r>
        <w:rPr>
          <w:b/>
        </w:rPr>
        <w:t>aandacht te besteden aan de geografische gebieden</w:t>
      </w:r>
      <w:r>
        <w:t xml:space="preserve"> – als mogelijke interventiepunten voor het terugdringen van verontreiniging – die het meest zijn blootgesteld aan emissies van microplastics;</w:t>
      </w:r>
      <w:bookmarkEnd w:id="37"/>
      <w:bookmarkEnd w:id="38"/>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60695070" w:id="40"/>
      <w:r>
        <w:t xml:space="preserve">benadrukt dat de </w:t>
      </w:r>
      <w:r>
        <w:rPr>
          <w:b/>
        </w:rPr>
        <w:t>frequentie van de nalevingscontrole moet worden verhoogd en dat een tussentijdse herziening van de wetgeving moet worden ingevoerd</w:t>
      </w:r>
      <w:r>
        <w:t xml:space="preserve"> om de efficiëntie ervan te beoordelen, en dat de volumebeperking voor pelletactiviteiten, zoals vastgelegd in de lichtere regelgevingsvereisten voor micro- en kleine ondernemingen, moet worden herzien en zo nodig verfijnd;</w:t>
      </w:r>
      <w:bookmarkEnd w:id="39"/>
      <w:bookmarkEnd w:id="40"/>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60695071" w:id="42"/>
      <w:r>
        <w:t xml:space="preserve">waarschuwt dat de snel groeiende productie van nieuwe en gerecycleerde kunststofpellets het steeds moeilijker maakt om de gevolgen ervan te beperken. Daarom moeten de inspanningen om de </w:t>
      </w:r>
      <w:r>
        <w:rPr>
          <w:b/>
        </w:rPr>
        <w:t>naleving</w:t>
      </w:r>
      <w:r>
        <w:t xml:space="preserve"> van de verordening </w:t>
      </w:r>
      <w:r>
        <w:rPr>
          <w:b/>
        </w:rPr>
        <w:t>uit te voeren</w:t>
      </w:r>
      <w:r>
        <w:t xml:space="preserve"> </w:t>
      </w:r>
      <w:r>
        <w:rPr>
          <w:b/>
        </w:rPr>
        <w:t>en te handhaven</w:t>
      </w:r>
      <w:r>
        <w:t>, worden opgevoerd;</w:t>
      </w:r>
      <w:bookmarkEnd w:id="41"/>
      <w:bookmarkEnd w:id="42"/>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60695072" w:id="44"/>
      <w:r>
        <w:t xml:space="preserve">merkt op dat er geen grote vraag is naar extra werknemers, behalve in groene sectoren. Verder moeten de </w:t>
      </w:r>
      <w:r>
        <w:rPr>
          <w:b/>
        </w:rPr>
        <w:t>bewustmakings- en opleidingsniveaus van alle arbeidskrachten worden verhoogd</w:t>
      </w:r>
      <w:r>
        <w:t>;</w:t>
      </w:r>
      <w:bookmarkEnd w:id="43"/>
      <w:bookmarkEnd w:id="44"/>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60695073" w:id="46"/>
      <w:r>
        <w:t xml:space="preserve">tekent aan dat </w:t>
      </w:r>
      <w:r>
        <w:rPr>
          <w:b/>
        </w:rPr>
        <w:t>rekening moet worden gehouden met de internationale aspecten van de verordening</w:t>
      </w:r>
      <w:r>
        <w:t xml:space="preserve"> om in het concurrentieklimaat te zorgen voor een gelijk speelveld tussen exploitanten uit de EU die de verordening naleven en exploitanten uit derde landen;</w:t>
      </w:r>
      <w:bookmarkEnd w:id="45"/>
      <w:bookmarkEnd w:id="46"/>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60695074" w:id="48"/>
      <w:r>
        <w:t>benadrukt dat wetenschappelijke en onderzoeksactiviteiten moeten worden opgevoerd, met name om inzicht te krijgen in de schadelijke gevolgen van verontreiniging door microplastic pellets voor de gezondheid van mens en milieu;</w:t>
      </w:r>
      <w:bookmarkEnd w:id="47"/>
      <w:bookmarkEnd w:id="48"/>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60695075" w:id="50"/>
      <w:r>
        <w:lastRenderedPageBreak/>
        <w:t xml:space="preserve">stelt voor om de </w:t>
      </w:r>
      <w:r>
        <w:rPr>
          <w:b/>
        </w:rPr>
        <w:t>beste beschikbare technieken</w:t>
      </w:r>
      <w:r>
        <w:t xml:space="preserve"> voor marktdeelnemers te herzien en pelletverlies hierin op te nemen.</w:t>
      </w:r>
      <w:bookmarkEnd w:id="49"/>
      <w:bookmarkEnd w:id="50"/>
    </w:p>
    <w:p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16C21" w:rsidR="00016C21" w:rsidTr="00B05454" w14:paraId="5AD55413" w14:textId="77777777">
        <w:tc>
          <w:tcPr>
            <w:tcW w:w="1418" w:type="dxa"/>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Pr>
                <w:b/>
                <w:i/>
              </w:rPr>
              <w:t>Contactpersoon</w:t>
            </w:r>
          </w:p>
        </w:tc>
        <w:tc>
          <w:tcPr>
            <w:tcW w:w="5670" w:type="dxa"/>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r>
              <w:rPr>
                <w:i/>
              </w:rPr>
              <w:t>Caroline Verhelst</w:t>
            </w:r>
          </w:p>
        </w:tc>
      </w:tr>
      <w:tr w:rsidRPr="00016C21" w:rsidR="00016C21" w:rsidTr="00B05454" w14:paraId="12754F25" w14:textId="77777777">
        <w:tc>
          <w:tcPr>
            <w:tcW w:w="1418" w:type="dxa"/>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Pr>
                <w:i/>
              </w:rPr>
              <w:t>Tel.</w:t>
            </w:r>
          </w:p>
        </w:tc>
        <w:tc>
          <w:tcPr>
            <w:tcW w:w="5670" w:type="dxa"/>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Pr>
                <w:i/>
              </w:rPr>
              <w:t>+32 25469497</w:t>
            </w:r>
          </w:p>
        </w:tc>
      </w:tr>
      <w:tr w:rsidRPr="00016C21" w:rsidR="00016C21" w:rsidTr="00B05454" w14:paraId="249DD5BE" w14:textId="77777777">
        <w:tc>
          <w:tcPr>
            <w:tcW w:w="1418" w:type="dxa"/>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E-mail</w:t>
            </w:r>
          </w:p>
        </w:tc>
        <w:tc>
          <w:tcPr>
            <w:tcW w:w="5670" w:type="dxa"/>
          </w:tcPr>
          <w:p w:rsidRPr="00016C21" w:rsidR="00016C21" w:rsidP="00016C21" w:rsidRDefault="003D2634"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4">
              <w:r w:rsidR="00176361">
                <w:rPr>
                  <w:i/>
                  <w:color w:val="0000FF"/>
                  <w:u w:val="single"/>
                </w:rPr>
                <w:t>Caroline.Verhelst@eesc.europa.eu</w:t>
              </w:r>
            </w:hyperlink>
          </w:p>
        </w:tc>
      </w:tr>
    </w:tbl>
    <w:p w:rsidR="003D5C61" w:rsidRDefault="003D5C61" w14:paraId="6AD61F9D" w14:textId="210B1357">
      <w:pPr>
        <w:spacing w:after="160" w:line="259" w:lineRule="auto"/>
        <w:jc w:val="left"/>
        <w:rPr>
          <w:b/>
          <w:bCs/>
        </w:rPr>
      </w:pPr>
    </w:p>
    <w:p w:rsidR="003D5C61" w:rsidRDefault="003D5C61" w14:paraId="40F1AFFF" w14:textId="77777777">
      <w:pPr>
        <w:spacing w:after="160" w:line="259" w:lineRule="auto"/>
        <w:jc w:val="left"/>
        <w:rPr>
          <w:b/>
          <w:bCs/>
        </w:rPr>
      </w:pPr>
      <w:r>
        <w:rPr>
          <w:b/>
          <w:bCs/>
        </w:rPr>
        <w:br w:type="page"/>
      </w:r>
    </w:p>
    <w:p w:rsidRPr="00810736" w:rsidR="006B3316" w:rsidP="0074419C" w:rsidRDefault="005374D2" w14:paraId="4FE1ECEE" w14:textId="7B16969B">
      <w:pPr>
        <w:pStyle w:val="Heading1"/>
        <w:ind w:hanging="928"/>
        <w:rPr>
          <w:b/>
          <w:bCs/>
        </w:rPr>
      </w:pPr>
      <w:bookmarkStart w:name="_Toc153539702" w:id="51"/>
      <w:bookmarkStart w:name="_Toc160695076" w:id="52"/>
      <w:r>
        <w:rPr>
          <w:b/>
        </w:rPr>
        <w:lastRenderedPageBreak/>
        <w:t>EXTERNE BETREKKINGEN</w:t>
      </w:r>
      <w:bookmarkEnd w:id="51"/>
      <w:bookmarkEnd w:id="52"/>
    </w:p>
    <w:p w:rsidR="00BD0493" w:rsidP="00BD0493" w:rsidRDefault="00BD0493" w14:paraId="10EC00FD" w14:textId="45B98434"/>
    <w:p w:rsidRPr="00231267" w:rsidR="00231267" w:rsidP="00CC4510" w:rsidRDefault="003D2634"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00176361">
          <w:rPr>
            <w:b/>
            <w:i/>
            <w:color w:val="0000FF"/>
            <w:sz w:val="28"/>
            <w:u w:val="single"/>
          </w:rPr>
          <w:t>Strategie voor economische veiligheid van de EU</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9"/>
        <w:gridCol w:w="5387"/>
      </w:tblGrid>
      <w:tr w:rsidRPr="00231267" w:rsidR="00231267" w:rsidTr="00CC4510" w14:paraId="588E9B2D" w14:textId="77777777">
        <w:trPr>
          <w:trHeight w:val="330"/>
        </w:trPr>
        <w:tc>
          <w:tcPr>
            <w:tcW w:w="1843" w:type="dxa"/>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Rapporteur</w:t>
            </w:r>
          </w:p>
        </w:tc>
        <w:tc>
          <w:tcPr>
            <w:tcW w:w="5387" w:type="dxa"/>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r>
              <w:t>Milena ANGELOVA (groep Werkgevers – BG)</w:t>
            </w:r>
          </w:p>
        </w:tc>
      </w:tr>
      <w:tr w:rsidRPr="00231267" w:rsidR="00231267" w:rsidTr="00CC4510" w14:paraId="5246C778" w14:textId="77777777">
        <w:tc>
          <w:tcPr>
            <w:tcW w:w="1843" w:type="dxa"/>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Referentiedocumenten</w:t>
            </w:r>
          </w:p>
        </w:tc>
        <w:tc>
          <w:tcPr>
            <w:tcW w:w="5387" w:type="dxa"/>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Het EESC:</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18910B1A">
      <w:pPr>
        <w:widowControl w:val="0"/>
        <w:numPr>
          <w:ilvl w:val="0"/>
          <w:numId w:val="26"/>
        </w:numPr>
        <w:overflowPunct w:val="0"/>
        <w:autoSpaceDE w:val="0"/>
        <w:autoSpaceDN w:val="0"/>
        <w:adjustRightInd w:val="0"/>
        <w:spacing w:line="276" w:lineRule="auto"/>
        <w:ind w:left="284" w:hanging="284"/>
        <w:textAlignment w:val="baseline"/>
        <w:rPr>
          <w:szCs w:val="20"/>
        </w:rPr>
      </w:pPr>
      <w:r>
        <w:t>is ingenomen met de mededeling over de “Strategie voor economische veiligheid van de EU”. Dit</w:t>
      </w:r>
      <w:r w:rsidR="00E26AE7">
        <w:t> </w:t>
      </w:r>
      <w:r>
        <w:t>initiatief komt op het goede moment en speelt in op de nieuwe en voortdurend veranderende geopolitieke en geo-economische omstandigheden.  Het EESC staat achter de risicogebaseerde aanpak, maar vindt ook dat de sterke punten van de EU en de kansen die mondiale uitdagingen bieden, grondig moeten worden beoordeeld;</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benadrukt dat investeren in innovatie, vaardighedenontwikkeling en industriële capaciteiten en daarnaast het waarborgen van de goede werking van de interne markt onmisbare middelen zijn om de productiviteit en het concurrentievermogen te verhogen en tegelijk kritieke afhankelijkheden te verminderen, zonder afbreuk te doen aan de sociale markteconomie van de EU. Verder zijn onder meer energie, grondstoffen, digitale capaciteit en stabiele toegang tot financiering van fundamenteel belang, waarvoor de voltooiing van de kapitaalmarktenunie en de bankenunie vereist is;</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zou graag zien dat handels- en investeringsovereenkomsten ten volle worden benut, dat lopende handelsbesprekingen snel worden afgerond en dat er nieuwe onderhandelingen met potentiële nieuwe partners worden opgestart, om de toeleveringsketens te diversifiëren en de productmarkten uit te breiden. Het stimuleren van op regels gebaseerde multilaterale handel en mondiale overeenkomsten moeten ook prioriteiten zijn voor de EU;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benadrukt dat er resoluut moet worden opgetreden tegen derde landen die de economische veiligheid van de EU bedreigen. Dit kan door het nemen van beschermende maatregelen op het gebied van handel, investeringen of technologische samenwerking;</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roept de EU-beleidsmakers op om gunstiger voorwaarden te scheppen die Europese bedrijven, met inbegrip van micro-, kleine en middelgrote ondernemingen, in staat stellen, aanmoedigen en ondersteunen om de geo-economische risico’s aan te pakken waarmee ze in hun activiteiten te maken krijgen. De desbetreffende beleidsmaatregelen mogen voor hen geen onevenredige kosten of belemmeringen met zich meebrengen;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pleit ervoor om Europese bedrijven en andere relevante actoren uit het maatschappelijk middenveld bij de verdere uitwerking en uitvoering van de strategie voor economische veiligheid te betrekken. Het EESC wijst erop dat de synergieën tussen de lidstaten moeten worden versterkt om zo bij te dragen tot de eenheid, de mondiale kracht en de algemene economische veiligheid van de EU.</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231267" w:rsidR="00231267" w:rsidTr="00B05454" w14:paraId="7CFE54E9" w14:textId="77777777">
        <w:tc>
          <w:tcPr>
            <w:tcW w:w="1418" w:type="dxa"/>
          </w:tcPr>
          <w:p w:rsidRPr="00231267" w:rsidR="00231267" w:rsidP="00231267" w:rsidRDefault="00231267" w14:paraId="4E9EAA40" w14:textId="77777777">
            <w:pPr>
              <w:overflowPunct w:val="0"/>
              <w:autoSpaceDE w:val="0"/>
              <w:autoSpaceDN w:val="0"/>
              <w:adjustRightInd w:val="0"/>
              <w:textAlignment w:val="baseline"/>
              <w:rPr>
                <w:i/>
              </w:rPr>
            </w:pPr>
            <w:r>
              <w:rPr>
                <w:b/>
                <w:i/>
              </w:rPr>
              <w:t>Contactpersoon</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r>
              <w:rPr>
                <w:i/>
              </w:rPr>
              <w:t>Marco Ristori</w:t>
            </w:r>
          </w:p>
        </w:tc>
      </w:tr>
      <w:tr w:rsidRPr="00231267" w:rsidR="00231267" w:rsidTr="00B05454" w14:paraId="62B22192" w14:textId="77777777">
        <w:tc>
          <w:tcPr>
            <w:tcW w:w="1418" w:type="dxa"/>
          </w:tcPr>
          <w:p w:rsidRPr="00231267" w:rsidR="00231267" w:rsidP="00231267" w:rsidRDefault="00231267" w14:paraId="440C603C" w14:textId="77777777">
            <w:pPr>
              <w:overflowPunct w:val="0"/>
              <w:autoSpaceDE w:val="0"/>
              <w:autoSpaceDN w:val="0"/>
              <w:adjustRightInd w:val="0"/>
              <w:textAlignment w:val="baseline"/>
              <w:rPr>
                <w:i/>
              </w:rPr>
            </w:pPr>
            <w:r>
              <w:rPr>
                <w:i/>
              </w:rPr>
              <w:t>Tel.</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B05454" w14:paraId="48DEF925" w14:textId="77777777">
        <w:tc>
          <w:tcPr>
            <w:tcW w:w="1418" w:type="dxa"/>
          </w:tcPr>
          <w:p w:rsidRPr="00231267" w:rsidR="00231267" w:rsidP="00231267" w:rsidRDefault="00231267" w14:paraId="66BED64C" w14:textId="77777777">
            <w:pPr>
              <w:overflowPunct w:val="0"/>
              <w:autoSpaceDE w:val="0"/>
              <w:autoSpaceDN w:val="0"/>
              <w:adjustRightInd w:val="0"/>
              <w:textAlignment w:val="baseline"/>
              <w:rPr>
                <w:i/>
              </w:rPr>
            </w:pPr>
            <w:r>
              <w:rPr>
                <w:i/>
              </w:rPr>
              <w:t>E-mail</w:t>
            </w:r>
          </w:p>
        </w:tc>
        <w:tc>
          <w:tcPr>
            <w:tcW w:w="5670" w:type="dxa"/>
          </w:tcPr>
          <w:p w:rsidRPr="00231267" w:rsidR="00231267" w:rsidP="00231267" w:rsidRDefault="003D2634" w14:paraId="42300FE7" w14:textId="77777777">
            <w:pPr>
              <w:overflowPunct w:val="0"/>
              <w:autoSpaceDE w:val="0"/>
              <w:autoSpaceDN w:val="0"/>
              <w:adjustRightInd w:val="0"/>
              <w:textAlignment w:val="baseline"/>
              <w:rPr>
                <w:i/>
              </w:rPr>
            </w:pPr>
            <w:hyperlink w:history="1" r:id="rId36">
              <w:r w:rsidR="00176361">
                <w:rPr>
                  <w:i/>
                  <w:color w:val="0000FF"/>
                  <w:u w:val="single"/>
                </w:rPr>
                <w:t>Marco.Ristori@eesc.europa.eu</w:t>
              </w:r>
            </w:hyperlink>
          </w:p>
        </w:tc>
      </w:tr>
    </w:tbl>
    <w:p w:rsidRPr="003F6640" w:rsidR="003F6640" w:rsidRDefault="003F6640" w14:paraId="0E201C9B" w14:textId="77777777">
      <w:pPr>
        <w:spacing w:after="160" w:line="259" w:lineRule="auto"/>
        <w:jc w:val="left"/>
      </w:pPr>
    </w:p>
    <w:p w:rsidRPr="00CC4510" w:rsidR="00FF485C" w:rsidRDefault="00FF485C" w14:paraId="005CB271" w14:textId="70C78FEC">
      <w:pPr>
        <w:spacing w:after="160" w:line="259" w:lineRule="auto"/>
        <w:jc w:val="left"/>
        <w:rPr>
          <w:sz w:val="14"/>
          <w:szCs w:val="14"/>
        </w:rPr>
      </w:pPr>
    </w:p>
    <w:p w:rsidR="003B636C" w:rsidP="005B4680" w:rsidRDefault="003B636C" w14:paraId="2AFC2D25" w14:textId="6E54F172">
      <w:pPr>
        <w:pStyle w:val="Heading1"/>
        <w:ind w:hanging="928"/>
        <w:rPr>
          <w:b/>
          <w:bCs/>
        </w:rPr>
      </w:pPr>
      <w:bookmarkStart w:name="_Toc153539712" w:id="53"/>
      <w:bookmarkStart w:name="_Toc160695077" w:id="54"/>
      <w:r>
        <w:rPr>
          <w:b/>
        </w:rPr>
        <w:lastRenderedPageBreak/>
        <w:t>VERVOER, ENERGIE, INFRASTRUCTUUR EN INFORMATIEMAATSCHAPPIJ</w:t>
      </w:r>
      <w:bookmarkEnd w:id="54"/>
    </w:p>
    <w:p w:rsidRPr="003B636C" w:rsidR="003B636C" w:rsidP="003B636C" w:rsidRDefault="003B636C" w14:paraId="4BBF9BF3" w14:textId="77777777"/>
    <w:p w:rsidRPr="00B114D4" w:rsidR="003B636C" w:rsidP="003B636C" w:rsidRDefault="003D2634"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7">
        <w:r w:rsidR="00176361">
          <w:rPr>
            <w:b/>
            <w:i/>
            <w:color w:val="0000FF"/>
            <w:sz w:val="28"/>
            <w:u w:val="single"/>
          </w:rPr>
          <w:t>Herziening van Richtlijn 92/106/EEG inzake gecombineerd vervoer</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r>
              <w:t>Pierre-Jean COULON (groep Werknemers –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t xml:space="preserve">COM(2023) 702 final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Het EESC:</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benadrukt dat intermodaliteit in al het goederenvervoer nodig is, waarbij wel altijd voor ogen moet worden gehouden dat het zaak is alle vervoerswijzen op Europees niveau te coördineren en te optimaliseren;</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vindt dat het grote publiek moet worden geïnformeerd over de interessante mogelijkheden die het creëren van een systeem voor intermodaal vervoer met zich meebrengt. Een intermodaal vervoerssysteem wordt immers opgezet in het belang van de burgers. Het grote publieke moet dan ook invloed op besluiten over vervoersprojecten en -beleid kunnen uitoefenen;</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onderstreept dat het welslagen van dit beleid afhangt van een maximale naleving van de sociale regels en een specifiek systematisch opleidingsbeleid voor het personeel en de managers van ondernemingen;</w:t>
      </w:r>
      <w:bookmarkStart w:name="x__Hlk157163546" w:id="55"/>
      <w:bookmarkEnd w:id="55"/>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dringt erop aan dat bij de toepassing van deze nieuwe maatregel de rust- en pauzetijden van vrachtwagenchauffeurs worden gerespecteerd. Economische rentabiliteit mag niet ten koste gaan van de verkeersveiligheid en van de arbeidsomstandigheden van chauffeurs in de EU.</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B114D4" w:rsidR="003B636C" w:rsidTr="00B05454" w14:paraId="37497442" w14:textId="77777777">
        <w:tc>
          <w:tcPr>
            <w:tcW w:w="1418"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r>
              <w:rPr>
                <w:i/>
              </w:rPr>
              <w:t>Aleksandra Sarman Grilc</w:t>
            </w:r>
          </w:p>
        </w:tc>
      </w:tr>
      <w:tr w:rsidRPr="00B114D4" w:rsidR="003B636C" w:rsidTr="00B05454" w14:paraId="04CE6CD8" w14:textId="77777777">
        <w:tc>
          <w:tcPr>
            <w:tcW w:w="1418"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Tel.</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B05454" w14:paraId="70ABA418" w14:textId="77777777">
        <w:tc>
          <w:tcPr>
            <w:tcW w:w="1418"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E-mail</w:t>
            </w:r>
          </w:p>
        </w:tc>
        <w:tc>
          <w:tcPr>
            <w:tcW w:w="5670" w:type="dxa"/>
          </w:tcPr>
          <w:p w:rsidRPr="00B114D4" w:rsidR="003B636C" w:rsidP="00B05454" w:rsidRDefault="003D2634" w14:paraId="696F5F65" w14:textId="77777777">
            <w:pPr>
              <w:overflowPunct w:val="0"/>
              <w:autoSpaceDE w:val="0"/>
              <w:autoSpaceDN w:val="0"/>
              <w:adjustRightInd w:val="0"/>
              <w:spacing w:line="240" w:lineRule="auto"/>
              <w:textAlignment w:val="baseline"/>
              <w:rPr>
                <w:i/>
                <w:iCs/>
              </w:rPr>
            </w:pPr>
            <w:hyperlink w:history="1" r:id="rId38">
              <w:r w:rsidR="00176361">
                <w:rPr>
                  <w:i/>
                  <w:color w:val="0000FF"/>
                  <w:u w:val="single"/>
                </w:rPr>
                <w:t>Aleksandra.SarmanGrilc@eesc.europa.eu</w:t>
              </w:r>
            </w:hyperlink>
            <w:r w:rsidR="00176361">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60695078" w:id="56"/>
      <w:r>
        <w:rPr>
          <w:b/>
        </w:rPr>
        <w:lastRenderedPageBreak/>
        <w:t>ADVIESCOMMISSIE INDUSTRIËLE RECONVERSIE</w:t>
      </w:r>
      <w:bookmarkEnd w:id="56"/>
    </w:p>
    <w:p w:rsidR="003B3E18" w:rsidP="003B3E18" w:rsidRDefault="003B3E18" w14:paraId="0CE20361" w14:textId="55A85CDB"/>
    <w:p w:rsidRPr="000F732E" w:rsidR="000F732E" w:rsidP="00CC4510" w:rsidRDefault="003D2634"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9">
        <w:r w:rsidR="00176361">
          <w:rPr>
            <w:b/>
            <w:i/>
            <w:color w:val="0000FF"/>
            <w:sz w:val="28"/>
            <w:u w:val="single"/>
          </w:rPr>
          <w:t>Alomvattende strategie voor de houtindustrie in de EU</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9"/>
        <w:gridCol w:w="7248"/>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Pr>
                <w:b/>
              </w:rPr>
              <w:t>Rapporteur</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r>
              <w:t>Anastasis YIAPANIS (groep Maatschappelijke Organisaties – 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rPr>
            </w:pPr>
            <w:r>
              <w:rPr>
                <w:b/>
              </w:rPr>
              <w:t>Corapporteur</w:t>
            </w:r>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r>
              <w:t>Rolf GEHRING (Cat. 2- DE)</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Pr>
                <w:b/>
              </w:rPr>
              <w:t>Referentiedocumenten</w:t>
            </w:r>
          </w:p>
        </w:tc>
        <w:tc>
          <w:tcPr>
            <w:tcW w:w="4054" w:type="pct"/>
          </w:tcPr>
          <w:p w:rsidR="00C41D73" w:rsidP="001E04B8" w:rsidRDefault="00C41D73" w14:paraId="320586E0" w14:textId="24B220EB">
            <w:pPr>
              <w:tabs>
                <w:tab w:val="center" w:pos="284"/>
              </w:tabs>
              <w:spacing w:line="240" w:lineRule="auto"/>
              <w:ind w:left="266" w:hanging="376"/>
              <w:jc w:val="left"/>
            </w:pPr>
            <w:r>
              <w:t>Initiatiefadvies</w:t>
            </w:r>
          </w:p>
          <w:p w:rsidRPr="000F732E" w:rsidR="000F732E" w:rsidP="00CC4510" w:rsidRDefault="000F732E" w14:paraId="33B05BD1" w14:textId="754D5011">
            <w:pPr>
              <w:tabs>
                <w:tab w:val="center" w:pos="284"/>
              </w:tabs>
              <w:spacing w:line="240" w:lineRule="auto"/>
              <w:ind w:left="266" w:hanging="37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Hoofdpunten</w:t>
      </w:r>
    </w:p>
    <w:p w:rsidR="000F732E" w:rsidP="00CC4510" w:rsidRDefault="000F732E" w14:paraId="66129667" w14:textId="184E3AF9">
      <w:pPr>
        <w:spacing w:after="160" w:line="360" w:lineRule="auto"/>
        <w:jc w:val="left"/>
        <w:rPr>
          <w:rFonts w:eastAsiaTheme="minorHAnsi"/>
        </w:rPr>
      </w:pPr>
      <w:r>
        <w:t>Het EESC:</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t xml:space="preserve">roept de Europese en nationale overheden op om </w:t>
      </w:r>
      <w:r>
        <w:rPr>
          <w:b/>
        </w:rPr>
        <w:t>prioriteit te geven aan het internationale concurrentievermogen van de Europese houtindustrie</w:t>
      </w:r>
      <w:r>
        <w:t xml:space="preserve"> door de </w:t>
      </w:r>
      <w:r>
        <w:rPr>
          <w:b/>
        </w:rPr>
        <w:t>toegang tot de markt</w:t>
      </w:r>
      <w:r>
        <w:t xml:space="preserve"> te garanderen, kostenproblemen en </w:t>
      </w:r>
      <w:r>
        <w:rPr>
          <w:b/>
        </w:rPr>
        <w:t>oneerlijke handelspraktijken</w:t>
      </w:r>
      <w:r>
        <w:t xml:space="preserve"> aan te pakken en tegelijkertijd te zorgen voor een gelijk speelveld op de markt;</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t xml:space="preserve">roept alle EU-instellingen op de bijdrage van hernieuwbare materialen aan duurzaamheid, de circulaire economie en klimaatneutraliteit naar behoren te erkennen en </w:t>
      </w:r>
      <w:r>
        <w:rPr>
          <w:b/>
        </w:rPr>
        <w:t>hout daarbij als een waardevolle circulaire hulpbron en grondstof aan te merken</w:t>
      </w:r>
      <w: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t xml:space="preserve">onderstreept de noodzaak om minimumnormen vast te stellen voor koolstofemissies gedurende de hele levenscyclus in de bouw en de </w:t>
      </w:r>
      <w:r>
        <w:rPr>
          <w:b/>
        </w:rPr>
        <w:t>noodzaak van koolstofrapportage</w:t>
      </w:r>
      <w:r>
        <w:t xml:space="preserve"> binnen de industrie;</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t xml:space="preserve">pleit voor krachtigere, proactieve maatregelen om </w:t>
      </w:r>
      <w:r>
        <w:rPr>
          <w:b/>
        </w:rPr>
        <w:t>illegale houtkap, ontbossing en illegale houthandel tegen te gaan</w:t>
      </w:r>
      <w:r>
        <w:t>;</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t xml:space="preserve">dringt aan op de ontwikkeling van een </w:t>
      </w:r>
      <w:r>
        <w:rPr>
          <w:b/>
        </w:rPr>
        <w:t>EU-strategie om jong talent en vrouwen in de sector aan te trekken en te behouden</w:t>
      </w:r>
      <w:r>
        <w:t xml:space="preserve"> en de beschikbaarheid van geschoolde arbeidskrachten te waarborgen;</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t xml:space="preserve">benadrukt het belang van de </w:t>
      </w:r>
      <w:r>
        <w:rPr>
          <w:b/>
        </w:rPr>
        <w:t>handhaving van de Europese pijler van sociale rechten (EPSR)</w:t>
      </w:r>
      <w:r>
        <w:t xml:space="preserve"> in de houtindustrie van de EU;</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t xml:space="preserve">wijst op de groeiende behoefte aan doeltreffend bosbeheer en een betere coördinatie en betere uitrusting voor Europese en nationale brandweerdiensten om het </w:t>
      </w:r>
      <w:r>
        <w:rPr>
          <w:b/>
        </w:rPr>
        <w:t>toenemende aantal grote bosbranden tegen te gaan</w:t>
      </w:r>
      <w:r>
        <w:t>;</w:t>
      </w:r>
    </w:p>
    <w:p w:rsidRPr="000F732E" w:rsidR="000F732E" w:rsidP="00CC4510" w:rsidRDefault="000F732E" w14:paraId="23084171" w14:textId="77777777">
      <w:pPr>
        <w:numPr>
          <w:ilvl w:val="0"/>
          <w:numId w:val="28"/>
        </w:numPr>
        <w:spacing w:after="160" w:line="259" w:lineRule="auto"/>
        <w:ind w:left="284" w:hanging="284"/>
        <w:contextualSpacing/>
        <w:rPr>
          <w:rFonts w:eastAsiaTheme="minorHAnsi"/>
        </w:rPr>
      </w:pPr>
      <w:r>
        <w:t xml:space="preserve">dringt aan op een consequente </w:t>
      </w:r>
      <w:r>
        <w:rPr>
          <w:b/>
        </w:rPr>
        <w:t>uitvoering van de verordening inzake ecologisch ontwerp voor duurzame producten (ESPR)</w:t>
      </w:r>
      <w:r>
        <w:t>, zodat duurzame producten de norm worden en eerlijke concurrentie met ingevoerde producten mogelijk blijft. Daarnaast moeten de sociale partners van de houtsector in de EU worden uitgenodigd om deel te nemen aan het Overlegforum ecologisch ontwerp.</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0F732E" w:rsidRDefault="000F732E" w14:paraId="76D5A844" w14:textId="77777777">
            <w:pPr>
              <w:spacing w:line="240" w:lineRule="auto"/>
              <w:jc w:val="left"/>
              <w:rPr>
                <w:i/>
              </w:rPr>
            </w:pPr>
            <w:r>
              <w:rPr>
                <w:b/>
                <w:i/>
              </w:rPr>
              <w:t>Contactpersoon</w:t>
            </w:r>
          </w:p>
        </w:tc>
        <w:tc>
          <w:tcPr>
            <w:tcW w:w="3130" w:type="pct"/>
            <w:tcBorders>
              <w:left w:val="nil"/>
            </w:tcBorders>
          </w:tcPr>
          <w:p w:rsidRPr="00CC4510" w:rsidR="000F732E" w:rsidP="000F732E" w:rsidRDefault="000F732E" w14:paraId="7DA54185" w14:textId="31EEC934">
            <w:pPr>
              <w:spacing w:line="240" w:lineRule="auto"/>
              <w:jc w:val="left"/>
              <w:rPr>
                <w:bCs/>
                <w:i/>
              </w:rPr>
            </w:pPr>
            <w:r>
              <w:rPr>
                <w:i/>
              </w:rPr>
              <w:t>Heli Niemelä-Farrer</w:t>
            </w:r>
          </w:p>
        </w:tc>
      </w:tr>
      <w:tr w:rsidRPr="000F732E" w:rsidR="000F732E" w:rsidTr="00B05454" w14:paraId="6E3CE5FB" w14:textId="77777777">
        <w:tc>
          <w:tcPr>
            <w:tcW w:w="1870" w:type="pct"/>
          </w:tcPr>
          <w:p w:rsidRPr="000F732E" w:rsidR="000F732E" w:rsidP="000F732E" w:rsidRDefault="000F732E" w14:paraId="7E50D445" w14:textId="77777777">
            <w:pPr>
              <w:spacing w:line="240" w:lineRule="auto"/>
              <w:jc w:val="left"/>
              <w:rPr>
                <w:i/>
              </w:rPr>
            </w:pPr>
            <w:r>
              <w:rPr>
                <w:i/>
              </w:rPr>
              <w:t xml:space="preserve">Tel. </w:t>
            </w:r>
          </w:p>
        </w:tc>
        <w:tc>
          <w:tcPr>
            <w:tcW w:w="3130" w:type="pct"/>
            <w:tcBorders>
              <w:left w:val="nil"/>
            </w:tcBorders>
          </w:tcPr>
          <w:p w:rsidRPr="000F732E" w:rsidR="000F732E" w:rsidP="000F732E" w:rsidRDefault="000F732E" w14:paraId="7DEC5319" w14:textId="77777777">
            <w:pPr>
              <w:spacing w:line="240" w:lineRule="auto"/>
              <w:jc w:val="left"/>
              <w:rPr>
                <w:i/>
              </w:rPr>
            </w:pPr>
            <w:r>
              <w:rPr>
                <w:i/>
              </w:rPr>
              <w:t>+32 22822464</w:t>
            </w:r>
          </w:p>
        </w:tc>
      </w:tr>
      <w:tr w:rsidRPr="000F732E" w:rsidR="000F732E" w:rsidTr="00B05454" w14:paraId="2C89CBFA" w14:textId="77777777">
        <w:tc>
          <w:tcPr>
            <w:tcW w:w="1870" w:type="pct"/>
          </w:tcPr>
          <w:p w:rsidRPr="000F732E" w:rsidR="000F732E" w:rsidP="000F732E" w:rsidRDefault="000F732E" w14:paraId="314FD0C9" w14:textId="77777777">
            <w:pPr>
              <w:spacing w:line="240" w:lineRule="auto"/>
              <w:jc w:val="left"/>
              <w:rPr>
                <w:i/>
                <w:iCs/>
              </w:rPr>
            </w:pPr>
            <w:r>
              <w:rPr>
                <w:i/>
              </w:rPr>
              <w:t>E-mail</w:t>
            </w:r>
          </w:p>
        </w:tc>
        <w:tc>
          <w:tcPr>
            <w:tcW w:w="3130" w:type="pct"/>
            <w:tcBorders>
              <w:left w:val="nil"/>
            </w:tcBorders>
          </w:tcPr>
          <w:p w:rsidRPr="000F732E" w:rsidR="000F732E" w:rsidP="000F732E" w:rsidRDefault="003D2634" w14:paraId="5E097992" w14:textId="77777777">
            <w:pPr>
              <w:spacing w:line="240" w:lineRule="auto"/>
              <w:jc w:val="left"/>
              <w:rPr>
                <w:i/>
              </w:rPr>
            </w:pPr>
            <w:hyperlink w:history="1" r:id="rId40">
              <w:r w:rsidR="00176361">
                <w:rPr>
                  <w:i/>
                  <w:color w:val="0000FF"/>
                  <w:u w:val="single"/>
                </w:rPr>
                <w:t>Heli.Niemela-Farrer@eesc.europa.eu</w:t>
              </w:r>
            </w:hyperlink>
          </w:p>
        </w:tc>
      </w:tr>
      <w:bookmarkEnd w:id="53"/>
      <w:bookmarkEnd w:id="0"/>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9EB0" w14:textId="77777777" w:rsidR="00176361" w:rsidRDefault="00176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CF2B" w14:textId="77777777" w:rsidR="00176361" w:rsidRDefault="001763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882D" w14:textId="77777777" w:rsidR="00176361" w:rsidRDefault="00176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6DF9" w14:textId="77777777" w:rsidR="00176361" w:rsidRDefault="00176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11E7" w14:textId="77777777" w:rsidR="00176361" w:rsidRDefault="001763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361"/>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2634"/>
    <w:rsid w:val="003D33F7"/>
    <w:rsid w:val="003D4576"/>
    <w:rsid w:val="003D4F68"/>
    <w:rsid w:val="003D5339"/>
    <w:rsid w:val="003D55E1"/>
    <w:rsid w:val="003D5625"/>
    <w:rsid w:val="003D57BD"/>
    <w:rsid w:val="003D5824"/>
    <w:rsid w:val="003D5C61"/>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774EF"/>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AE7"/>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37CE2"/>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nl-N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nl/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nl/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nl/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nl/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nl/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nl/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nl/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n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nl/our-work/opinions-information-reports/opinions/digitalisation-social-security" TargetMode="External"/><Relationship Id="rId33" Type="http://schemas.openxmlformats.org/officeDocument/2006/relationships/hyperlink" Target="https://www.eesc.europa.eu/nl/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nl/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F7M6YNZUATRX-416430479-4350</_dlc_DocId>
    <_dlc_DocIdUrl xmlns="59ace41b-6786-4ce3-be71-52c27066c6ef">
      <Url>http://dm/eesc/2024/_layouts/15/DocIdRedir.aspx?ID=F7M6YNZUATRX-416430479-4350</Url>
      <Description>F7M6YNZUATRX-416430479-4350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Wagter Helena</DisplayName>
        <AccountId>1525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FEFE9-51E4-4615-B13D-0C457E27BBD3}"/>
</file>

<file path=customXml/itemProps2.xml><?xml version="1.0" encoding="utf-8"?>
<ds:datastoreItem xmlns:ds="http://schemas.openxmlformats.org/officeDocument/2006/customXml" ds:itemID="{FEE77DCE-568C-4056-B58D-3509F64C9404}"/>
</file>

<file path=customXml/itemProps3.xml><?xml version="1.0" encoding="utf-8"?>
<ds:datastoreItem xmlns:ds="http://schemas.openxmlformats.org/officeDocument/2006/customXml" ds:itemID="{57440AFF-ADCB-45A3-A508-24E5EBBE1108}"/>
</file>

<file path=customXml/itemProps4.xml><?xml version="1.0" encoding="utf-8"?>
<ds:datastoreItem xmlns:ds="http://schemas.openxmlformats.org/officeDocument/2006/customXml" ds:itemID="{D9F15AE2-3E8A-406A-8DD5-24EDE5239664}"/>
</file>

<file path=docProps/app.xml><?xml version="1.0" encoding="utf-8"?>
<Properties xmlns="http://schemas.openxmlformats.org/officeDocument/2006/extended-properties" xmlns:vt="http://schemas.openxmlformats.org/officeDocument/2006/docPropsVTypes">
  <Template>Normal</Template>
  <TotalTime>20</TotalTime>
  <Pages>16</Pages>
  <Words>4846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adviezen - 585e zitting - februari 2024</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Wagter Helena</cp:lastModifiedBy>
  <cp:revision>9</cp:revision>
  <cp:lastPrinted>2023-06-15T08:00:00Z</cp:lastPrinted>
  <dcterms:created xsi:type="dcterms:W3CDTF">2024-03-06T16:02:00Z</dcterms:created>
  <dcterms:modified xsi:type="dcterms:W3CDTF">2024-03-07T08:19:00Z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c3c6a9c9-7654-45f2-97fd-b223811ed591</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EN|f2175f21-25d7-44a3-96da-d6a61b075e1b;DA|5d49c027-8956-412b-aa16-e85a0f96ad0e;IT|0774613c-01ed-4e5d-a25d-11d2388de825;LT|a7ff5ce7-6123-4f68-865a-a57c31810414;SL|98a412ae-eb01-49e9-ae3d-585a81724cfc;FI|87606a43-d45f-42d6-b8c9-e1a3457db5b7;ES|e7a6b05b-ae16-40c8-add9-68b64b03aeba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LT|a7ff5ce7-6123-4f68-865a-a57c31810414;#27;#SL|98a412ae-eb01-49e9-ae3d-585a81724cfc;#24;#ES|e7a6b05b-ae16-40c8-add9-68b64b03aeba;#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31;#NL|55c6556c-b4f4-441d-9acf-c498d4f838bd</vt:lpwstr>
  </property>
  <property fmtid="{D5CDD505-2E9C-101B-9397-08002B2CF9AE}" pid="38" name="_docset_NoMedatataSyncRequired">
    <vt:lpwstr>False</vt:lpwstr>
  </property>
</Properties>
</file>