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0502CD" w14:paraId="785AE44C" w14:textId="6053D75F">
      <w:pPr>
        <w:jc w:val="center"/>
      </w:pPr>
      <w:bookmarkStart w:name="_Hlk141173132" w:id="0"/>
      <w:r>
        <w:rPr>
          <w:noProof/>
        </w:rPr>
        <w:drawing>
          <wp:inline distT="0" distB="0" distL="0" distR="0" wp14:anchorId="20FF4F7D" wp14:editId="0621F8D6">
            <wp:extent cx="1792605" cy="1239520"/>
            <wp:effectExtent l="0" t="0" r="0" b="0"/>
            <wp:docPr id="2" name="Picture 2" title="EESCLogo_IT"/>
            <wp:cNvGraphicFramePr/>
            <a:graphic xmlns:a="http://schemas.openxmlformats.org/drawingml/2006/main">
              <a:graphicData uri="http://schemas.openxmlformats.org/drawingml/2006/picture">
                <pic:pic xmlns:pic="http://schemas.openxmlformats.org/drawingml/2006/picture">
                  <pic:nvPicPr>
                    <pic:cNvPr id="2" name="Picture 2" title="EESCLogo_I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p>
    <w:p w:rsidRPr="00094B6B" w:rsidR="004D7AC0" w:rsidP="00775FC4" w:rsidRDefault="00A8243E" w14:paraId="51F52D79" w14:textId="6B5142C7">
      <w:r>
        <w:rPr>
          <w:noProof/>
          <w:sz w:val="20"/>
        </w:rPr>
        <mc:AlternateContent>
          <mc:Choice Requires="wps">
            <w:drawing>
              <wp:anchor distT="0" distB="0" distL="114300" distR="114300" simplePos="0" relativeHeight="251657216" behindDoc="1" locked="0" layoutInCell="0" allowOverlap="1" wp14:editId="5A05454C" wp14:anchorId="60050413">
                <wp:simplePos x="0" y="0"/>
                <wp:positionH relativeFrom="page">
                  <wp:posOffset>6770788</wp:posOffset>
                </wp:positionH>
                <wp:positionV relativeFrom="page">
                  <wp:posOffset>10083352</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15pt;margin-top:793.95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IT</w:t>
                      </w:r>
                    </w:p>
                  </w:txbxContent>
                </v:textbox>
                <w10:wrap anchorx="page" anchory="page"/>
              </v:shape>
            </w:pict>
          </mc:Fallback>
        </mc:AlternateContent>
      </w:r>
    </w:p>
    <w:p w:rsidRPr="00094B6B" w:rsidR="004D7AC0" w:rsidP="00775FC4" w:rsidRDefault="00014C93" w14:paraId="45DE4A28" w14:textId="2172C44D">
      <w:pPr>
        <w:jc w:val="right"/>
      </w:pPr>
      <w:r>
        <w:t>Bruxelles, 18 marzo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073"/>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73D9AE9C">
            <w:pPr>
              <w:snapToGrid w:val="0"/>
              <w:jc w:val="center"/>
              <w:rPr>
                <w:b/>
                <w:sz w:val="32"/>
              </w:rPr>
            </w:pPr>
            <w:r>
              <w:rPr>
                <w:b/>
                <w:sz w:val="32"/>
              </w:rPr>
              <w:t>585ª SESSIONE PLENARIA</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0C767227">
            <w:pPr>
              <w:snapToGrid w:val="0"/>
              <w:jc w:val="center"/>
              <w:rPr>
                <w:b/>
                <w:sz w:val="32"/>
              </w:rPr>
            </w:pPr>
            <w:r>
              <w:rPr>
                <w:b/>
                <w:sz w:val="32"/>
              </w:rPr>
              <w:t>14 e 15 febbraio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32BFAB84">
            <w:pPr>
              <w:snapToGrid w:val="0"/>
              <w:jc w:val="center"/>
              <w:rPr>
                <w:rFonts w:eastAsia="MS Mincho"/>
                <w:b/>
                <w:sz w:val="32"/>
                <w:szCs w:val="32"/>
              </w:rPr>
            </w:pPr>
            <w:r>
              <w:rPr>
                <w:b/>
                <w:sz w:val="32"/>
              </w:rPr>
              <w:t xml:space="preserve">SINTESI DEI PARERI, DELLE </w:t>
            </w:r>
            <w:r w:rsidRPr="00422C9F">
              <w:rPr>
                <w:b/>
                <w:sz w:val="32"/>
              </w:rPr>
              <w:t xml:space="preserve">RISOLUZIONI </w:t>
            </w:r>
            <w:r w:rsidR="00422C9F">
              <w:rPr>
                <w:b/>
                <w:sz w:val="32"/>
              </w:rPr>
              <w:br/>
            </w:r>
            <w:r w:rsidRPr="00422C9F" w:rsidR="00422C9F">
              <w:rPr>
                <w:b/>
                <w:sz w:val="32"/>
              </w:rPr>
              <w:t>E</w:t>
            </w:r>
            <w:r>
              <w:rPr>
                <w:b/>
                <w:sz w:val="32"/>
              </w:rPr>
              <w:t xml:space="preserve"> DELLE RELAZIONI INFORMATIVE</w:t>
            </w:r>
            <w:r w:rsidR="00422C9F">
              <w:rPr>
                <w:b/>
                <w:sz w:val="32"/>
              </w:rPr>
              <w:t xml:space="preserve"> </w:t>
            </w:r>
            <w:r>
              <w:rPr>
                <w:b/>
                <w:sz w:val="32"/>
              </w:rPr>
              <w:t>/</w:t>
            </w:r>
            <w:r w:rsidR="00422C9F">
              <w:rPr>
                <w:b/>
                <w:sz w:val="32"/>
              </w:rPr>
              <w:t xml:space="preserve"> </w:t>
            </w:r>
            <w:r w:rsidR="00422C9F">
              <w:rPr>
                <w:b/>
                <w:sz w:val="32"/>
              </w:rPr>
              <w:br/>
            </w:r>
            <w:r>
              <w:rPr>
                <w:b/>
                <w:sz w:val="32"/>
              </w:rPr>
              <w:t>DI VALUTAZIONE ADOTTATI</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4F26A4CE" w14:textId="3B324E3B">
            <w:pPr>
              <w:snapToGrid w:val="0"/>
              <w:jc w:val="center"/>
            </w:pPr>
            <w:r>
              <w:t xml:space="preserve">Il presente documento è accessibile nelle lingue ufficiali </w:t>
            </w:r>
            <w:r w:rsidR="00422C9F">
              <w:br/>
            </w:r>
            <w:r>
              <w:t>sul sito Internet del CESE al seguente indirizzo:</w:t>
            </w:r>
          </w:p>
          <w:p w:rsidRPr="00094B6B" w:rsidR="004D7AC0" w:rsidP="00775FC4" w:rsidRDefault="00F95240" w14:paraId="70D5DBB4" w14:textId="13F0057A">
            <w:pPr>
              <w:snapToGrid w:val="0"/>
              <w:jc w:val="center"/>
            </w:pPr>
            <w:hyperlink w:history="1" r:id="rId12">
              <w:r w:rsidR="000502CD">
                <w:rPr>
                  <w:rStyle w:val="Hyperlink"/>
                  <w:highlight w:val="yellow"/>
                </w:rPr>
                <w:t>https://www.eesc.europa.eu/it/our-work/opinions-information-reports/plenary-session-summaries</w:t>
              </w:r>
            </w:hyperlink>
          </w:p>
          <w:p w:rsidRPr="00094B6B" w:rsidR="004D7AC0" w:rsidP="00775FC4" w:rsidRDefault="004D7AC0" w14:paraId="575A73D6" w14:textId="77777777">
            <w:pPr>
              <w:snapToGrid w:val="0"/>
              <w:jc w:val="center"/>
              <w:rPr>
                <w:rFonts w:eastAsia="SimSun"/>
              </w:rPr>
            </w:pPr>
          </w:p>
          <w:p w:rsidRPr="00094B6B" w:rsidR="00B16284" w:rsidP="00775FC4" w:rsidRDefault="004D7AC0" w14:paraId="7A5411A5" w14:textId="7A0EDD34">
            <w:pPr>
              <w:snapToGrid w:val="0"/>
              <w:jc w:val="center"/>
            </w:pPr>
            <w:r>
              <w:t>I pareri menzionati possono essere consultati online tramite il motore di ricerca del CESE:</w:t>
            </w:r>
          </w:p>
          <w:p w:rsidRPr="00094B6B" w:rsidR="004D7AC0" w:rsidP="00775FC4" w:rsidRDefault="00F95240" w14:paraId="441AC4DD" w14:textId="1194D751">
            <w:pPr>
              <w:snapToGrid w:val="0"/>
              <w:jc w:val="center"/>
            </w:pPr>
            <w:hyperlink w:history="1" r:id="rId13">
              <w:r w:rsidR="000502CD">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1B542D">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Indice</w:t>
          </w:r>
        </w:p>
        <w:p w:rsidRPr="00422C9F" w:rsidR="00422C9F" w:rsidP="00422C9F" w:rsidRDefault="00544D95" w14:paraId="24699262" w14:textId="2D65E800">
          <w:pPr>
            <w:pStyle w:val="TOC1"/>
            <w:rPr>
              <w:rFonts w:asciiTheme="minorHAnsi" w:hAnsiTheme="minorHAnsi" w:eastAsiaTheme="minorEastAsia" w:cstheme="minorBidi"/>
              <w:bCs w:val="0"/>
              <w:sz w:val="22"/>
              <w:szCs w:val="22"/>
              <w:lang w:val="en-US"/>
            </w:rPr>
          </w:pPr>
          <w:r w:rsidRPr="00544D95">
            <w:fldChar w:fldCharType="begin"/>
          </w:r>
          <w:r w:rsidRPr="00544D95">
            <w:instrText xml:space="preserve"> TOC \o "1-3" \h \z \u </w:instrText>
          </w:r>
          <w:r w:rsidRPr="00544D95">
            <w:fldChar w:fldCharType="separate"/>
          </w:r>
          <w:hyperlink w:history="1" w:anchor="_Toc159938440">
            <w:r w:rsidRPr="00422C9F" w:rsidR="00422C9F">
              <w:rPr>
                <w:rStyle w:val="Hyperlink"/>
                <w14:scene3d>
                  <w14:camera w14:prst="orthographicFront"/>
                  <w14:lightRig w14:rig="threePt" w14:dir="t">
                    <w14:rot w14:lat="0" w14:lon="0" w14:rev="0"/>
                  </w14:lightRig>
                </w14:scene3d>
              </w:rPr>
              <w:t>1.</w:t>
            </w:r>
            <w:r w:rsidRPr="00422C9F" w:rsidR="00422C9F">
              <w:rPr>
                <w:rFonts w:asciiTheme="minorHAnsi" w:hAnsiTheme="minorHAnsi" w:eastAsiaTheme="minorEastAsia" w:cstheme="minorBidi"/>
                <w:bCs w:val="0"/>
                <w:sz w:val="22"/>
                <w:szCs w:val="22"/>
                <w:lang w:val="en-US"/>
              </w:rPr>
              <w:tab/>
            </w:r>
            <w:r w:rsidRPr="00422C9F" w:rsidR="00422C9F">
              <w:rPr>
                <w:rStyle w:val="Hyperlink"/>
                <w:b/>
              </w:rPr>
              <w:t>UNIONE ECONOMICA E MONETARIA, COESIONE ECONOMICA E SOCIALE</w:t>
            </w:r>
            <w:r w:rsidRPr="00422C9F" w:rsidR="00422C9F">
              <w:rPr>
                <w:webHidden/>
              </w:rPr>
              <w:tab/>
            </w:r>
            <w:r w:rsidRPr="00422C9F" w:rsidR="00422C9F">
              <w:rPr>
                <w:webHidden/>
              </w:rPr>
              <w:fldChar w:fldCharType="begin"/>
            </w:r>
            <w:r w:rsidRPr="00422C9F" w:rsidR="00422C9F">
              <w:rPr>
                <w:webHidden/>
              </w:rPr>
              <w:instrText xml:space="preserve"> PAGEREF _Toc159938440 \h </w:instrText>
            </w:r>
            <w:r w:rsidRPr="00422C9F" w:rsidR="00422C9F">
              <w:rPr>
                <w:webHidden/>
              </w:rPr>
            </w:r>
            <w:r w:rsidRPr="00422C9F" w:rsidR="00422C9F">
              <w:rPr>
                <w:webHidden/>
              </w:rPr>
              <w:fldChar w:fldCharType="separate"/>
            </w:r>
            <w:r w:rsidR="00B60366">
              <w:rPr>
                <w:webHidden/>
              </w:rPr>
              <w:t>3</w:t>
            </w:r>
            <w:r w:rsidRPr="00422C9F" w:rsidR="00422C9F">
              <w:rPr>
                <w:webHidden/>
              </w:rPr>
              <w:fldChar w:fldCharType="end"/>
            </w:r>
          </w:hyperlink>
        </w:p>
        <w:p w:rsidRPr="00422C9F" w:rsidR="00422C9F" w:rsidRDefault="00F95240" w14:paraId="012182E3" w14:textId="5FAA2D5B">
          <w:pPr>
            <w:pStyle w:val="TOC1"/>
            <w:rPr>
              <w:rFonts w:asciiTheme="minorHAnsi" w:hAnsiTheme="minorHAnsi" w:eastAsiaTheme="minorEastAsia" w:cstheme="minorBidi"/>
              <w:bCs w:val="0"/>
              <w:sz w:val="22"/>
              <w:szCs w:val="22"/>
              <w:lang w:val="en-US"/>
            </w:rPr>
          </w:pPr>
          <w:hyperlink w:history="1" w:anchor="_Toc159938452">
            <w:r w:rsidRPr="00422C9F" w:rsidR="00422C9F">
              <w:rPr>
                <w:rStyle w:val="Hyperlink"/>
                <w14:scene3d>
                  <w14:camera w14:prst="orthographicFront"/>
                  <w14:lightRig w14:rig="threePt" w14:dir="t">
                    <w14:rot w14:lat="0" w14:lon="0" w14:rev="0"/>
                  </w14:lightRig>
                </w14:scene3d>
              </w:rPr>
              <w:t>2.</w:t>
            </w:r>
            <w:r w:rsidRPr="00422C9F" w:rsidR="00422C9F">
              <w:rPr>
                <w:rFonts w:asciiTheme="minorHAnsi" w:hAnsiTheme="minorHAnsi" w:eastAsiaTheme="minorEastAsia" w:cstheme="minorBidi"/>
                <w:bCs w:val="0"/>
                <w:sz w:val="22"/>
                <w:szCs w:val="22"/>
                <w:lang w:val="en-US"/>
              </w:rPr>
              <w:tab/>
            </w:r>
            <w:r w:rsidRPr="00422C9F" w:rsidR="00422C9F">
              <w:rPr>
                <w:rStyle w:val="Hyperlink"/>
                <w:b/>
              </w:rPr>
              <w:t>OCCUPAZIONE, AFFARI SOCIALI E CITTADINANZA</w:t>
            </w:r>
            <w:r w:rsidRPr="00422C9F" w:rsidR="00422C9F">
              <w:rPr>
                <w:webHidden/>
              </w:rPr>
              <w:tab/>
            </w:r>
            <w:r w:rsidRPr="00422C9F" w:rsidR="00422C9F">
              <w:rPr>
                <w:webHidden/>
              </w:rPr>
              <w:fldChar w:fldCharType="begin"/>
            </w:r>
            <w:r w:rsidRPr="00422C9F" w:rsidR="00422C9F">
              <w:rPr>
                <w:webHidden/>
              </w:rPr>
              <w:instrText xml:space="preserve"> PAGEREF _Toc159938452 \h </w:instrText>
            </w:r>
            <w:r w:rsidRPr="00422C9F" w:rsidR="00422C9F">
              <w:rPr>
                <w:webHidden/>
              </w:rPr>
            </w:r>
            <w:r w:rsidRPr="00422C9F" w:rsidR="00422C9F">
              <w:rPr>
                <w:webHidden/>
              </w:rPr>
              <w:fldChar w:fldCharType="separate"/>
            </w:r>
            <w:r w:rsidR="00B60366">
              <w:rPr>
                <w:webHidden/>
              </w:rPr>
              <w:t>7</w:t>
            </w:r>
            <w:r w:rsidRPr="00422C9F" w:rsidR="00422C9F">
              <w:rPr>
                <w:webHidden/>
              </w:rPr>
              <w:fldChar w:fldCharType="end"/>
            </w:r>
          </w:hyperlink>
        </w:p>
        <w:p w:rsidRPr="00422C9F" w:rsidR="00422C9F" w:rsidRDefault="00F95240" w14:paraId="7DA6E44D" w14:textId="35742592">
          <w:pPr>
            <w:pStyle w:val="TOC1"/>
            <w:rPr>
              <w:rFonts w:asciiTheme="minorHAnsi" w:hAnsiTheme="minorHAnsi" w:eastAsiaTheme="minorEastAsia" w:cstheme="minorBidi"/>
              <w:bCs w:val="0"/>
              <w:sz w:val="22"/>
              <w:szCs w:val="22"/>
              <w:lang w:val="en-US"/>
            </w:rPr>
          </w:pPr>
          <w:hyperlink w:history="1" w:anchor="_Toc159938453">
            <w:r w:rsidRPr="00422C9F" w:rsidR="00422C9F">
              <w:rPr>
                <w:rStyle w:val="Hyperlink"/>
                <w14:scene3d>
                  <w14:camera w14:prst="orthographicFront"/>
                  <w14:lightRig w14:rig="threePt" w14:dir="t">
                    <w14:rot w14:lat="0" w14:lon="0" w14:rev="0"/>
                  </w14:lightRig>
                </w14:scene3d>
              </w:rPr>
              <w:t>3.</w:t>
            </w:r>
            <w:r w:rsidRPr="00422C9F" w:rsidR="00422C9F">
              <w:rPr>
                <w:rFonts w:asciiTheme="minorHAnsi" w:hAnsiTheme="minorHAnsi" w:eastAsiaTheme="minorEastAsia" w:cstheme="minorBidi"/>
                <w:bCs w:val="0"/>
                <w:sz w:val="22"/>
                <w:szCs w:val="22"/>
                <w:lang w:val="en-US"/>
              </w:rPr>
              <w:tab/>
            </w:r>
            <w:r w:rsidRPr="00422C9F" w:rsidR="00422C9F">
              <w:rPr>
                <w:rStyle w:val="Hyperlink"/>
                <w:b/>
              </w:rPr>
              <w:t>MERCATO UNICO, PRODUZIONE E CONSUMO</w:t>
            </w:r>
            <w:r w:rsidRPr="00422C9F" w:rsidR="00422C9F">
              <w:rPr>
                <w:webHidden/>
              </w:rPr>
              <w:tab/>
            </w:r>
            <w:r w:rsidRPr="00422C9F" w:rsidR="00422C9F">
              <w:rPr>
                <w:webHidden/>
              </w:rPr>
              <w:fldChar w:fldCharType="begin"/>
            </w:r>
            <w:r w:rsidRPr="00422C9F" w:rsidR="00422C9F">
              <w:rPr>
                <w:webHidden/>
              </w:rPr>
              <w:instrText xml:space="preserve"> PAGEREF _Toc159938453 \h </w:instrText>
            </w:r>
            <w:r w:rsidRPr="00422C9F" w:rsidR="00422C9F">
              <w:rPr>
                <w:webHidden/>
              </w:rPr>
            </w:r>
            <w:r w:rsidRPr="00422C9F" w:rsidR="00422C9F">
              <w:rPr>
                <w:webHidden/>
              </w:rPr>
              <w:fldChar w:fldCharType="separate"/>
            </w:r>
            <w:r w:rsidR="00B60366">
              <w:rPr>
                <w:webHidden/>
              </w:rPr>
              <w:t>10</w:t>
            </w:r>
            <w:r w:rsidRPr="00422C9F" w:rsidR="00422C9F">
              <w:rPr>
                <w:webHidden/>
              </w:rPr>
              <w:fldChar w:fldCharType="end"/>
            </w:r>
          </w:hyperlink>
        </w:p>
        <w:p w:rsidRPr="00422C9F" w:rsidR="00422C9F" w:rsidP="00422C9F" w:rsidRDefault="00F95240" w14:paraId="70582705" w14:textId="719C6064">
          <w:pPr>
            <w:pStyle w:val="TOC1"/>
            <w:rPr>
              <w:rFonts w:asciiTheme="minorHAnsi" w:hAnsiTheme="minorHAnsi" w:eastAsiaTheme="minorEastAsia" w:cstheme="minorBidi"/>
              <w:bCs w:val="0"/>
              <w:sz w:val="22"/>
              <w:szCs w:val="22"/>
              <w:lang w:val="en-US"/>
            </w:rPr>
          </w:pPr>
          <w:hyperlink w:history="1" w:anchor="_Toc159938454">
            <w:r w:rsidRPr="00422C9F" w:rsidR="00422C9F">
              <w:rPr>
                <w:rStyle w:val="Hyperlink"/>
                <w14:scene3d>
                  <w14:camera w14:prst="orthographicFront"/>
                  <w14:lightRig w14:rig="threePt" w14:dir="t">
                    <w14:rot w14:lat="0" w14:lon="0" w14:rev="0"/>
                  </w14:lightRig>
                </w14:scene3d>
              </w:rPr>
              <w:t>4.</w:t>
            </w:r>
            <w:r w:rsidRPr="00422C9F" w:rsidR="00422C9F">
              <w:rPr>
                <w:rFonts w:asciiTheme="minorHAnsi" w:hAnsiTheme="minorHAnsi" w:eastAsiaTheme="minorEastAsia" w:cstheme="minorBidi"/>
                <w:bCs w:val="0"/>
                <w:sz w:val="22"/>
                <w:szCs w:val="22"/>
                <w:lang w:val="en-US"/>
              </w:rPr>
              <w:tab/>
            </w:r>
            <w:r w:rsidRPr="00422C9F" w:rsidR="00422C9F">
              <w:rPr>
                <w:rStyle w:val="Hyperlink"/>
                <w:b/>
              </w:rPr>
              <w:t>AGRICOLTURA, SVILUPPO RURALE, AMBIENTE</w:t>
            </w:r>
            <w:r w:rsidRPr="00422C9F" w:rsidR="00422C9F">
              <w:rPr>
                <w:webHidden/>
              </w:rPr>
              <w:tab/>
            </w:r>
            <w:r w:rsidRPr="00422C9F" w:rsidR="00422C9F">
              <w:rPr>
                <w:webHidden/>
              </w:rPr>
              <w:fldChar w:fldCharType="begin"/>
            </w:r>
            <w:r w:rsidRPr="00422C9F" w:rsidR="00422C9F">
              <w:rPr>
                <w:webHidden/>
              </w:rPr>
              <w:instrText xml:space="preserve"> PAGEREF _Toc159938454 \h </w:instrText>
            </w:r>
            <w:r w:rsidRPr="00422C9F" w:rsidR="00422C9F">
              <w:rPr>
                <w:webHidden/>
              </w:rPr>
            </w:r>
            <w:r w:rsidRPr="00422C9F" w:rsidR="00422C9F">
              <w:rPr>
                <w:webHidden/>
              </w:rPr>
              <w:fldChar w:fldCharType="separate"/>
            </w:r>
            <w:r w:rsidR="00B60366">
              <w:rPr>
                <w:webHidden/>
              </w:rPr>
              <w:t>12</w:t>
            </w:r>
            <w:r w:rsidRPr="00422C9F" w:rsidR="00422C9F">
              <w:rPr>
                <w:webHidden/>
              </w:rPr>
              <w:fldChar w:fldCharType="end"/>
            </w:r>
          </w:hyperlink>
        </w:p>
        <w:p w:rsidR="00422C9F" w:rsidRDefault="00F95240" w14:paraId="00DDDD9C" w14:textId="5E7E4BA4">
          <w:pPr>
            <w:pStyle w:val="TOC1"/>
            <w:rPr>
              <w:rFonts w:asciiTheme="minorHAnsi" w:hAnsiTheme="minorHAnsi" w:eastAsiaTheme="minorEastAsia" w:cstheme="minorBidi"/>
              <w:bCs w:val="0"/>
              <w:sz w:val="22"/>
              <w:szCs w:val="22"/>
              <w:lang w:val="en-US"/>
            </w:rPr>
          </w:pPr>
          <w:hyperlink w:history="1" w:anchor="_Toc159938465">
            <w:r w:rsidRPr="00C46E66" w:rsidR="00422C9F">
              <w:rPr>
                <w:rStyle w:val="Hyperlink"/>
                <w14:scene3d>
                  <w14:camera w14:prst="orthographicFront"/>
                  <w14:lightRig w14:rig="threePt" w14:dir="t">
                    <w14:rot w14:lat="0" w14:lon="0" w14:rev="0"/>
                  </w14:lightRig>
                </w14:scene3d>
              </w:rPr>
              <w:t>5.</w:t>
            </w:r>
            <w:r w:rsidR="00422C9F">
              <w:rPr>
                <w:rFonts w:asciiTheme="minorHAnsi" w:hAnsiTheme="minorHAnsi" w:eastAsiaTheme="minorEastAsia" w:cstheme="minorBidi"/>
                <w:bCs w:val="0"/>
                <w:sz w:val="22"/>
                <w:szCs w:val="22"/>
                <w:lang w:val="en-US"/>
              </w:rPr>
              <w:tab/>
            </w:r>
            <w:r w:rsidRPr="00C46E66" w:rsidR="00422C9F">
              <w:rPr>
                <w:rStyle w:val="Hyperlink"/>
                <w:b/>
              </w:rPr>
              <w:t>RELAZIONI ESTERNE</w:t>
            </w:r>
            <w:r w:rsidR="00422C9F">
              <w:rPr>
                <w:webHidden/>
              </w:rPr>
              <w:tab/>
            </w:r>
            <w:r w:rsidR="00422C9F">
              <w:rPr>
                <w:webHidden/>
              </w:rPr>
              <w:fldChar w:fldCharType="begin"/>
            </w:r>
            <w:r w:rsidR="00422C9F">
              <w:rPr>
                <w:webHidden/>
              </w:rPr>
              <w:instrText xml:space="preserve"> PAGEREF _Toc159938465 \h </w:instrText>
            </w:r>
            <w:r w:rsidR="00422C9F">
              <w:rPr>
                <w:webHidden/>
              </w:rPr>
            </w:r>
            <w:r w:rsidR="00422C9F">
              <w:rPr>
                <w:webHidden/>
              </w:rPr>
              <w:fldChar w:fldCharType="separate"/>
            </w:r>
            <w:r w:rsidR="00B60366">
              <w:rPr>
                <w:webHidden/>
              </w:rPr>
              <w:t>14</w:t>
            </w:r>
            <w:r w:rsidR="00422C9F">
              <w:rPr>
                <w:webHidden/>
              </w:rPr>
              <w:fldChar w:fldCharType="end"/>
            </w:r>
          </w:hyperlink>
        </w:p>
        <w:p w:rsidR="00422C9F" w:rsidRDefault="00F95240" w14:paraId="5A8B67A3" w14:textId="6A206E65">
          <w:pPr>
            <w:pStyle w:val="TOC1"/>
            <w:rPr>
              <w:rFonts w:asciiTheme="minorHAnsi" w:hAnsiTheme="minorHAnsi" w:eastAsiaTheme="minorEastAsia" w:cstheme="minorBidi"/>
              <w:bCs w:val="0"/>
              <w:sz w:val="22"/>
              <w:szCs w:val="22"/>
              <w:lang w:val="en-US"/>
            </w:rPr>
          </w:pPr>
          <w:hyperlink w:history="1" w:anchor="_Toc159938466">
            <w:r w:rsidRPr="00C46E66" w:rsidR="00422C9F">
              <w:rPr>
                <w:rStyle w:val="Hyperlink"/>
                <w14:scene3d>
                  <w14:camera w14:prst="orthographicFront"/>
                  <w14:lightRig w14:rig="threePt" w14:dir="t">
                    <w14:rot w14:lat="0" w14:lon="0" w14:rev="0"/>
                  </w14:lightRig>
                </w14:scene3d>
              </w:rPr>
              <w:t>6.</w:t>
            </w:r>
            <w:r w:rsidR="00422C9F">
              <w:rPr>
                <w:rFonts w:asciiTheme="minorHAnsi" w:hAnsiTheme="minorHAnsi" w:eastAsiaTheme="minorEastAsia" w:cstheme="minorBidi"/>
                <w:bCs w:val="0"/>
                <w:sz w:val="22"/>
                <w:szCs w:val="22"/>
                <w:lang w:val="en-US"/>
              </w:rPr>
              <w:tab/>
            </w:r>
            <w:r w:rsidRPr="00C46E66" w:rsidR="00422C9F">
              <w:rPr>
                <w:rStyle w:val="Hyperlink"/>
                <w:b/>
              </w:rPr>
              <w:t>TRASPORTI, ENERGIA, INFRASTRUTTURE, SOCIETÀ DELL'INFORMAZIONE</w:t>
            </w:r>
            <w:r w:rsidR="00422C9F">
              <w:rPr>
                <w:webHidden/>
              </w:rPr>
              <w:tab/>
            </w:r>
            <w:r w:rsidR="00422C9F">
              <w:rPr>
                <w:webHidden/>
              </w:rPr>
              <w:fldChar w:fldCharType="begin"/>
            </w:r>
            <w:r w:rsidR="00422C9F">
              <w:rPr>
                <w:webHidden/>
              </w:rPr>
              <w:instrText xml:space="preserve"> PAGEREF _Toc159938466 \h </w:instrText>
            </w:r>
            <w:r w:rsidR="00422C9F">
              <w:rPr>
                <w:webHidden/>
              </w:rPr>
            </w:r>
            <w:r w:rsidR="00422C9F">
              <w:rPr>
                <w:webHidden/>
              </w:rPr>
              <w:fldChar w:fldCharType="separate"/>
            </w:r>
            <w:r w:rsidR="00B60366">
              <w:rPr>
                <w:webHidden/>
              </w:rPr>
              <w:t>15</w:t>
            </w:r>
            <w:r w:rsidR="00422C9F">
              <w:rPr>
                <w:webHidden/>
              </w:rPr>
              <w:fldChar w:fldCharType="end"/>
            </w:r>
          </w:hyperlink>
        </w:p>
        <w:p w:rsidR="00422C9F" w:rsidRDefault="00F95240" w14:paraId="3113BA60" w14:textId="73A4EE76">
          <w:pPr>
            <w:pStyle w:val="TOC1"/>
            <w:rPr>
              <w:rFonts w:asciiTheme="minorHAnsi" w:hAnsiTheme="minorHAnsi" w:eastAsiaTheme="minorEastAsia" w:cstheme="minorBidi"/>
              <w:bCs w:val="0"/>
              <w:sz w:val="22"/>
              <w:szCs w:val="22"/>
              <w:lang w:val="en-US"/>
            </w:rPr>
          </w:pPr>
          <w:hyperlink w:history="1" w:anchor="_Toc159938467">
            <w:r w:rsidRPr="00C46E66" w:rsidR="00422C9F">
              <w:rPr>
                <w:rStyle w:val="Hyperlink"/>
                <w14:scene3d>
                  <w14:camera w14:prst="orthographicFront"/>
                  <w14:lightRig w14:rig="threePt" w14:dir="t">
                    <w14:rot w14:lat="0" w14:lon="0" w14:rev="0"/>
                  </w14:lightRig>
                </w14:scene3d>
              </w:rPr>
              <w:t>7.</w:t>
            </w:r>
            <w:r w:rsidR="00422C9F">
              <w:rPr>
                <w:rFonts w:asciiTheme="minorHAnsi" w:hAnsiTheme="minorHAnsi" w:eastAsiaTheme="minorEastAsia" w:cstheme="minorBidi"/>
                <w:bCs w:val="0"/>
                <w:sz w:val="22"/>
                <w:szCs w:val="22"/>
                <w:lang w:val="en-US"/>
              </w:rPr>
              <w:tab/>
            </w:r>
            <w:r w:rsidRPr="00C46E66" w:rsidR="00422C9F">
              <w:rPr>
                <w:rStyle w:val="Hyperlink"/>
                <w:b/>
              </w:rPr>
              <w:t>COMMISSIONE CONSULTIVA PER LE TRASFORMAZIONI INDUSTRIALI</w:t>
            </w:r>
            <w:r w:rsidR="00422C9F">
              <w:rPr>
                <w:webHidden/>
              </w:rPr>
              <w:tab/>
            </w:r>
            <w:r w:rsidR="00422C9F">
              <w:rPr>
                <w:webHidden/>
              </w:rPr>
              <w:fldChar w:fldCharType="begin"/>
            </w:r>
            <w:r w:rsidR="00422C9F">
              <w:rPr>
                <w:webHidden/>
              </w:rPr>
              <w:instrText xml:space="preserve"> PAGEREF _Toc159938467 \h </w:instrText>
            </w:r>
            <w:r w:rsidR="00422C9F">
              <w:rPr>
                <w:webHidden/>
              </w:rPr>
            </w:r>
            <w:r w:rsidR="00422C9F">
              <w:rPr>
                <w:webHidden/>
              </w:rPr>
              <w:fldChar w:fldCharType="separate"/>
            </w:r>
            <w:r w:rsidR="00B60366">
              <w:rPr>
                <w:webHidden/>
              </w:rPr>
              <w:t>16</w:t>
            </w:r>
            <w:r w:rsidR="00422C9F">
              <w:rPr>
                <w:webHidden/>
              </w:rPr>
              <w:fldChar w:fldCharType="end"/>
            </w:r>
          </w:hyperlink>
        </w:p>
        <w:p w:rsidRPr="00544D95" w:rsidR="00544D95" w:rsidP="00544D95" w:rsidRDefault="00544D95" w14:paraId="589C47D7" w14:textId="5CE1B1DD">
          <w:pPr>
            <w:rPr>
              <w:b/>
            </w:rPr>
          </w:pPr>
          <w:r w:rsidRPr="00544D95">
            <w:rPr>
              <w:b/>
            </w:rPr>
            <w:fldChar w:fldCharType="end"/>
          </w:r>
        </w:p>
      </w:sdtContent>
    </w:sdt>
    <w:p w:rsidR="00BE2C1E" w:rsidRDefault="00BE2C1E" w14:paraId="2900045F" w14:textId="7EF0810A">
      <w:pPr>
        <w:spacing w:after="160" w:line="259" w:lineRule="auto"/>
        <w:jc w:val="left"/>
      </w:pPr>
      <w:r>
        <w:br w:type="page"/>
      </w:r>
    </w:p>
    <w:p w:rsidRPr="00422C9F" w:rsidR="0038273B" w:rsidP="00C83487" w:rsidRDefault="0038273B" w14:paraId="62CE6920" w14:textId="70D66976">
      <w:pPr>
        <w:pStyle w:val="Heading1"/>
        <w:spacing w:before="0"/>
        <w:ind w:left="930" w:hanging="928"/>
        <w:rPr>
          <w:b/>
          <w:bCs/>
        </w:rPr>
      </w:pPr>
      <w:bookmarkStart w:name="_Toc159938440" w:id="1"/>
      <w:r>
        <w:rPr>
          <w:b/>
        </w:rPr>
        <w:lastRenderedPageBreak/>
        <w:t xml:space="preserve">UNIONE </w:t>
      </w:r>
      <w:r w:rsidRPr="00422C9F">
        <w:rPr>
          <w:b/>
        </w:rPr>
        <w:t xml:space="preserve">ECONOMICA </w:t>
      </w:r>
      <w:r w:rsidRPr="00422C9F" w:rsidR="00422C9F">
        <w:rPr>
          <w:b/>
        </w:rPr>
        <w:t>E</w:t>
      </w:r>
      <w:r w:rsidRPr="00422C9F">
        <w:rPr>
          <w:b/>
        </w:rPr>
        <w:t xml:space="preserve"> MONETARIA, COESIONE ECONOMICA </w:t>
      </w:r>
      <w:r w:rsidRPr="00422C9F" w:rsidR="00422C9F">
        <w:rPr>
          <w:b/>
        </w:rPr>
        <w:t>E</w:t>
      </w:r>
      <w:r w:rsidRPr="00422C9F">
        <w:rPr>
          <w:b/>
        </w:rPr>
        <w:t xml:space="preserve"> SOCIALE</w:t>
      </w:r>
      <w:bookmarkEnd w:id="1"/>
    </w:p>
    <w:p w:rsidRPr="00422C9F" w:rsidR="00115BBC" w:rsidP="00115BBC" w:rsidRDefault="00115BBC" w14:paraId="5C4FD48E" w14:textId="77777777"/>
    <w:p w:rsidRPr="00422C9F" w:rsidR="00CF3B63" w:rsidP="005165CA" w:rsidRDefault="00F95240" w14:paraId="7EC430AC" w14:textId="66548329">
      <w:pPr>
        <w:widowControl w:val="0"/>
        <w:numPr>
          <w:ilvl w:val="0"/>
          <w:numId w:val="2"/>
        </w:numPr>
        <w:overflowPunct w:val="0"/>
        <w:autoSpaceDE w:val="0"/>
        <w:autoSpaceDN w:val="0"/>
        <w:adjustRightInd w:val="0"/>
        <w:ind w:hanging="567"/>
        <w:textAlignment w:val="baseline"/>
        <w:rPr>
          <w:b/>
          <w:bCs/>
          <w:i/>
          <w:iCs/>
          <w:color w:val="0000FF"/>
          <w:sz w:val="28"/>
          <w:szCs w:val="28"/>
          <w:u w:val="single"/>
        </w:rPr>
      </w:pPr>
      <w:hyperlink w:history="1" r:id="rId20">
        <w:r w:rsidRPr="00422C9F" w:rsidR="007B6C34">
          <w:rPr>
            <w:b/>
            <w:i/>
            <w:color w:val="0000FF"/>
            <w:sz w:val="28"/>
            <w:u w:val="single"/>
          </w:rPr>
          <w:t>Tassazione dei telelavoratori transfrontalieri a livello mondiale e impatto sull'UE</w:t>
        </w:r>
      </w:hyperlink>
    </w:p>
    <w:p w:rsidRPr="00422C9F" w:rsidR="00CF3B63" w:rsidP="00CF3B63" w:rsidRDefault="00CF3B63" w14:paraId="478C2AB3" w14:textId="77777777">
      <w:pPr>
        <w:tabs>
          <w:tab w:val="center" w:pos="284"/>
        </w:tabs>
        <w:overflowPunct w:val="0"/>
        <w:autoSpaceDE w:val="0"/>
        <w:autoSpaceDN w:val="0"/>
        <w:adjustRightInd w:val="0"/>
        <w:ind w:left="266" w:hanging="266"/>
        <w:textAlignment w:val="baseline"/>
        <w:rPr>
          <w:b/>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CF3B63" w:rsidR="00CF3B63" w:rsidTr="00B05454" w14:paraId="7848167C" w14:textId="77777777">
        <w:tc>
          <w:tcPr>
            <w:tcW w:w="1701" w:type="dxa"/>
          </w:tcPr>
          <w:p w:rsidRPr="00422C9F" w:rsidR="00CF3B63" w:rsidP="00CF3B63" w:rsidRDefault="00422C9F" w14:paraId="674EE460" w14:textId="053C0D12">
            <w:pPr>
              <w:tabs>
                <w:tab w:val="center" w:pos="284"/>
              </w:tabs>
              <w:overflowPunct w:val="0"/>
              <w:autoSpaceDE w:val="0"/>
              <w:autoSpaceDN w:val="0"/>
              <w:adjustRightInd w:val="0"/>
              <w:ind w:left="266" w:hanging="266"/>
              <w:textAlignment w:val="baseline"/>
              <w:rPr>
                <w:b/>
                <w:sz w:val="22"/>
                <w:szCs w:val="22"/>
              </w:rPr>
            </w:pPr>
            <w:r w:rsidRPr="00422C9F">
              <w:rPr>
                <w:b/>
                <w:sz w:val="22"/>
                <w:szCs w:val="22"/>
              </w:rPr>
              <w:t>Relatore</w:t>
            </w:r>
          </w:p>
        </w:tc>
        <w:tc>
          <w:tcPr>
            <w:tcW w:w="5670" w:type="dxa"/>
          </w:tcPr>
          <w:p w:rsidRPr="00422C9F" w:rsidR="00CF3B63" w:rsidP="00CF3B63" w:rsidRDefault="00CF3B63" w14:paraId="589C1E6D" w14:textId="5338B5F4">
            <w:pPr>
              <w:tabs>
                <w:tab w:val="center" w:pos="284"/>
              </w:tabs>
              <w:overflowPunct w:val="0"/>
              <w:autoSpaceDE w:val="0"/>
              <w:autoSpaceDN w:val="0"/>
              <w:adjustRightInd w:val="0"/>
              <w:ind w:left="266" w:hanging="266"/>
              <w:textAlignment w:val="baseline"/>
              <w:rPr>
                <w:sz w:val="22"/>
                <w:szCs w:val="22"/>
              </w:rPr>
            </w:pPr>
            <w:r w:rsidRPr="00422C9F">
              <w:rPr>
                <w:sz w:val="22"/>
                <w:szCs w:val="22"/>
              </w:rPr>
              <w:t>Krister ANDERSSON (Datori di lavoro - SE)</w:t>
            </w:r>
          </w:p>
        </w:tc>
      </w:tr>
      <w:tr w:rsidRPr="00CF3B63" w:rsidR="00CF3B63" w:rsidTr="00B05454" w14:paraId="34AADC48" w14:textId="77777777">
        <w:tc>
          <w:tcPr>
            <w:tcW w:w="7371" w:type="dxa"/>
            <w:gridSpan w:val="2"/>
          </w:tcPr>
          <w:p w:rsidRPr="00422C9F" w:rsidR="00CF3B63" w:rsidP="00CF3B63" w:rsidRDefault="00CF3B63" w14:paraId="0093798E"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CF3B63" w:rsidR="00CF3B63" w:rsidTr="00B05454" w14:paraId="2146F288" w14:textId="77777777">
        <w:tc>
          <w:tcPr>
            <w:tcW w:w="1701" w:type="dxa"/>
            <w:vMerge w:val="restart"/>
          </w:tcPr>
          <w:p w:rsidRPr="00422C9F" w:rsidR="00CF3B63" w:rsidP="00CF3B63" w:rsidRDefault="00CF3B63" w14:paraId="19D189A1" w14:textId="77777777">
            <w:pPr>
              <w:tabs>
                <w:tab w:val="center" w:pos="284"/>
              </w:tabs>
              <w:overflowPunct w:val="0"/>
              <w:autoSpaceDE w:val="0"/>
              <w:autoSpaceDN w:val="0"/>
              <w:adjustRightInd w:val="0"/>
              <w:ind w:left="266" w:hanging="266"/>
              <w:textAlignment w:val="baseline"/>
              <w:rPr>
                <w:b/>
                <w:sz w:val="22"/>
                <w:szCs w:val="22"/>
              </w:rPr>
            </w:pPr>
            <w:r w:rsidRPr="00422C9F">
              <w:rPr>
                <w:b/>
                <w:sz w:val="22"/>
                <w:szCs w:val="22"/>
              </w:rPr>
              <w:t>Riferimento</w:t>
            </w:r>
          </w:p>
        </w:tc>
        <w:tc>
          <w:tcPr>
            <w:tcW w:w="5670" w:type="dxa"/>
          </w:tcPr>
          <w:p w:rsidRPr="00422C9F" w:rsidR="004437F6" w:rsidP="00CF3B63" w:rsidRDefault="00CF3B63" w14:paraId="12E6B663" w14:textId="77777777">
            <w:pPr>
              <w:tabs>
                <w:tab w:val="center" w:pos="284"/>
              </w:tabs>
              <w:overflowPunct w:val="0"/>
              <w:autoSpaceDE w:val="0"/>
              <w:autoSpaceDN w:val="0"/>
              <w:adjustRightInd w:val="0"/>
              <w:ind w:left="266" w:hanging="266"/>
              <w:textAlignment w:val="baseline"/>
              <w:rPr>
                <w:sz w:val="22"/>
                <w:szCs w:val="22"/>
              </w:rPr>
            </w:pPr>
            <w:r w:rsidRPr="00422C9F">
              <w:rPr>
                <w:sz w:val="22"/>
                <w:szCs w:val="22"/>
              </w:rPr>
              <w:t>Parere d'iniziativa</w:t>
            </w:r>
          </w:p>
          <w:p w:rsidRPr="00422C9F" w:rsidR="00CF3B63" w:rsidP="00CF3B63" w:rsidRDefault="00CF3B63" w14:paraId="1699B1CE" w14:textId="1157C679">
            <w:pPr>
              <w:tabs>
                <w:tab w:val="center" w:pos="284"/>
              </w:tabs>
              <w:overflowPunct w:val="0"/>
              <w:autoSpaceDE w:val="0"/>
              <w:autoSpaceDN w:val="0"/>
              <w:adjustRightInd w:val="0"/>
              <w:ind w:left="266" w:hanging="266"/>
              <w:textAlignment w:val="baseline"/>
              <w:rPr>
                <w:sz w:val="22"/>
                <w:szCs w:val="22"/>
              </w:rPr>
            </w:pPr>
            <w:r w:rsidRPr="00422C9F">
              <w:rPr>
                <w:sz w:val="22"/>
                <w:szCs w:val="22"/>
              </w:rPr>
              <w:t>EESC-2023-00860-00-AC</w:t>
            </w:r>
          </w:p>
        </w:tc>
      </w:tr>
      <w:tr w:rsidRPr="00CF3B63" w:rsidR="00CF3B63" w:rsidTr="00B05454" w14:paraId="73950BA3" w14:textId="77777777">
        <w:trPr>
          <w:gridAfter w:val="1"/>
          <w:wAfter w:w="5670" w:type="dxa"/>
          <w:trHeight w:val="304"/>
        </w:trPr>
        <w:tc>
          <w:tcPr>
            <w:tcW w:w="1701" w:type="dxa"/>
            <w:vMerge/>
          </w:tcPr>
          <w:p w:rsidRPr="00CF3B63" w:rsidR="00CF3B63" w:rsidP="00CF3B63" w:rsidRDefault="00CF3B63" w14:paraId="39D32090" w14:textId="77777777">
            <w:pPr>
              <w:tabs>
                <w:tab w:val="center" w:pos="284"/>
              </w:tabs>
              <w:overflowPunct w:val="0"/>
              <w:autoSpaceDE w:val="0"/>
              <w:autoSpaceDN w:val="0"/>
              <w:adjustRightInd w:val="0"/>
              <w:ind w:left="266" w:hanging="266"/>
              <w:textAlignment w:val="baseline"/>
              <w:rPr>
                <w:b/>
              </w:rPr>
            </w:pPr>
          </w:p>
        </w:tc>
      </w:tr>
    </w:tbl>
    <w:p w:rsidRPr="00CF3B63" w:rsidR="00CF3B63" w:rsidP="00422C9F" w:rsidRDefault="00CF3B63" w14:paraId="37EC7423" w14:textId="77777777">
      <w:pPr>
        <w:keepNext/>
        <w:keepLines/>
        <w:tabs>
          <w:tab w:val="center" w:pos="284"/>
        </w:tabs>
        <w:overflowPunct w:val="0"/>
        <w:autoSpaceDE w:val="0"/>
        <w:autoSpaceDN w:val="0"/>
        <w:adjustRightInd w:val="0"/>
        <w:ind w:left="266" w:firstLine="18"/>
        <w:textAlignment w:val="baseline"/>
        <w:rPr>
          <w:b/>
        </w:rPr>
      </w:pPr>
      <w:r>
        <w:rPr>
          <w:b/>
        </w:rPr>
        <w:t>Punti principali</w:t>
      </w:r>
    </w:p>
    <w:p w:rsidRPr="00CF3B63" w:rsidR="00CF3B63" w:rsidP="00422C9F" w:rsidRDefault="00CF3B63" w14:paraId="05302960" w14:textId="77777777">
      <w:pPr>
        <w:keepNext/>
        <w:keepLines/>
        <w:tabs>
          <w:tab w:val="center" w:pos="284"/>
        </w:tabs>
        <w:overflowPunct w:val="0"/>
        <w:autoSpaceDE w:val="0"/>
        <w:autoSpaceDN w:val="0"/>
        <w:adjustRightInd w:val="0"/>
        <w:ind w:left="266" w:firstLine="18"/>
        <w:textAlignment w:val="baseline"/>
        <w:rPr>
          <w:b/>
        </w:rPr>
      </w:pPr>
    </w:p>
    <w:p w:rsidRPr="00CF3B63" w:rsidR="00CF3B63" w:rsidP="00422C9F" w:rsidRDefault="00CF3B63" w14:paraId="23B0065E" w14:textId="77777777">
      <w:pPr>
        <w:keepNext/>
        <w:keepLines/>
        <w:tabs>
          <w:tab w:val="center" w:pos="284"/>
        </w:tabs>
        <w:overflowPunct w:val="0"/>
        <w:autoSpaceDE w:val="0"/>
        <w:autoSpaceDN w:val="0"/>
        <w:adjustRightInd w:val="0"/>
        <w:ind w:left="266" w:firstLine="18"/>
        <w:textAlignment w:val="baseline"/>
        <w:rPr>
          <w:bCs/>
        </w:rPr>
      </w:pPr>
      <w:r>
        <w:t>Il CESE:</w:t>
      </w:r>
    </w:p>
    <w:p w:rsidRPr="00CF3B63" w:rsidR="00CF3B63" w:rsidP="00CF3B63" w:rsidRDefault="00CF3B63" w14:paraId="32F10A5B" w14:textId="77777777">
      <w:pPr>
        <w:keepNext/>
        <w:keepLines/>
        <w:tabs>
          <w:tab w:val="center" w:pos="284"/>
        </w:tabs>
        <w:overflowPunct w:val="0"/>
        <w:autoSpaceDE w:val="0"/>
        <w:autoSpaceDN w:val="0"/>
        <w:adjustRightInd w:val="0"/>
        <w:ind w:left="266" w:hanging="266"/>
        <w:textAlignment w:val="baseline"/>
        <w:rPr>
          <w:b/>
        </w:rPr>
      </w:pPr>
    </w:p>
    <w:p w:rsidRPr="00CF3B63" w:rsidR="00CF3B63" w:rsidP="005165CA" w:rsidRDefault="00CF3B63" w14:paraId="64272677" w14:textId="77777777">
      <w:pPr>
        <w:numPr>
          <w:ilvl w:val="0"/>
          <w:numId w:val="15"/>
        </w:numPr>
        <w:overflowPunct w:val="0"/>
        <w:autoSpaceDE w:val="0"/>
        <w:autoSpaceDN w:val="0"/>
        <w:adjustRightInd w:val="0"/>
        <w:spacing w:after="200" w:line="276" w:lineRule="auto"/>
        <w:ind w:left="284" w:hanging="284"/>
        <w:contextualSpacing/>
        <w:textAlignment w:val="baseline"/>
        <w:rPr>
          <w:szCs w:val="20"/>
        </w:rPr>
      </w:pPr>
      <w:r>
        <w:t>sottolinea che nell'ultimo decennio la globalizzazione e la digitalizzazione hanno dischiuso nuove opportunità per il lavoro a distanza. La pandemia di COVID-19 ha provocato un cambiamento senza precedenti nella vita sia dei lavoratori che delle imprese, determinando un aumento esponenziale del telelavoro;</w:t>
      </w:r>
    </w:p>
    <w:p w:rsidR="00CF3B63" w:rsidP="005165CA" w:rsidRDefault="00CF3B63" w14:paraId="67BD646A" w14:textId="2729F36C">
      <w:pPr>
        <w:numPr>
          <w:ilvl w:val="0"/>
          <w:numId w:val="15"/>
        </w:numPr>
        <w:overflowPunct w:val="0"/>
        <w:autoSpaceDE w:val="0"/>
        <w:autoSpaceDN w:val="0"/>
        <w:adjustRightInd w:val="0"/>
        <w:spacing w:after="200" w:line="276" w:lineRule="auto"/>
        <w:ind w:left="284" w:hanging="284"/>
        <w:contextualSpacing/>
        <w:textAlignment w:val="baseline"/>
        <w:rPr>
          <w:szCs w:val="20"/>
        </w:rPr>
      </w:pPr>
      <w:r>
        <w:t>ricorda che con le nuove tecnologie è possibile realizzare lo stesso identico lavoro senza dover essere fisicamente presenti. Ciò significa anche che molte più persone sono in grado di lavorare a distanza a partire da un altro paese, e infatti il numero dei telelavoratori transfrontalieri è fortemente aumentato;</w:t>
      </w:r>
    </w:p>
    <w:p w:rsidR="00CF3B63" w:rsidP="005165CA" w:rsidRDefault="00CF3B63" w14:paraId="1EE80ABE" w14:textId="474071FB">
      <w:pPr>
        <w:numPr>
          <w:ilvl w:val="0"/>
          <w:numId w:val="15"/>
        </w:numPr>
        <w:overflowPunct w:val="0"/>
        <w:autoSpaceDE w:val="0"/>
        <w:autoSpaceDN w:val="0"/>
        <w:adjustRightInd w:val="0"/>
        <w:spacing w:after="200" w:line="276" w:lineRule="auto"/>
        <w:ind w:left="284" w:hanging="284"/>
        <w:contextualSpacing/>
        <w:textAlignment w:val="baseline"/>
        <w:rPr>
          <w:szCs w:val="20"/>
        </w:rPr>
      </w:pPr>
      <w:r>
        <w:t>ritiene che tassare il reddito da lavoro dipendente come se fosse un salario percepito nel paese di residenza del datore di lavoro sia l'opzione da preferire. Un regime fiscale di questo tipo renderebbe le cose più semplici per i lavoratori e potrebbe essere interessante anche per i datori di lavoro. Per compensare la perdita di entrate fiscali nel paese in cui il lavoratore risiede, sarebbe probabilmente necessario introdurre un meccanismo di ripartizione del gettito;</w:t>
      </w:r>
    </w:p>
    <w:p w:rsidRPr="00CF3B63" w:rsidR="00CF3B63" w:rsidP="005165CA" w:rsidRDefault="00CF3B63" w14:paraId="216DBC4F" w14:textId="77777777">
      <w:pPr>
        <w:numPr>
          <w:ilvl w:val="0"/>
          <w:numId w:val="15"/>
        </w:numPr>
        <w:overflowPunct w:val="0"/>
        <w:autoSpaceDE w:val="0"/>
        <w:autoSpaceDN w:val="0"/>
        <w:adjustRightInd w:val="0"/>
        <w:spacing w:after="200" w:line="276" w:lineRule="auto"/>
        <w:ind w:left="284" w:hanging="284"/>
        <w:contextualSpacing/>
        <w:textAlignment w:val="baseline"/>
        <w:rPr>
          <w:szCs w:val="20"/>
        </w:rPr>
      </w:pPr>
      <w:r>
        <w:t>propone che le autorità fiscali di paesi differenti si ripartiscano il gettito in funzione dei dati sulla presenza effettiva dei lavoratori nei paesi considerati (il datore di lavoro comunicherebbe questi dati all'autorità fiscale del suo paese di residenza e, quindi, fungerebbe da sportello unico), oppure utilizzando un parametro aggregato di macroeconomia.</w:t>
      </w:r>
    </w:p>
    <w:p w:rsidRPr="00422C9F" w:rsidR="00CF3B63" w:rsidP="00CF3B63" w:rsidRDefault="00CF3B63" w14:paraId="09DDE983" w14:textId="77777777">
      <w:pPr>
        <w:spacing w:after="200" w:line="276" w:lineRule="auto"/>
        <w:ind w:left="567"/>
        <w:contextualSpacing/>
        <w:jc w:val="left"/>
        <w:rPr>
          <w:color w:val="000000" w:themeColor="text1"/>
          <w:sz w:val="24"/>
          <w:szCs w:val="24"/>
          <w:lang w:eastAsia="zh-CN"/>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422C9F" w:rsidR="00CF3B63" w:rsidTr="00B05454" w14:paraId="4CD566CB" w14:textId="77777777">
        <w:tc>
          <w:tcPr>
            <w:tcW w:w="1418" w:type="dxa"/>
          </w:tcPr>
          <w:p w:rsidRPr="00422C9F" w:rsidR="00CF3B63" w:rsidP="00CF3B63" w:rsidRDefault="00CF3B63" w14:paraId="2153ECA8" w14:textId="77777777">
            <w:pPr>
              <w:overflowPunct w:val="0"/>
              <w:autoSpaceDE w:val="0"/>
              <w:autoSpaceDN w:val="0"/>
              <w:adjustRightInd w:val="0"/>
              <w:spacing w:line="240" w:lineRule="auto"/>
              <w:textAlignment w:val="baseline"/>
              <w:rPr>
                <w:i/>
                <w:sz w:val="22"/>
                <w:szCs w:val="22"/>
              </w:rPr>
            </w:pPr>
            <w:r w:rsidRPr="00422C9F">
              <w:rPr>
                <w:b/>
                <w:i/>
                <w:sz w:val="22"/>
                <w:szCs w:val="22"/>
              </w:rPr>
              <w:t>Contatto</w:t>
            </w:r>
          </w:p>
        </w:tc>
        <w:tc>
          <w:tcPr>
            <w:tcW w:w="5670" w:type="dxa"/>
          </w:tcPr>
          <w:p w:rsidRPr="00422C9F" w:rsidR="00CF3B63" w:rsidP="00CF3B63" w:rsidRDefault="00CF3B63" w14:paraId="2BAAA700" w14:textId="77777777">
            <w:pPr>
              <w:overflowPunct w:val="0"/>
              <w:autoSpaceDE w:val="0"/>
              <w:autoSpaceDN w:val="0"/>
              <w:adjustRightInd w:val="0"/>
              <w:spacing w:line="240" w:lineRule="auto"/>
              <w:textAlignment w:val="baseline"/>
              <w:rPr>
                <w:i/>
                <w:sz w:val="22"/>
                <w:szCs w:val="22"/>
              </w:rPr>
            </w:pPr>
            <w:r w:rsidRPr="00422C9F">
              <w:rPr>
                <w:i/>
                <w:sz w:val="22"/>
                <w:szCs w:val="22"/>
              </w:rPr>
              <w:t xml:space="preserve">Jüri SOOSAAR </w:t>
            </w:r>
          </w:p>
        </w:tc>
      </w:tr>
      <w:tr w:rsidRPr="00422C9F" w:rsidR="00CF3B63" w:rsidTr="00B05454" w14:paraId="0CCC2A7E" w14:textId="77777777">
        <w:tc>
          <w:tcPr>
            <w:tcW w:w="1418" w:type="dxa"/>
          </w:tcPr>
          <w:p w:rsidRPr="00422C9F" w:rsidR="00CF3B63" w:rsidP="00CF3B63" w:rsidRDefault="00CF3B63" w14:paraId="31D551A3" w14:textId="77777777">
            <w:pPr>
              <w:overflowPunct w:val="0"/>
              <w:autoSpaceDE w:val="0"/>
              <w:autoSpaceDN w:val="0"/>
              <w:adjustRightInd w:val="0"/>
              <w:spacing w:line="240" w:lineRule="auto"/>
              <w:textAlignment w:val="baseline"/>
              <w:rPr>
                <w:i/>
                <w:sz w:val="22"/>
                <w:szCs w:val="22"/>
              </w:rPr>
            </w:pPr>
            <w:r w:rsidRPr="00422C9F">
              <w:rPr>
                <w:i/>
                <w:sz w:val="22"/>
                <w:szCs w:val="22"/>
              </w:rPr>
              <w:t>Tel.</w:t>
            </w:r>
          </w:p>
        </w:tc>
        <w:tc>
          <w:tcPr>
            <w:tcW w:w="5670" w:type="dxa"/>
          </w:tcPr>
          <w:p w:rsidRPr="00422C9F" w:rsidR="00CF3B63" w:rsidP="00CF3B63" w:rsidRDefault="00CF3B63" w14:paraId="5FA9B686" w14:textId="77777777">
            <w:pPr>
              <w:overflowPunct w:val="0"/>
              <w:autoSpaceDE w:val="0"/>
              <w:autoSpaceDN w:val="0"/>
              <w:adjustRightInd w:val="0"/>
              <w:spacing w:line="240" w:lineRule="auto"/>
              <w:textAlignment w:val="baseline"/>
              <w:rPr>
                <w:i/>
                <w:sz w:val="22"/>
                <w:szCs w:val="22"/>
              </w:rPr>
            </w:pPr>
            <w:r w:rsidRPr="00422C9F">
              <w:rPr>
                <w:i/>
                <w:sz w:val="22"/>
                <w:szCs w:val="22"/>
              </w:rPr>
              <w:t>+32 25469628</w:t>
            </w:r>
          </w:p>
        </w:tc>
      </w:tr>
      <w:tr w:rsidRPr="00422C9F" w:rsidR="00CF3B63" w:rsidTr="00B05454" w14:paraId="52648DE1" w14:textId="77777777">
        <w:tc>
          <w:tcPr>
            <w:tcW w:w="1418" w:type="dxa"/>
          </w:tcPr>
          <w:p w:rsidRPr="00422C9F" w:rsidR="00CF3B63" w:rsidP="00CF3B63" w:rsidRDefault="00422C9F" w14:paraId="0F86E843" w14:textId="3BD42B8D">
            <w:pPr>
              <w:overflowPunct w:val="0"/>
              <w:autoSpaceDE w:val="0"/>
              <w:autoSpaceDN w:val="0"/>
              <w:adjustRightInd w:val="0"/>
              <w:spacing w:line="240" w:lineRule="auto"/>
              <w:textAlignment w:val="baseline"/>
              <w:rPr>
                <w:i/>
                <w:sz w:val="22"/>
                <w:szCs w:val="22"/>
              </w:rPr>
            </w:pPr>
            <w:r w:rsidRPr="00422C9F">
              <w:rPr>
                <w:i/>
                <w:sz w:val="22"/>
                <w:szCs w:val="22"/>
              </w:rPr>
              <w:t>E</w:t>
            </w:r>
            <w:r w:rsidRPr="00422C9F" w:rsidR="009A2DD6">
              <w:rPr>
                <w:i/>
                <w:sz w:val="22"/>
                <w:szCs w:val="22"/>
              </w:rPr>
              <w:t>-mail</w:t>
            </w:r>
          </w:p>
        </w:tc>
        <w:tc>
          <w:tcPr>
            <w:tcW w:w="5670" w:type="dxa"/>
          </w:tcPr>
          <w:p w:rsidRPr="00422C9F" w:rsidR="00CF3B63" w:rsidRDefault="00F95240" w14:paraId="34CDB34E" w14:textId="2D6EF1DA">
            <w:pPr>
              <w:overflowPunct w:val="0"/>
              <w:autoSpaceDE w:val="0"/>
              <w:autoSpaceDN w:val="0"/>
              <w:adjustRightInd w:val="0"/>
              <w:spacing w:line="240" w:lineRule="auto"/>
              <w:textAlignment w:val="baseline"/>
              <w:rPr>
                <w:i/>
                <w:sz w:val="22"/>
                <w:szCs w:val="22"/>
              </w:rPr>
            </w:pPr>
            <w:hyperlink w:history="1" r:id="rId21">
              <w:r w:rsidRPr="00422C9F" w:rsidR="000502CD">
                <w:rPr>
                  <w:color w:val="0000FF"/>
                  <w:sz w:val="22"/>
                  <w:szCs w:val="22"/>
                  <w:u w:val="single"/>
                </w:rPr>
                <w:t>Juri.Soosaar@eesc.europa.eu</w:t>
              </w:r>
            </w:hyperlink>
            <w:r w:rsidRPr="00422C9F" w:rsidR="000502CD">
              <w:rPr>
                <w:sz w:val="22"/>
                <w:szCs w:val="22"/>
              </w:rPr>
              <w:t xml:space="preserve"> </w:t>
            </w:r>
          </w:p>
        </w:tc>
      </w:tr>
    </w:tbl>
    <w:p w:rsidR="00CF3B63" w:rsidRDefault="00CF3B63" w14:paraId="03718F05" w14:textId="77777777">
      <w:pPr>
        <w:spacing w:after="160" w:line="259" w:lineRule="auto"/>
        <w:jc w:val="left"/>
        <w:rPr>
          <w:b/>
          <w:bCs/>
        </w:rPr>
      </w:pPr>
    </w:p>
    <w:p w:rsidR="00CF3B63" w:rsidRDefault="00CF3B63" w14:paraId="2B55CB13" w14:textId="77777777">
      <w:pPr>
        <w:spacing w:after="160" w:line="259" w:lineRule="auto"/>
        <w:jc w:val="left"/>
        <w:rPr>
          <w:b/>
          <w:bCs/>
        </w:rPr>
      </w:pPr>
      <w:r>
        <w:br w:type="page"/>
      </w:r>
    </w:p>
    <w:p w:rsidRPr="00DA68C7" w:rsidR="00A32597" w:rsidP="005165CA" w:rsidRDefault="00A32597" w14:paraId="1BD9833F" w14:textId="206458A8">
      <w:pPr>
        <w:pStyle w:val="ListParagraph"/>
        <w:numPr>
          <w:ilvl w:val="0"/>
          <w:numId w:val="16"/>
        </w:numPr>
        <w:shd w:val="clear" w:color="auto" w:fill="FFFFFF"/>
        <w:ind w:hanging="578"/>
        <w:outlineLvl w:val="0"/>
        <w:rPr>
          <w:b/>
          <w:kern w:val="28"/>
        </w:rPr>
      </w:pPr>
      <w:bookmarkStart w:name="_Toc159831758" w:id="2"/>
      <w:bookmarkStart w:name="_Toc159938441" w:id="3"/>
      <w:r>
        <w:rPr>
          <w:noProof/>
          <w:sz w:val="20"/>
        </w:rPr>
        <w:lastRenderedPageBreak/>
        <mc:AlternateContent>
          <mc:Choice Requires="wps">
            <w:drawing>
              <wp:anchor distT="0" distB="0" distL="114300" distR="114300" simplePos="0" relativeHeight="251659264" behindDoc="1" locked="0" layoutInCell="0" allowOverlap="1" wp14:editId="0D3D7150" wp14:anchorId="435E21A4">
                <wp:simplePos x="0" y="0"/>
                <wp:positionH relativeFrom="page">
                  <wp:posOffset>6769100</wp:posOffset>
                </wp:positionH>
                <wp:positionV relativeFrom="page">
                  <wp:posOffset>10081260</wp:posOffset>
                </wp:positionV>
                <wp:extent cx="647700" cy="396240"/>
                <wp:effectExtent l="0" t="3810" r="317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A32597" w:rsidP="00A32597" w:rsidRDefault="00A32597" w14:paraId="3D5909CB" w14:textId="77777777">
                            <w:pPr>
                              <w:jc w:val="center"/>
                              <w:rPr>
                                <w:rFonts w:ascii="Arial" w:hAnsi="Arial" w:cs="Arial"/>
                                <w:b/>
                                <w:bCs/>
                                <w:sz w:val="48"/>
                              </w:rPr>
                            </w:pPr>
                            <w:r>
                              <w:rPr>
                                <w:rFonts w:ascii="Arial" w:hAnsi="Arial"/>
                                <w:b/>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" w14:anchorId="435E21A4">
                <v:textbox>
                  <w:txbxContent>
                    <w:p w:rsidRPr="00260E65" w:rsidR="00A32597" w:rsidP="00A32597" w:rsidRDefault="00A32597" w14:paraId="3D5909CB" w14:textId="77777777">
                      <w:pPr>
                        <w:jc w:val="center"/>
                        <w:rPr>
                          <w:rFonts w:ascii="Arial" w:hAnsi="Arial" w:cs="Arial"/>
                          <w:b/>
                          <w:bCs/>
                          <w:sz w:val="48"/>
                        </w:rPr>
                      </w:pPr>
                      <w:r>
                        <w:rPr>
                          <w:rFonts w:ascii="Arial" w:hAnsi="Arial"/>
                          <w:b/>
                          <w:sz w:val="48"/>
                        </w:rPr>
                        <w:t>IT</w:t>
                      </w:r>
                    </w:p>
                  </w:txbxContent>
                </v:textbox>
                <w10:wrap anchorx="page" anchory="page"/>
              </v:shape>
            </w:pict>
          </mc:Fallback>
        </mc:AlternateContent>
      </w:r>
      <w:hyperlink w:history="1" r:id="rId22">
        <w:r>
          <w:rPr>
            <w:b/>
            <w:i/>
            <w:color w:val="0000FF"/>
            <w:sz w:val="28"/>
            <w:u w:val="single"/>
          </w:rPr>
          <w:t>Analisi annuale della crescita sostenibile 2024</w:t>
        </w:r>
        <w:bookmarkEnd w:id="2"/>
        <w:bookmarkEnd w:id="3"/>
      </w:hyperlink>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370"/>
      </w:tblGrid>
      <w:tr w:rsidRPr="00422C9F" w:rsidR="00A32597" w:rsidTr="00B05454" w14:paraId="7BCB2534" w14:textId="77777777">
        <w:tc>
          <w:tcPr>
            <w:tcW w:w="1701" w:type="dxa"/>
          </w:tcPr>
          <w:p w:rsidRPr="00422C9F" w:rsidR="007B6C34" w:rsidRDefault="007B6C34" w14:paraId="5143B750" w14:textId="77777777">
            <w:pPr>
              <w:widowControl w:val="0"/>
              <w:spacing w:line="276" w:lineRule="auto"/>
              <w:ind w:left="142"/>
              <w:contextualSpacing/>
              <w:jc w:val="left"/>
              <w:rPr>
                <w:b/>
                <w:bCs/>
                <w:iCs/>
                <w:noProof/>
                <w:sz w:val="18"/>
                <w:szCs w:val="18"/>
                <w:lang w:eastAsia="fr-BE"/>
              </w:rPr>
            </w:pPr>
          </w:p>
          <w:p w:rsidRPr="00422C9F" w:rsidR="00A32597" w:rsidRDefault="00422C9F" w14:paraId="6BE8915C" w14:textId="3C60729F">
            <w:pPr>
              <w:widowControl w:val="0"/>
              <w:spacing w:line="276" w:lineRule="auto"/>
              <w:ind w:left="142"/>
              <w:contextualSpacing/>
              <w:jc w:val="left"/>
              <w:rPr>
                <w:b/>
                <w:bCs/>
                <w:iCs/>
                <w:noProof/>
                <w:sz w:val="22"/>
                <w:szCs w:val="22"/>
              </w:rPr>
            </w:pPr>
            <w:r w:rsidRPr="00422C9F">
              <w:rPr>
                <w:b/>
                <w:sz w:val="22"/>
                <w:szCs w:val="22"/>
              </w:rPr>
              <w:t>Relatrice</w:t>
            </w:r>
          </w:p>
        </w:tc>
        <w:tc>
          <w:tcPr>
            <w:tcW w:w="7371" w:type="dxa"/>
          </w:tcPr>
          <w:p w:rsidRPr="00422C9F" w:rsidR="00A32597" w:rsidRDefault="00A32597" w14:paraId="541D6CA9" w14:textId="77777777">
            <w:pPr>
              <w:widowControl w:val="0"/>
              <w:spacing w:line="276" w:lineRule="auto"/>
              <w:ind w:left="142"/>
              <w:contextualSpacing/>
              <w:jc w:val="left"/>
              <w:rPr>
                <w:bCs/>
                <w:iCs/>
                <w:noProof/>
                <w:sz w:val="18"/>
                <w:szCs w:val="18"/>
                <w:lang w:eastAsia="fr-BE"/>
              </w:rPr>
            </w:pPr>
          </w:p>
          <w:p w:rsidRPr="00422C9F" w:rsidR="00A32597" w:rsidP="00422C9F" w:rsidRDefault="00A32597" w14:paraId="07DE7214" w14:textId="38316A4D">
            <w:pPr>
              <w:widowControl w:val="0"/>
              <w:spacing w:line="276" w:lineRule="auto"/>
              <w:ind w:right="-1380"/>
              <w:contextualSpacing/>
              <w:jc w:val="left"/>
              <w:rPr>
                <w:bCs/>
                <w:iCs/>
                <w:noProof/>
                <w:sz w:val="22"/>
                <w:szCs w:val="22"/>
              </w:rPr>
            </w:pPr>
            <w:r w:rsidRPr="00422C9F">
              <w:rPr>
                <w:sz w:val="22"/>
                <w:szCs w:val="22"/>
              </w:rPr>
              <w:t xml:space="preserve">Elena-Alexandra CALISTRU (Organizzazioni della società civile - RO) </w:t>
            </w:r>
          </w:p>
        </w:tc>
      </w:tr>
    </w:tbl>
    <w:p w:rsidRPr="00422C9F" w:rsidR="00A32597" w:rsidRDefault="00A32597" w14:paraId="3B5F4815" w14:textId="77777777">
      <w:pPr>
        <w:widowControl w:val="0"/>
        <w:spacing w:line="259" w:lineRule="auto"/>
        <w:ind w:left="567"/>
        <w:jc w:val="left"/>
        <w:rPr>
          <w:rFonts w:eastAsia="Calibri"/>
          <w:b/>
          <w:sz w:val="18"/>
          <w:szCs w:val="18"/>
        </w:rPr>
      </w:pP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422C9F" w:rsidR="00A32597" w:rsidTr="00B05454" w14:paraId="7B85BF7E" w14:textId="77777777">
        <w:tc>
          <w:tcPr>
            <w:tcW w:w="1701" w:type="dxa"/>
          </w:tcPr>
          <w:p w:rsidRPr="00422C9F" w:rsidR="00A32597" w:rsidP="005165CA" w:rsidRDefault="00A32597" w14:paraId="515D21C6" w14:textId="77777777">
            <w:pPr>
              <w:widowControl w:val="0"/>
              <w:spacing w:line="276" w:lineRule="auto"/>
              <w:ind w:left="142"/>
              <w:contextualSpacing/>
              <w:jc w:val="left"/>
              <w:rPr>
                <w:b/>
                <w:bCs/>
                <w:iCs/>
                <w:noProof/>
                <w:sz w:val="22"/>
                <w:szCs w:val="22"/>
              </w:rPr>
            </w:pPr>
            <w:r w:rsidRPr="00422C9F">
              <w:rPr>
                <w:b/>
                <w:sz w:val="22"/>
                <w:szCs w:val="22"/>
              </w:rPr>
              <w:t>Riferimento</w:t>
            </w:r>
          </w:p>
        </w:tc>
        <w:tc>
          <w:tcPr>
            <w:tcW w:w="5670" w:type="dxa"/>
          </w:tcPr>
          <w:p w:rsidRPr="00422C9F" w:rsidR="00A32597" w:rsidP="00422C9F" w:rsidRDefault="00A32597" w14:paraId="7CE58217" w14:textId="77777777">
            <w:pPr>
              <w:spacing w:line="240" w:lineRule="auto"/>
              <w:jc w:val="left"/>
              <w:rPr>
                <w:sz w:val="22"/>
                <w:szCs w:val="22"/>
              </w:rPr>
            </w:pPr>
            <w:r w:rsidRPr="00422C9F">
              <w:rPr>
                <w:sz w:val="22"/>
                <w:szCs w:val="22"/>
              </w:rPr>
              <w:t>COM(2023) 901 final</w:t>
            </w:r>
          </w:p>
          <w:p w:rsidRPr="00422C9F" w:rsidR="00A32597" w:rsidP="00422C9F" w:rsidRDefault="00A32597" w14:paraId="0BBCB268" w14:textId="77777777">
            <w:pPr>
              <w:tabs>
                <w:tab w:val="center" w:pos="284"/>
              </w:tabs>
              <w:spacing w:line="240" w:lineRule="auto"/>
              <w:ind w:left="85" w:hanging="85"/>
              <w:jc w:val="left"/>
              <w:rPr>
                <w:sz w:val="22"/>
                <w:szCs w:val="22"/>
              </w:rPr>
            </w:pPr>
            <w:r w:rsidRPr="00422C9F">
              <w:rPr>
                <w:sz w:val="22"/>
                <w:szCs w:val="22"/>
              </w:rPr>
              <w:t>EESC-2023-05137-00-00-AC</w:t>
            </w:r>
          </w:p>
          <w:p w:rsidRPr="00422C9F" w:rsidR="00A32597" w:rsidP="00422C9F" w:rsidRDefault="00A32597" w14:paraId="6114F19B" w14:textId="77777777">
            <w:pPr>
              <w:tabs>
                <w:tab w:val="center" w:pos="284"/>
              </w:tabs>
              <w:spacing w:line="240" w:lineRule="auto"/>
              <w:ind w:left="181"/>
              <w:jc w:val="left"/>
              <w:rPr>
                <w:sz w:val="22"/>
                <w:szCs w:val="22"/>
              </w:rPr>
            </w:pPr>
          </w:p>
        </w:tc>
      </w:tr>
    </w:tbl>
    <w:p w:rsidR="00A32597" w:rsidP="005165CA" w:rsidRDefault="00A32597" w14:paraId="55102C19" w14:textId="3C028EF4">
      <w:pPr>
        <w:keepNext/>
        <w:keepLines/>
        <w:tabs>
          <w:tab w:val="center" w:pos="284"/>
        </w:tabs>
        <w:spacing w:after="80" w:line="360" w:lineRule="auto"/>
        <w:ind w:left="266"/>
        <w:jc w:val="left"/>
        <w:rPr>
          <w:rFonts w:eastAsia="Calibri"/>
          <w:b/>
        </w:rPr>
      </w:pPr>
      <w:r>
        <w:rPr>
          <w:b/>
        </w:rPr>
        <w:t>Punti principali</w:t>
      </w:r>
    </w:p>
    <w:p w:rsidR="00A32597" w:rsidP="005165CA" w:rsidRDefault="00A32597" w14:paraId="6878A780" w14:textId="62407221">
      <w:pPr>
        <w:spacing w:after="80" w:line="360" w:lineRule="auto"/>
        <w:ind w:firstLine="284"/>
        <w:rPr>
          <w:rFonts w:eastAsia="Calibri"/>
        </w:rPr>
      </w:pPr>
      <w:r>
        <w:t xml:space="preserve">Il CESE: </w:t>
      </w:r>
    </w:p>
    <w:p w:rsidRPr="00A32597" w:rsidR="00A32597" w:rsidP="005165CA" w:rsidRDefault="00A32597" w14:paraId="77BED355" w14:textId="77777777">
      <w:pPr>
        <w:numPr>
          <w:ilvl w:val="0"/>
          <w:numId w:val="17"/>
        </w:numPr>
        <w:spacing w:line="276" w:lineRule="auto"/>
        <w:ind w:left="284" w:hanging="284"/>
        <w:outlineLvl w:val="1"/>
      </w:pPr>
      <w:bookmarkStart w:name="_Toc159831759" w:id="4"/>
      <w:bookmarkStart w:name="_Toc159938442" w:id="5"/>
      <w:r>
        <w:t>raccomanda che la Banca centrale europea (BCE) effettui un attento monitoraggio dei rischi economici e attui un'accurata pianificazione di emergenza per garantire prospettive di inflazione credibili, e le consiglia di essere pronta ad adeguare le politiche qualora il previsto calo dell'inflazione registri un rallentamento o un'inversione di tendenza, oppure, in alternativa, scenda troppo al di sotto del 2 %, invocando in tal modo una pianificazione di emergenza più chiara per mantenere la credibilità delle prospettive di inflazione;</w:t>
      </w:r>
      <w:bookmarkEnd w:id="4"/>
      <w:bookmarkEnd w:id="5"/>
    </w:p>
    <w:p w:rsidRPr="00A32597" w:rsidR="00A32597" w:rsidP="005165CA" w:rsidRDefault="00A32597" w14:paraId="6EBE4B0D" w14:textId="77777777">
      <w:pPr>
        <w:numPr>
          <w:ilvl w:val="0"/>
          <w:numId w:val="17"/>
        </w:numPr>
        <w:spacing w:line="276" w:lineRule="auto"/>
        <w:ind w:left="284" w:hanging="284"/>
        <w:outlineLvl w:val="1"/>
      </w:pPr>
      <w:bookmarkStart w:name="_Toc159831760" w:id="6"/>
      <w:bookmarkStart w:name="_Toc159938443" w:id="7"/>
      <w:r>
        <w:t>chiede un impegno concreto con i parlamenti nazionali, gli enti regionali e locali, la società civile e le parti sociali per quanto riguarda le riforme del quadro di governance macroeconomica dell'UE, e segnala l'importanza che tali riforme vengano fatte proprie dagli Stati membri a livello nazionale attraverso un dialogo efficace;</w:t>
      </w:r>
      <w:bookmarkEnd w:id="6"/>
      <w:bookmarkEnd w:id="7"/>
    </w:p>
    <w:p w:rsidRPr="00A32597" w:rsidR="00A32597" w:rsidP="005165CA" w:rsidRDefault="00A32597" w14:paraId="15523693" w14:textId="77777777">
      <w:pPr>
        <w:numPr>
          <w:ilvl w:val="0"/>
          <w:numId w:val="17"/>
        </w:numPr>
        <w:spacing w:line="276" w:lineRule="auto"/>
        <w:ind w:left="284" w:hanging="284"/>
        <w:outlineLvl w:val="1"/>
      </w:pPr>
      <w:bookmarkStart w:name="_Toc159831761" w:id="8"/>
      <w:bookmarkStart w:name="_Toc159938444" w:id="9"/>
      <w:r>
        <w:t>sottolinea l'importanza cruciale di integrare i valori democratici e i principi dello Stato di diritto nella governance economica dell'UE;</w:t>
      </w:r>
      <w:bookmarkEnd w:id="8"/>
      <w:bookmarkEnd w:id="9"/>
    </w:p>
    <w:p w:rsidRPr="00A32597" w:rsidR="00A32597" w:rsidP="005165CA" w:rsidRDefault="00A32597" w14:paraId="0E045AD4" w14:textId="77777777">
      <w:pPr>
        <w:numPr>
          <w:ilvl w:val="0"/>
          <w:numId w:val="17"/>
        </w:numPr>
        <w:spacing w:line="276" w:lineRule="auto"/>
        <w:ind w:left="284" w:hanging="284"/>
        <w:outlineLvl w:val="1"/>
      </w:pPr>
      <w:bookmarkStart w:name="_Toc159831762" w:id="10"/>
      <w:bookmarkStart w:name="_Toc159938445" w:id="11"/>
      <w:r>
        <w:t>raccomanda un risanamento di bilancio che tenga conto della situazione unica di ogni Stato membro, riconoscendo che le condizioni economiche e le sfide della crescita sono diverse per ciascuno di essi;</w:t>
      </w:r>
      <w:bookmarkEnd w:id="10"/>
      <w:bookmarkEnd w:id="11"/>
    </w:p>
    <w:p w:rsidRPr="00A32597" w:rsidR="00A32597" w:rsidP="005165CA" w:rsidRDefault="00A32597" w14:paraId="581D3E0C" w14:textId="77777777">
      <w:pPr>
        <w:numPr>
          <w:ilvl w:val="0"/>
          <w:numId w:val="17"/>
        </w:numPr>
        <w:spacing w:line="276" w:lineRule="auto"/>
        <w:ind w:left="284" w:hanging="284"/>
        <w:outlineLvl w:val="1"/>
      </w:pPr>
      <w:bookmarkStart w:name="_Toc159831763" w:id="12"/>
      <w:bookmarkStart w:name="_Toc159938446" w:id="13"/>
      <w:r>
        <w:t>esorta ad adottare un approccio equilibrato per quanto riguarda l'eliminazione graduale del sostegno alle crisi, che continua ad assistere i gruppi vulnerabili colpiti dagli elevati costi dell'energia e dall'aumento dell'inflazione; chiede che venga introdotto un quadro permanente di sostegno basato sull'accertamento patrimoniale in alcuni paesi e sottolinea la necessità di una discussione approfondita sull'impatto sociale;</w:t>
      </w:r>
      <w:bookmarkEnd w:id="12"/>
      <w:bookmarkEnd w:id="13"/>
    </w:p>
    <w:p w:rsidRPr="00A32597" w:rsidR="00A32597" w:rsidP="005165CA" w:rsidRDefault="00A32597" w14:paraId="74E233B0" w14:textId="77777777">
      <w:pPr>
        <w:numPr>
          <w:ilvl w:val="0"/>
          <w:numId w:val="17"/>
        </w:numPr>
        <w:spacing w:line="276" w:lineRule="auto"/>
        <w:ind w:left="284" w:hanging="284"/>
        <w:outlineLvl w:val="1"/>
      </w:pPr>
      <w:bookmarkStart w:name="_Toc159831764" w:id="14"/>
      <w:bookmarkStart w:name="_Toc159938447" w:id="15"/>
      <w:r>
        <w:t>invita la Commissione europea e i governi nazionali a fornire il sostegno necessario per rafforzare la capacità amministrativa e razionalizzare i processi, nonché a coinvolgere la società civile nell'attuazione dei piani nazionali per la ripresa e la resilienza;</w:t>
      </w:r>
      <w:bookmarkEnd w:id="14"/>
      <w:bookmarkEnd w:id="15"/>
    </w:p>
    <w:p w:rsidRPr="00A32597" w:rsidR="00A32597" w:rsidP="005165CA" w:rsidRDefault="00A32597" w14:paraId="24E5E545" w14:textId="77777777">
      <w:pPr>
        <w:numPr>
          <w:ilvl w:val="0"/>
          <w:numId w:val="18"/>
        </w:numPr>
        <w:spacing w:line="276" w:lineRule="auto"/>
        <w:ind w:left="284" w:hanging="284"/>
        <w:outlineLvl w:val="1"/>
      </w:pPr>
      <w:bookmarkStart w:name="_Toc159831765" w:id="16"/>
      <w:bookmarkStart w:name="_Toc159938448" w:id="17"/>
      <w:r>
        <w:t>sottolinea la necessità di aumentare la partecipazione al mercato del lavoro attraverso il miglioramento delle competenze, la garanzia di pari opportunità e il superamento delle disparità regionali, e raccomanda di adottare politiche volte ad affrontare le perdite di apprendimento causate dalla pandemia concentrandosi sulle esigenze degli studenti e delle scuole in situazione svantaggiata;</w:t>
      </w:r>
      <w:bookmarkEnd w:id="16"/>
      <w:bookmarkEnd w:id="17"/>
    </w:p>
    <w:p w:rsidRPr="00A32597" w:rsidR="00A32597" w:rsidP="005165CA" w:rsidRDefault="00A32597" w14:paraId="22994523" w14:textId="77777777">
      <w:pPr>
        <w:numPr>
          <w:ilvl w:val="0"/>
          <w:numId w:val="18"/>
        </w:numPr>
        <w:spacing w:line="276" w:lineRule="auto"/>
        <w:ind w:left="284" w:hanging="284"/>
        <w:outlineLvl w:val="1"/>
      </w:pPr>
      <w:bookmarkStart w:name="_Toc159831766" w:id="18"/>
      <w:bookmarkStart w:name="_Toc159938449" w:id="19"/>
      <w:r>
        <w:t>pur essendo favorevole alle misure volte a stimolare la produttività, sollecita azioni più coraggiose intese a eliminare gli ostacoli amministrativi per le imprese dell'UE come pure per altre parti interessate, e sostiene che le iniziative volte a ridurre gli obblighi di notifica debbano essere accompagnate da maggiori incentivi per gli investimenti nella sostenibilità, compresi quelli transfrontalieri;</w:t>
      </w:r>
      <w:bookmarkEnd w:id="18"/>
      <w:bookmarkEnd w:id="19"/>
    </w:p>
    <w:p w:rsidRPr="00A32597" w:rsidR="00A32597" w:rsidP="005165CA" w:rsidRDefault="00A32597" w14:paraId="6CFE049D" w14:textId="77777777">
      <w:pPr>
        <w:numPr>
          <w:ilvl w:val="0"/>
          <w:numId w:val="18"/>
        </w:numPr>
        <w:spacing w:line="276" w:lineRule="auto"/>
        <w:ind w:left="284" w:hanging="284"/>
        <w:outlineLvl w:val="1"/>
      </w:pPr>
      <w:bookmarkStart w:name="_Toc159831767" w:id="20"/>
      <w:bookmarkStart w:name="_Toc159938450" w:id="21"/>
      <w:r>
        <w:t>raccomanda un approccio di bilancio equilibrato che integri il contributo delle parti interessate e tenga conto delle realtà economiche di tutti gli Stati membri, e sottolinea che l'attuazione dei piani per la ripresa dovrebbe essere in linea con questo approccio differenziato, per evitare di compromettere gli obiettivi ambientali e sociali;</w:t>
      </w:r>
      <w:bookmarkEnd w:id="20"/>
      <w:bookmarkEnd w:id="21"/>
    </w:p>
    <w:p w:rsidRPr="00A32597" w:rsidR="00A32597" w:rsidP="005165CA" w:rsidRDefault="00A32597" w14:paraId="6803DE03" w14:textId="77777777">
      <w:pPr>
        <w:numPr>
          <w:ilvl w:val="0"/>
          <w:numId w:val="18"/>
        </w:numPr>
        <w:spacing w:line="276" w:lineRule="auto"/>
        <w:ind w:left="284" w:hanging="284"/>
        <w:outlineLvl w:val="1"/>
      </w:pPr>
      <w:bookmarkStart w:name="_Toc159831768" w:id="22"/>
      <w:bookmarkStart w:name="_Toc159938451" w:id="23"/>
      <w:r>
        <w:t xml:space="preserve">esprime delusione per il ritardo nell'istituzione del Fondo di sovranità dell'UE, mentre la dotazione limitata destinata alla piattaforma per le tecnologie strategiche per l'Europa (STEP) induce a dubitare </w:t>
      </w:r>
      <w:r>
        <w:lastRenderedPageBreak/>
        <w:t>seriamente della dedizione e della capacità dell'UE di conseguire i suoi obiettivi di transizione verde, e solleva delle preoccupazioni in merito agli investimenti nella competitività dell'Unione.</w:t>
      </w:r>
      <w:bookmarkEnd w:id="22"/>
      <w:bookmarkEnd w:id="23"/>
    </w:p>
    <w:p w:rsidR="00A32597" w:rsidP="004D1AE7" w:rsidRDefault="00A32597" w14:paraId="77691757" w14:textId="1699C7E9">
      <w:pPr>
        <w:spacing w:line="276" w:lineRule="auto"/>
        <w:ind w:left="567"/>
        <w:contextualSpacing/>
        <w:rPr>
          <w:sz w:val="16"/>
          <w:szCs w:val="16"/>
        </w:rPr>
      </w:pPr>
    </w:p>
    <w:p w:rsidRPr="00422C9F" w:rsidR="002C52B8" w:rsidP="005165CA" w:rsidRDefault="002C52B8" w14:paraId="2496F124" w14:textId="77777777">
      <w:pPr>
        <w:spacing w:line="276" w:lineRule="auto"/>
        <w:ind w:left="567"/>
        <w:contextualSpacing/>
        <w:rPr>
          <w:sz w:val="18"/>
          <w:szCs w:val="18"/>
        </w:rPr>
      </w:pP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422C9F" w:rsidR="00A32597" w:rsidTr="00B05454" w14:paraId="4E0E2CCB" w14:textId="77777777">
        <w:tc>
          <w:tcPr>
            <w:tcW w:w="1418" w:type="dxa"/>
          </w:tcPr>
          <w:p w:rsidRPr="00422C9F" w:rsidR="00A32597" w:rsidP="005165CA" w:rsidRDefault="00A32597" w14:paraId="15B16749" w14:textId="77777777">
            <w:pPr>
              <w:keepNext/>
              <w:keepLines/>
              <w:spacing w:line="240" w:lineRule="auto"/>
              <w:jc w:val="left"/>
              <w:rPr>
                <w:i/>
                <w:sz w:val="22"/>
                <w:szCs w:val="22"/>
              </w:rPr>
            </w:pPr>
            <w:r w:rsidRPr="00422C9F">
              <w:rPr>
                <w:b/>
                <w:i/>
                <w:sz w:val="22"/>
                <w:szCs w:val="22"/>
              </w:rPr>
              <w:t>Contatto</w:t>
            </w:r>
          </w:p>
        </w:tc>
        <w:tc>
          <w:tcPr>
            <w:tcW w:w="5670" w:type="dxa"/>
          </w:tcPr>
          <w:p w:rsidRPr="00422C9F" w:rsidR="00A32597" w:rsidP="005165CA" w:rsidRDefault="00A32597" w14:paraId="51D4069A" w14:textId="77777777">
            <w:pPr>
              <w:keepNext/>
              <w:keepLines/>
              <w:spacing w:line="240" w:lineRule="auto"/>
              <w:jc w:val="left"/>
              <w:rPr>
                <w:bCs/>
                <w:i/>
                <w:iCs/>
                <w:sz w:val="22"/>
                <w:szCs w:val="22"/>
              </w:rPr>
            </w:pPr>
            <w:r w:rsidRPr="00422C9F">
              <w:rPr>
                <w:bCs/>
                <w:i/>
                <w:sz w:val="22"/>
                <w:szCs w:val="22"/>
              </w:rPr>
              <w:t>Colombe GRÉGOIRE</w:t>
            </w:r>
          </w:p>
        </w:tc>
      </w:tr>
      <w:tr w:rsidRPr="00422C9F" w:rsidR="00A32597" w:rsidTr="00B05454" w14:paraId="217EEC8E" w14:textId="77777777">
        <w:tc>
          <w:tcPr>
            <w:tcW w:w="1418" w:type="dxa"/>
          </w:tcPr>
          <w:p w:rsidRPr="00422C9F" w:rsidR="00A32597" w:rsidP="005165CA" w:rsidRDefault="00A32597" w14:paraId="10D94256" w14:textId="77777777">
            <w:pPr>
              <w:keepNext/>
              <w:keepLines/>
              <w:spacing w:line="240" w:lineRule="auto"/>
              <w:jc w:val="left"/>
              <w:rPr>
                <w:i/>
                <w:sz w:val="22"/>
                <w:szCs w:val="22"/>
              </w:rPr>
            </w:pPr>
            <w:r w:rsidRPr="00422C9F">
              <w:rPr>
                <w:i/>
                <w:sz w:val="22"/>
                <w:szCs w:val="22"/>
              </w:rPr>
              <w:t>Tel.</w:t>
            </w:r>
          </w:p>
        </w:tc>
        <w:tc>
          <w:tcPr>
            <w:tcW w:w="5670" w:type="dxa"/>
          </w:tcPr>
          <w:p w:rsidRPr="00422C9F" w:rsidR="00A32597" w:rsidP="005165CA" w:rsidRDefault="00A32597" w14:paraId="79D2A7DE" w14:textId="77777777">
            <w:pPr>
              <w:keepNext/>
              <w:keepLines/>
              <w:spacing w:line="240" w:lineRule="auto"/>
              <w:jc w:val="left"/>
              <w:rPr>
                <w:i/>
                <w:iCs/>
                <w:sz w:val="22"/>
                <w:szCs w:val="22"/>
              </w:rPr>
            </w:pPr>
            <w:r w:rsidRPr="00422C9F">
              <w:rPr>
                <w:i/>
                <w:sz w:val="22"/>
                <w:szCs w:val="22"/>
              </w:rPr>
              <w:t>+32 25469286</w:t>
            </w:r>
          </w:p>
        </w:tc>
      </w:tr>
      <w:tr w:rsidRPr="00422C9F" w:rsidR="00A32597" w:rsidTr="00B05454" w14:paraId="6EE0DBD3" w14:textId="77777777">
        <w:tc>
          <w:tcPr>
            <w:tcW w:w="1418" w:type="dxa"/>
          </w:tcPr>
          <w:p w:rsidRPr="00422C9F" w:rsidR="00A32597" w:rsidP="005165CA" w:rsidRDefault="00422C9F" w14:paraId="1D45D5A3" w14:textId="09938459">
            <w:pPr>
              <w:keepNext/>
              <w:keepLines/>
              <w:spacing w:line="240" w:lineRule="auto"/>
              <w:jc w:val="left"/>
              <w:rPr>
                <w:i/>
                <w:sz w:val="22"/>
                <w:szCs w:val="22"/>
              </w:rPr>
            </w:pPr>
            <w:r w:rsidRPr="00422C9F">
              <w:rPr>
                <w:i/>
                <w:sz w:val="22"/>
                <w:szCs w:val="22"/>
              </w:rPr>
              <w:t>E</w:t>
            </w:r>
            <w:r w:rsidRPr="00422C9F" w:rsidR="00A32597">
              <w:rPr>
                <w:i/>
                <w:sz w:val="22"/>
                <w:szCs w:val="22"/>
              </w:rPr>
              <w:t>-mail</w:t>
            </w:r>
          </w:p>
        </w:tc>
        <w:tc>
          <w:tcPr>
            <w:tcW w:w="5670" w:type="dxa"/>
          </w:tcPr>
          <w:p w:rsidRPr="00422C9F" w:rsidR="00A32597" w:rsidP="005165CA" w:rsidRDefault="00F95240" w14:paraId="1B217DB9" w14:textId="77777777">
            <w:pPr>
              <w:keepNext/>
              <w:keepLines/>
              <w:spacing w:line="240" w:lineRule="auto"/>
              <w:jc w:val="left"/>
              <w:rPr>
                <w:i/>
                <w:iCs/>
                <w:sz w:val="22"/>
                <w:szCs w:val="22"/>
              </w:rPr>
            </w:pPr>
            <w:hyperlink w:history="1" r:id="rId23">
              <w:r w:rsidRPr="00422C9F" w:rsidR="00680336">
                <w:rPr>
                  <w:color w:val="0000FF"/>
                  <w:sz w:val="22"/>
                  <w:szCs w:val="22"/>
                  <w:u w:val="single"/>
                </w:rPr>
                <w:t>Colombe.Gregoire@eesc.europa.eu</w:t>
              </w:r>
            </w:hyperlink>
            <w:r w:rsidRPr="00422C9F" w:rsidR="00680336">
              <w:rPr>
                <w:sz w:val="22"/>
                <w:szCs w:val="22"/>
              </w:rPr>
              <w:t xml:space="preserve"> </w:t>
            </w:r>
          </w:p>
        </w:tc>
      </w:tr>
    </w:tbl>
    <w:p w:rsidR="00422C9F" w:rsidRDefault="00422C9F" w14:paraId="11F6A301" w14:textId="0650EC8A">
      <w:pPr>
        <w:spacing w:after="160" w:line="259" w:lineRule="auto"/>
        <w:jc w:val="left"/>
        <w:rPr>
          <w:b/>
          <w:bCs/>
        </w:rPr>
      </w:pPr>
    </w:p>
    <w:p w:rsidR="00422C9F" w:rsidRDefault="00422C9F" w14:paraId="698F1DAE" w14:textId="77777777">
      <w:pPr>
        <w:spacing w:after="160" w:line="259" w:lineRule="auto"/>
        <w:jc w:val="left"/>
        <w:rPr>
          <w:b/>
          <w:bCs/>
        </w:rPr>
      </w:pPr>
      <w:r>
        <w:rPr>
          <w:b/>
          <w:bCs/>
        </w:rPr>
        <w:br w:type="page"/>
      </w:r>
    </w:p>
    <w:p w:rsidRPr="00422C9F" w:rsidR="00E76ACE" w:rsidP="00E76ACE" w:rsidRDefault="00F95240" w14:paraId="10608E4B" w14:textId="0EC06D4F">
      <w:pPr>
        <w:widowControl w:val="0"/>
        <w:numPr>
          <w:ilvl w:val="0"/>
          <w:numId w:val="2"/>
        </w:numPr>
        <w:overflowPunct w:val="0"/>
        <w:autoSpaceDE w:val="0"/>
        <w:autoSpaceDN w:val="0"/>
        <w:adjustRightInd w:val="0"/>
        <w:ind w:hanging="567"/>
        <w:textAlignment w:val="baseline"/>
        <w:rPr>
          <w:sz w:val="20"/>
          <w:szCs w:val="20"/>
        </w:rPr>
      </w:pPr>
      <w:hyperlink w:history="1" r:id="rId24">
        <w:r w:rsidRPr="00422C9F" w:rsidR="000502CD">
          <w:rPr>
            <w:b/>
            <w:i/>
            <w:color w:val="0000FF"/>
            <w:sz w:val="28"/>
            <w:u w:val="single"/>
          </w:rPr>
          <w:t>Migliorare i parametri di riferimento e gli obblighi di comunicazione e segnalazione nei servizi finanziari e nel sostegno agli investimenti</w:t>
        </w:r>
      </w:hyperlink>
    </w:p>
    <w:p w:rsidRPr="00422C9F" w:rsidR="00E76ACE" w:rsidP="00E76ACE" w:rsidRDefault="00E76ACE" w14:paraId="633F7F87" w14:textId="77777777">
      <w:pPr>
        <w:tabs>
          <w:tab w:val="center" w:pos="284"/>
        </w:tabs>
        <w:overflowPunct w:val="0"/>
        <w:autoSpaceDE w:val="0"/>
        <w:autoSpaceDN w:val="0"/>
        <w:adjustRightInd w:val="0"/>
        <w:ind w:left="266" w:hanging="266"/>
        <w:textAlignment w:val="baseline"/>
        <w:rPr>
          <w:b/>
        </w:rPr>
      </w:pPr>
    </w:p>
    <w:tbl>
      <w:tblPr>
        <w:tblStyle w:val="TableGrid199"/>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805"/>
      </w:tblGrid>
      <w:tr w:rsidRPr="00422C9F" w:rsidR="00E76ACE" w:rsidTr="00B05454" w14:paraId="618851BF" w14:textId="77777777">
        <w:tc>
          <w:tcPr>
            <w:tcW w:w="1129" w:type="pct"/>
          </w:tcPr>
          <w:p w:rsidRPr="00422C9F" w:rsidR="00E76ACE" w:rsidP="005165CA" w:rsidRDefault="00422C9F" w14:paraId="160C454C" w14:textId="68B5A9F5">
            <w:pPr>
              <w:tabs>
                <w:tab w:val="center" w:pos="284"/>
              </w:tabs>
              <w:overflowPunct w:val="0"/>
              <w:autoSpaceDE w:val="0"/>
              <w:autoSpaceDN w:val="0"/>
              <w:adjustRightInd w:val="0"/>
              <w:ind w:left="266" w:hanging="376"/>
              <w:textAlignment w:val="baseline"/>
              <w:rPr>
                <w:b/>
                <w:sz w:val="22"/>
                <w:szCs w:val="22"/>
              </w:rPr>
            </w:pPr>
            <w:r w:rsidRPr="00422C9F">
              <w:rPr>
                <w:b/>
                <w:sz w:val="22"/>
                <w:szCs w:val="22"/>
              </w:rPr>
              <w:t>Relatore</w:t>
            </w:r>
          </w:p>
        </w:tc>
        <w:tc>
          <w:tcPr>
            <w:tcW w:w="3871" w:type="pct"/>
          </w:tcPr>
          <w:p w:rsidRPr="00422C9F" w:rsidR="00E76ACE" w:rsidP="005165CA" w:rsidRDefault="00E76ACE" w14:paraId="6FCB339F" w14:textId="072E1B3D">
            <w:pPr>
              <w:tabs>
                <w:tab w:val="center" w:pos="284"/>
              </w:tabs>
              <w:overflowPunct w:val="0"/>
              <w:autoSpaceDE w:val="0"/>
              <w:autoSpaceDN w:val="0"/>
              <w:adjustRightInd w:val="0"/>
              <w:ind w:left="266" w:hanging="376"/>
              <w:textAlignment w:val="baseline"/>
              <w:rPr>
                <w:sz w:val="22"/>
                <w:szCs w:val="22"/>
              </w:rPr>
            </w:pPr>
            <w:r w:rsidRPr="00422C9F">
              <w:rPr>
                <w:sz w:val="22"/>
                <w:szCs w:val="22"/>
              </w:rPr>
              <w:t>Krzysztof BALON (Organizzazioni della società civile - PL)</w:t>
            </w:r>
          </w:p>
        </w:tc>
      </w:tr>
      <w:tr w:rsidRPr="00422C9F" w:rsidR="00E76ACE" w:rsidTr="00B05454" w14:paraId="4A807341" w14:textId="77777777">
        <w:tc>
          <w:tcPr>
            <w:tcW w:w="5000" w:type="pct"/>
            <w:gridSpan w:val="2"/>
          </w:tcPr>
          <w:p w:rsidRPr="00422C9F" w:rsidR="00E76ACE" w:rsidP="005165CA" w:rsidRDefault="00E76ACE" w14:paraId="45B4F74F" w14:textId="77777777">
            <w:pPr>
              <w:tabs>
                <w:tab w:val="center" w:pos="284"/>
              </w:tabs>
              <w:overflowPunct w:val="0"/>
              <w:autoSpaceDE w:val="0"/>
              <w:autoSpaceDN w:val="0"/>
              <w:adjustRightInd w:val="0"/>
              <w:spacing w:line="160" w:lineRule="exact"/>
              <w:ind w:left="266" w:hanging="376"/>
              <w:textAlignment w:val="baseline"/>
              <w:rPr>
                <w:sz w:val="22"/>
                <w:szCs w:val="22"/>
              </w:rPr>
            </w:pPr>
          </w:p>
        </w:tc>
      </w:tr>
      <w:tr w:rsidRPr="00422C9F" w:rsidR="00E76ACE" w:rsidTr="00B05454" w14:paraId="6F674771" w14:textId="77777777">
        <w:tc>
          <w:tcPr>
            <w:tcW w:w="1129" w:type="pct"/>
            <w:vMerge w:val="restart"/>
          </w:tcPr>
          <w:p w:rsidRPr="00422C9F" w:rsidR="00E76ACE" w:rsidP="005165CA" w:rsidRDefault="00E76ACE" w14:paraId="3CD2717C" w14:textId="77777777">
            <w:pPr>
              <w:tabs>
                <w:tab w:val="center" w:pos="284"/>
              </w:tabs>
              <w:overflowPunct w:val="0"/>
              <w:autoSpaceDE w:val="0"/>
              <w:autoSpaceDN w:val="0"/>
              <w:adjustRightInd w:val="0"/>
              <w:ind w:left="266" w:hanging="376"/>
              <w:textAlignment w:val="baseline"/>
              <w:rPr>
                <w:b/>
                <w:sz w:val="22"/>
                <w:szCs w:val="22"/>
              </w:rPr>
            </w:pPr>
            <w:r w:rsidRPr="00422C9F">
              <w:rPr>
                <w:b/>
                <w:sz w:val="22"/>
                <w:szCs w:val="22"/>
              </w:rPr>
              <w:t>Riferimento</w:t>
            </w:r>
          </w:p>
        </w:tc>
        <w:tc>
          <w:tcPr>
            <w:tcW w:w="3871" w:type="pct"/>
          </w:tcPr>
          <w:p w:rsidRPr="00422C9F" w:rsidR="00E76ACE" w:rsidP="005165CA" w:rsidRDefault="00E76ACE" w14:paraId="705878F6" w14:textId="0ED794BB">
            <w:pPr>
              <w:tabs>
                <w:tab w:val="center" w:pos="284"/>
              </w:tabs>
              <w:overflowPunct w:val="0"/>
              <w:autoSpaceDE w:val="0"/>
              <w:autoSpaceDN w:val="0"/>
              <w:adjustRightInd w:val="0"/>
              <w:ind w:left="266" w:hanging="376"/>
              <w:textAlignment w:val="baseline"/>
              <w:rPr>
                <w:sz w:val="22"/>
                <w:szCs w:val="22"/>
              </w:rPr>
            </w:pPr>
            <w:r w:rsidRPr="00422C9F">
              <w:rPr>
                <w:sz w:val="22"/>
                <w:szCs w:val="22"/>
              </w:rPr>
              <w:t xml:space="preserve">COM(2023) 593 final </w:t>
            </w:r>
          </w:p>
          <w:p w:rsidRPr="00422C9F" w:rsidR="00E76ACE" w:rsidP="005165CA" w:rsidRDefault="00E76ACE" w14:paraId="0D256A2F" w14:textId="7F718BCB">
            <w:pPr>
              <w:tabs>
                <w:tab w:val="center" w:pos="284"/>
              </w:tabs>
              <w:overflowPunct w:val="0"/>
              <w:autoSpaceDE w:val="0"/>
              <w:autoSpaceDN w:val="0"/>
              <w:adjustRightInd w:val="0"/>
              <w:ind w:left="266" w:hanging="376"/>
              <w:textAlignment w:val="baseline"/>
              <w:rPr>
                <w:sz w:val="22"/>
                <w:szCs w:val="22"/>
              </w:rPr>
            </w:pPr>
            <w:r w:rsidRPr="00422C9F">
              <w:rPr>
                <w:sz w:val="22"/>
                <w:szCs w:val="22"/>
              </w:rPr>
              <w:t xml:space="preserve">COM(2023) 660 final </w:t>
            </w:r>
          </w:p>
        </w:tc>
      </w:tr>
      <w:tr w:rsidRPr="00422C9F" w:rsidR="00E76ACE" w:rsidTr="00B05454" w14:paraId="2D4938C0" w14:textId="77777777">
        <w:tc>
          <w:tcPr>
            <w:tcW w:w="1129" w:type="pct"/>
            <w:vMerge/>
          </w:tcPr>
          <w:p w:rsidRPr="00422C9F" w:rsidR="00E76ACE" w:rsidP="005165CA" w:rsidRDefault="00E76ACE" w14:paraId="682CA6FF" w14:textId="77777777">
            <w:pPr>
              <w:tabs>
                <w:tab w:val="center" w:pos="284"/>
              </w:tabs>
              <w:overflowPunct w:val="0"/>
              <w:autoSpaceDE w:val="0"/>
              <w:autoSpaceDN w:val="0"/>
              <w:adjustRightInd w:val="0"/>
              <w:ind w:left="266" w:hanging="376"/>
              <w:textAlignment w:val="baseline"/>
              <w:rPr>
                <w:b/>
                <w:sz w:val="22"/>
                <w:szCs w:val="22"/>
              </w:rPr>
            </w:pPr>
          </w:p>
        </w:tc>
        <w:tc>
          <w:tcPr>
            <w:tcW w:w="3871" w:type="pct"/>
          </w:tcPr>
          <w:p w:rsidRPr="00422C9F" w:rsidR="00E76ACE" w:rsidP="005165CA" w:rsidRDefault="00E76ACE" w14:paraId="140F62AD" w14:textId="77777777">
            <w:pPr>
              <w:tabs>
                <w:tab w:val="center" w:pos="284"/>
              </w:tabs>
              <w:overflowPunct w:val="0"/>
              <w:autoSpaceDE w:val="0"/>
              <w:autoSpaceDN w:val="0"/>
              <w:adjustRightInd w:val="0"/>
              <w:ind w:left="266" w:hanging="376"/>
              <w:textAlignment w:val="baseline"/>
              <w:rPr>
                <w:sz w:val="22"/>
                <w:szCs w:val="22"/>
              </w:rPr>
            </w:pPr>
            <w:r w:rsidRPr="00422C9F">
              <w:rPr>
                <w:sz w:val="22"/>
                <w:szCs w:val="22"/>
              </w:rPr>
              <w:t>EESC-2023-05424-00-00-AC</w:t>
            </w:r>
          </w:p>
        </w:tc>
      </w:tr>
    </w:tbl>
    <w:p w:rsidR="00422C9F" w:rsidP="00E76ACE" w:rsidRDefault="00422C9F" w14:paraId="19A8A365" w14:textId="77777777">
      <w:pPr>
        <w:keepNext/>
        <w:keepLines/>
        <w:tabs>
          <w:tab w:val="center" w:pos="284"/>
        </w:tabs>
        <w:overflowPunct w:val="0"/>
        <w:autoSpaceDE w:val="0"/>
        <w:autoSpaceDN w:val="0"/>
        <w:adjustRightInd w:val="0"/>
        <w:ind w:left="266" w:hanging="266"/>
        <w:textAlignment w:val="baseline"/>
        <w:rPr>
          <w:b/>
        </w:rPr>
      </w:pPr>
    </w:p>
    <w:p w:rsidRPr="00E76ACE" w:rsidR="00E76ACE" w:rsidP="00E76ACE" w:rsidRDefault="00E76ACE" w14:paraId="6D12F68A" w14:textId="6064E4C1">
      <w:pPr>
        <w:keepNext/>
        <w:keepLines/>
        <w:tabs>
          <w:tab w:val="center" w:pos="284"/>
        </w:tabs>
        <w:overflowPunct w:val="0"/>
        <w:autoSpaceDE w:val="0"/>
        <w:autoSpaceDN w:val="0"/>
        <w:adjustRightInd w:val="0"/>
        <w:ind w:left="266" w:hanging="266"/>
        <w:textAlignment w:val="baseline"/>
        <w:rPr>
          <w:b/>
        </w:rPr>
      </w:pPr>
      <w:r w:rsidRPr="00422C9F">
        <w:rPr>
          <w:b/>
        </w:rPr>
        <w:t>Punti principali</w:t>
      </w:r>
    </w:p>
    <w:p w:rsidRPr="00E76ACE" w:rsidR="00E76ACE" w:rsidP="00E76ACE" w:rsidRDefault="00E76ACE" w14:paraId="0B88EF57" w14:textId="77777777">
      <w:pPr>
        <w:widowControl w:val="0"/>
        <w:spacing w:line="24" w:lineRule="atLeast"/>
        <w:ind w:left="709"/>
        <w:contextualSpacing/>
        <w:jc w:val="left"/>
        <w:rPr>
          <w:rFonts w:ascii="Calibri" w:hAnsi="Calibri"/>
          <w:lang w:eastAsia="zh-CN"/>
        </w:rPr>
      </w:pPr>
    </w:p>
    <w:p w:rsidRPr="00E76ACE" w:rsidR="00E76ACE" w:rsidP="005165CA" w:rsidRDefault="00E76ACE" w14:paraId="1F52A2F7" w14:textId="77777777">
      <w:pPr>
        <w:widowControl w:val="0"/>
        <w:spacing w:line="276" w:lineRule="auto"/>
        <w:contextualSpacing/>
      </w:pPr>
      <w:r>
        <w:t>Per quanto riguarda la condivisione dei dati e la riduzione degli obblighi amministrativi nei servizi finanziari e nel sostegno agli investimenti, il CESE:</w:t>
      </w:r>
    </w:p>
    <w:p w:rsidRPr="00E76ACE" w:rsidR="00E76ACE" w:rsidP="005165CA" w:rsidRDefault="00E76ACE" w14:paraId="4042A6B6" w14:textId="77777777">
      <w:pPr>
        <w:widowControl w:val="0"/>
        <w:overflowPunct w:val="0"/>
        <w:autoSpaceDE w:val="0"/>
        <w:autoSpaceDN w:val="0"/>
        <w:adjustRightInd w:val="0"/>
        <w:spacing w:line="276" w:lineRule="auto"/>
        <w:ind w:left="284" w:firstLine="425"/>
        <w:jc w:val="left"/>
        <w:rPr>
          <w:szCs w:val="20"/>
        </w:rPr>
      </w:pPr>
    </w:p>
    <w:p w:rsidRPr="00E76ACE" w:rsidR="00E76ACE" w:rsidP="005165CA" w:rsidRDefault="00E76ACE" w14:paraId="58026ACF"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 xml:space="preserve">accoglie con favore l'iniziativa di razionalizzare e semplificare gli obblighi di comunicazione a fini di vigilanza, evitando altresì la duplicazione delle richieste di segnalazione; </w:t>
      </w:r>
    </w:p>
    <w:p w:rsidRPr="00E76ACE" w:rsidR="00E76ACE" w:rsidP="005165CA" w:rsidRDefault="00E76ACE" w14:paraId="762863D4"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 xml:space="preserve">ritiene necessario standardizzare l'ambito e il formato dei dati oggetto dello scambio di informazioni tra le autorità che vigilano sul settore finanziario; </w:t>
      </w:r>
    </w:p>
    <w:p w:rsidRPr="00E76ACE" w:rsidR="00E76ACE" w:rsidP="005165CA" w:rsidRDefault="00E76ACE" w14:paraId="1F63FC84"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osserva che le modifiche proposte potrebbero generare dei costi di attuazione e/o ulteriori costi di standardizzazione. L'obiettivo di ridurre al minimo i costi non dovrebbe essere slegato dagli altri obiettivi riguardanti la raccolta e la condivisione dei dati;</w:t>
      </w:r>
    </w:p>
    <w:p w:rsidRPr="00E76ACE" w:rsidR="00E76ACE" w:rsidP="005165CA" w:rsidRDefault="00E76ACE" w14:paraId="42EC964E"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ritiene che iniziative future debbano stabilire che la trasmissione dei dati a un'autorità competente (o a una piattaforma condivisa) deve essere considerata come trasmissione a tutte le altre autorità competenti (concetto di sportello unico);</w:t>
      </w:r>
    </w:p>
    <w:p w:rsidRPr="00E76ACE" w:rsidR="00E76ACE" w:rsidP="005165CA" w:rsidRDefault="00E76ACE" w14:paraId="0831C626"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osserva che la condivisione dei dati tra le autorità resterebbe condizionata a una richiesta volontaria. A tale riguardo, le autorità devono (non solo "possono") concludere protocolli d'intesa per specificare le modalità dello scambio di informazioni;</w:t>
      </w:r>
    </w:p>
    <w:p w:rsidRPr="00E76ACE" w:rsidR="00E76ACE" w:rsidP="005165CA" w:rsidRDefault="00E76ACE" w14:paraId="13DBA4C5"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sottolinea che, al fine di conseguire la semplificazione, il riesame periodico degli obblighi di comunicazione dovrebbe essere obbligatorio.</w:t>
      </w:r>
    </w:p>
    <w:p w:rsidRPr="00E76ACE" w:rsidR="00E76ACE" w:rsidP="005165CA" w:rsidRDefault="00E76ACE" w14:paraId="6C4CE41E" w14:textId="77777777">
      <w:pPr>
        <w:widowControl w:val="0"/>
        <w:overflowPunct w:val="0"/>
        <w:autoSpaceDE w:val="0"/>
        <w:autoSpaceDN w:val="0"/>
        <w:adjustRightInd w:val="0"/>
        <w:spacing w:line="276" w:lineRule="auto"/>
        <w:ind w:left="284"/>
        <w:jc w:val="left"/>
        <w:rPr>
          <w:szCs w:val="20"/>
        </w:rPr>
      </w:pPr>
    </w:p>
    <w:p w:rsidRPr="00E76ACE" w:rsidR="00E76ACE" w:rsidP="005165CA" w:rsidRDefault="00E76ACE" w14:paraId="5CD848D6" w14:textId="77777777">
      <w:pPr>
        <w:widowControl w:val="0"/>
        <w:spacing w:line="276" w:lineRule="auto"/>
        <w:contextualSpacing/>
        <w:jc w:val="left"/>
      </w:pPr>
      <w:r>
        <w:t>Per quanto riguarda le modifiche al regolamento sugli indici di riferimento, il CESE:</w:t>
      </w:r>
    </w:p>
    <w:p w:rsidRPr="00E76ACE" w:rsidR="00E76ACE" w:rsidP="005165CA" w:rsidRDefault="00E76ACE" w14:paraId="706F0FFB" w14:textId="77777777">
      <w:pPr>
        <w:widowControl w:val="0"/>
        <w:overflowPunct w:val="0"/>
        <w:autoSpaceDE w:val="0"/>
        <w:autoSpaceDN w:val="0"/>
        <w:adjustRightInd w:val="0"/>
        <w:spacing w:line="276" w:lineRule="auto"/>
        <w:ind w:left="284"/>
        <w:jc w:val="left"/>
        <w:rPr>
          <w:szCs w:val="20"/>
        </w:rPr>
      </w:pPr>
    </w:p>
    <w:p w:rsidRPr="00E76ACE" w:rsidR="00E76ACE" w:rsidP="005165CA" w:rsidRDefault="00E76ACE" w14:paraId="6FC51301" w14:textId="77777777">
      <w:pPr>
        <w:widowControl w:val="0"/>
        <w:numPr>
          <w:ilvl w:val="0"/>
          <w:numId w:val="20"/>
        </w:numPr>
        <w:overflowPunct w:val="0"/>
        <w:autoSpaceDE w:val="0"/>
        <w:autoSpaceDN w:val="0"/>
        <w:adjustRightInd w:val="0"/>
        <w:spacing w:line="276" w:lineRule="auto"/>
        <w:ind w:left="284" w:hanging="284"/>
        <w:contextualSpacing/>
        <w:textAlignment w:val="baseline"/>
      </w:pPr>
      <w:r>
        <w:t xml:space="preserve">accoglie con favore un approccio più equilibrato e proporzionato alla salvaguardia della stabilità finanziaria e dell'integrità dei mercati europei, nonché alla riduzione dei costi e degli obblighi normativi, in particolare riducendo gli obblighi connessi agli indici di riferimento non significativi; </w:t>
      </w:r>
    </w:p>
    <w:p w:rsidRPr="00E76ACE" w:rsidR="00E76ACE" w:rsidP="005165CA" w:rsidRDefault="00E76ACE" w14:paraId="512ABB98" w14:textId="77777777">
      <w:pPr>
        <w:widowControl w:val="0"/>
        <w:numPr>
          <w:ilvl w:val="0"/>
          <w:numId w:val="20"/>
        </w:numPr>
        <w:overflowPunct w:val="0"/>
        <w:autoSpaceDE w:val="0"/>
        <w:autoSpaceDN w:val="0"/>
        <w:adjustRightInd w:val="0"/>
        <w:spacing w:line="276" w:lineRule="auto"/>
        <w:ind w:left="284" w:hanging="284"/>
        <w:contextualSpacing/>
        <w:textAlignment w:val="baseline"/>
      </w:pPr>
      <w:r>
        <w:t>si compiace del chiarimento del ruolo della Commissione, dell'Autorità europea degli strumenti finanziari e dei mercati (ESMA) e delle autorità nazionali nel processo applicabile agli indici di riferimento significativi e critici;</w:t>
      </w:r>
    </w:p>
    <w:p w:rsidRPr="00E76ACE" w:rsidR="00E76ACE" w:rsidP="005165CA" w:rsidRDefault="00E76ACE" w14:paraId="39EE635D" w14:textId="77777777">
      <w:pPr>
        <w:widowControl w:val="0"/>
        <w:numPr>
          <w:ilvl w:val="0"/>
          <w:numId w:val="20"/>
        </w:numPr>
        <w:overflowPunct w:val="0"/>
        <w:autoSpaceDE w:val="0"/>
        <w:autoSpaceDN w:val="0"/>
        <w:adjustRightInd w:val="0"/>
        <w:spacing w:line="276" w:lineRule="auto"/>
        <w:ind w:left="284" w:hanging="284"/>
        <w:contextualSpacing/>
        <w:textAlignment w:val="baseline"/>
      </w:pPr>
      <w:r>
        <w:t>raccomanda vivamente di verificare se sia possibile intraprendere iniziative volte a ridurre al minimo gli obblighi di comunicazione o a ridurre i costi per gli indici di riferimento critici o significativi.</w:t>
      </w:r>
    </w:p>
    <w:p w:rsidRPr="00E76ACE" w:rsidR="00E76ACE" w:rsidP="00E76ACE" w:rsidRDefault="00E76ACE" w14:paraId="468B2533" w14:textId="77777777">
      <w:pPr>
        <w:spacing w:line="360" w:lineRule="auto"/>
        <w:ind w:left="714"/>
        <w:contextualSpacing/>
        <w:rPr>
          <w:rFonts w:ascii="Calibri" w:hAnsi="Calibri"/>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4819"/>
      </w:tblGrid>
      <w:tr w:rsidRPr="00422C9F" w:rsidR="00E76ACE" w:rsidTr="00422C9F" w14:paraId="5AC2D924" w14:textId="77777777">
        <w:tc>
          <w:tcPr>
            <w:tcW w:w="1223" w:type="pct"/>
          </w:tcPr>
          <w:p w:rsidRPr="00422C9F" w:rsidR="00E76ACE" w:rsidP="00E76ACE" w:rsidRDefault="00422C9F" w14:paraId="631F02EC" w14:textId="3C85FE4D">
            <w:pPr>
              <w:overflowPunct w:val="0"/>
              <w:autoSpaceDE w:val="0"/>
              <w:autoSpaceDN w:val="0"/>
              <w:adjustRightInd w:val="0"/>
              <w:spacing w:line="240" w:lineRule="auto"/>
              <w:textAlignment w:val="baseline"/>
              <w:rPr>
                <w:i/>
                <w:sz w:val="22"/>
                <w:szCs w:val="22"/>
              </w:rPr>
            </w:pPr>
            <w:r>
              <w:rPr>
                <w:b/>
                <w:i/>
                <w:sz w:val="22"/>
                <w:szCs w:val="22"/>
              </w:rPr>
              <w:t>C</w:t>
            </w:r>
            <w:r w:rsidRPr="00422C9F" w:rsidR="00E76ACE">
              <w:rPr>
                <w:b/>
                <w:i/>
                <w:sz w:val="22"/>
                <w:szCs w:val="22"/>
              </w:rPr>
              <w:t>ontatto</w:t>
            </w:r>
          </w:p>
        </w:tc>
        <w:tc>
          <w:tcPr>
            <w:tcW w:w="3777" w:type="pct"/>
          </w:tcPr>
          <w:p w:rsidRPr="00422C9F" w:rsidR="00E76ACE" w:rsidP="00E76ACE" w:rsidRDefault="00E76ACE" w14:paraId="37BFF911" w14:textId="26B6403B">
            <w:pPr>
              <w:overflowPunct w:val="0"/>
              <w:autoSpaceDE w:val="0"/>
              <w:autoSpaceDN w:val="0"/>
              <w:adjustRightInd w:val="0"/>
              <w:spacing w:line="240" w:lineRule="auto"/>
              <w:textAlignment w:val="baseline"/>
              <w:rPr>
                <w:i/>
                <w:sz w:val="22"/>
                <w:szCs w:val="22"/>
              </w:rPr>
            </w:pPr>
            <w:r w:rsidRPr="00422C9F">
              <w:rPr>
                <w:i/>
                <w:sz w:val="22"/>
                <w:szCs w:val="22"/>
              </w:rPr>
              <w:t>Sergio Lorencio MATALLANA</w:t>
            </w:r>
          </w:p>
        </w:tc>
      </w:tr>
      <w:tr w:rsidRPr="00422C9F" w:rsidR="00E76ACE" w:rsidTr="00422C9F" w14:paraId="38EECD9C" w14:textId="77777777">
        <w:tc>
          <w:tcPr>
            <w:tcW w:w="1223" w:type="pct"/>
          </w:tcPr>
          <w:p w:rsidRPr="00422C9F" w:rsidR="00E76ACE" w:rsidP="00E76ACE" w:rsidRDefault="00E76ACE" w14:paraId="00111D5D" w14:textId="77777777">
            <w:pPr>
              <w:overflowPunct w:val="0"/>
              <w:autoSpaceDE w:val="0"/>
              <w:autoSpaceDN w:val="0"/>
              <w:adjustRightInd w:val="0"/>
              <w:spacing w:line="240" w:lineRule="auto"/>
              <w:textAlignment w:val="baseline"/>
              <w:rPr>
                <w:i/>
                <w:sz w:val="22"/>
                <w:szCs w:val="22"/>
              </w:rPr>
            </w:pPr>
            <w:r w:rsidRPr="00422C9F">
              <w:rPr>
                <w:i/>
                <w:sz w:val="22"/>
                <w:szCs w:val="22"/>
              </w:rPr>
              <w:t>Tel.</w:t>
            </w:r>
          </w:p>
        </w:tc>
        <w:tc>
          <w:tcPr>
            <w:tcW w:w="3777" w:type="pct"/>
          </w:tcPr>
          <w:p w:rsidRPr="00422C9F" w:rsidR="00E76ACE" w:rsidP="00E76ACE" w:rsidRDefault="00E76ACE" w14:paraId="2BA01FC0" w14:textId="77777777">
            <w:pPr>
              <w:overflowPunct w:val="0"/>
              <w:autoSpaceDE w:val="0"/>
              <w:autoSpaceDN w:val="0"/>
              <w:adjustRightInd w:val="0"/>
              <w:spacing w:line="240" w:lineRule="auto"/>
              <w:textAlignment w:val="baseline"/>
              <w:rPr>
                <w:i/>
                <w:sz w:val="22"/>
                <w:szCs w:val="22"/>
              </w:rPr>
            </w:pPr>
            <w:r w:rsidRPr="00422C9F">
              <w:rPr>
                <w:i/>
                <w:sz w:val="22"/>
                <w:szCs w:val="22"/>
              </w:rPr>
              <w:t>+32 25469240</w:t>
            </w:r>
          </w:p>
        </w:tc>
      </w:tr>
      <w:tr w:rsidRPr="00422C9F" w:rsidR="00E76ACE" w:rsidTr="00422C9F" w14:paraId="34EA2FE0" w14:textId="77777777">
        <w:tc>
          <w:tcPr>
            <w:tcW w:w="1223" w:type="pct"/>
          </w:tcPr>
          <w:p w:rsidRPr="00422C9F" w:rsidR="00E76ACE" w:rsidP="00E76ACE" w:rsidRDefault="00422C9F" w14:paraId="3C52BE60" w14:textId="2460275B">
            <w:pPr>
              <w:overflowPunct w:val="0"/>
              <w:autoSpaceDE w:val="0"/>
              <w:autoSpaceDN w:val="0"/>
              <w:adjustRightInd w:val="0"/>
              <w:spacing w:line="240" w:lineRule="auto"/>
              <w:textAlignment w:val="baseline"/>
              <w:rPr>
                <w:i/>
                <w:sz w:val="22"/>
                <w:szCs w:val="22"/>
              </w:rPr>
            </w:pPr>
            <w:r w:rsidRPr="00422C9F">
              <w:rPr>
                <w:i/>
                <w:sz w:val="22"/>
                <w:szCs w:val="22"/>
              </w:rPr>
              <w:t>E</w:t>
            </w:r>
            <w:r w:rsidRPr="00422C9F" w:rsidR="00E76ACE">
              <w:rPr>
                <w:i/>
                <w:sz w:val="22"/>
                <w:szCs w:val="22"/>
              </w:rPr>
              <w:t>-mail</w:t>
            </w:r>
          </w:p>
        </w:tc>
        <w:tc>
          <w:tcPr>
            <w:tcW w:w="3777" w:type="pct"/>
          </w:tcPr>
          <w:p w:rsidRPr="00422C9F" w:rsidR="00E76ACE" w:rsidP="00E76ACE" w:rsidRDefault="00F95240" w14:paraId="4D5E4782" w14:textId="77777777">
            <w:pPr>
              <w:overflowPunct w:val="0"/>
              <w:autoSpaceDE w:val="0"/>
              <w:autoSpaceDN w:val="0"/>
              <w:adjustRightInd w:val="0"/>
              <w:spacing w:line="240" w:lineRule="auto"/>
              <w:textAlignment w:val="baseline"/>
              <w:rPr>
                <w:i/>
                <w:sz w:val="22"/>
                <w:szCs w:val="22"/>
              </w:rPr>
            </w:pPr>
            <w:hyperlink w:history="1" r:id="rId25">
              <w:r w:rsidRPr="00422C9F" w:rsidR="000502CD">
                <w:rPr>
                  <w:i/>
                  <w:color w:val="0000FF"/>
                  <w:sz w:val="22"/>
                  <w:szCs w:val="22"/>
                  <w:u w:val="single"/>
                </w:rPr>
                <w:t>Sergio.LorencioMatallana@eesc.europa.eu</w:t>
              </w:r>
            </w:hyperlink>
          </w:p>
        </w:tc>
      </w:tr>
    </w:tbl>
    <w:p w:rsidR="00E76ACE" w:rsidRDefault="00E76ACE" w14:paraId="610C8E26" w14:textId="77777777">
      <w:pPr>
        <w:spacing w:after="160" w:line="259" w:lineRule="auto"/>
        <w:jc w:val="left"/>
        <w:rPr>
          <w:b/>
          <w:bCs/>
        </w:rPr>
      </w:pPr>
    </w:p>
    <w:p w:rsidR="00E76ACE" w:rsidRDefault="00E76ACE" w14:paraId="1F90D670" w14:textId="77777777">
      <w:pPr>
        <w:spacing w:after="160" w:line="259" w:lineRule="auto"/>
        <w:jc w:val="left"/>
        <w:rPr>
          <w:b/>
          <w:bCs/>
        </w:rPr>
      </w:pPr>
      <w:r>
        <w:br w:type="page"/>
      </w:r>
    </w:p>
    <w:p w:rsidR="006C6A1E" w:rsidP="00234EA0" w:rsidRDefault="006C6A1E" w14:paraId="55E56154" w14:textId="0F4B2C88">
      <w:pPr>
        <w:pStyle w:val="Heading1"/>
        <w:ind w:hanging="928"/>
        <w:rPr>
          <w:b/>
          <w:bCs/>
        </w:rPr>
      </w:pPr>
      <w:bookmarkStart w:name="_Toc150179063" w:id="24"/>
      <w:bookmarkStart w:name="_Toc159938452" w:id="25"/>
      <w:bookmarkStart w:name="_Toc153539680" w:id="26"/>
      <w:bookmarkEnd w:id="24"/>
      <w:r>
        <w:rPr>
          <w:b/>
        </w:rPr>
        <w:lastRenderedPageBreak/>
        <w:t xml:space="preserve">OCCUPAZIONE, AFFARI SOCIALI </w:t>
      </w:r>
      <w:r w:rsidRPr="00422C9F" w:rsidR="00422C9F">
        <w:rPr>
          <w:b/>
        </w:rPr>
        <w:t>E</w:t>
      </w:r>
      <w:r w:rsidRPr="00422C9F">
        <w:rPr>
          <w:b/>
        </w:rPr>
        <w:t xml:space="preserve"> CIT</w:t>
      </w:r>
      <w:r>
        <w:rPr>
          <w:b/>
        </w:rPr>
        <w:t>TADINANZA</w:t>
      </w:r>
      <w:bookmarkEnd w:id="25"/>
    </w:p>
    <w:p w:rsidR="006C6A1E" w:rsidP="006C6A1E" w:rsidRDefault="006C6A1E" w14:paraId="190420D2" w14:textId="4E6BD19C"/>
    <w:p w:rsidRPr="00422C9F" w:rsidR="006C6A1E" w:rsidP="00EC21D5" w:rsidRDefault="00F95240" w14:paraId="7AA2DF65" w14:textId="420CDDFC">
      <w:pPr>
        <w:widowControl w:val="0"/>
        <w:numPr>
          <w:ilvl w:val="0"/>
          <w:numId w:val="2"/>
        </w:numPr>
        <w:overflowPunct w:val="0"/>
        <w:autoSpaceDE w:val="0"/>
        <w:autoSpaceDN w:val="0"/>
        <w:adjustRightInd w:val="0"/>
        <w:ind w:hanging="567"/>
        <w:textAlignment w:val="baseline"/>
        <w:rPr>
          <w:sz w:val="20"/>
          <w:szCs w:val="20"/>
        </w:rPr>
      </w:pPr>
      <w:hyperlink w:history="1" r:id="rId26">
        <w:r w:rsidRPr="00422C9F" w:rsidR="000502CD">
          <w:rPr>
            <w:b/>
            <w:i/>
            <w:color w:val="0000FF"/>
            <w:sz w:val="28"/>
            <w:u w:val="single"/>
          </w:rPr>
          <w:t>Digitalizzazione della sicurezza sociale</w:t>
        </w:r>
      </w:hyperlink>
    </w:p>
    <w:p w:rsidRPr="00422C9F" w:rsidR="006C6A1E" w:rsidP="006C6A1E" w:rsidRDefault="006C6A1E" w14:paraId="55612D29" w14:textId="77777777">
      <w:pPr>
        <w:tabs>
          <w:tab w:val="center" w:pos="284"/>
        </w:tabs>
        <w:overflowPunct w:val="0"/>
        <w:autoSpaceDE w:val="0"/>
        <w:autoSpaceDN w:val="0"/>
        <w:adjustRightInd w:val="0"/>
        <w:ind w:left="266" w:hanging="266"/>
        <w:textAlignment w:val="baseline"/>
        <w:rPr>
          <w:b/>
        </w:rPr>
      </w:pPr>
    </w:p>
    <w:tbl>
      <w:tblPr>
        <w:tblStyle w:val="TableGrid203"/>
        <w:tblW w:w="4503" w:type="pct"/>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6326"/>
      </w:tblGrid>
      <w:tr w:rsidRPr="00422C9F" w:rsidR="006C6A1E" w:rsidTr="005165CA" w14:paraId="1E5744BE" w14:textId="77777777">
        <w:trPr>
          <w:trHeight w:val="564"/>
        </w:trPr>
        <w:tc>
          <w:tcPr>
            <w:tcW w:w="1128" w:type="pct"/>
          </w:tcPr>
          <w:p w:rsidRPr="00EC21D5" w:rsidR="006C6A1E" w:rsidP="006C6A1E" w:rsidRDefault="00422C9F" w14:paraId="0C0E6752" w14:textId="642EF97B">
            <w:pPr>
              <w:tabs>
                <w:tab w:val="center" w:pos="284"/>
              </w:tabs>
              <w:overflowPunct w:val="0"/>
              <w:autoSpaceDE w:val="0"/>
              <w:autoSpaceDN w:val="0"/>
              <w:adjustRightInd w:val="0"/>
              <w:ind w:left="266" w:hanging="266"/>
              <w:textAlignment w:val="baseline"/>
              <w:rPr>
                <w:b/>
                <w:sz w:val="22"/>
                <w:szCs w:val="22"/>
              </w:rPr>
            </w:pPr>
            <w:r w:rsidRPr="00EC21D5">
              <w:rPr>
                <w:b/>
                <w:sz w:val="22"/>
                <w:szCs w:val="22"/>
              </w:rPr>
              <w:t>Relatore</w:t>
            </w:r>
          </w:p>
        </w:tc>
        <w:tc>
          <w:tcPr>
            <w:tcW w:w="3872" w:type="pct"/>
          </w:tcPr>
          <w:p w:rsidRPr="00EC21D5" w:rsidR="006C6A1E" w:rsidP="006C6A1E" w:rsidRDefault="006C6A1E" w14:paraId="1F9E7E12" w14:textId="02ACF47A">
            <w:pPr>
              <w:tabs>
                <w:tab w:val="center" w:pos="284"/>
              </w:tabs>
              <w:overflowPunct w:val="0"/>
              <w:autoSpaceDE w:val="0"/>
              <w:autoSpaceDN w:val="0"/>
              <w:adjustRightInd w:val="0"/>
              <w:ind w:left="266" w:hanging="266"/>
              <w:textAlignment w:val="baseline"/>
              <w:rPr>
                <w:sz w:val="22"/>
                <w:szCs w:val="22"/>
              </w:rPr>
            </w:pPr>
            <w:r w:rsidRPr="00EC21D5">
              <w:rPr>
                <w:sz w:val="22"/>
                <w:szCs w:val="22"/>
              </w:rPr>
              <w:t>Krzysztof BALON (Organizzazioni della società civile - PL)</w:t>
            </w:r>
          </w:p>
        </w:tc>
      </w:tr>
      <w:tr w:rsidRPr="00422C9F" w:rsidR="006C6A1E" w:rsidTr="005165CA" w14:paraId="3FEF9A97" w14:textId="77777777">
        <w:trPr>
          <w:trHeight w:val="294"/>
        </w:trPr>
        <w:tc>
          <w:tcPr>
            <w:tcW w:w="1128" w:type="pct"/>
          </w:tcPr>
          <w:p w:rsidRPr="00EC21D5" w:rsidR="006C6A1E" w:rsidP="006C6A1E" w:rsidRDefault="00422C9F" w14:paraId="14F4FC73" w14:textId="6B096E30">
            <w:pPr>
              <w:tabs>
                <w:tab w:val="center" w:pos="284"/>
              </w:tabs>
              <w:overflowPunct w:val="0"/>
              <w:autoSpaceDE w:val="0"/>
              <w:autoSpaceDN w:val="0"/>
              <w:adjustRightInd w:val="0"/>
              <w:ind w:left="266" w:hanging="266"/>
              <w:textAlignment w:val="baseline"/>
              <w:rPr>
                <w:b/>
                <w:sz w:val="22"/>
                <w:szCs w:val="22"/>
              </w:rPr>
            </w:pPr>
            <w:r w:rsidRPr="00EC21D5">
              <w:rPr>
                <w:b/>
                <w:sz w:val="22"/>
                <w:szCs w:val="22"/>
              </w:rPr>
              <w:t>Correlatrice</w:t>
            </w:r>
          </w:p>
        </w:tc>
        <w:tc>
          <w:tcPr>
            <w:tcW w:w="3872" w:type="pct"/>
          </w:tcPr>
          <w:p w:rsidRPr="00EC21D5" w:rsidR="006C6A1E" w:rsidP="006C6A1E" w:rsidRDefault="006C6A1E" w14:paraId="15858FF0" w14:textId="402B9D53">
            <w:pPr>
              <w:tabs>
                <w:tab w:val="center" w:pos="284"/>
              </w:tabs>
              <w:overflowPunct w:val="0"/>
              <w:autoSpaceDE w:val="0"/>
              <w:autoSpaceDN w:val="0"/>
              <w:adjustRightInd w:val="0"/>
              <w:ind w:left="266" w:hanging="266"/>
              <w:textAlignment w:val="baseline"/>
              <w:rPr>
                <w:sz w:val="22"/>
                <w:szCs w:val="22"/>
              </w:rPr>
            </w:pPr>
            <w:r w:rsidRPr="00EC21D5">
              <w:rPr>
                <w:sz w:val="22"/>
                <w:szCs w:val="22"/>
              </w:rPr>
              <w:t>Maria del Carmen BARRERA CHAMORRO (Lavoratori - ES)</w:t>
            </w:r>
          </w:p>
        </w:tc>
      </w:tr>
      <w:tr w:rsidRPr="00422C9F" w:rsidR="006C6A1E" w:rsidTr="005165CA" w14:paraId="3AECE3D5" w14:textId="77777777">
        <w:trPr>
          <w:trHeight w:val="153"/>
        </w:trPr>
        <w:tc>
          <w:tcPr>
            <w:tcW w:w="5000" w:type="pct"/>
            <w:gridSpan w:val="2"/>
          </w:tcPr>
          <w:p w:rsidRPr="00EC21D5" w:rsidR="006C6A1E" w:rsidP="006C6A1E" w:rsidRDefault="006C6A1E" w14:paraId="660A79BB"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422C9F" w:rsidR="006C6A1E" w:rsidTr="005165CA" w14:paraId="4552C784" w14:textId="77777777">
        <w:trPr>
          <w:trHeight w:val="282"/>
        </w:trPr>
        <w:tc>
          <w:tcPr>
            <w:tcW w:w="1128" w:type="pct"/>
          </w:tcPr>
          <w:p w:rsidRPr="00EC21D5" w:rsidR="006C6A1E" w:rsidP="006C6A1E" w:rsidRDefault="006C6A1E" w14:paraId="2CED479C" w14:textId="77777777">
            <w:pPr>
              <w:tabs>
                <w:tab w:val="center" w:pos="284"/>
              </w:tabs>
              <w:overflowPunct w:val="0"/>
              <w:autoSpaceDE w:val="0"/>
              <w:autoSpaceDN w:val="0"/>
              <w:adjustRightInd w:val="0"/>
              <w:ind w:left="266" w:hanging="266"/>
              <w:textAlignment w:val="baseline"/>
              <w:rPr>
                <w:b/>
                <w:sz w:val="22"/>
                <w:szCs w:val="22"/>
              </w:rPr>
            </w:pPr>
            <w:r w:rsidRPr="00EC21D5">
              <w:rPr>
                <w:b/>
                <w:sz w:val="22"/>
                <w:szCs w:val="22"/>
              </w:rPr>
              <w:t>Riferimento</w:t>
            </w:r>
          </w:p>
        </w:tc>
        <w:tc>
          <w:tcPr>
            <w:tcW w:w="3872" w:type="pct"/>
          </w:tcPr>
          <w:p w:rsidRPr="00EC21D5" w:rsidR="006C6A1E" w:rsidP="006C6A1E" w:rsidRDefault="006C6A1E" w14:paraId="25E0EE5C" w14:textId="77777777">
            <w:pPr>
              <w:tabs>
                <w:tab w:val="center" w:pos="284"/>
              </w:tabs>
              <w:overflowPunct w:val="0"/>
              <w:autoSpaceDE w:val="0"/>
              <w:autoSpaceDN w:val="0"/>
              <w:adjustRightInd w:val="0"/>
              <w:ind w:left="266" w:hanging="266"/>
              <w:textAlignment w:val="baseline"/>
              <w:rPr>
                <w:sz w:val="22"/>
                <w:szCs w:val="22"/>
              </w:rPr>
            </w:pPr>
            <w:r w:rsidRPr="00EC21D5">
              <w:rPr>
                <w:sz w:val="22"/>
                <w:szCs w:val="22"/>
              </w:rPr>
              <w:t>COM(2023) 501 final</w:t>
            </w:r>
          </w:p>
          <w:p w:rsidRPr="00EC21D5" w:rsidR="006C6A1E" w:rsidP="006C6A1E" w:rsidRDefault="006C6A1E" w14:paraId="41250C39" w14:textId="77777777">
            <w:pPr>
              <w:tabs>
                <w:tab w:val="center" w:pos="284"/>
              </w:tabs>
              <w:overflowPunct w:val="0"/>
              <w:autoSpaceDE w:val="0"/>
              <w:autoSpaceDN w:val="0"/>
              <w:adjustRightInd w:val="0"/>
              <w:ind w:left="266" w:hanging="266"/>
              <w:textAlignment w:val="baseline"/>
              <w:rPr>
                <w:sz w:val="22"/>
                <w:szCs w:val="22"/>
              </w:rPr>
            </w:pPr>
            <w:r w:rsidRPr="00EC21D5">
              <w:rPr>
                <w:sz w:val="22"/>
                <w:szCs w:val="22"/>
              </w:rPr>
              <w:t>EESC-2023-03875-00-00-AC</w:t>
            </w:r>
          </w:p>
        </w:tc>
      </w:tr>
    </w:tbl>
    <w:p w:rsidRPr="00422C9F" w:rsidR="006C6A1E" w:rsidP="006C6A1E" w:rsidRDefault="006C6A1E" w14:paraId="13BCE082" w14:textId="77777777">
      <w:pPr>
        <w:tabs>
          <w:tab w:val="center" w:pos="284"/>
        </w:tabs>
        <w:overflowPunct w:val="0"/>
        <w:autoSpaceDE w:val="0"/>
        <w:autoSpaceDN w:val="0"/>
        <w:adjustRightInd w:val="0"/>
        <w:ind w:left="266" w:hanging="266"/>
        <w:textAlignment w:val="baseline"/>
      </w:pPr>
    </w:p>
    <w:p w:rsidRPr="006C6A1E" w:rsidR="006C6A1E" w:rsidP="006C6A1E" w:rsidRDefault="006C6A1E" w14:paraId="4FFD8EA0" w14:textId="77777777">
      <w:pPr>
        <w:keepNext/>
        <w:keepLines/>
        <w:tabs>
          <w:tab w:val="center" w:pos="284"/>
        </w:tabs>
        <w:overflowPunct w:val="0"/>
        <w:autoSpaceDE w:val="0"/>
        <w:autoSpaceDN w:val="0"/>
        <w:adjustRightInd w:val="0"/>
        <w:ind w:left="266" w:hanging="266"/>
        <w:textAlignment w:val="baseline"/>
        <w:rPr>
          <w:b/>
        </w:rPr>
      </w:pPr>
      <w:r w:rsidRPr="00422C9F">
        <w:rPr>
          <w:b/>
        </w:rPr>
        <w:t>Punti principali</w:t>
      </w:r>
    </w:p>
    <w:p w:rsidRPr="006C6A1E" w:rsidR="006C6A1E" w:rsidP="006C6A1E" w:rsidRDefault="006C6A1E" w14:paraId="4D558131" w14:textId="77777777">
      <w:pPr>
        <w:keepNext/>
        <w:keepLines/>
        <w:tabs>
          <w:tab w:val="center" w:pos="284"/>
        </w:tabs>
        <w:overflowPunct w:val="0"/>
        <w:autoSpaceDE w:val="0"/>
        <w:autoSpaceDN w:val="0"/>
        <w:adjustRightInd w:val="0"/>
        <w:ind w:left="266" w:hanging="266"/>
        <w:textAlignment w:val="baseline"/>
        <w:rPr>
          <w:b/>
        </w:rPr>
      </w:pPr>
    </w:p>
    <w:p w:rsidRPr="006C6A1E" w:rsidR="006C6A1E" w:rsidP="006C6A1E" w:rsidRDefault="006C6A1E" w14:paraId="644A124F" w14:textId="77777777">
      <w:pPr>
        <w:overflowPunct w:val="0"/>
        <w:autoSpaceDE w:val="0"/>
        <w:autoSpaceDN w:val="0"/>
        <w:adjustRightInd w:val="0"/>
        <w:textAlignment w:val="baseline"/>
        <w:rPr>
          <w:bCs/>
          <w:iCs/>
        </w:rPr>
      </w:pPr>
      <w:r>
        <w:t>Il CESE:</w:t>
      </w:r>
    </w:p>
    <w:p w:rsidRPr="006C6A1E" w:rsidR="006C6A1E" w:rsidP="006C6A1E" w:rsidRDefault="006C6A1E" w14:paraId="08AD54EB" w14:textId="77777777">
      <w:pPr>
        <w:overflowPunct w:val="0"/>
        <w:autoSpaceDE w:val="0"/>
        <w:autoSpaceDN w:val="0"/>
        <w:adjustRightInd w:val="0"/>
        <w:textAlignment w:val="baseline"/>
        <w:rPr>
          <w:bCs/>
          <w:iCs/>
        </w:rPr>
      </w:pPr>
    </w:p>
    <w:p w:rsidRPr="006C6A1E" w:rsidR="006C6A1E" w:rsidP="005165CA" w:rsidRDefault="006C6A1E" w14:paraId="7C9F6447"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t>riconosce le sfide nel coordinamento transfrontaliero della sicurezza sociale, quali la complessità degli iter burocratici, le procedure manuali, la necessità di disporre di alcuni documenti in formato cartaceo e le difficoltà nel verificarli o convalidarli, che ostacolano la libera circolazione dei cittadini e delle imprese;</w:t>
      </w:r>
    </w:p>
    <w:p w:rsidRPr="006C6A1E" w:rsidR="006C6A1E" w:rsidP="005165CA" w:rsidRDefault="006C6A1E" w14:paraId="09D6FEBE"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t>accoglie con favore e sostiene pienamente l'obiettivo della Commissione di semplificare il coordinamento transfrontaliero della sicurezza sociale e dell'assistenza sanitaria attraverso la digitalizzazione;</w:t>
      </w:r>
    </w:p>
    <w:p w:rsidRPr="006C6A1E" w:rsidR="006C6A1E" w:rsidP="005165CA" w:rsidRDefault="006C6A1E" w14:paraId="17F777BF"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t>chiede lo sviluppo immediato di un piano d'azione globale per digitalizzare il coordinamento della sicurezza sociale con un approccio dal basso verso l'alto, e sottolinea nel contempo l'importanza di tenere conto delle esigenze delle istituzioni di sicurezza sociale e dei portatori di interessi, compresi i cittadini, i datori di lavoro, le imprese e i soggetti dell'economia sociale;</w:t>
      </w:r>
    </w:p>
    <w:p w:rsidRPr="006C6A1E" w:rsidR="006C6A1E" w:rsidP="005165CA" w:rsidRDefault="006C6A1E" w14:paraId="0BB9A11F" w14:textId="77777777">
      <w:pPr>
        <w:widowControl w:val="0"/>
        <w:numPr>
          <w:ilvl w:val="0"/>
          <w:numId w:val="21"/>
        </w:numPr>
        <w:overflowPunct w:val="0"/>
        <w:autoSpaceDE w:val="0"/>
        <w:autoSpaceDN w:val="0"/>
        <w:adjustRightInd w:val="0"/>
        <w:spacing w:line="276" w:lineRule="auto"/>
        <w:ind w:left="284" w:hanging="284"/>
        <w:textAlignment w:val="baseline"/>
      </w:pPr>
      <w:r>
        <w:t>esorta a fornire soluzioni alternative per coloro che non sono in grado di utilizzare mezzi elettronici o che sono altrimenti soggetti all'esclusione digitale. Il CESE sottolinea che l'identificazione digitale dovrebbe essere un'opzione, e non un obbligo, fino a quando non saranno stabilite alternative adeguate che rispettino le pertinenti norme in materia di protezione dei dati;</w:t>
      </w:r>
    </w:p>
    <w:p w:rsidRPr="006C6A1E" w:rsidR="006C6A1E" w:rsidP="005165CA" w:rsidRDefault="006C6A1E" w14:paraId="6B66E7B8" w14:textId="77777777">
      <w:pPr>
        <w:widowControl w:val="0"/>
        <w:numPr>
          <w:ilvl w:val="0"/>
          <w:numId w:val="21"/>
        </w:numPr>
        <w:overflowPunct w:val="0"/>
        <w:autoSpaceDE w:val="0"/>
        <w:autoSpaceDN w:val="0"/>
        <w:adjustRightInd w:val="0"/>
        <w:spacing w:line="276" w:lineRule="auto"/>
        <w:ind w:left="284" w:hanging="284"/>
        <w:textAlignment w:val="baseline"/>
      </w:pPr>
      <w:r>
        <w:t>è dell'avviso che la digitalizzazione della sicurezza sociale non riuscirà, da sola, a conseguire gli obiettivi di rimozione degli ostacoli alla libera circolazione fintanto che non sarà portata a termine la revisione del regolamento (CE) n. 883/2004 relativo al coordinamento dei sistemi di sicurezza sociale</w:t>
      </w:r>
    </w:p>
    <w:p w:rsidRPr="006C6A1E" w:rsidR="006C6A1E" w:rsidP="005165CA" w:rsidRDefault="006C6A1E" w14:paraId="65D4664B" w14:textId="77777777">
      <w:pPr>
        <w:widowControl w:val="0"/>
        <w:numPr>
          <w:ilvl w:val="0"/>
          <w:numId w:val="21"/>
        </w:numPr>
        <w:overflowPunct w:val="0"/>
        <w:autoSpaceDE w:val="0"/>
        <w:autoSpaceDN w:val="0"/>
        <w:adjustRightInd w:val="0"/>
        <w:spacing w:line="276" w:lineRule="auto"/>
        <w:ind w:left="284" w:hanging="284"/>
        <w:textAlignment w:val="baseline"/>
      </w:pPr>
      <w:r>
        <w:t>propone di istituire uno scambio costante di buone pratiche tra Stati membri riguardo alla digitalizzazione del coordinamento dei relativi sistemi di sicurezza sociale. Per incoraggiare e promuovere questo obiettivo, il CESE propone che la Commissione europea e l'Autorità europea del lavoro organizzino un convegno con la partecipazione dei governi degli Stati membri e della società civile.</w:t>
      </w:r>
    </w:p>
    <w:p w:rsidRPr="006C6A1E" w:rsidR="006C6A1E" w:rsidP="006C6A1E" w:rsidRDefault="006C6A1E" w14:paraId="648300B2" w14:textId="77777777">
      <w:pPr>
        <w:widowControl w:val="0"/>
        <w:overflowPunct w:val="0"/>
        <w:autoSpaceDE w:val="0"/>
        <w:autoSpaceDN w:val="0"/>
        <w:adjustRightInd w:val="0"/>
        <w:ind w:left="709"/>
        <w:textAlignment w:val="baseline"/>
        <w:rPr>
          <w:szCs w:val="20"/>
        </w:rPr>
      </w:pP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4819"/>
      </w:tblGrid>
      <w:tr w:rsidRPr="00E93B07" w:rsidR="006C6A1E" w:rsidTr="00E93B07" w14:paraId="4E6E4B82" w14:textId="77777777">
        <w:tc>
          <w:tcPr>
            <w:tcW w:w="1223" w:type="pct"/>
          </w:tcPr>
          <w:p w:rsidRPr="00E93B07" w:rsidR="006C6A1E" w:rsidP="006C6A1E" w:rsidRDefault="00E93B07" w14:paraId="10BE9558" w14:textId="1728E01E">
            <w:pPr>
              <w:overflowPunct w:val="0"/>
              <w:autoSpaceDE w:val="0"/>
              <w:autoSpaceDN w:val="0"/>
              <w:adjustRightInd w:val="0"/>
              <w:spacing w:line="240" w:lineRule="auto"/>
              <w:textAlignment w:val="baseline"/>
              <w:rPr>
                <w:i/>
                <w:sz w:val="22"/>
                <w:szCs w:val="22"/>
              </w:rPr>
            </w:pPr>
            <w:r>
              <w:rPr>
                <w:b/>
                <w:i/>
                <w:sz w:val="22"/>
                <w:szCs w:val="22"/>
              </w:rPr>
              <w:t>C</w:t>
            </w:r>
            <w:r w:rsidRPr="00E93B07" w:rsidR="006C6A1E">
              <w:rPr>
                <w:b/>
                <w:i/>
                <w:sz w:val="22"/>
                <w:szCs w:val="22"/>
              </w:rPr>
              <w:t>ontatto</w:t>
            </w:r>
          </w:p>
        </w:tc>
        <w:tc>
          <w:tcPr>
            <w:tcW w:w="3777" w:type="pct"/>
          </w:tcPr>
          <w:p w:rsidRPr="00E93B07" w:rsidR="006C6A1E" w:rsidP="006C6A1E" w:rsidRDefault="006C6A1E" w14:paraId="7A73FAED" w14:textId="77777777">
            <w:pPr>
              <w:overflowPunct w:val="0"/>
              <w:autoSpaceDE w:val="0"/>
              <w:autoSpaceDN w:val="0"/>
              <w:adjustRightInd w:val="0"/>
              <w:spacing w:line="240" w:lineRule="auto"/>
              <w:textAlignment w:val="baseline"/>
              <w:rPr>
                <w:i/>
                <w:sz w:val="22"/>
                <w:szCs w:val="22"/>
              </w:rPr>
            </w:pPr>
            <w:r w:rsidRPr="00E93B07">
              <w:rPr>
                <w:i/>
                <w:sz w:val="22"/>
                <w:szCs w:val="22"/>
              </w:rPr>
              <w:t>Bartek BEDNAROWICZ</w:t>
            </w:r>
          </w:p>
        </w:tc>
      </w:tr>
      <w:tr w:rsidRPr="00E93B07" w:rsidR="006C6A1E" w:rsidTr="00E93B07" w14:paraId="62915FF2" w14:textId="77777777">
        <w:trPr>
          <w:trHeight w:val="70"/>
        </w:trPr>
        <w:tc>
          <w:tcPr>
            <w:tcW w:w="1223" w:type="pct"/>
          </w:tcPr>
          <w:p w:rsidRPr="00E93B07" w:rsidR="006C6A1E" w:rsidP="006C6A1E" w:rsidRDefault="006C6A1E" w14:paraId="7853AC57" w14:textId="77777777">
            <w:pPr>
              <w:overflowPunct w:val="0"/>
              <w:autoSpaceDE w:val="0"/>
              <w:autoSpaceDN w:val="0"/>
              <w:adjustRightInd w:val="0"/>
              <w:spacing w:line="240" w:lineRule="auto"/>
              <w:textAlignment w:val="baseline"/>
              <w:rPr>
                <w:i/>
                <w:sz w:val="22"/>
                <w:szCs w:val="22"/>
              </w:rPr>
            </w:pPr>
            <w:r w:rsidRPr="00E93B07">
              <w:rPr>
                <w:i/>
                <w:sz w:val="22"/>
                <w:szCs w:val="22"/>
              </w:rPr>
              <w:t>Tel.</w:t>
            </w:r>
          </w:p>
        </w:tc>
        <w:tc>
          <w:tcPr>
            <w:tcW w:w="3777" w:type="pct"/>
          </w:tcPr>
          <w:p w:rsidRPr="00E93B07" w:rsidR="006C6A1E" w:rsidP="006C6A1E" w:rsidRDefault="006C6A1E" w14:paraId="3D0777F2" w14:textId="77777777">
            <w:pPr>
              <w:overflowPunct w:val="0"/>
              <w:autoSpaceDE w:val="0"/>
              <w:autoSpaceDN w:val="0"/>
              <w:adjustRightInd w:val="0"/>
              <w:spacing w:line="240" w:lineRule="auto"/>
              <w:textAlignment w:val="baseline"/>
              <w:rPr>
                <w:i/>
                <w:sz w:val="22"/>
                <w:szCs w:val="22"/>
              </w:rPr>
            </w:pPr>
            <w:r w:rsidRPr="00E93B07">
              <w:rPr>
                <w:i/>
                <w:sz w:val="22"/>
                <w:szCs w:val="22"/>
              </w:rPr>
              <w:t>+32 25469229</w:t>
            </w:r>
          </w:p>
        </w:tc>
      </w:tr>
      <w:tr w:rsidRPr="00E93B07" w:rsidR="006C6A1E" w:rsidTr="00E93B07" w14:paraId="400BD2E9" w14:textId="77777777">
        <w:trPr>
          <w:trHeight w:val="56"/>
        </w:trPr>
        <w:tc>
          <w:tcPr>
            <w:tcW w:w="1223" w:type="pct"/>
          </w:tcPr>
          <w:p w:rsidRPr="00E93B07" w:rsidR="006C6A1E" w:rsidP="006C6A1E" w:rsidRDefault="00422C9F" w14:paraId="7E1AA95E" w14:textId="0FB8DC09">
            <w:pPr>
              <w:overflowPunct w:val="0"/>
              <w:autoSpaceDE w:val="0"/>
              <w:autoSpaceDN w:val="0"/>
              <w:adjustRightInd w:val="0"/>
              <w:spacing w:line="240" w:lineRule="auto"/>
              <w:textAlignment w:val="baseline"/>
              <w:rPr>
                <w:i/>
                <w:sz w:val="22"/>
                <w:szCs w:val="22"/>
              </w:rPr>
            </w:pPr>
            <w:r w:rsidRPr="00E93B07">
              <w:rPr>
                <w:i/>
                <w:sz w:val="22"/>
                <w:szCs w:val="22"/>
              </w:rPr>
              <w:t>E</w:t>
            </w:r>
            <w:r w:rsidRPr="00E93B07" w:rsidR="006C6A1E">
              <w:rPr>
                <w:i/>
                <w:sz w:val="22"/>
                <w:szCs w:val="22"/>
              </w:rPr>
              <w:t>-mail</w:t>
            </w:r>
          </w:p>
        </w:tc>
        <w:tc>
          <w:tcPr>
            <w:tcW w:w="3777" w:type="pct"/>
          </w:tcPr>
          <w:p w:rsidRPr="00E93B07" w:rsidR="006C6A1E" w:rsidP="006C6A1E" w:rsidRDefault="00F95240" w14:paraId="5FE06EE9" w14:textId="77777777">
            <w:pPr>
              <w:overflowPunct w:val="0"/>
              <w:autoSpaceDE w:val="0"/>
              <w:autoSpaceDN w:val="0"/>
              <w:adjustRightInd w:val="0"/>
              <w:spacing w:line="240" w:lineRule="auto"/>
              <w:textAlignment w:val="baseline"/>
              <w:rPr>
                <w:i/>
                <w:sz w:val="22"/>
                <w:szCs w:val="22"/>
              </w:rPr>
            </w:pPr>
            <w:hyperlink w:history="1" r:id="rId27">
              <w:r w:rsidRPr="00E93B07" w:rsidR="000502CD">
                <w:rPr>
                  <w:i/>
                  <w:color w:val="0000FF"/>
                  <w:sz w:val="22"/>
                  <w:szCs w:val="22"/>
                  <w:u w:val="single"/>
                </w:rPr>
                <w:t>Bartek.Bednarowicz@eesc.europa.eu</w:t>
              </w:r>
            </w:hyperlink>
          </w:p>
        </w:tc>
      </w:tr>
    </w:tbl>
    <w:p w:rsidRPr="00422C9F" w:rsidR="006C6A1E" w:rsidP="006C6A1E" w:rsidRDefault="006C6A1E" w14:paraId="195525CA" w14:textId="777AE21F"/>
    <w:p w:rsidRPr="00422C9F" w:rsidR="00280432" w:rsidRDefault="00280432" w14:paraId="1109D69A" w14:textId="77777777">
      <w:pPr>
        <w:spacing w:after="160" w:line="259" w:lineRule="auto"/>
        <w:jc w:val="left"/>
      </w:pPr>
      <w:r w:rsidRPr="00422C9F">
        <w:br w:type="page"/>
      </w:r>
    </w:p>
    <w:p w:rsidRPr="00422C9F" w:rsidR="00EE6FEF" w:rsidP="00EE6FEF" w:rsidRDefault="00F95240" w14:paraId="233F82BA" w14:textId="643F4B0D">
      <w:pPr>
        <w:widowControl w:val="0"/>
        <w:numPr>
          <w:ilvl w:val="0"/>
          <w:numId w:val="29"/>
        </w:numPr>
        <w:overflowPunct w:val="0"/>
        <w:autoSpaceDE w:val="0"/>
        <w:autoSpaceDN w:val="0"/>
        <w:adjustRightInd w:val="0"/>
        <w:ind w:hanging="567"/>
        <w:textAlignment w:val="baseline"/>
        <w:rPr>
          <w:b/>
        </w:rPr>
      </w:pPr>
      <w:hyperlink w:history="1" r:id="rId28">
        <w:r w:rsidRPr="00422C9F" w:rsidR="000502CD">
          <w:rPr>
            <w:b/>
            <w:i/>
            <w:color w:val="0000FF"/>
            <w:sz w:val="28"/>
            <w:u w:val="single"/>
          </w:rPr>
          <w:t>Rafforzare il dialogo civile e la democrazia partecipativa nell'UE: la strada da seguire</w:t>
        </w:r>
      </w:hyperlink>
    </w:p>
    <w:p w:rsidRPr="00422C9F" w:rsidR="00EE6FEF" w:rsidP="00EE6FEF" w:rsidRDefault="00EE6FEF" w14:paraId="5686EDCA" w14:textId="2AAEC5B9">
      <w:pPr>
        <w:tabs>
          <w:tab w:val="center" w:pos="284"/>
        </w:tabs>
        <w:overflowPunct w:val="0"/>
        <w:autoSpaceDE w:val="0"/>
        <w:autoSpaceDN w:val="0"/>
        <w:adjustRightInd w:val="0"/>
        <w:ind w:left="567" w:hanging="567"/>
        <w:textAlignment w:val="baseline"/>
        <w:rPr>
          <w:sz w:val="16"/>
          <w:szCs w:val="16"/>
          <w:lang w:val="pt-PT"/>
        </w:rPr>
      </w:pPr>
    </w:p>
    <w:p w:rsidRPr="00422C9F" w:rsidR="00EE6FEF" w:rsidP="00EE6FEF" w:rsidRDefault="00EE6FEF" w14:paraId="0DE421BA" w14:textId="77777777">
      <w:pPr>
        <w:tabs>
          <w:tab w:val="center" w:pos="284"/>
        </w:tabs>
        <w:overflowPunct w:val="0"/>
        <w:autoSpaceDE w:val="0"/>
        <w:autoSpaceDN w:val="0"/>
        <w:adjustRightInd w:val="0"/>
        <w:ind w:left="567" w:hanging="567"/>
        <w:textAlignment w:val="baseline"/>
        <w:rPr>
          <w:sz w:val="16"/>
          <w:szCs w:val="16"/>
          <w:lang w:val="pt-PT"/>
        </w:rPr>
      </w:pPr>
    </w:p>
    <w:tbl>
      <w:tblPr>
        <w:tblStyle w:val="TableGrid20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4"/>
        <w:gridCol w:w="6813"/>
      </w:tblGrid>
      <w:tr w:rsidRPr="00422C9F" w:rsidR="00EE6FEF" w:rsidTr="005165CA" w14:paraId="7774CF3A" w14:textId="77777777">
        <w:tc>
          <w:tcPr>
            <w:tcW w:w="1834" w:type="dxa"/>
          </w:tcPr>
          <w:p w:rsidRPr="00E93B07" w:rsidR="00EE6FEF" w:rsidP="00EE6FEF" w:rsidRDefault="00422C9F" w14:paraId="115D3E85" w14:textId="2542DD6A">
            <w:pPr>
              <w:tabs>
                <w:tab w:val="center" w:pos="284"/>
              </w:tabs>
              <w:overflowPunct w:val="0"/>
              <w:autoSpaceDE w:val="0"/>
              <w:autoSpaceDN w:val="0"/>
              <w:adjustRightInd w:val="0"/>
              <w:ind w:left="567" w:hanging="567"/>
              <w:textAlignment w:val="baseline"/>
              <w:rPr>
                <w:b/>
                <w:sz w:val="22"/>
                <w:szCs w:val="22"/>
              </w:rPr>
            </w:pPr>
            <w:r w:rsidRPr="00E93B07">
              <w:rPr>
                <w:b/>
                <w:sz w:val="22"/>
                <w:szCs w:val="22"/>
              </w:rPr>
              <w:t>Relatore</w:t>
            </w:r>
          </w:p>
          <w:p w:rsidRPr="00E93B07" w:rsidR="00EE6FEF" w:rsidP="00EE6FEF" w:rsidRDefault="00422C9F" w14:paraId="41342984" w14:textId="6A43EC9B">
            <w:pPr>
              <w:tabs>
                <w:tab w:val="center" w:pos="284"/>
              </w:tabs>
              <w:overflowPunct w:val="0"/>
              <w:autoSpaceDE w:val="0"/>
              <w:autoSpaceDN w:val="0"/>
              <w:adjustRightInd w:val="0"/>
              <w:ind w:left="567" w:hanging="567"/>
              <w:textAlignment w:val="baseline"/>
              <w:rPr>
                <w:b/>
                <w:sz w:val="22"/>
                <w:szCs w:val="22"/>
              </w:rPr>
            </w:pPr>
            <w:r w:rsidRPr="00E93B07">
              <w:rPr>
                <w:b/>
                <w:sz w:val="22"/>
                <w:szCs w:val="22"/>
              </w:rPr>
              <w:t>Correlatrice</w:t>
            </w:r>
          </w:p>
        </w:tc>
        <w:tc>
          <w:tcPr>
            <w:tcW w:w="6813" w:type="dxa"/>
          </w:tcPr>
          <w:p w:rsidRPr="00E93B07" w:rsidR="00EE6FEF" w:rsidP="00EE6FEF" w:rsidRDefault="00EE6FEF" w14:paraId="09298572" w14:textId="1E4C99CC">
            <w:pPr>
              <w:overflowPunct w:val="0"/>
              <w:autoSpaceDE w:val="0"/>
              <w:autoSpaceDN w:val="0"/>
              <w:adjustRightInd w:val="0"/>
              <w:ind w:left="567" w:hanging="567"/>
              <w:textAlignment w:val="baseline"/>
              <w:rPr>
                <w:sz w:val="22"/>
                <w:szCs w:val="22"/>
              </w:rPr>
            </w:pPr>
            <w:r w:rsidRPr="00E93B07">
              <w:rPr>
                <w:sz w:val="22"/>
                <w:szCs w:val="22"/>
              </w:rPr>
              <w:t>Pietro Vittorio BARBIERI (Organizzazioni della società civile - IT)</w:t>
            </w:r>
          </w:p>
          <w:p w:rsidRPr="00E93B07" w:rsidR="00EE6FEF" w:rsidP="00EE6FEF" w:rsidRDefault="00EE6FEF" w14:paraId="440A5CB9" w14:textId="6B2F10A8">
            <w:pPr>
              <w:tabs>
                <w:tab w:val="center" w:pos="284"/>
              </w:tabs>
              <w:overflowPunct w:val="0"/>
              <w:autoSpaceDE w:val="0"/>
              <w:autoSpaceDN w:val="0"/>
              <w:adjustRightInd w:val="0"/>
              <w:ind w:left="567" w:hanging="567"/>
              <w:textAlignment w:val="baseline"/>
              <w:rPr>
                <w:sz w:val="22"/>
                <w:szCs w:val="22"/>
              </w:rPr>
            </w:pPr>
            <w:r w:rsidRPr="00E93B07">
              <w:rPr>
                <w:sz w:val="22"/>
                <w:szCs w:val="22"/>
              </w:rPr>
              <w:t>Miranda ULENS (Lavoratori - BE)</w:t>
            </w:r>
          </w:p>
          <w:p w:rsidRPr="00E93B07" w:rsidR="00734081" w:rsidP="00EE6FEF" w:rsidRDefault="00734081" w14:paraId="18F12DC0" w14:textId="6E440F43">
            <w:pPr>
              <w:tabs>
                <w:tab w:val="center" w:pos="284"/>
              </w:tabs>
              <w:overflowPunct w:val="0"/>
              <w:autoSpaceDE w:val="0"/>
              <w:autoSpaceDN w:val="0"/>
              <w:adjustRightInd w:val="0"/>
              <w:ind w:left="567" w:hanging="567"/>
              <w:textAlignment w:val="baseline"/>
              <w:rPr>
                <w:sz w:val="22"/>
                <w:szCs w:val="22"/>
                <w:lang w:val="es-ES"/>
              </w:rPr>
            </w:pPr>
          </w:p>
        </w:tc>
      </w:tr>
      <w:tr w:rsidRPr="00EE6FEF" w:rsidR="00EE6FEF" w:rsidTr="005165CA" w14:paraId="6999DE5D" w14:textId="77777777">
        <w:tc>
          <w:tcPr>
            <w:tcW w:w="1834" w:type="dxa"/>
            <w:vMerge w:val="restart"/>
          </w:tcPr>
          <w:p w:rsidRPr="00E93B07" w:rsidR="00EE6FEF" w:rsidP="00EE6FEF" w:rsidRDefault="00EE6FEF" w14:paraId="573ED1EA" w14:textId="77777777">
            <w:pPr>
              <w:tabs>
                <w:tab w:val="center" w:pos="284"/>
              </w:tabs>
              <w:overflowPunct w:val="0"/>
              <w:autoSpaceDE w:val="0"/>
              <w:autoSpaceDN w:val="0"/>
              <w:adjustRightInd w:val="0"/>
              <w:ind w:left="567" w:hanging="567"/>
              <w:textAlignment w:val="baseline"/>
              <w:rPr>
                <w:b/>
                <w:sz w:val="22"/>
                <w:szCs w:val="22"/>
              </w:rPr>
            </w:pPr>
            <w:r w:rsidRPr="00E93B07">
              <w:rPr>
                <w:b/>
                <w:sz w:val="22"/>
                <w:szCs w:val="22"/>
              </w:rPr>
              <w:t>Riferimento</w:t>
            </w:r>
          </w:p>
        </w:tc>
        <w:tc>
          <w:tcPr>
            <w:tcW w:w="6813" w:type="dxa"/>
          </w:tcPr>
          <w:p w:rsidRPr="00E93B07" w:rsidR="00734081" w:rsidP="00EE6FEF" w:rsidRDefault="00734081" w14:paraId="35FF71C6" w14:textId="62F6C7E5">
            <w:pPr>
              <w:tabs>
                <w:tab w:val="center" w:pos="284"/>
              </w:tabs>
              <w:overflowPunct w:val="0"/>
              <w:autoSpaceDE w:val="0"/>
              <w:autoSpaceDN w:val="0"/>
              <w:adjustRightInd w:val="0"/>
              <w:ind w:left="567" w:hanging="567"/>
              <w:textAlignment w:val="baseline"/>
              <w:rPr>
                <w:sz w:val="22"/>
                <w:szCs w:val="22"/>
              </w:rPr>
            </w:pPr>
            <w:r w:rsidRPr="00E93B07">
              <w:rPr>
                <w:sz w:val="22"/>
                <w:szCs w:val="22"/>
              </w:rPr>
              <w:t>Parere esplorativo richiesto dalla presidenza belga del Consiglio dell'UE</w:t>
            </w:r>
          </w:p>
          <w:p w:rsidRPr="00E93B07" w:rsidR="00EE6FEF" w:rsidP="00EE6FEF" w:rsidRDefault="00EE6FEF" w14:paraId="2007E2F0" w14:textId="5C9407E3">
            <w:pPr>
              <w:tabs>
                <w:tab w:val="center" w:pos="284"/>
              </w:tabs>
              <w:overflowPunct w:val="0"/>
              <w:autoSpaceDE w:val="0"/>
              <w:autoSpaceDN w:val="0"/>
              <w:adjustRightInd w:val="0"/>
              <w:ind w:left="567" w:hanging="567"/>
              <w:textAlignment w:val="baseline"/>
              <w:rPr>
                <w:sz w:val="22"/>
                <w:szCs w:val="22"/>
              </w:rPr>
            </w:pPr>
            <w:r w:rsidRPr="00E93B07">
              <w:rPr>
                <w:sz w:val="22"/>
                <w:szCs w:val="22"/>
              </w:rPr>
              <w:t>EESC-2023-03879-00-00-AC</w:t>
            </w:r>
          </w:p>
        </w:tc>
      </w:tr>
      <w:tr w:rsidRPr="00EE6FEF" w:rsidR="00EE6FEF" w:rsidTr="005165CA" w14:paraId="03305879" w14:textId="77777777">
        <w:tc>
          <w:tcPr>
            <w:tcW w:w="1834" w:type="dxa"/>
            <w:vMerge/>
          </w:tcPr>
          <w:p w:rsidRPr="00EE6FEF" w:rsidR="00EE6FEF" w:rsidP="00EE6FEF" w:rsidRDefault="00EE6FEF" w14:paraId="4EF47312" w14:textId="77777777">
            <w:pPr>
              <w:tabs>
                <w:tab w:val="center" w:pos="284"/>
              </w:tabs>
              <w:overflowPunct w:val="0"/>
              <w:autoSpaceDE w:val="0"/>
              <w:autoSpaceDN w:val="0"/>
              <w:adjustRightInd w:val="0"/>
              <w:ind w:left="266" w:hanging="266"/>
              <w:textAlignment w:val="baseline"/>
              <w:rPr>
                <w:b/>
                <w:lang w:val="pt-PT"/>
              </w:rPr>
            </w:pPr>
          </w:p>
        </w:tc>
        <w:tc>
          <w:tcPr>
            <w:tcW w:w="6813" w:type="dxa"/>
          </w:tcPr>
          <w:p w:rsidRPr="00EE6FEF" w:rsidR="00EE6FEF" w:rsidP="00EE6FEF" w:rsidRDefault="00EE6FEF" w14:paraId="12EF58DA" w14:textId="77777777">
            <w:pPr>
              <w:tabs>
                <w:tab w:val="center" w:pos="284"/>
              </w:tabs>
              <w:overflowPunct w:val="0"/>
              <w:autoSpaceDE w:val="0"/>
              <w:autoSpaceDN w:val="0"/>
              <w:adjustRightInd w:val="0"/>
              <w:ind w:left="266" w:hanging="266"/>
              <w:textAlignment w:val="baseline"/>
              <w:rPr>
                <w:sz w:val="16"/>
                <w:szCs w:val="16"/>
                <w:lang w:val="pt-PT"/>
              </w:rPr>
            </w:pPr>
          </w:p>
        </w:tc>
      </w:tr>
    </w:tbl>
    <w:p w:rsidRPr="00EE6FEF" w:rsidR="00EE6FEF" w:rsidP="00E93B07" w:rsidRDefault="00EE6FEF" w14:paraId="70BED30D" w14:textId="77777777">
      <w:pPr>
        <w:keepNext/>
        <w:keepLines/>
        <w:tabs>
          <w:tab w:val="center" w:pos="284"/>
        </w:tabs>
        <w:overflowPunct w:val="0"/>
        <w:autoSpaceDE w:val="0"/>
        <w:autoSpaceDN w:val="0"/>
        <w:adjustRightInd w:val="0"/>
        <w:textAlignment w:val="baseline"/>
        <w:rPr>
          <w:b/>
        </w:rPr>
      </w:pPr>
      <w:r>
        <w:rPr>
          <w:b/>
        </w:rPr>
        <w:t>Punti principali</w:t>
      </w:r>
    </w:p>
    <w:p w:rsidRPr="00EE6FEF" w:rsidR="00EE6FEF" w:rsidP="00E93B07" w:rsidRDefault="00EE6FEF" w14:paraId="63B3834C" w14:textId="77777777">
      <w:pPr>
        <w:overflowPunct w:val="0"/>
        <w:autoSpaceDE w:val="0"/>
        <w:autoSpaceDN w:val="0"/>
        <w:adjustRightInd w:val="0"/>
        <w:ind w:firstLine="18"/>
        <w:textAlignment w:val="baseline"/>
        <w:rPr>
          <w:szCs w:val="20"/>
        </w:rPr>
      </w:pPr>
    </w:p>
    <w:p w:rsidR="00EE6FEF" w:rsidP="00E93B07" w:rsidRDefault="00EE6FEF" w14:paraId="78C0E8D3" w14:textId="57734887">
      <w:pPr>
        <w:overflowPunct w:val="0"/>
        <w:autoSpaceDE w:val="0"/>
        <w:autoSpaceDN w:val="0"/>
        <w:adjustRightInd w:val="0"/>
        <w:ind w:firstLine="18"/>
        <w:textAlignment w:val="baseline"/>
      </w:pPr>
      <w:r>
        <w:t>Il CESE:</w:t>
      </w:r>
    </w:p>
    <w:p w:rsidR="00E93B07" w:rsidP="00EE6FEF" w:rsidRDefault="00E93B07" w14:paraId="7CB257C7" w14:textId="77777777">
      <w:pPr>
        <w:overflowPunct w:val="0"/>
        <w:autoSpaceDE w:val="0"/>
        <w:autoSpaceDN w:val="0"/>
        <w:adjustRightInd w:val="0"/>
        <w:ind w:firstLine="142"/>
        <w:textAlignment w:val="baseline"/>
        <w:rPr>
          <w:szCs w:val="20"/>
        </w:rPr>
      </w:pPr>
    </w:p>
    <w:p w:rsidRPr="00EE6FEF" w:rsidR="00EE6FEF" w:rsidP="005165CA" w:rsidRDefault="00EE6FEF" w14:paraId="1BB0EE46" w14:textId="77777777">
      <w:pPr>
        <w:numPr>
          <w:ilvl w:val="0"/>
          <w:numId w:val="31"/>
        </w:numPr>
        <w:overflowPunct w:val="0"/>
        <w:autoSpaceDE w:val="0"/>
        <w:autoSpaceDN w:val="0"/>
        <w:adjustRightInd w:val="0"/>
        <w:spacing w:after="200" w:line="276" w:lineRule="auto"/>
        <w:ind w:left="284" w:hanging="284"/>
        <w:contextualSpacing/>
        <w:textAlignment w:val="baseline"/>
      </w:pPr>
      <w:r>
        <w:t xml:space="preserve">sottolinea che l'attuazione dell'articolo 11 del TUE, quale azione per dar seguito alla Conferenza sul futuro dell'Europa, rafforzando nel contempo il ruolo del CESE, può portare all'adozione di politiche più efficaci. Sostiene la raccomandazione formulata nel quadro della Conferenza sul futuro dell'Europa di sviluppare nuovi strumenti di democrazia partecipativa. Buona parte delle raccomandazioni della Conferenza implica l'istituzione di un quadro favorevole al dialogo civile e riconosce il ruolo del CESE, anche in quanto potenziale vero e proprio </w:t>
      </w:r>
      <w:r>
        <w:rPr>
          <w:i/>
          <w:iCs/>
        </w:rPr>
        <w:t>hub</w:t>
      </w:r>
      <w:r>
        <w:t xml:space="preserve"> (centro o polo) per i panel di cittadini. Il ruolo specifico delle organizzazioni delle parti sociali dovrebbe essere pienamente rispettato nelle strutture e nei processi del dialogo sociale, con il dialogo civile che costituisce un processo separato;</w:t>
      </w:r>
    </w:p>
    <w:p w:rsidRPr="00EE6FEF" w:rsidR="00EE6FEF" w:rsidP="005165CA" w:rsidRDefault="00EE6FEF" w14:paraId="6DB1C493" w14:textId="77777777">
      <w:pPr>
        <w:numPr>
          <w:ilvl w:val="0"/>
          <w:numId w:val="31"/>
        </w:numPr>
        <w:overflowPunct w:val="0"/>
        <w:autoSpaceDE w:val="0"/>
        <w:autoSpaceDN w:val="0"/>
        <w:adjustRightInd w:val="0"/>
        <w:spacing w:after="200" w:line="276" w:lineRule="auto"/>
        <w:ind w:left="284" w:hanging="284"/>
        <w:contextualSpacing/>
        <w:textAlignment w:val="baseline"/>
      </w:pPr>
      <w:r>
        <w:t>chiede che sia definita, come primo passo, una strategia per il dialogo civile, concretizzata in un piano d'azione, uno dei cui pilastri potrebbe essere parte integrante del pacchetto europeo per la difesa della democrazia. Inoltre, questa strategia potrebbe contemplare la conclusione di un accordo tra le istituzioni europee che definisca una serie di azioni e le risorse cui attingere per realizzarle. Tale accordo interistituzionale potrebbe contare sull'azione facilitatrice del CESE, con la partecipazione di reti della società civile a livello UE;</w:t>
      </w:r>
    </w:p>
    <w:p w:rsidRPr="00EE6FEF" w:rsidR="00EE6FEF" w:rsidP="005165CA" w:rsidRDefault="00EE6FEF" w14:paraId="57CF30BD" w14:textId="77777777">
      <w:pPr>
        <w:numPr>
          <w:ilvl w:val="0"/>
          <w:numId w:val="31"/>
        </w:numPr>
        <w:overflowPunct w:val="0"/>
        <w:autoSpaceDE w:val="0"/>
        <w:autoSpaceDN w:val="0"/>
        <w:adjustRightInd w:val="0"/>
        <w:spacing w:after="200" w:line="276" w:lineRule="auto"/>
        <w:ind w:left="284" w:hanging="284"/>
        <w:contextualSpacing/>
        <w:textAlignment w:val="baseline"/>
      </w:pPr>
      <w:r>
        <w:t>chiede che il ruolo dei responsabili nelle diverse istituzioni sia rafforzato per garantire l'efficacia delle disposizioni dell'articolo 11 del TUE, e che tutte le istituzioni dell'UE si attengano a determinati standard, ad esempio per quanto concerne il significato del dialogo civile, la condivisione dell'agenda politica e delle priorità strategiche, l'inclusione dei gruppi vulnerabili, ecc.;</w:t>
      </w:r>
    </w:p>
    <w:p w:rsidRPr="00EE6FEF" w:rsidR="00EE6FEF" w:rsidP="005165CA" w:rsidRDefault="00EE6FEF" w14:paraId="428DADE2" w14:textId="77777777">
      <w:pPr>
        <w:numPr>
          <w:ilvl w:val="0"/>
          <w:numId w:val="31"/>
        </w:numPr>
        <w:overflowPunct w:val="0"/>
        <w:autoSpaceDE w:val="0"/>
        <w:autoSpaceDN w:val="0"/>
        <w:adjustRightInd w:val="0"/>
        <w:spacing w:after="200" w:line="276" w:lineRule="auto"/>
        <w:ind w:left="284" w:hanging="284"/>
        <w:contextualSpacing/>
        <w:textAlignment w:val="baseline"/>
      </w:pPr>
      <w:r>
        <w:t>chiede di elaborare e introdurre un quadro annuale di valutazione del dialogo civile (o dello spazio civico) che stabilisca – nei casi in cui le organizzazioni della società civile (OSC) abbiano dato il loro contributo nell'ambito di una procedura di consultazione – se si è tenuto conto di questi loro contributi oppure no, e per quale motivo. La valutazione d'impatto effettuata tramite il quadro di valutazione annuale potrebbe confluire in una relazione sul dialogo civile, redatta con cadenza biennale, che ripercorra l'impegno profuso dall'UE nei confronti della società civile in generale e valuti lo stato di avanzamento del dialogo civile e l'efficacia dell'azione delle OSC;</w:t>
      </w:r>
    </w:p>
    <w:p w:rsidRPr="00EE6FEF" w:rsidR="00EE6FEF" w:rsidP="005165CA" w:rsidRDefault="00EE6FEF" w14:paraId="50548E2B" w14:textId="373DE946">
      <w:pPr>
        <w:numPr>
          <w:ilvl w:val="0"/>
          <w:numId w:val="31"/>
        </w:numPr>
        <w:overflowPunct w:val="0"/>
        <w:autoSpaceDE w:val="0"/>
        <w:autoSpaceDN w:val="0"/>
        <w:adjustRightInd w:val="0"/>
        <w:spacing w:after="200" w:line="276" w:lineRule="auto"/>
        <w:ind w:left="284" w:hanging="284"/>
        <w:contextualSpacing/>
        <w:textAlignment w:val="baseline"/>
        <w:rPr>
          <w:rFonts w:ascii="Calibri" w:hAnsi="Calibri"/>
        </w:rPr>
      </w:pPr>
      <w:r>
        <w:t>ribadisce che deve essere al centro del processo di rafforzamento della democrazia partecipativa nelle istituzioni europee e tra di esse, e propone di adattare il proprio ruolo per consentire una fase di sperimentazione di una serie di strumenti partecipativi</w:t>
      </w:r>
      <w:r w:rsidR="00422C9F">
        <w:t xml:space="preserve"> </w:t>
      </w:r>
      <w:r>
        <w:t>– come i panel di cittadini – di cui può avvalersi nei suoi lavori consultivi, mettendo così in risalto il ruolo speciale che ricopre in qualità di garante istituzionale delle procedure di consultazione della società civile e, più in generale, del dialogo civile;</w:t>
      </w:r>
    </w:p>
    <w:p w:rsidRPr="00EE6FEF" w:rsidR="00EE6FEF" w:rsidP="005165CA" w:rsidRDefault="00EE6FEF" w14:paraId="56DEE402" w14:textId="77777777">
      <w:pPr>
        <w:numPr>
          <w:ilvl w:val="0"/>
          <w:numId w:val="31"/>
        </w:numPr>
        <w:overflowPunct w:val="0"/>
        <w:autoSpaceDE w:val="0"/>
        <w:autoSpaceDN w:val="0"/>
        <w:adjustRightInd w:val="0"/>
        <w:spacing w:after="200" w:line="276" w:lineRule="auto"/>
        <w:ind w:left="284" w:hanging="284"/>
        <w:contextualSpacing/>
        <w:textAlignment w:val="baseline"/>
      </w:pPr>
      <w:r>
        <w:lastRenderedPageBreak/>
        <w:t>ritiene che le OSC debbano fondarsi sui principi di democrazia interna, autonomia e trasparenza ed assumere la forma di un modello di entità senza scopo di lucro al servizio dell'interesse generale e/o di interessi specifici delle loro componenti, e debbano quindi essere legittime e rappresentative. Chiede pertanto l'introduzione di un meccanismo di accreditamento basato sui principi di cui sopra.</w:t>
      </w:r>
    </w:p>
    <w:p w:rsidRPr="00EE6FEF" w:rsidR="00EE6FEF" w:rsidP="005165CA" w:rsidRDefault="00EE6FEF" w14:paraId="3FDDF924" w14:textId="77777777">
      <w:pPr>
        <w:overflowPunct w:val="0"/>
        <w:autoSpaceDE w:val="0"/>
        <w:autoSpaceDN w:val="0"/>
        <w:adjustRightInd w:val="0"/>
        <w:spacing w:line="276" w:lineRule="auto"/>
        <w:textAlignment w:val="baseline"/>
        <w:rPr>
          <w:szCs w:val="20"/>
        </w:rPr>
      </w:pPr>
    </w:p>
    <w:tbl>
      <w:tblPr>
        <w:tblStyle w:val="TableGrid20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4493"/>
      </w:tblGrid>
      <w:tr w:rsidRPr="00422C9F" w:rsidR="00EE6FEF" w:rsidTr="00AF1B74" w14:paraId="141D7495" w14:textId="77777777">
        <w:tc>
          <w:tcPr>
            <w:tcW w:w="1210" w:type="dxa"/>
          </w:tcPr>
          <w:p w:rsidRPr="00E93B07" w:rsidR="00EE6FEF" w:rsidP="00EE6FEF" w:rsidRDefault="00E93B07" w14:paraId="41ABC0CE" w14:textId="04349F4B">
            <w:pPr>
              <w:overflowPunct w:val="0"/>
              <w:autoSpaceDE w:val="0"/>
              <w:autoSpaceDN w:val="0"/>
              <w:adjustRightInd w:val="0"/>
              <w:spacing w:line="240" w:lineRule="auto"/>
              <w:textAlignment w:val="baseline"/>
              <w:rPr>
                <w:i/>
                <w:sz w:val="22"/>
                <w:szCs w:val="22"/>
              </w:rPr>
            </w:pPr>
            <w:r>
              <w:rPr>
                <w:b/>
                <w:i/>
                <w:sz w:val="22"/>
                <w:szCs w:val="22"/>
              </w:rPr>
              <w:t>C</w:t>
            </w:r>
            <w:r w:rsidRPr="00E93B07" w:rsidR="00EE6FEF">
              <w:rPr>
                <w:b/>
                <w:i/>
                <w:sz w:val="22"/>
                <w:szCs w:val="22"/>
              </w:rPr>
              <w:t>ontatto</w:t>
            </w:r>
          </w:p>
        </w:tc>
        <w:tc>
          <w:tcPr>
            <w:tcW w:w="4493" w:type="dxa"/>
          </w:tcPr>
          <w:p w:rsidRPr="00E93B07" w:rsidR="00EE6FEF" w:rsidP="00EE6FEF" w:rsidRDefault="00EE6FEF" w14:paraId="751079CC" w14:textId="77777777">
            <w:pPr>
              <w:overflowPunct w:val="0"/>
              <w:autoSpaceDE w:val="0"/>
              <w:autoSpaceDN w:val="0"/>
              <w:adjustRightInd w:val="0"/>
              <w:spacing w:line="240" w:lineRule="auto"/>
              <w:ind w:hanging="12"/>
              <w:textAlignment w:val="baseline"/>
              <w:rPr>
                <w:i/>
                <w:sz w:val="22"/>
                <w:szCs w:val="22"/>
              </w:rPr>
            </w:pPr>
            <w:r w:rsidRPr="00E93B07">
              <w:rPr>
                <w:i/>
                <w:sz w:val="22"/>
                <w:szCs w:val="22"/>
              </w:rPr>
              <w:t>June BEDATON</w:t>
            </w:r>
          </w:p>
        </w:tc>
      </w:tr>
      <w:tr w:rsidRPr="00422C9F" w:rsidR="00EE6FEF" w:rsidTr="00AF1B74" w14:paraId="4927775D" w14:textId="77777777">
        <w:tc>
          <w:tcPr>
            <w:tcW w:w="1210" w:type="dxa"/>
          </w:tcPr>
          <w:p w:rsidRPr="00E93B07" w:rsidR="00EE6FEF" w:rsidP="00EE6FEF" w:rsidRDefault="00EE6FEF" w14:paraId="490E3A24" w14:textId="77777777">
            <w:pPr>
              <w:overflowPunct w:val="0"/>
              <w:autoSpaceDE w:val="0"/>
              <w:autoSpaceDN w:val="0"/>
              <w:adjustRightInd w:val="0"/>
              <w:spacing w:line="240" w:lineRule="auto"/>
              <w:textAlignment w:val="baseline"/>
              <w:rPr>
                <w:i/>
                <w:sz w:val="22"/>
                <w:szCs w:val="22"/>
              </w:rPr>
            </w:pPr>
            <w:r w:rsidRPr="00E93B07">
              <w:rPr>
                <w:i/>
                <w:sz w:val="22"/>
                <w:szCs w:val="22"/>
              </w:rPr>
              <w:t>Tel.</w:t>
            </w:r>
          </w:p>
        </w:tc>
        <w:tc>
          <w:tcPr>
            <w:tcW w:w="4493" w:type="dxa"/>
          </w:tcPr>
          <w:p w:rsidRPr="00E93B07" w:rsidR="00EE6FEF" w:rsidP="00EE6FEF" w:rsidRDefault="00EE6FEF" w14:paraId="41D951E4" w14:textId="77777777">
            <w:pPr>
              <w:overflowPunct w:val="0"/>
              <w:autoSpaceDE w:val="0"/>
              <w:autoSpaceDN w:val="0"/>
              <w:adjustRightInd w:val="0"/>
              <w:spacing w:line="240" w:lineRule="auto"/>
              <w:textAlignment w:val="baseline"/>
              <w:rPr>
                <w:i/>
                <w:sz w:val="22"/>
                <w:szCs w:val="22"/>
              </w:rPr>
            </w:pPr>
            <w:r w:rsidRPr="00E93B07">
              <w:rPr>
                <w:i/>
                <w:sz w:val="22"/>
                <w:szCs w:val="22"/>
              </w:rPr>
              <w:t>+32 25468134</w:t>
            </w:r>
          </w:p>
        </w:tc>
      </w:tr>
      <w:tr w:rsidRPr="00422C9F" w:rsidR="00EE6FEF" w:rsidTr="00E93B07" w14:paraId="4358DB5A" w14:textId="77777777">
        <w:trPr>
          <w:trHeight w:val="56"/>
        </w:trPr>
        <w:tc>
          <w:tcPr>
            <w:tcW w:w="1210" w:type="dxa"/>
          </w:tcPr>
          <w:p w:rsidRPr="00E93B07" w:rsidR="00EE6FEF" w:rsidP="00EE6FEF" w:rsidRDefault="00422C9F" w14:paraId="0A1AF4F8" w14:textId="0D9F3F43">
            <w:pPr>
              <w:overflowPunct w:val="0"/>
              <w:autoSpaceDE w:val="0"/>
              <w:autoSpaceDN w:val="0"/>
              <w:adjustRightInd w:val="0"/>
              <w:spacing w:line="240" w:lineRule="auto"/>
              <w:textAlignment w:val="baseline"/>
              <w:rPr>
                <w:i/>
                <w:sz w:val="22"/>
                <w:szCs w:val="22"/>
              </w:rPr>
            </w:pPr>
            <w:r w:rsidRPr="00E93B07">
              <w:rPr>
                <w:i/>
                <w:sz w:val="22"/>
                <w:szCs w:val="22"/>
              </w:rPr>
              <w:t>E</w:t>
            </w:r>
            <w:r w:rsidRPr="00E93B07" w:rsidR="00EE6FEF">
              <w:rPr>
                <w:i/>
                <w:sz w:val="22"/>
                <w:szCs w:val="22"/>
              </w:rPr>
              <w:t>-mail</w:t>
            </w:r>
          </w:p>
        </w:tc>
        <w:tc>
          <w:tcPr>
            <w:tcW w:w="4493" w:type="dxa"/>
          </w:tcPr>
          <w:p w:rsidR="00EE6FEF" w:rsidP="00EE6FEF" w:rsidRDefault="00F95240" w14:paraId="4987825C" w14:textId="77777777">
            <w:pPr>
              <w:overflowPunct w:val="0"/>
              <w:autoSpaceDE w:val="0"/>
              <w:autoSpaceDN w:val="0"/>
              <w:adjustRightInd w:val="0"/>
              <w:spacing w:line="240" w:lineRule="auto"/>
              <w:textAlignment w:val="baseline"/>
              <w:rPr>
                <w:i/>
                <w:color w:val="0000FF"/>
                <w:sz w:val="22"/>
                <w:szCs w:val="22"/>
                <w:u w:val="single"/>
              </w:rPr>
            </w:pPr>
            <w:hyperlink w:history="1" r:id="rId29">
              <w:r w:rsidRPr="00E93B07" w:rsidR="00680336">
                <w:rPr>
                  <w:i/>
                  <w:color w:val="0000FF"/>
                  <w:sz w:val="22"/>
                  <w:szCs w:val="22"/>
                  <w:u w:val="single"/>
                </w:rPr>
                <w:t>June.Bedaton@eesc.europa.eu</w:t>
              </w:r>
            </w:hyperlink>
          </w:p>
          <w:p w:rsidRPr="00E93B07" w:rsidR="00E93B07" w:rsidP="00EE6FEF" w:rsidRDefault="00E93B07" w14:paraId="47347AD3" w14:textId="71CFBCB6">
            <w:pPr>
              <w:overflowPunct w:val="0"/>
              <w:autoSpaceDE w:val="0"/>
              <w:autoSpaceDN w:val="0"/>
              <w:adjustRightInd w:val="0"/>
              <w:spacing w:line="240" w:lineRule="auto"/>
              <w:textAlignment w:val="baseline"/>
              <w:rPr>
                <w:i/>
                <w:sz w:val="22"/>
                <w:szCs w:val="22"/>
              </w:rPr>
            </w:pPr>
          </w:p>
        </w:tc>
      </w:tr>
    </w:tbl>
    <w:p w:rsidR="00E93B07" w:rsidP="00E93B07" w:rsidRDefault="00E93B07" w14:paraId="3FB9E5FE" w14:textId="77777777">
      <w:pPr>
        <w:pStyle w:val="Heading1"/>
        <w:numPr>
          <w:ilvl w:val="0"/>
          <w:numId w:val="0"/>
        </w:numPr>
        <w:ind w:left="928"/>
        <w:rPr>
          <w:b/>
        </w:rPr>
      </w:pPr>
    </w:p>
    <w:p w:rsidR="00E93B07" w:rsidRDefault="00E93B07" w14:paraId="2D187BCC" w14:textId="77777777">
      <w:pPr>
        <w:spacing w:after="160" w:line="259" w:lineRule="auto"/>
        <w:jc w:val="left"/>
        <w:rPr>
          <w:b/>
        </w:rPr>
      </w:pPr>
      <w:r>
        <w:rPr>
          <w:b/>
        </w:rPr>
        <w:br w:type="page"/>
      </w:r>
    </w:p>
    <w:p w:rsidRPr="00422C9F" w:rsidR="005A67F3" w:rsidP="00234EA0" w:rsidRDefault="004C3902" w14:paraId="3792A077" w14:textId="6C98A5B7">
      <w:pPr>
        <w:pStyle w:val="Heading1"/>
        <w:ind w:hanging="928"/>
        <w:rPr>
          <w:b/>
          <w:bCs/>
        </w:rPr>
      </w:pPr>
      <w:bookmarkStart w:name="_Toc159938453" w:id="27"/>
      <w:r w:rsidRPr="00422C9F">
        <w:rPr>
          <w:b/>
        </w:rPr>
        <w:lastRenderedPageBreak/>
        <w:t xml:space="preserve">MERCATO UNICO, PRODUZIONE </w:t>
      </w:r>
      <w:r w:rsidRPr="00422C9F" w:rsidR="00422C9F">
        <w:rPr>
          <w:b/>
        </w:rPr>
        <w:t>E</w:t>
      </w:r>
      <w:r w:rsidRPr="00422C9F">
        <w:rPr>
          <w:b/>
        </w:rPr>
        <w:t xml:space="preserve"> CONSUMO</w:t>
      </w:r>
      <w:bookmarkEnd w:id="26"/>
      <w:bookmarkEnd w:id="27"/>
    </w:p>
    <w:p w:rsidRPr="00422C9F" w:rsidR="004C3902" w:rsidP="00775FC4" w:rsidRDefault="004C3902" w14:paraId="51590E30" w14:textId="7D4E8C1F">
      <w:pPr>
        <w:keepNext/>
        <w:keepLines/>
        <w:jc w:val="left"/>
        <w:rPr>
          <w:b/>
          <w:iCs/>
        </w:rPr>
      </w:pPr>
    </w:p>
    <w:p w:rsidRPr="00422C9F" w:rsidR="00115BBC" w:rsidP="005165CA" w:rsidRDefault="00F95240" w14:paraId="331C902E" w14:textId="798AC348">
      <w:pPr>
        <w:widowControl w:val="0"/>
        <w:numPr>
          <w:ilvl w:val="0"/>
          <w:numId w:val="4"/>
        </w:numPr>
        <w:overflowPunct w:val="0"/>
        <w:autoSpaceDE w:val="0"/>
        <w:autoSpaceDN w:val="0"/>
        <w:adjustRightInd w:val="0"/>
        <w:ind w:left="720" w:hanging="720"/>
        <w:textAlignment w:val="baseline"/>
        <w:rPr>
          <w:b/>
        </w:rPr>
      </w:pPr>
      <w:hyperlink w:history="1" r:id="rId30">
        <w:r w:rsidRPr="00422C9F" w:rsidR="007B6C34">
          <w:rPr>
            <w:b/>
            <w:i/>
            <w:color w:val="0000FF"/>
            <w:sz w:val="28"/>
            <w:u w:val="single"/>
          </w:rPr>
          <w:t>Risoluzione alternativa delle controversie</w:t>
        </w:r>
      </w:hyperlink>
    </w:p>
    <w:p w:rsidRPr="00422C9F" w:rsidR="00115BBC" w:rsidP="00115BBC" w:rsidRDefault="00115BBC" w14:paraId="69D406FB" w14:textId="77777777">
      <w:pPr>
        <w:widowControl w:val="0"/>
        <w:overflowPunct w:val="0"/>
        <w:autoSpaceDE w:val="0"/>
        <w:autoSpaceDN w:val="0"/>
        <w:adjustRightInd w:val="0"/>
        <w:ind w:left="567"/>
        <w:textAlignment w:val="baseline"/>
        <w:rPr>
          <w:b/>
        </w:rPr>
      </w:pPr>
    </w:p>
    <w:tbl>
      <w:tblPr>
        <w:tblStyle w:val="TableGrid200"/>
        <w:tblW w:w="90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177"/>
      </w:tblGrid>
      <w:tr w:rsidRPr="00422C9F" w:rsidR="00115BBC" w:rsidTr="00E93B07" w14:paraId="5FCB07DF" w14:textId="77777777">
        <w:trPr>
          <w:trHeight w:val="265"/>
        </w:trPr>
        <w:tc>
          <w:tcPr>
            <w:tcW w:w="1843" w:type="dxa"/>
          </w:tcPr>
          <w:p w:rsidRPr="00E93B07" w:rsidR="00115BBC" w:rsidP="00E93B07" w:rsidRDefault="00422C9F" w14:paraId="061CB5F6" w14:textId="74B26D56">
            <w:pPr>
              <w:tabs>
                <w:tab w:val="center" w:pos="284"/>
              </w:tabs>
              <w:overflowPunct w:val="0"/>
              <w:autoSpaceDE w:val="0"/>
              <w:autoSpaceDN w:val="0"/>
              <w:adjustRightInd w:val="0"/>
              <w:ind w:left="340" w:hanging="408"/>
              <w:textAlignment w:val="baseline"/>
              <w:rPr>
                <w:b/>
                <w:sz w:val="22"/>
                <w:szCs w:val="22"/>
              </w:rPr>
            </w:pPr>
            <w:r w:rsidRPr="00E93B07">
              <w:rPr>
                <w:b/>
                <w:sz w:val="22"/>
                <w:szCs w:val="22"/>
              </w:rPr>
              <w:t>Relatore</w:t>
            </w:r>
          </w:p>
        </w:tc>
        <w:tc>
          <w:tcPr>
            <w:tcW w:w="7177" w:type="dxa"/>
          </w:tcPr>
          <w:p w:rsidRPr="00E93B07" w:rsidR="00115BBC" w:rsidP="00E93B07" w:rsidRDefault="00115BBC" w14:paraId="167D4BA0" w14:textId="58EFA95F">
            <w:pPr>
              <w:tabs>
                <w:tab w:val="center" w:pos="284"/>
              </w:tabs>
              <w:overflowPunct w:val="0"/>
              <w:autoSpaceDE w:val="0"/>
              <w:autoSpaceDN w:val="0"/>
              <w:adjustRightInd w:val="0"/>
              <w:ind w:left="657" w:hanging="657"/>
              <w:textAlignment w:val="baseline"/>
              <w:rPr>
                <w:sz w:val="22"/>
                <w:szCs w:val="22"/>
              </w:rPr>
            </w:pPr>
            <w:r w:rsidRPr="00E93B07">
              <w:rPr>
                <w:sz w:val="22"/>
                <w:szCs w:val="22"/>
              </w:rPr>
              <w:t>Wautier ROBYNS DE SCHNEIDAUER (Datori di lavoro - BE)</w:t>
            </w:r>
          </w:p>
        </w:tc>
      </w:tr>
      <w:tr w:rsidRPr="00115BBC" w:rsidR="00115BBC" w:rsidTr="00E93B07" w14:paraId="296C346B" w14:textId="77777777">
        <w:trPr>
          <w:trHeight w:val="265"/>
        </w:trPr>
        <w:tc>
          <w:tcPr>
            <w:tcW w:w="1843" w:type="dxa"/>
          </w:tcPr>
          <w:p w:rsidRPr="00E93B07" w:rsidR="00115BBC" w:rsidP="00E93B07" w:rsidRDefault="00115BBC" w14:paraId="0AF9F28C" w14:textId="77777777">
            <w:pPr>
              <w:tabs>
                <w:tab w:val="center" w:pos="284"/>
              </w:tabs>
              <w:overflowPunct w:val="0"/>
              <w:autoSpaceDE w:val="0"/>
              <w:autoSpaceDN w:val="0"/>
              <w:adjustRightInd w:val="0"/>
              <w:ind w:left="340" w:hanging="408"/>
              <w:textAlignment w:val="baseline"/>
              <w:rPr>
                <w:b/>
                <w:sz w:val="22"/>
                <w:szCs w:val="22"/>
              </w:rPr>
            </w:pPr>
          </w:p>
        </w:tc>
        <w:tc>
          <w:tcPr>
            <w:tcW w:w="7177" w:type="dxa"/>
          </w:tcPr>
          <w:p w:rsidRPr="00E93B07" w:rsidR="00115BBC" w:rsidP="00E93B07" w:rsidRDefault="00115BBC" w14:paraId="31DA93FE" w14:textId="77777777">
            <w:pPr>
              <w:tabs>
                <w:tab w:val="center" w:pos="284"/>
              </w:tabs>
              <w:overflowPunct w:val="0"/>
              <w:autoSpaceDE w:val="0"/>
              <w:autoSpaceDN w:val="0"/>
              <w:adjustRightInd w:val="0"/>
              <w:ind w:left="340" w:hanging="305"/>
              <w:textAlignment w:val="baseline"/>
              <w:rPr>
                <w:sz w:val="22"/>
                <w:szCs w:val="22"/>
              </w:rPr>
            </w:pPr>
          </w:p>
        </w:tc>
      </w:tr>
      <w:tr w:rsidRPr="00115BBC" w:rsidR="00115BBC" w:rsidTr="00E93B07" w14:paraId="05E2FC21" w14:textId="77777777">
        <w:trPr>
          <w:trHeight w:val="119"/>
        </w:trPr>
        <w:tc>
          <w:tcPr>
            <w:tcW w:w="1843" w:type="dxa"/>
            <w:vMerge w:val="restart"/>
          </w:tcPr>
          <w:p w:rsidRPr="00E93B07" w:rsidR="00115BBC" w:rsidP="00E93B07" w:rsidRDefault="00115BBC" w14:paraId="3723A8BD" w14:textId="77777777">
            <w:pPr>
              <w:tabs>
                <w:tab w:val="center" w:pos="284"/>
              </w:tabs>
              <w:overflowPunct w:val="0"/>
              <w:autoSpaceDE w:val="0"/>
              <w:autoSpaceDN w:val="0"/>
              <w:adjustRightInd w:val="0"/>
              <w:ind w:left="340" w:hanging="408"/>
              <w:textAlignment w:val="baseline"/>
              <w:rPr>
                <w:b/>
                <w:sz w:val="22"/>
                <w:szCs w:val="22"/>
              </w:rPr>
            </w:pPr>
            <w:r w:rsidRPr="00E93B07">
              <w:rPr>
                <w:b/>
                <w:sz w:val="22"/>
                <w:szCs w:val="22"/>
              </w:rPr>
              <w:t>Riferimento</w:t>
            </w:r>
          </w:p>
        </w:tc>
        <w:tc>
          <w:tcPr>
            <w:tcW w:w="7177" w:type="dxa"/>
          </w:tcPr>
          <w:p w:rsidRPr="00E93B07" w:rsidR="00115BBC" w:rsidP="00E93B07" w:rsidRDefault="00115BBC" w14:paraId="6E0D3984" w14:textId="7D417B46">
            <w:pPr>
              <w:tabs>
                <w:tab w:val="center" w:pos="284"/>
              </w:tabs>
              <w:overflowPunct w:val="0"/>
              <w:autoSpaceDE w:val="0"/>
              <w:autoSpaceDN w:val="0"/>
              <w:adjustRightInd w:val="0"/>
              <w:ind w:left="340" w:hanging="305"/>
              <w:textAlignment w:val="baseline"/>
              <w:rPr>
                <w:sz w:val="22"/>
                <w:szCs w:val="22"/>
              </w:rPr>
            </w:pPr>
            <w:r w:rsidRPr="00E93B07">
              <w:rPr>
                <w:sz w:val="22"/>
                <w:szCs w:val="22"/>
              </w:rPr>
              <w:t xml:space="preserve">COM(2023) 647 final </w:t>
            </w:r>
          </w:p>
          <w:p w:rsidRPr="00E93B07" w:rsidR="00115BBC" w:rsidP="00E93B07" w:rsidRDefault="00115BBC" w14:paraId="0C647B83" w14:textId="54231D7F">
            <w:pPr>
              <w:tabs>
                <w:tab w:val="center" w:pos="284"/>
              </w:tabs>
              <w:overflowPunct w:val="0"/>
              <w:autoSpaceDE w:val="0"/>
              <w:autoSpaceDN w:val="0"/>
              <w:adjustRightInd w:val="0"/>
              <w:ind w:left="340" w:hanging="305"/>
              <w:textAlignment w:val="baseline"/>
              <w:rPr>
                <w:sz w:val="22"/>
                <w:szCs w:val="22"/>
              </w:rPr>
            </w:pPr>
            <w:r w:rsidRPr="00E93B07">
              <w:rPr>
                <w:sz w:val="22"/>
                <w:szCs w:val="22"/>
              </w:rPr>
              <w:t>COM(2023) 649 final</w:t>
            </w:r>
          </w:p>
        </w:tc>
      </w:tr>
      <w:tr w:rsidRPr="00115BBC" w:rsidR="00115BBC" w:rsidTr="00E93B07" w14:paraId="17336284" w14:textId="77777777">
        <w:trPr>
          <w:trHeight w:val="56"/>
        </w:trPr>
        <w:tc>
          <w:tcPr>
            <w:tcW w:w="1843" w:type="dxa"/>
            <w:vMerge/>
          </w:tcPr>
          <w:p w:rsidRPr="00E93B07" w:rsidR="00115BBC" w:rsidP="00E93B07" w:rsidRDefault="00115BBC" w14:paraId="6FEF1F8E" w14:textId="77777777">
            <w:pPr>
              <w:tabs>
                <w:tab w:val="center" w:pos="284"/>
              </w:tabs>
              <w:overflowPunct w:val="0"/>
              <w:autoSpaceDE w:val="0"/>
              <w:autoSpaceDN w:val="0"/>
              <w:adjustRightInd w:val="0"/>
              <w:ind w:left="340" w:hanging="408"/>
              <w:textAlignment w:val="baseline"/>
              <w:rPr>
                <w:b/>
                <w:sz w:val="22"/>
                <w:szCs w:val="22"/>
              </w:rPr>
            </w:pPr>
          </w:p>
        </w:tc>
        <w:tc>
          <w:tcPr>
            <w:tcW w:w="7177" w:type="dxa"/>
          </w:tcPr>
          <w:p w:rsidRPr="00E93B07" w:rsidR="00115BBC" w:rsidP="00E93B07" w:rsidRDefault="00115BBC" w14:paraId="439A72D0" w14:textId="622F6EB8">
            <w:pPr>
              <w:tabs>
                <w:tab w:val="center" w:pos="284"/>
              </w:tabs>
              <w:overflowPunct w:val="0"/>
              <w:autoSpaceDE w:val="0"/>
              <w:autoSpaceDN w:val="0"/>
              <w:adjustRightInd w:val="0"/>
              <w:ind w:left="340" w:hanging="305"/>
              <w:textAlignment w:val="baseline"/>
              <w:rPr>
                <w:sz w:val="22"/>
                <w:szCs w:val="22"/>
              </w:rPr>
            </w:pPr>
            <w:r w:rsidRPr="00E93B07">
              <w:rPr>
                <w:sz w:val="22"/>
                <w:szCs w:val="22"/>
              </w:rPr>
              <w:t>EESC-2023-04939-00-00-AC</w:t>
            </w:r>
          </w:p>
        </w:tc>
      </w:tr>
    </w:tbl>
    <w:p w:rsidRPr="00115BBC" w:rsidR="00115BBC" w:rsidP="00115BBC" w:rsidRDefault="00115BBC" w14:paraId="29572A56" w14:textId="77777777">
      <w:pPr>
        <w:keepNext/>
        <w:keepLines/>
        <w:tabs>
          <w:tab w:val="center" w:pos="284"/>
        </w:tabs>
        <w:overflowPunct w:val="0"/>
        <w:autoSpaceDE w:val="0"/>
        <w:autoSpaceDN w:val="0"/>
        <w:adjustRightInd w:val="0"/>
        <w:ind w:left="266" w:hanging="408"/>
        <w:textAlignment w:val="baseline"/>
        <w:rPr>
          <w:b/>
        </w:rPr>
      </w:pPr>
    </w:p>
    <w:p w:rsidR="00115BBC" w:rsidP="005165CA" w:rsidRDefault="00115BBC" w14:paraId="0FFFEA8E" w14:textId="6FDD583B">
      <w:pPr>
        <w:keepNext/>
        <w:keepLines/>
        <w:tabs>
          <w:tab w:val="center" w:pos="284"/>
        </w:tabs>
        <w:overflowPunct w:val="0"/>
        <w:autoSpaceDE w:val="0"/>
        <w:autoSpaceDN w:val="0"/>
        <w:adjustRightInd w:val="0"/>
        <w:ind w:left="266" w:hanging="266"/>
        <w:textAlignment w:val="baseline"/>
        <w:rPr>
          <w:b/>
        </w:rPr>
      </w:pPr>
      <w:r>
        <w:rPr>
          <w:b/>
        </w:rPr>
        <w:t>Punti principali</w:t>
      </w:r>
    </w:p>
    <w:p w:rsidR="00E93B07" w:rsidP="005165CA" w:rsidRDefault="00E93B07" w14:paraId="198EB93C" w14:textId="1364F88F">
      <w:pPr>
        <w:keepNext/>
        <w:keepLines/>
        <w:tabs>
          <w:tab w:val="center" w:pos="284"/>
        </w:tabs>
        <w:overflowPunct w:val="0"/>
        <w:autoSpaceDE w:val="0"/>
        <w:autoSpaceDN w:val="0"/>
        <w:adjustRightInd w:val="0"/>
        <w:ind w:left="266" w:hanging="266"/>
        <w:textAlignment w:val="baseline"/>
        <w:rPr>
          <w:b/>
        </w:rPr>
      </w:pPr>
    </w:p>
    <w:p w:rsidRPr="00E93B07" w:rsidR="00E93B07" w:rsidP="005165CA" w:rsidRDefault="00E93B07" w14:paraId="23A03D8C" w14:textId="6C1D38EE">
      <w:pPr>
        <w:keepNext/>
        <w:keepLines/>
        <w:tabs>
          <w:tab w:val="center" w:pos="284"/>
        </w:tabs>
        <w:overflowPunct w:val="0"/>
        <w:autoSpaceDE w:val="0"/>
        <w:autoSpaceDN w:val="0"/>
        <w:adjustRightInd w:val="0"/>
        <w:ind w:left="266" w:hanging="266"/>
        <w:textAlignment w:val="baseline"/>
        <w:rPr>
          <w:bCs/>
        </w:rPr>
      </w:pPr>
      <w:r w:rsidRPr="00E93B07">
        <w:rPr>
          <w:bCs/>
        </w:rPr>
        <w:t>Il CESE:</w:t>
      </w:r>
    </w:p>
    <w:p w:rsidRPr="00115BBC" w:rsidR="00115BBC" w:rsidP="00115BBC" w:rsidRDefault="00115BBC" w14:paraId="67D5FDBC" w14:textId="77777777">
      <w:pPr>
        <w:keepNext/>
        <w:keepLines/>
        <w:tabs>
          <w:tab w:val="center" w:pos="284"/>
        </w:tabs>
        <w:overflowPunct w:val="0"/>
        <w:autoSpaceDE w:val="0"/>
        <w:autoSpaceDN w:val="0"/>
        <w:adjustRightInd w:val="0"/>
        <w:ind w:left="266" w:hanging="266"/>
        <w:textAlignment w:val="baseline"/>
        <w:rPr>
          <w:b/>
        </w:rPr>
      </w:pPr>
    </w:p>
    <w:p w:rsidRPr="00115BBC" w:rsidR="00115BBC" w:rsidP="005165CA" w:rsidRDefault="00115BBC" w14:paraId="1773FF53"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sostiene lo sviluppo della risoluzione extragiudiziale delle controversie (ADR) quale </w:t>
      </w:r>
      <w:r>
        <w:rPr>
          <w:b/>
        </w:rPr>
        <w:t>opzione alternativa ai procedimenti giudiziari</w:t>
      </w:r>
      <w:r>
        <w:t xml:space="preserve"> nei casi in cui i consumatori intendono chiedere il risarcimento per i danni che i professionisti possono aver causato loro, e appoggia parallelamente l'accessibilità dei procedimenti giudiziari e l'applicazione dei diritti dei consumatori da parte delle autorità nazionali;</w:t>
      </w:r>
    </w:p>
    <w:p w:rsidRPr="00115BBC" w:rsidR="00115BBC" w:rsidP="005165CA" w:rsidRDefault="00115BBC" w14:paraId="5816C773"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sottolinea l'importanza di incoraggiare gli Stati membri e le industrie a istituire tali sistemi e di incitare i </w:t>
      </w:r>
      <w:r>
        <w:rPr>
          <w:b/>
        </w:rPr>
        <w:t>professionisti</w:t>
      </w:r>
      <w:r>
        <w:t xml:space="preserve">, comprese le </w:t>
      </w:r>
      <w:r>
        <w:rPr>
          <w:b/>
        </w:rPr>
        <w:t>PMI</w:t>
      </w:r>
      <w:r>
        <w:t xml:space="preserve">, ad aderirvi volontariamente e invita la Commissione a </w:t>
      </w:r>
      <w:r>
        <w:rPr>
          <w:b/>
        </w:rPr>
        <w:t>esaminare i progressi compiuti in materia di sistemi ADR a distanza di tre anni dall'attuazione</w:t>
      </w:r>
      <w:r>
        <w:t xml:space="preserve"> della direttiva proposta;</w:t>
      </w:r>
    </w:p>
    <w:p w:rsidRPr="00115BBC" w:rsidR="00115BBC" w:rsidP="005165CA" w:rsidRDefault="00115BBC" w14:paraId="7CEE7EBC"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ritiene che il</w:t>
      </w:r>
      <w:r>
        <w:rPr>
          <w:b/>
          <w:bCs/>
        </w:rPr>
        <w:t xml:space="preserve"> riscontro da parte delle istanze competenti</w:t>
      </w:r>
      <w:r>
        <w:t xml:space="preserve"> in materia di ADR sia estremamente prezioso sia per i professionisti che per i legislatori o le autorità di regolamentazione. Chiede pertanto la </w:t>
      </w:r>
      <w:r>
        <w:rPr>
          <w:b/>
          <w:bCs/>
        </w:rPr>
        <w:t>segnalazione rapida delle situazioni di crisi</w:t>
      </w:r>
      <w:r>
        <w:t>, in aggiunta all'obbligo di pubblicazione biennale delle relazioni di attività da parte dei sistemi ADR. Invita la Commissione a integrare il riscontro fornito dalle piattaforme ADR nelle sue valutazioni delle normative settoriali;</w:t>
      </w:r>
    </w:p>
    <w:p w:rsidRPr="00115BBC" w:rsidR="00115BBC" w:rsidP="005165CA" w:rsidRDefault="00115BBC" w14:paraId="6480EB14"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chiede ai legislatori una </w:t>
      </w:r>
      <w:r>
        <w:rPr>
          <w:b/>
        </w:rPr>
        <w:t>maggiore precisione circa l'obbligo per i consumatori di entrare in contatto con il professionista prima di ricorrere a un sistema ADR</w:t>
      </w:r>
      <w:r>
        <w:t xml:space="preserve"> e circa le </w:t>
      </w:r>
      <w:r>
        <w:rPr>
          <w:b/>
          <w:bCs/>
        </w:rPr>
        <w:t>sanzioni</w:t>
      </w:r>
      <w:r>
        <w:t xml:space="preserve"> applicabili ai professionisti che non rispettano l'obbligo di comunicare se accettano o meno la procedura ADR entro i 20 giorni lavorativi di cui alle proposte.</w:t>
      </w:r>
    </w:p>
    <w:p w:rsidRPr="00115BBC" w:rsidR="007B51DD" w:rsidP="00115BBC" w:rsidRDefault="007B51DD" w14:paraId="163168CE" w14:textId="77777777">
      <w:pPr>
        <w:widowControl w:val="0"/>
        <w:overflowPunct w:val="0"/>
        <w:autoSpaceDE w:val="0"/>
        <w:autoSpaceDN w:val="0"/>
        <w:adjustRightInd w:val="0"/>
        <w:ind w:left="709"/>
        <w:textAlignment w:val="baseline"/>
        <w:rPr>
          <w:szCs w:val="20"/>
        </w:rPr>
      </w:pPr>
    </w:p>
    <w:tbl>
      <w:tblPr>
        <w:tblStyle w:val="TableGrid20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93B07" w:rsidR="00115BBC" w:rsidTr="00B05454" w14:paraId="0EF87FAC" w14:textId="77777777">
        <w:tc>
          <w:tcPr>
            <w:tcW w:w="1418" w:type="dxa"/>
          </w:tcPr>
          <w:p w:rsidRPr="00E93B07" w:rsidR="00115BBC" w:rsidP="00115BBC" w:rsidRDefault="00115BBC" w14:paraId="3A608033" w14:textId="77777777">
            <w:pPr>
              <w:overflowPunct w:val="0"/>
              <w:autoSpaceDE w:val="0"/>
              <w:autoSpaceDN w:val="0"/>
              <w:adjustRightInd w:val="0"/>
              <w:spacing w:line="240" w:lineRule="auto"/>
              <w:textAlignment w:val="baseline"/>
              <w:rPr>
                <w:i/>
                <w:sz w:val="22"/>
                <w:szCs w:val="22"/>
              </w:rPr>
            </w:pPr>
            <w:r w:rsidRPr="00E93B07">
              <w:rPr>
                <w:b/>
                <w:i/>
                <w:sz w:val="22"/>
                <w:szCs w:val="22"/>
              </w:rPr>
              <w:t>Contatto</w:t>
            </w:r>
          </w:p>
        </w:tc>
        <w:tc>
          <w:tcPr>
            <w:tcW w:w="5670" w:type="dxa"/>
          </w:tcPr>
          <w:p w:rsidRPr="00E93B07" w:rsidR="00115BBC" w:rsidP="00115BBC" w:rsidRDefault="00115BBC" w14:paraId="2322F407" w14:textId="1D370AF8">
            <w:pPr>
              <w:overflowPunct w:val="0"/>
              <w:autoSpaceDE w:val="0"/>
              <w:autoSpaceDN w:val="0"/>
              <w:adjustRightInd w:val="0"/>
              <w:spacing w:line="240" w:lineRule="auto"/>
              <w:textAlignment w:val="baseline"/>
              <w:rPr>
                <w:i/>
                <w:sz w:val="22"/>
                <w:szCs w:val="22"/>
              </w:rPr>
            </w:pPr>
            <w:r w:rsidRPr="00E93B07">
              <w:rPr>
                <w:i/>
                <w:sz w:val="22"/>
                <w:szCs w:val="22"/>
              </w:rPr>
              <w:t>Silvia STAFFA</w:t>
            </w:r>
          </w:p>
        </w:tc>
      </w:tr>
      <w:tr w:rsidRPr="00E93B07" w:rsidR="00115BBC" w:rsidTr="00B05454" w14:paraId="1C49B2AC" w14:textId="77777777">
        <w:tc>
          <w:tcPr>
            <w:tcW w:w="1418" w:type="dxa"/>
          </w:tcPr>
          <w:p w:rsidRPr="00E93B07" w:rsidR="00115BBC" w:rsidP="00115BBC" w:rsidRDefault="00115BBC" w14:paraId="6E4695C4" w14:textId="77777777">
            <w:pPr>
              <w:overflowPunct w:val="0"/>
              <w:autoSpaceDE w:val="0"/>
              <w:autoSpaceDN w:val="0"/>
              <w:adjustRightInd w:val="0"/>
              <w:spacing w:line="240" w:lineRule="auto"/>
              <w:textAlignment w:val="baseline"/>
              <w:rPr>
                <w:i/>
                <w:sz w:val="22"/>
                <w:szCs w:val="22"/>
              </w:rPr>
            </w:pPr>
            <w:r w:rsidRPr="00E93B07">
              <w:rPr>
                <w:i/>
                <w:sz w:val="22"/>
                <w:szCs w:val="22"/>
              </w:rPr>
              <w:t>Tel.</w:t>
            </w:r>
          </w:p>
        </w:tc>
        <w:tc>
          <w:tcPr>
            <w:tcW w:w="5670" w:type="dxa"/>
          </w:tcPr>
          <w:p w:rsidRPr="00E93B07" w:rsidR="00115BBC" w:rsidP="00115BBC" w:rsidRDefault="00115BBC" w14:paraId="24EC6775" w14:textId="77777777">
            <w:pPr>
              <w:overflowPunct w:val="0"/>
              <w:autoSpaceDE w:val="0"/>
              <w:autoSpaceDN w:val="0"/>
              <w:adjustRightInd w:val="0"/>
              <w:spacing w:line="240" w:lineRule="auto"/>
              <w:textAlignment w:val="baseline"/>
              <w:rPr>
                <w:i/>
                <w:sz w:val="22"/>
                <w:szCs w:val="22"/>
              </w:rPr>
            </w:pPr>
            <w:r w:rsidRPr="00E93B07">
              <w:rPr>
                <w:i/>
                <w:sz w:val="22"/>
                <w:szCs w:val="22"/>
              </w:rPr>
              <w:t>+32 25468378</w:t>
            </w:r>
          </w:p>
        </w:tc>
      </w:tr>
      <w:tr w:rsidRPr="00E93B07" w:rsidR="00115BBC" w:rsidTr="00B05454" w14:paraId="55737622" w14:textId="77777777">
        <w:tc>
          <w:tcPr>
            <w:tcW w:w="1418" w:type="dxa"/>
          </w:tcPr>
          <w:p w:rsidRPr="00E93B07" w:rsidR="00115BBC" w:rsidP="00115BBC" w:rsidRDefault="00422C9F" w14:paraId="525828AE" w14:textId="20E3017F">
            <w:pPr>
              <w:overflowPunct w:val="0"/>
              <w:autoSpaceDE w:val="0"/>
              <w:autoSpaceDN w:val="0"/>
              <w:adjustRightInd w:val="0"/>
              <w:spacing w:line="240" w:lineRule="auto"/>
              <w:textAlignment w:val="baseline"/>
              <w:rPr>
                <w:i/>
                <w:sz w:val="22"/>
                <w:szCs w:val="22"/>
              </w:rPr>
            </w:pPr>
            <w:r w:rsidRPr="00E93B07">
              <w:rPr>
                <w:i/>
                <w:sz w:val="22"/>
                <w:szCs w:val="22"/>
              </w:rPr>
              <w:t>E</w:t>
            </w:r>
            <w:r w:rsidRPr="00E93B07" w:rsidR="00115BBC">
              <w:rPr>
                <w:i/>
                <w:sz w:val="22"/>
                <w:szCs w:val="22"/>
              </w:rPr>
              <w:t>-mail</w:t>
            </w:r>
          </w:p>
        </w:tc>
        <w:tc>
          <w:tcPr>
            <w:tcW w:w="5670" w:type="dxa"/>
          </w:tcPr>
          <w:p w:rsidRPr="00E93B07" w:rsidR="00115BBC" w:rsidP="00115BBC" w:rsidRDefault="00F95240" w14:paraId="1B1D7DE5" w14:textId="77777777">
            <w:pPr>
              <w:overflowPunct w:val="0"/>
              <w:autoSpaceDE w:val="0"/>
              <w:autoSpaceDN w:val="0"/>
              <w:adjustRightInd w:val="0"/>
              <w:spacing w:line="240" w:lineRule="auto"/>
              <w:textAlignment w:val="baseline"/>
              <w:rPr>
                <w:i/>
                <w:iCs/>
                <w:sz w:val="22"/>
                <w:szCs w:val="22"/>
              </w:rPr>
            </w:pPr>
            <w:hyperlink w:history="1" r:id="rId31">
              <w:r w:rsidRPr="00E93B07" w:rsidR="000502CD">
                <w:rPr>
                  <w:i/>
                  <w:color w:val="0000FF"/>
                  <w:sz w:val="22"/>
                  <w:szCs w:val="22"/>
                  <w:u w:val="single"/>
                </w:rPr>
                <w:t>Silvia.Staffa@eesc.europa.eu</w:t>
              </w:r>
            </w:hyperlink>
          </w:p>
        </w:tc>
      </w:tr>
    </w:tbl>
    <w:p w:rsidR="00115BBC" w:rsidRDefault="00115BBC" w14:paraId="7C16A4C7" w14:textId="77777777">
      <w:pPr>
        <w:spacing w:after="160" w:line="259" w:lineRule="auto"/>
        <w:jc w:val="left"/>
        <w:rPr>
          <w:sz w:val="16"/>
          <w:szCs w:val="16"/>
        </w:rPr>
      </w:pPr>
    </w:p>
    <w:p w:rsidR="00115BBC" w:rsidRDefault="00115BBC" w14:paraId="548FB513" w14:textId="77777777">
      <w:pPr>
        <w:spacing w:after="160" w:line="259" w:lineRule="auto"/>
        <w:jc w:val="left"/>
        <w:rPr>
          <w:sz w:val="16"/>
          <w:szCs w:val="16"/>
        </w:rPr>
      </w:pPr>
      <w:r>
        <w:br w:type="page"/>
      </w:r>
    </w:p>
    <w:p w:rsidRPr="00016C21" w:rsidR="00016C21" w:rsidP="00016C21" w:rsidRDefault="00F95240" w14:paraId="53C9A431" w14:textId="50B78406">
      <w:pPr>
        <w:widowControl w:val="0"/>
        <w:numPr>
          <w:ilvl w:val="0"/>
          <w:numId w:val="2"/>
        </w:numPr>
        <w:overflowPunct w:val="0"/>
        <w:autoSpaceDE w:val="0"/>
        <w:autoSpaceDN w:val="0"/>
        <w:adjustRightInd w:val="0"/>
        <w:ind w:hanging="567"/>
        <w:textAlignment w:val="baseline"/>
        <w:rPr>
          <w:sz w:val="20"/>
          <w:szCs w:val="20"/>
        </w:rPr>
      </w:pPr>
      <w:hyperlink w:tgtFrame="_blank" w:history="1" r:id="rId32">
        <w:r w:rsidR="000502CD">
          <w:rPr>
            <w:b/>
            <w:i/>
            <w:color w:val="0000FF"/>
            <w:sz w:val="28"/>
            <w:u w:val="single"/>
          </w:rPr>
          <w:t>Pacchetto di aiuti per le PMI</w:t>
        </w:r>
      </w:hyperlink>
    </w:p>
    <w:p w:rsidRPr="00016C21" w:rsidR="00016C21" w:rsidP="00016C21" w:rsidRDefault="00016C21" w14:paraId="79ACBD18" w14:textId="77777777">
      <w:pPr>
        <w:tabs>
          <w:tab w:val="center" w:pos="284"/>
        </w:tabs>
        <w:overflowPunct w:val="0"/>
        <w:autoSpaceDE w:val="0"/>
        <w:autoSpaceDN w:val="0"/>
        <w:adjustRightInd w:val="0"/>
        <w:ind w:left="266" w:hanging="266"/>
        <w:textAlignment w:val="baseline"/>
        <w:rPr>
          <w:b/>
        </w:rPr>
      </w:pPr>
    </w:p>
    <w:tbl>
      <w:tblPr>
        <w:tblStyle w:val="TableGrid201"/>
        <w:tblW w:w="445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4"/>
        <w:gridCol w:w="6096"/>
      </w:tblGrid>
      <w:tr w:rsidRPr="00016C21" w:rsidR="00016C21" w:rsidTr="005165CA" w14:paraId="4F2580C3" w14:textId="77777777">
        <w:tc>
          <w:tcPr>
            <w:tcW w:w="1228" w:type="pct"/>
          </w:tcPr>
          <w:p w:rsidRPr="00E93B07" w:rsidR="00016C21" w:rsidP="00016C21" w:rsidRDefault="00422C9F" w14:paraId="72DF44FE" w14:textId="676BA541">
            <w:pPr>
              <w:tabs>
                <w:tab w:val="center" w:pos="0"/>
              </w:tabs>
              <w:overflowPunct w:val="0"/>
              <w:autoSpaceDE w:val="0"/>
              <w:autoSpaceDN w:val="0"/>
              <w:adjustRightInd w:val="0"/>
              <w:jc w:val="left"/>
              <w:textAlignment w:val="baseline"/>
              <w:rPr>
                <w:b/>
                <w:sz w:val="22"/>
                <w:szCs w:val="22"/>
              </w:rPr>
            </w:pPr>
            <w:r w:rsidRPr="00E93B07">
              <w:rPr>
                <w:b/>
                <w:sz w:val="22"/>
                <w:szCs w:val="22"/>
              </w:rPr>
              <w:t>Relatrice</w:t>
            </w:r>
            <w:r w:rsidRPr="00E93B07" w:rsidR="00016C21">
              <w:rPr>
                <w:b/>
                <w:sz w:val="22"/>
                <w:szCs w:val="22"/>
              </w:rPr>
              <w:br/>
            </w:r>
            <w:r w:rsidRPr="00E93B07">
              <w:rPr>
                <w:b/>
                <w:sz w:val="22"/>
                <w:szCs w:val="22"/>
              </w:rPr>
              <w:t>Correlatore</w:t>
            </w:r>
          </w:p>
        </w:tc>
        <w:tc>
          <w:tcPr>
            <w:tcW w:w="3772" w:type="pct"/>
          </w:tcPr>
          <w:p w:rsidRPr="00E93B07" w:rsidR="00016C21" w:rsidP="005165CA" w:rsidRDefault="00016C21" w14:paraId="7A66A71A" w14:textId="2B50CBB3">
            <w:pPr>
              <w:tabs>
                <w:tab w:val="center" w:pos="0"/>
              </w:tabs>
              <w:overflowPunct w:val="0"/>
              <w:autoSpaceDE w:val="0"/>
              <w:autoSpaceDN w:val="0"/>
              <w:adjustRightInd w:val="0"/>
              <w:ind w:right="1591"/>
              <w:textAlignment w:val="baseline"/>
              <w:rPr>
                <w:sz w:val="22"/>
                <w:szCs w:val="22"/>
              </w:rPr>
            </w:pPr>
            <w:r w:rsidRPr="00E93B07">
              <w:rPr>
                <w:sz w:val="22"/>
                <w:szCs w:val="22"/>
              </w:rPr>
              <w:t>Alena MASTANTUONO (Datori di lavoro - CZ)</w:t>
            </w:r>
            <w:r w:rsidRPr="00E93B07">
              <w:rPr>
                <w:sz w:val="22"/>
                <w:szCs w:val="22"/>
              </w:rPr>
              <w:br/>
              <w:t>Angelo PAGLIARA (Lavoratori - IT)</w:t>
            </w:r>
          </w:p>
        </w:tc>
      </w:tr>
      <w:tr w:rsidRPr="00016C21" w:rsidR="00016C21" w:rsidTr="005165CA" w14:paraId="0DAADC43" w14:textId="77777777">
        <w:tc>
          <w:tcPr>
            <w:tcW w:w="5000" w:type="pct"/>
            <w:gridSpan w:val="2"/>
          </w:tcPr>
          <w:p w:rsidRPr="00E93B07" w:rsidR="00016C21" w:rsidP="00016C21" w:rsidRDefault="00016C21" w14:paraId="6CC99D77"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016C21" w:rsidR="00016C21" w:rsidTr="005165CA" w14:paraId="3C188AC4" w14:textId="77777777">
        <w:tc>
          <w:tcPr>
            <w:tcW w:w="1228" w:type="pct"/>
            <w:vMerge w:val="restart"/>
          </w:tcPr>
          <w:p w:rsidRPr="00E93B07" w:rsidR="00016C21" w:rsidP="00016C21" w:rsidRDefault="00016C21" w14:paraId="6ED0BDE5" w14:textId="77777777">
            <w:pPr>
              <w:tabs>
                <w:tab w:val="center" w:pos="284"/>
              </w:tabs>
              <w:overflowPunct w:val="0"/>
              <w:autoSpaceDE w:val="0"/>
              <w:autoSpaceDN w:val="0"/>
              <w:adjustRightInd w:val="0"/>
              <w:ind w:left="266" w:hanging="266"/>
              <w:textAlignment w:val="baseline"/>
              <w:rPr>
                <w:b/>
                <w:sz w:val="22"/>
                <w:szCs w:val="22"/>
              </w:rPr>
            </w:pPr>
            <w:r w:rsidRPr="00E93B07">
              <w:rPr>
                <w:b/>
                <w:sz w:val="22"/>
                <w:szCs w:val="22"/>
              </w:rPr>
              <w:t>Riferimento</w:t>
            </w:r>
          </w:p>
        </w:tc>
        <w:tc>
          <w:tcPr>
            <w:tcW w:w="3772" w:type="pct"/>
          </w:tcPr>
          <w:p w:rsidRPr="00E93B07" w:rsidR="00016C21" w:rsidP="00016C21" w:rsidRDefault="00016C21" w14:paraId="5911E5F0" w14:textId="77777777">
            <w:pPr>
              <w:tabs>
                <w:tab w:val="center" w:pos="284"/>
              </w:tabs>
              <w:overflowPunct w:val="0"/>
              <w:autoSpaceDE w:val="0"/>
              <w:autoSpaceDN w:val="0"/>
              <w:adjustRightInd w:val="0"/>
              <w:ind w:left="266" w:hanging="266"/>
              <w:textAlignment w:val="baseline"/>
              <w:rPr>
                <w:sz w:val="22"/>
                <w:szCs w:val="22"/>
              </w:rPr>
            </w:pPr>
            <w:r w:rsidRPr="00E93B07">
              <w:rPr>
                <w:sz w:val="22"/>
                <w:szCs w:val="22"/>
              </w:rPr>
              <w:t>COM(2023) 535 final</w:t>
            </w:r>
          </w:p>
          <w:p w:rsidRPr="00E93B07" w:rsidR="00016C21" w:rsidP="00016C21" w:rsidRDefault="00016C21" w14:paraId="1EAF09D2" w14:textId="77777777">
            <w:pPr>
              <w:tabs>
                <w:tab w:val="center" w:pos="284"/>
              </w:tabs>
              <w:overflowPunct w:val="0"/>
              <w:autoSpaceDE w:val="0"/>
              <w:autoSpaceDN w:val="0"/>
              <w:adjustRightInd w:val="0"/>
              <w:ind w:left="266" w:hanging="266"/>
              <w:textAlignment w:val="baseline"/>
              <w:rPr>
                <w:sz w:val="22"/>
                <w:szCs w:val="22"/>
              </w:rPr>
            </w:pPr>
            <w:r w:rsidRPr="00E93B07">
              <w:rPr>
                <w:sz w:val="22"/>
                <w:szCs w:val="22"/>
              </w:rPr>
              <w:t>EESC-2023-05071-00-00-AC</w:t>
            </w:r>
          </w:p>
        </w:tc>
      </w:tr>
      <w:tr w:rsidRPr="00016C21" w:rsidR="00016C21" w:rsidTr="005165CA" w14:paraId="34BD45CA" w14:textId="77777777">
        <w:tc>
          <w:tcPr>
            <w:tcW w:w="1228" w:type="pct"/>
            <w:vMerge/>
          </w:tcPr>
          <w:p w:rsidRPr="00016C21" w:rsidR="00016C21" w:rsidP="00016C21" w:rsidRDefault="00016C21" w14:paraId="14905400" w14:textId="77777777">
            <w:pPr>
              <w:tabs>
                <w:tab w:val="center" w:pos="284"/>
              </w:tabs>
              <w:overflowPunct w:val="0"/>
              <w:autoSpaceDE w:val="0"/>
              <w:autoSpaceDN w:val="0"/>
              <w:adjustRightInd w:val="0"/>
              <w:ind w:left="266" w:hanging="266"/>
              <w:textAlignment w:val="baseline"/>
              <w:rPr>
                <w:b/>
              </w:rPr>
            </w:pPr>
          </w:p>
        </w:tc>
        <w:tc>
          <w:tcPr>
            <w:tcW w:w="3772" w:type="pct"/>
          </w:tcPr>
          <w:p w:rsidRPr="00016C21" w:rsidR="00016C21" w:rsidP="00016C21" w:rsidRDefault="00016C21" w14:paraId="7FF352D2" w14:textId="77777777">
            <w:pPr>
              <w:tabs>
                <w:tab w:val="center" w:pos="284"/>
              </w:tabs>
              <w:overflowPunct w:val="0"/>
              <w:autoSpaceDE w:val="0"/>
              <w:autoSpaceDN w:val="0"/>
              <w:adjustRightInd w:val="0"/>
              <w:ind w:left="266" w:hanging="266"/>
              <w:textAlignment w:val="baseline"/>
            </w:pPr>
          </w:p>
        </w:tc>
      </w:tr>
    </w:tbl>
    <w:p w:rsidRPr="00016C21" w:rsidR="00016C21" w:rsidP="005165CA" w:rsidRDefault="00016C21" w14:paraId="5C2B27D4" w14:textId="77777777">
      <w:pPr>
        <w:keepNext/>
        <w:keepLines/>
        <w:tabs>
          <w:tab w:val="center" w:pos="284"/>
        </w:tabs>
        <w:overflowPunct w:val="0"/>
        <w:autoSpaceDE w:val="0"/>
        <w:autoSpaceDN w:val="0"/>
        <w:adjustRightInd w:val="0"/>
        <w:ind w:left="266" w:hanging="124"/>
        <w:textAlignment w:val="baseline"/>
        <w:rPr>
          <w:b/>
        </w:rPr>
      </w:pPr>
      <w:r>
        <w:rPr>
          <w:b/>
        </w:rPr>
        <w:t>Punti principali</w:t>
      </w:r>
    </w:p>
    <w:p w:rsidRPr="00016C21" w:rsidR="00016C21" w:rsidP="00016C21" w:rsidRDefault="00016C21" w14:paraId="7EA3DADC" w14:textId="77777777">
      <w:pPr>
        <w:keepNext/>
        <w:keepLines/>
        <w:tabs>
          <w:tab w:val="center" w:pos="284"/>
        </w:tabs>
        <w:overflowPunct w:val="0"/>
        <w:autoSpaceDE w:val="0"/>
        <w:autoSpaceDN w:val="0"/>
        <w:adjustRightInd w:val="0"/>
        <w:ind w:left="266" w:hanging="266"/>
        <w:textAlignment w:val="baseline"/>
        <w:rPr>
          <w:b/>
        </w:rPr>
      </w:pPr>
    </w:p>
    <w:p w:rsidRPr="00016C21" w:rsidR="00016C21" w:rsidP="005165CA" w:rsidRDefault="00016C21" w14:paraId="6F102ADF" w14:textId="77777777">
      <w:pPr>
        <w:overflowPunct w:val="0"/>
        <w:autoSpaceDE w:val="0"/>
        <w:autoSpaceDN w:val="0"/>
        <w:adjustRightInd w:val="0"/>
        <w:ind w:firstLine="142"/>
        <w:textAlignment w:val="baseline"/>
        <w:rPr>
          <w:bCs/>
          <w:iCs/>
        </w:rPr>
      </w:pPr>
      <w:r>
        <w:t>Il CESE:</w:t>
      </w:r>
    </w:p>
    <w:p w:rsidRPr="00016C21" w:rsidR="00016C21" w:rsidP="00016C21" w:rsidRDefault="00016C21" w14:paraId="5A499E14" w14:textId="77777777">
      <w:pPr>
        <w:overflowPunct w:val="0"/>
        <w:autoSpaceDE w:val="0"/>
        <w:autoSpaceDN w:val="0"/>
        <w:adjustRightInd w:val="0"/>
        <w:textAlignment w:val="baseline"/>
        <w:rPr>
          <w:bCs/>
          <w:iCs/>
        </w:rPr>
      </w:pPr>
    </w:p>
    <w:p w:rsidRPr="00016C21" w:rsidR="00016C21" w:rsidP="005165CA" w:rsidRDefault="00016C21" w14:paraId="554242DA" w14:textId="77777777">
      <w:pPr>
        <w:numPr>
          <w:ilvl w:val="0"/>
          <w:numId w:val="24"/>
        </w:numPr>
        <w:overflowPunct w:val="0"/>
        <w:autoSpaceDE w:val="0"/>
        <w:autoSpaceDN w:val="0"/>
        <w:adjustRightInd w:val="0"/>
        <w:spacing w:after="200" w:line="276" w:lineRule="auto"/>
        <w:ind w:left="284" w:hanging="284"/>
        <w:contextualSpacing/>
        <w:textAlignment w:val="baseline"/>
        <w:rPr>
          <w:rFonts w:ascii="Calibri" w:hAnsi="Calibri"/>
          <w:bCs/>
          <w:iCs/>
        </w:rPr>
      </w:pPr>
      <w:r>
        <w:t xml:space="preserve">accoglie con favore il pacchetto di aiuti per le PMI quale tentativo di porre le </w:t>
      </w:r>
      <w:r>
        <w:rPr>
          <w:b/>
        </w:rPr>
        <w:t>PMI al centro della legislazione europea</w:t>
      </w:r>
      <w:r>
        <w:t xml:space="preserve">, nonché delle strategie, delle discussioni e delle azioni europee a sostegno della competitività. La prossima Commissione dovrebbe farne </w:t>
      </w:r>
      <w:r>
        <w:rPr>
          <w:b/>
        </w:rPr>
        <w:t>una priorità e garantirne la continuità</w:t>
      </w:r>
      <w:r>
        <w:t>;</w:t>
      </w:r>
    </w:p>
    <w:p w:rsidRPr="00016C21" w:rsidR="00016C21" w:rsidP="005165CA" w:rsidRDefault="00016C21" w14:paraId="6A0B7A03" w14:textId="77777777">
      <w:pPr>
        <w:numPr>
          <w:ilvl w:val="0"/>
          <w:numId w:val="24"/>
        </w:numPr>
        <w:overflowPunct w:val="0"/>
        <w:autoSpaceDE w:val="0"/>
        <w:autoSpaceDN w:val="0"/>
        <w:adjustRightInd w:val="0"/>
        <w:spacing w:line="276" w:lineRule="auto"/>
        <w:ind w:left="284" w:hanging="284"/>
        <w:contextualSpacing/>
        <w:textAlignment w:val="baseline"/>
        <w:rPr>
          <w:bCs/>
          <w:iCs/>
        </w:rPr>
      </w:pPr>
      <w:r>
        <w:t xml:space="preserve">ritiene che la Commissione debba garantire che il </w:t>
      </w:r>
      <w:r>
        <w:rPr>
          <w:b/>
        </w:rPr>
        <w:t>rappresentante dell'UE per le PMI</w:t>
      </w:r>
      <w:r>
        <w:t xml:space="preserve"> </w:t>
      </w:r>
      <w:r>
        <w:rPr>
          <w:b/>
        </w:rPr>
        <w:t>abbia un passato imprenditoriale</w:t>
      </w:r>
      <w:r>
        <w:t xml:space="preserve"> e una serie ben definita di competenze e responsabilità nel prossimo mandato 2024-2029, e che l'incarico sia accompagnato da </w:t>
      </w:r>
      <w:r>
        <w:rPr>
          <w:b/>
        </w:rPr>
        <w:t>risorse adeguate</w:t>
      </w:r>
      <w:r>
        <w:t xml:space="preserve"> in termini di personale e di sostegno;</w:t>
      </w:r>
    </w:p>
    <w:p w:rsidRPr="00016C21" w:rsidR="00016C21" w:rsidP="005165CA" w:rsidRDefault="00016C21" w14:paraId="5554B69B" w14:textId="77777777">
      <w:pPr>
        <w:numPr>
          <w:ilvl w:val="0"/>
          <w:numId w:val="24"/>
        </w:numPr>
        <w:overflowPunct w:val="0"/>
        <w:autoSpaceDE w:val="0"/>
        <w:autoSpaceDN w:val="0"/>
        <w:adjustRightInd w:val="0"/>
        <w:spacing w:after="200" w:line="276" w:lineRule="auto"/>
        <w:ind w:left="284" w:hanging="284"/>
        <w:contextualSpacing/>
        <w:textAlignment w:val="baseline"/>
        <w:rPr>
          <w:bCs/>
          <w:iCs/>
        </w:rPr>
      </w:pPr>
      <w:r>
        <w:t xml:space="preserve">accoglie con favore gli sforzi di semplificazione e la riduzione degli oneri in materia di IVA nell'ambito delle attività transfrontaliere. Osserva tuttavia che occorre fare di più per eliminare altri ostacoli presenti da tempo. </w:t>
      </w:r>
      <w:r>
        <w:rPr>
          <w:b/>
        </w:rPr>
        <w:t>La frammentazione nel mercato unico e la varietà delle normative nazionali</w:t>
      </w:r>
      <w:r>
        <w:t xml:space="preserve"> in materia di beni e servizi </w:t>
      </w:r>
      <w:r>
        <w:rPr>
          <w:b/>
        </w:rPr>
        <w:t>costituiscono un onere considerevole per le imprese</w:t>
      </w:r>
      <w:r>
        <w:t>;</w:t>
      </w:r>
    </w:p>
    <w:p w:rsidRPr="00016C21" w:rsidR="00016C21" w:rsidP="005165CA" w:rsidRDefault="00016C21" w14:paraId="2DEE3944" w14:textId="77777777">
      <w:pPr>
        <w:numPr>
          <w:ilvl w:val="0"/>
          <w:numId w:val="24"/>
        </w:numPr>
        <w:overflowPunct w:val="0"/>
        <w:autoSpaceDE w:val="0"/>
        <w:autoSpaceDN w:val="0"/>
        <w:adjustRightInd w:val="0"/>
        <w:spacing w:after="200" w:line="276" w:lineRule="auto"/>
        <w:ind w:left="284" w:hanging="284"/>
        <w:contextualSpacing/>
        <w:textAlignment w:val="baseline"/>
        <w:rPr>
          <w:bCs/>
          <w:iCs/>
        </w:rPr>
      </w:pPr>
      <w:r>
        <w:t xml:space="preserve">ritiene opportuno </w:t>
      </w:r>
      <w:r>
        <w:rPr>
          <w:b/>
        </w:rPr>
        <w:t>agevolare l'accesso delle PMI alle risorse finanziarie</w:t>
      </w:r>
      <w:r>
        <w:t>, che sia attraverso sovvenzioni, prestiti o altri strumenti finanziari, con un'assistenza mirata. Il CESE invita inoltre la Commissione a mettere in atto tutte le misure necessarie per incentivare le PMI ad adottare una condotta responsabile nell'accesso ai finanziamenti dell'UE;</w:t>
      </w:r>
    </w:p>
    <w:p w:rsidRPr="00016C21" w:rsidR="00016C21" w:rsidP="005165CA" w:rsidRDefault="00016C21" w14:paraId="2717C131" w14:textId="77777777">
      <w:pPr>
        <w:numPr>
          <w:ilvl w:val="0"/>
          <w:numId w:val="24"/>
        </w:numPr>
        <w:overflowPunct w:val="0"/>
        <w:autoSpaceDE w:val="0"/>
        <w:autoSpaceDN w:val="0"/>
        <w:adjustRightInd w:val="0"/>
        <w:spacing w:line="276" w:lineRule="auto"/>
        <w:ind w:left="284" w:hanging="284"/>
        <w:contextualSpacing/>
        <w:textAlignment w:val="baseline"/>
        <w:rPr>
          <w:bCs/>
          <w:iCs/>
        </w:rPr>
      </w:pPr>
      <w:r>
        <w:t>sottolinea che un migliore utilizzo degli strumenti esistenti può contribuire a evitare gli oneri burocratici. Un valido esempio in questo senso consiste nell'</w:t>
      </w:r>
      <w:r>
        <w:rPr>
          <w:b/>
        </w:rPr>
        <w:t>indicare, in qualsiasi proposta legislativa, gli obblighi previsti che ne derivano</w:t>
      </w:r>
      <w:r>
        <w:t>, il che contribuisce, tra l'altro, a una migliore comprensione degli oneri cumulativi.</w:t>
      </w:r>
    </w:p>
    <w:p w:rsidRPr="00016C21" w:rsidR="00016C21" w:rsidP="00016C21" w:rsidRDefault="00016C21" w14:paraId="29A5A99B" w14:textId="77777777">
      <w:pPr>
        <w:spacing w:after="120" w:line="276" w:lineRule="auto"/>
        <w:ind w:left="1434"/>
        <w:rPr>
          <w:bCs/>
          <w:iCs/>
          <w:lang w:eastAsia="zh-CN"/>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4"/>
        <w:gridCol w:w="4535"/>
      </w:tblGrid>
      <w:tr w:rsidRPr="00016C21" w:rsidR="00016C21" w:rsidTr="00E93B07" w14:paraId="33461CA2" w14:textId="77777777">
        <w:tc>
          <w:tcPr>
            <w:tcW w:w="1445" w:type="pct"/>
          </w:tcPr>
          <w:p w:rsidRPr="00E93B07" w:rsidR="00016C21" w:rsidP="00E93B07" w:rsidRDefault="00016C21" w14:paraId="536875C6" w14:textId="77777777">
            <w:pPr>
              <w:overflowPunct w:val="0"/>
              <w:autoSpaceDE w:val="0"/>
              <w:autoSpaceDN w:val="0"/>
              <w:adjustRightInd w:val="0"/>
              <w:spacing w:line="240" w:lineRule="auto"/>
              <w:ind w:right="177"/>
              <w:textAlignment w:val="baseline"/>
              <w:rPr>
                <w:i/>
                <w:sz w:val="22"/>
                <w:szCs w:val="22"/>
              </w:rPr>
            </w:pPr>
            <w:r w:rsidRPr="00E93B07">
              <w:rPr>
                <w:b/>
                <w:i/>
                <w:sz w:val="22"/>
                <w:szCs w:val="22"/>
              </w:rPr>
              <w:t>Contatto</w:t>
            </w:r>
          </w:p>
        </w:tc>
        <w:tc>
          <w:tcPr>
            <w:tcW w:w="3555" w:type="pct"/>
          </w:tcPr>
          <w:p w:rsidRPr="00E93B07" w:rsidR="00016C21" w:rsidP="00E93B07" w:rsidRDefault="00016C21" w14:paraId="697B1E4B" w14:textId="77777777">
            <w:pPr>
              <w:overflowPunct w:val="0"/>
              <w:autoSpaceDE w:val="0"/>
              <w:autoSpaceDN w:val="0"/>
              <w:adjustRightInd w:val="0"/>
              <w:spacing w:line="240" w:lineRule="auto"/>
              <w:textAlignment w:val="baseline"/>
              <w:rPr>
                <w:i/>
                <w:sz w:val="22"/>
                <w:szCs w:val="22"/>
              </w:rPr>
            </w:pPr>
            <w:r w:rsidRPr="00E93B07">
              <w:rPr>
                <w:i/>
                <w:sz w:val="22"/>
                <w:szCs w:val="22"/>
              </w:rPr>
              <w:t>Dalila BERNARD</w:t>
            </w:r>
          </w:p>
        </w:tc>
      </w:tr>
      <w:tr w:rsidRPr="00016C21" w:rsidR="00016C21" w:rsidTr="00E93B07" w14:paraId="11E64266" w14:textId="77777777">
        <w:tc>
          <w:tcPr>
            <w:tcW w:w="1445" w:type="pct"/>
          </w:tcPr>
          <w:p w:rsidRPr="00E93B07" w:rsidR="00016C21" w:rsidP="00E93B07" w:rsidRDefault="00016C21" w14:paraId="23C53038" w14:textId="77777777">
            <w:pPr>
              <w:overflowPunct w:val="0"/>
              <w:autoSpaceDE w:val="0"/>
              <w:autoSpaceDN w:val="0"/>
              <w:adjustRightInd w:val="0"/>
              <w:spacing w:line="240" w:lineRule="auto"/>
              <w:ind w:right="177"/>
              <w:textAlignment w:val="baseline"/>
              <w:rPr>
                <w:i/>
                <w:sz w:val="22"/>
                <w:szCs w:val="22"/>
              </w:rPr>
            </w:pPr>
            <w:r w:rsidRPr="00E93B07">
              <w:rPr>
                <w:i/>
                <w:sz w:val="22"/>
                <w:szCs w:val="22"/>
              </w:rPr>
              <w:t>Tel.</w:t>
            </w:r>
          </w:p>
        </w:tc>
        <w:tc>
          <w:tcPr>
            <w:tcW w:w="3555" w:type="pct"/>
          </w:tcPr>
          <w:p w:rsidRPr="00E93B07" w:rsidR="00016C21" w:rsidP="00E93B07" w:rsidRDefault="00016C21" w14:paraId="5ED7A51D" w14:textId="77777777">
            <w:pPr>
              <w:overflowPunct w:val="0"/>
              <w:autoSpaceDE w:val="0"/>
              <w:autoSpaceDN w:val="0"/>
              <w:adjustRightInd w:val="0"/>
              <w:spacing w:line="240" w:lineRule="auto"/>
              <w:textAlignment w:val="baseline"/>
              <w:rPr>
                <w:i/>
                <w:sz w:val="22"/>
                <w:szCs w:val="22"/>
              </w:rPr>
            </w:pPr>
            <w:r w:rsidRPr="00E93B07">
              <w:rPr>
                <w:i/>
                <w:sz w:val="22"/>
                <w:szCs w:val="22"/>
              </w:rPr>
              <w:t>+ 32 25468438</w:t>
            </w:r>
          </w:p>
        </w:tc>
      </w:tr>
      <w:tr w:rsidRPr="00016C21" w:rsidR="00016C21" w:rsidTr="00E93B07" w14:paraId="72056838" w14:textId="77777777">
        <w:tc>
          <w:tcPr>
            <w:tcW w:w="1445" w:type="pct"/>
          </w:tcPr>
          <w:p w:rsidRPr="00E93B07" w:rsidR="00016C21" w:rsidP="00E93B07" w:rsidRDefault="00422C9F" w14:paraId="498DF601" w14:textId="6AEF7155">
            <w:pPr>
              <w:overflowPunct w:val="0"/>
              <w:autoSpaceDE w:val="0"/>
              <w:autoSpaceDN w:val="0"/>
              <w:adjustRightInd w:val="0"/>
              <w:spacing w:line="240" w:lineRule="auto"/>
              <w:ind w:right="177"/>
              <w:textAlignment w:val="baseline"/>
              <w:rPr>
                <w:i/>
                <w:sz w:val="22"/>
                <w:szCs w:val="22"/>
              </w:rPr>
            </w:pPr>
            <w:r w:rsidRPr="00E93B07">
              <w:rPr>
                <w:i/>
                <w:sz w:val="22"/>
                <w:szCs w:val="22"/>
              </w:rPr>
              <w:t>E</w:t>
            </w:r>
            <w:r w:rsidRPr="00E93B07" w:rsidR="00016C21">
              <w:rPr>
                <w:i/>
                <w:sz w:val="22"/>
                <w:szCs w:val="22"/>
              </w:rPr>
              <w:t>-mail</w:t>
            </w:r>
          </w:p>
        </w:tc>
        <w:tc>
          <w:tcPr>
            <w:tcW w:w="3555" w:type="pct"/>
          </w:tcPr>
          <w:p w:rsidRPr="00E93B07" w:rsidR="00016C21" w:rsidP="00E93B07" w:rsidRDefault="00F95240" w14:paraId="78D8A06B" w14:textId="55A34C9F">
            <w:pPr>
              <w:overflowPunct w:val="0"/>
              <w:autoSpaceDE w:val="0"/>
              <w:autoSpaceDN w:val="0"/>
              <w:adjustRightInd w:val="0"/>
              <w:spacing w:line="240" w:lineRule="auto"/>
              <w:textAlignment w:val="baseline"/>
              <w:rPr>
                <w:i/>
                <w:sz w:val="22"/>
                <w:szCs w:val="22"/>
              </w:rPr>
            </w:pPr>
            <w:hyperlink w:history="1" r:id="rId33">
              <w:r w:rsidRPr="00E93B07" w:rsidR="000502CD">
                <w:rPr>
                  <w:color w:val="0000FF"/>
                  <w:sz w:val="22"/>
                  <w:szCs w:val="22"/>
                  <w:u w:val="single"/>
                </w:rPr>
                <w:t>Dalila.Bernard@eesc.europa.eu</w:t>
              </w:r>
            </w:hyperlink>
          </w:p>
          <w:p w:rsidRPr="00E93B07" w:rsidR="00016C21" w:rsidP="00E93B07" w:rsidRDefault="00016C21" w14:paraId="298F1AD7" w14:textId="77777777">
            <w:pPr>
              <w:overflowPunct w:val="0"/>
              <w:autoSpaceDE w:val="0"/>
              <w:autoSpaceDN w:val="0"/>
              <w:adjustRightInd w:val="0"/>
              <w:spacing w:line="240" w:lineRule="auto"/>
              <w:textAlignment w:val="baseline"/>
              <w:rPr>
                <w:i/>
                <w:sz w:val="22"/>
                <w:szCs w:val="22"/>
              </w:rPr>
            </w:pPr>
          </w:p>
        </w:tc>
      </w:tr>
    </w:tbl>
    <w:p w:rsidR="00DC121F" w:rsidRDefault="00DC121F" w14:paraId="6AFE14EC" w14:textId="0BBC5EDB">
      <w:pPr>
        <w:spacing w:after="160" w:line="259" w:lineRule="auto"/>
        <w:jc w:val="left"/>
        <w:rPr>
          <w:sz w:val="16"/>
          <w:szCs w:val="16"/>
        </w:rPr>
      </w:pPr>
      <w:r>
        <w:br w:type="page"/>
      </w:r>
    </w:p>
    <w:p w:rsidRPr="00EE2FBD" w:rsidR="004C3902" w:rsidP="00234EA0" w:rsidRDefault="008E2A59" w14:paraId="7AD922B6" w14:textId="6D6B967E">
      <w:pPr>
        <w:pStyle w:val="Heading1"/>
        <w:ind w:hanging="928"/>
        <w:rPr>
          <w:b/>
          <w:bCs/>
        </w:rPr>
      </w:pPr>
      <w:bookmarkStart w:name="_Toc153539681" w:id="28"/>
      <w:bookmarkStart w:name="_Toc159938454" w:id="29"/>
      <w:r>
        <w:rPr>
          <w:b/>
        </w:rPr>
        <w:lastRenderedPageBreak/>
        <w:t>AGRICOLTURA, SVILUPPO RURALE, AMBIENTE</w:t>
      </w:r>
      <w:bookmarkStart w:name="_Hlk145944317" w:id="30"/>
      <w:bookmarkEnd w:id="28"/>
      <w:bookmarkEnd w:id="29"/>
    </w:p>
    <w:bookmarkEnd w:id="30"/>
    <w:p w:rsidRPr="00094B6B" w:rsidR="002C016E" w:rsidP="00DE43CE" w:rsidRDefault="002C016E" w14:paraId="0E7342A4" w14:textId="73254B30">
      <w:pPr>
        <w:keepNext/>
        <w:keepLines/>
        <w:jc w:val="left"/>
        <w:rPr>
          <w:bCs/>
          <w:iCs/>
        </w:rPr>
      </w:pPr>
    </w:p>
    <w:p w:rsidRPr="00016C21" w:rsidR="00016C21" w:rsidP="00E93B07" w:rsidRDefault="00F95240" w14:paraId="48966958" w14:textId="74BF4B3F">
      <w:pPr>
        <w:numPr>
          <w:ilvl w:val="0"/>
          <w:numId w:val="3"/>
        </w:numPr>
        <w:overflowPunct w:val="0"/>
        <w:autoSpaceDE w:val="0"/>
        <w:autoSpaceDN w:val="0"/>
        <w:adjustRightInd w:val="0"/>
        <w:spacing w:line="276" w:lineRule="auto"/>
        <w:ind w:left="567" w:hanging="499"/>
        <w:contextualSpacing/>
        <w:textAlignment w:val="baseline"/>
        <w:rPr>
          <w:i/>
          <w:iCs/>
        </w:rPr>
      </w:pPr>
      <w:hyperlink w:history="1" r:id="rId34">
        <w:r w:rsidR="000502CD">
          <w:rPr>
            <w:b/>
            <w:i/>
            <w:color w:val="0000FF"/>
            <w:sz w:val="28"/>
            <w:u w:val="single"/>
          </w:rPr>
          <w:t>Prevenzione delle dispersioni di pellet di plastica per ridurre l'inquinamento da microplastiche</w:t>
        </w:r>
      </w:hyperlink>
    </w:p>
    <w:p w:rsidR="00016C21" w:rsidP="00016C21" w:rsidRDefault="00016C21" w14:paraId="4D542D75" w14:textId="1DD5ECBD">
      <w:pPr>
        <w:widowControl w:val="0"/>
        <w:overflowPunct w:val="0"/>
        <w:autoSpaceDE w:val="0"/>
        <w:autoSpaceDN w:val="0"/>
        <w:adjustRightInd w:val="0"/>
        <w:ind w:left="567"/>
        <w:textAlignment w:val="baseline"/>
        <w:rPr>
          <w:bCs/>
          <w:sz w:val="16"/>
          <w:szCs w:val="16"/>
        </w:rPr>
      </w:pPr>
    </w:p>
    <w:p w:rsidRPr="00016C21" w:rsidR="005E64DC" w:rsidP="00016C21" w:rsidRDefault="005E64DC" w14:paraId="32E7BE77" w14:textId="77777777">
      <w:pPr>
        <w:widowControl w:val="0"/>
        <w:overflowPunct w:val="0"/>
        <w:autoSpaceDE w:val="0"/>
        <w:autoSpaceDN w:val="0"/>
        <w:adjustRightInd w:val="0"/>
        <w:ind w:left="567"/>
        <w:textAlignment w:val="baseline"/>
        <w:rPr>
          <w:bCs/>
          <w:sz w:val="16"/>
          <w:szCs w:val="16"/>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016C21" w:rsidR="00016C21" w:rsidTr="00B05454" w14:paraId="2AA339FF" w14:textId="77777777">
        <w:tc>
          <w:tcPr>
            <w:tcW w:w="1701" w:type="dxa"/>
          </w:tcPr>
          <w:p w:rsidRPr="00E93B07" w:rsidR="00016C21" w:rsidP="005165CA" w:rsidRDefault="00422C9F" w14:paraId="3160CF33" w14:textId="75881A5F">
            <w:pPr>
              <w:tabs>
                <w:tab w:val="center" w:pos="284"/>
              </w:tabs>
              <w:overflowPunct w:val="0"/>
              <w:autoSpaceDE w:val="0"/>
              <w:autoSpaceDN w:val="0"/>
              <w:adjustRightInd w:val="0"/>
              <w:spacing w:line="276" w:lineRule="auto"/>
              <w:ind w:left="266" w:hanging="266"/>
              <w:textAlignment w:val="baseline"/>
              <w:rPr>
                <w:b/>
                <w:sz w:val="22"/>
                <w:szCs w:val="22"/>
              </w:rPr>
            </w:pPr>
            <w:r w:rsidRPr="00E93B07">
              <w:rPr>
                <w:b/>
                <w:sz w:val="22"/>
                <w:szCs w:val="22"/>
              </w:rPr>
              <w:t>Relatore</w:t>
            </w:r>
          </w:p>
        </w:tc>
        <w:tc>
          <w:tcPr>
            <w:tcW w:w="6096" w:type="dxa"/>
          </w:tcPr>
          <w:p w:rsidRPr="00E93B07" w:rsidR="00016C21" w:rsidP="005165CA" w:rsidRDefault="00016C21" w14:paraId="69F9AE5E" w14:textId="69B6A7C5">
            <w:pPr>
              <w:tabs>
                <w:tab w:val="center" w:pos="284"/>
              </w:tabs>
              <w:overflowPunct w:val="0"/>
              <w:autoSpaceDE w:val="0"/>
              <w:autoSpaceDN w:val="0"/>
              <w:adjustRightInd w:val="0"/>
              <w:spacing w:line="276" w:lineRule="auto"/>
              <w:ind w:left="266" w:hanging="266"/>
              <w:textAlignment w:val="baseline"/>
              <w:rPr>
                <w:bCs/>
                <w:sz w:val="22"/>
                <w:szCs w:val="22"/>
              </w:rPr>
            </w:pPr>
            <w:r w:rsidRPr="00E93B07">
              <w:rPr>
                <w:bCs/>
                <w:sz w:val="22"/>
                <w:szCs w:val="22"/>
              </w:rPr>
              <w:t>András EDELÉNYI</w:t>
            </w:r>
            <w:r w:rsidRPr="00E93B07">
              <w:rPr>
                <w:sz w:val="22"/>
                <w:szCs w:val="22"/>
              </w:rPr>
              <w:t xml:space="preserve"> (Datori di lavoro </w:t>
            </w:r>
            <w:r w:rsidRPr="00E93B07">
              <w:rPr>
                <w:color w:val="000000"/>
                <w:sz w:val="22"/>
                <w:szCs w:val="22"/>
              </w:rPr>
              <w:t>- HU</w:t>
            </w:r>
            <w:r w:rsidRPr="00E93B07">
              <w:rPr>
                <w:sz w:val="22"/>
                <w:szCs w:val="22"/>
              </w:rPr>
              <w:t>)</w:t>
            </w:r>
          </w:p>
        </w:tc>
      </w:tr>
      <w:tr w:rsidRPr="00016C21" w:rsidR="00016C21" w:rsidTr="00B05454" w14:paraId="3D2947AE" w14:textId="77777777">
        <w:tc>
          <w:tcPr>
            <w:tcW w:w="1701" w:type="dxa"/>
          </w:tcPr>
          <w:p w:rsidRPr="00E93B07" w:rsidR="00016C21" w:rsidP="005165CA" w:rsidRDefault="00422C9F" w14:paraId="52F4AA0D" w14:textId="698ADDD1">
            <w:pPr>
              <w:tabs>
                <w:tab w:val="center" w:pos="284"/>
              </w:tabs>
              <w:overflowPunct w:val="0"/>
              <w:autoSpaceDE w:val="0"/>
              <w:autoSpaceDN w:val="0"/>
              <w:adjustRightInd w:val="0"/>
              <w:spacing w:line="276" w:lineRule="auto"/>
              <w:ind w:left="266" w:hanging="266"/>
              <w:textAlignment w:val="baseline"/>
              <w:rPr>
                <w:b/>
                <w:sz w:val="22"/>
                <w:szCs w:val="22"/>
              </w:rPr>
            </w:pPr>
            <w:r w:rsidRPr="00E93B07">
              <w:rPr>
                <w:b/>
                <w:sz w:val="22"/>
                <w:szCs w:val="22"/>
              </w:rPr>
              <w:t>Correlatrice</w:t>
            </w:r>
          </w:p>
        </w:tc>
        <w:tc>
          <w:tcPr>
            <w:tcW w:w="6096" w:type="dxa"/>
          </w:tcPr>
          <w:p w:rsidRPr="00E93B07" w:rsidR="00016C21" w:rsidP="005165CA" w:rsidRDefault="00016C21" w14:paraId="0F2C9A54" w14:textId="1F4F2263">
            <w:pPr>
              <w:overflowPunct w:val="0"/>
              <w:autoSpaceDE w:val="0"/>
              <w:autoSpaceDN w:val="0"/>
              <w:adjustRightInd w:val="0"/>
              <w:spacing w:line="276" w:lineRule="auto"/>
              <w:textAlignment w:val="baseline"/>
              <w:rPr>
                <w:b/>
                <w:sz w:val="22"/>
                <w:szCs w:val="22"/>
              </w:rPr>
            </w:pPr>
            <w:r w:rsidRPr="00E93B07">
              <w:rPr>
                <w:sz w:val="22"/>
                <w:szCs w:val="22"/>
              </w:rPr>
              <w:t>Maria NIKOLOPOULOU (Lavoratori - ES)</w:t>
            </w:r>
          </w:p>
        </w:tc>
      </w:tr>
      <w:tr w:rsidRPr="00016C21" w:rsidR="00016C21" w:rsidTr="00B05454" w14:paraId="37E9B43F" w14:textId="77777777">
        <w:tc>
          <w:tcPr>
            <w:tcW w:w="7797" w:type="dxa"/>
            <w:gridSpan w:val="2"/>
          </w:tcPr>
          <w:p w:rsidRPr="00E93B07" w:rsidR="00016C21" w:rsidP="005165CA" w:rsidRDefault="00016C21" w14:paraId="73AFBCC5" w14:textId="77777777">
            <w:pPr>
              <w:tabs>
                <w:tab w:val="left" w:pos="2690"/>
              </w:tabs>
              <w:overflowPunct w:val="0"/>
              <w:autoSpaceDE w:val="0"/>
              <w:autoSpaceDN w:val="0"/>
              <w:adjustRightInd w:val="0"/>
              <w:spacing w:line="276" w:lineRule="auto"/>
              <w:ind w:left="266" w:hanging="266"/>
              <w:textAlignment w:val="baseline"/>
              <w:rPr>
                <w:sz w:val="22"/>
                <w:szCs w:val="22"/>
              </w:rPr>
            </w:pPr>
          </w:p>
        </w:tc>
      </w:tr>
      <w:tr w:rsidRPr="00016C21" w:rsidR="00016C21" w:rsidTr="00B05454" w14:paraId="15D23674" w14:textId="77777777">
        <w:tc>
          <w:tcPr>
            <w:tcW w:w="1701" w:type="dxa"/>
            <w:vMerge w:val="restart"/>
          </w:tcPr>
          <w:p w:rsidRPr="00E93B07" w:rsidR="00016C21" w:rsidP="005165CA" w:rsidRDefault="00016C21" w14:paraId="1BB4B745" w14:textId="77777777">
            <w:pPr>
              <w:tabs>
                <w:tab w:val="center" w:pos="284"/>
              </w:tabs>
              <w:overflowPunct w:val="0"/>
              <w:autoSpaceDE w:val="0"/>
              <w:autoSpaceDN w:val="0"/>
              <w:adjustRightInd w:val="0"/>
              <w:spacing w:line="276" w:lineRule="auto"/>
              <w:ind w:left="266" w:hanging="266"/>
              <w:textAlignment w:val="baseline"/>
              <w:rPr>
                <w:b/>
                <w:sz w:val="22"/>
                <w:szCs w:val="22"/>
              </w:rPr>
            </w:pPr>
            <w:r w:rsidRPr="00E93B07">
              <w:rPr>
                <w:b/>
                <w:sz w:val="22"/>
                <w:szCs w:val="22"/>
              </w:rPr>
              <w:t>Riferimento</w:t>
            </w:r>
          </w:p>
        </w:tc>
        <w:tc>
          <w:tcPr>
            <w:tcW w:w="6096" w:type="dxa"/>
          </w:tcPr>
          <w:p w:rsidRPr="00E93B07" w:rsidR="00016C21" w:rsidP="005165CA" w:rsidRDefault="00016C21" w14:paraId="7EE7987F" w14:textId="39E6E012">
            <w:pPr>
              <w:tabs>
                <w:tab w:val="center" w:pos="284"/>
              </w:tabs>
              <w:overflowPunct w:val="0"/>
              <w:autoSpaceDE w:val="0"/>
              <w:autoSpaceDN w:val="0"/>
              <w:adjustRightInd w:val="0"/>
              <w:spacing w:line="276" w:lineRule="auto"/>
              <w:ind w:left="266" w:hanging="266"/>
              <w:textAlignment w:val="baseline"/>
              <w:rPr>
                <w:sz w:val="22"/>
                <w:szCs w:val="22"/>
              </w:rPr>
            </w:pPr>
            <w:r w:rsidRPr="00E93B07">
              <w:rPr>
                <w:sz w:val="22"/>
                <w:szCs w:val="22"/>
              </w:rPr>
              <w:t>COM(2023) 645 final</w:t>
            </w:r>
          </w:p>
        </w:tc>
      </w:tr>
      <w:tr w:rsidRPr="00016C21" w:rsidR="00016C21" w:rsidTr="00B05454" w14:paraId="5C2E846C" w14:textId="77777777">
        <w:tc>
          <w:tcPr>
            <w:tcW w:w="1701" w:type="dxa"/>
            <w:vMerge/>
          </w:tcPr>
          <w:p w:rsidRPr="00E93B07" w:rsidR="00016C21" w:rsidP="005165CA" w:rsidRDefault="00016C21" w14:paraId="3C7FAC6C" w14:textId="77777777">
            <w:pPr>
              <w:tabs>
                <w:tab w:val="center" w:pos="284"/>
              </w:tabs>
              <w:overflowPunct w:val="0"/>
              <w:autoSpaceDE w:val="0"/>
              <w:autoSpaceDN w:val="0"/>
              <w:adjustRightInd w:val="0"/>
              <w:spacing w:line="276" w:lineRule="auto"/>
              <w:ind w:left="266" w:hanging="266"/>
              <w:textAlignment w:val="baseline"/>
              <w:rPr>
                <w:b/>
                <w:sz w:val="22"/>
                <w:szCs w:val="22"/>
              </w:rPr>
            </w:pPr>
          </w:p>
        </w:tc>
        <w:tc>
          <w:tcPr>
            <w:tcW w:w="6096" w:type="dxa"/>
          </w:tcPr>
          <w:p w:rsidRPr="00E93B07" w:rsidR="00016C21" w:rsidP="005165CA" w:rsidRDefault="00016C21" w14:paraId="0906927D" w14:textId="692EDD8A">
            <w:pPr>
              <w:tabs>
                <w:tab w:val="center" w:pos="284"/>
              </w:tabs>
              <w:overflowPunct w:val="0"/>
              <w:autoSpaceDE w:val="0"/>
              <w:autoSpaceDN w:val="0"/>
              <w:adjustRightInd w:val="0"/>
              <w:spacing w:line="276" w:lineRule="auto"/>
              <w:ind w:left="266" w:hanging="266"/>
              <w:textAlignment w:val="baseline"/>
              <w:rPr>
                <w:sz w:val="22"/>
                <w:szCs w:val="22"/>
              </w:rPr>
            </w:pPr>
            <w:r w:rsidRPr="00E93B07">
              <w:rPr>
                <w:sz w:val="22"/>
                <w:szCs w:val="22"/>
              </w:rPr>
              <w:t>EESC-2023-04923-00-00-AC</w:t>
            </w:r>
          </w:p>
        </w:tc>
      </w:tr>
    </w:tbl>
    <w:p w:rsidR="00C05C6B" w:rsidP="005E64DC" w:rsidRDefault="00C05C6B" w14:paraId="53A18EF3" w14:textId="77777777">
      <w:pPr>
        <w:keepNext/>
        <w:keepLines/>
        <w:tabs>
          <w:tab w:val="center" w:pos="284"/>
        </w:tabs>
        <w:overflowPunct w:val="0"/>
        <w:autoSpaceDE w:val="0"/>
        <w:autoSpaceDN w:val="0"/>
        <w:adjustRightInd w:val="0"/>
        <w:spacing w:line="276" w:lineRule="auto"/>
        <w:ind w:left="266" w:hanging="124"/>
        <w:textAlignment w:val="baseline"/>
        <w:rPr>
          <w:b/>
        </w:rPr>
      </w:pPr>
    </w:p>
    <w:p w:rsidRPr="00016C21" w:rsidR="00016C21" w:rsidP="005165CA" w:rsidRDefault="00016C21" w14:paraId="7C49C143" w14:textId="4C6ED9AD">
      <w:pPr>
        <w:keepNext/>
        <w:keepLines/>
        <w:tabs>
          <w:tab w:val="center" w:pos="284"/>
        </w:tabs>
        <w:overflowPunct w:val="0"/>
        <w:autoSpaceDE w:val="0"/>
        <w:autoSpaceDN w:val="0"/>
        <w:adjustRightInd w:val="0"/>
        <w:spacing w:line="276" w:lineRule="auto"/>
        <w:ind w:left="266" w:hanging="124"/>
        <w:textAlignment w:val="baseline"/>
        <w:rPr>
          <w:b/>
        </w:rPr>
      </w:pPr>
      <w:r>
        <w:rPr>
          <w:b/>
        </w:rPr>
        <w:t>Punti principali</w:t>
      </w:r>
    </w:p>
    <w:p w:rsidRPr="00016C21" w:rsidR="00016C21" w:rsidRDefault="00016C21" w14:paraId="34882F56"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rPr>
      </w:pPr>
    </w:p>
    <w:p w:rsidR="00016C21" w:rsidP="005165CA" w:rsidRDefault="00016C21" w14:paraId="678CC3CA" w14:textId="6F26DAA6">
      <w:pPr>
        <w:overflowPunct w:val="0"/>
        <w:autoSpaceDE w:val="0"/>
        <w:autoSpaceDN w:val="0"/>
        <w:adjustRightInd w:val="0"/>
        <w:spacing w:line="276" w:lineRule="auto"/>
        <w:ind w:firstLine="142"/>
        <w:textAlignment w:val="baseline"/>
        <w:rPr>
          <w:bCs/>
          <w:iCs/>
        </w:rPr>
      </w:pPr>
      <w:r>
        <w:t>Il CESE:</w:t>
      </w:r>
    </w:p>
    <w:p w:rsidRPr="00016C21" w:rsidR="005E64DC" w:rsidP="005165CA" w:rsidRDefault="005E64DC" w14:paraId="409EF56F" w14:textId="77777777">
      <w:pPr>
        <w:overflowPunct w:val="0"/>
        <w:autoSpaceDE w:val="0"/>
        <w:autoSpaceDN w:val="0"/>
        <w:adjustRightInd w:val="0"/>
        <w:spacing w:line="276" w:lineRule="auto"/>
        <w:textAlignment w:val="baseline"/>
        <w:rPr>
          <w:bCs/>
          <w:iCs/>
        </w:rPr>
      </w:pPr>
    </w:p>
    <w:p w:rsidRPr="005165CA" w:rsidR="00016C21" w:rsidP="005165CA" w:rsidRDefault="00016C21" w14:paraId="1E401C83"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2" w:id="31"/>
      <w:bookmarkStart w:name="_Toc159938455" w:id="32"/>
      <w:r>
        <w:t xml:space="preserve">condivide e </w:t>
      </w:r>
      <w:r>
        <w:rPr>
          <w:b/>
        </w:rPr>
        <w:t>sostiene in linea generale la proposta della Commissione</w:t>
      </w:r>
      <w:r>
        <w:t xml:space="preserve"> di regolamentare le operazioni relative ai pellet di microplastica e le emissioni di tali pellet, nonché di ridurre il pericoloso inquinamento in tale settore specifico;</w:t>
      </w:r>
      <w:bookmarkEnd w:id="31"/>
      <w:bookmarkEnd w:id="32"/>
    </w:p>
    <w:p w:rsidRPr="005165CA" w:rsidR="00016C21" w:rsidP="005165CA" w:rsidRDefault="00016C21" w14:paraId="1C92984C"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2"/>
          <w:szCs w:val="20"/>
        </w:rPr>
      </w:pPr>
      <w:bookmarkStart w:name="_Toc159831773" w:id="33"/>
      <w:bookmarkStart w:name="_Toc159938456" w:id="34"/>
      <w:r>
        <w:t xml:space="preserve">sottolinea l'urgenza di </w:t>
      </w:r>
      <w:r>
        <w:rPr>
          <w:b/>
        </w:rPr>
        <w:t>sviluppare la metodologia standardizzata per monitorare e valutare</w:t>
      </w:r>
      <w:r>
        <w:t xml:space="preserve"> adeguatamente </w:t>
      </w:r>
      <w:r>
        <w:rPr>
          <w:b/>
        </w:rPr>
        <w:t>l'entità della dispersione di pellet di microplastica</w:t>
      </w:r>
      <w:r>
        <w:t xml:space="preserve"> lungo l'intera catena di approvvigionamento. Ciò potrebbe consentire di stimare le emissioni e monitorare i progressi compiuti verso il conseguimento dell'obiettivo fissato, che consiste nel ridurre tale dispersione del 30 % entro il 2030;</w:t>
      </w:r>
      <w:bookmarkEnd w:id="33"/>
      <w:bookmarkEnd w:id="34"/>
    </w:p>
    <w:p w:rsidRPr="005165CA" w:rsidR="00016C21" w:rsidP="005165CA" w:rsidRDefault="00016C21" w14:paraId="3EE952C2"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8"/>
          <w:szCs w:val="20"/>
        </w:rPr>
      </w:pPr>
      <w:bookmarkStart w:name="_Toc159831774" w:id="35"/>
      <w:bookmarkStart w:name="_Toc159938457" w:id="36"/>
      <w:r>
        <w:t xml:space="preserve">raccomanda che l'UE </w:t>
      </w:r>
      <w:r>
        <w:rPr>
          <w:b/>
        </w:rPr>
        <w:t>si allinei al processo legislativo dell'Organizzazione marittima internazionale (OMI)</w:t>
      </w:r>
      <w:r>
        <w:t>. Se l'OMI non stabilisce delle regole entro la metà del 2026, la Commissione dovrebbe prendere in considerazione disposizioni applicabili ai trasporti marittimi all'interno dell'UE, oltre a porre le basi per affrontare la questione delle microplastiche secondarie derivanti da pneumatici, vernici, tessili, geotessili e detergenti in pastiglie;</w:t>
      </w:r>
      <w:bookmarkEnd w:id="35"/>
      <w:bookmarkEnd w:id="36"/>
    </w:p>
    <w:p w:rsidRPr="005165CA" w:rsidR="00016C21" w:rsidP="005165CA" w:rsidRDefault="00016C21" w14:paraId="1818AA54"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5" w:id="37"/>
      <w:bookmarkStart w:name="_Toc159938458" w:id="38"/>
      <w:r>
        <w:t xml:space="preserve">suggerisce, per quanto riguarda gli aspetti relativi alla protezione dell'ambiente e della salute umana, </w:t>
      </w:r>
      <w:r>
        <w:rPr>
          <w:b/>
        </w:rPr>
        <w:t>di considerare</w:t>
      </w:r>
      <w:r>
        <w:t xml:space="preserve"> nel regolamento, come potenziali punti di intervento per la mitigazione e la riduzione dell'inquinamento, </w:t>
      </w:r>
      <w:r>
        <w:rPr>
          <w:b/>
        </w:rPr>
        <w:t>le aree geografiche</w:t>
      </w:r>
      <w:r>
        <w:t xml:space="preserve"> più esposte alle emissioni di microplastiche;</w:t>
      </w:r>
      <w:bookmarkEnd w:id="37"/>
      <w:bookmarkEnd w:id="38"/>
    </w:p>
    <w:p w:rsidRPr="005165CA" w:rsidR="00016C21" w:rsidP="005165CA" w:rsidRDefault="00016C21" w14:paraId="054B27CB"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6" w:id="39"/>
      <w:bookmarkStart w:name="_Toc159938459" w:id="40"/>
      <w:r>
        <w:t xml:space="preserve">sottolinea la necessità di </w:t>
      </w:r>
      <w:r>
        <w:rPr>
          <w:b/>
        </w:rPr>
        <w:t>aumentare la frequenza delle verifiche di conformità e di introdurre una revisione intermedia della legislazione</w:t>
      </w:r>
      <w:r>
        <w:t xml:space="preserve"> per valutarne l'efficienza e rivedere e, se necessario, adeguare il limite di volume per i pellet trattati previsto per l'applicazione di requisiti normativi meno onerosi alle microimprese e alle piccole e medie imprese;</w:t>
      </w:r>
      <w:bookmarkEnd w:id="39"/>
      <w:bookmarkEnd w:id="40"/>
    </w:p>
    <w:p w:rsidRPr="005165CA" w:rsidR="00016C21" w:rsidP="005165CA" w:rsidRDefault="00016C21" w14:paraId="2F4250F7"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7" w:id="41"/>
      <w:bookmarkStart w:name="_Toc159938460" w:id="42"/>
      <w:r>
        <w:t xml:space="preserve">fa presente che la rapida crescita della produzione di pellet di plastica vergine e riciclata rende sempre più difficile attenuarne l'impatto. Occorre pertanto accelerare gli sforzi per </w:t>
      </w:r>
      <w:r>
        <w:rPr>
          <w:b/>
        </w:rPr>
        <w:t>attuare</w:t>
      </w:r>
      <w:r>
        <w:t xml:space="preserve"> il regolamento </w:t>
      </w:r>
      <w:r>
        <w:rPr>
          <w:b/>
        </w:rPr>
        <w:t>e farlo rispettare</w:t>
      </w:r>
      <w:r>
        <w:t>;</w:t>
      </w:r>
      <w:bookmarkEnd w:id="41"/>
      <w:bookmarkEnd w:id="42"/>
    </w:p>
    <w:p w:rsidRPr="005165CA" w:rsidR="00016C21" w:rsidP="005165CA" w:rsidRDefault="00016C21" w14:paraId="1E28F2BE"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8" w:id="43"/>
      <w:bookmarkStart w:name="_Toc159938461" w:id="44"/>
      <w:r>
        <w:t>osserva che non vi è un'elevata domanda di nuovi lavoratori, tranne che nei settori caratterizzati da lavoro impiegatizio rispettoso dell'ambiente (</w:t>
      </w:r>
      <w:r>
        <w:rPr>
          <w:i/>
          <w:iCs/>
        </w:rPr>
        <w:t>green collar</w:t>
      </w:r>
      <w:r>
        <w:t xml:space="preserve">), ma che </w:t>
      </w:r>
      <w:r>
        <w:rPr>
          <w:b/>
        </w:rPr>
        <w:t>occorre aumentare i livelli di consapevolezza e di formazione di tutta la forza lavoro</w:t>
      </w:r>
      <w:r>
        <w:t>;</w:t>
      </w:r>
      <w:bookmarkEnd w:id="43"/>
      <w:bookmarkEnd w:id="44"/>
    </w:p>
    <w:p w:rsidRPr="005165CA" w:rsidR="00016C21" w:rsidP="005165CA" w:rsidRDefault="00016C21" w14:paraId="23F522CA"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9" w:id="45"/>
      <w:bookmarkStart w:name="_Toc159938462" w:id="46"/>
      <w:r>
        <w:t xml:space="preserve">sottolinea che </w:t>
      </w:r>
      <w:r>
        <w:rPr>
          <w:b/>
        </w:rPr>
        <w:t>si dovrebbero prendere in considerazione gli aspetti internazionali del regolamento</w:t>
      </w:r>
      <w:r>
        <w:t xml:space="preserve"> per garantire parità di condizioni di concorrenza tra gli operatori dell'UE che rispettano il regolamento e gli operatori di paesi terzi;</w:t>
      </w:r>
      <w:bookmarkEnd w:id="45"/>
      <w:bookmarkEnd w:id="46"/>
    </w:p>
    <w:p w:rsidRPr="005165CA" w:rsidR="00016C21" w:rsidP="005165CA" w:rsidRDefault="00016C21" w14:paraId="0E4468F7"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4"/>
          <w:szCs w:val="20"/>
        </w:rPr>
      </w:pPr>
      <w:bookmarkStart w:name="_Toc159831780" w:id="47"/>
      <w:bookmarkStart w:name="_Toc159938463" w:id="48"/>
      <w:r>
        <w:t>sottolinea l'esigenza di intensificare le attività scientifiche e di ricerca, anzitutto per comprendere gli effetti nocivi sulla salute umana ed ecologica derivanti dall'inquinamento da pellet di microplastica;</w:t>
      </w:r>
      <w:bookmarkEnd w:id="47"/>
      <w:bookmarkEnd w:id="48"/>
    </w:p>
    <w:p w:rsidRPr="005165CA" w:rsidR="00016C21" w:rsidP="005165CA" w:rsidRDefault="00016C21" w14:paraId="717B8D71"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6"/>
          <w:szCs w:val="20"/>
        </w:rPr>
      </w:pPr>
      <w:bookmarkStart w:name="_Toc159831781" w:id="49"/>
      <w:bookmarkStart w:name="_Toc159938464" w:id="50"/>
      <w:r>
        <w:lastRenderedPageBreak/>
        <w:t xml:space="preserve">suggerisce di </w:t>
      </w:r>
      <w:r>
        <w:rPr>
          <w:b/>
        </w:rPr>
        <w:t>rivedere le migliori tecniche disponibili</w:t>
      </w:r>
      <w:r>
        <w:t xml:space="preserve"> per gli operatori economici al fine di includere le perdite di pellet.</w:t>
      </w:r>
      <w:bookmarkEnd w:id="49"/>
      <w:bookmarkEnd w:id="50"/>
    </w:p>
    <w:p w:rsidR="00016C21" w:rsidP="00016C21" w:rsidRDefault="00016C21" w14:paraId="2BEE0D5B" w14:textId="4403D595">
      <w:pPr>
        <w:keepNext/>
        <w:keepLines/>
        <w:overflowPunct w:val="0"/>
        <w:autoSpaceDE w:val="0"/>
        <w:autoSpaceDN w:val="0"/>
        <w:adjustRightInd w:val="0"/>
        <w:spacing w:line="240" w:lineRule="auto"/>
        <w:textAlignment w:val="baseline"/>
        <w:rPr>
          <w:sz w:val="16"/>
          <w:szCs w:val="16"/>
        </w:rPr>
      </w:pPr>
    </w:p>
    <w:p w:rsidRPr="00016C21" w:rsidR="00DC108A" w:rsidP="00016C21" w:rsidRDefault="00DC108A" w14:paraId="62259C3A" w14:textId="77777777">
      <w:pPr>
        <w:keepNext/>
        <w:keepLines/>
        <w:overflowPunct w:val="0"/>
        <w:autoSpaceDE w:val="0"/>
        <w:autoSpaceDN w:val="0"/>
        <w:adjustRightInd w:val="0"/>
        <w:spacing w:line="240" w:lineRule="auto"/>
        <w:textAlignment w:val="baseline"/>
        <w:rPr>
          <w:sz w:val="16"/>
          <w:szCs w:val="16"/>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016C21" w:rsidR="00016C21" w:rsidTr="00B05454" w14:paraId="5AD55413" w14:textId="77777777">
        <w:tc>
          <w:tcPr>
            <w:tcW w:w="1418" w:type="dxa"/>
          </w:tcPr>
          <w:p w:rsidRPr="00E93B07" w:rsidR="00016C21" w:rsidP="00016C21" w:rsidRDefault="00016C21" w14:paraId="668325B6" w14:textId="77777777">
            <w:pPr>
              <w:keepNext/>
              <w:keepLines/>
              <w:overflowPunct w:val="0"/>
              <w:autoSpaceDE w:val="0"/>
              <w:autoSpaceDN w:val="0"/>
              <w:adjustRightInd w:val="0"/>
              <w:spacing w:line="240" w:lineRule="auto"/>
              <w:ind w:left="34" w:right="-253"/>
              <w:textAlignment w:val="baseline"/>
              <w:rPr>
                <w:i/>
                <w:sz w:val="22"/>
                <w:szCs w:val="22"/>
              </w:rPr>
            </w:pPr>
            <w:r w:rsidRPr="00E93B07">
              <w:rPr>
                <w:b/>
                <w:i/>
                <w:sz w:val="22"/>
                <w:szCs w:val="22"/>
              </w:rPr>
              <w:t>Contatto</w:t>
            </w:r>
          </w:p>
        </w:tc>
        <w:tc>
          <w:tcPr>
            <w:tcW w:w="5670" w:type="dxa"/>
          </w:tcPr>
          <w:p w:rsidRPr="00E93B07" w:rsidR="00016C21" w:rsidP="00E93B07" w:rsidRDefault="00016C21" w14:paraId="504AA629" w14:textId="77777777">
            <w:pPr>
              <w:keepNext/>
              <w:keepLines/>
              <w:overflowPunct w:val="0"/>
              <w:autoSpaceDE w:val="0"/>
              <w:autoSpaceDN w:val="0"/>
              <w:adjustRightInd w:val="0"/>
              <w:spacing w:line="240" w:lineRule="auto"/>
              <w:ind w:left="321"/>
              <w:textAlignment w:val="baseline"/>
              <w:rPr>
                <w:i/>
                <w:iCs/>
                <w:sz w:val="22"/>
                <w:szCs w:val="22"/>
              </w:rPr>
            </w:pPr>
            <w:r w:rsidRPr="00E93B07">
              <w:rPr>
                <w:i/>
                <w:sz w:val="22"/>
                <w:szCs w:val="22"/>
              </w:rPr>
              <w:t>Caroline VERHELST</w:t>
            </w:r>
          </w:p>
        </w:tc>
      </w:tr>
      <w:tr w:rsidRPr="00422C9F" w:rsidR="00016C21" w:rsidTr="00B05454" w14:paraId="12754F25" w14:textId="77777777">
        <w:tc>
          <w:tcPr>
            <w:tcW w:w="1418" w:type="dxa"/>
          </w:tcPr>
          <w:p w:rsidRPr="00E93B07" w:rsidR="00016C21" w:rsidP="00016C21" w:rsidRDefault="00016C21" w14:paraId="45074D4B" w14:textId="77777777">
            <w:pPr>
              <w:keepNext/>
              <w:keepLines/>
              <w:overflowPunct w:val="0"/>
              <w:autoSpaceDE w:val="0"/>
              <w:autoSpaceDN w:val="0"/>
              <w:adjustRightInd w:val="0"/>
              <w:spacing w:line="240" w:lineRule="auto"/>
              <w:ind w:left="34"/>
              <w:textAlignment w:val="baseline"/>
              <w:rPr>
                <w:i/>
                <w:sz w:val="22"/>
                <w:szCs w:val="22"/>
              </w:rPr>
            </w:pPr>
            <w:r w:rsidRPr="00E93B07">
              <w:rPr>
                <w:i/>
                <w:sz w:val="22"/>
                <w:szCs w:val="22"/>
              </w:rPr>
              <w:t>Tel.</w:t>
            </w:r>
          </w:p>
        </w:tc>
        <w:tc>
          <w:tcPr>
            <w:tcW w:w="5670" w:type="dxa"/>
          </w:tcPr>
          <w:p w:rsidRPr="00E93B07" w:rsidR="00016C21" w:rsidP="00E93B07" w:rsidRDefault="00016C21" w14:paraId="442D21C5" w14:textId="77777777">
            <w:pPr>
              <w:keepNext/>
              <w:keepLines/>
              <w:overflowPunct w:val="0"/>
              <w:autoSpaceDE w:val="0"/>
              <w:autoSpaceDN w:val="0"/>
              <w:adjustRightInd w:val="0"/>
              <w:spacing w:line="240" w:lineRule="auto"/>
              <w:ind w:left="321"/>
              <w:textAlignment w:val="baseline"/>
              <w:rPr>
                <w:i/>
                <w:iCs/>
                <w:sz w:val="22"/>
                <w:szCs w:val="22"/>
              </w:rPr>
            </w:pPr>
            <w:r w:rsidRPr="00E93B07">
              <w:rPr>
                <w:i/>
                <w:sz w:val="22"/>
                <w:szCs w:val="22"/>
              </w:rPr>
              <w:t>+32 25469497</w:t>
            </w:r>
          </w:p>
        </w:tc>
      </w:tr>
      <w:tr w:rsidRPr="00422C9F" w:rsidR="00016C21" w:rsidTr="00B05454" w14:paraId="249DD5BE" w14:textId="77777777">
        <w:tc>
          <w:tcPr>
            <w:tcW w:w="1418" w:type="dxa"/>
          </w:tcPr>
          <w:p w:rsidRPr="00E93B07" w:rsidR="00016C21" w:rsidP="00016C21" w:rsidRDefault="00422C9F" w14:paraId="396A0A58" w14:textId="36218B7F">
            <w:pPr>
              <w:overflowPunct w:val="0"/>
              <w:autoSpaceDE w:val="0"/>
              <w:autoSpaceDN w:val="0"/>
              <w:adjustRightInd w:val="0"/>
              <w:spacing w:line="240" w:lineRule="auto"/>
              <w:ind w:left="34"/>
              <w:textAlignment w:val="baseline"/>
              <w:rPr>
                <w:i/>
                <w:sz w:val="22"/>
                <w:szCs w:val="22"/>
              </w:rPr>
            </w:pPr>
            <w:r w:rsidRPr="00E93B07">
              <w:rPr>
                <w:i/>
                <w:sz w:val="22"/>
                <w:szCs w:val="22"/>
              </w:rPr>
              <w:t>E</w:t>
            </w:r>
            <w:r w:rsidRPr="00E93B07" w:rsidR="00DC108A">
              <w:rPr>
                <w:i/>
                <w:sz w:val="22"/>
                <w:szCs w:val="22"/>
              </w:rPr>
              <w:t>-mail</w:t>
            </w:r>
          </w:p>
        </w:tc>
        <w:tc>
          <w:tcPr>
            <w:tcW w:w="5670" w:type="dxa"/>
          </w:tcPr>
          <w:p w:rsidRPr="00E93B07" w:rsidR="00016C21" w:rsidP="00E93B07" w:rsidRDefault="00F95240" w14:paraId="341BABE2" w14:textId="77777777">
            <w:pPr>
              <w:overflowPunct w:val="0"/>
              <w:autoSpaceDE w:val="0"/>
              <w:autoSpaceDN w:val="0"/>
              <w:adjustRightInd w:val="0"/>
              <w:spacing w:line="240" w:lineRule="auto"/>
              <w:ind w:left="321"/>
              <w:textAlignment w:val="baseline"/>
              <w:rPr>
                <w:i/>
                <w:iCs/>
                <w:color w:val="0000FF"/>
                <w:sz w:val="22"/>
                <w:szCs w:val="22"/>
                <w:u w:val="single"/>
              </w:rPr>
            </w:pPr>
            <w:hyperlink w:history="1" r:id="rId35">
              <w:r w:rsidRPr="00E93B07" w:rsidR="000502CD">
                <w:rPr>
                  <w:i/>
                  <w:color w:val="0000FF"/>
                  <w:sz w:val="22"/>
                  <w:szCs w:val="22"/>
                  <w:u w:val="single"/>
                </w:rPr>
                <w:t>Caroline.Verhelst@eesc.europa.eu</w:t>
              </w:r>
            </w:hyperlink>
          </w:p>
        </w:tc>
      </w:tr>
    </w:tbl>
    <w:p w:rsidR="00E93B07" w:rsidRDefault="00E93B07" w14:paraId="6AD61F9D" w14:textId="419FA86C">
      <w:pPr>
        <w:spacing w:after="160" w:line="259" w:lineRule="auto"/>
        <w:jc w:val="left"/>
        <w:rPr>
          <w:b/>
          <w:bCs/>
        </w:rPr>
      </w:pPr>
    </w:p>
    <w:p w:rsidR="00E93B07" w:rsidRDefault="00E93B07" w14:paraId="250D1832" w14:textId="77777777">
      <w:pPr>
        <w:spacing w:after="160" w:line="259" w:lineRule="auto"/>
        <w:jc w:val="left"/>
        <w:rPr>
          <w:b/>
          <w:bCs/>
        </w:rPr>
      </w:pPr>
      <w:r>
        <w:rPr>
          <w:b/>
          <w:bCs/>
        </w:rPr>
        <w:br w:type="page"/>
      </w:r>
    </w:p>
    <w:p w:rsidRPr="00422C9F" w:rsidR="006B3316" w:rsidP="0074419C" w:rsidRDefault="005374D2" w14:paraId="4FE1ECEE" w14:textId="7B16969B">
      <w:pPr>
        <w:pStyle w:val="Heading1"/>
        <w:ind w:hanging="928"/>
        <w:rPr>
          <w:b/>
          <w:bCs/>
        </w:rPr>
      </w:pPr>
      <w:bookmarkStart w:name="_Toc153539702" w:id="51"/>
      <w:bookmarkStart w:name="_Toc159938465" w:id="52"/>
      <w:r w:rsidRPr="00422C9F">
        <w:rPr>
          <w:b/>
        </w:rPr>
        <w:lastRenderedPageBreak/>
        <w:t>RELAZIONI ESTERNE</w:t>
      </w:r>
      <w:bookmarkEnd w:id="51"/>
      <w:bookmarkEnd w:id="52"/>
    </w:p>
    <w:p w:rsidRPr="00422C9F" w:rsidR="00BD0493" w:rsidP="00BD0493" w:rsidRDefault="00BD0493" w14:paraId="10EC00FD" w14:textId="45B98434"/>
    <w:p w:rsidRPr="00422C9F" w:rsidR="00231267" w:rsidP="005165CA" w:rsidRDefault="00F95240" w14:paraId="1DBCF0C9" w14:textId="636E23A2">
      <w:pPr>
        <w:widowControl w:val="0"/>
        <w:numPr>
          <w:ilvl w:val="0"/>
          <w:numId w:val="12"/>
        </w:numPr>
        <w:overflowPunct w:val="0"/>
        <w:autoSpaceDE w:val="0"/>
        <w:autoSpaceDN w:val="0"/>
        <w:adjustRightInd w:val="0"/>
        <w:ind w:hanging="720"/>
        <w:jc w:val="left"/>
        <w:textAlignment w:val="baseline"/>
        <w:rPr>
          <w:sz w:val="20"/>
          <w:szCs w:val="20"/>
        </w:rPr>
      </w:pPr>
      <w:hyperlink w:history="1" r:id="rId36">
        <w:r w:rsidRPr="00422C9F" w:rsidR="00422C9F">
          <w:rPr>
            <w:b/>
            <w:i/>
            <w:color w:val="0000FF"/>
            <w:sz w:val="28"/>
            <w:u w:val="single"/>
          </w:rPr>
          <w:t>Strategia</w:t>
        </w:r>
        <w:r w:rsidRPr="00422C9F" w:rsidR="007B6C34">
          <w:rPr>
            <w:b/>
            <w:i/>
            <w:color w:val="0000FF"/>
            <w:sz w:val="28"/>
            <w:u w:val="single"/>
          </w:rPr>
          <w:t xml:space="preserve"> europea per la sicurezza economica</w:t>
        </w:r>
      </w:hyperlink>
    </w:p>
    <w:p w:rsidRPr="00422C9F" w:rsidR="00231267" w:rsidP="00231267" w:rsidRDefault="00231267" w14:paraId="746E1E4A" w14:textId="77777777">
      <w:pPr>
        <w:widowControl w:val="0"/>
        <w:overflowPunct w:val="0"/>
        <w:autoSpaceDE w:val="0"/>
        <w:autoSpaceDN w:val="0"/>
        <w:adjustRightInd w:val="0"/>
        <w:jc w:val="left"/>
        <w:textAlignment w:val="baseline"/>
        <w:rPr>
          <w:sz w:val="20"/>
          <w:szCs w:val="20"/>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387"/>
      </w:tblGrid>
      <w:tr w:rsidRPr="00861CD2" w:rsidR="00231267" w:rsidTr="005165CA" w14:paraId="588E9B2D" w14:textId="77777777">
        <w:trPr>
          <w:trHeight w:val="330"/>
        </w:trPr>
        <w:tc>
          <w:tcPr>
            <w:tcW w:w="1843" w:type="dxa"/>
          </w:tcPr>
          <w:p w:rsidRPr="00861CD2" w:rsidR="00231267" w:rsidP="005165CA" w:rsidRDefault="00422C9F" w14:paraId="3F8D03D4" w14:textId="250F6C10">
            <w:pPr>
              <w:tabs>
                <w:tab w:val="center" w:pos="284"/>
              </w:tabs>
              <w:overflowPunct w:val="0"/>
              <w:autoSpaceDE w:val="0"/>
              <w:autoSpaceDN w:val="0"/>
              <w:adjustRightInd w:val="0"/>
              <w:ind w:left="266" w:hanging="376"/>
              <w:textAlignment w:val="baseline"/>
              <w:rPr>
                <w:b/>
                <w:sz w:val="22"/>
                <w:szCs w:val="22"/>
              </w:rPr>
            </w:pPr>
            <w:r w:rsidRPr="00861CD2">
              <w:rPr>
                <w:b/>
                <w:sz w:val="22"/>
                <w:szCs w:val="22"/>
              </w:rPr>
              <w:t>Relatrice</w:t>
            </w:r>
          </w:p>
        </w:tc>
        <w:tc>
          <w:tcPr>
            <w:tcW w:w="5387" w:type="dxa"/>
          </w:tcPr>
          <w:p w:rsidRPr="00861CD2" w:rsidR="00231267" w:rsidP="005165CA" w:rsidRDefault="00231267" w14:paraId="1FD8BB1A" w14:textId="7E220D42">
            <w:pPr>
              <w:tabs>
                <w:tab w:val="center" w:pos="2585"/>
              </w:tabs>
              <w:overflowPunct w:val="0"/>
              <w:autoSpaceDE w:val="0"/>
              <w:autoSpaceDN w:val="0"/>
              <w:adjustRightInd w:val="0"/>
              <w:ind w:left="317" w:hanging="424"/>
              <w:jc w:val="left"/>
              <w:textAlignment w:val="baseline"/>
              <w:rPr>
                <w:sz w:val="22"/>
                <w:szCs w:val="22"/>
              </w:rPr>
            </w:pPr>
            <w:r w:rsidRPr="00861CD2">
              <w:rPr>
                <w:sz w:val="22"/>
                <w:szCs w:val="22"/>
              </w:rPr>
              <w:t>Milena ANGELOVA (Datori di lavoro - BG)</w:t>
            </w:r>
          </w:p>
        </w:tc>
      </w:tr>
      <w:tr w:rsidRPr="00861CD2" w:rsidR="00231267" w:rsidTr="005165CA" w14:paraId="5246C778" w14:textId="77777777">
        <w:tc>
          <w:tcPr>
            <w:tcW w:w="1843" w:type="dxa"/>
          </w:tcPr>
          <w:p w:rsidRPr="00861CD2" w:rsidR="00231267" w:rsidP="005165CA" w:rsidRDefault="00231267" w14:paraId="71E3F92B" w14:textId="77777777">
            <w:pPr>
              <w:tabs>
                <w:tab w:val="center" w:pos="284"/>
              </w:tabs>
              <w:overflowPunct w:val="0"/>
              <w:autoSpaceDE w:val="0"/>
              <w:autoSpaceDN w:val="0"/>
              <w:adjustRightInd w:val="0"/>
              <w:ind w:left="266" w:hanging="376"/>
              <w:textAlignment w:val="baseline"/>
              <w:rPr>
                <w:b/>
                <w:sz w:val="22"/>
                <w:szCs w:val="22"/>
              </w:rPr>
            </w:pPr>
            <w:r w:rsidRPr="00861CD2">
              <w:rPr>
                <w:b/>
                <w:sz w:val="22"/>
                <w:szCs w:val="22"/>
              </w:rPr>
              <w:t>Riferimento</w:t>
            </w:r>
          </w:p>
        </w:tc>
        <w:tc>
          <w:tcPr>
            <w:tcW w:w="5387" w:type="dxa"/>
          </w:tcPr>
          <w:p w:rsidRPr="00861CD2" w:rsidR="00231267" w:rsidP="005165CA" w:rsidRDefault="00231267" w14:paraId="51DACF12" w14:textId="77777777">
            <w:pPr>
              <w:tabs>
                <w:tab w:val="center" w:pos="284"/>
              </w:tabs>
              <w:overflowPunct w:val="0"/>
              <w:autoSpaceDE w:val="0"/>
              <w:autoSpaceDN w:val="0"/>
              <w:adjustRightInd w:val="0"/>
              <w:ind w:left="266" w:hanging="376"/>
              <w:textAlignment w:val="baseline"/>
              <w:rPr>
                <w:sz w:val="22"/>
                <w:szCs w:val="22"/>
              </w:rPr>
            </w:pPr>
            <w:r w:rsidRPr="00861CD2">
              <w:rPr>
                <w:sz w:val="22"/>
                <w:szCs w:val="22"/>
              </w:rPr>
              <w:t>EESC-2023-04250-00-00-AC</w:t>
            </w:r>
          </w:p>
        </w:tc>
      </w:tr>
    </w:tbl>
    <w:p w:rsidRPr="00422C9F" w:rsidR="00231267" w:rsidP="00231267" w:rsidRDefault="00231267" w14:paraId="005F2FF2" w14:textId="77777777">
      <w:pPr>
        <w:keepNext/>
        <w:keepLines/>
        <w:tabs>
          <w:tab w:val="center" w:pos="284"/>
        </w:tabs>
        <w:overflowPunct w:val="0"/>
        <w:autoSpaceDE w:val="0"/>
        <w:autoSpaceDN w:val="0"/>
        <w:adjustRightInd w:val="0"/>
        <w:ind w:left="266" w:hanging="266"/>
        <w:textAlignment w:val="baseline"/>
        <w:rPr>
          <w:b/>
        </w:rPr>
      </w:pPr>
    </w:p>
    <w:p w:rsidRPr="00422C9F" w:rsidR="00231267" w:rsidP="00231267" w:rsidRDefault="00231267" w14:paraId="5EBF1939" w14:textId="77777777">
      <w:pPr>
        <w:keepNext/>
        <w:keepLines/>
        <w:tabs>
          <w:tab w:val="center" w:pos="284"/>
        </w:tabs>
        <w:overflowPunct w:val="0"/>
        <w:autoSpaceDE w:val="0"/>
        <w:autoSpaceDN w:val="0"/>
        <w:adjustRightInd w:val="0"/>
        <w:ind w:left="266" w:hanging="266"/>
        <w:textAlignment w:val="baseline"/>
        <w:rPr>
          <w:b/>
        </w:rPr>
      </w:pPr>
      <w:r w:rsidRPr="00422C9F">
        <w:rPr>
          <w:b/>
        </w:rPr>
        <w:t>Punti principali</w:t>
      </w:r>
    </w:p>
    <w:p w:rsidRPr="00422C9F" w:rsidR="00231267" w:rsidP="00231267" w:rsidRDefault="00231267" w14:paraId="64379665" w14:textId="77777777">
      <w:pPr>
        <w:keepNext/>
        <w:keepLines/>
        <w:tabs>
          <w:tab w:val="center" w:pos="284"/>
        </w:tabs>
        <w:overflowPunct w:val="0"/>
        <w:autoSpaceDE w:val="0"/>
        <w:autoSpaceDN w:val="0"/>
        <w:adjustRightInd w:val="0"/>
        <w:ind w:left="266" w:hanging="266"/>
        <w:textAlignment w:val="baseline"/>
        <w:rPr>
          <w:b/>
        </w:rPr>
      </w:pPr>
    </w:p>
    <w:p w:rsidRPr="00422C9F" w:rsidR="00231267" w:rsidP="00231267" w:rsidRDefault="00231267" w14:paraId="43917E21" w14:textId="07835E4F">
      <w:pPr>
        <w:overflowPunct w:val="0"/>
        <w:autoSpaceDE w:val="0"/>
        <w:autoSpaceDN w:val="0"/>
        <w:adjustRightInd w:val="0"/>
        <w:textAlignment w:val="baseline"/>
        <w:rPr>
          <w:bCs/>
          <w:iCs/>
        </w:rPr>
      </w:pPr>
      <w:r w:rsidRPr="00422C9F">
        <w:t>Il CESE:</w:t>
      </w:r>
    </w:p>
    <w:p w:rsidRPr="00422C9F" w:rsidR="00C05C6B" w:rsidP="00231267" w:rsidRDefault="00C05C6B" w14:paraId="55C5A328" w14:textId="77777777">
      <w:pPr>
        <w:overflowPunct w:val="0"/>
        <w:autoSpaceDE w:val="0"/>
        <w:autoSpaceDN w:val="0"/>
        <w:adjustRightInd w:val="0"/>
        <w:textAlignment w:val="baseline"/>
        <w:rPr>
          <w:bCs/>
          <w:iCs/>
        </w:rPr>
      </w:pPr>
    </w:p>
    <w:p w:rsidRPr="00231267" w:rsidR="00231267" w:rsidP="005165CA" w:rsidRDefault="00231267" w14:paraId="3FA07EDF" w14:textId="3F819ABB">
      <w:pPr>
        <w:widowControl w:val="0"/>
        <w:numPr>
          <w:ilvl w:val="0"/>
          <w:numId w:val="26"/>
        </w:numPr>
        <w:overflowPunct w:val="0"/>
        <w:autoSpaceDE w:val="0"/>
        <w:autoSpaceDN w:val="0"/>
        <w:adjustRightInd w:val="0"/>
        <w:spacing w:line="276" w:lineRule="auto"/>
        <w:ind w:left="284" w:hanging="284"/>
        <w:textAlignment w:val="baseline"/>
        <w:rPr>
          <w:szCs w:val="20"/>
        </w:rPr>
      </w:pPr>
      <w:r w:rsidRPr="00422C9F">
        <w:t>accoglie con favore la comunicazione "</w:t>
      </w:r>
      <w:r w:rsidRPr="00422C9F" w:rsidR="00422C9F">
        <w:t>Strategia</w:t>
      </w:r>
      <w:r w:rsidRPr="00422C9F">
        <w:t xml:space="preserve"> europea di sicurezza economica" in quanto iniziativa al passo coi tempi atta a rispondere alle nuove condizioni</w:t>
      </w:r>
      <w:r>
        <w:t xml:space="preserve"> geopolitiche e geoeconomiche e alla loro costante evoluzione. Pur approvando l'approccio basato sul rischio, il CESE chiede anche una valutazione globale dei punti di forza dell'UE e delle opportunità che le sfide globali possono presentare;</w:t>
      </w:r>
    </w:p>
    <w:p w:rsidRPr="00231267" w:rsidR="00231267" w:rsidP="005165CA" w:rsidRDefault="00231267" w14:paraId="0B300469"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sottolinea che gli investimenti nell'innovazione, nello sviluppo delle competenze e nelle capacità industriali, unitamente alla garanzia di un mercato interno ben funzionante, sono strumenti indispensabili sia per accrescere in misura sostanziale la produttività e la competitività sia per ridurre le dipendenze critiche preservando nel contempo l'economia sociale di mercato dell'UE. Altri aspetti fondamentali comprendono l'energia, le materie prime, la capacità digitale e un accesso stabile ai finanziamenti, il che richiede il completamento dell'Unione dei mercati dei capitali e dell'Unione bancaria;</w:t>
      </w:r>
    </w:p>
    <w:p w:rsidRPr="00231267" w:rsidR="00231267" w:rsidP="005165CA" w:rsidRDefault="00231267" w14:paraId="4C25E9FD"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 xml:space="preserve">chiede di sfruttare appieno gli accordi commerciali e di investimento e di concludere rapidamente i negoziati commerciali in corso, nonché di avviare nuovi negoziati con potenziali nuovi partner, al fine di diversificare le catene di approvvigionamento ed espandere i mercati dei prodotti. Anche la promozione di scambi commerciali multilaterali basati su regole e di accordi globali dovrebbe costituire una priorità per l'UE; </w:t>
      </w:r>
    </w:p>
    <w:p w:rsidRPr="00231267" w:rsidR="00231267" w:rsidP="005165CA" w:rsidRDefault="00231267" w14:paraId="658E7170"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sottolinea la necessità di misure risolute di contrasto e protezione relative al commercio, agli investimenti o alla cooperazione tecnologica nel caso in cui i paesi terzi rappresentino un rischio per la sicurezza economica dell'UE;</w:t>
      </w:r>
    </w:p>
    <w:p w:rsidRPr="00231267" w:rsidR="00231267" w:rsidP="005165CA" w:rsidRDefault="00231267" w14:paraId="24A2D06C"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 xml:space="preserve">invita i responsabili delle politiche dell'UE a creare condizioni più propizie e di maggiore sostegno alle imprese europee – comprese le MPMI – che consentano ad esse di gestire i rischi geoeconomici insiti nelle loro attività, nonché a evitare che le misure introdotte dalle politiche europee comportino costi o vincoli sproporzionati per le imprese stesse; </w:t>
      </w:r>
    </w:p>
    <w:p w:rsidRPr="00231267" w:rsidR="00231267" w:rsidP="005165CA" w:rsidRDefault="00231267" w14:paraId="152286F2"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chiede il coinvolgimento delle imprese dell'UE e di altri attori pertinenti della società civile nell'ulteriore elaborazione e attuazione della strategia di sicurezza economica e sottolinea la necessità di rafforzare le sinergie tra gli Stati membri, contribuendo in tal modo all'unità, alla forza globale e alla sicurezza economica generale dell'UE.</w:t>
      </w:r>
    </w:p>
    <w:p w:rsidRPr="00861CD2" w:rsidR="00231267" w:rsidP="00231267" w:rsidRDefault="00231267" w14:paraId="689F9EDE" w14:textId="77777777">
      <w:pPr>
        <w:widowControl w:val="0"/>
        <w:overflowPunct w:val="0"/>
        <w:autoSpaceDE w:val="0"/>
        <w:autoSpaceDN w:val="0"/>
        <w:adjustRightInd w:val="0"/>
        <w:ind w:left="709"/>
        <w:textAlignment w:val="baseline"/>
        <w:rPr>
          <w:sz w:val="20"/>
          <w:szCs w:val="18"/>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861CD2" w:rsidR="00231267" w:rsidTr="00B05454" w14:paraId="7CFE54E9" w14:textId="77777777">
        <w:tc>
          <w:tcPr>
            <w:tcW w:w="1418" w:type="dxa"/>
          </w:tcPr>
          <w:p w:rsidRPr="00861CD2" w:rsidR="00231267" w:rsidP="00231267" w:rsidRDefault="00231267" w14:paraId="4E9EAA40" w14:textId="77777777">
            <w:pPr>
              <w:overflowPunct w:val="0"/>
              <w:autoSpaceDE w:val="0"/>
              <w:autoSpaceDN w:val="0"/>
              <w:adjustRightInd w:val="0"/>
              <w:textAlignment w:val="baseline"/>
              <w:rPr>
                <w:i/>
                <w:sz w:val="22"/>
                <w:szCs w:val="22"/>
              </w:rPr>
            </w:pPr>
            <w:r w:rsidRPr="00861CD2">
              <w:rPr>
                <w:b/>
                <w:i/>
                <w:sz w:val="22"/>
                <w:szCs w:val="22"/>
              </w:rPr>
              <w:t>Contatto</w:t>
            </w:r>
          </w:p>
        </w:tc>
        <w:tc>
          <w:tcPr>
            <w:tcW w:w="5670" w:type="dxa"/>
          </w:tcPr>
          <w:p w:rsidRPr="00861CD2" w:rsidR="00231267" w:rsidP="00231267" w:rsidRDefault="00231267" w14:paraId="37F63FE7" w14:textId="77777777">
            <w:pPr>
              <w:overflowPunct w:val="0"/>
              <w:autoSpaceDE w:val="0"/>
              <w:autoSpaceDN w:val="0"/>
              <w:adjustRightInd w:val="0"/>
              <w:textAlignment w:val="baseline"/>
              <w:rPr>
                <w:i/>
                <w:sz w:val="22"/>
                <w:szCs w:val="22"/>
              </w:rPr>
            </w:pPr>
            <w:r w:rsidRPr="00861CD2">
              <w:rPr>
                <w:i/>
                <w:sz w:val="22"/>
                <w:szCs w:val="22"/>
              </w:rPr>
              <w:t>Marco RISTORI</w:t>
            </w:r>
          </w:p>
        </w:tc>
      </w:tr>
      <w:tr w:rsidRPr="00861CD2" w:rsidR="00231267" w:rsidTr="00B05454" w14:paraId="62B22192" w14:textId="77777777">
        <w:tc>
          <w:tcPr>
            <w:tcW w:w="1418" w:type="dxa"/>
          </w:tcPr>
          <w:p w:rsidRPr="00861CD2" w:rsidR="00231267" w:rsidP="00231267" w:rsidRDefault="00231267" w14:paraId="440C603C" w14:textId="77777777">
            <w:pPr>
              <w:overflowPunct w:val="0"/>
              <w:autoSpaceDE w:val="0"/>
              <w:autoSpaceDN w:val="0"/>
              <w:adjustRightInd w:val="0"/>
              <w:textAlignment w:val="baseline"/>
              <w:rPr>
                <w:i/>
                <w:sz w:val="22"/>
                <w:szCs w:val="22"/>
              </w:rPr>
            </w:pPr>
            <w:r w:rsidRPr="00861CD2">
              <w:rPr>
                <w:i/>
                <w:sz w:val="22"/>
                <w:szCs w:val="22"/>
              </w:rPr>
              <w:t>Tel.</w:t>
            </w:r>
          </w:p>
        </w:tc>
        <w:tc>
          <w:tcPr>
            <w:tcW w:w="5670" w:type="dxa"/>
          </w:tcPr>
          <w:p w:rsidRPr="00861CD2" w:rsidR="00231267" w:rsidP="00231267" w:rsidRDefault="00231267" w14:paraId="29D4C5B9" w14:textId="77777777">
            <w:pPr>
              <w:overflowPunct w:val="0"/>
              <w:autoSpaceDE w:val="0"/>
              <w:autoSpaceDN w:val="0"/>
              <w:adjustRightInd w:val="0"/>
              <w:textAlignment w:val="baseline"/>
              <w:rPr>
                <w:i/>
                <w:sz w:val="22"/>
                <w:szCs w:val="22"/>
              </w:rPr>
            </w:pPr>
            <w:r w:rsidRPr="00861CD2">
              <w:rPr>
                <w:i/>
                <w:sz w:val="22"/>
                <w:szCs w:val="22"/>
              </w:rPr>
              <w:t>+32 25469969</w:t>
            </w:r>
          </w:p>
        </w:tc>
      </w:tr>
      <w:tr w:rsidRPr="00861CD2" w:rsidR="00231267" w:rsidTr="00B05454" w14:paraId="48DEF925" w14:textId="77777777">
        <w:tc>
          <w:tcPr>
            <w:tcW w:w="1418" w:type="dxa"/>
          </w:tcPr>
          <w:p w:rsidRPr="00861CD2" w:rsidR="00231267" w:rsidP="00231267" w:rsidRDefault="00422C9F" w14:paraId="66BED64C" w14:textId="6E2FB2E0">
            <w:pPr>
              <w:overflowPunct w:val="0"/>
              <w:autoSpaceDE w:val="0"/>
              <w:autoSpaceDN w:val="0"/>
              <w:adjustRightInd w:val="0"/>
              <w:textAlignment w:val="baseline"/>
              <w:rPr>
                <w:i/>
                <w:sz w:val="22"/>
                <w:szCs w:val="22"/>
              </w:rPr>
            </w:pPr>
            <w:r w:rsidRPr="00861CD2">
              <w:rPr>
                <w:i/>
                <w:sz w:val="22"/>
                <w:szCs w:val="22"/>
              </w:rPr>
              <w:t>E</w:t>
            </w:r>
            <w:r w:rsidRPr="00861CD2" w:rsidR="00231267">
              <w:rPr>
                <w:i/>
                <w:sz w:val="22"/>
                <w:szCs w:val="22"/>
              </w:rPr>
              <w:t>-mail</w:t>
            </w:r>
          </w:p>
        </w:tc>
        <w:tc>
          <w:tcPr>
            <w:tcW w:w="5670" w:type="dxa"/>
          </w:tcPr>
          <w:p w:rsidRPr="00861CD2" w:rsidR="00231267" w:rsidP="00231267" w:rsidRDefault="00F95240" w14:paraId="42300FE7" w14:textId="77777777">
            <w:pPr>
              <w:overflowPunct w:val="0"/>
              <w:autoSpaceDE w:val="0"/>
              <w:autoSpaceDN w:val="0"/>
              <w:adjustRightInd w:val="0"/>
              <w:textAlignment w:val="baseline"/>
              <w:rPr>
                <w:i/>
                <w:sz w:val="22"/>
                <w:szCs w:val="22"/>
              </w:rPr>
            </w:pPr>
            <w:hyperlink w:history="1" r:id="rId37">
              <w:r w:rsidRPr="00861CD2" w:rsidR="000502CD">
                <w:rPr>
                  <w:i/>
                  <w:color w:val="0000FF"/>
                  <w:sz w:val="22"/>
                  <w:szCs w:val="22"/>
                  <w:u w:val="single"/>
                </w:rPr>
                <w:t>Marco.Ristori@eesc.europa.eu</w:t>
              </w:r>
            </w:hyperlink>
          </w:p>
        </w:tc>
      </w:tr>
    </w:tbl>
    <w:p w:rsidR="00861CD2" w:rsidRDefault="00861CD2" w14:paraId="0E201C9B" w14:textId="2A442473">
      <w:pPr>
        <w:spacing w:after="160" w:line="259" w:lineRule="auto"/>
        <w:jc w:val="left"/>
      </w:pPr>
    </w:p>
    <w:p w:rsidR="00861CD2" w:rsidRDefault="00861CD2" w14:paraId="13371CBB" w14:textId="77777777">
      <w:pPr>
        <w:spacing w:after="160" w:line="259" w:lineRule="auto"/>
        <w:jc w:val="left"/>
      </w:pPr>
      <w:r>
        <w:br w:type="page"/>
      </w:r>
    </w:p>
    <w:p w:rsidRPr="00422C9F" w:rsidR="003B636C" w:rsidP="005B4680" w:rsidRDefault="003B636C" w14:paraId="2AFC2D25" w14:textId="6E54F172">
      <w:pPr>
        <w:pStyle w:val="Heading1"/>
        <w:ind w:hanging="928"/>
        <w:rPr>
          <w:b/>
          <w:bCs/>
        </w:rPr>
      </w:pPr>
      <w:bookmarkStart w:name="_Toc159938466" w:id="53"/>
      <w:bookmarkStart w:name="_Toc153539712" w:id="54"/>
      <w:r w:rsidRPr="00422C9F">
        <w:rPr>
          <w:b/>
        </w:rPr>
        <w:lastRenderedPageBreak/>
        <w:t>TRASPORTI, ENERGIA, INFRASTRUTTURE, SOCIETÀ DELL'INFORMAZIONE</w:t>
      </w:r>
      <w:bookmarkEnd w:id="53"/>
    </w:p>
    <w:p w:rsidRPr="00422C9F" w:rsidR="003B636C" w:rsidP="003B636C" w:rsidRDefault="003B636C" w14:paraId="4BBF9BF3" w14:textId="77777777"/>
    <w:p w:rsidRPr="00422C9F" w:rsidR="003B636C" w:rsidP="003B636C" w:rsidRDefault="00F95240" w14:paraId="2292F34E" w14:textId="38B13287">
      <w:pPr>
        <w:widowControl w:val="0"/>
        <w:numPr>
          <w:ilvl w:val="0"/>
          <w:numId w:val="2"/>
        </w:numPr>
        <w:overflowPunct w:val="0"/>
        <w:autoSpaceDE w:val="0"/>
        <w:autoSpaceDN w:val="0"/>
        <w:adjustRightInd w:val="0"/>
        <w:ind w:hanging="567"/>
        <w:textAlignment w:val="baseline"/>
        <w:rPr>
          <w:sz w:val="20"/>
          <w:szCs w:val="20"/>
        </w:rPr>
      </w:pPr>
      <w:hyperlink w:history="1" r:id="rId38">
        <w:r w:rsidRPr="00422C9F" w:rsidR="000502CD">
          <w:rPr>
            <w:b/>
            <w:i/>
            <w:color w:val="0000FF"/>
            <w:sz w:val="28"/>
            <w:u w:val="single"/>
          </w:rPr>
          <w:t>Revisione della direttiva 92/106/CEE sul trasporto intermodale</w:t>
        </w:r>
      </w:hyperlink>
    </w:p>
    <w:p w:rsidRPr="00861CD2" w:rsidR="003B636C" w:rsidP="003B636C" w:rsidRDefault="003B636C" w14:paraId="7A8CB646" w14:textId="77777777">
      <w:pPr>
        <w:tabs>
          <w:tab w:val="center" w:pos="284"/>
        </w:tabs>
        <w:overflowPunct w:val="0"/>
        <w:autoSpaceDE w:val="0"/>
        <w:autoSpaceDN w:val="0"/>
        <w:adjustRightInd w:val="0"/>
        <w:ind w:left="266" w:hanging="266"/>
        <w:textAlignment w:val="baseline"/>
        <w:rPr>
          <w:b/>
          <w:sz w:val="24"/>
          <w:szCs w:val="24"/>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861CD2" w:rsidR="003B636C" w:rsidTr="00B05454" w14:paraId="226DE090" w14:textId="77777777">
        <w:tc>
          <w:tcPr>
            <w:tcW w:w="2235" w:type="dxa"/>
          </w:tcPr>
          <w:p w:rsidRPr="00861CD2" w:rsidR="003B636C" w:rsidP="00B05454" w:rsidRDefault="00422C9F" w14:paraId="03398B74" w14:textId="179BB1E8">
            <w:pPr>
              <w:tabs>
                <w:tab w:val="center" w:pos="284"/>
              </w:tabs>
              <w:overflowPunct w:val="0"/>
              <w:autoSpaceDE w:val="0"/>
              <w:autoSpaceDN w:val="0"/>
              <w:adjustRightInd w:val="0"/>
              <w:ind w:left="266" w:hanging="266"/>
              <w:textAlignment w:val="baseline"/>
              <w:rPr>
                <w:b/>
                <w:sz w:val="22"/>
                <w:szCs w:val="22"/>
              </w:rPr>
            </w:pPr>
            <w:r w:rsidRPr="00861CD2">
              <w:rPr>
                <w:b/>
                <w:sz w:val="22"/>
                <w:szCs w:val="22"/>
              </w:rPr>
              <w:t>Relatore</w:t>
            </w:r>
            <w:r w:rsidRPr="00861CD2" w:rsidR="003B636C">
              <w:rPr>
                <w:b/>
                <w:sz w:val="22"/>
                <w:szCs w:val="22"/>
              </w:rPr>
              <w:t xml:space="preserve"> </w:t>
            </w:r>
          </w:p>
        </w:tc>
        <w:tc>
          <w:tcPr>
            <w:tcW w:w="6838" w:type="dxa"/>
          </w:tcPr>
          <w:p w:rsidRPr="00861CD2" w:rsidR="003B636C" w:rsidP="00B05454" w:rsidRDefault="003B636C" w14:paraId="51A78388" w14:textId="77777777">
            <w:pPr>
              <w:tabs>
                <w:tab w:val="center" w:pos="284"/>
              </w:tabs>
              <w:overflowPunct w:val="0"/>
              <w:autoSpaceDE w:val="0"/>
              <w:autoSpaceDN w:val="0"/>
              <w:adjustRightInd w:val="0"/>
              <w:ind w:left="266" w:hanging="266"/>
              <w:textAlignment w:val="baseline"/>
              <w:rPr>
                <w:sz w:val="22"/>
                <w:szCs w:val="22"/>
              </w:rPr>
            </w:pPr>
            <w:r w:rsidRPr="00861CD2">
              <w:rPr>
                <w:sz w:val="22"/>
                <w:szCs w:val="22"/>
              </w:rPr>
              <w:t>Pierre Jean COULON (Lavoratori - FR)</w:t>
            </w:r>
          </w:p>
        </w:tc>
      </w:tr>
      <w:tr w:rsidRPr="00861CD2" w:rsidR="003B636C" w:rsidTr="00B05454" w14:paraId="54439CC0" w14:textId="77777777">
        <w:tc>
          <w:tcPr>
            <w:tcW w:w="9073" w:type="dxa"/>
            <w:gridSpan w:val="2"/>
          </w:tcPr>
          <w:p w:rsidRPr="00861CD2" w:rsidR="003B636C" w:rsidP="00B05454" w:rsidRDefault="003B636C" w14:paraId="6C4CAADC"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861CD2" w:rsidR="003B636C" w:rsidTr="00B05454" w14:paraId="5C84AA61" w14:textId="77777777">
        <w:tc>
          <w:tcPr>
            <w:tcW w:w="2235" w:type="dxa"/>
          </w:tcPr>
          <w:p w:rsidRPr="00861CD2" w:rsidR="003B636C" w:rsidP="00B05454" w:rsidRDefault="003B636C" w14:paraId="40E16211" w14:textId="77777777">
            <w:pPr>
              <w:tabs>
                <w:tab w:val="center" w:pos="284"/>
              </w:tabs>
              <w:overflowPunct w:val="0"/>
              <w:autoSpaceDE w:val="0"/>
              <w:autoSpaceDN w:val="0"/>
              <w:adjustRightInd w:val="0"/>
              <w:ind w:left="266" w:hanging="266"/>
              <w:textAlignment w:val="baseline"/>
              <w:rPr>
                <w:b/>
                <w:sz w:val="22"/>
                <w:szCs w:val="22"/>
              </w:rPr>
            </w:pPr>
            <w:r w:rsidRPr="00861CD2">
              <w:rPr>
                <w:b/>
                <w:sz w:val="22"/>
                <w:szCs w:val="22"/>
              </w:rPr>
              <w:t>Riferimento</w:t>
            </w:r>
          </w:p>
        </w:tc>
        <w:tc>
          <w:tcPr>
            <w:tcW w:w="6838" w:type="dxa"/>
          </w:tcPr>
          <w:p w:rsidRPr="00861CD2" w:rsidR="003B636C" w:rsidP="00B05454" w:rsidRDefault="003B636C" w14:paraId="217C0ABB" w14:textId="77777777">
            <w:pPr>
              <w:tabs>
                <w:tab w:val="center" w:pos="284"/>
              </w:tabs>
              <w:overflowPunct w:val="0"/>
              <w:autoSpaceDE w:val="0"/>
              <w:autoSpaceDN w:val="0"/>
              <w:adjustRightInd w:val="0"/>
              <w:ind w:left="266" w:hanging="266"/>
              <w:textAlignment w:val="baseline"/>
              <w:rPr>
                <w:sz w:val="22"/>
                <w:szCs w:val="22"/>
              </w:rPr>
            </w:pPr>
            <w:r w:rsidRPr="00861CD2">
              <w:rPr>
                <w:sz w:val="22"/>
                <w:szCs w:val="22"/>
              </w:rPr>
              <w:t xml:space="preserve">COM(2023) 702 final </w:t>
            </w:r>
          </w:p>
          <w:p w:rsidRPr="00861CD2" w:rsidR="003B636C" w:rsidP="00B05454" w:rsidRDefault="003B636C" w14:paraId="2EB478A2" w14:textId="77777777">
            <w:pPr>
              <w:tabs>
                <w:tab w:val="center" w:pos="284"/>
              </w:tabs>
              <w:overflowPunct w:val="0"/>
              <w:autoSpaceDE w:val="0"/>
              <w:autoSpaceDN w:val="0"/>
              <w:adjustRightInd w:val="0"/>
              <w:ind w:left="266" w:hanging="266"/>
              <w:textAlignment w:val="baseline"/>
              <w:rPr>
                <w:sz w:val="22"/>
                <w:szCs w:val="22"/>
              </w:rPr>
            </w:pPr>
            <w:r w:rsidRPr="00861CD2">
              <w:rPr>
                <w:sz w:val="22"/>
                <w:szCs w:val="22"/>
              </w:rPr>
              <w:t>EESC-2023-03105-00-00-AC</w:t>
            </w:r>
          </w:p>
        </w:tc>
      </w:tr>
    </w:tbl>
    <w:p w:rsidRPr="00422C9F" w:rsidR="003B636C" w:rsidP="003B636C" w:rsidRDefault="003B636C" w14:paraId="688928AC" w14:textId="77777777">
      <w:pPr>
        <w:keepNext/>
        <w:keepLines/>
        <w:tabs>
          <w:tab w:val="center" w:pos="284"/>
        </w:tabs>
        <w:overflowPunct w:val="0"/>
        <w:autoSpaceDE w:val="0"/>
        <w:autoSpaceDN w:val="0"/>
        <w:adjustRightInd w:val="0"/>
        <w:ind w:left="266" w:hanging="266"/>
        <w:textAlignment w:val="baseline"/>
        <w:rPr>
          <w:b/>
        </w:rPr>
      </w:pPr>
    </w:p>
    <w:p w:rsidRPr="00422C9F" w:rsidR="003B636C" w:rsidP="003B636C" w:rsidRDefault="003B636C" w14:paraId="70EA3BBA" w14:textId="77777777">
      <w:pPr>
        <w:keepNext/>
        <w:keepLines/>
        <w:tabs>
          <w:tab w:val="center" w:pos="284"/>
        </w:tabs>
        <w:overflowPunct w:val="0"/>
        <w:autoSpaceDE w:val="0"/>
        <w:autoSpaceDN w:val="0"/>
        <w:adjustRightInd w:val="0"/>
        <w:ind w:left="266" w:hanging="266"/>
        <w:textAlignment w:val="baseline"/>
        <w:rPr>
          <w:b/>
        </w:rPr>
      </w:pPr>
      <w:r w:rsidRPr="00422C9F">
        <w:rPr>
          <w:b/>
        </w:rPr>
        <w:t>Punti principali</w:t>
      </w:r>
    </w:p>
    <w:p w:rsidRPr="00422C9F" w:rsidR="003B636C" w:rsidP="003B636C" w:rsidRDefault="003B636C" w14:paraId="65024854" w14:textId="77777777">
      <w:pPr>
        <w:keepNext/>
        <w:keepLines/>
        <w:tabs>
          <w:tab w:val="center" w:pos="284"/>
        </w:tabs>
        <w:overflowPunct w:val="0"/>
        <w:autoSpaceDE w:val="0"/>
        <w:autoSpaceDN w:val="0"/>
        <w:adjustRightInd w:val="0"/>
        <w:ind w:left="266" w:hanging="266"/>
        <w:textAlignment w:val="baseline"/>
        <w:rPr>
          <w:b/>
        </w:rPr>
      </w:pPr>
    </w:p>
    <w:p w:rsidRPr="00422C9F" w:rsidR="003B636C" w:rsidP="003B636C" w:rsidRDefault="003B636C" w14:paraId="239D9ECD" w14:textId="77777777">
      <w:pPr>
        <w:overflowPunct w:val="0"/>
        <w:autoSpaceDE w:val="0"/>
        <w:autoSpaceDN w:val="0"/>
        <w:adjustRightInd w:val="0"/>
        <w:textAlignment w:val="baseline"/>
        <w:rPr>
          <w:bCs/>
          <w:iCs/>
        </w:rPr>
      </w:pPr>
      <w:r w:rsidRPr="00422C9F">
        <w:t>Il CESE:</w:t>
      </w:r>
    </w:p>
    <w:p w:rsidRPr="00422C9F" w:rsidR="003B636C" w:rsidP="003B636C" w:rsidRDefault="003B636C" w14:paraId="70E1E19B" w14:textId="77777777">
      <w:pPr>
        <w:contextualSpacing/>
        <w:rPr>
          <w:rFonts w:ascii="Calibri" w:hAnsi="Calibri"/>
          <w:b/>
          <w:bCs/>
          <w:sz w:val="28"/>
          <w:szCs w:val="28"/>
          <w:lang w:eastAsia="zh-CN"/>
        </w:rPr>
      </w:pPr>
    </w:p>
    <w:p w:rsidRPr="00422C9F" w:rsidR="00422C9F" w:rsidP="005165CA" w:rsidRDefault="003B636C" w14:paraId="2B41FA5B" w14:textId="77777777">
      <w:pPr>
        <w:numPr>
          <w:ilvl w:val="0"/>
          <w:numId w:val="27"/>
        </w:numPr>
        <w:overflowPunct w:val="0"/>
        <w:autoSpaceDE w:val="0"/>
        <w:autoSpaceDN w:val="0"/>
        <w:adjustRightInd w:val="0"/>
        <w:ind w:left="284" w:hanging="284"/>
        <w:textAlignment w:val="baseline"/>
        <w:rPr>
          <w:rFonts w:eastAsiaTheme="minorHAnsi"/>
        </w:rPr>
      </w:pPr>
      <w:r w:rsidRPr="00422C9F">
        <w:t>sottolinea la necessità dell'intermodalità in tutti i trasporti di merci, tenendo sempre presente l'obbligo di coordinare e ottimizzare i vari modi di trasporto a livello europeo;</w:t>
      </w:r>
    </w:p>
    <w:p w:rsidRPr="00B114D4" w:rsidR="003B636C" w:rsidP="005165CA" w:rsidRDefault="00422C9F" w14:paraId="17358799" w14:textId="302AB631">
      <w:pPr>
        <w:numPr>
          <w:ilvl w:val="0"/>
          <w:numId w:val="27"/>
        </w:numPr>
        <w:overflowPunct w:val="0"/>
        <w:autoSpaceDE w:val="0"/>
        <w:autoSpaceDN w:val="0"/>
        <w:adjustRightInd w:val="0"/>
        <w:ind w:left="284" w:hanging="284"/>
        <w:textAlignment w:val="baseline"/>
        <w:rPr>
          <w:rFonts w:eastAsiaTheme="minorHAnsi"/>
        </w:rPr>
      </w:pPr>
      <w:r w:rsidRPr="00422C9F">
        <w:t>è</w:t>
      </w:r>
      <w:r w:rsidRPr="00422C9F" w:rsidR="003B636C">
        <w:t xml:space="preserve"> convinto che la realizzazione di un sistema di trasporto intermodale presupponga che la popolazione sia informata delle prospettive</w:t>
      </w:r>
      <w:r w:rsidR="003B636C">
        <w:t xml:space="preserve"> interessanti che esso può offrire: infatti, un sistema di trasporto intermodale viene concepito per essere al servizio dei cittadini, e sono le loro necessità a dover pesare nelle decisioni relative ai progetti e alle politiche in materia di trasporti;</w:t>
      </w:r>
    </w:p>
    <w:p w:rsidRPr="00B114D4" w:rsidR="003B636C" w:rsidP="005165CA" w:rsidRDefault="003B636C" w14:paraId="398CB69E" w14:textId="77777777">
      <w:pPr>
        <w:numPr>
          <w:ilvl w:val="0"/>
          <w:numId w:val="27"/>
        </w:numPr>
        <w:overflowPunct w:val="0"/>
        <w:autoSpaceDE w:val="0"/>
        <w:autoSpaceDN w:val="0"/>
        <w:adjustRightInd w:val="0"/>
        <w:ind w:left="284" w:hanging="284"/>
        <w:textAlignment w:val="baseline"/>
        <w:rPr>
          <w:rFonts w:eastAsiaTheme="minorHAnsi"/>
        </w:rPr>
      </w:pPr>
      <w:r>
        <w:t>evidenzia che il successo di questa politica richiede il massimo rispetto delle norme sociali, oltre a una formazione specifica sistematica che sia rivolta sia ai lavoratori che ai dirigenti delle imprese;</w:t>
      </w:r>
      <w:bookmarkStart w:name="x__Hlk157163546" w:id="55"/>
      <w:bookmarkEnd w:id="55"/>
    </w:p>
    <w:p w:rsidRPr="00B114D4" w:rsidR="003B636C" w:rsidP="005165CA" w:rsidRDefault="003B636C" w14:paraId="40F2D32D" w14:textId="77777777">
      <w:pPr>
        <w:numPr>
          <w:ilvl w:val="0"/>
          <w:numId w:val="27"/>
        </w:numPr>
        <w:overflowPunct w:val="0"/>
        <w:autoSpaceDE w:val="0"/>
        <w:autoSpaceDN w:val="0"/>
        <w:adjustRightInd w:val="0"/>
        <w:ind w:left="284" w:hanging="284"/>
        <w:textAlignment w:val="baseline"/>
        <w:rPr>
          <w:rFonts w:eastAsiaTheme="minorHAnsi"/>
        </w:rPr>
      </w:pPr>
      <w:r>
        <w:t>chiede che nell'applicazione di questa nuova misura sia garantito il rispetto dei periodi di riposo e di pausa per i conducenti di veicoli pesanti. La redditività economica non deve compromettere né la sicurezza stradale, né le condizioni di lavoro dei camionisti all'interno dell'UE.</w:t>
      </w:r>
    </w:p>
    <w:p w:rsidRPr="00B114D4" w:rsidR="003B636C" w:rsidP="005165CA" w:rsidRDefault="003B636C" w14:paraId="3E9C3226" w14:textId="77777777">
      <w:pPr>
        <w:widowControl w:val="0"/>
        <w:overflowPunct w:val="0"/>
        <w:autoSpaceDE w:val="0"/>
        <w:autoSpaceDN w:val="0"/>
        <w:adjustRightInd w:val="0"/>
        <w:ind w:left="284" w:hanging="284"/>
        <w:textAlignment w:val="baseline"/>
        <w:rPr>
          <w:szCs w:val="20"/>
        </w:rPr>
      </w:pPr>
    </w:p>
    <w:tbl>
      <w:tblPr>
        <w:tblStyle w:val="TableGrid20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B114D4" w:rsidR="003B636C" w:rsidTr="00B05454" w14:paraId="37497442" w14:textId="77777777">
        <w:tc>
          <w:tcPr>
            <w:tcW w:w="1418" w:type="dxa"/>
          </w:tcPr>
          <w:p w:rsidRPr="00861CD2" w:rsidR="003B636C" w:rsidP="00B05454" w:rsidRDefault="00861CD2" w14:paraId="093CBC9E" w14:textId="43F08238">
            <w:pPr>
              <w:overflowPunct w:val="0"/>
              <w:autoSpaceDE w:val="0"/>
              <w:autoSpaceDN w:val="0"/>
              <w:adjustRightInd w:val="0"/>
              <w:spacing w:line="240" w:lineRule="auto"/>
              <w:textAlignment w:val="baseline"/>
              <w:rPr>
                <w:i/>
                <w:sz w:val="22"/>
                <w:szCs w:val="22"/>
              </w:rPr>
            </w:pPr>
            <w:r>
              <w:rPr>
                <w:b/>
                <w:i/>
                <w:sz w:val="22"/>
                <w:szCs w:val="22"/>
              </w:rPr>
              <w:t>C</w:t>
            </w:r>
            <w:r w:rsidRPr="00861CD2" w:rsidR="003B636C">
              <w:rPr>
                <w:b/>
                <w:i/>
                <w:sz w:val="22"/>
                <w:szCs w:val="22"/>
              </w:rPr>
              <w:t>ontatto:</w:t>
            </w:r>
          </w:p>
        </w:tc>
        <w:tc>
          <w:tcPr>
            <w:tcW w:w="5670" w:type="dxa"/>
          </w:tcPr>
          <w:p w:rsidRPr="00861CD2" w:rsidR="003B636C" w:rsidP="00B05454" w:rsidRDefault="003B636C" w14:paraId="7A1CA095" w14:textId="22882764">
            <w:pPr>
              <w:overflowPunct w:val="0"/>
              <w:autoSpaceDE w:val="0"/>
              <w:autoSpaceDN w:val="0"/>
              <w:adjustRightInd w:val="0"/>
              <w:spacing w:line="240" w:lineRule="auto"/>
              <w:jc w:val="left"/>
              <w:textAlignment w:val="baseline"/>
              <w:rPr>
                <w:i/>
                <w:sz w:val="22"/>
                <w:szCs w:val="22"/>
              </w:rPr>
            </w:pPr>
            <w:r w:rsidRPr="00861CD2">
              <w:rPr>
                <w:i/>
                <w:sz w:val="22"/>
                <w:szCs w:val="22"/>
              </w:rPr>
              <w:t>Aleksandra SARMAN GRILC</w:t>
            </w:r>
          </w:p>
        </w:tc>
      </w:tr>
      <w:tr w:rsidRPr="00422C9F" w:rsidR="003B636C" w:rsidTr="00B05454" w14:paraId="04CE6CD8" w14:textId="77777777">
        <w:tc>
          <w:tcPr>
            <w:tcW w:w="1418" w:type="dxa"/>
          </w:tcPr>
          <w:p w:rsidRPr="00861CD2" w:rsidR="003B636C" w:rsidP="00B05454" w:rsidRDefault="003B636C" w14:paraId="17FDD2D5" w14:textId="77777777">
            <w:pPr>
              <w:overflowPunct w:val="0"/>
              <w:autoSpaceDE w:val="0"/>
              <w:autoSpaceDN w:val="0"/>
              <w:adjustRightInd w:val="0"/>
              <w:spacing w:line="240" w:lineRule="auto"/>
              <w:textAlignment w:val="baseline"/>
              <w:rPr>
                <w:i/>
                <w:sz w:val="22"/>
                <w:szCs w:val="22"/>
              </w:rPr>
            </w:pPr>
            <w:r w:rsidRPr="00861CD2">
              <w:rPr>
                <w:i/>
                <w:sz w:val="22"/>
                <w:szCs w:val="22"/>
              </w:rPr>
              <w:t>Tel.</w:t>
            </w:r>
          </w:p>
        </w:tc>
        <w:tc>
          <w:tcPr>
            <w:tcW w:w="5670" w:type="dxa"/>
          </w:tcPr>
          <w:p w:rsidRPr="00861CD2" w:rsidR="003B636C" w:rsidP="00B05454" w:rsidRDefault="003B636C" w14:paraId="7F8DFA76" w14:textId="77777777">
            <w:pPr>
              <w:overflowPunct w:val="0"/>
              <w:autoSpaceDE w:val="0"/>
              <w:autoSpaceDN w:val="0"/>
              <w:adjustRightInd w:val="0"/>
              <w:spacing w:line="240" w:lineRule="auto"/>
              <w:textAlignment w:val="baseline"/>
              <w:rPr>
                <w:i/>
                <w:sz w:val="22"/>
                <w:szCs w:val="22"/>
              </w:rPr>
            </w:pPr>
            <w:r w:rsidRPr="00861CD2">
              <w:rPr>
                <w:i/>
                <w:sz w:val="22"/>
                <w:szCs w:val="22"/>
              </w:rPr>
              <w:t>+32 25468333</w:t>
            </w:r>
          </w:p>
        </w:tc>
      </w:tr>
      <w:tr w:rsidRPr="00B114D4" w:rsidR="003B636C" w:rsidTr="00B05454" w14:paraId="70ABA418" w14:textId="77777777">
        <w:tc>
          <w:tcPr>
            <w:tcW w:w="1418" w:type="dxa"/>
          </w:tcPr>
          <w:p w:rsidRPr="00861CD2" w:rsidR="003B636C" w:rsidP="00B05454" w:rsidRDefault="00422C9F" w14:paraId="7E324433" w14:textId="195B6962">
            <w:pPr>
              <w:overflowPunct w:val="0"/>
              <w:autoSpaceDE w:val="0"/>
              <w:autoSpaceDN w:val="0"/>
              <w:adjustRightInd w:val="0"/>
              <w:spacing w:line="240" w:lineRule="auto"/>
              <w:textAlignment w:val="baseline"/>
              <w:rPr>
                <w:i/>
                <w:sz w:val="22"/>
                <w:szCs w:val="22"/>
              </w:rPr>
            </w:pPr>
            <w:r w:rsidRPr="00861CD2">
              <w:rPr>
                <w:i/>
                <w:sz w:val="22"/>
                <w:szCs w:val="22"/>
              </w:rPr>
              <w:t>E</w:t>
            </w:r>
            <w:r w:rsidRPr="00861CD2" w:rsidR="003B636C">
              <w:rPr>
                <w:i/>
                <w:sz w:val="22"/>
                <w:szCs w:val="22"/>
              </w:rPr>
              <w:t>-mail</w:t>
            </w:r>
          </w:p>
        </w:tc>
        <w:tc>
          <w:tcPr>
            <w:tcW w:w="5670" w:type="dxa"/>
          </w:tcPr>
          <w:p w:rsidRPr="00861CD2" w:rsidR="003B636C" w:rsidP="00B05454" w:rsidRDefault="00F95240" w14:paraId="696F5F65" w14:textId="77777777">
            <w:pPr>
              <w:overflowPunct w:val="0"/>
              <w:autoSpaceDE w:val="0"/>
              <w:autoSpaceDN w:val="0"/>
              <w:adjustRightInd w:val="0"/>
              <w:spacing w:line="240" w:lineRule="auto"/>
              <w:textAlignment w:val="baseline"/>
              <w:rPr>
                <w:i/>
                <w:iCs/>
                <w:sz w:val="22"/>
                <w:szCs w:val="22"/>
              </w:rPr>
            </w:pPr>
            <w:hyperlink w:history="1" r:id="rId39">
              <w:r w:rsidRPr="00861CD2" w:rsidR="000502CD">
                <w:rPr>
                  <w:i/>
                  <w:color w:val="0000FF"/>
                  <w:sz w:val="22"/>
                  <w:szCs w:val="22"/>
                  <w:u w:val="single"/>
                </w:rPr>
                <w:t>Aleksandra.SarmanGrilc@eesc.europa.eu</w:t>
              </w:r>
            </w:hyperlink>
            <w:r w:rsidRPr="00861CD2" w:rsidR="000502CD">
              <w:rPr>
                <w:i/>
                <w:sz w:val="22"/>
                <w:szCs w:val="22"/>
              </w:rPr>
              <w:t xml:space="preserve"> </w:t>
            </w:r>
          </w:p>
        </w:tc>
      </w:tr>
    </w:tbl>
    <w:p w:rsidRPr="00B114D4" w:rsidR="003B636C" w:rsidP="003B636C" w:rsidRDefault="003B636C" w14:paraId="03C316F9" w14:textId="77777777">
      <w:pPr>
        <w:overflowPunct w:val="0"/>
        <w:autoSpaceDE w:val="0"/>
        <w:autoSpaceDN w:val="0"/>
        <w:adjustRightInd w:val="0"/>
        <w:jc w:val="center"/>
        <w:textAlignment w:val="baseline"/>
        <w:rPr>
          <w:szCs w:val="20"/>
          <w:lang w:val="nl-BE"/>
        </w:rPr>
      </w:pPr>
    </w:p>
    <w:p w:rsidR="003B636C" w:rsidRDefault="003B636C" w14:paraId="00774D54" w14:textId="10CE84BC">
      <w:pPr>
        <w:spacing w:after="160" w:line="259" w:lineRule="auto"/>
        <w:jc w:val="left"/>
      </w:pPr>
      <w:r>
        <w:br w:type="page"/>
      </w:r>
    </w:p>
    <w:p w:rsidR="003B636C" w:rsidP="005B4680" w:rsidRDefault="009C785E" w14:paraId="2BEB799C" w14:textId="1D1D6CC2">
      <w:pPr>
        <w:pStyle w:val="Heading1"/>
        <w:ind w:hanging="928"/>
        <w:rPr>
          <w:b/>
          <w:bCs/>
        </w:rPr>
      </w:pPr>
      <w:bookmarkStart w:name="_Toc159938467" w:id="56"/>
      <w:r>
        <w:rPr>
          <w:b/>
        </w:rPr>
        <w:lastRenderedPageBreak/>
        <w:t>COMMISSIONE CONSULTIVA PER LE TRASFORMAZIONI INDUSTRIALI</w:t>
      </w:r>
      <w:bookmarkEnd w:id="56"/>
    </w:p>
    <w:p w:rsidR="003B3E18" w:rsidP="003B3E18" w:rsidRDefault="003B3E18" w14:paraId="0CE20361" w14:textId="55A85CDB"/>
    <w:p w:rsidRPr="000F732E" w:rsidR="000F732E" w:rsidP="005165CA" w:rsidRDefault="00F95240" w14:paraId="67A73674" w14:textId="00EC2902">
      <w:pPr>
        <w:widowControl w:val="0"/>
        <w:numPr>
          <w:ilvl w:val="0"/>
          <w:numId w:val="14"/>
        </w:numPr>
        <w:overflowPunct w:val="0"/>
        <w:autoSpaceDE w:val="0"/>
        <w:autoSpaceDN w:val="0"/>
        <w:adjustRightInd w:val="0"/>
        <w:spacing w:after="160" w:line="259" w:lineRule="auto"/>
        <w:ind w:left="709" w:hanging="709"/>
        <w:contextualSpacing/>
        <w:jc w:val="left"/>
        <w:textAlignment w:val="baseline"/>
        <w:rPr>
          <w:rFonts w:eastAsiaTheme="minorHAnsi"/>
          <w:sz w:val="28"/>
          <w:szCs w:val="28"/>
        </w:rPr>
      </w:pPr>
      <w:hyperlink w:history="1" r:id="rId40">
        <w:r w:rsidR="007B6C34">
          <w:rPr>
            <w:b/>
            <w:i/>
            <w:color w:val="0000FF"/>
            <w:sz w:val="28"/>
            <w:u w:val="single"/>
          </w:rPr>
          <w:t>Verso una strategia a vasto raggio per l'industria del legno dell'UE</w:t>
        </w:r>
      </w:hyperlink>
    </w:p>
    <w:p w:rsidRPr="000F732E" w:rsidR="000F732E" w:rsidP="000F732E" w:rsidRDefault="000F732E" w14:paraId="14E0FEEC" w14:textId="77777777">
      <w:pPr>
        <w:tabs>
          <w:tab w:val="center" w:pos="284"/>
        </w:tabs>
        <w:spacing w:after="160" w:line="259" w:lineRule="auto"/>
        <w:ind w:left="266" w:hanging="266"/>
        <w:jc w:val="left"/>
        <w:rPr>
          <w:rFonts w:eastAsiaTheme="minorHAnsi"/>
          <w:b/>
          <w:lang w:val="fr-FR"/>
        </w:rPr>
      </w:pPr>
    </w:p>
    <w:tbl>
      <w:tblPr>
        <w:tblStyle w:val="TableGrid20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16"/>
        <w:gridCol w:w="7355"/>
      </w:tblGrid>
      <w:tr w:rsidRPr="000F732E" w:rsidR="000F732E" w:rsidTr="00B05454" w14:paraId="2C390288" w14:textId="77777777">
        <w:tc>
          <w:tcPr>
            <w:tcW w:w="946" w:type="pct"/>
          </w:tcPr>
          <w:p w:rsidRPr="00861CD2" w:rsidR="000F732E" w:rsidP="005165CA" w:rsidRDefault="00422C9F" w14:paraId="16A0641A" w14:textId="6C2871ED">
            <w:pPr>
              <w:tabs>
                <w:tab w:val="center" w:pos="284"/>
              </w:tabs>
              <w:spacing w:line="240" w:lineRule="auto"/>
              <w:ind w:left="266" w:hanging="376"/>
              <w:jc w:val="left"/>
              <w:rPr>
                <w:b/>
                <w:sz w:val="22"/>
                <w:szCs w:val="22"/>
              </w:rPr>
            </w:pPr>
            <w:r w:rsidRPr="00861CD2">
              <w:rPr>
                <w:b/>
                <w:sz w:val="22"/>
                <w:szCs w:val="22"/>
              </w:rPr>
              <w:t>Relatore</w:t>
            </w:r>
          </w:p>
          <w:p w:rsidRPr="00861CD2" w:rsidR="000F732E" w:rsidP="005165CA" w:rsidRDefault="000F732E" w14:paraId="222CEE0C" w14:textId="77777777">
            <w:pPr>
              <w:tabs>
                <w:tab w:val="center" w:pos="284"/>
              </w:tabs>
              <w:spacing w:line="240" w:lineRule="auto"/>
              <w:ind w:left="266" w:hanging="376"/>
              <w:jc w:val="left"/>
              <w:rPr>
                <w:b/>
                <w:sz w:val="22"/>
                <w:szCs w:val="22"/>
              </w:rPr>
            </w:pPr>
          </w:p>
        </w:tc>
        <w:tc>
          <w:tcPr>
            <w:tcW w:w="4054" w:type="pct"/>
          </w:tcPr>
          <w:p w:rsidRPr="00861CD2" w:rsidR="000F732E" w:rsidP="005165CA" w:rsidRDefault="000F732E" w14:paraId="30B50978" w14:textId="7EEDDB88">
            <w:pPr>
              <w:tabs>
                <w:tab w:val="center" w:pos="284"/>
              </w:tabs>
              <w:spacing w:line="240" w:lineRule="auto"/>
              <w:ind w:left="266" w:hanging="376"/>
              <w:jc w:val="left"/>
              <w:rPr>
                <w:bCs/>
                <w:sz w:val="22"/>
                <w:szCs w:val="22"/>
              </w:rPr>
            </w:pPr>
            <w:r w:rsidRPr="00861CD2">
              <w:rPr>
                <w:sz w:val="22"/>
                <w:szCs w:val="22"/>
              </w:rPr>
              <w:t>Anastasis YIAPANIS (Organizzazioni della società civile - CY)</w:t>
            </w:r>
          </w:p>
        </w:tc>
      </w:tr>
      <w:tr w:rsidRPr="000F732E" w:rsidR="000F732E" w:rsidTr="00B05454" w14:paraId="5F892D9C" w14:textId="77777777">
        <w:tc>
          <w:tcPr>
            <w:tcW w:w="946" w:type="pct"/>
          </w:tcPr>
          <w:p w:rsidRPr="00861CD2" w:rsidR="000F732E" w:rsidP="005165CA" w:rsidRDefault="00422C9F" w14:paraId="2222EF41" w14:textId="1ED09E40">
            <w:pPr>
              <w:tabs>
                <w:tab w:val="center" w:pos="284"/>
              </w:tabs>
              <w:spacing w:line="240" w:lineRule="auto"/>
              <w:ind w:left="266" w:hanging="376"/>
              <w:jc w:val="left"/>
              <w:rPr>
                <w:b/>
                <w:sz w:val="22"/>
                <w:szCs w:val="22"/>
              </w:rPr>
            </w:pPr>
            <w:r w:rsidRPr="00861CD2">
              <w:rPr>
                <w:b/>
                <w:sz w:val="22"/>
                <w:szCs w:val="22"/>
              </w:rPr>
              <w:t>Correlatore</w:t>
            </w:r>
          </w:p>
          <w:p w:rsidRPr="00861CD2" w:rsidR="000F732E" w:rsidP="005165CA" w:rsidRDefault="000F732E" w14:paraId="31414DE8" w14:textId="77777777">
            <w:pPr>
              <w:tabs>
                <w:tab w:val="center" w:pos="284"/>
              </w:tabs>
              <w:spacing w:line="240" w:lineRule="auto"/>
              <w:ind w:left="266" w:hanging="376"/>
              <w:jc w:val="left"/>
              <w:rPr>
                <w:b/>
                <w:sz w:val="22"/>
                <w:szCs w:val="22"/>
              </w:rPr>
            </w:pPr>
          </w:p>
        </w:tc>
        <w:tc>
          <w:tcPr>
            <w:tcW w:w="4054" w:type="pct"/>
          </w:tcPr>
          <w:p w:rsidRPr="00861CD2" w:rsidR="000F732E" w:rsidP="005165CA" w:rsidRDefault="000F732E" w14:paraId="31568716" w14:textId="3337EFC8">
            <w:pPr>
              <w:tabs>
                <w:tab w:val="center" w:pos="284"/>
              </w:tabs>
              <w:spacing w:line="240" w:lineRule="auto"/>
              <w:ind w:left="266" w:hanging="376"/>
              <w:jc w:val="left"/>
              <w:rPr>
                <w:sz w:val="22"/>
                <w:szCs w:val="22"/>
              </w:rPr>
            </w:pPr>
            <w:r w:rsidRPr="00861CD2">
              <w:rPr>
                <w:sz w:val="22"/>
                <w:szCs w:val="22"/>
              </w:rPr>
              <w:t>Rolf GEHRING (Cat. 2 - DE)</w:t>
            </w:r>
          </w:p>
        </w:tc>
      </w:tr>
      <w:tr w:rsidRPr="000F732E" w:rsidR="000F732E" w:rsidTr="00B05454" w14:paraId="0FBF1F0B" w14:textId="77777777">
        <w:tc>
          <w:tcPr>
            <w:tcW w:w="946" w:type="pct"/>
          </w:tcPr>
          <w:p w:rsidRPr="00861CD2" w:rsidR="000F732E" w:rsidP="005165CA" w:rsidRDefault="000F732E" w14:paraId="2CA7929D" w14:textId="77777777">
            <w:pPr>
              <w:tabs>
                <w:tab w:val="center" w:pos="284"/>
              </w:tabs>
              <w:spacing w:line="240" w:lineRule="auto"/>
              <w:ind w:left="266" w:hanging="376"/>
              <w:jc w:val="left"/>
              <w:rPr>
                <w:sz w:val="22"/>
                <w:szCs w:val="22"/>
              </w:rPr>
            </w:pPr>
            <w:r w:rsidRPr="00861CD2">
              <w:rPr>
                <w:b/>
                <w:sz w:val="22"/>
                <w:szCs w:val="22"/>
              </w:rPr>
              <w:t>Riferimento</w:t>
            </w:r>
          </w:p>
        </w:tc>
        <w:tc>
          <w:tcPr>
            <w:tcW w:w="4054" w:type="pct"/>
          </w:tcPr>
          <w:p w:rsidRPr="00861CD2" w:rsidR="00C41D73" w:rsidP="001E04B8" w:rsidRDefault="00C41D73" w14:paraId="320586E0" w14:textId="24B220EB">
            <w:pPr>
              <w:tabs>
                <w:tab w:val="center" w:pos="284"/>
              </w:tabs>
              <w:spacing w:line="240" w:lineRule="auto"/>
              <w:ind w:left="266" w:hanging="376"/>
              <w:jc w:val="left"/>
              <w:rPr>
                <w:sz w:val="22"/>
                <w:szCs w:val="22"/>
              </w:rPr>
            </w:pPr>
            <w:r w:rsidRPr="00861CD2">
              <w:rPr>
                <w:sz w:val="22"/>
                <w:szCs w:val="22"/>
              </w:rPr>
              <w:t>Parere d'iniziativa</w:t>
            </w:r>
          </w:p>
          <w:p w:rsidRPr="00861CD2" w:rsidR="000F732E" w:rsidP="005165CA" w:rsidRDefault="000F732E" w14:paraId="33B05BD1" w14:textId="754D5011">
            <w:pPr>
              <w:tabs>
                <w:tab w:val="center" w:pos="284"/>
              </w:tabs>
              <w:spacing w:line="240" w:lineRule="auto"/>
              <w:ind w:left="266" w:hanging="376"/>
              <w:jc w:val="left"/>
              <w:rPr>
                <w:sz w:val="22"/>
                <w:szCs w:val="22"/>
              </w:rPr>
            </w:pPr>
            <w:r w:rsidRPr="00861CD2">
              <w:rPr>
                <w:sz w:val="22"/>
                <w:szCs w:val="22"/>
              </w:rPr>
              <w:t>EESC-2023-03538-00-00-AC</w:t>
            </w:r>
          </w:p>
        </w:tc>
      </w:tr>
    </w:tbl>
    <w:p w:rsidRPr="000F732E" w:rsidR="000F732E" w:rsidP="000F732E" w:rsidRDefault="000F732E" w14:paraId="3216B2BA" w14:textId="77777777">
      <w:pPr>
        <w:keepNext/>
        <w:keepLines/>
        <w:tabs>
          <w:tab w:val="center" w:pos="284"/>
        </w:tabs>
        <w:spacing w:after="160" w:line="259" w:lineRule="auto"/>
        <w:ind w:left="266" w:hanging="266"/>
        <w:jc w:val="left"/>
        <w:rPr>
          <w:rFonts w:eastAsiaTheme="minorHAnsi"/>
          <w:b/>
          <w:lang w:val="fr-FR"/>
        </w:rPr>
      </w:pPr>
    </w:p>
    <w:p w:rsidR="000F732E" w:rsidP="005165CA" w:rsidRDefault="000F732E" w14:paraId="2BD35938" w14:textId="46AE9C8D">
      <w:pPr>
        <w:keepNext/>
        <w:keepLines/>
        <w:tabs>
          <w:tab w:val="center" w:pos="284"/>
        </w:tabs>
        <w:spacing w:after="160" w:line="360" w:lineRule="auto"/>
        <w:ind w:left="266" w:hanging="266"/>
        <w:jc w:val="left"/>
        <w:rPr>
          <w:rFonts w:eastAsiaTheme="minorHAnsi"/>
          <w:b/>
        </w:rPr>
      </w:pPr>
      <w:r>
        <w:rPr>
          <w:b/>
        </w:rPr>
        <w:t>Punti principali</w:t>
      </w:r>
    </w:p>
    <w:p w:rsidR="000F732E" w:rsidP="005165CA" w:rsidRDefault="000F732E" w14:paraId="66129667" w14:textId="184E3AF9">
      <w:pPr>
        <w:spacing w:after="160" w:line="360" w:lineRule="auto"/>
        <w:jc w:val="left"/>
        <w:rPr>
          <w:rFonts w:eastAsiaTheme="minorHAnsi"/>
        </w:rPr>
      </w:pPr>
      <w:r>
        <w:t>Il CESE:</w:t>
      </w:r>
    </w:p>
    <w:p w:rsidRPr="000F732E" w:rsidR="000F732E" w:rsidP="005165CA" w:rsidRDefault="000F732E" w14:paraId="7220DE2F" w14:textId="77777777">
      <w:pPr>
        <w:numPr>
          <w:ilvl w:val="0"/>
          <w:numId w:val="28"/>
        </w:numPr>
        <w:spacing w:after="160" w:line="259" w:lineRule="auto"/>
        <w:ind w:left="284" w:hanging="284"/>
        <w:contextualSpacing/>
        <w:rPr>
          <w:rFonts w:eastAsiaTheme="minorHAnsi"/>
        </w:rPr>
      </w:pPr>
      <w:r>
        <w:t xml:space="preserve">invita le autorità pubbliche nazionali e dell'UE a </w:t>
      </w:r>
      <w:r>
        <w:rPr>
          <w:b/>
        </w:rPr>
        <w:t>privilegiare la competitività dell'industria del legno europea, assicurandole accesso al mercato</w:t>
      </w:r>
      <w:r>
        <w:t xml:space="preserve">, affrontando le sfide in materia di costi e contrastando le </w:t>
      </w:r>
      <w:r>
        <w:rPr>
          <w:b/>
        </w:rPr>
        <w:t>pratiche commerciali sleali</w:t>
      </w:r>
      <w:r>
        <w:t>; al contempo occorre mantenere parità di condizioni sul mercato;</w:t>
      </w:r>
    </w:p>
    <w:p w:rsidRPr="000F732E" w:rsidR="000F732E" w:rsidP="005165CA" w:rsidRDefault="000F732E" w14:paraId="71F89912" w14:textId="77777777">
      <w:pPr>
        <w:numPr>
          <w:ilvl w:val="0"/>
          <w:numId w:val="28"/>
        </w:numPr>
        <w:spacing w:after="160" w:line="259" w:lineRule="auto"/>
        <w:ind w:left="284" w:hanging="284"/>
        <w:contextualSpacing/>
        <w:rPr>
          <w:rFonts w:eastAsiaTheme="minorHAnsi"/>
        </w:rPr>
      </w:pPr>
      <w:r>
        <w:t xml:space="preserve">invita tutte le istituzioni dell'UE a riconoscere debitamente il contributo dei materiali rinnovabili alla sostenibilità, all'economia circolare e alla neutralità climatica, </w:t>
      </w:r>
      <w:r>
        <w:rPr>
          <w:b/>
        </w:rPr>
        <w:t>riconoscendo al tempo stesso il legno quale preziosa risorsa e materia prima circolare</w:t>
      </w:r>
      <w:r>
        <w:t>;</w:t>
      </w:r>
    </w:p>
    <w:p w:rsidRPr="000F732E" w:rsidR="000F732E" w:rsidP="005165CA" w:rsidRDefault="000F732E" w14:paraId="69154C3C" w14:textId="77777777">
      <w:pPr>
        <w:numPr>
          <w:ilvl w:val="0"/>
          <w:numId w:val="28"/>
        </w:numPr>
        <w:spacing w:after="160" w:line="259" w:lineRule="auto"/>
        <w:ind w:left="284" w:hanging="284"/>
        <w:contextualSpacing/>
        <w:rPr>
          <w:rFonts w:eastAsiaTheme="minorHAnsi"/>
        </w:rPr>
      </w:pPr>
      <w:r>
        <w:t>ribadisce la necessità di stabilire norme minime per le emissioni di carbonio durante il ciclo di vita nell'edilizia e l'</w:t>
      </w:r>
      <w:r>
        <w:rPr>
          <w:b/>
        </w:rPr>
        <w:t>obbligo di comunicare le emissioni di carbonio</w:t>
      </w:r>
      <w:r>
        <w:t xml:space="preserve"> all'interno dell'industria;</w:t>
      </w:r>
    </w:p>
    <w:p w:rsidRPr="000F732E" w:rsidR="000F732E" w:rsidP="005165CA" w:rsidRDefault="000F732E" w14:paraId="711A8E02" w14:textId="77777777">
      <w:pPr>
        <w:numPr>
          <w:ilvl w:val="0"/>
          <w:numId w:val="28"/>
        </w:numPr>
        <w:spacing w:after="160" w:line="259" w:lineRule="auto"/>
        <w:ind w:left="284" w:hanging="284"/>
        <w:contextualSpacing/>
        <w:rPr>
          <w:rFonts w:eastAsiaTheme="minorHAnsi"/>
        </w:rPr>
      </w:pPr>
      <w:r>
        <w:t xml:space="preserve">chiede pertanto misure più incisive e proattive per </w:t>
      </w:r>
      <w:r>
        <w:rPr>
          <w:b/>
        </w:rPr>
        <w:t>combattere l'abbattimento illegale, la deforestazione e il commercio illegale di legname</w:t>
      </w:r>
      <w:r>
        <w:t>;</w:t>
      </w:r>
    </w:p>
    <w:p w:rsidRPr="000F732E" w:rsidR="000F732E" w:rsidP="005165CA" w:rsidRDefault="000F732E" w14:paraId="22C6D85E" w14:textId="77777777">
      <w:pPr>
        <w:numPr>
          <w:ilvl w:val="0"/>
          <w:numId w:val="28"/>
        </w:numPr>
        <w:spacing w:after="160" w:line="259" w:lineRule="auto"/>
        <w:ind w:left="284" w:hanging="284"/>
        <w:contextualSpacing/>
        <w:rPr>
          <w:rFonts w:eastAsiaTheme="minorHAnsi"/>
        </w:rPr>
      </w:pPr>
      <w:r>
        <w:t xml:space="preserve">esorta a elaborare una </w:t>
      </w:r>
      <w:r>
        <w:rPr>
          <w:b/>
        </w:rPr>
        <w:t>strategia dell'UE in grado di attrarre e trattenere i talenti più giovani</w:t>
      </w:r>
      <w:r>
        <w:t xml:space="preserve"> e le donne nel settore, </w:t>
      </w:r>
      <w:r>
        <w:rPr>
          <w:b/>
        </w:rPr>
        <w:t>garantendo la disponibilità di lavoratori qualificati</w:t>
      </w:r>
      <w:r>
        <w:t>;</w:t>
      </w:r>
    </w:p>
    <w:p w:rsidRPr="000F732E" w:rsidR="000F732E" w:rsidP="005165CA" w:rsidRDefault="000F732E" w14:paraId="41674885" w14:textId="77777777">
      <w:pPr>
        <w:numPr>
          <w:ilvl w:val="0"/>
          <w:numId w:val="28"/>
        </w:numPr>
        <w:spacing w:after="160" w:line="259" w:lineRule="auto"/>
        <w:ind w:left="284" w:hanging="284"/>
        <w:contextualSpacing/>
        <w:rPr>
          <w:rFonts w:eastAsiaTheme="minorHAnsi"/>
        </w:rPr>
      </w:pPr>
      <w:r>
        <w:t xml:space="preserve">sottolinea l'importanza di </w:t>
      </w:r>
      <w:r>
        <w:rPr>
          <w:b/>
          <w:bCs/>
        </w:rPr>
        <w:t>sostenere il pilastro europeo dei diritti sociali</w:t>
      </w:r>
      <w:r>
        <w:t xml:space="preserve"> nell'industria del legno dell'UE;</w:t>
      </w:r>
    </w:p>
    <w:p w:rsidRPr="000F732E" w:rsidR="000F732E" w:rsidP="005165CA" w:rsidRDefault="000F732E" w14:paraId="3255DCE6" w14:textId="77777777">
      <w:pPr>
        <w:numPr>
          <w:ilvl w:val="0"/>
          <w:numId w:val="28"/>
        </w:numPr>
        <w:spacing w:after="160" w:line="259" w:lineRule="auto"/>
        <w:ind w:left="284" w:hanging="284"/>
        <w:contextualSpacing/>
        <w:rPr>
          <w:rFonts w:eastAsiaTheme="minorHAnsi"/>
          <w:b/>
          <w:bCs/>
        </w:rPr>
      </w:pPr>
      <w:r>
        <w:t xml:space="preserve">sottolinea la crescente necessità di una gestione efficace delle foreste, di un migliore coordinamento dei servizi antincendio a livello nazionale e dell'UE e di attrezzature più appropriate a disposizione di tali servizi, al fine di </w:t>
      </w:r>
      <w:r>
        <w:rPr>
          <w:b/>
        </w:rPr>
        <w:t>contrastare la crescente tendenza dei grandi incendi boschivi</w:t>
      </w:r>
      <w:r>
        <w:t>;</w:t>
      </w:r>
    </w:p>
    <w:p w:rsidRPr="000F732E" w:rsidR="000F732E" w:rsidP="005165CA" w:rsidRDefault="000F732E" w14:paraId="23084171" w14:textId="77777777">
      <w:pPr>
        <w:numPr>
          <w:ilvl w:val="0"/>
          <w:numId w:val="28"/>
        </w:numPr>
        <w:spacing w:after="160" w:line="259" w:lineRule="auto"/>
        <w:ind w:left="284" w:hanging="284"/>
        <w:contextualSpacing/>
        <w:rPr>
          <w:rFonts w:eastAsiaTheme="minorHAnsi"/>
        </w:rPr>
      </w:pPr>
      <w:r>
        <w:t xml:space="preserve">esorta ad </w:t>
      </w:r>
      <w:r>
        <w:rPr>
          <w:b/>
          <w:bCs/>
        </w:rPr>
        <w:t>attuare</w:t>
      </w:r>
      <w:r>
        <w:t xml:space="preserve"> coerentemente </w:t>
      </w:r>
      <w:r>
        <w:rPr>
          <w:b/>
          <w:bCs/>
        </w:rPr>
        <w:t>il regolamento sulla progettazione ecocompatibile dei prodotti sostenibili</w:t>
      </w:r>
      <w:r>
        <w:t xml:space="preserve"> affinché tali prodotti diventino la norma, e in modo da mantenere una concorrenza leale con le importazioni. È inoltre opportuno invitare le parti sociali del settore del legno nell'UE a partecipare al forum consultivo sulla progettazione ecocompatibile.</w:t>
      </w:r>
    </w:p>
    <w:p w:rsidRPr="00861CD2" w:rsidR="000F732E" w:rsidP="000F732E" w:rsidRDefault="000F732E" w14:paraId="0EC35662" w14:textId="77777777">
      <w:pPr>
        <w:spacing w:after="160" w:line="259" w:lineRule="auto"/>
        <w:ind w:left="720"/>
        <w:contextualSpacing/>
        <w:jc w:val="left"/>
        <w:rPr>
          <w:rFonts w:eastAsiaTheme="minorHAnsi"/>
          <w:bCs/>
          <w:sz w:val="24"/>
          <w:szCs w:val="24"/>
          <w:lang w:val="fr-FR"/>
        </w:rPr>
      </w:pPr>
    </w:p>
    <w:tbl>
      <w:tblPr>
        <w:tblStyle w:val="TableGrid20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4"/>
        <w:gridCol w:w="4535"/>
      </w:tblGrid>
      <w:tr w:rsidRPr="00861CD2" w:rsidR="000F732E" w:rsidTr="00861CD2" w14:paraId="47CF7F3B" w14:textId="77777777">
        <w:tc>
          <w:tcPr>
            <w:tcW w:w="1445" w:type="pct"/>
          </w:tcPr>
          <w:p w:rsidRPr="00861CD2" w:rsidR="000F732E" w:rsidP="000F732E" w:rsidRDefault="000F732E" w14:paraId="76D5A844" w14:textId="77777777">
            <w:pPr>
              <w:spacing w:line="240" w:lineRule="auto"/>
              <w:jc w:val="left"/>
              <w:rPr>
                <w:i/>
                <w:sz w:val="22"/>
                <w:szCs w:val="22"/>
              </w:rPr>
            </w:pPr>
            <w:r w:rsidRPr="00861CD2">
              <w:rPr>
                <w:b/>
                <w:i/>
                <w:sz w:val="22"/>
                <w:szCs w:val="22"/>
              </w:rPr>
              <w:t>Contatto</w:t>
            </w:r>
          </w:p>
        </w:tc>
        <w:tc>
          <w:tcPr>
            <w:tcW w:w="3555" w:type="pct"/>
            <w:tcBorders>
              <w:left w:val="nil"/>
            </w:tcBorders>
          </w:tcPr>
          <w:p w:rsidRPr="00861CD2" w:rsidR="000F732E" w:rsidP="000F732E" w:rsidRDefault="000F732E" w14:paraId="7DA54185" w14:textId="31EEC934">
            <w:pPr>
              <w:spacing w:line="240" w:lineRule="auto"/>
              <w:jc w:val="left"/>
              <w:rPr>
                <w:bCs/>
                <w:i/>
                <w:sz w:val="22"/>
                <w:szCs w:val="22"/>
              </w:rPr>
            </w:pPr>
            <w:r w:rsidRPr="00861CD2">
              <w:rPr>
                <w:i/>
                <w:sz w:val="22"/>
                <w:szCs w:val="22"/>
              </w:rPr>
              <w:t>Heli NIEMELÄ-FARRER</w:t>
            </w:r>
          </w:p>
        </w:tc>
      </w:tr>
      <w:tr w:rsidRPr="00861CD2" w:rsidR="000F732E" w:rsidTr="00861CD2" w14:paraId="6E3CE5FB" w14:textId="77777777">
        <w:tc>
          <w:tcPr>
            <w:tcW w:w="1445" w:type="pct"/>
          </w:tcPr>
          <w:p w:rsidRPr="00861CD2" w:rsidR="000F732E" w:rsidP="000F732E" w:rsidRDefault="000F732E" w14:paraId="7E50D445" w14:textId="77777777">
            <w:pPr>
              <w:spacing w:line="240" w:lineRule="auto"/>
              <w:jc w:val="left"/>
              <w:rPr>
                <w:i/>
                <w:sz w:val="22"/>
                <w:szCs w:val="22"/>
              </w:rPr>
            </w:pPr>
            <w:r w:rsidRPr="00861CD2">
              <w:rPr>
                <w:i/>
                <w:sz w:val="22"/>
                <w:szCs w:val="22"/>
              </w:rPr>
              <w:t xml:space="preserve">Tel. </w:t>
            </w:r>
          </w:p>
        </w:tc>
        <w:tc>
          <w:tcPr>
            <w:tcW w:w="3555" w:type="pct"/>
            <w:tcBorders>
              <w:left w:val="nil"/>
            </w:tcBorders>
          </w:tcPr>
          <w:p w:rsidRPr="00861CD2" w:rsidR="000F732E" w:rsidP="000F732E" w:rsidRDefault="000F732E" w14:paraId="7DEC5319" w14:textId="77777777">
            <w:pPr>
              <w:spacing w:line="240" w:lineRule="auto"/>
              <w:jc w:val="left"/>
              <w:rPr>
                <w:i/>
                <w:sz w:val="22"/>
                <w:szCs w:val="22"/>
              </w:rPr>
            </w:pPr>
            <w:r w:rsidRPr="00861CD2">
              <w:rPr>
                <w:i/>
                <w:sz w:val="22"/>
                <w:szCs w:val="22"/>
              </w:rPr>
              <w:t>+32 22822464</w:t>
            </w:r>
          </w:p>
        </w:tc>
      </w:tr>
      <w:tr w:rsidRPr="00861CD2" w:rsidR="000F732E" w:rsidTr="00861CD2" w14:paraId="2C89CBFA" w14:textId="77777777">
        <w:trPr>
          <w:trHeight w:val="56"/>
        </w:trPr>
        <w:tc>
          <w:tcPr>
            <w:tcW w:w="1445" w:type="pct"/>
          </w:tcPr>
          <w:p w:rsidRPr="00861CD2" w:rsidR="000F732E" w:rsidP="000F732E" w:rsidRDefault="00422C9F" w14:paraId="314FD0C9" w14:textId="5B865A80">
            <w:pPr>
              <w:spacing w:line="240" w:lineRule="auto"/>
              <w:jc w:val="left"/>
              <w:rPr>
                <w:i/>
                <w:iCs/>
                <w:sz w:val="22"/>
                <w:szCs w:val="22"/>
              </w:rPr>
            </w:pPr>
            <w:r w:rsidRPr="00861CD2">
              <w:rPr>
                <w:i/>
                <w:sz w:val="22"/>
                <w:szCs w:val="22"/>
              </w:rPr>
              <w:t>E</w:t>
            </w:r>
            <w:r w:rsidRPr="00861CD2" w:rsidR="000F732E">
              <w:rPr>
                <w:i/>
                <w:sz w:val="22"/>
                <w:szCs w:val="22"/>
              </w:rPr>
              <w:t>-mail</w:t>
            </w:r>
          </w:p>
        </w:tc>
        <w:tc>
          <w:tcPr>
            <w:tcW w:w="3555" w:type="pct"/>
            <w:tcBorders>
              <w:left w:val="nil"/>
            </w:tcBorders>
          </w:tcPr>
          <w:p w:rsidRPr="00861CD2" w:rsidR="000F732E" w:rsidP="000F732E" w:rsidRDefault="00F95240" w14:paraId="5E097992" w14:textId="77777777">
            <w:pPr>
              <w:spacing w:line="240" w:lineRule="auto"/>
              <w:jc w:val="left"/>
              <w:rPr>
                <w:i/>
                <w:sz w:val="22"/>
                <w:szCs w:val="22"/>
              </w:rPr>
            </w:pPr>
            <w:hyperlink w:history="1" r:id="rId41">
              <w:r w:rsidRPr="00861CD2" w:rsidR="000502CD">
                <w:rPr>
                  <w:i/>
                  <w:color w:val="0000FF"/>
                  <w:sz w:val="22"/>
                  <w:szCs w:val="22"/>
                  <w:u w:val="single"/>
                </w:rPr>
                <w:t>Heli.Niemela-Farrer@eesc.europa.eu</w:t>
              </w:r>
            </w:hyperlink>
          </w:p>
        </w:tc>
      </w:tr>
      <w:bookmarkEnd w:id="0"/>
      <w:bookmarkEnd w:id="54"/>
    </w:tbl>
    <w:p w:rsidR="003F6640" w:rsidP="006C7863" w:rsidRDefault="003F6640" w14:paraId="494EE16D" w14:textId="77777777">
      <w:pPr>
        <w:overflowPunct w:val="0"/>
        <w:autoSpaceDE w:val="0"/>
        <w:autoSpaceDN w:val="0"/>
        <w:adjustRightInd w:val="0"/>
        <w:jc w:val="center"/>
        <w:textAlignment w:val="baseline"/>
        <w:rPr>
          <w:lang w:val="nl-BE"/>
        </w:rPr>
      </w:pPr>
    </w:p>
    <w:p w:rsidRPr="006C7863" w:rsidR="0092772D" w:rsidP="006C7863" w:rsidRDefault="00556EDF" w14:paraId="7379A588" w14:textId="62AAB0D6">
      <w:pPr>
        <w:overflowPunct w:val="0"/>
        <w:autoSpaceDE w:val="0"/>
        <w:autoSpaceDN w:val="0"/>
        <w:adjustRightInd w:val="0"/>
        <w:jc w:val="center"/>
        <w:textAlignment w:val="baseline"/>
      </w:pPr>
      <w:r>
        <w:t>_____________</w:t>
      </w:r>
    </w:p>
    <w:sectPr w:rsidRPr="006C7863" w:rsidR="0092772D" w:rsidSect="001B542D">
      <w:headerReference w:type="even" r:id="rId42"/>
      <w:headerReference w:type="default" r:id="rId43"/>
      <w:footerReference w:type="even" r:id="rId44"/>
      <w:footerReference w:type="default" r:id="rId45"/>
      <w:headerReference w:type="first" r:id="rId46"/>
      <w:footerReference w:type="first" r:id="rId47"/>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C989" w14:textId="77777777" w:rsidR="00FE6F48" w:rsidRDefault="00FE6F48" w:rsidP="003B0516">
      <w:pPr>
        <w:spacing w:line="240" w:lineRule="auto"/>
      </w:pPr>
      <w:r>
        <w:separator/>
      </w:r>
    </w:p>
  </w:endnote>
  <w:endnote w:type="continuationSeparator" w:id="0">
    <w:p w14:paraId="53145E4A" w14:textId="77777777" w:rsidR="00FE6F48" w:rsidRDefault="00FE6F4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56DC" w14:textId="77777777" w:rsidR="001B542D" w:rsidRPr="001B542D" w:rsidRDefault="001B542D" w:rsidP="001B5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73699F6E" w:rsidR="00765C4F" w:rsidRPr="001B542D" w:rsidRDefault="001B542D" w:rsidP="001B542D">
    <w:pPr>
      <w:pStyle w:val="Footer"/>
    </w:pPr>
    <w:r>
      <w:t xml:space="preserve">EESC-2024-00286-00-01-TCD-TRA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sidR="00B60366">
        <w:rPr>
          <w:noProof/>
        </w:rPr>
        <w:instrText>16</w:instrText>
      </w:r>
    </w:fldSimple>
    <w:r>
      <w:instrText xml:space="preserve"> -0 </w:instrText>
    </w:r>
    <w:r>
      <w:fldChar w:fldCharType="separate"/>
    </w:r>
    <w:r w:rsidR="00B60366">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197D" w14:textId="77777777" w:rsidR="001B542D" w:rsidRPr="001B542D" w:rsidRDefault="001B542D" w:rsidP="001B54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1B542D" w:rsidRDefault="00E4258F" w:rsidP="001B54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4881E686" w:rsidR="00E4258F" w:rsidRPr="001B542D" w:rsidRDefault="001B542D" w:rsidP="001B542D">
    <w:pPr>
      <w:pStyle w:val="Footer"/>
    </w:pPr>
    <w:r>
      <w:t xml:space="preserve">EESC-2024-00286-00-01-TCD-TRA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fldSimple w:instr=" NUMPAGES ">
      <w:r w:rsidR="005B7129">
        <w:rPr>
          <w:noProof/>
        </w:rPr>
        <w:instrText>16</w:instrText>
      </w:r>
    </w:fldSimple>
    <w:r>
      <w:instrText xml:space="preserve"> -0 </w:instrText>
    </w:r>
    <w:r>
      <w:fldChar w:fldCharType="separate"/>
    </w:r>
    <w:r w:rsidR="005B7129">
      <w:rPr>
        <w:noProof/>
      </w:rPr>
      <w:t>16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1B542D" w:rsidRDefault="00E4258F" w:rsidP="001B5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C6067" w14:textId="77777777" w:rsidR="00FE6F48" w:rsidRDefault="00FE6F48" w:rsidP="003B0516">
      <w:pPr>
        <w:spacing w:line="240" w:lineRule="auto"/>
      </w:pPr>
      <w:r>
        <w:separator/>
      </w:r>
    </w:p>
  </w:footnote>
  <w:footnote w:type="continuationSeparator" w:id="0">
    <w:p w14:paraId="60476E3C" w14:textId="77777777" w:rsidR="00FE6F48" w:rsidRDefault="00FE6F48"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F2B5" w14:textId="77777777" w:rsidR="001B542D" w:rsidRPr="001B542D" w:rsidRDefault="001B542D" w:rsidP="001B54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1E60" w14:textId="77777777" w:rsidR="001B542D" w:rsidRPr="001B542D" w:rsidRDefault="001B542D" w:rsidP="001B54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0334" w14:textId="77777777" w:rsidR="001B542D" w:rsidRPr="001B542D" w:rsidRDefault="001B542D" w:rsidP="001B54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1B542D" w:rsidRDefault="00E4258F" w:rsidP="001B54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4CBE255C" w:rsidR="00E4258F" w:rsidRPr="001B542D" w:rsidRDefault="00E4258F" w:rsidP="001B542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1B542D" w:rsidRDefault="00E4258F" w:rsidP="001B5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722C09A"/>
    <w:lvl w:ilvl="0">
      <w:numFmt w:val="decimal"/>
      <w:lvlText w:val="*"/>
      <w:lvlJc w:val="left"/>
    </w:lvl>
  </w:abstractNum>
  <w:abstractNum w:abstractNumId="1" w15:restartNumberingAfterBreak="0">
    <w:nsid w:val="012A5128"/>
    <w:multiLevelType w:val="hybridMultilevel"/>
    <w:tmpl w:val="6A5CEA14"/>
    <w:lvl w:ilvl="0" w:tplc="F6166D28">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570519E"/>
    <w:multiLevelType w:val="hybridMultilevel"/>
    <w:tmpl w:val="B9B86228"/>
    <w:lvl w:ilvl="0" w:tplc="F6166D2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B5E0C"/>
    <w:multiLevelType w:val="hybridMultilevel"/>
    <w:tmpl w:val="9364F78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F7CF268"/>
    <w:multiLevelType w:val="hybridMultilevel"/>
    <w:tmpl w:val="1E6219C2"/>
    <w:lvl w:ilvl="0" w:tplc="A1A0199E">
      <w:start w:val="1"/>
      <w:numFmt w:val="bullet"/>
      <w:lvlText w:val=""/>
      <w:lvlJc w:val="left"/>
      <w:pPr>
        <w:ind w:left="720" w:hanging="360"/>
      </w:pPr>
      <w:rPr>
        <w:rFonts w:ascii="Symbol" w:hAnsi="Symbol" w:hint="default"/>
        <w:sz w:val="28"/>
        <w:szCs w:val="28"/>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6" w15:restartNumberingAfterBreak="0">
    <w:nsid w:val="10912D32"/>
    <w:multiLevelType w:val="hybridMultilevel"/>
    <w:tmpl w:val="3EE66B3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4D7300B"/>
    <w:multiLevelType w:val="hybridMultilevel"/>
    <w:tmpl w:val="C152FF0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425F51"/>
    <w:multiLevelType w:val="hybridMultilevel"/>
    <w:tmpl w:val="B1A0CBD0"/>
    <w:lvl w:ilvl="0" w:tplc="7EF2A60C">
      <w:start w:val="1"/>
      <w:numFmt w:val="bullet"/>
      <w:lvlText w:val=""/>
      <w:lvlJc w:val="left"/>
      <w:pPr>
        <w:ind w:left="720" w:hanging="360"/>
      </w:pPr>
      <w:rPr>
        <w:rFonts w:ascii="Symbol" w:hAnsi="Symbol"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F897D79"/>
    <w:multiLevelType w:val="hybridMultilevel"/>
    <w:tmpl w:val="C7B62F5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3D25C5E"/>
    <w:multiLevelType w:val="hybridMultilevel"/>
    <w:tmpl w:val="7848F8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1"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A861250"/>
    <w:multiLevelType w:val="hybridMultilevel"/>
    <w:tmpl w:val="FE7C6924"/>
    <w:lvl w:ilvl="0" w:tplc="179AB916">
      <w:start w:val="1"/>
      <w:numFmt w:val="bullet"/>
      <w:lvlText w:val=""/>
      <w:lvlJc w:val="left"/>
      <w:pPr>
        <w:ind w:left="2421" w:hanging="360"/>
      </w:pPr>
      <w:rPr>
        <w:rFonts w:ascii="Symbol" w:hAnsi="Symbol" w:hint="default"/>
        <w:sz w:val="28"/>
        <w:szCs w:val="28"/>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14" w15:restartNumberingAfterBreak="0">
    <w:nsid w:val="2CB83CA6"/>
    <w:multiLevelType w:val="hybridMultilevel"/>
    <w:tmpl w:val="E0580AF4"/>
    <w:lvl w:ilvl="0" w:tplc="F6166D28">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CED45CA"/>
    <w:multiLevelType w:val="hybridMultilevel"/>
    <w:tmpl w:val="31168010"/>
    <w:lvl w:ilvl="0" w:tplc="F6166D28">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BC94212"/>
    <w:multiLevelType w:val="hybridMultilevel"/>
    <w:tmpl w:val="A7FE6368"/>
    <w:lvl w:ilvl="0" w:tplc="08090001">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03C7B2A"/>
    <w:multiLevelType w:val="hybridMultilevel"/>
    <w:tmpl w:val="7D745C5C"/>
    <w:lvl w:ilvl="0" w:tplc="C24ECA16">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412A3200"/>
    <w:multiLevelType w:val="hybridMultilevel"/>
    <w:tmpl w:val="BDB6A23E"/>
    <w:lvl w:ilvl="0" w:tplc="DDE088C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14EF5"/>
    <w:multiLevelType w:val="hybridMultilevel"/>
    <w:tmpl w:val="B6825228"/>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1" w15:restartNumberingAfterBreak="0">
    <w:nsid w:val="50DB1CE6"/>
    <w:multiLevelType w:val="hybridMultilevel"/>
    <w:tmpl w:val="A37EC5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5795314"/>
    <w:multiLevelType w:val="hybridMultilevel"/>
    <w:tmpl w:val="E182F320"/>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3" w15:restartNumberingAfterBreak="0">
    <w:nsid w:val="5C130D57"/>
    <w:multiLevelType w:val="hybridMultilevel"/>
    <w:tmpl w:val="D396A2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7DF1691"/>
    <w:multiLevelType w:val="hybridMultilevel"/>
    <w:tmpl w:val="F5A8B66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6" w15:restartNumberingAfterBreak="0">
    <w:nsid w:val="6D1044A8"/>
    <w:multiLevelType w:val="hybridMultilevel"/>
    <w:tmpl w:val="5A002252"/>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8" w15:restartNumberingAfterBreak="0">
    <w:nsid w:val="7DD51B7E"/>
    <w:multiLevelType w:val="hybridMultilevel"/>
    <w:tmpl w:val="BFB88AA6"/>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9" w15:restartNumberingAfterBreak="0">
    <w:nsid w:val="7F8154DA"/>
    <w:multiLevelType w:val="hybridMultilevel"/>
    <w:tmpl w:val="05DE86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18"/>
  </w:num>
  <w:num w:numId="4">
    <w:abstractNumId w:val="13"/>
  </w:num>
  <w:num w:numId="5">
    <w:abstractNumId w:val="2"/>
  </w:num>
  <w:num w:numId="6">
    <w:abstractNumId w:val="17"/>
  </w:num>
  <w:num w:numId="7">
    <w:abstractNumId w:val="10"/>
  </w:num>
  <w:num w:numId="8">
    <w:abstractNumId w:val="21"/>
  </w:num>
  <w:num w:numId="9">
    <w:abstractNumId w:val="16"/>
  </w:num>
  <w:num w:numId="10">
    <w:abstractNumId w:val="19"/>
  </w:num>
  <w:num w:numId="11">
    <w:abstractNumId w:val="6"/>
  </w:num>
  <w:num w:numId="12">
    <w:abstractNumId w:val="5"/>
  </w:num>
  <w:num w:numId="13">
    <w:abstractNumId w:val="27"/>
  </w:num>
  <w:num w:numId="14">
    <w:abstractNumId w:val="24"/>
  </w:num>
  <w:num w:numId="15">
    <w:abstractNumId w:val="20"/>
  </w:num>
  <w:num w:numId="16">
    <w:abstractNumId w:val="8"/>
  </w:num>
  <w:num w:numId="17">
    <w:abstractNumId w:val="29"/>
  </w:num>
  <w:num w:numId="18">
    <w:abstractNumId w:val="23"/>
  </w:num>
  <w:num w:numId="19">
    <w:abstractNumId w:val="3"/>
  </w:num>
  <w:num w:numId="20">
    <w:abstractNumId w:val="1"/>
  </w:num>
  <w:num w:numId="21">
    <w:abstractNumId w:val="25"/>
  </w:num>
  <w:num w:numId="22">
    <w:abstractNumId w:val="9"/>
  </w:num>
  <w:num w:numId="23">
    <w:abstractNumId w:val="7"/>
  </w:num>
  <w:num w:numId="24">
    <w:abstractNumId w:val="26"/>
  </w:num>
  <w:num w:numId="25">
    <w:abstractNumId w:val="4"/>
  </w:num>
  <w:num w:numId="26">
    <w:abstractNumId w:val="22"/>
  </w:num>
  <w:num w:numId="27">
    <w:abstractNumId w:val="28"/>
  </w:num>
  <w:num w:numId="28">
    <w:abstractNumId w:val="14"/>
  </w:num>
  <w:num w:numId="29">
    <w:abstractNumId w:val="0"/>
    <w:lvlOverride w:ilvl="0">
      <w:lvl w:ilvl="0">
        <w:start w:val="1"/>
        <w:numFmt w:val="bullet"/>
        <w:lvlText w:val=""/>
        <w:lvlJc w:val="left"/>
        <w:pPr>
          <w:ind w:left="720" w:hanging="360"/>
        </w:pPr>
        <w:rPr>
          <w:rFonts w:ascii="Symbol" w:hAnsi="Symbol" w:hint="default"/>
          <w:color w:val="auto"/>
          <w:sz w:val="28"/>
          <w:szCs w:val="28"/>
        </w:rPr>
      </w:lvl>
    </w:lvlOverride>
  </w:num>
  <w:num w:numId="30">
    <w:abstractNumId w:val="11"/>
  </w:num>
  <w:num w:numId="3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E18"/>
    <w:rsid w:val="00016015"/>
    <w:rsid w:val="00016A29"/>
    <w:rsid w:val="00016C21"/>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6621"/>
    <w:rsid w:val="00046E56"/>
    <w:rsid w:val="00047887"/>
    <w:rsid w:val="00050002"/>
    <w:rsid w:val="000502CD"/>
    <w:rsid w:val="000507DF"/>
    <w:rsid w:val="0005110E"/>
    <w:rsid w:val="0005170F"/>
    <w:rsid w:val="00052BF1"/>
    <w:rsid w:val="00052DD1"/>
    <w:rsid w:val="00052E1C"/>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79"/>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1B7"/>
    <w:rsid w:val="000A2953"/>
    <w:rsid w:val="000A3603"/>
    <w:rsid w:val="000A558D"/>
    <w:rsid w:val="000A74DC"/>
    <w:rsid w:val="000A7BA8"/>
    <w:rsid w:val="000A7EC1"/>
    <w:rsid w:val="000B01F7"/>
    <w:rsid w:val="000B0B9A"/>
    <w:rsid w:val="000B19C4"/>
    <w:rsid w:val="000B1AE6"/>
    <w:rsid w:val="000B1C30"/>
    <w:rsid w:val="000B1C78"/>
    <w:rsid w:val="000B25D7"/>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88"/>
    <w:rsid w:val="000D40D0"/>
    <w:rsid w:val="000D5A98"/>
    <w:rsid w:val="000D65AC"/>
    <w:rsid w:val="000D6BC4"/>
    <w:rsid w:val="000D6C7C"/>
    <w:rsid w:val="000D7181"/>
    <w:rsid w:val="000D72F5"/>
    <w:rsid w:val="000D754F"/>
    <w:rsid w:val="000D7878"/>
    <w:rsid w:val="000E1079"/>
    <w:rsid w:val="000E14F2"/>
    <w:rsid w:val="000E3485"/>
    <w:rsid w:val="000E37FD"/>
    <w:rsid w:val="000E437C"/>
    <w:rsid w:val="000E447F"/>
    <w:rsid w:val="000E5197"/>
    <w:rsid w:val="000E56EA"/>
    <w:rsid w:val="000E5EDB"/>
    <w:rsid w:val="000E5FFD"/>
    <w:rsid w:val="000E6108"/>
    <w:rsid w:val="000E698E"/>
    <w:rsid w:val="000E75F1"/>
    <w:rsid w:val="000F21B9"/>
    <w:rsid w:val="000F2598"/>
    <w:rsid w:val="000F2BDB"/>
    <w:rsid w:val="000F2E5A"/>
    <w:rsid w:val="000F442A"/>
    <w:rsid w:val="000F4825"/>
    <w:rsid w:val="000F53B7"/>
    <w:rsid w:val="000F679A"/>
    <w:rsid w:val="000F6FCF"/>
    <w:rsid w:val="000F732E"/>
    <w:rsid w:val="001000A8"/>
    <w:rsid w:val="0010109E"/>
    <w:rsid w:val="001016BE"/>
    <w:rsid w:val="00101D87"/>
    <w:rsid w:val="001023AA"/>
    <w:rsid w:val="00104302"/>
    <w:rsid w:val="00104B7A"/>
    <w:rsid w:val="001052A1"/>
    <w:rsid w:val="0010535A"/>
    <w:rsid w:val="00105758"/>
    <w:rsid w:val="00105EF9"/>
    <w:rsid w:val="00106358"/>
    <w:rsid w:val="00110085"/>
    <w:rsid w:val="00110172"/>
    <w:rsid w:val="001106FB"/>
    <w:rsid w:val="00111187"/>
    <w:rsid w:val="00111BD8"/>
    <w:rsid w:val="00113B00"/>
    <w:rsid w:val="001140AE"/>
    <w:rsid w:val="00115BBC"/>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CEB"/>
    <w:rsid w:val="00126D3E"/>
    <w:rsid w:val="00126D40"/>
    <w:rsid w:val="001271C3"/>
    <w:rsid w:val="00127C4E"/>
    <w:rsid w:val="0013052F"/>
    <w:rsid w:val="0013145E"/>
    <w:rsid w:val="00132B56"/>
    <w:rsid w:val="001332A2"/>
    <w:rsid w:val="00133C08"/>
    <w:rsid w:val="001348CC"/>
    <w:rsid w:val="00135610"/>
    <w:rsid w:val="00135769"/>
    <w:rsid w:val="00137BCC"/>
    <w:rsid w:val="001400C7"/>
    <w:rsid w:val="00142A44"/>
    <w:rsid w:val="001435E4"/>
    <w:rsid w:val="001445A7"/>
    <w:rsid w:val="001455A1"/>
    <w:rsid w:val="0014589C"/>
    <w:rsid w:val="00145DCD"/>
    <w:rsid w:val="00150AD8"/>
    <w:rsid w:val="00150B75"/>
    <w:rsid w:val="00150E51"/>
    <w:rsid w:val="001513FD"/>
    <w:rsid w:val="00151EDB"/>
    <w:rsid w:val="0015211E"/>
    <w:rsid w:val="00152FA6"/>
    <w:rsid w:val="00153032"/>
    <w:rsid w:val="00153F0C"/>
    <w:rsid w:val="001543FE"/>
    <w:rsid w:val="001546A6"/>
    <w:rsid w:val="00154EC7"/>
    <w:rsid w:val="00155B53"/>
    <w:rsid w:val="001563F6"/>
    <w:rsid w:val="00157F0F"/>
    <w:rsid w:val="001606AD"/>
    <w:rsid w:val="00163106"/>
    <w:rsid w:val="00164813"/>
    <w:rsid w:val="0016534C"/>
    <w:rsid w:val="00165EA2"/>
    <w:rsid w:val="0017095E"/>
    <w:rsid w:val="00172541"/>
    <w:rsid w:val="0017287C"/>
    <w:rsid w:val="00173E94"/>
    <w:rsid w:val="001744F9"/>
    <w:rsid w:val="00174763"/>
    <w:rsid w:val="001755E0"/>
    <w:rsid w:val="001756D1"/>
    <w:rsid w:val="00175EC3"/>
    <w:rsid w:val="001760E9"/>
    <w:rsid w:val="00176786"/>
    <w:rsid w:val="00180F59"/>
    <w:rsid w:val="0018231C"/>
    <w:rsid w:val="00182DAA"/>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542D"/>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DC3"/>
    <w:rsid w:val="001C72AB"/>
    <w:rsid w:val="001C7B41"/>
    <w:rsid w:val="001D1D1C"/>
    <w:rsid w:val="001D1F54"/>
    <w:rsid w:val="001D2636"/>
    <w:rsid w:val="001D277D"/>
    <w:rsid w:val="001D31CF"/>
    <w:rsid w:val="001D357A"/>
    <w:rsid w:val="001D3D0A"/>
    <w:rsid w:val="001D6EF9"/>
    <w:rsid w:val="001D6FFF"/>
    <w:rsid w:val="001D770D"/>
    <w:rsid w:val="001E04B8"/>
    <w:rsid w:val="001E0F0C"/>
    <w:rsid w:val="001E1489"/>
    <w:rsid w:val="001E1833"/>
    <w:rsid w:val="001E2286"/>
    <w:rsid w:val="001E347B"/>
    <w:rsid w:val="001E3DFE"/>
    <w:rsid w:val="001E418F"/>
    <w:rsid w:val="001E6413"/>
    <w:rsid w:val="001E6AE6"/>
    <w:rsid w:val="001E6F69"/>
    <w:rsid w:val="001E715B"/>
    <w:rsid w:val="001E71D7"/>
    <w:rsid w:val="001F0687"/>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267"/>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79AC"/>
    <w:rsid w:val="00247E02"/>
    <w:rsid w:val="00251418"/>
    <w:rsid w:val="00251ED7"/>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54EF"/>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432"/>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4A3"/>
    <w:rsid w:val="002B75A5"/>
    <w:rsid w:val="002B7981"/>
    <w:rsid w:val="002B7C5C"/>
    <w:rsid w:val="002B7F3A"/>
    <w:rsid w:val="002C016E"/>
    <w:rsid w:val="002C07E4"/>
    <w:rsid w:val="002C08B8"/>
    <w:rsid w:val="002C0E2F"/>
    <w:rsid w:val="002C2466"/>
    <w:rsid w:val="002C24B9"/>
    <w:rsid w:val="002C273B"/>
    <w:rsid w:val="002C2B80"/>
    <w:rsid w:val="002C4B6E"/>
    <w:rsid w:val="002C52B8"/>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1909"/>
    <w:rsid w:val="002F31FD"/>
    <w:rsid w:val="002F32E6"/>
    <w:rsid w:val="002F4AF0"/>
    <w:rsid w:val="002F5750"/>
    <w:rsid w:val="002F57AC"/>
    <w:rsid w:val="002F5819"/>
    <w:rsid w:val="002F5EE1"/>
    <w:rsid w:val="002F63EB"/>
    <w:rsid w:val="002F665D"/>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17D48"/>
    <w:rsid w:val="00320F33"/>
    <w:rsid w:val="0032128B"/>
    <w:rsid w:val="00321539"/>
    <w:rsid w:val="0032154F"/>
    <w:rsid w:val="0032266E"/>
    <w:rsid w:val="003227CC"/>
    <w:rsid w:val="0032340F"/>
    <w:rsid w:val="0032356C"/>
    <w:rsid w:val="00323A05"/>
    <w:rsid w:val="003255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04F"/>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4B6"/>
    <w:rsid w:val="00347F9A"/>
    <w:rsid w:val="003505DD"/>
    <w:rsid w:val="00350A12"/>
    <w:rsid w:val="00350F5C"/>
    <w:rsid w:val="003512EC"/>
    <w:rsid w:val="0035145B"/>
    <w:rsid w:val="00351F56"/>
    <w:rsid w:val="003527B4"/>
    <w:rsid w:val="003529C2"/>
    <w:rsid w:val="00353184"/>
    <w:rsid w:val="00353D37"/>
    <w:rsid w:val="00354714"/>
    <w:rsid w:val="003550F7"/>
    <w:rsid w:val="00356BAD"/>
    <w:rsid w:val="00356CCD"/>
    <w:rsid w:val="003604AE"/>
    <w:rsid w:val="00360C81"/>
    <w:rsid w:val="00361E48"/>
    <w:rsid w:val="00361F46"/>
    <w:rsid w:val="00362EE5"/>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878F2"/>
    <w:rsid w:val="00390587"/>
    <w:rsid w:val="00391B98"/>
    <w:rsid w:val="0039201C"/>
    <w:rsid w:val="00394949"/>
    <w:rsid w:val="00395070"/>
    <w:rsid w:val="003953F0"/>
    <w:rsid w:val="00395762"/>
    <w:rsid w:val="00396061"/>
    <w:rsid w:val="0039613E"/>
    <w:rsid w:val="003965BB"/>
    <w:rsid w:val="00396707"/>
    <w:rsid w:val="00396CC5"/>
    <w:rsid w:val="00397F85"/>
    <w:rsid w:val="003A0DB7"/>
    <w:rsid w:val="003A2251"/>
    <w:rsid w:val="003A37C0"/>
    <w:rsid w:val="003A3C4C"/>
    <w:rsid w:val="003A7071"/>
    <w:rsid w:val="003B01EE"/>
    <w:rsid w:val="003B0516"/>
    <w:rsid w:val="003B2007"/>
    <w:rsid w:val="003B301F"/>
    <w:rsid w:val="003B3C5F"/>
    <w:rsid w:val="003B3D68"/>
    <w:rsid w:val="003B3E18"/>
    <w:rsid w:val="003B48B7"/>
    <w:rsid w:val="003B6100"/>
    <w:rsid w:val="003B62FD"/>
    <w:rsid w:val="003B636C"/>
    <w:rsid w:val="003B6653"/>
    <w:rsid w:val="003B6760"/>
    <w:rsid w:val="003B6EB5"/>
    <w:rsid w:val="003C07C5"/>
    <w:rsid w:val="003C0D9C"/>
    <w:rsid w:val="003C0E5B"/>
    <w:rsid w:val="003C0FF2"/>
    <w:rsid w:val="003C179C"/>
    <w:rsid w:val="003C23DD"/>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2FFB"/>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640"/>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2C9F"/>
    <w:rsid w:val="00423D72"/>
    <w:rsid w:val="00424F1B"/>
    <w:rsid w:val="00424FBB"/>
    <w:rsid w:val="00425793"/>
    <w:rsid w:val="00425B4A"/>
    <w:rsid w:val="00426417"/>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A37"/>
    <w:rsid w:val="00441E1B"/>
    <w:rsid w:val="00441E45"/>
    <w:rsid w:val="004429E2"/>
    <w:rsid w:val="004437F6"/>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8644C"/>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5B45"/>
    <w:rsid w:val="004B7248"/>
    <w:rsid w:val="004B72DD"/>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1AE7"/>
    <w:rsid w:val="004D2E64"/>
    <w:rsid w:val="004D3247"/>
    <w:rsid w:val="004D3E27"/>
    <w:rsid w:val="004D45DE"/>
    <w:rsid w:val="004D495A"/>
    <w:rsid w:val="004D4CB3"/>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097"/>
    <w:rsid w:val="00507FBD"/>
    <w:rsid w:val="00510903"/>
    <w:rsid w:val="00510F71"/>
    <w:rsid w:val="0051254E"/>
    <w:rsid w:val="005127F5"/>
    <w:rsid w:val="00512A34"/>
    <w:rsid w:val="005139C5"/>
    <w:rsid w:val="0051658B"/>
    <w:rsid w:val="005165CA"/>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83C"/>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638B"/>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154"/>
    <w:rsid w:val="0059541C"/>
    <w:rsid w:val="0059647B"/>
    <w:rsid w:val="005967FB"/>
    <w:rsid w:val="005A1FA3"/>
    <w:rsid w:val="005A297E"/>
    <w:rsid w:val="005A29D5"/>
    <w:rsid w:val="005A31A4"/>
    <w:rsid w:val="005A3AC1"/>
    <w:rsid w:val="005A3DF8"/>
    <w:rsid w:val="005A3E6D"/>
    <w:rsid w:val="005A4945"/>
    <w:rsid w:val="005A4ABB"/>
    <w:rsid w:val="005A4E72"/>
    <w:rsid w:val="005A54A8"/>
    <w:rsid w:val="005A67F3"/>
    <w:rsid w:val="005A6946"/>
    <w:rsid w:val="005A755F"/>
    <w:rsid w:val="005A7D66"/>
    <w:rsid w:val="005B0E27"/>
    <w:rsid w:val="005B3012"/>
    <w:rsid w:val="005B3E1F"/>
    <w:rsid w:val="005B3E41"/>
    <w:rsid w:val="005B4680"/>
    <w:rsid w:val="005B4EE6"/>
    <w:rsid w:val="005B5038"/>
    <w:rsid w:val="005B6007"/>
    <w:rsid w:val="005B7129"/>
    <w:rsid w:val="005B7660"/>
    <w:rsid w:val="005C0363"/>
    <w:rsid w:val="005C0454"/>
    <w:rsid w:val="005C04BC"/>
    <w:rsid w:val="005C078D"/>
    <w:rsid w:val="005C6297"/>
    <w:rsid w:val="005C63F8"/>
    <w:rsid w:val="005C6A74"/>
    <w:rsid w:val="005C72B5"/>
    <w:rsid w:val="005C7902"/>
    <w:rsid w:val="005C7C47"/>
    <w:rsid w:val="005D0E3D"/>
    <w:rsid w:val="005D326D"/>
    <w:rsid w:val="005D3431"/>
    <w:rsid w:val="005D3628"/>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4DC"/>
    <w:rsid w:val="005E682E"/>
    <w:rsid w:val="005E764B"/>
    <w:rsid w:val="005E7B87"/>
    <w:rsid w:val="005E7FD6"/>
    <w:rsid w:val="005F058B"/>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07F31"/>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1F1"/>
    <w:rsid w:val="00622822"/>
    <w:rsid w:val="00623469"/>
    <w:rsid w:val="00624785"/>
    <w:rsid w:val="00624CAC"/>
    <w:rsid w:val="00625885"/>
    <w:rsid w:val="006262F2"/>
    <w:rsid w:val="006263FF"/>
    <w:rsid w:val="00626B92"/>
    <w:rsid w:val="006270FF"/>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57A0A"/>
    <w:rsid w:val="006604D8"/>
    <w:rsid w:val="00661542"/>
    <w:rsid w:val="00662436"/>
    <w:rsid w:val="00662475"/>
    <w:rsid w:val="00662D95"/>
    <w:rsid w:val="0066408C"/>
    <w:rsid w:val="006669FA"/>
    <w:rsid w:val="00666A72"/>
    <w:rsid w:val="00667261"/>
    <w:rsid w:val="00667E70"/>
    <w:rsid w:val="00670347"/>
    <w:rsid w:val="00670387"/>
    <w:rsid w:val="006722E8"/>
    <w:rsid w:val="0067337A"/>
    <w:rsid w:val="006736F5"/>
    <w:rsid w:val="006749D4"/>
    <w:rsid w:val="00674A47"/>
    <w:rsid w:val="00675177"/>
    <w:rsid w:val="00675C3E"/>
    <w:rsid w:val="00676CBB"/>
    <w:rsid w:val="00677979"/>
    <w:rsid w:val="00680336"/>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2795"/>
    <w:rsid w:val="006B318C"/>
    <w:rsid w:val="006B3316"/>
    <w:rsid w:val="006B3644"/>
    <w:rsid w:val="006B5025"/>
    <w:rsid w:val="006B58ED"/>
    <w:rsid w:val="006B5D99"/>
    <w:rsid w:val="006B6D88"/>
    <w:rsid w:val="006C1160"/>
    <w:rsid w:val="006C23B2"/>
    <w:rsid w:val="006C24B2"/>
    <w:rsid w:val="006C25B5"/>
    <w:rsid w:val="006C2C92"/>
    <w:rsid w:val="006C2EB9"/>
    <w:rsid w:val="006C4311"/>
    <w:rsid w:val="006C4ED2"/>
    <w:rsid w:val="006C61EF"/>
    <w:rsid w:val="006C6A1E"/>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08B"/>
    <w:rsid w:val="00724702"/>
    <w:rsid w:val="00724D6D"/>
    <w:rsid w:val="00727B0D"/>
    <w:rsid w:val="00730A22"/>
    <w:rsid w:val="00730BCC"/>
    <w:rsid w:val="00730F46"/>
    <w:rsid w:val="007313E4"/>
    <w:rsid w:val="007327CD"/>
    <w:rsid w:val="00732CC4"/>
    <w:rsid w:val="00733A55"/>
    <w:rsid w:val="00734081"/>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1F36"/>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099"/>
    <w:rsid w:val="007A04EA"/>
    <w:rsid w:val="007A0970"/>
    <w:rsid w:val="007A1548"/>
    <w:rsid w:val="007A19B8"/>
    <w:rsid w:val="007A26B7"/>
    <w:rsid w:val="007A4DC4"/>
    <w:rsid w:val="007A4F58"/>
    <w:rsid w:val="007A6E66"/>
    <w:rsid w:val="007B081C"/>
    <w:rsid w:val="007B20AF"/>
    <w:rsid w:val="007B21C5"/>
    <w:rsid w:val="007B231B"/>
    <w:rsid w:val="007B4C34"/>
    <w:rsid w:val="007B4C38"/>
    <w:rsid w:val="007B4EBE"/>
    <w:rsid w:val="007B51DD"/>
    <w:rsid w:val="007B6259"/>
    <w:rsid w:val="007B6B96"/>
    <w:rsid w:val="007B6C34"/>
    <w:rsid w:val="007B76EB"/>
    <w:rsid w:val="007B7C40"/>
    <w:rsid w:val="007C0BDC"/>
    <w:rsid w:val="007C1057"/>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B63"/>
    <w:rsid w:val="00822ED8"/>
    <w:rsid w:val="008230CE"/>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1CD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B2F"/>
    <w:rsid w:val="008A0C54"/>
    <w:rsid w:val="008A0E09"/>
    <w:rsid w:val="008A16E3"/>
    <w:rsid w:val="008A4B7D"/>
    <w:rsid w:val="008A4C14"/>
    <w:rsid w:val="008A4D3B"/>
    <w:rsid w:val="008A55B6"/>
    <w:rsid w:val="008A6537"/>
    <w:rsid w:val="008A6871"/>
    <w:rsid w:val="008A6EC7"/>
    <w:rsid w:val="008A755A"/>
    <w:rsid w:val="008A7B98"/>
    <w:rsid w:val="008B2544"/>
    <w:rsid w:val="008B25CA"/>
    <w:rsid w:val="008B26C6"/>
    <w:rsid w:val="008B2708"/>
    <w:rsid w:val="008B4283"/>
    <w:rsid w:val="008B47C5"/>
    <w:rsid w:val="008B5320"/>
    <w:rsid w:val="008B5703"/>
    <w:rsid w:val="008B659D"/>
    <w:rsid w:val="008B66DD"/>
    <w:rsid w:val="008B7198"/>
    <w:rsid w:val="008B72DD"/>
    <w:rsid w:val="008C0662"/>
    <w:rsid w:val="008C18DE"/>
    <w:rsid w:val="008C3DBE"/>
    <w:rsid w:val="008C3E09"/>
    <w:rsid w:val="008C4B50"/>
    <w:rsid w:val="008C4FD1"/>
    <w:rsid w:val="008C5773"/>
    <w:rsid w:val="008C5DFD"/>
    <w:rsid w:val="008D089A"/>
    <w:rsid w:val="008D1E60"/>
    <w:rsid w:val="008D2131"/>
    <w:rsid w:val="008D315D"/>
    <w:rsid w:val="008D47D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273E"/>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37F88"/>
    <w:rsid w:val="00940899"/>
    <w:rsid w:val="00940972"/>
    <w:rsid w:val="00942238"/>
    <w:rsid w:val="00942F41"/>
    <w:rsid w:val="00943A69"/>
    <w:rsid w:val="00944336"/>
    <w:rsid w:val="009444A2"/>
    <w:rsid w:val="00944A54"/>
    <w:rsid w:val="0094733C"/>
    <w:rsid w:val="009476EF"/>
    <w:rsid w:val="00947E08"/>
    <w:rsid w:val="009508AD"/>
    <w:rsid w:val="00950C4F"/>
    <w:rsid w:val="009530C5"/>
    <w:rsid w:val="009534AA"/>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2DD6"/>
    <w:rsid w:val="009A3E0E"/>
    <w:rsid w:val="009A6D65"/>
    <w:rsid w:val="009A74B2"/>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85E"/>
    <w:rsid w:val="009C7E57"/>
    <w:rsid w:val="009D07F4"/>
    <w:rsid w:val="009D0FCC"/>
    <w:rsid w:val="009D1CA2"/>
    <w:rsid w:val="009D1E59"/>
    <w:rsid w:val="009D2CD0"/>
    <w:rsid w:val="009D388E"/>
    <w:rsid w:val="009D5CC6"/>
    <w:rsid w:val="009D5F27"/>
    <w:rsid w:val="009D6767"/>
    <w:rsid w:val="009D6A81"/>
    <w:rsid w:val="009D7824"/>
    <w:rsid w:val="009D799E"/>
    <w:rsid w:val="009D7D40"/>
    <w:rsid w:val="009E03F3"/>
    <w:rsid w:val="009E2696"/>
    <w:rsid w:val="009E2B66"/>
    <w:rsid w:val="009E433D"/>
    <w:rsid w:val="009E4E92"/>
    <w:rsid w:val="009E57A4"/>
    <w:rsid w:val="009E6551"/>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07736"/>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597"/>
    <w:rsid w:val="00A3262A"/>
    <w:rsid w:val="00A3344B"/>
    <w:rsid w:val="00A33973"/>
    <w:rsid w:val="00A35436"/>
    <w:rsid w:val="00A35FF9"/>
    <w:rsid w:val="00A367AA"/>
    <w:rsid w:val="00A37880"/>
    <w:rsid w:val="00A400BF"/>
    <w:rsid w:val="00A41417"/>
    <w:rsid w:val="00A41A3E"/>
    <w:rsid w:val="00A42C70"/>
    <w:rsid w:val="00A4378E"/>
    <w:rsid w:val="00A43CE0"/>
    <w:rsid w:val="00A4413F"/>
    <w:rsid w:val="00A44394"/>
    <w:rsid w:val="00A45B92"/>
    <w:rsid w:val="00A45EC3"/>
    <w:rsid w:val="00A46122"/>
    <w:rsid w:val="00A478BD"/>
    <w:rsid w:val="00A47CF5"/>
    <w:rsid w:val="00A5032A"/>
    <w:rsid w:val="00A50AC9"/>
    <w:rsid w:val="00A50AE7"/>
    <w:rsid w:val="00A51F03"/>
    <w:rsid w:val="00A51F67"/>
    <w:rsid w:val="00A522D4"/>
    <w:rsid w:val="00A5367D"/>
    <w:rsid w:val="00A54E07"/>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956"/>
    <w:rsid w:val="00A73BB9"/>
    <w:rsid w:val="00A73D4A"/>
    <w:rsid w:val="00A743EB"/>
    <w:rsid w:val="00A74B4C"/>
    <w:rsid w:val="00A7552F"/>
    <w:rsid w:val="00A76236"/>
    <w:rsid w:val="00A763E7"/>
    <w:rsid w:val="00A77796"/>
    <w:rsid w:val="00A81862"/>
    <w:rsid w:val="00A8187F"/>
    <w:rsid w:val="00A8243E"/>
    <w:rsid w:val="00A8271E"/>
    <w:rsid w:val="00A827D2"/>
    <w:rsid w:val="00A83351"/>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DB9"/>
    <w:rsid w:val="00AE4F16"/>
    <w:rsid w:val="00AE6038"/>
    <w:rsid w:val="00AE6861"/>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4D4"/>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6941"/>
    <w:rsid w:val="00B2754C"/>
    <w:rsid w:val="00B27E17"/>
    <w:rsid w:val="00B30118"/>
    <w:rsid w:val="00B3128F"/>
    <w:rsid w:val="00B31461"/>
    <w:rsid w:val="00B31929"/>
    <w:rsid w:val="00B3199A"/>
    <w:rsid w:val="00B31B33"/>
    <w:rsid w:val="00B320F5"/>
    <w:rsid w:val="00B334FC"/>
    <w:rsid w:val="00B339AC"/>
    <w:rsid w:val="00B34E93"/>
    <w:rsid w:val="00B35908"/>
    <w:rsid w:val="00B371BD"/>
    <w:rsid w:val="00B378B6"/>
    <w:rsid w:val="00B40093"/>
    <w:rsid w:val="00B40158"/>
    <w:rsid w:val="00B408BC"/>
    <w:rsid w:val="00B417AB"/>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44B"/>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366"/>
    <w:rsid w:val="00B60CC7"/>
    <w:rsid w:val="00B61819"/>
    <w:rsid w:val="00B62D22"/>
    <w:rsid w:val="00B6406F"/>
    <w:rsid w:val="00B652A4"/>
    <w:rsid w:val="00B656FE"/>
    <w:rsid w:val="00B65C4F"/>
    <w:rsid w:val="00B65EA6"/>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23F6"/>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5C39"/>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057"/>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2C1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981"/>
    <w:rsid w:val="00C02D8A"/>
    <w:rsid w:val="00C0325D"/>
    <w:rsid w:val="00C05C6B"/>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05D3"/>
    <w:rsid w:val="00C414F1"/>
    <w:rsid w:val="00C41D73"/>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521C"/>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07AA"/>
    <w:rsid w:val="00CF1F97"/>
    <w:rsid w:val="00CF2B24"/>
    <w:rsid w:val="00CF2F88"/>
    <w:rsid w:val="00CF309F"/>
    <w:rsid w:val="00CF3B63"/>
    <w:rsid w:val="00CF3D01"/>
    <w:rsid w:val="00CF42E9"/>
    <w:rsid w:val="00CF53D9"/>
    <w:rsid w:val="00CF5AC7"/>
    <w:rsid w:val="00CF7381"/>
    <w:rsid w:val="00CF7F58"/>
    <w:rsid w:val="00D0023B"/>
    <w:rsid w:val="00D007F3"/>
    <w:rsid w:val="00D00BF8"/>
    <w:rsid w:val="00D014A8"/>
    <w:rsid w:val="00D01E10"/>
    <w:rsid w:val="00D0202C"/>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699"/>
    <w:rsid w:val="00D35C97"/>
    <w:rsid w:val="00D36CE6"/>
    <w:rsid w:val="00D41299"/>
    <w:rsid w:val="00D41D3C"/>
    <w:rsid w:val="00D41F72"/>
    <w:rsid w:val="00D423EB"/>
    <w:rsid w:val="00D442EE"/>
    <w:rsid w:val="00D468A2"/>
    <w:rsid w:val="00D47085"/>
    <w:rsid w:val="00D47589"/>
    <w:rsid w:val="00D50A85"/>
    <w:rsid w:val="00D5178D"/>
    <w:rsid w:val="00D51D0A"/>
    <w:rsid w:val="00D525F9"/>
    <w:rsid w:val="00D534BA"/>
    <w:rsid w:val="00D53537"/>
    <w:rsid w:val="00D537FB"/>
    <w:rsid w:val="00D554E6"/>
    <w:rsid w:val="00D55B4C"/>
    <w:rsid w:val="00D56AAA"/>
    <w:rsid w:val="00D56C99"/>
    <w:rsid w:val="00D61100"/>
    <w:rsid w:val="00D61B08"/>
    <w:rsid w:val="00D623C0"/>
    <w:rsid w:val="00D630B8"/>
    <w:rsid w:val="00D633D2"/>
    <w:rsid w:val="00D63656"/>
    <w:rsid w:val="00D6371A"/>
    <w:rsid w:val="00D6423D"/>
    <w:rsid w:val="00D64E2D"/>
    <w:rsid w:val="00D65FA6"/>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86E5D"/>
    <w:rsid w:val="00D91EA9"/>
    <w:rsid w:val="00D92EBC"/>
    <w:rsid w:val="00D93D43"/>
    <w:rsid w:val="00D944B2"/>
    <w:rsid w:val="00D94C7B"/>
    <w:rsid w:val="00D9545B"/>
    <w:rsid w:val="00D957F7"/>
    <w:rsid w:val="00D95CCF"/>
    <w:rsid w:val="00D9691F"/>
    <w:rsid w:val="00D96DF6"/>
    <w:rsid w:val="00D97364"/>
    <w:rsid w:val="00D979E8"/>
    <w:rsid w:val="00D97AE5"/>
    <w:rsid w:val="00D97B0D"/>
    <w:rsid w:val="00D97E9C"/>
    <w:rsid w:val="00DA20F0"/>
    <w:rsid w:val="00DA2D88"/>
    <w:rsid w:val="00DA4A4C"/>
    <w:rsid w:val="00DA4A76"/>
    <w:rsid w:val="00DA5622"/>
    <w:rsid w:val="00DA608B"/>
    <w:rsid w:val="00DA68C7"/>
    <w:rsid w:val="00DB2B61"/>
    <w:rsid w:val="00DB34D6"/>
    <w:rsid w:val="00DB3C05"/>
    <w:rsid w:val="00DB3DBA"/>
    <w:rsid w:val="00DB4124"/>
    <w:rsid w:val="00DB5B6E"/>
    <w:rsid w:val="00DB678B"/>
    <w:rsid w:val="00DB6D98"/>
    <w:rsid w:val="00DC057E"/>
    <w:rsid w:val="00DC097D"/>
    <w:rsid w:val="00DC108A"/>
    <w:rsid w:val="00DC121F"/>
    <w:rsid w:val="00DC15A9"/>
    <w:rsid w:val="00DC1607"/>
    <w:rsid w:val="00DC17CF"/>
    <w:rsid w:val="00DC1E19"/>
    <w:rsid w:val="00DC21F4"/>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659"/>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939"/>
    <w:rsid w:val="00E26B20"/>
    <w:rsid w:val="00E26F29"/>
    <w:rsid w:val="00E302BC"/>
    <w:rsid w:val="00E31152"/>
    <w:rsid w:val="00E3132D"/>
    <w:rsid w:val="00E31954"/>
    <w:rsid w:val="00E33923"/>
    <w:rsid w:val="00E33D03"/>
    <w:rsid w:val="00E34279"/>
    <w:rsid w:val="00E35F6C"/>
    <w:rsid w:val="00E36007"/>
    <w:rsid w:val="00E360F3"/>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A2D"/>
    <w:rsid w:val="00E70CCC"/>
    <w:rsid w:val="00E71209"/>
    <w:rsid w:val="00E72E7D"/>
    <w:rsid w:val="00E73B1E"/>
    <w:rsid w:val="00E7466E"/>
    <w:rsid w:val="00E75479"/>
    <w:rsid w:val="00E75514"/>
    <w:rsid w:val="00E7553B"/>
    <w:rsid w:val="00E76ACE"/>
    <w:rsid w:val="00E775D4"/>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E50"/>
    <w:rsid w:val="00E90FBA"/>
    <w:rsid w:val="00E91000"/>
    <w:rsid w:val="00E91550"/>
    <w:rsid w:val="00E926A5"/>
    <w:rsid w:val="00E93B07"/>
    <w:rsid w:val="00E94AE8"/>
    <w:rsid w:val="00E94F65"/>
    <w:rsid w:val="00E96E30"/>
    <w:rsid w:val="00E9788D"/>
    <w:rsid w:val="00E9792C"/>
    <w:rsid w:val="00E97B50"/>
    <w:rsid w:val="00EA1181"/>
    <w:rsid w:val="00EA13B5"/>
    <w:rsid w:val="00EA2799"/>
    <w:rsid w:val="00EA2EC0"/>
    <w:rsid w:val="00EA3D3D"/>
    <w:rsid w:val="00EA403A"/>
    <w:rsid w:val="00EA46F7"/>
    <w:rsid w:val="00EA6728"/>
    <w:rsid w:val="00EA72E8"/>
    <w:rsid w:val="00EA74E6"/>
    <w:rsid w:val="00EA76FF"/>
    <w:rsid w:val="00EB051C"/>
    <w:rsid w:val="00EB0645"/>
    <w:rsid w:val="00EB0A27"/>
    <w:rsid w:val="00EB0AB5"/>
    <w:rsid w:val="00EB1ADA"/>
    <w:rsid w:val="00EB29C1"/>
    <w:rsid w:val="00EB3927"/>
    <w:rsid w:val="00EB46E1"/>
    <w:rsid w:val="00EB473F"/>
    <w:rsid w:val="00EB49CC"/>
    <w:rsid w:val="00EB7883"/>
    <w:rsid w:val="00EB7972"/>
    <w:rsid w:val="00EC13BB"/>
    <w:rsid w:val="00EC1820"/>
    <w:rsid w:val="00EC21D5"/>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5FED"/>
    <w:rsid w:val="00EE6158"/>
    <w:rsid w:val="00EE6FEF"/>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161"/>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029A"/>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87BA8"/>
    <w:rsid w:val="00F9075B"/>
    <w:rsid w:val="00F90DB0"/>
    <w:rsid w:val="00F90E07"/>
    <w:rsid w:val="00F910F0"/>
    <w:rsid w:val="00F916E1"/>
    <w:rsid w:val="00F91B9A"/>
    <w:rsid w:val="00F926E7"/>
    <w:rsid w:val="00F929FB"/>
    <w:rsid w:val="00F93E07"/>
    <w:rsid w:val="00F941D5"/>
    <w:rsid w:val="00F946E1"/>
    <w:rsid w:val="00F94A84"/>
    <w:rsid w:val="00F94EC7"/>
    <w:rsid w:val="00F95240"/>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5AC"/>
    <w:rsid w:val="00FB6E00"/>
    <w:rsid w:val="00FB7788"/>
    <w:rsid w:val="00FC0C7B"/>
    <w:rsid w:val="00FC2BE8"/>
    <w:rsid w:val="00FC39BA"/>
    <w:rsid w:val="00FC436F"/>
    <w:rsid w:val="00FC5914"/>
    <w:rsid w:val="00FC6799"/>
    <w:rsid w:val="00FC6EDF"/>
    <w:rsid w:val="00FC7765"/>
    <w:rsid w:val="00FD0F60"/>
    <w:rsid w:val="00FD118E"/>
    <w:rsid w:val="00FD2A65"/>
    <w:rsid w:val="00FD2AB0"/>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6F48"/>
    <w:rsid w:val="00FE7250"/>
    <w:rsid w:val="00FE7D7E"/>
    <w:rsid w:val="00FF0AB7"/>
    <w:rsid w:val="00FF16D1"/>
    <w:rsid w:val="00FF24B5"/>
    <w:rsid w:val="00FF2BA0"/>
    <w:rsid w:val="00FF3C13"/>
    <w:rsid w:val="00FF485C"/>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5"/>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it-IT"/>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CF3B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CF3B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A325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E76A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115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016C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016C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6C6A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2312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B114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0F73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EE6F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688021582">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it/our-work/opinions-information-reports/opinions/digitalisation-social-security" TargetMode="External"/><Relationship Id="rId39" Type="http://schemas.openxmlformats.org/officeDocument/2006/relationships/hyperlink" Target="mailto:Aleksandra.SarmanGrilc@eesc.europa.eu" TargetMode="External"/><Relationship Id="rId21" Type="http://schemas.openxmlformats.org/officeDocument/2006/relationships/hyperlink" Target="mailto:Juri.Soosaar@eesc.europa.eu" TargetMode="External"/><Relationship Id="rId34" Type="http://schemas.openxmlformats.org/officeDocument/2006/relationships/hyperlink" Target="https://www.eesc.europa.eu/en/our-work/opinions-information-reports/opinions/preventing-plastic-pellet-losses-reduce-microplastics-pollution" TargetMode="External"/><Relationship Id="rId42" Type="http://schemas.openxmlformats.org/officeDocument/2006/relationships/header" Target="header4.xml"/><Relationship Id="rId47" Type="http://schemas.openxmlformats.org/officeDocument/2006/relationships/footer" Target="footer6.xml"/><Relationship Id="rId50" Type="http://schemas.openxmlformats.org/officeDocument/2006/relationships/customXml" Target="../customXml/item1.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June.Bedaton@eesc.europa.eu" TargetMode="External"/><Relationship Id="rId11" Type="http://schemas.openxmlformats.org/officeDocument/2006/relationships/image" Target="media/image1.jpeg"/><Relationship Id="rId24" Type="http://schemas.openxmlformats.org/officeDocument/2006/relationships/hyperlink" Target="https://www.eesc.europa.eu/it/our-work/opinions-information-reports/opinions/improving-benchmarks-and-reporting-requirements-financial-services-and-investment-support" TargetMode="External"/><Relationship Id="rId32" Type="http://schemas.openxmlformats.org/officeDocument/2006/relationships/hyperlink" Target="https://www.eesc.europa.eu/it/our-work/opinions-information-reports/opinions/sme-relief-package" TargetMode="External"/><Relationship Id="rId37" Type="http://schemas.openxmlformats.org/officeDocument/2006/relationships/hyperlink" Target="mailto:Marco.Ristori@eesc.europa.eu" TargetMode="External"/><Relationship Id="rId40" Type="http://schemas.openxmlformats.org/officeDocument/2006/relationships/hyperlink" Target="https://www.eesc.europa.eu/it/our-work/opinions-information-reports/opinions/towards-comprehensive-strategy-eu-wood-industry" TargetMode="External"/><Relationship Id="rId45" Type="http://schemas.openxmlformats.org/officeDocument/2006/relationships/footer" Target="footer5.xml"/><Relationship Id="rId53" Type="http://schemas.openxmlformats.org/officeDocument/2006/relationships/customXml" Target="../customXml/item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Colombe.Gregoire@eesc.europa.eu" TargetMode="External"/><Relationship Id="rId28" Type="http://schemas.openxmlformats.org/officeDocument/2006/relationships/hyperlink" Target="https://www.eesc.europa.eu/it/our-work/opinions-information-reports/opinions/strengthening-civil-dialogue-and-participatory-democracy-eu-path-forward" TargetMode="External"/><Relationship Id="rId36" Type="http://schemas.openxmlformats.org/officeDocument/2006/relationships/hyperlink" Target="https://www.eesc.europa.eu/it/our-work/opinions-information-reports/opinions/european-economic-security-strategy"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Silvia.Staffa@eesc.europa.eu" TargetMode="External"/><Relationship Id="rId44" Type="http://schemas.openxmlformats.org/officeDocument/2006/relationships/footer" Target="footer4.xml"/><Relationship Id="rId52"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it/our-work/opinions-information-reports/opinions/annual-sustainable-growth-survey-2024" TargetMode="External"/><Relationship Id="rId27" Type="http://schemas.openxmlformats.org/officeDocument/2006/relationships/hyperlink" Target="mailto:Bartek.Bednarowicz@eesc.europa.eu" TargetMode="External"/><Relationship Id="rId30" Type="http://schemas.openxmlformats.org/officeDocument/2006/relationships/hyperlink" Target="https://www.eesc.europa.eu/it/our-work/opinions-information-reports/opinions/alternative-dispute-resolution" TargetMode="External"/><Relationship Id="rId35" Type="http://schemas.openxmlformats.org/officeDocument/2006/relationships/hyperlink" Target="mailto:Caroline.Verhelst@eesc.europa.eu" TargetMode="External"/><Relationship Id="rId43" Type="http://schemas.openxmlformats.org/officeDocument/2006/relationships/header" Target="header5.xml"/><Relationship Id="rId4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customXml" Target="../customXml/item2.xml"/><Relationship Id="rId12" Type="http://schemas.openxmlformats.org/officeDocument/2006/relationships/hyperlink" Target="https://www.eesc.europa.eu/it/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Sergio.LorencioMatallana@eesc.europa.eu" TargetMode="External"/><Relationship Id="rId33" Type="http://schemas.openxmlformats.org/officeDocument/2006/relationships/hyperlink" Target="mailto:Dalila.Bernard@eesc.europa.eu" TargetMode="External"/><Relationship Id="rId38" Type="http://schemas.openxmlformats.org/officeDocument/2006/relationships/hyperlink" Target="https://www.eesc.europa.eu/it/our-work/opinions-information-reports/opinions/revision-combined-transport-directive-92106eec" TargetMode="External"/><Relationship Id="rId46" Type="http://schemas.openxmlformats.org/officeDocument/2006/relationships/header" Target="header6.xml"/><Relationship Id="rId20" Type="http://schemas.openxmlformats.org/officeDocument/2006/relationships/hyperlink" Target="https://www.eesc.europa.eu/it/our-work/opinions-information-reports/opinions/taxation-cross-border-teleworkers-globally-and-impact-eu" TargetMode="External"/><Relationship Id="rId41" Type="http://schemas.openxmlformats.org/officeDocument/2006/relationships/hyperlink" Target="mailto:Heli.Niemela-Farrer@eesc.europa.eu" TargetMode="Externa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F7M6YNZUATRX-416430479-4314</_dlc_DocId>
    <_dlc_DocIdUrl xmlns="59ace41b-6786-4ce3-be71-52c27066c6ef">
      <Url>http://dm/eesc/2024/_layouts/15/DocIdRedir.aspx?ID=F7M6YNZUATRX-416430479-4314</Url>
      <Description>F7M6YNZUATRX-416430479-4314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2024-03-06T12:00:00+00:00</ProductionDate>
    <DocumentNumber xmlns="1178e5e2-058a-41a1-9851-331c7b3fffb8">286</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2024-03-20T12:00:00+00:00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2630</FicheNumber>
    <OriginalSender xmlns="59ace41b-6786-4ce3-be71-52c27066c6ef">
      <UserInfo>
        <DisplayName>Boi Marta</DisplayName>
        <AccountId>1505</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586</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343519-7ACF-46F4-8202-D17B1EF12B08}"/>
</file>

<file path=customXml/itemProps2.xml><?xml version="1.0" encoding="utf-8"?>
<ds:datastoreItem xmlns:ds="http://schemas.openxmlformats.org/officeDocument/2006/customXml" ds:itemID="{E57C82D3-75DC-4F54-9476-188005D0FA70}"/>
</file>

<file path=customXml/itemProps3.xml><?xml version="1.0" encoding="utf-8"?>
<ds:datastoreItem xmlns:ds="http://schemas.openxmlformats.org/officeDocument/2006/customXml" ds:itemID="{25D9BEEA-0734-41E3-90A7-FAD0281070E4}"/>
</file>

<file path=customXml/itemProps4.xml><?xml version="1.0" encoding="utf-8"?>
<ds:datastoreItem xmlns:ds="http://schemas.openxmlformats.org/officeDocument/2006/customXml" ds:itemID="{B3C6886D-0F4B-48F3-BFE1-00FBDBCE8252}"/>
</file>

<file path=docProps/app.xml><?xml version="1.0" encoding="utf-8"?>
<Properties xmlns="http://schemas.openxmlformats.org/officeDocument/2006/extended-properties" xmlns:vt="http://schemas.openxmlformats.org/officeDocument/2006/docPropsVTypes">
  <Template>Normal</Template>
  <TotalTime>4</TotalTime>
  <Pages>16</Pages>
  <Words>4866</Words>
  <Characters>26763</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Summary of opinions - 584th Plenary Session January 2024</vt:lpstr>
    </vt:vector>
  </TitlesOfParts>
  <Company>CESE-CdR</Company>
  <LinksUpToDate>false</LinksUpToDate>
  <CharactersWithSpaces>31566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Sintesi dei pareri - 585a sessione plenaria - febbraio 2024</dc:title>
  <dc:subject>TCD</dc:subject>
  <dc:creator>Nieddu Emma</dc:creator>
  <cp:keywords>EESC-2024-00286-00-01-TCD-TRA-EN</cp:keywords>
  <dc:description>Rapporteur:  - Original language: EN - Date of document: 06/03/2024 - Date of meeting: 30/20/2024 14:30 - External documents:  - Administrator: MME TAMASAUSKIENE Julija</dc:description>
  <cp:lastModifiedBy>Boi Marta</cp:lastModifiedBy>
  <cp:revision>15</cp:revision>
  <cp:lastPrinted>2023-06-15T08:00:00Z</cp:lastPrinted>
  <dcterms:created xsi:type="dcterms:W3CDTF">2024-02-27T13:59:00Z</dcterms:created>
  <dcterms:modified xsi:type="dcterms:W3CDTF">2024-03-06T16:12:00Z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27/02/2024, 29/01/2024, 03/01/2024, 13/11/2023, 25/09/2023, 25/07/2023, 30/06/2023, 23/06/2023, 26/05/2023, 07/03/2023, 11/01/2023, 10/01/2023, 29/03/2022, 04/03/2022, 15/12/2021, 13/09/2021, 03/09/2021, 28/06/2021</vt:lpwstr>
  </property>
  <property fmtid="{D5CDD505-2E9C-101B-9397-08002B2CF9AE}" pid="4" name="Pref_Time">
    <vt:lpwstr>12:56:45, 17:07:09, 15:02:18, 17:01:12, 16:07:19, 11:58:41, 14:00:08, 12:39:02, 15:12:50, 10:27:54, 10:12:15, 11:41:25, 14:21:50, 16:54:06, 17:56:36, 14:13:00, 10:08:10, 08:41:48</vt:lpwstr>
  </property>
  <property fmtid="{D5CDD505-2E9C-101B-9397-08002B2CF9AE}" pid="5" name="Pref_User">
    <vt:lpwstr>jhvi, amett, enied, amett, amett, jhvi, pacup, jhvi, pacup, enied, pacup, enied, jhvi, enied, hnic, amett, enied, enied</vt:lpwstr>
  </property>
  <property fmtid="{D5CDD505-2E9C-101B-9397-08002B2CF9AE}" pid="6" name="Pref_FileName">
    <vt:lpwstr>EESC-2024-00286-00-00-TCD-ORI.docx, EESC-2023-05816-00-00-TCD-ORI.docx, EESC-2023-04915-00-00-TCD-ORI.docx, EESC-2023-04201-00-00-TCD-ORI.docx, EESC-2023-03625-00-00-TCD-ORI.docx, EESC-2023-03078-00-00-TCD-TRA-EN-CRR.docx, EESC-2023-02218-00-01-TCD-TRA.do</vt:lpwstr>
  </property>
  <property fmtid="{D5CDD505-2E9C-101B-9397-08002B2CF9AE}" pid="7" name="ContentTypeId">
    <vt:lpwstr>0x010100EA97B91038054C99906057A708A1480A00E20A70424F8EF14D84929FAE9E34774B</vt:lpwstr>
  </property>
  <property fmtid="{D5CDD505-2E9C-101B-9397-08002B2CF9AE}" pid="8" name="_dlc_DocIdItemGuid">
    <vt:lpwstr>1c0f33ff-f7ef-4b42-a94f-4d12717a5d31</vt:lpwstr>
  </property>
  <property fmtid="{D5CDD505-2E9C-101B-9397-08002B2CF9AE}" pid="9" name="AvailableTranslations">
    <vt:lpwstr>5;#EN|f2175f21-25d7-44a3-96da-d6a61b075e1b;#36;#PT|50ccc04a-eadd-42ae-a0cb-acaf45f812ba;#14;#FR|d2afafd3-4c81-4f60-8f52-ee33f2f54ff3;#30;#HR|2f555653-ed1a-4fe6-8362-9082d95989e5;#16;#DA|5d49c027-8956-412b-aa16-e85a0f96ad0e;#43;#CS|72f9705b-0217-4fd3-bea2-cbc7ed80e26e;#12;#IT|0774613c-01ed-4e5d-a25d-11d2388de825;#33;#ET|ff6c3f4c-b02c-4c3c-ab07-2c37995a7a0a;#34;#LT|a7ff5ce7-6123-4f68-865a-a57c31810414;#27;#SL|98a412ae-eb01-49e9-ae3d-585a81724cfc;#32;#HU|6b229040-c589-4408-b4c1-4285663d20a8;#21;#SV|c2ed69e7-a339-43d7-8f22-d93680a92aa0;#35;#FI|87606a43-d45f-42d6-b8c9-e1a3457db5b7;#31;#NL|55c6556c-b4f4-441d-9acf-c498d4f838bd;#22;#BG|1a1b3951-7821-4e6a-85f5-5673fc08bd2c;#37;#RO|feb747a2-64cd-4299-af12-4833ddc30497;#28;#LV|46f7e311-5d9f-4663-b433-18aeccb7ace7;#24;#ES|e7a6b05b-ae16-40c8-add9-68b64b03aeba;#29;#EL|6d4f4d51-af9b-4650-94b4-4276bee85c91;#25;#DE|f6b31e5a-26fa-4935-b661-318e46daf27e;#17;#PL|1e03da61-4678-4e07-b136-b5024ca9197b;#26;#SK|46d9fce0-ef79-4f71-b89b-cd6aa82426b8</vt:lpwstr>
  </property>
  <property fmtid="{D5CDD505-2E9C-101B-9397-08002B2CF9AE}" pid="10" name="DocumentType_0">
    <vt:lpwstr>TCD|cd9d6eb6-3f4f-424a-b2d1-57c9d450eaaf</vt:lpwstr>
  </property>
  <property fmtid="{D5CDD505-2E9C-101B-9397-08002B2CF9AE}" pid="11" name="MeetingNumber">
    <vt:i4>586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286</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2024-03-20T12:00:00Z</vt:filetime>
  </property>
  <property fmtid="{D5CDD505-2E9C-101B-9397-08002B2CF9AE}" pid="29" name="AvailableTranslations_0">
    <vt:lpwstr>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2630</vt:i4>
  </property>
  <property fmtid="{D5CDD505-2E9C-101B-9397-08002B2CF9AE}" pid="37" name="DocumentLanguage">
    <vt:lpwstr>12;#IT|0774613c-01ed-4e5d-a25d-11d2388de825</vt:lpwstr>
  </property>
  <property fmtid="{D5CDD505-2E9C-101B-9397-08002B2CF9AE}" pid="38" name="_docset_NoMedatataSyncRequired">
    <vt:lpwstr>False</vt:lpwstr>
  </property>
</Properties>
</file>