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E72EBF" w14:paraId="785AE44C" w14:textId="13AB5B54">
      <w:pPr>
        <w:jc w:val="center"/>
      </w:pPr>
      <w:bookmarkStart w:name="_Hlk141173132" w:id="0"/>
      <w:r>
        <w:rPr>
          <w:noProof/>
        </w:rPr>
        <w:drawing>
          <wp:inline distT="0" distB="0" distL="0" distR="0" wp14:anchorId="20EE37D1" wp14:editId="53C04F34">
            <wp:extent cx="1792605" cy="1239520"/>
            <wp:effectExtent l="0" t="0" r="0" b="0"/>
            <wp:docPr id="2" name="Picture 2" title="EESCLogo_HU"/>
            <wp:cNvGraphicFramePr/>
            <a:graphic xmlns:a="http://schemas.openxmlformats.org/drawingml/2006/main">
              <a:graphicData uri="http://schemas.openxmlformats.org/drawingml/2006/picture">
                <pic:pic xmlns:pic="http://schemas.openxmlformats.org/drawingml/2006/picture">
                  <pic:nvPicPr>
                    <pic:cNvPr id="2" name="Picture 2" title="EESCLogo_H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Pr>
          <w:noProof/>
          <w:sz w:val="20"/>
        </w:rPr>
        <mc:AlternateContent>
          <mc:Choice Requires="wps">
            <w:drawing>
              <wp:anchor distT="0" distB="0" distL="114300" distR="114300" simplePos="0" relativeHeight="251657216"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Pr="00094B6B" w:rsidR="004D7AC0" w:rsidP="00775FC4" w:rsidRDefault="00014C93" w14:paraId="45DE4A28" w14:textId="5402B3AE">
      <w:pPr>
        <w:jc w:val="right"/>
      </w:pPr>
      <w:r>
        <w:t>Brüsszel, 2024. március 18.</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3D9AE9C">
            <w:pPr>
              <w:snapToGrid w:val="0"/>
              <w:jc w:val="center"/>
              <w:rPr>
                <w:b/>
                <w:sz w:val="32"/>
              </w:rPr>
            </w:pPr>
            <w:r>
              <w:rPr>
                <w:b/>
                <w:sz w:val="32"/>
              </w:rPr>
              <w:t>585. PLENÁRIS ÜLÉSSZAK</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32F5F03F">
            <w:pPr>
              <w:snapToGrid w:val="0"/>
              <w:jc w:val="center"/>
              <w:rPr>
                <w:b/>
                <w:sz w:val="32"/>
              </w:rPr>
            </w:pPr>
            <w:r>
              <w:rPr>
                <w:b/>
                <w:sz w:val="32"/>
              </w:rPr>
              <w:t>2024. február 14. és 15.</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AZ ELFOGADOTT VÉLEMÉNYEK, ÁLLÁSFOGLALÁSOK ÉS TÁJÉKOZTATÓ/ÉRTÉKELŐ JELENTÉSEK ÖSSZEFOGLALÁSA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Ez a dokumentum a hivatalos nyelveken az EGSZB honlapjáról érhető el, a következő címen:</w:t>
            </w:r>
          </w:p>
          <w:p w:rsidRPr="00094B6B" w:rsidR="00B16284" w:rsidP="00775FC4" w:rsidRDefault="00B16284" w14:paraId="4F26A4CE" w14:textId="77777777">
            <w:pPr>
              <w:snapToGrid w:val="0"/>
              <w:jc w:val="center"/>
            </w:pPr>
          </w:p>
          <w:p w:rsidRPr="00094B6B" w:rsidR="004D7AC0" w:rsidP="00775FC4" w:rsidRDefault="00893292" w14:paraId="2A9352A2" w14:textId="0680ADB6">
            <w:pPr>
              <w:snapToGrid w:val="0"/>
              <w:jc w:val="center"/>
            </w:pPr>
            <w:hyperlink w:history="1" r:id="rId12">
              <w:r w:rsidR="00E72EBF">
                <w:rPr>
                  <w:rStyle w:val="Hyperlink"/>
                  <w:highlight w:val="yellow"/>
                </w:rPr>
                <w:t>https://www.eesc.europa.eu/hu/our-work/opinions-information-reports/plenary-session-summaries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A felsorolt vélemények online az EGSZB keresőrendszerén keresztül érhetők el:</w:t>
            </w:r>
          </w:p>
          <w:p w:rsidRPr="00094B6B" w:rsidR="00B16284" w:rsidP="00775FC4" w:rsidRDefault="00B16284" w14:paraId="7A5411A5" w14:textId="77777777">
            <w:pPr>
              <w:snapToGrid w:val="0"/>
              <w:jc w:val="center"/>
            </w:pPr>
          </w:p>
          <w:p w:rsidRPr="00094B6B" w:rsidR="004D7AC0" w:rsidP="00775FC4" w:rsidRDefault="00893292" w14:paraId="441AC4DD" w14:textId="1194D751">
            <w:pPr>
              <w:snapToGrid w:val="0"/>
              <w:jc w:val="center"/>
            </w:pPr>
            <w:hyperlink w:history="1" r:id="rId13">
              <w:r w:rsidR="00E72EBF">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4417C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Tartalomjegyzék</w:t>
          </w:r>
        </w:p>
        <w:p w:rsidR="0052434F" w:rsidRDefault="00544D95" w14:paraId="339AF55B" w14:textId="527578EA">
          <w:pPr>
            <w:pStyle w:val="TOC1"/>
            <w:rPr>
              <w:rFonts w:asciiTheme="minorHAnsi" w:hAnsiTheme="minorHAnsi" w:eastAsiaTheme="minorEastAsia" w:cstheme="minorBidi"/>
              <w:bCs w:val="0"/>
              <w:sz w:val="22"/>
              <w:szCs w:val="22"/>
              <w:lang w:val="en-US"/>
            </w:rPr>
          </w:pPr>
          <w:r w:rsidRPr="00544D95">
            <w:fldChar w:fldCharType="begin"/>
          </w:r>
          <w:r w:rsidRPr="00544D95">
            <w:instrText xml:space="preserve"> TOC \o "1-3" \h \z \u </w:instrText>
          </w:r>
          <w:r w:rsidRPr="00544D95">
            <w:fldChar w:fldCharType="separate"/>
          </w:r>
          <w:hyperlink w:history="1" w:anchor="_Toc160785864">
            <w:r w:rsidRPr="00903E26" w:rsidR="0052434F">
              <w:rPr>
                <w:rStyle w:val="Hyperlink"/>
                <w14:scene3d>
                  <w14:camera w14:prst="orthographicFront"/>
                  <w14:lightRig w14:rig="threePt" w14:dir="t">
                    <w14:rot w14:lat="0" w14:lon="0" w14:rev="0"/>
                  </w14:lightRig>
                </w14:scene3d>
              </w:rPr>
              <w:t>1.</w:t>
            </w:r>
            <w:r w:rsidR="0052434F">
              <w:rPr>
                <w:rFonts w:asciiTheme="minorHAnsi" w:hAnsiTheme="minorHAnsi" w:eastAsiaTheme="minorEastAsia" w:cstheme="minorBidi"/>
                <w:bCs w:val="0"/>
                <w:sz w:val="22"/>
                <w:szCs w:val="22"/>
                <w:lang w:val="en-US"/>
              </w:rPr>
              <w:tab/>
            </w:r>
            <w:r w:rsidRPr="00903E26" w:rsidR="0052434F">
              <w:rPr>
                <w:rStyle w:val="Hyperlink"/>
                <w:b/>
              </w:rPr>
              <w:t>GAZDASÁGI ÉS MONETÁRIS UNIÓ, GAZDASÁGI ÉS TÁRSADALMI KOHÉZIÓ</w:t>
            </w:r>
            <w:r w:rsidR="0052434F">
              <w:rPr>
                <w:webHidden/>
              </w:rPr>
              <w:tab/>
            </w:r>
            <w:r w:rsidR="0052434F">
              <w:rPr>
                <w:webHidden/>
              </w:rPr>
              <w:fldChar w:fldCharType="begin"/>
            </w:r>
            <w:r w:rsidR="0052434F">
              <w:rPr>
                <w:webHidden/>
              </w:rPr>
              <w:instrText xml:space="preserve"> PAGEREF _Toc160785864 \h </w:instrText>
            </w:r>
            <w:r w:rsidR="0052434F">
              <w:rPr>
                <w:webHidden/>
              </w:rPr>
            </w:r>
            <w:r w:rsidR="0052434F">
              <w:rPr>
                <w:webHidden/>
              </w:rPr>
              <w:fldChar w:fldCharType="separate"/>
            </w:r>
            <w:r w:rsidR="0052434F">
              <w:rPr>
                <w:webHidden/>
              </w:rPr>
              <w:t>3</w:t>
            </w:r>
            <w:r w:rsidR="0052434F">
              <w:rPr>
                <w:webHidden/>
              </w:rPr>
              <w:fldChar w:fldCharType="end"/>
            </w:r>
          </w:hyperlink>
        </w:p>
        <w:p w:rsidR="0052434F" w:rsidRDefault="0052434F" w14:paraId="5AC36AF0" w14:textId="0CC1E3DE">
          <w:pPr>
            <w:pStyle w:val="TOC1"/>
            <w:rPr>
              <w:rFonts w:asciiTheme="minorHAnsi" w:hAnsiTheme="minorHAnsi" w:eastAsiaTheme="minorEastAsia" w:cstheme="minorBidi"/>
              <w:bCs w:val="0"/>
              <w:sz w:val="22"/>
              <w:szCs w:val="22"/>
              <w:lang w:val="en-US"/>
            </w:rPr>
          </w:pPr>
          <w:hyperlink w:history="1" w:anchor="_Toc160785865">
            <w:r w:rsidRPr="00903E26">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903E26">
              <w:rPr>
                <w:rStyle w:val="Hyperlink"/>
                <w:b/>
              </w:rPr>
              <w:t>FOGLALKOZTATÁS- ÉS SZOCIÁLPOLITIKA, UNIÓS POLGÁRSÁG</w:t>
            </w:r>
            <w:r>
              <w:rPr>
                <w:webHidden/>
              </w:rPr>
              <w:tab/>
            </w:r>
            <w:r>
              <w:rPr>
                <w:webHidden/>
              </w:rPr>
              <w:fldChar w:fldCharType="begin"/>
            </w:r>
            <w:r>
              <w:rPr>
                <w:webHidden/>
              </w:rPr>
              <w:instrText xml:space="preserve"> PAGEREF _Toc160785865 \h </w:instrText>
            </w:r>
            <w:r>
              <w:rPr>
                <w:webHidden/>
              </w:rPr>
            </w:r>
            <w:r>
              <w:rPr>
                <w:webHidden/>
              </w:rPr>
              <w:fldChar w:fldCharType="separate"/>
            </w:r>
            <w:r>
              <w:rPr>
                <w:webHidden/>
              </w:rPr>
              <w:t>7</w:t>
            </w:r>
            <w:r>
              <w:rPr>
                <w:webHidden/>
              </w:rPr>
              <w:fldChar w:fldCharType="end"/>
            </w:r>
          </w:hyperlink>
        </w:p>
        <w:p w:rsidR="0052434F" w:rsidRDefault="0052434F" w14:paraId="15EA72F3" w14:textId="010D4D3E">
          <w:pPr>
            <w:pStyle w:val="TOC1"/>
            <w:rPr>
              <w:rFonts w:asciiTheme="minorHAnsi" w:hAnsiTheme="minorHAnsi" w:eastAsiaTheme="minorEastAsia" w:cstheme="minorBidi"/>
              <w:bCs w:val="0"/>
              <w:sz w:val="22"/>
              <w:szCs w:val="22"/>
              <w:lang w:val="en-US"/>
            </w:rPr>
          </w:pPr>
          <w:hyperlink w:history="1" w:anchor="_Toc160785866">
            <w:r w:rsidRPr="00903E26">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903E26">
              <w:rPr>
                <w:rStyle w:val="Hyperlink"/>
                <w:b/>
              </w:rPr>
              <w:t>EGYSÉGES PIAC, TERMELÉS ÉS FOGYASZTÁS</w:t>
            </w:r>
            <w:r>
              <w:rPr>
                <w:webHidden/>
              </w:rPr>
              <w:tab/>
            </w:r>
            <w:r>
              <w:rPr>
                <w:webHidden/>
              </w:rPr>
              <w:fldChar w:fldCharType="begin"/>
            </w:r>
            <w:r>
              <w:rPr>
                <w:webHidden/>
              </w:rPr>
              <w:instrText xml:space="preserve"> PAGEREF _Toc160785866 \h </w:instrText>
            </w:r>
            <w:r>
              <w:rPr>
                <w:webHidden/>
              </w:rPr>
            </w:r>
            <w:r>
              <w:rPr>
                <w:webHidden/>
              </w:rPr>
              <w:fldChar w:fldCharType="separate"/>
            </w:r>
            <w:r>
              <w:rPr>
                <w:webHidden/>
              </w:rPr>
              <w:t>9</w:t>
            </w:r>
            <w:r>
              <w:rPr>
                <w:webHidden/>
              </w:rPr>
              <w:fldChar w:fldCharType="end"/>
            </w:r>
          </w:hyperlink>
        </w:p>
        <w:p w:rsidR="0052434F" w:rsidRDefault="0052434F" w14:paraId="5E488E1F" w14:textId="52145F93">
          <w:pPr>
            <w:pStyle w:val="TOC1"/>
            <w:rPr>
              <w:rFonts w:asciiTheme="minorHAnsi" w:hAnsiTheme="minorHAnsi" w:eastAsiaTheme="minorEastAsia" w:cstheme="minorBidi"/>
              <w:bCs w:val="0"/>
              <w:sz w:val="22"/>
              <w:szCs w:val="22"/>
              <w:lang w:val="en-US"/>
            </w:rPr>
          </w:pPr>
          <w:hyperlink w:history="1" w:anchor="_Toc160785867">
            <w:r w:rsidRPr="00903E26">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903E26">
              <w:rPr>
                <w:rStyle w:val="Hyperlink"/>
                <w:b/>
              </w:rPr>
              <w:t>MEZŐGAZDASÁG, VIDÉKFEJLESZTÉS ÉS KÖRNYEZETVÉDELEM</w:t>
            </w:r>
            <w:r>
              <w:rPr>
                <w:webHidden/>
              </w:rPr>
              <w:tab/>
            </w:r>
            <w:r>
              <w:rPr>
                <w:webHidden/>
              </w:rPr>
              <w:fldChar w:fldCharType="begin"/>
            </w:r>
            <w:r>
              <w:rPr>
                <w:webHidden/>
              </w:rPr>
              <w:instrText xml:space="preserve"> PAGEREF _Toc160785867 \h </w:instrText>
            </w:r>
            <w:r>
              <w:rPr>
                <w:webHidden/>
              </w:rPr>
            </w:r>
            <w:r>
              <w:rPr>
                <w:webHidden/>
              </w:rPr>
              <w:fldChar w:fldCharType="separate"/>
            </w:r>
            <w:r>
              <w:rPr>
                <w:webHidden/>
              </w:rPr>
              <w:t>12</w:t>
            </w:r>
            <w:r>
              <w:rPr>
                <w:webHidden/>
              </w:rPr>
              <w:fldChar w:fldCharType="end"/>
            </w:r>
          </w:hyperlink>
        </w:p>
        <w:p w:rsidR="0052434F" w:rsidRDefault="0052434F" w14:paraId="20811DCB" w14:textId="32029E9D">
          <w:pPr>
            <w:pStyle w:val="TOC1"/>
            <w:rPr>
              <w:rFonts w:asciiTheme="minorHAnsi" w:hAnsiTheme="minorHAnsi" w:eastAsiaTheme="minorEastAsia" w:cstheme="minorBidi"/>
              <w:bCs w:val="0"/>
              <w:sz w:val="22"/>
              <w:szCs w:val="22"/>
              <w:lang w:val="en-US"/>
            </w:rPr>
          </w:pPr>
          <w:hyperlink w:history="1" w:anchor="_Toc160785868">
            <w:r w:rsidRPr="00903E26">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903E26">
              <w:rPr>
                <w:rStyle w:val="Hyperlink"/>
                <w:b/>
              </w:rPr>
              <w:t>KÜLKAPCSOLATOK</w:t>
            </w:r>
            <w:r>
              <w:rPr>
                <w:webHidden/>
              </w:rPr>
              <w:tab/>
            </w:r>
            <w:r>
              <w:rPr>
                <w:webHidden/>
              </w:rPr>
              <w:fldChar w:fldCharType="begin"/>
            </w:r>
            <w:r>
              <w:rPr>
                <w:webHidden/>
              </w:rPr>
              <w:instrText xml:space="preserve"> PAGEREF _Toc160785868 \h </w:instrText>
            </w:r>
            <w:r>
              <w:rPr>
                <w:webHidden/>
              </w:rPr>
            </w:r>
            <w:r>
              <w:rPr>
                <w:webHidden/>
              </w:rPr>
              <w:fldChar w:fldCharType="separate"/>
            </w:r>
            <w:r>
              <w:rPr>
                <w:webHidden/>
              </w:rPr>
              <w:t>13</w:t>
            </w:r>
            <w:r>
              <w:rPr>
                <w:webHidden/>
              </w:rPr>
              <w:fldChar w:fldCharType="end"/>
            </w:r>
          </w:hyperlink>
        </w:p>
        <w:p w:rsidR="0052434F" w:rsidRDefault="0052434F" w14:paraId="1460C91E" w14:textId="05E49A81">
          <w:pPr>
            <w:pStyle w:val="TOC1"/>
            <w:rPr>
              <w:rFonts w:asciiTheme="minorHAnsi" w:hAnsiTheme="minorHAnsi" w:eastAsiaTheme="minorEastAsia" w:cstheme="minorBidi"/>
              <w:bCs w:val="0"/>
              <w:sz w:val="22"/>
              <w:szCs w:val="22"/>
              <w:lang w:val="en-US"/>
            </w:rPr>
          </w:pPr>
          <w:hyperlink w:history="1" w:anchor="_Toc160785869">
            <w:r w:rsidRPr="00903E26">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903E26">
              <w:rPr>
                <w:rStyle w:val="Hyperlink"/>
                <w:b/>
              </w:rPr>
              <w:t>KÖZLEKEDÉS, ENERGIA, INFRASTRUKTÚRA ÉS INFORMÁCIÓS TÁRSADALOM</w:t>
            </w:r>
            <w:r>
              <w:rPr>
                <w:webHidden/>
              </w:rPr>
              <w:tab/>
            </w:r>
            <w:r>
              <w:rPr>
                <w:webHidden/>
              </w:rPr>
              <w:fldChar w:fldCharType="begin"/>
            </w:r>
            <w:r>
              <w:rPr>
                <w:webHidden/>
              </w:rPr>
              <w:instrText xml:space="preserve"> PAGEREF _Toc160785869 \h </w:instrText>
            </w:r>
            <w:r>
              <w:rPr>
                <w:webHidden/>
              </w:rPr>
            </w:r>
            <w:r>
              <w:rPr>
                <w:webHidden/>
              </w:rPr>
              <w:fldChar w:fldCharType="separate"/>
            </w:r>
            <w:r>
              <w:rPr>
                <w:webHidden/>
              </w:rPr>
              <w:t>14</w:t>
            </w:r>
            <w:r>
              <w:rPr>
                <w:webHidden/>
              </w:rPr>
              <w:fldChar w:fldCharType="end"/>
            </w:r>
          </w:hyperlink>
        </w:p>
        <w:p w:rsidR="0052434F" w:rsidRDefault="0052434F" w14:paraId="60104B9A" w14:textId="5D0B9C88">
          <w:pPr>
            <w:pStyle w:val="TOC1"/>
            <w:rPr>
              <w:rFonts w:asciiTheme="minorHAnsi" w:hAnsiTheme="minorHAnsi" w:eastAsiaTheme="minorEastAsia" w:cstheme="minorBidi"/>
              <w:bCs w:val="0"/>
              <w:sz w:val="22"/>
              <w:szCs w:val="22"/>
              <w:lang w:val="en-US"/>
            </w:rPr>
          </w:pPr>
          <w:hyperlink w:history="1" w:anchor="_Toc160785870">
            <w:r w:rsidRPr="00903E26">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903E26">
              <w:rPr>
                <w:rStyle w:val="Hyperlink"/>
                <w:b/>
              </w:rPr>
              <w:t>IPARI SZERKEZETVÁLTÁS KONZULTATÍV BIZOTTSÁGA</w:t>
            </w:r>
            <w:r>
              <w:rPr>
                <w:webHidden/>
              </w:rPr>
              <w:tab/>
            </w:r>
            <w:r>
              <w:rPr>
                <w:webHidden/>
              </w:rPr>
              <w:fldChar w:fldCharType="begin"/>
            </w:r>
            <w:r>
              <w:rPr>
                <w:webHidden/>
              </w:rPr>
              <w:instrText xml:space="preserve"> PAGEREF _Toc160785870 \h </w:instrText>
            </w:r>
            <w:r>
              <w:rPr>
                <w:webHidden/>
              </w:rPr>
            </w:r>
            <w:r>
              <w:rPr>
                <w:webHidden/>
              </w:rPr>
              <w:fldChar w:fldCharType="separate"/>
            </w:r>
            <w:r>
              <w:rPr>
                <w:webHidden/>
              </w:rPr>
              <w:t>16</w:t>
            </w:r>
            <w:r>
              <w:rPr>
                <w:webHidden/>
              </w:rPr>
              <w:fldChar w:fldCharType="end"/>
            </w:r>
          </w:hyperlink>
        </w:p>
        <w:p w:rsidRPr="00544D95" w:rsidR="00544D95" w:rsidP="00544D95" w:rsidRDefault="00544D95" w14:paraId="589C47D7" w14:textId="6C314CA0">
          <w:pPr>
            <w:rPr>
              <w:b/>
            </w:rPr>
          </w:pPr>
          <w:r w:rsidRPr="00544D95">
            <w:rPr>
              <w:b/>
            </w:rPr>
            <w:fldChar w:fldCharType="end"/>
          </w:r>
        </w:p>
      </w:sdtContent>
    </w:sdt>
    <w:p w:rsidR="00BE2C1E" w:rsidRDefault="00BE2C1E" w14:paraId="2900045F" w14:textId="7EF0810A">
      <w:pPr>
        <w:spacing w:after="160" w:line="259" w:lineRule="auto"/>
        <w:jc w:val="left"/>
      </w:pPr>
      <w:r>
        <w:br w:type="page"/>
      </w:r>
    </w:p>
    <w:p w:rsidR="00A07736" w:rsidRDefault="00A07736" w14:paraId="6B93666C" w14:textId="77777777">
      <w:pPr>
        <w:spacing w:after="160" w:line="259" w:lineRule="auto"/>
        <w:jc w:val="left"/>
      </w:pPr>
    </w:p>
    <w:p w:rsidR="0038273B" w:rsidP="00C83487" w:rsidRDefault="0038273B" w14:paraId="62CE6920" w14:textId="4713069C">
      <w:pPr>
        <w:pStyle w:val="Heading1"/>
        <w:spacing w:before="0"/>
        <w:ind w:left="930" w:hanging="928"/>
        <w:rPr>
          <w:b/>
          <w:bCs/>
        </w:rPr>
      </w:pPr>
      <w:bookmarkStart w:name="_Toc160785864" w:id="1"/>
      <w:r>
        <w:rPr>
          <w:b/>
        </w:rPr>
        <w:t>GAZDASÁGI ÉS MONETÁRIS UNIÓ, GAZDASÁGI ÉS TÁRSADALMI KOHÉZIÓ</w:t>
      </w:r>
      <w:bookmarkEnd w:id="1"/>
    </w:p>
    <w:p w:rsidRPr="00115BBC" w:rsidR="00115BBC" w:rsidP="0052434F" w:rsidRDefault="00115BBC" w14:paraId="5C4FD48E" w14:textId="77777777"/>
    <w:p w:rsidRPr="00CF3B63" w:rsidR="00CF3B63" w:rsidP="0052434F" w:rsidRDefault="00893292" w14:paraId="7EC430AC" w14:textId="415F6520">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w:history="1" r:id="rId20">
        <w:r w:rsidR="00E72EBF">
          <w:rPr>
            <w:b/>
            <w:i/>
            <w:color w:val="0000FF"/>
            <w:sz w:val="28"/>
            <w:u w:val="single"/>
          </w:rPr>
          <w:t>A határokon átnyúlóan dolgozó távmunkások adóztatása világszerte és az EU-ra gyakorolt hatás</w:t>
        </w:r>
      </w:hyperlink>
    </w:p>
    <w:p w:rsidR="00CF3B63" w:rsidP="0052434F" w:rsidRDefault="00CF3B63" w14:paraId="478C2AB3" w14:textId="340E8FC3">
      <w:pPr>
        <w:rPr>
          <w:b/>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CF3B63" w:rsidR="00E73010" w:rsidTr="00B17F65" w14:paraId="751D3B32" w14:textId="77777777">
        <w:tc>
          <w:tcPr>
            <w:tcW w:w="1701" w:type="dxa"/>
          </w:tcPr>
          <w:p w:rsidRPr="00CF3B63" w:rsidR="00E73010" w:rsidP="0052434F" w:rsidRDefault="00E73010" w14:paraId="1452C9B6" w14:textId="77777777">
            <w:pPr>
              <w:rPr>
                <w:b/>
              </w:rPr>
            </w:pPr>
            <w:r>
              <w:rPr>
                <w:b/>
              </w:rPr>
              <w:t>Előadó:</w:t>
            </w:r>
          </w:p>
        </w:tc>
        <w:tc>
          <w:tcPr>
            <w:tcW w:w="5670" w:type="dxa"/>
          </w:tcPr>
          <w:p w:rsidRPr="00CF3B63" w:rsidR="00E73010" w:rsidP="0052434F" w:rsidRDefault="00E73010" w14:paraId="47111346" w14:textId="77777777">
            <w:proofErr w:type="spellStart"/>
            <w:r>
              <w:t>Krister</w:t>
            </w:r>
            <w:proofErr w:type="spellEnd"/>
            <w:r>
              <w:t xml:space="preserve"> ANDERSSON (Munkaadók/SE)</w:t>
            </w:r>
          </w:p>
        </w:tc>
      </w:tr>
      <w:tr w:rsidRPr="00CF3B63" w:rsidR="00E73010" w:rsidTr="00B17F65" w14:paraId="744149D0" w14:textId="77777777">
        <w:tc>
          <w:tcPr>
            <w:tcW w:w="1701" w:type="dxa"/>
          </w:tcPr>
          <w:p w:rsidRPr="00CF3B63" w:rsidR="00E73010" w:rsidP="0052434F" w:rsidRDefault="00E73010" w14:paraId="000E6296" w14:textId="77777777">
            <w:pPr>
              <w:rPr>
                <w:b/>
                <w:bCs/>
              </w:rPr>
            </w:pPr>
          </w:p>
        </w:tc>
        <w:tc>
          <w:tcPr>
            <w:tcW w:w="5670" w:type="dxa"/>
          </w:tcPr>
          <w:p w:rsidRPr="00CF3B63" w:rsidR="00E73010" w:rsidP="0052434F" w:rsidRDefault="00E73010" w14:paraId="42E8B3AA" w14:textId="77777777"/>
        </w:tc>
      </w:tr>
      <w:tr w:rsidRPr="00CF3B63" w:rsidR="00E73010" w:rsidTr="00B17F65" w14:paraId="46478281" w14:textId="77777777">
        <w:tc>
          <w:tcPr>
            <w:tcW w:w="1701" w:type="dxa"/>
          </w:tcPr>
          <w:p w:rsidRPr="00CF3B63" w:rsidR="00E73010" w:rsidP="0052434F" w:rsidRDefault="00E73010" w14:paraId="059FA346" w14:textId="0CE5F4EC">
            <w:pPr>
              <w:rPr>
                <w:b/>
                <w:bCs/>
              </w:rPr>
            </w:pPr>
            <w:r>
              <w:rPr>
                <w:b/>
              </w:rPr>
              <w:t>Hivatkozás:</w:t>
            </w:r>
          </w:p>
        </w:tc>
        <w:tc>
          <w:tcPr>
            <w:tcW w:w="5670" w:type="dxa"/>
          </w:tcPr>
          <w:p w:rsidR="00E73010" w:rsidP="0052434F" w:rsidRDefault="00E73010" w14:paraId="0E3642EE" w14:textId="77777777">
            <w:r>
              <w:t>saját kezdeményezésű vélemény</w:t>
            </w:r>
          </w:p>
          <w:p w:rsidRPr="00CF3B63" w:rsidR="00E73010" w:rsidP="0052434F" w:rsidRDefault="00E73010" w14:paraId="58476701" w14:textId="52B2602E">
            <w:r>
              <w:t>EESC-2023-00860-00-AC</w:t>
            </w:r>
          </w:p>
        </w:tc>
      </w:tr>
      <w:tr w:rsidRPr="00CF3B63" w:rsidR="00E73010" w:rsidTr="00B17F65" w14:paraId="65C7AC0C" w14:textId="77777777">
        <w:tc>
          <w:tcPr>
            <w:tcW w:w="1701" w:type="dxa"/>
          </w:tcPr>
          <w:p w:rsidRPr="00CF3B63" w:rsidR="00E73010" w:rsidP="0052434F" w:rsidRDefault="00E73010" w14:paraId="4EE462AD" w14:textId="77777777">
            <w:pPr>
              <w:rPr>
                <w:b/>
                <w:bCs/>
              </w:rPr>
            </w:pPr>
          </w:p>
        </w:tc>
        <w:tc>
          <w:tcPr>
            <w:tcW w:w="5670" w:type="dxa"/>
          </w:tcPr>
          <w:p w:rsidRPr="00CF3B63" w:rsidR="00E73010" w:rsidP="0052434F" w:rsidRDefault="00E73010" w14:paraId="2AAA63E9" w14:textId="77777777"/>
        </w:tc>
      </w:tr>
    </w:tbl>
    <w:p w:rsidR="00E73010" w:rsidP="0052434F" w:rsidRDefault="00E73010" w14:paraId="54675DBA" w14:textId="1C83796C">
      <w:pPr>
        <w:rPr>
          <w:b/>
        </w:rPr>
      </w:pPr>
    </w:p>
    <w:p w:rsidRPr="00CF3B63" w:rsidR="00CF3B63" w:rsidP="0052434F" w:rsidRDefault="00CF3B63" w14:paraId="37EC7423" w14:textId="77777777">
      <w:pPr>
        <w:rPr>
          <w:b/>
        </w:rPr>
      </w:pPr>
      <w:r>
        <w:rPr>
          <w:b/>
        </w:rPr>
        <w:t>Főbb pontok</w:t>
      </w:r>
    </w:p>
    <w:p w:rsidRPr="00CF3B63" w:rsidR="00CF3B63" w:rsidP="0052434F" w:rsidRDefault="00CF3B63" w14:paraId="05302960" w14:textId="77777777">
      <w:pPr>
        <w:rPr>
          <w:b/>
        </w:rPr>
      </w:pPr>
    </w:p>
    <w:p w:rsidRPr="00CF3B63" w:rsidR="00CF3B63" w:rsidP="0052434F" w:rsidRDefault="00CF3B63" w14:paraId="23B0065E" w14:textId="77777777">
      <w:pPr>
        <w:rPr>
          <w:bCs/>
        </w:rPr>
      </w:pPr>
      <w:r>
        <w:t>Az EGSZB:</w:t>
      </w:r>
    </w:p>
    <w:p w:rsidRPr="00CF3B63" w:rsidR="00CF3B63" w:rsidP="0052434F" w:rsidRDefault="00CF3B63" w14:paraId="32F10A5B" w14:textId="77777777">
      <w:pPr>
        <w:rPr>
          <w:b/>
        </w:rPr>
      </w:pPr>
    </w:p>
    <w:p w:rsidRPr="0052434F" w:rsidR="00CF3B63" w:rsidP="0052434F" w:rsidRDefault="00CF3B63" w14:paraId="64272677" w14:textId="77777777">
      <w:pPr>
        <w:pStyle w:val="ListParagraph"/>
        <w:numPr>
          <w:ilvl w:val="0"/>
          <w:numId w:val="32"/>
        </w:numPr>
        <w:ind w:left="426"/>
        <w:rPr>
          <w:szCs w:val="20"/>
        </w:rPr>
      </w:pPr>
      <w:r>
        <w:t>hangsúlyozza, hogy az elmúlt évtizedben a globalizáció és a digitalizáció új lehetőségeket nyitott a távoli helyről történő munkavégzésre. A Covid19-világjárvány példátlan változást hozott mind a munkavállalók, mind a vállalkozások életében, ami a távmunka exponenciális növekedéséhez vezetett,</w:t>
      </w:r>
    </w:p>
    <w:p w:rsidRPr="0052434F" w:rsidR="00CF3B63" w:rsidP="0052434F" w:rsidRDefault="00CF3B63" w14:paraId="67BD646A" w14:textId="2729F36C">
      <w:pPr>
        <w:pStyle w:val="ListParagraph"/>
        <w:numPr>
          <w:ilvl w:val="0"/>
          <w:numId w:val="32"/>
        </w:numPr>
        <w:ind w:left="426"/>
        <w:rPr>
          <w:szCs w:val="20"/>
        </w:rPr>
      </w:pPr>
      <w:r>
        <w:t>emlékeztet arra, hogy az új technológiának köszönhetően pontosan ugyanaz a munka fizikai jelenlét nélkül is elvégezhető. Ez azt is jelenti, hogy sokkal többen tudnak határokon átnyúlóan, távoli helyről dolgozni, és drasztikusan nőtt a határokon átnyúlóan dolgozó távmunkások száma,</w:t>
      </w:r>
    </w:p>
    <w:p w:rsidRPr="0052434F" w:rsidR="00CF3B63" w:rsidP="0052434F" w:rsidRDefault="00CF3B63" w14:paraId="1EE80ABE" w14:textId="474071FB">
      <w:pPr>
        <w:pStyle w:val="ListParagraph"/>
        <w:numPr>
          <w:ilvl w:val="0"/>
          <w:numId w:val="32"/>
        </w:numPr>
        <w:ind w:left="426"/>
        <w:rPr>
          <w:szCs w:val="20"/>
        </w:rPr>
      </w:pPr>
      <w:r>
        <w:t>azt az opciót részesíti előnyben, hogy a munkavállalói jövedelem bérjövedelemként történő megadóztatására a munkáltató székhelye szerinti országban kerüljön sor. Egy ilyen rendszer egyszerűbbé tenné a munkavállalók dolgát, és a munkáltatók számára is vonzó lehetne. A munkavállaló lakóhelye szerinti országban bekövetkező bevételkiesés kompenzálása érdekében alighanem szükség lenne egy bevételmegosztási mechanizmusra,</w:t>
      </w:r>
    </w:p>
    <w:p w:rsidRPr="0052434F" w:rsidR="00CF3B63" w:rsidP="0052434F" w:rsidRDefault="00CF3B63" w14:paraId="216DBC4F" w14:textId="77777777">
      <w:pPr>
        <w:pStyle w:val="ListParagraph"/>
        <w:numPr>
          <w:ilvl w:val="0"/>
          <w:numId w:val="32"/>
        </w:numPr>
        <w:ind w:left="426"/>
        <w:rPr>
          <w:szCs w:val="20"/>
        </w:rPr>
      </w:pPr>
      <w:r>
        <w:t>javasolja, hogy az adóhatóságok a jövedelmet osszák fel az országok között az érintett államokban való tényleges személyes jelenlétre vonatkozó adatok felhasználásával (amelyeket a munkáltató egyablakos ügyintézési pontként jelent be a székhelye szerinti ország adóhatóságának) vagy valamilyen makrogazdasági aggregált kulcs alkalmazásával.</w:t>
      </w:r>
    </w:p>
    <w:p w:rsidRPr="00CF3B63" w:rsidR="00CF3B63" w:rsidP="0052434F" w:rsidRDefault="00CF3B63" w14:paraId="09DDE983" w14:textId="77777777">
      <w:pPr>
        <w:rPr>
          <w:color w:val="000000" w:themeColor="text1"/>
          <w:lang w:eastAsia="zh-CN"/>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CF3B63" w:rsidR="00CF3B63" w:rsidTr="00B05454" w14:paraId="4CD566CB" w14:textId="77777777">
        <w:tc>
          <w:tcPr>
            <w:tcW w:w="1418" w:type="dxa"/>
          </w:tcPr>
          <w:p w:rsidRPr="00CF3B63" w:rsidR="00CF3B63" w:rsidP="0052434F" w:rsidRDefault="00CF3B63" w14:paraId="2153ECA8" w14:textId="77777777">
            <w:pPr>
              <w:rPr>
                <w:i/>
              </w:rPr>
            </w:pPr>
            <w:r>
              <w:rPr>
                <w:b/>
                <w:i/>
              </w:rPr>
              <w:t>Kapcsolattartó:</w:t>
            </w:r>
          </w:p>
        </w:tc>
        <w:tc>
          <w:tcPr>
            <w:tcW w:w="5670" w:type="dxa"/>
          </w:tcPr>
          <w:p w:rsidRPr="00CF3B63" w:rsidR="00CF3B63" w:rsidP="0052434F" w:rsidRDefault="00CF3B63" w14:paraId="2BAAA700" w14:textId="77777777">
            <w:pPr>
              <w:rPr>
                <w:i/>
              </w:rPr>
            </w:pPr>
            <w:proofErr w:type="spellStart"/>
            <w:r>
              <w:rPr>
                <w:i/>
              </w:rPr>
              <w:t>Jüri</w:t>
            </w:r>
            <w:proofErr w:type="spellEnd"/>
            <w:r>
              <w:rPr>
                <w:i/>
              </w:rPr>
              <w:t xml:space="preserve"> </w:t>
            </w:r>
            <w:proofErr w:type="spellStart"/>
            <w:r>
              <w:rPr>
                <w:i/>
              </w:rPr>
              <w:t>Soosaar</w:t>
            </w:r>
            <w:proofErr w:type="spellEnd"/>
            <w:r>
              <w:rPr>
                <w:i/>
              </w:rPr>
              <w:t xml:space="preserve"> </w:t>
            </w:r>
          </w:p>
        </w:tc>
      </w:tr>
      <w:tr w:rsidRPr="00CF3B63" w:rsidR="00CF3B63" w:rsidTr="00B05454" w14:paraId="0CCC2A7E" w14:textId="77777777">
        <w:tc>
          <w:tcPr>
            <w:tcW w:w="1418" w:type="dxa"/>
          </w:tcPr>
          <w:p w:rsidRPr="00CF3B63" w:rsidR="00CF3B63" w:rsidP="0052434F" w:rsidRDefault="00CF3B63" w14:paraId="31D551A3" w14:textId="77777777">
            <w:pPr>
              <w:rPr>
                <w:i/>
              </w:rPr>
            </w:pPr>
            <w:r>
              <w:rPr>
                <w:i/>
              </w:rPr>
              <w:t>Tel.:</w:t>
            </w:r>
          </w:p>
        </w:tc>
        <w:tc>
          <w:tcPr>
            <w:tcW w:w="5670" w:type="dxa"/>
          </w:tcPr>
          <w:p w:rsidRPr="00CF3B63" w:rsidR="00CF3B63" w:rsidP="0052434F" w:rsidRDefault="00CF3B63" w14:paraId="5FA9B686" w14:textId="77777777">
            <w:pPr>
              <w:rPr>
                <w:i/>
              </w:rPr>
            </w:pPr>
            <w:r>
              <w:rPr>
                <w:i/>
              </w:rPr>
              <w:t>+ 32 25469628</w:t>
            </w:r>
          </w:p>
        </w:tc>
      </w:tr>
      <w:tr w:rsidRPr="00CF3B63" w:rsidR="00CF3B63" w:rsidTr="00B05454" w14:paraId="52648DE1" w14:textId="77777777">
        <w:tc>
          <w:tcPr>
            <w:tcW w:w="1418" w:type="dxa"/>
          </w:tcPr>
          <w:p w:rsidRPr="00CF3B63" w:rsidR="00CF3B63" w:rsidP="0052434F" w:rsidRDefault="009A2DD6" w14:paraId="0F86E843" w14:textId="73EA9BCB">
            <w:pPr>
              <w:rPr>
                <w:i/>
              </w:rPr>
            </w:pPr>
            <w:r>
              <w:rPr>
                <w:i/>
              </w:rPr>
              <w:t>E-mail-cím:</w:t>
            </w:r>
          </w:p>
        </w:tc>
        <w:tc>
          <w:tcPr>
            <w:tcW w:w="5670" w:type="dxa"/>
          </w:tcPr>
          <w:p w:rsidRPr="00CF3B63" w:rsidR="00CF3B63" w:rsidP="0052434F" w:rsidRDefault="00893292" w14:paraId="34CDB34E" w14:textId="0A67A9F1">
            <w:pPr>
              <w:rPr>
                <w:i/>
              </w:rPr>
            </w:pPr>
            <w:hyperlink w:history="1" r:id="rId21">
              <w:r w:rsidR="00E72EBF">
                <w:rPr>
                  <w:color w:val="0000FF"/>
                  <w:u w:val="single"/>
                </w:rPr>
                <w:t>Juri.Soosaar@eesc.europa.eu</w:t>
              </w:r>
            </w:hyperlink>
            <w:r w:rsidR="00E72EBF">
              <w:t xml:space="preserve"> </w:t>
            </w:r>
          </w:p>
        </w:tc>
      </w:tr>
    </w:tbl>
    <w:p w:rsidR="00CF3B63" w:rsidP="0052434F" w:rsidRDefault="00CF3B63" w14:paraId="03718F05" w14:textId="77777777">
      <w:pPr>
        <w:rPr>
          <w:b/>
          <w:bCs/>
        </w:rPr>
      </w:pPr>
    </w:p>
    <w:p w:rsidR="00CF3B63" w:rsidP="0052434F" w:rsidRDefault="00CF3B63" w14:paraId="2B55CB13" w14:textId="77777777">
      <w:pPr>
        <w:rPr>
          <w:b/>
          <w:bCs/>
        </w:rPr>
      </w:pPr>
      <w:r>
        <w:br w:type="page"/>
      </w:r>
    </w:p>
    <w:bookmarkStart w:name="_Toc159831758" w:id="2"/>
    <w:p w:rsidRPr="00DA68C7" w:rsidR="00A32597" w:rsidP="0052434F" w:rsidRDefault="004716B8" w14:paraId="1BD9833F" w14:textId="1748A743">
      <w:pPr>
        <w:widowControl w:val="0"/>
        <w:numPr>
          <w:ilvl w:val="0"/>
          <w:numId w:val="2"/>
        </w:numPr>
        <w:overflowPunct w:val="0"/>
        <w:autoSpaceDE w:val="0"/>
        <w:autoSpaceDN w:val="0"/>
        <w:adjustRightInd w:val="0"/>
        <w:ind w:hanging="567"/>
        <w:textAlignment w:val="baseline"/>
        <w:rPr>
          <w:b/>
          <w:kern w:val="28"/>
        </w:rPr>
      </w:pPr>
      <w:r w:rsidRPr="0052434F">
        <w:rPr>
          <w:b/>
          <w:i/>
          <w:color w:val="0000FF"/>
          <w:sz w:val="28"/>
          <w:u w:val="single"/>
        </w:rPr>
        <w:lastRenderedPageBreak/>
        <w:fldChar w:fldCharType="begin"/>
      </w:r>
      <w:r w:rsidRPr="0052434F">
        <w:rPr>
          <w:b/>
          <w:i/>
          <w:color w:val="0000FF"/>
          <w:sz w:val="28"/>
          <w:u w:val="single"/>
        </w:rPr>
        <w:instrText xml:space="preserve"> HYPERLINK "https://www.eesc.europa.eu/hu/our-work/opinions-information-reports/opinions/annual-sustainable-growth-survey-2024" </w:instrText>
      </w:r>
      <w:r w:rsidRPr="0052434F">
        <w:rPr>
          <w:b/>
          <w:i/>
          <w:color w:val="0000FF"/>
          <w:sz w:val="28"/>
          <w:u w:val="single"/>
        </w:rPr>
        <w:fldChar w:fldCharType="separate"/>
      </w:r>
      <w:r>
        <w:rPr>
          <w:b/>
          <w:i/>
          <w:color w:val="0000FF"/>
          <w:sz w:val="28"/>
          <w:u w:val="single"/>
        </w:rPr>
        <w:t>2024. évi éves fenntartható növekedési jelentés</w:t>
      </w:r>
      <w:bookmarkEnd w:id="2"/>
      <w:r>
        <w:rPr>
          <w:b/>
          <w:i/>
          <w:color w:val="0000FF"/>
          <w:sz w:val="28"/>
          <w:u w:val="single"/>
        </w:rPr>
        <w:fldChar w:fldCharType="end"/>
      </w: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A32597" w:rsidR="00A32597" w:rsidTr="00B05454" w14:paraId="7BCB2534" w14:textId="77777777">
        <w:tc>
          <w:tcPr>
            <w:tcW w:w="1701" w:type="dxa"/>
          </w:tcPr>
          <w:p w:rsidRPr="00A32597" w:rsidR="007B6C34" w:rsidP="0052434F" w:rsidRDefault="007B6C34" w14:paraId="5143B750" w14:textId="77777777">
            <w:pPr>
              <w:rPr>
                <w:b/>
                <w:bCs/>
                <w:iCs/>
                <w:noProof/>
                <w:sz w:val="16"/>
                <w:szCs w:val="16"/>
                <w:lang w:eastAsia="fr-BE"/>
              </w:rPr>
            </w:pPr>
          </w:p>
          <w:p w:rsidRPr="00A32597" w:rsidR="00A32597" w:rsidP="0052434F" w:rsidRDefault="00A32597" w14:paraId="6BE8915C" w14:textId="22A4DF31">
            <w:pPr>
              <w:rPr>
                <w:b/>
                <w:bCs/>
                <w:iCs/>
                <w:noProof/>
              </w:rPr>
            </w:pPr>
            <w:r>
              <w:rPr>
                <w:b/>
              </w:rPr>
              <w:t>Előadó:</w:t>
            </w:r>
          </w:p>
        </w:tc>
        <w:tc>
          <w:tcPr>
            <w:tcW w:w="7371" w:type="dxa"/>
          </w:tcPr>
          <w:p w:rsidRPr="00A32597" w:rsidR="00A32597" w:rsidP="0052434F" w:rsidRDefault="00A32597" w14:paraId="541D6CA9" w14:textId="77777777">
            <w:pPr>
              <w:rPr>
                <w:bCs/>
                <w:iCs/>
                <w:noProof/>
                <w:sz w:val="16"/>
                <w:szCs w:val="16"/>
                <w:lang w:eastAsia="fr-BE"/>
              </w:rPr>
            </w:pPr>
          </w:p>
          <w:p w:rsidRPr="00A32597" w:rsidR="00A32597" w:rsidP="0052434F" w:rsidRDefault="00A32597" w14:paraId="07DE7214" w14:textId="38316A4D">
            <w:pPr>
              <w:rPr>
                <w:bCs/>
                <w:iCs/>
                <w:noProof/>
              </w:rPr>
            </w:pPr>
            <w:r>
              <w:t xml:space="preserve">Elena-Alexandra CALISTRU (Civil társadalmi szervezetek/RO) </w:t>
            </w:r>
          </w:p>
        </w:tc>
      </w:tr>
    </w:tbl>
    <w:p w:rsidRPr="00A32597" w:rsidR="00A32597" w:rsidP="0052434F" w:rsidRDefault="00A32597" w14:paraId="3B5F4815" w14:textId="77777777">
      <w:pPr>
        <w:rPr>
          <w:rFonts w:eastAsia="Calibri"/>
          <w:b/>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A32597" w:rsidR="00A32597" w:rsidTr="00B05454" w14:paraId="7B85BF7E" w14:textId="77777777">
        <w:tc>
          <w:tcPr>
            <w:tcW w:w="1701" w:type="dxa"/>
          </w:tcPr>
          <w:p w:rsidRPr="00CC4510" w:rsidR="00A32597" w:rsidP="0052434F" w:rsidRDefault="00A32597" w14:paraId="515D21C6" w14:textId="77777777">
            <w:pPr>
              <w:rPr>
                <w:b/>
                <w:bCs/>
                <w:iCs/>
                <w:noProof/>
              </w:rPr>
            </w:pPr>
            <w:r>
              <w:rPr>
                <w:b/>
              </w:rPr>
              <w:t>Hivatkozás:</w:t>
            </w:r>
          </w:p>
        </w:tc>
        <w:tc>
          <w:tcPr>
            <w:tcW w:w="5670" w:type="dxa"/>
          </w:tcPr>
          <w:p w:rsidRPr="00A32597" w:rsidR="00A32597" w:rsidP="0052434F" w:rsidRDefault="00A32597" w14:paraId="7CE58217" w14:textId="77777777">
            <w:r>
              <w:t xml:space="preserve">COM(2023) 901 </w:t>
            </w:r>
            <w:proofErr w:type="spellStart"/>
            <w:r>
              <w:t>final</w:t>
            </w:r>
            <w:proofErr w:type="spellEnd"/>
          </w:p>
          <w:p w:rsidRPr="00A32597" w:rsidR="00A32597" w:rsidP="0052434F" w:rsidRDefault="00A32597" w14:paraId="0BBCB268" w14:textId="77777777">
            <w:r>
              <w:t>EESC-2023-05137-00-00-AC</w:t>
            </w:r>
          </w:p>
          <w:p w:rsidRPr="00A32597" w:rsidR="00A32597" w:rsidP="0052434F" w:rsidRDefault="00A32597" w14:paraId="6114F19B" w14:textId="77777777"/>
        </w:tc>
      </w:tr>
    </w:tbl>
    <w:p w:rsidR="00A32597" w:rsidP="0052434F" w:rsidRDefault="00A32597" w14:paraId="55102C19" w14:textId="3C028EF4">
      <w:pPr>
        <w:rPr>
          <w:rFonts w:eastAsia="Calibri"/>
          <w:b/>
        </w:rPr>
      </w:pPr>
      <w:r>
        <w:rPr>
          <w:b/>
        </w:rPr>
        <w:t>Főbb pontok</w:t>
      </w:r>
    </w:p>
    <w:p w:rsidR="0052434F" w:rsidP="0052434F" w:rsidRDefault="0052434F" w14:paraId="1D206A5C" w14:textId="77777777"/>
    <w:p w:rsidR="00A32597" w:rsidP="0052434F" w:rsidRDefault="00A32597" w14:paraId="6878A780" w14:textId="442BDFCB">
      <w:r>
        <w:t xml:space="preserve">Az EGSZB: </w:t>
      </w:r>
    </w:p>
    <w:p w:rsidR="0052434F" w:rsidP="0052434F" w:rsidRDefault="0052434F" w14:paraId="62353CF8" w14:textId="77777777">
      <w:pPr>
        <w:rPr>
          <w:rFonts w:eastAsia="Calibri"/>
        </w:rPr>
      </w:pPr>
    </w:p>
    <w:p w:rsidRPr="00A32597" w:rsidR="00A32597" w:rsidP="0052434F" w:rsidRDefault="00A32597" w14:paraId="77BED355" w14:textId="77777777">
      <w:pPr>
        <w:pStyle w:val="ListParagraph"/>
        <w:numPr>
          <w:ilvl w:val="0"/>
          <w:numId w:val="33"/>
        </w:numPr>
        <w:ind w:left="426"/>
      </w:pPr>
      <w:bookmarkStart w:name="_Toc159831759" w:id="3"/>
      <w:r>
        <w:t>azt ajánlja, hogy az Európai Központi Bank (EKB) szorosan kövesse nyomon a gazdasági kockázatokat, és végezzen körültekintő vészhelyzeti tervezést, hogy hiteles inflációs kilátásokat tudjon nyújtani. Azt tanácsolja az EKB-</w:t>
      </w:r>
      <w:proofErr w:type="spellStart"/>
      <w:r>
        <w:t>nak</w:t>
      </w:r>
      <w:proofErr w:type="spellEnd"/>
      <w:r>
        <w:t>, hogy készüljön fel a politikák kiigazítására, ha az infláció előre jelzett csökkenése lelassulna vagy megfordulna, vagy éppen túlzott mértékben 2% alá süllyedne; ennélfogva egyértelműbb vészhelyzeti tervezést szorgalmaz az inflációs kilátások hitelességének megőrzése érdekében,</w:t>
      </w:r>
      <w:bookmarkEnd w:id="3"/>
    </w:p>
    <w:p w:rsidRPr="00A32597" w:rsidR="00A32597" w:rsidP="0052434F" w:rsidRDefault="00A32597" w14:paraId="6EBE4B0D" w14:textId="77777777">
      <w:pPr>
        <w:pStyle w:val="ListParagraph"/>
        <w:numPr>
          <w:ilvl w:val="0"/>
          <w:numId w:val="33"/>
        </w:numPr>
        <w:ind w:left="426"/>
      </w:pPr>
      <w:bookmarkStart w:name="_Toc159831760" w:id="4"/>
      <w:r>
        <w:t>konkrét együttműködést szorgalmaz a nemzeti parlamentekkel, a regionális és helyi önkormányzatokkal, a civil társadalommal és a szociális partnerekkel az uniós makrogazdasági kormányzási keret reformjai terén. Hangsúlyozza, hogy e reformokért tényleges párbeszéden keresztül nemzeti szinten kell felelősséget vállalni,</w:t>
      </w:r>
      <w:bookmarkEnd w:id="4"/>
    </w:p>
    <w:p w:rsidRPr="00A32597" w:rsidR="00A32597" w:rsidP="0052434F" w:rsidRDefault="00A32597" w14:paraId="15523693" w14:textId="77777777">
      <w:pPr>
        <w:pStyle w:val="ListParagraph"/>
        <w:numPr>
          <w:ilvl w:val="0"/>
          <w:numId w:val="33"/>
        </w:numPr>
        <w:ind w:left="426"/>
      </w:pPr>
      <w:bookmarkStart w:name="_Toc159831761" w:id="5"/>
      <w:r>
        <w:t>hangsúlyozza, hogy rendkívül fontos, hogy a demokratikus értékeket és a jogállamisági elveket integrálják az EU gazdasági kormányzásába,</w:t>
      </w:r>
      <w:bookmarkEnd w:id="5"/>
    </w:p>
    <w:p w:rsidRPr="00A32597" w:rsidR="00A32597" w:rsidP="0052434F" w:rsidRDefault="00A32597" w14:paraId="0E045AD4" w14:textId="77777777">
      <w:pPr>
        <w:pStyle w:val="ListParagraph"/>
        <w:numPr>
          <w:ilvl w:val="0"/>
          <w:numId w:val="33"/>
        </w:numPr>
        <w:ind w:left="426"/>
      </w:pPr>
      <w:bookmarkStart w:name="_Toc159831762" w:id="6"/>
      <w:r>
        <w:t>azzal együtt, hogy elismeri a tagállamok eltérő gazdasági feltételeit és növekedési kihívásait, olyan költségvetési konszolidációt szorgalmaz, amely figyelembe veszi az egyes tagállamok egyedi helyzetét,</w:t>
      </w:r>
      <w:bookmarkEnd w:id="6"/>
    </w:p>
    <w:p w:rsidRPr="00A32597" w:rsidR="00A32597" w:rsidP="0052434F" w:rsidRDefault="00A32597" w14:paraId="581D3E0C" w14:textId="77777777">
      <w:pPr>
        <w:pStyle w:val="ListParagraph"/>
        <w:numPr>
          <w:ilvl w:val="0"/>
          <w:numId w:val="33"/>
        </w:numPr>
        <w:ind w:left="426"/>
      </w:pPr>
      <w:bookmarkStart w:name="_Toc159831763" w:id="7"/>
      <w:r>
        <w:t>kiegyensúlyozott megközelítést sürget a válsághelyzeti támogatás fokozatos megszüntetése kapcsán, ez a támogatás ugyanis továbbra is segítséget nyújt a magas energiaköltségek és az infláció által érintett kiszolgáltatott csoportoknak. Kéri, hogy egyes országokban hozzák létre a rászorultságon alapuló támogatás állandó keretét, és hangsúlyozza, hogy részletesen meg kell vitatni a társadalmi hatásokat,</w:t>
      </w:r>
      <w:bookmarkEnd w:id="7"/>
    </w:p>
    <w:p w:rsidRPr="00A32597" w:rsidR="00A32597" w:rsidP="0052434F" w:rsidRDefault="00A32597" w14:paraId="74E233B0" w14:textId="77777777">
      <w:pPr>
        <w:pStyle w:val="ListParagraph"/>
        <w:numPr>
          <w:ilvl w:val="0"/>
          <w:numId w:val="33"/>
        </w:numPr>
        <w:ind w:left="426"/>
      </w:pPr>
      <w:bookmarkStart w:name="_Toc159831764" w:id="8"/>
      <w:r>
        <w:t xml:space="preserve">kéri az Európai Bizottságot és a nemzeti kormányokat, hogy biztosítsák az adminisztratív kapacitás növeléséhez és a folyamatok egyszerűsítéséhez szükséges támogatást, és vonják be a civil társadalmat a nemzeti helyreállítási és </w:t>
      </w:r>
      <w:proofErr w:type="spellStart"/>
      <w:r>
        <w:t>rezilienciaépítési</w:t>
      </w:r>
      <w:proofErr w:type="spellEnd"/>
      <w:r>
        <w:t xml:space="preserve"> tervek végrehajtásába,</w:t>
      </w:r>
      <w:bookmarkEnd w:id="8"/>
    </w:p>
    <w:p w:rsidRPr="00A32597" w:rsidR="00A32597" w:rsidP="0052434F" w:rsidRDefault="00A32597" w14:paraId="24E5E545" w14:textId="77777777">
      <w:pPr>
        <w:pStyle w:val="ListParagraph"/>
        <w:numPr>
          <w:ilvl w:val="0"/>
          <w:numId w:val="33"/>
        </w:numPr>
        <w:ind w:left="426"/>
      </w:pPr>
      <w:bookmarkStart w:name="_Toc159831765" w:id="9"/>
      <w:r>
        <w:t>hangsúlyozza, hogy továbbképzés, esélyegyenlőség biztosítása és a regionális egyenlőtlenségek kezelése révén növelni kell a munkaerőpiaci részvételt. Olyan szakpolitikákat szorgalmaz, amelyek a világjárvány okozta tanulási veszteségek kezelésére irányulnak, a hátrányos helyzetű diákok és iskolák szükségleteire összpontosítva,</w:t>
      </w:r>
      <w:bookmarkEnd w:id="9"/>
    </w:p>
    <w:p w:rsidRPr="00A32597" w:rsidR="00A32597" w:rsidP="0052434F" w:rsidRDefault="00A32597" w14:paraId="22994523" w14:textId="77777777">
      <w:pPr>
        <w:pStyle w:val="ListParagraph"/>
        <w:numPr>
          <w:ilvl w:val="0"/>
          <w:numId w:val="33"/>
        </w:numPr>
        <w:ind w:left="426"/>
      </w:pPr>
      <w:bookmarkStart w:name="_Toc159831766" w:id="10"/>
      <w:r>
        <w:t>amellett, hogy támogatja a termelékenység növelését célzó intézkedéseket, határozottabb fellépést sürget az uniós vállalkozások és egyéb szereplők előtt álló adminisztratív akadályok felszámolása érdekében. Azzal érvel, hogy a jelentéstételi kötelezettségek csökkentésére irányuló kezdeményezéseket össze kell kapcsolni a fenntarthatóságba való – többek között határokon átnyúló – beruházások erőteljesebb ösztönzésével,</w:t>
      </w:r>
      <w:bookmarkEnd w:id="10"/>
    </w:p>
    <w:p w:rsidRPr="00A32597" w:rsidR="00A32597" w:rsidP="0052434F" w:rsidRDefault="00A32597" w14:paraId="6CFE049D" w14:textId="77777777">
      <w:pPr>
        <w:pStyle w:val="ListParagraph"/>
        <w:numPr>
          <w:ilvl w:val="0"/>
          <w:numId w:val="33"/>
        </w:numPr>
        <w:ind w:left="426"/>
      </w:pPr>
      <w:bookmarkStart w:name="_Toc159831767" w:id="11"/>
      <w:r>
        <w:t xml:space="preserve">kiegyensúlyozott költségvetési megközelítés mellett foglal állást, amely integrálja az érdekelt felek észrevételeit és figyelembe veszi a tagállamok gazdasági realitásait. Hangsúlyozza, hogy a </w:t>
      </w:r>
      <w:r>
        <w:lastRenderedPageBreak/>
        <w:t>környezetvédelmi és társadalmi célkitűzések aláásásának elkerülése érdekében a helyreállítási tervek végrehajtásának összhangban kell lennie ezzel az árnyalt megközelítéssel,</w:t>
      </w:r>
      <w:bookmarkEnd w:id="11"/>
    </w:p>
    <w:p w:rsidRPr="00A32597" w:rsidR="00A32597" w:rsidP="0052434F" w:rsidRDefault="00A32597" w14:paraId="6803DE03" w14:textId="77777777">
      <w:pPr>
        <w:pStyle w:val="ListParagraph"/>
        <w:numPr>
          <w:ilvl w:val="0"/>
          <w:numId w:val="33"/>
        </w:numPr>
        <w:ind w:left="426"/>
      </w:pPr>
      <w:bookmarkStart w:name="_Toc159831768" w:id="12"/>
      <w:r>
        <w:t>csalódottságának ad hangot az EU Szuverenitási Alapjának késedelmes létrehozása miatt, a Stratégiai Technológiák Európai Platformjának (STEP) korlátozott költségvetése pedig komoly kétségeket ébreszt azzal kapcsolatban, hogy az EU elkötelezett-e és képes-e elérni a zöld átállással kapcsolatos célkitűzéseit, valamint aggályokat vet fel az EU versenyképességébe történő beruházásokkal kapcsolatban is.</w:t>
      </w:r>
      <w:bookmarkEnd w:id="12"/>
    </w:p>
    <w:p w:rsidR="00A32597" w:rsidP="0052434F" w:rsidRDefault="00A32597" w14:paraId="77691757" w14:textId="1699C7E9">
      <w:pPr>
        <w:rPr>
          <w:sz w:val="16"/>
          <w:szCs w:val="16"/>
        </w:rPr>
      </w:pPr>
    </w:p>
    <w:p w:rsidRPr="00A32597" w:rsidR="002C52B8" w:rsidP="0052434F" w:rsidRDefault="002C52B8" w14:paraId="2496F124" w14:textId="77777777">
      <w:pPr>
        <w:rPr>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A32597" w:rsidR="00A32597" w:rsidTr="00B05454" w14:paraId="4E0E2CCB" w14:textId="77777777">
        <w:tc>
          <w:tcPr>
            <w:tcW w:w="1418" w:type="dxa"/>
          </w:tcPr>
          <w:p w:rsidRPr="00A32597" w:rsidR="00A32597" w:rsidP="0052434F" w:rsidRDefault="00A32597" w14:paraId="15B16749" w14:textId="77777777">
            <w:pPr>
              <w:rPr>
                <w:i/>
              </w:rPr>
            </w:pPr>
            <w:r>
              <w:rPr>
                <w:b/>
                <w:i/>
              </w:rPr>
              <w:t>Kapcsolattartó:</w:t>
            </w:r>
          </w:p>
        </w:tc>
        <w:tc>
          <w:tcPr>
            <w:tcW w:w="5670" w:type="dxa"/>
          </w:tcPr>
          <w:p w:rsidRPr="00D36819" w:rsidR="00A32597" w:rsidP="0052434F" w:rsidRDefault="00A32597" w14:paraId="51D4069A" w14:textId="77777777">
            <w:pPr>
              <w:rPr>
                <w:i/>
                <w:iCs/>
              </w:rPr>
            </w:pPr>
            <w:proofErr w:type="spellStart"/>
            <w:r>
              <w:rPr>
                <w:i/>
              </w:rPr>
              <w:t>Colombe</w:t>
            </w:r>
            <w:proofErr w:type="spellEnd"/>
            <w:r>
              <w:rPr>
                <w:i/>
              </w:rPr>
              <w:t xml:space="preserve"> </w:t>
            </w:r>
            <w:proofErr w:type="spellStart"/>
            <w:r>
              <w:rPr>
                <w:i/>
              </w:rPr>
              <w:t>Grégoire</w:t>
            </w:r>
            <w:proofErr w:type="spellEnd"/>
          </w:p>
        </w:tc>
      </w:tr>
      <w:tr w:rsidRPr="00A32597" w:rsidR="00A32597" w:rsidTr="00B05454" w14:paraId="217EEC8E" w14:textId="77777777">
        <w:tc>
          <w:tcPr>
            <w:tcW w:w="1418" w:type="dxa"/>
          </w:tcPr>
          <w:p w:rsidRPr="00A32597" w:rsidR="00A32597" w:rsidP="0052434F" w:rsidRDefault="00A32597" w14:paraId="10D94256" w14:textId="77777777">
            <w:pPr>
              <w:rPr>
                <w:i/>
              </w:rPr>
            </w:pPr>
            <w:r>
              <w:rPr>
                <w:i/>
              </w:rPr>
              <w:t>Tel.:</w:t>
            </w:r>
          </w:p>
        </w:tc>
        <w:tc>
          <w:tcPr>
            <w:tcW w:w="5670" w:type="dxa"/>
          </w:tcPr>
          <w:p w:rsidRPr="00A32597" w:rsidR="00A32597" w:rsidP="0052434F" w:rsidRDefault="00A32597" w14:paraId="79D2A7DE" w14:textId="77777777">
            <w:pPr>
              <w:rPr>
                <w:i/>
                <w:iCs/>
              </w:rPr>
            </w:pPr>
            <w:r>
              <w:rPr>
                <w:i/>
              </w:rPr>
              <w:t>+32 254 69 286</w:t>
            </w:r>
          </w:p>
        </w:tc>
      </w:tr>
      <w:tr w:rsidRPr="00A32597" w:rsidR="00A32597" w:rsidTr="00B05454" w14:paraId="6EE0DBD3" w14:textId="77777777">
        <w:tc>
          <w:tcPr>
            <w:tcW w:w="1418" w:type="dxa"/>
          </w:tcPr>
          <w:p w:rsidRPr="00A32597" w:rsidR="00A32597" w:rsidP="0052434F" w:rsidRDefault="00A32597" w14:paraId="1D45D5A3" w14:textId="77777777">
            <w:pPr>
              <w:rPr>
                <w:i/>
              </w:rPr>
            </w:pPr>
            <w:r>
              <w:rPr>
                <w:i/>
              </w:rPr>
              <w:t>E-mail-cím:</w:t>
            </w:r>
          </w:p>
        </w:tc>
        <w:tc>
          <w:tcPr>
            <w:tcW w:w="5670" w:type="dxa"/>
          </w:tcPr>
          <w:p w:rsidRPr="00A32597" w:rsidR="00A32597" w:rsidP="0052434F" w:rsidRDefault="00893292" w14:paraId="1B217DB9" w14:textId="77777777">
            <w:pPr>
              <w:rPr>
                <w:i/>
                <w:iCs/>
              </w:rPr>
            </w:pPr>
            <w:hyperlink w:history="1" r:id="rId22">
              <w:r w:rsidR="00E72EBF">
                <w:rPr>
                  <w:color w:val="0000FF"/>
                  <w:u w:val="single"/>
                </w:rPr>
                <w:t>Colombe.Gregoire@eesc.europa.eu</w:t>
              </w:r>
            </w:hyperlink>
            <w:r w:rsidR="00E72EBF">
              <w:t xml:space="preserve"> </w:t>
            </w:r>
          </w:p>
        </w:tc>
      </w:tr>
    </w:tbl>
    <w:p w:rsidR="00A32597" w:rsidP="0052434F" w:rsidRDefault="00A32597" w14:paraId="11F6A301" w14:textId="30893F50">
      <w:pPr>
        <w:rPr>
          <w:b/>
          <w:bCs/>
        </w:rPr>
      </w:pPr>
    </w:p>
    <w:p w:rsidRPr="00E76ACE" w:rsidR="00E76ACE" w:rsidP="0052434F" w:rsidRDefault="00893292" w14:paraId="10608E4B" w14:textId="1310A6A9">
      <w:pPr>
        <w:widowControl w:val="0"/>
        <w:numPr>
          <w:ilvl w:val="0"/>
          <w:numId w:val="2"/>
        </w:numPr>
        <w:overflowPunct w:val="0"/>
        <w:autoSpaceDE w:val="0"/>
        <w:autoSpaceDN w:val="0"/>
        <w:adjustRightInd w:val="0"/>
        <w:ind w:hanging="567"/>
        <w:textAlignment w:val="baseline"/>
        <w:rPr>
          <w:sz w:val="20"/>
          <w:szCs w:val="20"/>
        </w:rPr>
      </w:pPr>
      <w:hyperlink w:history="1" r:id="rId23">
        <w:r w:rsidR="00E72EBF">
          <w:rPr>
            <w:b/>
            <w:i/>
            <w:color w:val="0000FF"/>
            <w:sz w:val="28"/>
            <w:u w:val="single"/>
          </w:rPr>
          <w:t>A referenciamutatók és az adatszolgáltatási követelmények javítása a pénzügyi szolgáltatások és a beruházástámogatás terén</w:t>
        </w:r>
      </w:hyperlink>
    </w:p>
    <w:p w:rsidRPr="00E76ACE" w:rsidR="00E76ACE" w:rsidP="0052434F" w:rsidRDefault="00E76ACE" w14:paraId="633F7F87" w14:textId="77777777">
      <w:pPr>
        <w:rPr>
          <w:b/>
        </w:rPr>
      </w:pPr>
    </w:p>
    <w:tbl>
      <w:tblPr>
        <w:tblStyle w:val="TableGrid199"/>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E76ACE" w:rsidR="00E76ACE" w:rsidTr="00B05454" w14:paraId="618851BF" w14:textId="77777777">
        <w:tc>
          <w:tcPr>
            <w:tcW w:w="1129" w:type="pct"/>
          </w:tcPr>
          <w:p w:rsidRPr="00E76ACE" w:rsidR="00E76ACE" w:rsidP="0052434F" w:rsidRDefault="00E76ACE" w14:paraId="160C454C" w14:textId="77777777">
            <w:pPr>
              <w:rPr>
                <w:b/>
              </w:rPr>
            </w:pPr>
            <w:r>
              <w:rPr>
                <w:b/>
              </w:rPr>
              <w:t>Előadó:</w:t>
            </w:r>
          </w:p>
        </w:tc>
        <w:tc>
          <w:tcPr>
            <w:tcW w:w="3871" w:type="pct"/>
          </w:tcPr>
          <w:p w:rsidRPr="00E76ACE" w:rsidR="00E76ACE" w:rsidP="0052434F" w:rsidRDefault="00E76ACE" w14:paraId="6FCB339F" w14:textId="00D67000">
            <w:proofErr w:type="spellStart"/>
            <w:r>
              <w:t>Krzysztof</w:t>
            </w:r>
            <w:proofErr w:type="spellEnd"/>
            <w:r>
              <w:t xml:space="preserve"> BALON (Civil társadalmi szervezetek/PL)</w:t>
            </w:r>
          </w:p>
        </w:tc>
      </w:tr>
      <w:tr w:rsidRPr="00E76ACE" w:rsidR="00E76ACE" w:rsidTr="00B05454" w14:paraId="4A807341" w14:textId="77777777">
        <w:tc>
          <w:tcPr>
            <w:tcW w:w="5000" w:type="pct"/>
            <w:gridSpan w:val="2"/>
          </w:tcPr>
          <w:p w:rsidRPr="00E76ACE" w:rsidR="00E76ACE" w:rsidP="0052434F" w:rsidRDefault="00E76ACE" w14:paraId="45B4F74F" w14:textId="77777777"/>
        </w:tc>
      </w:tr>
      <w:tr w:rsidRPr="00E76ACE" w:rsidR="00E76ACE" w:rsidTr="00B05454" w14:paraId="6F674771" w14:textId="77777777">
        <w:tc>
          <w:tcPr>
            <w:tcW w:w="1129" w:type="pct"/>
            <w:vMerge w:val="restart"/>
          </w:tcPr>
          <w:p w:rsidRPr="00E76ACE" w:rsidR="00E76ACE" w:rsidP="0052434F" w:rsidRDefault="00E76ACE" w14:paraId="3CD2717C" w14:textId="77777777">
            <w:pPr>
              <w:rPr>
                <w:b/>
              </w:rPr>
            </w:pPr>
            <w:r>
              <w:rPr>
                <w:b/>
              </w:rPr>
              <w:t>Hivatkozás:</w:t>
            </w:r>
          </w:p>
        </w:tc>
        <w:tc>
          <w:tcPr>
            <w:tcW w:w="3871" w:type="pct"/>
          </w:tcPr>
          <w:p w:rsidRPr="00E76ACE" w:rsidR="00E76ACE" w:rsidP="0052434F" w:rsidRDefault="00E76ACE" w14:paraId="705878F6" w14:textId="3D9351DE">
            <w:r>
              <w:t xml:space="preserve">COM(2023) 593 </w:t>
            </w:r>
            <w:proofErr w:type="spellStart"/>
            <w:r>
              <w:t>final</w:t>
            </w:r>
            <w:proofErr w:type="spellEnd"/>
            <w:r>
              <w:t xml:space="preserve"> </w:t>
            </w:r>
          </w:p>
          <w:p w:rsidRPr="00E76ACE" w:rsidR="00E76ACE" w:rsidP="0052434F" w:rsidRDefault="00E76ACE" w14:paraId="0D256A2F" w14:textId="57B88F62">
            <w:r>
              <w:t xml:space="preserve">COM(2023) 660 </w:t>
            </w:r>
            <w:proofErr w:type="spellStart"/>
            <w:r>
              <w:t>final</w:t>
            </w:r>
            <w:proofErr w:type="spellEnd"/>
            <w:r>
              <w:t xml:space="preserve"> </w:t>
            </w:r>
          </w:p>
        </w:tc>
      </w:tr>
      <w:tr w:rsidRPr="00E76ACE" w:rsidR="00E76ACE" w:rsidTr="00B05454" w14:paraId="2D4938C0" w14:textId="77777777">
        <w:tc>
          <w:tcPr>
            <w:tcW w:w="1129" w:type="pct"/>
            <w:vMerge/>
          </w:tcPr>
          <w:p w:rsidRPr="00E76ACE" w:rsidR="00E76ACE" w:rsidP="0052434F" w:rsidRDefault="00E76ACE" w14:paraId="682CA6FF" w14:textId="77777777">
            <w:pPr>
              <w:rPr>
                <w:b/>
              </w:rPr>
            </w:pPr>
          </w:p>
        </w:tc>
        <w:tc>
          <w:tcPr>
            <w:tcW w:w="3871" w:type="pct"/>
          </w:tcPr>
          <w:p w:rsidRPr="00E76ACE" w:rsidR="00E76ACE" w:rsidP="0052434F" w:rsidRDefault="00E76ACE" w14:paraId="140F62AD" w14:textId="77777777">
            <w:r>
              <w:t>EESC-2023-05424-00-00-AC</w:t>
            </w:r>
          </w:p>
        </w:tc>
      </w:tr>
    </w:tbl>
    <w:p w:rsidRPr="00E76ACE" w:rsidR="00E76ACE" w:rsidP="0052434F" w:rsidRDefault="00E76ACE" w14:paraId="6D12F68A" w14:textId="77777777">
      <w:pPr>
        <w:rPr>
          <w:b/>
        </w:rPr>
      </w:pPr>
      <w:r>
        <w:rPr>
          <w:b/>
        </w:rPr>
        <w:t>Főbb pontok</w:t>
      </w:r>
    </w:p>
    <w:p w:rsidRPr="00E76ACE" w:rsidR="00E76ACE" w:rsidP="0052434F" w:rsidRDefault="00E76ACE" w14:paraId="0B88EF57" w14:textId="77777777">
      <w:pPr>
        <w:rPr>
          <w:rFonts w:ascii="Calibri" w:hAnsi="Calibri"/>
          <w:lang w:eastAsia="zh-CN"/>
        </w:rPr>
      </w:pPr>
    </w:p>
    <w:p w:rsidRPr="00E76ACE" w:rsidR="00E76ACE" w:rsidP="0052434F" w:rsidRDefault="00E76ACE" w14:paraId="1F52A2F7" w14:textId="77777777">
      <w:r>
        <w:t>Az adatmegosztás, valamint a pénzügyi szolgáltatásokkal és a beruházástámogatással kapcsolatos adminisztratív követelmények csökkentése kapcsán az EGSZB:</w:t>
      </w:r>
    </w:p>
    <w:p w:rsidRPr="00E76ACE" w:rsidR="00E76ACE" w:rsidP="0052434F" w:rsidRDefault="00E76ACE" w14:paraId="4042A6B6" w14:textId="77777777">
      <w:pPr>
        <w:rPr>
          <w:szCs w:val="20"/>
        </w:rPr>
      </w:pPr>
    </w:p>
    <w:p w:rsidRPr="00E76ACE" w:rsidR="00E76ACE" w:rsidP="0052434F" w:rsidRDefault="00E76ACE" w14:paraId="58026ACF" w14:textId="77777777">
      <w:pPr>
        <w:pStyle w:val="ListParagraph"/>
        <w:numPr>
          <w:ilvl w:val="0"/>
          <w:numId w:val="34"/>
        </w:numPr>
        <w:ind w:left="426"/>
      </w:pPr>
      <w:r>
        <w:t xml:space="preserve">üdvözli a felügyeleti jelentéstételi követelmények észszerűsítésére és egyszerűsítésére, valamint a párhuzamos adatkérések elkerülésére irányuló kezdeményezést, </w:t>
      </w:r>
    </w:p>
    <w:p w:rsidRPr="00E76ACE" w:rsidR="00E76ACE" w:rsidP="0052434F" w:rsidRDefault="00E76ACE" w14:paraId="762863D4" w14:textId="77777777">
      <w:pPr>
        <w:pStyle w:val="ListParagraph"/>
        <w:numPr>
          <w:ilvl w:val="0"/>
          <w:numId w:val="34"/>
        </w:numPr>
        <w:ind w:left="426"/>
      </w:pPr>
      <w:r>
        <w:t xml:space="preserve">úgy véli, hogy egységesíteni kell a pénzügyi ágazatot felügyelő hatóságok közötti információcserében érintett adatok körét és formátumát, </w:t>
      </w:r>
    </w:p>
    <w:p w:rsidRPr="00E76ACE" w:rsidR="00E76ACE" w:rsidP="0052434F" w:rsidRDefault="00E76ACE" w14:paraId="1F63FC84" w14:textId="77777777">
      <w:pPr>
        <w:pStyle w:val="ListParagraph"/>
        <w:numPr>
          <w:ilvl w:val="0"/>
          <w:numId w:val="34"/>
        </w:numPr>
        <w:ind w:left="426"/>
      </w:pPr>
      <w:r>
        <w:t>megjegyzi, hogy a javasolt változtatások bizonyos végrehajtási és/vagy további szabványosítási költségekkel járhatnak. A költségek minimalizálására vonatkozó követelmény nem választható el az adatgyűjtés és az adatmegosztás egyéb célkitűzéseitől,</w:t>
      </w:r>
    </w:p>
    <w:p w:rsidRPr="00E76ACE" w:rsidR="00E76ACE" w:rsidP="0052434F" w:rsidRDefault="00E76ACE" w14:paraId="42EC964E" w14:textId="77777777">
      <w:pPr>
        <w:pStyle w:val="ListParagraph"/>
        <w:numPr>
          <w:ilvl w:val="0"/>
          <w:numId w:val="34"/>
        </w:numPr>
        <w:ind w:left="426"/>
      </w:pPr>
      <w:r>
        <w:t>úgy véli, hogy a jövőbeli kezdeményezéseknek elő kell írniuk, hogy az adatok valamely illetékes hatóság (vagy közös platform) részére történő továbbítását úgy kell kezelni, mint az összes többi illetékes hatóság részére történő adattovábbítást (egyablakos ügyintézés elve),</w:t>
      </w:r>
    </w:p>
    <w:p w:rsidRPr="00E76ACE" w:rsidR="00E76ACE" w:rsidP="0052434F" w:rsidRDefault="00E76ACE" w14:paraId="0831C626" w14:textId="77777777">
      <w:pPr>
        <w:pStyle w:val="ListParagraph"/>
        <w:numPr>
          <w:ilvl w:val="0"/>
          <w:numId w:val="34"/>
        </w:numPr>
        <w:ind w:left="426"/>
      </w:pPr>
      <w:r>
        <w:t>megjegyzi, hogy a hatóságok közötti adatmegosztás továbbra is önkéntes kérelem tárgyát képezné. E tekintetben a hatóságoknak egyetértési megállapodást kell kötniük (nem csak „köthetnek”) az információcsere módozatainak meghatározása céljából,</w:t>
      </w:r>
    </w:p>
    <w:p w:rsidRPr="00E76ACE" w:rsidR="00E76ACE" w:rsidP="0052434F" w:rsidRDefault="00E76ACE" w14:paraId="13DBA4C5" w14:textId="77777777">
      <w:pPr>
        <w:pStyle w:val="ListParagraph"/>
        <w:numPr>
          <w:ilvl w:val="0"/>
          <w:numId w:val="34"/>
        </w:numPr>
        <w:ind w:left="426"/>
      </w:pPr>
      <w:r>
        <w:t>hangsúlyozza, hogy az egyszerűsítés érdekében kötelezővé kell tenni a jelentéstételi követelmények rendszeres felülvizsgálatát.</w:t>
      </w:r>
    </w:p>
    <w:p w:rsidRPr="00E76ACE" w:rsidR="00E76ACE" w:rsidP="0052434F" w:rsidRDefault="00E76ACE" w14:paraId="6C4CE41E" w14:textId="77777777">
      <w:pPr>
        <w:ind w:left="426"/>
        <w:rPr>
          <w:szCs w:val="20"/>
        </w:rPr>
      </w:pPr>
    </w:p>
    <w:p w:rsidRPr="00E76ACE" w:rsidR="00E76ACE" w:rsidP="0052434F" w:rsidRDefault="00E76ACE" w14:paraId="5CD848D6" w14:textId="77777777">
      <w:r>
        <w:t>A referenciamutatókról szóló rendelet módosításaival kapcsolatban az EGSZB:</w:t>
      </w:r>
    </w:p>
    <w:p w:rsidRPr="00E76ACE" w:rsidR="00E76ACE" w:rsidP="0052434F" w:rsidRDefault="00E76ACE" w14:paraId="706F0FFB" w14:textId="77777777">
      <w:pPr>
        <w:rPr>
          <w:szCs w:val="20"/>
        </w:rPr>
      </w:pPr>
    </w:p>
    <w:p w:rsidRPr="00E76ACE" w:rsidR="00E76ACE" w:rsidP="0052434F" w:rsidRDefault="00E76ACE" w14:paraId="6FC51301" w14:textId="77777777">
      <w:pPr>
        <w:pStyle w:val="ListParagraph"/>
        <w:numPr>
          <w:ilvl w:val="0"/>
          <w:numId w:val="35"/>
        </w:numPr>
        <w:ind w:left="426"/>
      </w:pPr>
      <w:r>
        <w:t xml:space="preserve">üdvözli a pénzügyi stabilitás és az európai piacok integritásának megőrzését, valamint a költségek és a szabályozási követelmények – különösen a nem jelentős referenciamutatókra vonatkozó </w:t>
      </w:r>
      <w:r>
        <w:lastRenderedPageBreak/>
        <w:t xml:space="preserve">követelmények mérséklése révén történő – csökkentését célzó kiegyensúlyozottabb és arányosabb megközelítést, </w:t>
      </w:r>
    </w:p>
    <w:p w:rsidRPr="00E76ACE" w:rsidR="00E76ACE" w:rsidP="0052434F" w:rsidRDefault="00E76ACE" w14:paraId="512ABB98" w14:textId="77777777">
      <w:pPr>
        <w:pStyle w:val="ListParagraph"/>
        <w:numPr>
          <w:ilvl w:val="0"/>
          <w:numId w:val="35"/>
        </w:numPr>
        <w:ind w:left="426"/>
      </w:pPr>
      <w:r>
        <w:t>üdvözli, hogy tisztázták az Európai Bizottság, az Európai Értékpapírpiaci Hatóság (ESMA) és a nemzeti hatóságok jelentős és kritikus referenciamutatókra vonatkozó folyamatban betöltött szerepét,</w:t>
      </w:r>
    </w:p>
    <w:p w:rsidRPr="00E76ACE" w:rsidR="00E76ACE" w:rsidP="0052434F" w:rsidRDefault="00E76ACE" w14:paraId="39EE635D" w14:textId="77777777">
      <w:pPr>
        <w:pStyle w:val="ListParagraph"/>
        <w:numPr>
          <w:ilvl w:val="0"/>
          <w:numId w:val="35"/>
        </w:numPr>
        <w:ind w:left="426"/>
      </w:pPr>
      <w:r>
        <w:t>erősen ajánlja annak ellenőrzését, hogy van-e lehetőség olyan kezdeményezésre, amely a kritikus vagy jelentős referenciamutatók esetében a jelentéstételi követelmények minimalizálására vagy a költségek csökkentésére irányul.</w:t>
      </w:r>
    </w:p>
    <w:p w:rsidRPr="00E76ACE" w:rsidR="00E76ACE" w:rsidP="0052434F" w:rsidRDefault="00E76ACE" w14:paraId="0966C473" w14:textId="77777777">
      <w:pPr>
        <w:ind w:left="426"/>
        <w:rPr>
          <w:szCs w:val="20"/>
        </w:rPr>
      </w:pPr>
    </w:p>
    <w:p w:rsidRPr="00E76ACE" w:rsidR="00E76ACE" w:rsidP="0052434F" w:rsidRDefault="00E76ACE" w14:paraId="468B2533" w14:textId="77777777">
      <w:pPr>
        <w:rPr>
          <w:rFonts w:ascii="Calibri" w:hAnsi="Calibri"/>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E76ACE" w:rsidR="00E76ACE" w:rsidTr="00B05454" w14:paraId="5AC2D924" w14:textId="77777777">
        <w:tc>
          <w:tcPr>
            <w:tcW w:w="1556" w:type="pct"/>
          </w:tcPr>
          <w:p w:rsidRPr="00E76ACE" w:rsidR="00E76ACE" w:rsidP="0052434F" w:rsidRDefault="00E76ACE" w14:paraId="631F02EC" w14:textId="77777777">
            <w:pPr>
              <w:rPr>
                <w:i/>
              </w:rPr>
            </w:pPr>
            <w:r>
              <w:rPr>
                <w:b/>
                <w:i/>
              </w:rPr>
              <w:t>Kapcsolattartó:</w:t>
            </w:r>
          </w:p>
        </w:tc>
        <w:tc>
          <w:tcPr>
            <w:tcW w:w="3444" w:type="pct"/>
          </w:tcPr>
          <w:p w:rsidRPr="00E76ACE" w:rsidR="00E76ACE" w:rsidP="0052434F" w:rsidRDefault="00E76ACE" w14:paraId="37BFF911" w14:textId="26B6403B">
            <w:pPr>
              <w:rPr>
                <w:i/>
              </w:rPr>
            </w:pPr>
            <w:r>
              <w:rPr>
                <w:i/>
              </w:rPr>
              <w:t xml:space="preserve">Sergio </w:t>
            </w:r>
            <w:proofErr w:type="spellStart"/>
            <w:r>
              <w:rPr>
                <w:i/>
              </w:rPr>
              <w:t>Lorencio</w:t>
            </w:r>
            <w:proofErr w:type="spellEnd"/>
            <w:r>
              <w:rPr>
                <w:i/>
              </w:rPr>
              <w:t xml:space="preserve"> </w:t>
            </w:r>
            <w:proofErr w:type="spellStart"/>
            <w:r>
              <w:rPr>
                <w:i/>
              </w:rPr>
              <w:t>Matallana</w:t>
            </w:r>
            <w:proofErr w:type="spellEnd"/>
          </w:p>
        </w:tc>
      </w:tr>
      <w:tr w:rsidRPr="00E76ACE" w:rsidR="00E76ACE" w:rsidTr="00B05454" w14:paraId="38EECD9C" w14:textId="77777777">
        <w:tc>
          <w:tcPr>
            <w:tcW w:w="1556" w:type="pct"/>
          </w:tcPr>
          <w:p w:rsidRPr="00E76ACE" w:rsidR="00E76ACE" w:rsidP="0052434F" w:rsidRDefault="00E76ACE" w14:paraId="00111D5D" w14:textId="77777777">
            <w:pPr>
              <w:rPr>
                <w:i/>
              </w:rPr>
            </w:pPr>
            <w:r>
              <w:rPr>
                <w:i/>
              </w:rPr>
              <w:t>Tel.:</w:t>
            </w:r>
          </w:p>
        </w:tc>
        <w:tc>
          <w:tcPr>
            <w:tcW w:w="3444" w:type="pct"/>
          </w:tcPr>
          <w:p w:rsidRPr="00E76ACE" w:rsidR="00E76ACE" w:rsidP="0052434F" w:rsidRDefault="00E76ACE" w14:paraId="2BA01FC0" w14:textId="77777777">
            <w:pPr>
              <w:rPr>
                <w:i/>
              </w:rPr>
            </w:pPr>
            <w:r>
              <w:rPr>
                <w:i/>
              </w:rPr>
              <w:t>+32 25469240</w:t>
            </w:r>
          </w:p>
        </w:tc>
      </w:tr>
      <w:tr w:rsidRPr="00E76ACE" w:rsidR="00E76ACE" w:rsidTr="00B05454" w14:paraId="34EA2FE0" w14:textId="77777777">
        <w:tc>
          <w:tcPr>
            <w:tcW w:w="1556" w:type="pct"/>
          </w:tcPr>
          <w:p w:rsidRPr="00E76ACE" w:rsidR="00E76ACE" w:rsidP="0052434F" w:rsidRDefault="00E76ACE" w14:paraId="3C52BE60" w14:textId="77777777">
            <w:pPr>
              <w:rPr>
                <w:i/>
              </w:rPr>
            </w:pPr>
            <w:r>
              <w:rPr>
                <w:i/>
              </w:rPr>
              <w:t>E-mail-cím:</w:t>
            </w:r>
          </w:p>
        </w:tc>
        <w:tc>
          <w:tcPr>
            <w:tcW w:w="3444" w:type="pct"/>
          </w:tcPr>
          <w:p w:rsidRPr="00E76ACE" w:rsidR="00E76ACE" w:rsidP="0052434F" w:rsidRDefault="00893292" w14:paraId="4D5E4782" w14:textId="77777777">
            <w:pPr>
              <w:rPr>
                <w:i/>
              </w:rPr>
            </w:pPr>
            <w:hyperlink w:history="1" r:id="rId24">
              <w:r w:rsidR="00E72EBF">
                <w:rPr>
                  <w:i/>
                  <w:color w:val="0000FF"/>
                  <w:u w:val="single"/>
                </w:rPr>
                <w:t>Sergio.LorencioMatallana@eesc.europa.eu</w:t>
              </w:r>
            </w:hyperlink>
          </w:p>
        </w:tc>
      </w:tr>
    </w:tbl>
    <w:p w:rsidR="00E76ACE" w:rsidP="0052434F" w:rsidRDefault="00E76ACE" w14:paraId="610C8E26" w14:textId="77777777">
      <w:pPr>
        <w:rPr>
          <w:b/>
          <w:bCs/>
        </w:rPr>
      </w:pPr>
    </w:p>
    <w:p w:rsidR="00E76ACE" w:rsidP="0052434F" w:rsidRDefault="00E76ACE" w14:paraId="1F90D670" w14:textId="77777777">
      <w:pPr>
        <w:rPr>
          <w:b/>
          <w:bCs/>
        </w:rPr>
      </w:pPr>
      <w:r>
        <w:br w:type="page"/>
      </w:r>
    </w:p>
    <w:p w:rsidR="006C6A1E" w:rsidP="00234EA0" w:rsidRDefault="006C6A1E" w14:paraId="55E56154" w14:textId="2549BDD3">
      <w:pPr>
        <w:pStyle w:val="Heading1"/>
        <w:ind w:hanging="928"/>
        <w:rPr>
          <w:b/>
          <w:bCs/>
        </w:rPr>
      </w:pPr>
      <w:bookmarkStart w:name="_Toc150179063" w:id="13"/>
      <w:bookmarkStart w:name="_Toc153539680" w:id="14"/>
      <w:bookmarkStart w:name="_Toc160785865" w:id="15"/>
      <w:bookmarkEnd w:id="13"/>
      <w:r>
        <w:rPr>
          <w:b/>
        </w:rPr>
        <w:lastRenderedPageBreak/>
        <w:t>FOGLALKOZTATÁS- ÉS SZOCIÁLPOLITIKA, UNIÓS POLGÁRSÁG</w:t>
      </w:r>
      <w:bookmarkEnd w:id="15"/>
    </w:p>
    <w:p w:rsidR="006C6A1E" w:rsidP="006C6A1E" w:rsidRDefault="006C6A1E" w14:paraId="190420D2" w14:textId="4E6BD19C"/>
    <w:p w:rsidRPr="006C6A1E" w:rsidR="006C6A1E" w:rsidP="006C6A1E" w:rsidRDefault="00893292" w14:paraId="7AA2DF65" w14:textId="5E6190D2">
      <w:pPr>
        <w:widowControl w:val="0"/>
        <w:numPr>
          <w:ilvl w:val="0"/>
          <w:numId w:val="2"/>
        </w:numPr>
        <w:overflowPunct w:val="0"/>
        <w:autoSpaceDE w:val="0"/>
        <w:autoSpaceDN w:val="0"/>
        <w:adjustRightInd w:val="0"/>
        <w:ind w:hanging="567"/>
        <w:textAlignment w:val="baseline"/>
        <w:rPr>
          <w:sz w:val="20"/>
          <w:szCs w:val="20"/>
        </w:rPr>
      </w:pPr>
      <w:hyperlink w:history="1" r:id="rId25">
        <w:r w:rsidR="00E72EBF">
          <w:rPr>
            <w:b/>
            <w:i/>
            <w:color w:val="0000FF"/>
            <w:sz w:val="28"/>
            <w:u w:val="single"/>
          </w:rPr>
          <w:t>Digitalizáció a szociális biztonság terén</w:t>
        </w:r>
      </w:hyperlink>
    </w:p>
    <w:p w:rsidRPr="006C6A1E" w:rsidR="006C6A1E" w:rsidP="006C6A1E" w:rsidRDefault="006C6A1E" w14:paraId="55612D29" w14:textId="77777777">
      <w:pPr>
        <w:tabs>
          <w:tab w:val="center" w:pos="284"/>
        </w:tabs>
        <w:overflowPunct w:val="0"/>
        <w:autoSpaceDE w:val="0"/>
        <w:autoSpaceDN w:val="0"/>
        <w:adjustRightInd w:val="0"/>
        <w:ind w:left="266" w:hanging="266"/>
        <w:textAlignment w:val="baseline"/>
        <w:rPr>
          <w:b/>
        </w:rPr>
      </w:pPr>
    </w:p>
    <w:tbl>
      <w:tblPr>
        <w:tblStyle w:val="TableGrid203"/>
        <w:tblW w:w="4503"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7"/>
        <w:gridCol w:w="6477"/>
      </w:tblGrid>
      <w:tr w:rsidRPr="006C6A1E" w:rsidR="006C6A1E" w:rsidTr="00CC4510" w14:paraId="1E5744BE" w14:textId="77777777">
        <w:trPr>
          <w:trHeight w:val="564"/>
        </w:trPr>
        <w:tc>
          <w:tcPr>
            <w:tcW w:w="1128" w:type="pct"/>
          </w:tcPr>
          <w:p w:rsidRPr="006C6A1E" w:rsidR="006C6A1E" w:rsidP="006C6A1E" w:rsidRDefault="006C6A1E" w14:paraId="0C0E6752" w14:textId="77777777">
            <w:pPr>
              <w:tabs>
                <w:tab w:val="center" w:pos="284"/>
              </w:tabs>
              <w:overflowPunct w:val="0"/>
              <w:autoSpaceDE w:val="0"/>
              <w:autoSpaceDN w:val="0"/>
              <w:adjustRightInd w:val="0"/>
              <w:ind w:left="266" w:hanging="266"/>
              <w:textAlignment w:val="baseline"/>
              <w:rPr>
                <w:b/>
              </w:rPr>
            </w:pPr>
            <w:r>
              <w:rPr>
                <w:b/>
              </w:rPr>
              <w:t>Előadó:</w:t>
            </w:r>
          </w:p>
        </w:tc>
        <w:tc>
          <w:tcPr>
            <w:tcW w:w="3872" w:type="pct"/>
          </w:tcPr>
          <w:p w:rsidRPr="006C6A1E" w:rsidR="006C6A1E" w:rsidP="006C6A1E" w:rsidRDefault="006C6A1E" w14:paraId="1F9E7E12" w14:textId="5FFDA98B">
            <w:pPr>
              <w:tabs>
                <w:tab w:val="center" w:pos="284"/>
              </w:tabs>
              <w:overflowPunct w:val="0"/>
              <w:autoSpaceDE w:val="0"/>
              <w:autoSpaceDN w:val="0"/>
              <w:adjustRightInd w:val="0"/>
              <w:ind w:left="266" w:hanging="266"/>
              <w:textAlignment w:val="baseline"/>
            </w:pPr>
            <w:proofErr w:type="spellStart"/>
            <w:r>
              <w:t>Krzysztof</w:t>
            </w:r>
            <w:proofErr w:type="spellEnd"/>
            <w:r>
              <w:t xml:space="preserve"> BALON (Civil társadalmi szervezetek/PL)</w:t>
            </w:r>
          </w:p>
        </w:tc>
      </w:tr>
      <w:tr w:rsidRPr="006C6A1E" w:rsidR="006C6A1E" w:rsidTr="00CC4510" w14:paraId="3FEF9A97" w14:textId="77777777">
        <w:trPr>
          <w:trHeight w:val="294"/>
        </w:trPr>
        <w:tc>
          <w:tcPr>
            <w:tcW w:w="1128" w:type="pct"/>
          </w:tcPr>
          <w:p w:rsidRPr="006C6A1E" w:rsidR="006C6A1E" w:rsidP="006C6A1E" w:rsidRDefault="006C6A1E" w14:paraId="14F4FC73" w14:textId="77777777">
            <w:pPr>
              <w:tabs>
                <w:tab w:val="center" w:pos="284"/>
              </w:tabs>
              <w:overflowPunct w:val="0"/>
              <w:autoSpaceDE w:val="0"/>
              <w:autoSpaceDN w:val="0"/>
              <w:adjustRightInd w:val="0"/>
              <w:ind w:left="266" w:hanging="266"/>
              <w:textAlignment w:val="baseline"/>
              <w:rPr>
                <w:b/>
              </w:rPr>
            </w:pPr>
            <w:r>
              <w:rPr>
                <w:b/>
              </w:rPr>
              <w:t>Társelőadó:</w:t>
            </w:r>
          </w:p>
        </w:tc>
        <w:tc>
          <w:tcPr>
            <w:tcW w:w="3872" w:type="pct"/>
          </w:tcPr>
          <w:p w:rsidRPr="006C6A1E" w:rsidR="006C6A1E" w:rsidP="006C6A1E" w:rsidRDefault="006C6A1E" w14:paraId="15858FF0" w14:textId="215E30DC">
            <w:pPr>
              <w:tabs>
                <w:tab w:val="center" w:pos="284"/>
              </w:tabs>
              <w:overflowPunct w:val="0"/>
              <w:autoSpaceDE w:val="0"/>
              <w:autoSpaceDN w:val="0"/>
              <w:adjustRightInd w:val="0"/>
              <w:ind w:left="266" w:hanging="266"/>
              <w:textAlignment w:val="baseline"/>
            </w:pPr>
            <w:r>
              <w:t xml:space="preserve">Maria </w:t>
            </w:r>
            <w:proofErr w:type="spellStart"/>
            <w:r>
              <w:t>del</w:t>
            </w:r>
            <w:proofErr w:type="spellEnd"/>
            <w:r>
              <w:t xml:space="preserve"> Carmen BARRERA CHAMORRO (Munkavállalók/ES)</w:t>
            </w:r>
          </w:p>
        </w:tc>
      </w:tr>
      <w:tr w:rsidRPr="006C6A1E" w:rsidR="006C6A1E" w:rsidTr="00CC4510" w14:paraId="3AECE3D5" w14:textId="77777777">
        <w:trPr>
          <w:trHeight w:val="153"/>
        </w:trPr>
        <w:tc>
          <w:tcPr>
            <w:tcW w:w="5000" w:type="pct"/>
            <w:gridSpan w:val="2"/>
          </w:tcPr>
          <w:p w:rsidRPr="006C6A1E" w:rsidR="006C6A1E" w:rsidP="006C6A1E" w:rsidRDefault="006C6A1E" w14:paraId="660A79BB" w14:textId="77777777">
            <w:pPr>
              <w:tabs>
                <w:tab w:val="center" w:pos="284"/>
              </w:tabs>
              <w:overflowPunct w:val="0"/>
              <w:autoSpaceDE w:val="0"/>
              <w:autoSpaceDN w:val="0"/>
              <w:adjustRightInd w:val="0"/>
              <w:spacing w:line="160" w:lineRule="exact"/>
              <w:ind w:left="266" w:hanging="266"/>
              <w:textAlignment w:val="baseline"/>
            </w:pPr>
          </w:p>
        </w:tc>
      </w:tr>
      <w:tr w:rsidRPr="006C6A1E" w:rsidR="006C6A1E" w:rsidTr="00CC4510" w14:paraId="4552C784" w14:textId="77777777">
        <w:trPr>
          <w:trHeight w:val="282"/>
        </w:trPr>
        <w:tc>
          <w:tcPr>
            <w:tcW w:w="1128" w:type="pct"/>
          </w:tcPr>
          <w:p w:rsidRPr="006C6A1E" w:rsidR="006C6A1E" w:rsidP="006C6A1E" w:rsidRDefault="006C6A1E" w14:paraId="2CED479C" w14:textId="77777777">
            <w:pPr>
              <w:tabs>
                <w:tab w:val="center" w:pos="284"/>
              </w:tabs>
              <w:overflowPunct w:val="0"/>
              <w:autoSpaceDE w:val="0"/>
              <w:autoSpaceDN w:val="0"/>
              <w:adjustRightInd w:val="0"/>
              <w:ind w:left="266" w:hanging="266"/>
              <w:textAlignment w:val="baseline"/>
              <w:rPr>
                <w:b/>
              </w:rPr>
            </w:pPr>
            <w:r>
              <w:rPr>
                <w:b/>
              </w:rPr>
              <w:t>Hivatkozás:</w:t>
            </w:r>
          </w:p>
        </w:tc>
        <w:tc>
          <w:tcPr>
            <w:tcW w:w="3872" w:type="pct"/>
          </w:tcPr>
          <w:p w:rsidRPr="006C6A1E" w:rsidR="006C6A1E" w:rsidP="006C6A1E" w:rsidRDefault="006C6A1E" w14:paraId="25E0EE5C" w14:textId="77777777">
            <w:pPr>
              <w:tabs>
                <w:tab w:val="center" w:pos="284"/>
              </w:tabs>
              <w:overflowPunct w:val="0"/>
              <w:autoSpaceDE w:val="0"/>
              <w:autoSpaceDN w:val="0"/>
              <w:adjustRightInd w:val="0"/>
              <w:ind w:left="266" w:hanging="266"/>
              <w:textAlignment w:val="baseline"/>
            </w:pPr>
            <w:r>
              <w:t xml:space="preserve">COM(2023) 501 </w:t>
            </w:r>
            <w:proofErr w:type="spellStart"/>
            <w:r>
              <w:t>final</w:t>
            </w:r>
            <w:proofErr w:type="spellEnd"/>
          </w:p>
          <w:p w:rsidRPr="006C6A1E" w:rsidR="006C6A1E" w:rsidP="006C6A1E" w:rsidRDefault="006C6A1E" w14:paraId="41250C39" w14:textId="77777777">
            <w:pPr>
              <w:tabs>
                <w:tab w:val="center" w:pos="284"/>
              </w:tabs>
              <w:overflowPunct w:val="0"/>
              <w:autoSpaceDE w:val="0"/>
              <w:autoSpaceDN w:val="0"/>
              <w:adjustRightInd w:val="0"/>
              <w:ind w:left="266" w:hanging="266"/>
              <w:textAlignment w:val="baseline"/>
            </w:pPr>
            <w:r>
              <w:t>EESC-2023-03875-00-00-AC</w:t>
            </w:r>
          </w:p>
        </w:tc>
      </w:tr>
    </w:tbl>
    <w:p w:rsidRPr="006C6A1E" w:rsidR="006C6A1E" w:rsidP="006C6A1E" w:rsidRDefault="006C6A1E" w14:paraId="13BCE082" w14:textId="77777777">
      <w:pPr>
        <w:tabs>
          <w:tab w:val="center" w:pos="284"/>
        </w:tabs>
        <w:overflowPunct w:val="0"/>
        <w:autoSpaceDE w:val="0"/>
        <w:autoSpaceDN w:val="0"/>
        <w:adjustRightInd w:val="0"/>
        <w:ind w:left="266" w:hanging="266"/>
        <w:textAlignment w:val="baseline"/>
      </w:pPr>
    </w:p>
    <w:p w:rsidRPr="006C6A1E" w:rsidR="006C6A1E" w:rsidP="006C6A1E" w:rsidRDefault="006C6A1E" w14:paraId="4FFD8EA0"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6C6A1E" w:rsidR="006C6A1E" w:rsidP="006C6A1E" w:rsidRDefault="006C6A1E" w14:paraId="4D558131" w14:textId="77777777">
      <w:pPr>
        <w:keepNext/>
        <w:keepLines/>
        <w:tabs>
          <w:tab w:val="center" w:pos="284"/>
        </w:tabs>
        <w:overflowPunct w:val="0"/>
        <w:autoSpaceDE w:val="0"/>
        <w:autoSpaceDN w:val="0"/>
        <w:adjustRightInd w:val="0"/>
        <w:ind w:left="266" w:hanging="266"/>
        <w:textAlignment w:val="baseline"/>
        <w:rPr>
          <w:b/>
        </w:rPr>
      </w:pPr>
    </w:p>
    <w:p w:rsidRPr="006C6A1E" w:rsidR="006C6A1E" w:rsidP="006C6A1E" w:rsidRDefault="006C6A1E" w14:paraId="644A124F" w14:textId="77777777">
      <w:pPr>
        <w:overflowPunct w:val="0"/>
        <w:autoSpaceDE w:val="0"/>
        <w:autoSpaceDN w:val="0"/>
        <w:adjustRightInd w:val="0"/>
        <w:textAlignment w:val="baseline"/>
        <w:rPr>
          <w:bCs/>
          <w:iCs/>
        </w:rPr>
      </w:pPr>
      <w:r>
        <w:t>Az EGSZB:</w:t>
      </w:r>
    </w:p>
    <w:p w:rsidRPr="006C6A1E" w:rsidR="006C6A1E" w:rsidP="006C6A1E" w:rsidRDefault="006C6A1E" w14:paraId="08AD54EB" w14:textId="77777777">
      <w:pPr>
        <w:overflowPunct w:val="0"/>
        <w:autoSpaceDE w:val="0"/>
        <w:autoSpaceDN w:val="0"/>
        <w:adjustRightInd w:val="0"/>
        <w:textAlignment w:val="baseline"/>
        <w:rPr>
          <w:bCs/>
          <w:iCs/>
        </w:rPr>
      </w:pPr>
    </w:p>
    <w:p w:rsidRPr="006C6A1E" w:rsidR="006C6A1E" w:rsidP="00CC4510" w:rsidRDefault="006C6A1E" w14:paraId="7C9F6447"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 xml:space="preserve">elismeri a szociális biztonsági rendszerek határokon átnyúló koordinációjával kapcsolatos kihívásokat, például a bürokratikus eljárások összetettségét, a manuális eljárásokat, bizonyos dokumentumok fizikai formájának szükségességét, valamint ellenőrzésük vagy </w:t>
      </w:r>
      <w:proofErr w:type="spellStart"/>
      <w:r>
        <w:t>validálásuk</w:t>
      </w:r>
      <w:proofErr w:type="spellEnd"/>
      <w:r>
        <w:t xml:space="preserve"> nehézségeit, amelyek akadályozzák a polgárok és a vállalkozások szabad mozgását,</w:t>
      </w:r>
    </w:p>
    <w:p w:rsidRPr="006C6A1E" w:rsidR="006C6A1E" w:rsidP="00CC4510" w:rsidRDefault="006C6A1E" w14:paraId="09D6FEBE"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üdvözli és teljes mértékben támogatja az Európai Bizottság azon célkitűzését, hogy a digitalizáció révén egyszerűsítse a határokon átnyúló szociális biztonság és egészségügyi ellátás koordinációját,</w:t>
      </w:r>
    </w:p>
    <w:p w:rsidRPr="006C6A1E" w:rsidR="006C6A1E" w:rsidP="00CC4510" w:rsidRDefault="006C6A1E" w14:paraId="17F777BF"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átfogó cselekvési terv azonnali kidolgozását sürgeti a szociális biztonsági rendszerek koordinációjának alulról felfelé építkező megközelítéssel történő digitalizálása érdekében, hangsúlyozva ugyanakkor azt, hogy fontos a szociális biztonsági intézmények és érdekelt felek – többek között a polgárok, a munkáltatók, a vállalatok és a szociális gazdasági szervezetek – igényeinek figyelembevétele,</w:t>
      </w:r>
    </w:p>
    <w:p w:rsidRPr="006C6A1E" w:rsidR="006C6A1E" w:rsidP="00CC4510" w:rsidRDefault="006C6A1E" w14:paraId="0BB9A11F" w14:textId="77777777">
      <w:pPr>
        <w:widowControl w:val="0"/>
        <w:numPr>
          <w:ilvl w:val="0"/>
          <w:numId w:val="21"/>
        </w:numPr>
        <w:overflowPunct w:val="0"/>
        <w:autoSpaceDE w:val="0"/>
        <w:autoSpaceDN w:val="0"/>
        <w:adjustRightInd w:val="0"/>
        <w:spacing w:line="276" w:lineRule="auto"/>
        <w:ind w:left="284" w:hanging="284"/>
        <w:textAlignment w:val="baseline"/>
      </w:pPr>
      <w:r>
        <w:t>sürgeti, hogy biztosítsanak alternatív megoldásokat azok számára, akik nem képesek elektronikus eszközöket használni, vagy akik más módon digitálisan ki vannak rekesztve. Az EGSZB hangsúlyozza, hogy a digitális azonosításnak választási lehetőségnek, nem pedig követelménynek kellene lennie mindaddig, amíg olyan megfelelő alternatívákat nem hoznak létre, amelyek tiszteletben tartják a vonatkozó adatvédelmi normákat,</w:t>
      </w:r>
    </w:p>
    <w:p w:rsidRPr="006C6A1E" w:rsidR="006C6A1E" w:rsidP="00CC4510" w:rsidRDefault="006C6A1E" w14:paraId="6B66E7B8" w14:textId="77777777">
      <w:pPr>
        <w:widowControl w:val="0"/>
        <w:numPr>
          <w:ilvl w:val="0"/>
          <w:numId w:val="21"/>
        </w:numPr>
        <w:overflowPunct w:val="0"/>
        <w:autoSpaceDE w:val="0"/>
        <w:autoSpaceDN w:val="0"/>
        <w:adjustRightInd w:val="0"/>
        <w:spacing w:line="276" w:lineRule="auto"/>
        <w:ind w:left="284" w:hanging="284"/>
        <w:textAlignment w:val="baseline"/>
      </w:pPr>
      <w:r>
        <w:t>úgy véli, hogy a szociális biztonsági rendszerek koordinálásáról szóló 883/2004/EK rendelet reformjának véglegesítéséig nem tudjuk elérni azokat a céljainkat, amelyek a szabad mozgás akadályainak kizárólag a szociális biztonság digitalizálásával történő felszámolására irányulnak,</w:t>
      </w:r>
    </w:p>
    <w:p w:rsidRPr="006C6A1E" w:rsidR="006C6A1E" w:rsidP="00CC4510" w:rsidRDefault="006C6A1E" w14:paraId="65D4664B" w14:textId="77777777">
      <w:pPr>
        <w:widowControl w:val="0"/>
        <w:numPr>
          <w:ilvl w:val="0"/>
          <w:numId w:val="21"/>
        </w:numPr>
        <w:overflowPunct w:val="0"/>
        <w:autoSpaceDE w:val="0"/>
        <w:autoSpaceDN w:val="0"/>
        <w:adjustRightInd w:val="0"/>
        <w:spacing w:line="276" w:lineRule="auto"/>
        <w:ind w:left="284" w:hanging="284"/>
        <w:textAlignment w:val="baseline"/>
      </w:pPr>
      <w:r>
        <w:t>javasolja a szociális biztonsági rendszerek koordinációjának digitalizációjával kapcsolatos bevált gyakorlatok folyamatos cseréjét a tagállamok között. Ennek ösztönzése és előmozdítása érdekében az EGSZB azt ajánlja, hogy az Európai Bizottság és az Európai Munkaügyi Hatóság szervezzen konferenciát, amelyen a tagállamok kormányai és a civil társadalom is részt vesz.</w:t>
      </w:r>
    </w:p>
    <w:p w:rsidRPr="006C6A1E" w:rsidR="006C6A1E" w:rsidP="006C6A1E" w:rsidRDefault="006C6A1E" w14:paraId="648300B2" w14:textId="77777777">
      <w:pPr>
        <w:widowControl w:val="0"/>
        <w:overflowPunct w:val="0"/>
        <w:autoSpaceDE w:val="0"/>
        <w:autoSpaceDN w:val="0"/>
        <w:adjustRightInd w:val="0"/>
        <w:ind w:left="709"/>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C6A1E" w:rsidR="006C6A1E" w:rsidTr="00B05454" w14:paraId="4E6E4B82" w14:textId="77777777">
        <w:tc>
          <w:tcPr>
            <w:tcW w:w="1556" w:type="pct"/>
          </w:tcPr>
          <w:p w:rsidRPr="006C6A1E" w:rsidR="006C6A1E" w:rsidP="006C6A1E" w:rsidRDefault="006C6A1E" w14:paraId="10BE9558"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6C6A1E" w:rsidR="006C6A1E" w:rsidP="006C6A1E" w:rsidRDefault="006C6A1E" w14:paraId="7A73FAED" w14:textId="77777777">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6C6A1E" w:rsidR="006C6A1E" w:rsidTr="00B05454" w14:paraId="62915FF2" w14:textId="77777777">
        <w:tc>
          <w:tcPr>
            <w:tcW w:w="1556" w:type="pct"/>
          </w:tcPr>
          <w:p w:rsidRPr="006C6A1E" w:rsidR="006C6A1E" w:rsidP="006C6A1E" w:rsidRDefault="006C6A1E" w14:paraId="7853AC57" w14:textId="77777777">
            <w:pPr>
              <w:overflowPunct w:val="0"/>
              <w:autoSpaceDE w:val="0"/>
              <w:autoSpaceDN w:val="0"/>
              <w:adjustRightInd w:val="0"/>
              <w:spacing w:line="240" w:lineRule="auto"/>
              <w:textAlignment w:val="baseline"/>
              <w:rPr>
                <w:i/>
              </w:rPr>
            </w:pPr>
            <w:r>
              <w:rPr>
                <w:i/>
              </w:rPr>
              <w:t>Tel.:</w:t>
            </w:r>
          </w:p>
        </w:tc>
        <w:tc>
          <w:tcPr>
            <w:tcW w:w="3444" w:type="pct"/>
          </w:tcPr>
          <w:p w:rsidRPr="006C6A1E" w:rsidR="006C6A1E" w:rsidP="006C6A1E" w:rsidRDefault="006C6A1E" w14:paraId="3D0777F2" w14:textId="77777777">
            <w:pPr>
              <w:overflowPunct w:val="0"/>
              <w:autoSpaceDE w:val="0"/>
              <w:autoSpaceDN w:val="0"/>
              <w:adjustRightInd w:val="0"/>
              <w:spacing w:line="240" w:lineRule="auto"/>
              <w:textAlignment w:val="baseline"/>
              <w:rPr>
                <w:i/>
              </w:rPr>
            </w:pPr>
            <w:r>
              <w:rPr>
                <w:i/>
              </w:rPr>
              <w:t>+32 25469229</w:t>
            </w:r>
          </w:p>
        </w:tc>
      </w:tr>
      <w:tr w:rsidRPr="006C6A1E" w:rsidR="006C6A1E" w:rsidTr="00B05454" w14:paraId="400BD2E9" w14:textId="77777777">
        <w:tc>
          <w:tcPr>
            <w:tcW w:w="1556" w:type="pct"/>
          </w:tcPr>
          <w:p w:rsidRPr="006C6A1E" w:rsidR="006C6A1E" w:rsidP="006C6A1E" w:rsidRDefault="006C6A1E" w14:paraId="7E1AA95E" w14:textId="77777777">
            <w:pPr>
              <w:overflowPunct w:val="0"/>
              <w:autoSpaceDE w:val="0"/>
              <w:autoSpaceDN w:val="0"/>
              <w:adjustRightInd w:val="0"/>
              <w:spacing w:line="240" w:lineRule="auto"/>
              <w:textAlignment w:val="baseline"/>
              <w:rPr>
                <w:i/>
              </w:rPr>
            </w:pPr>
            <w:r>
              <w:rPr>
                <w:i/>
              </w:rPr>
              <w:t>E-mail-cím:</w:t>
            </w:r>
          </w:p>
        </w:tc>
        <w:tc>
          <w:tcPr>
            <w:tcW w:w="3444" w:type="pct"/>
          </w:tcPr>
          <w:p w:rsidRPr="006C6A1E" w:rsidR="006C6A1E" w:rsidP="006C6A1E" w:rsidRDefault="00893292" w14:paraId="5FE06EE9" w14:textId="77777777">
            <w:pPr>
              <w:overflowPunct w:val="0"/>
              <w:autoSpaceDE w:val="0"/>
              <w:autoSpaceDN w:val="0"/>
              <w:adjustRightInd w:val="0"/>
              <w:spacing w:line="240" w:lineRule="auto"/>
              <w:textAlignment w:val="baseline"/>
              <w:rPr>
                <w:i/>
              </w:rPr>
            </w:pPr>
            <w:hyperlink w:history="1" r:id="rId26">
              <w:r w:rsidR="00E72EBF">
                <w:rPr>
                  <w:i/>
                  <w:color w:val="0000FF"/>
                  <w:u w:val="single"/>
                </w:rPr>
                <w:t>Bartek.Bednarowicz@eesc.europa.eu</w:t>
              </w:r>
            </w:hyperlink>
          </w:p>
        </w:tc>
      </w:tr>
    </w:tbl>
    <w:p w:rsidR="006C6A1E" w:rsidP="006C6A1E" w:rsidRDefault="006C6A1E" w14:paraId="195525CA" w14:textId="777AE21F"/>
    <w:p w:rsidR="00280432" w:rsidRDefault="00280432" w14:paraId="1109D69A" w14:textId="77777777">
      <w:pPr>
        <w:spacing w:after="160" w:line="259" w:lineRule="auto"/>
        <w:jc w:val="left"/>
      </w:pPr>
      <w:r>
        <w:br w:type="page"/>
      </w:r>
    </w:p>
    <w:p w:rsidRPr="00EE6FEF" w:rsidR="00EE6FEF" w:rsidP="00EE6FEF" w:rsidRDefault="00893292" w14:paraId="233F82BA" w14:textId="358528F6">
      <w:pPr>
        <w:widowControl w:val="0"/>
        <w:numPr>
          <w:ilvl w:val="0"/>
          <w:numId w:val="29"/>
        </w:numPr>
        <w:overflowPunct w:val="0"/>
        <w:autoSpaceDE w:val="0"/>
        <w:autoSpaceDN w:val="0"/>
        <w:adjustRightInd w:val="0"/>
        <w:ind w:hanging="567"/>
        <w:textAlignment w:val="baseline"/>
        <w:rPr>
          <w:b/>
        </w:rPr>
      </w:pPr>
      <w:hyperlink w:history="1" r:id="rId27">
        <w:r w:rsidR="00E72EBF">
          <w:rPr>
            <w:b/>
            <w:i/>
            <w:color w:val="0000FF"/>
            <w:sz w:val="28"/>
            <w:u w:val="single"/>
          </w:rPr>
          <w:t>A civil párbeszéd és a részvételi demokrácia erősítése az EU-ban: további lépések</w:t>
        </w:r>
      </w:hyperlink>
    </w:p>
    <w:p w:rsidR="00EE6FEF" w:rsidP="00EE6FEF" w:rsidRDefault="00EE6FEF" w14:paraId="5686EDCA" w14:textId="2AAEC5B9">
      <w:pPr>
        <w:tabs>
          <w:tab w:val="center" w:pos="284"/>
        </w:tabs>
        <w:overflowPunct w:val="0"/>
        <w:autoSpaceDE w:val="0"/>
        <w:autoSpaceDN w:val="0"/>
        <w:adjustRightInd w:val="0"/>
        <w:ind w:left="567" w:hanging="567"/>
        <w:textAlignment w:val="baseline"/>
        <w:rPr>
          <w:sz w:val="16"/>
          <w:szCs w:val="16"/>
          <w:lang w:val="pt-PT"/>
        </w:rPr>
      </w:pPr>
    </w:p>
    <w:p w:rsidRPr="00EE6FEF" w:rsidR="00EE6FEF" w:rsidP="00EE6FEF" w:rsidRDefault="00EE6FEF" w14:paraId="0DE421BA" w14:textId="77777777">
      <w:pPr>
        <w:tabs>
          <w:tab w:val="center" w:pos="284"/>
        </w:tabs>
        <w:overflowPunct w:val="0"/>
        <w:autoSpaceDE w:val="0"/>
        <w:autoSpaceDN w:val="0"/>
        <w:adjustRightInd w:val="0"/>
        <w:ind w:left="567" w:hanging="567"/>
        <w:textAlignment w:val="baseline"/>
        <w:rPr>
          <w:sz w:val="16"/>
          <w:szCs w:val="16"/>
          <w:lang w:val="pt-PT"/>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6813"/>
      </w:tblGrid>
      <w:tr w:rsidRPr="00EE6FEF" w:rsidR="00EE6FEF" w:rsidTr="00CC4510" w14:paraId="7774CF3A" w14:textId="77777777">
        <w:tc>
          <w:tcPr>
            <w:tcW w:w="1834" w:type="dxa"/>
          </w:tcPr>
          <w:p w:rsidRPr="00EE6FEF" w:rsidR="00EE6FEF" w:rsidP="00EE6FEF" w:rsidRDefault="00EE6FEF" w14:paraId="115D3E85" w14:textId="77777777">
            <w:pPr>
              <w:tabs>
                <w:tab w:val="center" w:pos="284"/>
              </w:tabs>
              <w:overflowPunct w:val="0"/>
              <w:autoSpaceDE w:val="0"/>
              <w:autoSpaceDN w:val="0"/>
              <w:adjustRightInd w:val="0"/>
              <w:ind w:left="567" w:hanging="567"/>
              <w:textAlignment w:val="baseline"/>
              <w:rPr>
                <w:b/>
              </w:rPr>
            </w:pPr>
            <w:r>
              <w:rPr>
                <w:b/>
              </w:rPr>
              <w:t>Előadó:</w:t>
            </w:r>
          </w:p>
          <w:p w:rsidRPr="00EE6FEF" w:rsidR="00EE6FEF" w:rsidP="00EE6FEF" w:rsidRDefault="00EE6FEF" w14:paraId="41342984" w14:textId="77777777">
            <w:pPr>
              <w:tabs>
                <w:tab w:val="center" w:pos="284"/>
              </w:tabs>
              <w:overflowPunct w:val="0"/>
              <w:autoSpaceDE w:val="0"/>
              <w:autoSpaceDN w:val="0"/>
              <w:adjustRightInd w:val="0"/>
              <w:ind w:left="567" w:hanging="567"/>
              <w:textAlignment w:val="baseline"/>
              <w:rPr>
                <w:b/>
              </w:rPr>
            </w:pPr>
            <w:r>
              <w:rPr>
                <w:b/>
              </w:rPr>
              <w:t>Társelőadó:</w:t>
            </w:r>
          </w:p>
        </w:tc>
        <w:tc>
          <w:tcPr>
            <w:tcW w:w="6813" w:type="dxa"/>
          </w:tcPr>
          <w:p w:rsidRPr="00EE6FEF" w:rsidR="00EE6FEF" w:rsidP="00EE6FEF" w:rsidRDefault="00EE6FEF" w14:paraId="09298572" w14:textId="1E4C99CC">
            <w:pPr>
              <w:overflowPunct w:val="0"/>
              <w:autoSpaceDE w:val="0"/>
              <w:autoSpaceDN w:val="0"/>
              <w:adjustRightInd w:val="0"/>
              <w:ind w:left="567" w:hanging="567"/>
              <w:textAlignment w:val="baseline"/>
            </w:pPr>
            <w:r>
              <w:t xml:space="preserve">Pietro </w:t>
            </w:r>
            <w:proofErr w:type="spellStart"/>
            <w:r>
              <w:t>Vittorio</w:t>
            </w:r>
            <w:proofErr w:type="spellEnd"/>
            <w:r>
              <w:t xml:space="preserve"> BARBIERI (Civil társadalmi szervezetek/IT)</w:t>
            </w:r>
          </w:p>
          <w:p w:rsidR="00EE6FEF" w:rsidP="00EE6FEF" w:rsidRDefault="00EE6FEF" w14:paraId="440A5CB9" w14:textId="50813251">
            <w:pPr>
              <w:tabs>
                <w:tab w:val="center" w:pos="284"/>
              </w:tabs>
              <w:overflowPunct w:val="0"/>
              <w:autoSpaceDE w:val="0"/>
              <w:autoSpaceDN w:val="0"/>
              <w:adjustRightInd w:val="0"/>
              <w:ind w:left="567" w:hanging="567"/>
              <w:textAlignment w:val="baseline"/>
            </w:pPr>
            <w:r>
              <w:t>Miranda ULENS (Munkavállalók/BE)</w:t>
            </w:r>
          </w:p>
          <w:p w:rsidRPr="00EE6FEF" w:rsidR="00734081" w:rsidP="00EE6FEF" w:rsidRDefault="00734081" w14:paraId="18F12DC0" w14:textId="6E440F43">
            <w:pPr>
              <w:tabs>
                <w:tab w:val="center" w:pos="284"/>
              </w:tabs>
              <w:overflowPunct w:val="0"/>
              <w:autoSpaceDE w:val="0"/>
              <w:autoSpaceDN w:val="0"/>
              <w:adjustRightInd w:val="0"/>
              <w:ind w:left="567" w:hanging="567"/>
              <w:textAlignment w:val="baseline"/>
              <w:rPr>
                <w:lang w:val="es-ES"/>
              </w:rPr>
            </w:pPr>
          </w:p>
        </w:tc>
      </w:tr>
      <w:tr w:rsidRPr="00EE6FEF" w:rsidR="00EE6FEF" w:rsidTr="00CC4510" w14:paraId="6999DE5D" w14:textId="77777777">
        <w:tc>
          <w:tcPr>
            <w:tcW w:w="1834" w:type="dxa"/>
            <w:vMerge w:val="restart"/>
          </w:tcPr>
          <w:p w:rsidRPr="00EE6FEF" w:rsidR="00EE6FEF" w:rsidP="00EE6FEF" w:rsidRDefault="00EE6FEF" w14:paraId="573ED1EA" w14:textId="77777777">
            <w:pPr>
              <w:tabs>
                <w:tab w:val="center" w:pos="284"/>
              </w:tabs>
              <w:overflowPunct w:val="0"/>
              <w:autoSpaceDE w:val="0"/>
              <w:autoSpaceDN w:val="0"/>
              <w:adjustRightInd w:val="0"/>
              <w:ind w:left="567" w:hanging="567"/>
              <w:textAlignment w:val="baseline"/>
              <w:rPr>
                <w:b/>
              </w:rPr>
            </w:pPr>
            <w:r>
              <w:rPr>
                <w:b/>
              </w:rPr>
              <w:t>Hivatkozás:</w:t>
            </w:r>
          </w:p>
        </w:tc>
        <w:tc>
          <w:tcPr>
            <w:tcW w:w="6813" w:type="dxa"/>
          </w:tcPr>
          <w:p w:rsidR="00734081" w:rsidP="00EE6FEF" w:rsidRDefault="00734081" w14:paraId="35FF71C6" w14:textId="62F6C7E5">
            <w:pPr>
              <w:tabs>
                <w:tab w:val="center" w:pos="284"/>
              </w:tabs>
              <w:overflowPunct w:val="0"/>
              <w:autoSpaceDE w:val="0"/>
              <w:autoSpaceDN w:val="0"/>
              <w:adjustRightInd w:val="0"/>
              <w:ind w:left="567" w:hanging="567"/>
              <w:textAlignment w:val="baseline"/>
            </w:pPr>
            <w:r>
              <w:t>feltáró vélemény az EU Tanácsa belga elnökségének felkérésére</w:t>
            </w:r>
          </w:p>
          <w:p w:rsidRPr="00EE6FEF" w:rsidR="00EE6FEF" w:rsidP="00EE6FEF" w:rsidRDefault="00EE6FEF" w14:paraId="2007E2F0" w14:textId="5C9407E3">
            <w:pPr>
              <w:tabs>
                <w:tab w:val="center" w:pos="284"/>
              </w:tabs>
              <w:overflowPunct w:val="0"/>
              <w:autoSpaceDE w:val="0"/>
              <w:autoSpaceDN w:val="0"/>
              <w:adjustRightInd w:val="0"/>
              <w:ind w:left="567" w:hanging="567"/>
              <w:textAlignment w:val="baseline"/>
            </w:pPr>
            <w:r>
              <w:t>EESC-2023-03879-00-00-AC</w:t>
            </w:r>
          </w:p>
        </w:tc>
      </w:tr>
      <w:tr w:rsidRPr="00EE6FEF" w:rsidR="00EE6FEF" w:rsidTr="00CC4510" w14:paraId="03305879" w14:textId="77777777">
        <w:tc>
          <w:tcPr>
            <w:tcW w:w="1834" w:type="dxa"/>
            <w:vMerge/>
          </w:tcPr>
          <w:p w:rsidRPr="00EE6FEF" w:rsidR="00EE6FEF" w:rsidP="00EE6FEF" w:rsidRDefault="00EE6FEF" w14:paraId="4EF47312" w14:textId="77777777">
            <w:pPr>
              <w:tabs>
                <w:tab w:val="center" w:pos="284"/>
              </w:tabs>
              <w:overflowPunct w:val="0"/>
              <w:autoSpaceDE w:val="0"/>
              <w:autoSpaceDN w:val="0"/>
              <w:adjustRightInd w:val="0"/>
              <w:ind w:left="266" w:hanging="266"/>
              <w:textAlignment w:val="baseline"/>
              <w:rPr>
                <w:b/>
                <w:lang w:val="pt-PT"/>
              </w:rPr>
            </w:pPr>
          </w:p>
        </w:tc>
        <w:tc>
          <w:tcPr>
            <w:tcW w:w="6813" w:type="dxa"/>
          </w:tcPr>
          <w:p w:rsidRPr="00EE6FEF" w:rsidR="00EE6FEF" w:rsidP="00EE6FEF" w:rsidRDefault="00EE6FEF" w14:paraId="12EF58DA" w14:textId="77777777">
            <w:pPr>
              <w:tabs>
                <w:tab w:val="center" w:pos="284"/>
              </w:tabs>
              <w:overflowPunct w:val="0"/>
              <w:autoSpaceDE w:val="0"/>
              <w:autoSpaceDN w:val="0"/>
              <w:adjustRightInd w:val="0"/>
              <w:ind w:left="266" w:hanging="266"/>
              <w:textAlignment w:val="baseline"/>
              <w:rPr>
                <w:sz w:val="16"/>
                <w:szCs w:val="16"/>
                <w:lang w:val="pt-PT"/>
              </w:rPr>
            </w:pPr>
          </w:p>
        </w:tc>
      </w:tr>
    </w:tbl>
    <w:p w:rsidRPr="00EE6FEF" w:rsidR="00EE6FEF" w:rsidP="00CC4510" w:rsidRDefault="00EE6FEF" w14:paraId="70BED30D" w14:textId="77777777">
      <w:pPr>
        <w:keepNext/>
        <w:keepLines/>
        <w:tabs>
          <w:tab w:val="center" w:pos="284"/>
        </w:tabs>
        <w:overflowPunct w:val="0"/>
        <w:autoSpaceDE w:val="0"/>
        <w:autoSpaceDN w:val="0"/>
        <w:adjustRightInd w:val="0"/>
        <w:ind w:left="266" w:hanging="124"/>
        <w:textAlignment w:val="baseline"/>
        <w:rPr>
          <w:b/>
        </w:rPr>
      </w:pPr>
      <w:r>
        <w:rPr>
          <w:b/>
        </w:rPr>
        <w:t>Főbb pontok</w:t>
      </w:r>
    </w:p>
    <w:p w:rsidRPr="00EE6FEF" w:rsidR="00EE6FEF" w:rsidP="00EE6FEF" w:rsidRDefault="00EE6FEF" w14:paraId="63B3834C" w14:textId="77777777">
      <w:pPr>
        <w:overflowPunct w:val="0"/>
        <w:autoSpaceDE w:val="0"/>
        <w:autoSpaceDN w:val="0"/>
        <w:adjustRightInd w:val="0"/>
        <w:textAlignment w:val="baseline"/>
        <w:rPr>
          <w:szCs w:val="20"/>
        </w:rPr>
      </w:pPr>
    </w:p>
    <w:p w:rsidR="00EE6FEF" w:rsidP="00EE6FEF" w:rsidRDefault="00EE6FEF" w14:paraId="78C0E8D3" w14:textId="3BEEDDA7">
      <w:pPr>
        <w:overflowPunct w:val="0"/>
        <w:autoSpaceDE w:val="0"/>
        <w:autoSpaceDN w:val="0"/>
        <w:adjustRightInd w:val="0"/>
        <w:ind w:firstLine="142"/>
        <w:textAlignment w:val="baseline"/>
        <w:rPr>
          <w:szCs w:val="20"/>
        </w:rPr>
      </w:pPr>
      <w:r>
        <w:t>Az EGSZB:</w:t>
      </w:r>
    </w:p>
    <w:p w:rsidRPr="00EE6FEF" w:rsidR="00EE6FEF" w:rsidP="00CC4510" w:rsidRDefault="00EE6FEF" w14:paraId="1BB0EE46" w14:textId="77777777">
      <w:pPr>
        <w:numPr>
          <w:ilvl w:val="0"/>
          <w:numId w:val="31"/>
        </w:numPr>
        <w:overflowPunct w:val="0"/>
        <w:autoSpaceDE w:val="0"/>
        <w:autoSpaceDN w:val="0"/>
        <w:adjustRightInd w:val="0"/>
        <w:spacing w:after="200" w:line="276" w:lineRule="auto"/>
        <w:ind w:left="284" w:hanging="284"/>
        <w:contextualSpacing/>
        <w:textAlignment w:val="baseline"/>
      </w:pPr>
      <w:r>
        <w:t>hangsúlyozza, hogy az Európa jövőjéről szóló konferencia nyomon követéseként az EUSZ 11. cikkének végrehajtása – az EGSZB szerepének megerősítése mellett – hatékonyabb szakpolitikákhoz vezethet. Támogatja az Európa jövőjéről szóló konferencia azon ajánlását, hogy alakítsanak ki további eszközöket a részvételi demokrácia számára. A konferencia számos ajánlásában szerepel a civil párbeszédet elősegítő keret kialakítása, és elismeri az EGSZB szerepét, amely a polgári vitacsoportok valódi központja is lehet. A szociális partnerek szervezeteinek sajátos szerepét teljes mértékben tiszteletben kell tartani a szociális párbeszéd struktúráiban és folyamataiban, a civil párbeszéd pedig külön folyamat,</w:t>
      </w:r>
    </w:p>
    <w:p w:rsidRPr="00EE6FEF" w:rsidR="00EE6FEF" w:rsidP="00CC4510" w:rsidRDefault="00EE6FEF" w14:paraId="6DB1C493" w14:textId="77777777">
      <w:pPr>
        <w:numPr>
          <w:ilvl w:val="0"/>
          <w:numId w:val="31"/>
        </w:numPr>
        <w:overflowPunct w:val="0"/>
        <w:autoSpaceDE w:val="0"/>
        <w:autoSpaceDN w:val="0"/>
        <w:adjustRightInd w:val="0"/>
        <w:spacing w:after="200" w:line="276" w:lineRule="auto"/>
        <w:ind w:left="284" w:hanging="284"/>
        <w:contextualSpacing/>
        <w:textAlignment w:val="baseline"/>
      </w:pPr>
      <w:r>
        <w:t>kéri, hogy első lépésként dolgozzanak ki stratégiát, majd ez alapján cselekvési tervet a civil párbeszédre vonatkozóan, amelynek egyik pillére az európai demokrácia védelméről szóló cselekvési terv részét képezheti. Ez arra is irányulhatna, hogy megfontolják egy olyan uniós intézményközi megállapodás kialakítását, amely meghatározza az intézkedéseket és az azokhoz kapcsolódóan felhasználandó forrásokat. Ez az EGSZB közreműködésével és az uniós szintű civil társadalmi hálózatok részvételével történhetne,</w:t>
      </w:r>
    </w:p>
    <w:p w:rsidRPr="00EE6FEF" w:rsidR="00EE6FEF" w:rsidP="00CC4510" w:rsidRDefault="00EE6FEF" w14:paraId="57CF30BD" w14:textId="77777777">
      <w:pPr>
        <w:numPr>
          <w:ilvl w:val="0"/>
          <w:numId w:val="31"/>
        </w:numPr>
        <w:overflowPunct w:val="0"/>
        <w:autoSpaceDE w:val="0"/>
        <w:autoSpaceDN w:val="0"/>
        <w:adjustRightInd w:val="0"/>
        <w:spacing w:after="200" w:line="276" w:lineRule="auto"/>
        <w:ind w:left="284" w:hanging="284"/>
        <w:contextualSpacing/>
        <w:textAlignment w:val="baseline"/>
      </w:pPr>
      <w:r>
        <w:t>szorgalmazza, hogy az EUSZ 11. cikkének hatékony érvényesülése érdekében erősítsék meg a különböző intézmények felelőseinek szerepét, és hogy az uniós intézményekben alkalmazzanak bizonyos normákat, például olyan kérdésekben, mint a civil párbeszéd jelentése, a politikai menetrend és prioritások megosztása, a kiszolgáltatott helyzetű csoportok befogadása stb.,</w:t>
      </w:r>
    </w:p>
    <w:p w:rsidRPr="00EE6FEF" w:rsidR="00EE6FEF" w:rsidP="00CC4510" w:rsidRDefault="00EE6FEF" w14:paraId="428DADE2" w14:textId="77777777">
      <w:pPr>
        <w:numPr>
          <w:ilvl w:val="0"/>
          <w:numId w:val="31"/>
        </w:numPr>
        <w:overflowPunct w:val="0"/>
        <w:autoSpaceDE w:val="0"/>
        <w:autoSpaceDN w:val="0"/>
        <w:adjustRightInd w:val="0"/>
        <w:spacing w:after="200" w:line="276" w:lineRule="auto"/>
        <w:ind w:left="284" w:hanging="284"/>
        <w:contextualSpacing/>
        <w:textAlignment w:val="baseline"/>
      </w:pPr>
      <w:r>
        <w:t>szorgalmazza a civil párbeszéd (vagy a civil társadalmi tér) éves eredménytáblájának létrehozását, amely megmutatja, hogy a civil társadalmi szervezetek hogyan vettek részt a konzultációs folyamatokban, és figyelembe vették-e hozzájárulásaikat. Az éves eredménytábla segítségével végzett hatásvizsgálat alapján a civil párbeszédről kétévenként jelentés készülhetne, amely nyomon követi az EU civil társadalommal való általános együttműködését, valamint értékeli a civil párbeszéd aktuális állását és a civil társadalmi szervezetek hatékonyságát,</w:t>
      </w:r>
    </w:p>
    <w:p w:rsidRPr="00EE6FEF" w:rsidR="00EE6FEF" w:rsidP="00CC4510" w:rsidRDefault="00EE6FEF" w14:paraId="50548E2B" w14:textId="77777777">
      <w:pPr>
        <w:numPr>
          <w:ilvl w:val="0"/>
          <w:numId w:val="31"/>
        </w:numPr>
        <w:overflowPunct w:val="0"/>
        <w:autoSpaceDE w:val="0"/>
        <w:autoSpaceDN w:val="0"/>
        <w:adjustRightInd w:val="0"/>
        <w:spacing w:after="200" w:line="276" w:lineRule="auto"/>
        <w:ind w:left="284" w:hanging="284"/>
        <w:contextualSpacing/>
        <w:textAlignment w:val="baseline"/>
        <w:rPr>
          <w:rFonts w:ascii="Calibri" w:hAnsi="Calibri"/>
        </w:rPr>
      </w:pPr>
      <w:r>
        <w:t>megismétli, hogy az EGSZB-</w:t>
      </w:r>
      <w:proofErr w:type="spellStart"/>
      <w:r>
        <w:t>nek</w:t>
      </w:r>
      <w:proofErr w:type="spellEnd"/>
      <w:r>
        <w:t xml:space="preserve"> központi szerepet kell játszania abban, hogy az uniós intézményekben és azok között </w:t>
      </w:r>
      <w:proofErr w:type="spellStart"/>
      <w:r>
        <w:t>erősödjön</w:t>
      </w:r>
      <w:proofErr w:type="spellEnd"/>
      <w:r>
        <w:t xml:space="preserve"> a részvételi demokrácia, és javasolja, hogy az EGSZB szerepét úgy módosítsák, hogy tanácsadói munkája során kísérletezhessen különféle részvételi eszközökkel, például a polgári vitacsoportokkal, rávilágítva ezáltal arra a különleges pozícióra, amelyet az EGSZB a civil társadalmi konzultáció és általában a civil társadalmi párbeszéd intézményi őreként tölt be,</w:t>
      </w:r>
    </w:p>
    <w:p w:rsidRPr="00EE6FEF" w:rsidR="00EE6FEF" w:rsidP="00CC4510" w:rsidRDefault="00EE6FEF" w14:paraId="56DEE402" w14:textId="77777777">
      <w:pPr>
        <w:numPr>
          <w:ilvl w:val="0"/>
          <w:numId w:val="31"/>
        </w:numPr>
        <w:overflowPunct w:val="0"/>
        <w:autoSpaceDE w:val="0"/>
        <w:autoSpaceDN w:val="0"/>
        <w:adjustRightInd w:val="0"/>
        <w:spacing w:after="200" w:line="276" w:lineRule="auto"/>
        <w:ind w:left="284" w:hanging="284"/>
        <w:contextualSpacing/>
        <w:textAlignment w:val="baseline"/>
      </w:pPr>
      <w:r>
        <w:t>úgy véli, hogy a civil társadalmi szervezeteknek a belső demokráciára, az autonómiára és az átláthatóságra kell alapulniuk, és nonprofit formában a közérdeket és/vagy az általuk képviselt csoportok konkrét érdekeit kell szolgálniuk, azaz legitimnek és reprezentatívnak kell lenniük. Ezért kéri a fent említett elveken alapuló akkreditációs mechanizmus létrehozását.</w:t>
      </w:r>
    </w:p>
    <w:p w:rsidRPr="00EE6FEF" w:rsidR="00EE6FEF" w:rsidP="00CC4510" w:rsidRDefault="00EE6FEF" w14:paraId="3FDDF924" w14:textId="77777777">
      <w:pPr>
        <w:overflowPunct w:val="0"/>
        <w:autoSpaceDE w:val="0"/>
        <w:autoSpaceDN w:val="0"/>
        <w:adjustRightInd w:val="0"/>
        <w:spacing w:line="276" w:lineRule="auto"/>
        <w:textAlignment w:val="baseline"/>
        <w:rPr>
          <w:szCs w:val="20"/>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4493"/>
      </w:tblGrid>
      <w:tr w:rsidRPr="003F6640" w:rsidR="00EE6FEF" w:rsidTr="00AF1B74" w14:paraId="141D7495" w14:textId="77777777">
        <w:tc>
          <w:tcPr>
            <w:tcW w:w="1210" w:type="dxa"/>
          </w:tcPr>
          <w:p w:rsidRPr="003F6640" w:rsidR="00EE6FEF" w:rsidP="00A838DE" w:rsidRDefault="00EE6FEF" w14:paraId="41ABC0CE" w14:textId="77777777">
            <w:pPr>
              <w:keepNext/>
              <w:keepLines/>
              <w:overflowPunct w:val="0"/>
              <w:autoSpaceDE w:val="0"/>
              <w:autoSpaceDN w:val="0"/>
              <w:adjustRightInd w:val="0"/>
              <w:spacing w:line="240" w:lineRule="auto"/>
              <w:textAlignment w:val="baseline"/>
              <w:rPr>
                <w:i/>
              </w:rPr>
            </w:pPr>
            <w:r>
              <w:rPr>
                <w:b/>
                <w:i/>
              </w:rPr>
              <w:lastRenderedPageBreak/>
              <w:t>Kapcsolattartó:</w:t>
            </w:r>
          </w:p>
        </w:tc>
        <w:tc>
          <w:tcPr>
            <w:tcW w:w="4493" w:type="dxa"/>
          </w:tcPr>
          <w:p w:rsidRPr="003F6640" w:rsidR="00EE6FEF" w:rsidP="00A838DE" w:rsidRDefault="00EE6FEF" w14:paraId="751079CC" w14:textId="77777777">
            <w:pPr>
              <w:keepNext/>
              <w:keepLines/>
              <w:overflowPunct w:val="0"/>
              <w:autoSpaceDE w:val="0"/>
              <w:autoSpaceDN w:val="0"/>
              <w:adjustRightInd w:val="0"/>
              <w:spacing w:line="240" w:lineRule="auto"/>
              <w:ind w:hanging="12"/>
              <w:textAlignment w:val="baseline"/>
              <w:rPr>
                <w:i/>
              </w:rPr>
            </w:pPr>
            <w:proofErr w:type="spellStart"/>
            <w:r>
              <w:rPr>
                <w:i/>
              </w:rPr>
              <w:t>June</w:t>
            </w:r>
            <w:proofErr w:type="spellEnd"/>
            <w:r>
              <w:rPr>
                <w:i/>
              </w:rPr>
              <w:t> </w:t>
            </w:r>
            <w:proofErr w:type="spellStart"/>
            <w:r>
              <w:rPr>
                <w:i/>
              </w:rPr>
              <w:t>Bedaton</w:t>
            </w:r>
            <w:proofErr w:type="spellEnd"/>
          </w:p>
        </w:tc>
      </w:tr>
      <w:tr w:rsidRPr="003F6640" w:rsidR="00EE6FEF" w:rsidTr="00AF1B74" w14:paraId="4927775D" w14:textId="77777777">
        <w:tc>
          <w:tcPr>
            <w:tcW w:w="1210" w:type="dxa"/>
          </w:tcPr>
          <w:p w:rsidRPr="003F6640" w:rsidR="00EE6FEF" w:rsidP="00A838DE" w:rsidRDefault="00EE6FEF" w14:paraId="490E3A24" w14:textId="77777777">
            <w:pPr>
              <w:keepNext/>
              <w:keepLines/>
              <w:overflowPunct w:val="0"/>
              <w:autoSpaceDE w:val="0"/>
              <w:autoSpaceDN w:val="0"/>
              <w:adjustRightInd w:val="0"/>
              <w:spacing w:line="240" w:lineRule="auto"/>
              <w:textAlignment w:val="baseline"/>
              <w:rPr>
                <w:i/>
              </w:rPr>
            </w:pPr>
            <w:r>
              <w:rPr>
                <w:i/>
              </w:rPr>
              <w:t>Tel.:</w:t>
            </w:r>
          </w:p>
        </w:tc>
        <w:tc>
          <w:tcPr>
            <w:tcW w:w="4493" w:type="dxa"/>
          </w:tcPr>
          <w:p w:rsidRPr="003F6640" w:rsidR="00EE6FEF" w:rsidP="00A838DE" w:rsidRDefault="00EE6FEF" w14:paraId="41D951E4" w14:textId="77777777">
            <w:pPr>
              <w:keepNext/>
              <w:keepLines/>
              <w:overflowPunct w:val="0"/>
              <w:autoSpaceDE w:val="0"/>
              <w:autoSpaceDN w:val="0"/>
              <w:adjustRightInd w:val="0"/>
              <w:spacing w:line="240" w:lineRule="auto"/>
              <w:textAlignment w:val="baseline"/>
              <w:rPr>
                <w:i/>
              </w:rPr>
            </w:pPr>
            <w:r>
              <w:rPr>
                <w:i/>
              </w:rPr>
              <w:t>+32 25468134</w:t>
            </w:r>
          </w:p>
        </w:tc>
      </w:tr>
      <w:tr w:rsidRPr="003F6640" w:rsidR="00EE6FEF" w:rsidTr="00AF1B74" w14:paraId="4358DB5A" w14:textId="77777777">
        <w:tc>
          <w:tcPr>
            <w:tcW w:w="1210" w:type="dxa"/>
          </w:tcPr>
          <w:p w:rsidRPr="003F6640" w:rsidR="00EE6FEF" w:rsidP="00EE6FEF" w:rsidRDefault="00EE6FEF" w14:paraId="0A1AF4F8" w14:textId="77777777">
            <w:pPr>
              <w:overflowPunct w:val="0"/>
              <w:autoSpaceDE w:val="0"/>
              <w:autoSpaceDN w:val="0"/>
              <w:adjustRightInd w:val="0"/>
              <w:spacing w:line="240" w:lineRule="auto"/>
              <w:textAlignment w:val="baseline"/>
              <w:rPr>
                <w:i/>
              </w:rPr>
            </w:pPr>
            <w:r>
              <w:rPr>
                <w:i/>
              </w:rPr>
              <w:t>E-mail-cím:</w:t>
            </w:r>
          </w:p>
        </w:tc>
        <w:tc>
          <w:tcPr>
            <w:tcW w:w="4493" w:type="dxa"/>
          </w:tcPr>
          <w:p w:rsidRPr="003F6640" w:rsidR="00EE6FEF" w:rsidP="00EE6FEF" w:rsidRDefault="00893292" w14:paraId="47347AD3" w14:textId="77777777">
            <w:pPr>
              <w:overflowPunct w:val="0"/>
              <w:autoSpaceDE w:val="0"/>
              <w:autoSpaceDN w:val="0"/>
              <w:adjustRightInd w:val="0"/>
              <w:spacing w:line="240" w:lineRule="auto"/>
              <w:textAlignment w:val="baseline"/>
              <w:rPr>
                <w:i/>
              </w:rPr>
            </w:pPr>
            <w:hyperlink w:history="1" r:id="rId28">
              <w:r w:rsidR="00E72EBF">
                <w:rPr>
                  <w:i/>
                  <w:color w:val="0000FF"/>
                  <w:u w:val="single"/>
                </w:rPr>
                <w:t>June.Bedaton@eesc.europa.eu</w:t>
              </w:r>
            </w:hyperlink>
          </w:p>
        </w:tc>
      </w:tr>
    </w:tbl>
    <w:p w:rsidRPr="00D6423D" w:rsidR="005A67F3" w:rsidP="00234EA0" w:rsidRDefault="004C3902" w14:paraId="3792A077" w14:textId="3F1CFB67">
      <w:pPr>
        <w:pStyle w:val="Heading1"/>
        <w:ind w:hanging="928"/>
        <w:rPr>
          <w:b/>
          <w:bCs/>
        </w:rPr>
      </w:pPr>
      <w:bookmarkStart w:name="_Toc160785866" w:id="16"/>
      <w:r>
        <w:rPr>
          <w:b/>
        </w:rPr>
        <w:t>EGYSÉGES PIAC, TERMELÉS ÉS FOGYASZTÁS</w:t>
      </w:r>
      <w:bookmarkEnd w:id="14"/>
      <w:bookmarkEnd w:id="16"/>
    </w:p>
    <w:p w:rsidRPr="00094B6B" w:rsidR="004C3902" w:rsidP="00775FC4" w:rsidRDefault="004C3902" w14:paraId="51590E30" w14:textId="7D4E8C1F">
      <w:pPr>
        <w:keepNext/>
        <w:keepLines/>
        <w:jc w:val="left"/>
        <w:rPr>
          <w:b/>
          <w:iCs/>
        </w:rPr>
      </w:pPr>
    </w:p>
    <w:p w:rsidRPr="00115BBC" w:rsidR="00115BBC" w:rsidP="00CC4510" w:rsidRDefault="00893292" w14:paraId="331C902E" w14:textId="22AAD788">
      <w:pPr>
        <w:widowControl w:val="0"/>
        <w:numPr>
          <w:ilvl w:val="0"/>
          <w:numId w:val="4"/>
        </w:numPr>
        <w:overflowPunct w:val="0"/>
        <w:autoSpaceDE w:val="0"/>
        <w:autoSpaceDN w:val="0"/>
        <w:adjustRightInd w:val="0"/>
        <w:ind w:left="720" w:hanging="720"/>
        <w:textAlignment w:val="baseline"/>
        <w:rPr>
          <w:b/>
        </w:rPr>
      </w:pPr>
      <w:hyperlink w:history="1" r:id="rId29">
        <w:r w:rsidR="00E72EBF">
          <w:rPr>
            <w:b/>
            <w:i/>
            <w:color w:val="0000FF"/>
            <w:sz w:val="28"/>
            <w:u w:val="single"/>
          </w:rPr>
          <w:t>Alternatív vitarendezés</w:t>
        </w:r>
      </w:hyperlink>
    </w:p>
    <w:p w:rsidRPr="00115BBC" w:rsidR="00115BBC" w:rsidP="00115BBC" w:rsidRDefault="00115BBC" w14:paraId="69D406FB" w14:textId="77777777">
      <w:pPr>
        <w:widowControl w:val="0"/>
        <w:overflowPunct w:val="0"/>
        <w:autoSpaceDE w:val="0"/>
        <w:autoSpaceDN w:val="0"/>
        <w:adjustRightInd w:val="0"/>
        <w:ind w:left="567"/>
        <w:textAlignment w:val="baseline"/>
        <w:rPr>
          <w:b/>
          <w:highlight w:val="yellow"/>
        </w:rPr>
      </w:pPr>
    </w:p>
    <w:tbl>
      <w:tblPr>
        <w:tblStyle w:val="TableGrid200"/>
        <w:tblW w:w="9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602"/>
      </w:tblGrid>
      <w:tr w:rsidRPr="00115BBC" w:rsidR="00115BBC" w:rsidTr="0052434F" w14:paraId="5FCB07DF" w14:textId="77777777">
        <w:trPr>
          <w:trHeight w:val="265"/>
        </w:trPr>
        <w:tc>
          <w:tcPr>
            <w:tcW w:w="1418" w:type="dxa"/>
          </w:tcPr>
          <w:p w:rsidRPr="00115BBC" w:rsidR="00115BBC" w:rsidP="00115BBC" w:rsidRDefault="00115BBC" w14:paraId="061CB5F6" w14:textId="77777777">
            <w:pPr>
              <w:tabs>
                <w:tab w:val="center" w:pos="284"/>
              </w:tabs>
              <w:overflowPunct w:val="0"/>
              <w:autoSpaceDE w:val="0"/>
              <w:autoSpaceDN w:val="0"/>
              <w:adjustRightInd w:val="0"/>
              <w:ind w:left="266" w:hanging="408"/>
              <w:textAlignment w:val="baseline"/>
              <w:rPr>
                <w:b/>
                <w:highlight w:val="yellow"/>
              </w:rPr>
            </w:pPr>
            <w:r>
              <w:rPr>
                <w:b/>
              </w:rPr>
              <w:t>Előadó:</w:t>
            </w:r>
          </w:p>
        </w:tc>
        <w:tc>
          <w:tcPr>
            <w:tcW w:w="7602" w:type="dxa"/>
          </w:tcPr>
          <w:p w:rsidRPr="00115BBC" w:rsidR="00115BBC" w:rsidP="0052434F" w:rsidRDefault="00115BBC" w14:paraId="167D4BA0" w14:textId="249DC758">
            <w:pPr>
              <w:tabs>
                <w:tab w:val="center" w:pos="284"/>
              </w:tabs>
              <w:overflowPunct w:val="0"/>
              <w:autoSpaceDE w:val="0"/>
              <w:autoSpaceDN w:val="0"/>
              <w:adjustRightInd w:val="0"/>
              <w:ind w:left="266" w:hanging="266"/>
              <w:textAlignment w:val="baseline"/>
              <w:rPr>
                <w:highlight w:val="yellow"/>
              </w:rPr>
            </w:pPr>
            <w:proofErr w:type="spellStart"/>
            <w:r>
              <w:t>Wautier</w:t>
            </w:r>
            <w:proofErr w:type="spellEnd"/>
            <w:r>
              <w:t xml:space="preserve"> ROBYNS DE SCHNEIDAUER (Munkáltatók/BE)</w:t>
            </w:r>
          </w:p>
        </w:tc>
      </w:tr>
      <w:tr w:rsidRPr="00115BBC" w:rsidR="00115BBC" w:rsidTr="0052434F" w14:paraId="296C346B" w14:textId="77777777">
        <w:trPr>
          <w:trHeight w:val="265"/>
        </w:trPr>
        <w:tc>
          <w:tcPr>
            <w:tcW w:w="1418" w:type="dxa"/>
          </w:tcPr>
          <w:p w:rsidRPr="00115BBC" w:rsidR="00115BBC" w:rsidP="00115BBC" w:rsidRDefault="00115BBC" w14:paraId="0AF9F28C" w14:textId="77777777">
            <w:pPr>
              <w:tabs>
                <w:tab w:val="center" w:pos="284"/>
              </w:tabs>
              <w:overflowPunct w:val="0"/>
              <w:autoSpaceDE w:val="0"/>
              <w:autoSpaceDN w:val="0"/>
              <w:adjustRightInd w:val="0"/>
              <w:ind w:left="266" w:hanging="408"/>
              <w:textAlignment w:val="baseline"/>
              <w:rPr>
                <w:b/>
                <w:highlight w:val="yellow"/>
              </w:rPr>
            </w:pPr>
          </w:p>
        </w:tc>
        <w:tc>
          <w:tcPr>
            <w:tcW w:w="7602" w:type="dxa"/>
          </w:tcPr>
          <w:p w:rsidRPr="00115BBC" w:rsidR="00115BBC" w:rsidP="0052434F" w:rsidRDefault="00115BBC" w14:paraId="31DA93FE" w14:textId="77777777">
            <w:pPr>
              <w:tabs>
                <w:tab w:val="center" w:pos="284"/>
              </w:tabs>
              <w:overflowPunct w:val="0"/>
              <w:autoSpaceDE w:val="0"/>
              <w:autoSpaceDN w:val="0"/>
              <w:adjustRightInd w:val="0"/>
              <w:ind w:left="266" w:hanging="266"/>
              <w:textAlignment w:val="baseline"/>
              <w:rPr>
                <w:highlight w:val="yellow"/>
              </w:rPr>
            </w:pPr>
          </w:p>
        </w:tc>
      </w:tr>
      <w:tr w:rsidRPr="00115BBC" w:rsidR="00115BBC" w:rsidTr="0052434F" w14:paraId="05E2FC21" w14:textId="77777777">
        <w:trPr>
          <w:trHeight w:val="289"/>
        </w:trPr>
        <w:tc>
          <w:tcPr>
            <w:tcW w:w="1418" w:type="dxa"/>
            <w:vMerge w:val="restart"/>
          </w:tcPr>
          <w:p w:rsidRPr="00115BBC" w:rsidR="00115BBC" w:rsidP="00115BBC" w:rsidRDefault="00115BBC" w14:paraId="3723A8BD" w14:textId="77777777">
            <w:pPr>
              <w:tabs>
                <w:tab w:val="center" w:pos="284"/>
              </w:tabs>
              <w:overflowPunct w:val="0"/>
              <w:autoSpaceDE w:val="0"/>
              <w:autoSpaceDN w:val="0"/>
              <w:adjustRightInd w:val="0"/>
              <w:ind w:left="266" w:hanging="408"/>
              <w:textAlignment w:val="baseline"/>
              <w:rPr>
                <w:b/>
              </w:rPr>
            </w:pPr>
            <w:r>
              <w:rPr>
                <w:b/>
              </w:rPr>
              <w:t>Hivatkozások:</w:t>
            </w:r>
          </w:p>
        </w:tc>
        <w:tc>
          <w:tcPr>
            <w:tcW w:w="7602" w:type="dxa"/>
          </w:tcPr>
          <w:p w:rsidRPr="00115BBC" w:rsidR="00115BBC" w:rsidP="0052434F" w:rsidRDefault="00115BBC" w14:paraId="6E0D3984" w14:textId="53F54A94">
            <w:pPr>
              <w:tabs>
                <w:tab w:val="center" w:pos="284"/>
              </w:tabs>
              <w:overflowPunct w:val="0"/>
              <w:autoSpaceDE w:val="0"/>
              <w:autoSpaceDN w:val="0"/>
              <w:adjustRightInd w:val="0"/>
              <w:ind w:left="266" w:hanging="266"/>
              <w:textAlignment w:val="baseline"/>
            </w:pPr>
            <w:r>
              <w:t xml:space="preserve">COM(2023) 647 </w:t>
            </w:r>
            <w:proofErr w:type="spellStart"/>
            <w:r>
              <w:t>final</w:t>
            </w:r>
            <w:proofErr w:type="spellEnd"/>
            <w:r>
              <w:t xml:space="preserve"> </w:t>
            </w:r>
          </w:p>
          <w:p w:rsidRPr="00115BBC" w:rsidR="00115BBC" w:rsidP="0052434F" w:rsidRDefault="00115BBC" w14:paraId="0C647B83" w14:textId="65F68049">
            <w:pPr>
              <w:tabs>
                <w:tab w:val="center" w:pos="284"/>
              </w:tabs>
              <w:overflowPunct w:val="0"/>
              <w:autoSpaceDE w:val="0"/>
              <w:autoSpaceDN w:val="0"/>
              <w:adjustRightInd w:val="0"/>
              <w:ind w:left="266" w:hanging="266"/>
              <w:textAlignment w:val="baseline"/>
            </w:pPr>
            <w:r>
              <w:t xml:space="preserve">COM(2023) 649 </w:t>
            </w:r>
            <w:proofErr w:type="spellStart"/>
            <w:r>
              <w:t>final</w:t>
            </w:r>
            <w:proofErr w:type="spellEnd"/>
          </w:p>
        </w:tc>
      </w:tr>
      <w:tr w:rsidRPr="00115BBC" w:rsidR="00115BBC" w:rsidTr="0052434F" w14:paraId="17336284" w14:textId="77777777">
        <w:trPr>
          <w:trHeight w:val="289"/>
        </w:trPr>
        <w:tc>
          <w:tcPr>
            <w:tcW w:w="1418" w:type="dxa"/>
            <w:vMerge/>
          </w:tcPr>
          <w:p w:rsidRPr="00115BBC" w:rsidR="00115BBC" w:rsidP="00115BBC" w:rsidRDefault="00115BBC" w14:paraId="6FEF1F8E" w14:textId="77777777">
            <w:pPr>
              <w:tabs>
                <w:tab w:val="center" w:pos="284"/>
              </w:tabs>
              <w:overflowPunct w:val="0"/>
              <w:autoSpaceDE w:val="0"/>
              <w:autoSpaceDN w:val="0"/>
              <w:adjustRightInd w:val="0"/>
              <w:ind w:left="266" w:hanging="408"/>
              <w:textAlignment w:val="baseline"/>
              <w:rPr>
                <w:b/>
              </w:rPr>
            </w:pPr>
          </w:p>
        </w:tc>
        <w:tc>
          <w:tcPr>
            <w:tcW w:w="7602" w:type="dxa"/>
          </w:tcPr>
          <w:p w:rsidRPr="00115BBC" w:rsidR="00115BBC" w:rsidP="0052434F" w:rsidRDefault="00115BBC" w14:paraId="439A72D0" w14:textId="3CA46808">
            <w:pPr>
              <w:tabs>
                <w:tab w:val="center" w:pos="284"/>
              </w:tabs>
              <w:overflowPunct w:val="0"/>
              <w:autoSpaceDE w:val="0"/>
              <w:autoSpaceDN w:val="0"/>
              <w:adjustRightInd w:val="0"/>
              <w:ind w:left="266" w:hanging="266"/>
              <w:textAlignment w:val="baseline"/>
            </w:pPr>
            <w:r>
              <w:t>EESC-2023-04939-00-00-AC</w:t>
            </w:r>
          </w:p>
        </w:tc>
      </w:tr>
    </w:tbl>
    <w:p w:rsidRPr="00115BBC" w:rsidR="00115BBC" w:rsidP="00115BBC" w:rsidRDefault="00115BBC" w14:paraId="29572A56" w14:textId="77777777">
      <w:pPr>
        <w:keepNext/>
        <w:keepLines/>
        <w:tabs>
          <w:tab w:val="center" w:pos="284"/>
        </w:tabs>
        <w:overflowPunct w:val="0"/>
        <w:autoSpaceDE w:val="0"/>
        <w:autoSpaceDN w:val="0"/>
        <w:adjustRightInd w:val="0"/>
        <w:ind w:left="266" w:hanging="408"/>
        <w:textAlignment w:val="baseline"/>
        <w:rPr>
          <w:b/>
        </w:rPr>
      </w:pPr>
    </w:p>
    <w:p w:rsidR="00115BBC" w:rsidP="00CC4510" w:rsidRDefault="00115BBC" w14:paraId="0FFFEA8E" w14:textId="6FE135C0">
      <w:pPr>
        <w:keepNext/>
        <w:keepLines/>
        <w:tabs>
          <w:tab w:val="center" w:pos="284"/>
        </w:tabs>
        <w:overflowPunct w:val="0"/>
        <w:autoSpaceDE w:val="0"/>
        <w:autoSpaceDN w:val="0"/>
        <w:adjustRightInd w:val="0"/>
        <w:ind w:left="266" w:hanging="266"/>
        <w:textAlignment w:val="baseline"/>
        <w:rPr>
          <w:b/>
        </w:rPr>
      </w:pPr>
      <w:r>
        <w:rPr>
          <w:b/>
        </w:rPr>
        <w:t>Főbb pontok</w:t>
      </w:r>
    </w:p>
    <w:p w:rsidR="0096247E" w:rsidP="00CC4510" w:rsidRDefault="0096247E" w14:paraId="1F14F94E" w14:textId="02ACF0CB">
      <w:pPr>
        <w:keepNext/>
        <w:keepLines/>
        <w:tabs>
          <w:tab w:val="center" w:pos="284"/>
        </w:tabs>
        <w:overflowPunct w:val="0"/>
        <w:autoSpaceDE w:val="0"/>
        <w:autoSpaceDN w:val="0"/>
        <w:adjustRightInd w:val="0"/>
        <w:ind w:left="266" w:hanging="266"/>
        <w:textAlignment w:val="baseline"/>
        <w:rPr>
          <w:b/>
        </w:rPr>
      </w:pPr>
    </w:p>
    <w:p w:rsidRPr="00D36819" w:rsidR="0096247E" w:rsidP="00CC4510" w:rsidRDefault="0096247E" w14:paraId="3F9E4BDA" w14:textId="01735E5D">
      <w:pPr>
        <w:keepNext/>
        <w:keepLines/>
        <w:tabs>
          <w:tab w:val="center" w:pos="284"/>
        </w:tabs>
        <w:overflowPunct w:val="0"/>
        <w:autoSpaceDE w:val="0"/>
        <w:autoSpaceDN w:val="0"/>
        <w:adjustRightInd w:val="0"/>
        <w:ind w:left="266" w:hanging="266"/>
        <w:textAlignment w:val="baseline"/>
        <w:rPr>
          <w:bCs/>
        </w:rPr>
      </w:pPr>
      <w:r>
        <w:t>Az EGSZB:</w:t>
      </w:r>
    </w:p>
    <w:p w:rsidRPr="00115BBC" w:rsidR="00115BBC" w:rsidP="00115BBC" w:rsidRDefault="00115BBC" w14:paraId="67D5FDBC" w14:textId="77777777">
      <w:pPr>
        <w:keepNext/>
        <w:keepLines/>
        <w:tabs>
          <w:tab w:val="center" w:pos="284"/>
        </w:tabs>
        <w:overflowPunct w:val="0"/>
        <w:autoSpaceDE w:val="0"/>
        <w:autoSpaceDN w:val="0"/>
        <w:adjustRightInd w:val="0"/>
        <w:ind w:left="266" w:hanging="266"/>
        <w:textAlignment w:val="baseline"/>
        <w:rPr>
          <w:b/>
        </w:rPr>
      </w:pPr>
    </w:p>
    <w:p w:rsidRPr="00115BBC" w:rsidR="00115BBC" w:rsidP="00CC4510" w:rsidRDefault="00115BBC" w14:paraId="1773FF5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támogatja, hogy – amellett, hogy legyenek mindenki számára hozzáférhető bírósági eljárások, illetve hogy a nemzeti hatóságok érvényesítsék a fogyasztói jogokat – dolgozzanak ki alternatív vitarendezést (AVR) </w:t>
      </w:r>
      <w:r>
        <w:rPr>
          <w:b/>
        </w:rPr>
        <w:t>bírósági eljárások</w:t>
      </w:r>
      <w:r>
        <w:t xml:space="preserve"> olyan esetekben elérhető </w:t>
      </w:r>
      <w:r>
        <w:rPr>
          <w:b/>
        </w:rPr>
        <w:t>alternatívájaként</w:t>
      </w:r>
      <w:r>
        <w:t>, amikor a fogyasztóknak jogorvoslati igénye merül fel kereskedők által okozott károkért,</w:t>
      </w:r>
    </w:p>
    <w:p w:rsidRPr="00115BBC" w:rsidR="00115BBC" w:rsidP="00CC4510" w:rsidRDefault="00115BBC" w14:paraId="5816C77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hangsúlyozza, hogy ösztönözni kell a tagállamokat és az iparágakat ilyen rendszerek létrehozására, a </w:t>
      </w:r>
      <w:r>
        <w:rPr>
          <w:b/>
        </w:rPr>
        <w:t>kereskedőke</w:t>
      </w:r>
      <w:r>
        <w:t xml:space="preserve">t, köztük a </w:t>
      </w:r>
      <w:r>
        <w:rPr>
          <w:b/>
        </w:rPr>
        <w:t>kkv-kat</w:t>
      </w:r>
      <w:r>
        <w:t xml:space="preserve"> pedig arra, hogy önkéntesen csatlakozzanak ezekhez a rendszerekhez; arra kéri az Európai Bizottságot, hogy </w:t>
      </w:r>
      <w:r>
        <w:rPr>
          <w:b/>
        </w:rPr>
        <w:t>három évvel</w:t>
      </w:r>
      <w:r>
        <w:t xml:space="preserve"> a javasolt irányelv </w:t>
      </w:r>
      <w:r>
        <w:rPr>
          <w:b/>
        </w:rPr>
        <w:t>végrehajtása után ellenőrizze, hogy milyen előrehaladást sikerült elérni az alternatív vitarendezési rendszerek terén</w:t>
      </w:r>
      <w:r>
        <w:t>,</w:t>
      </w:r>
    </w:p>
    <w:p w:rsidRPr="00115BBC" w:rsidR="00115BBC" w:rsidP="00CC4510" w:rsidRDefault="00115BBC" w14:paraId="7CEE7EBC"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úgy véli, hogy az </w:t>
      </w:r>
      <w:r>
        <w:rPr>
          <w:b/>
        </w:rPr>
        <w:t>AVR-fórumoktól kapott visszajelzések</w:t>
      </w:r>
      <w:r>
        <w:t xml:space="preserve"> rendkívül értékesek mind a szakemberek, mind a jogalkotók, illetve a szabályozó szervek számára. Ezért szorgalmazza, hogy amellett, hogy az AVR-rendszereknek kétévente kötelező tevékenységi jelentéseket közzétenni, vezessék be a </w:t>
      </w:r>
      <w:r>
        <w:rPr>
          <w:b/>
        </w:rPr>
        <w:t>válsághelyzetekről szóló gyorsított beszámolást</w:t>
      </w:r>
      <w:r>
        <w:t xml:space="preserve"> is. Arra kéri az Európai Bizottságot, hogy az ágazati szabályozások értékelései során használja fel az AVR-platformoktól kapott visszajelzéseket,</w:t>
      </w:r>
    </w:p>
    <w:p w:rsidRPr="00115BBC" w:rsidR="00115BBC" w:rsidP="00CC4510" w:rsidRDefault="00115BBC" w14:paraId="6480EB14"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arra kéri a jogalkotókat, hogy </w:t>
      </w:r>
      <w:r>
        <w:rPr>
          <w:b/>
        </w:rPr>
        <w:t>pontosítsák azt a követelményt, hogy a fogyasztóknak először a kereskedőhöz kell fordulniuk, mielőtt AVR-rendszerhez folyamodnának</w:t>
      </w:r>
      <w:r>
        <w:t xml:space="preserve">; pontosítsák továbbá az azon kereskedőkre alkalmazandó </w:t>
      </w:r>
      <w:r>
        <w:rPr>
          <w:b/>
        </w:rPr>
        <w:t>szankciókat</w:t>
      </w:r>
      <w:r>
        <w:t>, akik nem tesznek eleget annak a követelménynek, hogy a javaslatokban említett 20 munkanapon belül nyilatkozzanak az AVR-eljárás elfogadásáról.</w:t>
      </w:r>
    </w:p>
    <w:p w:rsidRPr="00115BBC" w:rsidR="007B51DD" w:rsidP="00115BBC" w:rsidRDefault="007B51DD" w14:paraId="163168CE" w14:textId="77777777">
      <w:pPr>
        <w:widowControl w:val="0"/>
        <w:overflowPunct w:val="0"/>
        <w:autoSpaceDE w:val="0"/>
        <w:autoSpaceDN w:val="0"/>
        <w:adjustRightInd w:val="0"/>
        <w:ind w:left="709"/>
        <w:textAlignment w:val="baseline"/>
        <w:rPr>
          <w:szCs w:val="20"/>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115BBC" w:rsidR="00115BBC" w:rsidTr="00B05454" w14:paraId="0EF87FAC" w14:textId="77777777">
        <w:tc>
          <w:tcPr>
            <w:tcW w:w="1418" w:type="dxa"/>
          </w:tcPr>
          <w:p w:rsidRPr="00115BBC" w:rsidR="00115BBC" w:rsidP="00115BBC" w:rsidRDefault="00115BBC" w14:paraId="3A608033"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115BBC" w:rsidR="00115BBC" w:rsidP="00115BBC" w:rsidRDefault="00115BBC" w14:paraId="2322F407" w14:textId="1D370AF8">
            <w:pPr>
              <w:overflowPunct w:val="0"/>
              <w:autoSpaceDE w:val="0"/>
              <w:autoSpaceDN w:val="0"/>
              <w:adjustRightInd w:val="0"/>
              <w:spacing w:line="240"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Pr="00115BBC" w:rsidR="00115BBC" w:rsidTr="00B05454" w14:paraId="1C49B2AC" w14:textId="77777777">
        <w:tc>
          <w:tcPr>
            <w:tcW w:w="1418" w:type="dxa"/>
          </w:tcPr>
          <w:p w:rsidRPr="00115BBC" w:rsidR="00115BBC" w:rsidP="00115BBC" w:rsidRDefault="00115BBC" w14:paraId="6E4695C4" w14:textId="77777777">
            <w:pPr>
              <w:overflowPunct w:val="0"/>
              <w:autoSpaceDE w:val="0"/>
              <w:autoSpaceDN w:val="0"/>
              <w:adjustRightInd w:val="0"/>
              <w:spacing w:line="240" w:lineRule="auto"/>
              <w:textAlignment w:val="baseline"/>
              <w:rPr>
                <w:i/>
              </w:rPr>
            </w:pPr>
            <w:r>
              <w:rPr>
                <w:i/>
              </w:rPr>
              <w:t>Tel.:</w:t>
            </w:r>
          </w:p>
        </w:tc>
        <w:tc>
          <w:tcPr>
            <w:tcW w:w="5670" w:type="dxa"/>
          </w:tcPr>
          <w:p w:rsidRPr="00115BBC" w:rsidR="00115BBC" w:rsidP="00115BBC" w:rsidRDefault="00115BBC" w14:paraId="24EC6775" w14:textId="77777777">
            <w:pPr>
              <w:overflowPunct w:val="0"/>
              <w:autoSpaceDE w:val="0"/>
              <w:autoSpaceDN w:val="0"/>
              <w:adjustRightInd w:val="0"/>
              <w:spacing w:line="240" w:lineRule="auto"/>
              <w:textAlignment w:val="baseline"/>
              <w:rPr>
                <w:i/>
              </w:rPr>
            </w:pPr>
            <w:r>
              <w:rPr>
                <w:i/>
              </w:rPr>
              <w:t>+32 25468378</w:t>
            </w:r>
          </w:p>
        </w:tc>
      </w:tr>
      <w:tr w:rsidRPr="00115BBC" w:rsidR="00115BBC" w:rsidTr="00B05454" w14:paraId="55737622" w14:textId="77777777">
        <w:tc>
          <w:tcPr>
            <w:tcW w:w="1418" w:type="dxa"/>
          </w:tcPr>
          <w:p w:rsidRPr="00115BBC" w:rsidR="00115BBC" w:rsidP="00115BBC" w:rsidRDefault="00115BBC" w14:paraId="525828AE" w14:textId="77777777">
            <w:pPr>
              <w:overflowPunct w:val="0"/>
              <w:autoSpaceDE w:val="0"/>
              <w:autoSpaceDN w:val="0"/>
              <w:adjustRightInd w:val="0"/>
              <w:spacing w:line="240" w:lineRule="auto"/>
              <w:textAlignment w:val="baseline"/>
              <w:rPr>
                <w:i/>
              </w:rPr>
            </w:pPr>
            <w:r>
              <w:rPr>
                <w:i/>
              </w:rPr>
              <w:t>E-mail-cím:</w:t>
            </w:r>
          </w:p>
        </w:tc>
        <w:tc>
          <w:tcPr>
            <w:tcW w:w="5670" w:type="dxa"/>
          </w:tcPr>
          <w:p w:rsidRPr="00115BBC" w:rsidR="00115BBC" w:rsidP="00115BBC" w:rsidRDefault="00893292" w14:paraId="1B1D7DE5" w14:textId="77777777">
            <w:pPr>
              <w:overflowPunct w:val="0"/>
              <w:autoSpaceDE w:val="0"/>
              <w:autoSpaceDN w:val="0"/>
              <w:adjustRightInd w:val="0"/>
              <w:spacing w:line="240" w:lineRule="auto"/>
              <w:textAlignment w:val="baseline"/>
              <w:rPr>
                <w:i/>
                <w:iCs/>
              </w:rPr>
            </w:pPr>
            <w:hyperlink w:history="1" r:id="rId30">
              <w:r w:rsidR="00E72EBF">
                <w:rPr>
                  <w:i/>
                  <w:color w:val="0000FF"/>
                  <w:u w:val="single"/>
                </w:rPr>
                <w:t>Silvia.Staffa@eesc.europa.eu</w:t>
              </w:r>
            </w:hyperlink>
          </w:p>
        </w:tc>
      </w:tr>
    </w:tbl>
    <w:p w:rsidR="00115BBC" w:rsidRDefault="00115BBC" w14:paraId="7C16A4C7" w14:textId="77777777">
      <w:pPr>
        <w:spacing w:after="160" w:line="259" w:lineRule="auto"/>
        <w:jc w:val="left"/>
        <w:rPr>
          <w:sz w:val="16"/>
          <w:szCs w:val="16"/>
        </w:rPr>
      </w:pPr>
    </w:p>
    <w:p w:rsidR="00115BBC" w:rsidRDefault="00115BBC" w14:paraId="548FB513" w14:textId="77777777">
      <w:pPr>
        <w:spacing w:after="160" w:line="259" w:lineRule="auto"/>
        <w:jc w:val="left"/>
        <w:rPr>
          <w:sz w:val="16"/>
          <w:szCs w:val="16"/>
        </w:rPr>
      </w:pPr>
      <w:r>
        <w:br w:type="page"/>
      </w:r>
    </w:p>
    <w:p w:rsidRPr="00016C21" w:rsidR="00016C21" w:rsidP="00016C21" w:rsidRDefault="00893292" w14:paraId="53C9A431" w14:textId="0A37C9E2">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E72EBF">
          <w:rPr>
            <w:b/>
            <w:i/>
            <w:color w:val="0000FF"/>
            <w:sz w:val="28"/>
            <w:u w:val="single"/>
          </w:rPr>
          <w:t>Kkv-segélycsomag</w:t>
        </w:r>
      </w:hyperlink>
    </w:p>
    <w:p w:rsidRPr="00016C21" w:rsidR="00016C21" w:rsidP="00016C21" w:rsidRDefault="00016C21" w14:paraId="79ACBD18" w14:textId="77777777">
      <w:pPr>
        <w:tabs>
          <w:tab w:val="center" w:pos="284"/>
        </w:tabs>
        <w:overflowPunct w:val="0"/>
        <w:autoSpaceDE w:val="0"/>
        <w:autoSpaceDN w:val="0"/>
        <w:adjustRightInd w:val="0"/>
        <w:ind w:left="266" w:hanging="266"/>
        <w:textAlignment w:val="baseline"/>
        <w:rPr>
          <w:b/>
        </w:rPr>
      </w:pPr>
    </w:p>
    <w:tbl>
      <w:tblPr>
        <w:tblStyle w:val="TableGrid20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241"/>
      </w:tblGrid>
      <w:tr w:rsidRPr="00016C21" w:rsidR="00016C21" w:rsidTr="00CC4510" w14:paraId="4F2580C3" w14:textId="77777777">
        <w:tc>
          <w:tcPr>
            <w:tcW w:w="1228" w:type="pct"/>
          </w:tcPr>
          <w:p w:rsidRPr="00016C21" w:rsidR="00016C21" w:rsidP="00016C21" w:rsidRDefault="00016C21" w14:paraId="72DF44FE" w14:textId="77777777">
            <w:pPr>
              <w:tabs>
                <w:tab w:val="center" w:pos="0"/>
              </w:tabs>
              <w:overflowPunct w:val="0"/>
              <w:autoSpaceDE w:val="0"/>
              <w:autoSpaceDN w:val="0"/>
              <w:adjustRightInd w:val="0"/>
              <w:jc w:val="left"/>
              <w:textAlignment w:val="baseline"/>
              <w:rPr>
                <w:b/>
              </w:rPr>
            </w:pPr>
            <w:r>
              <w:rPr>
                <w:b/>
              </w:rPr>
              <w:t>Előadó:</w:t>
            </w:r>
            <w:r>
              <w:rPr>
                <w:b/>
              </w:rPr>
              <w:br/>
              <w:t>Társelőadó:</w:t>
            </w:r>
          </w:p>
        </w:tc>
        <w:tc>
          <w:tcPr>
            <w:tcW w:w="3772" w:type="pct"/>
          </w:tcPr>
          <w:p w:rsidRPr="00016C21" w:rsidR="00016C21" w:rsidP="0052434F" w:rsidRDefault="00016C21" w14:paraId="7A66A71A" w14:textId="1948A7D0">
            <w:pPr>
              <w:tabs>
                <w:tab w:val="center" w:pos="0"/>
              </w:tabs>
              <w:overflowPunct w:val="0"/>
              <w:autoSpaceDE w:val="0"/>
              <w:autoSpaceDN w:val="0"/>
              <w:adjustRightInd w:val="0"/>
              <w:ind w:right="1591"/>
              <w:jc w:val="left"/>
              <w:textAlignment w:val="baseline"/>
            </w:pPr>
            <w:proofErr w:type="spellStart"/>
            <w:r>
              <w:t>Alena</w:t>
            </w:r>
            <w:proofErr w:type="spellEnd"/>
            <w:r>
              <w:t xml:space="preserve"> MASTANTUONO (CZ/I)</w:t>
            </w:r>
            <w:r>
              <w:br/>
              <w:t>Angelo PAGLIARA (IT/II)</w:t>
            </w:r>
          </w:p>
        </w:tc>
      </w:tr>
      <w:tr w:rsidRPr="00016C21" w:rsidR="00016C21" w:rsidTr="00CC4510" w14:paraId="0DAADC43" w14:textId="77777777">
        <w:tc>
          <w:tcPr>
            <w:tcW w:w="5000" w:type="pct"/>
            <w:gridSpan w:val="2"/>
          </w:tcPr>
          <w:p w:rsidRPr="00016C21" w:rsidR="00016C21" w:rsidP="00016C21" w:rsidRDefault="00016C21" w14:paraId="6CC99D77" w14:textId="77777777">
            <w:pPr>
              <w:tabs>
                <w:tab w:val="center" w:pos="284"/>
              </w:tabs>
              <w:overflowPunct w:val="0"/>
              <w:autoSpaceDE w:val="0"/>
              <w:autoSpaceDN w:val="0"/>
              <w:adjustRightInd w:val="0"/>
              <w:spacing w:line="160" w:lineRule="exact"/>
              <w:ind w:left="266" w:hanging="266"/>
              <w:textAlignment w:val="baseline"/>
            </w:pPr>
          </w:p>
        </w:tc>
      </w:tr>
      <w:tr w:rsidRPr="00016C21" w:rsidR="00016C21" w:rsidTr="00CC4510" w14:paraId="3C188AC4" w14:textId="77777777">
        <w:tc>
          <w:tcPr>
            <w:tcW w:w="1228" w:type="pct"/>
            <w:vMerge w:val="restart"/>
          </w:tcPr>
          <w:p w:rsidRPr="00016C21" w:rsidR="00016C21" w:rsidP="00016C21" w:rsidRDefault="00016C21" w14:paraId="6ED0BDE5" w14:textId="77777777">
            <w:pPr>
              <w:tabs>
                <w:tab w:val="center" w:pos="284"/>
              </w:tabs>
              <w:overflowPunct w:val="0"/>
              <w:autoSpaceDE w:val="0"/>
              <w:autoSpaceDN w:val="0"/>
              <w:adjustRightInd w:val="0"/>
              <w:ind w:left="266" w:hanging="266"/>
              <w:textAlignment w:val="baseline"/>
              <w:rPr>
                <w:b/>
              </w:rPr>
            </w:pPr>
            <w:r>
              <w:rPr>
                <w:b/>
              </w:rPr>
              <w:t>Hivatkozások:</w:t>
            </w:r>
          </w:p>
        </w:tc>
        <w:tc>
          <w:tcPr>
            <w:tcW w:w="3772" w:type="pct"/>
          </w:tcPr>
          <w:p w:rsidRPr="00016C21" w:rsidR="00016C21" w:rsidP="00016C21" w:rsidRDefault="00016C21" w14:paraId="5911E5F0" w14:textId="77777777">
            <w:pPr>
              <w:tabs>
                <w:tab w:val="center" w:pos="284"/>
              </w:tabs>
              <w:overflowPunct w:val="0"/>
              <w:autoSpaceDE w:val="0"/>
              <w:autoSpaceDN w:val="0"/>
              <w:adjustRightInd w:val="0"/>
              <w:ind w:left="266" w:hanging="266"/>
              <w:textAlignment w:val="baseline"/>
            </w:pPr>
            <w:r>
              <w:t xml:space="preserve">COM(2023) 535 </w:t>
            </w:r>
            <w:proofErr w:type="spellStart"/>
            <w:r>
              <w:t>final</w:t>
            </w:r>
            <w:proofErr w:type="spellEnd"/>
          </w:p>
          <w:p w:rsidRPr="00016C21" w:rsidR="00016C21" w:rsidP="00016C21" w:rsidRDefault="00016C21" w14:paraId="1EAF09D2" w14:textId="77777777">
            <w:pPr>
              <w:tabs>
                <w:tab w:val="center" w:pos="284"/>
              </w:tabs>
              <w:overflowPunct w:val="0"/>
              <w:autoSpaceDE w:val="0"/>
              <w:autoSpaceDN w:val="0"/>
              <w:adjustRightInd w:val="0"/>
              <w:ind w:left="266" w:hanging="266"/>
              <w:textAlignment w:val="baseline"/>
            </w:pPr>
            <w:r>
              <w:t>EESC-2023-05071-00-00-AC</w:t>
            </w:r>
          </w:p>
        </w:tc>
      </w:tr>
      <w:tr w:rsidRPr="00016C21" w:rsidR="00016C21" w:rsidTr="00CC4510" w14:paraId="34BD45CA" w14:textId="77777777">
        <w:tc>
          <w:tcPr>
            <w:tcW w:w="1228" w:type="pct"/>
            <w:vMerge/>
          </w:tcPr>
          <w:p w:rsidRPr="00016C21" w:rsidR="00016C21" w:rsidP="00016C21" w:rsidRDefault="00016C21" w14:paraId="14905400" w14:textId="77777777">
            <w:pPr>
              <w:tabs>
                <w:tab w:val="center" w:pos="284"/>
              </w:tabs>
              <w:overflowPunct w:val="0"/>
              <w:autoSpaceDE w:val="0"/>
              <w:autoSpaceDN w:val="0"/>
              <w:adjustRightInd w:val="0"/>
              <w:ind w:left="266" w:hanging="266"/>
              <w:textAlignment w:val="baseline"/>
              <w:rPr>
                <w:b/>
              </w:rPr>
            </w:pPr>
          </w:p>
        </w:tc>
        <w:tc>
          <w:tcPr>
            <w:tcW w:w="3772" w:type="pct"/>
          </w:tcPr>
          <w:p w:rsidRPr="00016C21" w:rsidR="00016C21" w:rsidP="00016C21" w:rsidRDefault="00016C21" w14:paraId="7FF352D2" w14:textId="77777777">
            <w:pPr>
              <w:tabs>
                <w:tab w:val="center" w:pos="284"/>
              </w:tabs>
              <w:overflowPunct w:val="0"/>
              <w:autoSpaceDE w:val="0"/>
              <w:autoSpaceDN w:val="0"/>
              <w:adjustRightInd w:val="0"/>
              <w:ind w:left="266" w:hanging="266"/>
              <w:textAlignment w:val="baseline"/>
            </w:pPr>
          </w:p>
        </w:tc>
      </w:tr>
    </w:tbl>
    <w:p w:rsidRPr="00016C21" w:rsidR="00016C21" w:rsidP="00CC4510" w:rsidRDefault="00016C21" w14:paraId="5C2B27D4" w14:textId="77777777">
      <w:pPr>
        <w:keepNext/>
        <w:keepLines/>
        <w:tabs>
          <w:tab w:val="center" w:pos="284"/>
        </w:tabs>
        <w:overflowPunct w:val="0"/>
        <w:autoSpaceDE w:val="0"/>
        <w:autoSpaceDN w:val="0"/>
        <w:adjustRightInd w:val="0"/>
        <w:ind w:left="266" w:hanging="124"/>
        <w:textAlignment w:val="baseline"/>
        <w:rPr>
          <w:b/>
        </w:rPr>
      </w:pPr>
      <w:r>
        <w:rPr>
          <w:b/>
        </w:rPr>
        <w:t>Főbb pontok</w:t>
      </w:r>
    </w:p>
    <w:p w:rsidRPr="00016C21" w:rsidR="00016C21" w:rsidP="00016C21" w:rsidRDefault="00016C21" w14:paraId="7EA3DADC" w14:textId="77777777">
      <w:pPr>
        <w:keepNext/>
        <w:keepLines/>
        <w:tabs>
          <w:tab w:val="center" w:pos="284"/>
        </w:tabs>
        <w:overflowPunct w:val="0"/>
        <w:autoSpaceDE w:val="0"/>
        <w:autoSpaceDN w:val="0"/>
        <w:adjustRightInd w:val="0"/>
        <w:ind w:left="266" w:hanging="266"/>
        <w:textAlignment w:val="baseline"/>
        <w:rPr>
          <w:b/>
        </w:rPr>
      </w:pPr>
    </w:p>
    <w:p w:rsidRPr="00016C21" w:rsidR="00016C21" w:rsidP="00CC4510" w:rsidRDefault="00016C21" w14:paraId="6F102ADF" w14:textId="77777777">
      <w:pPr>
        <w:overflowPunct w:val="0"/>
        <w:autoSpaceDE w:val="0"/>
        <w:autoSpaceDN w:val="0"/>
        <w:adjustRightInd w:val="0"/>
        <w:ind w:firstLine="142"/>
        <w:textAlignment w:val="baseline"/>
        <w:rPr>
          <w:bCs/>
          <w:iCs/>
        </w:rPr>
      </w:pPr>
      <w:r>
        <w:t>Az EGSZB:</w:t>
      </w:r>
    </w:p>
    <w:p w:rsidRPr="00016C21" w:rsidR="00016C21" w:rsidP="00016C21" w:rsidRDefault="00016C21" w14:paraId="5A499E14" w14:textId="77777777">
      <w:pPr>
        <w:overflowPunct w:val="0"/>
        <w:autoSpaceDE w:val="0"/>
        <w:autoSpaceDN w:val="0"/>
        <w:adjustRightInd w:val="0"/>
        <w:textAlignment w:val="baseline"/>
        <w:rPr>
          <w:bCs/>
          <w:iCs/>
        </w:rPr>
      </w:pPr>
    </w:p>
    <w:p w:rsidRPr="00016C21" w:rsidR="00016C21" w:rsidP="00CC4510" w:rsidRDefault="00016C21" w14:paraId="554242DA" w14:textId="77777777">
      <w:pPr>
        <w:numPr>
          <w:ilvl w:val="0"/>
          <w:numId w:val="24"/>
        </w:numPr>
        <w:overflowPunct w:val="0"/>
        <w:autoSpaceDE w:val="0"/>
        <w:autoSpaceDN w:val="0"/>
        <w:adjustRightInd w:val="0"/>
        <w:spacing w:after="200" w:line="276" w:lineRule="auto"/>
        <w:ind w:left="284" w:hanging="284"/>
        <w:contextualSpacing/>
        <w:textAlignment w:val="baseline"/>
        <w:rPr>
          <w:rFonts w:ascii="Calibri" w:hAnsi="Calibri"/>
          <w:bCs/>
          <w:iCs/>
        </w:rPr>
      </w:pPr>
      <w:r>
        <w:t xml:space="preserve">üdvözli a kkv-segélycsomagot, amely egy arra irányuló kísérlet, hogy </w:t>
      </w:r>
      <w:r>
        <w:rPr>
          <w:b/>
        </w:rPr>
        <w:t>a kkv-kat az európai jogszabályok</w:t>
      </w:r>
      <w:r>
        <w:t xml:space="preserve"> és a versenyképességet támogató európai stratégiák, viták és intézkedések </w:t>
      </w:r>
      <w:r>
        <w:rPr>
          <w:b/>
        </w:rPr>
        <w:t>középpontjába helyezzék</w:t>
      </w:r>
      <w:r>
        <w:t xml:space="preserve">. A következő Európai Bizottságnak ezt </w:t>
      </w:r>
      <w:r>
        <w:rPr>
          <w:b/>
        </w:rPr>
        <w:t>prioritásként kell kezelnie, és biztosítania kell az elv folytonosságát</w:t>
      </w:r>
      <w:r>
        <w:t>,</w:t>
      </w:r>
    </w:p>
    <w:p w:rsidRPr="00016C21" w:rsidR="00016C21" w:rsidP="00CC4510" w:rsidRDefault="00016C21" w14:paraId="6A0B7A03"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úgy hiszi, hogy az Európai Bizottságnak biztosítania kell, hogy </w:t>
      </w:r>
      <w:r>
        <w:rPr>
          <w:b/>
        </w:rPr>
        <w:t>az uniós kkv-követ vállalkozói háttérrel</w:t>
      </w:r>
      <w:r>
        <w:t xml:space="preserve"> és jól meghatározott kompetenciákkal és felelősségi körökkel rendelkezzen a következő, 2024–2029-es mandátumidőszakban, és a pozícióhoz </w:t>
      </w:r>
      <w:r>
        <w:rPr>
          <w:b/>
        </w:rPr>
        <w:t>megfelelő</w:t>
      </w:r>
      <w:r>
        <w:t xml:space="preserve"> személyzeti és pénzügyi </w:t>
      </w:r>
      <w:r>
        <w:rPr>
          <w:b/>
        </w:rPr>
        <w:t>források</w:t>
      </w:r>
      <w:r>
        <w:t xml:space="preserve"> társuljanak,</w:t>
      </w:r>
    </w:p>
    <w:p w:rsidRPr="00016C21" w:rsidR="00016C21" w:rsidP="00CC4510" w:rsidRDefault="00016C21" w14:paraId="5554B69B"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üdvözli az egyszerűsítésre és a </w:t>
      </w:r>
      <w:proofErr w:type="spellStart"/>
      <w:r>
        <w:t>héa</w:t>
      </w:r>
      <w:proofErr w:type="spellEnd"/>
      <w:r>
        <w:t xml:space="preserve"> területén a határokon átnyúló tevékenységekkel kapcsolatos </w:t>
      </w:r>
      <w:proofErr w:type="spellStart"/>
      <w:r>
        <w:t>terhek</w:t>
      </w:r>
      <w:proofErr w:type="spellEnd"/>
      <w:r>
        <w:t xml:space="preserve"> csökkentésére irányuló erőfeszítéseket. Az EGSZB azonban megjegyzi, hogy többet kell tenni az egyéb tartós akadályok eltávolítása érdekében. </w:t>
      </w:r>
      <w:r>
        <w:rPr>
          <w:b/>
        </w:rPr>
        <w:t>Az egységes piac széttöredezettsége</w:t>
      </w:r>
      <w:r>
        <w:t xml:space="preserve"> és az árukra és szolgáltatásokra vonatkozó </w:t>
      </w:r>
      <w:r>
        <w:rPr>
          <w:b/>
        </w:rPr>
        <w:t>eltérő nemzeti szabályok jelentős terhet rónak a vállalkozásokra</w:t>
      </w:r>
      <w:r>
        <w:t>,</w:t>
      </w:r>
    </w:p>
    <w:p w:rsidRPr="00016C21" w:rsidR="00016C21" w:rsidP="00CC4510" w:rsidRDefault="00016C21" w14:paraId="2DEE3944"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azt javasolja, hogy testre szabott segítségnyújtással </w:t>
      </w:r>
      <w:r>
        <w:rPr>
          <w:b/>
        </w:rPr>
        <w:t>könnyítsék meg a kkv-k számára a pénzügyi forrásokhoz való hozzáférést</w:t>
      </w:r>
      <w:r>
        <w:t>, akár vissza nem térítendő támogatások, kölcsönök vagy más pénzügyi eszközök révén. Az EGSZB arra kéri továbbá az Európai Bizottságot, hogy hozzon meg minden szükséges intézkedést annak érdekében, hogy ösztönözze a kkv-kat arra, hogy az uniós finanszírozáshoz való hozzáférés tekintetében felelősségteljes magatartást tanúsítsanak,</w:t>
      </w:r>
    </w:p>
    <w:p w:rsidRPr="00016C21" w:rsidR="00016C21" w:rsidP="00CC4510" w:rsidRDefault="00016C21" w14:paraId="2717C131"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kiemeli, hogy a már meglévő eszközök jobb kihasználása hozzájárulhat a bürokrácia elkerüléséhez. Jó példa erre, ha </w:t>
      </w:r>
      <w:r>
        <w:rPr>
          <w:b/>
        </w:rPr>
        <w:t>minden jogalkotási javaslatban feltüntetik a javaslatból eredő várható kötelezettségeket</w:t>
      </w:r>
      <w:r>
        <w:t xml:space="preserve">, ami többek között hozzájárul a halmozott </w:t>
      </w:r>
      <w:proofErr w:type="spellStart"/>
      <w:r>
        <w:t>terhek</w:t>
      </w:r>
      <w:proofErr w:type="spellEnd"/>
      <w:r>
        <w:t xml:space="preserve"> jobb megértéséhez.</w:t>
      </w:r>
    </w:p>
    <w:p w:rsidRPr="00016C21" w:rsidR="00016C21" w:rsidP="00016C21" w:rsidRDefault="00016C21" w14:paraId="29A5A99B" w14:textId="77777777">
      <w:pPr>
        <w:spacing w:after="120" w:line="276" w:lineRule="auto"/>
        <w:ind w:left="1434"/>
        <w:rPr>
          <w:bCs/>
          <w:iCs/>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16C21" w:rsidR="00016C21" w:rsidTr="00B05454" w14:paraId="33461CA2" w14:textId="77777777">
        <w:tc>
          <w:tcPr>
            <w:tcW w:w="1556" w:type="pct"/>
          </w:tcPr>
          <w:p w:rsidRPr="00016C21" w:rsidR="00016C21" w:rsidP="00016C21" w:rsidRDefault="00016C21" w14:paraId="536875C6"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016C21" w:rsidR="00016C21" w:rsidP="00016C21" w:rsidRDefault="00016C21" w14:paraId="697B1E4B" w14:textId="77777777">
            <w:pPr>
              <w:overflowPunct w:val="0"/>
              <w:autoSpaceDE w:val="0"/>
              <w:autoSpaceDN w:val="0"/>
              <w:adjustRightInd w:val="0"/>
              <w:spacing w:line="240" w:lineRule="auto"/>
              <w:textAlignment w:val="baseline"/>
              <w:rPr>
                <w:i/>
              </w:rPr>
            </w:pPr>
            <w:proofErr w:type="spellStart"/>
            <w:r>
              <w:rPr>
                <w:i/>
              </w:rPr>
              <w:t>Dalila</w:t>
            </w:r>
            <w:proofErr w:type="spellEnd"/>
            <w:r>
              <w:rPr>
                <w:i/>
              </w:rPr>
              <w:t xml:space="preserve"> Bernard</w:t>
            </w:r>
          </w:p>
        </w:tc>
      </w:tr>
      <w:tr w:rsidRPr="00016C21" w:rsidR="00016C21" w:rsidTr="00B05454" w14:paraId="11E64266" w14:textId="77777777">
        <w:tc>
          <w:tcPr>
            <w:tcW w:w="1556" w:type="pct"/>
          </w:tcPr>
          <w:p w:rsidRPr="00016C21" w:rsidR="00016C21" w:rsidP="00016C21" w:rsidRDefault="00016C21" w14:paraId="23C53038" w14:textId="77777777">
            <w:pPr>
              <w:overflowPunct w:val="0"/>
              <w:autoSpaceDE w:val="0"/>
              <w:autoSpaceDN w:val="0"/>
              <w:adjustRightInd w:val="0"/>
              <w:spacing w:line="240" w:lineRule="auto"/>
              <w:textAlignment w:val="baseline"/>
              <w:rPr>
                <w:i/>
              </w:rPr>
            </w:pPr>
            <w:r>
              <w:rPr>
                <w:i/>
              </w:rPr>
              <w:t>Tel.:</w:t>
            </w:r>
          </w:p>
        </w:tc>
        <w:tc>
          <w:tcPr>
            <w:tcW w:w="3444" w:type="pct"/>
          </w:tcPr>
          <w:p w:rsidRPr="00016C21" w:rsidR="00016C21" w:rsidP="00016C21" w:rsidRDefault="00016C21" w14:paraId="5ED7A51D" w14:textId="77777777">
            <w:pPr>
              <w:overflowPunct w:val="0"/>
              <w:autoSpaceDE w:val="0"/>
              <w:autoSpaceDN w:val="0"/>
              <w:adjustRightInd w:val="0"/>
              <w:spacing w:line="240" w:lineRule="auto"/>
              <w:textAlignment w:val="baseline"/>
              <w:rPr>
                <w:i/>
              </w:rPr>
            </w:pPr>
            <w:r>
              <w:rPr>
                <w:i/>
              </w:rPr>
              <w:t>+ 32 25468438</w:t>
            </w:r>
          </w:p>
        </w:tc>
      </w:tr>
      <w:tr w:rsidRPr="00016C21" w:rsidR="00016C21" w:rsidTr="00B05454" w14:paraId="72056838" w14:textId="77777777">
        <w:tc>
          <w:tcPr>
            <w:tcW w:w="1556" w:type="pct"/>
          </w:tcPr>
          <w:p w:rsidRPr="00016C21" w:rsidR="00016C21" w:rsidP="00016C21" w:rsidRDefault="00016C21" w14:paraId="498DF601" w14:textId="77777777">
            <w:pPr>
              <w:overflowPunct w:val="0"/>
              <w:autoSpaceDE w:val="0"/>
              <w:autoSpaceDN w:val="0"/>
              <w:adjustRightInd w:val="0"/>
              <w:spacing w:line="240" w:lineRule="auto"/>
              <w:textAlignment w:val="baseline"/>
              <w:rPr>
                <w:i/>
              </w:rPr>
            </w:pPr>
            <w:r>
              <w:rPr>
                <w:i/>
              </w:rPr>
              <w:t>E-mail-cím:</w:t>
            </w:r>
          </w:p>
        </w:tc>
        <w:tc>
          <w:tcPr>
            <w:tcW w:w="3444" w:type="pct"/>
          </w:tcPr>
          <w:p w:rsidRPr="00016C21" w:rsidR="00016C21" w:rsidP="00016C21" w:rsidRDefault="00893292" w14:paraId="78D8A06B" w14:textId="135A9FB2">
            <w:pPr>
              <w:overflowPunct w:val="0"/>
              <w:autoSpaceDE w:val="0"/>
              <w:autoSpaceDN w:val="0"/>
              <w:adjustRightInd w:val="0"/>
              <w:spacing w:line="240" w:lineRule="auto"/>
              <w:textAlignment w:val="baseline"/>
              <w:rPr>
                <w:i/>
              </w:rPr>
            </w:pPr>
            <w:hyperlink w:history="1" r:id="rId32">
              <w:r w:rsidR="00E72EBF">
                <w:rPr>
                  <w:color w:val="0000FF"/>
                  <w:u w:val="single"/>
                </w:rPr>
                <w:t>Dalila.Bernard@eesc.europa.eu</w:t>
              </w:r>
            </w:hyperlink>
          </w:p>
          <w:p w:rsidRPr="00016C21" w:rsidR="00016C21" w:rsidP="00016C21" w:rsidRDefault="00016C21" w14:paraId="298F1AD7" w14:textId="77777777">
            <w:pPr>
              <w:overflowPunct w:val="0"/>
              <w:autoSpaceDE w:val="0"/>
              <w:autoSpaceDN w:val="0"/>
              <w:adjustRightInd w:val="0"/>
              <w:spacing w:line="240" w:lineRule="auto"/>
              <w:textAlignment w:val="baseline"/>
              <w:rPr>
                <w:i/>
              </w:rPr>
            </w:pPr>
          </w:p>
        </w:tc>
      </w:tr>
    </w:tbl>
    <w:p w:rsidR="00DC121F" w:rsidRDefault="00DC121F" w14:paraId="6AFE14EC" w14:textId="0BBC5EDB">
      <w:pPr>
        <w:spacing w:after="160" w:line="259" w:lineRule="auto"/>
        <w:jc w:val="left"/>
        <w:rPr>
          <w:sz w:val="16"/>
          <w:szCs w:val="16"/>
        </w:rPr>
      </w:pPr>
      <w:r>
        <w:br w:type="page"/>
      </w:r>
    </w:p>
    <w:p w:rsidRPr="00EE2FBD" w:rsidR="004C3902" w:rsidP="00234EA0" w:rsidRDefault="008E2A59" w14:paraId="7AD922B6" w14:textId="6D6B967E">
      <w:pPr>
        <w:pStyle w:val="Heading1"/>
        <w:ind w:hanging="928"/>
        <w:rPr>
          <w:b/>
          <w:bCs/>
        </w:rPr>
      </w:pPr>
      <w:bookmarkStart w:name="_Toc153539681" w:id="17"/>
      <w:bookmarkStart w:name="_Toc160785867" w:id="18"/>
      <w:r>
        <w:rPr>
          <w:b/>
        </w:rPr>
        <w:lastRenderedPageBreak/>
        <w:t>MEZŐGAZDASÁG, VIDÉKFEJLESZTÉS ÉS KÖRNYEZETVÉDELEM</w:t>
      </w:r>
      <w:bookmarkStart w:name="_Hlk145944317" w:id="19"/>
      <w:bookmarkEnd w:id="17"/>
      <w:bookmarkEnd w:id="18"/>
    </w:p>
    <w:bookmarkEnd w:id="19"/>
    <w:p w:rsidRPr="00094B6B" w:rsidR="002C016E" w:rsidP="0052434F" w:rsidRDefault="002C016E" w14:paraId="0E7342A4" w14:textId="73254B30"/>
    <w:p w:rsidRPr="00016C21" w:rsidR="00016C21" w:rsidP="0052434F" w:rsidRDefault="00893292" w14:paraId="48966958" w14:textId="16AD2DEF">
      <w:pPr>
        <w:widowControl w:val="0"/>
        <w:numPr>
          <w:ilvl w:val="0"/>
          <w:numId w:val="2"/>
        </w:numPr>
        <w:overflowPunct w:val="0"/>
        <w:autoSpaceDE w:val="0"/>
        <w:autoSpaceDN w:val="0"/>
        <w:adjustRightInd w:val="0"/>
        <w:ind w:hanging="567"/>
        <w:textAlignment w:val="baseline"/>
        <w:rPr>
          <w:i/>
        </w:rPr>
      </w:pPr>
      <w:hyperlink w:history="1" r:id="rId33">
        <w:r w:rsidR="00E72EBF">
          <w:rPr>
            <w:b/>
            <w:i/>
            <w:color w:val="0000FF"/>
            <w:sz w:val="28"/>
            <w:u w:val="single"/>
          </w:rPr>
          <w:t xml:space="preserve">A műanyag pellet környezetbe jutásának a </w:t>
        </w:r>
        <w:proofErr w:type="spellStart"/>
        <w:r w:rsidR="00E72EBF">
          <w:rPr>
            <w:b/>
            <w:i/>
            <w:color w:val="0000FF"/>
            <w:sz w:val="28"/>
            <w:u w:val="single"/>
          </w:rPr>
          <w:t>mikroműanyag</w:t>
        </w:r>
        <w:proofErr w:type="spellEnd"/>
        <w:r w:rsidR="00E72EBF">
          <w:rPr>
            <w:b/>
            <w:i/>
            <w:color w:val="0000FF"/>
            <w:sz w:val="28"/>
            <w:u w:val="single"/>
          </w:rPr>
          <w:t>-szennyezés csökkentése érdekében történő megelőzése</w:t>
        </w:r>
      </w:hyperlink>
    </w:p>
    <w:p w:rsidR="00016C21" w:rsidP="0052434F" w:rsidRDefault="00016C21" w14:paraId="4D542D75" w14:textId="1DD5ECBD">
      <w:pPr>
        <w:rPr>
          <w:sz w:val="16"/>
          <w:szCs w:val="16"/>
        </w:rPr>
      </w:pPr>
    </w:p>
    <w:p w:rsidRPr="00016C21" w:rsidR="005E64DC" w:rsidP="0052434F" w:rsidRDefault="005E64DC" w14:paraId="32E7BE77" w14:textId="77777777">
      <w:pPr>
        <w:rPr>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16C21" w:rsidR="00016C21" w:rsidTr="00B05454" w14:paraId="2AA339FF" w14:textId="77777777">
        <w:tc>
          <w:tcPr>
            <w:tcW w:w="1701" w:type="dxa"/>
          </w:tcPr>
          <w:p w:rsidRPr="00016C21" w:rsidR="00016C21" w:rsidP="0052434F" w:rsidRDefault="00016C21" w14:paraId="3160CF33" w14:textId="77777777">
            <w:pPr>
              <w:rPr>
                <w:b/>
              </w:rPr>
            </w:pPr>
            <w:r>
              <w:rPr>
                <w:b/>
              </w:rPr>
              <w:t>Előadó:</w:t>
            </w:r>
          </w:p>
        </w:tc>
        <w:tc>
          <w:tcPr>
            <w:tcW w:w="6096" w:type="dxa"/>
          </w:tcPr>
          <w:p w:rsidRPr="00016C21" w:rsidR="00016C21" w:rsidP="0052434F" w:rsidRDefault="00016C21" w14:paraId="69F9AE5E" w14:textId="0CC7DB21">
            <w:r>
              <w:rPr>
                <w:b/>
              </w:rPr>
              <w:t>EDELÉNYI András</w:t>
            </w:r>
            <w:r>
              <w:t xml:space="preserve"> (HU/Munkáltatók)</w:t>
            </w:r>
          </w:p>
        </w:tc>
      </w:tr>
      <w:tr w:rsidRPr="00016C21" w:rsidR="00016C21" w:rsidTr="00B05454" w14:paraId="3D2947AE" w14:textId="77777777">
        <w:tc>
          <w:tcPr>
            <w:tcW w:w="1701" w:type="dxa"/>
          </w:tcPr>
          <w:p w:rsidRPr="00016C21" w:rsidR="00016C21" w:rsidP="0052434F" w:rsidRDefault="00016C21" w14:paraId="52F4AA0D" w14:textId="77777777">
            <w:pPr>
              <w:rPr>
                <w:b/>
              </w:rPr>
            </w:pPr>
            <w:r>
              <w:rPr>
                <w:b/>
              </w:rPr>
              <w:t>Társelőadó:</w:t>
            </w:r>
          </w:p>
        </w:tc>
        <w:tc>
          <w:tcPr>
            <w:tcW w:w="6096" w:type="dxa"/>
          </w:tcPr>
          <w:p w:rsidRPr="00016C21" w:rsidR="00016C21" w:rsidP="0052434F" w:rsidRDefault="00016C21" w14:paraId="0F2C9A54" w14:textId="6A2E4865">
            <w:pPr>
              <w:rPr>
                <w:b/>
              </w:rPr>
            </w:pPr>
            <w:proofErr w:type="spellStart"/>
            <w:r>
              <w:rPr>
                <w:b/>
              </w:rPr>
              <w:t>María</w:t>
            </w:r>
            <w:proofErr w:type="spellEnd"/>
            <w:r>
              <w:rPr>
                <w:b/>
              </w:rPr>
              <w:t xml:space="preserve"> NIKOLOPOULOU</w:t>
            </w:r>
            <w:r>
              <w:t xml:space="preserve"> (Munkavállalók/ES)</w:t>
            </w:r>
          </w:p>
        </w:tc>
      </w:tr>
      <w:tr w:rsidRPr="00016C21" w:rsidR="00016C21" w:rsidTr="00B05454" w14:paraId="37E9B43F" w14:textId="77777777">
        <w:tc>
          <w:tcPr>
            <w:tcW w:w="7797" w:type="dxa"/>
            <w:gridSpan w:val="2"/>
          </w:tcPr>
          <w:p w:rsidRPr="00016C21" w:rsidR="00016C21" w:rsidP="0052434F" w:rsidRDefault="00016C21" w14:paraId="73AFBCC5" w14:textId="77777777">
            <w:pPr>
              <w:rPr>
                <w:sz w:val="10"/>
                <w:szCs w:val="10"/>
              </w:rPr>
            </w:pPr>
          </w:p>
        </w:tc>
      </w:tr>
      <w:tr w:rsidRPr="00016C21" w:rsidR="00016C21" w:rsidTr="00B05454" w14:paraId="15D23674" w14:textId="77777777">
        <w:tc>
          <w:tcPr>
            <w:tcW w:w="1701" w:type="dxa"/>
            <w:vMerge w:val="restart"/>
          </w:tcPr>
          <w:p w:rsidRPr="00016C21" w:rsidR="00016C21" w:rsidP="0052434F" w:rsidRDefault="00016C21" w14:paraId="1BB4B745" w14:textId="77777777">
            <w:pPr>
              <w:rPr>
                <w:b/>
              </w:rPr>
            </w:pPr>
            <w:r>
              <w:rPr>
                <w:b/>
              </w:rPr>
              <w:t>Hivatkozás:</w:t>
            </w:r>
          </w:p>
        </w:tc>
        <w:tc>
          <w:tcPr>
            <w:tcW w:w="6096" w:type="dxa"/>
          </w:tcPr>
          <w:p w:rsidRPr="00016C21" w:rsidR="00016C21" w:rsidP="0052434F" w:rsidRDefault="00016C21" w14:paraId="7EE7987F" w14:textId="0C9C2881">
            <w:r>
              <w:t xml:space="preserve">COM(2023) 645 </w:t>
            </w:r>
            <w:proofErr w:type="spellStart"/>
            <w:r>
              <w:t>final</w:t>
            </w:r>
            <w:proofErr w:type="spellEnd"/>
          </w:p>
        </w:tc>
      </w:tr>
      <w:tr w:rsidRPr="00016C21" w:rsidR="00016C21" w:rsidTr="00B05454" w14:paraId="5C2E846C" w14:textId="77777777">
        <w:tc>
          <w:tcPr>
            <w:tcW w:w="1701" w:type="dxa"/>
            <w:vMerge/>
          </w:tcPr>
          <w:p w:rsidRPr="00016C21" w:rsidR="00016C21" w:rsidP="0052434F" w:rsidRDefault="00016C21" w14:paraId="3C7FAC6C" w14:textId="77777777">
            <w:pPr>
              <w:rPr>
                <w:b/>
              </w:rPr>
            </w:pPr>
          </w:p>
        </w:tc>
        <w:tc>
          <w:tcPr>
            <w:tcW w:w="6096" w:type="dxa"/>
          </w:tcPr>
          <w:p w:rsidRPr="00016C21" w:rsidR="00016C21" w:rsidP="0052434F" w:rsidRDefault="00016C21" w14:paraId="0906927D" w14:textId="5DCAA039">
            <w:r>
              <w:t>EESC-2023-04923-00-00-AC</w:t>
            </w:r>
          </w:p>
        </w:tc>
      </w:tr>
    </w:tbl>
    <w:p w:rsidR="00C05C6B" w:rsidP="0052434F" w:rsidRDefault="00C05C6B" w14:paraId="53A18EF3" w14:textId="77777777">
      <w:pPr>
        <w:rPr>
          <w:b/>
        </w:rPr>
      </w:pPr>
    </w:p>
    <w:p w:rsidRPr="00016C21" w:rsidR="00016C21" w:rsidP="0052434F" w:rsidRDefault="00016C21" w14:paraId="7C49C143" w14:textId="4C6ED9AD">
      <w:pPr>
        <w:rPr>
          <w:b/>
        </w:rPr>
      </w:pPr>
      <w:r>
        <w:rPr>
          <w:b/>
        </w:rPr>
        <w:t>Főbb pontok</w:t>
      </w:r>
    </w:p>
    <w:p w:rsidRPr="00016C21" w:rsidR="00016C21" w:rsidP="0052434F" w:rsidRDefault="00016C21" w14:paraId="34882F56" w14:textId="77777777">
      <w:pPr>
        <w:rPr>
          <w:sz w:val="16"/>
          <w:szCs w:val="16"/>
        </w:rPr>
      </w:pPr>
    </w:p>
    <w:p w:rsidR="00016C21" w:rsidP="0052434F" w:rsidRDefault="00016C21" w14:paraId="678CC3CA" w14:textId="6F26DAA6">
      <w:r>
        <w:t>Az EGSZB:</w:t>
      </w:r>
    </w:p>
    <w:p w:rsidRPr="00016C21" w:rsidR="005E64DC" w:rsidP="0052434F" w:rsidRDefault="005E64DC" w14:paraId="409EF56F" w14:textId="77777777"/>
    <w:p w:rsidRPr="0052434F" w:rsidR="00016C21" w:rsidP="0052434F" w:rsidRDefault="00016C21" w14:paraId="1E401C83" w14:textId="77777777">
      <w:pPr>
        <w:pStyle w:val="ListParagraph"/>
        <w:numPr>
          <w:ilvl w:val="0"/>
          <w:numId w:val="36"/>
        </w:numPr>
        <w:ind w:left="426"/>
        <w:rPr>
          <w:szCs w:val="20"/>
        </w:rPr>
      </w:pPr>
      <w:bookmarkStart w:name="_Toc159831772" w:id="20"/>
      <w:r w:rsidRPr="0052434F">
        <w:rPr>
          <w:b/>
        </w:rPr>
        <w:t>egyetért</w:t>
      </w:r>
      <w:r>
        <w:t xml:space="preserve"> a </w:t>
      </w:r>
      <w:proofErr w:type="spellStart"/>
      <w:r>
        <w:t>mikroműanyag</w:t>
      </w:r>
      <w:proofErr w:type="spellEnd"/>
      <w:r>
        <w:t xml:space="preserve">-pellettel kapcsolatos műveletek és kibocsátások szabályozásáról, valamint a veszélyes szennyezésnek e konkrét területen való mérsékléséről szóló </w:t>
      </w:r>
      <w:r w:rsidRPr="0052434F">
        <w:rPr>
          <w:b/>
        </w:rPr>
        <w:t>európai bizottsági javaslattal</w:t>
      </w:r>
      <w:r>
        <w:t>, és alapvetően támogatja azt,</w:t>
      </w:r>
      <w:bookmarkEnd w:id="20"/>
    </w:p>
    <w:p w:rsidRPr="0052434F" w:rsidR="00016C21" w:rsidP="0052434F" w:rsidRDefault="00016C21" w14:paraId="1C92984C" w14:textId="77777777">
      <w:pPr>
        <w:pStyle w:val="ListParagraph"/>
        <w:numPr>
          <w:ilvl w:val="0"/>
          <w:numId w:val="36"/>
        </w:numPr>
        <w:ind w:left="426"/>
        <w:rPr>
          <w:spacing w:val="-2"/>
          <w:szCs w:val="20"/>
        </w:rPr>
      </w:pPr>
      <w:bookmarkStart w:name="_Toc159831773" w:id="21"/>
      <w:r>
        <w:t xml:space="preserve">rámutat, hogy sürgősen </w:t>
      </w:r>
      <w:r w:rsidRPr="0052434F">
        <w:rPr>
          <w:b/>
        </w:rPr>
        <w:t xml:space="preserve">ki kell dolgozni a </w:t>
      </w:r>
      <w:proofErr w:type="spellStart"/>
      <w:r w:rsidRPr="0052434F">
        <w:rPr>
          <w:b/>
        </w:rPr>
        <w:t>mikroműanyag</w:t>
      </w:r>
      <w:proofErr w:type="spellEnd"/>
      <w:r w:rsidRPr="0052434F">
        <w:rPr>
          <w:b/>
        </w:rPr>
        <w:t>-pellet környezetbe jutásának</w:t>
      </w:r>
      <w:r>
        <w:t xml:space="preserve"> a teljes ellátási lánc mentén történő </w:t>
      </w:r>
      <w:r w:rsidRPr="0052434F">
        <w:rPr>
          <w:b/>
        </w:rPr>
        <w:t>nyomon követésére és</w:t>
      </w:r>
      <w:r>
        <w:t xml:space="preserve"> megfelelő </w:t>
      </w:r>
      <w:r w:rsidRPr="0052434F">
        <w:rPr>
          <w:b/>
        </w:rPr>
        <w:t>becslésére szolgáló szabványosított módszertant</w:t>
      </w:r>
      <w:r>
        <w:t>. Ez lehetővé teheti a kibocsátások becslését és a 2030-ra kitűzött 30%-os környezetvédelmi csökkentési cél elérésével kapcsolatos előrehaladás nyomon követését,</w:t>
      </w:r>
      <w:bookmarkEnd w:id="21"/>
    </w:p>
    <w:p w:rsidRPr="0052434F" w:rsidR="00016C21" w:rsidP="0052434F" w:rsidRDefault="00016C21" w14:paraId="3EE952C2" w14:textId="77777777">
      <w:pPr>
        <w:pStyle w:val="ListParagraph"/>
        <w:numPr>
          <w:ilvl w:val="0"/>
          <w:numId w:val="36"/>
        </w:numPr>
        <w:ind w:left="426"/>
        <w:rPr>
          <w:spacing w:val="-8"/>
          <w:szCs w:val="20"/>
        </w:rPr>
      </w:pPr>
      <w:bookmarkStart w:name="_Toc159831774" w:id="22"/>
      <w:r>
        <w:t xml:space="preserve">javasolja, hogy </w:t>
      </w:r>
      <w:r w:rsidRPr="0052434F">
        <w:rPr>
          <w:b/>
        </w:rPr>
        <w:t>az EU továbbá igazodjon a Nemzetközi Tengerészeti Szervezet (IMO) jogalkotási</w:t>
      </w:r>
      <w:r>
        <w:t xml:space="preserve"> folyamatához. Amennyiben az IMO 2026 közepéig nem határoz meg szabályokat, az Európai Bizottságnak fontolóra kell vennie az EU-n belüli tengeri szállításra vonatkozó rendelkezések végrehajtását, valamint hogy megteremtse az alapját a gumiabroncsokból, festékekből, textíliákból, </w:t>
      </w:r>
      <w:proofErr w:type="spellStart"/>
      <w:r>
        <w:t>geotextíliákból</w:t>
      </w:r>
      <w:proofErr w:type="spellEnd"/>
      <w:r>
        <w:t xml:space="preserve"> és mosószerkapszulákból származó másodlagos </w:t>
      </w:r>
      <w:proofErr w:type="spellStart"/>
      <w:r>
        <w:t>mikroműanyagok</w:t>
      </w:r>
      <w:proofErr w:type="spellEnd"/>
      <w:r>
        <w:t xml:space="preserve"> problémája kezelésének,</w:t>
      </w:r>
      <w:bookmarkEnd w:id="22"/>
    </w:p>
    <w:p w:rsidRPr="0052434F" w:rsidR="00016C21" w:rsidP="0052434F" w:rsidRDefault="00016C21" w14:paraId="1818AA54" w14:textId="77777777">
      <w:pPr>
        <w:pStyle w:val="ListParagraph"/>
        <w:numPr>
          <w:ilvl w:val="0"/>
          <w:numId w:val="36"/>
        </w:numPr>
        <w:ind w:left="426"/>
        <w:rPr>
          <w:szCs w:val="20"/>
        </w:rPr>
      </w:pPr>
      <w:bookmarkStart w:name="_Toc159831775" w:id="23"/>
      <w:r>
        <w:t xml:space="preserve">a környezetvédelmi és az emberi élet védelmére vonatkozó szempontok tekintetében javasolja, hogy a rendeletben – a szennyezés enyhítésére/csökkentésére szolgáló lehetséges beavatkozási pontokként – </w:t>
      </w:r>
      <w:r w:rsidRPr="0052434F">
        <w:rPr>
          <w:b/>
        </w:rPr>
        <w:t>fordítsanak figyelmet</w:t>
      </w:r>
      <w:r>
        <w:t xml:space="preserve"> a </w:t>
      </w:r>
      <w:proofErr w:type="spellStart"/>
      <w:r>
        <w:t>mikroműanyagok</w:t>
      </w:r>
      <w:proofErr w:type="spellEnd"/>
      <w:r>
        <w:t xml:space="preserve"> kibocsátásának leginkább kitett </w:t>
      </w:r>
      <w:r w:rsidRPr="0052434F">
        <w:rPr>
          <w:b/>
        </w:rPr>
        <w:t>földrajzi területekre</w:t>
      </w:r>
      <w:r>
        <w:t>,</w:t>
      </w:r>
      <w:bookmarkEnd w:id="23"/>
    </w:p>
    <w:p w:rsidRPr="0052434F" w:rsidR="00016C21" w:rsidP="0052434F" w:rsidRDefault="00016C21" w14:paraId="054B27CB" w14:textId="77777777">
      <w:pPr>
        <w:pStyle w:val="ListParagraph"/>
        <w:numPr>
          <w:ilvl w:val="0"/>
          <w:numId w:val="36"/>
        </w:numPr>
        <w:ind w:left="426"/>
        <w:rPr>
          <w:szCs w:val="20"/>
        </w:rPr>
      </w:pPr>
      <w:bookmarkStart w:name="_Toc159831776" w:id="24"/>
      <w:r>
        <w:t xml:space="preserve">hangsúlyozza, hogy </w:t>
      </w:r>
      <w:r w:rsidRPr="0052434F">
        <w:rPr>
          <w:b/>
        </w:rPr>
        <w:t>növelni kell a megfelelőség ellenőrzésének gyakoriságát</w:t>
      </w:r>
      <w:r>
        <w:t xml:space="preserve">, és </w:t>
      </w:r>
      <w:r w:rsidRPr="0052434F">
        <w:rPr>
          <w:b/>
        </w:rPr>
        <w:t>be kell vezetni a jogszabályok félidős felülvizsgálatát</w:t>
      </w:r>
      <w:r>
        <w:t xml:space="preserve"> a hatékonyság értékelése, valamint a </w:t>
      </w:r>
      <w:proofErr w:type="spellStart"/>
      <w:r>
        <w:t>mikro</w:t>
      </w:r>
      <w:proofErr w:type="spellEnd"/>
      <w:r>
        <w:t>- és kisvállalkozások számára előírt könnyített szabályozási követelményekben a pelletgyártásra vonatkozóan megállapított mennyiségi korlátozás felülvizsgálata és szükség esetén finomhangolása érdekében,</w:t>
      </w:r>
      <w:bookmarkEnd w:id="24"/>
    </w:p>
    <w:p w:rsidRPr="0052434F" w:rsidR="00016C21" w:rsidP="0052434F" w:rsidRDefault="00016C21" w14:paraId="2F4250F7" w14:textId="77777777">
      <w:pPr>
        <w:pStyle w:val="ListParagraph"/>
        <w:numPr>
          <w:ilvl w:val="0"/>
          <w:numId w:val="36"/>
        </w:numPr>
        <w:ind w:left="426"/>
        <w:rPr>
          <w:szCs w:val="20"/>
        </w:rPr>
      </w:pPr>
      <w:bookmarkStart w:name="_Toc159831777" w:id="25"/>
      <w:r>
        <w:t xml:space="preserve">figyelmeztet, hogy a szűz és újrahasznosított műanyag pelletek rohamosan növekvő gyártása miatt egyre nehezebb mérsékelni a hatásukat. Ezért fel kell gyorsítani a rendelet </w:t>
      </w:r>
      <w:r w:rsidRPr="0052434F">
        <w:rPr>
          <w:b/>
        </w:rPr>
        <w:t>végrehajtására és érvényre juttatására</w:t>
      </w:r>
      <w:r>
        <w:t xml:space="preserve"> irányuló erőfeszítéseket,</w:t>
      </w:r>
      <w:bookmarkEnd w:id="25"/>
    </w:p>
    <w:p w:rsidRPr="0052434F" w:rsidR="00016C21" w:rsidP="0052434F" w:rsidRDefault="00016C21" w14:paraId="1E28F2BE" w14:textId="77777777">
      <w:pPr>
        <w:pStyle w:val="ListParagraph"/>
        <w:numPr>
          <w:ilvl w:val="0"/>
          <w:numId w:val="36"/>
        </w:numPr>
        <w:ind w:left="426"/>
        <w:rPr>
          <w:szCs w:val="20"/>
        </w:rPr>
      </w:pPr>
      <w:bookmarkStart w:name="_Toc159831778" w:id="26"/>
      <w:r>
        <w:t xml:space="preserve">megjegyzi, hogy a környezetvédelemmel és fenntarthatósággal kapcsolatos területek (zöldgalléros munkahelyek) kivételével nincs nagy igény további munkavállalókra, de </w:t>
      </w:r>
      <w:r w:rsidRPr="0052434F">
        <w:rPr>
          <w:b/>
        </w:rPr>
        <w:t>a tudatosságot és a képzési szintet a munkaerő egészében növelni kell</w:t>
      </w:r>
      <w:r>
        <w:t>,</w:t>
      </w:r>
      <w:bookmarkEnd w:id="26"/>
    </w:p>
    <w:p w:rsidRPr="0052434F" w:rsidR="00016C21" w:rsidP="0052434F" w:rsidRDefault="00016C21" w14:paraId="23F522CA" w14:textId="77777777">
      <w:pPr>
        <w:pStyle w:val="ListParagraph"/>
        <w:numPr>
          <w:ilvl w:val="0"/>
          <w:numId w:val="36"/>
        </w:numPr>
        <w:ind w:left="426"/>
        <w:rPr>
          <w:szCs w:val="20"/>
        </w:rPr>
      </w:pPr>
      <w:bookmarkStart w:name="_Toc159831779" w:id="27"/>
      <w:r>
        <w:t xml:space="preserve">rámutat, hogy </w:t>
      </w:r>
      <w:r w:rsidRPr="0052434F">
        <w:rPr>
          <w:b/>
        </w:rPr>
        <w:t>figyelembe kell venni a rendelet nemzetközi vonatkozásait</w:t>
      </w:r>
      <w:r>
        <w:t xml:space="preserve"> annak érdekében, hogy a versenykörnyezetben egyenlő versenyfeltételeket lehessen biztosítani a rendeletnek megfelelő uniós szereplők és a harmadik országbeli szereplők között,</w:t>
      </w:r>
      <w:bookmarkEnd w:id="27"/>
    </w:p>
    <w:p w:rsidRPr="0052434F" w:rsidR="00016C21" w:rsidP="0052434F" w:rsidRDefault="00016C21" w14:paraId="0E4468F7" w14:textId="77777777">
      <w:pPr>
        <w:pStyle w:val="ListParagraph"/>
        <w:numPr>
          <w:ilvl w:val="0"/>
          <w:numId w:val="36"/>
        </w:numPr>
        <w:ind w:left="426"/>
        <w:rPr>
          <w:spacing w:val="-4"/>
          <w:szCs w:val="20"/>
        </w:rPr>
      </w:pPr>
      <w:bookmarkStart w:name="_Toc159831780" w:id="28"/>
      <w:r>
        <w:lastRenderedPageBreak/>
        <w:t xml:space="preserve">hangsúlyozza, hogy fokozni kell a tudományos és kutatási tevékenységeket, elsősorban a </w:t>
      </w:r>
      <w:proofErr w:type="spellStart"/>
      <w:r>
        <w:t>mikroműanyag</w:t>
      </w:r>
      <w:proofErr w:type="spellEnd"/>
      <w:r>
        <w:t>-pelletből származó szennyezés emberi egészségre és környezetre gyakorolt káros hatásainak megértése érdekében,</w:t>
      </w:r>
      <w:bookmarkEnd w:id="28"/>
    </w:p>
    <w:p w:rsidRPr="0052434F" w:rsidR="00016C21" w:rsidP="0052434F" w:rsidRDefault="00016C21" w14:paraId="717B8D71" w14:textId="77777777">
      <w:pPr>
        <w:pStyle w:val="ListParagraph"/>
        <w:numPr>
          <w:ilvl w:val="0"/>
          <w:numId w:val="36"/>
        </w:numPr>
        <w:ind w:left="426"/>
        <w:rPr>
          <w:spacing w:val="-6"/>
          <w:szCs w:val="20"/>
        </w:rPr>
      </w:pPr>
      <w:bookmarkStart w:name="_Toc159831781" w:id="29"/>
      <w:r>
        <w:t xml:space="preserve">javasolja, hogy </w:t>
      </w:r>
      <w:r w:rsidRPr="0052434F">
        <w:rPr>
          <w:b/>
        </w:rPr>
        <w:t>vizsgálják felül a</w:t>
      </w:r>
      <w:r>
        <w:t xml:space="preserve"> gazdasági szereplőkre vonatkozó </w:t>
      </w:r>
      <w:r w:rsidRPr="0052434F">
        <w:rPr>
          <w:b/>
        </w:rPr>
        <w:t>legjobb elérhető technikákat</w:t>
      </w:r>
      <w:r>
        <w:t>, beépítve azokba a pelletek környezetbe jutását is.</w:t>
      </w:r>
      <w:bookmarkEnd w:id="29"/>
    </w:p>
    <w:p w:rsidR="00016C21" w:rsidP="0052434F" w:rsidRDefault="00016C21" w14:paraId="2BEE0D5B" w14:textId="4403D595">
      <w:pPr>
        <w:rPr>
          <w:sz w:val="16"/>
          <w:szCs w:val="16"/>
        </w:rPr>
      </w:pPr>
    </w:p>
    <w:p w:rsidRPr="00016C21" w:rsidR="00DC108A" w:rsidP="0052434F" w:rsidRDefault="00DC108A" w14:paraId="62259C3A" w14:textId="77777777">
      <w:pPr>
        <w:rPr>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016C21" w:rsidR="00016C21" w:rsidTr="00B05454" w14:paraId="5AD55413" w14:textId="77777777">
        <w:tc>
          <w:tcPr>
            <w:tcW w:w="1418" w:type="dxa"/>
          </w:tcPr>
          <w:p w:rsidRPr="00016C21" w:rsidR="00016C21" w:rsidP="0052434F" w:rsidRDefault="00016C21" w14:paraId="668325B6" w14:textId="77777777">
            <w:pPr>
              <w:rPr>
                <w:i/>
              </w:rPr>
            </w:pPr>
            <w:r>
              <w:rPr>
                <w:b/>
                <w:i/>
              </w:rPr>
              <w:t>Kapcsolattartó:</w:t>
            </w:r>
          </w:p>
        </w:tc>
        <w:tc>
          <w:tcPr>
            <w:tcW w:w="5670" w:type="dxa"/>
          </w:tcPr>
          <w:p w:rsidRPr="00016C21" w:rsidR="00016C21" w:rsidP="0052434F" w:rsidRDefault="00016C21" w14:paraId="504AA629" w14:textId="77777777">
            <w:pPr>
              <w:rPr>
                <w:i/>
              </w:rPr>
            </w:pPr>
            <w:r>
              <w:rPr>
                <w:i/>
              </w:rPr>
              <w:t xml:space="preserve">Caroline </w:t>
            </w:r>
            <w:proofErr w:type="spellStart"/>
            <w:r>
              <w:rPr>
                <w:i/>
              </w:rPr>
              <w:t>Verhelst</w:t>
            </w:r>
            <w:proofErr w:type="spellEnd"/>
          </w:p>
        </w:tc>
      </w:tr>
      <w:tr w:rsidRPr="00016C21" w:rsidR="00016C21" w:rsidTr="00B05454" w14:paraId="12754F25" w14:textId="77777777">
        <w:tc>
          <w:tcPr>
            <w:tcW w:w="1418" w:type="dxa"/>
          </w:tcPr>
          <w:p w:rsidRPr="00016C21" w:rsidR="00016C21" w:rsidP="0052434F" w:rsidRDefault="00016C21" w14:paraId="45074D4B" w14:textId="77777777">
            <w:pPr>
              <w:rPr>
                <w:i/>
              </w:rPr>
            </w:pPr>
            <w:r>
              <w:rPr>
                <w:i/>
              </w:rPr>
              <w:t>Tel.:</w:t>
            </w:r>
          </w:p>
        </w:tc>
        <w:tc>
          <w:tcPr>
            <w:tcW w:w="5670" w:type="dxa"/>
          </w:tcPr>
          <w:p w:rsidRPr="00016C21" w:rsidR="00016C21" w:rsidP="0052434F" w:rsidRDefault="00016C21" w14:paraId="442D21C5" w14:textId="77777777">
            <w:pPr>
              <w:rPr>
                <w:i/>
              </w:rPr>
            </w:pPr>
            <w:r>
              <w:rPr>
                <w:i/>
              </w:rPr>
              <w:t>+32 25469497</w:t>
            </w:r>
          </w:p>
        </w:tc>
      </w:tr>
      <w:tr w:rsidRPr="00016C21" w:rsidR="00016C21" w:rsidTr="00B05454" w14:paraId="249DD5BE" w14:textId="77777777">
        <w:tc>
          <w:tcPr>
            <w:tcW w:w="1418" w:type="dxa"/>
          </w:tcPr>
          <w:p w:rsidRPr="00016C21" w:rsidR="00016C21" w:rsidP="0052434F" w:rsidRDefault="00DC108A" w14:paraId="396A0A58" w14:textId="71177E55">
            <w:pPr>
              <w:rPr>
                <w:i/>
              </w:rPr>
            </w:pPr>
            <w:r>
              <w:rPr>
                <w:i/>
              </w:rPr>
              <w:t>E-mail-cím:</w:t>
            </w:r>
          </w:p>
        </w:tc>
        <w:tc>
          <w:tcPr>
            <w:tcW w:w="5670" w:type="dxa"/>
          </w:tcPr>
          <w:p w:rsidRPr="00016C21" w:rsidR="00016C21" w:rsidP="0052434F" w:rsidRDefault="00893292" w14:paraId="341BABE2" w14:textId="77777777">
            <w:pPr>
              <w:rPr>
                <w:i/>
                <w:color w:val="0000FF"/>
                <w:u w:val="single"/>
              </w:rPr>
            </w:pPr>
            <w:hyperlink w:history="1" r:id="rId34">
              <w:r w:rsidR="00E72EBF">
                <w:rPr>
                  <w:i/>
                  <w:color w:val="0000FF"/>
                  <w:u w:val="single"/>
                </w:rPr>
                <w:t>Caroline.Verhelst@eesc.europa.eu</w:t>
              </w:r>
            </w:hyperlink>
          </w:p>
        </w:tc>
      </w:tr>
    </w:tbl>
    <w:p w:rsidR="006938FA" w:rsidP="0052434F" w:rsidRDefault="006938FA" w14:paraId="6AD61F9D" w14:textId="2D567E4A">
      <w:pPr>
        <w:rPr>
          <w:b/>
        </w:rPr>
      </w:pPr>
    </w:p>
    <w:p w:rsidRPr="00810736" w:rsidR="006B3316" w:rsidP="0074419C" w:rsidRDefault="005374D2" w14:paraId="4FE1ECEE" w14:textId="7B16969B">
      <w:pPr>
        <w:pStyle w:val="Heading1"/>
        <w:ind w:hanging="928"/>
        <w:rPr>
          <w:b/>
          <w:bCs/>
        </w:rPr>
      </w:pPr>
      <w:bookmarkStart w:name="_Toc153539702" w:id="30"/>
      <w:bookmarkStart w:name="_Toc160785868" w:id="31"/>
      <w:r>
        <w:rPr>
          <w:b/>
        </w:rPr>
        <w:t>KÜLKAPCSOLATOK</w:t>
      </w:r>
      <w:bookmarkEnd w:id="30"/>
      <w:bookmarkEnd w:id="31"/>
    </w:p>
    <w:p w:rsidR="00BD0493" w:rsidP="00BD0493" w:rsidRDefault="00BD0493" w14:paraId="10EC00FD" w14:textId="45B98434"/>
    <w:p w:rsidRPr="00231267" w:rsidR="00231267" w:rsidP="00CC4510" w:rsidRDefault="00893292" w14:paraId="1DBCF0C9" w14:textId="6A3796A6">
      <w:pPr>
        <w:widowControl w:val="0"/>
        <w:numPr>
          <w:ilvl w:val="0"/>
          <w:numId w:val="12"/>
        </w:numPr>
        <w:overflowPunct w:val="0"/>
        <w:autoSpaceDE w:val="0"/>
        <w:autoSpaceDN w:val="0"/>
        <w:adjustRightInd w:val="0"/>
        <w:ind w:hanging="720"/>
        <w:jc w:val="left"/>
        <w:textAlignment w:val="baseline"/>
        <w:rPr>
          <w:sz w:val="20"/>
          <w:szCs w:val="20"/>
        </w:rPr>
      </w:pPr>
      <w:hyperlink w:history="1" r:id="rId35">
        <w:r w:rsidR="00E72EBF">
          <w:rPr>
            <w:b/>
            <w:i/>
            <w:color w:val="0000FF"/>
            <w:sz w:val="28"/>
            <w:u w:val="single"/>
          </w:rPr>
          <w:t>Az európai gazdasági biztonsági stratégia</w:t>
        </w:r>
      </w:hyperlink>
    </w:p>
    <w:p w:rsidRPr="00231267" w:rsidR="00231267" w:rsidP="00231267" w:rsidRDefault="00231267" w14:paraId="746E1E4A" w14:textId="77777777">
      <w:pPr>
        <w:widowControl w:val="0"/>
        <w:overflowPunct w:val="0"/>
        <w:autoSpaceDE w:val="0"/>
        <w:autoSpaceDN w:val="0"/>
        <w:adjustRightInd w:val="0"/>
        <w:jc w:val="left"/>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387"/>
      </w:tblGrid>
      <w:tr w:rsidRPr="00231267" w:rsidR="00231267" w:rsidTr="00CC4510" w14:paraId="588E9B2D" w14:textId="77777777">
        <w:trPr>
          <w:trHeight w:val="330"/>
        </w:trPr>
        <w:tc>
          <w:tcPr>
            <w:tcW w:w="1843" w:type="dxa"/>
          </w:tcPr>
          <w:p w:rsidRPr="00231267" w:rsidR="00231267" w:rsidP="00CC4510" w:rsidRDefault="00231267" w14:paraId="3F8D03D4" w14:textId="77777777">
            <w:pPr>
              <w:tabs>
                <w:tab w:val="center" w:pos="284"/>
              </w:tabs>
              <w:overflowPunct w:val="0"/>
              <w:autoSpaceDE w:val="0"/>
              <w:autoSpaceDN w:val="0"/>
              <w:adjustRightInd w:val="0"/>
              <w:ind w:left="266" w:hanging="376"/>
              <w:textAlignment w:val="baseline"/>
              <w:rPr>
                <w:b/>
              </w:rPr>
            </w:pPr>
            <w:r>
              <w:rPr>
                <w:b/>
              </w:rPr>
              <w:t>Előadó:</w:t>
            </w:r>
          </w:p>
        </w:tc>
        <w:tc>
          <w:tcPr>
            <w:tcW w:w="5387" w:type="dxa"/>
          </w:tcPr>
          <w:p w:rsidRPr="00231267" w:rsidR="00231267" w:rsidP="00CC4510" w:rsidRDefault="00231267" w14:paraId="1FD8BB1A" w14:textId="719B603A">
            <w:pPr>
              <w:tabs>
                <w:tab w:val="center" w:pos="2585"/>
              </w:tabs>
              <w:overflowPunct w:val="0"/>
              <w:autoSpaceDE w:val="0"/>
              <w:autoSpaceDN w:val="0"/>
              <w:adjustRightInd w:val="0"/>
              <w:ind w:left="317" w:hanging="424"/>
              <w:jc w:val="left"/>
              <w:textAlignment w:val="baseline"/>
            </w:pPr>
            <w:proofErr w:type="spellStart"/>
            <w:r>
              <w:t>Milena</w:t>
            </w:r>
            <w:proofErr w:type="spellEnd"/>
            <w:r>
              <w:t xml:space="preserve"> ANGELOVA (Munkáltatók/BG)</w:t>
            </w:r>
          </w:p>
        </w:tc>
      </w:tr>
      <w:tr w:rsidRPr="00231267" w:rsidR="00231267" w:rsidTr="00CC4510" w14:paraId="5246C778" w14:textId="77777777">
        <w:tc>
          <w:tcPr>
            <w:tcW w:w="1843" w:type="dxa"/>
          </w:tcPr>
          <w:p w:rsidRPr="00231267" w:rsidR="00231267" w:rsidP="00CC4510" w:rsidRDefault="00231267" w14:paraId="71E3F92B" w14:textId="77777777">
            <w:pPr>
              <w:tabs>
                <w:tab w:val="center" w:pos="284"/>
              </w:tabs>
              <w:overflowPunct w:val="0"/>
              <w:autoSpaceDE w:val="0"/>
              <w:autoSpaceDN w:val="0"/>
              <w:adjustRightInd w:val="0"/>
              <w:ind w:left="266" w:hanging="376"/>
              <w:textAlignment w:val="baseline"/>
              <w:rPr>
                <w:b/>
              </w:rPr>
            </w:pPr>
            <w:r>
              <w:rPr>
                <w:b/>
              </w:rPr>
              <w:t>Hivatkozás:</w:t>
            </w:r>
          </w:p>
        </w:tc>
        <w:tc>
          <w:tcPr>
            <w:tcW w:w="5387" w:type="dxa"/>
          </w:tcPr>
          <w:p w:rsidRPr="00231267" w:rsidR="00231267" w:rsidP="00CC4510" w:rsidRDefault="00231267" w14:paraId="51DACF12" w14:textId="77777777">
            <w:pPr>
              <w:tabs>
                <w:tab w:val="center" w:pos="284"/>
              </w:tabs>
              <w:overflowPunct w:val="0"/>
              <w:autoSpaceDE w:val="0"/>
              <w:autoSpaceDN w:val="0"/>
              <w:adjustRightInd w:val="0"/>
              <w:ind w:left="266" w:hanging="376"/>
              <w:textAlignment w:val="baseline"/>
            </w:pPr>
            <w:r>
              <w:t>EESC-2023-04250-00-00-AC</w:t>
            </w:r>
          </w:p>
        </w:tc>
      </w:tr>
    </w:tbl>
    <w:p w:rsidRPr="00231267" w:rsidR="00231267" w:rsidP="00231267" w:rsidRDefault="00231267" w14:paraId="005F2FF2" w14:textId="77777777">
      <w:pPr>
        <w:keepNext/>
        <w:keepLines/>
        <w:tabs>
          <w:tab w:val="center" w:pos="284"/>
        </w:tabs>
        <w:overflowPunct w:val="0"/>
        <w:autoSpaceDE w:val="0"/>
        <w:autoSpaceDN w:val="0"/>
        <w:adjustRightInd w:val="0"/>
        <w:ind w:left="266" w:hanging="266"/>
        <w:textAlignment w:val="baseline"/>
        <w:rPr>
          <w:b/>
        </w:rPr>
      </w:pPr>
    </w:p>
    <w:p w:rsidRPr="00231267" w:rsidR="00231267" w:rsidP="00231267" w:rsidRDefault="00231267" w14:paraId="5EBF1939"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231267" w:rsidR="00231267" w:rsidP="00231267" w:rsidRDefault="00231267" w14:paraId="64379665" w14:textId="77777777">
      <w:pPr>
        <w:keepNext/>
        <w:keepLines/>
        <w:tabs>
          <w:tab w:val="center" w:pos="284"/>
        </w:tabs>
        <w:overflowPunct w:val="0"/>
        <w:autoSpaceDE w:val="0"/>
        <w:autoSpaceDN w:val="0"/>
        <w:adjustRightInd w:val="0"/>
        <w:ind w:left="266" w:hanging="266"/>
        <w:textAlignment w:val="baseline"/>
        <w:rPr>
          <w:b/>
        </w:rPr>
      </w:pPr>
    </w:p>
    <w:p w:rsidR="00231267" w:rsidP="00231267" w:rsidRDefault="00231267" w14:paraId="43917E21" w14:textId="07835E4F">
      <w:pPr>
        <w:overflowPunct w:val="0"/>
        <w:autoSpaceDE w:val="0"/>
        <w:autoSpaceDN w:val="0"/>
        <w:adjustRightInd w:val="0"/>
        <w:textAlignment w:val="baseline"/>
        <w:rPr>
          <w:bCs/>
          <w:iCs/>
        </w:rPr>
      </w:pPr>
      <w:r>
        <w:t>Az EGSZB:</w:t>
      </w:r>
    </w:p>
    <w:p w:rsidRPr="00231267" w:rsidR="00C05C6B" w:rsidP="00231267" w:rsidRDefault="00C05C6B" w14:paraId="55C5A328" w14:textId="77777777">
      <w:pPr>
        <w:overflowPunct w:val="0"/>
        <w:autoSpaceDE w:val="0"/>
        <w:autoSpaceDN w:val="0"/>
        <w:adjustRightInd w:val="0"/>
        <w:textAlignment w:val="baseline"/>
        <w:rPr>
          <w:bCs/>
          <w:iCs/>
        </w:rPr>
      </w:pPr>
    </w:p>
    <w:p w:rsidRPr="00231267" w:rsidR="00231267" w:rsidP="00CC4510" w:rsidRDefault="00231267" w14:paraId="3FA07EDF"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üdvözli az „Európai gazdasági biztonsági stratégia” című közleményt, amely időszerű kezdeményezés az új és folyamatosan változó geopolitikai és </w:t>
      </w:r>
      <w:proofErr w:type="spellStart"/>
      <w:r>
        <w:t>geogazdasági</w:t>
      </w:r>
      <w:proofErr w:type="spellEnd"/>
      <w:r>
        <w:t xml:space="preserve"> körülményekre való reagálás érdekében.  Az EGSZB helyesli a kockázatalapú megközelítést, ugyanakkor kéri az EU erősségeinek és a globális kihívásokban rejlő lehetőségeknek az átfogó értékelését is,</w:t>
      </w:r>
    </w:p>
    <w:p w:rsidRPr="00231267" w:rsidR="00231267" w:rsidP="00CC4510" w:rsidRDefault="00231267" w14:paraId="0B300469"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hangsúlyozza, hogy az innovációba, a készségfejlesztésbe és az ipari kapacitásokba történő beruházások, valamint a jól működő belső piac biztosítása elengedhetetlen eszköz mind a termelékenység és a versenyképesség megerősítéséhez, mind a kritikus függőségek csökkentéséhez, megőrizve ugyanakkor az EU szociális piacgazdaságát. Az egyéb alapvető szempontok közé tartozik az energia, a nyersanyagok, a digitális kapacitás és a finanszírozáshoz való stabil hozzáférés, ami szükségessé teszi a tőkepiaci unió és a bankunió kiteljesítését,</w:t>
      </w:r>
    </w:p>
    <w:p w:rsidRPr="00231267" w:rsidR="00231267" w:rsidP="00CC4510" w:rsidRDefault="00231267" w14:paraId="4C25E9FD"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kéri a kereskedelmi és beruházási megállapodások teljes körű kihasználását, a folyamatban lévő kereskedelmi tárgyalások gyors lezárását, valamint az új potenciális partnerekkel folytatandó új tárgyalások megkezdését az ellátási láncok diverzifikálása és a termékpiacok bővítése érdekében. Az EU-nak prioritásként kell kezelnie a szabályokon alapuló többoldalú kereskedelmi és globális megállapodások megerősítését is, </w:t>
      </w:r>
    </w:p>
    <w:p w:rsidRPr="00231267" w:rsidR="00231267" w:rsidP="00CC4510" w:rsidRDefault="00231267" w14:paraId="658E7170"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hangsúlyozza, hogy határozott ellenlépésekre és a kereskedelemmel, a beruházásokkal vagy a technológiai együttműködéssel kapcsolatos védelmi intézkedésekre van szükség abban az esetben, ha harmadik országok kockázatot jelentenek az EU gazdasági biztonságára nézve,</w:t>
      </w:r>
    </w:p>
    <w:p w:rsidRPr="00231267" w:rsidR="00231267" w:rsidP="00CC4510" w:rsidRDefault="00231267" w14:paraId="24A2D06C"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arra kéri az uniós politikai döntéshozókat, hogy javítsák azokat a feltételeket, amelyek lehetővé teszik, ösztönzik és támogatják, hogy az uniós vállalkozások, köztük az </w:t>
      </w:r>
      <w:proofErr w:type="spellStart"/>
      <w:r>
        <w:t>mkkv</w:t>
      </w:r>
      <w:proofErr w:type="spellEnd"/>
      <w:r>
        <w:t xml:space="preserve">-k, kezeljék a tevékenységeik során felmerülő </w:t>
      </w:r>
      <w:proofErr w:type="spellStart"/>
      <w:r>
        <w:t>geogazdasági</w:t>
      </w:r>
      <w:proofErr w:type="spellEnd"/>
      <w:r>
        <w:t xml:space="preserve"> kockázatokat; továbbá biztosítsák, hogy a szakpolitikai intézkedések ne járjanak aránytalan költségekkel vagy akadályokkal, </w:t>
      </w:r>
    </w:p>
    <w:p w:rsidRPr="00231267" w:rsidR="00231267" w:rsidP="00CC4510" w:rsidRDefault="00231267" w14:paraId="152286F2"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kéri, hogy a gazdasági biztonsági stratégia további kidolgozásába és végrehajtásába vonják be az uniós vállalkozásokat és a civil társadalom más érintett szereplőit is, továbbá hangsúlyozza, hogy </w:t>
      </w:r>
      <w:r>
        <w:lastRenderedPageBreak/>
        <w:t xml:space="preserve">meg kell erősíteni a tagállamok közötti szinergiákat, hozzájárulva ezáltal az EU egységéhez, globális </w:t>
      </w:r>
      <w:proofErr w:type="spellStart"/>
      <w:r>
        <w:t>erejéhez</w:t>
      </w:r>
      <w:proofErr w:type="spellEnd"/>
      <w:r>
        <w:t xml:space="preserve"> és általános gazdasági biztonságához</w:t>
      </w:r>
    </w:p>
    <w:p w:rsidRPr="00CC4510" w:rsidR="00231267" w:rsidP="00231267" w:rsidRDefault="00231267" w14:paraId="689F9EDE" w14:textId="77777777">
      <w:pPr>
        <w:widowControl w:val="0"/>
        <w:overflowPunct w:val="0"/>
        <w:autoSpaceDE w:val="0"/>
        <w:autoSpaceDN w:val="0"/>
        <w:adjustRightInd w:val="0"/>
        <w:ind w:left="709"/>
        <w:textAlignment w:val="baseline"/>
        <w:rPr>
          <w:sz w:val="18"/>
          <w:szCs w:val="16"/>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231267" w:rsidR="00231267" w:rsidTr="00B05454" w14:paraId="7CFE54E9" w14:textId="77777777">
        <w:tc>
          <w:tcPr>
            <w:tcW w:w="1418" w:type="dxa"/>
          </w:tcPr>
          <w:p w:rsidRPr="00231267" w:rsidR="00231267" w:rsidP="00231267" w:rsidRDefault="0052434F" w14:paraId="4E9EAA40" w14:textId="5CC9BD52">
            <w:pPr>
              <w:overflowPunct w:val="0"/>
              <w:autoSpaceDE w:val="0"/>
              <w:autoSpaceDN w:val="0"/>
              <w:adjustRightInd w:val="0"/>
              <w:textAlignment w:val="baseline"/>
              <w:rPr>
                <w:i/>
              </w:rPr>
            </w:pPr>
            <w:r>
              <w:rPr>
                <w:b/>
                <w:i/>
              </w:rPr>
              <w:t>Kapcsolattartó:</w:t>
            </w:r>
          </w:p>
        </w:tc>
        <w:tc>
          <w:tcPr>
            <w:tcW w:w="5670" w:type="dxa"/>
          </w:tcPr>
          <w:p w:rsidRPr="00231267" w:rsidR="00231267" w:rsidP="00231267" w:rsidRDefault="00231267" w14:paraId="37F63FE7" w14:textId="77777777">
            <w:pPr>
              <w:overflowPunct w:val="0"/>
              <w:autoSpaceDE w:val="0"/>
              <w:autoSpaceDN w:val="0"/>
              <w:adjustRightInd w:val="0"/>
              <w:textAlignment w:val="baseline"/>
              <w:rPr>
                <w:i/>
              </w:rPr>
            </w:pPr>
            <w:r>
              <w:rPr>
                <w:i/>
              </w:rPr>
              <w:t xml:space="preserve">Marco </w:t>
            </w:r>
            <w:proofErr w:type="spellStart"/>
            <w:r>
              <w:rPr>
                <w:i/>
              </w:rPr>
              <w:t>Ristori</w:t>
            </w:r>
            <w:proofErr w:type="spellEnd"/>
          </w:p>
        </w:tc>
      </w:tr>
      <w:tr w:rsidRPr="00231267" w:rsidR="00231267" w:rsidTr="00B05454" w14:paraId="62B22192" w14:textId="77777777">
        <w:tc>
          <w:tcPr>
            <w:tcW w:w="1418" w:type="dxa"/>
          </w:tcPr>
          <w:p w:rsidRPr="00231267" w:rsidR="00231267" w:rsidP="00231267" w:rsidRDefault="00231267" w14:paraId="440C603C" w14:textId="77777777">
            <w:pPr>
              <w:overflowPunct w:val="0"/>
              <w:autoSpaceDE w:val="0"/>
              <w:autoSpaceDN w:val="0"/>
              <w:adjustRightInd w:val="0"/>
              <w:textAlignment w:val="baseline"/>
              <w:rPr>
                <w:i/>
              </w:rPr>
            </w:pPr>
            <w:r>
              <w:rPr>
                <w:i/>
              </w:rPr>
              <w:t>Tel.:</w:t>
            </w:r>
          </w:p>
        </w:tc>
        <w:tc>
          <w:tcPr>
            <w:tcW w:w="5670" w:type="dxa"/>
          </w:tcPr>
          <w:p w:rsidRPr="00231267" w:rsidR="00231267" w:rsidP="00231267" w:rsidRDefault="00231267" w14:paraId="29D4C5B9" w14:textId="77777777">
            <w:pPr>
              <w:overflowPunct w:val="0"/>
              <w:autoSpaceDE w:val="0"/>
              <w:autoSpaceDN w:val="0"/>
              <w:adjustRightInd w:val="0"/>
              <w:textAlignment w:val="baseline"/>
              <w:rPr>
                <w:i/>
              </w:rPr>
            </w:pPr>
            <w:r>
              <w:rPr>
                <w:i/>
              </w:rPr>
              <w:t>+32 25469969</w:t>
            </w:r>
          </w:p>
        </w:tc>
      </w:tr>
      <w:tr w:rsidRPr="00231267" w:rsidR="00231267" w:rsidTr="00B05454" w14:paraId="48DEF925" w14:textId="77777777">
        <w:tc>
          <w:tcPr>
            <w:tcW w:w="1418" w:type="dxa"/>
          </w:tcPr>
          <w:p w:rsidRPr="00231267" w:rsidR="00231267" w:rsidP="00231267" w:rsidRDefault="00231267" w14:paraId="66BED64C" w14:textId="77777777">
            <w:pPr>
              <w:overflowPunct w:val="0"/>
              <w:autoSpaceDE w:val="0"/>
              <w:autoSpaceDN w:val="0"/>
              <w:adjustRightInd w:val="0"/>
              <w:textAlignment w:val="baseline"/>
              <w:rPr>
                <w:i/>
              </w:rPr>
            </w:pPr>
            <w:r>
              <w:rPr>
                <w:i/>
              </w:rPr>
              <w:t>E-mail-cím:</w:t>
            </w:r>
          </w:p>
        </w:tc>
        <w:tc>
          <w:tcPr>
            <w:tcW w:w="5670" w:type="dxa"/>
          </w:tcPr>
          <w:p w:rsidRPr="00231267" w:rsidR="00231267" w:rsidP="00231267" w:rsidRDefault="00893292" w14:paraId="42300FE7" w14:textId="77777777">
            <w:pPr>
              <w:overflowPunct w:val="0"/>
              <w:autoSpaceDE w:val="0"/>
              <w:autoSpaceDN w:val="0"/>
              <w:adjustRightInd w:val="0"/>
              <w:textAlignment w:val="baseline"/>
              <w:rPr>
                <w:i/>
              </w:rPr>
            </w:pPr>
            <w:hyperlink w:history="1" r:id="rId36">
              <w:r w:rsidR="00E72EBF">
                <w:rPr>
                  <w:i/>
                  <w:color w:val="0000FF"/>
                  <w:u w:val="single"/>
                </w:rPr>
                <w:t>Marco.Ristori@eesc.europa.eu</w:t>
              </w:r>
            </w:hyperlink>
          </w:p>
        </w:tc>
      </w:tr>
    </w:tbl>
    <w:p w:rsidRPr="003F6640" w:rsidR="003F6640" w:rsidRDefault="003F6640" w14:paraId="0E201C9B" w14:textId="77777777">
      <w:pPr>
        <w:spacing w:after="160" w:line="259" w:lineRule="auto"/>
        <w:jc w:val="left"/>
      </w:pPr>
    </w:p>
    <w:p w:rsidRPr="00CC4510" w:rsidR="00FF485C" w:rsidRDefault="00FF485C" w14:paraId="005CB271" w14:textId="70C78FEC">
      <w:pPr>
        <w:spacing w:after="160" w:line="259" w:lineRule="auto"/>
        <w:jc w:val="left"/>
        <w:rPr>
          <w:sz w:val="14"/>
          <w:szCs w:val="14"/>
        </w:rPr>
      </w:pPr>
    </w:p>
    <w:p w:rsidR="003B636C" w:rsidP="005B4680" w:rsidRDefault="003B636C" w14:paraId="2AFC2D25" w14:textId="6E54F172">
      <w:pPr>
        <w:pStyle w:val="Heading1"/>
        <w:ind w:hanging="928"/>
        <w:rPr>
          <w:b/>
          <w:bCs/>
        </w:rPr>
      </w:pPr>
      <w:bookmarkStart w:name="_Toc153539712" w:id="32"/>
      <w:bookmarkStart w:name="_Toc160785869" w:id="33"/>
      <w:r>
        <w:rPr>
          <w:b/>
        </w:rPr>
        <w:t>KÖZLEKEDÉS, ENERGIA, INFRASTRUKTÚRA ÉS INFORMÁCIÓS TÁRSADALOM</w:t>
      </w:r>
      <w:bookmarkEnd w:id="33"/>
    </w:p>
    <w:p w:rsidRPr="003B636C" w:rsidR="003B636C" w:rsidP="003B636C" w:rsidRDefault="003B636C" w14:paraId="4BBF9BF3" w14:textId="77777777"/>
    <w:p w:rsidRPr="00B114D4" w:rsidR="003B636C" w:rsidP="003B636C" w:rsidRDefault="00893292" w14:paraId="2292F34E" w14:textId="32E93E81">
      <w:pPr>
        <w:widowControl w:val="0"/>
        <w:numPr>
          <w:ilvl w:val="0"/>
          <w:numId w:val="2"/>
        </w:numPr>
        <w:overflowPunct w:val="0"/>
        <w:autoSpaceDE w:val="0"/>
        <w:autoSpaceDN w:val="0"/>
        <w:adjustRightInd w:val="0"/>
        <w:ind w:hanging="567"/>
        <w:textAlignment w:val="baseline"/>
        <w:rPr>
          <w:sz w:val="20"/>
          <w:szCs w:val="20"/>
        </w:rPr>
      </w:pPr>
      <w:hyperlink w:history="1" r:id="rId37">
        <w:r w:rsidR="00E72EBF">
          <w:rPr>
            <w:b/>
            <w:i/>
            <w:color w:val="0000FF"/>
            <w:sz w:val="28"/>
            <w:u w:val="single"/>
          </w:rPr>
          <w:t>A kombinált árufuvarozásról szóló 92/106/EGK irányelv felülvizsgálata</w:t>
        </w:r>
      </w:hyperlink>
    </w:p>
    <w:p w:rsidRPr="00B114D4" w:rsidR="003B636C" w:rsidP="003B636C" w:rsidRDefault="003B636C" w14:paraId="7A8CB646" w14:textId="77777777">
      <w:pPr>
        <w:tabs>
          <w:tab w:val="center" w:pos="284"/>
        </w:tabs>
        <w:overflowPunct w:val="0"/>
        <w:autoSpaceDE w:val="0"/>
        <w:autoSpaceDN w:val="0"/>
        <w:adjustRightInd w:val="0"/>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B114D4" w:rsidR="003B636C" w:rsidTr="00B05454" w14:paraId="226DE090" w14:textId="77777777">
        <w:tc>
          <w:tcPr>
            <w:tcW w:w="2235" w:type="dxa"/>
          </w:tcPr>
          <w:p w:rsidRPr="00B114D4" w:rsidR="003B636C" w:rsidP="00B05454" w:rsidRDefault="003B636C" w14:paraId="03398B74" w14:textId="77777777">
            <w:pPr>
              <w:tabs>
                <w:tab w:val="center" w:pos="284"/>
              </w:tabs>
              <w:overflowPunct w:val="0"/>
              <w:autoSpaceDE w:val="0"/>
              <w:autoSpaceDN w:val="0"/>
              <w:adjustRightInd w:val="0"/>
              <w:ind w:left="266" w:hanging="266"/>
              <w:textAlignment w:val="baseline"/>
              <w:rPr>
                <w:b/>
              </w:rPr>
            </w:pPr>
            <w:r>
              <w:rPr>
                <w:b/>
              </w:rPr>
              <w:t xml:space="preserve">Előadó: </w:t>
            </w:r>
          </w:p>
        </w:tc>
        <w:tc>
          <w:tcPr>
            <w:tcW w:w="6838" w:type="dxa"/>
          </w:tcPr>
          <w:p w:rsidRPr="00B114D4" w:rsidR="003B636C" w:rsidP="00B05454" w:rsidRDefault="003B636C" w14:paraId="51A78388" w14:textId="77777777">
            <w:pPr>
              <w:tabs>
                <w:tab w:val="center" w:pos="284"/>
              </w:tabs>
              <w:overflowPunct w:val="0"/>
              <w:autoSpaceDE w:val="0"/>
              <w:autoSpaceDN w:val="0"/>
              <w:adjustRightInd w:val="0"/>
              <w:ind w:left="266" w:hanging="266"/>
              <w:textAlignment w:val="baseline"/>
            </w:pPr>
            <w:r>
              <w:t>Pierre Jean COULON (Munkavállalók/FR)</w:t>
            </w:r>
          </w:p>
        </w:tc>
      </w:tr>
      <w:tr w:rsidRPr="00B114D4" w:rsidR="003B636C" w:rsidTr="00B05454" w14:paraId="54439CC0" w14:textId="77777777">
        <w:tc>
          <w:tcPr>
            <w:tcW w:w="9073" w:type="dxa"/>
            <w:gridSpan w:val="2"/>
          </w:tcPr>
          <w:p w:rsidRPr="00B114D4" w:rsidR="003B636C" w:rsidP="00B05454" w:rsidRDefault="003B636C" w14:paraId="6C4CAADC" w14:textId="77777777">
            <w:pPr>
              <w:tabs>
                <w:tab w:val="center" w:pos="284"/>
              </w:tabs>
              <w:overflowPunct w:val="0"/>
              <w:autoSpaceDE w:val="0"/>
              <w:autoSpaceDN w:val="0"/>
              <w:adjustRightInd w:val="0"/>
              <w:spacing w:line="160" w:lineRule="exact"/>
              <w:ind w:left="266" w:hanging="266"/>
              <w:textAlignment w:val="baseline"/>
            </w:pPr>
          </w:p>
        </w:tc>
      </w:tr>
      <w:tr w:rsidRPr="00B114D4" w:rsidR="003B636C" w:rsidTr="00B05454" w14:paraId="5C84AA61" w14:textId="77777777">
        <w:tc>
          <w:tcPr>
            <w:tcW w:w="2235" w:type="dxa"/>
          </w:tcPr>
          <w:p w:rsidRPr="00B114D4" w:rsidR="003B636C" w:rsidP="00B05454" w:rsidRDefault="003B636C" w14:paraId="40E16211" w14:textId="77777777">
            <w:pPr>
              <w:tabs>
                <w:tab w:val="center" w:pos="284"/>
              </w:tabs>
              <w:overflowPunct w:val="0"/>
              <w:autoSpaceDE w:val="0"/>
              <w:autoSpaceDN w:val="0"/>
              <w:adjustRightInd w:val="0"/>
              <w:ind w:left="266" w:hanging="266"/>
              <w:textAlignment w:val="baseline"/>
              <w:rPr>
                <w:b/>
              </w:rPr>
            </w:pPr>
            <w:r>
              <w:rPr>
                <w:b/>
              </w:rPr>
              <w:t>Hivatkozások:</w:t>
            </w:r>
          </w:p>
        </w:tc>
        <w:tc>
          <w:tcPr>
            <w:tcW w:w="6838" w:type="dxa"/>
          </w:tcPr>
          <w:p w:rsidRPr="00B114D4" w:rsidR="003B636C" w:rsidP="00B05454" w:rsidRDefault="003B636C" w14:paraId="217C0ABB" w14:textId="77777777">
            <w:pPr>
              <w:tabs>
                <w:tab w:val="center" w:pos="284"/>
              </w:tabs>
              <w:overflowPunct w:val="0"/>
              <w:autoSpaceDE w:val="0"/>
              <w:autoSpaceDN w:val="0"/>
              <w:adjustRightInd w:val="0"/>
              <w:ind w:left="266" w:hanging="266"/>
              <w:textAlignment w:val="baseline"/>
            </w:pPr>
            <w:r>
              <w:t xml:space="preserve">COM(2023) 702 </w:t>
            </w:r>
            <w:proofErr w:type="spellStart"/>
            <w:r>
              <w:t>final</w:t>
            </w:r>
            <w:proofErr w:type="spellEnd"/>
            <w:r>
              <w:t xml:space="preserve"> </w:t>
            </w:r>
          </w:p>
          <w:p w:rsidRPr="00B114D4" w:rsidR="003B636C" w:rsidP="00B05454" w:rsidRDefault="003B636C" w14:paraId="2EB478A2" w14:textId="77777777">
            <w:pPr>
              <w:tabs>
                <w:tab w:val="center" w:pos="284"/>
              </w:tabs>
              <w:overflowPunct w:val="0"/>
              <w:autoSpaceDE w:val="0"/>
              <w:autoSpaceDN w:val="0"/>
              <w:adjustRightInd w:val="0"/>
              <w:ind w:left="266" w:hanging="266"/>
              <w:textAlignment w:val="baseline"/>
            </w:pPr>
            <w:r>
              <w:t>EESC-2023-03105-00-00-AC</w:t>
            </w:r>
          </w:p>
        </w:tc>
      </w:tr>
    </w:tbl>
    <w:p w:rsidRPr="00B114D4" w:rsidR="003B636C" w:rsidP="003B636C" w:rsidRDefault="003B636C" w14:paraId="688928AC"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70EA3BBA"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B114D4" w:rsidR="003B636C" w:rsidP="003B636C" w:rsidRDefault="003B636C" w14:paraId="65024854"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239D9ECD" w14:textId="77777777">
      <w:pPr>
        <w:overflowPunct w:val="0"/>
        <w:autoSpaceDE w:val="0"/>
        <w:autoSpaceDN w:val="0"/>
        <w:adjustRightInd w:val="0"/>
        <w:textAlignment w:val="baseline"/>
        <w:rPr>
          <w:bCs/>
          <w:iCs/>
        </w:rPr>
      </w:pPr>
      <w:r>
        <w:t>Az EGSZB:</w:t>
      </w:r>
    </w:p>
    <w:p w:rsidRPr="00B114D4" w:rsidR="003B636C" w:rsidP="003B636C" w:rsidRDefault="003B636C" w14:paraId="70E1E19B" w14:textId="77777777">
      <w:pPr>
        <w:contextualSpacing/>
        <w:rPr>
          <w:rFonts w:ascii="Calibri" w:hAnsi="Calibri"/>
          <w:b/>
          <w:bCs/>
          <w:sz w:val="28"/>
          <w:szCs w:val="28"/>
          <w:lang w:eastAsia="zh-CN"/>
        </w:rPr>
      </w:pPr>
    </w:p>
    <w:p w:rsidRPr="00B114D4" w:rsidR="003B636C" w:rsidP="00CC4510" w:rsidRDefault="003B636C" w14:paraId="2498EDEC" w14:textId="77777777">
      <w:pPr>
        <w:numPr>
          <w:ilvl w:val="0"/>
          <w:numId w:val="27"/>
        </w:numPr>
        <w:overflowPunct w:val="0"/>
        <w:autoSpaceDE w:val="0"/>
        <w:autoSpaceDN w:val="0"/>
        <w:adjustRightInd w:val="0"/>
        <w:ind w:left="284" w:hanging="284"/>
        <w:textAlignment w:val="baseline"/>
        <w:rPr>
          <w:rFonts w:eastAsiaTheme="minorHAnsi"/>
        </w:rPr>
      </w:pPr>
      <w:r>
        <w:t xml:space="preserve">megerősíti, hogy az </w:t>
      </w:r>
      <w:proofErr w:type="spellStart"/>
      <w:r>
        <w:t>intermodalitásra</w:t>
      </w:r>
      <w:proofErr w:type="spellEnd"/>
      <w:r>
        <w:t xml:space="preserve"> minden áruszállítás esetében szükség van, mindig szem előtt tartva a különböző szállítási módok európai szintű koordinálásának és optimalizálásának kötelezettségét,</w:t>
      </w:r>
    </w:p>
    <w:p w:rsidRPr="00B114D4" w:rsidR="003B636C" w:rsidP="00CC4510" w:rsidRDefault="003B636C" w14:paraId="17358799" w14:textId="77777777">
      <w:pPr>
        <w:numPr>
          <w:ilvl w:val="0"/>
          <w:numId w:val="27"/>
        </w:numPr>
        <w:overflowPunct w:val="0"/>
        <w:autoSpaceDE w:val="0"/>
        <w:autoSpaceDN w:val="0"/>
        <w:adjustRightInd w:val="0"/>
        <w:ind w:left="284" w:hanging="284"/>
        <w:textAlignment w:val="baseline"/>
        <w:rPr>
          <w:rFonts w:eastAsiaTheme="minorHAnsi"/>
        </w:rPr>
      </w:pPr>
      <w:r>
        <w:t xml:space="preserve"> meggyőződése, hogy az intermodális fuvarozási rendszer bevezetésével összefüggésben tájékoztatni kell a nyilvánosságot a rendszer által kínált izgalmas lehetőségekről. Az intermodális fuvarozási rendszer a lakosságot fogja szolgálni, és ezért a lakosságnak kell beleszólnia a közlekedési projektekkel és politikákkal kapcsolatos döntésekbe,</w:t>
      </w:r>
    </w:p>
    <w:p w:rsidRPr="00B114D4" w:rsidR="003B636C" w:rsidP="00CC4510" w:rsidRDefault="003B636C" w14:paraId="398CB69E" w14:textId="77777777">
      <w:pPr>
        <w:numPr>
          <w:ilvl w:val="0"/>
          <w:numId w:val="27"/>
        </w:numPr>
        <w:overflowPunct w:val="0"/>
        <w:autoSpaceDE w:val="0"/>
        <w:autoSpaceDN w:val="0"/>
        <w:adjustRightInd w:val="0"/>
        <w:ind w:left="284" w:hanging="284"/>
        <w:textAlignment w:val="baseline"/>
        <w:rPr>
          <w:rFonts w:eastAsiaTheme="minorHAnsi"/>
        </w:rPr>
      </w:pPr>
      <w:r>
        <w:t>hangsúlyozza, hogy e szakpolitika sikerének titka a szociális jogszabályok maximális betartása, valamint a vállalatok alkalmazottainak és vezetőinek célirányos és szisztematikus képzése,</w:t>
      </w:r>
      <w:bookmarkStart w:name="x__Hlk157163546" w:id="34"/>
      <w:bookmarkEnd w:id="34"/>
    </w:p>
    <w:p w:rsidRPr="00B114D4" w:rsidR="003B636C" w:rsidP="00CC4510" w:rsidRDefault="003B636C" w14:paraId="40F2D32D" w14:textId="77777777">
      <w:pPr>
        <w:numPr>
          <w:ilvl w:val="0"/>
          <w:numId w:val="27"/>
        </w:numPr>
        <w:overflowPunct w:val="0"/>
        <w:autoSpaceDE w:val="0"/>
        <w:autoSpaceDN w:val="0"/>
        <w:adjustRightInd w:val="0"/>
        <w:ind w:left="284" w:hanging="284"/>
        <w:textAlignment w:val="baseline"/>
        <w:rPr>
          <w:rFonts w:eastAsiaTheme="minorHAnsi"/>
        </w:rPr>
      </w:pPr>
      <w:r>
        <w:t>kéri, hogy az új intézkedés alkalmazása során tartsák be a tehergépjármű-vezetői pihenőidőket és szüneteket. A gazdasági jövedelmezőség nem befolyásolhatja hátrányosan a közúti közlekedésbiztonságot vagy a járművezetők munkakörülményeit az EU-ban.</w:t>
      </w:r>
    </w:p>
    <w:p w:rsidRPr="00B114D4" w:rsidR="003B636C" w:rsidP="00CC4510" w:rsidRDefault="003B636C" w14:paraId="3E9C3226" w14:textId="77777777">
      <w:pPr>
        <w:widowControl w:val="0"/>
        <w:overflowPunct w:val="0"/>
        <w:autoSpaceDE w:val="0"/>
        <w:autoSpaceDN w:val="0"/>
        <w:adjustRightInd w:val="0"/>
        <w:ind w:left="284" w:hanging="284"/>
        <w:textAlignment w:val="baseline"/>
        <w:rPr>
          <w:szCs w:val="20"/>
        </w:rPr>
      </w:pPr>
    </w:p>
    <w:tbl>
      <w:tblPr>
        <w:tblStyle w:val="TableGrid20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B114D4" w:rsidR="003B636C" w:rsidTr="00B05454" w14:paraId="37497442" w14:textId="77777777">
        <w:tc>
          <w:tcPr>
            <w:tcW w:w="1418" w:type="dxa"/>
          </w:tcPr>
          <w:p w:rsidRPr="00B114D4" w:rsidR="003B636C" w:rsidP="00B05454" w:rsidRDefault="003B636C" w14:paraId="093CBC9E"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B114D4" w:rsidR="003B636C" w:rsidP="00B05454" w:rsidRDefault="003B636C" w14:paraId="7A1CA095" w14:textId="22882764">
            <w:pPr>
              <w:overflowPunct w:val="0"/>
              <w:autoSpaceDE w:val="0"/>
              <w:autoSpaceDN w:val="0"/>
              <w:adjustRightInd w:val="0"/>
              <w:spacing w:line="240" w:lineRule="auto"/>
              <w:jc w:val="left"/>
              <w:textAlignment w:val="baseline"/>
              <w:rPr>
                <w:i/>
              </w:rPr>
            </w:pPr>
            <w:proofErr w:type="spellStart"/>
            <w:r>
              <w:rPr>
                <w:i/>
              </w:rPr>
              <w:t>Aleksandra</w:t>
            </w:r>
            <w:proofErr w:type="spellEnd"/>
            <w:r>
              <w:rPr>
                <w:i/>
              </w:rPr>
              <w:t xml:space="preserve"> </w:t>
            </w:r>
            <w:proofErr w:type="spellStart"/>
            <w:r>
              <w:rPr>
                <w:i/>
              </w:rPr>
              <w:t>Sarman</w:t>
            </w:r>
            <w:proofErr w:type="spellEnd"/>
            <w:r>
              <w:rPr>
                <w:i/>
              </w:rPr>
              <w:t xml:space="preserve"> </w:t>
            </w:r>
            <w:proofErr w:type="spellStart"/>
            <w:r>
              <w:rPr>
                <w:i/>
              </w:rPr>
              <w:t>Grilc</w:t>
            </w:r>
            <w:proofErr w:type="spellEnd"/>
          </w:p>
        </w:tc>
      </w:tr>
      <w:tr w:rsidRPr="00B114D4" w:rsidR="003B636C" w:rsidTr="00B05454" w14:paraId="04CE6CD8" w14:textId="77777777">
        <w:tc>
          <w:tcPr>
            <w:tcW w:w="1418" w:type="dxa"/>
          </w:tcPr>
          <w:p w:rsidRPr="00B114D4" w:rsidR="003B636C" w:rsidP="00B05454" w:rsidRDefault="003B636C" w14:paraId="17FDD2D5" w14:textId="77777777">
            <w:pPr>
              <w:overflowPunct w:val="0"/>
              <w:autoSpaceDE w:val="0"/>
              <w:autoSpaceDN w:val="0"/>
              <w:adjustRightInd w:val="0"/>
              <w:spacing w:line="240" w:lineRule="auto"/>
              <w:textAlignment w:val="baseline"/>
              <w:rPr>
                <w:i/>
              </w:rPr>
            </w:pPr>
            <w:r>
              <w:rPr>
                <w:i/>
              </w:rPr>
              <w:t>Tel.:</w:t>
            </w:r>
          </w:p>
        </w:tc>
        <w:tc>
          <w:tcPr>
            <w:tcW w:w="5670" w:type="dxa"/>
          </w:tcPr>
          <w:p w:rsidRPr="00B114D4" w:rsidR="003B636C" w:rsidP="00B05454" w:rsidRDefault="003B636C" w14:paraId="7F8DFA76" w14:textId="77777777">
            <w:pPr>
              <w:overflowPunct w:val="0"/>
              <w:autoSpaceDE w:val="0"/>
              <w:autoSpaceDN w:val="0"/>
              <w:adjustRightInd w:val="0"/>
              <w:spacing w:line="240" w:lineRule="auto"/>
              <w:textAlignment w:val="baseline"/>
              <w:rPr>
                <w:i/>
              </w:rPr>
            </w:pPr>
            <w:r>
              <w:rPr>
                <w:i/>
              </w:rPr>
              <w:t>+32 25468333</w:t>
            </w:r>
          </w:p>
        </w:tc>
      </w:tr>
      <w:tr w:rsidRPr="00B114D4" w:rsidR="003B636C" w:rsidTr="00B05454" w14:paraId="70ABA418" w14:textId="77777777">
        <w:tc>
          <w:tcPr>
            <w:tcW w:w="1418" w:type="dxa"/>
          </w:tcPr>
          <w:p w:rsidRPr="00B114D4" w:rsidR="003B636C" w:rsidP="00B05454" w:rsidRDefault="003B636C" w14:paraId="7E324433" w14:textId="77777777">
            <w:pPr>
              <w:overflowPunct w:val="0"/>
              <w:autoSpaceDE w:val="0"/>
              <w:autoSpaceDN w:val="0"/>
              <w:adjustRightInd w:val="0"/>
              <w:spacing w:line="240" w:lineRule="auto"/>
              <w:textAlignment w:val="baseline"/>
              <w:rPr>
                <w:i/>
              </w:rPr>
            </w:pPr>
            <w:r>
              <w:rPr>
                <w:i/>
              </w:rPr>
              <w:t>E-mail-cím:</w:t>
            </w:r>
          </w:p>
        </w:tc>
        <w:tc>
          <w:tcPr>
            <w:tcW w:w="5670" w:type="dxa"/>
          </w:tcPr>
          <w:p w:rsidRPr="00B114D4" w:rsidR="003B636C" w:rsidP="00B05454" w:rsidRDefault="00893292" w14:paraId="696F5F65" w14:textId="77777777">
            <w:pPr>
              <w:overflowPunct w:val="0"/>
              <w:autoSpaceDE w:val="0"/>
              <w:autoSpaceDN w:val="0"/>
              <w:adjustRightInd w:val="0"/>
              <w:spacing w:line="240" w:lineRule="auto"/>
              <w:textAlignment w:val="baseline"/>
              <w:rPr>
                <w:i/>
                <w:iCs/>
              </w:rPr>
            </w:pPr>
            <w:hyperlink w:history="1" r:id="rId38">
              <w:r w:rsidR="00E72EBF">
                <w:rPr>
                  <w:i/>
                  <w:color w:val="0000FF"/>
                  <w:u w:val="single"/>
                </w:rPr>
                <w:t>Aleksandra.SarmanGrilc@eesc.europa.eu</w:t>
              </w:r>
            </w:hyperlink>
            <w:r w:rsidR="00E72EBF">
              <w:rPr>
                <w:i/>
              </w:rPr>
              <w:t xml:space="preserve"> </w:t>
            </w:r>
          </w:p>
        </w:tc>
      </w:tr>
    </w:tbl>
    <w:p w:rsidRPr="00B114D4" w:rsidR="003B636C" w:rsidP="003B636C" w:rsidRDefault="003B636C" w14:paraId="03C316F9" w14:textId="77777777">
      <w:pPr>
        <w:overflowPunct w:val="0"/>
        <w:autoSpaceDE w:val="0"/>
        <w:autoSpaceDN w:val="0"/>
        <w:adjustRightInd w:val="0"/>
        <w:jc w:val="center"/>
        <w:textAlignment w:val="baseline"/>
        <w:rPr>
          <w:szCs w:val="20"/>
          <w:lang w:val="nl-BE"/>
        </w:rPr>
      </w:pPr>
    </w:p>
    <w:p w:rsidR="003B636C" w:rsidRDefault="003B636C" w14:paraId="00774D54" w14:textId="10CE84BC">
      <w:pPr>
        <w:spacing w:after="160" w:line="259" w:lineRule="auto"/>
        <w:jc w:val="left"/>
      </w:pPr>
      <w:r>
        <w:br w:type="page"/>
      </w:r>
    </w:p>
    <w:p w:rsidR="003B636C" w:rsidP="005B4680" w:rsidRDefault="009C785E" w14:paraId="2BEB799C" w14:textId="1D1D6CC2">
      <w:pPr>
        <w:pStyle w:val="Heading1"/>
        <w:ind w:hanging="928"/>
        <w:rPr>
          <w:b/>
          <w:bCs/>
        </w:rPr>
      </w:pPr>
      <w:bookmarkStart w:name="_Toc160785870" w:id="35"/>
      <w:r>
        <w:rPr>
          <w:b/>
        </w:rPr>
        <w:lastRenderedPageBreak/>
        <w:t>IPARI SZERKEZETVÁLTÁS KONZULTATÍV BIZOTTSÁGA</w:t>
      </w:r>
      <w:bookmarkEnd w:id="35"/>
    </w:p>
    <w:p w:rsidR="003B3E18" w:rsidP="003B3E18" w:rsidRDefault="003B3E18" w14:paraId="0CE20361" w14:textId="55A85CDB"/>
    <w:p w:rsidRPr="000F732E" w:rsidR="000F732E" w:rsidP="00CC4510" w:rsidRDefault="00893292" w14:paraId="67A73674" w14:textId="390FB8C0">
      <w:pPr>
        <w:widowControl w:val="0"/>
        <w:numPr>
          <w:ilvl w:val="0"/>
          <w:numId w:val="14"/>
        </w:numPr>
        <w:overflowPunct w:val="0"/>
        <w:autoSpaceDE w:val="0"/>
        <w:autoSpaceDN w:val="0"/>
        <w:adjustRightInd w:val="0"/>
        <w:spacing w:after="160" w:line="259" w:lineRule="auto"/>
        <w:ind w:left="709" w:hanging="709"/>
        <w:contextualSpacing/>
        <w:jc w:val="left"/>
        <w:textAlignment w:val="baseline"/>
        <w:rPr>
          <w:rFonts w:eastAsiaTheme="minorHAnsi"/>
          <w:sz w:val="28"/>
          <w:szCs w:val="28"/>
        </w:rPr>
      </w:pPr>
      <w:hyperlink w:history="1" r:id="rId39">
        <w:r w:rsidR="00E72EBF">
          <w:rPr>
            <w:b/>
            <w:i/>
            <w:color w:val="0000FF"/>
            <w:sz w:val="28"/>
            <w:u w:val="single"/>
          </w:rPr>
          <w:t>Az uniós faiparra vonatkozó átfogó stratégia felé</w:t>
        </w:r>
      </w:hyperlink>
    </w:p>
    <w:p w:rsidRPr="000F732E" w:rsidR="000F732E" w:rsidP="000F732E" w:rsidRDefault="000F732E" w14:paraId="14E0FEEC" w14:textId="77777777">
      <w:pPr>
        <w:tabs>
          <w:tab w:val="center" w:pos="284"/>
        </w:tabs>
        <w:spacing w:after="160" w:line="259" w:lineRule="auto"/>
        <w:ind w:left="266" w:hanging="266"/>
        <w:jc w:val="left"/>
        <w:rPr>
          <w:rFonts w:eastAsiaTheme="minorHAnsi"/>
          <w:b/>
          <w:lang w:val="fr-FR"/>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7"/>
        <w:gridCol w:w="7530"/>
      </w:tblGrid>
      <w:tr w:rsidRPr="000F732E" w:rsidR="000F732E" w:rsidTr="00B05454" w14:paraId="2C390288" w14:textId="77777777">
        <w:tc>
          <w:tcPr>
            <w:tcW w:w="946" w:type="pct"/>
          </w:tcPr>
          <w:p w:rsidRPr="000F732E" w:rsidR="000F732E" w:rsidP="00CC4510" w:rsidRDefault="000F732E" w14:paraId="16A0641A" w14:textId="77777777">
            <w:pPr>
              <w:tabs>
                <w:tab w:val="center" w:pos="284"/>
              </w:tabs>
              <w:spacing w:line="240" w:lineRule="auto"/>
              <w:ind w:left="266" w:hanging="376"/>
              <w:jc w:val="left"/>
              <w:rPr>
                <w:b/>
              </w:rPr>
            </w:pPr>
            <w:r>
              <w:rPr>
                <w:b/>
              </w:rPr>
              <w:t>Előadó:</w:t>
            </w:r>
          </w:p>
          <w:p w:rsidRPr="000F732E" w:rsidR="000F732E" w:rsidP="00CC4510" w:rsidRDefault="000F732E" w14:paraId="222CEE0C" w14:textId="77777777">
            <w:pPr>
              <w:tabs>
                <w:tab w:val="center" w:pos="284"/>
              </w:tabs>
              <w:spacing w:line="240" w:lineRule="auto"/>
              <w:ind w:left="266" w:hanging="376"/>
              <w:jc w:val="left"/>
              <w:rPr>
                <w:b/>
              </w:rPr>
            </w:pPr>
          </w:p>
        </w:tc>
        <w:tc>
          <w:tcPr>
            <w:tcW w:w="4054" w:type="pct"/>
          </w:tcPr>
          <w:p w:rsidRPr="00CC4510" w:rsidR="000F732E" w:rsidP="00CC4510" w:rsidRDefault="000F732E" w14:paraId="30B50978" w14:textId="2B2F6815">
            <w:pPr>
              <w:tabs>
                <w:tab w:val="center" w:pos="284"/>
              </w:tabs>
              <w:spacing w:line="240" w:lineRule="auto"/>
              <w:ind w:left="266" w:hanging="376"/>
              <w:jc w:val="left"/>
              <w:rPr>
                <w:bCs/>
              </w:rPr>
            </w:pPr>
            <w:proofErr w:type="spellStart"/>
            <w:r>
              <w:t>Anastasis</w:t>
            </w:r>
            <w:proofErr w:type="spellEnd"/>
            <w:r>
              <w:t xml:space="preserve"> YIAPANIS (Civil társadalmi szervezetek/CY)</w:t>
            </w:r>
          </w:p>
        </w:tc>
      </w:tr>
      <w:tr w:rsidRPr="000F732E" w:rsidR="000F732E" w:rsidTr="00B05454" w14:paraId="5F892D9C" w14:textId="77777777">
        <w:tc>
          <w:tcPr>
            <w:tcW w:w="946" w:type="pct"/>
          </w:tcPr>
          <w:p w:rsidRPr="000F732E" w:rsidR="000F732E" w:rsidP="00CC4510" w:rsidRDefault="000F732E" w14:paraId="2222EF41" w14:textId="77777777">
            <w:pPr>
              <w:tabs>
                <w:tab w:val="center" w:pos="284"/>
              </w:tabs>
              <w:spacing w:line="240" w:lineRule="auto"/>
              <w:ind w:left="266" w:hanging="376"/>
              <w:jc w:val="left"/>
              <w:rPr>
                <w:b/>
              </w:rPr>
            </w:pPr>
            <w:r>
              <w:rPr>
                <w:b/>
              </w:rPr>
              <w:t>Társelőadó:</w:t>
            </w:r>
          </w:p>
          <w:p w:rsidRPr="000F732E" w:rsidR="000F732E" w:rsidP="00CC4510" w:rsidRDefault="000F732E" w14:paraId="31414DE8" w14:textId="77777777">
            <w:pPr>
              <w:tabs>
                <w:tab w:val="center" w:pos="284"/>
              </w:tabs>
              <w:spacing w:line="240" w:lineRule="auto"/>
              <w:ind w:left="266" w:hanging="376"/>
              <w:jc w:val="left"/>
              <w:rPr>
                <w:b/>
              </w:rPr>
            </w:pPr>
          </w:p>
        </w:tc>
        <w:tc>
          <w:tcPr>
            <w:tcW w:w="4054" w:type="pct"/>
          </w:tcPr>
          <w:p w:rsidRPr="001E04B8" w:rsidR="000F732E" w:rsidP="00CC4510" w:rsidRDefault="000F732E" w14:paraId="31568716" w14:textId="3337EFC8">
            <w:pPr>
              <w:tabs>
                <w:tab w:val="center" w:pos="284"/>
              </w:tabs>
              <w:spacing w:line="240" w:lineRule="auto"/>
              <w:ind w:left="266" w:hanging="376"/>
              <w:jc w:val="left"/>
            </w:pPr>
            <w:r>
              <w:t>Rolf GEHRING (DE/2. kat.)</w:t>
            </w:r>
          </w:p>
        </w:tc>
      </w:tr>
      <w:tr w:rsidRPr="000F732E" w:rsidR="000F732E" w:rsidTr="00B05454" w14:paraId="0FBF1F0B" w14:textId="77777777">
        <w:tc>
          <w:tcPr>
            <w:tcW w:w="946" w:type="pct"/>
          </w:tcPr>
          <w:p w:rsidRPr="000F732E" w:rsidR="000F732E" w:rsidP="00CC4510" w:rsidRDefault="000F732E" w14:paraId="2CA7929D" w14:textId="77777777">
            <w:pPr>
              <w:tabs>
                <w:tab w:val="center" w:pos="284"/>
              </w:tabs>
              <w:spacing w:line="240" w:lineRule="auto"/>
              <w:ind w:left="266" w:hanging="376"/>
              <w:jc w:val="left"/>
            </w:pPr>
            <w:r>
              <w:rPr>
                <w:b/>
              </w:rPr>
              <w:t>Hivatkozás:</w:t>
            </w:r>
          </w:p>
        </w:tc>
        <w:tc>
          <w:tcPr>
            <w:tcW w:w="4054" w:type="pct"/>
          </w:tcPr>
          <w:p w:rsidR="00C41D73" w:rsidP="001E04B8" w:rsidRDefault="00C41D73" w14:paraId="320586E0" w14:textId="24B220EB">
            <w:pPr>
              <w:tabs>
                <w:tab w:val="center" w:pos="284"/>
              </w:tabs>
              <w:spacing w:line="240" w:lineRule="auto"/>
              <w:ind w:left="266" w:hanging="376"/>
              <w:jc w:val="left"/>
            </w:pPr>
            <w:r>
              <w:t>saját kezdeményezésű vélemény</w:t>
            </w:r>
          </w:p>
          <w:p w:rsidRPr="000F732E" w:rsidR="000F732E" w:rsidP="00CC4510" w:rsidRDefault="000F732E" w14:paraId="33B05BD1" w14:textId="754D5011">
            <w:pPr>
              <w:tabs>
                <w:tab w:val="center" w:pos="284"/>
              </w:tabs>
              <w:spacing w:line="240" w:lineRule="auto"/>
              <w:ind w:left="266" w:hanging="376"/>
              <w:jc w:val="left"/>
            </w:pPr>
            <w:r>
              <w:t>EESC-2023-03538-00-00-AC</w:t>
            </w:r>
          </w:p>
        </w:tc>
      </w:tr>
    </w:tbl>
    <w:p w:rsidRPr="000F732E" w:rsidR="000F732E" w:rsidP="000F732E" w:rsidRDefault="000F732E" w14:paraId="3216B2BA" w14:textId="77777777">
      <w:pPr>
        <w:keepNext/>
        <w:keepLines/>
        <w:tabs>
          <w:tab w:val="center" w:pos="284"/>
        </w:tabs>
        <w:spacing w:after="160" w:line="259" w:lineRule="auto"/>
        <w:ind w:left="266" w:hanging="266"/>
        <w:jc w:val="left"/>
        <w:rPr>
          <w:rFonts w:eastAsiaTheme="minorHAnsi"/>
          <w:b/>
          <w:lang w:val="fr-FR"/>
        </w:rPr>
      </w:pPr>
    </w:p>
    <w:p w:rsidR="000F732E" w:rsidP="00CC4510" w:rsidRDefault="000F732E" w14:paraId="2BD35938" w14:textId="46AE9C8D">
      <w:pPr>
        <w:keepNext/>
        <w:keepLines/>
        <w:tabs>
          <w:tab w:val="center" w:pos="284"/>
        </w:tabs>
        <w:spacing w:after="160" w:line="360" w:lineRule="auto"/>
        <w:ind w:left="266" w:hanging="266"/>
        <w:jc w:val="left"/>
        <w:rPr>
          <w:rFonts w:eastAsiaTheme="minorHAnsi"/>
          <w:b/>
        </w:rPr>
      </w:pPr>
      <w:r>
        <w:rPr>
          <w:b/>
        </w:rPr>
        <w:t>Főbb pontok</w:t>
      </w:r>
    </w:p>
    <w:p w:rsidR="000F732E" w:rsidP="00CC4510" w:rsidRDefault="000F732E" w14:paraId="66129667" w14:textId="184E3AF9">
      <w:pPr>
        <w:spacing w:after="160" w:line="360" w:lineRule="auto"/>
        <w:jc w:val="left"/>
        <w:rPr>
          <w:rFonts w:eastAsiaTheme="minorHAnsi"/>
        </w:rPr>
      </w:pPr>
      <w:r>
        <w:t>Az EGSZB:</w:t>
      </w:r>
    </w:p>
    <w:p w:rsidRPr="000F732E" w:rsidR="000F732E" w:rsidP="00CC4510" w:rsidRDefault="000F732E" w14:paraId="7220DE2F" w14:textId="77777777">
      <w:pPr>
        <w:numPr>
          <w:ilvl w:val="0"/>
          <w:numId w:val="28"/>
        </w:numPr>
        <w:spacing w:after="160" w:line="259" w:lineRule="auto"/>
        <w:ind w:left="284" w:hanging="284"/>
        <w:contextualSpacing/>
        <w:rPr>
          <w:rFonts w:eastAsiaTheme="minorHAnsi"/>
        </w:rPr>
      </w:pPr>
      <w:r>
        <w:t xml:space="preserve">arra kéri az uniós és a nemzeti hatóságokat, hogy </w:t>
      </w:r>
      <w:r>
        <w:rPr>
          <w:b/>
        </w:rPr>
        <w:t>kezeljék prioritásként az európai faipar versenyképességét</w:t>
      </w:r>
      <w:r>
        <w:t xml:space="preserve">, és ennek érdekében </w:t>
      </w:r>
      <w:r>
        <w:rPr>
          <w:b/>
        </w:rPr>
        <w:t>biztosítsák a piacra jutást</w:t>
      </w:r>
      <w:r>
        <w:t xml:space="preserve">, kezeljék a költségekkel kapcsolatos kihívásokat és a </w:t>
      </w:r>
      <w:r>
        <w:rPr>
          <w:b/>
        </w:rPr>
        <w:t>tisztességtelen kereskedelmi gyakorlatokat</w:t>
      </w:r>
      <w:r>
        <w:t>, és mindeközben biztosítsanak egyenlő versenyfeltételeket a piacon,</w:t>
      </w:r>
    </w:p>
    <w:p w:rsidRPr="000F732E" w:rsidR="000F732E" w:rsidP="00CC4510" w:rsidRDefault="000F732E" w14:paraId="71F89912" w14:textId="77777777">
      <w:pPr>
        <w:numPr>
          <w:ilvl w:val="0"/>
          <w:numId w:val="28"/>
        </w:numPr>
        <w:spacing w:after="160" w:line="259" w:lineRule="auto"/>
        <w:ind w:left="284" w:hanging="284"/>
        <w:contextualSpacing/>
        <w:rPr>
          <w:rFonts w:eastAsiaTheme="minorHAnsi"/>
        </w:rPr>
      </w:pPr>
      <w:r>
        <w:t xml:space="preserve">arra kéri az összes uniós intézményt, hogy megfelelően ismerjék el, hogy a megújuló anyagok használata segíti a fenntarthatóságot, a körforgásos gazdaságot és a klímasemlegességet, továbbá </w:t>
      </w:r>
      <w:r>
        <w:rPr>
          <w:b/>
        </w:rPr>
        <w:t>jelentsék ki, hogy a fa értékes körforgásos erőforrás és nyersanyag</w:t>
      </w:r>
      <w:r>
        <w:t>,</w:t>
      </w:r>
    </w:p>
    <w:p w:rsidRPr="000F732E" w:rsidR="000F732E" w:rsidP="00CC4510" w:rsidRDefault="000F732E" w14:paraId="69154C3C" w14:textId="77777777">
      <w:pPr>
        <w:numPr>
          <w:ilvl w:val="0"/>
          <w:numId w:val="28"/>
        </w:numPr>
        <w:spacing w:after="160" w:line="259" w:lineRule="auto"/>
        <w:ind w:left="284" w:hanging="284"/>
        <w:contextualSpacing/>
        <w:rPr>
          <w:rFonts w:eastAsiaTheme="minorHAnsi"/>
        </w:rPr>
      </w:pPr>
      <w:r>
        <w:t xml:space="preserve">hangsúlyozza, hogy minimumszabályokat kell meghatározni az építőiparban a teljes életciklusra számított szén-dioxid-kibocsátásra vonatkozóan, és az ágazatban </w:t>
      </w:r>
      <w:r>
        <w:rPr>
          <w:b/>
        </w:rPr>
        <w:t>elő kell írni a szén-dioxid-kibocsátásra vonatkozó adatszolgáltatást</w:t>
      </w:r>
      <w:r>
        <w:t>,</w:t>
      </w:r>
    </w:p>
    <w:p w:rsidRPr="000F732E" w:rsidR="000F732E" w:rsidP="00CC4510" w:rsidRDefault="000F732E" w14:paraId="711A8E02" w14:textId="77777777">
      <w:pPr>
        <w:numPr>
          <w:ilvl w:val="0"/>
          <w:numId w:val="28"/>
        </w:numPr>
        <w:spacing w:after="160" w:line="259" w:lineRule="auto"/>
        <w:ind w:left="284" w:hanging="284"/>
        <w:contextualSpacing/>
        <w:rPr>
          <w:rFonts w:eastAsiaTheme="minorHAnsi"/>
        </w:rPr>
      </w:pPr>
      <w:r>
        <w:t xml:space="preserve">határozottabb, proaktív intézkedéseket szorgalmaz az </w:t>
      </w:r>
      <w:r>
        <w:rPr>
          <w:b/>
        </w:rPr>
        <w:t>illegális fakitermelés, az erdőirtás és a jogellenes fakereskedelem elleni küzdelem</w:t>
      </w:r>
      <w:r>
        <w:t xml:space="preserve"> érdekében,</w:t>
      </w:r>
    </w:p>
    <w:p w:rsidRPr="000F732E" w:rsidR="000F732E" w:rsidP="00CC4510" w:rsidRDefault="000F732E" w14:paraId="22C6D85E" w14:textId="77777777">
      <w:pPr>
        <w:numPr>
          <w:ilvl w:val="0"/>
          <w:numId w:val="28"/>
        </w:numPr>
        <w:spacing w:after="160" w:line="259" w:lineRule="auto"/>
        <w:ind w:left="284" w:hanging="284"/>
        <w:contextualSpacing/>
        <w:rPr>
          <w:rFonts w:eastAsiaTheme="minorHAnsi"/>
        </w:rPr>
      </w:pPr>
      <w:r>
        <w:t xml:space="preserve">sürgeti egy olyan </w:t>
      </w:r>
      <w:r>
        <w:rPr>
          <w:b/>
        </w:rPr>
        <w:t>uniós stratégia kidolgozását, amelynek célja a fiatalabb tehetségek</w:t>
      </w:r>
      <w:r>
        <w:t xml:space="preserve"> és a nők ágazatba </w:t>
      </w:r>
      <w:r>
        <w:rPr>
          <w:b/>
        </w:rPr>
        <w:t>vonzása és megtartása</w:t>
      </w:r>
      <w:r>
        <w:t xml:space="preserve"> úgy, </w:t>
      </w:r>
      <w:r>
        <w:rPr>
          <w:b/>
        </w:rPr>
        <w:t>biztosítsa a képzett munkavállalók rendelkezésre állását</w:t>
      </w:r>
      <w:r>
        <w:t>,</w:t>
      </w:r>
    </w:p>
    <w:p w:rsidRPr="000F732E" w:rsidR="000F732E" w:rsidP="00CC4510" w:rsidRDefault="000F732E" w14:paraId="41674885" w14:textId="77777777">
      <w:pPr>
        <w:numPr>
          <w:ilvl w:val="0"/>
          <w:numId w:val="28"/>
        </w:numPr>
        <w:spacing w:after="160" w:line="259" w:lineRule="auto"/>
        <w:ind w:left="284" w:hanging="284"/>
        <w:contextualSpacing/>
        <w:rPr>
          <w:rFonts w:eastAsiaTheme="minorHAnsi"/>
        </w:rPr>
      </w:pPr>
      <w:r>
        <w:t xml:space="preserve">hangsúlyozza, hogy az uniós faiparban </w:t>
      </w:r>
      <w:r>
        <w:rPr>
          <w:b/>
        </w:rPr>
        <w:t>érvényesülnie kell a szociális jogok európai pillérének</w:t>
      </w:r>
      <w:r>
        <w:t>,</w:t>
      </w:r>
    </w:p>
    <w:p w:rsidRPr="000F732E" w:rsidR="000F732E" w:rsidP="00CC4510" w:rsidRDefault="000F732E" w14:paraId="3255DCE6" w14:textId="77777777">
      <w:pPr>
        <w:numPr>
          <w:ilvl w:val="0"/>
          <w:numId w:val="28"/>
        </w:numPr>
        <w:spacing w:after="160" w:line="259" w:lineRule="auto"/>
        <w:ind w:left="284" w:hanging="284"/>
        <w:contextualSpacing/>
        <w:rPr>
          <w:rFonts w:eastAsiaTheme="minorHAnsi"/>
          <w:b/>
          <w:bCs/>
        </w:rPr>
      </w:pPr>
      <w:r>
        <w:t xml:space="preserve">hangsúlyozza, hogy egyre nagyobb szükség van hatékony erdőgazdálkodásra, illetve az európai és nemzeti tűzoltó szolgálatok közötti koordináció növelésére, valamint felszereltségük javítására, hogy </w:t>
      </w:r>
      <w:r>
        <w:rPr>
          <w:b/>
        </w:rPr>
        <w:t>ellensúlyozni lehessen azt a tendenciát, hogy Európában egyre nagyobb erdőtüzek vannak</w:t>
      </w:r>
      <w:r>
        <w:t>,</w:t>
      </w:r>
    </w:p>
    <w:p w:rsidRPr="000F732E" w:rsidR="000F732E" w:rsidP="00CC4510" w:rsidRDefault="000F732E" w14:paraId="23084171" w14:textId="77777777">
      <w:pPr>
        <w:numPr>
          <w:ilvl w:val="0"/>
          <w:numId w:val="28"/>
        </w:numPr>
        <w:spacing w:after="160" w:line="259" w:lineRule="auto"/>
        <w:ind w:left="284" w:hanging="284"/>
        <w:contextualSpacing/>
        <w:rPr>
          <w:rFonts w:eastAsiaTheme="minorHAnsi"/>
        </w:rPr>
      </w:pPr>
      <w:r>
        <w:t xml:space="preserve">sürgeti a </w:t>
      </w:r>
      <w:r>
        <w:rPr>
          <w:b/>
        </w:rPr>
        <w:t>fenntartható termékek környezettudatos tervezéséről szóló rendelet</w:t>
      </w:r>
      <w:r>
        <w:t xml:space="preserve"> (ESPR) következetes </w:t>
      </w:r>
      <w:r>
        <w:rPr>
          <w:b/>
        </w:rPr>
        <w:t>végrehajtását</w:t>
      </w:r>
      <w:r>
        <w:t xml:space="preserve"> annak érdekében, hogy a fenntartható termékek váljanak normává, és fennmaradjon az importtal szembeni tisztességes verseny. Emellett az uniós faágazat szociális partnereit fel kell kérni, hogy vegyenek részt a környezettudatos tervezéssel foglalkozó konzultációs fórumon.</w:t>
      </w:r>
    </w:p>
    <w:p w:rsidRPr="000F732E" w:rsidR="000F732E" w:rsidP="000F732E" w:rsidRDefault="000F732E" w14:paraId="0EC35662" w14:textId="77777777">
      <w:pPr>
        <w:spacing w:after="160" w:line="259" w:lineRule="auto"/>
        <w:ind w:left="720"/>
        <w:contextualSpacing/>
        <w:jc w:val="left"/>
        <w:rPr>
          <w:rFonts w:eastAsiaTheme="minorHAnsi"/>
          <w:bCs/>
          <w:lang w:val="fr-FR"/>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3"/>
        <w:gridCol w:w="4088"/>
      </w:tblGrid>
      <w:tr w:rsidRPr="000F732E" w:rsidR="000F732E" w:rsidTr="00B05454" w14:paraId="47CF7F3B" w14:textId="77777777">
        <w:tc>
          <w:tcPr>
            <w:tcW w:w="1870" w:type="pct"/>
          </w:tcPr>
          <w:p w:rsidRPr="000F732E" w:rsidR="000F732E" w:rsidP="000F732E" w:rsidRDefault="000F732E" w14:paraId="76D5A844" w14:textId="77777777">
            <w:pPr>
              <w:spacing w:line="240" w:lineRule="auto"/>
              <w:jc w:val="left"/>
              <w:rPr>
                <w:i/>
              </w:rPr>
            </w:pPr>
            <w:r>
              <w:rPr>
                <w:b/>
                <w:i/>
              </w:rPr>
              <w:t>Kapcsolattartó:</w:t>
            </w:r>
          </w:p>
        </w:tc>
        <w:tc>
          <w:tcPr>
            <w:tcW w:w="3130" w:type="pct"/>
            <w:tcBorders>
              <w:left w:val="nil"/>
            </w:tcBorders>
          </w:tcPr>
          <w:p w:rsidRPr="00CC4510" w:rsidR="000F732E" w:rsidP="000F732E" w:rsidRDefault="000F732E" w14:paraId="7DA54185" w14:textId="31EEC934">
            <w:pPr>
              <w:spacing w:line="240" w:lineRule="auto"/>
              <w:jc w:val="left"/>
              <w:rPr>
                <w:bCs/>
                <w:i/>
              </w:rPr>
            </w:pPr>
            <w:proofErr w:type="spellStart"/>
            <w:r>
              <w:rPr>
                <w:i/>
              </w:rPr>
              <w:t>Heli</w:t>
            </w:r>
            <w:proofErr w:type="spellEnd"/>
            <w:r>
              <w:rPr>
                <w:i/>
              </w:rPr>
              <w:t xml:space="preserve"> </w:t>
            </w:r>
            <w:proofErr w:type="spellStart"/>
            <w:r>
              <w:rPr>
                <w:i/>
              </w:rPr>
              <w:t>Niemelä-Farrer</w:t>
            </w:r>
            <w:proofErr w:type="spellEnd"/>
          </w:p>
        </w:tc>
      </w:tr>
      <w:tr w:rsidRPr="000F732E" w:rsidR="000F732E" w:rsidTr="00B05454" w14:paraId="6E3CE5FB" w14:textId="77777777">
        <w:tc>
          <w:tcPr>
            <w:tcW w:w="1870" w:type="pct"/>
          </w:tcPr>
          <w:p w:rsidRPr="000F732E" w:rsidR="000F732E" w:rsidP="000F732E" w:rsidRDefault="000F732E" w14:paraId="7E50D445" w14:textId="77777777">
            <w:pPr>
              <w:spacing w:line="240" w:lineRule="auto"/>
              <w:jc w:val="left"/>
              <w:rPr>
                <w:i/>
              </w:rPr>
            </w:pPr>
            <w:r>
              <w:rPr>
                <w:i/>
              </w:rPr>
              <w:t xml:space="preserve">Tel.: </w:t>
            </w:r>
          </w:p>
        </w:tc>
        <w:tc>
          <w:tcPr>
            <w:tcW w:w="3130" w:type="pct"/>
            <w:tcBorders>
              <w:left w:val="nil"/>
            </w:tcBorders>
          </w:tcPr>
          <w:p w:rsidRPr="000F732E" w:rsidR="000F732E" w:rsidP="000F732E" w:rsidRDefault="000F732E" w14:paraId="7DEC5319" w14:textId="77777777">
            <w:pPr>
              <w:spacing w:line="240" w:lineRule="auto"/>
              <w:jc w:val="left"/>
              <w:rPr>
                <w:i/>
              </w:rPr>
            </w:pPr>
            <w:r>
              <w:rPr>
                <w:i/>
              </w:rPr>
              <w:t>+32 22822464</w:t>
            </w:r>
          </w:p>
        </w:tc>
      </w:tr>
      <w:tr w:rsidRPr="000F732E" w:rsidR="000F732E" w:rsidTr="00B05454" w14:paraId="2C89CBFA" w14:textId="77777777">
        <w:tc>
          <w:tcPr>
            <w:tcW w:w="1870" w:type="pct"/>
          </w:tcPr>
          <w:p w:rsidRPr="000F732E" w:rsidR="000F732E" w:rsidP="000F732E" w:rsidRDefault="000F732E" w14:paraId="314FD0C9" w14:textId="77777777">
            <w:pPr>
              <w:spacing w:line="240" w:lineRule="auto"/>
              <w:jc w:val="left"/>
              <w:rPr>
                <w:i/>
                <w:iCs/>
              </w:rPr>
            </w:pPr>
            <w:r>
              <w:rPr>
                <w:i/>
              </w:rPr>
              <w:t>E-mail-cím:</w:t>
            </w:r>
          </w:p>
        </w:tc>
        <w:tc>
          <w:tcPr>
            <w:tcW w:w="3130" w:type="pct"/>
            <w:tcBorders>
              <w:left w:val="nil"/>
            </w:tcBorders>
          </w:tcPr>
          <w:p w:rsidRPr="000F732E" w:rsidR="000F732E" w:rsidP="000F732E" w:rsidRDefault="00893292" w14:paraId="5E097992" w14:textId="77777777">
            <w:pPr>
              <w:spacing w:line="240" w:lineRule="auto"/>
              <w:jc w:val="left"/>
              <w:rPr>
                <w:i/>
              </w:rPr>
            </w:pPr>
            <w:hyperlink w:history="1" r:id="rId40">
              <w:r w:rsidR="00E72EBF">
                <w:rPr>
                  <w:i/>
                  <w:color w:val="0000FF"/>
                  <w:u w:val="single"/>
                </w:rPr>
                <w:t>Heli.Niemela-Farrer@eesc.europa.eu</w:t>
              </w:r>
            </w:hyperlink>
          </w:p>
        </w:tc>
      </w:tr>
      <w:bookmarkEnd w:id="32"/>
      <w:bookmarkEnd w:id="0"/>
    </w:tbl>
    <w:p w:rsidR="003F6640" w:rsidP="006C7863" w:rsidRDefault="003F6640" w14:paraId="494EE16D"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62AAB0D6">
      <w:pPr>
        <w:overflowPunct w:val="0"/>
        <w:autoSpaceDE w:val="0"/>
        <w:autoSpaceDN w:val="0"/>
        <w:adjustRightInd w:val="0"/>
        <w:jc w:val="center"/>
        <w:textAlignment w:val="baseline"/>
      </w:pPr>
      <w:r>
        <w:t>_____________</w:t>
      </w:r>
    </w:p>
    <w:sectPr w:rsidRPr="006C7863" w:rsidR="0092772D" w:rsidSect="004417CD">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C2BF" w14:textId="77777777" w:rsidR="004417CD" w:rsidRPr="004417CD" w:rsidRDefault="004417CD" w:rsidP="00441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E15D74B" w:rsidR="00765C4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rsidR="00D36819">
      <w:t>1</w:t>
    </w:r>
    <w:r>
      <w:fldChar w:fldCharType="end"/>
    </w:r>
    <w:r>
      <w:t>/</w:t>
    </w:r>
    <w:fldSimple w:instr=" NUMPAGES ">
      <w:r w:rsidR="00D3681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A77" w14:textId="77777777" w:rsidR="004417CD" w:rsidRPr="004417CD" w:rsidRDefault="004417CD" w:rsidP="004417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4417CD" w:rsidRDefault="00E4258F" w:rsidP="004417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E2BD989" w:rsidR="00E4258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4417CD" w:rsidRDefault="00E4258F" w:rsidP="0044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236" w14:textId="77777777" w:rsidR="004417CD" w:rsidRPr="004417CD" w:rsidRDefault="004417CD" w:rsidP="0044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D3EE" w14:textId="25799B83" w:rsidR="004417CD" w:rsidRPr="004417CD" w:rsidRDefault="004417CD" w:rsidP="00441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AAA5" w14:textId="77777777" w:rsidR="004417CD" w:rsidRPr="004417CD" w:rsidRDefault="004417CD" w:rsidP="00441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4417CD" w:rsidRDefault="00E4258F" w:rsidP="00441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02CDA1C" w:rsidR="00E4258F" w:rsidRPr="004417CD" w:rsidRDefault="00E4258F" w:rsidP="004417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4417CD" w:rsidRDefault="00E4258F" w:rsidP="00441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5175DF"/>
    <w:multiLevelType w:val="hybridMultilevel"/>
    <w:tmpl w:val="6D920B62"/>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29B4290"/>
    <w:multiLevelType w:val="hybridMultilevel"/>
    <w:tmpl w:val="8758B8E2"/>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6"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133D9"/>
    <w:multiLevelType w:val="hybridMultilevel"/>
    <w:tmpl w:val="82686D8C"/>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4"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6"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F6D16C6"/>
    <w:multiLevelType w:val="hybridMultilevel"/>
    <w:tmpl w:val="DC7C3BFA"/>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6A913AD"/>
    <w:multiLevelType w:val="hybridMultilevel"/>
    <w:tmpl w:val="EF0A019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3"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4"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0"/>
  </w:num>
  <w:num w:numId="4">
    <w:abstractNumId w:val="15"/>
  </w:num>
  <w:num w:numId="5">
    <w:abstractNumId w:val="2"/>
  </w:num>
  <w:num w:numId="6">
    <w:abstractNumId w:val="19"/>
  </w:num>
  <w:num w:numId="7">
    <w:abstractNumId w:val="12"/>
  </w:num>
  <w:num w:numId="8">
    <w:abstractNumId w:val="24"/>
  </w:num>
  <w:num w:numId="9">
    <w:abstractNumId w:val="18"/>
  </w:num>
  <w:num w:numId="10">
    <w:abstractNumId w:val="21"/>
  </w:num>
  <w:num w:numId="11">
    <w:abstractNumId w:val="7"/>
  </w:num>
  <w:num w:numId="12">
    <w:abstractNumId w:val="6"/>
  </w:num>
  <w:num w:numId="13">
    <w:abstractNumId w:val="32"/>
  </w:num>
  <w:num w:numId="14">
    <w:abstractNumId w:val="27"/>
  </w:num>
  <w:num w:numId="15">
    <w:abstractNumId w:val="23"/>
  </w:num>
  <w:num w:numId="16">
    <w:abstractNumId w:val="9"/>
  </w:num>
  <w:num w:numId="17">
    <w:abstractNumId w:val="34"/>
  </w:num>
  <w:num w:numId="18">
    <w:abstractNumId w:val="26"/>
  </w:num>
  <w:num w:numId="19">
    <w:abstractNumId w:val="3"/>
  </w:num>
  <w:num w:numId="20">
    <w:abstractNumId w:val="1"/>
  </w:num>
  <w:num w:numId="21">
    <w:abstractNumId w:val="29"/>
  </w:num>
  <w:num w:numId="22">
    <w:abstractNumId w:val="10"/>
  </w:num>
  <w:num w:numId="23">
    <w:abstractNumId w:val="8"/>
  </w:num>
  <w:num w:numId="24">
    <w:abstractNumId w:val="30"/>
  </w:num>
  <w:num w:numId="25">
    <w:abstractNumId w:val="4"/>
  </w:num>
  <w:num w:numId="26">
    <w:abstractNumId w:val="25"/>
  </w:num>
  <w:num w:numId="27">
    <w:abstractNumId w:val="33"/>
  </w:num>
  <w:num w:numId="28">
    <w:abstractNumId w:val="16"/>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3"/>
  </w:num>
  <w:num w:numId="31">
    <w:abstractNumId w:val="17"/>
  </w:num>
  <w:num w:numId="32">
    <w:abstractNumId w:val="5"/>
  </w:num>
  <w:num w:numId="33">
    <w:abstractNumId w:val="22"/>
  </w:num>
  <w:num w:numId="34">
    <w:abstractNumId w:val="11"/>
  </w:num>
  <w:num w:numId="35">
    <w:abstractNumId w:val="28"/>
  </w:num>
  <w:num w:numId="36">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8CB"/>
    <w:rsid w:val="00001A64"/>
    <w:rsid w:val="00002061"/>
    <w:rsid w:val="00002240"/>
    <w:rsid w:val="00002A4B"/>
    <w:rsid w:val="000058F8"/>
    <w:rsid w:val="00006967"/>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7CD"/>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16B8"/>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34F"/>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292"/>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247E"/>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38DE"/>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258E"/>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38F4"/>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4510"/>
    <w:rsid w:val="00CC521C"/>
    <w:rsid w:val="00CC7588"/>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819"/>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7F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2EBF"/>
    <w:rsid w:val="00E73010"/>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147B"/>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3FC"/>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hu-HU"/>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Bartek.Bednarowicz@eesc.europa.eu" TargetMode="External"/><Relationship Id="rId39" Type="http://schemas.openxmlformats.org/officeDocument/2006/relationships/hyperlink" Target="https://www.eesc.europa.eu/hu/our-work/opinions-information-reports/opinions/towards-comprehensive-strategy-eu-wood-industry" TargetMode="External"/><Relationship Id="rId21" Type="http://schemas.openxmlformats.org/officeDocument/2006/relationships/hyperlink" Target="mailto:Juri.Soosaar@eesc.europa.eu" TargetMode="External"/><Relationship Id="rId34" Type="http://schemas.openxmlformats.org/officeDocument/2006/relationships/hyperlink" Target="mailto:Caroline.Verhelst@eesc.europa.eu"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hu/our-work/opinions-information-reports/opinions/alternative-dispute-resolution"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rgio.LorencioMatallana@eesc.europa.eu" TargetMode="External"/><Relationship Id="rId32" Type="http://schemas.openxmlformats.org/officeDocument/2006/relationships/hyperlink" Target="mailto:Dalila.Bernard@eesc.europa.eu" TargetMode="External"/><Relationship Id="rId37" Type="http://schemas.openxmlformats.org/officeDocument/2006/relationships/hyperlink" Target="https://www.eesc.europa.eu/hu/our-work/opinions-information-reports/opinions/revision-combined-transport-directive-92106eec" TargetMode="External"/><Relationship Id="rId40" Type="http://schemas.openxmlformats.org/officeDocument/2006/relationships/hyperlink" Target="mailto:Heli.Niemela-Farrer@eesc.europa.eu"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hu/our-work/opinions-information-reports/opinions/improving-benchmarks-and-reporting-requirements-financial-services-and-investment-support" TargetMode="External"/><Relationship Id="rId28" Type="http://schemas.openxmlformats.org/officeDocument/2006/relationships/hyperlink" Target="mailto:June.Bedaton@eesc.europa.eu" TargetMode="External"/><Relationship Id="rId36" Type="http://schemas.openxmlformats.org/officeDocument/2006/relationships/hyperlink" Target="mailto:Marco.Ristori@eesc.europa.eu" TargetMode="External"/><Relationship Id="rId49"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hu/our-work/opinions-information-reports/opinions/sme-relief-package"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lombe.Gregoire@eesc.europa.eu" TargetMode="External"/><Relationship Id="rId27" Type="http://schemas.openxmlformats.org/officeDocument/2006/relationships/hyperlink" Target="https://www.eesc.europa.eu/hu/our-work/opinions-information-reports/opinions/strengthening-civil-dialogue-and-participatory-democracy-eu-path-forward"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hu/our-work/opinions-information-reports/opinions/european-economic-security-strategy"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customXml/item3.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hu/our-work/opinions-information-reports/opinions/digitalisation-social-security" TargetMode="External"/><Relationship Id="rId33" Type="http://schemas.openxmlformats.org/officeDocument/2006/relationships/hyperlink" Target="https://www.eesc.europa.eu/hu/our-work/opinions-information-reports/opinions/preventing-plastic-pellet-losses-reduce-microplastics-pollution"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6.xml"/><Relationship Id="rId20" Type="http://schemas.openxmlformats.org/officeDocument/2006/relationships/hyperlink" Target="https://www.eesc.europa.eu/hu/our-work/opinions-information-reports/opinions/taxation-cross-border-teleworkers-globally-and-impact-e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F7M6YNZUATRX-416430479-4508</_dlc_DocId>
    <_dlc_DocIdUrl xmlns="59ace41b-6786-4ce3-be71-52c27066c6ef">
      <Url>http://dm/eesc/2024/_layouts/15/DocIdRedir.aspx?ID=F7M6YNZUATRX-416430479-4508</Url>
      <Description>F7M6YNZUATRX-416430479-4508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2024-03-08T12:00:00+00:00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Kliment Nora</DisplayName>
        <AccountId>1530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BEB22-87F9-4CB3-B3EB-716C42283C95}"/>
</file>

<file path=customXml/itemProps2.xml><?xml version="1.0" encoding="utf-8"?>
<ds:datastoreItem xmlns:ds="http://schemas.openxmlformats.org/officeDocument/2006/customXml" ds:itemID="{C101452C-958C-4CBB-B13E-3A28B595C5BF}"/>
</file>

<file path=customXml/itemProps3.xml><?xml version="1.0" encoding="utf-8"?>
<ds:datastoreItem xmlns:ds="http://schemas.openxmlformats.org/officeDocument/2006/customXml" ds:itemID="{839B2831-003D-4D6E-83C7-F6372FD2112E}"/>
</file>

<file path=customXml/itemProps4.xml><?xml version="1.0" encoding="utf-8"?>
<ds:datastoreItem xmlns:ds="http://schemas.openxmlformats.org/officeDocument/2006/customXml" ds:itemID="{68EABABB-449F-4E34-9DD4-BC58185B3F5B}"/>
</file>

<file path=docProps/app.xml><?xml version="1.0" encoding="utf-8"?>
<Properties xmlns="http://schemas.openxmlformats.org/officeDocument/2006/extended-properties" xmlns:vt="http://schemas.openxmlformats.org/officeDocument/2006/docPropsVTypes">
  <Template>Normal.dotm</Template>
  <TotalTime>0</TotalTime>
  <Pages>14</Pages>
  <Words>4608</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elfogadott vélemények jegyzéke - 585. plenáris ülésszak - 2024. február</dc:title>
  <dc:subject>TCD</dc:subject>
  <dc:creator>Nieddu Emma</dc:creator>
  <cp:keywords>EESC-2024-00286-00-01-TCD-TRA-EN</cp:keywords>
  <dc:description>Rapporteur:  - Original language: EN - Date of document: 08/03/2024 - Date of meeting: 30/20/2024 14:30 - External documents:  - Administrator: MME TAMASAUSKIENE Julija</dc:description>
  <cp:lastModifiedBy>Kliment Nora</cp:lastModifiedBy>
  <cp:revision>9</cp:revision>
  <cp:lastPrinted>2023-06-15T08:00:00Z</cp:lastPrinted>
  <dcterms:created xsi:type="dcterms:W3CDTF">2024-03-06T16:02:00Z</dcterms:created>
  <dcterms:modified xsi:type="dcterms:W3CDTF">2024-03-08T09:33:00Z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06/03/2024, 27/02/2024, 29/01/2024, 03/01/2024, 13/11/2023, 25/09/2023, 25/07/2023, 30/06/2023, 23/06/2023, 26/05/2023, 07/03/2023, 11/01/2023, 10/01/2023, 29/03/2022, 04/03/2022, 15/12/2021, 13/09/2021, 03/09/2021, 28/06/2021</vt:lpwstr>
  </property>
  <property fmtid="{D5CDD505-2E9C-101B-9397-08002B2CF9AE}" pid="4" name="Pref_Time">
    <vt:lpwstr>16:49:23, 12:56:45, 17:07:09, 15:02:18, 17:01:12, 16:07:19, 11:58:41, 14:00:08, 12:39:02, 15:12:50, 10:27:54, 10:12:15, 11:41:25, 14:21:50, 16:54:06, 17:56:36, 14:13:00, 10:08:10, 08:41:48</vt:lpwstr>
  </property>
  <property fmtid="{D5CDD505-2E9C-101B-9397-08002B2CF9AE}" pid="5" name="Pref_User">
    <vt:lpwstr>jhvi, jhvi, amett, enied, amett, amett, jhvi, pacup, jhvi, pacup, enied, pacup, enied, jhvi, enied, hnic, amett, enied, enied</vt:lpwstr>
  </property>
  <property fmtid="{D5CDD505-2E9C-101B-9397-08002B2CF9AE}" pid="6" name="Pref_FileName">
    <vt:lpwstr>EESC-2024-00286-00-01-TCD-ORI.docx, EESC-2024-00286-00-00-TCD-ORI.docx, EESC-2023-05816-00-00-TCD-ORI.docx, EESC-2023-04915-00-00-TCD-ORI.docx, EESC-2023-04201-00-00-TCD-ORI.docx, EESC-2023-03625-00-00-TCD-ORI.docx, EESC-2023-03078-00-00-TCD-TRA-EN-CRR.do</vt:lpwstr>
  </property>
  <property fmtid="{D5CDD505-2E9C-101B-9397-08002B2CF9AE}" pid="7" name="ContentTypeId">
    <vt:lpwstr>0x010100EA97B91038054C99906057A708A1480A00E20A70424F8EF14D84929FAE9E34774B</vt:lpwstr>
  </property>
  <property fmtid="{D5CDD505-2E9C-101B-9397-08002B2CF9AE}" pid="8" name="_dlc_DocIdItemGuid">
    <vt:lpwstr>533d00ec-1eb1-43eb-be25-740a3ec38f01</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PT|50ccc04a-eadd-42ae-a0cb-acaf45f812ba;FR|d2afafd3-4c81-4f60-8f52-ee33f2f54ff3;HR|2f555653-ed1a-4fe6-8362-9082d95989e5;DA|5d49c027-8956-412b-aa16-e85a0f96ad0e;IT|0774613c-01ed-4e5d-a25d-11d2388de825;ET|ff6c3f4c-b02c-4c3c-ab07-2c37995a7a0a;LT|a7ff5ce7-6123-4f68-865a-a57c31810414;SL|98a412ae-eb01-49e9-ae3d-585a81724cfc;FI|87606a43-d45f-42d6-b8c9-e1a3457db5b7;NL|55c6556c-b4f4-441d-9acf-c498d4f838bd;BG|1a1b3951-7821-4e6a-85f5-5673fc08bd2c;LV|46f7e311-5d9f-4663-b433-18aeccb7ace7;ES|e7a6b05b-ae16-40c8-add9-68b64b03aeba;DE|f6b31e5a-26fa-4935-b661-318e46daf27e;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31;#NL|55c6556c-b4f4-441d-9acf-c498d4f838bd;#30;#HR|2f555653-ed1a-4fe6-8362-9082d95989e5;#28;#LV|46f7e311-5d9f-4663-b433-18aeccb7ace7;#27;#SL|98a412ae-eb01-49e9-ae3d-585a81724cfc;#25;#DE|f6b31e5a-26fa-4935-b661-318e46daf27e;#24;#ES|e7a6b05b-ae16-40c8-add9-68b64b03aeba;#22;#BG|1a1b3951-7821-4e6a-85f5-5673fc08bd2c;#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32;#HU|6b229040-c589-4408-b4c1-4285663d20a8</vt:lpwstr>
  </property>
</Properties>
</file>