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FA138D" w14:paraId="785AE44C" w14:textId="7154653D">
      <w:pPr>
        <w:jc w:val="center"/>
      </w:pPr>
      <w:bookmarkStart w:name="_Hlk141173132" w:id="0"/>
      <w:r>
        <w:rPr>
          <w:noProof/>
        </w:rPr>
        <w:drawing>
          <wp:inline distT="0" distB="0" distL="0" distR="0" wp14:anchorId="259C2159" wp14:editId="109CFAF6">
            <wp:extent cx="1792605" cy="1239520"/>
            <wp:effectExtent l="0" t="0" r="0" b="0"/>
            <wp:docPr id="2" name="Picture 2" title="EESCLogo_HR"/>
            <wp:cNvGraphicFramePr/>
            <a:graphic xmlns:a="http://schemas.openxmlformats.org/drawingml/2006/main">
              <a:graphicData uri="http://schemas.openxmlformats.org/drawingml/2006/picture">
                <pic:pic xmlns:pic="http://schemas.openxmlformats.org/drawingml/2006/picture">
                  <pic:nvPicPr>
                    <pic:cNvPr id="2" name="Picture 2" title="EESCLogo_H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57216"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p>
    <w:p w:rsidRPr="00094B6B" w:rsidR="004D7AC0" w:rsidP="00775FC4" w:rsidRDefault="00014C93" w14:paraId="45DE4A28" w14:textId="5402B3AE">
      <w:pPr>
        <w:jc w:val="right"/>
      </w:pPr>
      <w:r>
        <w:t>Bruxelles, 18. ožujka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Pr>
                <w:b/>
                <w:sz w:val="32"/>
              </w:rPr>
              <w:t>585. PLENARNO ZASJEDANJE</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32F5F03F">
            <w:pPr>
              <w:snapToGrid w:val="0"/>
              <w:jc w:val="center"/>
              <w:rPr>
                <w:b/>
                <w:sz w:val="32"/>
              </w:rPr>
            </w:pPr>
            <w:r>
              <w:rPr>
                <w:b/>
                <w:sz w:val="32"/>
              </w:rPr>
              <w:t>14. i 15. veljače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SAŽETAK USVOJENIH MIŠLJENJA, REZOLUCIJA I INFORMATIVNIH/EVALUACIJSKIH IZVJEŠĆA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Ovaj dokument dostupan je na službenim jezicima na internetskim stranicama EGSO-a na sljedećoj adresi:</w:t>
            </w:r>
          </w:p>
          <w:p w:rsidRPr="00094B6B" w:rsidR="00B16284" w:rsidP="00775FC4" w:rsidRDefault="00B16284" w14:paraId="4F26A4CE" w14:textId="77777777">
            <w:pPr>
              <w:snapToGrid w:val="0"/>
              <w:jc w:val="center"/>
            </w:pPr>
          </w:p>
          <w:p w:rsidRPr="00094B6B" w:rsidR="004D7AC0" w:rsidP="00775FC4" w:rsidRDefault="00125B84" w14:paraId="2A9352A2" w14:textId="0680ADB6">
            <w:pPr>
              <w:snapToGrid w:val="0"/>
              <w:jc w:val="center"/>
            </w:pPr>
            <w:hyperlink w:history="1" r:id="rId12">
              <w:r w:rsidR="00FA138D">
                <w:rPr>
                  <w:rStyle w:val="Hyperlink"/>
                  <w:highlight w:val="yellow"/>
                </w:rPr>
                <w:t>https://www.eesc.europa.eu/hr/our-work/opinions-information-reports/plenary-session-summaries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Navedenim mišljenjima možete pristupiti na internetu putem tražilice EGSO-a:</w:t>
            </w:r>
          </w:p>
          <w:p w:rsidRPr="00094B6B" w:rsidR="00B16284" w:rsidP="00775FC4" w:rsidRDefault="00B16284" w14:paraId="7A5411A5" w14:textId="77777777">
            <w:pPr>
              <w:snapToGrid w:val="0"/>
              <w:jc w:val="center"/>
            </w:pPr>
          </w:p>
          <w:p w:rsidRPr="00094B6B" w:rsidR="004D7AC0" w:rsidP="00775FC4" w:rsidRDefault="00125B84" w14:paraId="441AC4DD" w14:textId="1194D751">
            <w:pPr>
              <w:snapToGrid w:val="0"/>
              <w:jc w:val="center"/>
            </w:pPr>
            <w:hyperlink w:history="1" r:id="rId13">
              <w:r w:rsidR="00FA138D">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4417C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Sadržaj:</w:t>
          </w:r>
        </w:p>
        <w:p w:rsidR="00462393" w:rsidRDefault="00544D95" w14:paraId="0108EBC7" w14:textId="193E57F1">
          <w:pPr>
            <w:pStyle w:val="TOC1"/>
            <w:rPr>
              <w:rFonts w:asciiTheme="minorHAnsi" w:hAnsiTheme="minorHAnsi" w:eastAsiaTheme="minorEastAsia" w:cstheme="minorBidi"/>
              <w:bCs w:val="0"/>
              <w:sz w:val="22"/>
              <w:szCs w:val="22"/>
              <w:lang w:val="en-US"/>
            </w:rPr>
          </w:pPr>
          <w:r w:rsidRPr="00544D95">
            <w:fldChar w:fldCharType="begin"/>
          </w:r>
          <w:r w:rsidRPr="00544D95">
            <w:instrText xml:space="preserve"> TOC \o "1-3" \h \z \u </w:instrText>
          </w:r>
          <w:r w:rsidRPr="00544D95">
            <w:fldChar w:fldCharType="separate"/>
          </w:r>
          <w:hyperlink w:history="1" w:anchor="_Toc160783938">
            <w:r w:rsidRPr="00613F48" w:rsidR="00462393">
              <w:rPr>
                <w:rStyle w:val="Hyperlink"/>
                <w14:scene3d>
                  <w14:camera w14:prst="orthographicFront"/>
                  <w14:lightRig w14:rig="threePt" w14:dir="t">
                    <w14:rot w14:lat="0" w14:lon="0" w14:rev="0"/>
                  </w14:lightRig>
                </w14:scene3d>
              </w:rPr>
              <w:t>1.</w:t>
            </w:r>
            <w:r w:rsidR="00462393">
              <w:rPr>
                <w:rFonts w:asciiTheme="minorHAnsi" w:hAnsiTheme="minorHAnsi" w:eastAsiaTheme="minorEastAsia" w:cstheme="minorBidi"/>
                <w:bCs w:val="0"/>
                <w:sz w:val="22"/>
                <w:szCs w:val="22"/>
                <w:lang w:val="en-US"/>
              </w:rPr>
              <w:tab/>
            </w:r>
            <w:r w:rsidRPr="00613F48" w:rsidR="00462393">
              <w:rPr>
                <w:rStyle w:val="Hyperlink"/>
                <w:b/>
              </w:rPr>
              <w:t>STRUČNA SKUPINA ZA EKONOMSKU I MONETARNU UNIJU TE EKONOMSKU I SOCIJALNU KOHEZIJU</w:t>
            </w:r>
            <w:r w:rsidR="00462393">
              <w:rPr>
                <w:webHidden/>
              </w:rPr>
              <w:tab/>
            </w:r>
            <w:r w:rsidR="00462393">
              <w:rPr>
                <w:webHidden/>
              </w:rPr>
              <w:fldChar w:fldCharType="begin"/>
            </w:r>
            <w:r w:rsidR="00462393">
              <w:rPr>
                <w:webHidden/>
              </w:rPr>
              <w:instrText xml:space="preserve"> PAGEREF _Toc160783938 \h </w:instrText>
            </w:r>
            <w:r w:rsidR="00462393">
              <w:rPr>
                <w:webHidden/>
              </w:rPr>
            </w:r>
            <w:r w:rsidR="00462393">
              <w:rPr>
                <w:webHidden/>
              </w:rPr>
              <w:fldChar w:fldCharType="separate"/>
            </w:r>
            <w:r w:rsidR="00462393">
              <w:rPr>
                <w:webHidden/>
              </w:rPr>
              <w:t>4</w:t>
            </w:r>
            <w:r w:rsidR="00462393">
              <w:rPr>
                <w:webHidden/>
              </w:rPr>
              <w:fldChar w:fldCharType="end"/>
            </w:r>
          </w:hyperlink>
        </w:p>
        <w:p w:rsidR="00462393" w:rsidRDefault="00462393" w14:paraId="0915B067" w14:textId="11C965C0">
          <w:pPr>
            <w:pStyle w:val="TOC1"/>
            <w:rPr>
              <w:rFonts w:asciiTheme="minorHAnsi" w:hAnsiTheme="minorHAnsi" w:eastAsiaTheme="minorEastAsia" w:cstheme="minorBidi"/>
              <w:bCs w:val="0"/>
              <w:sz w:val="22"/>
              <w:szCs w:val="22"/>
              <w:lang w:val="en-US"/>
            </w:rPr>
          </w:pPr>
          <w:hyperlink w:history="1" w:anchor="_Toc160783950">
            <w:r w:rsidRPr="00613F48">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613F48">
              <w:rPr>
                <w:rStyle w:val="Hyperlink"/>
                <w:b/>
              </w:rPr>
              <w:t>STRUČNA SKUPINA ZA ZAPOŠLJAVANJE, SOCIJALNA PITANJA I GRAĐANSTVO</w:t>
            </w:r>
            <w:r>
              <w:rPr>
                <w:webHidden/>
              </w:rPr>
              <w:tab/>
            </w:r>
            <w:r>
              <w:rPr>
                <w:webHidden/>
              </w:rPr>
              <w:fldChar w:fldCharType="begin"/>
            </w:r>
            <w:r>
              <w:rPr>
                <w:webHidden/>
              </w:rPr>
              <w:instrText xml:space="preserve"> PAGEREF _Toc160783950 \h </w:instrText>
            </w:r>
            <w:r>
              <w:rPr>
                <w:webHidden/>
              </w:rPr>
            </w:r>
            <w:r>
              <w:rPr>
                <w:webHidden/>
              </w:rPr>
              <w:fldChar w:fldCharType="separate"/>
            </w:r>
            <w:r>
              <w:rPr>
                <w:webHidden/>
              </w:rPr>
              <w:t>8</w:t>
            </w:r>
            <w:r>
              <w:rPr>
                <w:webHidden/>
              </w:rPr>
              <w:fldChar w:fldCharType="end"/>
            </w:r>
          </w:hyperlink>
        </w:p>
        <w:p w:rsidR="00462393" w:rsidRDefault="00462393" w14:paraId="201D1F56" w14:textId="584637E9">
          <w:pPr>
            <w:pStyle w:val="TOC1"/>
            <w:rPr>
              <w:rFonts w:asciiTheme="minorHAnsi" w:hAnsiTheme="minorHAnsi" w:eastAsiaTheme="minorEastAsia" w:cstheme="minorBidi"/>
              <w:bCs w:val="0"/>
              <w:sz w:val="22"/>
              <w:szCs w:val="22"/>
              <w:lang w:val="en-US"/>
            </w:rPr>
          </w:pPr>
          <w:hyperlink w:history="1" w:anchor="_Toc160783951">
            <w:r w:rsidRPr="00613F48">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613F48">
              <w:rPr>
                <w:rStyle w:val="Hyperlink"/>
                <w:b/>
              </w:rPr>
              <w:t>JEDINSTVENO TRŽIŠTE, PROIZVODNJA I POTROŠNJA</w:t>
            </w:r>
            <w:r>
              <w:rPr>
                <w:webHidden/>
              </w:rPr>
              <w:tab/>
            </w:r>
            <w:r>
              <w:rPr>
                <w:webHidden/>
              </w:rPr>
              <w:fldChar w:fldCharType="begin"/>
            </w:r>
            <w:r>
              <w:rPr>
                <w:webHidden/>
              </w:rPr>
              <w:instrText xml:space="preserve"> PAGEREF _Toc160783951 \h </w:instrText>
            </w:r>
            <w:r>
              <w:rPr>
                <w:webHidden/>
              </w:rPr>
            </w:r>
            <w:r>
              <w:rPr>
                <w:webHidden/>
              </w:rPr>
              <w:fldChar w:fldCharType="separate"/>
            </w:r>
            <w:r>
              <w:rPr>
                <w:webHidden/>
              </w:rPr>
              <w:t>10</w:t>
            </w:r>
            <w:r>
              <w:rPr>
                <w:webHidden/>
              </w:rPr>
              <w:fldChar w:fldCharType="end"/>
            </w:r>
          </w:hyperlink>
        </w:p>
        <w:p w:rsidRPr="00462393" w:rsidR="00462393" w:rsidP="00462393" w:rsidRDefault="00462393" w14:paraId="13CD781E" w14:textId="5F954ECC">
          <w:pPr>
            <w:pStyle w:val="TOC1"/>
            <w:rPr>
              <w:rFonts w:asciiTheme="minorHAnsi" w:hAnsiTheme="minorHAnsi" w:eastAsiaTheme="minorEastAsia" w:cstheme="minorBidi"/>
              <w:bCs w:val="0"/>
              <w:sz w:val="22"/>
              <w:szCs w:val="22"/>
              <w:lang w:val="en-US"/>
            </w:rPr>
          </w:pPr>
          <w:hyperlink w:history="1" w:anchor="_Toc160783952">
            <w:r w:rsidRPr="00613F48">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613F48">
              <w:rPr>
                <w:rStyle w:val="Hyperlink"/>
                <w:b/>
              </w:rPr>
              <w:t>STRUČNA SKUPINA ZA POLJOPRIVREDU, RURALNI RAZVOJ I OKOLIŠ</w:t>
            </w:r>
            <w:r>
              <w:rPr>
                <w:webHidden/>
              </w:rPr>
              <w:tab/>
            </w:r>
            <w:r>
              <w:rPr>
                <w:webHidden/>
              </w:rPr>
              <w:fldChar w:fldCharType="begin"/>
            </w:r>
            <w:r>
              <w:rPr>
                <w:webHidden/>
              </w:rPr>
              <w:instrText xml:space="preserve"> PAGEREF _Toc160783952 \h </w:instrText>
            </w:r>
            <w:r>
              <w:rPr>
                <w:webHidden/>
              </w:rPr>
            </w:r>
            <w:r>
              <w:rPr>
                <w:webHidden/>
              </w:rPr>
              <w:fldChar w:fldCharType="separate"/>
            </w:r>
            <w:r>
              <w:rPr>
                <w:webHidden/>
              </w:rPr>
              <w:t>12</w:t>
            </w:r>
            <w:r>
              <w:rPr>
                <w:webHidden/>
              </w:rPr>
              <w:fldChar w:fldCharType="end"/>
            </w:r>
          </w:hyperlink>
        </w:p>
        <w:p w:rsidR="00462393" w:rsidRDefault="00462393" w14:paraId="4C85DA42" w14:textId="6CE9657A">
          <w:pPr>
            <w:pStyle w:val="TOC1"/>
            <w:rPr>
              <w:rFonts w:asciiTheme="minorHAnsi" w:hAnsiTheme="minorHAnsi" w:eastAsiaTheme="minorEastAsia" w:cstheme="minorBidi"/>
              <w:bCs w:val="0"/>
              <w:sz w:val="22"/>
              <w:szCs w:val="22"/>
              <w:lang w:val="en-US"/>
            </w:rPr>
          </w:pPr>
          <w:hyperlink w:history="1" w:anchor="_Toc160783963">
            <w:r w:rsidRPr="00613F48">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613F48">
              <w:rPr>
                <w:rStyle w:val="Hyperlink"/>
                <w:b/>
              </w:rPr>
              <w:t>STRUČNA SKUPINA ZA VANJSKE ODNOSE</w:t>
            </w:r>
            <w:r>
              <w:rPr>
                <w:webHidden/>
              </w:rPr>
              <w:tab/>
            </w:r>
            <w:r>
              <w:rPr>
                <w:webHidden/>
              </w:rPr>
              <w:fldChar w:fldCharType="begin"/>
            </w:r>
            <w:r>
              <w:rPr>
                <w:webHidden/>
              </w:rPr>
              <w:instrText xml:space="preserve"> PAGEREF _Toc160783963 \h </w:instrText>
            </w:r>
            <w:r>
              <w:rPr>
                <w:webHidden/>
              </w:rPr>
            </w:r>
            <w:r>
              <w:rPr>
                <w:webHidden/>
              </w:rPr>
              <w:fldChar w:fldCharType="separate"/>
            </w:r>
            <w:r>
              <w:rPr>
                <w:webHidden/>
              </w:rPr>
              <w:t>13</w:t>
            </w:r>
            <w:r>
              <w:rPr>
                <w:webHidden/>
              </w:rPr>
              <w:fldChar w:fldCharType="end"/>
            </w:r>
          </w:hyperlink>
        </w:p>
        <w:p w:rsidR="00462393" w:rsidRDefault="00462393" w14:paraId="4612FB21" w14:textId="0AFC3D02">
          <w:pPr>
            <w:pStyle w:val="TOC1"/>
            <w:rPr>
              <w:rFonts w:asciiTheme="minorHAnsi" w:hAnsiTheme="minorHAnsi" w:eastAsiaTheme="minorEastAsia" w:cstheme="minorBidi"/>
              <w:bCs w:val="0"/>
              <w:sz w:val="22"/>
              <w:szCs w:val="22"/>
              <w:lang w:val="en-US"/>
            </w:rPr>
          </w:pPr>
          <w:hyperlink w:history="1" w:anchor="_Toc160783964">
            <w:r w:rsidRPr="00613F48">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613F48">
              <w:rPr>
                <w:rStyle w:val="Hyperlink"/>
                <w:b/>
              </w:rPr>
              <w:t>STRUČNA SKUPINA ZA PROMET, ENERGIJU, INFRASTRUKTURU I INFORMACIJSKO DRUŠTVO</w:t>
            </w:r>
            <w:r>
              <w:rPr>
                <w:webHidden/>
              </w:rPr>
              <w:tab/>
            </w:r>
            <w:r>
              <w:rPr>
                <w:webHidden/>
              </w:rPr>
              <w:fldChar w:fldCharType="begin"/>
            </w:r>
            <w:r>
              <w:rPr>
                <w:webHidden/>
              </w:rPr>
              <w:instrText xml:space="preserve"> PAGEREF _Toc160783964 \h </w:instrText>
            </w:r>
            <w:r>
              <w:rPr>
                <w:webHidden/>
              </w:rPr>
            </w:r>
            <w:r>
              <w:rPr>
                <w:webHidden/>
              </w:rPr>
              <w:fldChar w:fldCharType="separate"/>
            </w:r>
            <w:r>
              <w:rPr>
                <w:webHidden/>
              </w:rPr>
              <w:t>14</w:t>
            </w:r>
            <w:r>
              <w:rPr>
                <w:webHidden/>
              </w:rPr>
              <w:fldChar w:fldCharType="end"/>
            </w:r>
          </w:hyperlink>
        </w:p>
        <w:p w:rsidR="00462393" w:rsidRDefault="00462393" w14:paraId="61390311" w14:textId="5F4C85E5">
          <w:pPr>
            <w:pStyle w:val="TOC1"/>
            <w:rPr>
              <w:rFonts w:asciiTheme="minorHAnsi" w:hAnsiTheme="minorHAnsi" w:eastAsiaTheme="minorEastAsia" w:cstheme="minorBidi"/>
              <w:bCs w:val="0"/>
              <w:sz w:val="22"/>
              <w:szCs w:val="22"/>
              <w:lang w:val="en-US"/>
            </w:rPr>
          </w:pPr>
          <w:hyperlink w:history="1" w:anchor="_Toc160783965">
            <w:r w:rsidRPr="00613F48">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613F48">
              <w:rPr>
                <w:rStyle w:val="Hyperlink"/>
                <w:b/>
              </w:rPr>
              <w:t>SAVJETODAVNO POVJERENSTVO ZA INDUSTRIJSKE PROMJENE</w:t>
            </w:r>
            <w:r>
              <w:rPr>
                <w:webHidden/>
              </w:rPr>
              <w:tab/>
            </w:r>
            <w:r>
              <w:rPr>
                <w:webHidden/>
              </w:rPr>
              <w:fldChar w:fldCharType="begin"/>
            </w:r>
            <w:r>
              <w:rPr>
                <w:webHidden/>
              </w:rPr>
              <w:instrText xml:space="preserve"> PAGEREF _Toc160783965 \h </w:instrText>
            </w:r>
            <w:r>
              <w:rPr>
                <w:webHidden/>
              </w:rPr>
            </w:r>
            <w:r>
              <w:rPr>
                <w:webHidden/>
              </w:rPr>
              <w:fldChar w:fldCharType="separate"/>
            </w:r>
            <w:r>
              <w:rPr>
                <w:webHidden/>
              </w:rPr>
              <w:t>15</w:t>
            </w:r>
            <w:r>
              <w:rPr>
                <w:webHidden/>
              </w:rPr>
              <w:fldChar w:fldCharType="end"/>
            </w:r>
          </w:hyperlink>
        </w:p>
        <w:p w:rsidRPr="00544D95" w:rsidR="00544D95" w:rsidP="00544D95" w:rsidRDefault="00544D95" w14:paraId="589C47D7" w14:textId="63379A76">
          <w:pPr>
            <w:rPr>
              <w:b/>
            </w:rPr>
          </w:pPr>
          <w:r w:rsidRPr="00544D95">
            <w:rPr>
              <w:b/>
            </w:rPr>
            <w:fldChar w:fldCharType="end"/>
          </w:r>
        </w:p>
      </w:sdtContent>
    </w:sdt>
    <w:p w:rsidR="00BE2C1E" w:rsidRDefault="00BE2C1E" w14:paraId="2900045F" w14:textId="7EF0810A">
      <w:pPr>
        <w:spacing w:after="160" w:line="259" w:lineRule="auto"/>
        <w:jc w:val="left"/>
      </w:pPr>
      <w:r>
        <w:br w:type="page"/>
      </w:r>
    </w:p>
    <w:p w:rsidR="0038273B" w:rsidP="00C83487" w:rsidRDefault="0038273B" w14:paraId="62CE6920" w14:textId="4713069C">
      <w:pPr>
        <w:pStyle w:val="Heading1"/>
        <w:spacing w:before="0"/>
        <w:ind w:left="930" w:hanging="928"/>
        <w:rPr>
          <w:b/>
          <w:bCs/>
        </w:rPr>
      </w:pPr>
      <w:bookmarkStart w:name="_Toc160783938" w:id="1"/>
      <w:r>
        <w:rPr>
          <w:b/>
        </w:rPr>
        <w:lastRenderedPageBreak/>
        <w:t>STRUČNA SKUPINA ZA EKONOMSKU I MONETARNU UNIJU TE EKONOMSKU I SOCIJALNU KOHEZIJU</w:t>
      </w:r>
      <w:bookmarkEnd w:id="1"/>
    </w:p>
    <w:p w:rsidRPr="00115BBC" w:rsidR="00115BBC" w:rsidP="00115BBC" w:rsidRDefault="00115BBC" w14:paraId="5C4FD48E" w14:textId="77777777"/>
    <w:p w:rsidRPr="00CF3B63" w:rsidR="00CF3B63" w:rsidP="00CC4510" w:rsidRDefault="00125B84" w14:paraId="7EC430AC" w14:textId="245341B9">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20">
        <w:r w:rsidR="00FA138D">
          <w:rPr>
            <w:b/>
            <w:i/>
            <w:color w:val="0000FF"/>
            <w:sz w:val="28"/>
            <w:u w:val="single"/>
          </w:rPr>
          <w:t>Oporezivanje prekograničnih radnika na daljinu na globalnoj razini i učinak n</w:t>
        </w:r>
        <w:r w:rsidR="00FA138D">
          <w:rPr>
            <w:b/>
            <w:i/>
            <w:color w:val="0000FF"/>
            <w:sz w:val="28"/>
            <w:u w:val="single"/>
          </w:rPr>
          <w:t>a</w:t>
        </w:r>
        <w:r w:rsidR="00FA138D">
          <w:rPr>
            <w:b/>
            <w:i/>
            <w:color w:val="0000FF"/>
            <w:sz w:val="28"/>
            <w:u w:val="single"/>
          </w:rPr>
          <w:t xml:space="preserve"> EU</w:t>
        </w:r>
      </w:hyperlink>
    </w:p>
    <w:p w:rsidR="00CF3B63" w:rsidP="00CF3B63" w:rsidRDefault="00CF3B63" w14:paraId="478C2AB3" w14:textId="340E8FC3">
      <w:pPr>
        <w:tabs>
          <w:tab w:val="center" w:pos="284"/>
        </w:tabs>
        <w:overflowPunct w:val="0"/>
        <w:autoSpaceDE w:val="0"/>
        <w:autoSpaceDN w:val="0"/>
        <w:adjustRightInd w:val="0"/>
        <w:ind w:left="266" w:hanging="266"/>
        <w:textAlignment w:val="baseline"/>
        <w:rPr>
          <w:b/>
        </w:rPr>
      </w:pPr>
    </w:p>
    <w:tbl>
      <w:tblPr>
        <w:tblStyle w:val="TableGrid19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6977"/>
      </w:tblGrid>
      <w:tr w:rsidRPr="00CF3B63" w:rsidR="00E73010" w:rsidTr="00462393" w14:paraId="751D3B32" w14:textId="77777777">
        <w:tc>
          <w:tcPr>
            <w:tcW w:w="1154" w:type="pct"/>
          </w:tcPr>
          <w:p w:rsidRPr="00CF3B63" w:rsidR="00E73010" w:rsidP="00B17F65" w:rsidRDefault="00E73010" w14:paraId="1452C9B6" w14:textId="77777777">
            <w:pPr>
              <w:tabs>
                <w:tab w:val="center" w:pos="284"/>
              </w:tabs>
              <w:overflowPunct w:val="0"/>
              <w:autoSpaceDE w:val="0"/>
              <w:autoSpaceDN w:val="0"/>
              <w:adjustRightInd w:val="0"/>
              <w:ind w:left="266" w:hanging="266"/>
              <w:textAlignment w:val="baseline"/>
              <w:rPr>
                <w:b/>
              </w:rPr>
            </w:pPr>
            <w:r>
              <w:rPr>
                <w:b/>
              </w:rPr>
              <w:t>Izvjestitelj/</w:t>
            </w:r>
            <w:proofErr w:type="spellStart"/>
            <w:r>
              <w:rPr>
                <w:b/>
              </w:rPr>
              <w:t>ica</w:t>
            </w:r>
            <w:proofErr w:type="spellEnd"/>
            <w:r>
              <w:rPr>
                <w:b/>
              </w:rPr>
              <w:t>:</w:t>
            </w:r>
          </w:p>
        </w:tc>
        <w:tc>
          <w:tcPr>
            <w:tcW w:w="3846" w:type="pct"/>
          </w:tcPr>
          <w:p w:rsidRPr="00CF3B63" w:rsidR="00E73010" w:rsidP="00B17F65" w:rsidRDefault="00E73010" w14:paraId="47111346" w14:textId="77777777">
            <w:pPr>
              <w:tabs>
                <w:tab w:val="center" w:pos="284"/>
              </w:tabs>
              <w:overflowPunct w:val="0"/>
              <w:autoSpaceDE w:val="0"/>
              <w:autoSpaceDN w:val="0"/>
              <w:adjustRightInd w:val="0"/>
              <w:ind w:left="266" w:hanging="266"/>
              <w:textAlignment w:val="baseline"/>
            </w:pPr>
            <w:proofErr w:type="spellStart"/>
            <w:r>
              <w:t>Krister</w:t>
            </w:r>
            <w:proofErr w:type="spellEnd"/>
            <w:r>
              <w:t xml:space="preserve"> ANDERSSON (Skupina poslodavaca – SE)</w:t>
            </w:r>
          </w:p>
        </w:tc>
      </w:tr>
      <w:tr w:rsidRPr="00CF3B63" w:rsidR="00E73010" w:rsidTr="00462393" w14:paraId="744149D0" w14:textId="77777777">
        <w:tc>
          <w:tcPr>
            <w:tcW w:w="1154" w:type="pct"/>
          </w:tcPr>
          <w:p w:rsidRPr="00CF3B63" w:rsidR="00E73010" w:rsidP="00B17F65" w:rsidRDefault="00E73010" w14:paraId="000E6296" w14:textId="77777777">
            <w:pPr>
              <w:tabs>
                <w:tab w:val="center" w:pos="284"/>
              </w:tabs>
              <w:overflowPunct w:val="0"/>
              <w:autoSpaceDE w:val="0"/>
              <w:autoSpaceDN w:val="0"/>
              <w:adjustRightInd w:val="0"/>
              <w:ind w:left="266" w:hanging="266"/>
              <w:textAlignment w:val="baseline"/>
              <w:rPr>
                <w:b/>
                <w:bCs/>
              </w:rPr>
            </w:pPr>
          </w:p>
        </w:tc>
        <w:tc>
          <w:tcPr>
            <w:tcW w:w="3846" w:type="pct"/>
          </w:tcPr>
          <w:p w:rsidRPr="00CF3B63" w:rsidR="00E73010" w:rsidP="00B17F65" w:rsidRDefault="00E73010" w14:paraId="42E8B3AA" w14:textId="77777777">
            <w:pPr>
              <w:tabs>
                <w:tab w:val="center" w:pos="284"/>
              </w:tabs>
              <w:overflowPunct w:val="0"/>
              <w:autoSpaceDE w:val="0"/>
              <w:autoSpaceDN w:val="0"/>
              <w:adjustRightInd w:val="0"/>
              <w:ind w:left="266" w:hanging="266"/>
              <w:textAlignment w:val="baseline"/>
            </w:pPr>
          </w:p>
        </w:tc>
      </w:tr>
      <w:tr w:rsidRPr="00CF3B63" w:rsidR="00E73010" w:rsidTr="00462393" w14:paraId="46478281" w14:textId="77777777">
        <w:tc>
          <w:tcPr>
            <w:tcW w:w="1154" w:type="pct"/>
          </w:tcPr>
          <w:p w:rsidRPr="00CF3B63" w:rsidR="00E73010" w:rsidP="00462393" w:rsidRDefault="00E73010" w14:paraId="059FA346" w14:textId="0CE5F4EC">
            <w:pPr>
              <w:tabs>
                <w:tab w:val="center" w:pos="0"/>
              </w:tabs>
              <w:overflowPunct w:val="0"/>
              <w:autoSpaceDE w:val="0"/>
              <w:autoSpaceDN w:val="0"/>
              <w:adjustRightInd w:val="0"/>
              <w:textAlignment w:val="baseline"/>
              <w:rPr>
                <w:b/>
                <w:bCs/>
              </w:rPr>
            </w:pPr>
            <w:r>
              <w:rPr>
                <w:b/>
              </w:rPr>
              <w:t>Referentni dokument/i:</w:t>
            </w:r>
          </w:p>
        </w:tc>
        <w:tc>
          <w:tcPr>
            <w:tcW w:w="3846" w:type="pct"/>
          </w:tcPr>
          <w:p w:rsidR="00E73010" w:rsidP="00E73010" w:rsidRDefault="00E73010" w14:paraId="0E3642EE" w14:textId="77777777">
            <w:pPr>
              <w:tabs>
                <w:tab w:val="center" w:pos="284"/>
              </w:tabs>
              <w:overflowPunct w:val="0"/>
              <w:autoSpaceDE w:val="0"/>
              <w:autoSpaceDN w:val="0"/>
              <w:adjustRightInd w:val="0"/>
              <w:ind w:left="266" w:hanging="266"/>
              <w:textAlignment w:val="baseline"/>
            </w:pPr>
            <w:r>
              <w:t>(samoinicijativno mišljenje)</w:t>
            </w:r>
          </w:p>
          <w:p w:rsidRPr="00CF3B63" w:rsidR="00E73010" w:rsidP="00E73010" w:rsidRDefault="00E73010" w14:paraId="58476701" w14:textId="52B2602E">
            <w:pPr>
              <w:tabs>
                <w:tab w:val="center" w:pos="284"/>
              </w:tabs>
              <w:overflowPunct w:val="0"/>
              <w:autoSpaceDE w:val="0"/>
              <w:autoSpaceDN w:val="0"/>
              <w:adjustRightInd w:val="0"/>
              <w:ind w:left="266" w:hanging="266"/>
              <w:textAlignment w:val="baseline"/>
            </w:pPr>
            <w:r>
              <w:t>EESC-2023-00860-00-AC</w:t>
            </w:r>
          </w:p>
        </w:tc>
      </w:tr>
      <w:tr w:rsidRPr="00CF3B63" w:rsidR="00E73010" w:rsidTr="00462393" w14:paraId="65C7AC0C" w14:textId="77777777">
        <w:tc>
          <w:tcPr>
            <w:tcW w:w="1154" w:type="pct"/>
          </w:tcPr>
          <w:p w:rsidRPr="00CF3B63" w:rsidR="00E73010" w:rsidP="00B17F65" w:rsidRDefault="00E73010" w14:paraId="4EE462AD" w14:textId="77777777">
            <w:pPr>
              <w:tabs>
                <w:tab w:val="center" w:pos="284"/>
              </w:tabs>
              <w:overflowPunct w:val="0"/>
              <w:autoSpaceDE w:val="0"/>
              <w:autoSpaceDN w:val="0"/>
              <w:adjustRightInd w:val="0"/>
              <w:ind w:left="266" w:hanging="266"/>
              <w:textAlignment w:val="baseline"/>
              <w:rPr>
                <w:b/>
                <w:bCs/>
              </w:rPr>
            </w:pPr>
          </w:p>
        </w:tc>
        <w:tc>
          <w:tcPr>
            <w:tcW w:w="3846" w:type="pct"/>
          </w:tcPr>
          <w:p w:rsidRPr="00CF3B63" w:rsidR="00E73010" w:rsidP="00B17F65" w:rsidRDefault="00E73010" w14:paraId="2AAA63E9" w14:textId="77777777">
            <w:pPr>
              <w:tabs>
                <w:tab w:val="center" w:pos="284"/>
              </w:tabs>
              <w:overflowPunct w:val="0"/>
              <w:autoSpaceDE w:val="0"/>
              <w:autoSpaceDN w:val="0"/>
              <w:adjustRightInd w:val="0"/>
              <w:ind w:left="266" w:hanging="266"/>
              <w:textAlignment w:val="baseline"/>
            </w:pPr>
          </w:p>
        </w:tc>
      </w:tr>
    </w:tbl>
    <w:p w:rsidR="00E73010" w:rsidP="00CF3B63" w:rsidRDefault="00E73010" w14:paraId="54675DBA" w14:textId="1C83796C">
      <w:pPr>
        <w:tabs>
          <w:tab w:val="center" w:pos="284"/>
        </w:tabs>
        <w:overflowPunct w:val="0"/>
        <w:autoSpaceDE w:val="0"/>
        <w:autoSpaceDN w:val="0"/>
        <w:adjustRightInd w:val="0"/>
        <w:ind w:left="266" w:hanging="266"/>
        <w:textAlignment w:val="baseline"/>
        <w:rPr>
          <w:b/>
        </w:rPr>
      </w:pPr>
    </w:p>
    <w:p w:rsidRPr="00CF3B63" w:rsidR="00CF3B63" w:rsidP="00CC4510" w:rsidRDefault="00CF3B63" w14:paraId="37EC7423" w14:textId="77777777">
      <w:pPr>
        <w:keepNext/>
        <w:keepLines/>
        <w:tabs>
          <w:tab w:val="center" w:pos="284"/>
        </w:tabs>
        <w:overflowPunct w:val="0"/>
        <w:autoSpaceDE w:val="0"/>
        <w:autoSpaceDN w:val="0"/>
        <w:adjustRightInd w:val="0"/>
        <w:ind w:left="266" w:hanging="124"/>
        <w:textAlignment w:val="baseline"/>
        <w:rPr>
          <w:b/>
        </w:rPr>
      </w:pPr>
      <w:r>
        <w:rPr>
          <w:b/>
        </w:rPr>
        <w:t>Ključne točke</w:t>
      </w:r>
    </w:p>
    <w:p w:rsidRPr="00CF3B63" w:rsidR="00CF3B63" w:rsidP="00CC4510" w:rsidRDefault="00CF3B63" w14:paraId="05302960" w14:textId="77777777">
      <w:pPr>
        <w:keepNext/>
        <w:keepLines/>
        <w:tabs>
          <w:tab w:val="center" w:pos="284"/>
        </w:tabs>
        <w:overflowPunct w:val="0"/>
        <w:autoSpaceDE w:val="0"/>
        <w:autoSpaceDN w:val="0"/>
        <w:adjustRightInd w:val="0"/>
        <w:ind w:left="266" w:hanging="124"/>
        <w:textAlignment w:val="baseline"/>
        <w:rPr>
          <w:b/>
        </w:rPr>
      </w:pPr>
    </w:p>
    <w:p w:rsidRPr="00CF3B63" w:rsidR="00CF3B63" w:rsidP="00CC4510" w:rsidRDefault="00CF3B63" w14:paraId="23B0065E" w14:textId="77777777">
      <w:pPr>
        <w:keepNext/>
        <w:keepLines/>
        <w:tabs>
          <w:tab w:val="center" w:pos="284"/>
        </w:tabs>
        <w:overflowPunct w:val="0"/>
        <w:autoSpaceDE w:val="0"/>
        <w:autoSpaceDN w:val="0"/>
        <w:adjustRightInd w:val="0"/>
        <w:ind w:left="266" w:hanging="124"/>
        <w:textAlignment w:val="baseline"/>
        <w:rPr>
          <w:bCs/>
        </w:rPr>
      </w:pPr>
      <w:r>
        <w:t>EGSO:</w:t>
      </w:r>
    </w:p>
    <w:p w:rsidRPr="00CF3B63" w:rsidR="00CF3B63" w:rsidP="00CF3B63" w:rsidRDefault="00CF3B63" w14:paraId="32F10A5B" w14:textId="77777777">
      <w:pPr>
        <w:keepNext/>
        <w:keepLines/>
        <w:tabs>
          <w:tab w:val="center" w:pos="284"/>
        </w:tabs>
        <w:overflowPunct w:val="0"/>
        <w:autoSpaceDE w:val="0"/>
        <w:autoSpaceDN w:val="0"/>
        <w:adjustRightInd w:val="0"/>
        <w:ind w:left="266" w:hanging="266"/>
        <w:textAlignment w:val="baseline"/>
        <w:rPr>
          <w:b/>
        </w:rPr>
      </w:pPr>
    </w:p>
    <w:p w:rsidRPr="00CF3B63" w:rsidR="00CF3B63" w:rsidP="00CC4510" w:rsidRDefault="00CF3B63" w14:paraId="64272677"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ističe da su u posljednjih desetak godina globalizacija i digitalizacija otvorile nove mogućnosti rada na daljinu. Pandemija bolesti COVID-19 prouzročila je dosad nezabilježene promjene u životima radnika i u poduzećima, što je dovelo do eksponencijalnog porasta rada na daljinu;</w:t>
      </w:r>
    </w:p>
    <w:p w:rsidR="00CF3B63" w:rsidP="00CC4510" w:rsidRDefault="00CF3B63" w14:paraId="67BD646A" w14:textId="2729F36C">
      <w:pPr>
        <w:numPr>
          <w:ilvl w:val="0"/>
          <w:numId w:val="15"/>
        </w:numPr>
        <w:overflowPunct w:val="0"/>
        <w:autoSpaceDE w:val="0"/>
        <w:autoSpaceDN w:val="0"/>
        <w:adjustRightInd w:val="0"/>
        <w:spacing w:after="200" w:line="276" w:lineRule="auto"/>
        <w:ind w:left="284" w:hanging="284"/>
        <w:contextualSpacing/>
        <w:textAlignment w:val="baseline"/>
        <w:rPr>
          <w:szCs w:val="20"/>
        </w:rPr>
      </w:pPr>
      <w:r>
        <w:t>podsjeća na to da nove tehnologije omogućuju da se potpuno isti rad obavlja bez fizičke prisutnosti. To znači i da mnogo više osoba može raditi na daljinu preko granica, a broj prekograničnih radnika na daljinu znatno se povećao;</w:t>
      </w:r>
    </w:p>
    <w:p w:rsidR="00CF3B63" w:rsidP="00CC4510" w:rsidRDefault="00CF3B63" w14:paraId="1EE80ABE" w14:textId="474071FB">
      <w:pPr>
        <w:numPr>
          <w:ilvl w:val="0"/>
          <w:numId w:val="15"/>
        </w:numPr>
        <w:overflowPunct w:val="0"/>
        <w:autoSpaceDE w:val="0"/>
        <w:autoSpaceDN w:val="0"/>
        <w:adjustRightInd w:val="0"/>
        <w:spacing w:after="200" w:line="276" w:lineRule="auto"/>
        <w:ind w:left="284" w:hanging="284"/>
        <w:contextualSpacing/>
        <w:textAlignment w:val="baseline"/>
        <w:rPr>
          <w:szCs w:val="20"/>
        </w:rPr>
      </w:pPr>
      <w:r>
        <w:t xml:space="preserve">smatra da je bolja opcija oporezivanje dohotka zaposlenika kao dohotka od nesamostalnog rada u državi porezne </w:t>
      </w:r>
      <w:proofErr w:type="spellStart"/>
      <w:r>
        <w:t>rezidentnosti</w:t>
      </w:r>
      <w:proofErr w:type="spellEnd"/>
      <w:r>
        <w:t xml:space="preserve"> poslodavca. Takav bi sistem bio jednostavniji za zaposlenike, a mogao bi biti i privlačan poslodavcima. Da bi se nadoknadio gubitak prihoda u državi boravišta zaposlenika, vjerojatno bi bio potreban mehanizam podjele prihoda;</w:t>
      </w:r>
    </w:p>
    <w:p w:rsidRPr="00CF3B63" w:rsidR="00CF3B63" w:rsidP="00CC4510" w:rsidRDefault="00CF3B63" w14:paraId="216DBC4F"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 xml:space="preserve">predlaže da se poreznim tijelima omogući da podijele dohodak između država korištenjem podataka o stvarnoj prisutnosti osoba u predmetnim državama (što poslodavac prijavljuje poreznoj upravi u svojoj državi porezne </w:t>
      </w:r>
      <w:proofErr w:type="spellStart"/>
      <w:r>
        <w:t>rezidentnosti</w:t>
      </w:r>
      <w:proofErr w:type="spellEnd"/>
      <w:r>
        <w:t>, pri čemu djeluje kao jedinstvena kontaktna točka) ili korištenjem određenog makroekonomskog agregatnog ključa.</w:t>
      </w:r>
    </w:p>
    <w:p w:rsidRPr="00CF3B63" w:rsidR="00CF3B63" w:rsidP="00CF3B63" w:rsidRDefault="00CF3B63" w14:paraId="09DDE983" w14:textId="77777777">
      <w:pPr>
        <w:spacing w:after="200" w:line="276" w:lineRule="auto"/>
        <w:ind w:left="567"/>
        <w:contextualSpacing/>
        <w:jc w:val="left"/>
        <w:rPr>
          <w:color w:val="000000" w:themeColor="text1"/>
          <w:lang w:eastAsia="zh-CN"/>
        </w:rPr>
      </w:pPr>
    </w:p>
    <w:tbl>
      <w:tblPr>
        <w:tblStyle w:val="TableGrid19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4"/>
        <w:gridCol w:w="7257"/>
      </w:tblGrid>
      <w:tr w:rsidRPr="00CF3B63" w:rsidR="00CF3B63" w:rsidTr="00462393" w14:paraId="4CD566CB" w14:textId="77777777">
        <w:tc>
          <w:tcPr>
            <w:tcW w:w="1000" w:type="pct"/>
          </w:tcPr>
          <w:p w:rsidRPr="00CF3B63" w:rsidR="00CF3B63" w:rsidP="00CF3B63" w:rsidRDefault="00CF3B63" w14:paraId="2153ECA8" w14:textId="77777777">
            <w:pPr>
              <w:overflowPunct w:val="0"/>
              <w:autoSpaceDE w:val="0"/>
              <w:autoSpaceDN w:val="0"/>
              <w:adjustRightInd w:val="0"/>
              <w:spacing w:line="240" w:lineRule="auto"/>
              <w:textAlignment w:val="baseline"/>
              <w:rPr>
                <w:i/>
              </w:rPr>
            </w:pPr>
            <w:r>
              <w:rPr>
                <w:b/>
                <w:i/>
              </w:rPr>
              <w:t>Kontakt:</w:t>
            </w:r>
          </w:p>
        </w:tc>
        <w:tc>
          <w:tcPr>
            <w:tcW w:w="4000" w:type="pct"/>
          </w:tcPr>
          <w:p w:rsidRPr="00CF3B63" w:rsidR="00CF3B63" w:rsidP="00CF3B63" w:rsidRDefault="00CF3B63" w14:paraId="2BAAA700"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CF3B63" w:rsidR="00CF3B63" w:rsidTr="00462393" w14:paraId="0CCC2A7E" w14:textId="77777777">
        <w:tc>
          <w:tcPr>
            <w:tcW w:w="1000" w:type="pct"/>
          </w:tcPr>
          <w:p w:rsidRPr="00CF3B63" w:rsidR="00CF3B63" w:rsidP="00CF3B63" w:rsidRDefault="00CF3B63" w14:paraId="31D551A3" w14:textId="77777777">
            <w:pPr>
              <w:overflowPunct w:val="0"/>
              <w:autoSpaceDE w:val="0"/>
              <w:autoSpaceDN w:val="0"/>
              <w:adjustRightInd w:val="0"/>
              <w:spacing w:line="240" w:lineRule="auto"/>
              <w:textAlignment w:val="baseline"/>
              <w:rPr>
                <w:i/>
              </w:rPr>
            </w:pPr>
            <w:r>
              <w:rPr>
                <w:i/>
              </w:rPr>
              <w:t>Tel.:</w:t>
            </w:r>
          </w:p>
        </w:tc>
        <w:tc>
          <w:tcPr>
            <w:tcW w:w="4000" w:type="pct"/>
          </w:tcPr>
          <w:p w:rsidRPr="00CF3B63" w:rsidR="00CF3B63" w:rsidP="00CF3B63" w:rsidRDefault="00CF3B63" w14:paraId="5FA9B686" w14:textId="77777777">
            <w:pPr>
              <w:overflowPunct w:val="0"/>
              <w:autoSpaceDE w:val="0"/>
              <w:autoSpaceDN w:val="0"/>
              <w:adjustRightInd w:val="0"/>
              <w:spacing w:line="240" w:lineRule="auto"/>
              <w:textAlignment w:val="baseline"/>
              <w:rPr>
                <w:i/>
              </w:rPr>
            </w:pPr>
            <w:r>
              <w:rPr>
                <w:i/>
              </w:rPr>
              <w:t>+32 25469628</w:t>
            </w:r>
          </w:p>
        </w:tc>
      </w:tr>
      <w:tr w:rsidRPr="00CF3B63" w:rsidR="00CF3B63" w:rsidTr="00462393" w14:paraId="52648DE1" w14:textId="77777777">
        <w:tc>
          <w:tcPr>
            <w:tcW w:w="1000" w:type="pct"/>
          </w:tcPr>
          <w:p w:rsidRPr="00CF3B63" w:rsidR="00CF3B63" w:rsidP="00CF3B63" w:rsidRDefault="009A2DD6" w14:paraId="0F86E843" w14:textId="73EA9BCB">
            <w:pPr>
              <w:overflowPunct w:val="0"/>
              <w:autoSpaceDE w:val="0"/>
              <w:autoSpaceDN w:val="0"/>
              <w:adjustRightInd w:val="0"/>
              <w:spacing w:line="240" w:lineRule="auto"/>
              <w:textAlignment w:val="baseline"/>
              <w:rPr>
                <w:i/>
              </w:rPr>
            </w:pPr>
            <w:r>
              <w:rPr>
                <w:i/>
              </w:rPr>
              <w:t>E-pošta:</w:t>
            </w:r>
          </w:p>
        </w:tc>
        <w:tc>
          <w:tcPr>
            <w:tcW w:w="4000" w:type="pct"/>
          </w:tcPr>
          <w:p w:rsidRPr="00CF3B63" w:rsidR="00CF3B63" w:rsidRDefault="00125B84" w14:paraId="34CDB34E" w14:textId="0A67A9F1">
            <w:pPr>
              <w:overflowPunct w:val="0"/>
              <w:autoSpaceDE w:val="0"/>
              <w:autoSpaceDN w:val="0"/>
              <w:adjustRightInd w:val="0"/>
              <w:spacing w:line="240" w:lineRule="auto"/>
              <w:textAlignment w:val="baseline"/>
              <w:rPr>
                <w:i/>
              </w:rPr>
            </w:pPr>
            <w:hyperlink w:history="1" r:id="rId21">
              <w:r w:rsidR="00FA138D">
                <w:rPr>
                  <w:color w:val="0000FF"/>
                  <w:u w:val="single"/>
                </w:rPr>
                <w:t>Juri.Soosaar@eesc.europa.eu</w:t>
              </w:r>
            </w:hyperlink>
            <w:r w:rsidR="00FA138D">
              <w:t xml:space="preserve"> </w:t>
            </w:r>
          </w:p>
        </w:tc>
      </w:tr>
    </w:tbl>
    <w:p w:rsidR="00CF3B63" w:rsidRDefault="00CF3B63" w14:paraId="03718F05" w14:textId="77777777">
      <w:pPr>
        <w:spacing w:after="160" w:line="259" w:lineRule="auto"/>
        <w:jc w:val="left"/>
        <w:rPr>
          <w:b/>
          <w:bCs/>
        </w:rPr>
      </w:pPr>
    </w:p>
    <w:p w:rsidR="00CF3B63" w:rsidRDefault="00CF3B63" w14:paraId="2B55CB13" w14:textId="77777777">
      <w:pPr>
        <w:spacing w:after="160" w:line="259" w:lineRule="auto"/>
        <w:jc w:val="left"/>
        <w:rPr>
          <w:b/>
          <w:bCs/>
        </w:rPr>
      </w:pPr>
      <w:bookmarkStart w:name="_Hlk160784090" w:id="2"/>
      <w:r>
        <w:br w:type="page"/>
      </w:r>
    </w:p>
    <w:bookmarkStart w:name="_Toc159831758" w:id="3"/>
    <w:bookmarkEnd w:id="2"/>
    <w:p w:rsidRPr="00DA68C7" w:rsidR="00A32597" w:rsidP="00CC4510" w:rsidRDefault="004716B8" w14:paraId="1BD9833F" w14:textId="1748A743">
      <w:pPr>
        <w:pStyle w:val="ListParagraph"/>
        <w:numPr>
          <w:ilvl w:val="0"/>
          <w:numId w:val="16"/>
        </w:numPr>
        <w:shd w:val="clear" w:color="auto" w:fill="FFFFFF"/>
        <w:ind w:hanging="578"/>
        <w:outlineLvl w:val="0"/>
        <w:rPr>
          <w:b/>
          <w:kern w:val="28"/>
        </w:rPr>
      </w:pPr>
      <w:r>
        <w:lastRenderedPageBreak/>
        <w:fldChar w:fldCharType="begin"/>
      </w:r>
      <w:r>
        <w:instrText xml:space="preserve"> HYPERLINK "https://www.eesc.europa.eu/hr/our-work/opinions-information-reports/opinions/annual-sustainable-growth-survey-2024" </w:instrText>
      </w:r>
      <w:r>
        <w:fldChar w:fldCharType="separate"/>
      </w:r>
      <w:bookmarkStart w:name="_Toc160783939" w:id="4"/>
      <w:r>
        <w:rPr>
          <w:b/>
          <w:i/>
          <w:color w:val="0000FF"/>
          <w:sz w:val="28"/>
          <w:u w:val="single"/>
        </w:rPr>
        <w:t>Godišnja strat</w:t>
      </w:r>
      <w:r>
        <w:rPr>
          <w:b/>
          <w:i/>
          <w:color w:val="0000FF"/>
          <w:sz w:val="28"/>
          <w:u w:val="single"/>
        </w:rPr>
        <w:t>e</w:t>
      </w:r>
      <w:r>
        <w:rPr>
          <w:b/>
          <w:i/>
          <w:color w:val="0000FF"/>
          <w:sz w:val="28"/>
          <w:u w:val="single"/>
        </w:rPr>
        <w:t>gija održivog rasta 2024.</w:t>
      </w:r>
      <w:bookmarkEnd w:id="3"/>
      <w:bookmarkEnd w:id="4"/>
      <w:r>
        <w:rPr>
          <w:b/>
          <w:i/>
          <w:color w:val="0000FF"/>
          <w:sz w:val="28"/>
          <w:u w:val="single"/>
        </w:rPr>
        <w:fldChar w:fldCharType="end"/>
      </w:r>
    </w:p>
    <w:tbl>
      <w:tblPr>
        <w:tblStyle w:val="TableGrid19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2"/>
        <w:gridCol w:w="7369"/>
      </w:tblGrid>
      <w:tr w:rsidRPr="00A32597" w:rsidR="00A32597" w:rsidTr="00462393" w14:paraId="7BCB2534" w14:textId="77777777">
        <w:tc>
          <w:tcPr>
            <w:tcW w:w="938" w:type="pct"/>
          </w:tcPr>
          <w:p w:rsidRPr="00A32597" w:rsidR="007B6C34" w:rsidRDefault="007B6C34" w14:paraId="5143B750" w14:textId="77777777">
            <w:pPr>
              <w:widowControl w:val="0"/>
              <w:spacing w:line="276" w:lineRule="auto"/>
              <w:ind w:left="142"/>
              <w:contextualSpacing/>
              <w:jc w:val="left"/>
              <w:rPr>
                <w:b/>
                <w:bCs/>
                <w:iCs/>
                <w:noProof/>
                <w:sz w:val="16"/>
                <w:szCs w:val="16"/>
                <w:lang w:eastAsia="fr-BE"/>
              </w:rPr>
            </w:pPr>
          </w:p>
          <w:p w:rsidRPr="00A32597" w:rsidR="00A32597" w:rsidRDefault="00A32597" w14:paraId="6BE8915C" w14:textId="22A4DF31">
            <w:pPr>
              <w:widowControl w:val="0"/>
              <w:spacing w:line="276" w:lineRule="auto"/>
              <w:ind w:left="142"/>
              <w:contextualSpacing/>
              <w:jc w:val="left"/>
              <w:rPr>
                <w:b/>
                <w:bCs/>
                <w:iCs/>
                <w:noProof/>
              </w:rPr>
            </w:pPr>
            <w:r>
              <w:rPr>
                <w:b/>
              </w:rPr>
              <w:t>Izvjestitelj/</w:t>
            </w:r>
            <w:proofErr w:type="spellStart"/>
            <w:r>
              <w:rPr>
                <w:b/>
              </w:rPr>
              <w:t>ica</w:t>
            </w:r>
            <w:proofErr w:type="spellEnd"/>
            <w:r>
              <w:rPr>
                <w:b/>
              </w:rPr>
              <w:t>:</w:t>
            </w:r>
          </w:p>
        </w:tc>
        <w:tc>
          <w:tcPr>
            <w:tcW w:w="4062" w:type="pct"/>
          </w:tcPr>
          <w:p w:rsidRPr="00A32597" w:rsidR="00A32597" w:rsidRDefault="00A32597" w14:paraId="541D6CA9" w14:textId="77777777">
            <w:pPr>
              <w:widowControl w:val="0"/>
              <w:spacing w:line="276" w:lineRule="auto"/>
              <w:ind w:left="142"/>
              <w:contextualSpacing/>
              <w:jc w:val="left"/>
              <w:rPr>
                <w:bCs/>
                <w:iCs/>
                <w:noProof/>
                <w:sz w:val="16"/>
                <w:szCs w:val="16"/>
                <w:lang w:eastAsia="fr-BE"/>
              </w:rPr>
            </w:pPr>
          </w:p>
          <w:p w:rsidRPr="00A32597" w:rsidR="00A32597" w:rsidRDefault="00A32597" w14:paraId="07DE7214" w14:textId="38316A4D">
            <w:pPr>
              <w:widowControl w:val="0"/>
              <w:spacing w:line="276" w:lineRule="auto"/>
              <w:ind w:left="142" w:right="-1380"/>
              <w:contextualSpacing/>
              <w:jc w:val="left"/>
              <w:rPr>
                <w:bCs/>
                <w:iCs/>
                <w:noProof/>
              </w:rPr>
            </w:pPr>
            <w:r>
              <w:t xml:space="preserve">Elena-Alexandra CALISTRU (Skupina organizacija civilnog društva – RO) </w:t>
            </w:r>
          </w:p>
        </w:tc>
      </w:tr>
    </w:tbl>
    <w:p w:rsidRPr="00A32597" w:rsidR="00A32597" w:rsidRDefault="00A32597" w14:paraId="3B5F4815" w14:textId="77777777">
      <w:pPr>
        <w:widowControl w:val="0"/>
        <w:spacing w:line="259" w:lineRule="auto"/>
        <w:ind w:left="567"/>
        <w:jc w:val="left"/>
        <w:rPr>
          <w:rFonts w:eastAsia="Calibri"/>
          <w:b/>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32597" w:rsidR="00A32597" w:rsidTr="00B05454" w14:paraId="7B85BF7E" w14:textId="77777777">
        <w:tc>
          <w:tcPr>
            <w:tcW w:w="1701" w:type="dxa"/>
          </w:tcPr>
          <w:p w:rsidRPr="00CC4510" w:rsidR="00A32597" w:rsidP="00CC4510" w:rsidRDefault="00A32597" w14:paraId="515D21C6" w14:textId="77777777">
            <w:pPr>
              <w:widowControl w:val="0"/>
              <w:spacing w:line="276" w:lineRule="auto"/>
              <w:ind w:left="142"/>
              <w:contextualSpacing/>
              <w:jc w:val="left"/>
              <w:rPr>
                <w:b/>
                <w:bCs/>
                <w:iCs/>
                <w:noProof/>
              </w:rPr>
            </w:pPr>
            <w:r>
              <w:rPr>
                <w:b/>
              </w:rPr>
              <w:t>Referentni dokument/i:</w:t>
            </w:r>
          </w:p>
        </w:tc>
        <w:tc>
          <w:tcPr>
            <w:tcW w:w="5670" w:type="dxa"/>
          </w:tcPr>
          <w:p w:rsidRPr="00A32597" w:rsidR="00A32597" w:rsidP="00CC4510" w:rsidRDefault="00A32597" w14:paraId="7CE58217" w14:textId="77777777">
            <w:pPr>
              <w:tabs>
                <w:tab w:val="center" w:pos="284"/>
              </w:tabs>
              <w:spacing w:line="240" w:lineRule="auto"/>
              <w:ind w:left="266"/>
              <w:jc w:val="left"/>
            </w:pPr>
            <w:r>
              <w:t xml:space="preserve">COM(2023) 901 </w:t>
            </w:r>
            <w:proofErr w:type="spellStart"/>
            <w:r>
              <w:t>final</w:t>
            </w:r>
            <w:proofErr w:type="spellEnd"/>
          </w:p>
          <w:p w:rsidRPr="00A32597" w:rsidR="00A32597" w:rsidP="00CC4510" w:rsidRDefault="00A32597" w14:paraId="0BBCB268" w14:textId="77777777">
            <w:pPr>
              <w:tabs>
                <w:tab w:val="center" w:pos="284"/>
              </w:tabs>
              <w:spacing w:line="240" w:lineRule="auto"/>
              <w:ind w:left="266"/>
              <w:jc w:val="left"/>
            </w:pPr>
            <w:r>
              <w:t>EESC-2023-05137-00-00-AC</w:t>
            </w:r>
          </w:p>
          <w:p w:rsidRPr="00A32597" w:rsidR="00A32597" w:rsidP="00CC4510" w:rsidRDefault="00A32597" w14:paraId="6114F19B" w14:textId="77777777">
            <w:pPr>
              <w:tabs>
                <w:tab w:val="center" w:pos="284"/>
              </w:tabs>
              <w:spacing w:line="240" w:lineRule="auto"/>
              <w:ind w:left="266"/>
              <w:jc w:val="left"/>
            </w:pPr>
          </w:p>
        </w:tc>
      </w:tr>
    </w:tbl>
    <w:p w:rsidR="00A32597" w:rsidP="00CC4510" w:rsidRDefault="00A32597" w14:paraId="55102C19" w14:textId="3C028EF4">
      <w:pPr>
        <w:keepNext/>
        <w:keepLines/>
        <w:tabs>
          <w:tab w:val="center" w:pos="284"/>
        </w:tabs>
        <w:spacing w:after="80" w:line="360" w:lineRule="auto"/>
        <w:ind w:left="266"/>
        <w:jc w:val="left"/>
        <w:rPr>
          <w:rFonts w:eastAsia="Calibri"/>
          <w:b/>
        </w:rPr>
      </w:pPr>
      <w:r>
        <w:rPr>
          <w:b/>
        </w:rPr>
        <w:t>Ključne točke</w:t>
      </w:r>
    </w:p>
    <w:p w:rsidR="00A32597" w:rsidP="00CC4510" w:rsidRDefault="00A32597" w14:paraId="6878A780" w14:textId="62407221">
      <w:pPr>
        <w:spacing w:after="80" w:line="360" w:lineRule="auto"/>
        <w:ind w:firstLine="284"/>
        <w:rPr>
          <w:rFonts w:eastAsia="Calibri"/>
        </w:rPr>
      </w:pPr>
      <w:r>
        <w:t xml:space="preserve">EGSO: </w:t>
      </w:r>
    </w:p>
    <w:p w:rsidRPr="00A32597" w:rsidR="00A32597" w:rsidP="00CC4510" w:rsidRDefault="00A32597" w14:paraId="77BED355" w14:textId="77777777">
      <w:pPr>
        <w:numPr>
          <w:ilvl w:val="0"/>
          <w:numId w:val="17"/>
        </w:numPr>
        <w:spacing w:line="276" w:lineRule="auto"/>
        <w:ind w:left="284" w:hanging="284"/>
        <w:outlineLvl w:val="1"/>
      </w:pPr>
      <w:bookmarkStart w:name="_Toc159831759" w:id="5"/>
      <w:bookmarkStart w:name="_Toc160783940" w:id="6"/>
      <w:r>
        <w:t>preporučuje da Europska središnja banka (ESB) pomno prati gospodarske rizike i pažljivo provede planiranje za nepredvidive situacije radi osiguravanja pouzdanih izgleda za inflaciju i savjetuje ESB-u da bude spreman prilagoditi politike ako inflacija bude padala tempom sporijim od predviđenog ili ako opet krene rasti, ili ako pak padne previše ispod 2 %, zagovarajući na taj način jasnije planiranje za nepredvidive situacije da bi se očuvala pouzdanost izgleda za inflaciju;</w:t>
      </w:r>
      <w:bookmarkEnd w:id="5"/>
      <w:bookmarkEnd w:id="6"/>
    </w:p>
    <w:p w:rsidRPr="00A32597" w:rsidR="00A32597" w:rsidP="00CC4510" w:rsidRDefault="00A32597" w14:paraId="6EBE4B0D" w14:textId="77777777">
      <w:pPr>
        <w:numPr>
          <w:ilvl w:val="0"/>
          <w:numId w:val="17"/>
        </w:numPr>
        <w:spacing w:line="276" w:lineRule="auto"/>
        <w:ind w:left="284" w:hanging="284"/>
        <w:outlineLvl w:val="1"/>
      </w:pPr>
      <w:bookmarkStart w:name="_Toc159831760" w:id="7"/>
      <w:bookmarkStart w:name="_Toc160783941" w:id="8"/>
      <w:r>
        <w:t>poziva na konkretnu suradnju s nacionalnim parlamentima, regionalnim i lokalnim vlastima, civilnim društvom i socijalnim partnerima na reformama okvira EU-a za makroekonomsko upravljanje i naglašava da je važno da se na nacionalnoj razini preuzme odgovornost za te reforme putem djelotvornog dijaloga;</w:t>
      </w:r>
      <w:bookmarkEnd w:id="7"/>
      <w:bookmarkEnd w:id="8"/>
    </w:p>
    <w:p w:rsidRPr="00A32597" w:rsidR="00A32597" w:rsidP="00CC4510" w:rsidRDefault="00A32597" w14:paraId="15523693" w14:textId="77777777">
      <w:pPr>
        <w:numPr>
          <w:ilvl w:val="0"/>
          <w:numId w:val="17"/>
        </w:numPr>
        <w:spacing w:line="276" w:lineRule="auto"/>
        <w:ind w:left="284" w:hanging="284"/>
        <w:outlineLvl w:val="1"/>
      </w:pPr>
      <w:bookmarkStart w:name="_Toc159831761" w:id="9"/>
      <w:bookmarkStart w:name="_Toc160783942" w:id="10"/>
      <w:r>
        <w:t>naglašava ključnu važnost uključivanja demokratskih vrijednosti i načela vladavine prava u gospodarsko upravljanje EU-a;</w:t>
      </w:r>
      <w:bookmarkEnd w:id="9"/>
      <w:bookmarkEnd w:id="10"/>
    </w:p>
    <w:p w:rsidRPr="00A32597" w:rsidR="00A32597" w:rsidP="00CC4510" w:rsidRDefault="00A32597" w14:paraId="0E045AD4" w14:textId="77777777">
      <w:pPr>
        <w:numPr>
          <w:ilvl w:val="0"/>
          <w:numId w:val="17"/>
        </w:numPr>
        <w:spacing w:line="276" w:lineRule="auto"/>
        <w:ind w:left="284" w:hanging="284"/>
        <w:outlineLvl w:val="1"/>
      </w:pPr>
      <w:bookmarkStart w:name="_Toc159831762" w:id="11"/>
      <w:bookmarkStart w:name="_Toc160783943" w:id="12"/>
      <w:r>
        <w:t>uvažavajući raznolikost gospodarskih uvjeta i izazova povezanih s rastom u državama članicama, zalaže se za fiskalnu konsolidaciju kojom bi se uzele u obzir specifičnosti svake pojedine države članice;</w:t>
      </w:r>
      <w:bookmarkEnd w:id="11"/>
      <w:bookmarkEnd w:id="12"/>
    </w:p>
    <w:p w:rsidRPr="00A32597" w:rsidR="00A32597" w:rsidP="00CC4510" w:rsidRDefault="00A32597" w14:paraId="581D3E0C" w14:textId="77777777">
      <w:pPr>
        <w:numPr>
          <w:ilvl w:val="0"/>
          <w:numId w:val="17"/>
        </w:numPr>
        <w:spacing w:line="276" w:lineRule="auto"/>
        <w:ind w:left="284" w:hanging="284"/>
        <w:outlineLvl w:val="1"/>
      </w:pPr>
      <w:bookmarkStart w:name="_Toc159831763" w:id="13"/>
      <w:bookmarkStart w:name="_Toc160783944" w:id="14"/>
      <w:r>
        <w:t>poziva na uravnotežen pristup postupnom ukidanju krizne potpore, kojom se i dalje pomaže ranjivim skupinama pogođenima visokim troškovima energije i inflacijom, i na to da se u određenim zemljama uspostavi trajni okvir za potporu utemeljenu na provjeri imovinskog stanja te naglašava da treba provesti detaljnu raspravu o socijalnim učincima;</w:t>
      </w:r>
      <w:bookmarkEnd w:id="13"/>
      <w:bookmarkEnd w:id="14"/>
    </w:p>
    <w:p w:rsidRPr="00A32597" w:rsidR="00A32597" w:rsidP="00CC4510" w:rsidRDefault="00A32597" w14:paraId="74E233B0" w14:textId="77777777">
      <w:pPr>
        <w:numPr>
          <w:ilvl w:val="0"/>
          <w:numId w:val="17"/>
        </w:numPr>
        <w:spacing w:line="276" w:lineRule="auto"/>
        <w:ind w:left="284" w:hanging="284"/>
        <w:outlineLvl w:val="1"/>
      </w:pPr>
      <w:bookmarkStart w:name="_Toc159831764" w:id="15"/>
      <w:bookmarkStart w:name="_Toc160783945" w:id="16"/>
      <w:r>
        <w:t>poziva Europsku komisiju i nacionalne vlade da pruže potrebnu potporu za jačanje administrativnih kapaciteta i pojednostavljenje postupaka i da civilno društvo uključe u provedbu nacionalnih planova za oporavak i otpornost;</w:t>
      </w:r>
      <w:bookmarkEnd w:id="15"/>
      <w:bookmarkEnd w:id="16"/>
    </w:p>
    <w:p w:rsidRPr="00A32597" w:rsidR="00A32597" w:rsidP="00CC4510" w:rsidRDefault="00A32597" w14:paraId="24E5E545" w14:textId="77777777">
      <w:pPr>
        <w:numPr>
          <w:ilvl w:val="0"/>
          <w:numId w:val="18"/>
        </w:numPr>
        <w:spacing w:line="276" w:lineRule="auto"/>
        <w:ind w:left="284" w:hanging="284"/>
        <w:outlineLvl w:val="1"/>
      </w:pPr>
      <w:bookmarkStart w:name="_Toc159831765" w:id="17"/>
      <w:bookmarkStart w:name="_Toc160783946" w:id="18"/>
      <w:r>
        <w:t>naglašava da usavršavanjem, osiguravanjem jednakih mogućnosti i uklanjanjem regionalnih razlika treba povećati sudjelovanje na tržištu rada i zalaže se za politike kojima se rješava problem gubitaka u učenju uzrokovanih pandemijom, s naglaskom na potrebama učenika i škola u nepovoljnom položaju;</w:t>
      </w:r>
      <w:bookmarkEnd w:id="17"/>
      <w:bookmarkEnd w:id="18"/>
    </w:p>
    <w:p w:rsidRPr="00A32597" w:rsidR="00A32597" w:rsidP="00CC4510" w:rsidRDefault="00A32597" w14:paraId="22994523" w14:textId="77777777">
      <w:pPr>
        <w:numPr>
          <w:ilvl w:val="0"/>
          <w:numId w:val="18"/>
        </w:numPr>
        <w:spacing w:line="276" w:lineRule="auto"/>
        <w:ind w:left="284" w:hanging="284"/>
        <w:outlineLvl w:val="1"/>
      </w:pPr>
      <w:bookmarkStart w:name="_Toc159831766" w:id="19"/>
      <w:bookmarkStart w:name="_Toc160783947" w:id="20"/>
      <w:r>
        <w:t>iako podupire mjere za povećanje produktivnosti, poziva na poduzimanje odvažnijih mjera za uklanjanje administrativnih prepreka koje poduzećima u EU-u i drugim dionicima otežavaju poslovanje i tvrdi da inicijative za smanjenje obveza u pogledu izvješćivanja moraju biti popraćene jačim poticajima za ulaganja u održivost, što uključuje i prekogranična ulaganja;</w:t>
      </w:r>
      <w:bookmarkEnd w:id="19"/>
      <w:bookmarkEnd w:id="20"/>
    </w:p>
    <w:p w:rsidRPr="00A32597" w:rsidR="00A32597" w:rsidP="00CC4510" w:rsidRDefault="00A32597" w14:paraId="6CFE049D" w14:textId="77777777">
      <w:pPr>
        <w:numPr>
          <w:ilvl w:val="0"/>
          <w:numId w:val="18"/>
        </w:numPr>
        <w:spacing w:line="276" w:lineRule="auto"/>
        <w:ind w:left="284" w:hanging="284"/>
        <w:outlineLvl w:val="1"/>
      </w:pPr>
      <w:bookmarkStart w:name="_Toc159831767" w:id="21"/>
      <w:bookmarkStart w:name="_Toc160783948" w:id="22"/>
      <w:r>
        <w:t>zalaže se za uravnotežen fiskalni pristup koji bi uključivao doprinos dionika i u obzir uzimao gospodarsku stvarnost u svim državama članicama i naglašava da bi se provedba planova oporavka trebala uskladiti s tim nijansiranim pristupom kako bi se spriječilo ugrožavanje ostvarenja okolišnih i socijalnih ciljeva;</w:t>
      </w:r>
      <w:bookmarkEnd w:id="21"/>
      <w:bookmarkEnd w:id="22"/>
    </w:p>
    <w:p w:rsidRPr="00A32597" w:rsidR="00A32597" w:rsidP="00CC4510" w:rsidRDefault="00A32597" w14:paraId="6803DE03" w14:textId="77777777">
      <w:pPr>
        <w:numPr>
          <w:ilvl w:val="0"/>
          <w:numId w:val="18"/>
        </w:numPr>
        <w:spacing w:line="276" w:lineRule="auto"/>
        <w:ind w:left="284" w:hanging="284"/>
        <w:outlineLvl w:val="1"/>
      </w:pPr>
      <w:bookmarkStart w:name="_Toc159831768" w:id="23"/>
      <w:bookmarkStart w:name="_Toc160783949" w:id="24"/>
      <w:r>
        <w:t>razočaran je zbog kašnjenja u uspostavi Fonda za europsku suverenost, a ograničeni proračun za Platformu za strateške tehnologije za Europu (STEP) izaziva ozbiljne sumnje u predanost i sposobnost EU-a da ostvari svoje ciljeve zelene tranzicije, kao i zabrinutost u pogledu ulaganja u konkurentnost Unije.</w:t>
      </w:r>
      <w:bookmarkEnd w:id="23"/>
      <w:bookmarkEnd w:id="24"/>
    </w:p>
    <w:p w:rsidR="00A32597" w:rsidP="004D1AE7" w:rsidRDefault="00A32597" w14:paraId="77691757" w14:textId="1699C7E9">
      <w:pPr>
        <w:spacing w:line="276" w:lineRule="auto"/>
        <w:ind w:left="567"/>
        <w:contextualSpacing/>
        <w:rPr>
          <w:sz w:val="16"/>
          <w:szCs w:val="16"/>
        </w:rPr>
      </w:pPr>
    </w:p>
    <w:p w:rsidRPr="00A32597" w:rsidR="002C52B8" w:rsidP="00CC4510" w:rsidRDefault="002C52B8" w14:paraId="2496F124" w14:textId="77777777">
      <w:pPr>
        <w:spacing w:line="276" w:lineRule="auto"/>
        <w:ind w:left="567"/>
        <w:contextualSpacing/>
        <w:rPr>
          <w:sz w:val="16"/>
          <w:szCs w:val="16"/>
        </w:rPr>
      </w:pPr>
    </w:p>
    <w:tbl>
      <w:tblPr>
        <w:tblStyle w:val="TableGrid19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4"/>
        <w:gridCol w:w="7257"/>
      </w:tblGrid>
      <w:tr w:rsidRPr="00A32597" w:rsidR="00A32597" w:rsidTr="00462393" w14:paraId="4E0E2CCB" w14:textId="77777777">
        <w:tc>
          <w:tcPr>
            <w:tcW w:w="1000" w:type="pct"/>
          </w:tcPr>
          <w:p w:rsidRPr="00A32597" w:rsidR="00A32597" w:rsidP="00CC4510" w:rsidRDefault="00A32597" w14:paraId="15B16749" w14:textId="77777777">
            <w:pPr>
              <w:keepNext/>
              <w:keepLines/>
              <w:spacing w:line="240" w:lineRule="auto"/>
              <w:jc w:val="left"/>
              <w:rPr>
                <w:i/>
              </w:rPr>
            </w:pPr>
            <w:r>
              <w:rPr>
                <w:b/>
                <w:i/>
              </w:rPr>
              <w:t>Kontakt:</w:t>
            </w:r>
          </w:p>
        </w:tc>
        <w:tc>
          <w:tcPr>
            <w:tcW w:w="4000" w:type="pct"/>
          </w:tcPr>
          <w:p w:rsidRPr="00D36819" w:rsidR="00A32597" w:rsidP="00CC4510" w:rsidRDefault="00A32597" w14:paraId="51D4069A" w14:textId="77777777">
            <w:pPr>
              <w:keepNext/>
              <w:keepLines/>
              <w:spacing w:line="240" w:lineRule="auto"/>
              <w:jc w:val="left"/>
              <w:rPr>
                <w:i/>
                <w:iCs/>
              </w:rPr>
            </w:pPr>
            <w:proofErr w:type="spellStart"/>
            <w:r>
              <w:rPr>
                <w:i/>
              </w:rPr>
              <w:t>Colombe</w:t>
            </w:r>
            <w:proofErr w:type="spellEnd"/>
            <w:r>
              <w:rPr>
                <w:i/>
              </w:rPr>
              <w:t xml:space="preserve"> </w:t>
            </w:r>
            <w:proofErr w:type="spellStart"/>
            <w:r>
              <w:rPr>
                <w:i/>
              </w:rPr>
              <w:t>Grégoire</w:t>
            </w:r>
            <w:proofErr w:type="spellEnd"/>
          </w:p>
        </w:tc>
      </w:tr>
      <w:tr w:rsidRPr="00A32597" w:rsidR="00A32597" w:rsidTr="00462393" w14:paraId="217EEC8E" w14:textId="77777777">
        <w:tc>
          <w:tcPr>
            <w:tcW w:w="1000" w:type="pct"/>
          </w:tcPr>
          <w:p w:rsidRPr="00A32597" w:rsidR="00A32597" w:rsidP="00CC4510" w:rsidRDefault="00A32597" w14:paraId="10D94256" w14:textId="77777777">
            <w:pPr>
              <w:keepNext/>
              <w:keepLines/>
              <w:spacing w:line="240" w:lineRule="auto"/>
              <w:jc w:val="left"/>
              <w:rPr>
                <w:i/>
              </w:rPr>
            </w:pPr>
            <w:r>
              <w:rPr>
                <w:i/>
              </w:rPr>
              <w:t>Tel.:</w:t>
            </w:r>
          </w:p>
        </w:tc>
        <w:tc>
          <w:tcPr>
            <w:tcW w:w="4000" w:type="pct"/>
          </w:tcPr>
          <w:p w:rsidRPr="00A32597" w:rsidR="00A32597" w:rsidP="00CC4510" w:rsidRDefault="00A32597" w14:paraId="79D2A7DE" w14:textId="77777777">
            <w:pPr>
              <w:keepNext/>
              <w:keepLines/>
              <w:spacing w:line="240" w:lineRule="auto"/>
              <w:jc w:val="left"/>
              <w:rPr>
                <w:i/>
                <w:iCs/>
              </w:rPr>
            </w:pPr>
            <w:r>
              <w:rPr>
                <w:i/>
              </w:rPr>
              <w:t>+32 25469286</w:t>
            </w:r>
          </w:p>
        </w:tc>
      </w:tr>
      <w:tr w:rsidRPr="00A32597" w:rsidR="00A32597" w:rsidTr="00462393" w14:paraId="6EE0DBD3" w14:textId="77777777">
        <w:tc>
          <w:tcPr>
            <w:tcW w:w="1000" w:type="pct"/>
          </w:tcPr>
          <w:p w:rsidRPr="00A32597" w:rsidR="00A32597" w:rsidP="00CC4510" w:rsidRDefault="00A32597" w14:paraId="1D45D5A3" w14:textId="77777777">
            <w:pPr>
              <w:keepNext/>
              <w:keepLines/>
              <w:spacing w:line="240" w:lineRule="auto"/>
              <w:jc w:val="left"/>
              <w:rPr>
                <w:i/>
              </w:rPr>
            </w:pPr>
            <w:r>
              <w:rPr>
                <w:i/>
              </w:rPr>
              <w:t>E-pošta:</w:t>
            </w:r>
          </w:p>
        </w:tc>
        <w:tc>
          <w:tcPr>
            <w:tcW w:w="4000" w:type="pct"/>
          </w:tcPr>
          <w:p w:rsidRPr="00A32597" w:rsidR="00A32597" w:rsidP="00CC4510" w:rsidRDefault="00125B84" w14:paraId="1B217DB9" w14:textId="77777777">
            <w:pPr>
              <w:keepNext/>
              <w:keepLines/>
              <w:spacing w:line="240" w:lineRule="auto"/>
              <w:jc w:val="left"/>
              <w:rPr>
                <w:i/>
                <w:iCs/>
              </w:rPr>
            </w:pPr>
            <w:hyperlink w:history="1" r:id="rId22">
              <w:r w:rsidR="00FA138D">
                <w:rPr>
                  <w:color w:val="0000FF"/>
                  <w:u w:val="single"/>
                </w:rPr>
                <w:t>Colombe.Gregoire@eesc.europa.eu</w:t>
              </w:r>
            </w:hyperlink>
            <w:r w:rsidR="00FA138D">
              <w:t xml:space="preserve"> </w:t>
            </w:r>
          </w:p>
        </w:tc>
      </w:tr>
    </w:tbl>
    <w:p w:rsidR="00462393" w:rsidRDefault="00462393" w14:paraId="11F6A301" w14:textId="56F76FAC">
      <w:pPr>
        <w:spacing w:after="160" w:line="259" w:lineRule="auto"/>
        <w:jc w:val="left"/>
        <w:rPr>
          <w:b/>
          <w:bCs/>
        </w:rPr>
      </w:pPr>
    </w:p>
    <w:p w:rsidR="00462393" w:rsidRDefault="00462393" w14:paraId="6D83F160" w14:textId="77777777">
      <w:pPr>
        <w:spacing w:after="160" w:line="259" w:lineRule="auto"/>
        <w:jc w:val="left"/>
        <w:rPr>
          <w:b/>
          <w:bCs/>
        </w:rPr>
      </w:pPr>
      <w:r>
        <w:rPr>
          <w:b/>
          <w:bCs/>
        </w:rPr>
        <w:br w:type="page"/>
      </w:r>
    </w:p>
    <w:p w:rsidRPr="00E76ACE" w:rsidR="00E76ACE" w:rsidP="00E76ACE" w:rsidRDefault="00125B84" w14:paraId="10608E4B" w14:textId="1310A6A9">
      <w:pPr>
        <w:widowControl w:val="0"/>
        <w:numPr>
          <w:ilvl w:val="0"/>
          <w:numId w:val="2"/>
        </w:numPr>
        <w:overflowPunct w:val="0"/>
        <w:autoSpaceDE w:val="0"/>
        <w:autoSpaceDN w:val="0"/>
        <w:adjustRightInd w:val="0"/>
        <w:ind w:hanging="567"/>
        <w:textAlignment w:val="baseline"/>
        <w:rPr>
          <w:sz w:val="20"/>
          <w:szCs w:val="20"/>
        </w:rPr>
      </w:pPr>
      <w:hyperlink w:history="1" r:id="rId23">
        <w:r w:rsidR="00FA138D">
          <w:rPr>
            <w:b/>
            <w:i/>
            <w:color w:val="0000FF"/>
            <w:sz w:val="28"/>
            <w:u w:val="single"/>
          </w:rPr>
          <w:t>Poboljšanje refer</w:t>
        </w:r>
        <w:r w:rsidR="00FA138D">
          <w:rPr>
            <w:b/>
            <w:i/>
            <w:color w:val="0000FF"/>
            <w:sz w:val="28"/>
            <w:u w:val="single"/>
          </w:rPr>
          <w:t>e</w:t>
        </w:r>
        <w:r w:rsidR="00FA138D">
          <w:rPr>
            <w:b/>
            <w:i/>
            <w:color w:val="0000FF"/>
            <w:sz w:val="28"/>
            <w:u w:val="single"/>
          </w:rPr>
          <w:t>ntnih vrijednosti i zahtjeva o izvješćivanju u području financijskih usluga i potpore ulaganjima</w:t>
        </w:r>
      </w:hyperlink>
    </w:p>
    <w:p w:rsidRPr="00E76ACE" w:rsidR="00E76ACE" w:rsidP="00E76ACE" w:rsidRDefault="00E76ACE" w14:paraId="633F7F87" w14:textId="77777777">
      <w:pPr>
        <w:tabs>
          <w:tab w:val="center" w:pos="284"/>
        </w:tabs>
        <w:overflowPunct w:val="0"/>
        <w:autoSpaceDE w:val="0"/>
        <w:autoSpaceDN w:val="0"/>
        <w:adjustRightInd w:val="0"/>
        <w:ind w:left="266" w:hanging="266"/>
        <w:textAlignment w:val="baseline"/>
        <w:rPr>
          <w:b/>
        </w:rPr>
      </w:pPr>
    </w:p>
    <w:tbl>
      <w:tblPr>
        <w:tblStyle w:val="TableGrid19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8"/>
        <w:gridCol w:w="7023"/>
      </w:tblGrid>
      <w:tr w:rsidRPr="00E76ACE" w:rsidR="00E76ACE" w:rsidTr="00462393" w14:paraId="618851BF" w14:textId="77777777">
        <w:tc>
          <w:tcPr>
            <w:tcW w:w="1129" w:type="pct"/>
          </w:tcPr>
          <w:p w:rsidRPr="00E76ACE" w:rsidR="00E76ACE" w:rsidP="00CC4510" w:rsidRDefault="00E76ACE" w14:paraId="160C454C" w14:textId="77777777">
            <w:pPr>
              <w:tabs>
                <w:tab w:val="center" w:pos="284"/>
              </w:tabs>
              <w:overflowPunct w:val="0"/>
              <w:autoSpaceDE w:val="0"/>
              <w:autoSpaceDN w:val="0"/>
              <w:adjustRightInd w:val="0"/>
              <w:ind w:left="266" w:hanging="376"/>
              <w:textAlignment w:val="baseline"/>
              <w:rPr>
                <w:b/>
              </w:rPr>
            </w:pPr>
            <w:r>
              <w:rPr>
                <w:b/>
              </w:rPr>
              <w:t>Izvjestitelj/</w:t>
            </w:r>
            <w:proofErr w:type="spellStart"/>
            <w:r>
              <w:rPr>
                <w:b/>
              </w:rPr>
              <w:t>ica</w:t>
            </w:r>
            <w:proofErr w:type="spellEnd"/>
            <w:r>
              <w:rPr>
                <w:b/>
              </w:rPr>
              <w:t>:</w:t>
            </w:r>
          </w:p>
        </w:tc>
        <w:tc>
          <w:tcPr>
            <w:tcW w:w="3871" w:type="pct"/>
          </w:tcPr>
          <w:p w:rsidRPr="00E76ACE" w:rsidR="00E76ACE" w:rsidP="00CC4510" w:rsidRDefault="00E76ACE" w14:paraId="6FCB339F" w14:textId="00D67000">
            <w:pPr>
              <w:tabs>
                <w:tab w:val="center" w:pos="284"/>
              </w:tabs>
              <w:overflowPunct w:val="0"/>
              <w:autoSpaceDE w:val="0"/>
              <w:autoSpaceDN w:val="0"/>
              <w:adjustRightInd w:val="0"/>
              <w:ind w:left="266" w:hanging="376"/>
              <w:textAlignment w:val="baseline"/>
            </w:pPr>
            <w:proofErr w:type="spellStart"/>
            <w:r>
              <w:t>Krzysztof</w:t>
            </w:r>
            <w:proofErr w:type="spellEnd"/>
            <w:r>
              <w:t xml:space="preserve"> BALON (Skupina organizacija civilnog društva – PL)</w:t>
            </w:r>
          </w:p>
        </w:tc>
      </w:tr>
      <w:tr w:rsidRPr="00E76ACE" w:rsidR="00E76ACE" w:rsidTr="00462393" w14:paraId="4A807341" w14:textId="77777777">
        <w:tc>
          <w:tcPr>
            <w:tcW w:w="5000" w:type="pct"/>
            <w:gridSpan w:val="2"/>
          </w:tcPr>
          <w:p w:rsidRPr="00E76ACE" w:rsidR="00E76ACE" w:rsidP="00CC4510" w:rsidRDefault="00E76ACE" w14:paraId="45B4F74F" w14:textId="77777777">
            <w:pPr>
              <w:tabs>
                <w:tab w:val="center" w:pos="284"/>
              </w:tabs>
              <w:overflowPunct w:val="0"/>
              <w:autoSpaceDE w:val="0"/>
              <w:autoSpaceDN w:val="0"/>
              <w:adjustRightInd w:val="0"/>
              <w:spacing w:line="160" w:lineRule="exact"/>
              <w:ind w:left="266" w:hanging="376"/>
              <w:textAlignment w:val="baseline"/>
            </w:pPr>
          </w:p>
        </w:tc>
      </w:tr>
      <w:tr w:rsidRPr="00E76ACE" w:rsidR="00E76ACE" w:rsidTr="00462393" w14:paraId="6F674771" w14:textId="77777777">
        <w:tc>
          <w:tcPr>
            <w:tcW w:w="1129" w:type="pct"/>
            <w:vMerge w:val="restart"/>
          </w:tcPr>
          <w:p w:rsidRPr="00E76ACE" w:rsidR="00E76ACE" w:rsidP="00462393" w:rsidRDefault="00E76ACE" w14:paraId="3CD2717C" w14:textId="77777777">
            <w:pPr>
              <w:tabs>
                <w:tab w:val="center" w:pos="0"/>
              </w:tabs>
              <w:overflowPunct w:val="0"/>
              <w:autoSpaceDE w:val="0"/>
              <w:autoSpaceDN w:val="0"/>
              <w:adjustRightInd w:val="0"/>
              <w:textAlignment w:val="baseline"/>
              <w:rPr>
                <w:b/>
              </w:rPr>
            </w:pPr>
            <w:r>
              <w:rPr>
                <w:b/>
              </w:rPr>
              <w:t>Referentni dokument/i:</w:t>
            </w:r>
          </w:p>
        </w:tc>
        <w:tc>
          <w:tcPr>
            <w:tcW w:w="3871" w:type="pct"/>
          </w:tcPr>
          <w:p w:rsidRPr="00E76ACE" w:rsidR="00E76ACE" w:rsidP="00CC4510" w:rsidRDefault="00E76ACE" w14:paraId="705878F6" w14:textId="3D9351DE">
            <w:pPr>
              <w:tabs>
                <w:tab w:val="center" w:pos="284"/>
              </w:tabs>
              <w:overflowPunct w:val="0"/>
              <w:autoSpaceDE w:val="0"/>
              <w:autoSpaceDN w:val="0"/>
              <w:adjustRightInd w:val="0"/>
              <w:ind w:left="266" w:hanging="376"/>
              <w:textAlignment w:val="baseline"/>
            </w:pPr>
            <w:r>
              <w:t xml:space="preserve">COM(2023) 593 </w:t>
            </w:r>
            <w:proofErr w:type="spellStart"/>
            <w:r>
              <w:t>final</w:t>
            </w:r>
            <w:proofErr w:type="spellEnd"/>
            <w:r>
              <w:t xml:space="preserve"> </w:t>
            </w:r>
          </w:p>
          <w:p w:rsidRPr="00E76ACE" w:rsidR="00E76ACE" w:rsidP="00CC4510" w:rsidRDefault="00E76ACE" w14:paraId="0D256A2F" w14:textId="57B88F62">
            <w:pPr>
              <w:tabs>
                <w:tab w:val="center" w:pos="284"/>
              </w:tabs>
              <w:overflowPunct w:val="0"/>
              <w:autoSpaceDE w:val="0"/>
              <w:autoSpaceDN w:val="0"/>
              <w:adjustRightInd w:val="0"/>
              <w:ind w:left="266" w:hanging="376"/>
              <w:textAlignment w:val="baseline"/>
            </w:pPr>
            <w:r>
              <w:t xml:space="preserve">COM(2023) 660 </w:t>
            </w:r>
            <w:proofErr w:type="spellStart"/>
            <w:r>
              <w:t>final</w:t>
            </w:r>
            <w:proofErr w:type="spellEnd"/>
            <w:r>
              <w:t xml:space="preserve"> </w:t>
            </w:r>
          </w:p>
        </w:tc>
      </w:tr>
      <w:tr w:rsidRPr="00E76ACE" w:rsidR="00E76ACE" w:rsidTr="00462393" w14:paraId="2D4938C0" w14:textId="77777777">
        <w:tc>
          <w:tcPr>
            <w:tcW w:w="1129" w:type="pct"/>
            <w:vMerge/>
          </w:tcPr>
          <w:p w:rsidRPr="00E76ACE" w:rsidR="00E76ACE" w:rsidP="00CC4510" w:rsidRDefault="00E76ACE" w14:paraId="682CA6FF" w14:textId="77777777">
            <w:pPr>
              <w:tabs>
                <w:tab w:val="center" w:pos="284"/>
              </w:tabs>
              <w:overflowPunct w:val="0"/>
              <w:autoSpaceDE w:val="0"/>
              <w:autoSpaceDN w:val="0"/>
              <w:adjustRightInd w:val="0"/>
              <w:ind w:left="266" w:hanging="376"/>
              <w:textAlignment w:val="baseline"/>
              <w:rPr>
                <w:b/>
              </w:rPr>
            </w:pPr>
          </w:p>
        </w:tc>
        <w:tc>
          <w:tcPr>
            <w:tcW w:w="3871" w:type="pct"/>
          </w:tcPr>
          <w:p w:rsidRPr="00E76ACE" w:rsidR="00E76ACE" w:rsidP="00CC4510" w:rsidRDefault="00E76ACE" w14:paraId="140F62AD" w14:textId="77777777">
            <w:pPr>
              <w:tabs>
                <w:tab w:val="center" w:pos="284"/>
              </w:tabs>
              <w:overflowPunct w:val="0"/>
              <w:autoSpaceDE w:val="0"/>
              <w:autoSpaceDN w:val="0"/>
              <w:adjustRightInd w:val="0"/>
              <w:ind w:left="266" w:hanging="376"/>
              <w:textAlignment w:val="baseline"/>
            </w:pPr>
            <w:r>
              <w:t>EESC-2023-05424-00-00-AC</w:t>
            </w:r>
          </w:p>
        </w:tc>
      </w:tr>
    </w:tbl>
    <w:p w:rsidRPr="00E76ACE" w:rsidR="00E76ACE" w:rsidP="00E76ACE" w:rsidRDefault="00E76ACE" w14:paraId="6D12F68A"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E76ACE" w:rsidR="00E76ACE" w:rsidP="00E76ACE" w:rsidRDefault="00E76ACE" w14:paraId="0B88EF57" w14:textId="77777777">
      <w:pPr>
        <w:widowControl w:val="0"/>
        <w:spacing w:line="24" w:lineRule="atLeast"/>
        <w:ind w:left="709"/>
        <w:contextualSpacing/>
        <w:jc w:val="left"/>
        <w:rPr>
          <w:rFonts w:ascii="Calibri" w:hAnsi="Calibri"/>
          <w:lang w:eastAsia="zh-CN"/>
        </w:rPr>
      </w:pPr>
    </w:p>
    <w:p w:rsidRPr="00E76ACE" w:rsidR="00E76ACE" w:rsidP="00CC4510" w:rsidRDefault="00E76ACE" w14:paraId="1F52A2F7" w14:textId="77777777">
      <w:pPr>
        <w:widowControl w:val="0"/>
        <w:spacing w:line="276" w:lineRule="auto"/>
        <w:contextualSpacing/>
      </w:pPr>
      <w:r>
        <w:t>U vezi s razmjenom podataka i smanjenjem administrativnih zahtjeva u području financijskih usluga i potpore ulaganjima, EGSO:</w:t>
      </w:r>
    </w:p>
    <w:p w:rsidRPr="00E76ACE" w:rsidR="00E76ACE" w:rsidP="00CC4510" w:rsidRDefault="00E76ACE" w14:paraId="4042A6B6" w14:textId="77777777">
      <w:pPr>
        <w:widowControl w:val="0"/>
        <w:overflowPunct w:val="0"/>
        <w:autoSpaceDE w:val="0"/>
        <w:autoSpaceDN w:val="0"/>
        <w:adjustRightInd w:val="0"/>
        <w:spacing w:line="276" w:lineRule="auto"/>
        <w:ind w:left="284" w:firstLine="425"/>
        <w:jc w:val="left"/>
        <w:rPr>
          <w:szCs w:val="20"/>
        </w:rPr>
      </w:pPr>
    </w:p>
    <w:p w:rsidRPr="00E76ACE" w:rsidR="00E76ACE" w:rsidP="00CC4510" w:rsidRDefault="00E76ACE" w14:paraId="58026ACF"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pozdravlja inicijativu za racionalizaciju i pojednostavnjenje zahtjeva za nadzorno izvješćivanje i izbjegavanje dvostrukih zahtjeva za izvješćivanje; </w:t>
      </w:r>
    </w:p>
    <w:p w:rsidRPr="00E76ACE" w:rsidR="00E76ACE" w:rsidP="00CC4510" w:rsidRDefault="00E76ACE" w14:paraId="762863D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smatra da će biti potrebno standardizirati opseg i format podataka uključenih u razmjenu informacija među tijelima koja nadziru financijski sektor; </w:t>
      </w:r>
    </w:p>
    <w:p w:rsidRPr="00E76ACE" w:rsidR="00E76ACE" w:rsidP="00CC4510" w:rsidRDefault="00E76ACE" w14:paraId="1F63FC8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napominje da predložene promjene mogu dovesti do određenih troškova provedbe i/ili dodatnih troškova standardizacije. Svođenje troškova na najmanju moguću mjeru ne bi trebalo odvojiti od drugih ciljeva prikupljanja i razmjene podataka;</w:t>
      </w:r>
    </w:p>
    <w:p w:rsidRPr="00E76ACE" w:rsidR="00E76ACE" w:rsidP="00CC4510" w:rsidRDefault="00E76ACE" w14:paraId="42EC964E"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smatra da bi se budućim inicijativama trebalo utvrditi da se dostava podataka jednom nadležnom tijelu (ili zajedničkoj platformi) smatra dostavom svim drugim nadležnim tijelima (koncept „jedinstvene kontaktne točke”);</w:t>
      </w:r>
    </w:p>
    <w:p w:rsidRPr="00E76ACE" w:rsidR="00E76ACE" w:rsidP="00CC4510" w:rsidRDefault="00E76ACE" w14:paraId="0831C626"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napominje da bi razmjena podataka među tijelima i dalje bila podložna dobrovoljnom zahtjevu. U tom pogledu nadležna tijela moraju (ne samo „mogu”) sklopiti memorandume o razumijevanju kako bi se utvrdili načini razmjene informacija;</w:t>
      </w:r>
    </w:p>
    <w:p w:rsidRPr="00E76ACE" w:rsidR="00E76ACE" w:rsidP="00CC4510" w:rsidRDefault="00E76ACE" w14:paraId="13DBA4C5"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ističe da bi, kako bi se postiglo to pojednostavnjenje, redovito preispitivanje zahtjeva za izvješćivanje trebalo biti obvezno;</w:t>
      </w:r>
    </w:p>
    <w:p w:rsidRPr="00E76ACE" w:rsidR="00E76ACE" w:rsidP="00CC4510" w:rsidRDefault="00E76ACE" w14:paraId="6C4CE41E"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5CD848D6" w14:textId="77777777">
      <w:pPr>
        <w:widowControl w:val="0"/>
        <w:spacing w:line="276" w:lineRule="auto"/>
        <w:contextualSpacing/>
        <w:jc w:val="left"/>
      </w:pPr>
      <w:r>
        <w:t>U vezi s izmjenama Uredbe o referentnim vrijednostima, EGSO:</w:t>
      </w:r>
    </w:p>
    <w:p w:rsidRPr="00E76ACE" w:rsidR="00E76ACE" w:rsidP="00CC4510" w:rsidRDefault="00E76ACE" w14:paraId="706F0FFB"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6FC51301"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 xml:space="preserve">pozdravlja uravnoteženiji i proporcionalniji pristup očuvanju financijske stabilnosti i cjelovitosti europskih tržišta, kao i smanjenju troškova i regulatornih zahtjeva, posebno smanjenjem zahtjeva za neznačajne referentne vrijednosti; </w:t>
      </w:r>
    </w:p>
    <w:p w:rsidRPr="00E76ACE" w:rsidR="00E76ACE" w:rsidP="00CC4510" w:rsidRDefault="00E76ACE" w14:paraId="512ABB98"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pozdravlja pojašnjenje uloge Komisije, Europskog nadzornog tijela za vrijednosne papire i tržišta kapitala (ESMA) i nacionalnih tijela u postupku koji se primjenjuje na značajne i ključne referentne vrijednosti;</w:t>
      </w:r>
    </w:p>
    <w:p w:rsidRPr="00E76ACE" w:rsidR="00E76ACE" w:rsidP="00CC4510" w:rsidRDefault="00E76ACE" w14:paraId="39EE635D"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snažno preporučuje da se provjeri je li moguća ikakva inicijativa za smanjenje zahtjeva za izvješćivanje ili smanjenje troškova za ključne ili značajne referentne vrijednosti.</w:t>
      </w:r>
    </w:p>
    <w:p w:rsidRPr="00E76ACE" w:rsidR="00E76ACE" w:rsidP="00E76ACE" w:rsidRDefault="00E76ACE" w14:paraId="0966C473" w14:textId="77777777">
      <w:pPr>
        <w:widowControl w:val="0"/>
        <w:overflowPunct w:val="0"/>
        <w:autoSpaceDE w:val="0"/>
        <w:autoSpaceDN w:val="0"/>
        <w:adjustRightInd w:val="0"/>
        <w:rPr>
          <w:szCs w:val="20"/>
        </w:rPr>
      </w:pPr>
    </w:p>
    <w:p w:rsidRPr="00E76ACE" w:rsidR="00E76ACE" w:rsidP="00E76ACE" w:rsidRDefault="00E76ACE" w14:paraId="468B2533" w14:textId="77777777">
      <w:pPr>
        <w:spacing w:line="360" w:lineRule="auto"/>
        <w:ind w:left="714"/>
        <w:contextualSpacing/>
        <w:rPr>
          <w:rFonts w:ascii="Calibri" w:hAnsi="Calibri"/>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E76ACE" w:rsidR="00E76ACE" w:rsidTr="00B05454" w14:paraId="5AC2D924" w14:textId="77777777">
        <w:tc>
          <w:tcPr>
            <w:tcW w:w="1556" w:type="pct"/>
          </w:tcPr>
          <w:p w:rsidRPr="00E76ACE" w:rsidR="00E76ACE" w:rsidP="00E76ACE" w:rsidRDefault="00E76ACE" w14:paraId="631F02EC" w14:textId="77777777">
            <w:pPr>
              <w:overflowPunct w:val="0"/>
              <w:autoSpaceDE w:val="0"/>
              <w:autoSpaceDN w:val="0"/>
              <w:adjustRightInd w:val="0"/>
              <w:spacing w:line="240" w:lineRule="auto"/>
              <w:textAlignment w:val="baseline"/>
              <w:rPr>
                <w:i/>
              </w:rPr>
            </w:pPr>
            <w:r>
              <w:rPr>
                <w:b/>
                <w:i/>
              </w:rPr>
              <w:t>Kontakt:</w:t>
            </w:r>
          </w:p>
        </w:tc>
        <w:tc>
          <w:tcPr>
            <w:tcW w:w="3444" w:type="pct"/>
          </w:tcPr>
          <w:p w:rsidRPr="00E76ACE" w:rsidR="00E76ACE" w:rsidP="00E76ACE" w:rsidRDefault="00E76ACE" w14:paraId="37BFF911" w14:textId="26B6403B">
            <w:pPr>
              <w:overflowPunct w:val="0"/>
              <w:autoSpaceDE w:val="0"/>
              <w:autoSpaceDN w:val="0"/>
              <w:adjustRightInd w:val="0"/>
              <w:spacing w:line="240" w:lineRule="auto"/>
              <w:textAlignment w:val="baseline"/>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Pr="00E76ACE" w:rsidR="00E76ACE" w:rsidTr="00B05454" w14:paraId="38EECD9C" w14:textId="77777777">
        <w:tc>
          <w:tcPr>
            <w:tcW w:w="1556" w:type="pct"/>
          </w:tcPr>
          <w:p w:rsidRPr="00E76ACE" w:rsidR="00E76ACE" w:rsidP="00E76ACE" w:rsidRDefault="00E76ACE" w14:paraId="00111D5D" w14:textId="77777777">
            <w:pPr>
              <w:overflowPunct w:val="0"/>
              <w:autoSpaceDE w:val="0"/>
              <w:autoSpaceDN w:val="0"/>
              <w:adjustRightInd w:val="0"/>
              <w:spacing w:line="240" w:lineRule="auto"/>
              <w:textAlignment w:val="baseline"/>
              <w:rPr>
                <w:i/>
              </w:rPr>
            </w:pPr>
            <w:r>
              <w:rPr>
                <w:i/>
              </w:rPr>
              <w:t>Tel.:</w:t>
            </w:r>
          </w:p>
        </w:tc>
        <w:tc>
          <w:tcPr>
            <w:tcW w:w="3444" w:type="pct"/>
          </w:tcPr>
          <w:p w:rsidRPr="00E76ACE" w:rsidR="00E76ACE" w:rsidP="00E76ACE" w:rsidRDefault="00E76ACE" w14:paraId="2BA01FC0" w14:textId="77777777">
            <w:pPr>
              <w:overflowPunct w:val="0"/>
              <w:autoSpaceDE w:val="0"/>
              <w:autoSpaceDN w:val="0"/>
              <w:adjustRightInd w:val="0"/>
              <w:spacing w:line="240" w:lineRule="auto"/>
              <w:textAlignment w:val="baseline"/>
              <w:rPr>
                <w:i/>
              </w:rPr>
            </w:pPr>
            <w:r>
              <w:rPr>
                <w:i/>
              </w:rPr>
              <w:t>+32 25469240</w:t>
            </w:r>
          </w:p>
        </w:tc>
      </w:tr>
      <w:tr w:rsidRPr="00E76ACE" w:rsidR="00E76ACE" w:rsidTr="00B05454" w14:paraId="34EA2FE0" w14:textId="77777777">
        <w:tc>
          <w:tcPr>
            <w:tcW w:w="1556" w:type="pct"/>
          </w:tcPr>
          <w:p w:rsidRPr="00E76ACE" w:rsidR="00E76ACE" w:rsidP="00E76ACE" w:rsidRDefault="00E76ACE" w14:paraId="3C52BE60" w14:textId="77777777">
            <w:pPr>
              <w:overflowPunct w:val="0"/>
              <w:autoSpaceDE w:val="0"/>
              <w:autoSpaceDN w:val="0"/>
              <w:adjustRightInd w:val="0"/>
              <w:spacing w:line="240" w:lineRule="auto"/>
              <w:textAlignment w:val="baseline"/>
              <w:rPr>
                <w:i/>
              </w:rPr>
            </w:pPr>
            <w:r>
              <w:rPr>
                <w:i/>
              </w:rPr>
              <w:t>E-pošta:</w:t>
            </w:r>
          </w:p>
        </w:tc>
        <w:tc>
          <w:tcPr>
            <w:tcW w:w="3444" w:type="pct"/>
          </w:tcPr>
          <w:p w:rsidRPr="00E76ACE" w:rsidR="00E76ACE" w:rsidP="00E76ACE" w:rsidRDefault="00125B84" w14:paraId="4D5E4782" w14:textId="77777777">
            <w:pPr>
              <w:overflowPunct w:val="0"/>
              <w:autoSpaceDE w:val="0"/>
              <w:autoSpaceDN w:val="0"/>
              <w:adjustRightInd w:val="0"/>
              <w:spacing w:line="240" w:lineRule="auto"/>
              <w:textAlignment w:val="baseline"/>
              <w:rPr>
                <w:i/>
              </w:rPr>
            </w:pPr>
            <w:hyperlink w:history="1" r:id="rId24">
              <w:r w:rsidR="00FA138D">
                <w:rPr>
                  <w:i/>
                  <w:color w:val="0000FF"/>
                  <w:u w:val="single"/>
                </w:rPr>
                <w:t>Sergio.LorencioMatallana@eesc.europa.eu</w:t>
              </w:r>
            </w:hyperlink>
          </w:p>
        </w:tc>
      </w:tr>
    </w:tbl>
    <w:p w:rsidR="00E76ACE" w:rsidRDefault="00E76ACE" w14:paraId="610C8E26" w14:textId="77777777">
      <w:pPr>
        <w:spacing w:after="160" w:line="259" w:lineRule="auto"/>
        <w:jc w:val="left"/>
        <w:rPr>
          <w:b/>
          <w:bCs/>
        </w:rPr>
      </w:pPr>
    </w:p>
    <w:p w:rsidR="00E76ACE" w:rsidRDefault="00E76ACE" w14:paraId="1F90D670" w14:textId="77777777">
      <w:pPr>
        <w:spacing w:after="160" w:line="259" w:lineRule="auto"/>
        <w:jc w:val="left"/>
        <w:rPr>
          <w:b/>
          <w:bCs/>
        </w:rPr>
      </w:pPr>
      <w:r>
        <w:br w:type="page"/>
      </w:r>
    </w:p>
    <w:p w:rsidR="006C6A1E" w:rsidP="00234EA0" w:rsidRDefault="006C6A1E" w14:paraId="55E56154" w14:textId="2549BDD3">
      <w:pPr>
        <w:pStyle w:val="Heading1"/>
        <w:ind w:hanging="928"/>
        <w:rPr>
          <w:b/>
          <w:bCs/>
        </w:rPr>
      </w:pPr>
      <w:bookmarkStart w:name="_Toc150179063" w:id="25"/>
      <w:bookmarkStart w:name="_Toc153539680" w:id="26"/>
      <w:bookmarkStart w:name="_Toc160783950" w:id="27"/>
      <w:bookmarkEnd w:id="25"/>
      <w:r>
        <w:rPr>
          <w:b/>
        </w:rPr>
        <w:lastRenderedPageBreak/>
        <w:t>STRUČNA SKUPINA ZA ZAPOŠLJAVANJE, SOCIJALNA PITANJA I GRAĐANSTVO</w:t>
      </w:r>
      <w:bookmarkEnd w:id="27"/>
    </w:p>
    <w:p w:rsidR="006C6A1E" w:rsidP="006C6A1E" w:rsidRDefault="006C6A1E" w14:paraId="190420D2" w14:textId="4E6BD19C"/>
    <w:p w:rsidRPr="006C6A1E" w:rsidR="006C6A1E" w:rsidP="006C6A1E" w:rsidRDefault="00125B84" w14:paraId="7AA2DF65" w14:textId="5E6190D2">
      <w:pPr>
        <w:widowControl w:val="0"/>
        <w:numPr>
          <w:ilvl w:val="0"/>
          <w:numId w:val="2"/>
        </w:numPr>
        <w:overflowPunct w:val="0"/>
        <w:autoSpaceDE w:val="0"/>
        <w:autoSpaceDN w:val="0"/>
        <w:adjustRightInd w:val="0"/>
        <w:ind w:hanging="567"/>
        <w:textAlignment w:val="baseline"/>
        <w:rPr>
          <w:sz w:val="20"/>
          <w:szCs w:val="20"/>
        </w:rPr>
      </w:pPr>
      <w:hyperlink w:history="1" r:id="rId25">
        <w:r w:rsidR="00FA138D">
          <w:rPr>
            <w:b/>
            <w:i/>
            <w:color w:val="0000FF"/>
            <w:sz w:val="28"/>
            <w:u w:val="single"/>
          </w:rPr>
          <w:t xml:space="preserve">Digitalizacija </w:t>
        </w:r>
        <w:r w:rsidR="00FA138D">
          <w:rPr>
            <w:b/>
            <w:i/>
            <w:color w:val="0000FF"/>
            <w:sz w:val="28"/>
            <w:u w:val="single"/>
          </w:rPr>
          <w:t>u</w:t>
        </w:r>
        <w:r w:rsidR="00FA138D">
          <w:rPr>
            <w:b/>
            <w:i/>
            <w:color w:val="0000FF"/>
            <w:sz w:val="28"/>
            <w:u w:val="single"/>
          </w:rPr>
          <w:t xml:space="preserve"> području socijalne sigurnosti</w:t>
        </w:r>
      </w:hyperlink>
    </w:p>
    <w:p w:rsidRPr="006C6A1E"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6"/>
        <w:gridCol w:w="7025"/>
      </w:tblGrid>
      <w:tr w:rsidRPr="006C6A1E" w:rsidR="006C6A1E" w:rsidTr="00462393" w14:paraId="1E5744BE" w14:textId="77777777">
        <w:trPr>
          <w:trHeight w:val="564"/>
        </w:trPr>
        <w:tc>
          <w:tcPr>
            <w:tcW w:w="1128" w:type="pct"/>
          </w:tcPr>
          <w:p w:rsidRPr="006C6A1E" w:rsidR="006C6A1E" w:rsidP="006C6A1E" w:rsidRDefault="006C6A1E" w14:paraId="0C0E6752" w14:textId="77777777">
            <w:pPr>
              <w:tabs>
                <w:tab w:val="center" w:pos="284"/>
              </w:tabs>
              <w:overflowPunct w:val="0"/>
              <w:autoSpaceDE w:val="0"/>
              <w:autoSpaceDN w:val="0"/>
              <w:adjustRightInd w:val="0"/>
              <w:ind w:left="266" w:hanging="266"/>
              <w:textAlignment w:val="baseline"/>
              <w:rPr>
                <w:b/>
              </w:rPr>
            </w:pPr>
            <w:r>
              <w:rPr>
                <w:b/>
              </w:rPr>
              <w:t>Izvjestitelj/</w:t>
            </w:r>
            <w:proofErr w:type="spellStart"/>
            <w:r>
              <w:rPr>
                <w:b/>
              </w:rPr>
              <w:t>ica</w:t>
            </w:r>
            <w:proofErr w:type="spellEnd"/>
            <w:r>
              <w:rPr>
                <w:b/>
              </w:rPr>
              <w:t>:</w:t>
            </w:r>
          </w:p>
        </w:tc>
        <w:tc>
          <w:tcPr>
            <w:tcW w:w="3872" w:type="pct"/>
          </w:tcPr>
          <w:p w:rsidRPr="006C6A1E" w:rsidR="006C6A1E" w:rsidP="006C6A1E" w:rsidRDefault="006C6A1E" w14:paraId="1F9E7E12" w14:textId="5FFDA98B">
            <w:pPr>
              <w:tabs>
                <w:tab w:val="center" w:pos="284"/>
              </w:tabs>
              <w:overflowPunct w:val="0"/>
              <w:autoSpaceDE w:val="0"/>
              <w:autoSpaceDN w:val="0"/>
              <w:adjustRightInd w:val="0"/>
              <w:ind w:left="266" w:hanging="266"/>
              <w:textAlignment w:val="baseline"/>
            </w:pPr>
            <w:proofErr w:type="spellStart"/>
            <w:r>
              <w:t>Krzysztof</w:t>
            </w:r>
            <w:proofErr w:type="spellEnd"/>
            <w:r>
              <w:t xml:space="preserve"> BALON (Skupina organizacija civilnog društva – PL)</w:t>
            </w:r>
          </w:p>
        </w:tc>
      </w:tr>
      <w:tr w:rsidRPr="006C6A1E" w:rsidR="006C6A1E" w:rsidTr="00462393" w14:paraId="3FEF9A97" w14:textId="77777777">
        <w:trPr>
          <w:trHeight w:val="294"/>
        </w:trPr>
        <w:tc>
          <w:tcPr>
            <w:tcW w:w="1128" w:type="pct"/>
          </w:tcPr>
          <w:p w:rsidRPr="006C6A1E" w:rsidR="006C6A1E" w:rsidP="006C6A1E" w:rsidRDefault="006C6A1E" w14:paraId="14F4FC73" w14:textId="77777777">
            <w:pPr>
              <w:tabs>
                <w:tab w:val="center" w:pos="284"/>
              </w:tabs>
              <w:overflowPunct w:val="0"/>
              <w:autoSpaceDE w:val="0"/>
              <w:autoSpaceDN w:val="0"/>
              <w:adjustRightInd w:val="0"/>
              <w:ind w:left="266" w:hanging="266"/>
              <w:textAlignment w:val="baseline"/>
              <w:rPr>
                <w:b/>
              </w:rPr>
            </w:pPr>
            <w:r>
              <w:rPr>
                <w:b/>
              </w:rPr>
              <w:t>Suizvjestitelj/</w:t>
            </w:r>
            <w:proofErr w:type="spellStart"/>
            <w:r>
              <w:rPr>
                <w:b/>
              </w:rPr>
              <w:t>ica</w:t>
            </w:r>
            <w:proofErr w:type="spellEnd"/>
            <w:r>
              <w:rPr>
                <w:b/>
              </w:rPr>
              <w:t>:</w:t>
            </w:r>
          </w:p>
        </w:tc>
        <w:tc>
          <w:tcPr>
            <w:tcW w:w="3872" w:type="pct"/>
          </w:tcPr>
          <w:p w:rsidRPr="006C6A1E" w:rsidR="006C6A1E" w:rsidP="006C6A1E" w:rsidRDefault="006C6A1E" w14:paraId="15858FF0" w14:textId="215E30DC">
            <w:pPr>
              <w:tabs>
                <w:tab w:val="center" w:pos="284"/>
              </w:tabs>
              <w:overflowPunct w:val="0"/>
              <w:autoSpaceDE w:val="0"/>
              <w:autoSpaceDN w:val="0"/>
              <w:adjustRightInd w:val="0"/>
              <w:ind w:left="266" w:hanging="266"/>
              <w:textAlignment w:val="baseline"/>
            </w:pPr>
            <w:r>
              <w:t>Maria del Carmen BARRERA CHAMORRO (Skupina radnika – ES)</w:t>
            </w:r>
          </w:p>
        </w:tc>
      </w:tr>
      <w:tr w:rsidRPr="006C6A1E" w:rsidR="006C6A1E" w:rsidTr="00462393" w14:paraId="3AECE3D5" w14:textId="77777777">
        <w:trPr>
          <w:trHeight w:val="153"/>
        </w:trPr>
        <w:tc>
          <w:tcPr>
            <w:tcW w:w="5000" w:type="pct"/>
            <w:gridSpan w:val="2"/>
          </w:tcPr>
          <w:p w:rsidRPr="006C6A1E"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pPr>
          </w:p>
        </w:tc>
      </w:tr>
      <w:tr w:rsidRPr="006C6A1E" w:rsidR="006C6A1E" w:rsidTr="00462393" w14:paraId="4552C784" w14:textId="77777777">
        <w:trPr>
          <w:trHeight w:val="282"/>
        </w:trPr>
        <w:tc>
          <w:tcPr>
            <w:tcW w:w="1128" w:type="pct"/>
          </w:tcPr>
          <w:p w:rsidRPr="006C6A1E" w:rsidR="006C6A1E" w:rsidP="00462393" w:rsidRDefault="006C6A1E" w14:paraId="2CED479C" w14:textId="77777777">
            <w:pPr>
              <w:tabs>
                <w:tab w:val="center" w:pos="34"/>
              </w:tabs>
              <w:overflowPunct w:val="0"/>
              <w:autoSpaceDE w:val="0"/>
              <w:autoSpaceDN w:val="0"/>
              <w:adjustRightInd w:val="0"/>
              <w:ind w:left="34"/>
              <w:textAlignment w:val="baseline"/>
              <w:rPr>
                <w:b/>
              </w:rPr>
            </w:pPr>
            <w:r>
              <w:rPr>
                <w:b/>
              </w:rPr>
              <w:t>Referentni dokument/i:</w:t>
            </w:r>
          </w:p>
        </w:tc>
        <w:tc>
          <w:tcPr>
            <w:tcW w:w="3872" w:type="pct"/>
          </w:tcPr>
          <w:p w:rsidRPr="006C6A1E" w:rsidR="006C6A1E" w:rsidP="006C6A1E" w:rsidRDefault="006C6A1E" w14:paraId="25E0EE5C" w14:textId="77777777">
            <w:pPr>
              <w:tabs>
                <w:tab w:val="center" w:pos="284"/>
              </w:tabs>
              <w:overflowPunct w:val="0"/>
              <w:autoSpaceDE w:val="0"/>
              <w:autoSpaceDN w:val="0"/>
              <w:adjustRightInd w:val="0"/>
              <w:ind w:left="266" w:hanging="266"/>
              <w:textAlignment w:val="baseline"/>
            </w:pPr>
            <w:r>
              <w:t xml:space="preserve">COM(2023) 501 </w:t>
            </w:r>
            <w:proofErr w:type="spellStart"/>
            <w:r>
              <w:t>final</w:t>
            </w:r>
            <w:proofErr w:type="spellEnd"/>
          </w:p>
          <w:p w:rsidRPr="006C6A1E" w:rsidR="006C6A1E" w:rsidP="006C6A1E" w:rsidRDefault="006C6A1E" w14:paraId="41250C39" w14:textId="77777777">
            <w:pPr>
              <w:tabs>
                <w:tab w:val="center" w:pos="284"/>
              </w:tabs>
              <w:overflowPunct w:val="0"/>
              <w:autoSpaceDE w:val="0"/>
              <w:autoSpaceDN w:val="0"/>
              <w:adjustRightInd w:val="0"/>
              <w:ind w:left="266" w:hanging="266"/>
              <w:textAlignment w:val="baseline"/>
            </w:pPr>
            <w:r>
              <w:t>EESC-2023-03875-00-00-AC</w:t>
            </w:r>
          </w:p>
        </w:tc>
      </w:tr>
    </w:tbl>
    <w:p w:rsidRPr="006C6A1E"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6C6A1E"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6C6A1E"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6C6A1E" w:rsidR="006C6A1E" w:rsidP="006C6A1E" w:rsidRDefault="006C6A1E" w14:paraId="644A124F" w14:textId="77777777">
      <w:pPr>
        <w:overflowPunct w:val="0"/>
        <w:autoSpaceDE w:val="0"/>
        <w:autoSpaceDN w:val="0"/>
        <w:adjustRightInd w:val="0"/>
        <w:textAlignment w:val="baseline"/>
        <w:rPr>
          <w:bCs/>
          <w:iCs/>
        </w:rPr>
      </w:pPr>
      <w:r>
        <w:t>EGSO:</w:t>
      </w:r>
    </w:p>
    <w:p w:rsidRPr="006C6A1E" w:rsidR="006C6A1E" w:rsidP="006C6A1E" w:rsidRDefault="006C6A1E" w14:paraId="08AD54EB" w14:textId="77777777">
      <w:pPr>
        <w:overflowPunct w:val="0"/>
        <w:autoSpaceDE w:val="0"/>
        <w:autoSpaceDN w:val="0"/>
        <w:adjustRightInd w:val="0"/>
        <w:textAlignment w:val="baseline"/>
        <w:rPr>
          <w:bCs/>
          <w:iCs/>
        </w:rPr>
      </w:pPr>
    </w:p>
    <w:p w:rsidRPr="006C6A1E" w:rsidR="006C6A1E" w:rsidP="00CC4510"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prepoznaje izazove u prekograničnoj koordinaciji sustava socijalne sigurnosti, kao što su složenost birokratskih postupaka, ručni postupci i potreba da određeni dokumenti budu u fizičkom obliku te teškoće u njihovoj provjeri ili potvrđivanju, što otežava slobodno kretanje građana i poduzeća;</w:t>
      </w:r>
    </w:p>
    <w:p w:rsidRPr="006C6A1E" w:rsidR="006C6A1E" w:rsidP="00CC4510"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pozdravlja i u potpunosti podržava cilj Komisije da se digitalizacijom pojednostavi prekogranična koordinacija sustava socijalne sigurnosti i zdravstvene skrbi;</w:t>
      </w:r>
    </w:p>
    <w:p w:rsidRPr="006C6A1E" w:rsidR="006C6A1E" w:rsidP="00CC4510"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poziva na to da se odmah izradi sveobuhvatan akcijski plan za provedbu digitalizacije u koordinaciji sustava socijalne sigurnosti pristupom odozdo prema gore, istodobno naglašavajući da je važno uzeti u obzir potrebe institucija socijalne sigurnosti i dionika, uključujući građane, poslodavce, poduzeća i subjekte socijalne ekonomije;</w:t>
      </w:r>
    </w:p>
    <w:p w:rsidRPr="006C6A1E" w:rsidR="006C6A1E" w:rsidP="00CC4510"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t>poziva na to da se osmisle alternativna rješenja za one koji ne mogu koristiti elektronička sredstva ili koji su na drugi način digitalno isključeni. EGSO naglašava da bi digitalna identifikacija morala biti jedna od mogućnosti, a ne zahtjev, sve dok se ne utvrde odgovarajuće alternative kojima se poštuju relevantni standardi zaštite podataka;</w:t>
      </w:r>
    </w:p>
    <w:p w:rsidRPr="006C6A1E" w:rsidR="006C6A1E" w:rsidP="00CC4510"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t>smatra da samom digitalizacijom socijalne sigurnosti nećemo moći postići svoje ciljeve u pogledu uklanjanja prepreka slobodnom kretanju sve dok se ne dovrši reforma Uredbe 883/2004 o koordinaciji sustava socijalne sigurnosti;</w:t>
      </w:r>
    </w:p>
    <w:p w:rsidRPr="006C6A1E" w:rsidR="006C6A1E" w:rsidP="00CC4510"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t>predlaže stalnu razmjenu najboljih praksi među državama članicama u pogledu digitalizacije koordinacije sustava socijalne sigurnosti. Kako bi se to potaknulo i promicalo, EGSO predlaže da Europska komisija i Europsko nadzorno tijelo za rad organiziraju konferenciju na kojoj bi sudjelovali vlade i civilno društvo država članica.</w:t>
      </w:r>
    </w:p>
    <w:p w:rsidRPr="006C6A1E"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6C6A1E" w:rsidR="006C6A1E" w:rsidTr="00B05454" w14:paraId="4E6E4B82" w14:textId="77777777">
        <w:tc>
          <w:tcPr>
            <w:tcW w:w="1556" w:type="pct"/>
          </w:tcPr>
          <w:p w:rsidRPr="006C6A1E" w:rsidR="006C6A1E" w:rsidP="006C6A1E" w:rsidRDefault="006C6A1E" w14:paraId="10BE9558" w14:textId="77777777">
            <w:pPr>
              <w:overflowPunct w:val="0"/>
              <w:autoSpaceDE w:val="0"/>
              <w:autoSpaceDN w:val="0"/>
              <w:adjustRightInd w:val="0"/>
              <w:spacing w:line="240" w:lineRule="auto"/>
              <w:textAlignment w:val="baseline"/>
              <w:rPr>
                <w:i/>
              </w:rPr>
            </w:pPr>
            <w:r>
              <w:rPr>
                <w:b/>
                <w:i/>
              </w:rPr>
              <w:t>Kontakt:</w:t>
            </w:r>
          </w:p>
        </w:tc>
        <w:tc>
          <w:tcPr>
            <w:tcW w:w="3444" w:type="pct"/>
          </w:tcPr>
          <w:p w:rsidRPr="006C6A1E" w:rsidR="006C6A1E" w:rsidP="006C6A1E" w:rsidRDefault="006C6A1E" w14:paraId="7A73FAED" w14:textId="77777777">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6C6A1E" w:rsidR="006C6A1E" w:rsidTr="00B05454" w14:paraId="62915FF2" w14:textId="77777777">
        <w:tc>
          <w:tcPr>
            <w:tcW w:w="1556" w:type="pct"/>
          </w:tcPr>
          <w:p w:rsidRPr="006C6A1E" w:rsidR="006C6A1E" w:rsidP="006C6A1E" w:rsidRDefault="006C6A1E" w14:paraId="7853AC57" w14:textId="77777777">
            <w:pPr>
              <w:overflowPunct w:val="0"/>
              <w:autoSpaceDE w:val="0"/>
              <w:autoSpaceDN w:val="0"/>
              <w:adjustRightInd w:val="0"/>
              <w:spacing w:line="240" w:lineRule="auto"/>
              <w:textAlignment w:val="baseline"/>
              <w:rPr>
                <w:i/>
              </w:rPr>
            </w:pPr>
            <w:r>
              <w:rPr>
                <w:i/>
              </w:rPr>
              <w:t>Tel.:</w:t>
            </w:r>
          </w:p>
        </w:tc>
        <w:tc>
          <w:tcPr>
            <w:tcW w:w="3444" w:type="pct"/>
          </w:tcPr>
          <w:p w:rsidRPr="006C6A1E" w:rsidR="006C6A1E" w:rsidP="006C6A1E" w:rsidRDefault="006C6A1E" w14:paraId="3D0777F2" w14:textId="77777777">
            <w:pPr>
              <w:overflowPunct w:val="0"/>
              <w:autoSpaceDE w:val="0"/>
              <w:autoSpaceDN w:val="0"/>
              <w:adjustRightInd w:val="0"/>
              <w:spacing w:line="240" w:lineRule="auto"/>
              <w:textAlignment w:val="baseline"/>
              <w:rPr>
                <w:i/>
              </w:rPr>
            </w:pPr>
            <w:r>
              <w:rPr>
                <w:i/>
              </w:rPr>
              <w:t>+32 25469229</w:t>
            </w:r>
          </w:p>
        </w:tc>
      </w:tr>
      <w:tr w:rsidRPr="006C6A1E" w:rsidR="006C6A1E" w:rsidTr="00B05454" w14:paraId="400BD2E9" w14:textId="77777777">
        <w:tc>
          <w:tcPr>
            <w:tcW w:w="1556" w:type="pct"/>
          </w:tcPr>
          <w:p w:rsidRPr="006C6A1E" w:rsidR="006C6A1E" w:rsidP="006C6A1E" w:rsidRDefault="006C6A1E" w14:paraId="7E1AA95E" w14:textId="77777777">
            <w:pPr>
              <w:overflowPunct w:val="0"/>
              <w:autoSpaceDE w:val="0"/>
              <w:autoSpaceDN w:val="0"/>
              <w:adjustRightInd w:val="0"/>
              <w:spacing w:line="240" w:lineRule="auto"/>
              <w:textAlignment w:val="baseline"/>
              <w:rPr>
                <w:i/>
              </w:rPr>
            </w:pPr>
            <w:r>
              <w:rPr>
                <w:i/>
              </w:rPr>
              <w:t>E-pošta:</w:t>
            </w:r>
          </w:p>
        </w:tc>
        <w:tc>
          <w:tcPr>
            <w:tcW w:w="3444" w:type="pct"/>
          </w:tcPr>
          <w:p w:rsidRPr="006C6A1E" w:rsidR="006C6A1E" w:rsidP="006C6A1E" w:rsidRDefault="00125B84" w14:paraId="5FE06EE9" w14:textId="77777777">
            <w:pPr>
              <w:overflowPunct w:val="0"/>
              <w:autoSpaceDE w:val="0"/>
              <w:autoSpaceDN w:val="0"/>
              <w:adjustRightInd w:val="0"/>
              <w:spacing w:line="240" w:lineRule="auto"/>
              <w:textAlignment w:val="baseline"/>
              <w:rPr>
                <w:i/>
              </w:rPr>
            </w:pPr>
            <w:hyperlink w:history="1" r:id="rId26">
              <w:r w:rsidR="00FA138D">
                <w:rPr>
                  <w:i/>
                  <w:color w:val="0000FF"/>
                  <w:u w:val="single"/>
                </w:rPr>
                <w:t>Bartek.Bednarowicz@eesc.europa.eu</w:t>
              </w:r>
            </w:hyperlink>
          </w:p>
        </w:tc>
      </w:tr>
    </w:tbl>
    <w:p w:rsidR="006C6A1E" w:rsidP="006C6A1E" w:rsidRDefault="006C6A1E" w14:paraId="195525CA" w14:textId="777AE21F"/>
    <w:p w:rsidR="00280432" w:rsidRDefault="00280432" w14:paraId="1109D69A" w14:textId="77777777">
      <w:pPr>
        <w:spacing w:after="160" w:line="259" w:lineRule="auto"/>
        <w:jc w:val="left"/>
      </w:pPr>
      <w:r>
        <w:br w:type="page"/>
      </w:r>
    </w:p>
    <w:p w:rsidRPr="00EE6FEF" w:rsidR="00EE6FEF" w:rsidP="00EE6FEF" w:rsidRDefault="00125B84" w14:paraId="233F82BA" w14:textId="358528F6">
      <w:pPr>
        <w:widowControl w:val="0"/>
        <w:numPr>
          <w:ilvl w:val="0"/>
          <w:numId w:val="29"/>
        </w:numPr>
        <w:overflowPunct w:val="0"/>
        <w:autoSpaceDE w:val="0"/>
        <w:autoSpaceDN w:val="0"/>
        <w:adjustRightInd w:val="0"/>
        <w:ind w:hanging="567"/>
        <w:textAlignment w:val="baseline"/>
        <w:rPr>
          <w:b/>
        </w:rPr>
      </w:pPr>
      <w:hyperlink w:history="1" r:id="rId27">
        <w:r w:rsidR="00FA138D">
          <w:rPr>
            <w:b/>
            <w:i/>
            <w:color w:val="0000FF"/>
            <w:sz w:val="28"/>
            <w:u w:val="single"/>
          </w:rPr>
          <w:t>Jačanje civilnog dijaloga i participativne demokracije u EU-u: smjer za budućn</w:t>
        </w:r>
        <w:r w:rsidR="00FA138D">
          <w:rPr>
            <w:b/>
            <w:i/>
            <w:color w:val="0000FF"/>
            <w:sz w:val="28"/>
            <w:u w:val="single"/>
          </w:rPr>
          <w:t>o</w:t>
        </w:r>
        <w:r w:rsidR="00FA138D">
          <w:rPr>
            <w:b/>
            <w:i/>
            <w:color w:val="0000FF"/>
            <w:sz w:val="28"/>
            <w:u w:val="single"/>
          </w:rPr>
          <w:t>st</w:t>
        </w:r>
      </w:hyperlink>
    </w:p>
    <w:p w:rsidR="00EE6FEF" w:rsidP="00EE6FEF" w:rsidRDefault="00EE6FEF" w14:paraId="5686EDCA" w14:textId="2AAEC5B9">
      <w:pPr>
        <w:tabs>
          <w:tab w:val="center" w:pos="284"/>
        </w:tabs>
        <w:overflowPunct w:val="0"/>
        <w:autoSpaceDE w:val="0"/>
        <w:autoSpaceDN w:val="0"/>
        <w:adjustRightInd w:val="0"/>
        <w:ind w:left="567" w:hanging="567"/>
        <w:textAlignment w:val="baseline"/>
        <w:rPr>
          <w:sz w:val="16"/>
          <w:szCs w:val="16"/>
          <w:lang w:val="pt-PT"/>
        </w:rPr>
      </w:pPr>
    </w:p>
    <w:p w:rsidRPr="00EE6FEF" w:rsidR="00EE6FEF" w:rsidP="00EE6FEF" w:rsidRDefault="00EE6FEF" w14:paraId="0DE421BA"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20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7148"/>
      </w:tblGrid>
      <w:tr w:rsidRPr="00EE6FEF" w:rsidR="00EE6FEF" w:rsidTr="00462393" w14:paraId="7774CF3A" w14:textId="77777777">
        <w:tc>
          <w:tcPr>
            <w:tcW w:w="1060" w:type="pct"/>
          </w:tcPr>
          <w:p w:rsidRPr="00EE6FEF" w:rsidR="00EE6FEF" w:rsidP="00EE6FEF" w:rsidRDefault="00EE6FEF" w14:paraId="115D3E85" w14:textId="77777777">
            <w:pPr>
              <w:tabs>
                <w:tab w:val="center" w:pos="284"/>
              </w:tabs>
              <w:overflowPunct w:val="0"/>
              <w:autoSpaceDE w:val="0"/>
              <w:autoSpaceDN w:val="0"/>
              <w:adjustRightInd w:val="0"/>
              <w:ind w:left="567" w:hanging="567"/>
              <w:textAlignment w:val="baseline"/>
              <w:rPr>
                <w:b/>
              </w:rPr>
            </w:pPr>
            <w:r>
              <w:rPr>
                <w:b/>
              </w:rPr>
              <w:t>Izvjestitelj/</w:t>
            </w:r>
            <w:proofErr w:type="spellStart"/>
            <w:r>
              <w:rPr>
                <w:b/>
              </w:rPr>
              <w:t>ica</w:t>
            </w:r>
            <w:proofErr w:type="spellEnd"/>
            <w:r>
              <w:rPr>
                <w:b/>
              </w:rPr>
              <w:t>:</w:t>
            </w:r>
          </w:p>
          <w:p w:rsidRPr="00EE6FEF" w:rsidR="00EE6FEF" w:rsidP="00EE6FEF" w:rsidRDefault="00EE6FEF" w14:paraId="41342984" w14:textId="77777777">
            <w:pPr>
              <w:tabs>
                <w:tab w:val="center" w:pos="284"/>
              </w:tabs>
              <w:overflowPunct w:val="0"/>
              <w:autoSpaceDE w:val="0"/>
              <w:autoSpaceDN w:val="0"/>
              <w:adjustRightInd w:val="0"/>
              <w:ind w:left="567" w:hanging="567"/>
              <w:textAlignment w:val="baseline"/>
              <w:rPr>
                <w:b/>
              </w:rPr>
            </w:pPr>
            <w:r>
              <w:rPr>
                <w:b/>
              </w:rPr>
              <w:t>Suizvjestitelj/</w:t>
            </w:r>
            <w:proofErr w:type="spellStart"/>
            <w:r>
              <w:rPr>
                <w:b/>
              </w:rPr>
              <w:t>ica</w:t>
            </w:r>
            <w:proofErr w:type="spellEnd"/>
            <w:r>
              <w:rPr>
                <w:b/>
              </w:rPr>
              <w:t>:</w:t>
            </w:r>
          </w:p>
        </w:tc>
        <w:tc>
          <w:tcPr>
            <w:tcW w:w="3940" w:type="pct"/>
          </w:tcPr>
          <w:p w:rsidRPr="00EE6FEF" w:rsidR="00EE6FEF" w:rsidP="00EE6FEF" w:rsidRDefault="00EE6FEF" w14:paraId="09298572" w14:textId="1E4C99CC">
            <w:pPr>
              <w:overflowPunct w:val="0"/>
              <w:autoSpaceDE w:val="0"/>
              <w:autoSpaceDN w:val="0"/>
              <w:adjustRightInd w:val="0"/>
              <w:ind w:left="567" w:hanging="567"/>
              <w:textAlignment w:val="baseline"/>
            </w:pPr>
            <w:r>
              <w:t>Pietro Vittorio Barbieri (Skupina organizacija civilnog društva – IT)</w:t>
            </w:r>
          </w:p>
          <w:p w:rsidR="00EE6FEF" w:rsidP="00EE6FEF" w:rsidRDefault="00EE6FEF" w14:paraId="440A5CB9" w14:textId="50813251">
            <w:pPr>
              <w:tabs>
                <w:tab w:val="center" w:pos="284"/>
              </w:tabs>
              <w:overflowPunct w:val="0"/>
              <w:autoSpaceDE w:val="0"/>
              <w:autoSpaceDN w:val="0"/>
              <w:adjustRightInd w:val="0"/>
              <w:ind w:left="567" w:hanging="567"/>
              <w:textAlignment w:val="baseline"/>
            </w:pPr>
            <w:r>
              <w:t xml:space="preserve">Miranda </w:t>
            </w:r>
            <w:proofErr w:type="spellStart"/>
            <w:r>
              <w:t>Ulens</w:t>
            </w:r>
            <w:proofErr w:type="spellEnd"/>
            <w:r>
              <w:t xml:space="preserve"> (Skupina radnika – BE)</w:t>
            </w:r>
          </w:p>
          <w:p w:rsidRPr="00EE6FEF" w:rsidR="00734081" w:rsidP="00EE6FEF" w:rsidRDefault="00734081" w14:paraId="18F12DC0" w14:textId="6E440F43">
            <w:pPr>
              <w:tabs>
                <w:tab w:val="center" w:pos="284"/>
              </w:tabs>
              <w:overflowPunct w:val="0"/>
              <w:autoSpaceDE w:val="0"/>
              <w:autoSpaceDN w:val="0"/>
              <w:adjustRightInd w:val="0"/>
              <w:ind w:left="567" w:hanging="567"/>
              <w:textAlignment w:val="baseline"/>
              <w:rPr>
                <w:lang w:val="es-ES"/>
              </w:rPr>
            </w:pPr>
          </w:p>
        </w:tc>
      </w:tr>
      <w:tr w:rsidRPr="00EE6FEF" w:rsidR="00EE6FEF" w:rsidTr="00462393" w14:paraId="6999DE5D" w14:textId="77777777">
        <w:tc>
          <w:tcPr>
            <w:tcW w:w="1060" w:type="pct"/>
            <w:vMerge w:val="restart"/>
          </w:tcPr>
          <w:p w:rsidRPr="00EE6FEF" w:rsidR="00EE6FEF" w:rsidP="00462393" w:rsidRDefault="00EE6FEF" w14:paraId="573ED1EA" w14:textId="77777777">
            <w:pPr>
              <w:tabs>
                <w:tab w:val="center" w:pos="284"/>
              </w:tabs>
              <w:overflowPunct w:val="0"/>
              <w:autoSpaceDE w:val="0"/>
              <w:autoSpaceDN w:val="0"/>
              <w:adjustRightInd w:val="0"/>
              <w:ind w:firstLine="34"/>
              <w:textAlignment w:val="baseline"/>
              <w:rPr>
                <w:b/>
              </w:rPr>
            </w:pPr>
            <w:r>
              <w:rPr>
                <w:b/>
              </w:rPr>
              <w:t>Referentni dokument/i:</w:t>
            </w:r>
          </w:p>
        </w:tc>
        <w:tc>
          <w:tcPr>
            <w:tcW w:w="3940" w:type="pct"/>
          </w:tcPr>
          <w:p w:rsidR="00734081" w:rsidP="00EE6FEF" w:rsidRDefault="00734081" w14:paraId="35FF71C6" w14:textId="62F6C7E5">
            <w:pPr>
              <w:tabs>
                <w:tab w:val="center" w:pos="284"/>
              </w:tabs>
              <w:overflowPunct w:val="0"/>
              <w:autoSpaceDE w:val="0"/>
              <w:autoSpaceDN w:val="0"/>
              <w:adjustRightInd w:val="0"/>
              <w:ind w:left="567" w:hanging="567"/>
              <w:textAlignment w:val="baseline"/>
            </w:pPr>
            <w:proofErr w:type="spellStart"/>
            <w:r>
              <w:t>Razmatračko</w:t>
            </w:r>
            <w:proofErr w:type="spellEnd"/>
            <w:r>
              <w:t xml:space="preserve"> mišljenje na zahtjev belgijskog predsjedništva Vijeća EU-a</w:t>
            </w:r>
          </w:p>
          <w:p w:rsidRPr="00EE6FEF" w:rsidR="00EE6FEF" w:rsidP="00EE6FEF" w:rsidRDefault="00EE6FEF" w14:paraId="2007E2F0" w14:textId="5C9407E3">
            <w:pPr>
              <w:tabs>
                <w:tab w:val="center" w:pos="284"/>
              </w:tabs>
              <w:overflowPunct w:val="0"/>
              <w:autoSpaceDE w:val="0"/>
              <w:autoSpaceDN w:val="0"/>
              <w:adjustRightInd w:val="0"/>
              <w:ind w:left="567" w:hanging="567"/>
              <w:textAlignment w:val="baseline"/>
            </w:pPr>
            <w:r>
              <w:t>EESC-2023-03879-00-00-AC</w:t>
            </w:r>
          </w:p>
        </w:tc>
      </w:tr>
      <w:tr w:rsidRPr="00EE6FEF" w:rsidR="00EE6FEF" w:rsidTr="00462393" w14:paraId="03305879" w14:textId="77777777">
        <w:tc>
          <w:tcPr>
            <w:tcW w:w="1060" w:type="pct"/>
            <w:vMerge/>
          </w:tcPr>
          <w:p w:rsidRPr="00EE6FEF" w:rsidR="00EE6FEF" w:rsidP="00EE6FEF" w:rsidRDefault="00EE6FEF" w14:paraId="4EF47312" w14:textId="77777777">
            <w:pPr>
              <w:tabs>
                <w:tab w:val="center" w:pos="284"/>
              </w:tabs>
              <w:overflowPunct w:val="0"/>
              <w:autoSpaceDE w:val="0"/>
              <w:autoSpaceDN w:val="0"/>
              <w:adjustRightInd w:val="0"/>
              <w:ind w:left="266" w:hanging="266"/>
              <w:textAlignment w:val="baseline"/>
              <w:rPr>
                <w:b/>
                <w:lang w:val="pt-PT"/>
              </w:rPr>
            </w:pPr>
          </w:p>
        </w:tc>
        <w:tc>
          <w:tcPr>
            <w:tcW w:w="3940" w:type="pct"/>
          </w:tcPr>
          <w:p w:rsidRPr="00EE6FEF"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lang w:val="pt-PT"/>
              </w:rPr>
            </w:pPr>
          </w:p>
        </w:tc>
      </w:tr>
    </w:tbl>
    <w:p w:rsidRPr="00EE6FEF" w:rsidR="00EE6FEF" w:rsidP="00CC4510" w:rsidRDefault="00EE6FEF" w14:paraId="70BED30D" w14:textId="77777777">
      <w:pPr>
        <w:keepNext/>
        <w:keepLines/>
        <w:tabs>
          <w:tab w:val="center" w:pos="284"/>
        </w:tabs>
        <w:overflowPunct w:val="0"/>
        <w:autoSpaceDE w:val="0"/>
        <w:autoSpaceDN w:val="0"/>
        <w:adjustRightInd w:val="0"/>
        <w:ind w:left="266" w:hanging="124"/>
        <w:textAlignment w:val="baseline"/>
        <w:rPr>
          <w:b/>
        </w:rPr>
      </w:pPr>
      <w:r>
        <w:rPr>
          <w:b/>
        </w:rPr>
        <w:t>Ključne točke</w:t>
      </w:r>
    </w:p>
    <w:p w:rsidRPr="00EE6FEF" w:rsidR="00EE6FEF" w:rsidP="00EE6FEF" w:rsidRDefault="00EE6FEF" w14:paraId="63B3834C" w14:textId="77777777">
      <w:pPr>
        <w:overflowPunct w:val="0"/>
        <w:autoSpaceDE w:val="0"/>
        <w:autoSpaceDN w:val="0"/>
        <w:adjustRightInd w:val="0"/>
        <w:textAlignment w:val="baseline"/>
        <w:rPr>
          <w:szCs w:val="20"/>
        </w:rPr>
      </w:pPr>
    </w:p>
    <w:p w:rsidR="00EE6FEF" w:rsidP="00EE6FEF" w:rsidRDefault="00EE6FEF" w14:paraId="78C0E8D3" w14:textId="3BEEDDA7">
      <w:pPr>
        <w:overflowPunct w:val="0"/>
        <w:autoSpaceDE w:val="0"/>
        <w:autoSpaceDN w:val="0"/>
        <w:adjustRightInd w:val="0"/>
        <w:ind w:firstLine="142"/>
        <w:textAlignment w:val="baseline"/>
        <w:rPr>
          <w:szCs w:val="20"/>
        </w:rPr>
      </w:pPr>
      <w:r>
        <w:t>EGSO:</w:t>
      </w:r>
    </w:p>
    <w:p w:rsidRPr="00EE6FEF" w:rsidR="00EE6FEF" w:rsidP="00CC4510"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pPr>
      <w:r>
        <w:t>ističe da provedba članka 11. UEU-a, u okviru daljnjeg postupanja nakon Konferencije o budućnosti Europe, uz istodobno jačanje uloge EGSO-a, može dovesti do djelotvornijih politika. Podržava preporuku Konferencije o budućnosti Europe o razvoju dodatnih instrumenata participativne demokracije. Nekoliko preporuka uključuje izgradnju povoljnog okvira za građanski dijalog te se prepoznaje uloga EGSO-a, među ostalim kao potencijalnog istinskog središta panelâ građana i građanki. Posebnu ulogu organizacija socijalnih partnera trebalo bi u potpunosti poštovati u strukturama i procesima socijalnog dijaloga, pri čemu je građanski dijalog zaseban proces;</w:t>
      </w:r>
    </w:p>
    <w:p w:rsidRPr="00EE6FEF" w:rsidR="00EE6FEF" w:rsidP="00CC4510" w:rsidRDefault="00EE6FEF" w14:paraId="6DB1C493" w14:textId="77777777">
      <w:pPr>
        <w:numPr>
          <w:ilvl w:val="0"/>
          <w:numId w:val="31"/>
        </w:numPr>
        <w:overflowPunct w:val="0"/>
        <w:autoSpaceDE w:val="0"/>
        <w:autoSpaceDN w:val="0"/>
        <w:adjustRightInd w:val="0"/>
        <w:spacing w:after="200" w:line="276" w:lineRule="auto"/>
        <w:ind w:left="284" w:hanging="284"/>
        <w:contextualSpacing/>
        <w:textAlignment w:val="baseline"/>
      </w:pPr>
      <w:r>
        <w:t xml:space="preserve">kao prvi korak poziva na izradu strategije za civilni dijalog koja bi rezultirala akcijskim planom. Jedan od stupova tog plana mogao bi biti dio paketa mjera za obranu demokracije u Europi. Usto bi se u planu moglo razmatrati donošenje </w:t>
      </w:r>
      <w:proofErr w:type="spellStart"/>
      <w:r>
        <w:t>međuinstitucijskog</w:t>
      </w:r>
      <w:proofErr w:type="spellEnd"/>
      <w:r>
        <w:t xml:space="preserve"> sporazuma među institucijama EU-a u kojem bi se utvrdile mjere i s njima povezani resursi koji bi se iskoristili u tu svrhu. Izradu tog plana mogao bi voditi bi EGSO uz sudjelovanje mreža civilnog društva na razini EU-a;</w:t>
      </w:r>
    </w:p>
    <w:p w:rsidRPr="00EE6FEF" w:rsidR="00EE6FEF" w:rsidP="00CC4510"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pPr>
      <w:r>
        <w:t>zalaže se da se uloga odgovornih osoba u različitim institucijama ojača kako bi članak 11. UEU-a bio djelotvoran te da se u svim institucijama EU-a primjenjuju određeni standardi, kao što su značaj građanskog dijaloga, dijeljenje političkog programa i prioriteta, uključivanje ranjivih skupina itd.;</w:t>
      </w:r>
    </w:p>
    <w:p w:rsidRPr="00EE6FEF" w:rsidR="00EE6FEF" w:rsidP="00CC4510"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pPr>
      <w:r>
        <w:t>poziva na izradu godišnjeg pregleda stanja civilnog dijaloga (ili prostora za građansko djelovanje) o doprinosu organizacija civilnog društva postupcima savjetovanja uz obrazloženje o tome je li njihov doprinos uzet u obzir. Ocjenjivanje učinka uz pomoć godišnjeg pregleda stanja omogućilo bi da se dvaput godišnje izrađuje izvješće o civilnom dijalogu u kojem bi se pratili uspjesi i neuspjesi suradnje EU-a s civilnim društvom općenito i ocjenjivalo stanje civilnog dijaloga i djelotvornost organizacija civilnog društva;</w:t>
      </w:r>
    </w:p>
    <w:p w:rsidRPr="00EE6FEF" w:rsidR="00EE6FEF" w:rsidP="00CC4510" w:rsidRDefault="00EE6FEF" w14:paraId="50548E2B" w14:textId="77777777">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rPr>
      </w:pPr>
      <w:r>
        <w:t>ponovno ističe da EGSO mora biti u središtu procesa jačanja participativne demokracije u europskim institucijama i među njima te predlaže da se uloga EGSO-a prilagodi kako bi mu se u njegovu savjetodavnom radu omogućilo eksperimentiranje s nizom participativnih instrumenata, kao što su paneli građana. Time bi se naglasio poseban status EGSO-a kao institucionalnog zaštitnika savjetovanja s civilnim društvom i dijaloga s civilnim društvom općenito;</w:t>
      </w:r>
    </w:p>
    <w:p w:rsidRPr="00EE6FEF" w:rsidR="00EE6FEF" w:rsidP="00CC4510"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pPr>
      <w:r>
        <w:t>smatra da se organizacije civilnog društva moraju temeljiti na unutarnjoj demokraciji, autonomiji i transparentnosti i biti neprofitni model u službi općeg i specifičnog interesa svojih članova i članica, te stoga moraju biti legitimne i reprezentativne. Stoga poziva na uspostavu akreditacijskog mehanizma na temelju prethodno navedenih načela.</w:t>
      </w:r>
    </w:p>
    <w:p w:rsidRPr="00EE6FEF" w:rsidR="00EE6FEF" w:rsidP="00CC4510"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5"/>
        <w:gridCol w:w="7146"/>
      </w:tblGrid>
      <w:tr w:rsidRPr="003F6640" w:rsidR="00EE6FEF" w:rsidTr="00462393" w14:paraId="141D7495" w14:textId="77777777">
        <w:tc>
          <w:tcPr>
            <w:tcW w:w="1061" w:type="pct"/>
          </w:tcPr>
          <w:p w:rsidRPr="003F6640" w:rsidR="00EE6FEF" w:rsidP="00A838DE" w:rsidRDefault="00EE6FEF" w14:paraId="41ABC0CE" w14:textId="77777777">
            <w:pPr>
              <w:keepNext/>
              <w:keepLines/>
              <w:overflowPunct w:val="0"/>
              <w:autoSpaceDE w:val="0"/>
              <w:autoSpaceDN w:val="0"/>
              <w:adjustRightInd w:val="0"/>
              <w:spacing w:line="240" w:lineRule="auto"/>
              <w:textAlignment w:val="baseline"/>
              <w:rPr>
                <w:i/>
              </w:rPr>
            </w:pPr>
            <w:r>
              <w:rPr>
                <w:b/>
                <w:i/>
              </w:rPr>
              <w:t>Kontakt:</w:t>
            </w:r>
          </w:p>
        </w:tc>
        <w:tc>
          <w:tcPr>
            <w:tcW w:w="3939" w:type="pct"/>
          </w:tcPr>
          <w:p w:rsidRPr="003F6640" w:rsidR="00EE6FEF" w:rsidP="00A838DE" w:rsidRDefault="00EE6FEF" w14:paraId="751079CC" w14:textId="77777777">
            <w:pPr>
              <w:keepNext/>
              <w:keepLines/>
              <w:overflowPunct w:val="0"/>
              <w:autoSpaceDE w:val="0"/>
              <w:autoSpaceDN w:val="0"/>
              <w:adjustRightInd w:val="0"/>
              <w:spacing w:line="240" w:lineRule="auto"/>
              <w:ind w:hanging="12"/>
              <w:textAlignment w:val="baseline"/>
              <w:rPr>
                <w:i/>
              </w:rPr>
            </w:pPr>
            <w:r>
              <w:rPr>
                <w:i/>
              </w:rPr>
              <w:t xml:space="preserve">June </w:t>
            </w:r>
            <w:proofErr w:type="spellStart"/>
            <w:r>
              <w:rPr>
                <w:i/>
              </w:rPr>
              <w:t>Bedaton</w:t>
            </w:r>
            <w:proofErr w:type="spellEnd"/>
          </w:p>
        </w:tc>
      </w:tr>
      <w:tr w:rsidRPr="003F6640" w:rsidR="00EE6FEF" w:rsidTr="00462393" w14:paraId="4927775D" w14:textId="77777777">
        <w:tc>
          <w:tcPr>
            <w:tcW w:w="1061" w:type="pct"/>
          </w:tcPr>
          <w:p w:rsidRPr="003F6640" w:rsidR="00EE6FEF" w:rsidP="00A838DE" w:rsidRDefault="00EE6FEF" w14:paraId="490E3A24" w14:textId="77777777">
            <w:pPr>
              <w:keepNext/>
              <w:keepLines/>
              <w:overflowPunct w:val="0"/>
              <w:autoSpaceDE w:val="0"/>
              <w:autoSpaceDN w:val="0"/>
              <w:adjustRightInd w:val="0"/>
              <w:spacing w:line="240" w:lineRule="auto"/>
              <w:textAlignment w:val="baseline"/>
              <w:rPr>
                <w:i/>
              </w:rPr>
            </w:pPr>
            <w:r>
              <w:rPr>
                <w:i/>
              </w:rPr>
              <w:t>Tel.:</w:t>
            </w:r>
          </w:p>
        </w:tc>
        <w:tc>
          <w:tcPr>
            <w:tcW w:w="3939" w:type="pct"/>
          </w:tcPr>
          <w:p w:rsidRPr="003F6640" w:rsidR="00EE6FEF" w:rsidP="00A838DE" w:rsidRDefault="00EE6FEF" w14:paraId="41D951E4" w14:textId="77777777">
            <w:pPr>
              <w:keepNext/>
              <w:keepLines/>
              <w:overflowPunct w:val="0"/>
              <w:autoSpaceDE w:val="0"/>
              <w:autoSpaceDN w:val="0"/>
              <w:adjustRightInd w:val="0"/>
              <w:spacing w:line="240" w:lineRule="auto"/>
              <w:textAlignment w:val="baseline"/>
              <w:rPr>
                <w:i/>
              </w:rPr>
            </w:pPr>
            <w:r>
              <w:rPr>
                <w:i/>
              </w:rPr>
              <w:t>+32 25468134</w:t>
            </w:r>
          </w:p>
        </w:tc>
      </w:tr>
      <w:tr w:rsidRPr="003F6640" w:rsidR="00EE6FEF" w:rsidTr="00462393" w14:paraId="4358DB5A" w14:textId="77777777">
        <w:tc>
          <w:tcPr>
            <w:tcW w:w="1061" w:type="pct"/>
          </w:tcPr>
          <w:p w:rsidRPr="003F6640" w:rsidR="00EE6FEF" w:rsidP="00EE6FEF" w:rsidRDefault="00EE6FEF" w14:paraId="0A1AF4F8" w14:textId="77777777">
            <w:pPr>
              <w:overflowPunct w:val="0"/>
              <w:autoSpaceDE w:val="0"/>
              <w:autoSpaceDN w:val="0"/>
              <w:adjustRightInd w:val="0"/>
              <w:spacing w:line="240" w:lineRule="auto"/>
              <w:textAlignment w:val="baseline"/>
              <w:rPr>
                <w:i/>
              </w:rPr>
            </w:pPr>
            <w:r>
              <w:rPr>
                <w:i/>
              </w:rPr>
              <w:t>E-pošta:</w:t>
            </w:r>
          </w:p>
        </w:tc>
        <w:tc>
          <w:tcPr>
            <w:tcW w:w="3939" w:type="pct"/>
          </w:tcPr>
          <w:p w:rsidRPr="003F6640" w:rsidR="00EE6FEF" w:rsidP="00EE6FEF" w:rsidRDefault="00125B84" w14:paraId="47347AD3" w14:textId="77777777">
            <w:pPr>
              <w:overflowPunct w:val="0"/>
              <w:autoSpaceDE w:val="0"/>
              <w:autoSpaceDN w:val="0"/>
              <w:adjustRightInd w:val="0"/>
              <w:spacing w:line="240" w:lineRule="auto"/>
              <w:textAlignment w:val="baseline"/>
              <w:rPr>
                <w:i/>
              </w:rPr>
            </w:pPr>
            <w:hyperlink w:history="1" r:id="rId28">
              <w:r w:rsidR="00FA138D">
                <w:rPr>
                  <w:i/>
                  <w:color w:val="0000FF"/>
                  <w:u w:val="single"/>
                </w:rPr>
                <w:t>June.Bedaton@eesc.europa.eu</w:t>
              </w:r>
            </w:hyperlink>
          </w:p>
        </w:tc>
      </w:tr>
    </w:tbl>
    <w:p w:rsidRPr="00D6423D" w:rsidR="005A67F3" w:rsidP="00234EA0" w:rsidRDefault="004C3902" w14:paraId="3792A077" w14:textId="3F1CFB67">
      <w:pPr>
        <w:pStyle w:val="Heading1"/>
        <w:ind w:hanging="928"/>
        <w:rPr>
          <w:b/>
          <w:bCs/>
        </w:rPr>
      </w:pPr>
      <w:bookmarkStart w:name="_Toc160783951" w:id="28"/>
      <w:r>
        <w:rPr>
          <w:b/>
        </w:rPr>
        <w:lastRenderedPageBreak/>
        <w:t>JEDINSTVENO TRŽIŠTE, PROIZVODNJA I POTROŠNJA</w:t>
      </w:r>
      <w:bookmarkEnd w:id="26"/>
      <w:bookmarkEnd w:id="28"/>
    </w:p>
    <w:p w:rsidRPr="00094B6B" w:rsidR="004C3902" w:rsidP="00775FC4" w:rsidRDefault="004C3902" w14:paraId="51590E30" w14:textId="7D4E8C1F">
      <w:pPr>
        <w:keepNext/>
        <w:keepLines/>
        <w:jc w:val="left"/>
        <w:rPr>
          <w:b/>
          <w:iCs/>
        </w:rPr>
      </w:pPr>
    </w:p>
    <w:p w:rsidRPr="00115BBC" w:rsidR="00115BBC" w:rsidP="00CC4510" w:rsidRDefault="00125B84" w14:paraId="331C902E" w14:textId="22AAD788">
      <w:pPr>
        <w:widowControl w:val="0"/>
        <w:numPr>
          <w:ilvl w:val="0"/>
          <w:numId w:val="4"/>
        </w:numPr>
        <w:overflowPunct w:val="0"/>
        <w:autoSpaceDE w:val="0"/>
        <w:autoSpaceDN w:val="0"/>
        <w:adjustRightInd w:val="0"/>
        <w:ind w:left="720" w:hanging="720"/>
        <w:textAlignment w:val="baseline"/>
        <w:rPr>
          <w:b/>
        </w:rPr>
      </w:pPr>
      <w:hyperlink w:history="1" r:id="rId29">
        <w:r w:rsidR="00FA138D">
          <w:rPr>
            <w:b/>
            <w:i/>
            <w:color w:val="0000FF"/>
            <w:sz w:val="28"/>
            <w:u w:val="single"/>
          </w:rPr>
          <w:t>Alternativno rješavanje sporova</w:t>
        </w:r>
      </w:hyperlink>
    </w:p>
    <w:p w:rsidRPr="00115BBC" w:rsidR="00115BBC" w:rsidP="00115BBC" w:rsidRDefault="00115BBC" w14:paraId="69D406FB" w14:textId="77777777">
      <w:pPr>
        <w:widowControl w:val="0"/>
        <w:overflowPunct w:val="0"/>
        <w:autoSpaceDE w:val="0"/>
        <w:autoSpaceDN w:val="0"/>
        <w:adjustRightInd w:val="0"/>
        <w:ind w:left="567"/>
        <w:textAlignment w:val="baseline"/>
        <w:rPr>
          <w:b/>
          <w:highlight w:val="yellow"/>
        </w:rPr>
      </w:pPr>
    </w:p>
    <w:tbl>
      <w:tblPr>
        <w:tblStyle w:val="TableGrid200"/>
        <w:tblW w:w="517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4"/>
        <w:gridCol w:w="7535"/>
      </w:tblGrid>
      <w:tr w:rsidRPr="00115BBC" w:rsidR="00115BBC" w:rsidTr="00462393" w14:paraId="5FCB07DF" w14:textId="77777777">
        <w:trPr>
          <w:trHeight w:val="265"/>
        </w:trPr>
        <w:tc>
          <w:tcPr>
            <w:tcW w:w="983" w:type="pct"/>
          </w:tcPr>
          <w:p w:rsidRPr="00115BBC" w:rsidR="00115BBC" w:rsidP="00462393" w:rsidRDefault="00115BBC" w14:paraId="061CB5F6" w14:textId="77777777">
            <w:pPr>
              <w:tabs>
                <w:tab w:val="center" w:pos="0"/>
              </w:tabs>
              <w:overflowPunct w:val="0"/>
              <w:autoSpaceDE w:val="0"/>
              <w:autoSpaceDN w:val="0"/>
              <w:adjustRightInd w:val="0"/>
              <w:textAlignment w:val="baseline"/>
              <w:rPr>
                <w:b/>
                <w:highlight w:val="yellow"/>
              </w:rPr>
            </w:pPr>
            <w:r>
              <w:rPr>
                <w:b/>
              </w:rPr>
              <w:t>Izvjestitelj/</w:t>
            </w:r>
            <w:proofErr w:type="spellStart"/>
            <w:r>
              <w:rPr>
                <w:b/>
              </w:rPr>
              <w:t>ica</w:t>
            </w:r>
            <w:proofErr w:type="spellEnd"/>
            <w:r>
              <w:rPr>
                <w:b/>
              </w:rPr>
              <w:t>:</w:t>
            </w:r>
          </w:p>
        </w:tc>
        <w:tc>
          <w:tcPr>
            <w:tcW w:w="4017" w:type="pct"/>
          </w:tcPr>
          <w:p w:rsidRPr="00115BBC" w:rsidR="00115BBC" w:rsidP="00462393" w:rsidRDefault="00115BBC" w14:paraId="167D4BA0" w14:textId="249DC758">
            <w:pPr>
              <w:tabs>
                <w:tab w:val="center" w:pos="0"/>
              </w:tabs>
              <w:overflowPunct w:val="0"/>
              <w:autoSpaceDE w:val="0"/>
              <w:autoSpaceDN w:val="0"/>
              <w:adjustRightInd w:val="0"/>
              <w:ind w:firstLine="29"/>
              <w:textAlignment w:val="baseline"/>
              <w:rPr>
                <w:highlight w:val="yellow"/>
              </w:rPr>
            </w:pPr>
            <w:proofErr w:type="spellStart"/>
            <w:r>
              <w:t>Wautier</w:t>
            </w:r>
            <w:proofErr w:type="spellEnd"/>
            <w:r>
              <w:t xml:space="preserve"> ROBYNS DE SCHNEIDAUER (Skupina poslodavaca – BE)</w:t>
            </w:r>
          </w:p>
        </w:tc>
      </w:tr>
      <w:tr w:rsidRPr="00115BBC" w:rsidR="00115BBC" w:rsidTr="00462393" w14:paraId="296C346B" w14:textId="77777777">
        <w:trPr>
          <w:trHeight w:val="265"/>
        </w:trPr>
        <w:tc>
          <w:tcPr>
            <w:tcW w:w="983" w:type="pct"/>
          </w:tcPr>
          <w:p w:rsidRPr="00115BBC" w:rsidR="00115BBC" w:rsidP="00115BBC" w:rsidRDefault="00115BBC" w14:paraId="0AF9F28C" w14:textId="77777777">
            <w:pPr>
              <w:tabs>
                <w:tab w:val="center" w:pos="284"/>
              </w:tabs>
              <w:overflowPunct w:val="0"/>
              <w:autoSpaceDE w:val="0"/>
              <w:autoSpaceDN w:val="0"/>
              <w:adjustRightInd w:val="0"/>
              <w:ind w:left="266" w:hanging="408"/>
              <w:textAlignment w:val="baseline"/>
              <w:rPr>
                <w:b/>
                <w:highlight w:val="yellow"/>
              </w:rPr>
            </w:pPr>
          </w:p>
        </w:tc>
        <w:tc>
          <w:tcPr>
            <w:tcW w:w="4017" w:type="pct"/>
          </w:tcPr>
          <w:p w:rsidRPr="00115BBC" w:rsidR="00115BBC" w:rsidP="00462393" w:rsidRDefault="00115BBC" w14:paraId="31DA93FE" w14:textId="77777777">
            <w:pPr>
              <w:tabs>
                <w:tab w:val="center" w:pos="0"/>
              </w:tabs>
              <w:overflowPunct w:val="0"/>
              <w:autoSpaceDE w:val="0"/>
              <w:autoSpaceDN w:val="0"/>
              <w:adjustRightInd w:val="0"/>
              <w:ind w:firstLine="29"/>
              <w:textAlignment w:val="baseline"/>
              <w:rPr>
                <w:highlight w:val="yellow"/>
              </w:rPr>
            </w:pPr>
          </w:p>
        </w:tc>
      </w:tr>
      <w:tr w:rsidRPr="00115BBC" w:rsidR="00115BBC" w:rsidTr="00462393" w14:paraId="05E2FC21" w14:textId="77777777">
        <w:trPr>
          <w:trHeight w:val="289"/>
        </w:trPr>
        <w:tc>
          <w:tcPr>
            <w:tcW w:w="983" w:type="pct"/>
            <w:vMerge w:val="restart"/>
          </w:tcPr>
          <w:p w:rsidRPr="00115BBC" w:rsidR="00115BBC" w:rsidP="00462393" w:rsidRDefault="00115BBC" w14:paraId="3723A8BD" w14:textId="77777777">
            <w:pPr>
              <w:tabs>
                <w:tab w:val="center" w:pos="0"/>
              </w:tabs>
              <w:overflowPunct w:val="0"/>
              <w:autoSpaceDE w:val="0"/>
              <w:autoSpaceDN w:val="0"/>
              <w:adjustRightInd w:val="0"/>
              <w:textAlignment w:val="baseline"/>
              <w:rPr>
                <w:b/>
              </w:rPr>
            </w:pPr>
            <w:r>
              <w:rPr>
                <w:b/>
              </w:rPr>
              <w:t>Referentni dokument/i:</w:t>
            </w:r>
          </w:p>
        </w:tc>
        <w:tc>
          <w:tcPr>
            <w:tcW w:w="4017" w:type="pct"/>
          </w:tcPr>
          <w:p w:rsidRPr="00115BBC" w:rsidR="00115BBC" w:rsidP="00462393" w:rsidRDefault="00115BBC" w14:paraId="6E0D3984" w14:textId="53F54A94">
            <w:pPr>
              <w:tabs>
                <w:tab w:val="center" w:pos="-80"/>
                <w:tab w:val="center" w:pos="0"/>
              </w:tabs>
              <w:overflowPunct w:val="0"/>
              <w:autoSpaceDE w:val="0"/>
              <w:autoSpaceDN w:val="0"/>
              <w:adjustRightInd w:val="0"/>
              <w:ind w:firstLine="29"/>
              <w:textAlignment w:val="baseline"/>
            </w:pPr>
            <w:r>
              <w:t xml:space="preserve">COM(2023) 647 </w:t>
            </w:r>
            <w:proofErr w:type="spellStart"/>
            <w:r>
              <w:t>final</w:t>
            </w:r>
            <w:proofErr w:type="spellEnd"/>
            <w:r>
              <w:t xml:space="preserve"> </w:t>
            </w:r>
          </w:p>
          <w:p w:rsidRPr="00115BBC" w:rsidR="00115BBC" w:rsidP="00462393" w:rsidRDefault="00115BBC" w14:paraId="0C647B83" w14:textId="65F68049">
            <w:pPr>
              <w:tabs>
                <w:tab w:val="center" w:pos="0"/>
              </w:tabs>
              <w:overflowPunct w:val="0"/>
              <w:autoSpaceDE w:val="0"/>
              <w:autoSpaceDN w:val="0"/>
              <w:adjustRightInd w:val="0"/>
              <w:ind w:firstLine="29"/>
              <w:textAlignment w:val="baseline"/>
            </w:pPr>
            <w:r>
              <w:t xml:space="preserve">COM(2023) 649 </w:t>
            </w:r>
            <w:proofErr w:type="spellStart"/>
            <w:r>
              <w:t>final</w:t>
            </w:r>
            <w:proofErr w:type="spellEnd"/>
          </w:p>
        </w:tc>
      </w:tr>
      <w:tr w:rsidRPr="00115BBC" w:rsidR="00115BBC" w:rsidTr="00462393" w14:paraId="17336284" w14:textId="77777777">
        <w:trPr>
          <w:trHeight w:val="289"/>
        </w:trPr>
        <w:tc>
          <w:tcPr>
            <w:tcW w:w="983" w:type="pct"/>
            <w:vMerge/>
          </w:tcPr>
          <w:p w:rsidRPr="00115BBC" w:rsidR="00115BBC" w:rsidP="00115BBC" w:rsidRDefault="00115BBC" w14:paraId="6FEF1F8E" w14:textId="77777777">
            <w:pPr>
              <w:tabs>
                <w:tab w:val="center" w:pos="284"/>
              </w:tabs>
              <w:overflowPunct w:val="0"/>
              <w:autoSpaceDE w:val="0"/>
              <w:autoSpaceDN w:val="0"/>
              <w:adjustRightInd w:val="0"/>
              <w:ind w:left="266" w:hanging="408"/>
              <w:textAlignment w:val="baseline"/>
              <w:rPr>
                <w:b/>
              </w:rPr>
            </w:pPr>
          </w:p>
        </w:tc>
        <w:tc>
          <w:tcPr>
            <w:tcW w:w="4017" w:type="pct"/>
          </w:tcPr>
          <w:p w:rsidRPr="00115BBC" w:rsidR="00115BBC" w:rsidP="00462393" w:rsidRDefault="00115BBC" w14:paraId="439A72D0" w14:textId="3CA46808">
            <w:pPr>
              <w:tabs>
                <w:tab w:val="center" w:pos="0"/>
              </w:tabs>
              <w:overflowPunct w:val="0"/>
              <w:autoSpaceDE w:val="0"/>
              <w:autoSpaceDN w:val="0"/>
              <w:adjustRightInd w:val="0"/>
              <w:ind w:firstLine="29"/>
              <w:textAlignment w:val="baseline"/>
            </w:pPr>
            <w:r>
              <w:t>EESC-2023-04939-00-00-AC</w:t>
            </w:r>
          </w:p>
        </w:tc>
      </w:tr>
    </w:tbl>
    <w:p w:rsidRPr="00115BBC"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00115BBC" w:rsidP="00CC4510" w:rsidRDefault="00115BBC" w14:paraId="0FFFEA8E" w14:textId="6FE135C0">
      <w:pPr>
        <w:keepNext/>
        <w:keepLines/>
        <w:tabs>
          <w:tab w:val="center" w:pos="284"/>
        </w:tabs>
        <w:overflowPunct w:val="0"/>
        <w:autoSpaceDE w:val="0"/>
        <w:autoSpaceDN w:val="0"/>
        <w:adjustRightInd w:val="0"/>
        <w:ind w:left="266" w:hanging="266"/>
        <w:textAlignment w:val="baseline"/>
        <w:rPr>
          <w:b/>
        </w:rPr>
      </w:pPr>
      <w:r>
        <w:rPr>
          <w:b/>
        </w:rPr>
        <w:t>Ključne točke</w:t>
      </w:r>
    </w:p>
    <w:p w:rsidR="0096247E" w:rsidP="00CC4510" w:rsidRDefault="0096247E" w14:paraId="1F14F94E" w14:textId="02ACF0CB">
      <w:pPr>
        <w:keepNext/>
        <w:keepLines/>
        <w:tabs>
          <w:tab w:val="center" w:pos="284"/>
        </w:tabs>
        <w:overflowPunct w:val="0"/>
        <w:autoSpaceDE w:val="0"/>
        <w:autoSpaceDN w:val="0"/>
        <w:adjustRightInd w:val="0"/>
        <w:ind w:left="266" w:hanging="266"/>
        <w:textAlignment w:val="baseline"/>
        <w:rPr>
          <w:b/>
        </w:rPr>
      </w:pPr>
    </w:p>
    <w:p w:rsidRPr="00D36819" w:rsidR="0096247E" w:rsidP="00CC4510" w:rsidRDefault="0096247E" w14:paraId="3F9E4BDA" w14:textId="01735E5D">
      <w:pPr>
        <w:keepNext/>
        <w:keepLines/>
        <w:tabs>
          <w:tab w:val="center" w:pos="284"/>
        </w:tabs>
        <w:overflowPunct w:val="0"/>
        <w:autoSpaceDE w:val="0"/>
        <w:autoSpaceDN w:val="0"/>
        <w:adjustRightInd w:val="0"/>
        <w:ind w:left="266" w:hanging="266"/>
        <w:textAlignment w:val="baseline"/>
        <w:rPr>
          <w:bCs/>
        </w:rPr>
      </w:pPr>
      <w:r>
        <w:t>EGSO:</w:t>
      </w:r>
    </w:p>
    <w:p w:rsidRPr="00115BBC"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115BBC" w:rsidR="00115BBC" w:rsidP="00CC4510" w:rsidRDefault="00115BBC" w14:paraId="1773FF5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podržava, paralelno s dostupnim sudskim postupcima i provedbom prava potrošača od strane nacionalnih tijela, razvoj alternativnog rješavanja sporova (ARS) kao </w:t>
      </w:r>
      <w:r>
        <w:rPr>
          <w:b/>
        </w:rPr>
        <w:t>alternative sudskim postupcima</w:t>
      </w:r>
      <w:r>
        <w:t xml:space="preserve"> u kojima potrošači traže pravnu zaštitu za štetu koju su im trgovci;</w:t>
      </w:r>
    </w:p>
    <w:p w:rsidRPr="00115BBC" w:rsidR="00115BBC" w:rsidP="00CC4510"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naglašava važnost poticanja država članica i industrija na uspostavu takvih programa i poticanja </w:t>
      </w:r>
      <w:r>
        <w:rPr>
          <w:b/>
        </w:rPr>
        <w:t>trgovaca</w:t>
      </w:r>
      <w:r>
        <w:t xml:space="preserve">, uključujući </w:t>
      </w:r>
      <w:r>
        <w:rPr>
          <w:b/>
        </w:rPr>
        <w:t>MSP-ove</w:t>
      </w:r>
      <w:r>
        <w:t xml:space="preserve">, da se tim programima dobrovoljno pridruže i poziva Komisiju da </w:t>
      </w:r>
      <w:r>
        <w:rPr>
          <w:b/>
        </w:rPr>
        <w:t>preispita napredak sustava ARS-a tri godine nakon provedbe</w:t>
      </w:r>
      <w:r>
        <w:t xml:space="preserve"> predložene Direktive;</w:t>
      </w:r>
    </w:p>
    <w:p w:rsidRPr="00115BBC" w:rsidR="00115BBC" w:rsidP="00CC4510"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smatra da su </w:t>
      </w:r>
      <w:r>
        <w:rPr>
          <w:b/>
        </w:rPr>
        <w:t>povratne informacije subjekata ARS-a</w:t>
      </w:r>
      <w:r>
        <w:t xml:space="preserve"> iznimno vrijedne za stručnjake, zakonodavce ili regulatorna tijela. Stoga poziva da se, povrh zahtjeva da se izvješća o aktivnostima u okviru sustava ARS-a objavljuju svake dvije godine, uvede i </w:t>
      </w:r>
      <w:r>
        <w:rPr>
          <w:b/>
        </w:rPr>
        <w:t>ubrzani postupak izvješćivanja o kriznim situacijama</w:t>
      </w:r>
      <w:r>
        <w:t>. Poziva Komisiju da u svoje evaluacije sektorskih propisa uključi povratne informacije platformi za ARS;</w:t>
      </w:r>
    </w:p>
    <w:p w:rsidRPr="00115BBC" w:rsidR="00115BBC" w:rsidP="00CC4510"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poziva zakonodavce da </w:t>
      </w:r>
      <w:r>
        <w:rPr>
          <w:b/>
        </w:rPr>
        <w:t>preciznije definiraju zahtjev prema kojem potrošač mora prvo stupiti u kontakt s trgovcem, a tek onda pribjeći sustavu ARS-a</w:t>
      </w:r>
      <w:r>
        <w:t xml:space="preserve">, kao i </w:t>
      </w:r>
      <w:r>
        <w:rPr>
          <w:b/>
        </w:rPr>
        <w:t>sankcije</w:t>
      </w:r>
      <w:r>
        <w:t xml:space="preserve"> koje se primjenjuju na trgovce koji ne poštuju zahtjev da u roku od 20 radnih dana, navedenog u prijedlozima, izvijeste o tome da prihvaćaju postupak ARS-a.</w:t>
      </w:r>
    </w:p>
    <w:p w:rsidRPr="00115BBC"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4"/>
        <w:gridCol w:w="7257"/>
      </w:tblGrid>
      <w:tr w:rsidRPr="00115BBC" w:rsidR="00115BBC" w:rsidTr="00462393" w14:paraId="0EF87FAC" w14:textId="77777777">
        <w:tc>
          <w:tcPr>
            <w:tcW w:w="1000" w:type="pct"/>
          </w:tcPr>
          <w:p w:rsidRPr="00115BBC" w:rsidR="00115BBC" w:rsidP="00115BBC" w:rsidRDefault="00115BBC" w14:paraId="3A608033" w14:textId="77777777">
            <w:pPr>
              <w:overflowPunct w:val="0"/>
              <w:autoSpaceDE w:val="0"/>
              <w:autoSpaceDN w:val="0"/>
              <w:adjustRightInd w:val="0"/>
              <w:spacing w:line="240" w:lineRule="auto"/>
              <w:textAlignment w:val="baseline"/>
              <w:rPr>
                <w:i/>
              </w:rPr>
            </w:pPr>
            <w:r>
              <w:rPr>
                <w:b/>
                <w:i/>
              </w:rPr>
              <w:t>Kontakt:</w:t>
            </w:r>
          </w:p>
        </w:tc>
        <w:tc>
          <w:tcPr>
            <w:tcW w:w="4000" w:type="pct"/>
          </w:tcPr>
          <w:p w:rsidRPr="00115BBC" w:rsidR="00115BBC" w:rsidP="00115BBC" w:rsidRDefault="00115BBC" w14:paraId="2322F407" w14:textId="1D370AF8">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115BBC" w:rsidR="00115BBC" w:rsidTr="00462393" w14:paraId="1C49B2AC" w14:textId="77777777">
        <w:tc>
          <w:tcPr>
            <w:tcW w:w="1000" w:type="pct"/>
          </w:tcPr>
          <w:p w:rsidRPr="00115BBC" w:rsidR="00115BBC" w:rsidP="00115BBC" w:rsidRDefault="00115BBC" w14:paraId="6E4695C4" w14:textId="77777777">
            <w:pPr>
              <w:overflowPunct w:val="0"/>
              <w:autoSpaceDE w:val="0"/>
              <w:autoSpaceDN w:val="0"/>
              <w:adjustRightInd w:val="0"/>
              <w:spacing w:line="240" w:lineRule="auto"/>
              <w:textAlignment w:val="baseline"/>
              <w:rPr>
                <w:i/>
              </w:rPr>
            </w:pPr>
            <w:r>
              <w:rPr>
                <w:i/>
              </w:rPr>
              <w:t>Tel.:</w:t>
            </w:r>
          </w:p>
        </w:tc>
        <w:tc>
          <w:tcPr>
            <w:tcW w:w="4000" w:type="pct"/>
          </w:tcPr>
          <w:p w:rsidRPr="00115BBC" w:rsidR="00115BBC" w:rsidP="00115BBC" w:rsidRDefault="00115BBC" w14:paraId="24EC6775" w14:textId="77777777">
            <w:pPr>
              <w:overflowPunct w:val="0"/>
              <w:autoSpaceDE w:val="0"/>
              <w:autoSpaceDN w:val="0"/>
              <w:adjustRightInd w:val="0"/>
              <w:spacing w:line="240" w:lineRule="auto"/>
              <w:textAlignment w:val="baseline"/>
              <w:rPr>
                <w:i/>
              </w:rPr>
            </w:pPr>
            <w:r>
              <w:rPr>
                <w:i/>
              </w:rPr>
              <w:t>+32 25468378</w:t>
            </w:r>
          </w:p>
        </w:tc>
      </w:tr>
      <w:tr w:rsidRPr="00115BBC" w:rsidR="00115BBC" w:rsidTr="00462393" w14:paraId="55737622" w14:textId="77777777">
        <w:tc>
          <w:tcPr>
            <w:tcW w:w="1000" w:type="pct"/>
          </w:tcPr>
          <w:p w:rsidRPr="00115BBC" w:rsidR="00115BBC" w:rsidP="00115BBC" w:rsidRDefault="00115BBC" w14:paraId="525828AE" w14:textId="77777777">
            <w:pPr>
              <w:overflowPunct w:val="0"/>
              <w:autoSpaceDE w:val="0"/>
              <w:autoSpaceDN w:val="0"/>
              <w:adjustRightInd w:val="0"/>
              <w:spacing w:line="240" w:lineRule="auto"/>
              <w:textAlignment w:val="baseline"/>
              <w:rPr>
                <w:i/>
              </w:rPr>
            </w:pPr>
            <w:r>
              <w:rPr>
                <w:i/>
              </w:rPr>
              <w:t>E-pošta:</w:t>
            </w:r>
          </w:p>
        </w:tc>
        <w:tc>
          <w:tcPr>
            <w:tcW w:w="4000" w:type="pct"/>
          </w:tcPr>
          <w:p w:rsidRPr="00115BBC" w:rsidR="00115BBC" w:rsidP="00115BBC" w:rsidRDefault="00125B84" w14:paraId="1B1D7DE5" w14:textId="77777777">
            <w:pPr>
              <w:overflowPunct w:val="0"/>
              <w:autoSpaceDE w:val="0"/>
              <w:autoSpaceDN w:val="0"/>
              <w:adjustRightInd w:val="0"/>
              <w:spacing w:line="240" w:lineRule="auto"/>
              <w:textAlignment w:val="baseline"/>
              <w:rPr>
                <w:i/>
                <w:iCs/>
              </w:rPr>
            </w:pPr>
            <w:hyperlink w:history="1" r:id="rId30">
              <w:r w:rsidR="00FA138D">
                <w:rPr>
                  <w:i/>
                  <w:color w:val="0000FF"/>
                  <w:u w:val="single"/>
                </w:rPr>
                <w:t>Silvia.Staffa@eesc.europa.eu</w:t>
              </w:r>
            </w:hyperlink>
          </w:p>
        </w:tc>
      </w:tr>
    </w:tbl>
    <w:p w:rsidR="00115BBC" w:rsidRDefault="00115BBC" w14:paraId="7C16A4C7" w14:textId="77777777">
      <w:pPr>
        <w:spacing w:after="160" w:line="259" w:lineRule="auto"/>
        <w:jc w:val="left"/>
        <w:rPr>
          <w:sz w:val="16"/>
          <w:szCs w:val="16"/>
        </w:rPr>
      </w:pPr>
    </w:p>
    <w:p w:rsidR="00115BBC" w:rsidRDefault="00115BBC" w14:paraId="548FB513" w14:textId="77777777">
      <w:pPr>
        <w:spacing w:after="160" w:line="259" w:lineRule="auto"/>
        <w:jc w:val="left"/>
        <w:rPr>
          <w:sz w:val="16"/>
          <w:szCs w:val="16"/>
        </w:rPr>
      </w:pPr>
      <w:r>
        <w:br w:type="page"/>
      </w:r>
    </w:p>
    <w:p w:rsidRPr="00016C21" w:rsidR="00016C21" w:rsidP="00016C21" w:rsidRDefault="00125B84" w14:paraId="53C9A431" w14:textId="0A37C9E2">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FA138D">
          <w:rPr>
            <w:b/>
            <w:i/>
            <w:color w:val="0000FF"/>
            <w:sz w:val="28"/>
            <w:u w:val="single"/>
          </w:rPr>
          <w:t>Paket olakšica za MSP-ove</w:t>
        </w:r>
      </w:hyperlink>
    </w:p>
    <w:p w:rsidRPr="00016C21"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28"/>
        <w:gridCol w:w="6843"/>
      </w:tblGrid>
      <w:tr w:rsidRPr="00016C21" w:rsidR="00016C21" w:rsidTr="00462393" w14:paraId="4F2580C3" w14:textId="77777777">
        <w:tc>
          <w:tcPr>
            <w:tcW w:w="1228" w:type="pct"/>
          </w:tcPr>
          <w:p w:rsidRPr="00016C21" w:rsidR="00016C21" w:rsidP="00016C21" w:rsidRDefault="00016C21" w14:paraId="72DF44FE" w14:textId="77777777">
            <w:pPr>
              <w:tabs>
                <w:tab w:val="center" w:pos="0"/>
              </w:tabs>
              <w:overflowPunct w:val="0"/>
              <w:autoSpaceDE w:val="0"/>
              <w:autoSpaceDN w:val="0"/>
              <w:adjustRightInd w:val="0"/>
              <w:jc w:val="left"/>
              <w:textAlignment w:val="baseline"/>
              <w:rPr>
                <w:b/>
              </w:rPr>
            </w:pPr>
            <w:r>
              <w:rPr>
                <w:b/>
              </w:rPr>
              <w:t>Izvjestitelj/</w:t>
            </w:r>
            <w:proofErr w:type="spellStart"/>
            <w:r>
              <w:rPr>
                <w:b/>
              </w:rPr>
              <w:t>ica</w:t>
            </w:r>
            <w:proofErr w:type="spellEnd"/>
            <w:r>
              <w:rPr>
                <w:b/>
              </w:rPr>
              <w:t>:                                                             Suizvjestitelj/</w:t>
            </w:r>
            <w:proofErr w:type="spellStart"/>
            <w:r>
              <w:rPr>
                <w:b/>
              </w:rPr>
              <w:t>ica</w:t>
            </w:r>
            <w:proofErr w:type="spellEnd"/>
            <w:r>
              <w:rPr>
                <w:b/>
              </w:rPr>
              <w:t>:</w:t>
            </w:r>
          </w:p>
        </w:tc>
        <w:tc>
          <w:tcPr>
            <w:tcW w:w="3772" w:type="pct"/>
          </w:tcPr>
          <w:p w:rsidRPr="00016C21" w:rsidR="00016C21" w:rsidP="00CC4510" w:rsidRDefault="00016C21" w14:paraId="7A66A71A" w14:textId="1948A7D0">
            <w:pPr>
              <w:tabs>
                <w:tab w:val="center" w:pos="0"/>
              </w:tabs>
              <w:overflowPunct w:val="0"/>
              <w:autoSpaceDE w:val="0"/>
              <w:autoSpaceDN w:val="0"/>
              <w:adjustRightInd w:val="0"/>
              <w:ind w:right="1591"/>
              <w:textAlignment w:val="baseline"/>
            </w:pPr>
            <w:r>
              <w:t>Alena MASTANTUONO (Skupina poslodavaca – CZ)</w:t>
            </w:r>
            <w:r>
              <w:br/>
              <w:t>Angelo PAGLIARA (Skupina radnika – IT)</w:t>
            </w:r>
          </w:p>
        </w:tc>
      </w:tr>
      <w:tr w:rsidRPr="00016C21" w:rsidR="00016C21" w:rsidTr="00462393" w14:paraId="0DAADC43" w14:textId="77777777">
        <w:tc>
          <w:tcPr>
            <w:tcW w:w="5000" w:type="pct"/>
            <w:gridSpan w:val="2"/>
          </w:tcPr>
          <w:p w:rsidRPr="00016C21"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pPr>
          </w:p>
        </w:tc>
      </w:tr>
      <w:tr w:rsidRPr="00016C21" w:rsidR="00016C21" w:rsidTr="00462393" w14:paraId="3C188AC4" w14:textId="77777777">
        <w:tc>
          <w:tcPr>
            <w:tcW w:w="1228" w:type="pct"/>
            <w:vMerge w:val="restart"/>
          </w:tcPr>
          <w:p w:rsidRPr="00016C21" w:rsidR="00016C21" w:rsidP="00016C21" w:rsidRDefault="00016C21" w14:paraId="6ED0BDE5" w14:textId="77777777">
            <w:pPr>
              <w:tabs>
                <w:tab w:val="center" w:pos="284"/>
              </w:tabs>
              <w:overflowPunct w:val="0"/>
              <w:autoSpaceDE w:val="0"/>
              <w:autoSpaceDN w:val="0"/>
              <w:adjustRightInd w:val="0"/>
              <w:ind w:left="266" w:hanging="266"/>
              <w:textAlignment w:val="baseline"/>
              <w:rPr>
                <w:b/>
              </w:rPr>
            </w:pPr>
            <w:r>
              <w:rPr>
                <w:b/>
              </w:rPr>
              <w:t>Referentni dokument/i:</w:t>
            </w:r>
          </w:p>
        </w:tc>
        <w:tc>
          <w:tcPr>
            <w:tcW w:w="3772" w:type="pct"/>
          </w:tcPr>
          <w:p w:rsidRPr="00016C21" w:rsidR="00016C21" w:rsidP="00016C21" w:rsidRDefault="00016C21" w14:paraId="5911E5F0" w14:textId="77777777">
            <w:pPr>
              <w:tabs>
                <w:tab w:val="center" w:pos="284"/>
              </w:tabs>
              <w:overflowPunct w:val="0"/>
              <w:autoSpaceDE w:val="0"/>
              <w:autoSpaceDN w:val="0"/>
              <w:adjustRightInd w:val="0"/>
              <w:ind w:left="266" w:hanging="266"/>
              <w:textAlignment w:val="baseline"/>
            </w:pPr>
            <w:r>
              <w:t xml:space="preserve">COM(2023) 535 </w:t>
            </w:r>
            <w:proofErr w:type="spellStart"/>
            <w:r>
              <w:t>final</w:t>
            </w:r>
            <w:proofErr w:type="spellEnd"/>
          </w:p>
          <w:p w:rsidRPr="00016C21" w:rsidR="00016C21" w:rsidP="00016C21" w:rsidRDefault="00016C21" w14:paraId="1EAF09D2" w14:textId="77777777">
            <w:pPr>
              <w:tabs>
                <w:tab w:val="center" w:pos="284"/>
              </w:tabs>
              <w:overflowPunct w:val="0"/>
              <w:autoSpaceDE w:val="0"/>
              <w:autoSpaceDN w:val="0"/>
              <w:adjustRightInd w:val="0"/>
              <w:ind w:left="266" w:hanging="266"/>
              <w:textAlignment w:val="baseline"/>
            </w:pPr>
            <w:r>
              <w:t>EESC-2023-05071-00-00-AC</w:t>
            </w:r>
          </w:p>
        </w:tc>
      </w:tr>
      <w:tr w:rsidRPr="00016C21" w:rsidR="00016C21" w:rsidTr="00462393" w14:paraId="34BD45CA" w14:textId="77777777">
        <w:tc>
          <w:tcPr>
            <w:tcW w:w="1228" w:type="pct"/>
            <w:vMerge/>
          </w:tcPr>
          <w:p w:rsidRPr="00016C21"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016C21"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016C21" w:rsidR="00016C21" w:rsidP="00CC4510" w:rsidRDefault="00016C21" w14:paraId="5C2B27D4" w14:textId="77777777">
      <w:pPr>
        <w:keepNext/>
        <w:keepLines/>
        <w:tabs>
          <w:tab w:val="center" w:pos="284"/>
        </w:tabs>
        <w:overflowPunct w:val="0"/>
        <w:autoSpaceDE w:val="0"/>
        <w:autoSpaceDN w:val="0"/>
        <w:adjustRightInd w:val="0"/>
        <w:ind w:left="266" w:hanging="124"/>
        <w:textAlignment w:val="baseline"/>
        <w:rPr>
          <w:b/>
        </w:rPr>
      </w:pPr>
      <w:r>
        <w:rPr>
          <w:b/>
        </w:rPr>
        <w:t>Ključne točke</w:t>
      </w:r>
    </w:p>
    <w:p w:rsidRPr="00016C21"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016C21" w:rsidR="00016C21" w:rsidP="00CC4510" w:rsidRDefault="00016C21" w14:paraId="6F102ADF" w14:textId="77777777">
      <w:pPr>
        <w:overflowPunct w:val="0"/>
        <w:autoSpaceDE w:val="0"/>
        <w:autoSpaceDN w:val="0"/>
        <w:adjustRightInd w:val="0"/>
        <w:ind w:firstLine="142"/>
        <w:textAlignment w:val="baseline"/>
        <w:rPr>
          <w:bCs/>
          <w:iCs/>
        </w:rPr>
      </w:pPr>
      <w:r>
        <w:t>EGSO:</w:t>
      </w:r>
    </w:p>
    <w:p w:rsidRPr="00016C21" w:rsidR="00016C21" w:rsidP="00016C21" w:rsidRDefault="00016C21" w14:paraId="5A499E14" w14:textId="77777777">
      <w:pPr>
        <w:overflowPunct w:val="0"/>
        <w:autoSpaceDE w:val="0"/>
        <w:autoSpaceDN w:val="0"/>
        <w:adjustRightInd w:val="0"/>
        <w:textAlignment w:val="baseline"/>
        <w:rPr>
          <w:bCs/>
          <w:iCs/>
        </w:rPr>
      </w:pPr>
    </w:p>
    <w:p w:rsidRPr="00016C21" w:rsidR="00016C21" w:rsidP="00CC4510"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pozdravlja paket olakšica za MSP-ove kao pokušaj da se </w:t>
      </w:r>
      <w:r>
        <w:rPr>
          <w:b/>
        </w:rPr>
        <w:t>MSP-ove stavi u središte europskog zakonodavstva</w:t>
      </w:r>
      <w:r>
        <w:t xml:space="preserve"> i europskih strategija, rasprava i mjera za potporu konkurentnosti. Sljedeća Komisija trebala bi to načelo postaviti kao </w:t>
      </w:r>
      <w:r>
        <w:rPr>
          <w:b/>
        </w:rPr>
        <w:t>prioritet i osigurati mu kontinuitet</w:t>
      </w:r>
      <w:r>
        <w:t>;</w:t>
      </w:r>
    </w:p>
    <w:p w:rsidRPr="00016C21" w:rsidR="00016C21" w:rsidP="00CC4510"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smatra da Komisija mora osigurati da </w:t>
      </w:r>
      <w:r>
        <w:rPr>
          <w:b/>
        </w:rPr>
        <w:t>izaslanik EU-a za MSP-ove ima poduzetničko iskustvo</w:t>
      </w:r>
      <w:r>
        <w:t xml:space="preserve"> i jasno definiran skup kompetencija i odgovornosti u predstojećem mandatu 2024. – 2029., kao i da se za tu funkciju namijene </w:t>
      </w:r>
      <w:r>
        <w:rPr>
          <w:b/>
        </w:rPr>
        <w:t>odgovarajući resursi</w:t>
      </w:r>
      <w:r>
        <w:t xml:space="preserve"> u pogledu osoblja i financijske potpore;</w:t>
      </w:r>
    </w:p>
    <w:p w:rsidRPr="00016C21" w:rsidR="00016C21" w:rsidP="00CC4510"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pozdravlja napore za pojednostavnjenje i smanjenje opterećenja u pogledu PDV-a u prekograničnim aktivnostima. Međutim, EGSO napominje da je potrebno učiniti više kako bi se uklonile druge dugotrajne prepreke. </w:t>
      </w:r>
      <w:r>
        <w:rPr>
          <w:b/>
        </w:rPr>
        <w:t>Rascjepkanost jedinstvenog tržišta i različita nacionalna pravila</w:t>
      </w:r>
      <w:r>
        <w:t xml:space="preserve"> o robi i uslugama </w:t>
      </w:r>
      <w:r>
        <w:rPr>
          <w:b/>
        </w:rPr>
        <w:t>znatno opterećuju poduzeća</w:t>
      </w:r>
      <w:r>
        <w:t>;</w:t>
      </w:r>
    </w:p>
    <w:p w:rsidRPr="00016C21" w:rsidR="00016C21" w:rsidP="00CC4510"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smatra da bi </w:t>
      </w:r>
      <w:r>
        <w:rPr>
          <w:b/>
        </w:rPr>
        <w:t>MSP-ovima trebalo olakšati pristup financijskim sredstvima</w:t>
      </w:r>
      <w:r>
        <w:t xml:space="preserve"> pomoću bespovratnih sredstava, zajmova ili drugih financijskih instrumenata, uz prilagođenu pomoć. EGSO također traži od Komisije da uvede sve potrebne mjere za poticanje MSP-ova na odgovorno postupanje pri pristupanju sredstvima EU-a;</w:t>
      </w:r>
    </w:p>
    <w:p w:rsidRPr="00016C21" w:rsidR="00016C21" w:rsidP="00CC4510"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ističe da bolja upotreba već postojećih alata može doprinijeti izbjegavanju birokratskog opterećenja. Dobar je primjer toga da se </w:t>
      </w:r>
      <w:r>
        <w:rPr>
          <w:b/>
        </w:rPr>
        <w:t>u svakom zakonodavnom prijedlogu navedu očekivane obveze koje proizlaze iz prijedloga</w:t>
      </w:r>
      <w:r>
        <w:t>, što, među ostalim, pomaže u boljem razumijevanju kumulativnog opterećenja.</w:t>
      </w:r>
    </w:p>
    <w:p w:rsidRPr="00016C21" w:rsidR="00016C21" w:rsidP="00016C21" w:rsidRDefault="00016C21" w14:paraId="29A5A99B" w14:textId="77777777">
      <w:pPr>
        <w:spacing w:after="120" w:line="276" w:lineRule="auto"/>
        <w:ind w:left="1434"/>
        <w:rPr>
          <w:bCs/>
          <w:iCs/>
          <w:lang w:eastAsia="zh-CN"/>
        </w:rPr>
      </w:pPr>
    </w:p>
    <w:tbl>
      <w:tblPr>
        <w:tblStyle w:val="TableGrid20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3"/>
        <w:gridCol w:w="6248"/>
      </w:tblGrid>
      <w:tr w:rsidRPr="00016C21" w:rsidR="00016C21" w:rsidTr="00462393" w14:paraId="33461CA2" w14:textId="77777777">
        <w:tc>
          <w:tcPr>
            <w:tcW w:w="1556" w:type="pct"/>
          </w:tcPr>
          <w:p w:rsidRPr="00016C21" w:rsidR="00016C21" w:rsidP="00016C21" w:rsidRDefault="00016C21" w14:paraId="536875C6" w14:textId="77777777">
            <w:pPr>
              <w:overflowPunct w:val="0"/>
              <w:autoSpaceDE w:val="0"/>
              <w:autoSpaceDN w:val="0"/>
              <w:adjustRightInd w:val="0"/>
              <w:spacing w:line="240" w:lineRule="auto"/>
              <w:textAlignment w:val="baseline"/>
              <w:rPr>
                <w:i/>
              </w:rPr>
            </w:pPr>
            <w:r>
              <w:rPr>
                <w:b/>
                <w:i/>
              </w:rPr>
              <w:t>Kontakt:</w:t>
            </w:r>
          </w:p>
        </w:tc>
        <w:tc>
          <w:tcPr>
            <w:tcW w:w="3444" w:type="pct"/>
          </w:tcPr>
          <w:p w:rsidRPr="00016C21" w:rsidR="00016C21" w:rsidP="00016C21" w:rsidRDefault="00016C21" w14:paraId="697B1E4B" w14:textId="77777777">
            <w:pPr>
              <w:overflowPunct w:val="0"/>
              <w:autoSpaceDE w:val="0"/>
              <w:autoSpaceDN w:val="0"/>
              <w:adjustRightInd w:val="0"/>
              <w:spacing w:line="240" w:lineRule="auto"/>
              <w:textAlignment w:val="baseline"/>
              <w:rPr>
                <w:i/>
              </w:rPr>
            </w:pPr>
            <w:r>
              <w:rPr>
                <w:i/>
              </w:rPr>
              <w:t>Dalila Bernard</w:t>
            </w:r>
          </w:p>
        </w:tc>
      </w:tr>
      <w:tr w:rsidRPr="00016C21" w:rsidR="00016C21" w:rsidTr="00462393" w14:paraId="11E64266" w14:textId="77777777">
        <w:tc>
          <w:tcPr>
            <w:tcW w:w="1556" w:type="pct"/>
          </w:tcPr>
          <w:p w:rsidRPr="00016C21" w:rsidR="00016C21" w:rsidP="00016C21" w:rsidRDefault="00016C21" w14:paraId="23C53038" w14:textId="77777777">
            <w:pPr>
              <w:overflowPunct w:val="0"/>
              <w:autoSpaceDE w:val="0"/>
              <w:autoSpaceDN w:val="0"/>
              <w:adjustRightInd w:val="0"/>
              <w:spacing w:line="240" w:lineRule="auto"/>
              <w:textAlignment w:val="baseline"/>
              <w:rPr>
                <w:i/>
              </w:rPr>
            </w:pPr>
            <w:r>
              <w:rPr>
                <w:i/>
              </w:rPr>
              <w:t>Tel.:</w:t>
            </w:r>
          </w:p>
        </w:tc>
        <w:tc>
          <w:tcPr>
            <w:tcW w:w="3444" w:type="pct"/>
          </w:tcPr>
          <w:p w:rsidRPr="00016C21" w:rsidR="00016C21" w:rsidP="00016C21" w:rsidRDefault="00016C21" w14:paraId="5ED7A51D" w14:textId="77777777">
            <w:pPr>
              <w:overflowPunct w:val="0"/>
              <w:autoSpaceDE w:val="0"/>
              <w:autoSpaceDN w:val="0"/>
              <w:adjustRightInd w:val="0"/>
              <w:spacing w:line="240" w:lineRule="auto"/>
              <w:textAlignment w:val="baseline"/>
              <w:rPr>
                <w:i/>
              </w:rPr>
            </w:pPr>
            <w:r>
              <w:rPr>
                <w:i/>
              </w:rPr>
              <w:t>+ 32 25468438</w:t>
            </w:r>
          </w:p>
        </w:tc>
      </w:tr>
      <w:tr w:rsidRPr="00016C21" w:rsidR="00016C21" w:rsidTr="00462393" w14:paraId="72056838" w14:textId="77777777">
        <w:tc>
          <w:tcPr>
            <w:tcW w:w="1556" w:type="pct"/>
          </w:tcPr>
          <w:p w:rsidRPr="00016C21" w:rsidR="00016C21" w:rsidP="00016C21" w:rsidRDefault="00016C21" w14:paraId="498DF601" w14:textId="77777777">
            <w:pPr>
              <w:overflowPunct w:val="0"/>
              <w:autoSpaceDE w:val="0"/>
              <w:autoSpaceDN w:val="0"/>
              <w:adjustRightInd w:val="0"/>
              <w:spacing w:line="240" w:lineRule="auto"/>
              <w:textAlignment w:val="baseline"/>
              <w:rPr>
                <w:i/>
              </w:rPr>
            </w:pPr>
            <w:r>
              <w:rPr>
                <w:i/>
              </w:rPr>
              <w:t>E-pošta:</w:t>
            </w:r>
          </w:p>
        </w:tc>
        <w:tc>
          <w:tcPr>
            <w:tcW w:w="3444" w:type="pct"/>
          </w:tcPr>
          <w:p w:rsidRPr="00016C21" w:rsidR="00016C21" w:rsidP="00016C21" w:rsidRDefault="00125B84" w14:paraId="78D8A06B" w14:textId="135A9FB2">
            <w:pPr>
              <w:overflowPunct w:val="0"/>
              <w:autoSpaceDE w:val="0"/>
              <w:autoSpaceDN w:val="0"/>
              <w:adjustRightInd w:val="0"/>
              <w:spacing w:line="240" w:lineRule="auto"/>
              <w:textAlignment w:val="baseline"/>
              <w:rPr>
                <w:i/>
              </w:rPr>
            </w:pPr>
            <w:hyperlink w:history="1" r:id="rId32">
              <w:r w:rsidR="00FA138D">
                <w:rPr>
                  <w:color w:val="0000FF"/>
                  <w:u w:val="single"/>
                </w:rPr>
                <w:t>Dalila.Bernard@eesc.europa.eu</w:t>
              </w:r>
            </w:hyperlink>
          </w:p>
          <w:p w:rsidRPr="00016C21" w:rsidR="00016C21" w:rsidP="00016C21" w:rsidRDefault="00016C21" w14:paraId="298F1AD7" w14:textId="77777777">
            <w:pPr>
              <w:overflowPunct w:val="0"/>
              <w:autoSpaceDE w:val="0"/>
              <w:autoSpaceDN w:val="0"/>
              <w:adjustRightInd w:val="0"/>
              <w:spacing w:line="240" w:lineRule="auto"/>
              <w:textAlignment w:val="baseline"/>
              <w:rPr>
                <w:i/>
              </w:rPr>
            </w:pPr>
          </w:p>
        </w:tc>
      </w:tr>
    </w:tbl>
    <w:p w:rsidR="00DC121F" w:rsidRDefault="00DC121F" w14:paraId="6AFE14EC" w14:textId="0BBC5EDB">
      <w:pPr>
        <w:spacing w:after="160" w:line="259" w:lineRule="auto"/>
        <w:jc w:val="left"/>
        <w:rPr>
          <w:sz w:val="16"/>
          <w:szCs w:val="16"/>
        </w:rPr>
      </w:pPr>
      <w:r>
        <w:br w:type="page"/>
      </w:r>
    </w:p>
    <w:p w:rsidRPr="00EE2FBD" w:rsidR="004C3902" w:rsidP="00234EA0" w:rsidRDefault="008E2A59" w14:paraId="7AD922B6" w14:textId="6D6B967E">
      <w:pPr>
        <w:pStyle w:val="Heading1"/>
        <w:ind w:hanging="928"/>
        <w:rPr>
          <w:b/>
          <w:bCs/>
        </w:rPr>
      </w:pPr>
      <w:bookmarkStart w:name="_Toc153539681" w:id="29"/>
      <w:bookmarkStart w:name="_Toc160783952" w:id="30"/>
      <w:r>
        <w:rPr>
          <w:b/>
        </w:rPr>
        <w:lastRenderedPageBreak/>
        <w:t>STRUČNA SKUPINA ZA POLJOPRIVREDU, RURALNI RAZVOJ I OKOLIŠ</w:t>
      </w:r>
      <w:bookmarkStart w:name="_Hlk145944317" w:id="31"/>
      <w:bookmarkEnd w:id="29"/>
      <w:bookmarkEnd w:id="30"/>
    </w:p>
    <w:bookmarkEnd w:id="31"/>
    <w:p w:rsidRPr="00094B6B" w:rsidR="002C016E" w:rsidP="00DE43CE" w:rsidRDefault="002C016E" w14:paraId="0E7342A4" w14:textId="73254B30">
      <w:pPr>
        <w:keepNext/>
        <w:keepLines/>
        <w:jc w:val="left"/>
        <w:rPr>
          <w:bCs/>
          <w:iCs/>
        </w:rPr>
      </w:pPr>
    </w:p>
    <w:p w:rsidRPr="00016C21" w:rsidR="00016C21" w:rsidP="00016C21" w:rsidRDefault="00125B84" w14:paraId="48966958" w14:textId="7DC994B5">
      <w:pPr>
        <w:numPr>
          <w:ilvl w:val="0"/>
          <w:numId w:val="3"/>
        </w:numPr>
        <w:overflowPunct w:val="0"/>
        <w:autoSpaceDE w:val="0"/>
        <w:autoSpaceDN w:val="0"/>
        <w:adjustRightInd w:val="0"/>
        <w:spacing w:line="276" w:lineRule="auto"/>
        <w:ind w:left="425" w:hanging="357"/>
        <w:contextualSpacing/>
        <w:jc w:val="left"/>
        <w:textAlignment w:val="baseline"/>
        <w:rPr>
          <w:i/>
          <w:iCs/>
        </w:rPr>
      </w:pPr>
      <w:hyperlink w:history="1" r:id="rId33">
        <w:r w:rsidR="00FA138D">
          <w:rPr>
            <w:b/>
            <w:i/>
            <w:color w:val="0000FF"/>
            <w:sz w:val="28"/>
            <w:u w:val="single"/>
          </w:rPr>
          <w:t>Sprečavanje gubitaka plastičnih peleta radi smanjenja onečišćenja mikroplas</w:t>
        </w:r>
        <w:r w:rsidR="00FA138D">
          <w:rPr>
            <w:b/>
            <w:i/>
            <w:color w:val="0000FF"/>
            <w:sz w:val="28"/>
            <w:u w:val="single"/>
          </w:rPr>
          <w:t>t</w:t>
        </w:r>
        <w:r w:rsidR="00FA138D">
          <w:rPr>
            <w:b/>
            <w:i/>
            <w:color w:val="0000FF"/>
            <w:sz w:val="28"/>
            <w:u w:val="single"/>
          </w:rPr>
          <w:t>ikom</w:t>
        </w:r>
      </w:hyperlink>
    </w:p>
    <w:p w:rsidR="00016C21" w:rsidP="00016C21" w:rsidRDefault="00016C21" w14:paraId="4D542D75" w14:textId="1DD5ECBD">
      <w:pPr>
        <w:widowControl w:val="0"/>
        <w:overflowPunct w:val="0"/>
        <w:autoSpaceDE w:val="0"/>
        <w:autoSpaceDN w:val="0"/>
        <w:adjustRightInd w:val="0"/>
        <w:ind w:left="567"/>
        <w:textAlignment w:val="baseline"/>
        <w:rPr>
          <w:bCs/>
          <w:sz w:val="16"/>
          <w:szCs w:val="16"/>
        </w:rPr>
      </w:pPr>
    </w:p>
    <w:p w:rsidRPr="00016C21" w:rsidR="005E64DC" w:rsidP="00016C21" w:rsidRDefault="005E64DC" w14:paraId="32E7BE77" w14:textId="77777777">
      <w:pPr>
        <w:widowControl w:val="0"/>
        <w:overflowPunct w:val="0"/>
        <w:autoSpaceDE w:val="0"/>
        <w:autoSpaceDN w:val="0"/>
        <w:adjustRightInd w:val="0"/>
        <w:ind w:left="567"/>
        <w:textAlignment w:val="baseline"/>
        <w:rPr>
          <w:bCs/>
          <w:sz w:val="16"/>
          <w:szCs w:val="16"/>
        </w:rPr>
      </w:pPr>
    </w:p>
    <w:tbl>
      <w:tblPr>
        <w:tblStyle w:val="TableGrid20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9"/>
        <w:gridCol w:w="7092"/>
      </w:tblGrid>
      <w:tr w:rsidRPr="00016C21" w:rsidR="00016C21" w:rsidTr="00462393" w14:paraId="2AA339FF" w14:textId="77777777">
        <w:tc>
          <w:tcPr>
            <w:tcW w:w="1091" w:type="pct"/>
          </w:tcPr>
          <w:p w:rsidRPr="00016C21" w:rsidR="00016C21" w:rsidP="00CC4510" w:rsidRDefault="00016C21" w14:paraId="3160CF33" w14:textId="77777777">
            <w:pPr>
              <w:tabs>
                <w:tab w:val="center" w:pos="284"/>
              </w:tabs>
              <w:overflowPunct w:val="0"/>
              <w:autoSpaceDE w:val="0"/>
              <w:autoSpaceDN w:val="0"/>
              <w:adjustRightInd w:val="0"/>
              <w:spacing w:line="276" w:lineRule="auto"/>
              <w:ind w:left="266" w:hanging="266"/>
              <w:textAlignment w:val="baseline"/>
              <w:rPr>
                <w:b/>
              </w:rPr>
            </w:pPr>
            <w:r>
              <w:rPr>
                <w:b/>
              </w:rPr>
              <w:t>Izvjestitelj/</w:t>
            </w:r>
            <w:proofErr w:type="spellStart"/>
            <w:r>
              <w:rPr>
                <w:b/>
              </w:rPr>
              <w:t>ica</w:t>
            </w:r>
            <w:proofErr w:type="spellEnd"/>
            <w:r>
              <w:rPr>
                <w:b/>
              </w:rPr>
              <w:t>:</w:t>
            </w:r>
          </w:p>
        </w:tc>
        <w:tc>
          <w:tcPr>
            <w:tcW w:w="3909" w:type="pct"/>
          </w:tcPr>
          <w:p w:rsidRPr="00016C21" w:rsidR="00016C21" w:rsidP="00CC4510" w:rsidRDefault="00016C21" w14:paraId="69F9AE5E" w14:textId="0CC7DB21">
            <w:pPr>
              <w:tabs>
                <w:tab w:val="center" w:pos="284"/>
              </w:tabs>
              <w:overflowPunct w:val="0"/>
              <w:autoSpaceDE w:val="0"/>
              <w:autoSpaceDN w:val="0"/>
              <w:adjustRightInd w:val="0"/>
              <w:spacing w:line="276" w:lineRule="auto"/>
              <w:ind w:left="266" w:hanging="266"/>
              <w:textAlignment w:val="baseline"/>
              <w:rPr>
                <w:bCs/>
              </w:rPr>
            </w:pPr>
            <w:r>
              <w:rPr>
                <w:b/>
              </w:rPr>
              <w:t>András EDELÉNYI</w:t>
            </w:r>
            <w:r>
              <w:t xml:space="preserve"> (Skupina poslodavaca </w:t>
            </w:r>
            <w:r>
              <w:rPr>
                <w:color w:val="000000"/>
              </w:rPr>
              <w:t>– HU</w:t>
            </w:r>
            <w:r>
              <w:t>)</w:t>
            </w:r>
          </w:p>
        </w:tc>
      </w:tr>
      <w:tr w:rsidRPr="00016C21" w:rsidR="00016C21" w:rsidTr="00462393" w14:paraId="3D2947AE" w14:textId="77777777">
        <w:tc>
          <w:tcPr>
            <w:tcW w:w="1091" w:type="pct"/>
          </w:tcPr>
          <w:p w:rsidRPr="00016C21" w:rsidR="00016C21" w:rsidP="00CC4510" w:rsidRDefault="00016C21" w14:paraId="52F4AA0D" w14:textId="77777777">
            <w:pPr>
              <w:tabs>
                <w:tab w:val="center" w:pos="284"/>
              </w:tabs>
              <w:overflowPunct w:val="0"/>
              <w:autoSpaceDE w:val="0"/>
              <w:autoSpaceDN w:val="0"/>
              <w:adjustRightInd w:val="0"/>
              <w:spacing w:line="276" w:lineRule="auto"/>
              <w:ind w:left="266" w:hanging="266"/>
              <w:textAlignment w:val="baseline"/>
              <w:rPr>
                <w:b/>
              </w:rPr>
            </w:pPr>
            <w:r>
              <w:rPr>
                <w:b/>
              </w:rPr>
              <w:t>Suizvjestitelj/</w:t>
            </w:r>
            <w:proofErr w:type="spellStart"/>
            <w:r>
              <w:rPr>
                <w:b/>
              </w:rPr>
              <w:t>ica</w:t>
            </w:r>
            <w:proofErr w:type="spellEnd"/>
            <w:r>
              <w:rPr>
                <w:b/>
              </w:rPr>
              <w:t>:</w:t>
            </w:r>
          </w:p>
        </w:tc>
        <w:tc>
          <w:tcPr>
            <w:tcW w:w="3909" w:type="pct"/>
          </w:tcPr>
          <w:p w:rsidRPr="00016C21" w:rsidR="00016C21" w:rsidP="00CC4510" w:rsidRDefault="00016C21" w14:paraId="0F2C9A54" w14:textId="6A2E4865">
            <w:pPr>
              <w:overflowPunct w:val="0"/>
              <w:autoSpaceDE w:val="0"/>
              <w:autoSpaceDN w:val="0"/>
              <w:adjustRightInd w:val="0"/>
              <w:spacing w:line="276" w:lineRule="auto"/>
              <w:textAlignment w:val="baseline"/>
              <w:rPr>
                <w:b/>
              </w:rPr>
            </w:pPr>
            <w:r>
              <w:t>Maria NIKOLOPOULOU (Skupina radnika – ES)</w:t>
            </w:r>
          </w:p>
        </w:tc>
      </w:tr>
      <w:tr w:rsidRPr="00016C21" w:rsidR="00016C21" w:rsidTr="00462393" w14:paraId="37E9B43F" w14:textId="77777777">
        <w:tc>
          <w:tcPr>
            <w:tcW w:w="5000" w:type="pct"/>
            <w:gridSpan w:val="2"/>
          </w:tcPr>
          <w:p w:rsidRPr="00016C21" w:rsidR="00016C21" w:rsidP="00CC4510" w:rsidRDefault="00016C21" w14:paraId="73AFBCC5"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016C21" w:rsidR="00016C21" w:rsidTr="00462393" w14:paraId="15D23674" w14:textId="77777777">
        <w:tc>
          <w:tcPr>
            <w:tcW w:w="1091" w:type="pct"/>
            <w:vMerge w:val="restart"/>
          </w:tcPr>
          <w:p w:rsidRPr="00016C21" w:rsidR="00016C21" w:rsidP="00462393" w:rsidRDefault="00016C21" w14:paraId="1BB4B745" w14:textId="77777777">
            <w:pPr>
              <w:tabs>
                <w:tab w:val="center" w:pos="0"/>
              </w:tabs>
              <w:overflowPunct w:val="0"/>
              <w:autoSpaceDE w:val="0"/>
              <w:autoSpaceDN w:val="0"/>
              <w:adjustRightInd w:val="0"/>
              <w:spacing w:line="276" w:lineRule="auto"/>
              <w:ind w:left="34"/>
              <w:textAlignment w:val="baseline"/>
              <w:rPr>
                <w:b/>
              </w:rPr>
            </w:pPr>
            <w:r>
              <w:rPr>
                <w:b/>
              </w:rPr>
              <w:t>Referentni dokument/i:</w:t>
            </w:r>
          </w:p>
        </w:tc>
        <w:tc>
          <w:tcPr>
            <w:tcW w:w="3909" w:type="pct"/>
          </w:tcPr>
          <w:p w:rsidRPr="00016C21" w:rsidR="00016C21" w:rsidP="00CC4510" w:rsidRDefault="00016C21" w14:paraId="7EE7987F" w14:textId="0C9C2881">
            <w:pPr>
              <w:tabs>
                <w:tab w:val="center" w:pos="284"/>
              </w:tabs>
              <w:overflowPunct w:val="0"/>
              <w:autoSpaceDE w:val="0"/>
              <w:autoSpaceDN w:val="0"/>
              <w:adjustRightInd w:val="0"/>
              <w:spacing w:line="276" w:lineRule="auto"/>
              <w:ind w:left="266" w:hanging="266"/>
              <w:textAlignment w:val="baseline"/>
            </w:pPr>
            <w:r>
              <w:t xml:space="preserve">COM(2023) 645 </w:t>
            </w:r>
            <w:proofErr w:type="spellStart"/>
            <w:r>
              <w:t>final</w:t>
            </w:r>
            <w:proofErr w:type="spellEnd"/>
          </w:p>
        </w:tc>
      </w:tr>
      <w:tr w:rsidRPr="00016C21" w:rsidR="00016C21" w:rsidTr="00462393" w14:paraId="5C2E846C" w14:textId="77777777">
        <w:tc>
          <w:tcPr>
            <w:tcW w:w="1091" w:type="pct"/>
            <w:vMerge/>
          </w:tcPr>
          <w:p w:rsidRPr="00016C21" w:rsidR="00016C21" w:rsidP="00CC4510" w:rsidRDefault="00016C21" w14:paraId="3C7FAC6C" w14:textId="77777777">
            <w:pPr>
              <w:tabs>
                <w:tab w:val="center" w:pos="284"/>
              </w:tabs>
              <w:overflowPunct w:val="0"/>
              <w:autoSpaceDE w:val="0"/>
              <w:autoSpaceDN w:val="0"/>
              <w:adjustRightInd w:val="0"/>
              <w:spacing w:line="276" w:lineRule="auto"/>
              <w:ind w:left="266" w:hanging="266"/>
              <w:textAlignment w:val="baseline"/>
              <w:rPr>
                <w:b/>
              </w:rPr>
            </w:pPr>
          </w:p>
        </w:tc>
        <w:tc>
          <w:tcPr>
            <w:tcW w:w="3909" w:type="pct"/>
          </w:tcPr>
          <w:p w:rsidRPr="00016C21" w:rsidR="00016C21" w:rsidP="00CC4510" w:rsidRDefault="00016C21" w14:paraId="0906927D" w14:textId="5DCAA039">
            <w:pPr>
              <w:tabs>
                <w:tab w:val="center" w:pos="284"/>
              </w:tabs>
              <w:overflowPunct w:val="0"/>
              <w:autoSpaceDE w:val="0"/>
              <w:autoSpaceDN w:val="0"/>
              <w:adjustRightInd w:val="0"/>
              <w:spacing w:line="276" w:lineRule="auto"/>
              <w:ind w:left="266" w:hanging="266"/>
              <w:textAlignment w:val="baseline"/>
            </w:pPr>
            <w:r>
              <w:t>EESC-2023-04923-00-00-AC</w:t>
            </w:r>
          </w:p>
        </w:tc>
      </w:tr>
    </w:tbl>
    <w:p w:rsidR="00C05C6B" w:rsidP="005E64DC" w:rsidRDefault="00C05C6B" w14:paraId="53A18EF3" w14:textId="77777777">
      <w:pPr>
        <w:keepNext/>
        <w:keepLines/>
        <w:tabs>
          <w:tab w:val="center" w:pos="284"/>
        </w:tabs>
        <w:overflowPunct w:val="0"/>
        <w:autoSpaceDE w:val="0"/>
        <w:autoSpaceDN w:val="0"/>
        <w:adjustRightInd w:val="0"/>
        <w:spacing w:line="276" w:lineRule="auto"/>
        <w:ind w:left="266" w:hanging="124"/>
        <w:textAlignment w:val="baseline"/>
        <w:rPr>
          <w:b/>
        </w:rPr>
      </w:pPr>
    </w:p>
    <w:p w:rsidRPr="00016C21" w:rsidR="00016C21" w:rsidP="00CC4510" w:rsidRDefault="00016C21" w14:paraId="7C49C143" w14:textId="4C6ED9AD">
      <w:pPr>
        <w:keepNext/>
        <w:keepLines/>
        <w:tabs>
          <w:tab w:val="center" w:pos="284"/>
        </w:tabs>
        <w:overflowPunct w:val="0"/>
        <w:autoSpaceDE w:val="0"/>
        <w:autoSpaceDN w:val="0"/>
        <w:adjustRightInd w:val="0"/>
        <w:spacing w:line="276" w:lineRule="auto"/>
        <w:ind w:left="266" w:hanging="124"/>
        <w:textAlignment w:val="baseline"/>
        <w:rPr>
          <w:b/>
        </w:rPr>
      </w:pPr>
      <w:r>
        <w:rPr>
          <w:b/>
        </w:rPr>
        <w:t>Ključne točke</w:t>
      </w:r>
    </w:p>
    <w:p w:rsidRPr="00016C21" w:rsidR="00016C21" w:rsidRDefault="00016C21" w14:paraId="34882F56"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016C21" w:rsidP="00CC4510" w:rsidRDefault="00016C21" w14:paraId="678CC3CA" w14:textId="6F26DAA6">
      <w:pPr>
        <w:overflowPunct w:val="0"/>
        <w:autoSpaceDE w:val="0"/>
        <w:autoSpaceDN w:val="0"/>
        <w:adjustRightInd w:val="0"/>
        <w:spacing w:line="276" w:lineRule="auto"/>
        <w:ind w:firstLine="142"/>
        <w:textAlignment w:val="baseline"/>
        <w:rPr>
          <w:bCs/>
          <w:iCs/>
        </w:rPr>
      </w:pPr>
      <w:r>
        <w:t>EGSO:</w:t>
      </w:r>
    </w:p>
    <w:p w:rsidRPr="00016C21" w:rsidR="005E64DC" w:rsidP="00CC4510" w:rsidRDefault="005E64DC" w14:paraId="409EF56F" w14:textId="77777777">
      <w:pPr>
        <w:overflowPunct w:val="0"/>
        <w:autoSpaceDE w:val="0"/>
        <w:autoSpaceDN w:val="0"/>
        <w:adjustRightInd w:val="0"/>
        <w:spacing w:line="276" w:lineRule="auto"/>
        <w:textAlignment w:val="baseline"/>
        <w:rPr>
          <w:bCs/>
          <w:iCs/>
        </w:rPr>
      </w:pPr>
    </w:p>
    <w:p w:rsidRPr="00CC4510" w:rsidR="00016C21" w:rsidP="00CC4510" w:rsidRDefault="00016C21" w14:paraId="1E401C83"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2" w:id="32"/>
      <w:bookmarkStart w:name="_Toc160783953" w:id="33"/>
      <w:r>
        <w:t xml:space="preserve">prihvaća i u osnovi </w:t>
      </w:r>
      <w:r>
        <w:rPr>
          <w:b/>
        </w:rPr>
        <w:t>podržava prijedlog Komisije</w:t>
      </w:r>
      <w:r>
        <w:t xml:space="preserve"> o reguliranju postupaka i emisija povezanih s peletima </w:t>
      </w:r>
      <w:proofErr w:type="spellStart"/>
      <w:r>
        <w:t>mikroplastike</w:t>
      </w:r>
      <w:proofErr w:type="spellEnd"/>
      <w:r>
        <w:t>, kao i o ublažavanju opasnog onečišćenja u tom specifičnom području;</w:t>
      </w:r>
      <w:bookmarkEnd w:id="32"/>
      <w:bookmarkEnd w:id="33"/>
    </w:p>
    <w:p w:rsidRPr="00CC4510" w:rsidR="00016C21" w:rsidP="00CC4510" w:rsidRDefault="00016C21" w14:paraId="1C92984C"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2"/>
          <w:szCs w:val="20"/>
        </w:rPr>
      </w:pPr>
      <w:bookmarkStart w:name="_Toc159831773" w:id="34"/>
      <w:bookmarkStart w:name="_Toc160783954" w:id="35"/>
      <w:r>
        <w:t xml:space="preserve">ističe da hitno treba </w:t>
      </w:r>
      <w:r>
        <w:rPr>
          <w:b/>
        </w:rPr>
        <w:t>razviti standardiziranu metodologiju za praćenje</w:t>
      </w:r>
      <w:r>
        <w:t xml:space="preserve"> i pravilnu </w:t>
      </w:r>
      <w:r>
        <w:rPr>
          <w:b/>
        </w:rPr>
        <w:t xml:space="preserve">procjenu gubitaka peleta </w:t>
      </w:r>
      <w:proofErr w:type="spellStart"/>
      <w:r>
        <w:rPr>
          <w:b/>
        </w:rPr>
        <w:t>mikroplastike</w:t>
      </w:r>
      <w:proofErr w:type="spellEnd"/>
      <w:r>
        <w:t xml:space="preserve"> duž cijelog lanca opskrbe. Time bi se omogućilo procjenjivanje ispuštanja i praćenje napretka u postizanju zadanog smanjenja od 30 % do 2030.;</w:t>
      </w:r>
      <w:bookmarkEnd w:id="34"/>
      <w:bookmarkEnd w:id="35"/>
    </w:p>
    <w:p w:rsidRPr="00CC4510" w:rsidR="00016C21" w:rsidP="00CC4510" w:rsidRDefault="00016C21" w14:paraId="3EE952C2"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8"/>
          <w:szCs w:val="20"/>
        </w:rPr>
      </w:pPr>
      <w:bookmarkStart w:name="_Toc159831774" w:id="36"/>
      <w:bookmarkStart w:name="_Toc160783955" w:id="37"/>
      <w:r>
        <w:t xml:space="preserve">preporučuje da se EU uskladi sa </w:t>
      </w:r>
      <w:r>
        <w:rPr>
          <w:b/>
        </w:rPr>
        <w:t>zakonodavnim postupkom Međunarodne pomorske organizacije (IMO)</w:t>
      </w:r>
      <w:r>
        <w:t xml:space="preserve">. Ako IMO do sredine 2026. godine ne donese nikakva pravila, Komisija bi trebala razmotriti mogućnost uvođenja odredbi za pomorski promet unutar EU-a, kao i obavljanja pripremnih radova za rješavanje pitanja sekundarne </w:t>
      </w:r>
      <w:proofErr w:type="spellStart"/>
      <w:r>
        <w:t>mikroplastike</w:t>
      </w:r>
      <w:proofErr w:type="spellEnd"/>
      <w:r>
        <w:t xml:space="preserve"> iz guma, boje, tekstila, </w:t>
      </w:r>
      <w:proofErr w:type="spellStart"/>
      <w:r>
        <w:t>geotekstila</w:t>
      </w:r>
      <w:proofErr w:type="spellEnd"/>
      <w:r>
        <w:t xml:space="preserve"> i kapsula s deterdžentom;</w:t>
      </w:r>
      <w:bookmarkEnd w:id="36"/>
      <w:bookmarkEnd w:id="37"/>
    </w:p>
    <w:p w:rsidRPr="00CC4510" w:rsidR="00016C21" w:rsidP="00CC4510" w:rsidRDefault="00016C21" w14:paraId="1818AA54"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5" w:id="38"/>
      <w:bookmarkStart w:name="_Toc160783956" w:id="39"/>
      <w:r>
        <w:t xml:space="preserve">kad je riječ o zaštiti okoliša i ljudi, predlaže da se u predmetnoj uredbi </w:t>
      </w:r>
      <w:r>
        <w:rPr>
          <w:b/>
        </w:rPr>
        <w:t>pozornost posveti geografskim područjima</w:t>
      </w:r>
      <w:r>
        <w:t xml:space="preserve"> koja su najizloženija emisijama </w:t>
      </w:r>
      <w:proofErr w:type="spellStart"/>
      <w:r>
        <w:t>mikroplastike</w:t>
      </w:r>
      <w:proofErr w:type="spellEnd"/>
      <w:r>
        <w:t xml:space="preserve"> kao mogućim mjestima za poduzimanje mjera u svrhu ublažavanja i smanjenja onečišćenja;</w:t>
      </w:r>
      <w:bookmarkEnd w:id="38"/>
      <w:bookmarkEnd w:id="39"/>
    </w:p>
    <w:p w:rsidRPr="00CC4510" w:rsidR="00016C21" w:rsidP="00CC4510" w:rsidRDefault="00016C21" w14:paraId="054B27CB"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6" w:id="40"/>
      <w:bookmarkStart w:name="_Toc160783957" w:id="41"/>
      <w:r>
        <w:t xml:space="preserve">naglašava da treba povećati </w:t>
      </w:r>
      <w:r>
        <w:rPr>
          <w:b/>
        </w:rPr>
        <w:t>učestalost provjera sukladnosti</w:t>
      </w:r>
      <w:r>
        <w:t xml:space="preserve"> i </w:t>
      </w:r>
      <w:r>
        <w:rPr>
          <w:b/>
        </w:rPr>
        <w:t>predvidjeti reviziju predmetne uredbe sredinom provedbenog razdoblja</w:t>
      </w:r>
      <w:r>
        <w:t xml:space="preserve"> kako bi se procijenila njezina učinkovitost, kao i preispitati i, prema potrebi, preciznije ograničiti količinu peleta utvrđenu u ublaženim regulatornim zahtjevima propisanima za </w:t>
      </w:r>
      <w:proofErr w:type="spellStart"/>
      <w:r>
        <w:t>mikropoduzeća</w:t>
      </w:r>
      <w:proofErr w:type="spellEnd"/>
      <w:r>
        <w:t xml:space="preserve"> i mala poduzeća;</w:t>
      </w:r>
      <w:bookmarkEnd w:id="40"/>
      <w:bookmarkEnd w:id="41"/>
    </w:p>
    <w:p w:rsidRPr="00CC4510" w:rsidR="00016C21" w:rsidP="00CC4510" w:rsidRDefault="00016C21" w14:paraId="2F4250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7" w:id="42"/>
      <w:bookmarkStart w:name="_Toc160783958" w:id="43"/>
      <w:r>
        <w:t xml:space="preserve">upozorava na to da brzo rastuća proizvodnja plastičnih peleta iz primarnih sirovina ili recikliranih materijala sve više otežava ublažavanje njihovog učinka. Stoga treba intenzivnije raditi na </w:t>
      </w:r>
      <w:r>
        <w:rPr>
          <w:b/>
        </w:rPr>
        <w:t>provedbi</w:t>
      </w:r>
      <w:r>
        <w:t xml:space="preserve"> predmetne uredbe i </w:t>
      </w:r>
      <w:r>
        <w:rPr>
          <w:b/>
        </w:rPr>
        <w:t>osiguravanju usklađenosti</w:t>
      </w:r>
      <w:r>
        <w:t xml:space="preserve"> s njome;</w:t>
      </w:r>
      <w:bookmarkEnd w:id="42"/>
      <w:bookmarkEnd w:id="43"/>
    </w:p>
    <w:p w:rsidRPr="00CC4510" w:rsidR="00016C21" w:rsidP="00CC4510" w:rsidRDefault="00016C21" w14:paraId="1E28F2BE"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8" w:id="44"/>
      <w:bookmarkStart w:name="_Toc160783959" w:id="45"/>
      <w:r>
        <w:t xml:space="preserve">napominje da nema velike potražnje za dodatnim radnicima i radnicama, osim za zelena radna mjesta, ali da </w:t>
      </w:r>
      <w:r>
        <w:rPr>
          <w:b/>
        </w:rPr>
        <w:t>treba povećati senzibilizaciju i osposobljenost svih zaposlenika i zaposlenica</w:t>
      </w:r>
      <w:r>
        <w:t>;</w:t>
      </w:r>
      <w:bookmarkEnd w:id="44"/>
      <w:bookmarkEnd w:id="45"/>
    </w:p>
    <w:p w:rsidRPr="00CC4510" w:rsidR="00016C21" w:rsidP="00CC4510" w:rsidRDefault="00016C21" w14:paraId="23F522CA"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9" w:id="46"/>
      <w:bookmarkStart w:name="_Toc160783960" w:id="47"/>
      <w:r>
        <w:t xml:space="preserve">ističe da bi </w:t>
      </w:r>
      <w:r>
        <w:rPr>
          <w:b/>
        </w:rPr>
        <w:t>trebalo razmotriti međunarodne aspekte predmetne uredbe</w:t>
      </w:r>
      <w:r>
        <w:t xml:space="preserve"> kako bi se osigurali jednaki uvjeti tržišnog natjecanja za subjekte iz EU-a koji poštuju propise i subjekte iz trećih zemalja;</w:t>
      </w:r>
      <w:bookmarkEnd w:id="46"/>
      <w:bookmarkEnd w:id="47"/>
    </w:p>
    <w:p w:rsidRPr="00CC4510" w:rsidR="00016C21" w:rsidP="00CC4510" w:rsidRDefault="00016C21" w14:paraId="0E4468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4"/>
          <w:szCs w:val="20"/>
        </w:rPr>
      </w:pPr>
      <w:bookmarkStart w:name="_Toc159831780" w:id="48"/>
      <w:bookmarkStart w:name="_Toc160783961" w:id="49"/>
      <w:r>
        <w:t xml:space="preserve">naglašava da treba intenzivirati znanstvene i istraživačke aktivnosti, prije svega zato da bi se shvatili štetni učinci onečišćenja peletima </w:t>
      </w:r>
      <w:proofErr w:type="spellStart"/>
      <w:r>
        <w:t>mikroplastike</w:t>
      </w:r>
      <w:proofErr w:type="spellEnd"/>
      <w:r>
        <w:t xml:space="preserve"> na zdravlje ljudi i okoliša;</w:t>
      </w:r>
      <w:bookmarkEnd w:id="48"/>
      <w:bookmarkEnd w:id="49"/>
    </w:p>
    <w:p w:rsidRPr="00CC4510" w:rsidR="00016C21" w:rsidP="00CC4510" w:rsidRDefault="00016C21" w14:paraId="717B8D71"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6"/>
          <w:szCs w:val="20"/>
        </w:rPr>
      </w:pPr>
      <w:bookmarkStart w:name="_Toc159831781" w:id="50"/>
      <w:bookmarkStart w:name="_Toc160783962" w:id="51"/>
      <w:r>
        <w:t xml:space="preserve">predlaže da se </w:t>
      </w:r>
      <w:r>
        <w:rPr>
          <w:b/>
        </w:rPr>
        <w:t>preispitaju najbolje raspoložive tehnike</w:t>
      </w:r>
      <w:r>
        <w:t xml:space="preserve"> za gospodarske subjekte radi uključivanja gubitka peleta.</w:t>
      </w:r>
      <w:bookmarkEnd w:id="50"/>
      <w:bookmarkEnd w:id="51"/>
    </w:p>
    <w:p w:rsidR="00016C21" w:rsidP="00016C21" w:rsidRDefault="00016C21" w14:paraId="2BEE0D5B" w14:textId="4403D595">
      <w:pPr>
        <w:keepNext/>
        <w:keepLines/>
        <w:overflowPunct w:val="0"/>
        <w:autoSpaceDE w:val="0"/>
        <w:autoSpaceDN w:val="0"/>
        <w:adjustRightInd w:val="0"/>
        <w:spacing w:line="240" w:lineRule="auto"/>
        <w:textAlignment w:val="baseline"/>
        <w:rPr>
          <w:sz w:val="16"/>
          <w:szCs w:val="16"/>
        </w:rPr>
      </w:pPr>
    </w:p>
    <w:p w:rsidRPr="00016C21" w:rsidR="00DC108A" w:rsidP="00016C21" w:rsidRDefault="00DC108A" w14:paraId="62259C3A" w14:textId="77777777">
      <w:pPr>
        <w:keepNext/>
        <w:keepLines/>
        <w:overflowPunct w:val="0"/>
        <w:autoSpaceDE w:val="0"/>
        <w:autoSpaceDN w:val="0"/>
        <w:adjustRightInd w:val="0"/>
        <w:spacing w:line="240" w:lineRule="auto"/>
        <w:textAlignment w:val="baseline"/>
        <w:rPr>
          <w:sz w:val="16"/>
          <w:szCs w:val="16"/>
        </w:rPr>
      </w:pPr>
    </w:p>
    <w:tbl>
      <w:tblPr>
        <w:tblStyle w:val="TableGrid20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4"/>
        <w:gridCol w:w="7257"/>
      </w:tblGrid>
      <w:tr w:rsidRPr="00016C21" w:rsidR="00016C21" w:rsidTr="00462393" w14:paraId="5AD55413" w14:textId="77777777">
        <w:tc>
          <w:tcPr>
            <w:tcW w:w="1000" w:type="pct"/>
          </w:tcPr>
          <w:p w:rsidRPr="00016C21" w:rsidR="00016C21" w:rsidP="00016C21" w:rsidRDefault="00016C21" w14:paraId="668325B6" w14:textId="77777777">
            <w:pPr>
              <w:keepNext/>
              <w:keepLines/>
              <w:overflowPunct w:val="0"/>
              <w:autoSpaceDE w:val="0"/>
              <w:autoSpaceDN w:val="0"/>
              <w:adjustRightInd w:val="0"/>
              <w:spacing w:line="240" w:lineRule="auto"/>
              <w:ind w:left="34" w:right="-253"/>
              <w:textAlignment w:val="baseline"/>
              <w:rPr>
                <w:i/>
              </w:rPr>
            </w:pPr>
            <w:r>
              <w:rPr>
                <w:b/>
                <w:i/>
              </w:rPr>
              <w:t>Kontakt:</w:t>
            </w:r>
          </w:p>
        </w:tc>
        <w:tc>
          <w:tcPr>
            <w:tcW w:w="4000" w:type="pct"/>
          </w:tcPr>
          <w:p w:rsidRPr="00016C21" w:rsidR="00016C21" w:rsidP="00016C21" w:rsidRDefault="00016C21" w14:paraId="504AA629" w14:textId="77777777">
            <w:pPr>
              <w:keepNext/>
              <w:keepLines/>
              <w:overflowPunct w:val="0"/>
              <w:autoSpaceDE w:val="0"/>
              <w:autoSpaceDN w:val="0"/>
              <w:adjustRightInd w:val="0"/>
              <w:spacing w:line="240" w:lineRule="auto"/>
              <w:ind w:left="709"/>
              <w:textAlignment w:val="baseline"/>
              <w:rPr>
                <w:i/>
                <w:iCs/>
              </w:rPr>
            </w:pPr>
            <w:r>
              <w:rPr>
                <w:i/>
              </w:rPr>
              <w:t xml:space="preserve">Caroline </w:t>
            </w:r>
            <w:proofErr w:type="spellStart"/>
            <w:r>
              <w:rPr>
                <w:i/>
              </w:rPr>
              <w:t>Verhelst</w:t>
            </w:r>
            <w:proofErr w:type="spellEnd"/>
          </w:p>
        </w:tc>
      </w:tr>
      <w:tr w:rsidRPr="00016C21" w:rsidR="00016C21" w:rsidTr="00462393" w14:paraId="12754F25" w14:textId="77777777">
        <w:tc>
          <w:tcPr>
            <w:tcW w:w="1000" w:type="pct"/>
          </w:tcPr>
          <w:p w:rsidRPr="00016C21" w:rsidR="00016C21" w:rsidP="00016C21" w:rsidRDefault="00016C21" w14:paraId="45074D4B" w14:textId="77777777">
            <w:pPr>
              <w:keepNext/>
              <w:keepLines/>
              <w:overflowPunct w:val="0"/>
              <w:autoSpaceDE w:val="0"/>
              <w:autoSpaceDN w:val="0"/>
              <w:adjustRightInd w:val="0"/>
              <w:spacing w:line="240" w:lineRule="auto"/>
              <w:ind w:left="34"/>
              <w:textAlignment w:val="baseline"/>
              <w:rPr>
                <w:i/>
              </w:rPr>
            </w:pPr>
            <w:r>
              <w:rPr>
                <w:i/>
              </w:rPr>
              <w:t>Tel.:</w:t>
            </w:r>
          </w:p>
        </w:tc>
        <w:tc>
          <w:tcPr>
            <w:tcW w:w="4000" w:type="pct"/>
          </w:tcPr>
          <w:p w:rsidRPr="00016C21" w:rsidR="00016C21" w:rsidP="00016C21" w:rsidRDefault="00016C21" w14:paraId="442D21C5" w14:textId="77777777">
            <w:pPr>
              <w:keepNext/>
              <w:keepLines/>
              <w:overflowPunct w:val="0"/>
              <w:autoSpaceDE w:val="0"/>
              <w:autoSpaceDN w:val="0"/>
              <w:adjustRightInd w:val="0"/>
              <w:spacing w:line="240" w:lineRule="auto"/>
              <w:ind w:left="709"/>
              <w:textAlignment w:val="baseline"/>
              <w:rPr>
                <w:i/>
                <w:iCs/>
              </w:rPr>
            </w:pPr>
            <w:r>
              <w:rPr>
                <w:i/>
              </w:rPr>
              <w:t>+32 25469497</w:t>
            </w:r>
          </w:p>
        </w:tc>
      </w:tr>
      <w:tr w:rsidRPr="00016C21" w:rsidR="00016C21" w:rsidTr="00462393" w14:paraId="249DD5BE" w14:textId="77777777">
        <w:tc>
          <w:tcPr>
            <w:tcW w:w="1000" w:type="pct"/>
          </w:tcPr>
          <w:p w:rsidRPr="00016C21" w:rsidR="00016C21" w:rsidP="00016C21" w:rsidRDefault="00DC108A" w14:paraId="396A0A58" w14:textId="71177E55">
            <w:pPr>
              <w:overflowPunct w:val="0"/>
              <w:autoSpaceDE w:val="0"/>
              <w:autoSpaceDN w:val="0"/>
              <w:adjustRightInd w:val="0"/>
              <w:spacing w:line="240" w:lineRule="auto"/>
              <w:ind w:left="34"/>
              <w:textAlignment w:val="baseline"/>
              <w:rPr>
                <w:i/>
              </w:rPr>
            </w:pPr>
            <w:r>
              <w:rPr>
                <w:i/>
              </w:rPr>
              <w:t>E-pošta:</w:t>
            </w:r>
          </w:p>
        </w:tc>
        <w:tc>
          <w:tcPr>
            <w:tcW w:w="4000" w:type="pct"/>
          </w:tcPr>
          <w:p w:rsidRPr="00016C21" w:rsidR="00016C21" w:rsidP="00016C21" w:rsidRDefault="00125B84" w14:paraId="341BABE2" w14:textId="77777777">
            <w:pPr>
              <w:overflowPunct w:val="0"/>
              <w:autoSpaceDE w:val="0"/>
              <w:autoSpaceDN w:val="0"/>
              <w:adjustRightInd w:val="0"/>
              <w:spacing w:line="240" w:lineRule="auto"/>
              <w:ind w:left="709"/>
              <w:textAlignment w:val="baseline"/>
              <w:rPr>
                <w:i/>
                <w:iCs/>
                <w:color w:val="0000FF"/>
                <w:u w:val="single"/>
              </w:rPr>
            </w:pPr>
            <w:hyperlink w:history="1" r:id="rId34">
              <w:r w:rsidR="00FA138D">
                <w:rPr>
                  <w:i/>
                  <w:color w:val="0000FF"/>
                  <w:u w:val="single"/>
                </w:rPr>
                <w:t>Caroline.Verhelst@eesc.europa.eu</w:t>
              </w:r>
            </w:hyperlink>
          </w:p>
        </w:tc>
      </w:tr>
    </w:tbl>
    <w:p w:rsidR="006938FA" w:rsidRDefault="006938FA" w14:paraId="6AD61F9D" w14:textId="2D567E4A">
      <w:pPr>
        <w:spacing w:after="160" w:line="259" w:lineRule="auto"/>
        <w:jc w:val="left"/>
        <w:rPr>
          <w:b/>
          <w:bCs/>
        </w:rPr>
      </w:pPr>
    </w:p>
    <w:p w:rsidRPr="00810736" w:rsidR="006B3316" w:rsidP="0074419C" w:rsidRDefault="005374D2" w14:paraId="4FE1ECEE" w14:textId="7B16969B">
      <w:pPr>
        <w:pStyle w:val="Heading1"/>
        <w:ind w:hanging="928"/>
        <w:rPr>
          <w:b/>
          <w:bCs/>
        </w:rPr>
      </w:pPr>
      <w:bookmarkStart w:name="_Toc153539702" w:id="52"/>
      <w:bookmarkStart w:name="_Toc160783963" w:id="53"/>
      <w:r>
        <w:rPr>
          <w:b/>
        </w:rPr>
        <w:lastRenderedPageBreak/>
        <w:t>STRUČNA SKUPINA ZA VANJSKE ODNOSE</w:t>
      </w:r>
      <w:bookmarkEnd w:id="52"/>
      <w:bookmarkEnd w:id="53"/>
    </w:p>
    <w:p w:rsidR="00BD0493" w:rsidP="00BD0493" w:rsidRDefault="00BD0493" w14:paraId="10EC00FD" w14:textId="45B98434"/>
    <w:p w:rsidRPr="00231267" w:rsidR="00231267" w:rsidP="00CC4510" w:rsidRDefault="00125B84" w14:paraId="1DBCF0C9" w14:textId="4F37C3F9">
      <w:pPr>
        <w:widowControl w:val="0"/>
        <w:numPr>
          <w:ilvl w:val="0"/>
          <w:numId w:val="12"/>
        </w:numPr>
        <w:overflowPunct w:val="0"/>
        <w:autoSpaceDE w:val="0"/>
        <w:autoSpaceDN w:val="0"/>
        <w:adjustRightInd w:val="0"/>
        <w:ind w:hanging="720"/>
        <w:jc w:val="left"/>
        <w:textAlignment w:val="baseline"/>
        <w:rPr>
          <w:sz w:val="20"/>
          <w:szCs w:val="20"/>
        </w:rPr>
      </w:pPr>
      <w:hyperlink w:history="1" r:id="rId35">
        <w:r w:rsidR="00FA138D">
          <w:rPr>
            <w:b/>
            <w:i/>
            <w:color w:val="0000FF"/>
            <w:sz w:val="28"/>
            <w:u w:val="single"/>
          </w:rPr>
          <w:t>Europska strategija gospodarske sig</w:t>
        </w:r>
        <w:r w:rsidR="00FA138D">
          <w:rPr>
            <w:b/>
            <w:i/>
            <w:color w:val="0000FF"/>
            <w:sz w:val="28"/>
            <w:u w:val="single"/>
          </w:rPr>
          <w:t>u</w:t>
        </w:r>
        <w:r w:rsidR="00FA138D">
          <w:rPr>
            <w:b/>
            <w:i/>
            <w:color w:val="0000FF"/>
            <w:sz w:val="28"/>
            <w:u w:val="single"/>
          </w:rPr>
          <w:t>rnosti</w:t>
        </w:r>
      </w:hyperlink>
    </w:p>
    <w:p w:rsidRPr="00231267"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13"/>
        <w:gridCol w:w="6758"/>
      </w:tblGrid>
      <w:tr w:rsidRPr="00231267" w:rsidR="00231267" w:rsidTr="00462393" w14:paraId="588E9B2D" w14:textId="77777777">
        <w:trPr>
          <w:trHeight w:val="330"/>
        </w:trPr>
        <w:tc>
          <w:tcPr>
            <w:tcW w:w="1275" w:type="pct"/>
          </w:tcPr>
          <w:p w:rsidRPr="00231267" w:rsidR="00231267" w:rsidP="00CC4510" w:rsidRDefault="00231267" w14:paraId="3F8D03D4" w14:textId="77777777">
            <w:pPr>
              <w:tabs>
                <w:tab w:val="center" w:pos="284"/>
              </w:tabs>
              <w:overflowPunct w:val="0"/>
              <w:autoSpaceDE w:val="0"/>
              <w:autoSpaceDN w:val="0"/>
              <w:adjustRightInd w:val="0"/>
              <w:ind w:left="266" w:hanging="376"/>
              <w:textAlignment w:val="baseline"/>
              <w:rPr>
                <w:b/>
              </w:rPr>
            </w:pPr>
            <w:r>
              <w:rPr>
                <w:b/>
              </w:rPr>
              <w:t>Izvjestitelj/</w:t>
            </w:r>
            <w:proofErr w:type="spellStart"/>
            <w:r>
              <w:rPr>
                <w:b/>
              </w:rPr>
              <w:t>ica</w:t>
            </w:r>
            <w:proofErr w:type="spellEnd"/>
            <w:r>
              <w:rPr>
                <w:b/>
              </w:rPr>
              <w:t>:</w:t>
            </w:r>
          </w:p>
        </w:tc>
        <w:tc>
          <w:tcPr>
            <w:tcW w:w="3725" w:type="pct"/>
          </w:tcPr>
          <w:p w:rsidRPr="00231267" w:rsidR="00231267" w:rsidP="00CC4510" w:rsidRDefault="00231267" w14:paraId="1FD8BB1A" w14:textId="719B603A">
            <w:pPr>
              <w:tabs>
                <w:tab w:val="center" w:pos="2585"/>
              </w:tabs>
              <w:overflowPunct w:val="0"/>
              <w:autoSpaceDE w:val="0"/>
              <w:autoSpaceDN w:val="0"/>
              <w:adjustRightInd w:val="0"/>
              <w:ind w:left="317" w:hanging="424"/>
              <w:jc w:val="left"/>
              <w:textAlignment w:val="baseline"/>
            </w:pPr>
            <w:r>
              <w:t>Milena ANGELOVA (Skupina poslodavaca – BG)</w:t>
            </w:r>
          </w:p>
        </w:tc>
      </w:tr>
      <w:tr w:rsidRPr="00231267" w:rsidR="00231267" w:rsidTr="00462393" w14:paraId="5246C778" w14:textId="77777777">
        <w:tc>
          <w:tcPr>
            <w:tcW w:w="1275" w:type="pct"/>
          </w:tcPr>
          <w:p w:rsidRPr="00231267" w:rsidR="00231267" w:rsidP="00CC4510" w:rsidRDefault="00231267" w14:paraId="71E3F92B" w14:textId="77777777">
            <w:pPr>
              <w:tabs>
                <w:tab w:val="center" w:pos="284"/>
              </w:tabs>
              <w:overflowPunct w:val="0"/>
              <w:autoSpaceDE w:val="0"/>
              <w:autoSpaceDN w:val="0"/>
              <w:adjustRightInd w:val="0"/>
              <w:ind w:left="266" w:hanging="376"/>
              <w:textAlignment w:val="baseline"/>
              <w:rPr>
                <w:b/>
              </w:rPr>
            </w:pPr>
            <w:r>
              <w:rPr>
                <w:b/>
              </w:rPr>
              <w:t>Referentni dokument/i:</w:t>
            </w:r>
          </w:p>
        </w:tc>
        <w:tc>
          <w:tcPr>
            <w:tcW w:w="3725" w:type="pct"/>
          </w:tcPr>
          <w:p w:rsidRPr="00231267" w:rsidR="00231267" w:rsidP="00CC4510" w:rsidRDefault="00231267" w14:paraId="51DACF12" w14:textId="77777777">
            <w:pPr>
              <w:tabs>
                <w:tab w:val="center" w:pos="284"/>
              </w:tabs>
              <w:overflowPunct w:val="0"/>
              <w:autoSpaceDE w:val="0"/>
              <w:autoSpaceDN w:val="0"/>
              <w:adjustRightInd w:val="0"/>
              <w:ind w:left="266" w:hanging="376"/>
              <w:textAlignment w:val="baseline"/>
            </w:pPr>
            <w:r>
              <w:t>EESC-2023-04250-00-00-AC</w:t>
            </w:r>
          </w:p>
        </w:tc>
      </w:tr>
    </w:tbl>
    <w:p w:rsidRPr="00231267"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231267"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231267"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00231267" w:rsidP="00231267" w:rsidRDefault="00231267" w14:paraId="43917E21" w14:textId="07835E4F">
      <w:pPr>
        <w:overflowPunct w:val="0"/>
        <w:autoSpaceDE w:val="0"/>
        <w:autoSpaceDN w:val="0"/>
        <w:adjustRightInd w:val="0"/>
        <w:textAlignment w:val="baseline"/>
        <w:rPr>
          <w:bCs/>
          <w:iCs/>
        </w:rPr>
      </w:pPr>
      <w:r>
        <w:t>EGSO:</w:t>
      </w:r>
    </w:p>
    <w:p w:rsidRPr="00231267" w:rsidR="00C05C6B" w:rsidP="00231267" w:rsidRDefault="00C05C6B" w14:paraId="55C5A328" w14:textId="77777777">
      <w:pPr>
        <w:overflowPunct w:val="0"/>
        <w:autoSpaceDE w:val="0"/>
        <w:autoSpaceDN w:val="0"/>
        <w:adjustRightInd w:val="0"/>
        <w:textAlignment w:val="baseline"/>
        <w:rPr>
          <w:bCs/>
          <w:iCs/>
        </w:rPr>
      </w:pPr>
    </w:p>
    <w:p w:rsidRPr="00231267" w:rsidR="00231267" w:rsidP="00CC4510" w:rsidRDefault="00231267" w14:paraId="3FA07EDF"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pozdravlja Komunikaciju „Europska strategija gospodarske sigurnosti” kao tematsku inicijativu za pružanje odgovora na nove geopolitičke i geoekonomske uvjete koji se neprestano mijenjaju.  Iako podržava pristup koji se temelji na procjeni rizika, EGSO također poziva na sveobuhvatnu procjenu prednosti EU-a i mogućnosti koje pružaju globalni izazovi;</w:t>
      </w:r>
    </w:p>
    <w:p w:rsidRPr="00231267" w:rsidR="00231267" w:rsidP="00CC4510"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naglašava da su ulaganje u inovacije, razvoj vještina i industrijske kapacitete, zajedno s osiguravanjem unutarnjeg tržišta koje dobro funkcionira, neophodni za jačanje produktivnosti i konkurentnosti i smanjenje ključnih ovisnosti uz istodobno očuvanje socijalnog tržišnog gospodarstva EU-a. Drugi temeljni aspekti uključuju energiju, sirovine, digitalni kapacitet i stabilan pristup financiranju, što zahtijeva dovršetak unije tržišta kapitala i bankovne unije;</w:t>
      </w:r>
    </w:p>
    <w:p w:rsidRPr="00231267" w:rsidR="00231267" w:rsidP="00CC4510" w:rsidRDefault="00231267" w14:paraId="4C25E9FD"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poziva na potpuno iskorištavanje trgovinskih i investicijskih sporazuma te brzo zaključenje trgovinskih pregovora koji su u tijeku, kao i na pokretanje pregovora s novim potencijalnim partnerima kako bi se diversificirali lanci opskrbe i proširila tržišta proizvoda. Prioriteti EU-a također bi trebali uključivati jačanje multilateralnih trgovinskih sustava utemeljenih na pravilima i globalnih sporazuma; </w:t>
      </w:r>
    </w:p>
    <w:p w:rsidRPr="00231267" w:rsidR="00231267" w:rsidP="00CC4510" w:rsidRDefault="00231267" w14:paraId="658E7170"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potrebne su odlučne protumjere i mjere zaštite u slučaju da treće zemlje počnu predstavljati rizik za gospodarsku sigurnost EU-a u okviru mjera povezanih s trgovinom, ulaganjima ili tehnološkom suradnjom;</w:t>
      </w:r>
    </w:p>
    <w:p w:rsidRPr="00231267" w:rsidR="00231267" w:rsidP="00CC4510" w:rsidRDefault="00231267" w14:paraId="24A2D06C"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poziva tvorce politika EU-a da poboljšaju uvjete kojima se potiču i podržavaju poduzeća EU-a, uključujući MMSP-ove, kao i uvjete koji im omogućuju da upravljaju geoekonomskim rizicima u poslovanju. Također ih poziva da osiguraju da im mjere politike ne uzrokuju nerazmjerne troškove ili prepreke; </w:t>
      </w:r>
    </w:p>
    <w:p w:rsidRPr="00231267" w:rsidR="00231267" w:rsidP="00CC4510" w:rsidRDefault="00231267" w14:paraId="152286F2"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poziva na uključivanje poduzeća iz EU-a i drugih relevantnih dionika civilnog društva u daljnju razradu i provedbu strategije gospodarske sigurnosti te naglašava potrebu za jačanjem sinergija među državama članicama, čime se doprinosi jedinstvu, globalnoj snazi i općoj gospodarskoj sigurnosti EU-a.</w:t>
      </w:r>
    </w:p>
    <w:p w:rsidRPr="00CC4510" w:rsidR="00231267" w:rsidP="00231267" w:rsidRDefault="00231267" w14:paraId="689F9EDE" w14:textId="77777777">
      <w:pPr>
        <w:widowControl w:val="0"/>
        <w:overflowPunct w:val="0"/>
        <w:autoSpaceDE w:val="0"/>
        <w:autoSpaceDN w:val="0"/>
        <w:adjustRightInd w:val="0"/>
        <w:ind w:left="709"/>
        <w:textAlignment w:val="baseline"/>
        <w:rPr>
          <w:sz w:val="18"/>
          <w:szCs w:val="16"/>
        </w:rPr>
      </w:pPr>
    </w:p>
    <w:tbl>
      <w:tblPr>
        <w:tblStyle w:val="TableGrid20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4"/>
        <w:gridCol w:w="7257"/>
      </w:tblGrid>
      <w:tr w:rsidRPr="00231267" w:rsidR="00231267" w:rsidTr="00462393" w14:paraId="7CFE54E9" w14:textId="77777777">
        <w:tc>
          <w:tcPr>
            <w:tcW w:w="1000" w:type="pct"/>
          </w:tcPr>
          <w:p w:rsidRPr="00231267" w:rsidR="00231267" w:rsidP="00231267" w:rsidRDefault="00231267" w14:paraId="4E9EAA40" w14:textId="77777777">
            <w:pPr>
              <w:overflowPunct w:val="0"/>
              <w:autoSpaceDE w:val="0"/>
              <w:autoSpaceDN w:val="0"/>
              <w:adjustRightInd w:val="0"/>
              <w:textAlignment w:val="baseline"/>
              <w:rPr>
                <w:i/>
              </w:rPr>
            </w:pPr>
            <w:r>
              <w:rPr>
                <w:b/>
                <w:i/>
              </w:rPr>
              <w:t>Kontakt:</w:t>
            </w:r>
          </w:p>
        </w:tc>
        <w:tc>
          <w:tcPr>
            <w:tcW w:w="4000" w:type="pct"/>
          </w:tcPr>
          <w:p w:rsidRPr="00231267" w:rsidR="00231267" w:rsidP="00231267" w:rsidRDefault="00231267" w14:paraId="37F63FE7" w14:textId="77777777">
            <w:pPr>
              <w:overflowPunct w:val="0"/>
              <w:autoSpaceDE w:val="0"/>
              <w:autoSpaceDN w:val="0"/>
              <w:adjustRightInd w:val="0"/>
              <w:textAlignment w:val="baseline"/>
              <w:rPr>
                <w:i/>
              </w:rPr>
            </w:pPr>
            <w:r>
              <w:rPr>
                <w:i/>
              </w:rPr>
              <w:t xml:space="preserve">Marco </w:t>
            </w:r>
            <w:proofErr w:type="spellStart"/>
            <w:r>
              <w:rPr>
                <w:i/>
              </w:rPr>
              <w:t>Ristori</w:t>
            </w:r>
            <w:proofErr w:type="spellEnd"/>
          </w:p>
        </w:tc>
      </w:tr>
      <w:tr w:rsidRPr="00231267" w:rsidR="00231267" w:rsidTr="00462393" w14:paraId="62B22192" w14:textId="77777777">
        <w:tc>
          <w:tcPr>
            <w:tcW w:w="1000" w:type="pct"/>
          </w:tcPr>
          <w:p w:rsidRPr="00231267" w:rsidR="00231267" w:rsidP="00231267" w:rsidRDefault="00231267" w14:paraId="440C603C" w14:textId="77777777">
            <w:pPr>
              <w:overflowPunct w:val="0"/>
              <w:autoSpaceDE w:val="0"/>
              <w:autoSpaceDN w:val="0"/>
              <w:adjustRightInd w:val="0"/>
              <w:textAlignment w:val="baseline"/>
              <w:rPr>
                <w:i/>
              </w:rPr>
            </w:pPr>
            <w:r>
              <w:rPr>
                <w:i/>
              </w:rPr>
              <w:t>Tel.:</w:t>
            </w:r>
          </w:p>
        </w:tc>
        <w:tc>
          <w:tcPr>
            <w:tcW w:w="4000" w:type="pct"/>
          </w:tcPr>
          <w:p w:rsidRPr="00231267" w:rsidR="00231267" w:rsidP="00231267" w:rsidRDefault="00231267" w14:paraId="29D4C5B9" w14:textId="77777777">
            <w:pPr>
              <w:overflowPunct w:val="0"/>
              <w:autoSpaceDE w:val="0"/>
              <w:autoSpaceDN w:val="0"/>
              <w:adjustRightInd w:val="0"/>
              <w:textAlignment w:val="baseline"/>
              <w:rPr>
                <w:i/>
              </w:rPr>
            </w:pPr>
            <w:r>
              <w:rPr>
                <w:i/>
              </w:rPr>
              <w:t>+32 25469969</w:t>
            </w:r>
          </w:p>
        </w:tc>
      </w:tr>
      <w:tr w:rsidRPr="00231267" w:rsidR="00231267" w:rsidTr="00462393" w14:paraId="48DEF925" w14:textId="77777777">
        <w:tc>
          <w:tcPr>
            <w:tcW w:w="1000" w:type="pct"/>
          </w:tcPr>
          <w:p w:rsidRPr="00231267" w:rsidR="00231267" w:rsidP="00231267" w:rsidRDefault="00231267" w14:paraId="66BED64C" w14:textId="77777777">
            <w:pPr>
              <w:overflowPunct w:val="0"/>
              <w:autoSpaceDE w:val="0"/>
              <w:autoSpaceDN w:val="0"/>
              <w:adjustRightInd w:val="0"/>
              <w:textAlignment w:val="baseline"/>
              <w:rPr>
                <w:i/>
              </w:rPr>
            </w:pPr>
            <w:r>
              <w:rPr>
                <w:i/>
              </w:rPr>
              <w:t>E-pošta:</w:t>
            </w:r>
          </w:p>
        </w:tc>
        <w:tc>
          <w:tcPr>
            <w:tcW w:w="4000" w:type="pct"/>
          </w:tcPr>
          <w:p w:rsidRPr="00231267" w:rsidR="00231267" w:rsidP="00231267" w:rsidRDefault="00125B84" w14:paraId="42300FE7" w14:textId="77777777">
            <w:pPr>
              <w:overflowPunct w:val="0"/>
              <w:autoSpaceDE w:val="0"/>
              <w:autoSpaceDN w:val="0"/>
              <w:adjustRightInd w:val="0"/>
              <w:textAlignment w:val="baseline"/>
              <w:rPr>
                <w:i/>
              </w:rPr>
            </w:pPr>
            <w:hyperlink w:history="1" r:id="rId36">
              <w:r w:rsidR="00FA138D">
                <w:rPr>
                  <w:i/>
                  <w:color w:val="0000FF"/>
                  <w:u w:val="single"/>
                </w:rPr>
                <w:t>Marco.Ristori@eesc.europa.eu</w:t>
              </w:r>
            </w:hyperlink>
          </w:p>
        </w:tc>
      </w:tr>
    </w:tbl>
    <w:p w:rsidRPr="003F6640" w:rsidR="003F6640" w:rsidRDefault="003F6640" w14:paraId="0E201C9B" w14:textId="77777777">
      <w:pPr>
        <w:spacing w:after="160" w:line="259" w:lineRule="auto"/>
        <w:jc w:val="left"/>
      </w:pPr>
    </w:p>
    <w:p w:rsidR="00462393" w:rsidRDefault="00462393" w14:paraId="005CB271" w14:textId="49998603">
      <w:pPr>
        <w:spacing w:after="160" w:line="259" w:lineRule="auto"/>
        <w:jc w:val="left"/>
        <w:rPr>
          <w:sz w:val="14"/>
          <w:szCs w:val="14"/>
        </w:rPr>
      </w:pPr>
      <w:r>
        <w:rPr>
          <w:sz w:val="14"/>
          <w:szCs w:val="14"/>
        </w:rPr>
        <w:br w:type="page"/>
      </w:r>
    </w:p>
    <w:p w:rsidR="003B636C" w:rsidP="005B4680" w:rsidRDefault="003B636C" w14:paraId="2AFC2D25" w14:textId="6E54F172">
      <w:pPr>
        <w:pStyle w:val="Heading1"/>
        <w:ind w:hanging="928"/>
        <w:rPr>
          <w:b/>
          <w:bCs/>
        </w:rPr>
      </w:pPr>
      <w:bookmarkStart w:name="_Toc153539712" w:id="54"/>
      <w:bookmarkStart w:name="_Toc160783964" w:id="55"/>
      <w:r>
        <w:rPr>
          <w:b/>
        </w:rPr>
        <w:lastRenderedPageBreak/>
        <w:t>STRUČNA SKUPINA ZA PROMET, ENERGIJU, INFRASTRUKTURU I INFORMACIJSKO DRUŠTVO</w:t>
      </w:r>
      <w:bookmarkEnd w:id="55"/>
    </w:p>
    <w:p w:rsidRPr="003B636C" w:rsidR="003B636C" w:rsidP="003B636C" w:rsidRDefault="003B636C" w14:paraId="4BBF9BF3" w14:textId="77777777"/>
    <w:p w:rsidRPr="00B114D4" w:rsidR="003B636C" w:rsidP="003B636C" w:rsidRDefault="00125B84" w14:paraId="2292F34E" w14:textId="32E93E81">
      <w:pPr>
        <w:widowControl w:val="0"/>
        <w:numPr>
          <w:ilvl w:val="0"/>
          <w:numId w:val="2"/>
        </w:numPr>
        <w:overflowPunct w:val="0"/>
        <w:autoSpaceDE w:val="0"/>
        <w:autoSpaceDN w:val="0"/>
        <w:adjustRightInd w:val="0"/>
        <w:ind w:hanging="567"/>
        <w:textAlignment w:val="baseline"/>
        <w:rPr>
          <w:sz w:val="20"/>
          <w:szCs w:val="20"/>
        </w:rPr>
      </w:pPr>
      <w:hyperlink w:history="1" r:id="rId37">
        <w:r w:rsidR="00FA138D">
          <w:rPr>
            <w:b/>
            <w:i/>
            <w:color w:val="0000FF"/>
            <w:sz w:val="28"/>
            <w:u w:val="single"/>
          </w:rPr>
          <w:t>Revizija Direktive o komb</w:t>
        </w:r>
        <w:r w:rsidR="00FA138D">
          <w:rPr>
            <w:b/>
            <w:i/>
            <w:color w:val="0000FF"/>
            <w:sz w:val="28"/>
            <w:u w:val="single"/>
          </w:rPr>
          <w:t>i</w:t>
        </w:r>
        <w:r w:rsidR="00FA138D">
          <w:rPr>
            <w:b/>
            <w:i/>
            <w:color w:val="0000FF"/>
            <w:sz w:val="28"/>
            <w:u w:val="single"/>
          </w:rPr>
          <w:t>niranom prijevozu 92/106/EEZ</w:t>
        </w:r>
      </w:hyperlink>
    </w:p>
    <w:p w:rsidRPr="00B114D4" w:rsidR="003B636C" w:rsidP="003B636C" w:rsidRDefault="003B636C" w14:paraId="7A8CB646" w14:textId="77777777">
      <w:pPr>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114D4" w:rsidR="003B636C" w:rsidTr="00B05454" w14:paraId="226DE090" w14:textId="77777777">
        <w:tc>
          <w:tcPr>
            <w:tcW w:w="2235" w:type="dxa"/>
          </w:tcPr>
          <w:p w:rsidRPr="00B114D4" w:rsidR="003B636C" w:rsidP="00B05454" w:rsidRDefault="003B636C" w14:paraId="03398B74" w14:textId="77777777">
            <w:pPr>
              <w:tabs>
                <w:tab w:val="center" w:pos="284"/>
              </w:tabs>
              <w:overflowPunct w:val="0"/>
              <w:autoSpaceDE w:val="0"/>
              <w:autoSpaceDN w:val="0"/>
              <w:adjustRightInd w:val="0"/>
              <w:ind w:left="266" w:hanging="266"/>
              <w:textAlignment w:val="baseline"/>
              <w:rPr>
                <w:b/>
              </w:rPr>
            </w:pPr>
            <w:r>
              <w:rPr>
                <w:b/>
              </w:rPr>
              <w:t>Izvjestitelj/</w:t>
            </w:r>
            <w:proofErr w:type="spellStart"/>
            <w:r>
              <w:rPr>
                <w:b/>
              </w:rPr>
              <w:t>ica</w:t>
            </w:r>
            <w:proofErr w:type="spellEnd"/>
            <w:r>
              <w:rPr>
                <w:b/>
              </w:rPr>
              <w:t xml:space="preserve">: </w:t>
            </w:r>
          </w:p>
        </w:tc>
        <w:tc>
          <w:tcPr>
            <w:tcW w:w="6838" w:type="dxa"/>
          </w:tcPr>
          <w:p w:rsidRPr="00B114D4" w:rsidR="003B636C" w:rsidP="00B05454" w:rsidRDefault="003B636C" w14:paraId="51A78388" w14:textId="77777777">
            <w:pPr>
              <w:tabs>
                <w:tab w:val="center" w:pos="284"/>
              </w:tabs>
              <w:overflowPunct w:val="0"/>
              <w:autoSpaceDE w:val="0"/>
              <w:autoSpaceDN w:val="0"/>
              <w:adjustRightInd w:val="0"/>
              <w:ind w:left="266" w:hanging="266"/>
              <w:textAlignment w:val="baseline"/>
            </w:pPr>
            <w:r>
              <w:t>Pierre-Jean COULON (Skupina radnika – FR)</w:t>
            </w:r>
          </w:p>
        </w:tc>
      </w:tr>
      <w:tr w:rsidRPr="00B114D4" w:rsidR="003B636C" w:rsidTr="00B05454" w14:paraId="54439CC0" w14:textId="77777777">
        <w:tc>
          <w:tcPr>
            <w:tcW w:w="9073" w:type="dxa"/>
            <w:gridSpan w:val="2"/>
          </w:tcPr>
          <w:p w:rsidRPr="00B114D4" w:rsidR="003B636C" w:rsidP="00B05454" w:rsidRDefault="003B636C" w14:paraId="6C4CAADC" w14:textId="77777777">
            <w:pPr>
              <w:tabs>
                <w:tab w:val="center" w:pos="284"/>
              </w:tabs>
              <w:overflowPunct w:val="0"/>
              <w:autoSpaceDE w:val="0"/>
              <w:autoSpaceDN w:val="0"/>
              <w:adjustRightInd w:val="0"/>
              <w:spacing w:line="160" w:lineRule="exact"/>
              <w:ind w:left="266" w:hanging="266"/>
              <w:textAlignment w:val="baseline"/>
            </w:pPr>
          </w:p>
        </w:tc>
      </w:tr>
      <w:tr w:rsidRPr="00B114D4" w:rsidR="003B636C" w:rsidTr="00B05454" w14:paraId="5C84AA61" w14:textId="77777777">
        <w:tc>
          <w:tcPr>
            <w:tcW w:w="2235" w:type="dxa"/>
          </w:tcPr>
          <w:p w:rsidRPr="00B114D4" w:rsidR="003B636C" w:rsidP="00B05454" w:rsidRDefault="003B636C" w14:paraId="40E16211" w14:textId="77777777">
            <w:pPr>
              <w:tabs>
                <w:tab w:val="center" w:pos="284"/>
              </w:tabs>
              <w:overflowPunct w:val="0"/>
              <w:autoSpaceDE w:val="0"/>
              <w:autoSpaceDN w:val="0"/>
              <w:adjustRightInd w:val="0"/>
              <w:ind w:left="266" w:hanging="266"/>
              <w:textAlignment w:val="baseline"/>
              <w:rPr>
                <w:b/>
              </w:rPr>
            </w:pPr>
            <w:r>
              <w:rPr>
                <w:b/>
              </w:rPr>
              <w:t>Referentni dokument/i:</w:t>
            </w:r>
          </w:p>
        </w:tc>
        <w:tc>
          <w:tcPr>
            <w:tcW w:w="6838" w:type="dxa"/>
          </w:tcPr>
          <w:p w:rsidRPr="00B114D4" w:rsidR="003B636C" w:rsidP="00B05454" w:rsidRDefault="003B636C" w14:paraId="217C0ABB" w14:textId="77777777">
            <w:pPr>
              <w:tabs>
                <w:tab w:val="center" w:pos="284"/>
              </w:tabs>
              <w:overflowPunct w:val="0"/>
              <w:autoSpaceDE w:val="0"/>
              <w:autoSpaceDN w:val="0"/>
              <w:adjustRightInd w:val="0"/>
              <w:ind w:left="266" w:hanging="266"/>
              <w:textAlignment w:val="baseline"/>
            </w:pPr>
            <w:r>
              <w:t xml:space="preserve">COM(2023) 702 </w:t>
            </w:r>
            <w:proofErr w:type="spellStart"/>
            <w:r>
              <w:t>final</w:t>
            </w:r>
            <w:proofErr w:type="spellEnd"/>
            <w:r>
              <w:t xml:space="preserve"> </w:t>
            </w:r>
          </w:p>
          <w:p w:rsidRPr="00B114D4" w:rsidR="003B636C" w:rsidP="00B05454" w:rsidRDefault="003B636C" w14:paraId="2EB478A2" w14:textId="77777777">
            <w:pPr>
              <w:tabs>
                <w:tab w:val="center" w:pos="284"/>
              </w:tabs>
              <w:overflowPunct w:val="0"/>
              <w:autoSpaceDE w:val="0"/>
              <w:autoSpaceDN w:val="0"/>
              <w:adjustRightInd w:val="0"/>
              <w:ind w:left="266" w:hanging="266"/>
              <w:textAlignment w:val="baseline"/>
            </w:pPr>
            <w:r>
              <w:t>EESC-2023-03105-00-00-AC</w:t>
            </w:r>
          </w:p>
        </w:tc>
      </w:tr>
    </w:tbl>
    <w:p w:rsidRPr="00B114D4" w:rsidR="003B636C" w:rsidP="003B636C"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70EA3BBA"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B114D4" w:rsidR="003B636C" w:rsidP="003B636C"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239D9ECD" w14:textId="77777777">
      <w:pPr>
        <w:overflowPunct w:val="0"/>
        <w:autoSpaceDE w:val="0"/>
        <w:autoSpaceDN w:val="0"/>
        <w:adjustRightInd w:val="0"/>
        <w:textAlignment w:val="baseline"/>
        <w:rPr>
          <w:bCs/>
          <w:iCs/>
        </w:rPr>
      </w:pPr>
      <w:r>
        <w:t>EGSO:</w:t>
      </w:r>
    </w:p>
    <w:p w:rsidRPr="00B114D4" w:rsidR="003B636C" w:rsidP="003B636C" w:rsidRDefault="003B636C" w14:paraId="70E1E19B" w14:textId="77777777">
      <w:pPr>
        <w:contextualSpacing/>
        <w:rPr>
          <w:rFonts w:ascii="Calibri" w:hAnsi="Calibri"/>
          <w:b/>
          <w:bCs/>
          <w:sz w:val="28"/>
          <w:szCs w:val="28"/>
          <w:lang w:eastAsia="zh-CN"/>
        </w:rPr>
      </w:pPr>
    </w:p>
    <w:p w:rsidRPr="00B114D4" w:rsidR="003B636C" w:rsidP="00CC4510" w:rsidRDefault="003B636C" w14:paraId="2498EDEC" w14:textId="77777777">
      <w:pPr>
        <w:numPr>
          <w:ilvl w:val="0"/>
          <w:numId w:val="27"/>
        </w:numPr>
        <w:overflowPunct w:val="0"/>
        <w:autoSpaceDE w:val="0"/>
        <w:autoSpaceDN w:val="0"/>
        <w:adjustRightInd w:val="0"/>
        <w:ind w:left="284" w:hanging="284"/>
        <w:textAlignment w:val="baseline"/>
        <w:rPr>
          <w:rFonts w:eastAsiaTheme="minorHAnsi"/>
        </w:rPr>
      </w:pPr>
      <w:r>
        <w:t xml:space="preserve">smatra da je u cjelokupnom prijevozu tereta potrebna </w:t>
      </w:r>
      <w:proofErr w:type="spellStart"/>
      <w:r>
        <w:t>intermodalnost</w:t>
      </w:r>
      <w:proofErr w:type="spellEnd"/>
      <w:r>
        <w:t xml:space="preserve"> i da pritom uvijek treba imati na umu obvezu koordinacije i optimizacije svake vrste prijevoza na europskoj razini;</w:t>
      </w:r>
    </w:p>
    <w:p w:rsidRPr="00B114D4" w:rsidR="003B636C" w:rsidP="00CC4510" w:rsidRDefault="003B636C" w14:paraId="17358799" w14:textId="77777777">
      <w:pPr>
        <w:numPr>
          <w:ilvl w:val="0"/>
          <w:numId w:val="27"/>
        </w:numPr>
        <w:overflowPunct w:val="0"/>
        <w:autoSpaceDE w:val="0"/>
        <w:autoSpaceDN w:val="0"/>
        <w:adjustRightInd w:val="0"/>
        <w:ind w:left="284" w:hanging="284"/>
        <w:textAlignment w:val="baseline"/>
        <w:rPr>
          <w:rFonts w:eastAsiaTheme="minorHAnsi"/>
        </w:rPr>
      </w:pPr>
      <w:r>
        <w:t xml:space="preserve"> uvjeren je da je za uvođenje </w:t>
      </w:r>
      <w:proofErr w:type="spellStart"/>
      <w:r>
        <w:t>intermodalnog</w:t>
      </w:r>
      <w:proofErr w:type="spellEnd"/>
      <w:r>
        <w:t xml:space="preserve"> prometnog sustava nužno da je javnost informirana o njegovim prednostima: </w:t>
      </w:r>
      <w:proofErr w:type="spellStart"/>
      <w:r>
        <w:t>intermodalni</w:t>
      </w:r>
      <w:proofErr w:type="spellEnd"/>
      <w:r>
        <w:t xml:space="preserve"> prometni sustav osmišljen je kako bi služio javnosti i ona mora utjecati na odluke o projektima i prometnim politikama;</w:t>
      </w:r>
    </w:p>
    <w:p w:rsidRPr="00B114D4" w:rsidR="003B636C" w:rsidP="00CC4510" w:rsidRDefault="003B636C" w14:paraId="398CB69E" w14:textId="77777777">
      <w:pPr>
        <w:numPr>
          <w:ilvl w:val="0"/>
          <w:numId w:val="27"/>
        </w:numPr>
        <w:overflowPunct w:val="0"/>
        <w:autoSpaceDE w:val="0"/>
        <w:autoSpaceDN w:val="0"/>
        <w:adjustRightInd w:val="0"/>
        <w:ind w:left="284" w:hanging="284"/>
        <w:textAlignment w:val="baseline"/>
        <w:rPr>
          <w:rFonts w:eastAsiaTheme="minorHAnsi"/>
        </w:rPr>
      </w:pPr>
      <w:r>
        <w:t>naglašava da uspjeh te politike ovisi o maksimalnoj usklađenosti sa socijalnim pravilima i konkretnoj i sustavnoj politici osposobljavanja osoblja i rukovoditelja poduzeća;</w:t>
      </w:r>
      <w:bookmarkStart w:name="x__Hlk157163546" w:id="56"/>
      <w:bookmarkEnd w:id="56"/>
    </w:p>
    <w:p w:rsidRPr="00B114D4" w:rsidR="003B636C" w:rsidP="00CC4510" w:rsidRDefault="003B636C" w14:paraId="40F2D32D" w14:textId="77777777">
      <w:pPr>
        <w:numPr>
          <w:ilvl w:val="0"/>
          <w:numId w:val="27"/>
        </w:numPr>
        <w:overflowPunct w:val="0"/>
        <w:autoSpaceDE w:val="0"/>
        <w:autoSpaceDN w:val="0"/>
        <w:adjustRightInd w:val="0"/>
        <w:ind w:left="284" w:hanging="284"/>
        <w:textAlignment w:val="baseline"/>
        <w:rPr>
          <w:rFonts w:eastAsiaTheme="minorHAnsi"/>
        </w:rPr>
      </w:pPr>
      <w:r>
        <w:t>poziva na to da se pri provedbi te nove mjere poštuju razdoblja odmora i stanke vozača teških teretnih vozila; gospodarska profitabilnost ne smije utjecati na sigurnost na cestama ni na radne uvjete vozača u EU-u.</w:t>
      </w:r>
    </w:p>
    <w:p w:rsidRPr="00B114D4" w:rsidR="003B636C" w:rsidP="00CC4510" w:rsidRDefault="003B636C" w14:paraId="3E9C3226" w14:textId="77777777">
      <w:pPr>
        <w:widowControl w:val="0"/>
        <w:overflowPunct w:val="0"/>
        <w:autoSpaceDE w:val="0"/>
        <w:autoSpaceDN w:val="0"/>
        <w:adjustRightInd w:val="0"/>
        <w:ind w:left="284" w:hanging="284"/>
        <w:textAlignment w:val="baseline"/>
        <w:rPr>
          <w:szCs w:val="20"/>
        </w:rPr>
      </w:pPr>
    </w:p>
    <w:tbl>
      <w:tblPr>
        <w:tblStyle w:val="TableGrid20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4"/>
        <w:gridCol w:w="7257"/>
      </w:tblGrid>
      <w:tr w:rsidRPr="00B114D4" w:rsidR="003B636C" w:rsidTr="00462393" w14:paraId="37497442" w14:textId="77777777">
        <w:tc>
          <w:tcPr>
            <w:tcW w:w="1000" w:type="pct"/>
          </w:tcPr>
          <w:p w:rsidRPr="00B114D4" w:rsidR="003B636C" w:rsidP="00B05454" w:rsidRDefault="003B636C" w14:paraId="093CBC9E" w14:textId="77777777">
            <w:pPr>
              <w:overflowPunct w:val="0"/>
              <w:autoSpaceDE w:val="0"/>
              <w:autoSpaceDN w:val="0"/>
              <w:adjustRightInd w:val="0"/>
              <w:spacing w:line="240" w:lineRule="auto"/>
              <w:textAlignment w:val="baseline"/>
              <w:rPr>
                <w:i/>
              </w:rPr>
            </w:pPr>
            <w:r>
              <w:rPr>
                <w:b/>
                <w:i/>
              </w:rPr>
              <w:t>Kontakt:</w:t>
            </w:r>
          </w:p>
        </w:tc>
        <w:tc>
          <w:tcPr>
            <w:tcW w:w="4000" w:type="pct"/>
          </w:tcPr>
          <w:p w:rsidRPr="00B114D4" w:rsidR="003B636C" w:rsidP="00B05454" w:rsidRDefault="003B636C" w14:paraId="7A1CA095" w14:textId="22882764">
            <w:pPr>
              <w:overflowPunct w:val="0"/>
              <w:autoSpaceDE w:val="0"/>
              <w:autoSpaceDN w:val="0"/>
              <w:adjustRightInd w:val="0"/>
              <w:spacing w:line="240" w:lineRule="auto"/>
              <w:jc w:val="left"/>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p>
        </w:tc>
      </w:tr>
      <w:tr w:rsidRPr="00B114D4" w:rsidR="003B636C" w:rsidTr="00462393" w14:paraId="04CE6CD8" w14:textId="77777777">
        <w:tc>
          <w:tcPr>
            <w:tcW w:w="1000" w:type="pct"/>
          </w:tcPr>
          <w:p w:rsidRPr="00B114D4" w:rsidR="003B636C" w:rsidP="00B05454" w:rsidRDefault="003B636C" w14:paraId="17FDD2D5" w14:textId="77777777">
            <w:pPr>
              <w:overflowPunct w:val="0"/>
              <w:autoSpaceDE w:val="0"/>
              <w:autoSpaceDN w:val="0"/>
              <w:adjustRightInd w:val="0"/>
              <w:spacing w:line="240" w:lineRule="auto"/>
              <w:textAlignment w:val="baseline"/>
              <w:rPr>
                <w:i/>
              </w:rPr>
            </w:pPr>
            <w:r>
              <w:rPr>
                <w:i/>
              </w:rPr>
              <w:t>Tel.:</w:t>
            </w:r>
          </w:p>
        </w:tc>
        <w:tc>
          <w:tcPr>
            <w:tcW w:w="4000" w:type="pct"/>
          </w:tcPr>
          <w:p w:rsidRPr="00B114D4" w:rsidR="003B636C" w:rsidP="00B05454" w:rsidRDefault="003B636C" w14:paraId="7F8DFA76" w14:textId="77777777">
            <w:pPr>
              <w:overflowPunct w:val="0"/>
              <w:autoSpaceDE w:val="0"/>
              <w:autoSpaceDN w:val="0"/>
              <w:adjustRightInd w:val="0"/>
              <w:spacing w:line="240" w:lineRule="auto"/>
              <w:textAlignment w:val="baseline"/>
              <w:rPr>
                <w:i/>
              </w:rPr>
            </w:pPr>
            <w:r>
              <w:rPr>
                <w:i/>
              </w:rPr>
              <w:t>+32 25468333</w:t>
            </w:r>
          </w:p>
        </w:tc>
      </w:tr>
      <w:tr w:rsidRPr="00B114D4" w:rsidR="003B636C" w:rsidTr="00462393" w14:paraId="70ABA418" w14:textId="77777777">
        <w:tc>
          <w:tcPr>
            <w:tcW w:w="1000" w:type="pct"/>
          </w:tcPr>
          <w:p w:rsidRPr="00B114D4" w:rsidR="003B636C" w:rsidP="00B05454" w:rsidRDefault="003B636C" w14:paraId="7E324433" w14:textId="77777777">
            <w:pPr>
              <w:overflowPunct w:val="0"/>
              <w:autoSpaceDE w:val="0"/>
              <w:autoSpaceDN w:val="0"/>
              <w:adjustRightInd w:val="0"/>
              <w:spacing w:line="240" w:lineRule="auto"/>
              <w:textAlignment w:val="baseline"/>
              <w:rPr>
                <w:i/>
              </w:rPr>
            </w:pPr>
            <w:r>
              <w:rPr>
                <w:i/>
              </w:rPr>
              <w:t>E-pošta:</w:t>
            </w:r>
          </w:p>
        </w:tc>
        <w:tc>
          <w:tcPr>
            <w:tcW w:w="4000" w:type="pct"/>
          </w:tcPr>
          <w:p w:rsidRPr="00B114D4" w:rsidR="003B636C" w:rsidP="00B05454" w:rsidRDefault="00125B84" w14:paraId="696F5F65" w14:textId="77777777">
            <w:pPr>
              <w:overflowPunct w:val="0"/>
              <w:autoSpaceDE w:val="0"/>
              <w:autoSpaceDN w:val="0"/>
              <w:adjustRightInd w:val="0"/>
              <w:spacing w:line="240" w:lineRule="auto"/>
              <w:textAlignment w:val="baseline"/>
              <w:rPr>
                <w:i/>
                <w:iCs/>
              </w:rPr>
            </w:pPr>
            <w:hyperlink w:history="1" r:id="rId38">
              <w:r w:rsidR="00FA138D">
                <w:rPr>
                  <w:i/>
                  <w:color w:val="0000FF"/>
                  <w:u w:val="single"/>
                </w:rPr>
                <w:t>Aleksandra.SarmanGrilc@eesc.europa.eu</w:t>
              </w:r>
            </w:hyperlink>
            <w:r w:rsidR="00FA138D">
              <w:rPr>
                <w:i/>
              </w:rPr>
              <w:t xml:space="preserve"> </w:t>
            </w:r>
          </w:p>
        </w:tc>
      </w:tr>
    </w:tbl>
    <w:p w:rsidRPr="00B114D4" w:rsidR="003B636C" w:rsidP="003B636C" w:rsidRDefault="003B636C" w14:paraId="03C316F9" w14:textId="77777777">
      <w:pPr>
        <w:overflowPunct w:val="0"/>
        <w:autoSpaceDE w:val="0"/>
        <w:autoSpaceDN w:val="0"/>
        <w:adjustRightInd w:val="0"/>
        <w:jc w:val="center"/>
        <w:textAlignment w:val="baseline"/>
        <w:rPr>
          <w:szCs w:val="20"/>
          <w:lang w:val="nl-BE"/>
        </w:rPr>
      </w:pPr>
    </w:p>
    <w:p w:rsidR="003B636C" w:rsidRDefault="003B636C" w14:paraId="00774D54" w14:textId="10CE84BC">
      <w:pPr>
        <w:spacing w:after="160" w:line="259" w:lineRule="auto"/>
        <w:jc w:val="left"/>
      </w:pPr>
      <w:r>
        <w:br w:type="page"/>
      </w:r>
    </w:p>
    <w:p w:rsidR="003B636C" w:rsidP="005B4680" w:rsidRDefault="009C785E" w14:paraId="2BEB799C" w14:textId="1D1D6CC2">
      <w:pPr>
        <w:pStyle w:val="Heading1"/>
        <w:ind w:hanging="928"/>
        <w:rPr>
          <w:b/>
          <w:bCs/>
        </w:rPr>
      </w:pPr>
      <w:bookmarkStart w:name="_Toc160783965" w:id="57"/>
      <w:r>
        <w:rPr>
          <w:b/>
        </w:rPr>
        <w:lastRenderedPageBreak/>
        <w:t>SAVJETODAVNO POVJERENSTVO ZA INDUSTRIJSKE PROMJENE</w:t>
      </w:r>
      <w:bookmarkEnd w:id="57"/>
    </w:p>
    <w:p w:rsidR="003B3E18" w:rsidP="003B3E18" w:rsidRDefault="003B3E18" w14:paraId="0CE20361" w14:textId="55A85CDB"/>
    <w:p w:rsidRPr="000F732E" w:rsidR="000F732E" w:rsidP="00CC4510" w:rsidRDefault="00125B84" w14:paraId="67A73674" w14:textId="390FB8C0">
      <w:pPr>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rPr>
      </w:pPr>
      <w:hyperlink w:history="1" r:id="rId39">
        <w:r w:rsidR="00FA138D">
          <w:rPr>
            <w:b/>
            <w:i/>
            <w:color w:val="0000FF"/>
            <w:sz w:val="28"/>
            <w:u w:val="single"/>
          </w:rPr>
          <w:t>Prem</w:t>
        </w:r>
        <w:r w:rsidR="00FA138D">
          <w:rPr>
            <w:b/>
            <w:i/>
            <w:color w:val="0000FF"/>
            <w:sz w:val="28"/>
            <w:u w:val="single"/>
          </w:rPr>
          <w:t>a</w:t>
        </w:r>
        <w:r w:rsidR="00FA138D">
          <w:rPr>
            <w:b/>
            <w:i/>
            <w:color w:val="0000FF"/>
            <w:sz w:val="28"/>
            <w:u w:val="single"/>
          </w:rPr>
          <w:t xml:space="preserve"> sveobuhvatnoj strategiji za drvnu industriju EU-a</w:t>
        </w:r>
      </w:hyperlink>
    </w:p>
    <w:p w:rsidRPr="000F732E" w:rsidR="000F732E" w:rsidP="000F732E" w:rsidRDefault="000F732E" w14:paraId="14E0FEEC" w14:textId="77777777">
      <w:pPr>
        <w:tabs>
          <w:tab w:val="center" w:pos="284"/>
        </w:tabs>
        <w:spacing w:after="160" w:line="259" w:lineRule="auto"/>
        <w:ind w:left="266" w:hanging="266"/>
        <w:jc w:val="left"/>
        <w:rPr>
          <w:rFonts w:eastAsiaTheme="minorHAnsi"/>
          <w:b/>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7"/>
        <w:gridCol w:w="7354"/>
      </w:tblGrid>
      <w:tr w:rsidRPr="000F732E" w:rsidR="000F732E" w:rsidTr="00462393" w14:paraId="2C390288" w14:textId="77777777">
        <w:tc>
          <w:tcPr>
            <w:tcW w:w="946" w:type="pct"/>
          </w:tcPr>
          <w:p w:rsidRPr="000F732E" w:rsidR="000F732E" w:rsidP="00462393" w:rsidRDefault="000F732E" w14:paraId="16A0641A" w14:textId="77777777">
            <w:pPr>
              <w:tabs>
                <w:tab w:val="center" w:pos="0"/>
              </w:tabs>
              <w:spacing w:line="240" w:lineRule="auto"/>
              <w:ind w:left="34"/>
              <w:jc w:val="left"/>
              <w:rPr>
                <w:b/>
              </w:rPr>
            </w:pPr>
            <w:r>
              <w:rPr>
                <w:b/>
              </w:rPr>
              <w:t>Izvjestitelj/</w:t>
            </w:r>
            <w:proofErr w:type="spellStart"/>
            <w:r>
              <w:rPr>
                <w:b/>
              </w:rPr>
              <w:t>ica</w:t>
            </w:r>
            <w:proofErr w:type="spellEnd"/>
            <w:r>
              <w:rPr>
                <w:b/>
              </w:rPr>
              <w:t>:</w:t>
            </w:r>
          </w:p>
          <w:p w:rsidRPr="000F732E" w:rsidR="000F732E" w:rsidP="00462393" w:rsidRDefault="000F732E" w14:paraId="222CEE0C" w14:textId="77777777">
            <w:pPr>
              <w:tabs>
                <w:tab w:val="center" w:pos="0"/>
              </w:tabs>
              <w:spacing w:line="240" w:lineRule="auto"/>
              <w:ind w:left="34"/>
              <w:jc w:val="left"/>
              <w:rPr>
                <w:b/>
              </w:rPr>
            </w:pPr>
          </w:p>
        </w:tc>
        <w:tc>
          <w:tcPr>
            <w:tcW w:w="4054" w:type="pct"/>
          </w:tcPr>
          <w:p w:rsidRPr="00CC4510" w:rsidR="000F732E" w:rsidP="00462393" w:rsidRDefault="000F732E" w14:paraId="30B50978" w14:textId="2B2F6815">
            <w:pPr>
              <w:tabs>
                <w:tab w:val="center" w:pos="0"/>
              </w:tabs>
              <w:spacing w:line="240" w:lineRule="auto"/>
              <w:ind w:left="266" w:hanging="246"/>
              <w:jc w:val="left"/>
              <w:rPr>
                <w:bCs/>
              </w:rPr>
            </w:pPr>
            <w:proofErr w:type="spellStart"/>
            <w:r>
              <w:t>Anastasis</w:t>
            </w:r>
            <w:proofErr w:type="spellEnd"/>
            <w:r>
              <w:t xml:space="preserve"> YIAPANIS (Skupina organizacija civilnog društva- CY)</w:t>
            </w:r>
          </w:p>
        </w:tc>
      </w:tr>
      <w:tr w:rsidRPr="000F732E" w:rsidR="000F732E" w:rsidTr="00462393" w14:paraId="5F892D9C" w14:textId="77777777">
        <w:tc>
          <w:tcPr>
            <w:tcW w:w="946" w:type="pct"/>
          </w:tcPr>
          <w:p w:rsidRPr="000F732E" w:rsidR="000F732E" w:rsidP="00462393" w:rsidRDefault="000F732E" w14:paraId="2222EF41" w14:textId="77777777">
            <w:pPr>
              <w:tabs>
                <w:tab w:val="center" w:pos="0"/>
              </w:tabs>
              <w:spacing w:line="240" w:lineRule="auto"/>
              <w:ind w:left="34"/>
              <w:jc w:val="left"/>
              <w:rPr>
                <w:b/>
              </w:rPr>
            </w:pPr>
            <w:r>
              <w:rPr>
                <w:b/>
              </w:rPr>
              <w:t>Suizvjestitelj/</w:t>
            </w:r>
            <w:proofErr w:type="spellStart"/>
            <w:r>
              <w:rPr>
                <w:b/>
              </w:rPr>
              <w:t>ica</w:t>
            </w:r>
            <w:proofErr w:type="spellEnd"/>
            <w:r>
              <w:rPr>
                <w:b/>
              </w:rPr>
              <w:t>:</w:t>
            </w:r>
          </w:p>
          <w:p w:rsidRPr="000F732E" w:rsidR="000F732E" w:rsidP="00462393" w:rsidRDefault="000F732E" w14:paraId="31414DE8" w14:textId="77777777">
            <w:pPr>
              <w:tabs>
                <w:tab w:val="center" w:pos="0"/>
              </w:tabs>
              <w:spacing w:line="240" w:lineRule="auto"/>
              <w:ind w:left="34"/>
              <w:jc w:val="left"/>
              <w:rPr>
                <w:b/>
              </w:rPr>
            </w:pPr>
          </w:p>
        </w:tc>
        <w:tc>
          <w:tcPr>
            <w:tcW w:w="4054" w:type="pct"/>
          </w:tcPr>
          <w:p w:rsidRPr="001E04B8" w:rsidR="000F732E" w:rsidP="00462393" w:rsidRDefault="000F732E" w14:paraId="31568716" w14:textId="3337EFC8">
            <w:pPr>
              <w:tabs>
                <w:tab w:val="center" w:pos="0"/>
              </w:tabs>
              <w:spacing w:line="240" w:lineRule="auto"/>
              <w:ind w:left="266" w:hanging="246"/>
              <w:jc w:val="left"/>
            </w:pPr>
            <w:r>
              <w:t>Rolf GEHRING (Cat. 2 - DE)</w:t>
            </w:r>
          </w:p>
        </w:tc>
      </w:tr>
      <w:tr w:rsidRPr="000F732E" w:rsidR="000F732E" w:rsidTr="00462393" w14:paraId="0FBF1F0B" w14:textId="77777777">
        <w:tc>
          <w:tcPr>
            <w:tcW w:w="946" w:type="pct"/>
          </w:tcPr>
          <w:p w:rsidRPr="000F732E" w:rsidR="000F732E" w:rsidP="00462393" w:rsidRDefault="000F732E" w14:paraId="2CA7929D" w14:textId="77777777">
            <w:pPr>
              <w:tabs>
                <w:tab w:val="center" w:pos="0"/>
              </w:tabs>
              <w:spacing w:line="240" w:lineRule="auto"/>
              <w:jc w:val="left"/>
            </w:pPr>
            <w:r>
              <w:rPr>
                <w:b/>
              </w:rPr>
              <w:t>Referentni dokument/i:</w:t>
            </w:r>
          </w:p>
        </w:tc>
        <w:tc>
          <w:tcPr>
            <w:tcW w:w="4054" w:type="pct"/>
          </w:tcPr>
          <w:p w:rsidR="00C41D73" w:rsidP="00462393" w:rsidRDefault="00C41D73" w14:paraId="320586E0" w14:textId="24B220EB">
            <w:pPr>
              <w:tabs>
                <w:tab w:val="center" w:pos="0"/>
              </w:tabs>
              <w:spacing w:line="240" w:lineRule="auto"/>
              <w:ind w:left="266" w:hanging="246"/>
              <w:jc w:val="left"/>
            </w:pPr>
            <w:r>
              <w:t>(samoinicijativno mišljenje)</w:t>
            </w:r>
          </w:p>
          <w:p w:rsidRPr="000F732E" w:rsidR="000F732E" w:rsidP="00462393" w:rsidRDefault="000F732E" w14:paraId="33B05BD1" w14:textId="754D5011">
            <w:pPr>
              <w:tabs>
                <w:tab w:val="center" w:pos="0"/>
              </w:tabs>
              <w:spacing w:line="240" w:lineRule="auto"/>
              <w:ind w:left="266" w:hanging="246"/>
              <w:jc w:val="left"/>
            </w:pPr>
            <w:r>
              <w:t>EESC-2023-03538-00-00-AC</w:t>
            </w:r>
          </w:p>
        </w:tc>
      </w:tr>
    </w:tbl>
    <w:p w:rsidRPr="000F732E" w:rsidR="000F732E" w:rsidP="000F732E" w:rsidRDefault="000F732E" w14:paraId="3216B2BA" w14:textId="77777777">
      <w:pPr>
        <w:keepNext/>
        <w:keepLines/>
        <w:tabs>
          <w:tab w:val="center" w:pos="284"/>
        </w:tabs>
        <w:spacing w:after="160" w:line="259" w:lineRule="auto"/>
        <w:ind w:left="266" w:hanging="266"/>
        <w:jc w:val="left"/>
        <w:rPr>
          <w:rFonts w:eastAsiaTheme="minorHAnsi"/>
          <w:b/>
          <w:lang w:val="fr-FR"/>
        </w:rPr>
      </w:pPr>
    </w:p>
    <w:p w:rsidR="000F732E" w:rsidP="00CC4510" w:rsidRDefault="000F732E" w14:paraId="2BD35938" w14:textId="46AE9C8D">
      <w:pPr>
        <w:keepNext/>
        <w:keepLines/>
        <w:tabs>
          <w:tab w:val="center" w:pos="284"/>
        </w:tabs>
        <w:spacing w:after="160" w:line="360" w:lineRule="auto"/>
        <w:ind w:left="266" w:hanging="266"/>
        <w:jc w:val="left"/>
        <w:rPr>
          <w:rFonts w:eastAsiaTheme="minorHAnsi"/>
          <w:b/>
        </w:rPr>
      </w:pPr>
      <w:r>
        <w:rPr>
          <w:b/>
        </w:rPr>
        <w:t>Ključne točke</w:t>
      </w:r>
    </w:p>
    <w:p w:rsidR="000F732E" w:rsidP="00CC4510" w:rsidRDefault="000F732E" w14:paraId="66129667" w14:textId="184E3AF9">
      <w:pPr>
        <w:spacing w:after="160" w:line="360" w:lineRule="auto"/>
        <w:jc w:val="left"/>
        <w:rPr>
          <w:rFonts w:eastAsiaTheme="minorHAnsi"/>
        </w:rPr>
      </w:pPr>
      <w:r>
        <w:t>EGSO:</w:t>
      </w:r>
    </w:p>
    <w:p w:rsidRPr="000F732E" w:rsidR="000F732E" w:rsidP="00CC4510" w:rsidRDefault="000F732E" w14:paraId="7220DE2F" w14:textId="77777777">
      <w:pPr>
        <w:numPr>
          <w:ilvl w:val="0"/>
          <w:numId w:val="28"/>
        </w:numPr>
        <w:spacing w:after="160" w:line="259" w:lineRule="auto"/>
        <w:ind w:left="284" w:hanging="284"/>
        <w:contextualSpacing/>
        <w:rPr>
          <w:rFonts w:eastAsiaTheme="minorHAnsi"/>
        </w:rPr>
      </w:pPr>
      <w:r>
        <w:t xml:space="preserve">poziva EU i nacionalna javna tijela da </w:t>
      </w:r>
      <w:r>
        <w:rPr>
          <w:b/>
        </w:rPr>
        <w:t>konkurentnost europske drvne industrije postave kao prioritet</w:t>
      </w:r>
      <w:r>
        <w:t xml:space="preserve"> </w:t>
      </w:r>
      <w:r>
        <w:rPr>
          <w:b/>
        </w:rPr>
        <w:t>osiguravanjem pristupa tržištu</w:t>
      </w:r>
      <w:r>
        <w:t xml:space="preserve"> i prevladavanjem izazova u pogledu troškova i </w:t>
      </w:r>
      <w:r>
        <w:rPr>
          <w:b/>
        </w:rPr>
        <w:t>nepoštenih trgovačkih praksi</w:t>
      </w:r>
      <w:r>
        <w:t>, uz istovremeno osiguravanje jednakih uvjeta na unutarnjem tržištu;</w:t>
      </w:r>
    </w:p>
    <w:p w:rsidRPr="000F732E" w:rsidR="000F732E" w:rsidP="00CC4510" w:rsidRDefault="000F732E" w14:paraId="71F89912" w14:textId="77777777">
      <w:pPr>
        <w:numPr>
          <w:ilvl w:val="0"/>
          <w:numId w:val="28"/>
        </w:numPr>
        <w:spacing w:after="160" w:line="259" w:lineRule="auto"/>
        <w:ind w:left="284" w:hanging="284"/>
        <w:contextualSpacing/>
        <w:rPr>
          <w:rFonts w:eastAsiaTheme="minorHAnsi"/>
        </w:rPr>
      </w:pPr>
      <w:r>
        <w:t xml:space="preserve">poziva sve institucije EU-a da na odgovarajući način uvaže doprinos obnovljivih materijala održivosti, kružnom gospodarstvu i klimatskoj neutralnosti te da ujedno </w:t>
      </w:r>
      <w:r>
        <w:rPr>
          <w:b/>
        </w:rPr>
        <w:t>uvaže drvo kao dragocjeni kružni resurs i sirovinu</w:t>
      </w:r>
      <w:r>
        <w:t>;</w:t>
      </w:r>
    </w:p>
    <w:p w:rsidRPr="000F732E" w:rsidR="000F732E" w:rsidP="00CC4510" w:rsidRDefault="000F732E" w14:paraId="69154C3C" w14:textId="77777777">
      <w:pPr>
        <w:numPr>
          <w:ilvl w:val="0"/>
          <w:numId w:val="28"/>
        </w:numPr>
        <w:spacing w:after="160" w:line="259" w:lineRule="auto"/>
        <w:ind w:left="284" w:hanging="284"/>
        <w:contextualSpacing/>
        <w:rPr>
          <w:rFonts w:eastAsiaTheme="minorHAnsi"/>
        </w:rPr>
      </w:pPr>
      <w:r>
        <w:t xml:space="preserve">naglašava potrebu za utvrđivanjem minimalnih normi za emisije ugljika tijekom životnog ciklusa u građevinarstvu te </w:t>
      </w:r>
      <w:r>
        <w:rPr>
          <w:b/>
        </w:rPr>
        <w:t>zahtjeva za izvješćivanje o emisijama ugljika</w:t>
      </w:r>
      <w:r>
        <w:t xml:space="preserve"> u industriji;</w:t>
      </w:r>
    </w:p>
    <w:p w:rsidRPr="000F732E" w:rsidR="000F732E" w:rsidP="00CC4510" w:rsidRDefault="000F732E" w14:paraId="711A8E02" w14:textId="77777777">
      <w:pPr>
        <w:numPr>
          <w:ilvl w:val="0"/>
          <w:numId w:val="28"/>
        </w:numPr>
        <w:spacing w:after="160" w:line="259" w:lineRule="auto"/>
        <w:ind w:left="284" w:hanging="284"/>
        <w:contextualSpacing/>
        <w:rPr>
          <w:rFonts w:eastAsiaTheme="minorHAnsi"/>
        </w:rPr>
      </w:pPr>
      <w:r>
        <w:t xml:space="preserve">poziva na snažnije, proaktivne mjere za </w:t>
      </w:r>
      <w:r>
        <w:rPr>
          <w:b/>
        </w:rPr>
        <w:t>suzbijanje nezakonite sječe, krčenja šuma i nezakonite trgovine drvnom građom</w:t>
      </w:r>
      <w:r>
        <w:t>;</w:t>
      </w:r>
    </w:p>
    <w:p w:rsidRPr="000F732E" w:rsidR="000F732E" w:rsidP="00CC4510" w:rsidRDefault="000F732E" w14:paraId="22C6D85E" w14:textId="77777777">
      <w:pPr>
        <w:numPr>
          <w:ilvl w:val="0"/>
          <w:numId w:val="28"/>
        </w:numPr>
        <w:spacing w:after="160" w:line="259" w:lineRule="auto"/>
        <w:ind w:left="284" w:hanging="284"/>
        <w:contextualSpacing/>
        <w:rPr>
          <w:rFonts w:eastAsiaTheme="minorHAnsi"/>
        </w:rPr>
      </w:pPr>
      <w:r>
        <w:t xml:space="preserve">poziva na </w:t>
      </w:r>
      <w:r>
        <w:rPr>
          <w:b/>
        </w:rPr>
        <w:t>izradu strategije EU-a za privlačenje i zadržavanje mlađih talenata</w:t>
      </w:r>
      <w:r>
        <w:t xml:space="preserve"> i žena u sektoru i </w:t>
      </w:r>
      <w:r>
        <w:rPr>
          <w:b/>
        </w:rPr>
        <w:t>osiguravanje dostupnosti kvalificirani radnika</w:t>
      </w:r>
      <w:r>
        <w:t>;</w:t>
      </w:r>
    </w:p>
    <w:p w:rsidRPr="000F732E" w:rsidR="000F732E" w:rsidP="00CC4510" w:rsidRDefault="000F732E" w14:paraId="41674885" w14:textId="77777777">
      <w:pPr>
        <w:numPr>
          <w:ilvl w:val="0"/>
          <w:numId w:val="28"/>
        </w:numPr>
        <w:spacing w:after="160" w:line="259" w:lineRule="auto"/>
        <w:ind w:left="284" w:hanging="284"/>
        <w:contextualSpacing/>
        <w:rPr>
          <w:rFonts w:eastAsiaTheme="minorHAnsi"/>
        </w:rPr>
      </w:pPr>
      <w:r>
        <w:t xml:space="preserve">naglašava važnost </w:t>
      </w:r>
      <w:r>
        <w:rPr>
          <w:b/>
        </w:rPr>
        <w:t>poštovanja europskog stupa socijalnih prava</w:t>
      </w:r>
      <w:r>
        <w:t xml:space="preserve"> u drvnoj industriji EU-a;</w:t>
      </w:r>
    </w:p>
    <w:p w:rsidRPr="000F732E" w:rsidR="000F732E" w:rsidP="00CC4510" w:rsidRDefault="000F732E" w14:paraId="3255DCE6" w14:textId="77777777">
      <w:pPr>
        <w:numPr>
          <w:ilvl w:val="0"/>
          <w:numId w:val="28"/>
        </w:numPr>
        <w:spacing w:after="160" w:line="259" w:lineRule="auto"/>
        <w:ind w:left="284" w:hanging="284"/>
        <w:contextualSpacing/>
        <w:rPr>
          <w:rFonts w:eastAsiaTheme="minorHAnsi"/>
          <w:b/>
          <w:bCs/>
        </w:rPr>
      </w:pPr>
      <w:r>
        <w:t xml:space="preserve">ističe sve veću potrebu za djelotvornim gospodarenjem šumama i boljom koordinacijom, kao i boljom opremom za europske i nacionalne vatrogasne službe kako bi se </w:t>
      </w:r>
      <w:r>
        <w:rPr>
          <w:b/>
        </w:rPr>
        <w:t>suzbio rastući trend velikih šumskih požara</w:t>
      </w:r>
      <w:r>
        <w:t>;</w:t>
      </w:r>
    </w:p>
    <w:p w:rsidRPr="000F732E" w:rsidR="000F732E" w:rsidP="00CC4510" w:rsidRDefault="000F732E" w14:paraId="23084171" w14:textId="77777777">
      <w:pPr>
        <w:numPr>
          <w:ilvl w:val="0"/>
          <w:numId w:val="28"/>
        </w:numPr>
        <w:spacing w:after="160" w:line="259" w:lineRule="auto"/>
        <w:ind w:left="284" w:hanging="284"/>
        <w:contextualSpacing/>
        <w:rPr>
          <w:rFonts w:eastAsiaTheme="minorHAnsi"/>
        </w:rPr>
      </w:pPr>
      <w:r>
        <w:t xml:space="preserve">poziva na dosljednu </w:t>
      </w:r>
      <w:r>
        <w:rPr>
          <w:b/>
        </w:rPr>
        <w:t>provedbu Uredbe za ekološki dizajn održivih proizvoda</w:t>
      </w:r>
      <w:r>
        <w:t xml:space="preserve"> kako bi održivi proizvodi postali standard te kako bi se zadržalo pravedno tržišno natjecanje s uvezenim proizvodima. Nadalje, valja pozvati socijalne partnere drvnog sektora EU-a da sudjeluju u Savjetodavnom forumu o ekološkom dizajnu.</w:t>
      </w:r>
    </w:p>
    <w:p w:rsidRPr="000F732E" w:rsidR="000F732E" w:rsidP="000F732E" w:rsidRDefault="000F732E" w14:paraId="0EC35662" w14:textId="77777777">
      <w:pPr>
        <w:spacing w:after="160" w:line="259" w:lineRule="auto"/>
        <w:ind w:left="720"/>
        <w:contextualSpacing/>
        <w:jc w:val="left"/>
        <w:rPr>
          <w:rFonts w:eastAsiaTheme="minorHAnsi"/>
          <w:bCs/>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3"/>
        <w:gridCol w:w="5678"/>
      </w:tblGrid>
      <w:tr w:rsidRPr="000F732E" w:rsidR="000F732E" w:rsidTr="00462393" w14:paraId="47CF7F3B" w14:textId="77777777">
        <w:tc>
          <w:tcPr>
            <w:tcW w:w="1870" w:type="pct"/>
          </w:tcPr>
          <w:p w:rsidRPr="000F732E" w:rsidR="000F732E" w:rsidP="000F732E" w:rsidRDefault="000F732E" w14:paraId="76D5A844" w14:textId="77777777">
            <w:pPr>
              <w:spacing w:line="240" w:lineRule="auto"/>
              <w:jc w:val="left"/>
              <w:rPr>
                <w:i/>
              </w:rPr>
            </w:pPr>
            <w:r>
              <w:rPr>
                <w:b/>
                <w:i/>
              </w:rPr>
              <w:t>Kontakt:</w:t>
            </w:r>
          </w:p>
        </w:tc>
        <w:tc>
          <w:tcPr>
            <w:tcW w:w="3130" w:type="pct"/>
            <w:tcBorders>
              <w:left w:val="nil"/>
            </w:tcBorders>
          </w:tcPr>
          <w:p w:rsidRPr="00CC4510" w:rsidR="000F732E" w:rsidP="000F732E" w:rsidRDefault="000F732E" w14:paraId="7DA54185" w14:textId="31EEC934">
            <w:pPr>
              <w:spacing w:line="240" w:lineRule="auto"/>
              <w:jc w:val="left"/>
              <w:rPr>
                <w:bCs/>
                <w:i/>
              </w:rPr>
            </w:pPr>
            <w:proofErr w:type="spellStart"/>
            <w:r>
              <w:rPr>
                <w:i/>
              </w:rPr>
              <w:t>Heli</w:t>
            </w:r>
            <w:proofErr w:type="spellEnd"/>
            <w:r>
              <w:rPr>
                <w:i/>
              </w:rPr>
              <w:t xml:space="preserve"> </w:t>
            </w:r>
            <w:proofErr w:type="spellStart"/>
            <w:r>
              <w:rPr>
                <w:i/>
              </w:rPr>
              <w:t>Niemelä-Farrer</w:t>
            </w:r>
            <w:proofErr w:type="spellEnd"/>
          </w:p>
        </w:tc>
      </w:tr>
      <w:tr w:rsidRPr="000F732E" w:rsidR="000F732E" w:rsidTr="00462393" w14:paraId="6E3CE5FB" w14:textId="77777777">
        <w:tc>
          <w:tcPr>
            <w:tcW w:w="1870" w:type="pct"/>
          </w:tcPr>
          <w:p w:rsidRPr="000F732E" w:rsidR="000F732E" w:rsidP="000F732E" w:rsidRDefault="000F732E" w14:paraId="7E50D445" w14:textId="77777777">
            <w:pPr>
              <w:spacing w:line="240" w:lineRule="auto"/>
              <w:jc w:val="left"/>
              <w:rPr>
                <w:i/>
              </w:rPr>
            </w:pPr>
            <w:r>
              <w:rPr>
                <w:i/>
              </w:rPr>
              <w:t xml:space="preserve">Tel.: </w:t>
            </w:r>
          </w:p>
        </w:tc>
        <w:tc>
          <w:tcPr>
            <w:tcW w:w="3130" w:type="pct"/>
            <w:tcBorders>
              <w:left w:val="nil"/>
            </w:tcBorders>
          </w:tcPr>
          <w:p w:rsidRPr="000F732E" w:rsidR="000F732E" w:rsidP="000F732E" w:rsidRDefault="000F732E" w14:paraId="7DEC5319" w14:textId="77777777">
            <w:pPr>
              <w:spacing w:line="240" w:lineRule="auto"/>
              <w:jc w:val="left"/>
              <w:rPr>
                <w:i/>
              </w:rPr>
            </w:pPr>
            <w:r>
              <w:rPr>
                <w:i/>
              </w:rPr>
              <w:t>+32 22822464</w:t>
            </w:r>
          </w:p>
        </w:tc>
      </w:tr>
      <w:tr w:rsidRPr="000F732E" w:rsidR="000F732E" w:rsidTr="00462393" w14:paraId="2C89CBFA" w14:textId="77777777">
        <w:tc>
          <w:tcPr>
            <w:tcW w:w="1870" w:type="pct"/>
          </w:tcPr>
          <w:p w:rsidRPr="000F732E" w:rsidR="000F732E" w:rsidP="000F732E" w:rsidRDefault="000F732E" w14:paraId="314FD0C9" w14:textId="77777777">
            <w:pPr>
              <w:spacing w:line="240" w:lineRule="auto"/>
              <w:jc w:val="left"/>
              <w:rPr>
                <w:i/>
                <w:iCs/>
              </w:rPr>
            </w:pPr>
            <w:r>
              <w:rPr>
                <w:i/>
              </w:rPr>
              <w:t>E-pošta:</w:t>
            </w:r>
          </w:p>
        </w:tc>
        <w:tc>
          <w:tcPr>
            <w:tcW w:w="3130" w:type="pct"/>
            <w:tcBorders>
              <w:left w:val="nil"/>
            </w:tcBorders>
          </w:tcPr>
          <w:p w:rsidRPr="000F732E" w:rsidR="000F732E" w:rsidP="000F732E" w:rsidRDefault="00125B84" w14:paraId="5E097992" w14:textId="77777777">
            <w:pPr>
              <w:spacing w:line="240" w:lineRule="auto"/>
              <w:jc w:val="left"/>
              <w:rPr>
                <w:i/>
              </w:rPr>
            </w:pPr>
            <w:hyperlink w:history="1" r:id="rId40">
              <w:r w:rsidR="00FA138D">
                <w:rPr>
                  <w:i/>
                  <w:color w:val="0000FF"/>
                  <w:u w:val="single"/>
                </w:rPr>
                <w:t>Heli.Niemela-Farrer@eesc.europa.eu</w:t>
              </w:r>
            </w:hyperlink>
          </w:p>
        </w:tc>
      </w:tr>
      <w:bookmarkEnd w:id="54"/>
      <w:bookmarkEnd w:id="0"/>
    </w:tbl>
    <w:p w:rsidR="003F6640" w:rsidP="006C7863" w:rsidRDefault="003F6640" w14:paraId="494EE16D"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62AAB0D6">
      <w:pPr>
        <w:overflowPunct w:val="0"/>
        <w:autoSpaceDE w:val="0"/>
        <w:autoSpaceDN w:val="0"/>
        <w:adjustRightInd w:val="0"/>
        <w:jc w:val="center"/>
        <w:textAlignment w:val="baseline"/>
      </w:pPr>
      <w:r>
        <w:t>___________</w:t>
      </w:r>
    </w:p>
    <w:sectPr w:rsidRPr="006C7863" w:rsidR="0092772D" w:rsidSect="004417CD">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2BF" w14:textId="77777777" w:rsidR="004417CD" w:rsidRPr="004417CD" w:rsidRDefault="004417CD" w:rsidP="0044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E15D74B" w:rsidR="00765C4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rsidR="00D36819">
      <w:t>1</w:t>
    </w:r>
    <w:r>
      <w:fldChar w:fldCharType="end"/>
    </w:r>
    <w:r>
      <w:t>/</w:t>
    </w:r>
    <w:fldSimple w:instr=" NUMPAGES ">
      <w:r w:rsidR="00D3681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A77" w14:textId="77777777" w:rsidR="004417CD" w:rsidRPr="004417CD" w:rsidRDefault="004417CD" w:rsidP="00441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4417CD" w:rsidRDefault="00E4258F" w:rsidP="004417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E2BD989" w:rsidR="00E4258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4417CD" w:rsidRDefault="00E4258F" w:rsidP="0044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236" w14:textId="77777777" w:rsidR="004417CD" w:rsidRPr="004417CD" w:rsidRDefault="004417CD" w:rsidP="0044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D3EE" w14:textId="25799B83" w:rsidR="004417CD" w:rsidRPr="004417CD" w:rsidRDefault="004417CD" w:rsidP="00441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AAA5" w14:textId="77777777" w:rsidR="004417CD" w:rsidRPr="004417CD" w:rsidRDefault="004417CD" w:rsidP="00441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4417CD" w:rsidRDefault="00E4258F" w:rsidP="00441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02CDA1C" w:rsidR="00E4258F" w:rsidRPr="004417CD" w:rsidRDefault="00E4258F" w:rsidP="004417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4417CD" w:rsidRDefault="00E4258F" w:rsidP="0044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3"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8"/>
  </w:num>
  <w:num w:numId="4">
    <w:abstractNumId w:val="13"/>
  </w:num>
  <w:num w:numId="5">
    <w:abstractNumId w:val="2"/>
  </w:num>
  <w:num w:numId="6">
    <w:abstractNumId w:val="17"/>
  </w:num>
  <w:num w:numId="7">
    <w:abstractNumId w:val="10"/>
  </w:num>
  <w:num w:numId="8">
    <w:abstractNumId w:val="21"/>
  </w:num>
  <w:num w:numId="9">
    <w:abstractNumId w:val="16"/>
  </w:num>
  <w:num w:numId="10">
    <w:abstractNumId w:val="19"/>
  </w:num>
  <w:num w:numId="11">
    <w:abstractNumId w:val="6"/>
  </w:num>
  <w:num w:numId="12">
    <w:abstractNumId w:val="5"/>
  </w:num>
  <w:num w:numId="13">
    <w:abstractNumId w:val="27"/>
  </w:num>
  <w:num w:numId="14">
    <w:abstractNumId w:val="24"/>
  </w:num>
  <w:num w:numId="15">
    <w:abstractNumId w:val="20"/>
  </w:num>
  <w:num w:numId="16">
    <w:abstractNumId w:val="8"/>
  </w:num>
  <w:num w:numId="17">
    <w:abstractNumId w:val="29"/>
  </w:num>
  <w:num w:numId="18">
    <w:abstractNumId w:val="23"/>
  </w:num>
  <w:num w:numId="19">
    <w:abstractNumId w:val="3"/>
  </w:num>
  <w:num w:numId="20">
    <w:abstractNumId w:val="1"/>
  </w:num>
  <w:num w:numId="21">
    <w:abstractNumId w:val="25"/>
  </w:num>
  <w:num w:numId="22">
    <w:abstractNumId w:val="9"/>
  </w:num>
  <w:num w:numId="23">
    <w:abstractNumId w:val="7"/>
  </w:num>
  <w:num w:numId="24">
    <w:abstractNumId w:val="26"/>
  </w:num>
  <w:num w:numId="25">
    <w:abstractNumId w:val="4"/>
  </w:num>
  <w:num w:numId="26">
    <w:abstractNumId w:val="22"/>
  </w:num>
  <w:num w:numId="27">
    <w:abstractNumId w:val="28"/>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1"/>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5B84"/>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A4B"/>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1F5"/>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393"/>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510"/>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819"/>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138D"/>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hr-H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Bartek.Bednarowicz@eesc.europa.eu" TargetMode="External"/><Relationship Id="rId39" Type="http://schemas.openxmlformats.org/officeDocument/2006/relationships/hyperlink" Target="https://www.eesc.europa.eu/hr/our-work/opinions-information-reports/opinions/towards-comprehensive-strategy-eu-wood-industry" TargetMode="External"/><Relationship Id="rId21" Type="http://schemas.openxmlformats.org/officeDocument/2006/relationships/hyperlink" Target="mailto:Juri.Soosaar@eesc.europa.eu" TargetMode="External"/><Relationship Id="rId34" Type="http://schemas.openxmlformats.org/officeDocument/2006/relationships/hyperlink" Target="mailto:Caroline.Verhelst@eesc.europa.eu"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hr/our-work/opinions-information-reports/opinions/alternative-dispute-resolutio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rgio.LorencioMatallana@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https://www.eesc.europa.eu/hr/our-work/opinions-information-reports/opinions/revision-combined-transport-directive-92106eec"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hr/our-work/opinions-information-reports/opinions/improving-benchmarks-and-reporting-requirements-financial-services-and-investment-support" TargetMode="External"/><Relationship Id="rId28" Type="http://schemas.openxmlformats.org/officeDocument/2006/relationships/hyperlink" Target="mailto:June.Bedaton@eesc.europa.eu" TargetMode="External"/><Relationship Id="rId36" Type="http://schemas.openxmlformats.org/officeDocument/2006/relationships/hyperlink" Target="mailto:Marco.Ristori@eesc.europa.eu"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hr/our-work/opinions-information-reports/opinions/sme-relief-package"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lombe.Gregoire@eesc.europa.eu" TargetMode="External"/><Relationship Id="rId27" Type="http://schemas.openxmlformats.org/officeDocument/2006/relationships/hyperlink" Target="https://www.eesc.europa.eu/hr/our-work/opinions-information-reports/opinions/strengthening-civil-dialogue-and-participatory-democracy-eu-path-forward"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hr/our-work/opinions-information-reports/opinions/european-economic-security-strategy"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hr/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hr/our-work/opinions-information-reports/opinions/alternative-dispute-resolution" TargetMode="External"/><Relationship Id="rId33" Type="http://schemas.openxmlformats.org/officeDocument/2006/relationships/hyperlink" Target="https://www.eesc.europa.eu/hr/our-work/opinions-information-reports/opinions/preventing-plastic-pellet-losses-reduce-microplastics-pollution"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6.xml"/><Relationship Id="rId20" Type="http://schemas.openxmlformats.org/officeDocument/2006/relationships/hyperlink" Target="https://www.eesc.europa.eu/hr/our-work/opinions-information-reports/opinions/taxation-cross-border-teleworkers-globally-and-impact-e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F7M6YNZUATRX-416430479-4500</_dlc_DocId>
    <_dlc_DocIdUrl xmlns="59ace41b-6786-4ce3-be71-52c27066c6ef">
      <Url>http://dm/eesc/2024/_layouts/15/DocIdRedir.aspx?ID=F7M6YNZUATRX-416430479-4500</Url>
      <Description>F7M6YNZUATRX-416430479-4500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2024-03-08T12:00:00+00:00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Knezovic Zrinka</DisplayName>
        <AccountId>1588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7DFB5-258A-485C-BE54-FD808429C605}"/>
</file>

<file path=customXml/itemProps2.xml><?xml version="1.0" encoding="utf-8"?>
<ds:datastoreItem xmlns:ds="http://schemas.openxmlformats.org/officeDocument/2006/customXml" ds:itemID="{573FD826-9B7A-436B-9055-F628D933F0FE}"/>
</file>

<file path=customXml/itemProps3.xml><?xml version="1.0" encoding="utf-8"?>
<ds:datastoreItem xmlns:ds="http://schemas.openxmlformats.org/officeDocument/2006/customXml" ds:itemID="{08788109-E258-429A-83F0-3F9B3165A27D}"/>
</file>

<file path=customXml/itemProps4.xml><?xml version="1.0" encoding="utf-8"?>
<ds:datastoreItem xmlns:ds="http://schemas.openxmlformats.org/officeDocument/2006/customXml" ds:itemID="{7768DB82-65E9-4AED-AD42-27CE482877A6}"/>
</file>

<file path=docProps/app.xml><?xml version="1.0" encoding="utf-8"?>
<Properties xmlns="http://schemas.openxmlformats.org/officeDocument/2006/extended-properties" xmlns:vt="http://schemas.openxmlformats.org/officeDocument/2006/docPropsVTypes">
  <Template>Normal.dotm</Template>
  <TotalTime>0</TotalTime>
  <Pages>14</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usvojenih mišljenja - 585. plenarno zasjedanje - veljača 2024.</dc:title>
  <dc:subject>TCD</dc:subject>
  <dc:creator>Nieddu Emma</dc:creator>
  <cp:keywords>EESC-2024-00286-00-01-TCD-TRA-EN</cp:keywords>
  <dc:description>Rapporteur:  - Original language: EN - Date of document: 08/03/2024 - Date of meeting: 30/20/2024 14:30 - External documents:  - Administrator: MME TAMASAUSKIENE Julija</dc:description>
  <cp:lastModifiedBy>Knezovic Zrinka</cp:lastModifiedBy>
  <cp:revision>6</cp:revision>
  <cp:lastPrinted>2023-06-15T08:00:00Z</cp:lastPrinted>
  <dcterms:created xsi:type="dcterms:W3CDTF">2024-03-08T08:51:00Z</dcterms:created>
  <dcterms:modified xsi:type="dcterms:W3CDTF">2024-03-08T09:01:00Z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df104c88-3450-4858-a992-291d21ae1b06</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PT|50ccc04a-eadd-42ae-a0cb-acaf45f812ba;FR|d2afafd3-4c81-4f60-8f52-ee33f2f54ff3;DA|5d49c027-8956-412b-aa16-e85a0f96ad0e;IT|0774613c-01ed-4e5d-a25d-11d2388de825;ET|ff6c3f4c-b02c-4c3c-ab07-2c37995a7a0a;LT|a7ff5ce7-6123-4f68-865a-a57c31810414;SL|98a412ae-eb01-49e9-ae3d-585a81724cfc;FI|87606a43-d45f-42d6-b8c9-e1a3457db5b7;NL|55c6556c-b4f4-441d-9acf-c498d4f838bd;BG|1a1b3951-7821-4e6a-85f5-5673fc08bd2c;LV|46f7e311-5d9f-4663-b433-18aeccb7ace7;ES|e7a6b05b-ae16-40c8-add9-68b64b03aeba;DE|f6b31e5a-26fa-4935-b661-318e46daf27e;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31;#NL|55c6556c-b4f4-441d-9acf-c498d4f838bd;#28;#LV|46f7e311-5d9f-4663-b433-18aeccb7ace7;#27;#SL|98a412ae-eb01-49e9-ae3d-585a81724cfc;#25;#DE|f6b31e5a-26fa-4935-b661-318e46daf27e;#24;#ES|e7a6b05b-ae16-40c8-add9-68b64b03aeba;#22;#BG|1a1b3951-7821-4e6a-85f5-5673fc08bd2c;#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30;#HR|2f555653-ed1a-4fe6-8362-9082d95989e5</vt:lpwstr>
  </property>
</Properties>
</file>