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9F6E2A" w14:paraId="785AE44C" w14:textId="0F08C0FF">
      <w:pPr>
        <w:jc w:val="center"/>
      </w:pPr>
      <w:bookmarkStart w:name="_Hlk141173132" w:id="0"/>
      <w:r>
        <w:rPr>
          <w:noProof/>
        </w:rPr>
        <w:drawing>
          <wp:inline distT="0" distB="0" distL="0" distR="0" wp14:anchorId="5414470D" wp14:editId="732FE247">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8752"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014C93" w14:paraId="45DE4A28" w14:textId="2172C44D">
      <w:pPr>
        <w:jc w:val="right"/>
      </w:pPr>
      <w:r>
        <w:t>Bruxelles, le 18 mars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5D0D66EE">
            <w:pPr>
              <w:snapToGrid w:val="0"/>
              <w:jc w:val="center"/>
              <w:rPr>
                <w:b/>
                <w:sz w:val="32"/>
              </w:rPr>
            </w:pPr>
            <w:r>
              <w:rPr>
                <w:b/>
                <w:sz w:val="32"/>
              </w:rPr>
              <w:t>14 et 15</w:t>
            </w:r>
            <w:r w:rsidR="005C7BB8">
              <w:rPr>
                <w:b/>
                <w:sz w:val="32"/>
              </w:rPr>
              <w:t> </w:t>
            </w:r>
            <w:r>
              <w:rPr>
                <w:b/>
                <w:sz w:val="32"/>
              </w:rPr>
              <w:t>février</w:t>
            </w:r>
            <w:r w:rsidR="005C7BB8">
              <w:rPr>
                <w:b/>
                <w:sz w:val="32"/>
              </w:rPr>
              <w:t> </w:t>
            </w:r>
            <w:r>
              <w:rPr>
                <w:b/>
                <w:sz w:val="32"/>
              </w:rPr>
              <w:t>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Ce document est disponible dans toutes les langues officielles de l’Union européenne sur le site internet du CESE à l’adresse suivante:</w:t>
            </w:r>
          </w:p>
          <w:p w:rsidRPr="00094B6B" w:rsidR="00B16284" w:rsidP="00775FC4" w:rsidRDefault="00B16284" w14:paraId="4F26A4CE" w14:textId="77777777">
            <w:pPr>
              <w:snapToGrid w:val="0"/>
              <w:jc w:val="center"/>
            </w:pPr>
          </w:p>
          <w:p w:rsidRPr="00094B6B" w:rsidR="004D7AC0" w:rsidP="00775FC4" w:rsidRDefault="00403D88" w14:paraId="2A9352A2" w14:textId="0680ADB6">
            <w:pPr>
              <w:snapToGrid w:val="0"/>
              <w:jc w:val="center"/>
            </w:pPr>
            <w:hyperlink w:history="1" r:id="rId13">
              <w:r w:rsidR="009F6E2A">
                <w:rPr>
                  <w:rStyle w:val="Hyperlink"/>
                  <w:highlight w:val="yellow"/>
                </w:rPr>
                <w:t>https://www.eesc.europa.eu/fr/our-work/opinions-information-reports/plenary-session-summaries</w:t>
              </w:r>
            </w:hyperlink>
            <w:r w:rsidR="009F6E2A">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Les avis mentionnés peuvent être consultés en ligne au moyen du moteur de recherche du CESE:</w:t>
            </w:r>
          </w:p>
          <w:p w:rsidRPr="00094B6B" w:rsidR="00B16284" w:rsidP="00775FC4" w:rsidRDefault="00B16284" w14:paraId="7A5411A5" w14:textId="77777777">
            <w:pPr>
              <w:snapToGrid w:val="0"/>
              <w:jc w:val="center"/>
            </w:pPr>
          </w:p>
          <w:p w:rsidRPr="00094B6B" w:rsidR="004D7AC0" w:rsidP="00775FC4" w:rsidRDefault="00403D88" w14:paraId="441AC4DD" w14:textId="1194D751">
            <w:pPr>
              <w:snapToGrid w:val="0"/>
              <w:jc w:val="center"/>
            </w:pPr>
            <w:hyperlink w:history="1" r:id="rId14">
              <w:r w:rsidR="009F6E2A">
                <w:rPr>
                  <w:rStyle w:val="Hyperlink"/>
                </w:rPr>
                <w:t>https://dmsearch.eesc.europa.eu/search/opinion</w:t>
              </w:r>
            </w:hyperlink>
            <w:r w:rsidR="009F6E2A">
              <w:t>.</w:t>
            </w:r>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E96490">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Table des matières</w:t>
          </w:r>
        </w:p>
        <w:p w:rsidR="00A73956" w:rsidRDefault="00544D95" w14:paraId="32C615FF" w14:textId="48CFDE99">
          <w:pPr>
            <w:pStyle w:val="TOC1"/>
            <w:rPr>
              <w:rFonts w:asciiTheme="minorHAnsi" w:hAnsiTheme="minorHAnsi" w:eastAsiaTheme="minorEastAsia" w:cstheme="minorBidi"/>
              <w:bCs w:val="0"/>
              <w:sz w:val="22"/>
              <w:szCs w:val="22"/>
            </w:rPr>
          </w:pPr>
          <w:r w:rsidRPr="00544D95">
            <w:fldChar w:fldCharType="begin"/>
          </w:r>
          <w:r w:rsidRPr="00544D95">
            <w:instrText xml:space="preserve"> TOC \o "1-3" \h \z \u </w:instrText>
          </w:r>
          <w:r w:rsidRPr="00544D95">
            <w:fldChar w:fldCharType="separate"/>
          </w:r>
          <w:hyperlink w:history="1" w:anchor="_Toc159831757">
            <w:r w:rsidRPr="00403592" w:rsidR="00A73956">
              <w:rPr>
                <w:rStyle w:val="Hyperlink"/>
                <w14:scene3d>
                  <w14:camera w14:prst="orthographicFront"/>
                  <w14:lightRig w14:rig="threePt" w14:dir="t">
                    <w14:rot w14:lat="0" w14:lon="0" w14:rev="0"/>
                  </w14:lightRig>
                </w14:scene3d>
              </w:rPr>
              <w:t>1.</w:t>
            </w:r>
            <w:r w:rsidR="00A73956">
              <w:rPr>
                <w:rFonts w:asciiTheme="minorHAnsi" w:hAnsiTheme="minorHAnsi" w:eastAsiaTheme="minorEastAsia" w:cstheme="minorBidi"/>
                <w:sz w:val="22"/>
              </w:rPr>
              <w:tab/>
            </w:r>
            <w:r w:rsidRPr="005C7BB8" w:rsidR="005C7BB8">
              <w:rPr>
                <w:rStyle w:val="Hyperlink"/>
                <w:b/>
              </w:rPr>
              <w:t>UNION ÉCONOMIQUE ET MONÉTAIRE ET COHÉSION ÉCONOMIQUE ET SOCIALE</w:t>
            </w:r>
            <w:r w:rsidR="00A73956">
              <w:rPr>
                <w:webHidden/>
              </w:rPr>
              <w:tab/>
            </w:r>
            <w:r w:rsidR="00A73956">
              <w:rPr>
                <w:webHidden/>
              </w:rPr>
              <w:fldChar w:fldCharType="begin"/>
            </w:r>
            <w:r w:rsidR="00A73956">
              <w:rPr>
                <w:webHidden/>
              </w:rPr>
              <w:instrText xml:space="preserve"> PAGEREF _Toc159831757 \h </w:instrText>
            </w:r>
            <w:r w:rsidR="00A73956">
              <w:rPr>
                <w:webHidden/>
              </w:rPr>
            </w:r>
            <w:r w:rsidR="00A73956">
              <w:rPr>
                <w:webHidden/>
              </w:rPr>
              <w:fldChar w:fldCharType="separate"/>
            </w:r>
            <w:r w:rsidR="00BB7E93">
              <w:rPr>
                <w:webHidden/>
              </w:rPr>
              <w:t>3</w:t>
            </w:r>
            <w:r w:rsidR="00A73956">
              <w:rPr>
                <w:webHidden/>
              </w:rPr>
              <w:fldChar w:fldCharType="end"/>
            </w:r>
          </w:hyperlink>
        </w:p>
        <w:p w:rsidR="00A73956" w:rsidRDefault="00403D88" w14:paraId="7D604740" w14:textId="0DE0B5F5">
          <w:pPr>
            <w:pStyle w:val="TOC1"/>
            <w:rPr>
              <w:rFonts w:asciiTheme="minorHAnsi" w:hAnsiTheme="minorHAnsi" w:eastAsiaTheme="minorEastAsia" w:cstheme="minorBidi"/>
              <w:sz w:val="22"/>
            </w:rPr>
          </w:pPr>
          <w:hyperlink w:history="1" w:anchor="_Toc159831769">
            <w:r w:rsidRPr="00403592" w:rsidR="00A73956">
              <w:rPr>
                <w:rStyle w:val="Hyperlink"/>
                <w14:scene3d>
                  <w14:camera w14:prst="orthographicFront"/>
                  <w14:lightRig w14:rig="threePt" w14:dir="t">
                    <w14:rot w14:lat="0" w14:lon="0" w14:rev="0"/>
                  </w14:lightRig>
                </w14:scene3d>
              </w:rPr>
              <w:t>2.</w:t>
            </w:r>
            <w:r w:rsidR="00A73956">
              <w:rPr>
                <w:rFonts w:asciiTheme="minorHAnsi" w:hAnsiTheme="minorHAnsi" w:eastAsiaTheme="minorEastAsia" w:cstheme="minorBidi"/>
                <w:sz w:val="22"/>
              </w:rPr>
              <w:tab/>
            </w:r>
            <w:r w:rsidRPr="005C7BB8" w:rsidR="005C7BB8">
              <w:rPr>
                <w:rStyle w:val="Hyperlink"/>
                <w:b/>
              </w:rPr>
              <w:t>EMPLOI, AFFAIRES SOCIALES ET CITOYENNETÉ</w:t>
            </w:r>
            <w:r w:rsidR="00A73956">
              <w:rPr>
                <w:webHidden/>
              </w:rPr>
              <w:tab/>
            </w:r>
            <w:r w:rsidR="00A73956">
              <w:rPr>
                <w:webHidden/>
              </w:rPr>
              <w:fldChar w:fldCharType="begin"/>
            </w:r>
            <w:r w:rsidR="00A73956">
              <w:rPr>
                <w:webHidden/>
              </w:rPr>
              <w:instrText xml:space="preserve"> PAGEREF _Toc159831769 \h </w:instrText>
            </w:r>
            <w:r w:rsidR="00A73956">
              <w:rPr>
                <w:webHidden/>
              </w:rPr>
            </w:r>
            <w:r w:rsidR="00A73956">
              <w:rPr>
                <w:webHidden/>
              </w:rPr>
              <w:fldChar w:fldCharType="separate"/>
            </w:r>
            <w:r w:rsidR="00BB7E93">
              <w:rPr>
                <w:webHidden/>
              </w:rPr>
              <w:t>6</w:t>
            </w:r>
            <w:r w:rsidR="00A73956">
              <w:rPr>
                <w:webHidden/>
              </w:rPr>
              <w:fldChar w:fldCharType="end"/>
            </w:r>
          </w:hyperlink>
        </w:p>
        <w:p w:rsidR="00A73956" w:rsidRDefault="00403D88" w14:paraId="719A63A6" w14:textId="2895D715">
          <w:pPr>
            <w:pStyle w:val="TOC1"/>
            <w:rPr>
              <w:rFonts w:asciiTheme="minorHAnsi" w:hAnsiTheme="minorHAnsi" w:eastAsiaTheme="minorEastAsia" w:cstheme="minorBidi"/>
              <w:sz w:val="22"/>
            </w:rPr>
          </w:pPr>
          <w:hyperlink w:history="1" w:anchor="_Toc159831770">
            <w:r w:rsidRPr="00403592" w:rsidR="00A73956">
              <w:rPr>
                <w:rStyle w:val="Hyperlink"/>
                <w14:scene3d>
                  <w14:camera w14:prst="orthographicFront"/>
                  <w14:lightRig w14:rig="threePt" w14:dir="t">
                    <w14:rot w14:lat="0" w14:lon="0" w14:rev="0"/>
                  </w14:lightRig>
                </w14:scene3d>
              </w:rPr>
              <w:t>3.</w:t>
            </w:r>
            <w:r w:rsidR="00A73956">
              <w:rPr>
                <w:rFonts w:asciiTheme="minorHAnsi" w:hAnsiTheme="minorHAnsi" w:eastAsiaTheme="minorEastAsia" w:cstheme="minorBidi"/>
                <w:sz w:val="22"/>
              </w:rPr>
              <w:tab/>
            </w:r>
            <w:r w:rsidRPr="00C06580" w:rsidR="00C06580">
              <w:rPr>
                <w:rStyle w:val="Hyperlink"/>
                <w:b/>
              </w:rPr>
              <w:t>MARCHÉ UNIQUE, PRODUCTION ET CONSOMMATION</w:t>
            </w:r>
            <w:r w:rsidR="00A73956">
              <w:rPr>
                <w:webHidden/>
              </w:rPr>
              <w:tab/>
            </w:r>
            <w:r w:rsidR="00A73956">
              <w:rPr>
                <w:webHidden/>
              </w:rPr>
              <w:fldChar w:fldCharType="begin"/>
            </w:r>
            <w:r w:rsidR="00A73956">
              <w:rPr>
                <w:webHidden/>
              </w:rPr>
              <w:instrText xml:space="preserve"> PAGEREF _Toc159831770 \h </w:instrText>
            </w:r>
            <w:r w:rsidR="00A73956">
              <w:rPr>
                <w:webHidden/>
              </w:rPr>
            </w:r>
            <w:r w:rsidR="00A73956">
              <w:rPr>
                <w:webHidden/>
              </w:rPr>
              <w:fldChar w:fldCharType="separate"/>
            </w:r>
            <w:r w:rsidR="00BB7E93">
              <w:rPr>
                <w:webHidden/>
              </w:rPr>
              <w:t>7</w:t>
            </w:r>
            <w:r w:rsidR="00A73956">
              <w:rPr>
                <w:webHidden/>
              </w:rPr>
              <w:fldChar w:fldCharType="end"/>
            </w:r>
          </w:hyperlink>
        </w:p>
        <w:p w:rsidR="00A73956" w:rsidRDefault="00403D88" w14:paraId="4AEDCBD1" w14:textId="3110457B">
          <w:pPr>
            <w:pStyle w:val="TOC1"/>
            <w:rPr>
              <w:rFonts w:asciiTheme="minorHAnsi" w:hAnsiTheme="minorHAnsi" w:eastAsiaTheme="minorEastAsia" w:cstheme="minorBidi"/>
              <w:sz w:val="22"/>
            </w:rPr>
          </w:pPr>
          <w:hyperlink w:history="1" w:anchor="_Toc159831771">
            <w:r w:rsidRPr="00403592" w:rsidR="00A73956">
              <w:rPr>
                <w:rStyle w:val="Hyperlink"/>
                <w14:scene3d>
                  <w14:camera w14:prst="orthographicFront"/>
                  <w14:lightRig w14:rig="threePt" w14:dir="t">
                    <w14:rot w14:lat="0" w14:lon="0" w14:rev="0"/>
                  </w14:lightRig>
                </w14:scene3d>
              </w:rPr>
              <w:t>4.</w:t>
            </w:r>
            <w:r w:rsidR="00A73956">
              <w:rPr>
                <w:rFonts w:asciiTheme="minorHAnsi" w:hAnsiTheme="minorHAnsi" w:eastAsiaTheme="minorEastAsia" w:cstheme="minorBidi"/>
                <w:sz w:val="22"/>
              </w:rPr>
              <w:tab/>
            </w:r>
            <w:r w:rsidRPr="009A4641" w:rsidR="009A4641">
              <w:rPr>
                <w:rStyle w:val="Hyperlink"/>
                <w:b/>
              </w:rPr>
              <w:t>AGRICULTURE, DÉVELOPPEMENT RURAL ET ENVIRONNEMENT</w:t>
            </w:r>
            <w:r w:rsidR="00A73956">
              <w:rPr>
                <w:webHidden/>
              </w:rPr>
              <w:tab/>
            </w:r>
            <w:r w:rsidR="00A73956">
              <w:rPr>
                <w:webHidden/>
              </w:rPr>
              <w:fldChar w:fldCharType="begin"/>
            </w:r>
            <w:r w:rsidR="00A73956">
              <w:rPr>
                <w:webHidden/>
              </w:rPr>
              <w:instrText xml:space="preserve"> PAGEREF _Toc159831771 \h </w:instrText>
            </w:r>
            <w:r w:rsidR="00A73956">
              <w:rPr>
                <w:webHidden/>
              </w:rPr>
            </w:r>
            <w:r w:rsidR="00A73956">
              <w:rPr>
                <w:webHidden/>
              </w:rPr>
              <w:fldChar w:fldCharType="separate"/>
            </w:r>
            <w:r w:rsidR="00BB7E93">
              <w:rPr>
                <w:webHidden/>
              </w:rPr>
              <w:t>10</w:t>
            </w:r>
            <w:r w:rsidR="00A73956">
              <w:rPr>
                <w:webHidden/>
              </w:rPr>
              <w:fldChar w:fldCharType="end"/>
            </w:r>
          </w:hyperlink>
        </w:p>
        <w:p w:rsidR="00A73956" w:rsidRDefault="00403D88" w14:paraId="51F44AA7" w14:textId="1EB2C21B">
          <w:pPr>
            <w:pStyle w:val="TOC1"/>
            <w:rPr>
              <w:rFonts w:asciiTheme="minorHAnsi" w:hAnsiTheme="minorHAnsi" w:eastAsiaTheme="minorEastAsia" w:cstheme="minorBidi"/>
              <w:sz w:val="22"/>
            </w:rPr>
          </w:pPr>
          <w:hyperlink w:history="1" w:anchor="_Toc159831782">
            <w:r w:rsidRPr="00403592" w:rsidR="00A73956">
              <w:rPr>
                <w:rStyle w:val="Hyperlink"/>
                <w14:scene3d>
                  <w14:camera w14:prst="orthographicFront"/>
                  <w14:lightRig w14:rig="threePt" w14:dir="t">
                    <w14:rot w14:lat="0" w14:lon="0" w14:rev="0"/>
                  </w14:lightRig>
                </w14:scene3d>
              </w:rPr>
              <w:t>5.</w:t>
            </w:r>
            <w:r w:rsidR="00A73956">
              <w:rPr>
                <w:rFonts w:asciiTheme="minorHAnsi" w:hAnsiTheme="minorHAnsi" w:eastAsiaTheme="minorEastAsia" w:cstheme="minorBidi"/>
                <w:sz w:val="22"/>
              </w:rPr>
              <w:tab/>
            </w:r>
            <w:r w:rsidRPr="00124559" w:rsidR="00124559">
              <w:rPr>
                <w:rStyle w:val="Hyperlink"/>
                <w:b/>
              </w:rPr>
              <w:t>RELATIONS EXTÉRIEURES</w:t>
            </w:r>
            <w:r w:rsidR="00A73956">
              <w:rPr>
                <w:webHidden/>
              </w:rPr>
              <w:tab/>
            </w:r>
            <w:r w:rsidR="00A73956">
              <w:rPr>
                <w:webHidden/>
              </w:rPr>
              <w:fldChar w:fldCharType="begin"/>
            </w:r>
            <w:r w:rsidR="00A73956">
              <w:rPr>
                <w:webHidden/>
              </w:rPr>
              <w:instrText xml:space="preserve"> PAGEREF _Toc159831782 \h </w:instrText>
            </w:r>
            <w:r w:rsidR="00A73956">
              <w:rPr>
                <w:webHidden/>
              </w:rPr>
            </w:r>
            <w:r w:rsidR="00A73956">
              <w:rPr>
                <w:webHidden/>
              </w:rPr>
              <w:fldChar w:fldCharType="separate"/>
            </w:r>
            <w:r w:rsidR="00BB7E93">
              <w:rPr>
                <w:webHidden/>
              </w:rPr>
              <w:t>10</w:t>
            </w:r>
            <w:r w:rsidR="00A73956">
              <w:rPr>
                <w:webHidden/>
              </w:rPr>
              <w:fldChar w:fldCharType="end"/>
            </w:r>
          </w:hyperlink>
        </w:p>
        <w:p w:rsidR="00A73956" w:rsidRDefault="00403D88" w14:paraId="23E0BF5D" w14:textId="42BEA1C8">
          <w:pPr>
            <w:pStyle w:val="TOC1"/>
            <w:rPr>
              <w:rFonts w:asciiTheme="minorHAnsi" w:hAnsiTheme="minorHAnsi" w:eastAsiaTheme="minorEastAsia" w:cstheme="minorBidi"/>
              <w:sz w:val="22"/>
            </w:rPr>
          </w:pPr>
          <w:hyperlink w:history="1" w:anchor="_Toc159831783">
            <w:r w:rsidRPr="00403592" w:rsidR="00A73956">
              <w:rPr>
                <w:rStyle w:val="Hyperlink"/>
                <w14:scene3d>
                  <w14:camera w14:prst="orthographicFront"/>
                  <w14:lightRig w14:rig="threePt" w14:dir="t">
                    <w14:rot w14:lat="0" w14:lon="0" w14:rev="0"/>
                  </w14:lightRig>
                </w14:scene3d>
              </w:rPr>
              <w:t>6.</w:t>
            </w:r>
            <w:r w:rsidR="00A73956">
              <w:rPr>
                <w:rFonts w:asciiTheme="minorHAnsi" w:hAnsiTheme="minorHAnsi" w:eastAsiaTheme="minorEastAsia" w:cstheme="minorBidi"/>
                <w:sz w:val="22"/>
              </w:rPr>
              <w:tab/>
            </w:r>
            <w:r w:rsidRPr="00C82E18" w:rsidR="00C82E18">
              <w:rPr>
                <w:rStyle w:val="Hyperlink"/>
                <w:b/>
              </w:rPr>
              <w:t>TRANSPORTS, ÉNERGIE, INFRASTRUCTURES ET SOCIÉTÉ DE L’INFORMATION</w:t>
            </w:r>
            <w:r w:rsidR="00A73956">
              <w:rPr>
                <w:webHidden/>
              </w:rPr>
              <w:tab/>
            </w:r>
            <w:r w:rsidR="00A73956">
              <w:rPr>
                <w:webHidden/>
              </w:rPr>
              <w:fldChar w:fldCharType="begin"/>
            </w:r>
            <w:r w:rsidR="00A73956">
              <w:rPr>
                <w:webHidden/>
              </w:rPr>
              <w:instrText xml:space="preserve"> PAGEREF _Toc159831783 \h </w:instrText>
            </w:r>
            <w:r w:rsidR="00A73956">
              <w:rPr>
                <w:webHidden/>
              </w:rPr>
            </w:r>
            <w:r w:rsidR="00A73956">
              <w:rPr>
                <w:webHidden/>
              </w:rPr>
              <w:fldChar w:fldCharType="separate"/>
            </w:r>
            <w:r w:rsidR="00BB7E93">
              <w:rPr>
                <w:webHidden/>
              </w:rPr>
              <w:t>12</w:t>
            </w:r>
            <w:r w:rsidR="00A73956">
              <w:rPr>
                <w:webHidden/>
              </w:rPr>
              <w:fldChar w:fldCharType="end"/>
            </w:r>
          </w:hyperlink>
        </w:p>
        <w:p w:rsidR="00A73956" w:rsidRDefault="00403D88" w14:paraId="001A0C56" w14:textId="1638C5C5">
          <w:pPr>
            <w:pStyle w:val="TOC1"/>
            <w:rPr>
              <w:rFonts w:asciiTheme="minorHAnsi" w:hAnsiTheme="minorHAnsi" w:eastAsiaTheme="minorEastAsia" w:cstheme="minorBidi"/>
              <w:sz w:val="22"/>
            </w:rPr>
          </w:pPr>
          <w:hyperlink w:history="1" w:anchor="_Toc159831784">
            <w:r w:rsidRPr="00403592" w:rsidR="00A73956">
              <w:rPr>
                <w:rStyle w:val="Hyperlink"/>
                <w14:scene3d>
                  <w14:camera w14:prst="orthographicFront"/>
                  <w14:lightRig w14:rig="threePt" w14:dir="t">
                    <w14:rot w14:lat="0" w14:lon="0" w14:rev="0"/>
                  </w14:lightRig>
                </w14:scene3d>
              </w:rPr>
              <w:t>7.</w:t>
            </w:r>
            <w:r w:rsidR="00A73956">
              <w:rPr>
                <w:rFonts w:asciiTheme="minorHAnsi" w:hAnsiTheme="minorHAnsi" w:eastAsiaTheme="minorEastAsia" w:cstheme="minorBidi"/>
                <w:sz w:val="22"/>
              </w:rPr>
              <w:tab/>
            </w:r>
            <w:r w:rsidRPr="002B7F7D" w:rsidR="002B7F7D">
              <w:rPr>
                <w:rStyle w:val="Hyperlink"/>
                <w:b/>
              </w:rPr>
              <w:t>COMMISSION CONSULTATIVE DES MUTATIONS INDUSTRIELLES</w:t>
            </w:r>
            <w:r w:rsidR="00A73956">
              <w:rPr>
                <w:webHidden/>
              </w:rPr>
              <w:tab/>
            </w:r>
            <w:r w:rsidR="00A73956">
              <w:rPr>
                <w:webHidden/>
              </w:rPr>
              <w:fldChar w:fldCharType="begin"/>
            </w:r>
            <w:r w:rsidR="00A73956">
              <w:rPr>
                <w:webHidden/>
              </w:rPr>
              <w:instrText xml:space="preserve"> PAGEREF _Toc159831784 \h </w:instrText>
            </w:r>
            <w:r w:rsidR="00A73956">
              <w:rPr>
                <w:webHidden/>
              </w:rPr>
            </w:r>
            <w:r w:rsidR="00A73956">
              <w:rPr>
                <w:webHidden/>
              </w:rPr>
              <w:fldChar w:fldCharType="separate"/>
            </w:r>
            <w:r w:rsidR="00BB7E93">
              <w:rPr>
                <w:webHidden/>
              </w:rPr>
              <w:t>13</w:t>
            </w:r>
            <w:r w:rsidR="00A73956">
              <w:rPr>
                <w:webHidden/>
              </w:rPr>
              <w:fldChar w:fldCharType="end"/>
            </w:r>
          </w:hyperlink>
        </w:p>
        <w:p w:rsidRPr="00544D95" w:rsidR="00544D95" w:rsidP="00544D95" w:rsidRDefault="00544D95" w14:paraId="589C47D7" w14:textId="4BA66820">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38273B" w:rsidP="00C83487" w:rsidRDefault="0038273B" w14:paraId="62CE6920" w14:textId="4713069C">
      <w:pPr>
        <w:pStyle w:val="Heading1"/>
        <w:spacing w:before="0"/>
        <w:ind w:left="930" w:hanging="928"/>
        <w:rPr>
          <w:b/>
          <w:bCs/>
        </w:rPr>
      </w:pPr>
      <w:bookmarkStart w:name="_Toc159831757" w:id="1"/>
      <w:r>
        <w:rPr>
          <w:b/>
        </w:rPr>
        <w:lastRenderedPageBreak/>
        <w:t>UNION ÉCONOMIQUE ET MONÉTAIRE ET COHÉSION ÉCONOMIQUE ET SOCIALE</w:t>
      </w:r>
      <w:bookmarkEnd w:id="1"/>
    </w:p>
    <w:p w:rsidRPr="00115BBC" w:rsidR="00115BBC" w:rsidP="00115BBC" w:rsidRDefault="00115BBC" w14:paraId="5C4FD48E" w14:textId="77777777"/>
    <w:p w:rsidRPr="00854F67" w:rsidR="005C7BB8" w:rsidP="005C7BB8" w:rsidRDefault="005C7BB8" w14:paraId="362717EE" w14:textId="74460C99">
      <w:pPr>
        <w:widowControl w:val="0"/>
        <w:numPr>
          <w:ilvl w:val="0"/>
          <w:numId w:val="2"/>
        </w:numPr>
        <w:overflowPunct w:val="0"/>
        <w:autoSpaceDE w:val="0"/>
        <w:autoSpaceDN w:val="0"/>
        <w:adjustRightInd w:val="0"/>
        <w:textAlignment w:val="baseline"/>
        <w:rPr>
          <w:b/>
          <w:bCs/>
          <w:i/>
          <w:iCs/>
          <w:color w:val="0000FF"/>
          <w:sz w:val="28"/>
          <w:szCs w:val="28"/>
          <w:u w:val="single"/>
        </w:rPr>
      </w:pPr>
      <w:r>
        <w:rPr>
          <w:b/>
          <w:i/>
          <w:sz w:val="28"/>
        </w:rPr>
        <w:t xml:space="preserve"> </w:t>
      </w:r>
      <w:hyperlink w:history="1" r:id="rId21">
        <w:r>
          <w:rPr>
            <w:rStyle w:val="Hyperlink"/>
            <w:b/>
            <w:i/>
            <w:sz w:val="28"/>
          </w:rPr>
          <w:t>L’imposition des télétravailleurs transfrontaliers à l’échelle mondiale et ses répercussions sur l’UE</w:t>
        </w:r>
      </w:hyperlink>
    </w:p>
    <w:p w:rsidRPr="00A6689B" w:rsidR="005C7BB8" w:rsidP="005C7BB8" w:rsidRDefault="005C7BB8" w14:paraId="14CDD5C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6689B" w:rsidR="005C7BB8" w:rsidTr="00C478BE" w14:paraId="1A41F65B" w14:textId="77777777">
        <w:tc>
          <w:tcPr>
            <w:tcW w:w="1701" w:type="dxa"/>
          </w:tcPr>
          <w:p w:rsidR="005C7BB8" w:rsidP="00C478BE" w:rsidRDefault="005C7BB8" w14:paraId="378F4F12" w14:textId="77777777">
            <w:pPr>
              <w:tabs>
                <w:tab w:val="center" w:pos="284"/>
              </w:tabs>
              <w:ind w:left="266" w:hanging="266"/>
              <w:rPr>
                <w:b/>
              </w:rPr>
            </w:pPr>
            <w:r>
              <w:rPr>
                <w:b/>
              </w:rPr>
              <w:t>Rapporteur</w:t>
            </w:r>
          </w:p>
        </w:tc>
        <w:tc>
          <w:tcPr>
            <w:tcW w:w="5670" w:type="dxa"/>
          </w:tcPr>
          <w:p w:rsidRPr="000A67D6" w:rsidR="005C7BB8" w:rsidP="00C478BE" w:rsidRDefault="005C7BB8" w14:paraId="0FD93138" w14:textId="77777777">
            <w:pPr>
              <w:tabs>
                <w:tab w:val="center" w:pos="284"/>
              </w:tabs>
              <w:ind w:left="266" w:hanging="266"/>
            </w:pPr>
            <w:proofErr w:type="spellStart"/>
            <w:r>
              <w:t>Krister</w:t>
            </w:r>
            <w:proofErr w:type="spellEnd"/>
            <w:r>
              <w:t> ANDERSSON (groupe des employeurs — SE)</w:t>
            </w:r>
          </w:p>
        </w:tc>
      </w:tr>
      <w:tr w:rsidRPr="00A6689B" w:rsidR="005C7BB8" w:rsidTr="00C478BE" w14:paraId="388B0A2C" w14:textId="77777777">
        <w:tc>
          <w:tcPr>
            <w:tcW w:w="7371" w:type="dxa"/>
            <w:gridSpan w:val="2"/>
          </w:tcPr>
          <w:p w:rsidRPr="00A6689B" w:rsidR="005C7BB8" w:rsidP="00C478BE" w:rsidRDefault="005C7BB8" w14:paraId="6F94BFB2" w14:textId="77777777">
            <w:pPr>
              <w:tabs>
                <w:tab w:val="center" w:pos="284"/>
              </w:tabs>
              <w:spacing w:line="160" w:lineRule="exact"/>
              <w:ind w:left="266" w:hanging="266"/>
              <w:rPr>
                <w:lang w:val="en-US"/>
              </w:rPr>
            </w:pPr>
          </w:p>
        </w:tc>
      </w:tr>
      <w:tr w:rsidRPr="00A6689B" w:rsidR="005C7BB8" w:rsidTr="00C478BE" w14:paraId="04E2956C" w14:textId="77777777">
        <w:tc>
          <w:tcPr>
            <w:tcW w:w="1701" w:type="dxa"/>
            <w:vMerge w:val="restart"/>
          </w:tcPr>
          <w:p w:rsidRPr="00A6689B" w:rsidR="005C7BB8" w:rsidP="00C478BE" w:rsidRDefault="005C7BB8" w14:paraId="49121339" w14:textId="77777777">
            <w:pPr>
              <w:tabs>
                <w:tab w:val="center" w:pos="284"/>
              </w:tabs>
              <w:ind w:left="266" w:hanging="266"/>
              <w:rPr>
                <w:b/>
              </w:rPr>
            </w:pPr>
            <w:r>
              <w:rPr>
                <w:b/>
              </w:rPr>
              <w:t>Références</w:t>
            </w:r>
          </w:p>
        </w:tc>
        <w:tc>
          <w:tcPr>
            <w:tcW w:w="5670" w:type="dxa"/>
          </w:tcPr>
          <w:p w:rsidRPr="00A6689B" w:rsidR="005C7BB8" w:rsidP="00C478BE" w:rsidRDefault="005C7BB8" w14:paraId="5578585C" w14:textId="77777777">
            <w:pPr>
              <w:tabs>
                <w:tab w:val="center" w:pos="284"/>
              </w:tabs>
              <w:ind w:left="266" w:hanging="266"/>
            </w:pPr>
            <w:r>
              <w:t>Avis d’initiative — EESC-2023-00860-00-AC-TRA</w:t>
            </w:r>
          </w:p>
        </w:tc>
      </w:tr>
      <w:tr w:rsidRPr="00A6689B" w:rsidR="005C7BB8" w:rsidTr="00C478BE" w14:paraId="04E9A803" w14:textId="77777777">
        <w:trPr>
          <w:gridAfter w:val="1"/>
          <w:wAfter w:w="5670" w:type="dxa"/>
          <w:trHeight w:val="304"/>
        </w:trPr>
        <w:tc>
          <w:tcPr>
            <w:tcW w:w="1701" w:type="dxa"/>
            <w:vMerge/>
          </w:tcPr>
          <w:p w:rsidRPr="00A6689B" w:rsidR="005C7BB8" w:rsidP="00C478BE" w:rsidRDefault="005C7BB8" w14:paraId="038AF51A" w14:textId="77777777">
            <w:pPr>
              <w:tabs>
                <w:tab w:val="center" w:pos="284"/>
              </w:tabs>
              <w:ind w:left="266" w:hanging="266"/>
              <w:rPr>
                <w:b/>
                <w:lang w:val="en-US"/>
              </w:rPr>
            </w:pPr>
          </w:p>
        </w:tc>
      </w:tr>
    </w:tbl>
    <w:p w:rsidRPr="00A6689B" w:rsidR="005C7BB8" w:rsidP="005C7BB8" w:rsidRDefault="005C7BB8" w14:paraId="12DF2C19" w14:textId="77777777">
      <w:pPr>
        <w:keepNext/>
        <w:keepLines/>
        <w:tabs>
          <w:tab w:val="center" w:pos="284"/>
        </w:tabs>
        <w:ind w:left="266" w:hanging="266"/>
        <w:rPr>
          <w:b/>
        </w:rPr>
      </w:pPr>
      <w:r>
        <w:rPr>
          <w:b/>
        </w:rPr>
        <w:t>Points clés</w:t>
      </w:r>
    </w:p>
    <w:p w:rsidR="005C7BB8" w:rsidP="005C7BB8" w:rsidRDefault="005C7BB8" w14:paraId="16AB669E" w14:textId="77777777">
      <w:pPr>
        <w:keepNext/>
        <w:keepLines/>
        <w:tabs>
          <w:tab w:val="center" w:pos="284"/>
        </w:tabs>
        <w:ind w:left="266" w:hanging="266"/>
        <w:rPr>
          <w:b/>
        </w:rPr>
      </w:pPr>
    </w:p>
    <w:p w:rsidRPr="005A4048" w:rsidR="005C7BB8" w:rsidP="005C7BB8" w:rsidRDefault="005C7BB8" w14:paraId="488C8354" w14:textId="77777777">
      <w:pPr>
        <w:keepNext/>
        <w:keepLines/>
        <w:tabs>
          <w:tab w:val="center" w:pos="284"/>
        </w:tabs>
        <w:ind w:left="266" w:hanging="266"/>
        <w:rPr>
          <w:bCs/>
        </w:rPr>
      </w:pPr>
      <w:r>
        <w:t>Le CESE:</w:t>
      </w:r>
    </w:p>
    <w:p w:rsidRPr="00A6689B" w:rsidR="005C7BB8" w:rsidP="005C7BB8" w:rsidRDefault="005C7BB8" w14:paraId="519715BD" w14:textId="77777777">
      <w:pPr>
        <w:keepNext/>
        <w:keepLines/>
        <w:tabs>
          <w:tab w:val="center" w:pos="284"/>
        </w:tabs>
        <w:ind w:left="266" w:hanging="266"/>
        <w:rPr>
          <w:b/>
        </w:rPr>
      </w:pPr>
    </w:p>
    <w:p w:rsidR="005C7BB8" w:rsidP="005C7BB8" w:rsidRDefault="005C7BB8" w14:paraId="2C29E6E7" w14:textId="77777777">
      <w:pPr>
        <w:pStyle w:val="ListParagraph"/>
        <w:keepNext/>
        <w:numPr>
          <w:ilvl w:val="0"/>
          <w:numId w:val="7"/>
        </w:numPr>
        <w:spacing w:after="200" w:line="276" w:lineRule="auto"/>
        <w:ind w:left="567" w:hanging="567"/>
        <w:rPr>
          <w:szCs w:val="20"/>
        </w:rPr>
      </w:pPr>
      <w:r>
        <w:t>souligne que, ces dix dernières années, la mondialisation et la numérisation ont ouvert de nouvelles possibilités en matière de travail à distance. La pandémie de COVID-19 a provoqué des changements sans précédent dans la vie des travailleurs comme des entreprises, entraînant un essor exponentiel du télétravail;</w:t>
      </w:r>
    </w:p>
    <w:p w:rsidR="005C7BB8" w:rsidP="005C7BB8" w:rsidRDefault="005C7BB8" w14:paraId="391C9F4F" w14:textId="77777777">
      <w:pPr>
        <w:pStyle w:val="ListParagraph"/>
        <w:numPr>
          <w:ilvl w:val="0"/>
          <w:numId w:val="7"/>
        </w:numPr>
        <w:spacing w:after="200" w:line="276" w:lineRule="auto"/>
        <w:ind w:left="567" w:hanging="567"/>
        <w:rPr>
          <w:szCs w:val="20"/>
        </w:rPr>
      </w:pPr>
      <w:r>
        <w:t>rappelle que grâce aux nouvelles technologies, il est possible d’effectuer un travail exactement identique sans qu’une présence physique soit nécessaire. En conséquence, beaucoup plus de personnes sont en mesure de travailler à distance par-delà les frontières et le nombre de télétravailleurs transfrontaliers a considérablement augmenté;</w:t>
      </w:r>
    </w:p>
    <w:p w:rsidR="005C7BB8" w:rsidP="005C7BB8" w:rsidRDefault="005C7BB8" w14:paraId="3720C64A" w14:textId="77777777">
      <w:pPr>
        <w:pStyle w:val="ListParagraph"/>
        <w:numPr>
          <w:ilvl w:val="0"/>
          <w:numId w:val="7"/>
        </w:numPr>
        <w:spacing w:after="200" w:line="276" w:lineRule="auto"/>
        <w:ind w:left="567" w:hanging="567"/>
        <w:rPr>
          <w:szCs w:val="20"/>
        </w:rPr>
      </w:pPr>
      <w:r>
        <w:t>estime que l’option à privilégier est l’imposition des revenus des travailleurs en tant que revenus salariaux dans le pays de résidence de l’employeur. Un tel régime simplifierait les choses pour les salariés et pourrait également être attrayant pour les employeurs. Un mécanisme de partage des recettes serait toutefois probablement nécessaire pour compenser la perte de produit fiscal dans le pays de résidence du salarié;</w:t>
      </w:r>
    </w:p>
    <w:p w:rsidRPr="005E6113" w:rsidR="005C7BB8" w:rsidP="005C7BB8" w:rsidRDefault="005C7BB8" w14:paraId="32DA8E1C" w14:textId="77777777">
      <w:pPr>
        <w:pStyle w:val="ListParagraph"/>
        <w:numPr>
          <w:ilvl w:val="0"/>
          <w:numId w:val="7"/>
        </w:numPr>
        <w:spacing w:after="200" w:line="276" w:lineRule="auto"/>
        <w:ind w:left="567" w:hanging="567"/>
        <w:rPr>
          <w:szCs w:val="20"/>
        </w:rPr>
      </w:pPr>
      <w:r>
        <w:t>propose que les autorités fiscales puissent répartir les recettes entre les pays en utilisant des données relatives à la présence individuelle réelle dans les États concernés (données communiquées par l’employeur à l’administration fiscale de son pays de résidence, faisant ainsi office de guichet unique) ou en se servant d’une clé composite macroéconomique.</w:t>
      </w:r>
    </w:p>
    <w:p w:rsidRPr="00CB2A98" w:rsidR="005C7BB8" w:rsidP="005C7BB8" w:rsidRDefault="005C7BB8" w14:paraId="058A85D7" w14:textId="77777777">
      <w:pPr>
        <w:pStyle w:val="ListParagraph"/>
        <w:ind w:left="0"/>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5C7BB8" w:rsidTr="00C478BE" w14:paraId="14D7F16C" w14:textId="77777777">
        <w:tc>
          <w:tcPr>
            <w:tcW w:w="1418" w:type="dxa"/>
          </w:tcPr>
          <w:p w:rsidRPr="00A6689B" w:rsidR="005C7BB8" w:rsidP="00C478BE" w:rsidRDefault="005C7BB8" w14:paraId="2E3D4F64" w14:textId="77777777">
            <w:pPr>
              <w:spacing w:line="240" w:lineRule="auto"/>
              <w:rPr>
                <w:i/>
              </w:rPr>
            </w:pPr>
            <w:r>
              <w:rPr>
                <w:b/>
                <w:i/>
              </w:rPr>
              <w:t>Contact</w:t>
            </w:r>
          </w:p>
        </w:tc>
        <w:tc>
          <w:tcPr>
            <w:tcW w:w="5670" w:type="dxa"/>
          </w:tcPr>
          <w:p w:rsidRPr="00A6689B" w:rsidR="005C7BB8" w:rsidP="00C478BE" w:rsidRDefault="005C7BB8" w14:paraId="011B7158" w14:textId="1260BCD0">
            <w:pPr>
              <w:spacing w:line="240" w:lineRule="auto"/>
              <w:rPr>
                <w:i/>
              </w:rPr>
            </w:pPr>
            <w:proofErr w:type="spellStart"/>
            <w:r>
              <w:rPr>
                <w:i/>
              </w:rPr>
              <w:t>Jüri</w:t>
            </w:r>
            <w:proofErr w:type="spellEnd"/>
            <w:r w:rsidR="00880A8A">
              <w:rPr>
                <w:i/>
              </w:rPr>
              <w:t> SOOSAAR</w:t>
            </w:r>
          </w:p>
        </w:tc>
      </w:tr>
      <w:tr w:rsidRPr="00A6689B" w:rsidR="005C7BB8" w:rsidTr="00C478BE" w14:paraId="24CD4C93" w14:textId="77777777">
        <w:tc>
          <w:tcPr>
            <w:tcW w:w="1418" w:type="dxa"/>
          </w:tcPr>
          <w:p w:rsidRPr="00A6689B" w:rsidR="005C7BB8" w:rsidP="00C478BE" w:rsidRDefault="005C7BB8" w14:paraId="3B557568" w14:textId="77777777">
            <w:pPr>
              <w:spacing w:line="240" w:lineRule="auto"/>
              <w:rPr>
                <w:i/>
              </w:rPr>
            </w:pPr>
            <w:r>
              <w:rPr>
                <w:i/>
              </w:rPr>
              <w:t>Tél.</w:t>
            </w:r>
          </w:p>
        </w:tc>
        <w:tc>
          <w:tcPr>
            <w:tcW w:w="5670" w:type="dxa"/>
          </w:tcPr>
          <w:p w:rsidRPr="00A6689B" w:rsidR="005C7BB8" w:rsidP="00C478BE" w:rsidRDefault="005C7BB8" w14:paraId="5885EC76" w14:textId="77777777">
            <w:pPr>
              <w:spacing w:line="240" w:lineRule="auto"/>
              <w:rPr>
                <w:i/>
              </w:rPr>
            </w:pPr>
            <w:r>
              <w:rPr>
                <w:i/>
              </w:rPr>
              <w:t>+32 2 546 9628</w:t>
            </w:r>
          </w:p>
        </w:tc>
      </w:tr>
      <w:tr w:rsidRPr="00A6689B" w:rsidR="005C7BB8" w:rsidTr="00C478BE" w14:paraId="63AC4EF4" w14:textId="77777777">
        <w:tc>
          <w:tcPr>
            <w:tcW w:w="1418" w:type="dxa"/>
          </w:tcPr>
          <w:p w:rsidRPr="00A6689B" w:rsidR="005C7BB8" w:rsidP="00C478BE" w:rsidRDefault="005C7BB8" w14:paraId="72FF77D8" w14:textId="77777777">
            <w:pPr>
              <w:spacing w:line="240" w:lineRule="auto"/>
              <w:rPr>
                <w:i/>
              </w:rPr>
            </w:pPr>
            <w:r>
              <w:rPr>
                <w:i/>
              </w:rPr>
              <w:t>Courriel</w:t>
            </w:r>
          </w:p>
        </w:tc>
        <w:tc>
          <w:tcPr>
            <w:tcW w:w="5670" w:type="dxa"/>
          </w:tcPr>
          <w:p w:rsidRPr="00880A8A" w:rsidR="005C7BB8" w:rsidP="00C478BE" w:rsidRDefault="00403D88" w14:paraId="6358E093" w14:textId="1AB2667A">
            <w:pPr>
              <w:spacing w:line="240" w:lineRule="auto"/>
            </w:pPr>
            <w:hyperlink w:history="1" r:id="rId22">
              <w:r w:rsidR="005C7BB8">
                <w:rPr>
                  <w:rStyle w:val="Hyperlink"/>
                </w:rPr>
                <w:t>Juri.Soosaar@eesc.europa.eu</w:t>
              </w:r>
            </w:hyperlink>
          </w:p>
        </w:tc>
      </w:tr>
    </w:tbl>
    <w:p w:rsidRPr="00AD75DB" w:rsidR="005C7BB8" w:rsidP="005C7BB8" w:rsidRDefault="00403D88" w14:paraId="5EAF1D57" w14:textId="69DD7840">
      <w:pPr>
        <w:pStyle w:val="Heading1"/>
        <w:keepNext/>
        <w:numPr>
          <w:ilvl w:val="0"/>
          <w:numId w:val="32"/>
        </w:numPr>
        <w:shd w:val="clear" w:color="auto" w:fill="FFFFFF"/>
        <w:rPr>
          <w:rStyle w:val="Hyperlink"/>
          <w:b/>
          <w:i/>
          <w:sz w:val="28"/>
        </w:rPr>
      </w:pPr>
      <w:hyperlink w:history="1" r:id="rId23">
        <w:r w:rsidRPr="00AD75DB" w:rsidR="005C7BB8">
          <w:rPr>
            <w:rStyle w:val="Hyperlink"/>
            <w:b/>
            <w:i/>
            <w:sz w:val="28"/>
          </w:rPr>
          <w:t xml:space="preserve"> Examen annuel 2024 de la croissance durable</w:t>
        </w:r>
      </w:hyperlink>
    </w:p>
    <w:p w:rsidRPr="00AD75DB" w:rsidR="005C7BB8" w:rsidP="005C7BB8" w:rsidRDefault="005C7BB8" w14:paraId="7F058145" w14:textId="77777777">
      <w:pPr>
        <w:keepNext/>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AD75DB" w:rsidR="005C7BB8" w:rsidTr="00880A8A" w14:paraId="37937A47" w14:textId="77777777">
        <w:tc>
          <w:tcPr>
            <w:tcW w:w="1701" w:type="dxa"/>
          </w:tcPr>
          <w:p w:rsidRPr="00AD75DB" w:rsidR="005C7BB8" w:rsidP="005C7BB8" w:rsidRDefault="005C7BB8" w14:paraId="75ABD9FC" w14:textId="1154EC58">
            <w:pPr>
              <w:pStyle w:val="ListParagraph"/>
              <w:keepNext/>
              <w:widowControl w:val="0"/>
              <w:spacing w:line="276" w:lineRule="auto"/>
              <w:ind w:left="142"/>
              <w:jc w:val="left"/>
              <w:rPr>
                <w:b/>
                <w:bCs/>
                <w:iCs/>
              </w:rPr>
            </w:pPr>
            <w:proofErr w:type="spellStart"/>
            <w:r w:rsidRPr="00AD75DB">
              <w:rPr>
                <w:b/>
              </w:rPr>
              <w:t>Rapporteure</w:t>
            </w:r>
            <w:proofErr w:type="spellEnd"/>
          </w:p>
        </w:tc>
        <w:tc>
          <w:tcPr>
            <w:tcW w:w="7621" w:type="dxa"/>
          </w:tcPr>
          <w:p w:rsidRPr="00AD75DB" w:rsidR="005C7BB8" w:rsidP="005C7BB8" w:rsidRDefault="005C7BB8" w14:paraId="2C4D9680" w14:textId="055D4A01">
            <w:pPr>
              <w:pStyle w:val="ListParagraph"/>
              <w:keepNext/>
              <w:widowControl w:val="0"/>
              <w:spacing w:line="276" w:lineRule="auto"/>
              <w:ind w:left="142" w:right="-1380"/>
              <w:jc w:val="left"/>
              <w:rPr>
                <w:bCs/>
                <w:iCs/>
              </w:rPr>
            </w:pPr>
            <w:r w:rsidRPr="00AD75DB">
              <w:t>Elena-Alexandra CALISTRU (groupe des organisations de la société civile — RO)</w:t>
            </w:r>
          </w:p>
        </w:tc>
      </w:tr>
    </w:tbl>
    <w:p w:rsidRPr="00AD75DB" w:rsidR="005C7BB8" w:rsidP="005C7BB8" w:rsidRDefault="005C7BB8" w14:paraId="2FC6BE1A" w14:textId="77777777">
      <w:pPr>
        <w:keepNext/>
        <w:widowControl w:val="0"/>
        <w:ind w:left="567"/>
        <w:rPr>
          <w:b/>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D75DB" w:rsidR="005C7BB8" w:rsidTr="00C478BE" w14:paraId="1BCE67C4" w14:textId="77777777">
        <w:tc>
          <w:tcPr>
            <w:tcW w:w="1701" w:type="dxa"/>
          </w:tcPr>
          <w:p w:rsidRPr="00AD75DB" w:rsidR="005C7BB8" w:rsidP="005C7BB8" w:rsidRDefault="005C7BB8" w14:paraId="7677A9C8" w14:textId="77777777">
            <w:pPr>
              <w:keepNext/>
              <w:tabs>
                <w:tab w:val="center" w:pos="176"/>
              </w:tabs>
              <w:ind w:left="266" w:hanging="90"/>
              <w:rPr>
                <w:b/>
              </w:rPr>
            </w:pPr>
            <w:r w:rsidRPr="00AD75DB">
              <w:rPr>
                <w:b/>
              </w:rPr>
              <w:t>Références</w:t>
            </w:r>
          </w:p>
        </w:tc>
        <w:tc>
          <w:tcPr>
            <w:tcW w:w="5670" w:type="dxa"/>
          </w:tcPr>
          <w:p w:rsidRPr="00AD75DB" w:rsidR="005C7BB8" w:rsidP="005C7BB8" w:rsidRDefault="005C7BB8" w14:paraId="67B962A7" w14:textId="659FAA01">
            <w:pPr>
              <w:keepNext/>
              <w:tabs>
                <w:tab w:val="center" w:pos="284"/>
              </w:tabs>
              <w:ind w:left="266" w:hanging="266"/>
            </w:pPr>
            <w:r w:rsidRPr="00AD75DB">
              <w:t>COM(2023)</w:t>
            </w:r>
            <w:r w:rsidR="00880A8A">
              <w:t> </w:t>
            </w:r>
            <w:r w:rsidRPr="00AD75DB">
              <w:t>901</w:t>
            </w:r>
            <w:r w:rsidR="00880A8A">
              <w:t> </w:t>
            </w:r>
            <w:r w:rsidRPr="00AD75DB">
              <w:t>final</w:t>
            </w:r>
          </w:p>
          <w:p w:rsidRPr="00AD75DB" w:rsidR="005C7BB8" w:rsidP="005C7BB8" w:rsidRDefault="005C7BB8" w14:paraId="4E0A8A64" w14:textId="77777777">
            <w:pPr>
              <w:keepNext/>
              <w:tabs>
                <w:tab w:val="center" w:pos="284"/>
              </w:tabs>
              <w:ind w:left="266" w:hanging="266"/>
            </w:pPr>
            <w:r w:rsidRPr="00AD75DB">
              <w:t>EESC-2023-05137-00-00-AC</w:t>
            </w:r>
          </w:p>
          <w:p w:rsidRPr="00AD75DB" w:rsidR="005C7BB8" w:rsidP="005C7BB8" w:rsidRDefault="005C7BB8" w14:paraId="056C037C" w14:textId="77777777">
            <w:pPr>
              <w:keepNext/>
              <w:tabs>
                <w:tab w:val="center" w:pos="284"/>
              </w:tabs>
              <w:ind w:left="266" w:hanging="266"/>
            </w:pPr>
          </w:p>
        </w:tc>
      </w:tr>
    </w:tbl>
    <w:p w:rsidRPr="00AD75DB" w:rsidR="005C7BB8" w:rsidP="005C7BB8" w:rsidRDefault="005C7BB8" w14:paraId="4C9EFB0F" w14:textId="77777777">
      <w:pPr>
        <w:keepNext/>
        <w:keepLines/>
        <w:tabs>
          <w:tab w:val="center" w:pos="284"/>
        </w:tabs>
        <w:spacing w:after="80"/>
        <w:ind w:left="266" w:hanging="266"/>
        <w:rPr>
          <w:b/>
        </w:rPr>
      </w:pPr>
      <w:r w:rsidRPr="00AD75DB">
        <w:rPr>
          <w:b/>
        </w:rPr>
        <w:t>Points clés</w:t>
      </w:r>
    </w:p>
    <w:p w:rsidRPr="00AD75DB" w:rsidR="005C7BB8" w:rsidP="005C7BB8" w:rsidRDefault="005C7BB8" w14:paraId="0A123F86" w14:textId="77777777">
      <w:pPr>
        <w:keepNext/>
        <w:keepLines/>
        <w:tabs>
          <w:tab w:val="center" w:pos="284"/>
        </w:tabs>
        <w:spacing w:after="80"/>
        <w:ind w:left="266" w:hanging="266"/>
        <w:rPr>
          <w:b/>
        </w:rPr>
      </w:pPr>
    </w:p>
    <w:p w:rsidRPr="00AD75DB" w:rsidR="005C7BB8" w:rsidP="005C7BB8" w:rsidRDefault="005C7BB8" w14:paraId="791BBFAF" w14:textId="3949CDE4">
      <w:pPr>
        <w:keepNext/>
        <w:spacing w:after="80"/>
      </w:pPr>
      <w:r w:rsidRPr="00AD75DB">
        <w:t>Le CESE:</w:t>
      </w:r>
    </w:p>
    <w:p w:rsidRPr="00AD75DB" w:rsidR="005C7BB8" w:rsidP="005C7BB8" w:rsidRDefault="005C7BB8" w14:paraId="38958BC5" w14:textId="77777777">
      <w:pPr>
        <w:keepNext/>
        <w:spacing w:after="80"/>
      </w:pPr>
    </w:p>
    <w:p w:rsidRPr="00AD75DB" w:rsidR="005C7BB8" w:rsidP="005C7BB8" w:rsidRDefault="005C7BB8" w14:paraId="5C1FCD52" w14:textId="77777777">
      <w:pPr>
        <w:pStyle w:val="Heading2"/>
        <w:keepNext/>
        <w:numPr>
          <w:ilvl w:val="0"/>
          <w:numId w:val="8"/>
        </w:numPr>
        <w:ind w:left="360"/>
      </w:pPr>
      <w:r w:rsidRPr="00AD75DB">
        <w:t>recommande à la Banque centrale européenne de suivre avec vigilance les risques économiques et de procéder à une planification rigoureuse des mesures d’urgence pour garantir des perspectives d’inflation crédibles, et lui conseille de se tenir prête à ajuster ses politiques si la baisse prévue de l’inflation ralentit ou s’inverse, ou si cette dernière devait retomber trop nettement sous les 2 %, préconisant dans ces circonstances une planification des mesures d’urgence plus claire afin de préserver la crédibilité des perspectives d’inflation;</w:t>
      </w:r>
    </w:p>
    <w:p w:rsidRPr="00AD75DB" w:rsidR="005C7BB8" w:rsidP="005C7BB8" w:rsidRDefault="005C7BB8" w14:paraId="4B14AAF0" w14:textId="77777777">
      <w:pPr>
        <w:pStyle w:val="Heading2"/>
        <w:numPr>
          <w:ilvl w:val="0"/>
          <w:numId w:val="8"/>
        </w:numPr>
        <w:ind w:left="360"/>
      </w:pPr>
      <w:r w:rsidRPr="00AD75DB">
        <w:t>plaide pour un dialogue concret avec les parlements nationaux, les collectivités régionales et locales, la société civile et les partenaires sociaux en ce qui concerne les réformes du cadre de gouvernance macroéconomique de l’Union, et souligne qu’il importe de s’approprier ces réformes au niveau national au moyen d’un dialogue inclusif;</w:t>
      </w:r>
    </w:p>
    <w:p w:rsidRPr="00AD75DB" w:rsidR="005C7BB8" w:rsidP="005C7BB8" w:rsidRDefault="005C7BB8" w14:paraId="72EEA575" w14:textId="77777777">
      <w:pPr>
        <w:pStyle w:val="Heading2"/>
        <w:numPr>
          <w:ilvl w:val="0"/>
          <w:numId w:val="8"/>
        </w:numPr>
        <w:ind w:left="360"/>
      </w:pPr>
      <w:r w:rsidRPr="00AD75DB">
        <w:t>souligne l’importance cruciale de l’intégration des valeurs démocratiques et des principes de l’état de droit dans la gouvernance économique européenne;</w:t>
      </w:r>
    </w:p>
    <w:p w:rsidRPr="00AD75DB" w:rsidR="005C7BB8" w:rsidP="005C7BB8" w:rsidRDefault="005C7BB8" w14:paraId="484E6567" w14:textId="77777777">
      <w:pPr>
        <w:pStyle w:val="Heading2"/>
        <w:numPr>
          <w:ilvl w:val="0"/>
          <w:numId w:val="8"/>
        </w:numPr>
        <w:ind w:left="360"/>
      </w:pPr>
      <w:r w:rsidRPr="00AD75DB">
        <w:t>se déclare favorable à un assainissement budgétaire qui tienne compte de la situation singulière de chaque État membre, tout en étant conscient de la diversité des conditions économiques et des risques pour la croissance des États membres;</w:t>
      </w:r>
    </w:p>
    <w:p w:rsidRPr="00AD75DB" w:rsidR="005C7BB8" w:rsidP="005C7BB8" w:rsidRDefault="005C7BB8" w14:paraId="0294E97A" w14:textId="77777777">
      <w:pPr>
        <w:pStyle w:val="Heading2"/>
        <w:numPr>
          <w:ilvl w:val="0"/>
          <w:numId w:val="8"/>
        </w:numPr>
        <w:ind w:left="360"/>
      </w:pPr>
      <w:r w:rsidRPr="00AD75DB">
        <w:t>plaide pour une mise en œuvre équilibrée de la suppression progressive du soutien lié à la crise dont les groupes vulnérables touchés par les coûts élevés de l’énergie et l’inflation continuent de bénéficier et appelle à mettre en place un cadre permanent d’aide sous condition de ressources dans certains pays, et souligne la nécessité d’une discussion approfondie sur les conséquences sociales;</w:t>
      </w:r>
    </w:p>
    <w:p w:rsidRPr="00AD75DB" w:rsidR="005C7BB8" w:rsidP="005C7BB8" w:rsidRDefault="005C7BB8" w14:paraId="25CDA49F" w14:textId="77777777">
      <w:pPr>
        <w:pStyle w:val="Heading2"/>
        <w:numPr>
          <w:ilvl w:val="0"/>
          <w:numId w:val="8"/>
        </w:numPr>
        <w:ind w:left="360"/>
      </w:pPr>
      <w:r w:rsidRPr="00AD75DB">
        <w:t>invite la Commission et les gouvernements nationaux à apporter tout le soutien nécessaire pour renforcer les capacités administratives et rationaliser les processus, et aussi à associer la société civile à la mise en œuvre des plans nationaux pour la reprise et la résilience;</w:t>
      </w:r>
    </w:p>
    <w:p w:rsidRPr="00AD75DB" w:rsidR="005C7BB8" w:rsidP="005C7BB8" w:rsidRDefault="005C7BB8" w14:paraId="5D311D30" w14:textId="77777777">
      <w:pPr>
        <w:pStyle w:val="Heading2"/>
        <w:numPr>
          <w:ilvl w:val="0"/>
          <w:numId w:val="8"/>
        </w:numPr>
        <w:ind w:left="360"/>
      </w:pPr>
      <w:r w:rsidRPr="00AD75DB">
        <w:t>fait valoir qu’il importe d’accroître la participation au marché du travail en améliorant les compétences, en garantissant l’égalité des chances et en ciblant les disparités régionales, appelle de ses vœux des politiques de lutte contre les pertes d’apprentissage dues à la pandémie, en mettant l’accent sur les besoins des élèves et des établissements scolaires défavorisés;</w:t>
      </w:r>
    </w:p>
    <w:p w:rsidRPr="00AD75DB" w:rsidR="005C7BB8" w:rsidP="005C7BB8" w:rsidRDefault="005C7BB8" w14:paraId="40399879" w14:textId="77777777">
      <w:pPr>
        <w:pStyle w:val="Heading2"/>
        <w:numPr>
          <w:ilvl w:val="0"/>
          <w:numId w:val="8"/>
        </w:numPr>
        <w:ind w:left="360"/>
      </w:pPr>
      <w:r w:rsidRPr="00AD75DB">
        <w:t>revendique l’introduction d’actions plus courageuses visant à lever les obstacles administratifs qui entravent les entreprises de l’Union ainsi que d’autres parties prenantes, tout en approuvant des mesures visant à doper la productivité, et fait valoir que les initiatives visant à réduire les obligations d’information doivent aller de pair avec des incitations plus vigoureuses à investir en faveur de la durabilité, y compris par des investissements transfrontières;</w:t>
      </w:r>
    </w:p>
    <w:p w:rsidRPr="00AD75DB" w:rsidR="005C7BB8" w:rsidP="005C7BB8" w:rsidRDefault="005C7BB8" w14:paraId="7C9B3238" w14:textId="77777777">
      <w:pPr>
        <w:pStyle w:val="Heading2"/>
        <w:numPr>
          <w:ilvl w:val="0"/>
          <w:numId w:val="8"/>
        </w:numPr>
        <w:ind w:left="360"/>
      </w:pPr>
      <w:r w:rsidRPr="00AD75DB">
        <w:lastRenderedPageBreak/>
        <w:t>défend une approche budgétaire équilibrée intégrant les contributions des parties prenantes et tenant compte des réalités économiques dans les États membres et fait observer que la mise en œuvre des plans de relance devrait s’inscrire dans cette approche nuancée afin d’éviter de compromettre les objectifs environnementaux et sociaux;</w:t>
      </w:r>
    </w:p>
    <w:p w:rsidRPr="00AD75DB" w:rsidR="005C7BB8" w:rsidP="005C7BB8" w:rsidRDefault="005C7BB8" w14:paraId="68E28D7F" w14:textId="77777777">
      <w:pPr>
        <w:pStyle w:val="Heading2"/>
        <w:numPr>
          <w:ilvl w:val="0"/>
          <w:numId w:val="8"/>
        </w:numPr>
        <w:ind w:left="360"/>
      </w:pPr>
      <w:r w:rsidRPr="00AD75DB">
        <w:t>se déclare déçu par le retard pris dans la mise en place du Fonds de souveraineté de l’Union, tandis que le budget limité alloué à la plateforme des technologies stratégiques pour l’Europe (STEP) suscite de sérieux doutes s’agissant de l’engagement de l’Union et de sa capacité à atteindre ses objectifs en matière de transition écologique, ainsi que des préoccupations concernant les investissements dans la compétitivité européenne.</w:t>
      </w:r>
    </w:p>
    <w:p w:rsidRPr="00AD75DB" w:rsidR="005C7BB8" w:rsidP="005C7BB8" w:rsidRDefault="005C7BB8" w14:paraId="565B246A" w14:textId="77777777">
      <w:pPr>
        <w:pStyle w:val="ListParagraph"/>
        <w:ind w:left="567"/>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D75DB" w:rsidR="005C7BB8" w:rsidTr="00C478BE" w14:paraId="46A58C08" w14:textId="77777777">
        <w:tc>
          <w:tcPr>
            <w:tcW w:w="1418" w:type="dxa"/>
          </w:tcPr>
          <w:p w:rsidRPr="00AD75DB" w:rsidR="005C7BB8" w:rsidP="00C478BE" w:rsidRDefault="005C7BB8" w14:paraId="0190EA34" w14:textId="77777777">
            <w:pPr>
              <w:rPr>
                <w:i/>
              </w:rPr>
            </w:pPr>
            <w:r w:rsidRPr="00AD75DB">
              <w:rPr>
                <w:b/>
                <w:i/>
              </w:rPr>
              <w:t>Contact</w:t>
            </w:r>
          </w:p>
        </w:tc>
        <w:tc>
          <w:tcPr>
            <w:tcW w:w="5670" w:type="dxa"/>
          </w:tcPr>
          <w:p w:rsidRPr="00880A8A" w:rsidR="005C7BB8" w:rsidP="00C478BE" w:rsidRDefault="005C7BB8" w14:paraId="2F756B63" w14:textId="60D2F2A5">
            <w:pPr>
              <w:rPr>
                <w:bCs/>
                <w:i/>
                <w:iCs/>
              </w:rPr>
            </w:pPr>
            <w:r w:rsidRPr="00880A8A">
              <w:rPr>
                <w:bCs/>
                <w:i/>
              </w:rPr>
              <w:t>Colombe </w:t>
            </w:r>
            <w:r w:rsidRPr="00880A8A" w:rsidR="00880A8A">
              <w:rPr>
                <w:bCs/>
                <w:i/>
              </w:rPr>
              <w:t>GREGOIRE</w:t>
            </w:r>
          </w:p>
        </w:tc>
      </w:tr>
      <w:tr w:rsidRPr="00AD75DB" w:rsidR="005C7BB8" w:rsidTr="00C478BE" w14:paraId="0FF64C47" w14:textId="77777777">
        <w:tc>
          <w:tcPr>
            <w:tcW w:w="1418" w:type="dxa"/>
          </w:tcPr>
          <w:p w:rsidRPr="00AD75DB" w:rsidR="005C7BB8" w:rsidP="00C478BE" w:rsidRDefault="005C7BB8" w14:paraId="57F9F6CB" w14:textId="77777777">
            <w:pPr>
              <w:rPr>
                <w:i/>
              </w:rPr>
            </w:pPr>
            <w:r w:rsidRPr="00AD75DB">
              <w:rPr>
                <w:i/>
              </w:rPr>
              <w:t>Tél.</w:t>
            </w:r>
          </w:p>
        </w:tc>
        <w:tc>
          <w:tcPr>
            <w:tcW w:w="5670" w:type="dxa"/>
          </w:tcPr>
          <w:p w:rsidRPr="00AD75DB" w:rsidR="005C7BB8" w:rsidP="00C478BE" w:rsidRDefault="005C7BB8" w14:paraId="2B7DB0D9" w14:textId="77777777">
            <w:pPr>
              <w:rPr>
                <w:i/>
                <w:iCs/>
              </w:rPr>
            </w:pPr>
            <w:r w:rsidRPr="00AD75DB">
              <w:rPr>
                <w:i/>
              </w:rPr>
              <w:t>+32 25469286</w:t>
            </w:r>
          </w:p>
        </w:tc>
      </w:tr>
      <w:tr w:rsidRPr="00AD75DB" w:rsidR="005C7BB8" w:rsidTr="00C478BE" w14:paraId="11AD1E8D" w14:textId="77777777">
        <w:tc>
          <w:tcPr>
            <w:tcW w:w="1418" w:type="dxa"/>
          </w:tcPr>
          <w:p w:rsidRPr="00AD75DB" w:rsidR="005C7BB8" w:rsidP="00C478BE" w:rsidRDefault="005C7BB8" w14:paraId="76D8F24B" w14:textId="77777777">
            <w:pPr>
              <w:rPr>
                <w:i/>
              </w:rPr>
            </w:pPr>
            <w:r w:rsidRPr="00AD75DB">
              <w:rPr>
                <w:i/>
              </w:rPr>
              <w:t>Courriel:</w:t>
            </w:r>
          </w:p>
        </w:tc>
        <w:tc>
          <w:tcPr>
            <w:tcW w:w="5670" w:type="dxa"/>
          </w:tcPr>
          <w:p w:rsidRPr="00AD75DB" w:rsidR="005C7BB8" w:rsidP="00C478BE" w:rsidRDefault="00403D88" w14:paraId="7BD4116B" w14:textId="77777777">
            <w:pPr>
              <w:rPr>
                <w:i/>
                <w:iCs/>
              </w:rPr>
            </w:pPr>
            <w:hyperlink w:history="1" r:id="rId24">
              <w:r w:rsidRPr="00AD75DB" w:rsidR="005C7BB8">
                <w:rPr>
                  <w:rStyle w:val="Hyperlink"/>
                </w:rPr>
                <w:t>Colombe.Gregoire@eesc.europa.eu</w:t>
              </w:r>
            </w:hyperlink>
            <w:r w:rsidRPr="00AD75DB" w:rsidR="005C7BB8">
              <w:t xml:space="preserve"> </w:t>
            </w:r>
          </w:p>
        </w:tc>
      </w:tr>
    </w:tbl>
    <w:p w:rsidR="00A32597" w:rsidRDefault="00A32597" w14:paraId="11F6A301" w14:textId="703007B0">
      <w:pPr>
        <w:spacing w:after="160" w:line="259" w:lineRule="auto"/>
        <w:jc w:val="left"/>
        <w:rPr>
          <w:b/>
          <w:bCs/>
        </w:rPr>
      </w:pPr>
    </w:p>
    <w:p w:rsidR="005C7BB8" w:rsidRDefault="005C7BB8" w14:paraId="7DA3EF8F" w14:textId="77777777">
      <w:pPr>
        <w:spacing w:after="160" w:line="259" w:lineRule="auto"/>
        <w:jc w:val="left"/>
        <w:rPr>
          <w:b/>
          <w:bCs/>
        </w:rPr>
      </w:pPr>
    </w:p>
    <w:p w:rsidRPr="00F01400" w:rsidR="005C7BB8" w:rsidP="00F01400" w:rsidRDefault="00403D88" w14:paraId="0A4EEC8E" w14:textId="3F552CB6">
      <w:pPr>
        <w:pStyle w:val="ListParagraph"/>
        <w:widowControl w:val="0"/>
        <w:numPr>
          <w:ilvl w:val="0"/>
          <w:numId w:val="34"/>
        </w:numPr>
        <w:overflowPunct w:val="0"/>
        <w:autoSpaceDE w:val="0"/>
        <w:autoSpaceDN w:val="0"/>
        <w:adjustRightInd w:val="0"/>
        <w:textAlignment w:val="baseline"/>
        <w:rPr>
          <w:sz w:val="20"/>
        </w:rPr>
      </w:pPr>
      <w:hyperlink w:history="1" r:id="rId25">
        <w:r w:rsidRPr="00F01400" w:rsidR="005C7BB8">
          <w:rPr>
            <w:rStyle w:val="Hyperlink"/>
            <w:b/>
            <w:i/>
            <w:sz w:val="28"/>
          </w:rPr>
          <w:t>Améliorer les indices de référence et les obligations d’information dans les domaines des services financiers et du soutien à l’investissement</w:t>
        </w:r>
      </w:hyperlink>
    </w:p>
    <w:p w:rsidRPr="00396759" w:rsidR="005C7BB8" w:rsidP="005C7BB8" w:rsidRDefault="005C7BB8" w14:paraId="10D5C441" w14:textId="77777777">
      <w:pPr>
        <w:tabs>
          <w:tab w:val="center" w:pos="284"/>
        </w:tabs>
        <w:ind w:left="266" w:hanging="266"/>
        <w:rPr>
          <w:b/>
        </w:rPr>
      </w:pP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396759" w:rsidR="005C7BB8" w:rsidTr="00C478BE" w14:paraId="080572AE" w14:textId="77777777">
        <w:tc>
          <w:tcPr>
            <w:tcW w:w="1129" w:type="pct"/>
          </w:tcPr>
          <w:p w:rsidRPr="00396759" w:rsidR="005C7BB8" w:rsidP="00C478BE" w:rsidRDefault="005C7BB8" w14:paraId="73D69BB8" w14:textId="77777777">
            <w:pPr>
              <w:tabs>
                <w:tab w:val="center" w:pos="284"/>
              </w:tabs>
              <w:ind w:left="266" w:hanging="266"/>
              <w:rPr>
                <w:b/>
              </w:rPr>
            </w:pPr>
            <w:r w:rsidRPr="00396759">
              <w:rPr>
                <w:b/>
              </w:rPr>
              <w:t>Rapporteur</w:t>
            </w:r>
          </w:p>
        </w:tc>
        <w:tc>
          <w:tcPr>
            <w:tcW w:w="3871" w:type="pct"/>
          </w:tcPr>
          <w:p w:rsidRPr="00396759" w:rsidR="005C7BB8" w:rsidP="00C478BE" w:rsidRDefault="005C7BB8" w14:paraId="0B20E532" w14:textId="77777777">
            <w:pPr>
              <w:tabs>
                <w:tab w:val="center" w:pos="284"/>
              </w:tabs>
              <w:ind w:left="266" w:hanging="266"/>
            </w:pPr>
            <w:r w:rsidRPr="00396759">
              <w:t>Krzysztof BALON (groupe des organisations de la société civile — PL)</w:t>
            </w:r>
          </w:p>
        </w:tc>
      </w:tr>
      <w:tr w:rsidRPr="00396759" w:rsidR="005C7BB8" w:rsidTr="00C478BE" w14:paraId="171A983F" w14:textId="77777777">
        <w:tc>
          <w:tcPr>
            <w:tcW w:w="5000" w:type="pct"/>
            <w:gridSpan w:val="2"/>
          </w:tcPr>
          <w:p w:rsidRPr="00396759" w:rsidR="005C7BB8" w:rsidP="00C478BE" w:rsidRDefault="005C7BB8" w14:paraId="540D2393" w14:textId="77777777">
            <w:pPr>
              <w:tabs>
                <w:tab w:val="center" w:pos="284"/>
              </w:tabs>
              <w:spacing w:line="160" w:lineRule="exact"/>
              <w:ind w:left="266" w:hanging="266"/>
            </w:pPr>
          </w:p>
        </w:tc>
      </w:tr>
      <w:tr w:rsidRPr="00396759" w:rsidR="005C7BB8" w:rsidTr="00C478BE" w14:paraId="270E6B30" w14:textId="77777777">
        <w:tc>
          <w:tcPr>
            <w:tcW w:w="1129" w:type="pct"/>
            <w:vMerge w:val="restart"/>
          </w:tcPr>
          <w:p w:rsidRPr="00396759" w:rsidR="005C7BB8" w:rsidP="00C478BE" w:rsidRDefault="005C7BB8" w14:paraId="724F5431" w14:textId="77777777">
            <w:pPr>
              <w:tabs>
                <w:tab w:val="center" w:pos="284"/>
              </w:tabs>
              <w:ind w:left="266" w:hanging="266"/>
              <w:rPr>
                <w:b/>
              </w:rPr>
            </w:pPr>
            <w:r w:rsidRPr="00396759">
              <w:rPr>
                <w:b/>
              </w:rPr>
              <w:t>Références</w:t>
            </w:r>
          </w:p>
        </w:tc>
        <w:tc>
          <w:tcPr>
            <w:tcW w:w="3871" w:type="pct"/>
          </w:tcPr>
          <w:p w:rsidRPr="00396759" w:rsidR="005C7BB8" w:rsidP="00C478BE" w:rsidRDefault="005C7BB8" w14:paraId="685DDB8D" w14:textId="77777777">
            <w:pPr>
              <w:tabs>
                <w:tab w:val="center" w:pos="284"/>
              </w:tabs>
              <w:ind w:left="266" w:hanging="266"/>
            </w:pPr>
            <w:r w:rsidRPr="00396759">
              <w:t>COM(2023) 593 final — 2023/0363 (COD)</w:t>
            </w:r>
          </w:p>
          <w:p w:rsidRPr="00396759" w:rsidR="005C7BB8" w:rsidP="00C478BE" w:rsidRDefault="005C7BB8" w14:paraId="73BCA4E2" w14:textId="77777777">
            <w:pPr>
              <w:tabs>
                <w:tab w:val="center" w:pos="284"/>
              </w:tabs>
              <w:ind w:left="266" w:hanging="266"/>
            </w:pPr>
            <w:r w:rsidRPr="00396759">
              <w:t>COM(2023) 660 final — 2023/0379 (COD)</w:t>
            </w:r>
          </w:p>
        </w:tc>
      </w:tr>
      <w:tr w:rsidRPr="00396759" w:rsidR="005C7BB8" w:rsidTr="00C478BE" w14:paraId="07BAA404" w14:textId="77777777">
        <w:tc>
          <w:tcPr>
            <w:tcW w:w="1129" w:type="pct"/>
            <w:vMerge/>
          </w:tcPr>
          <w:p w:rsidRPr="00396759" w:rsidR="005C7BB8" w:rsidP="00C478BE" w:rsidRDefault="005C7BB8" w14:paraId="6F32D84B" w14:textId="77777777">
            <w:pPr>
              <w:tabs>
                <w:tab w:val="center" w:pos="284"/>
              </w:tabs>
              <w:ind w:left="266" w:hanging="266"/>
              <w:rPr>
                <w:b/>
              </w:rPr>
            </w:pPr>
          </w:p>
        </w:tc>
        <w:tc>
          <w:tcPr>
            <w:tcW w:w="3871" w:type="pct"/>
          </w:tcPr>
          <w:p w:rsidRPr="00396759" w:rsidR="005C7BB8" w:rsidP="00C478BE" w:rsidRDefault="005C7BB8" w14:paraId="0CA09682" w14:textId="77777777">
            <w:pPr>
              <w:tabs>
                <w:tab w:val="center" w:pos="284"/>
              </w:tabs>
              <w:ind w:left="266" w:hanging="266"/>
            </w:pPr>
            <w:r w:rsidRPr="00396759">
              <w:t>EESC-2023-05424-00-00-AC</w:t>
            </w:r>
          </w:p>
        </w:tc>
      </w:tr>
    </w:tbl>
    <w:p w:rsidR="00D20FC8" w:rsidP="00D20FC8" w:rsidRDefault="00D20FC8" w14:paraId="7E9D57F0" w14:textId="77777777">
      <w:pPr>
        <w:keepNext/>
        <w:keepLines/>
        <w:tabs>
          <w:tab w:val="center" w:pos="284"/>
        </w:tabs>
        <w:spacing w:after="80"/>
        <w:ind w:left="266" w:hanging="266"/>
        <w:rPr>
          <w:b/>
        </w:rPr>
      </w:pPr>
    </w:p>
    <w:p w:rsidRPr="00AD75DB" w:rsidR="00D20FC8" w:rsidP="00D20FC8" w:rsidRDefault="00D20FC8" w14:paraId="5C82FD39" w14:textId="0DB1F1FE">
      <w:pPr>
        <w:keepNext/>
        <w:keepLines/>
        <w:tabs>
          <w:tab w:val="center" w:pos="284"/>
        </w:tabs>
        <w:spacing w:after="80"/>
        <w:ind w:left="266" w:hanging="266"/>
        <w:rPr>
          <w:b/>
        </w:rPr>
      </w:pPr>
      <w:r w:rsidRPr="00AD75DB">
        <w:rPr>
          <w:b/>
        </w:rPr>
        <w:t>Points clés</w:t>
      </w:r>
    </w:p>
    <w:p w:rsidRPr="00AD75DB" w:rsidR="00D20FC8" w:rsidP="00D20FC8" w:rsidRDefault="00D20FC8" w14:paraId="28395471" w14:textId="77777777">
      <w:pPr>
        <w:keepNext/>
        <w:keepLines/>
        <w:tabs>
          <w:tab w:val="center" w:pos="284"/>
        </w:tabs>
        <w:spacing w:after="80"/>
        <w:ind w:left="266" w:hanging="266"/>
        <w:rPr>
          <w:b/>
        </w:rPr>
      </w:pPr>
    </w:p>
    <w:p w:rsidRPr="00396759" w:rsidR="005C7BB8" w:rsidP="005C7BB8" w:rsidRDefault="005C7BB8" w14:paraId="1D86E399" w14:textId="77777777">
      <w:pPr>
        <w:pStyle w:val="ListParagraph"/>
        <w:widowControl w:val="0"/>
        <w:spacing w:line="24" w:lineRule="atLeast"/>
        <w:ind w:left="0"/>
      </w:pPr>
      <w:r w:rsidRPr="00396759">
        <w:t>En ce qui concerne le partage de données et la réduction des exigences administratives en matière de services financiers et de soutien à l’investissement, le CESE:</w:t>
      </w:r>
    </w:p>
    <w:p w:rsidRPr="00396759" w:rsidR="005C7BB8" w:rsidP="005C7BB8" w:rsidRDefault="005C7BB8" w14:paraId="5AD622D9" w14:textId="77777777">
      <w:pPr>
        <w:widowControl w:val="0"/>
        <w:spacing w:line="24" w:lineRule="atLeast"/>
        <w:ind w:left="284" w:firstLine="425"/>
        <w:jc w:val="left"/>
      </w:pPr>
    </w:p>
    <w:p w:rsidRPr="00396759" w:rsidR="005C7BB8" w:rsidP="005C7BB8" w:rsidRDefault="005C7BB8" w14:paraId="6403B67F" w14:textId="5A04D812">
      <w:pPr>
        <w:pStyle w:val="ListParagraph"/>
        <w:widowControl w:val="0"/>
        <w:numPr>
          <w:ilvl w:val="0"/>
          <w:numId w:val="10"/>
        </w:numPr>
        <w:spacing w:line="24" w:lineRule="atLeast"/>
      </w:pPr>
      <w:r w:rsidRPr="00396759">
        <w:t>se félicite de l’initiative visant à rationaliser et à simplifier les obligations de déclaration à des fins de surveillance et à éviter les demandes de déclaration faisant double emploi;</w:t>
      </w:r>
    </w:p>
    <w:p w:rsidRPr="00396759" w:rsidR="005C7BB8" w:rsidP="005C7BB8" w:rsidRDefault="005C7BB8" w14:paraId="42718917" w14:textId="1B20F287">
      <w:pPr>
        <w:pStyle w:val="ListParagraph"/>
        <w:widowControl w:val="0"/>
        <w:numPr>
          <w:ilvl w:val="0"/>
          <w:numId w:val="10"/>
        </w:numPr>
        <w:spacing w:line="24" w:lineRule="atLeast"/>
      </w:pPr>
      <w:r w:rsidRPr="00396759">
        <w:t>juge nécessaire de normaliser la portée et le format des données requises pour l’échange d’informations entre les autorités chargées de la surveillance du secteur financier;</w:t>
      </w:r>
    </w:p>
    <w:p w:rsidRPr="00396759" w:rsidR="005C7BB8" w:rsidP="005C7BB8" w:rsidRDefault="005C7BB8" w14:paraId="2DBEA7F4" w14:textId="77777777">
      <w:pPr>
        <w:pStyle w:val="ListParagraph"/>
        <w:widowControl w:val="0"/>
        <w:numPr>
          <w:ilvl w:val="0"/>
          <w:numId w:val="10"/>
        </w:numPr>
        <w:spacing w:line="24" w:lineRule="atLeast"/>
      </w:pPr>
      <w:r w:rsidRPr="00396759">
        <w:t>note que les modifications proposées peuvent engendrer des coûts de mise en œuvre et/ou de normalisation supplémentaires. La réduction des coûts au minimum ne devrait pas être dissociée des autres objectifs de collecte et de partage des données;</w:t>
      </w:r>
    </w:p>
    <w:p w:rsidRPr="00396759" w:rsidR="005C7BB8" w:rsidP="005C7BB8" w:rsidRDefault="005C7BB8" w14:paraId="1574D0C0" w14:textId="77777777">
      <w:pPr>
        <w:pStyle w:val="ListParagraph"/>
        <w:widowControl w:val="0"/>
        <w:numPr>
          <w:ilvl w:val="0"/>
          <w:numId w:val="10"/>
        </w:numPr>
        <w:spacing w:line="24" w:lineRule="atLeast"/>
      </w:pPr>
      <w:r w:rsidRPr="00396759">
        <w:t>estime que les futures initiatives devraient établir que la transmission de données à un organisme public (ou à une plateforme partagée) est assimilée à une communication de ces données à tous les autres organes publics compétents (concept de guichet unique);</w:t>
      </w:r>
    </w:p>
    <w:p w:rsidRPr="00396759" w:rsidR="005C7BB8" w:rsidP="005C7BB8" w:rsidRDefault="005C7BB8" w14:paraId="13C43835" w14:textId="77777777">
      <w:pPr>
        <w:pStyle w:val="ListParagraph"/>
        <w:widowControl w:val="0"/>
        <w:numPr>
          <w:ilvl w:val="0"/>
          <w:numId w:val="10"/>
        </w:numPr>
        <w:spacing w:line="24" w:lineRule="atLeast"/>
      </w:pPr>
      <w:r w:rsidRPr="00396759">
        <w:t>note que le partage de données restera soumis à une demande volontaire. À cet égard, les autorités doivent (et pas seulement «peuvent») conclure des protocoles d’accord précisant les modalités de l’échange d’informations;</w:t>
      </w:r>
    </w:p>
    <w:p w:rsidRPr="00396759" w:rsidR="005C7BB8" w:rsidP="005C7BB8" w:rsidRDefault="005C7BB8" w14:paraId="2F98BEE1" w14:textId="0139A2A3">
      <w:pPr>
        <w:pStyle w:val="ListParagraph"/>
        <w:widowControl w:val="0"/>
        <w:numPr>
          <w:ilvl w:val="0"/>
          <w:numId w:val="10"/>
        </w:numPr>
        <w:spacing w:line="24" w:lineRule="atLeast"/>
      </w:pPr>
      <w:r w:rsidRPr="00396759">
        <w:t>fait observer que, dans un souci de simplification, un réexamen régulier des obligations d’information devrait être obligatoire</w:t>
      </w:r>
      <w:r w:rsidR="00D20FC8">
        <w:t>.</w:t>
      </w:r>
    </w:p>
    <w:p w:rsidRPr="00396759" w:rsidR="005C7BB8" w:rsidP="005C7BB8" w:rsidRDefault="005C7BB8" w14:paraId="11DF83A6" w14:textId="77777777">
      <w:pPr>
        <w:widowControl w:val="0"/>
        <w:spacing w:line="240" w:lineRule="atLeast"/>
        <w:ind w:left="284"/>
        <w:jc w:val="left"/>
      </w:pPr>
    </w:p>
    <w:p w:rsidRPr="00396759" w:rsidR="005C7BB8" w:rsidP="000D1792" w:rsidRDefault="005C7BB8" w14:paraId="46CA3CD7" w14:textId="77777777">
      <w:pPr>
        <w:pStyle w:val="ListParagraph"/>
        <w:keepNext/>
        <w:widowControl w:val="0"/>
        <w:spacing w:line="240" w:lineRule="atLeast"/>
        <w:ind w:left="0"/>
      </w:pPr>
      <w:r w:rsidRPr="00396759">
        <w:lastRenderedPageBreak/>
        <w:t>En ce qui concerne les amendements au règlement sur les indices de référence, le CESE:</w:t>
      </w:r>
    </w:p>
    <w:p w:rsidRPr="00396759" w:rsidR="005C7BB8" w:rsidP="000D1792" w:rsidRDefault="005C7BB8" w14:paraId="578CCD29" w14:textId="77777777">
      <w:pPr>
        <w:keepNext/>
        <w:widowControl w:val="0"/>
        <w:spacing w:line="240" w:lineRule="atLeast"/>
        <w:ind w:left="284"/>
        <w:jc w:val="left"/>
      </w:pPr>
    </w:p>
    <w:p w:rsidRPr="00396759" w:rsidR="005C7BB8" w:rsidP="000D1792" w:rsidRDefault="005C7BB8" w14:paraId="4FA77B8E" w14:textId="75439B01">
      <w:pPr>
        <w:pStyle w:val="ListParagraph"/>
        <w:keepNext/>
        <w:widowControl w:val="0"/>
        <w:numPr>
          <w:ilvl w:val="0"/>
          <w:numId w:val="9"/>
        </w:numPr>
        <w:spacing w:line="24" w:lineRule="atLeast"/>
      </w:pPr>
      <w:r w:rsidRPr="00396759">
        <w:t>approuve une approche plus équilibrée et proportionnée visant à préserver la stabilité financière et l’intégrité des marchés européens, ainsi qu’à réduire les coûts et les exigences réglementaires, notamment en limitant les obligations applicables aux indices de référence d’importance non significative;</w:t>
      </w:r>
    </w:p>
    <w:p w:rsidRPr="00396759" w:rsidR="005C7BB8" w:rsidP="005C7BB8" w:rsidRDefault="005C7BB8" w14:paraId="7D0273E7" w14:textId="77777777">
      <w:pPr>
        <w:pStyle w:val="ListParagraph"/>
        <w:widowControl w:val="0"/>
        <w:numPr>
          <w:ilvl w:val="0"/>
          <w:numId w:val="9"/>
        </w:numPr>
        <w:spacing w:line="24" w:lineRule="atLeast"/>
      </w:pPr>
      <w:r w:rsidRPr="00396759">
        <w:t>se félicite que soit clarifié le rôle de la Commission, de l’Autorité européenne des marchés financiers (AEMF) et des autorités nationales dans le processus applicable aux indices de référence d’importance significative et d’importance critique;</w:t>
      </w:r>
    </w:p>
    <w:p w:rsidRPr="00396759" w:rsidR="005C7BB8" w:rsidP="005C7BB8" w:rsidRDefault="005C7BB8" w14:paraId="217E1227" w14:textId="77777777">
      <w:pPr>
        <w:pStyle w:val="ListParagraph"/>
        <w:widowControl w:val="0"/>
        <w:numPr>
          <w:ilvl w:val="0"/>
          <w:numId w:val="9"/>
        </w:numPr>
        <w:spacing w:line="24" w:lineRule="atLeast"/>
      </w:pPr>
      <w:r w:rsidRPr="00396759">
        <w:t>recommande vivement de vérifier si une initiative visant à réduire au minimum les obligations d’information ou à baisser les coûts pour les indices de référence d’importance critique ou d’importance significative est possible.</w:t>
      </w:r>
    </w:p>
    <w:p w:rsidRPr="00396759" w:rsidR="005C7BB8" w:rsidP="005C7BB8" w:rsidRDefault="005C7BB8" w14:paraId="7C8B2B5F" w14:textId="77777777">
      <w:pPr>
        <w:widowControl w:val="0"/>
      </w:pPr>
    </w:p>
    <w:p w:rsidRPr="00396759" w:rsidR="005C7BB8" w:rsidP="005C7BB8" w:rsidRDefault="005C7BB8" w14:paraId="020BC71D" w14:textId="77777777">
      <w:pPr>
        <w:pStyle w:val="ListParagraph"/>
        <w:spacing w:line="360" w:lineRule="auto"/>
        <w:ind w:left="714"/>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96759" w:rsidR="005C7BB8" w:rsidTr="00C478BE" w14:paraId="44EA6D6B" w14:textId="77777777">
        <w:tc>
          <w:tcPr>
            <w:tcW w:w="1556" w:type="pct"/>
          </w:tcPr>
          <w:p w:rsidRPr="00396759" w:rsidR="005C7BB8" w:rsidP="00C478BE" w:rsidRDefault="005C7BB8" w14:paraId="18E250B8" w14:textId="77777777">
            <w:pPr>
              <w:spacing w:line="240" w:lineRule="auto"/>
              <w:rPr>
                <w:i/>
              </w:rPr>
            </w:pPr>
            <w:r w:rsidRPr="00396759">
              <w:rPr>
                <w:b/>
                <w:i/>
              </w:rPr>
              <w:t>Contact</w:t>
            </w:r>
          </w:p>
        </w:tc>
        <w:tc>
          <w:tcPr>
            <w:tcW w:w="3444" w:type="pct"/>
          </w:tcPr>
          <w:p w:rsidRPr="00396759" w:rsidR="005C7BB8" w:rsidP="00C478BE" w:rsidRDefault="005C7BB8" w14:paraId="3D3F6AA1" w14:textId="77777777">
            <w:pPr>
              <w:spacing w:line="240" w:lineRule="auto"/>
              <w:rPr>
                <w:i/>
              </w:rPr>
            </w:pPr>
            <w:r w:rsidRPr="00396759">
              <w:rPr>
                <w:i/>
              </w:rPr>
              <w:t>Sergio LORENCIO MATALLANA</w:t>
            </w:r>
          </w:p>
        </w:tc>
      </w:tr>
      <w:tr w:rsidRPr="00396759" w:rsidR="005C7BB8" w:rsidTr="00C478BE" w14:paraId="38CCF10A" w14:textId="77777777">
        <w:tc>
          <w:tcPr>
            <w:tcW w:w="1556" w:type="pct"/>
          </w:tcPr>
          <w:p w:rsidRPr="00396759" w:rsidR="005C7BB8" w:rsidP="00C478BE" w:rsidRDefault="005C7BB8" w14:paraId="70746DEC" w14:textId="77777777">
            <w:pPr>
              <w:spacing w:line="240" w:lineRule="auto"/>
              <w:rPr>
                <w:i/>
              </w:rPr>
            </w:pPr>
            <w:r w:rsidRPr="00396759">
              <w:rPr>
                <w:i/>
              </w:rPr>
              <w:t>Tél.</w:t>
            </w:r>
          </w:p>
        </w:tc>
        <w:tc>
          <w:tcPr>
            <w:tcW w:w="3444" w:type="pct"/>
          </w:tcPr>
          <w:p w:rsidRPr="00396759" w:rsidR="005C7BB8" w:rsidP="00C478BE" w:rsidRDefault="005C7BB8" w14:paraId="3DA9DE96" w14:textId="77777777">
            <w:pPr>
              <w:spacing w:line="240" w:lineRule="auto"/>
              <w:rPr>
                <w:i/>
              </w:rPr>
            </w:pPr>
            <w:r w:rsidRPr="00396759">
              <w:rPr>
                <w:i/>
              </w:rPr>
              <w:t>+32 25469240</w:t>
            </w:r>
          </w:p>
        </w:tc>
      </w:tr>
      <w:tr w:rsidRPr="00396759" w:rsidR="005C7BB8" w:rsidTr="00C478BE" w14:paraId="4CD8AE1E" w14:textId="77777777">
        <w:tc>
          <w:tcPr>
            <w:tcW w:w="1556" w:type="pct"/>
          </w:tcPr>
          <w:p w:rsidRPr="00396759" w:rsidR="005C7BB8" w:rsidP="00C478BE" w:rsidRDefault="005C7BB8" w14:paraId="2947F097" w14:textId="77777777">
            <w:pPr>
              <w:spacing w:line="240" w:lineRule="auto"/>
              <w:rPr>
                <w:i/>
              </w:rPr>
            </w:pPr>
            <w:r w:rsidRPr="00396759">
              <w:rPr>
                <w:i/>
              </w:rPr>
              <w:t>Courriel</w:t>
            </w:r>
          </w:p>
        </w:tc>
        <w:tc>
          <w:tcPr>
            <w:tcW w:w="3444" w:type="pct"/>
          </w:tcPr>
          <w:p w:rsidRPr="00396759" w:rsidR="005C7BB8" w:rsidP="00C478BE" w:rsidRDefault="00403D88" w14:paraId="47E5902B" w14:textId="77777777">
            <w:pPr>
              <w:spacing w:line="240" w:lineRule="auto"/>
              <w:rPr>
                <w:i/>
              </w:rPr>
            </w:pPr>
            <w:hyperlink w:history="1" r:id="rId26">
              <w:r w:rsidRPr="00396759" w:rsidR="005C7BB8">
                <w:rPr>
                  <w:rStyle w:val="Hyperlink"/>
                  <w:i/>
                </w:rPr>
                <w:t>Sergio.LorencioMatallana@eesc.europa.eu</w:t>
              </w:r>
            </w:hyperlink>
          </w:p>
        </w:tc>
      </w:tr>
    </w:tbl>
    <w:p w:rsidRPr="00396759" w:rsidR="005C7BB8" w:rsidP="005C7BB8" w:rsidRDefault="005C7BB8" w14:paraId="2F9C8F57" w14:textId="77777777">
      <w:pPr>
        <w:jc w:val="center"/>
      </w:pPr>
    </w:p>
    <w:p w:rsidR="006C6A1E" w:rsidP="00234EA0" w:rsidRDefault="006C6A1E" w14:paraId="55E56154" w14:textId="2549BDD3">
      <w:pPr>
        <w:pStyle w:val="Heading1"/>
        <w:ind w:hanging="928"/>
        <w:rPr>
          <w:b/>
          <w:bCs/>
        </w:rPr>
      </w:pPr>
      <w:bookmarkStart w:name="_Toc150179063" w:id="2"/>
      <w:bookmarkStart w:name="_Toc159831769" w:id="3"/>
      <w:bookmarkStart w:name="_Toc153539680" w:id="4"/>
      <w:bookmarkEnd w:id="2"/>
      <w:r>
        <w:rPr>
          <w:b/>
        </w:rPr>
        <w:t>EMPLOI, AFFAIRES SOCIALES ET CITOYENNETÉ</w:t>
      </w:r>
      <w:bookmarkEnd w:id="3"/>
    </w:p>
    <w:p w:rsidR="006C6A1E" w:rsidP="006C6A1E" w:rsidRDefault="006C6A1E" w14:paraId="190420D2" w14:textId="4E6BD19C"/>
    <w:p w:rsidRPr="00F01400" w:rsidR="009A4641" w:rsidP="00F01400" w:rsidRDefault="00403D88" w14:paraId="28121584" w14:textId="4D06EA80">
      <w:pPr>
        <w:pStyle w:val="ListParagraph"/>
        <w:widowControl w:val="0"/>
        <w:numPr>
          <w:ilvl w:val="0"/>
          <w:numId w:val="34"/>
        </w:numPr>
        <w:overflowPunct w:val="0"/>
        <w:autoSpaceDE w:val="0"/>
        <w:autoSpaceDN w:val="0"/>
        <w:adjustRightInd w:val="0"/>
        <w:textAlignment w:val="baseline"/>
        <w:rPr>
          <w:sz w:val="20"/>
        </w:rPr>
      </w:pPr>
      <w:hyperlink w:history="1" r:id="rId27">
        <w:r w:rsidRPr="00F01400" w:rsidR="009A4641">
          <w:rPr>
            <w:rStyle w:val="Hyperlink"/>
            <w:b/>
            <w:i/>
            <w:sz w:val="28"/>
          </w:rPr>
          <w:t>Numérisation dans le domaine de la sécurité sociale</w:t>
        </w:r>
      </w:hyperlink>
    </w:p>
    <w:p w:rsidRPr="002422F3" w:rsidR="009A4641" w:rsidP="009A4641" w:rsidRDefault="009A4641" w14:paraId="58D0390D" w14:textId="77777777">
      <w:pPr>
        <w:tabs>
          <w:tab w:val="center" w:pos="284"/>
        </w:tabs>
        <w:ind w:left="266" w:hanging="266"/>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0"/>
        <w:gridCol w:w="7407"/>
      </w:tblGrid>
      <w:tr w:rsidRPr="002422F3" w:rsidR="009A4641" w:rsidTr="00C478BE" w14:paraId="2AFD6735" w14:textId="77777777">
        <w:trPr>
          <w:trHeight w:val="564"/>
        </w:trPr>
        <w:tc>
          <w:tcPr>
            <w:tcW w:w="1012" w:type="pct"/>
          </w:tcPr>
          <w:p w:rsidRPr="005477BB" w:rsidR="009A4641" w:rsidP="00C478BE" w:rsidRDefault="009A4641" w14:paraId="4729883B" w14:textId="77777777">
            <w:pPr>
              <w:tabs>
                <w:tab w:val="center" w:pos="284"/>
              </w:tabs>
              <w:ind w:left="266" w:hanging="266"/>
              <w:rPr>
                <w:b/>
              </w:rPr>
            </w:pPr>
            <w:r>
              <w:rPr>
                <w:b/>
              </w:rPr>
              <w:t>Rapporteur</w:t>
            </w:r>
          </w:p>
        </w:tc>
        <w:tc>
          <w:tcPr>
            <w:tcW w:w="3988" w:type="pct"/>
          </w:tcPr>
          <w:p w:rsidRPr="005477BB" w:rsidR="009A4641" w:rsidP="00C478BE" w:rsidRDefault="009A4641" w14:paraId="1F5C177A" w14:textId="77777777">
            <w:pPr>
              <w:tabs>
                <w:tab w:val="center" w:pos="284"/>
              </w:tabs>
              <w:ind w:left="266" w:hanging="266"/>
            </w:pPr>
            <w:r>
              <w:t>Krzysztof BALON (groupe des organisations de la société civile — PL)</w:t>
            </w:r>
          </w:p>
        </w:tc>
      </w:tr>
      <w:tr w:rsidRPr="002422F3" w:rsidR="009A4641" w:rsidTr="00C478BE" w14:paraId="055BE9FF" w14:textId="77777777">
        <w:trPr>
          <w:trHeight w:val="294"/>
        </w:trPr>
        <w:tc>
          <w:tcPr>
            <w:tcW w:w="1012" w:type="pct"/>
          </w:tcPr>
          <w:p w:rsidRPr="005477BB" w:rsidR="009A4641" w:rsidP="00C478BE" w:rsidRDefault="009A4641" w14:paraId="566D2575" w14:textId="77777777">
            <w:pPr>
              <w:tabs>
                <w:tab w:val="center" w:pos="284"/>
              </w:tabs>
              <w:ind w:left="266" w:hanging="266"/>
              <w:rPr>
                <w:b/>
              </w:rPr>
            </w:pPr>
            <w:r>
              <w:rPr>
                <w:b/>
              </w:rPr>
              <w:t>Corapporteure</w:t>
            </w:r>
          </w:p>
        </w:tc>
        <w:tc>
          <w:tcPr>
            <w:tcW w:w="3988" w:type="pct"/>
          </w:tcPr>
          <w:p w:rsidRPr="005477BB" w:rsidR="009A4641" w:rsidP="00C478BE" w:rsidRDefault="009A4641" w14:paraId="3442E51A" w14:textId="77777777">
            <w:pPr>
              <w:tabs>
                <w:tab w:val="center" w:pos="284"/>
              </w:tabs>
              <w:ind w:left="266" w:hanging="266"/>
            </w:pPr>
            <w:r>
              <w:t>Maria </w:t>
            </w:r>
            <w:proofErr w:type="spellStart"/>
            <w:r>
              <w:t>del</w:t>
            </w:r>
            <w:proofErr w:type="spellEnd"/>
            <w:r>
              <w:t> Carmen BARRERA CHAMORRO (groupe des travailleurs — ES)</w:t>
            </w:r>
          </w:p>
        </w:tc>
      </w:tr>
      <w:tr w:rsidRPr="002422F3" w:rsidR="009A4641" w:rsidTr="00C478BE" w14:paraId="6FC65C5F" w14:textId="77777777">
        <w:trPr>
          <w:trHeight w:val="153"/>
        </w:trPr>
        <w:tc>
          <w:tcPr>
            <w:tcW w:w="5000" w:type="pct"/>
            <w:gridSpan w:val="2"/>
          </w:tcPr>
          <w:p w:rsidRPr="005477BB" w:rsidR="009A4641" w:rsidP="00C478BE" w:rsidRDefault="009A4641" w14:paraId="322C7D0E" w14:textId="77777777">
            <w:pPr>
              <w:tabs>
                <w:tab w:val="center" w:pos="284"/>
              </w:tabs>
              <w:spacing w:line="160" w:lineRule="exact"/>
              <w:ind w:left="266" w:hanging="266"/>
            </w:pPr>
          </w:p>
        </w:tc>
      </w:tr>
      <w:tr w:rsidRPr="002422F3" w:rsidR="009A4641" w:rsidTr="00C478BE" w14:paraId="0426C267" w14:textId="77777777">
        <w:trPr>
          <w:trHeight w:val="282"/>
        </w:trPr>
        <w:tc>
          <w:tcPr>
            <w:tcW w:w="1012" w:type="pct"/>
          </w:tcPr>
          <w:p w:rsidRPr="005477BB" w:rsidR="009A4641" w:rsidP="00C478BE" w:rsidRDefault="009A4641" w14:paraId="27D2A3FF" w14:textId="77777777">
            <w:pPr>
              <w:tabs>
                <w:tab w:val="center" w:pos="284"/>
              </w:tabs>
              <w:ind w:left="266" w:hanging="266"/>
              <w:rPr>
                <w:b/>
              </w:rPr>
            </w:pPr>
            <w:r>
              <w:rPr>
                <w:b/>
              </w:rPr>
              <w:t>Références:</w:t>
            </w:r>
          </w:p>
        </w:tc>
        <w:tc>
          <w:tcPr>
            <w:tcW w:w="3988" w:type="pct"/>
          </w:tcPr>
          <w:p w:rsidRPr="005477BB" w:rsidR="009A4641" w:rsidP="00C478BE" w:rsidRDefault="009A4641" w14:paraId="56EA2E4C" w14:textId="77777777">
            <w:pPr>
              <w:tabs>
                <w:tab w:val="center" w:pos="284"/>
              </w:tabs>
              <w:ind w:left="266" w:hanging="266"/>
            </w:pPr>
            <w:r>
              <w:t>COM(2023) 501 final</w:t>
            </w:r>
          </w:p>
          <w:p w:rsidRPr="005477BB" w:rsidR="009A4641" w:rsidP="00C478BE" w:rsidRDefault="009A4641" w14:paraId="70FF1071" w14:textId="77777777">
            <w:pPr>
              <w:tabs>
                <w:tab w:val="center" w:pos="284"/>
              </w:tabs>
              <w:ind w:left="266" w:hanging="266"/>
            </w:pPr>
            <w:r>
              <w:t>EESC-2023-03875-00-00-AC</w:t>
            </w:r>
          </w:p>
        </w:tc>
      </w:tr>
    </w:tbl>
    <w:p w:rsidRPr="002422F3" w:rsidR="009A4641" w:rsidP="009A4641" w:rsidRDefault="009A4641" w14:paraId="5DFCACED" w14:textId="77777777">
      <w:pPr>
        <w:tabs>
          <w:tab w:val="center" w:pos="284"/>
        </w:tabs>
        <w:ind w:left="266" w:hanging="266"/>
      </w:pPr>
    </w:p>
    <w:p w:rsidRPr="002422F3" w:rsidR="009A4641" w:rsidP="009A4641" w:rsidRDefault="009A4641" w14:paraId="4182F330" w14:textId="77777777">
      <w:pPr>
        <w:keepNext/>
        <w:keepLines/>
        <w:tabs>
          <w:tab w:val="center" w:pos="284"/>
        </w:tabs>
        <w:ind w:left="266" w:hanging="266"/>
        <w:rPr>
          <w:b/>
        </w:rPr>
      </w:pPr>
      <w:r>
        <w:rPr>
          <w:b/>
        </w:rPr>
        <w:t>Points clés</w:t>
      </w:r>
    </w:p>
    <w:p w:rsidRPr="002422F3" w:rsidR="009A4641" w:rsidP="009A4641" w:rsidRDefault="009A4641" w14:paraId="57B85247" w14:textId="77777777">
      <w:pPr>
        <w:keepNext/>
        <w:keepLines/>
        <w:tabs>
          <w:tab w:val="center" w:pos="284"/>
        </w:tabs>
        <w:ind w:left="266" w:hanging="266"/>
        <w:rPr>
          <w:b/>
        </w:rPr>
      </w:pPr>
    </w:p>
    <w:p w:rsidRPr="002422F3" w:rsidR="009A4641" w:rsidP="009A4641" w:rsidRDefault="009A4641" w14:paraId="55393F77" w14:textId="77777777">
      <w:pPr>
        <w:rPr>
          <w:bCs/>
          <w:iCs/>
        </w:rPr>
      </w:pPr>
      <w:r>
        <w:t>Le CESE:</w:t>
      </w:r>
    </w:p>
    <w:p w:rsidRPr="002422F3" w:rsidR="009A4641" w:rsidP="009A4641" w:rsidRDefault="009A4641" w14:paraId="104491A0" w14:textId="77777777">
      <w:pPr>
        <w:rPr>
          <w:bCs/>
          <w:iCs/>
        </w:rPr>
      </w:pPr>
    </w:p>
    <w:p w:rsidRPr="002422F3" w:rsidR="009A4641" w:rsidP="00F01400" w:rsidRDefault="009A4641" w14:paraId="31934EFD" w14:textId="77777777">
      <w:pPr>
        <w:widowControl w:val="0"/>
        <w:numPr>
          <w:ilvl w:val="0"/>
          <w:numId w:val="33"/>
        </w:numPr>
        <w:overflowPunct w:val="0"/>
        <w:autoSpaceDE w:val="0"/>
        <w:autoSpaceDN w:val="0"/>
        <w:adjustRightInd w:val="0"/>
        <w:ind w:hanging="567"/>
        <w:textAlignment w:val="baseline"/>
        <w:rPr>
          <w:bCs/>
          <w:iCs/>
        </w:rPr>
      </w:pPr>
      <w:r>
        <w:t>reconnaît les problèmes que pose la coordination transfrontière de la sécurité sociale, notamment la complexité des procédures administratives, leur caractère manuel, l’obligation de soumettre certains documents sous forme physique, ainsi que les difficultés à les vérifier ou à les valider — autant de facteurs qui entravent la libre circulation des personnes et des entreprises;</w:t>
      </w:r>
    </w:p>
    <w:p w:rsidRPr="002422F3" w:rsidR="009A4641" w:rsidP="00F01400" w:rsidRDefault="009A4641" w14:paraId="7B4A0BA9" w14:textId="77777777">
      <w:pPr>
        <w:widowControl w:val="0"/>
        <w:numPr>
          <w:ilvl w:val="0"/>
          <w:numId w:val="33"/>
        </w:numPr>
        <w:overflowPunct w:val="0"/>
        <w:autoSpaceDE w:val="0"/>
        <w:autoSpaceDN w:val="0"/>
        <w:adjustRightInd w:val="0"/>
        <w:ind w:hanging="567"/>
        <w:textAlignment w:val="baseline"/>
        <w:rPr>
          <w:bCs/>
          <w:iCs/>
        </w:rPr>
      </w:pPr>
      <w:r>
        <w:t>salue et soutient pleinement l’objectif de la Commission de simplifier la coordination transfrontière de la sécurité sociale et des soins de santé grâce à la numérisation;</w:t>
      </w:r>
    </w:p>
    <w:p w:rsidRPr="002422F3" w:rsidR="009A4641" w:rsidP="00F01400" w:rsidRDefault="009A4641" w14:paraId="62AE44BC" w14:textId="77777777">
      <w:pPr>
        <w:widowControl w:val="0"/>
        <w:numPr>
          <w:ilvl w:val="0"/>
          <w:numId w:val="33"/>
        </w:numPr>
        <w:overflowPunct w:val="0"/>
        <w:autoSpaceDE w:val="0"/>
        <w:autoSpaceDN w:val="0"/>
        <w:adjustRightInd w:val="0"/>
        <w:ind w:hanging="567"/>
        <w:textAlignment w:val="baseline"/>
        <w:rPr>
          <w:bCs/>
          <w:iCs/>
        </w:rPr>
      </w:pPr>
      <w:r>
        <w:t>plaide pour l’élaboration immédiate d’un plan d’action global visant à numériser la coordination de la sécurité sociale selon une approche ascendante, tout en soulignant l’importance de prendre en considération les besoins des institutions de sécurité sociale et des parties prenantes, y compris les citoyens, les employeurs, les entreprises et les entités de l’économie sociale;</w:t>
      </w:r>
    </w:p>
    <w:p w:rsidRPr="002422F3" w:rsidR="009A4641" w:rsidP="00F01400" w:rsidRDefault="009A4641" w14:paraId="528FC154" w14:textId="77777777">
      <w:pPr>
        <w:widowControl w:val="0"/>
        <w:numPr>
          <w:ilvl w:val="0"/>
          <w:numId w:val="33"/>
        </w:numPr>
        <w:overflowPunct w:val="0"/>
        <w:autoSpaceDE w:val="0"/>
        <w:autoSpaceDN w:val="0"/>
        <w:adjustRightInd w:val="0"/>
        <w:ind w:hanging="567"/>
        <w:textAlignment w:val="baseline"/>
      </w:pPr>
      <w:r>
        <w:t xml:space="preserve">demande instamment que d’autres solutions soient envisagées pour celles et ceux qui ne sont pas capables d’utiliser des moyens électroniques ou qui se trouvent d’une façon ou d’une autre </w:t>
      </w:r>
      <w:r>
        <w:lastRenderedPageBreak/>
        <w:t>exclus du numérique. Le CESE souligne que l’identification numérique devrait être une option, et non une obligation, tant que des solutions de remplacement appropriées respectant les normes pertinentes en matière de protection des données n’auront pas été mises en place;</w:t>
      </w:r>
    </w:p>
    <w:p w:rsidRPr="002422F3" w:rsidR="009A4641" w:rsidP="00F01400" w:rsidRDefault="009A4641" w14:paraId="6FF895F8" w14:textId="77777777">
      <w:pPr>
        <w:widowControl w:val="0"/>
        <w:numPr>
          <w:ilvl w:val="0"/>
          <w:numId w:val="33"/>
        </w:numPr>
        <w:overflowPunct w:val="0"/>
        <w:autoSpaceDE w:val="0"/>
        <w:autoSpaceDN w:val="0"/>
        <w:adjustRightInd w:val="0"/>
        <w:ind w:hanging="567"/>
        <w:textAlignment w:val="baseline"/>
      </w:pPr>
      <w:r>
        <w:t>estime que, tant que la réforme du règlement (CE) n</w:t>
      </w:r>
      <w:r>
        <w:rPr>
          <w:vertAlign w:val="superscript"/>
        </w:rPr>
        <w:t>o </w:t>
      </w:r>
      <w:r>
        <w:t>883/2004 sur la coordination des systèmes de sécurité sociale ne sera pas finalisée, nos objectifs de suppression des obstacles à la libre circulation ne pourront être atteints par la seule numérisation de la sécurité sociale;</w:t>
      </w:r>
    </w:p>
    <w:p w:rsidRPr="002422F3" w:rsidR="009A4641" w:rsidP="00F01400" w:rsidRDefault="009A4641" w14:paraId="2E9E3EDC" w14:textId="77777777">
      <w:pPr>
        <w:widowControl w:val="0"/>
        <w:numPr>
          <w:ilvl w:val="0"/>
          <w:numId w:val="33"/>
        </w:numPr>
        <w:overflowPunct w:val="0"/>
        <w:autoSpaceDE w:val="0"/>
        <w:autoSpaceDN w:val="0"/>
        <w:adjustRightInd w:val="0"/>
        <w:ind w:hanging="567"/>
        <w:textAlignment w:val="baseline"/>
      </w:pPr>
      <w:r>
        <w:t>propose d’établir un échange permanent de bonnes pratiques entre États membres concernant la numérisation de la coordination en matière de systèmes de sécurité sociale. Dans le but d’encourager et de promouvoir cette démarche, il suggère que la Commission et l’Autorité européenne du travail organisent une conférence à laquelle participeraient les gouvernements des États membres et la société civile.</w:t>
      </w:r>
    </w:p>
    <w:p w:rsidRPr="002422F3" w:rsidR="009A4641" w:rsidP="009A4641" w:rsidRDefault="009A4641" w14:paraId="07DE49D4"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422F3" w:rsidR="009A4641" w:rsidTr="00C478BE" w14:paraId="465C04C5" w14:textId="77777777">
        <w:tc>
          <w:tcPr>
            <w:tcW w:w="1556" w:type="pct"/>
          </w:tcPr>
          <w:p w:rsidRPr="005477BB" w:rsidR="009A4641" w:rsidP="00C478BE" w:rsidRDefault="009A4641" w14:paraId="75C2FD90" w14:textId="77777777">
            <w:pPr>
              <w:spacing w:line="240" w:lineRule="auto"/>
              <w:rPr>
                <w:i/>
              </w:rPr>
            </w:pPr>
            <w:r>
              <w:rPr>
                <w:b/>
                <w:i/>
              </w:rPr>
              <w:t>Contact</w:t>
            </w:r>
          </w:p>
        </w:tc>
        <w:tc>
          <w:tcPr>
            <w:tcW w:w="3444" w:type="pct"/>
          </w:tcPr>
          <w:p w:rsidRPr="005477BB" w:rsidR="009A4641" w:rsidP="00C478BE" w:rsidRDefault="009A4641" w14:paraId="54867C51" w14:textId="6504FBC8">
            <w:pPr>
              <w:spacing w:line="240" w:lineRule="auto"/>
              <w:rPr>
                <w:i/>
              </w:rPr>
            </w:pPr>
            <w:proofErr w:type="spellStart"/>
            <w:r>
              <w:rPr>
                <w:i/>
              </w:rPr>
              <w:t>Bartek</w:t>
            </w:r>
            <w:proofErr w:type="spellEnd"/>
            <w:r>
              <w:rPr>
                <w:i/>
              </w:rPr>
              <w:t> </w:t>
            </w:r>
            <w:r w:rsidR="00D20FC8">
              <w:rPr>
                <w:i/>
              </w:rPr>
              <w:t>BEDNAROWICZ</w:t>
            </w:r>
          </w:p>
        </w:tc>
      </w:tr>
      <w:tr w:rsidRPr="002422F3" w:rsidR="009A4641" w:rsidTr="00C478BE" w14:paraId="2A5FBDC4" w14:textId="77777777">
        <w:tc>
          <w:tcPr>
            <w:tcW w:w="1556" w:type="pct"/>
          </w:tcPr>
          <w:p w:rsidRPr="005477BB" w:rsidR="009A4641" w:rsidP="00C478BE" w:rsidRDefault="009A4641" w14:paraId="532FCF22" w14:textId="77777777">
            <w:pPr>
              <w:spacing w:line="240" w:lineRule="auto"/>
              <w:rPr>
                <w:i/>
              </w:rPr>
            </w:pPr>
            <w:r>
              <w:rPr>
                <w:i/>
              </w:rPr>
              <w:t>Tél.:</w:t>
            </w:r>
          </w:p>
        </w:tc>
        <w:tc>
          <w:tcPr>
            <w:tcW w:w="3444" w:type="pct"/>
          </w:tcPr>
          <w:p w:rsidRPr="005477BB" w:rsidR="009A4641" w:rsidP="00C478BE" w:rsidRDefault="009A4641" w14:paraId="6C2A35D3" w14:textId="77777777">
            <w:pPr>
              <w:spacing w:line="240" w:lineRule="auto"/>
              <w:rPr>
                <w:i/>
              </w:rPr>
            </w:pPr>
            <w:r>
              <w:rPr>
                <w:i/>
              </w:rPr>
              <w:t>+32 2 546 9229</w:t>
            </w:r>
          </w:p>
        </w:tc>
      </w:tr>
      <w:tr w:rsidRPr="002422F3" w:rsidR="009A4641" w:rsidTr="00C478BE" w14:paraId="79CE269E" w14:textId="77777777">
        <w:tc>
          <w:tcPr>
            <w:tcW w:w="1556" w:type="pct"/>
          </w:tcPr>
          <w:p w:rsidRPr="005477BB" w:rsidR="009A4641" w:rsidP="00C478BE" w:rsidRDefault="009A4641" w14:paraId="35FFC113" w14:textId="77777777">
            <w:pPr>
              <w:spacing w:line="240" w:lineRule="auto"/>
              <w:rPr>
                <w:i/>
              </w:rPr>
            </w:pPr>
            <w:r>
              <w:rPr>
                <w:i/>
              </w:rPr>
              <w:t>Courriel:</w:t>
            </w:r>
          </w:p>
        </w:tc>
        <w:tc>
          <w:tcPr>
            <w:tcW w:w="3444" w:type="pct"/>
          </w:tcPr>
          <w:p w:rsidRPr="005477BB" w:rsidR="009A4641" w:rsidP="00C478BE" w:rsidRDefault="00403D88" w14:paraId="2F9ECA93" w14:textId="77777777">
            <w:pPr>
              <w:spacing w:line="240" w:lineRule="auto"/>
              <w:rPr>
                <w:i/>
              </w:rPr>
            </w:pPr>
            <w:hyperlink w:history="1" r:id="rId28">
              <w:r w:rsidR="009A4641">
                <w:rPr>
                  <w:rStyle w:val="Hyperlink"/>
                  <w:i/>
                </w:rPr>
                <w:t>Bartek.Bednarowicz@eesc.europa.eu</w:t>
              </w:r>
            </w:hyperlink>
          </w:p>
        </w:tc>
      </w:tr>
    </w:tbl>
    <w:p w:rsidR="00673C09" w:rsidP="00673C09" w:rsidRDefault="00673C09" w14:paraId="0CF27067" w14:textId="2F6991EE">
      <w:pPr>
        <w:widowControl w:val="0"/>
        <w:overflowPunct w:val="0"/>
        <w:autoSpaceDE w:val="0"/>
        <w:autoSpaceDN w:val="0"/>
        <w:adjustRightInd w:val="0"/>
        <w:ind w:left="567"/>
        <w:textAlignment w:val="baseline"/>
        <w:rPr>
          <w:b/>
          <w:color w:val="0000FF"/>
          <w:u w:val="single"/>
        </w:rPr>
      </w:pPr>
      <w:bookmarkStart w:name="_Toc159831770" w:id="5"/>
    </w:p>
    <w:p w:rsidRPr="00673C09" w:rsidR="000D1792" w:rsidP="00673C09" w:rsidRDefault="000D1792" w14:paraId="00101DD3" w14:textId="77777777">
      <w:pPr>
        <w:widowControl w:val="0"/>
        <w:overflowPunct w:val="0"/>
        <w:autoSpaceDE w:val="0"/>
        <w:autoSpaceDN w:val="0"/>
        <w:adjustRightInd w:val="0"/>
        <w:ind w:left="567"/>
        <w:textAlignment w:val="baseline"/>
        <w:rPr>
          <w:b/>
          <w:color w:val="0000FF"/>
          <w:u w:val="single"/>
        </w:rPr>
      </w:pPr>
    </w:p>
    <w:p w:rsidRPr="00F01400" w:rsidR="009A4641" w:rsidP="00F01400" w:rsidRDefault="00403D88" w14:paraId="46A81EB9" w14:textId="2FF2B40F">
      <w:pPr>
        <w:pStyle w:val="ListParagraph"/>
        <w:widowControl w:val="0"/>
        <w:numPr>
          <w:ilvl w:val="0"/>
          <w:numId w:val="34"/>
        </w:numPr>
        <w:overflowPunct w:val="0"/>
        <w:autoSpaceDE w:val="0"/>
        <w:autoSpaceDN w:val="0"/>
        <w:adjustRightInd w:val="0"/>
        <w:textAlignment w:val="baseline"/>
        <w:rPr>
          <w:rStyle w:val="Hyperlink"/>
          <w:b/>
        </w:rPr>
      </w:pPr>
      <w:hyperlink w:history="1" r:id="rId29">
        <w:r w:rsidRPr="00F01400" w:rsidR="009A4641">
          <w:rPr>
            <w:rStyle w:val="Hyperlink"/>
            <w:b/>
            <w:i/>
            <w:sz w:val="28"/>
          </w:rPr>
          <w:t>Pistes pour renforcer le dialogue civil et la démocratie participative dans l’Union européenne</w:t>
        </w:r>
      </w:hyperlink>
    </w:p>
    <w:p w:rsidRPr="00724561" w:rsidR="009A4641" w:rsidP="009A4641" w:rsidRDefault="009A4641" w14:paraId="3AAF7513" w14:textId="77777777">
      <w:pPr>
        <w:tabs>
          <w:tab w:val="center" w:pos="284"/>
        </w:tabs>
        <w:ind w:left="567" w:hanging="567"/>
        <w:rPr>
          <w:sz w:val="16"/>
          <w:szCs w:val="16"/>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7346"/>
      </w:tblGrid>
      <w:tr w:rsidRPr="00CA1E86" w:rsidR="009A4641" w:rsidTr="00C478BE" w14:paraId="63AFFB12" w14:textId="77777777">
        <w:tc>
          <w:tcPr>
            <w:tcW w:w="1834" w:type="dxa"/>
          </w:tcPr>
          <w:p w:rsidR="009A4641" w:rsidP="00C478BE" w:rsidRDefault="009A4641" w14:paraId="782B39E2" w14:textId="77777777">
            <w:pPr>
              <w:tabs>
                <w:tab w:val="center" w:pos="284"/>
              </w:tabs>
              <w:ind w:left="567" w:hanging="567"/>
              <w:rPr>
                <w:b/>
              </w:rPr>
            </w:pPr>
            <w:r>
              <w:rPr>
                <w:b/>
              </w:rPr>
              <w:t>Rapporteur</w:t>
            </w:r>
          </w:p>
          <w:p w:rsidRPr="00A6689B" w:rsidR="009A4641" w:rsidP="00C478BE" w:rsidRDefault="009A4641" w14:paraId="2D588718" w14:textId="77777777">
            <w:pPr>
              <w:tabs>
                <w:tab w:val="center" w:pos="284"/>
              </w:tabs>
              <w:ind w:left="567" w:hanging="567"/>
              <w:rPr>
                <w:b/>
              </w:rPr>
            </w:pPr>
            <w:r>
              <w:rPr>
                <w:b/>
              </w:rPr>
              <w:t>Corapporteur</w:t>
            </w:r>
          </w:p>
        </w:tc>
        <w:tc>
          <w:tcPr>
            <w:tcW w:w="7346" w:type="dxa"/>
          </w:tcPr>
          <w:p w:rsidR="009A4641" w:rsidP="00C478BE" w:rsidRDefault="009A4641" w14:paraId="38435E17" w14:textId="77777777">
            <w:pPr>
              <w:ind w:left="567" w:hanging="567"/>
            </w:pPr>
            <w:r>
              <w:t>Pietro Vittorio BARBIERI (groupe des organisations de la société civile — IT)</w:t>
            </w:r>
          </w:p>
          <w:p w:rsidRPr="00A04AFA" w:rsidR="009A4641" w:rsidP="00C478BE" w:rsidRDefault="009A4641" w14:paraId="0B7D5EF1" w14:textId="77777777">
            <w:pPr>
              <w:tabs>
                <w:tab w:val="center" w:pos="284"/>
              </w:tabs>
              <w:ind w:left="567" w:hanging="567"/>
            </w:pPr>
            <w:r>
              <w:t>Miranda ULENS (groupe des travailleurs — BE)</w:t>
            </w:r>
          </w:p>
        </w:tc>
      </w:tr>
      <w:tr w:rsidRPr="00CA1E86" w:rsidR="009A4641" w:rsidTr="00C478BE" w14:paraId="627871C2" w14:textId="77777777">
        <w:tc>
          <w:tcPr>
            <w:tcW w:w="1834" w:type="dxa"/>
            <w:vMerge w:val="restart"/>
          </w:tcPr>
          <w:p w:rsidRPr="00A6689B" w:rsidR="009A4641" w:rsidP="00C478BE" w:rsidRDefault="009A4641" w14:paraId="713FD23B" w14:textId="77777777">
            <w:pPr>
              <w:tabs>
                <w:tab w:val="center" w:pos="284"/>
              </w:tabs>
              <w:ind w:left="567" w:hanging="567"/>
              <w:rPr>
                <w:b/>
              </w:rPr>
            </w:pPr>
            <w:r>
              <w:rPr>
                <w:b/>
              </w:rPr>
              <w:t>Références</w:t>
            </w:r>
          </w:p>
        </w:tc>
        <w:tc>
          <w:tcPr>
            <w:tcW w:w="7346" w:type="dxa"/>
          </w:tcPr>
          <w:p w:rsidRPr="00A04AFA" w:rsidR="009A4641" w:rsidP="00C478BE" w:rsidRDefault="009A4641" w14:paraId="38710277" w14:textId="77777777">
            <w:pPr>
              <w:tabs>
                <w:tab w:val="center" w:pos="284"/>
              </w:tabs>
              <w:ind w:left="567" w:hanging="567"/>
            </w:pPr>
            <w:r>
              <w:t>EESC-2023-03879-00-00-AC</w:t>
            </w:r>
          </w:p>
        </w:tc>
      </w:tr>
      <w:tr w:rsidRPr="00CA1E86" w:rsidR="009A4641" w:rsidTr="00C478BE" w14:paraId="4507B079" w14:textId="77777777">
        <w:tc>
          <w:tcPr>
            <w:tcW w:w="1834" w:type="dxa"/>
            <w:vMerge/>
          </w:tcPr>
          <w:p w:rsidRPr="00A04AFA" w:rsidR="009A4641" w:rsidP="00C478BE" w:rsidRDefault="009A4641" w14:paraId="41B11A36" w14:textId="77777777">
            <w:pPr>
              <w:tabs>
                <w:tab w:val="center" w:pos="284"/>
              </w:tabs>
              <w:ind w:left="266" w:hanging="266"/>
              <w:rPr>
                <w:b/>
                <w:lang w:val="pt-PT"/>
              </w:rPr>
            </w:pPr>
          </w:p>
        </w:tc>
        <w:tc>
          <w:tcPr>
            <w:tcW w:w="7346" w:type="dxa"/>
          </w:tcPr>
          <w:p w:rsidRPr="00724561" w:rsidR="009A4641" w:rsidP="00C478BE" w:rsidRDefault="009A4641" w14:paraId="42475153" w14:textId="77777777">
            <w:pPr>
              <w:tabs>
                <w:tab w:val="center" w:pos="284"/>
              </w:tabs>
              <w:ind w:left="266" w:hanging="266"/>
              <w:rPr>
                <w:sz w:val="16"/>
                <w:szCs w:val="16"/>
                <w:lang w:val="pt-PT"/>
              </w:rPr>
            </w:pPr>
          </w:p>
        </w:tc>
      </w:tr>
    </w:tbl>
    <w:p w:rsidR="009A4641" w:rsidP="009A4641" w:rsidRDefault="009A4641" w14:paraId="5309EB32" w14:textId="77777777">
      <w:pPr>
        <w:keepNext/>
        <w:keepLines/>
        <w:tabs>
          <w:tab w:val="center" w:pos="284"/>
        </w:tabs>
        <w:ind w:left="266" w:hanging="266"/>
        <w:rPr>
          <w:b/>
        </w:rPr>
      </w:pPr>
      <w:r>
        <w:rPr>
          <w:b/>
        </w:rPr>
        <w:t>Points clés</w:t>
      </w:r>
    </w:p>
    <w:p w:rsidR="009A4641" w:rsidP="009A4641" w:rsidRDefault="009A4641" w14:paraId="3E90C3D1" w14:textId="77777777">
      <w:pPr>
        <w:keepNext/>
      </w:pPr>
    </w:p>
    <w:p w:rsidR="009A4641" w:rsidP="009A4641" w:rsidRDefault="009A4641" w14:paraId="52B4FCEB" w14:textId="19068BD2">
      <w:pPr>
        <w:keepNext/>
      </w:pPr>
      <w:r>
        <w:t>Le CESE:</w:t>
      </w:r>
    </w:p>
    <w:p w:rsidRPr="005E4FFE" w:rsidR="00D20FC8" w:rsidP="009A4641" w:rsidRDefault="00D20FC8" w14:paraId="2B2EA54C" w14:textId="77777777">
      <w:pPr>
        <w:keepNext/>
      </w:pPr>
    </w:p>
    <w:p w:rsidRPr="001E1D26" w:rsidR="009A4641" w:rsidP="009A4641" w:rsidRDefault="009A4641" w14:paraId="0457B4F7" w14:textId="77777777">
      <w:pPr>
        <w:pStyle w:val="ListParagraph"/>
        <w:keepNext/>
        <w:numPr>
          <w:ilvl w:val="0"/>
          <w:numId w:val="30"/>
        </w:numPr>
        <w:spacing w:after="200" w:line="276" w:lineRule="auto"/>
      </w:pPr>
      <w:r>
        <w:t>souligne que la mise en œuvre de l’article 11 du traité UE, dans le cadre du suivi de la conférence sur l’avenir de l’Europe, peut conduire à des politiques plus efficaces tout en renforçant le rôle du CESE. Le Comité soutient la recommandation de la conférence sur l’avenir de l’Europe visant à mettre au point des instruments supplémentaires de démocratie participative. Plusieurs des recommandations issues de la conférence supposent la mise en place d’un cadre propice au dialogue civil et reconnaissent le rôle du CESE, y compris en tant que véritable plaque tournante potentielle pour les panels de citoyens. Le rôle spécifique des organisations de partenaires sociaux devrait être pleinement respecté dans les structures et processus de dialogue social, le dialogue civil étant un processus distinct;</w:t>
      </w:r>
    </w:p>
    <w:p w:rsidRPr="001E1D26" w:rsidR="009A4641" w:rsidP="009A4641" w:rsidRDefault="009A4641" w14:paraId="33C6294B" w14:textId="77777777">
      <w:pPr>
        <w:pStyle w:val="ListParagraph"/>
        <w:numPr>
          <w:ilvl w:val="0"/>
          <w:numId w:val="30"/>
        </w:numPr>
        <w:spacing w:after="200" w:line="276" w:lineRule="auto"/>
      </w:pPr>
      <w:r>
        <w:t>plaide en faveur d’une stratégie de dialogue civil, donnant lieu à un plan d’action, qui devrait former un pilier du train de mesures européennes de défense de la démocratie. L’objectif pourrait en outre consister à envisager la recherche d’un accord interinstitutionnel entre les institutions de l’Union qui définisse les actions et les ressources connexes à y consacrer. Le Comité pourrait y apporter son concours, avec la participation des réseaux de la société civile au niveau de l’UE;</w:t>
      </w:r>
    </w:p>
    <w:p w:rsidRPr="001E1D26" w:rsidR="009A4641" w:rsidP="009A4641" w:rsidRDefault="009A4641" w14:paraId="542AF99D" w14:textId="77777777">
      <w:pPr>
        <w:pStyle w:val="ListParagraph"/>
        <w:numPr>
          <w:ilvl w:val="0"/>
          <w:numId w:val="30"/>
        </w:numPr>
        <w:spacing w:after="200" w:line="276" w:lineRule="auto"/>
      </w:pPr>
      <w:r>
        <w:t>demande que le rôle des responsables des différentes institutions soit renforcé afin d’assurer l’efficacité de l’article 11 du TUE, et pour que certaines normes soient appliquées dans l’ensemble des institutions de l’Union, telles que la signification du dialogue civil, le partage des programmes et des priorités politiques, l’inclusion des groupes vulnérables, etc.;</w:t>
      </w:r>
    </w:p>
    <w:p w:rsidRPr="001E1D26" w:rsidR="009A4641" w:rsidP="009A4641" w:rsidRDefault="009A4641" w14:paraId="0FB6CDEF" w14:textId="77777777">
      <w:pPr>
        <w:pStyle w:val="ListParagraph"/>
        <w:numPr>
          <w:ilvl w:val="0"/>
          <w:numId w:val="30"/>
        </w:numPr>
        <w:spacing w:after="200" w:line="276" w:lineRule="auto"/>
      </w:pPr>
      <w:r>
        <w:lastRenderedPageBreak/>
        <w:t>appelle de ses vœux un tableau de bord annuel du dialogue civil (ou de l’espace civique) sur la contribution des OSC aux processus de consultation, qui puisse permettre de se rendre compte si leurs contributions ont été prises en compte ou non. L’analyse d’impact réalisée au moyen de ce tableau de bord annuel pourrait aboutir à un rapport bisannuel sur le dialogue civil, qui retrace l’engagement de l’UE auprès de la société civile en général et évalue l’état d’avancement du dialogue civil et l’efficacité des OSC;</w:t>
      </w:r>
    </w:p>
    <w:p w:rsidRPr="001E1D26" w:rsidR="009A4641" w:rsidP="009A4641" w:rsidRDefault="009A4641" w14:paraId="730711C1" w14:textId="77777777">
      <w:pPr>
        <w:pStyle w:val="ListParagraph"/>
        <w:numPr>
          <w:ilvl w:val="0"/>
          <w:numId w:val="30"/>
        </w:numPr>
        <w:spacing w:after="200" w:line="276" w:lineRule="auto"/>
      </w:pPr>
      <w:r>
        <w:t>réaffirme que le CESE doit être au cœur des initiatives visant à renforcer la démocratie participative au sein des institutions européennes et entre celles-ci, et propose d’adapter le rôle du CESE afin de permettre l’expérimentation d’une série d’instruments participatifs, tels que les panels de citoyens, dans ses travaux consultatifs, soulignant ainsi la place particulière du CESE en tant que gardien institutionnel de la consultation de la société civile et du dialogue civil en général;</w:t>
      </w:r>
    </w:p>
    <w:p w:rsidR="009A4641" w:rsidP="009A4641" w:rsidRDefault="009A4641" w14:paraId="71410156" w14:textId="2B7B831F">
      <w:pPr>
        <w:pStyle w:val="ListParagraph"/>
        <w:numPr>
          <w:ilvl w:val="0"/>
          <w:numId w:val="30"/>
        </w:numPr>
        <w:spacing w:after="200" w:line="276" w:lineRule="auto"/>
      </w:pPr>
      <w:r>
        <w:t>estime que les OSC doivent reposer sur la démocratie interne, l’autonomie et la transparence, et prendre la forme d’un modèle à but non lucratif, au service de l’intérêt général et/ou des intérêts spécifiques de leurs membres constitutifs, assurant ainsi leur légitimité et leur représentativité. Il appelle donc à la mise en place d’un mécanisme d’accréditation fondé sur les principes susmentionnés.</w:t>
      </w:r>
    </w:p>
    <w:p w:rsidR="009A4641" w:rsidP="009A4641" w:rsidRDefault="009A4641" w14:paraId="140E5CF2" w14:textId="77777777">
      <w:pPr>
        <w:pStyle w:val="ListParagrap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A6689B" w:rsidR="009A4641" w:rsidTr="0096195E" w14:paraId="6355E5BB" w14:textId="77777777">
        <w:trPr>
          <w:trHeight w:val="153"/>
        </w:trPr>
        <w:tc>
          <w:tcPr>
            <w:tcW w:w="1210" w:type="dxa"/>
          </w:tcPr>
          <w:p w:rsidRPr="00A6689B" w:rsidR="009A4641" w:rsidP="0096195E" w:rsidRDefault="009A4641" w14:paraId="061063D8" w14:textId="77777777">
            <w:pPr>
              <w:spacing w:line="240" w:lineRule="auto"/>
              <w:rPr>
                <w:i/>
              </w:rPr>
            </w:pPr>
            <w:r>
              <w:rPr>
                <w:b/>
                <w:i/>
              </w:rPr>
              <w:t>Contact</w:t>
            </w:r>
          </w:p>
        </w:tc>
        <w:tc>
          <w:tcPr>
            <w:tcW w:w="4493" w:type="dxa"/>
          </w:tcPr>
          <w:p w:rsidRPr="00A6689B" w:rsidR="009A4641" w:rsidP="0096195E" w:rsidRDefault="009A4641" w14:paraId="3DD30439" w14:textId="77777777">
            <w:pPr>
              <w:spacing w:line="240" w:lineRule="auto"/>
              <w:ind w:hanging="12"/>
              <w:rPr>
                <w:i/>
              </w:rPr>
            </w:pPr>
            <w:r>
              <w:rPr>
                <w:i/>
              </w:rPr>
              <w:t>June BEDATON</w:t>
            </w:r>
          </w:p>
        </w:tc>
      </w:tr>
      <w:tr w:rsidRPr="00A6689B" w:rsidR="009A4641" w:rsidTr="0096195E" w14:paraId="27E2FA19" w14:textId="77777777">
        <w:tc>
          <w:tcPr>
            <w:tcW w:w="1210" w:type="dxa"/>
          </w:tcPr>
          <w:p w:rsidRPr="00A6689B" w:rsidR="009A4641" w:rsidP="0096195E" w:rsidRDefault="009A4641" w14:paraId="715B2DC4" w14:textId="77777777">
            <w:pPr>
              <w:spacing w:line="240" w:lineRule="auto"/>
              <w:rPr>
                <w:i/>
              </w:rPr>
            </w:pPr>
            <w:r>
              <w:rPr>
                <w:i/>
              </w:rPr>
              <w:t>Tél.</w:t>
            </w:r>
          </w:p>
        </w:tc>
        <w:tc>
          <w:tcPr>
            <w:tcW w:w="4493" w:type="dxa"/>
          </w:tcPr>
          <w:p w:rsidRPr="00A6689B" w:rsidR="009A4641" w:rsidP="0096195E" w:rsidRDefault="009A4641" w14:paraId="51F7BB8D" w14:textId="77777777">
            <w:pPr>
              <w:spacing w:line="240" w:lineRule="auto"/>
              <w:rPr>
                <w:i/>
              </w:rPr>
            </w:pPr>
            <w:r>
              <w:rPr>
                <w:i/>
              </w:rPr>
              <w:t>+32 25468134</w:t>
            </w:r>
          </w:p>
        </w:tc>
      </w:tr>
      <w:tr w:rsidRPr="00A6689B" w:rsidR="009A4641" w:rsidTr="0096195E" w14:paraId="5173594E" w14:textId="77777777">
        <w:tc>
          <w:tcPr>
            <w:tcW w:w="1210" w:type="dxa"/>
          </w:tcPr>
          <w:p w:rsidRPr="00A6689B" w:rsidR="009A4641" w:rsidP="0096195E" w:rsidRDefault="009A4641" w14:paraId="49A15DCF" w14:textId="77777777">
            <w:pPr>
              <w:spacing w:line="240" w:lineRule="auto"/>
              <w:rPr>
                <w:i/>
              </w:rPr>
            </w:pPr>
            <w:r>
              <w:rPr>
                <w:i/>
              </w:rPr>
              <w:t>Courriel</w:t>
            </w:r>
          </w:p>
        </w:tc>
        <w:tc>
          <w:tcPr>
            <w:tcW w:w="4493" w:type="dxa"/>
          </w:tcPr>
          <w:p w:rsidRPr="00724561" w:rsidR="009A4641" w:rsidP="0096195E" w:rsidRDefault="00403D88" w14:paraId="4E98A80A" w14:textId="77777777">
            <w:pPr>
              <w:spacing w:line="240" w:lineRule="auto"/>
              <w:rPr>
                <w:i/>
              </w:rPr>
            </w:pPr>
            <w:hyperlink w:history="1" r:id="rId30">
              <w:r w:rsidR="009A4641">
                <w:rPr>
                  <w:rStyle w:val="Hyperlink"/>
                  <w:i/>
                </w:rPr>
                <w:t>June.Bedaton@eesc.europa.eu</w:t>
              </w:r>
            </w:hyperlink>
          </w:p>
        </w:tc>
      </w:tr>
    </w:tbl>
    <w:p w:rsidR="009A4641" w:rsidP="009A4641" w:rsidRDefault="009A4641" w14:paraId="3C62141E" w14:textId="0554CA46">
      <w:pPr>
        <w:spacing w:after="200" w:line="276" w:lineRule="auto"/>
      </w:pPr>
    </w:p>
    <w:p w:rsidR="000D1792" w:rsidP="009A4641" w:rsidRDefault="000D1792" w14:paraId="20E08FC3" w14:textId="77777777">
      <w:pPr>
        <w:spacing w:after="200" w:line="276" w:lineRule="auto"/>
      </w:pPr>
    </w:p>
    <w:p w:rsidRPr="00D6423D" w:rsidR="005A67F3" w:rsidP="009A4641" w:rsidRDefault="004C3902" w14:paraId="3792A077" w14:textId="3F1CFB67">
      <w:pPr>
        <w:pStyle w:val="Heading1"/>
        <w:ind w:hanging="928"/>
        <w:rPr>
          <w:b/>
          <w:bCs/>
        </w:rPr>
      </w:pPr>
      <w:r>
        <w:rPr>
          <w:b/>
        </w:rPr>
        <w:t>MARCHÉ UNIQUE, PRODUCTION ET CONSOMMATION</w:t>
      </w:r>
      <w:bookmarkEnd w:id="4"/>
      <w:bookmarkEnd w:id="5"/>
    </w:p>
    <w:p w:rsidRPr="00094B6B" w:rsidR="004C3902" w:rsidP="00775FC4" w:rsidRDefault="004C3902" w14:paraId="51590E30" w14:textId="7D4E8C1F">
      <w:pPr>
        <w:keepNext/>
        <w:keepLines/>
        <w:jc w:val="left"/>
        <w:rPr>
          <w:b/>
          <w:iCs/>
        </w:rPr>
      </w:pPr>
    </w:p>
    <w:p w:rsidRPr="00F01400" w:rsidR="009A4641" w:rsidP="00F01400" w:rsidRDefault="00403D88" w14:paraId="702037F6" w14:textId="37881C51">
      <w:pPr>
        <w:pStyle w:val="ListParagraph"/>
        <w:widowControl w:val="0"/>
        <w:numPr>
          <w:ilvl w:val="0"/>
          <w:numId w:val="34"/>
        </w:numPr>
        <w:overflowPunct w:val="0"/>
        <w:autoSpaceDE w:val="0"/>
        <w:autoSpaceDN w:val="0"/>
        <w:adjustRightInd w:val="0"/>
        <w:textAlignment w:val="baseline"/>
        <w:rPr>
          <w:b/>
        </w:rPr>
      </w:pPr>
      <w:hyperlink w:history="1" r:id="rId31">
        <w:r w:rsidRPr="00F01400" w:rsidR="009A4641">
          <w:rPr>
            <w:rStyle w:val="Hyperlink"/>
            <w:b/>
            <w:i/>
            <w:sz w:val="28"/>
          </w:rPr>
          <w:t>Règlement extrajudiciaire des litiges</w:t>
        </w:r>
      </w:hyperlink>
    </w:p>
    <w:p w:rsidRPr="00B857BD" w:rsidR="009A4641" w:rsidP="009A4641" w:rsidRDefault="009A4641" w14:paraId="1F0FCB4F" w14:textId="77777777">
      <w:pPr>
        <w:widowControl w:val="0"/>
        <w:ind w:left="567"/>
        <w:rPr>
          <w:b/>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29"/>
        <w:gridCol w:w="7602"/>
      </w:tblGrid>
      <w:tr w:rsidRPr="00B857BD" w:rsidR="009A4641" w:rsidTr="00C478BE" w14:paraId="3FCDE658" w14:textId="77777777">
        <w:trPr>
          <w:trHeight w:val="265"/>
        </w:trPr>
        <w:tc>
          <w:tcPr>
            <w:tcW w:w="0" w:type="auto"/>
          </w:tcPr>
          <w:p w:rsidRPr="00B857BD" w:rsidR="009A4641" w:rsidP="00C478BE" w:rsidRDefault="009A4641" w14:paraId="3BF761C1" w14:textId="77777777">
            <w:pPr>
              <w:tabs>
                <w:tab w:val="center" w:pos="284"/>
              </w:tabs>
              <w:ind w:left="266" w:hanging="266"/>
              <w:rPr>
                <w:b/>
                <w:highlight w:val="yellow"/>
              </w:rPr>
            </w:pPr>
            <w:r>
              <w:rPr>
                <w:b/>
              </w:rPr>
              <w:t>Rapporteur</w:t>
            </w:r>
          </w:p>
        </w:tc>
        <w:tc>
          <w:tcPr>
            <w:tcW w:w="7602" w:type="dxa"/>
          </w:tcPr>
          <w:p w:rsidRPr="00B857BD" w:rsidR="009A4641" w:rsidP="00C478BE" w:rsidRDefault="009A4641" w14:paraId="1C6DEA9A" w14:textId="77777777">
            <w:pPr>
              <w:tabs>
                <w:tab w:val="center" w:pos="284"/>
              </w:tabs>
              <w:ind w:left="266" w:hanging="266"/>
              <w:rPr>
                <w:highlight w:val="yellow"/>
              </w:rPr>
            </w:pPr>
            <w:proofErr w:type="spellStart"/>
            <w:r>
              <w:t>Wautier</w:t>
            </w:r>
            <w:proofErr w:type="spellEnd"/>
            <w:r>
              <w:t> ROBYNS DE SCHNEIDAUER (groupe des employeurs — BE)</w:t>
            </w:r>
          </w:p>
        </w:tc>
      </w:tr>
      <w:tr w:rsidRPr="00B857BD" w:rsidR="009A4641" w:rsidTr="00C478BE" w14:paraId="67A378FA" w14:textId="77777777">
        <w:trPr>
          <w:trHeight w:val="265"/>
        </w:trPr>
        <w:tc>
          <w:tcPr>
            <w:tcW w:w="0" w:type="auto"/>
          </w:tcPr>
          <w:p w:rsidRPr="00B857BD" w:rsidR="009A4641" w:rsidP="00C478BE" w:rsidRDefault="009A4641" w14:paraId="590A93FC" w14:textId="77777777">
            <w:pPr>
              <w:tabs>
                <w:tab w:val="center" w:pos="284"/>
              </w:tabs>
              <w:ind w:left="266" w:hanging="266"/>
              <w:rPr>
                <w:b/>
                <w:highlight w:val="yellow"/>
                <w:lang w:val="en-US"/>
              </w:rPr>
            </w:pPr>
          </w:p>
        </w:tc>
        <w:tc>
          <w:tcPr>
            <w:tcW w:w="7602" w:type="dxa"/>
          </w:tcPr>
          <w:p w:rsidRPr="00B857BD" w:rsidR="009A4641" w:rsidP="00C478BE" w:rsidRDefault="009A4641" w14:paraId="05DC1878" w14:textId="77777777">
            <w:pPr>
              <w:tabs>
                <w:tab w:val="center" w:pos="284"/>
              </w:tabs>
              <w:ind w:left="266" w:hanging="266"/>
              <w:rPr>
                <w:highlight w:val="yellow"/>
                <w:lang w:val="en-US"/>
              </w:rPr>
            </w:pPr>
          </w:p>
        </w:tc>
      </w:tr>
      <w:tr w:rsidRPr="00B857BD" w:rsidR="009A4641" w:rsidTr="00C478BE" w14:paraId="469CC395" w14:textId="77777777">
        <w:trPr>
          <w:trHeight w:val="289"/>
        </w:trPr>
        <w:tc>
          <w:tcPr>
            <w:tcW w:w="0" w:type="auto"/>
            <w:vMerge w:val="restart"/>
          </w:tcPr>
          <w:p w:rsidRPr="00C54E21" w:rsidR="009A4641" w:rsidP="00C478BE" w:rsidRDefault="009A4641" w14:paraId="0564F04E" w14:textId="77777777">
            <w:pPr>
              <w:tabs>
                <w:tab w:val="center" w:pos="284"/>
              </w:tabs>
              <w:ind w:left="266" w:hanging="266"/>
              <w:rPr>
                <w:b/>
              </w:rPr>
            </w:pPr>
            <w:r>
              <w:rPr>
                <w:b/>
              </w:rPr>
              <w:t>Références</w:t>
            </w:r>
          </w:p>
        </w:tc>
        <w:tc>
          <w:tcPr>
            <w:tcW w:w="7602" w:type="dxa"/>
          </w:tcPr>
          <w:p w:rsidR="009A4641" w:rsidP="00C478BE" w:rsidRDefault="009A4641" w14:paraId="0C639FE1" w14:textId="77777777">
            <w:pPr>
              <w:tabs>
                <w:tab w:val="center" w:pos="284"/>
              </w:tabs>
              <w:ind w:left="266" w:hanging="266"/>
            </w:pPr>
            <w:r>
              <w:t xml:space="preserve">COM(2023) 647 final — 2023/375 (COD) </w:t>
            </w:r>
          </w:p>
          <w:p w:rsidRPr="00C54E21" w:rsidR="009A4641" w:rsidP="00C478BE" w:rsidRDefault="009A4641" w14:paraId="64F92F69" w14:textId="77777777">
            <w:pPr>
              <w:tabs>
                <w:tab w:val="center" w:pos="284"/>
              </w:tabs>
              <w:ind w:left="266" w:hanging="266"/>
            </w:pPr>
            <w:r>
              <w:t>COM(2023) 649 final — 2023/376 (COD)</w:t>
            </w:r>
          </w:p>
        </w:tc>
      </w:tr>
      <w:tr w:rsidRPr="00A6689B" w:rsidR="009A4641" w:rsidTr="00C478BE" w14:paraId="45C8A081" w14:textId="77777777">
        <w:trPr>
          <w:trHeight w:val="289"/>
        </w:trPr>
        <w:tc>
          <w:tcPr>
            <w:tcW w:w="0" w:type="auto"/>
            <w:vMerge/>
          </w:tcPr>
          <w:p w:rsidRPr="00C54E21" w:rsidR="009A4641" w:rsidP="00C478BE" w:rsidRDefault="009A4641" w14:paraId="07080F50" w14:textId="77777777">
            <w:pPr>
              <w:tabs>
                <w:tab w:val="center" w:pos="284"/>
              </w:tabs>
              <w:ind w:left="266" w:hanging="266"/>
              <w:rPr>
                <w:b/>
                <w:lang w:val="en-US"/>
              </w:rPr>
            </w:pPr>
          </w:p>
        </w:tc>
        <w:tc>
          <w:tcPr>
            <w:tcW w:w="7602" w:type="dxa"/>
          </w:tcPr>
          <w:p w:rsidRPr="00C54E21" w:rsidR="009A4641" w:rsidP="00C478BE" w:rsidRDefault="009A4641" w14:paraId="5B401DEB" w14:textId="77777777">
            <w:pPr>
              <w:tabs>
                <w:tab w:val="center" w:pos="284"/>
              </w:tabs>
              <w:ind w:left="266" w:hanging="266"/>
            </w:pPr>
            <w:r>
              <w:t>EESC-2023-04939-00-00-AC-TRA</w:t>
            </w:r>
          </w:p>
        </w:tc>
      </w:tr>
    </w:tbl>
    <w:p w:rsidR="009A4641" w:rsidP="009A4641" w:rsidRDefault="009A4641" w14:paraId="3CC2506D" w14:textId="77777777">
      <w:pPr>
        <w:keepNext/>
        <w:keepLines/>
        <w:tabs>
          <w:tab w:val="center" w:pos="284"/>
        </w:tabs>
        <w:ind w:left="266" w:hanging="266"/>
        <w:rPr>
          <w:b/>
        </w:rPr>
      </w:pPr>
    </w:p>
    <w:p w:rsidRPr="00A6689B" w:rsidR="009A4641" w:rsidP="009A4641" w:rsidRDefault="009A4641" w14:paraId="05943E18" w14:textId="77777777">
      <w:pPr>
        <w:keepNext/>
        <w:keepLines/>
        <w:tabs>
          <w:tab w:val="center" w:pos="284"/>
        </w:tabs>
        <w:ind w:left="266" w:hanging="266"/>
        <w:rPr>
          <w:b/>
        </w:rPr>
      </w:pPr>
      <w:r>
        <w:rPr>
          <w:b/>
        </w:rPr>
        <w:t>Points clés</w:t>
      </w:r>
    </w:p>
    <w:p w:rsidR="009A4641" w:rsidP="009A4641" w:rsidRDefault="009A4641" w14:paraId="231EBFB0" w14:textId="01398197">
      <w:pPr>
        <w:keepNext/>
        <w:keepLines/>
        <w:tabs>
          <w:tab w:val="center" w:pos="284"/>
        </w:tabs>
        <w:ind w:left="266" w:hanging="266"/>
        <w:rPr>
          <w:b/>
        </w:rPr>
      </w:pPr>
    </w:p>
    <w:p w:rsidRPr="00D20FC8" w:rsidR="00D20FC8" w:rsidP="009A4641" w:rsidRDefault="00D20FC8" w14:paraId="162D1E01" w14:textId="31FD6781">
      <w:pPr>
        <w:keepNext/>
        <w:keepLines/>
        <w:tabs>
          <w:tab w:val="center" w:pos="284"/>
        </w:tabs>
        <w:ind w:left="266" w:hanging="266"/>
        <w:rPr>
          <w:bCs/>
        </w:rPr>
      </w:pPr>
      <w:r w:rsidRPr="00D20FC8">
        <w:rPr>
          <w:bCs/>
        </w:rPr>
        <w:t>Le CESE:</w:t>
      </w:r>
    </w:p>
    <w:p w:rsidRPr="00E96529" w:rsidR="00D20FC8" w:rsidP="009A4641" w:rsidRDefault="00D20FC8" w14:paraId="61787F53" w14:textId="77777777">
      <w:pPr>
        <w:keepNext/>
        <w:keepLines/>
        <w:tabs>
          <w:tab w:val="center" w:pos="284"/>
        </w:tabs>
        <w:ind w:left="266" w:hanging="266"/>
        <w:rPr>
          <w:b/>
        </w:rPr>
      </w:pPr>
    </w:p>
    <w:p w:rsidR="009A4641" w:rsidP="009A4641" w:rsidRDefault="009A4641" w14:paraId="6DAC99C7" w14:textId="77777777">
      <w:pPr>
        <w:pStyle w:val="ListParagraph"/>
        <w:keepNext/>
        <w:numPr>
          <w:ilvl w:val="0"/>
          <w:numId w:val="6"/>
        </w:numPr>
        <w:spacing w:after="200" w:line="276" w:lineRule="auto"/>
        <w:rPr>
          <w:bCs/>
          <w:iCs/>
        </w:rPr>
      </w:pPr>
      <w:r>
        <w:t xml:space="preserve">est favorable à ce que le règlement extrajudiciaire des litiges (REL) soit de plus en plus privilégié en tant que </w:t>
      </w:r>
      <w:r>
        <w:rPr>
          <w:b/>
        </w:rPr>
        <w:t>solution de substitution aux procédures judiciaires</w:t>
      </w:r>
      <w:r>
        <w:t xml:space="preserve"> lorsque des consommateurs cherchent à obtenir réparation des dommages que des professionnels ont pu leur causer, et soutient en parallèle l’accessibilité des procédures judiciaires et l’application des droits des consommateurs par les autorités nationales;</w:t>
      </w:r>
    </w:p>
    <w:p w:rsidRPr="0058745B" w:rsidR="009A4641" w:rsidP="009A4641" w:rsidRDefault="009A4641" w14:paraId="11945524" w14:textId="77777777">
      <w:pPr>
        <w:pStyle w:val="ListParagraph"/>
        <w:numPr>
          <w:ilvl w:val="0"/>
          <w:numId w:val="6"/>
        </w:numPr>
        <w:spacing w:after="200" w:line="276" w:lineRule="auto"/>
        <w:rPr>
          <w:bCs/>
          <w:iCs/>
        </w:rPr>
      </w:pPr>
      <w:r>
        <w:t xml:space="preserve">souligne qu’il importe d’inciter les États membres et les industries à mettre en place des systèmes de REL et d’encourager les </w:t>
      </w:r>
      <w:r>
        <w:rPr>
          <w:b/>
        </w:rPr>
        <w:t>professionnels</w:t>
      </w:r>
      <w:r>
        <w:t xml:space="preserve">, y compris les </w:t>
      </w:r>
      <w:r>
        <w:rPr>
          <w:b/>
        </w:rPr>
        <w:t>petites et moyennes entreprises</w:t>
      </w:r>
      <w:r>
        <w:t xml:space="preserve">, à y adhérer volontairement, et invite la Commission à </w:t>
      </w:r>
      <w:r>
        <w:rPr>
          <w:b/>
        </w:rPr>
        <w:t>examiner les progrès réalisés en matière de systèmes de REL trois ans après la mise en œuvre</w:t>
      </w:r>
      <w:r>
        <w:t xml:space="preserve"> de la directive proposée;</w:t>
      </w:r>
    </w:p>
    <w:p w:rsidR="009A4641" w:rsidP="009A4641" w:rsidRDefault="009A4641" w14:paraId="029304A6" w14:textId="77777777">
      <w:pPr>
        <w:pStyle w:val="ListParagraph"/>
        <w:numPr>
          <w:ilvl w:val="0"/>
          <w:numId w:val="6"/>
        </w:numPr>
        <w:spacing w:after="200" w:line="276" w:lineRule="auto"/>
        <w:rPr>
          <w:bCs/>
          <w:iCs/>
        </w:rPr>
      </w:pPr>
      <w:r>
        <w:t xml:space="preserve">estime que les </w:t>
      </w:r>
      <w:r>
        <w:rPr>
          <w:b/>
        </w:rPr>
        <w:t>retours d’information que fournissent les entités de REL</w:t>
      </w:r>
      <w:r>
        <w:t xml:space="preserve"> sont extrêmement précieux tant pour les professionnels que pour les législateurs ou les régulateurs. Il plaide dès lors en faveur de </w:t>
      </w:r>
      <w:r>
        <w:rPr>
          <w:b/>
        </w:rPr>
        <w:t>procédures accélérées permettant de signaler des situations de crise</w:t>
      </w:r>
      <w:r>
        <w:t>, en plus de l’obligation de publier tous les deux ans des rapports d’activité concernant les systèmes de REL. Le Comité demande à la Commission d’intégrer les retours d’information des plateformes de REL lorsqu’elle évalue les réglementations sectorielles;</w:t>
      </w:r>
    </w:p>
    <w:p w:rsidRPr="00CC2426" w:rsidR="009A4641" w:rsidP="009A4641" w:rsidRDefault="009A4641" w14:paraId="5D25FB1E" w14:textId="77777777">
      <w:pPr>
        <w:pStyle w:val="ListParagraph"/>
        <w:numPr>
          <w:ilvl w:val="0"/>
          <w:numId w:val="6"/>
        </w:numPr>
        <w:spacing w:after="200" w:line="276" w:lineRule="auto"/>
        <w:rPr>
          <w:bCs/>
          <w:iCs/>
        </w:rPr>
      </w:pPr>
      <w:r>
        <w:t>demande aux législateurs d’</w:t>
      </w:r>
      <w:r>
        <w:rPr>
          <w:b/>
        </w:rPr>
        <w:t>apporter davantage de précisions</w:t>
      </w:r>
      <w:r>
        <w:t xml:space="preserve"> concernant, d’une part, </w:t>
      </w:r>
      <w:r>
        <w:rPr>
          <w:b/>
        </w:rPr>
        <w:t>l’obligation pour les consommateurs d’entrer d’abord en contact avec le professionnel avant de recourir à un système de REL</w:t>
      </w:r>
      <w:r>
        <w:t xml:space="preserve">, et d’autre part, </w:t>
      </w:r>
      <w:r>
        <w:rPr>
          <w:b/>
        </w:rPr>
        <w:t>les sanctions</w:t>
      </w:r>
      <w:r>
        <w:t xml:space="preserve"> applicables aux professionnels qui ne respectent pas l’obligation de déclarer qu’ils acceptent la procédure de REL dans un délai de 20 jours ouvrables, tel que mentionné dans les propositions.</w:t>
      </w:r>
    </w:p>
    <w:p w:rsidR="009A4641" w:rsidP="009A4641" w:rsidRDefault="009A4641" w14:paraId="151F8B30"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9A4641" w:rsidTr="00C478BE" w14:paraId="74C4F033" w14:textId="77777777">
        <w:tc>
          <w:tcPr>
            <w:tcW w:w="1418" w:type="dxa"/>
          </w:tcPr>
          <w:p w:rsidRPr="00A6689B" w:rsidR="009A4641" w:rsidP="00C478BE" w:rsidRDefault="009A4641" w14:paraId="762B8062" w14:textId="77777777">
            <w:pPr>
              <w:spacing w:line="240" w:lineRule="auto"/>
              <w:rPr>
                <w:i/>
              </w:rPr>
            </w:pPr>
            <w:r>
              <w:rPr>
                <w:b/>
                <w:i/>
              </w:rPr>
              <w:t>Contact</w:t>
            </w:r>
          </w:p>
        </w:tc>
        <w:tc>
          <w:tcPr>
            <w:tcW w:w="5670" w:type="dxa"/>
          </w:tcPr>
          <w:p w:rsidRPr="00A6689B" w:rsidR="009A4641" w:rsidP="00C478BE" w:rsidRDefault="009A4641" w14:paraId="7DE92888" w14:textId="77777777">
            <w:pPr>
              <w:spacing w:line="240" w:lineRule="auto"/>
              <w:rPr>
                <w:i/>
              </w:rPr>
            </w:pPr>
            <w:r>
              <w:rPr>
                <w:i/>
              </w:rPr>
              <w:t>Silvia STAFFA</w:t>
            </w:r>
          </w:p>
        </w:tc>
      </w:tr>
      <w:tr w:rsidRPr="00A6689B" w:rsidR="009A4641" w:rsidTr="00C478BE" w14:paraId="60A08740" w14:textId="77777777">
        <w:tc>
          <w:tcPr>
            <w:tcW w:w="1418" w:type="dxa"/>
          </w:tcPr>
          <w:p w:rsidRPr="00A6689B" w:rsidR="009A4641" w:rsidP="00C478BE" w:rsidRDefault="009A4641" w14:paraId="423FCC0A" w14:textId="77777777">
            <w:pPr>
              <w:spacing w:line="240" w:lineRule="auto"/>
              <w:rPr>
                <w:i/>
              </w:rPr>
            </w:pPr>
            <w:r>
              <w:rPr>
                <w:i/>
              </w:rPr>
              <w:t>Tél.</w:t>
            </w:r>
          </w:p>
        </w:tc>
        <w:tc>
          <w:tcPr>
            <w:tcW w:w="5670" w:type="dxa"/>
          </w:tcPr>
          <w:p w:rsidRPr="00A6689B" w:rsidR="009A4641" w:rsidP="00C478BE" w:rsidRDefault="009A4641" w14:paraId="24836AAF" w14:textId="77777777">
            <w:pPr>
              <w:spacing w:line="240" w:lineRule="auto"/>
              <w:rPr>
                <w:i/>
              </w:rPr>
            </w:pPr>
            <w:r>
              <w:rPr>
                <w:i/>
              </w:rPr>
              <w:t>+32 25468378</w:t>
            </w:r>
          </w:p>
        </w:tc>
      </w:tr>
      <w:tr w:rsidRPr="00A6689B" w:rsidR="009A4641" w:rsidTr="00C478BE" w14:paraId="5D11C059" w14:textId="77777777">
        <w:tc>
          <w:tcPr>
            <w:tcW w:w="1418" w:type="dxa"/>
          </w:tcPr>
          <w:p w:rsidRPr="00A6689B" w:rsidR="009A4641" w:rsidP="00C478BE" w:rsidRDefault="009A4641" w14:paraId="09718DA0" w14:textId="77777777">
            <w:pPr>
              <w:spacing w:line="240" w:lineRule="auto"/>
              <w:rPr>
                <w:i/>
              </w:rPr>
            </w:pPr>
            <w:r>
              <w:rPr>
                <w:i/>
              </w:rPr>
              <w:t>Courriel</w:t>
            </w:r>
          </w:p>
        </w:tc>
        <w:tc>
          <w:tcPr>
            <w:tcW w:w="5670" w:type="dxa"/>
          </w:tcPr>
          <w:p w:rsidRPr="00136DCF" w:rsidR="009A4641" w:rsidP="00C478BE" w:rsidRDefault="00403D88" w14:paraId="6452F1C3" w14:textId="77777777">
            <w:pPr>
              <w:spacing w:line="240" w:lineRule="auto"/>
              <w:rPr>
                <w:i/>
                <w:iCs/>
              </w:rPr>
            </w:pPr>
            <w:hyperlink w:history="1" r:id="rId32">
              <w:r w:rsidR="009A4641">
                <w:rPr>
                  <w:rStyle w:val="Hyperlink"/>
                  <w:i/>
                </w:rPr>
                <w:t>Silvia.Staffa@eesc.europa.eu</w:t>
              </w:r>
            </w:hyperlink>
          </w:p>
        </w:tc>
      </w:tr>
    </w:tbl>
    <w:p w:rsidR="009A4641" w:rsidRDefault="009A4641" w14:paraId="53CFB9EA" w14:textId="77777777">
      <w:pPr>
        <w:spacing w:after="160" w:line="259" w:lineRule="auto"/>
        <w:jc w:val="left"/>
      </w:pPr>
    </w:p>
    <w:p w:rsidRPr="00F01400" w:rsidR="009A4641" w:rsidP="00F01400" w:rsidRDefault="00403D88" w14:paraId="479B2F72" w14:textId="663656B0">
      <w:pPr>
        <w:pStyle w:val="ListParagraph"/>
        <w:widowControl w:val="0"/>
        <w:numPr>
          <w:ilvl w:val="0"/>
          <w:numId w:val="34"/>
        </w:numPr>
        <w:overflowPunct w:val="0"/>
        <w:autoSpaceDE w:val="0"/>
        <w:autoSpaceDN w:val="0"/>
        <w:adjustRightInd w:val="0"/>
        <w:textAlignment w:val="baseline"/>
        <w:rPr>
          <w:sz w:val="20"/>
        </w:rPr>
      </w:pPr>
      <w:hyperlink w:tgtFrame="_blank" w:history="1" r:id="rId33">
        <w:r w:rsidRPr="00F01400" w:rsidR="009A4641">
          <w:rPr>
            <w:rStyle w:val="Hyperlink"/>
            <w:b/>
            <w:i/>
            <w:sz w:val="28"/>
          </w:rPr>
          <w:t>Train de mesures de soutien aux PME</w:t>
        </w:r>
      </w:hyperlink>
    </w:p>
    <w:p w:rsidRPr="00A6689B" w:rsidR="009A4641" w:rsidP="009A4641" w:rsidRDefault="009A4641" w14:paraId="2777FAE9" w14:textId="77777777">
      <w:pPr>
        <w:tabs>
          <w:tab w:val="center" w:pos="284"/>
        </w:tabs>
        <w:ind w:left="266" w:hanging="266"/>
        <w:rPr>
          <w:b/>
        </w:rPr>
      </w:pPr>
    </w:p>
    <w:tbl>
      <w:tblPr>
        <w:tblStyle w:val="TableGrid"/>
        <w:tblW w:w="471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721"/>
      </w:tblGrid>
      <w:tr w:rsidRPr="00A6689B" w:rsidR="009A4641" w:rsidTr="00C478BE" w14:paraId="01A45B01" w14:textId="77777777">
        <w:tc>
          <w:tcPr>
            <w:tcW w:w="1161" w:type="pct"/>
          </w:tcPr>
          <w:p w:rsidRPr="00A6689B" w:rsidR="009A4641" w:rsidP="00C478BE" w:rsidRDefault="009A4641" w14:paraId="40E195F6" w14:textId="77777777">
            <w:pPr>
              <w:tabs>
                <w:tab w:val="center" w:pos="0"/>
              </w:tabs>
              <w:jc w:val="left"/>
              <w:rPr>
                <w:b/>
              </w:rPr>
            </w:pPr>
            <w:proofErr w:type="spellStart"/>
            <w:r>
              <w:rPr>
                <w:b/>
              </w:rPr>
              <w:t>Rapporteure</w:t>
            </w:r>
            <w:proofErr w:type="spellEnd"/>
            <w:r>
              <w:rPr>
                <w:b/>
              </w:rPr>
              <w:br/>
              <w:t>Corapporteur</w:t>
            </w:r>
          </w:p>
        </w:tc>
        <w:tc>
          <w:tcPr>
            <w:tcW w:w="3839" w:type="pct"/>
          </w:tcPr>
          <w:p w:rsidRPr="009E78F1" w:rsidR="009A4641" w:rsidP="00D20FC8" w:rsidRDefault="009A4641" w14:paraId="2942C5A0" w14:textId="77777777">
            <w:pPr>
              <w:tabs>
                <w:tab w:val="center" w:pos="0"/>
              </w:tabs>
              <w:jc w:val="left"/>
            </w:pPr>
            <w:r>
              <w:t>Alena MASTANTUONO (groupe des employeurs, Tchéquie)</w:t>
            </w:r>
            <w:r>
              <w:br/>
              <w:t>Angelo PAGLIARA (groupe des travailleurs, Italie)</w:t>
            </w:r>
          </w:p>
        </w:tc>
      </w:tr>
      <w:tr w:rsidRPr="00A6689B" w:rsidR="009A4641" w:rsidTr="00C478BE" w14:paraId="5B262A59" w14:textId="77777777">
        <w:tc>
          <w:tcPr>
            <w:tcW w:w="5000" w:type="pct"/>
            <w:gridSpan w:val="2"/>
          </w:tcPr>
          <w:p w:rsidRPr="00A6689B" w:rsidR="009A4641" w:rsidP="00C478BE" w:rsidRDefault="009A4641" w14:paraId="1943DA9B" w14:textId="77777777">
            <w:pPr>
              <w:tabs>
                <w:tab w:val="center" w:pos="284"/>
              </w:tabs>
              <w:spacing w:line="160" w:lineRule="exact"/>
              <w:ind w:left="266" w:hanging="266"/>
              <w:rPr>
                <w:lang w:val="en-US"/>
              </w:rPr>
            </w:pPr>
          </w:p>
        </w:tc>
      </w:tr>
      <w:tr w:rsidRPr="00A6689B" w:rsidR="009A4641" w:rsidTr="00C478BE" w14:paraId="2EDA0BF8" w14:textId="77777777">
        <w:tc>
          <w:tcPr>
            <w:tcW w:w="1161" w:type="pct"/>
            <w:vMerge w:val="restart"/>
          </w:tcPr>
          <w:p w:rsidRPr="00A6689B" w:rsidR="009A4641" w:rsidP="00C478BE" w:rsidRDefault="009A4641" w14:paraId="62338CF5" w14:textId="77777777">
            <w:pPr>
              <w:tabs>
                <w:tab w:val="center" w:pos="284"/>
              </w:tabs>
              <w:ind w:left="266" w:hanging="266"/>
              <w:rPr>
                <w:b/>
              </w:rPr>
            </w:pPr>
            <w:r>
              <w:rPr>
                <w:b/>
              </w:rPr>
              <w:t>Références</w:t>
            </w:r>
          </w:p>
        </w:tc>
        <w:tc>
          <w:tcPr>
            <w:tcW w:w="3839" w:type="pct"/>
          </w:tcPr>
          <w:p w:rsidR="009A4641" w:rsidP="00C478BE" w:rsidRDefault="009A4641" w14:paraId="6EB37575" w14:textId="162DD369">
            <w:pPr>
              <w:tabs>
                <w:tab w:val="center" w:pos="284"/>
              </w:tabs>
              <w:ind w:left="266" w:hanging="266"/>
            </w:pPr>
            <w:r>
              <w:t>COM(2023)</w:t>
            </w:r>
            <w:r w:rsidR="00D20FC8">
              <w:t> </w:t>
            </w:r>
            <w:r>
              <w:t>535</w:t>
            </w:r>
            <w:r w:rsidR="00D20FC8">
              <w:t> </w:t>
            </w:r>
            <w:r>
              <w:t>final</w:t>
            </w:r>
          </w:p>
          <w:p w:rsidRPr="00A6689B" w:rsidR="009A4641" w:rsidP="00C478BE" w:rsidRDefault="009A4641" w14:paraId="75ADFD44" w14:textId="77777777">
            <w:pPr>
              <w:tabs>
                <w:tab w:val="center" w:pos="284"/>
              </w:tabs>
              <w:ind w:left="266" w:hanging="266"/>
            </w:pPr>
            <w:r>
              <w:t>EESC-2023-05071-00-00-AC</w:t>
            </w:r>
          </w:p>
        </w:tc>
      </w:tr>
      <w:tr w:rsidRPr="00A6689B" w:rsidR="009A4641" w:rsidTr="00C478BE" w14:paraId="67B9214E" w14:textId="77777777">
        <w:tc>
          <w:tcPr>
            <w:tcW w:w="1161" w:type="pct"/>
            <w:vMerge/>
          </w:tcPr>
          <w:p w:rsidRPr="00A6689B" w:rsidR="009A4641" w:rsidP="00C478BE" w:rsidRDefault="009A4641" w14:paraId="7E0A0314" w14:textId="77777777">
            <w:pPr>
              <w:tabs>
                <w:tab w:val="center" w:pos="284"/>
              </w:tabs>
              <w:ind w:left="266" w:hanging="266"/>
              <w:rPr>
                <w:b/>
                <w:lang w:val="en-US"/>
              </w:rPr>
            </w:pPr>
          </w:p>
        </w:tc>
        <w:tc>
          <w:tcPr>
            <w:tcW w:w="3839" w:type="pct"/>
          </w:tcPr>
          <w:p w:rsidRPr="00A6689B" w:rsidR="009A4641" w:rsidP="00C478BE" w:rsidRDefault="009A4641" w14:paraId="61251C3C" w14:textId="77777777">
            <w:pPr>
              <w:tabs>
                <w:tab w:val="center" w:pos="284"/>
              </w:tabs>
              <w:ind w:left="266" w:hanging="266"/>
              <w:rPr>
                <w:lang w:val="en-US"/>
              </w:rPr>
            </w:pPr>
          </w:p>
        </w:tc>
      </w:tr>
    </w:tbl>
    <w:p w:rsidRPr="00A6689B" w:rsidR="009A4641" w:rsidP="00D20FC8" w:rsidRDefault="009A4641" w14:paraId="443FA2AC" w14:textId="77777777">
      <w:pPr>
        <w:keepNext/>
        <w:keepLines/>
        <w:tabs>
          <w:tab w:val="center" w:pos="284"/>
        </w:tabs>
        <w:ind w:left="266" w:hanging="266"/>
        <w:rPr>
          <w:b/>
        </w:rPr>
      </w:pPr>
      <w:r>
        <w:rPr>
          <w:b/>
        </w:rPr>
        <w:t>Points clés</w:t>
      </w:r>
    </w:p>
    <w:p w:rsidRPr="00A6689B" w:rsidR="009A4641" w:rsidP="00D20FC8" w:rsidRDefault="009A4641" w14:paraId="58508B8E" w14:textId="77777777">
      <w:pPr>
        <w:keepNext/>
        <w:keepLines/>
        <w:tabs>
          <w:tab w:val="center" w:pos="284"/>
        </w:tabs>
        <w:ind w:left="266" w:hanging="266"/>
        <w:rPr>
          <w:b/>
        </w:rPr>
      </w:pPr>
    </w:p>
    <w:p w:rsidRPr="00A6689B" w:rsidR="009A4641" w:rsidP="00D20FC8" w:rsidRDefault="009A4641" w14:paraId="2506B615" w14:textId="77777777">
      <w:pPr>
        <w:keepNext/>
        <w:rPr>
          <w:bCs/>
          <w:iCs/>
        </w:rPr>
      </w:pPr>
      <w:r>
        <w:t>Le CESE:</w:t>
      </w:r>
    </w:p>
    <w:p w:rsidRPr="00A6689B" w:rsidR="009A4641" w:rsidP="00D20FC8" w:rsidRDefault="009A4641" w14:paraId="0D8401E6" w14:textId="77777777">
      <w:pPr>
        <w:keepNext/>
        <w:rPr>
          <w:bCs/>
          <w:iCs/>
        </w:rPr>
      </w:pPr>
    </w:p>
    <w:p w:rsidRPr="00161B15" w:rsidR="009A4641" w:rsidP="00D20FC8" w:rsidRDefault="009A4641" w14:paraId="1C4985DC" w14:textId="77777777">
      <w:pPr>
        <w:pStyle w:val="ListParagraph"/>
        <w:keepNext/>
        <w:numPr>
          <w:ilvl w:val="0"/>
          <w:numId w:val="11"/>
        </w:numPr>
        <w:spacing w:after="200" w:line="276" w:lineRule="auto"/>
        <w:ind w:left="714" w:hanging="357"/>
        <w:rPr>
          <w:bCs/>
          <w:iCs/>
        </w:rPr>
      </w:pPr>
      <w:r>
        <w:t xml:space="preserve">se félicite du train de mesures de soutien aux PME, car il manifeste la volonté de l’Union européenne de s’employer à </w:t>
      </w:r>
      <w:r>
        <w:rPr>
          <w:b/>
        </w:rPr>
        <w:t>placer les PME</w:t>
      </w:r>
      <w:r>
        <w:t xml:space="preserve"> à la fois </w:t>
      </w:r>
      <w:r>
        <w:rPr>
          <w:b/>
        </w:rPr>
        <w:t>au centre de sa législation</w:t>
      </w:r>
      <w:r>
        <w:t xml:space="preserve"> et au cœur de ses stratégies, de ses débats et de ses actions visant à soutenir la compétitivité. La prochaine Commission devrait </w:t>
      </w:r>
      <w:r>
        <w:rPr>
          <w:b/>
        </w:rPr>
        <w:t>en faire une priorité et s’assurer de sa perpétuation</w:t>
      </w:r>
      <w:r>
        <w:t>;</w:t>
      </w:r>
    </w:p>
    <w:p w:rsidR="009A4641" w:rsidP="009A4641" w:rsidRDefault="009A4641" w14:paraId="4BA11054" w14:textId="77777777">
      <w:pPr>
        <w:pStyle w:val="ListParagraph"/>
        <w:numPr>
          <w:ilvl w:val="0"/>
          <w:numId w:val="11"/>
        </w:numPr>
        <w:spacing w:line="276" w:lineRule="auto"/>
        <w:ind w:left="714" w:hanging="357"/>
        <w:rPr>
          <w:bCs/>
          <w:iCs/>
        </w:rPr>
      </w:pPr>
      <w:r>
        <w:t xml:space="preserve">estime que la Commission doit veiller, pour son prochain mandat qui court de 2024 à 2029, à ce que </w:t>
      </w:r>
      <w:r>
        <w:rPr>
          <w:b/>
        </w:rPr>
        <w:t>le représentant de l’UE pour les PME vienne du monde de l’entreprise</w:t>
      </w:r>
      <w:r>
        <w:t xml:space="preserve"> et dispose d’une panoplie bien définie de compétences et de responsabilités et à ce que ce poste soit doté de </w:t>
      </w:r>
      <w:r>
        <w:rPr>
          <w:b/>
        </w:rPr>
        <w:t>ressources adéquates</w:t>
      </w:r>
      <w:r>
        <w:t xml:space="preserve"> en personnel et en moyens financiers;</w:t>
      </w:r>
    </w:p>
    <w:p w:rsidRPr="009973F6" w:rsidR="009A4641" w:rsidP="009A4641" w:rsidRDefault="009A4641" w14:paraId="7CFC4453" w14:textId="77777777">
      <w:pPr>
        <w:pStyle w:val="ListParagraph"/>
        <w:numPr>
          <w:ilvl w:val="0"/>
          <w:numId w:val="11"/>
        </w:numPr>
        <w:spacing w:after="200" w:line="276" w:lineRule="auto"/>
        <w:rPr>
          <w:bCs/>
          <w:iCs/>
        </w:rPr>
      </w:pPr>
      <w:r>
        <w:t xml:space="preserve">se félicite des efforts de simplification, ainsi que de la réduction des formalités touchant au domaine de la TVA dans les activités transfrontières. Il relève toutefois qu’il convient d’en faire davantage pour éliminer d’autres obstacles qui se manifestent de longue date. </w:t>
      </w:r>
      <w:r>
        <w:rPr>
          <w:b/>
        </w:rPr>
        <w:t>La fragmentation à l’œuvre au sein du marché unique et les règles nationales disparates</w:t>
      </w:r>
      <w:r>
        <w:t xml:space="preserve"> qui régissent les biens et les services </w:t>
      </w:r>
      <w:r>
        <w:rPr>
          <w:b/>
        </w:rPr>
        <w:t>font peser une charge considérable sur les entreprises</w:t>
      </w:r>
      <w:r>
        <w:t>;</w:t>
      </w:r>
    </w:p>
    <w:p w:rsidRPr="00CD5FB5" w:rsidR="009A4641" w:rsidP="009A4641" w:rsidRDefault="009A4641" w14:paraId="74D60DE0" w14:textId="77777777">
      <w:pPr>
        <w:pStyle w:val="ListParagraph"/>
        <w:numPr>
          <w:ilvl w:val="0"/>
          <w:numId w:val="11"/>
        </w:numPr>
        <w:spacing w:after="200" w:line="276" w:lineRule="auto"/>
        <w:rPr>
          <w:bCs/>
          <w:iCs/>
        </w:rPr>
      </w:pPr>
      <w:r>
        <w:t>estime qu’</w:t>
      </w:r>
      <w:r>
        <w:rPr>
          <w:b/>
        </w:rPr>
        <w:t>il convient de faciliter l’accès des PME aux ressources financières</w:t>
      </w:r>
      <w:r>
        <w:t>, que ce soit par le biais de subventions, de prêts ou d’autres instruments financiers, moyennant une assistance adaptée. Il demande également à la Commission de mettre en place l’ensemble des mesures nécessaires pour inciter les PME à adopter une conduite responsable lorsqu’elles obtiennent des financements de l’Union européenne;</w:t>
      </w:r>
    </w:p>
    <w:p w:rsidRPr="0099413B" w:rsidR="009A4641" w:rsidP="009A4641" w:rsidRDefault="009A4641" w14:paraId="52DF2F9A" w14:textId="77777777">
      <w:pPr>
        <w:pStyle w:val="ListParagraph"/>
        <w:numPr>
          <w:ilvl w:val="0"/>
          <w:numId w:val="11"/>
        </w:numPr>
        <w:spacing w:line="276" w:lineRule="auto"/>
        <w:ind w:left="714" w:hanging="357"/>
        <w:rPr>
          <w:bCs/>
          <w:iCs/>
        </w:rPr>
      </w:pPr>
      <w:r>
        <w:t xml:space="preserve">souligne que tirer un meilleur parti des outils existants peut aider à éviter des charges bureaucratiques. À titre d’exemple, il peut s’agir de </w:t>
      </w:r>
      <w:r>
        <w:rPr>
          <w:b/>
        </w:rPr>
        <w:t>faire le point, pour toute proposition législative, sur les obligations prévues qui en découlent</w:t>
      </w:r>
      <w:r>
        <w:t>, ce qui contribue entre autres à mieux appréhender les effets d’empilement des charges.</w:t>
      </w:r>
    </w:p>
    <w:p w:rsidRPr="00E218DA" w:rsidR="009A4641" w:rsidP="009A4641" w:rsidRDefault="009A4641" w14:paraId="57321012" w14:textId="77777777">
      <w:pPr>
        <w:pStyle w:val="ListParagraph"/>
        <w:spacing w:after="120"/>
        <w:ind w:left="1434"/>
        <w:contextualSpacing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6689B" w:rsidR="009A4641" w:rsidTr="00C478BE" w14:paraId="4D3F30E4" w14:textId="77777777">
        <w:tc>
          <w:tcPr>
            <w:tcW w:w="1556" w:type="pct"/>
          </w:tcPr>
          <w:p w:rsidRPr="00A6689B" w:rsidR="009A4641" w:rsidP="00C478BE" w:rsidRDefault="009A4641" w14:paraId="369F564F" w14:textId="77777777">
            <w:pPr>
              <w:spacing w:line="240" w:lineRule="auto"/>
              <w:rPr>
                <w:i/>
              </w:rPr>
            </w:pPr>
            <w:r>
              <w:rPr>
                <w:b/>
                <w:i/>
              </w:rPr>
              <w:t>Contact</w:t>
            </w:r>
          </w:p>
        </w:tc>
        <w:tc>
          <w:tcPr>
            <w:tcW w:w="3444" w:type="pct"/>
          </w:tcPr>
          <w:p w:rsidRPr="00A6689B" w:rsidR="009A4641" w:rsidP="00C478BE" w:rsidRDefault="009A4641" w14:paraId="19BEF163" w14:textId="77777777">
            <w:pPr>
              <w:spacing w:line="240" w:lineRule="auto"/>
              <w:rPr>
                <w:i/>
              </w:rPr>
            </w:pPr>
            <w:r>
              <w:rPr>
                <w:i/>
              </w:rPr>
              <w:t>Dalila BERNARD</w:t>
            </w:r>
          </w:p>
        </w:tc>
      </w:tr>
      <w:tr w:rsidRPr="00A6689B" w:rsidR="009A4641" w:rsidTr="00C478BE" w14:paraId="794E8B61" w14:textId="77777777">
        <w:tc>
          <w:tcPr>
            <w:tcW w:w="1556" w:type="pct"/>
          </w:tcPr>
          <w:p w:rsidRPr="00A6689B" w:rsidR="009A4641" w:rsidP="00C478BE" w:rsidRDefault="009A4641" w14:paraId="0C437113" w14:textId="77777777">
            <w:pPr>
              <w:spacing w:line="240" w:lineRule="auto"/>
              <w:rPr>
                <w:i/>
              </w:rPr>
            </w:pPr>
            <w:r>
              <w:rPr>
                <w:i/>
              </w:rPr>
              <w:t>Tél.</w:t>
            </w:r>
          </w:p>
        </w:tc>
        <w:tc>
          <w:tcPr>
            <w:tcW w:w="3444" w:type="pct"/>
          </w:tcPr>
          <w:p w:rsidRPr="00A6689B" w:rsidR="009A4641" w:rsidP="00C478BE" w:rsidRDefault="009A4641" w14:paraId="12559C01" w14:textId="77777777">
            <w:pPr>
              <w:spacing w:line="240" w:lineRule="auto"/>
              <w:rPr>
                <w:i/>
              </w:rPr>
            </w:pPr>
            <w:r>
              <w:rPr>
                <w:i/>
              </w:rPr>
              <w:t>+32 25468438</w:t>
            </w:r>
          </w:p>
        </w:tc>
      </w:tr>
      <w:tr w:rsidRPr="00A6689B" w:rsidR="009A4641" w:rsidTr="00C478BE" w14:paraId="6589FFCD" w14:textId="77777777">
        <w:tc>
          <w:tcPr>
            <w:tcW w:w="1556" w:type="pct"/>
          </w:tcPr>
          <w:p w:rsidRPr="00A6689B" w:rsidR="009A4641" w:rsidP="00C478BE" w:rsidRDefault="009A4641" w14:paraId="55461135" w14:textId="77777777">
            <w:pPr>
              <w:spacing w:line="240" w:lineRule="auto"/>
              <w:rPr>
                <w:i/>
              </w:rPr>
            </w:pPr>
            <w:r>
              <w:rPr>
                <w:i/>
              </w:rPr>
              <w:t>Courriel</w:t>
            </w:r>
          </w:p>
        </w:tc>
        <w:tc>
          <w:tcPr>
            <w:tcW w:w="3444" w:type="pct"/>
          </w:tcPr>
          <w:p w:rsidRPr="0099413B" w:rsidR="009A4641" w:rsidP="00C478BE" w:rsidRDefault="00403D88" w14:paraId="7C0EF997" w14:textId="77777777">
            <w:pPr>
              <w:spacing w:line="240" w:lineRule="auto"/>
              <w:rPr>
                <w:color w:val="0000FF"/>
                <w:u w:val="single"/>
              </w:rPr>
            </w:pPr>
            <w:hyperlink w:history="1" r:id="rId34">
              <w:r w:rsidR="009A4641">
                <w:rPr>
                  <w:rStyle w:val="Hyperlink"/>
                </w:rPr>
                <w:t>Dalila.Bernard@eesc.europa.eu</w:t>
              </w:r>
            </w:hyperlink>
          </w:p>
        </w:tc>
      </w:tr>
    </w:tbl>
    <w:p w:rsidRPr="00673C09" w:rsidR="00673C09" w:rsidP="00673C09" w:rsidRDefault="00673C09" w14:paraId="5B9F68C8" w14:textId="77777777">
      <w:pPr>
        <w:pStyle w:val="Heading1"/>
        <w:numPr>
          <w:ilvl w:val="0"/>
          <w:numId w:val="0"/>
        </w:numPr>
        <w:ind w:left="928"/>
        <w:rPr>
          <w:b/>
          <w:bCs/>
        </w:rPr>
      </w:pPr>
      <w:bookmarkStart w:name="_Toc153539681" w:id="6"/>
      <w:bookmarkStart w:name="_Toc159831771" w:id="7"/>
    </w:p>
    <w:p w:rsidRPr="00EE2FBD" w:rsidR="004C3902" w:rsidP="00234EA0" w:rsidRDefault="008E2A59" w14:paraId="7AD922B6" w14:textId="4BCEE7CC">
      <w:pPr>
        <w:pStyle w:val="Heading1"/>
        <w:ind w:hanging="928"/>
        <w:rPr>
          <w:b/>
          <w:bCs/>
        </w:rPr>
      </w:pPr>
      <w:r>
        <w:rPr>
          <w:b/>
        </w:rPr>
        <w:t>AGRICULTURE, DÉVELOPPEMENT RURAL ET ENVIRONNEMENT</w:t>
      </w:r>
      <w:bookmarkStart w:name="_Hlk145944317" w:id="8"/>
      <w:bookmarkEnd w:id="6"/>
      <w:bookmarkEnd w:id="7"/>
    </w:p>
    <w:bookmarkEnd w:id="8"/>
    <w:p w:rsidRPr="00094B6B" w:rsidR="002C016E" w:rsidP="00DE43CE" w:rsidRDefault="002C016E" w14:paraId="0E7342A4" w14:textId="73254B30">
      <w:pPr>
        <w:keepNext/>
        <w:keepLines/>
        <w:jc w:val="left"/>
        <w:rPr>
          <w:bCs/>
          <w:iCs/>
        </w:rPr>
      </w:pPr>
    </w:p>
    <w:bookmarkStart w:name="_Toc153539702" w:id="9"/>
    <w:bookmarkStart w:name="_Toc159831782" w:id="10"/>
    <w:p w:rsidRPr="00053DC6" w:rsidR="00531C70" w:rsidP="00531C70" w:rsidRDefault="00531C70" w14:paraId="097B82AA" w14:textId="765A19B0">
      <w:pPr>
        <w:pStyle w:val="ListParagraph"/>
        <w:numPr>
          <w:ilvl w:val="0"/>
          <w:numId w:val="3"/>
        </w:numPr>
        <w:spacing w:line="276" w:lineRule="auto"/>
        <w:ind w:left="425" w:hanging="357"/>
        <w:jc w:val="left"/>
        <w:rPr>
          <w:i/>
          <w:iCs/>
        </w:rPr>
      </w:pPr>
      <w:r>
        <w:fldChar w:fldCharType="begin"/>
      </w:r>
      <w:r>
        <w:instrText xml:space="preserve"> HYPERLINK "https://www.eesc.europa.eu/fr/our-work/opinions-information-reports/opinions/prevention-des-pertes-de-granules-plastiques-en-vue-de-reduire-la-pollution-par-les-microplastiques" </w:instrText>
      </w:r>
      <w:r>
        <w:fldChar w:fldCharType="separate"/>
      </w:r>
      <w:r>
        <w:rPr>
          <w:rStyle w:val="Hyperlink"/>
          <w:b/>
          <w:i/>
          <w:sz w:val="28"/>
        </w:rPr>
        <w:t>Prévention des pertes de granulés plastiques en vue de réduire la pollution par les microplastiques</w:t>
      </w:r>
      <w:r>
        <w:rPr>
          <w:rStyle w:val="Hyperlink"/>
          <w:b/>
          <w:i/>
          <w:sz w:val="28"/>
        </w:rPr>
        <w:fldChar w:fldCharType="end"/>
      </w:r>
    </w:p>
    <w:p w:rsidRPr="007E0BEE" w:rsidR="00531C70" w:rsidP="00531C70" w:rsidRDefault="00531C70" w14:paraId="62506A01" w14:textId="77777777">
      <w:pPr>
        <w:widowControl w:val="0"/>
        <w:ind w:left="567"/>
        <w:rPr>
          <w:bCs/>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6689B" w:rsidR="00531C70" w:rsidTr="00C478BE" w14:paraId="72E1B746" w14:textId="77777777">
        <w:tc>
          <w:tcPr>
            <w:tcW w:w="1701" w:type="dxa"/>
          </w:tcPr>
          <w:p w:rsidRPr="00A6689B" w:rsidR="00531C70" w:rsidP="00C478BE" w:rsidRDefault="00531C70" w14:paraId="41FF95AF" w14:textId="77777777">
            <w:pPr>
              <w:tabs>
                <w:tab w:val="center" w:pos="284"/>
              </w:tabs>
              <w:ind w:left="266" w:hanging="266"/>
              <w:rPr>
                <w:b/>
              </w:rPr>
            </w:pPr>
            <w:r>
              <w:rPr>
                <w:b/>
              </w:rPr>
              <w:t>Rapporteur</w:t>
            </w:r>
          </w:p>
        </w:tc>
        <w:tc>
          <w:tcPr>
            <w:tcW w:w="6096" w:type="dxa"/>
          </w:tcPr>
          <w:p w:rsidRPr="00AA4B7A" w:rsidR="00531C70" w:rsidP="00C478BE" w:rsidRDefault="00531C70" w14:paraId="051E34F1" w14:textId="77777777">
            <w:pPr>
              <w:tabs>
                <w:tab w:val="center" w:pos="284"/>
              </w:tabs>
              <w:ind w:left="266" w:hanging="266"/>
              <w:rPr>
                <w:bCs/>
              </w:rPr>
            </w:pPr>
            <w:proofErr w:type="spellStart"/>
            <w:r w:rsidRPr="00AA4B7A">
              <w:rPr>
                <w:bCs/>
              </w:rPr>
              <w:t>András</w:t>
            </w:r>
            <w:proofErr w:type="spellEnd"/>
            <w:r w:rsidRPr="00AA4B7A">
              <w:rPr>
                <w:bCs/>
              </w:rPr>
              <w:t> EDELÉNYI (groupe des employeurs — HU)</w:t>
            </w:r>
          </w:p>
        </w:tc>
      </w:tr>
      <w:tr w:rsidRPr="00A6689B" w:rsidR="00531C70" w:rsidTr="00C478BE" w14:paraId="55B9A2D2" w14:textId="77777777">
        <w:tc>
          <w:tcPr>
            <w:tcW w:w="1701" w:type="dxa"/>
          </w:tcPr>
          <w:p w:rsidR="00531C70" w:rsidP="00C478BE" w:rsidRDefault="00531C70" w14:paraId="5840DB55" w14:textId="77777777">
            <w:pPr>
              <w:tabs>
                <w:tab w:val="center" w:pos="284"/>
              </w:tabs>
              <w:ind w:left="266" w:hanging="266"/>
              <w:rPr>
                <w:b/>
              </w:rPr>
            </w:pPr>
            <w:r>
              <w:rPr>
                <w:b/>
              </w:rPr>
              <w:t>Corapporteure</w:t>
            </w:r>
          </w:p>
        </w:tc>
        <w:tc>
          <w:tcPr>
            <w:tcW w:w="6096" w:type="dxa"/>
          </w:tcPr>
          <w:p w:rsidRPr="00AA4B7A" w:rsidR="00531C70" w:rsidP="00C478BE" w:rsidRDefault="00531C70" w14:paraId="4B2B4317" w14:textId="77777777">
            <w:pPr>
              <w:rPr>
                <w:bCs/>
              </w:rPr>
            </w:pPr>
            <w:r w:rsidRPr="00AA4B7A">
              <w:rPr>
                <w:bCs/>
              </w:rPr>
              <w:t>Maria NIKOLOPOULOU (groupe des travailleurs — ES)</w:t>
            </w:r>
          </w:p>
        </w:tc>
      </w:tr>
      <w:tr w:rsidRPr="00A6689B" w:rsidR="00531C70" w:rsidTr="00C478BE" w14:paraId="46FF87AE" w14:textId="77777777">
        <w:tc>
          <w:tcPr>
            <w:tcW w:w="7797" w:type="dxa"/>
            <w:gridSpan w:val="2"/>
          </w:tcPr>
          <w:p w:rsidRPr="00DA5490" w:rsidR="00531C70" w:rsidP="00C478BE" w:rsidRDefault="00531C70" w14:paraId="4DA8277B" w14:textId="77777777">
            <w:pPr>
              <w:tabs>
                <w:tab w:val="left" w:pos="2690"/>
              </w:tabs>
              <w:spacing w:line="160" w:lineRule="exact"/>
              <w:ind w:left="266" w:hanging="266"/>
              <w:rPr>
                <w:sz w:val="10"/>
                <w:szCs w:val="10"/>
                <w:lang w:val="en-US"/>
              </w:rPr>
            </w:pPr>
          </w:p>
        </w:tc>
      </w:tr>
      <w:tr w:rsidRPr="00A6689B" w:rsidR="00531C70" w:rsidTr="00C478BE" w14:paraId="420D73C3" w14:textId="77777777">
        <w:tc>
          <w:tcPr>
            <w:tcW w:w="1701" w:type="dxa"/>
            <w:vMerge w:val="restart"/>
          </w:tcPr>
          <w:p w:rsidRPr="00C548EC" w:rsidR="00531C70" w:rsidP="00C478BE" w:rsidRDefault="00531C70" w14:paraId="5404EA90" w14:textId="77777777">
            <w:pPr>
              <w:tabs>
                <w:tab w:val="center" w:pos="284"/>
              </w:tabs>
              <w:ind w:left="266" w:hanging="266"/>
              <w:rPr>
                <w:b/>
              </w:rPr>
            </w:pPr>
            <w:r>
              <w:rPr>
                <w:b/>
              </w:rPr>
              <w:t>Références</w:t>
            </w:r>
          </w:p>
        </w:tc>
        <w:tc>
          <w:tcPr>
            <w:tcW w:w="6096" w:type="dxa"/>
          </w:tcPr>
          <w:p w:rsidRPr="00C548EC" w:rsidR="00531C70" w:rsidP="00C478BE" w:rsidRDefault="00531C70" w14:paraId="5BA773AC" w14:textId="77777777">
            <w:pPr>
              <w:tabs>
                <w:tab w:val="center" w:pos="284"/>
              </w:tabs>
              <w:ind w:left="266" w:hanging="266"/>
            </w:pPr>
            <w:r>
              <w:t>COM(2023) 645 final — 2023/0373 (COD)</w:t>
            </w:r>
          </w:p>
        </w:tc>
      </w:tr>
      <w:tr w:rsidRPr="00A6689B" w:rsidR="00531C70" w:rsidTr="00C478BE" w14:paraId="4A0E19E1" w14:textId="77777777">
        <w:tc>
          <w:tcPr>
            <w:tcW w:w="1701" w:type="dxa"/>
            <w:vMerge/>
          </w:tcPr>
          <w:p w:rsidRPr="00C548EC" w:rsidR="00531C70" w:rsidP="00C478BE" w:rsidRDefault="00531C70" w14:paraId="191ED75C" w14:textId="77777777">
            <w:pPr>
              <w:tabs>
                <w:tab w:val="center" w:pos="284"/>
              </w:tabs>
              <w:ind w:left="266" w:hanging="266"/>
              <w:rPr>
                <w:b/>
                <w:lang w:val="en-US"/>
              </w:rPr>
            </w:pPr>
          </w:p>
        </w:tc>
        <w:tc>
          <w:tcPr>
            <w:tcW w:w="6096" w:type="dxa"/>
          </w:tcPr>
          <w:p w:rsidRPr="00C548EC" w:rsidR="00531C70" w:rsidP="00C478BE" w:rsidRDefault="00531C70" w14:paraId="4F389DE4" w14:textId="77777777">
            <w:pPr>
              <w:tabs>
                <w:tab w:val="center" w:pos="284"/>
              </w:tabs>
              <w:ind w:left="266" w:hanging="266"/>
            </w:pPr>
            <w:r>
              <w:t>EESC-2023-04923-00-00-AC-TRA</w:t>
            </w:r>
          </w:p>
        </w:tc>
      </w:tr>
    </w:tbl>
    <w:p w:rsidRPr="00DA5490" w:rsidR="00531C70" w:rsidP="00531C70" w:rsidRDefault="00531C70" w14:paraId="1A03B5B7" w14:textId="77777777">
      <w:pPr>
        <w:keepNext/>
        <w:keepLines/>
        <w:tabs>
          <w:tab w:val="center" w:pos="284"/>
        </w:tabs>
        <w:ind w:left="266" w:hanging="266"/>
        <w:rPr>
          <w:b/>
          <w:sz w:val="10"/>
          <w:szCs w:val="10"/>
        </w:rPr>
      </w:pPr>
    </w:p>
    <w:p w:rsidRPr="00C24F1A" w:rsidR="00531C70" w:rsidP="00531C70" w:rsidRDefault="00531C70" w14:paraId="1B5EF351" w14:textId="77777777">
      <w:pPr>
        <w:keepNext/>
        <w:keepLines/>
        <w:tabs>
          <w:tab w:val="center" w:pos="284"/>
        </w:tabs>
        <w:spacing w:line="276" w:lineRule="auto"/>
        <w:ind w:left="266" w:hanging="266"/>
        <w:rPr>
          <w:b/>
        </w:rPr>
      </w:pPr>
      <w:r>
        <w:rPr>
          <w:b/>
        </w:rPr>
        <w:t>Points clés</w:t>
      </w:r>
    </w:p>
    <w:p w:rsidRPr="006E3804" w:rsidR="00531C70" w:rsidP="00531C70" w:rsidRDefault="00531C70" w14:paraId="24A928FE" w14:textId="77777777">
      <w:pPr>
        <w:keepNext/>
        <w:keepLines/>
        <w:tabs>
          <w:tab w:val="center" w:pos="284"/>
        </w:tabs>
        <w:spacing w:line="276" w:lineRule="auto"/>
        <w:ind w:left="266" w:hanging="266"/>
        <w:rPr>
          <w:bCs/>
          <w:sz w:val="16"/>
          <w:szCs w:val="16"/>
        </w:rPr>
      </w:pPr>
    </w:p>
    <w:p w:rsidR="00531C70" w:rsidP="00531C70" w:rsidRDefault="00531C70" w14:paraId="08966574" w14:textId="79985CC9">
      <w:pPr>
        <w:keepNext/>
        <w:spacing w:line="240" w:lineRule="auto"/>
      </w:pPr>
      <w:r>
        <w:t>Le CESE:</w:t>
      </w:r>
    </w:p>
    <w:p w:rsidR="00AA4B7A" w:rsidP="00531C70" w:rsidRDefault="00AA4B7A" w14:paraId="652C81EE" w14:textId="77777777">
      <w:pPr>
        <w:keepNext/>
        <w:spacing w:line="240" w:lineRule="auto"/>
        <w:rPr>
          <w:bCs/>
          <w:iCs/>
        </w:rPr>
      </w:pPr>
    </w:p>
    <w:p w:rsidRPr="001442A8" w:rsidR="00531C70" w:rsidP="00AA4B7A" w:rsidRDefault="00531C70" w14:paraId="0CBECA11" w14:textId="77777777">
      <w:pPr>
        <w:pStyle w:val="Heading2"/>
        <w:keepNext/>
        <w:numPr>
          <w:ilvl w:val="0"/>
          <w:numId w:val="32"/>
        </w:numPr>
      </w:pPr>
      <w:r>
        <w:t xml:space="preserve">approuve et </w:t>
      </w:r>
      <w:r>
        <w:rPr>
          <w:b/>
        </w:rPr>
        <w:t>soutient pour l’essentiel la proposition de la Commission</w:t>
      </w:r>
      <w:r>
        <w:t xml:space="preserve"> visant à réglementer les activités liées à l’utilisation et aux émissions de granulés microplastiques, et à atténuer la pollution dangereuse dans ce domaine spécifique;</w:t>
      </w:r>
    </w:p>
    <w:p w:rsidRPr="006E3804" w:rsidR="00531C70" w:rsidP="00AA4B7A" w:rsidRDefault="00531C70" w14:paraId="0E5AA720" w14:textId="77777777">
      <w:pPr>
        <w:pStyle w:val="Heading2"/>
        <w:numPr>
          <w:ilvl w:val="0"/>
          <w:numId w:val="32"/>
        </w:numPr>
        <w:rPr>
          <w:spacing w:val="-2"/>
        </w:rPr>
      </w:pPr>
      <w:r>
        <w:t xml:space="preserve">fait valoir qu’il est urgent de </w:t>
      </w:r>
      <w:r>
        <w:rPr>
          <w:b/>
        </w:rPr>
        <w:t>mettre au point la méthode normalisée en ce qui concerne le suivi et l’estimation correcte des pertes de granulés microplastiques</w:t>
      </w:r>
      <w:r>
        <w:t xml:space="preserve"> tout au long de la chaîne d’approvisionnement. Cette démarche pourrait permettre d’estimer les émissions et de suivre les progrès accomplis dans la réalisation de l’objectif visant à réduire de 30 % les rejets de microplastiques d’ici à 2030;</w:t>
      </w:r>
    </w:p>
    <w:p w:rsidRPr="00211EA8" w:rsidR="00531C70" w:rsidP="00AA4B7A" w:rsidRDefault="00531C70" w14:paraId="46CA2BE6" w14:textId="77777777">
      <w:pPr>
        <w:pStyle w:val="Heading2"/>
        <w:numPr>
          <w:ilvl w:val="0"/>
          <w:numId w:val="32"/>
        </w:numPr>
        <w:rPr>
          <w:spacing w:val="-8"/>
        </w:rPr>
      </w:pPr>
      <w:r>
        <w:t xml:space="preserve">recommande que l’UE </w:t>
      </w:r>
      <w:r>
        <w:rPr>
          <w:b/>
        </w:rPr>
        <w:t>s’aligne sur le processus législatif de l’Organisation maritime internationale (OMI)</w:t>
      </w:r>
      <w:r>
        <w:t>. Si l’OMI ne prévoit pas de règles d’ici la mi-2026, la Commission devrait envisager des dispositions à mettre en œuvre pour les transports maritimes intra-UE et jeter les bases de la lutte contre le problème des microplastiques secondaires rejetés par les pneumatiques, les peintures, les textiles, les géotextiles et les capsules de détergent;</w:t>
      </w:r>
    </w:p>
    <w:p w:rsidRPr="001442A8" w:rsidR="00531C70" w:rsidP="00AA4B7A" w:rsidRDefault="00531C70" w14:paraId="5502F603" w14:textId="77777777">
      <w:pPr>
        <w:pStyle w:val="Heading2"/>
        <w:numPr>
          <w:ilvl w:val="0"/>
          <w:numId w:val="32"/>
        </w:numPr>
      </w:pPr>
      <w:r>
        <w:t>suggère, en ce qui concerne les aspects liés à la protection de l’environnement et de la santé humaine, d’</w:t>
      </w:r>
      <w:r>
        <w:rPr>
          <w:b/>
        </w:rPr>
        <w:t>accorder une attention particulière</w:t>
      </w:r>
      <w:r>
        <w:t xml:space="preserve">, dans le règlement, </w:t>
      </w:r>
      <w:r>
        <w:rPr>
          <w:b/>
        </w:rPr>
        <w:t>aux zones géographiques</w:t>
      </w:r>
      <w:r>
        <w:t xml:space="preserve"> — en tant que points d’intervention potentiels pour atténuer ou réduire la pollution — qui sont les plus exposées aux émissions de microplastiques;</w:t>
      </w:r>
    </w:p>
    <w:p w:rsidRPr="001442A8" w:rsidR="00531C70" w:rsidP="00AA4B7A" w:rsidRDefault="00531C70" w14:paraId="6DA4BAA9" w14:textId="77777777">
      <w:pPr>
        <w:pStyle w:val="Heading2"/>
        <w:numPr>
          <w:ilvl w:val="0"/>
          <w:numId w:val="32"/>
        </w:numPr>
      </w:pPr>
      <w:r>
        <w:t>souligne la nécessité d’</w:t>
      </w:r>
      <w:r>
        <w:rPr>
          <w:b/>
        </w:rPr>
        <w:t>augmenter la fréquence de la vérification de la conformité</w:t>
      </w:r>
      <w:r>
        <w:t xml:space="preserve"> et d’</w:t>
      </w:r>
      <w:r>
        <w:rPr>
          <w:b/>
        </w:rPr>
        <w:t>introduire une révision à mi-parcours de la législation</w:t>
      </w:r>
      <w:r>
        <w:t xml:space="preserve"> afin d’en évaluer l’efficacité et de revoir et, le cas échéant, d’affiner la limite de volume de granulés manipulés que fixent les exigences réglementaires allégées imposées aux microentreprises et aux petites entreprises;</w:t>
      </w:r>
    </w:p>
    <w:p w:rsidRPr="001442A8" w:rsidR="00531C70" w:rsidP="00AA4B7A" w:rsidRDefault="00531C70" w14:paraId="6399E2F9" w14:textId="77777777">
      <w:pPr>
        <w:pStyle w:val="Heading2"/>
        <w:numPr>
          <w:ilvl w:val="0"/>
          <w:numId w:val="32"/>
        </w:numPr>
      </w:pPr>
      <w:r>
        <w:t xml:space="preserve">signale que la production croissante de granulés plastiques vierges et recyclés complique de plus en plus l’atténuation de leurs effets. Par conséquent, il conviendrait d’accélérer les efforts visant à </w:t>
      </w:r>
      <w:r>
        <w:rPr>
          <w:b/>
        </w:rPr>
        <w:t>mettre en œuvre le règlement et à le faire respecter</w:t>
      </w:r>
      <w:r>
        <w:t>;</w:t>
      </w:r>
    </w:p>
    <w:p w:rsidRPr="001442A8" w:rsidR="00531C70" w:rsidP="00AA4B7A" w:rsidRDefault="00531C70" w14:paraId="21A554C8" w14:textId="77777777">
      <w:pPr>
        <w:pStyle w:val="Heading2"/>
        <w:numPr>
          <w:ilvl w:val="0"/>
          <w:numId w:val="32"/>
        </w:numPr>
      </w:pPr>
      <w:r>
        <w:t>constate que la demande de travailleurs supplémentaires est peu élevée, sauf dans le domaine des emplois «en col vert», mais qu’</w:t>
      </w:r>
      <w:r>
        <w:rPr>
          <w:b/>
        </w:rPr>
        <w:t>il importe de relever les niveaux de sensibilisation et de formation de l’ensemble de la main-d’œuvre</w:t>
      </w:r>
      <w:r>
        <w:t>;</w:t>
      </w:r>
    </w:p>
    <w:p w:rsidRPr="001442A8" w:rsidR="00531C70" w:rsidP="00AA4B7A" w:rsidRDefault="00531C70" w14:paraId="5EB24CD4" w14:textId="77777777">
      <w:pPr>
        <w:pStyle w:val="Heading2"/>
        <w:numPr>
          <w:ilvl w:val="0"/>
          <w:numId w:val="32"/>
        </w:numPr>
      </w:pPr>
      <w:r>
        <w:t xml:space="preserve">fait observer que les </w:t>
      </w:r>
      <w:r>
        <w:rPr>
          <w:b/>
        </w:rPr>
        <w:t>aspects internationaux du règlement devraient être pris en considération</w:t>
      </w:r>
      <w:r>
        <w:t xml:space="preserve"> afin de garantir des conditions de concurrence équitables dans un environnement concurrentiel entre les opérateurs de l’Union qui respectent le règlement et les opérateurs de pays tiers;</w:t>
      </w:r>
    </w:p>
    <w:p w:rsidRPr="00211EA8" w:rsidR="00531C70" w:rsidP="00AA4B7A" w:rsidRDefault="00531C70" w14:paraId="793A487D" w14:textId="77777777">
      <w:pPr>
        <w:pStyle w:val="Heading2"/>
        <w:numPr>
          <w:ilvl w:val="0"/>
          <w:numId w:val="32"/>
        </w:numPr>
        <w:rPr>
          <w:spacing w:val="-4"/>
        </w:rPr>
      </w:pPr>
      <w:r>
        <w:t>attire l’attention sur le fait que les activités scientifiques et de recherche doivent être intensifiées, principalement en vue de comprendre les effets nocifs sur la santé humaine et sur l’environnement de la pollution par les granulés microplastiques;</w:t>
      </w:r>
    </w:p>
    <w:p w:rsidR="00531C70" w:rsidP="00AA4B7A" w:rsidRDefault="00531C70" w14:paraId="4BFBDDB1" w14:textId="2498076B">
      <w:pPr>
        <w:pStyle w:val="Heading2"/>
        <w:numPr>
          <w:ilvl w:val="0"/>
          <w:numId w:val="32"/>
        </w:numPr>
      </w:pPr>
      <w:r>
        <w:t xml:space="preserve">suggère de </w:t>
      </w:r>
      <w:r>
        <w:rPr>
          <w:b/>
        </w:rPr>
        <w:t>revoir les meilleures techniques disponibles</w:t>
      </w:r>
      <w:r>
        <w:t xml:space="preserve"> pour les opérateurs économiques afin d’y inclure les pertes de granulés.</w:t>
      </w:r>
    </w:p>
    <w:p w:rsidR="00531C70" w:rsidP="00531C70" w:rsidRDefault="00531C70" w14:paraId="776165D7" w14:textId="6E8CDE5E"/>
    <w:p w:rsidRPr="003C4017" w:rsidR="00531C70" w:rsidP="00531C70" w:rsidRDefault="00531C70" w14:paraId="44446E5C" w14:textId="77777777">
      <w:pPr>
        <w:keepNext/>
        <w:keepLines/>
        <w:spacing w:line="240" w:lineRule="auto"/>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531C70" w:rsidTr="002C36AC" w14:paraId="0EB11AA4" w14:textId="77777777">
        <w:tc>
          <w:tcPr>
            <w:tcW w:w="1418" w:type="dxa"/>
          </w:tcPr>
          <w:p w:rsidRPr="00A6689B" w:rsidR="00531C70" w:rsidP="002C36AC" w:rsidRDefault="00531C70" w14:paraId="104A9B36" w14:textId="77777777">
            <w:pPr>
              <w:keepNext/>
              <w:keepLines/>
              <w:spacing w:line="240" w:lineRule="auto"/>
              <w:ind w:left="34" w:right="-253"/>
              <w:rPr>
                <w:i/>
              </w:rPr>
            </w:pPr>
            <w:r>
              <w:rPr>
                <w:b/>
                <w:i/>
              </w:rPr>
              <w:t>Contact</w:t>
            </w:r>
          </w:p>
        </w:tc>
        <w:tc>
          <w:tcPr>
            <w:tcW w:w="5670" w:type="dxa"/>
          </w:tcPr>
          <w:p w:rsidRPr="00402E7C" w:rsidR="00531C70" w:rsidP="002C36AC" w:rsidRDefault="00531C70" w14:paraId="19312DA7" w14:textId="77777777">
            <w:pPr>
              <w:keepNext/>
              <w:keepLines/>
              <w:spacing w:line="240" w:lineRule="auto"/>
              <w:ind w:left="709"/>
              <w:rPr>
                <w:i/>
                <w:iCs/>
              </w:rPr>
            </w:pPr>
            <w:r>
              <w:rPr>
                <w:i/>
              </w:rPr>
              <w:t>Caroline VERHELST</w:t>
            </w:r>
          </w:p>
        </w:tc>
      </w:tr>
      <w:tr w:rsidRPr="00A6689B" w:rsidR="00531C70" w:rsidTr="002C36AC" w14:paraId="43E5D799" w14:textId="77777777">
        <w:tc>
          <w:tcPr>
            <w:tcW w:w="1418" w:type="dxa"/>
          </w:tcPr>
          <w:p w:rsidRPr="00A6689B" w:rsidR="00531C70" w:rsidP="002C36AC" w:rsidRDefault="00531C70" w14:paraId="3B57B72E" w14:textId="77777777">
            <w:pPr>
              <w:keepNext/>
              <w:keepLines/>
              <w:spacing w:line="240" w:lineRule="auto"/>
              <w:ind w:left="34"/>
              <w:rPr>
                <w:i/>
              </w:rPr>
            </w:pPr>
            <w:r>
              <w:rPr>
                <w:i/>
              </w:rPr>
              <w:t>Tél.</w:t>
            </w:r>
          </w:p>
        </w:tc>
        <w:tc>
          <w:tcPr>
            <w:tcW w:w="5670" w:type="dxa"/>
          </w:tcPr>
          <w:p w:rsidRPr="00E0431A" w:rsidR="00531C70" w:rsidP="002C36AC" w:rsidRDefault="00531C70" w14:paraId="2F1B42FE" w14:textId="77777777">
            <w:pPr>
              <w:keepNext/>
              <w:keepLines/>
              <w:spacing w:line="240" w:lineRule="auto"/>
              <w:ind w:left="709"/>
              <w:rPr>
                <w:i/>
                <w:iCs/>
              </w:rPr>
            </w:pPr>
            <w:r>
              <w:rPr>
                <w:i/>
              </w:rPr>
              <w:t>+32 2 546 9497</w:t>
            </w:r>
          </w:p>
        </w:tc>
      </w:tr>
      <w:tr w:rsidRPr="00A6689B" w:rsidR="00531C70" w:rsidTr="002C36AC" w14:paraId="7D00064D" w14:textId="77777777">
        <w:tc>
          <w:tcPr>
            <w:tcW w:w="1418" w:type="dxa"/>
          </w:tcPr>
          <w:p w:rsidRPr="00A6689B" w:rsidR="00531C70" w:rsidP="002C36AC" w:rsidRDefault="00531C70" w14:paraId="638CF3CD" w14:textId="77777777">
            <w:pPr>
              <w:spacing w:line="240" w:lineRule="auto"/>
              <w:ind w:left="34"/>
              <w:rPr>
                <w:i/>
              </w:rPr>
            </w:pPr>
            <w:r>
              <w:rPr>
                <w:i/>
              </w:rPr>
              <w:t>Courriel</w:t>
            </w:r>
          </w:p>
        </w:tc>
        <w:tc>
          <w:tcPr>
            <w:tcW w:w="5670" w:type="dxa"/>
          </w:tcPr>
          <w:p w:rsidRPr="000A3410" w:rsidR="00531C70" w:rsidP="002C36AC" w:rsidRDefault="00403D88" w14:paraId="3171FCE7" w14:textId="77777777">
            <w:pPr>
              <w:spacing w:line="240" w:lineRule="auto"/>
              <w:ind w:left="709"/>
              <w:rPr>
                <w:i/>
                <w:iCs/>
                <w:color w:val="0000FF"/>
                <w:u w:val="single"/>
              </w:rPr>
            </w:pPr>
            <w:hyperlink w:history="1" r:id="rId35">
              <w:r w:rsidR="00531C70">
                <w:rPr>
                  <w:rStyle w:val="Hyperlink"/>
                  <w:i/>
                </w:rPr>
                <w:t>Caroline.Verhelst@eesc.europa.eu</w:t>
              </w:r>
            </w:hyperlink>
          </w:p>
        </w:tc>
      </w:tr>
    </w:tbl>
    <w:p w:rsidR="00531C70" w:rsidP="00531C70" w:rsidRDefault="00531C70" w14:paraId="2D3BA054" w14:textId="0D839B2C"/>
    <w:p w:rsidRPr="00810736" w:rsidR="006B3316" w:rsidP="0074419C" w:rsidRDefault="005374D2" w14:paraId="4FE1ECEE" w14:textId="7B16969B">
      <w:pPr>
        <w:pStyle w:val="Heading1"/>
        <w:ind w:hanging="928"/>
        <w:rPr>
          <w:b/>
          <w:bCs/>
        </w:rPr>
      </w:pPr>
      <w:r>
        <w:rPr>
          <w:b/>
        </w:rPr>
        <w:t>RELATIONS EXTÉRIEURES</w:t>
      </w:r>
      <w:bookmarkEnd w:id="9"/>
      <w:bookmarkEnd w:id="10"/>
    </w:p>
    <w:p w:rsidR="00BD0493" w:rsidP="00BD0493" w:rsidRDefault="00BD0493" w14:paraId="10EC00FD" w14:textId="45B98434"/>
    <w:p w:rsidRPr="00F01400" w:rsidR="00C82E18" w:rsidP="00F01400" w:rsidRDefault="00403D88" w14:paraId="27174B39" w14:textId="1A316E96">
      <w:pPr>
        <w:pStyle w:val="ListParagraph"/>
        <w:widowControl w:val="0"/>
        <w:numPr>
          <w:ilvl w:val="0"/>
          <w:numId w:val="34"/>
        </w:numPr>
        <w:overflowPunct w:val="0"/>
        <w:autoSpaceDE w:val="0"/>
        <w:autoSpaceDN w:val="0"/>
        <w:adjustRightInd w:val="0"/>
        <w:jc w:val="left"/>
        <w:textAlignment w:val="baseline"/>
        <w:rPr>
          <w:sz w:val="20"/>
        </w:rPr>
      </w:pPr>
      <w:hyperlink w:history="1" r:id="rId36">
        <w:r w:rsidRPr="00F01400" w:rsidR="00C82E18">
          <w:rPr>
            <w:rStyle w:val="Hyperlink"/>
            <w:b/>
            <w:i/>
            <w:sz w:val="28"/>
          </w:rPr>
          <w:t>Stratégie européenne en matière de sécurité économique</w:t>
        </w:r>
      </w:hyperlink>
    </w:p>
    <w:p w:rsidRPr="00BE30C2" w:rsidR="00C82E18" w:rsidP="00C82E18" w:rsidRDefault="00C82E18" w14:paraId="43AD905D" w14:textId="77777777">
      <w:pPr>
        <w:widowControl w:val="0"/>
        <w:jc w:val="left"/>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C82E18" w:rsidTr="00C478BE" w14:paraId="606A9980" w14:textId="77777777">
        <w:trPr>
          <w:trHeight w:val="330"/>
        </w:trPr>
        <w:tc>
          <w:tcPr>
            <w:tcW w:w="1701" w:type="dxa"/>
          </w:tcPr>
          <w:p w:rsidRPr="00A6689B" w:rsidR="00C82E18" w:rsidP="00C478BE" w:rsidRDefault="00C82E18" w14:paraId="748824A3" w14:textId="77777777">
            <w:pPr>
              <w:tabs>
                <w:tab w:val="center" w:pos="284"/>
              </w:tabs>
              <w:ind w:left="266" w:hanging="266"/>
              <w:rPr>
                <w:b/>
              </w:rPr>
            </w:pPr>
            <w:proofErr w:type="spellStart"/>
            <w:r>
              <w:rPr>
                <w:b/>
              </w:rPr>
              <w:t>Rapporteure</w:t>
            </w:r>
            <w:proofErr w:type="spellEnd"/>
          </w:p>
        </w:tc>
        <w:tc>
          <w:tcPr>
            <w:tcW w:w="5387" w:type="dxa"/>
          </w:tcPr>
          <w:p w:rsidRPr="00A6689B" w:rsidR="00C82E18" w:rsidP="00C478BE" w:rsidRDefault="00C82E18" w14:paraId="25F26DCA" w14:textId="77777777">
            <w:pPr>
              <w:tabs>
                <w:tab w:val="center" w:pos="2585"/>
              </w:tabs>
              <w:jc w:val="left"/>
            </w:pPr>
            <w:r>
              <w:t>Milena ANGELOVA (groupe des employeurs, Bulgarie)</w:t>
            </w:r>
          </w:p>
        </w:tc>
      </w:tr>
      <w:tr w:rsidRPr="00A6689B" w:rsidR="00C82E18" w:rsidTr="00C478BE" w14:paraId="52F1E9A7" w14:textId="77777777">
        <w:tc>
          <w:tcPr>
            <w:tcW w:w="1701" w:type="dxa"/>
          </w:tcPr>
          <w:p w:rsidRPr="00A6689B" w:rsidR="00C82E18" w:rsidP="00C478BE" w:rsidRDefault="00C82E18" w14:paraId="748FA966" w14:textId="77777777">
            <w:pPr>
              <w:tabs>
                <w:tab w:val="center" w:pos="284"/>
              </w:tabs>
              <w:ind w:left="266" w:hanging="266"/>
              <w:rPr>
                <w:b/>
              </w:rPr>
            </w:pPr>
            <w:r>
              <w:rPr>
                <w:b/>
              </w:rPr>
              <w:t>Référence</w:t>
            </w:r>
          </w:p>
        </w:tc>
        <w:tc>
          <w:tcPr>
            <w:tcW w:w="5387" w:type="dxa"/>
          </w:tcPr>
          <w:p w:rsidRPr="00A6689B" w:rsidR="00C82E18" w:rsidP="00C478BE" w:rsidRDefault="00C82E18" w14:paraId="4662AF75" w14:textId="77777777">
            <w:pPr>
              <w:tabs>
                <w:tab w:val="center" w:pos="284"/>
              </w:tabs>
              <w:ind w:left="266" w:hanging="266"/>
            </w:pPr>
            <w:r>
              <w:t>EESC-2023-04250-00-00-AC</w:t>
            </w:r>
          </w:p>
        </w:tc>
      </w:tr>
    </w:tbl>
    <w:p w:rsidR="00C82E18" w:rsidP="00C82E18" w:rsidRDefault="00C82E18" w14:paraId="259D96D1" w14:textId="77777777">
      <w:pPr>
        <w:keepNext/>
        <w:keepLines/>
        <w:tabs>
          <w:tab w:val="center" w:pos="284"/>
        </w:tabs>
        <w:ind w:left="266" w:hanging="266"/>
        <w:rPr>
          <w:b/>
        </w:rPr>
      </w:pPr>
    </w:p>
    <w:p w:rsidRPr="00A6689B" w:rsidR="00C82E18" w:rsidP="00C82E18" w:rsidRDefault="00C82E18" w14:paraId="29AFA007" w14:textId="77777777">
      <w:pPr>
        <w:keepNext/>
        <w:keepLines/>
        <w:tabs>
          <w:tab w:val="center" w:pos="284"/>
        </w:tabs>
        <w:ind w:left="266" w:hanging="266"/>
        <w:rPr>
          <w:b/>
        </w:rPr>
      </w:pPr>
      <w:r>
        <w:rPr>
          <w:b/>
        </w:rPr>
        <w:t>Points clés</w:t>
      </w:r>
    </w:p>
    <w:p w:rsidRPr="00A6689B" w:rsidR="00C82E18" w:rsidP="00C82E18" w:rsidRDefault="00C82E18" w14:paraId="519AE6B0" w14:textId="77777777">
      <w:pPr>
        <w:keepNext/>
        <w:keepLines/>
        <w:tabs>
          <w:tab w:val="center" w:pos="284"/>
        </w:tabs>
        <w:ind w:left="266" w:hanging="266"/>
        <w:rPr>
          <w:b/>
        </w:rPr>
      </w:pPr>
    </w:p>
    <w:p w:rsidR="00C82E18" w:rsidP="00C82E18" w:rsidRDefault="00C82E18" w14:paraId="3E90C5FB" w14:textId="6E44E612">
      <w:r>
        <w:t>Le CESE:</w:t>
      </w:r>
    </w:p>
    <w:p w:rsidRPr="00A6689B" w:rsidR="00B053E8" w:rsidP="00C82E18" w:rsidRDefault="00B053E8" w14:paraId="643B276A" w14:textId="77777777">
      <w:pPr>
        <w:rPr>
          <w:bCs/>
          <w:iCs/>
        </w:rPr>
      </w:pPr>
    </w:p>
    <w:p w:rsidRPr="0053378A" w:rsidR="00C82E18" w:rsidP="00C82E18" w:rsidRDefault="00C82E18" w14:paraId="5307F211" w14:textId="77777777">
      <w:pPr>
        <w:widowControl w:val="0"/>
        <w:numPr>
          <w:ilvl w:val="0"/>
          <w:numId w:val="12"/>
        </w:numPr>
        <w:overflowPunct w:val="0"/>
        <w:autoSpaceDE w:val="0"/>
        <w:autoSpaceDN w:val="0"/>
        <w:adjustRightInd w:val="0"/>
        <w:ind w:left="568" w:hanging="568"/>
        <w:textAlignment w:val="baseline"/>
      </w:pPr>
      <w:r>
        <w:t>accueille favorablement la communication sur la «Stratégie européenne en matière de sécurité économique» en tant qu’initiative d’actualité qui doit répondre au nouveau contexte géopolitique et géoéconomique en mutation permanente.  Tout en approuvant l’approche fondée sur les risques, le CESE demande également une évaluation complète des atouts de l’Union et des possibilités que peuvent présenter les défis mondiaux;</w:t>
      </w:r>
    </w:p>
    <w:p w:rsidRPr="0053378A" w:rsidR="00C82E18" w:rsidP="00C82E18" w:rsidRDefault="00C82E18" w14:paraId="72DE65BE" w14:textId="77777777">
      <w:pPr>
        <w:widowControl w:val="0"/>
        <w:numPr>
          <w:ilvl w:val="0"/>
          <w:numId w:val="12"/>
        </w:numPr>
        <w:overflowPunct w:val="0"/>
        <w:autoSpaceDE w:val="0"/>
        <w:autoSpaceDN w:val="0"/>
        <w:adjustRightInd w:val="0"/>
        <w:ind w:left="568" w:hanging="568"/>
        <w:textAlignment w:val="baseline"/>
      </w:pPr>
      <w:r>
        <w:t>souligne que les investissements dans l’innovation, le développement des compétences et les capacités industrielles, ainsi que le bon fonctionnement du marché intérieur, sont des moyens indispensables, à la fois pour doper la productivité et la compétitivité et pour réduire les dépendances critiques, tout en préservant l’économie sociale de marché de l’Union. Parmi les autres aspects fondamentaux figurent l’énergie, les matières premières, la capacité numérique et un accès stable au financement, ce qui nécessite l’achèvement de l’union des marchés des capitaux et de l’union bancaire;</w:t>
      </w:r>
    </w:p>
    <w:p w:rsidRPr="00A76670" w:rsidR="00C82E18" w:rsidP="00C82E18" w:rsidRDefault="00C82E18" w14:paraId="58F2159F" w14:textId="77777777">
      <w:pPr>
        <w:widowControl w:val="0"/>
        <w:numPr>
          <w:ilvl w:val="0"/>
          <w:numId w:val="12"/>
        </w:numPr>
        <w:overflowPunct w:val="0"/>
        <w:autoSpaceDE w:val="0"/>
        <w:autoSpaceDN w:val="0"/>
        <w:adjustRightInd w:val="0"/>
        <w:ind w:left="568" w:hanging="568"/>
        <w:textAlignment w:val="baseline"/>
      </w:pPr>
      <w:r>
        <w:t>appelle à tirer pleinement parti des accords de commerce et d’investissement, à conclure rapidement les négociations commerciales en cours, ainsi qu’à entamer de nouvelles négociations avec de nouveaux partenaires potentiels. Le renforcement du commerce multilatéral fondé sur des règles et des accords mondiaux devrait aussi être une priorité pour l’Union;</w:t>
      </w:r>
    </w:p>
    <w:p w:rsidRPr="00A76670" w:rsidR="00C82E18" w:rsidP="00C82E18" w:rsidRDefault="00C82E18" w14:paraId="5A34484E" w14:textId="77777777">
      <w:pPr>
        <w:widowControl w:val="0"/>
        <w:numPr>
          <w:ilvl w:val="0"/>
          <w:numId w:val="12"/>
        </w:numPr>
        <w:overflowPunct w:val="0"/>
        <w:autoSpaceDE w:val="0"/>
        <w:autoSpaceDN w:val="0"/>
        <w:adjustRightInd w:val="0"/>
        <w:ind w:left="568" w:hanging="568"/>
        <w:textAlignment w:val="baseline"/>
      </w:pPr>
      <w:r>
        <w:t>souligne la nécessité de prendre des mesures décisives de riposte et de protection en matière de commerce lorsque des pays tiers font peser un risque sur la sécurité économique de l’Union;</w:t>
      </w:r>
    </w:p>
    <w:p w:rsidR="00C82E18" w:rsidP="00C82E18" w:rsidRDefault="00C82E18" w14:paraId="22C6C67C" w14:textId="77777777">
      <w:pPr>
        <w:widowControl w:val="0"/>
        <w:numPr>
          <w:ilvl w:val="0"/>
          <w:numId w:val="12"/>
        </w:numPr>
        <w:overflowPunct w:val="0"/>
        <w:autoSpaceDE w:val="0"/>
        <w:autoSpaceDN w:val="0"/>
        <w:adjustRightInd w:val="0"/>
        <w:ind w:left="568" w:hanging="568"/>
        <w:textAlignment w:val="baseline"/>
      </w:pPr>
      <w:r>
        <w:t>invite les responsables politiques de l’UE à renforcer les conditions qui font émerger, encouragent et soutiennent les entreprises européennes, y compris les micro, petites et moyennes entreprises, à gérer les risques géoéconomiques liés à leurs activités, et à veiller à ce que les mesures politiques n’entraînent pas de coûts ou d’obstacles disproportionnés pour elles;</w:t>
      </w:r>
    </w:p>
    <w:p w:rsidRPr="007B5219" w:rsidR="00C82E18" w:rsidP="00C82E18" w:rsidRDefault="00C82E18" w14:paraId="3EB936F9" w14:textId="77777777">
      <w:pPr>
        <w:widowControl w:val="0"/>
        <w:numPr>
          <w:ilvl w:val="0"/>
          <w:numId w:val="12"/>
        </w:numPr>
        <w:overflowPunct w:val="0"/>
        <w:autoSpaceDE w:val="0"/>
        <w:autoSpaceDN w:val="0"/>
        <w:adjustRightInd w:val="0"/>
        <w:ind w:left="568" w:hanging="568"/>
        <w:textAlignment w:val="baseline"/>
      </w:pPr>
      <w:r>
        <w:t>demande que les entreprises de l’Union et d’autres acteurs concernés de la société civile soient associés à la poursuite de l’élaboration et de la mise en œuvre de la stratégie de sécurité économique, et souligne la nécessité de renforcer les synergies entre les États membres, contribuant ainsi à l’unité, à la puissance mondiale et à la sécurité économique globale de l’Union.</w:t>
      </w:r>
    </w:p>
    <w:p w:rsidRPr="000624A9" w:rsidR="00C82E18" w:rsidP="00C82E18" w:rsidRDefault="00C82E18" w14:paraId="627EC393"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C82E18" w:rsidTr="00C478BE" w14:paraId="25FEC850" w14:textId="77777777">
        <w:tc>
          <w:tcPr>
            <w:tcW w:w="1418" w:type="dxa"/>
          </w:tcPr>
          <w:p w:rsidRPr="00A6689B" w:rsidR="00C82E18" w:rsidP="00C478BE" w:rsidRDefault="00C82E18" w14:paraId="3421C56E" w14:textId="77777777">
            <w:pPr>
              <w:rPr>
                <w:i/>
              </w:rPr>
            </w:pPr>
            <w:r>
              <w:rPr>
                <w:b/>
                <w:i/>
              </w:rPr>
              <w:t>Contact</w:t>
            </w:r>
          </w:p>
        </w:tc>
        <w:tc>
          <w:tcPr>
            <w:tcW w:w="5670" w:type="dxa"/>
          </w:tcPr>
          <w:p w:rsidRPr="00A6689B" w:rsidR="00C82E18" w:rsidP="00C478BE" w:rsidRDefault="00C82E18" w14:paraId="0E9FDD70" w14:textId="77777777">
            <w:pPr>
              <w:rPr>
                <w:i/>
              </w:rPr>
            </w:pPr>
            <w:r>
              <w:rPr>
                <w:i/>
              </w:rPr>
              <w:t>Marco RISTORI</w:t>
            </w:r>
          </w:p>
        </w:tc>
      </w:tr>
      <w:tr w:rsidRPr="00A6689B" w:rsidR="00C82E18" w:rsidTr="00C478BE" w14:paraId="22530DF0" w14:textId="77777777">
        <w:tc>
          <w:tcPr>
            <w:tcW w:w="1418" w:type="dxa"/>
          </w:tcPr>
          <w:p w:rsidRPr="00A6689B" w:rsidR="00C82E18" w:rsidP="00C478BE" w:rsidRDefault="00C82E18" w14:paraId="3A576880" w14:textId="77777777">
            <w:pPr>
              <w:rPr>
                <w:i/>
              </w:rPr>
            </w:pPr>
            <w:r>
              <w:rPr>
                <w:i/>
              </w:rPr>
              <w:t>Tél.</w:t>
            </w:r>
          </w:p>
        </w:tc>
        <w:tc>
          <w:tcPr>
            <w:tcW w:w="5670" w:type="dxa"/>
          </w:tcPr>
          <w:p w:rsidRPr="00A6689B" w:rsidR="00C82E18" w:rsidP="00C478BE" w:rsidRDefault="00C82E18" w14:paraId="4650BC42" w14:textId="77777777">
            <w:pPr>
              <w:rPr>
                <w:i/>
              </w:rPr>
            </w:pPr>
            <w:r>
              <w:rPr>
                <w:i/>
              </w:rPr>
              <w:t>+32 25469969</w:t>
            </w:r>
          </w:p>
        </w:tc>
      </w:tr>
      <w:tr w:rsidRPr="00A6689B" w:rsidR="00C82E18" w:rsidTr="00C478BE" w14:paraId="7A1FEFD5" w14:textId="77777777">
        <w:tc>
          <w:tcPr>
            <w:tcW w:w="1418" w:type="dxa"/>
          </w:tcPr>
          <w:p w:rsidRPr="00A6689B" w:rsidR="00C82E18" w:rsidP="00C478BE" w:rsidRDefault="00C82E18" w14:paraId="674A817C" w14:textId="77777777">
            <w:pPr>
              <w:rPr>
                <w:i/>
              </w:rPr>
            </w:pPr>
            <w:r>
              <w:rPr>
                <w:i/>
              </w:rPr>
              <w:t>Courriel:</w:t>
            </w:r>
          </w:p>
        </w:tc>
        <w:tc>
          <w:tcPr>
            <w:tcW w:w="5670" w:type="dxa"/>
          </w:tcPr>
          <w:p w:rsidRPr="00A6689B" w:rsidR="00C82E18" w:rsidP="00C478BE" w:rsidRDefault="00403D88" w14:paraId="30564EF6" w14:textId="77777777">
            <w:pPr>
              <w:rPr>
                <w:i/>
              </w:rPr>
            </w:pPr>
            <w:hyperlink w:history="1" r:id="rId37">
              <w:r w:rsidR="00C82E18">
                <w:rPr>
                  <w:rStyle w:val="Hyperlink"/>
                  <w:i/>
                </w:rPr>
                <w:t>Marco.Ristori@eesc.europa.eu</w:t>
              </w:r>
            </w:hyperlink>
          </w:p>
        </w:tc>
      </w:tr>
    </w:tbl>
    <w:p w:rsidRPr="00673C09" w:rsidR="00673C09" w:rsidP="00673C09" w:rsidRDefault="00673C09" w14:paraId="05D6CAD3" w14:textId="77777777">
      <w:pPr>
        <w:pStyle w:val="Heading1"/>
        <w:numPr>
          <w:ilvl w:val="0"/>
          <w:numId w:val="0"/>
        </w:numPr>
        <w:ind w:left="928"/>
        <w:rPr>
          <w:b/>
          <w:bCs/>
        </w:rPr>
      </w:pPr>
      <w:bookmarkStart w:name="_Toc159831783" w:id="11"/>
      <w:bookmarkStart w:name="_Toc153539712" w:id="12"/>
    </w:p>
    <w:p w:rsidR="003B636C" w:rsidP="005B4680" w:rsidRDefault="003B636C" w14:paraId="2AFC2D25" w14:textId="00638AF7">
      <w:pPr>
        <w:pStyle w:val="Heading1"/>
        <w:ind w:hanging="928"/>
        <w:rPr>
          <w:b/>
          <w:bCs/>
        </w:rPr>
      </w:pPr>
      <w:r>
        <w:rPr>
          <w:b/>
        </w:rPr>
        <w:t>TRANSPORTS, ÉNERGIE, INFRASTRUCTURES ET SOCIÉTÉ DE L’INFORMATION</w:t>
      </w:r>
      <w:bookmarkEnd w:id="11"/>
    </w:p>
    <w:p w:rsidRPr="003B636C" w:rsidR="003B636C" w:rsidP="003B636C" w:rsidRDefault="003B636C" w14:paraId="4BBF9BF3" w14:textId="77777777"/>
    <w:p w:rsidRPr="00F01400" w:rsidR="002B7F7D" w:rsidP="00F01400" w:rsidRDefault="00403D88" w14:paraId="63AB1B4C" w14:textId="5B586ADE">
      <w:pPr>
        <w:pStyle w:val="ListParagraph"/>
        <w:widowControl w:val="0"/>
        <w:numPr>
          <w:ilvl w:val="0"/>
          <w:numId w:val="34"/>
        </w:numPr>
        <w:overflowPunct w:val="0"/>
        <w:autoSpaceDE w:val="0"/>
        <w:autoSpaceDN w:val="0"/>
        <w:adjustRightInd w:val="0"/>
        <w:textAlignment w:val="baseline"/>
        <w:rPr>
          <w:sz w:val="20"/>
        </w:rPr>
      </w:pPr>
      <w:hyperlink w:history="1" r:id="rId38">
        <w:r w:rsidRPr="00F01400" w:rsidR="002B7F7D">
          <w:rPr>
            <w:rStyle w:val="Hyperlink"/>
            <w:b/>
            <w:i/>
            <w:sz w:val="28"/>
          </w:rPr>
          <w:t>Révision de la directive 92/106/CEE sur certains transports combinés</w:t>
        </w:r>
      </w:hyperlink>
    </w:p>
    <w:p w:rsidRPr="00A6689B" w:rsidR="002B7F7D" w:rsidP="002B7F7D" w:rsidRDefault="002B7F7D" w14:paraId="364328D9" w14:textId="77777777">
      <w:pPr>
        <w:tabs>
          <w:tab w:val="center" w:pos="284"/>
        </w:tabs>
        <w:ind w:left="266" w:hanging="266"/>
        <w:rPr>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6689B" w:rsidR="002B7F7D" w:rsidTr="00C478BE" w14:paraId="4FFA0EB2" w14:textId="77777777">
        <w:tc>
          <w:tcPr>
            <w:tcW w:w="2235" w:type="dxa"/>
          </w:tcPr>
          <w:p w:rsidRPr="00A6689B" w:rsidR="002B7F7D" w:rsidP="00C478BE" w:rsidRDefault="002B7F7D" w14:paraId="4982D86F" w14:textId="77777777">
            <w:pPr>
              <w:tabs>
                <w:tab w:val="center" w:pos="284"/>
              </w:tabs>
              <w:ind w:left="266" w:hanging="266"/>
              <w:rPr>
                <w:b/>
              </w:rPr>
            </w:pPr>
            <w:r>
              <w:rPr>
                <w:b/>
              </w:rPr>
              <w:t xml:space="preserve">Rapporteur </w:t>
            </w:r>
          </w:p>
        </w:tc>
        <w:tc>
          <w:tcPr>
            <w:tcW w:w="6838" w:type="dxa"/>
          </w:tcPr>
          <w:p w:rsidRPr="00A6689B" w:rsidR="002B7F7D" w:rsidP="00C478BE" w:rsidRDefault="002B7F7D" w14:paraId="3BB5FEBB" w14:textId="77777777">
            <w:pPr>
              <w:tabs>
                <w:tab w:val="center" w:pos="284"/>
              </w:tabs>
              <w:ind w:left="266" w:hanging="266"/>
            </w:pPr>
            <w:r>
              <w:t>Pierre Jean COULON (groupe des travailleurs — FR)</w:t>
            </w:r>
          </w:p>
        </w:tc>
      </w:tr>
      <w:tr w:rsidRPr="00A6689B" w:rsidR="002B7F7D" w:rsidTr="00C478BE" w14:paraId="2F21FD03" w14:textId="77777777">
        <w:tc>
          <w:tcPr>
            <w:tcW w:w="9073" w:type="dxa"/>
            <w:gridSpan w:val="2"/>
          </w:tcPr>
          <w:p w:rsidRPr="00A6689B" w:rsidR="002B7F7D" w:rsidP="00C478BE" w:rsidRDefault="002B7F7D" w14:paraId="4712966F" w14:textId="77777777">
            <w:pPr>
              <w:tabs>
                <w:tab w:val="center" w:pos="284"/>
              </w:tabs>
              <w:spacing w:line="160" w:lineRule="exact"/>
              <w:ind w:left="266" w:hanging="266"/>
              <w:rPr>
                <w:lang w:val="en-US"/>
              </w:rPr>
            </w:pPr>
          </w:p>
        </w:tc>
      </w:tr>
      <w:tr w:rsidRPr="00A6689B" w:rsidR="002B7F7D" w:rsidTr="00C478BE" w14:paraId="0CD86903" w14:textId="77777777">
        <w:tc>
          <w:tcPr>
            <w:tcW w:w="2235" w:type="dxa"/>
          </w:tcPr>
          <w:p w:rsidRPr="00A6689B" w:rsidR="002B7F7D" w:rsidP="00C478BE" w:rsidRDefault="002B7F7D" w14:paraId="45F42A04" w14:textId="77777777">
            <w:pPr>
              <w:tabs>
                <w:tab w:val="center" w:pos="284"/>
              </w:tabs>
              <w:ind w:left="266" w:hanging="266"/>
              <w:rPr>
                <w:b/>
              </w:rPr>
            </w:pPr>
            <w:r>
              <w:rPr>
                <w:b/>
              </w:rPr>
              <w:t>Références</w:t>
            </w:r>
          </w:p>
        </w:tc>
        <w:tc>
          <w:tcPr>
            <w:tcW w:w="6838" w:type="dxa"/>
          </w:tcPr>
          <w:p w:rsidR="002B7F7D" w:rsidP="00C478BE" w:rsidRDefault="002B7F7D" w14:paraId="42FCB1B2" w14:textId="77777777">
            <w:pPr>
              <w:tabs>
                <w:tab w:val="center" w:pos="284"/>
              </w:tabs>
              <w:ind w:left="266" w:hanging="266"/>
            </w:pPr>
            <w:r>
              <w:t xml:space="preserve">COM(2023) 702 final </w:t>
            </w:r>
          </w:p>
          <w:p w:rsidRPr="00A6689B" w:rsidR="002B7F7D" w:rsidP="00C478BE" w:rsidRDefault="002B7F7D" w14:paraId="7339D61F" w14:textId="77777777">
            <w:pPr>
              <w:tabs>
                <w:tab w:val="center" w:pos="284"/>
              </w:tabs>
              <w:ind w:left="266" w:hanging="266"/>
            </w:pPr>
            <w:r>
              <w:t>EESC-2023-03105-00-00-AC</w:t>
            </w:r>
          </w:p>
        </w:tc>
      </w:tr>
    </w:tbl>
    <w:p w:rsidR="002B7F7D" w:rsidP="002B7F7D" w:rsidRDefault="002B7F7D" w14:paraId="65415468" w14:textId="77777777">
      <w:pPr>
        <w:keepNext/>
        <w:keepLines/>
        <w:tabs>
          <w:tab w:val="center" w:pos="284"/>
        </w:tabs>
        <w:ind w:left="266" w:hanging="266"/>
        <w:rPr>
          <w:b/>
        </w:rPr>
      </w:pPr>
    </w:p>
    <w:p w:rsidRPr="00A6689B" w:rsidR="002B7F7D" w:rsidP="002B7F7D" w:rsidRDefault="002B7F7D" w14:paraId="164FFC17" w14:textId="77777777">
      <w:pPr>
        <w:keepNext/>
        <w:keepLines/>
        <w:tabs>
          <w:tab w:val="center" w:pos="284"/>
        </w:tabs>
        <w:ind w:left="266" w:hanging="266"/>
        <w:rPr>
          <w:b/>
        </w:rPr>
      </w:pPr>
      <w:r>
        <w:rPr>
          <w:b/>
        </w:rPr>
        <w:t>Points clés</w:t>
      </w:r>
    </w:p>
    <w:p w:rsidRPr="00A6689B" w:rsidR="002B7F7D" w:rsidP="00B053E8" w:rsidRDefault="002B7F7D" w14:paraId="1586BDD3" w14:textId="77777777">
      <w:pPr>
        <w:keepNext/>
        <w:keepLines/>
        <w:tabs>
          <w:tab w:val="center" w:pos="284"/>
        </w:tabs>
        <w:ind w:left="266" w:hanging="266"/>
        <w:rPr>
          <w:b/>
        </w:rPr>
      </w:pPr>
    </w:p>
    <w:p w:rsidRPr="00670DCC" w:rsidR="002B7F7D" w:rsidP="00B053E8" w:rsidRDefault="002B7F7D" w14:paraId="6D2CF55B" w14:textId="77777777">
      <w:pPr>
        <w:keepNext/>
        <w:rPr>
          <w:bCs/>
          <w:iCs/>
        </w:rPr>
      </w:pPr>
      <w:r>
        <w:t>Le CESE:</w:t>
      </w:r>
    </w:p>
    <w:p w:rsidRPr="00B053E8" w:rsidR="002B7F7D" w:rsidP="00B053E8" w:rsidRDefault="002B7F7D" w14:paraId="70CD9C9E" w14:textId="77777777">
      <w:pPr>
        <w:pStyle w:val="ListParagraph"/>
        <w:keepNext/>
        <w:ind w:left="0"/>
      </w:pPr>
    </w:p>
    <w:p w:rsidRPr="00B053E8" w:rsidR="002B7F7D" w:rsidP="00B053E8" w:rsidRDefault="002B7F7D" w14:paraId="1AFE3D48" w14:textId="77777777">
      <w:pPr>
        <w:pStyle w:val="xmsolistparagraph"/>
        <w:keepNext/>
        <w:numPr>
          <w:ilvl w:val="0"/>
          <w:numId w:val="13"/>
        </w:numPr>
        <w:overflowPunct/>
        <w:autoSpaceDE/>
        <w:autoSpaceDN/>
        <w:adjustRightInd/>
        <w:spacing w:after="0" w:line="288" w:lineRule="auto"/>
        <w:ind w:left="567" w:hanging="567"/>
        <w:jc w:val="both"/>
        <w:textAlignment w:val="auto"/>
        <w:rPr>
          <w:rFonts w:ascii="Times New Roman" w:hAnsi="Times New Roman" w:cs="Times New Roman"/>
        </w:rPr>
      </w:pPr>
      <w:r w:rsidRPr="00B053E8">
        <w:rPr>
          <w:rFonts w:ascii="Times New Roman" w:hAnsi="Times New Roman" w:cs="Times New Roman"/>
        </w:rPr>
        <w:t>affirme la nécessité de l’intermodalité dans tous les transports de marchandises, en ayant toujours à l’esprit l’obligation de coordination et d’optimisation de chacun des modes de transport au niveau européen;</w:t>
      </w:r>
    </w:p>
    <w:p w:rsidRPr="00B053E8" w:rsidR="002B7F7D" w:rsidP="002B7F7D" w:rsidRDefault="002B7F7D" w14:paraId="57A01DFD" w14:textId="77777777">
      <w:pPr>
        <w:pStyle w:val="xmsolistparagraph"/>
        <w:numPr>
          <w:ilvl w:val="0"/>
          <w:numId w:val="13"/>
        </w:numPr>
        <w:overflowPunct/>
        <w:autoSpaceDE/>
        <w:autoSpaceDN/>
        <w:adjustRightInd/>
        <w:spacing w:after="0" w:line="288" w:lineRule="auto"/>
        <w:ind w:left="567" w:hanging="567"/>
        <w:jc w:val="both"/>
        <w:textAlignment w:val="auto"/>
        <w:rPr>
          <w:rFonts w:ascii="Times New Roman" w:hAnsi="Times New Roman" w:cs="Times New Roman"/>
        </w:rPr>
      </w:pPr>
      <w:r w:rsidRPr="00B053E8">
        <w:rPr>
          <w:rFonts w:ascii="Times New Roman" w:hAnsi="Times New Roman" w:cs="Times New Roman"/>
        </w:rPr>
        <w:t>est convaincu que mettre en place un système de transport intermodal suppose que le public soit informé des perspectives intéressantes qu’il offre: c’est pour servir le public qu’un système de transport intermodal est conçu, c’est lui qui doit peser sur les décisions relatives aux projets et aux politiques dans le domaine des transports;</w:t>
      </w:r>
    </w:p>
    <w:p w:rsidRPr="00B053E8" w:rsidR="002B7F7D" w:rsidP="002B7F7D" w:rsidRDefault="002B7F7D" w14:paraId="2A16BA26" w14:textId="77777777">
      <w:pPr>
        <w:pStyle w:val="xmsolistparagraph"/>
        <w:numPr>
          <w:ilvl w:val="0"/>
          <w:numId w:val="13"/>
        </w:numPr>
        <w:overflowPunct/>
        <w:autoSpaceDE/>
        <w:autoSpaceDN/>
        <w:adjustRightInd/>
        <w:spacing w:after="0" w:line="288" w:lineRule="auto"/>
        <w:ind w:left="567" w:hanging="567"/>
        <w:jc w:val="both"/>
        <w:textAlignment w:val="auto"/>
        <w:rPr>
          <w:rFonts w:ascii="Times New Roman" w:hAnsi="Times New Roman" w:cs="Times New Roman"/>
        </w:rPr>
      </w:pPr>
      <w:r w:rsidRPr="00B053E8">
        <w:rPr>
          <w:rFonts w:ascii="Times New Roman" w:hAnsi="Times New Roman" w:cs="Times New Roman"/>
        </w:rPr>
        <w:t>souligne que le succès de cette politique passe par le respect maximum des règles sociales, ainsi que par une politique de formation spécifique systématique des personnels et des gestionnaires des entreprises;</w:t>
      </w:r>
      <w:bookmarkStart w:name="x__Hlk157163546" w:id="13"/>
      <w:bookmarkEnd w:id="13"/>
    </w:p>
    <w:p w:rsidRPr="00B053E8" w:rsidR="002B7F7D" w:rsidP="002B7F7D" w:rsidRDefault="002B7F7D" w14:paraId="483B70CE" w14:textId="77777777">
      <w:pPr>
        <w:pStyle w:val="xmsolistparagraph"/>
        <w:numPr>
          <w:ilvl w:val="0"/>
          <w:numId w:val="13"/>
        </w:numPr>
        <w:overflowPunct/>
        <w:autoSpaceDE/>
        <w:autoSpaceDN/>
        <w:adjustRightInd/>
        <w:spacing w:after="0" w:line="288" w:lineRule="auto"/>
        <w:ind w:left="567" w:hanging="567"/>
        <w:jc w:val="both"/>
        <w:textAlignment w:val="auto"/>
        <w:rPr>
          <w:rFonts w:ascii="Times New Roman" w:hAnsi="Times New Roman" w:cs="Times New Roman"/>
        </w:rPr>
      </w:pPr>
      <w:r w:rsidRPr="00B053E8">
        <w:rPr>
          <w:rFonts w:ascii="Times New Roman" w:hAnsi="Times New Roman" w:cs="Times New Roman"/>
        </w:rPr>
        <w:t>appelle à ce que l’application de cette nouvelle mesure respecte les périodes de repos et de pause de conducteurs de poids lourds. La rentabilité économique ne doit pas nuire à la sécurité routière ni aux conditions de travail des conducteurs au sein de l’UE.</w:t>
      </w:r>
    </w:p>
    <w:p w:rsidRPr="000624A9" w:rsidR="002B7F7D" w:rsidP="002B7F7D" w:rsidRDefault="002B7F7D" w14:paraId="2B637843"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2B7F7D" w:rsidTr="00C478BE" w14:paraId="697D9927" w14:textId="77777777">
        <w:tc>
          <w:tcPr>
            <w:tcW w:w="1418" w:type="dxa"/>
          </w:tcPr>
          <w:p w:rsidRPr="00A6689B" w:rsidR="002B7F7D" w:rsidP="00C478BE" w:rsidRDefault="002B7F7D" w14:paraId="22096B9F" w14:textId="77777777">
            <w:pPr>
              <w:rPr>
                <w:i/>
              </w:rPr>
            </w:pPr>
            <w:r>
              <w:rPr>
                <w:b/>
                <w:i/>
              </w:rPr>
              <w:t>Contact</w:t>
            </w:r>
          </w:p>
        </w:tc>
        <w:tc>
          <w:tcPr>
            <w:tcW w:w="5670" w:type="dxa"/>
          </w:tcPr>
          <w:p w:rsidRPr="00E17363" w:rsidR="002B7F7D" w:rsidP="00C478BE" w:rsidRDefault="002B7F7D" w14:paraId="5E727EF6" w14:textId="77777777">
            <w:pPr>
              <w:jc w:val="left"/>
              <w:rPr>
                <w:i/>
              </w:rPr>
            </w:pPr>
            <w:r>
              <w:rPr>
                <w:i/>
              </w:rPr>
              <w:t>Aleksandra SARMAN GRILC</w:t>
            </w:r>
          </w:p>
        </w:tc>
      </w:tr>
      <w:tr w:rsidRPr="00A6689B" w:rsidR="002B7F7D" w:rsidTr="00C478BE" w14:paraId="6C51F144" w14:textId="77777777">
        <w:tc>
          <w:tcPr>
            <w:tcW w:w="1418" w:type="dxa"/>
          </w:tcPr>
          <w:p w:rsidRPr="00A6689B" w:rsidR="002B7F7D" w:rsidP="00C478BE" w:rsidRDefault="002B7F7D" w14:paraId="12695BB1" w14:textId="77777777">
            <w:pPr>
              <w:rPr>
                <w:i/>
              </w:rPr>
            </w:pPr>
            <w:r>
              <w:rPr>
                <w:i/>
              </w:rPr>
              <w:t>Tél.</w:t>
            </w:r>
          </w:p>
        </w:tc>
        <w:tc>
          <w:tcPr>
            <w:tcW w:w="5670" w:type="dxa"/>
          </w:tcPr>
          <w:p w:rsidRPr="00A6689B" w:rsidR="002B7F7D" w:rsidP="00C478BE" w:rsidRDefault="002B7F7D" w14:paraId="6EEF45B4" w14:textId="77777777">
            <w:pPr>
              <w:rPr>
                <w:i/>
              </w:rPr>
            </w:pPr>
            <w:r>
              <w:rPr>
                <w:i/>
              </w:rPr>
              <w:t>+32 2 546 8333</w:t>
            </w:r>
          </w:p>
        </w:tc>
      </w:tr>
      <w:tr w:rsidRPr="00A6689B" w:rsidR="002B7F7D" w:rsidTr="00C478BE" w14:paraId="7ADD95CB" w14:textId="77777777">
        <w:tc>
          <w:tcPr>
            <w:tcW w:w="1418" w:type="dxa"/>
          </w:tcPr>
          <w:p w:rsidRPr="00A6689B" w:rsidR="002B7F7D" w:rsidP="00C478BE" w:rsidRDefault="002B7F7D" w14:paraId="1EA1A6AE" w14:textId="77777777">
            <w:pPr>
              <w:rPr>
                <w:i/>
              </w:rPr>
            </w:pPr>
            <w:r>
              <w:rPr>
                <w:i/>
              </w:rPr>
              <w:t>Courriel</w:t>
            </w:r>
          </w:p>
        </w:tc>
        <w:tc>
          <w:tcPr>
            <w:tcW w:w="5670" w:type="dxa"/>
          </w:tcPr>
          <w:p w:rsidRPr="00474DBC" w:rsidR="002B7F7D" w:rsidP="00C478BE" w:rsidRDefault="00403D88" w14:paraId="3A84271F" w14:textId="77777777">
            <w:pPr>
              <w:rPr>
                <w:i/>
                <w:iCs/>
              </w:rPr>
            </w:pPr>
            <w:hyperlink w:history="1" r:id="rId39">
              <w:r w:rsidR="002B7F7D">
                <w:rPr>
                  <w:rStyle w:val="Hyperlink"/>
                  <w:i/>
                </w:rPr>
                <w:t>Aleksandra.SarmanGrilc@eesc.europa.eu</w:t>
              </w:r>
            </w:hyperlink>
            <w:r w:rsidR="002B7F7D">
              <w:rPr>
                <w:i/>
              </w:rPr>
              <w:t xml:space="preserve"> </w:t>
            </w:r>
          </w:p>
        </w:tc>
      </w:tr>
    </w:tbl>
    <w:p w:rsidR="002B7F7D" w:rsidP="002B7F7D" w:rsidRDefault="002B7F7D" w14:paraId="21C87C2B" w14:textId="77777777">
      <w:pPr>
        <w:rPr>
          <w:lang w:val="nl-BE"/>
        </w:rPr>
      </w:pPr>
    </w:p>
    <w:p w:rsidR="003B636C" w:rsidP="00673C09" w:rsidRDefault="009C785E" w14:paraId="2BEB799C" w14:textId="1D1D6CC2">
      <w:pPr>
        <w:pStyle w:val="Heading1"/>
        <w:keepNext/>
        <w:ind w:hanging="928"/>
        <w:rPr>
          <w:b/>
          <w:bCs/>
        </w:rPr>
      </w:pPr>
      <w:bookmarkStart w:name="_Toc159831784" w:id="14"/>
      <w:r>
        <w:rPr>
          <w:b/>
        </w:rPr>
        <w:t>COMMISSION CONSULTATIVE DES MUTATIONS INDUSTRIELLES</w:t>
      </w:r>
      <w:bookmarkEnd w:id="14"/>
    </w:p>
    <w:p w:rsidR="003B3E18" w:rsidP="00673C09" w:rsidRDefault="003B3E18" w14:paraId="0CE20361" w14:textId="55A85CDB">
      <w:pPr>
        <w:keepNext/>
      </w:pPr>
    </w:p>
    <w:bookmarkEnd w:id="0"/>
    <w:bookmarkEnd w:id="12"/>
    <w:p w:rsidRPr="00F01400" w:rsidR="00467CD3" w:rsidP="00F01400" w:rsidRDefault="00467CD3" w14:paraId="0AB473FE" w14:textId="684F4D65">
      <w:pPr>
        <w:pStyle w:val="ListParagraph"/>
        <w:keepNext/>
        <w:widowControl w:val="0"/>
        <w:numPr>
          <w:ilvl w:val="0"/>
          <w:numId w:val="34"/>
        </w:numPr>
        <w:overflowPunct w:val="0"/>
        <w:autoSpaceDE w:val="0"/>
        <w:autoSpaceDN w:val="0"/>
        <w:adjustRightInd w:val="0"/>
        <w:textAlignment w:val="baseline"/>
        <w:rPr>
          <w:sz w:val="28"/>
          <w:szCs w:val="28"/>
        </w:rPr>
      </w:pPr>
      <w:r w:rsidRPr="00F01400">
        <w:fldChar w:fldCharType="begin"/>
      </w:r>
      <w:r>
        <w:instrText xml:space="preserve"> HYPERLINK "https://www.eesc.europa.eu/fr/our-work/opinions-information-reports/opinions/vers-une-strategie-globale-pour-lindustrie-du-bois-europeenne" </w:instrText>
      </w:r>
      <w:r w:rsidRPr="00F01400">
        <w:fldChar w:fldCharType="separate"/>
      </w:r>
      <w:r w:rsidRPr="00F01400">
        <w:rPr>
          <w:rStyle w:val="Hyperlink"/>
          <w:b/>
          <w:i/>
          <w:sz w:val="28"/>
        </w:rPr>
        <w:t>Vers une stratégie globale pour l’industrie européenne du bois</w:t>
      </w:r>
      <w:r w:rsidRPr="00F01400">
        <w:rPr>
          <w:rStyle w:val="Hyperlink"/>
          <w:b/>
          <w:i/>
          <w:sz w:val="28"/>
        </w:rPr>
        <w:fldChar w:fldCharType="end"/>
      </w:r>
    </w:p>
    <w:p w:rsidRPr="007F6262" w:rsidR="00467CD3" w:rsidP="00673C09" w:rsidRDefault="00467CD3" w14:paraId="47D29863" w14:textId="77777777">
      <w:pPr>
        <w:keepNext/>
        <w:tabs>
          <w:tab w:val="center" w:pos="284"/>
        </w:tabs>
        <w:ind w:left="266" w:hanging="266"/>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3D068B" w:rsidR="00467CD3" w:rsidTr="00C478BE" w14:paraId="6E30F653" w14:textId="77777777">
        <w:tc>
          <w:tcPr>
            <w:tcW w:w="946" w:type="pct"/>
          </w:tcPr>
          <w:p w:rsidRPr="003D068B" w:rsidR="00467CD3" w:rsidP="00673C09" w:rsidRDefault="00467CD3" w14:paraId="752CE1E2" w14:textId="77777777">
            <w:pPr>
              <w:keepNext/>
              <w:tabs>
                <w:tab w:val="center" w:pos="284"/>
              </w:tabs>
              <w:ind w:left="266" w:hanging="266"/>
              <w:rPr>
                <w:b/>
                <w:lang w:val="en-US"/>
              </w:rPr>
            </w:pPr>
            <w:r>
              <w:rPr>
                <w:b/>
              </w:rPr>
              <w:t>Rapporteur</w:t>
            </w:r>
          </w:p>
        </w:tc>
        <w:tc>
          <w:tcPr>
            <w:tcW w:w="4054" w:type="pct"/>
          </w:tcPr>
          <w:p w:rsidRPr="00E672CA" w:rsidR="00467CD3" w:rsidP="00673C09" w:rsidRDefault="00467CD3" w14:paraId="55E285B9" w14:textId="77777777">
            <w:pPr>
              <w:keepNext/>
              <w:tabs>
                <w:tab w:val="center" w:pos="284"/>
              </w:tabs>
              <w:ind w:left="266" w:hanging="266"/>
              <w:rPr>
                <w:bCs/>
              </w:rPr>
            </w:pPr>
            <w:proofErr w:type="spellStart"/>
            <w:r w:rsidRPr="00E672CA">
              <w:rPr>
                <w:bCs/>
              </w:rPr>
              <w:t>Anastasis</w:t>
            </w:r>
            <w:proofErr w:type="spellEnd"/>
            <w:r w:rsidRPr="00E672CA">
              <w:rPr>
                <w:bCs/>
              </w:rPr>
              <w:t> YIAPANIS (groupe des organisations de la société civile — CY)</w:t>
            </w:r>
          </w:p>
        </w:tc>
      </w:tr>
      <w:tr w:rsidRPr="003D068B" w:rsidR="00467CD3" w:rsidTr="00C478BE" w14:paraId="17596A77" w14:textId="77777777">
        <w:tc>
          <w:tcPr>
            <w:tcW w:w="946" w:type="pct"/>
          </w:tcPr>
          <w:p w:rsidRPr="003D068B" w:rsidR="00467CD3" w:rsidP="00673C09" w:rsidRDefault="00467CD3" w14:paraId="6766D279" w14:textId="77777777">
            <w:pPr>
              <w:keepNext/>
              <w:tabs>
                <w:tab w:val="center" w:pos="284"/>
              </w:tabs>
              <w:ind w:left="266" w:hanging="266"/>
              <w:rPr>
                <w:b/>
              </w:rPr>
            </w:pPr>
            <w:r>
              <w:rPr>
                <w:b/>
              </w:rPr>
              <w:t>Corapporteur</w:t>
            </w:r>
          </w:p>
          <w:p w:rsidRPr="003D068B" w:rsidR="00467CD3" w:rsidP="00673C09" w:rsidRDefault="00467CD3" w14:paraId="6EA563C4" w14:textId="77777777">
            <w:pPr>
              <w:keepNext/>
              <w:tabs>
                <w:tab w:val="center" w:pos="284"/>
              </w:tabs>
              <w:ind w:left="266" w:hanging="266"/>
              <w:rPr>
                <w:b/>
                <w:lang w:val="en-US"/>
              </w:rPr>
            </w:pPr>
          </w:p>
        </w:tc>
        <w:tc>
          <w:tcPr>
            <w:tcW w:w="4054" w:type="pct"/>
          </w:tcPr>
          <w:p w:rsidRPr="00E672CA" w:rsidR="00467CD3" w:rsidP="00673C09" w:rsidRDefault="00467CD3" w14:paraId="59F1410D" w14:textId="0203C63F">
            <w:pPr>
              <w:keepNext/>
              <w:tabs>
                <w:tab w:val="center" w:pos="284"/>
              </w:tabs>
              <w:ind w:left="266" w:hanging="266"/>
              <w:rPr>
                <w:bCs/>
              </w:rPr>
            </w:pPr>
            <w:r w:rsidRPr="00E672CA">
              <w:rPr>
                <w:bCs/>
              </w:rPr>
              <w:t>Rolf</w:t>
            </w:r>
            <w:r w:rsidR="00B053E8">
              <w:rPr>
                <w:bCs/>
              </w:rPr>
              <w:t> </w:t>
            </w:r>
            <w:r w:rsidRPr="00E672CA">
              <w:rPr>
                <w:bCs/>
              </w:rPr>
              <w:t>GEHRING (catégorie 2 — DE)</w:t>
            </w:r>
          </w:p>
        </w:tc>
      </w:tr>
      <w:tr w:rsidRPr="003D068B" w:rsidR="00467CD3" w:rsidTr="00C478BE" w14:paraId="0EA88DD9" w14:textId="77777777">
        <w:tc>
          <w:tcPr>
            <w:tcW w:w="946" w:type="pct"/>
          </w:tcPr>
          <w:p w:rsidRPr="003D068B" w:rsidR="00467CD3" w:rsidP="00673C09" w:rsidRDefault="00467CD3" w14:paraId="5C56096E" w14:textId="77777777">
            <w:pPr>
              <w:keepNext/>
              <w:tabs>
                <w:tab w:val="center" w:pos="284"/>
              </w:tabs>
              <w:ind w:left="266" w:hanging="266"/>
            </w:pPr>
            <w:r>
              <w:rPr>
                <w:b/>
              </w:rPr>
              <w:t>Références</w:t>
            </w:r>
          </w:p>
        </w:tc>
        <w:tc>
          <w:tcPr>
            <w:tcW w:w="4054" w:type="pct"/>
          </w:tcPr>
          <w:p w:rsidRPr="003D068B" w:rsidR="00467CD3" w:rsidP="00673C09" w:rsidRDefault="00467CD3" w14:paraId="6BB4B59F" w14:textId="77777777">
            <w:pPr>
              <w:keepNext/>
              <w:tabs>
                <w:tab w:val="center" w:pos="284"/>
              </w:tabs>
              <w:ind w:left="266" w:hanging="266"/>
            </w:pPr>
            <w:r>
              <w:t>EESC-2023-03538-00-00-AC</w:t>
            </w:r>
          </w:p>
        </w:tc>
      </w:tr>
    </w:tbl>
    <w:p w:rsidR="00467CD3" w:rsidP="00467CD3" w:rsidRDefault="00467CD3" w14:paraId="735685AF" w14:textId="77777777">
      <w:pPr>
        <w:keepNext/>
        <w:keepLines/>
        <w:tabs>
          <w:tab w:val="center" w:pos="284"/>
        </w:tabs>
        <w:ind w:left="266" w:hanging="266"/>
        <w:rPr>
          <w:b/>
        </w:rPr>
      </w:pPr>
    </w:p>
    <w:p w:rsidR="00467CD3" w:rsidP="00467CD3" w:rsidRDefault="00467CD3" w14:paraId="59539231" w14:textId="65D8FEF4">
      <w:pPr>
        <w:keepNext/>
        <w:keepLines/>
        <w:tabs>
          <w:tab w:val="center" w:pos="284"/>
        </w:tabs>
        <w:ind w:left="266" w:hanging="266"/>
        <w:rPr>
          <w:b/>
        </w:rPr>
      </w:pPr>
      <w:r>
        <w:rPr>
          <w:b/>
        </w:rPr>
        <w:t>Points clés</w:t>
      </w:r>
    </w:p>
    <w:p w:rsidRPr="007F6262" w:rsidR="00B053E8" w:rsidP="00467CD3" w:rsidRDefault="00B053E8" w14:paraId="50B9CCF4" w14:textId="77777777">
      <w:pPr>
        <w:keepNext/>
        <w:keepLines/>
        <w:tabs>
          <w:tab w:val="center" w:pos="284"/>
        </w:tabs>
        <w:ind w:left="266" w:hanging="266"/>
        <w:rPr>
          <w:b/>
        </w:rPr>
      </w:pPr>
    </w:p>
    <w:p w:rsidR="00467CD3" w:rsidP="00467CD3" w:rsidRDefault="00467CD3" w14:paraId="761C594F" w14:textId="02F89638">
      <w:r>
        <w:t>Le CESE:</w:t>
      </w:r>
    </w:p>
    <w:p w:rsidRPr="007F6262" w:rsidR="00B053E8" w:rsidP="00467CD3" w:rsidRDefault="00B053E8" w14:paraId="15A79333" w14:textId="77777777"/>
    <w:p w:rsidRPr="00AC7DCA" w:rsidR="00467CD3" w:rsidP="00467CD3" w:rsidRDefault="00467CD3" w14:paraId="389B210A" w14:textId="77777777">
      <w:pPr>
        <w:pStyle w:val="ListParagraph"/>
        <w:numPr>
          <w:ilvl w:val="0"/>
          <w:numId w:val="14"/>
        </w:numPr>
        <w:ind w:left="567" w:hanging="567"/>
      </w:pPr>
      <w:r>
        <w:t xml:space="preserve">invite les pouvoirs publics de l’Union et des États membres à donner la </w:t>
      </w:r>
      <w:r>
        <w:rPr>
          <w:b/>
        </w:rPr>
        <w:t>priorité à la compétitivité de l’industrie européenne du bois</w:t>
      </w:r>
      <w:r>
        <w:t xml:space="preserve"> en lui </w:t>
      </w:r>
      <w:r>
        <w:rPr>
          <w:b/>
        </w:rPr>
        <w:t>assurant l’accès aux marchés</w:t>
      </w:r>
      <w:r>
        <w:t xml:space="preserve"> et en prenant des mesures pour faire face aux problèmes de coûts et aux </w:t>
      </w:r>
      <w:r>
        <w:rPr>
          <w:b/>
          <w:bCs/>
        </w:rPr>
        <w:t>pratiques commerciales déloyales</w:t>
      </w:r>
      <w:r>
        <w:t>, tout en garantissant des conditions de concurrence équitables sur le marché;</w:t>
      </w:r>
    </w:p>
    <w:p w:rsidRPr="00AC7DCA" w:rsidR="00467CD3" w:rsidP="00467CD3" w:rsidRDefault="00467CD3" w14:paraId="324F417E" w14:textId="77777777">
      <w:pPr>
        <w:pStyle w:val="ListParagraph"/>
        <w:numPr>
          <w:ilvl w:val="0"/>
          <w:numId w:val="14"/>
        </w:numPr>
        <w:ind w:left="567" w:hanging="567"/>
      </w:pPr>
      <w:r>
        <w:t xml:space="preserve">appelle toutes les institutions de l’Union à reconnaître dûment la contribution que ces matériaux renouvelables apportent à la durabilité, à l’économie circulaire et à la neutralité climatique, tout en </w:t>
      </w:r>
      <w:r>
        <w:rPr>
          <w:b/>
          <w:bCs/>
        </w:rPr>
        <w:t>actant que le bois constitue une ressource circulaire et une matière première d’une haute valeur</w:t>
      </w:r>
      <w:r>
        <w:t>;</w:t>
      </w:r>
    </w:p>
    <w:p w:rsidR="00467CD3" w:rsidP="00467CD3" w:rsidRDefault="00467CD3" w14:paraId="259055D8" w14:textId="77777777">
      <w:pPr>
        <w:pStyle w:val="ListParagraph"/>
        <w:numPr>
          <w:ilvl w:val="0"/>
          <w:numId w:val="14"/>
        </w:numPr>
        <w:ind w:left="567" w:hanging="567"/>
      </w:pPr>
      <w:r>
        <w:t xml:space="preserve">souligne qu’il y a lieu de fixer des normes minimales pour les émissions de carbone tout au long du cycle de vie dans le secteur de la construction, et insiste sur la </w:t>
      </w:r>
      <w:r>
        <w:rPr>
          <w:b/>
        </w:rPr>
        <w:t>nécessité de mettre en place des rapports sur le carbone</w:t>
      </w:r>
      <w:r>
        <w:t xml:space="preserve"> au sein de l’industrie;</w:t>
      </w:r>
    </w:p>
    <w:p w:rsidRPr="00532425" w:rsidR="00467CD3" w:rsidP="00467CD3" w:rsidRDefault="00467CD3" w14:paraId="2D39F57E" w14:textId="77777777">
      <w:pPr>
        <w:pStyle w:val="ListParagraph"/>
        <w:numPr>
          <w:ilvl w:val="0"/>
          <w:numId w:val="14"/>
        </w:numPr>
        <w:ind w:left="567" w:hanging="567"/>
      </w:pPr>
      <w:r>
        <w:t xml:space="preserve">préconise d’arrêter des mesures plus vigoureuses et volontaristes pour </w:t>
      </w:r>
      <w:r>
        <w:rPr>
          <w:b/>
          <w:bCs/>
        </w:rPr>
        <w:t>lutter contre ces coupes illégales, la déforestation et le commerce clandestin du bois</w:t>
      </w:r>
      <w:r>
        <w:t>;</w:t>
      </w:r>
    </w:p>
    <w:p w:rsidR="00467CD3" w:rsidP="00467CD3" w:rsidRDefault="00467CD3" w14:paraId="238BBB31" w14:textId="77777777">
      <w:pPr>
        <w:pStyle w:val="ListParagraph"/>
        <w:numPr>
          <w:ilvl w:val="0"/>
          <w:numId w:val="14"/>
        </w:numPr>
        <w:ind w:left="567" w:hanging="567"/>
      </w:pPr>
      <w:r>
        <w:t xml:space="preserve">demande instamment l’élaboration d’une </w:t>
      </w:r>
      <w:r>
        <w:rPr>
          <w:b/>
        </w:rPr>
        <w:t>stratégie de l’Union visant à attirer et à retenir les jeunes talents</w:t>
      </w:r>
      <w:r>
        <w:t xml:space="preserve"> et les femmes dans le secteur et à </w:t>
      </w:r>
      <w:r>
        <w:rPr>
          <w:b/>
        </w:rPr>
        <w:t>garantir la disponibilité de travailleurs qualifiés</w:t>
      </w:r>
      <w:r>
        <w:t>;</w:t>
      </w:r>
    </w:p>
    <w:p w:rsidR="00467CD3" w:rsidP="00467CD3" w:rsidRDefault="00467CD3" w14:paraId="4299072A" w14:textId="77777777">
      <w:pPr>
        <w:pStyle w:val="ListParagraph"/>
        <w:numPr>
          <w:ilvl w:val="0"/>
          <w:numId w:val="14"/>
        </w:numPr>
        <w:ind w:left="567" w:hanging="567"/>
      </w:pPr>
      <w:r>
        <w:t xml:space="preserve">souligne qu’il importe d’assurer le </w:t>
      </w:r>
      <w:r>
        <w:rPr>
          <w:b/>
        </w:rPr>
        <w:t>respect du socle européen des droits sociaux</w:t>
      </w:r>
      <w:r>
        <w:t xml:space="preserve"> au sein de l’industrie du bois de l’Union;</w:t>
      </w:r>
    </w:p>
    <w:p w:rsidRPr="00737A42" w:rsidR="00467CD3" w:rsidP="00467CD3" w:rsidRDefault="00467CD3" w14:paraId="03B4B13A" w14:textId="77777777">
      <w:pPr>
        <w:pStyle w:val="ListParagraph"/>
        <w:numPr>
          <w:ilvl w:val="0"/>
          <w:numId w:val="14"/>
        </w:numPr>
        <w:ind w:left="567" w:hanging="567"/>
        <w:rPr>
          <w:b/>
          <w:bCs/>
        </w:rPr>
      </w:pPr>
      <w:r>
        <w:t xml:space="preserve">souligne la nécessité croissante d’une gestion efficace des forêts et d’une meilleure coordination ainsi que de meilleurs équipements pour les services européens et nationaux de lutte contre les incendies afin de lutter contre la </w:t>
      </w:r>
      <w:r>
        <w:rPr>
          <w:b/>
        </w:rPr>
        <w:t>tendance à la hausse des incendies de forêt de grande ampleur</w:t>
      </w:r>
      <w:r>
        <w:t>;</w:t>
      </w:r>
    </w:p>
    <w:p w:rsidRPr="007F6262" w:rsidR="00467CD3" w:rsidP="00467CD3" w:rsidRDefault="00467CD3" w14:paraId="45FF9ED0" w14:textId="77777777">
      <w:pPr>
        <w:pStyle w:val="ListParagraph"/>
        <w:numPr>
          <w:ilvl w:val="0"/>
          <w:numId w:val="14"/>
        </w:numPr>
        <w:ind w:left="567" w:hanging="567"/>
      </w:pPr>
      <w:r>
        <w:t xml:space="preserve">demande instamment de </w:t>
      </w:r>
      <w:r>
        <w:rPr>
          <w:b/>
        </w:rPr>
        <w:t>mettre en œuvre le règlement sur l’écoconception pour des produits durables</w:t>
      </w:r>
      <w:r>
        <w:t xml:space="preserve"> (REPD), pour ériger la durabilité des produits en norme et maintenir une concurrence équitable avec ceux qui sont importés. En outre, les partenaires sociaux du secteur du bois au sein de l’Union européenne devraient être invités à participer au forum consultatif sur l’écoconception.</w:t>
      </w:r>
    </w:p>
    <w:p w:rsidRPr="007F6262" w:rsidR="00467CD3" w:rsidP="00467CD3" w:rsidRDefault="00467CD3" w14:paraId="7A7C79DC" w14:textId="77777777">
      <w:pPr>
        <w:pStyle w:val="ListParagraph"/>
        <w:rPr>
          <w:b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7F6262" w:rsidR="00467CD3" w:rsidTr="00C478BE" w14:paraId="44F4239E" w14:textId="77777777">
        <w:tc>
          <w:tcPr>
            <w:tcW w:w="1870" w:type="pct"/>
          </w:tcPr>
          <w:p w:rsidRPr="007F6262" w:rsidR="00467CD3" w:rsidP="00C478BE" w:rsidRDefault="00467CD3" w14:paraId="145BE722" w14:textId="77777777">
            <w:pPr>
              <w:rPr>
                <w:i/>
              </w:rPr>
            </w:pPr>
            <w:r>
              <w:rPr>
                <w:b/>
                <w:i/>
              </w:rPr>
              <w:t>Contact</w:t>
            </w:r>
          </w:p>
        </w:tc>
        <w:tc>
          <w:tcPr>
            <w:tcW w:w="3130" w:type="pct"/>
            <w:tcBorders>
              <w:left w:val="nil"/>
            </w:tcBorders>
          </w:tcPr>
          <w:p w:rsidRPr="00B053E8" w:rsidR="00467CD3" w:rsidP="00C478BE" w:rsidRDefault="00467CD3" w14:paraId="24BEC0B8" w14:textId="0033AE0A">
            <w:pPr>
              <w:rPr>
                <w:bCs/>
                <w:i/>
              </w:rPr>
            </w:pPr>
            <w:proofErr w:type="spellStart"/>
            <w:r w:rsidRPr="00B053E8">
              <w:rPr>
                <w:bCs/>
                <w:i/>
              </w:rPr>
              <w:t>Heli</w:t>
            </w:r>
            <w:proofErr w:type="spellEnd"/>
            <w:r w:rsidR="000D1792">
              <w:rPr>
                <w:bCs/>
                <w:i/>
              </w:rPr>
              <w:t> </w:t>
            </w:r>
            <w:r w:rsidRPr="00B053E8">
              <w:rPr>
                <w:bCs/>
                <w:i/>
              </w:rPr>
              <w:t>NIEMELÄ-FARRER</w:t>
            </w:r>
          </w:p>
        </w:tc>
      </w:tr>
      <w:tr w:rsidRPr="007F6262" w:rsidR="00467CD3" w:rsidTr="00C478BE" w14:paraId="6B05EA7B" w14:textId="77777777">
        <w:tc>
          <w:tcPr>
            <w:tcW w:w="1870" w:type="pct"/>
          </w:tcPr>
          <w:p w:rsidRPr="007F6262" w:rsidR="00467CD3" w:rsidP="00C478BE" w:rsidRDefault="00467CD3" w14:paraId="650736E4" w14:textId="77777777">
            <w:pPr>
              <w:rPr>
                <w:i/>
              </w:rPr>
            </w:pPr>
            <w:r>
              <w:rPr>
                <w:i/>
              </w:rPr>
              <w:t xml:space="preserve">Tél. </w:t>
            </w:r>
          </w:p>
        </w:tc>
        <w:tc>
          <w:tcPr>
            <w:tcW w:w="3130" w:type="pct"/>
            <w:tcBorders>
              <w:left w:val="nil"/>
            </w:tcBorders>
          </w:tcPr>
          <w:p w:rsidRPr="007F6262" w:rsidR="00467CD3" w:rsidP="00C478BE" w:rsidRDefault="00467CD3" w14:paraId="60D1C881" w14:textId="77777777">
            <w:pPr>
              <w:rPr>
                <w:i/>
              </w:rPr>
            </w:pPr>
            <w:r>
              <w:rPr>
                <w:i/>
              </w:rPr>
              <w:t>+32 2 282 2464</w:t>
            </w:r>
          </w:p>
        </w:tc>
      </w:tr>
      <w:tr w:rsidRPr="007F6262" w:rsidR="00467CD3" w:rsidTr="00C478BE" w14:paraId="4A1B8263" w14:textId="77777777">
        <w:tc>
          <w:tcPr>
            <w:tcW w:w="1870" w:type="pct"/>
          </w:tcPr>
          <w:p w:rsidRPr="007F6262" w:rsidR="00467CD3" w:rsidP="00C478BE" w:rsidRDefault="00467CD3" w14:paraId="5D0166EB" w14:textId="77777777">
            <w:pPr>
              <w:rPr>
                <w:i/>
                <w:iCs/>
              </w:rPr>
            </w:pPr>
            <w:r>
              <w:rPr>
                <w:i/>
              </w:rPr>
              <w:t>Courriel</w:t>
            </w:r>
          </w:p>
        </w:tc>
        <w:tc>
          <w:tcPr>
            <w:tcW w:w="3130" w:type="pct"/>
            <w:tcBorders>
              <w:left w:val="nil"/>
            </w:tcBorders>
          </w:tcPr>
          <w:p w:rsidRPr="007F6262" w:rsidR="00467CD3" w:rsidP="00C478BE" w:rsidRDefault="00403D88" w14:paraId="19D6377D" w14:textId="77777777">
            <w:pPr>
              <w:rPr>
                <w:i/>
              </w:rPr>
            </w:pPr>
            <w:hyperlink w:history="1" r:id="rId40">
              <w:r w:rsidR="00467CD3">
                <w:rPr>
                  <w:rStyle w:val="Hyperlink"/>
                  <w:i/>
                </w:rPr>
                <w:t>Heli.Niemela-Farrer@eesc.europa.eu</w:t>
              </w:r>
            </w:hyperlink>
          </w:p>
        </w:tc>
      </w:tr>
    </w:tbl>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E96490">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0EA" w14:textId="77777777" w:rsidR="00E96490" w:rsidRPr="00E96490" w:rsidRDefault="00E96490" w:rsidP="00E96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F4B78CA" w:rsidR="00765C4F" w:rsidRPr="00E96490" w:rsidRDefault="00E96490" w:rsidP="00E96490">
    <w:pPr>
      <w:pStyle w:val="Footer"/>
    </w:pPr>
    <w:r>
      <w:t xml:space="preserve">EESC-2024-00286-00-01-TCD-TRA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403D88">
      <w:fldChar w:fldCharType="begin"/>
    </w:r>
    <w:r w:rsidR="00403D88">
      <w:instrText xml:space="preserve"> NUMPAGES </w:instrText>
    </w:r>
    <w:r w:rsidR="00403D88">
      <w:fldChar w:fldCharType="separate"/>
    </w:r>
    <w:r w:rsidR="009E3B4A">
      <w:instrText>8</w:instrText>
    </w:r>
    <w:r w:rsidR="00403D88">
      <w:rPr>
        <w:noProof/>
      </w:rPr>
      <w:fldChar w:fldCharType="end"/>
    </w:r>
    <w:r>
      <w:instrText xml:space="preserve"> -0 </w:instrText>
    </w:r>
    <w:r>
      <w:fldChar w:fldCharType="separate"/>
    </w:r>
    <w:r w:rsidR="009E3B4A">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B70A" w14:textId="77777777" w:rsidR="00E96490" w:rsidRPr="00E96490" w:rsidRDefault="00E96490" w:rsidP="00E96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E96490" w:rsidRDefault="00E4258F" w:rsidP="00E96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0BAEA384" w:rsidR="00E4258F" w:rsidRPr="00E96490" w:rsidRDefault="00E96490" w:rsidP="00E96490">
    <w:pPr>
      <w:pStyle w:val="Footer"/>
    </w:pPr>
    <w:r>
      <w:t xml:space="preserve">EESC-2024-00286-00-01-TCD-TRA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403D88">
      <w:fldChar w:fldCharType="begin"/>
    </w:r>
    <w:r w:rsidR="00403D88">
      <w:instrText xml:space="preserve"> NUMPAGES </w:instrText>
    </w:r>
    <w:r w:rsidR="00403D88">
      <w:fldChar w:fldCharType="separate"/>
    </w:r>
    <w:r w:rsidR="009E3B4A">
      <w:rPr>
        <w:noProof/>
      </w:rPr>
      <w:instrText>8</w:instrText>
    </w:r>
    <w:r w:rsidR="00403D88">
      <w:rPr>
        <w:noProof/>
      </w:rPr>
      <w:fldChar w:fldCharType="end"/>
    </w:r>
    <w:r>
      <w:instrText xml:space="preserve"> -0 </w:instrText>
    </w:r>
    <w:r>
      <w:fldChar w:fldCharType="separate"/>
    </w:r>
    <w:r w:rsidR="009E3B4A">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E96490" w:rsidRDefault="00E4258F" w:rsidP="00E9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C2A8" w14:textId="77777777" w:rsidR="00E96490" w:rsidRPr="00E96490" w:rsidRDefault="00E96490" w:rsidP="00E96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0B6C" w14:textId="77777777" w:rsidR="00E96490" w:rsidRPr="00E96490" w:rsidRDefault="00E96490" w:rsidP="00E96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85E2" w14:textId="77777777" w:rsidR="00E96490" w:rsidRPr="00E96490" w:rsidRDefault="00E96490" w:rsidP="00E96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E96490" w:rsidRDefault="00E4258F" w:rsidP="00E964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4CBE255C" w:rsidR="00E4258F" w:rsidRPr="00E96490" w:rsidRDefault="00E4258F" w:rsidP="00E964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E96490" w:rsidRDefault="00E4258F" w:rsidP="00E9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A45E98"/>
    <w:multiLevelType w:val="hybridMultilevel"/>
    <w:tmpl w:val="8948F5E0"/>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CB449B7"/>
    <w:multiLevelType w:val="hybridMultilevel"/>
    <w:tmpl w:val="EF00760A"/>
    <w:lvl w:ilvl="0" w:tplc="72188F3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5"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7F30824"/>
    <w:multiLevelType w:val="hybridMultilevel"/>
    <w:tmpl w:val="660C79F0"/>
    <w:lvl w:ilvl="0" w:tplc="4B7A05B4">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ABA0E8B"/>
    <w:multiLevelType w:val="hybridMultilevel"/>
    <w:tmpl w:val="2622417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9"/>
  </w:num>
  <w:num w:numId="4">
    <w:abstractNumId w:val="13"/>
  </w:num>
  <w:num w:numId="5">
    <w:abstractNumId w:val="2"/>
  </w:num>
  <w:num w:numId="6">
    <w:abstractNumId w:val="18"/>
  </w:num>
  <w:num w:numId="7">
    <w:abstractNumId w:val="10"/>
  </w:num>
  <w:num w:numId="8">
    <w:abstractNumId w:val="23"/>
  </w:num>
  <w:num w:numId="9">
    <w:abstractNumId w:val="17"/>
  </w:num>
  <w:num w:numId="10">
    <w:abstractNumId w:val="20"/>
  </w:num>
  <w:num w:numId="11">
    <w:abstractNumId w:val="6"/>
  </w:num>
  <w:num w:numId="12">
    <w:abstractNumId w:val="5"/>
  </w:num>
  <w:num w:numId="13">
    <w:abstractNumId w:val="30"/>
  </w:num>
  <w:num w:numId="14">
    <w:abstractNumId w:val="26"/>
  </w:num>
  <w:num w:numId="15">
    <w:abstractNumId w:val="21"/>
  </w:num>
  <w:num w:numId="16">
    <w:abstractNumId w:val="8"/>
  </w:num>
  <w:num w:numId="17">
    <w:abstractNumId w:val="33"/>
  </w:num>
  <w:num w:numId="18">
    <w:abstractNumId w:val="25"/>
  </w:num>
  <w:num w:numId="19">
    <w:abstractNumId w:val="3"/>
  </w:num>
  <w:num w:numId="20">
    <w:abstractNumId w:val="1"/>
  </w:num>
  <w:num w:numId="21">
    <w:abstractNumId w:val="27"/>
  </w:num>
  <w:num w:numId="22">
    <w:abstractNumId w:val="9"/>
  </w:num>
  <w:num w:numId="23">
    <w:abstractNumId w:val="7"/>
  </w:num>
  <w:num w:numId="24">
    <w:abstractNumId w:val="28"/>
  </w:num>
  <w:num w:numId="25">
    <w:abstractNumId w:val="4"/>
  </w:num>
  <w:num w:numId="26">
    <w:abstractNumId w:val="24"/>
  </w:num>
  <w:num w:numId="27">
    <w:abstractNumId w:val="32"/>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 w:numId="32">
    <w:abstractNumId w:val="22"/>
  </w:num>
  <w:num w:numId="33">
    <w:abstractNumId w:val="31"/>
  </w:num>
  <w:num w:numId="34">
    <w:abstractNumId w:val="29"/>
  </w:num>
  <w:num w:numId="3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1792"/>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559"/>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B2A"/>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DC1"/>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B7F7D"/>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3CE1"/>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228D"/>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67CD3"/>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AB4"/>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5CA"/>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C70"/>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BB8"/>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3C09"/>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62D"/>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9D8"/>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0A8A"/>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4641"/>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3B4A"/>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6E2A"/>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4B7A"/>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53E8"/>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60B"/>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B7E93"/>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06580"/>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2E18"/>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0FC8"/>
    <w:rsid w:val="00D22BC5"/>
    <w:rsid w:val="00D231D0"/>
    <w:rsid w:val="00D243A3"/>
    <w:rsid w:val="00D24601"/>
    <w:rsid w:val="00D26D53"/>
    <w:rsid w:val="00D30B88"/>
    <w:rsid w:val="00D327F0"/>
    <w:rsid w:val="00D32A81"/>
    <w:rsid w:val="00D330E1"/>
    <w:rsid w:val="00D35512"/>
    <w:rsid w:val="00D35699"/>
    <w:rsid w:val="00D35C97"/>
    <w:rsid w:val="00D36CE6"/>
    <w:rsid w:val="00D41299"/>
    <w:rsid w:val="00D41D3C"/>
    <w:rsid w:val="00D41F72"/>
    <w:rsid w:val="00D423EB"/>
    <w:rsid w:val="00D442EE"/>
    <w:rsid w:val="00D45C49"/>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490"/>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400"/>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ergio.LorencioMatallana@eesc.europa.eu" TargetMode="External"/><Relationship Id="rId39" Type="http://schemas.openxmlformats.org/officeDocument/2006/relationships/hyperlink" Target="mailto:Aleksandra.SarmanGrilc@eesc.europa.eu" TargetMode="External"/><Relationship Id="rId21" Type="http://schemas.openxmlformats.org/officeDocument/2006/relationships/hyperlink" Target="https://www.eesc.europa.eu/fr/our-work/opinions-information-reports/opinions/limposition-des-teletravailleurs-transfrontaliers-lechelle-mondiale-et-ses-repercussions-sur-lue" TargetMode="External"/><Relationship Id="rId34" Type="http://schemas.openxmlformats.org/officeDocument/2006/relationships/hyperlink" Target="mailto:Dalila.Bernard@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fr/our-work/opinions-information-reports/opinions/pistes-pour-renforcer-le-dialogue-civil-et-la-democratie-participative-dans-lunion-europeenne"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lombe.Gregoire@eesc.europa.eu" TargetMode="External"/><Relationship Id="rId32" Type="http://schemas.openxmlformats.org/officeDocument/2006/relationships/hyperlink" Target="mailto:Silvia.Staffa@eesc.europa.eu" TargetMode="External"/><Relationship Id="rId37" Type="http://schemas.openxmlformats.org/officeDocument/2006/relationships/hyperlink" Target="mailto:Marco.Ristori@eesc.europa.eu"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15" Type="http://schemas.openxmlformats.org/officeDocument/2006/relationships/header" Target="header1.xml"/><Relationship Id="rId23" Type="http://schemas.openxmlformats.org/officeDocument/2006/relationships/hyperlink" Target="https://www.eesc.europa.eu/fr/our-work/opinions-information-reports/opinions/examen-annuel-2024-de-la-croissance-durable" TargetMode="External"/><Relationship Id="rId28" Type="http://schemas.openxmlformats.org/officeDocument/2006/relationships/hyperlink" Target="mailto:Bartek.Bednarowicz@eesc.europa.eu" TargetMode="External"/><Relationship Id="rId36" Type="http://schemas.openxmlformats.org/officeDocument/2006/relationships/hyperlink" Target="https://www.eesc.europa.eu/fr/our-work/opinions-information-reports/opinions/strategie-europeenne-en-matiere-de-securite-economique" TargetMode="External"/><Relationship Id="rId49"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fr/our-work/opinions-information-reports/opinions/reglement-extrajudiciaire-des-litiges"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ecdocs"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fr/our-work/opinions-information-reports/opinions/numerisation-dans-le-domaine-de-la-securite-sociale" TargetMode="External"/><Relationship Id="rId30" Type="http://schemas.openxmlformats.org/officeDocument/2006/relationships/hyperlink" Target="mailto:June.Bedaton@eesc.europa.eu" TargetMode="External"/><Relationship Id="rId35" Type="http://schemas.openxmlformats.org/officeDocument/2006/relationships/hyperlink" Target="mailto:Caroline.Verhelst@eesc.europa.eu"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fr/our-work/opinions-information-reports/opinions/ameliorer-les-indices-de-reference-et-les-obligations-dinformation-dans-les-domaines-des-services-financiers-et-du" TargetMode="External"/><Relationship Id="rId33" Type="http://schemas.openxmlformats.org/officeDocument/2006/relationships/hyperlink" Target="https://www.eesc.europa.eu/fr/our-work/opinions-information-reports/opinions/train-de-mesures-de-soutien-aux-pme" TargetMode="External"/><Relationship Id="rId38" Type="http://schemas.openxmlformats.org/officeDocument/2006/relationships/hyperlink" Target="https://www.eesc.europa.eu/fr/our-work/opinions-information-reports/opinions/revision-de-la-directive-92106cee-sur-certains-transports-combines" TargetMode="External"/><Relationship Id="rId4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F7M6YNZUATRX-416430479-4370</_dlc_DocId>
    <_dlc_DocIdUrl xmlns="59ace41b-6786-4ce3-be71-52c27066c6ef">
      <Url>http://dm/eesc/2024/_layouts/15/DocIdRedir.aspx?ID=F7M6YNZUATRX-416430479-4370</Url>
      <Description>F7M6YNZUATRX-416430479-4370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Antunes Cristiano</DisplayName>
        <AccountId>713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01E00-AAD4-4C99-AA54-6CD0FEBAB8F5}"/>
</file>

<file path=customXml/itemProps2.xml><?xml version="1.0" encoding="utf-8"?>
<ds:datastoreItem xmlns:ds="http://schemas.openxmlformats.org/officeDocument/2006/customXml" ds:itemID="{C3BB643C-9BF6-4D68-A657-FF1191A7E75B}"/>
</file>

<file path=customXml/itemProps3.xml><?xml version="1.0" encoding="utf-8"?>
<ds:datastoreItem xmlns:ds="http://schemas.openxmlformats.org/officeDocument/2006/customXml" ds:itemID="{9501638F-6E7D-4A7F-AC4C-C912F48C5779}"/>
</file>

<file path=customXml/itemProps4.xml><?xml version="1.0" encoding="utf-8"?>
<ds:datastoreItem xmlns:ds="http://schemas.openxmlformats.org/officeDocument/2006/customXml" ds:itemID="{28D1CAE2-C248-4465-B93C-462C7F73643E}"/>
</file>

<file path=docProps/app.xml><?xml version="1.0" encoding="utf-8"?>
<Properties xmlns="http://schemas.openxmlformats.org/officeDocument/2006/extended-properties" xmlns:vt="http://schemas.openxmlformats.org/officeDocument/2006/docPropsVTypes">
  <Template>Normal</Template>
  <TotalTime>27</TotalTime>
  <Pages>8</Pages>
  <Words>5024</Words>
  <Characters>27634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- 585e session plénière - février 2024</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Antunes Cristiano</cp:lastModifiedBy>
  <cp:revision>34</cp:revision>
  <cp:lastPrinted>2023-06-15T08:00:00Z</cp:lastPrinted>
  <dcterms:created xsi:type="dcterms:W3CDTF">2024-02-27T12:12:00Z</dcterms:created>
  <dcterms:modified xsi:type="dcterms:W3CDTF">2024-03-07T09:29:00Z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27/02/2024, 29/01/2024, 03/01/2024, 13/11/2023, 25/09/2023, 25/07/2023, 30/06/2023, 23/06/2023, 26/05/2023, 07/03/2023, 11/01/2023, 10/01/2023, 29/03/2022, 04/03/2022, 15/12/2021, 13/09/2021, 03/09/2021, 28/06/2021</vt:lpwstr>
  </property>
  <property fmtid="{D5CDD505-2E9C-101B-9397-08002B2CF9AE}" pid="4" name="Pref_Time">
    <vt:lpwstr>12:56:45, 17:07:09, 15:02:18, 17:01:12, 16:07:19, 11:58:41, 14:00:08, 12:39:02, 15:12:50, 10:27:54, 10:12:15, 11:41:25, 14:21:50, 16:54:06, 17:56:36, 14:13:00, 10:08:10, 08:41:48</vt:lpwstr>
  </property>
  <property fmtid="{D5CDD505-2E9C-101B-9397-08002B2CF9AE}" pid="5" name="Pref_User">
    <vt:lpwstr>jhvi, amett, enied, amett, amett, jhvi, pacup, jhvi, pacup, enied, pacup, enied, jhvi, enied, hnic, amett, enied, enied</vt:lpwstr>
  </property>
  <property fmtid="{D5CDD505-2E9C-101B-9397-08002B2CF9AE}" pid="6" name="Pref_FileName">
    <vt:lpwstr>EESC-2024-00286-00-00-TCD-ORI.docx,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34b1e88e-f988-48c3-a2fd-174142c49825</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DA|5d49c027-8956-412b-aa16-e85a0f96ad0e;IT|0774613c-01ed-4e5d-a25d-11d2388de825;ET|ff6c3f4c-b02c-4c3c-ab07-2c37995a7a0a;LT|a7ff5ce7-6123-4f68-865a-a57c31810414;SL|98a412ae-eb01-49e9-ae3d-585a81724cfc;FI|87606a43-d45f-42d6-b8c9-e1a3457db5b7;NL|55c6556c-b4f4-441d-9acf-c498d4f838bd;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31;#NL|55c6556c-b4f4-441d-9acf-c498d4f838bd;#27;#SL|98a412ae-eb01-49e9-ae3d-585a81724cfc;#24;#ES|e7a6b05b-ae16-40c8-add9-68b64b03aeba;#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14;#FR|d2afafd3-4c81-4f60-8f52-ee33f2f54ff3</vt:lpwstr>
  </property>
</Properties>
</file>