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94B6B" w:rsidR="004D7AC0" w:rsidP="00775FC4" w:rsidRDefault="00721342" w14:paraId="785AE44C" w14:textId="09465C58">
      <w:pPr>
        <w:jc w:val="center"/>
      </w:pPr>
      <w:bookmarkStart w:name="_Hlk141173132" w:id="0"/>
      <w:bookmarkStart w:name="_GoBack" w:id="1"/>
      <w:bookmarkEnd w:id="1"/>
      <w:r w:rsidRPr="00094B6B">
        <w:rPr>
          <w:noProof/>
          <w:lang w:val="en-US"/>
        </w:rPr>
        <w:drawing>
          <wp:inline distT="0" distB="0" distL="0" distR="0" wp14:anchorId="3B94C99A" wp14:editId="5606DACE">
            <wp:extent cx="1792605" cy="1239520"/>
            <wp:effectExtent l="0" t="0" r="0" b="0"/>
            <wp:docPr id="1" name="Picture 1" title="EESCLogo_E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p>
    <w:p w:rsidRPr="00094B6B" w:rsidR="004D7AC0" w:rsidP="00775FC4" w:rsidRDefault="00A8243E" w14:paraId="51F52D79" w14:textId="6B5142C7">
      <w:r w:rsidRPr="00094B6B">
        <w:rPr>
          <w:noProof/>
          <w:sz w:val="20"/>
          <w:lang w:val="en-US"/>
        </w:rPr>
        <mc:AlternateContent>
          <mc:Choice Requires="wps">
            <w:drawing>
              <wp:anchor distT="0" distB="0" distL="114300" distR="114300" simplePos="0" relativeHeight="251657216" behindDoc="1" locked="0" layoutInCell="0" allowOverlap="1" wp14:editId="5A05454C" wp14:anchorId="60050413">
                <wp:simplePos x="0" y="0"/>
                <wp:positionH relativeFrom="page">
                  <wp:posOffset>6770788</wp:posOffset>
                </wp:positionH>
                <wp:positionV relativeFrom="page">
                  <wp:posOffset>10083352</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15pt;margin-top:793.95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EN</w:t>
                      </w:r>
                    </w:p>
                  </w:txbxContent>
                </v:textbox>
                <w10:wrap anchorx="page" anchory="page"/>
              </v:shape>
            </w:pict>
          </mc:Fallback>
        </mc:AlternateContent>
      </w:r>
    </w:p>
    <w:p w:rsidRPr="00094B6B" w:rsidR="004D7AC0" w:rsidP="00775FC4" w:rsidRDefault="00014C93" w14:paraId="45DE4A28" w14:textId="5402B3AE">
      <w:pPr>
        <w:jc w:val="right"/>
      </w:pPr>
      <w:r w:rsidRPr="00094B6B">
        <w:t xml:space="preserve">Brussels, </w:t>
      </w:r>
      <w:r w:rsidR="00A73956">
        <w:t>18 March</w:t>
      </w:r>
      <w:r w:rsidR="0003252D">
        <w:t xml:space="preserve"> </w:t>
      </w:r>
      <w:r w:rsidRPr="00094B6B" w:rsidR="00B34E93">
        <w:t>202</w:t>
      </w:r>
      <w:r w:rsidR="00ED005C">
        <w:t>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73D9AE9C">
            <w:pPr>
              <w:snapToGrid w:val="0"/>
              <w:jc w:val="center"/>
              <w:rPr>
                <w:b/>
                <w:sz w:val="32"/>
              </w:rPr>
            </w:pPr>
            <w:r w:rsidRPr="00094B6B">
              <w:rPr>
                <w:b/>
                <w:sz w:val="32"/>
              </w:rPr>
              <w:t>5</w:t>
            </w:r>
            <w:r w:rsidRPr="00094B6B" w:rsidR="00BC376C">
              <w:rPr>
                <w:b/>
                <w:sz w:val="32"/>
              </w:rPr>
              <w:t>8</w:t>
            </w:r>
            <w:r w:rsidR="00DC21F4">
              <w:rPr>
                <w:b/>
                <w:sz w:val="32"/>
              </w:rPr>
              <w:t>5</w:t>
            </w:r>
            <w:r w:rsidR="004437F6">
              <w:rPr>
                <w:b/>
                <w:sz w:val="32"/>
              </w:rPr>
              <w:t>th</w:t>
            </w:r>
            <w:r w:rsidRPr="00094B6B" w:rsidR="00884879">
              <w:rPr>
                <w:b/>
                <w:sz w:val="32"/>
              </w:rPr>
              <w:t xml:space="preserve"> PLENARY SESSION</w:t>
            </w:r>
          </w:p>
          <w:p w:rsidRPr="00094B6B" w:rsidR="001760E9" w:rsidP="00775FC4" w:rsidRDefault="001760E9" w14:paraId="6C87A626" w14:textId="0AE2882C">
            <w:pPr>
              <w:snapToGrid w:val="0"/>
              <w:jc w:val="center"/>
              <w:rPr>
                <w:b/>
                <w:sz w:val="32"/>
              </w:rPr>
            </w:pPr>
          </w:p>
          <w:p w:rsidRPr="00094B6B" w:rsidR="001760E9" w:rsidP="00775FC4" w:rsidRDefault="00335DF3" w14:paraId="6CF7229C" w14:textId="32F5F03F">
            <w:pPr>
              <w:snapToGrid w:val="0"/>
              <w:jc w:val="center"/>
              <w:rPr>
                <w:b/>
                <w:sz w:val="32"/>
              </w:rPr>
            </w:pPr>
            <w:r>
              <w:rPr>
                <w:b/>
                <w:sz w:val="32"/>
              </w:rPr>
              <w:t>1</w:t>
            </w:r>
            <w:r w:rsidR="000D6BC4">
              <w:rPr>
                <w:b/>
                <w:sz w:val="32"/>
              </w:rPr>
              <w:t>4</w:t>
            </w:r>
            <w:r>
              <w:rPr>
                <w:b/>
                <w:sz w:val="32"/>
              </w:rPr>
              <w:t xml:space="preserve"> </w:t>
            </w:r>
            <w:r w:rsidRPr="00094B6B" w:rsidR="006E6434">
              <w:rPr>
                <w:b/>
                <w:sz w:val="32"/>
              </w:rPr>
              <w:t>and</w:t>
            </w:r>
            <w:r w:rsidRPr="00094B6B" w:rsidR="00884879">
              <w:rPr>
                <w:b/>
                <w:sz w:val="32"/>
              </w:rPr>
              <w:t xml:space="preserve"> </w:t>
            </w:r>
            <w:r>
              <w:rPr>
                <w:b/>
                <w:sz w:val="32"/>
              </w:rPr>
              <w:t>1</w:t>
            </w:r>
            <w:r w:rsidR="000D6BC4">
              <w:rPr>
                <w:b/>
                <w:sz w:val="32"/>
              </w:rPr>
              <w:t>5</w:t>
            </w:r>
            <w:r>
              <w:rPr>
                <w:b/>
                <w:sz w:val="32"/>
              </w:rPr>
              <w:t xml:space="preserve"> </w:t>
            </w:r>
            <w:r w:rsidR="000D6BC4">
              <w:rPr>
                <w:b/>
                <w:sz w:val="32"/>
              </w:rPr>
              <w:t>February</w:t>
            </w:r>
            <w:r w:rsidR="0003252D">
              <w:rPr>
                <w:b/>
                <w:sz w:val="32"/>
              </w:rPr>
              <w:t xml:space="preserve"> </w:t>
            </w:r>
            <w:r w:rsidRPr="00094B6B" w:rsidR="00670347">
              <w:rPr>
                <w:b/>
                <w:sz w:val="32"/>
              </w:rPr>
              <w:t>202</w:t>
            </w:r>
            <w:r w:rsidR="0055583C">
              <w:rPr>
                <w:b/>
                <w:sz w:val="32"/>
              </w:rPr>
              <w:t>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sidRPr="00094B6B">
              <w:rPr>
                <w:b/>
                <w:sz w:val="32"/>
              </w:rPr>
              <w:t>SUMMARY OF</w:t>
            </w:r>
            <w:r w:rsidRPr="00094B6B" w:rsidR="004047A6">
              <w:rPr>
                <w:b/>
                <w:sz w:val="32"/>
              </w:rPr>
              <w:t xml:space="preserve"> ADOPTED</w:t>
            </w:r>
            <w:r w:rsidRPr="00094B6B">
              <w:rPr>
                <w:b/>
                <w:sz w:val="32"/>
              </w:rPr>
              <w:t xml:space="preserve"> OPINIONS</w:t>
            </w:r>
            <w:r w:rsidRPr="00094B6B" w:rsidR="004047A6">
              <w:rPr>
                <w:b/>
                <w:sz w:val="32"/>
              </w:rPr>
              <w:t xml:space="preserve">, </w:t>
            </w:r>
            <w:r w:rsidRPr="00094B6B">
              <w:rPr>
                <w:b/>
                <w:sz w:val="32"/>
              </w:rPr>
              <w:t>RESOLUTIONS AND</w:t>
            </w:r>
            <w:r w:rsidRPr="00094B6B" w:rsidR="00585857">
              <w:rPr>
                <w:b/>
                <w:sz w:val="32"/>
              </w:rPr>
              <w:t xml:space="preserve"> </w:t>
            </w:r>
            <w:r w:rsidRPr="00094B6B">
              <w:rPr>
                <w:b/>
                <w:sz w:val="32"/>
              </w:rPr>
              <w:t>INFORMATION</w:t>
            </w:r>
            <w:r w:rsidRPr="00094B6B" w:rsidR="00886448">
              <w:rPr>
                <w:b/>
                <w:sz w:val="32"/>
              </w:rPr>
              <w:t xml:space="preserve"> / EVALUATION</w:t>
            </w:r>
            <w:r w:rsidRPr="00094B6B">
              <w:rPr>
                <w:b/>
                <w:sz w:val="32"/>
              </w:rPr>
              <w:t xml:space="preserve"> REPORTS</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rsidRPr="00094B6B">
              <w:t>This document is available in the official languages on the EESC website at:</w:t>
            </w:r>
          </w:p>
          <w:p w:rsidRPr="00094B6B" w:rsidR="00B16284" w:rsidP="00775FC4" w:rsidRDefault="00B16284" w14:paraId="4F26A4CE" w14:textId="77777777">
            <w:pPr>
              <w:snapToGrid w:val="0"/>
              <w:jc w:val="center"/>
            </w:pPr>
          </w:p>
          <w:p w:rsidRPr="00094B6B" w:rsidR="004D7AC0" w:rsidP="00775FC4" w:rsidRDefault="00B21B70" w14:paraId="2A9352A2" w14:textId="0680ADB6">
            <w:pPr>
              <w:snapToGrid w:val="0"/>
              <w:jc w:val="center"/>
            </w:pPr>
            <w:hyperlink w:history="1" r:id="rId12">
              <w:r w:rsidRPr="00094B6B" w:rsidR="004D7AC0">
                <w:rPr>
                  <w:rStyle w:val="Hyperlink"/>
                  <w:highlight w:val="yellow"/>
                </w:rPr>
                <w:t>https://www.eesc.europa.eu/en/our-work/opinions-information-reports/plenary-session-summaries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rsidRPr="00094B6B">
              <w:t>The opinions listed can be consulted online using the EESC search engine:</w:t>
            </w:r>
          </w:p>
          <w:p w:rsidRPr="00094B6B" w:rsidR="00B16284" w:rsidP="00775FC4" w:rsidRDefault="00B16284" w14:paraId="7A5411A5" w14:textId="77777777">
            <w:pPr>
              <w:snapToGrid w:val="0"/>
              <w:jc w:val="center"/>
            </w:pPr>
          </w:p>
          <w:p w:rsidRPr="00094B6B" w:rsidR="004D7AC0" w:rsidP="00775FC4" w:rsidRDefault="00B21B70" w14:paraId="441AC4DD" w14:textId="1194D751">
            <w:pPr>
              <w:snapToGrid w:val="0"/>
              <w:jc w:val="center"/>
            </w:pPr>
            <w:hyperlink w:history="1" r:id="rId13">
              <w:r w:rsidRPr="00094B6B" w:rsidR="004D7AC0">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4417CD">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E31152" w:rsidR="00E31152" w:rsidP="00775FC4" w:rsidRDefault="00E31152" w14:paraId="0D3450B1" w14:textId="62EC5944">
      <w:pPr>
        <w:keepNext/>
        <w:keepLines/>
        <w:ind w:hanging="284"/>
        <w:jc w:val="left"/>
        <w:rPr>
          <w:rFonts w:asciiTheme="majorHAnsi" w:hAnsiTheme="majorHAnsi" w:eastAsiaTheme="majorEastAsia" w:cstheme="majorBidi"/>
          <w:color w:val="2E74B5" w:themeColor="accent1" w:themeShade="BF"/>
          <w:sz w:val="32"/>
          <w:szCs w:val="32"/>
        </w:rPr>
      </w:pPr>
    </w:p>
    <w:sdt>
      <w:sdtPr>
        <w:id w:val="-306329516"/>
        <w:docPartObj>
          <w:docPartGallery w:val="Table of Contents"/>
          <w:docPartUnique/>
        </w:docPartObj>
      </w:sdtPr>
      <w:sdtEndPr>
        <w:rPr>
          <w:b/>
          <w:bCs/>
          <w:noProof/>
        </w:rPr>
      </w:sdtEndPr>
      <w:sdtContent>
        <w:p w:rsidRPr="00544D95" w:rsidR="00544D95" w:rsidP="00544D95" w:rsidRDefault="00544D95" w14:paraId="58A03F7E" w14:textId="77777777">
          <w:pPr>
            <w:keepNext/>
            <w:keepLines/>
            <w:spacing w:before="240" w:line="259" w:lineRule="auto"/>
            <w:jc w:val="left"/>
            <w:rPr>
              <w:rFonts w:asciiTheme="majorHAnsi" w:hAnsiTheme="majorHAnsi" w:eastAsiaTheme="majorEastAsia" w:cstheme="majorBidi"/>
              <w:color w:val="2E74B5" w:themeColor="accent1" w:themeShade="BF"/>
              <w:sz w:val="32"/>
              <w:szCs w:val="32"/>
            </w:rPr>
          </w:pPr>
          <w:r w:rsidRPr="00544D95">
            <w:rPr>
              <w:rFonts w:asciiTheme="majorHAnsi" w:hAnsiTheme="majorHAnsi" w:eastAsiaTheme="majorEastAsia" w:cstheme="majorBidi"/>
              <w:color w:val="2E74B5" w:themeColor="accent1" w:themeShade="BF"/>
              <w:sz w:val="32"/>
              <w:szCs w:val="32"/>
            </w:rPr>
            <w:t>Contents</w:t>
          </w:r>
        </w:p>
        <w:p w:rsidR="00A73956" w:rsidRDefault="00544D95" w14:paraId="32C615FF" w14:textId="500B4BEB">
          <w:pPr>
            <w:pStyle w:val="TOC1"/>
            <w:rPr>
              <w:rFonts w:asciiTheme="minorHAnsi" w:hAnsiTheme="minorHAnsi" w:eastAsiaTheme="minorEastAsia" w:cstheme="minorBidi"/>
              <w:bCs w:val="0"/>
              <w:sz w:val="22"/>
              <w:szCs w:val="22"/>
              <w:lang w:val="fr-BE" w:eastAsia="fr-BE"/>
            </w:rPr>
          </w:pPr>
          <w:r w:rsidRPr="00544D95">
            <w:fldChar w:fldCharType="begin"/>
          </w:r>
          <w:r w:rsidRPr="00544D95">
            <w:instrText xml:space="preserve"> TOC \o "1-3" \h \z \u </w:instrText>
          </w:r>
          <w:r w:rsidRPr="00544D95">
            <w:fldChar w:fldCharType="separate"/>
          </w:r>
          <w:hyperlink w:history="1" w:anchor="_Toc159831757">
            <w:r w:rsidRPr="00403592" w:rsidR="00A73956">
              <w:rPr>
                <w:rStyle w:val="Hyperlink"/>
                <w14:scene3d>
                  <w14:camera w14:prst="orthographicFront"/>
                  <w14:lightRig w14:rig="threePt" w14:dir="t">
                    <w14:rot w14:lat="0" w14:lon="0" w14:rev="0"/>
                  </w14:lightRig>
                </w14:scene3d>
              </w:rPr>
              <w:t>1.</w:t>
            </w:r>
            <w:r w:rsidR="00A73956">
              <w:rPr>
                <w:rFonts w:asciiTheme="minorHAnsi" w:hAnsiTheme="minorHAnsi" w:eastAsiaTheme="minorEastAsia" w:cstheme="minorBidi"/>
                <w:bCs w:val="0"/>
                <w:sz w:val="22"/>
                <w:szCs w:val="22"/>
                <w:lang w:val="fr-BE" w:eastAsia="fr-BE"/>
              </w:rPr>
              <w:tab/>
            </w:r>
            <w:r w:rsidRPr="00403592" w:rsidR="00A73956">
              <w:rPr>
                <w:rStyle w:val="Hyperlink"/>
                <w:b/>
              </w:rPr>
              <w:t>ECONOMIC AND MONETARY UNION, ECONOMIC AND SOCIAL COHESION</w:t>
            </w:r>
            <w:r w:rsidR="00A73956">
              <w:rPr>
                <w:webHidden/>
              </w:rPr>
              <w:tab/>
            </w:r>
            <w:r w:rsidR="00A73956">
              <w:rPr>
                <w:webHidden/>
              </w:rPr>
              <w:fldChar w:fldCharType="begin"/>
            </w:r>
            <w:r w:rsidR="00A73956">
              <w:rPr>
                <w:webHidden/>
              </w:rPr>
              <w:instrText xml:space="preserve"> PAGEREF _Toc159831757 \h </w:instrText>
            </w:r>
            <w:r w:rsidR="00A73956">
              <w:rPr>
                <w:webHidden/>
              </w:rPr>
            </w:r>
            <w:r w:rsidR="00A73956">
              <w:rPr>
                <w:webHidden/>
              </w:rPr>
              <w:fldChar w:fldCharType="separate"/>
            </w:r>
            <w:r w:rsidR="00EA147B">
              <w:rPr>
                <w:webHidden/>
              </w:rPr>
              <w:t>3</w:t>
            </w:r>
            <w:r w:rsidR="00A73956">
              <w:rPr>
                <w:webHidden/>
              </w:rPr>
              <w:fldChar w:fldCharType="end"/>
            </w:r>
          </w:hyperlink>
        </w:p>
        <w:p w:rsidR="00A73956" w:rsidRDefault="00B21B70" w14:paraId="7D604740" w14:textId="30255991">
          <w:pPr>
            <w:pStyle w:val="TOC1"/>
            <w:rPr>
              <w:rFonts w:asciiTheme="minorHAnsi" w:hAnsiTheme="minorHAnsi" w:eastAsiaTheme="minorEastAsia" w:cstheme="minorBidi"/>
              <w:bCs w:val="0"/>
              <w:sz w:val="22"/>
              <w:szCs w:val="22"/>
              <w:lang w:val="fr-BE" w:eastAsia="fr-BE"/>
            </w:rPr>
          </w:pPr>
          <w:hyperlink w:history="1" w:anchor="_Toc159831769">
            <w:r w:rsidRPr="00403592" w:rsidR="00A73956">
              <w:rPr>
                <w:rStyle w:val="Hyperlink"/>
                <w14:scene3d>
                  <w14:camera w14:prst="orthographicFront"/>
                  <w14:lightRig w14:rig="threePt" w14:dir="t">
                    <w14:rot w14:lat="0" w14:lon="0" w14:rev="0"/>
                  </w14:lightRig>
                </w14:scene3d>
              </w:rPr>
              <w:t>2.</w:t>
            </w:r>
            <w:r w:rsidR="00A73956">
              <w:rPr>
                <w:rFonts w:asciiTheme="minorHAnsi" w:hAnsiTheme="minorHAnsi" w:eastAsiaTheme="minorEastAsia" w:cstheme="minorBidi"/>
                <w:bCs w:val="0"/>
                <w:sz w:val="22"/>
                <w:szCs w:val="22"/>
                <w:lang w:val="fr-BE" w:eastAsia="fr-BE"/>
              </w:rPr>
              <w:tab/>
            </w:r>
            <w:r w:rsidRPr="00403592" w:rsidR="00A73956">
              <w:rPr>
                <w:rStyle w:val="Hyperlink"/>
                <w:b/>
              </w:rPr>
              <w:t>EMPLOYMENT, SOCIAL AFFAIRS AND CITIZENSHIP</w:t>
            </w:r>
            <w:r w:rsidR="00A73956">
              <w:rPr>
                <w:webHidden/>
              </w:rPr>
              <w:tab/>
            </w:r>
            <w:r w:rsidR="00A73956">
              <w:rPr>
                <w:webHidden/>
              </w:rPr>
              <w:fldChar w:fldCharType="begin"/>
            </w:r>
            <w:r w:rsidR="00A73956">
              <w:rPr>
                <w:webHidden/>
              </w:rPr>
              <w:instrText xml:space="preserve"> PAGEREF _Toc159831769 \h </w:instrText>
            </w:r>
            <w:r w:rsidR="00A73956">
              <w:rPr>
                <w:webHidden/>
              </w:rPr>
            </w:r>
            <w:r w:rsidR="00A73956">
              <w:rPr>
                <w:webHidden/>
              </w:rPr>
              <w:fldChar w:fldCharType="separate"/>
            </w:r>
            <w:r w:rsidR="00EA147B">
              <w:rPr>
                <w:webHidden/>
              </w:rPr>
              <w:t>7</w:t>
            </w:r>
            <w:r w:rsidR="00A73956">
              <w:rPr>
                <w:webHidden/>
              </w:rPr>
              <w:fldChar w:fldCharType="end"/>
            </w:r>
          </w:hyperlink>
        </w:p>
        <w:p w:rsidR="00A73956" w:rsidRDefault="00B21B70" w14:paraId="719A63A6" w14:textId="3715A9DE">
          <w:pPr>
            <w:pStyle w:val="TOC1"/>
            <w:rPr>
              <w:rFonts w:asciiTheme="minorHAnsi" w:hAnsiTheme="minorHAnsi" w:eastAsiaTheme="minorEastAsia" w:cstheme="minorBidi"/>
              <w:bCs w:val="0"/>
              <w:sz w:val="22"/>
              <w:szCs w:val="22"/>
              <w:lang w:val="fr-BE" w:eastAsia="fr-BE"/>
            </w:rPr>
          </w:pPr>
          <w:hyperlink w:history="1" w:anchor="_Toc159831770">
            <w:r w:rsidRPr="00403592" w:rsidR="00A73956">
              <w:rPr>
                <w:rStyle w:val="Hyperlink"/>
                <w14:scene3d>
                  <w14:camera w14:prst="orthographicFront"/>
                  <w14:lightRig w14:rig="threePt" w14:dir="t">
                    <w14:rot w14:lat="0" w14:lon="0" w14:rev="0"/>
                  </w14:lightRig>
                </w14:scene3d>
              </w:rPr>
              <w:t>3.</w:t>
            </w:r>
            <w:r w:rsidR="00A73956">
              <w:rPr>
                <w:rFonts w:asciiTheme="minorHAnsi" w:hAnsiTheme="minorHAnsi" w:eastAsiaTheme="minorEastAsia" w:cstheme="minorBidi"/>
                <w:bCs w:val="0"/>
                <w:sz w:val="22"/>
                <w:szCs w:val="22"/>
                <w:lang w:val="fr-BE" w:eastAsia="fr-BE"/>
              </w:rPr>
              <w:tab/>
            </w:r>
            <w:r w:rsidRPr="00403592" w:rsidR="00A73956">
              <w:rPr>
                <w:rStyle w:val="Hyperlink"/>
                <w:b/>
              </w:rPr>
              <w:t>SINGLE MARKET, PRODUCTION AND CONSUMPTION</w:t>
            </w:r>
            <w:r w:rsidR="00A73956">
              <w:rPr>
                <w:webHidden/>
              </w:rPr>
              <w:tab/>
            </w:r>
            <w:r w:rsidR="00A73956">
              <w:rPr>
                <w:webHidden/>
              </w:rPr>
              <w:fldChar w:fldCharType="begin"/>
            </w:r>
            <w:r w:rsidR="00A73956">
              <w:rPr>
                <w:webHidden/>
              </w:rPr>
              <w:instrText xml:space="preserve"> PAGEREF _Toc159831770 \h </w:instrText>
            </w:r>
            <w:r w:rsidR="00A73956">
              <w:rPr>
                <w:webHidden/>
              </w:rPr>
            </w:r>
            <w:r w:rsidR="00A73956">
              <w:rPr>
                <w:webHidden/>
              </w:rPr>
              <w:fldChar w:fldCharType="separate"/>
            </w:r>
            <w:r w:rsidR="00EA147B">
              <w:rPr>
                <w:webHidden/>
              </w:rPr>
              <w:t>9</w:t>
            </w:r>
            <w:r w:rsidR="00A73956">
              <w:rPr>
                <w:webHidden/>
              </w:rPr>
              <w:fldChar w:fldCharType="end"/>
            </w:r>
          </w:hyperlink>
        </w:p>
        <w:p w:rsidR="00A73956" w:rsidRDefault="00B21B70" w14:paraId="4AEDCBD1" w14:textId="77D917C1">
          <w:pPr>
            <w:pStyle w:val="TOC1"/>
            <w:rPr>
              <w:rFonts w:asciiTheme="minorHAnsi" w:hAnsiTheme="minorHAnsi" w:eastAsiaTheme="minorEastAsia" w:cstheme="minorBidi"/>
              <w:bCs w:val="0"/>
              <w:sz w:val="22"/>
              <w:szCs w:val="22"/>
              <w:lang w:val="fr-BE" w:eastAsia="fr-BE"/>
            </w:rPr>
          </w:pPr>
          <w:hyperlink w:history="1" w:anchor="_Toc159831771">
            <w:r w:rsidRPr="00403592" w:rsidR="00A73956">
              <w:rPr>
                <w:rStyle w:val="Hyperlink"/>
                <w14:scene3d>
                  <w14:camera w14:prst="orthographicFront"/>
                  <w14:lightRig w14:rig="threePt" w14:dir="t">
                    <w14:rot w14:lat="0" w14:lon="0" w14:rev="0"/>
                  </w14:lightRig>
                </w14:scene3d>
              </w:rPr>
              <w:t>4.</w:t>
            </w:r>
            <w:r w:rsidR="00A73956">
              <w:rPr>
                <w:rFonts w:asciiTheme="minorHAnsi" w:hAnsiTheme="minorHAnsi" w:eastAsiaTheme="minorEastAsia" w:cstheme="minorBidi"/>
                <w:bCs w:val="0"/>
                <w:sz w:val="22"/>
                <w:szCs w:val="22"/>
                <w:lang w:val="fr-BE" w:eastAsia="fr-BE"/>
              </w:rPr>
              <w:tab/>
            </w:r>
            <w:r w:rsidRPr="00403592" w:rsidR="00A73956">
              <w:rPr>
                <w:rStyle w:val="Hyperlink"/>
                <w:b/>
              </w:rPr>
              <w:t>AGRICULTURE, RURAL DEVELOPMENT AND THE ENVIRONMENT</w:t>
            </w:r>
            <w:r w:rsidR="00A73956">
              <w:rPr>
                <w:webHidden/>
              </w:rPr>
              <w:tab/>
            </w:r>
            <w:r w:rsidR="00A73956">
              <w:rPr>
                <w:webHidden/>
              </w:rPr>
              <w:fldChar w:fldCharType="begin"/>
            </w:r>
            <w:r w:rsidR="00A73956">
              <w:rPr>
                <w:webHidden/>
              </w:rPr>
              <w:instrText xml:space="preserve"> PAGEREF _Toc159831771 \h </w:instrText>
            </w:r>
            <w:r w:rsidR="00A73956">
              <w:rPr>
                <w:webHidden/>
              </w:rPr>
            </w:r>
            <w:r w:rsidR="00A73956">
              <w:rPr>
                <w:webHidden/>
              </w:rPr>
              <w:fldChar w:fldCharType="separate"/>
            </w:r>
            <w:r w:rsidR="00EA147B">
              <w:rPr>
                <w:webHidden/>
              </w:rPr>
              <w:t>11</w:t>
            </w:r>
            <w:r w:rsidR="00A73956">
              <w:rPr>
                <w:webHidden/>
              </w:rPr>
              <w:fldChar w:fldCharType="end"/>
            </w:r>
          </w:hyperlink>
        </w:p>
        <w:p w:rsidR="00A73956" w:rsidRDefault="00B21B70" w14:paraId="51F44AA7" w14:textId="1C9DAB2A">
          <w:pPr>
            <w:pStyle w:val="TOC1"/>
            <w:rPr>
              <w:rFonts w:asciiTheme="minorHAnsi" w:hAnsiTheme="minorHAnsi" w:eastAsiaTheme="minorEastAsia" w:cstheme="minorBidi"/>
              <w:bCs w:val="0"/>
              <w:sz w:val="22"/>
              <w:szCs w:val="22"/>
              <w:lang w:val="fr-BE" w:eastAsia="fr-BE"/>
            </w:rPr>
          </w:pPr>
          <w:hyperlink w:history="1" w:anchor="_Toc159831782">
            <w:r w:rsidRPr="00403592" w:rsidR="00A73956">
              <w:rPr>
                <w:rStyle w:val="Hyperlink"/>
                <w14:scene3d>
                  <w14:camera w14:prst="orthographicFront"/>
                  <w14:lightRig w14:rig="threePt" w14:dir="t">
                    <w14:rot w14:lat="0" w14:lon="0" w14:rev="0"/>
                  </w14:lightRig>
                </w14:scene3d>
              </w:rPr>
              <w:t>5.</w:t>
            </w:r>
            <w:r w:rsidR="00A73956">
              <w:rPr>
                <w:rFonts w:asciiTheme="minorHAnsi" w:hAnsiTheme="minorHAnsi" w:eastAsiaTheme="minorEastAsia" w:cstheme="minorBidi"/>
                <w:bCs w:val="0"/>
                <w:sz w:val="22"/>
                <w:szCs w:val="22"/>
                <w:lang w:val="fr-BE" w:eastAsia="fr-BE"/>
              </w:rPr>
              <w:tab/>
            </w:r>
            <w:r w:rsidRPr="00403592" w:rsidR="00A73956">
              <w:rPr>
                <w:rStyle w:val="Hyperlink"/>
                <w:b/>
              </w:rPr>
              <w:t>EXTERNAL RELATIONS</w:t>
            </w:r>
            <w:r w:rsidR="00A73956">
              <w:rPr>
                <w:webHidden/>
              </w:rPr>
              <w:tab/>
            </w:r>
            <w:r w:rsidR="00A73956">
              <w:rPr>
                <w:webHidden/>
              </w:rPr>
              <w:fldChar w:fldCharType="begin"/>
            </w:r>
            <w:r w:rsidR="00A73956">
              <w:rPr>
                <w:webHidden/>
              </w:rPr>
              <w:instrText xml:space="preserve"> PAGEREF _Toc159831782 \h </w:instrText>
            </w:r>
            <w:r w:rsidR="00A73956">
              <w:rPr>
                <w:webHidden/>
              </w:rPr>
            </w:r>
            <w:r w:rsidR="00A73956">
              <w:rPr>
                <w:webHidden/>
              </w:rPr>
              <w:fldChar w:fldCharType="separate"/>
            </w:r>
            <w:r w:rsidR="00EA147B">
              <w:rPr>
                <w:webHidden/>
              </w:rPr>
              <w:t>12</w:t>
            </w:r>
            <w:r w:rsidR="00A73956">
              <w:rPr>
                <w:webHidden/>
              </w:rPr>
              <w:fldChar w:fldCharType="end"/>
            </w:r>
          </w:hyperlink>
        </w:p>
        <w:p w:rsidR="00A73956" w:rsidRDefault="00B21B70" w14:paraId="23E0BF5D" w14:textId="773851F7">
          <w:pPr>
            <w:pStyle w:val="TOC1"/>
            <w:rPr>
              <w:rFonts w:asciiTheme="minorHAnsi" w:hAnsiTheme="minorHAnsi" w:eastAsiaTheme="minorEastAsia" w:cstheme="minorBidi"/>
              <w:bCs w:val="0"/>
              <w:sz w:val="22"/>
              <w:szCs w:val="22"/>
              <w:lang w:val="fr-BE" w:eastAsia="fr-BE"/>
            </w:rPr>
          </w:pPr>
          <w:hyperlink w:history="1" w:anchor="_Toc159831783">
            <w:r w:rsidRPr="00403592" w:rsidR="00A73956">
              <w:rPr>
                <w:rStyle w:val="Hyperlink"/>
                <w14:scene3d>
                  <w14:camera w14:prst="orthographicFront"/>
                  <w14:lightRig w14:rig="threePt" w14:dir="t">
                    <w14:rot w14:lat="0" w14:lon="0" w14:rev="0"/>
                  </w14:lightRig>
                </w14:scene3d>
              </w:rPr>
              <w:t>6.</w:t>
            </w:r>
            <w:r w:rsidR="00A73956">
              <w:rPr>
                <w:rFonts w:asciiTheme="minorHAnsi" w:hAnsiTheme="minorHAnsi" w:eastAsiaTheme="minorEastAsia" w:cstheme="minorBidi"/>
                <w:bCs w:val="0"/>
                <w:sz w:val="22"/>
                <w:szCs w:val="22"/>
                <w:lang w:val="fr-BE" w:eastAsia="fr-BE"/>
              </w:rPr>
              <w:tab/>
            </w:r>
            <w:r w:rsidRPr="00403592" w:rsidR="00A73956">
              <w:rPr>
                <w:rStyle w:val="Hyperlink"/>
                <w:b/>
              </w:rPr>
              <w:t>TRANSPORT, ENERGY, INFRASTRUCTURE AND THE INFORMATION SOCIETY</w:t>
            </w:r>
            <w:r w:rsidR="00A73956">
              <w:rPr>
                <w:webHidden/>
              </w:rPr>
              <w:tab/>
            </w:r>
            <w:r w:rsidR="00A73956">
              <w:rPr>
                <w:webHidden/>
              </w:rPr>
              <w:fldChar w:fldCharType="begin"/>
            </w:r>
            <w:r w:rsidR="00A73956">
              <w:rPr>
                <w:webHidden/>
              </w:rPr>
              <w:instrText xml:space="preserve"> PAGEREF _Toc159831783 \h </w:instrText>
            </w:r>
            <w:r w:rsidR="00A73956">
              <w:rPr>
                <w:webHidden/>
              </w:rPr>
            </w:r>
            <w:r w:rsidR="00A73956">
              <w:rPr>
                <w:webHidden/>
              </w:rPr>
              <w:fldChar w:fldCharType="separate"/>
            </w:r>
            <w:r w:rsidR="00EA147B">
              <w:rPr>
                <w:webHidden/>
              </w:rPr>
              <w:t>13</w:t>
            </w:r>
            <w:r w:rsidR="00A73956">
              <w:rPr>
                <w:webHidden/>
              </w:rPr>
              <w:fldChar w:fldCharType="end"/>
            </w:r>
          </w:hyperlink>
        </w:p>
        <w:p w:rsidR="00A73956" w:rsidRDefault="00B21B70" w14:paraId="001A0C56" w14:textId="0D23508F">
          <w:pPr>
            <w:pStyle w:val="TOC1"/>
            <w:rPr>
              <w:rFonts w:asciiTheme="minorHAnsi" w:hAnsiTheme="minorHAnsi" w:eastAsiaTheme="minorEastAsia" w:cstheme="minorBidi"/>
              <w:bCs w:val="0"/>
              <w:sz w:val="22"/>
              <w:szCs w:val="22"/>
              <w:lang w:val="fr-BE" w:eastAsia="fr-BE"/>
            </w:rPr>
          </w:pPr>
          <w:hyperlink w:history="1" w:anchor="_Toc159831784">
            <w:r w:rsidRPr="00403592" w:rsidR="00A73956">
              <w:rPr>
                <w:rStyle w:val="Hyperlink"/>
                <w14:scene3d>
                  <w14:camera w14:prst="orthographicFront"/>
                  <w14:lightRig w14:rig="threePt" w14:dir="t">
                    <w14:rot w14:lat="0" w14:lon="0" w14:rev="0"/>
                  </w14:lightRig>
                </w14:scene3d>
              </w:rPr>
              <w:t>7.</w:t>
            </w:r>
            <w:r w:rsidR="00A73956">
              <w:rPr>
                <w:rFonts w:asciiTheme="minorHAnsi" w:hAnsiTheme="minorHAnsi" w:eastAsiaTheme="minorEastAsia" w:cstheme="minorBidi"/>
                <w:bCs w:val="0"/>
                <w:sz w:val="22"/>
                <w:szCs w:val="22"/>
                <w:lang w:val="fr-BE" w:eastAsia="fr-BE"/>
              </w:rPr>
              <w:tab/>
            </w:r>
            <w:r w:rsidRPr="00403592" w:rsidR="00A73956">
              <w:rPr>
                <w:rStyle w:val="Hyperlink"/>
                <w:b/>
              </w:rPr>
              <w:t>CONSULTATIVE COMMISSION ON INDUSTRIAL CHANGE</w:t>
            </w:r>
            <w:r w:rsidR="00A73956">
              <w:rPr>
                <w:webHidden/>
              </w:rPr>
              <w:tab/>
            </w:r>
            <w:r w:rsidR="00A73956">
              <w:rPr>
                <w:webHidden/>
              </w:rPr>
              <w:fldChar w:fldCharType="begin"/>
            </w:r>
            <w:r w:rsidR="00A73956">
              <w:rPr>
                <w:webHidden/>
              </w:rPr>
              <w:instrText xml:space="preserve"> PAGEREF _Toc159831784 \h </w:instrText>
            </w:r>
            <w:r w:rsidR="00A73956">
              <w:rPr>
                <w:webHidden/>
              </w:rPr>
            </w:r>
            <w:r w:rsidR="00A73956">
              <w:rPr>
                <w:webHidden/>
              </w:rPr>
              <w:fldChar w:fldCharType="separate"/>
            </w:r>
            <w:r w:rsidR="00EA147B">
              <w:rPr>
                <w:webHidden/>
              </w:rPr>
              <w:t>14</w:t>
            </w:r>
            <w:r w:rsidR="00A73956">
              <w:rPr>
                <w:webHidden/>
              </w:rPr>
              <w:fldChar w:fldCharType="end"/>
            </w:r>
          </w:hyperlink>
        </w:p>
        <w:p w:rsidRPr="00544D95" w:rsidR="00544D95" w:rsidP="00544D95" w:rsidRDefault="00544D95" w14:paraId="589C47D7" w14:textId="7E72C08F">
          <w:pPr>
            <w:rPr>
              <w:b/>
              <w:bCs/>
              <w:noProof/>
            </w:rPr>
          </w:pPr>
          <w:r w:rsidRPr="00544D95">
            <w:rPr>
              <w:b/>
              <w:bCs/>
              <w:noProof/>
            </w:rPr>
            <w:fldChar w:fldCharType="end"/>
          </w:r>
        </w:p>
      </w:sdtContent>
    </w:sdt>
    <w:p w:rsidR="00BE2C1E" w:rsidRDefault="00BE2C1E" w14:paraId="2900045F" w14:textId="7EF0810A">
      <w:pPr>
        <w:spacing w:after="160" w:line="259" w:lineRule="auto"/>
        <w:jc w:val="left"/>
      </w:pPr>
      <w:r>
        <w:br w:type="page"/>
      </w:r>
    </w:p>
    <w:p w:rsidR="00A07736" w:rsidRDefault="00A07736" w14:paraId="6B93666C" w14:textId="77777777">
      <w:pPr>
        <w:spacing w:after="160" w:line="259" w:lineRule="auto"/>
        <w:jc w:val="left"/>
      </w:pPr>
    </w:p>
    <w:p w:rsidR="0038273B" w:rsidP="00C83487" w:rsidRDefault="0038273B" w14:paraId="62CE6920" w14:textId="4713069C">
      <w:pPr>
        <w:pStyle w:val="Heading1"/>
        <w:spacing w:before="0"/>
        <w:ind w:left="930" w:hanging="928"/>
        <w:rPr>
          <w:b/>
          <w:bCs/>
        </w:rPr>
      </w:pPr>
      <w:bookmarkStart w:name="_Toc159831757" w:id="2"/>
      <w:r w:rsidRPr="00EE2FBD">
        <w:rPr>
          <w:b/>
          <w:bCs/>
        </w:rPr>
        <w:t>ECONOMIC AND MONETARY UNION, ECONOMIC AND SOCIAL COHESION</w:t>
      </w:r>
      <w:bookmarkEnd w:id="2"/>
    </w:p>
    <w:p w:rsidRPr="00115BBC" w:rsidR="00115BBC" w:rsidP="00115BBC" w:rsidRDefault="00115BBC" w14:paraId="5C4FD48E" w14:textId="77777777"/>
    <w:p w:rsidRPr="00CF3B63" w:rsidR="00CF3B63" w:rsidP="00CC4510" w:rsidRDefault="00B21B70" w14:paraId="7EC430AC" w14:textId="415F6520">
      <w:pPr>
        <w:widowControl w:val="0"/>
        <w:numPr>
          <w:ilvl w:val="0"/>
          <w:numId w:val="2"/>
        </w:numPr>
        <w:overflowPunct w:val="0"/>
        <w:autoSpaceDE w:val="0"/>
        <w:autoSpaceDN w:val="0"/>
        <w:adjustRightInd w:val="0"/>
        <w:ind w:hanging="567"/>
        <w:textAlignment w:val="baseline"/>
        <w:rPr>
          <w:b/>
          <w:bCs/>
          <w:i/>
          <w:iCs/>
          <w:color w:val="0000FF"/>
          <w:sz w:val="28"/>
          <w:szCs w:val="28"/>
          <w:u w:val="single"/>
          <w:lang w:val="fr-BE"/>
        </w:rPr>
      </w:pPr>
      <w:hyperlink w:history="1" r:id="rId20">
        <w:r w:rsidRPr="00CF3B63" w:rsidR="00CF3B63">
          <w:rPr>
            <w:b/>
            <w:bCs/>
            <w:i/>
            <w:iCs/>
            <w:color w:val="0000FF"/>
            <w:sz w:val="28"/>
            <w:szCs w:val="28"/>
            <w:u w:val="single"/>
            <w:lang w:val="fr-BE"/>
          </w:rPr>
          <w:t>Taxation of cross-border teleworkers globally and the impact on the EU</w:t>
        </w:r>
      </w:hyperlink>
    </w:p>
    <w:p w:rsidR="00CF3B63" w:rsidP="00CF3B63" w:rsidRDefault="00CF3B63" w14:paraId="478C2AB3" w14:textId="340E8FC3">
      <w:pPr>
        <w:tabs>
          <w:tab w:val="center" w:pos="284"/>
        </w:tabs>
        <w:overflowPunct w:val="0"/>
        <w:autoSpaceDE w:val="0"/>
        <w:autoSpaceDN w:val="0"/>
        <w:adjustRightInd w:val="0"/>
        <w:ind w:left="266" w:hanging="266"/>
        <w:textAlignment w:val="baseline"/>
        <w:rPr>
          <w:b/>
        </w:rPr>
      </w:pPr>
    </w:p>
    <w:tbl>
      <w:tblPr>
        <w:tblStyle w:val="TableGrid19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670"/>
      </w:tblGrid>
      <w:tr w:rsidRPr="00CF3B63" w:rsidR="00E73010" w:rsidTr="00B17F65" w14:paraId="751D3B32" w14:textId="77777777">
        <w:tc>
          <w:tcPr>
            <w:tcW w:w="1701" w:type="dxa"/>
          </w:tcPr>
          <w:p w:rsidRPr="00CF3B63" w:rsidR="00E73010" w:rsidP="00B17F65" w:rsidRDefault="00E73010" w14:paraId="1452C9B6" w14:textId="77777777">
            <w:pPr>
              <w:tabs>
                <w:tab w:val="center" w:pos="284"/>
              </w:tabs>
              <w:overflowPunct w:val="0"/>
              <w:autoSpaceDE w:val="0"/>
              <w:autoSpaceDN w:val="0"/>
              <w:adjustRightInd w:val="0"/>
              <w:ind w:left="266" w:hanging="266"/>
              <w:textAlignment w:val="baseline"/>
              <w:rPr>
                <w:b/>
              </w:rPr>
            </w:pPr>
            <w:r w:rsidRPr="00CF3B63">
              <w:rPr>
                <w:b/>
                <w:bCs/>
              </w:rPr>
              <w:t>Rapporteur</w:t>
            </w:r>
          </w:p>
        </w:tc>
        <w:tc>
          <w:tcPr>
            <w:tcW w:w="5670" w:type="dxa"/>
          </w:tcPr>
          <w:p w:rsidRPr="00CF3B63" w:rsidR="00E73010" w:rsidP="00B17F65" w:rsidRDefault="00E73010" w14:paraId="47111346" w14:textId="77777777">
            <w:pPr>
              <w:tabs>
                <w:tab w:val="center" w:pos="284"/>
              </w:tabs>
              <w:overflowPunct w:val="0"/>
              <w:autoSpaceDE w:val="0"/>
              <w:autoSpaceDN w:val="0"/>
              <w:adjustRightInd w:val="0"/>
              <w:ind w:left="266" w:hanging="266"/>
              <w:textAlignment w:val="baseline"/>
            </w:pPr>
            <w:r w:rsidRPr="00CF3B63">
              <w:t xml:space="preserve">Krister ANDERSSON (Employers' Group </w:t>
            </w:r>
            <w:r>
              <w:t xml:space="preserve">- </w:t>
            </w:r>
            <w:r w:rsidRPr="00CF3B63">
              <w:t>SE)</w:t>
            </w:r>
          </w:p>
        </w:tc>
      </w:tr>
      <w:tr w:rsidRPr="00CF3B63" w:rsidR="00E73010" w:rsidTr="00B17F65" w14:paraId="744149D0" w14:textId="77777777">
        <w:tc>
          <w:tcPr>
            <w:tcW w:w="1701" w:type="dxa"/>
          </w:tcPr>
          <w:p w:rsidRPr="00CF3B63" w:rsidR="00E73010" w:rsidP="00B17F65" w:rsidRDefault="00E73010" w14:paraId="000E6296" w14:textId="77777777">
            <w:pPr>
              <w:tabs>
                <w:tab w:val="center" w:pos="284"/>
              </w:tabs>
              <w:overflowPunct w:val="0"/>
              <w:autoSpaceDE w:val="0"/>
              <w:autoSpaceDN w:val="0"/>
              <w:adjustRightInd w:val="0"/>
              <w:ind w:left="266" w:hanging="266"/>
              <w:textAlignment w:val="baseline"/>
              <w:rPr>
                <w:b/>
                <w:bCs/>
              </w:rPr>
            </w:pPr>
          </w:p>
        </w:tc>
        <w:tc>
          <w:tcPr>
            <w:tcW w:w="5670" w:type="dxa"/>
          </w:tcPr>
          <w:p w:rsidRPr="00CF3B63" w:rsidR="00E73010" w:rsidP="00B17F65" w:rsidRDefault="00E73010" w14:paraId="42E8B3AA" w14:textId="77777777">
            <w:pPr>
              <w:tabs>
                <w:tab w:val="center" w:pos="284"/>
              </w:tabs>
              <w:overflowPunct w:val="0"/>
              <w:autoSpaceDE w:val="0"/>
              <w:autoSpaceDN w:val="0"/>
              <w:adjustRightInd w:val="0"/>
              <w:ind w:left="266" w:hanging="266"/>
              <w:textAlignment w:val="baseline"/>
            </w:pPr>
          </w:p>
        </w:tc>
      </w:tr>
      <w:tr w:rsidRPr="00CF3B63" w:rsidR="00E73010" w:rsidTr="00B17F65" w14:paraId="46478281" w14:textId="77777777">
        <w:tc>
          <w:tcPr>
            <w:tcW w:w="1701" w:type="dxa"/>
          </w:tcPr>
          <w:p w:rsidRPr="00CF3B63" w:rsidR="00E73010" w:rsidP="00B17F65" w:rsidRDefault="00E73010" w14:paraId="059FA346" w14:textId="0CE5F4EC">
            <w:pPr>
              <w:tabs>
                <w:tab w:val="center" w:pos="284"/>
              </w:tabs>
              <w:overflowPunct w:val="0"/>
              <w:autoSpaceDE w:val="0"/>
              <w:autoSpaceDN w:val="0"/>
              <w:adjustRightInd w:val="0"/>
              <w:ind w:left="266" w:hanging="266"/>
              <w:textAlignment w:val="baseline"/>
              <w:rPr>
                <w:b/>
                <w:bCs/>
              </w:rPr>
            </w:pPr>
            <w:r w:rsidRPr="00CF3B63">
              <w:rPr>
                <w:b/>
              </w:rPr>
              <w:t>References</w:t>
            </w:r>
          </w:p>
        </w:tc>
        <w:tc>
          <w:tcPr>
            <w:tcW w:w="5670" w:type="dxa"/>
          </w:tcPr>
          <w:p w:rsidR="00E73010" w:rsidP="00E73010" w:rsidRDefault="00E73010" w14:paraId="0E3642EE" w14:textId="77777777">
            <w:pPr>
              <w:tabs>
                <w:tab w:val="center" w:pos="284"/>
              </w:tabs>
              <w:overflowPunct w:val="0"/>
              <w:autoSpaceDE w:val="0"/>
              <w:autoSpaceDN w:val="0"/>
              <w:adjustRightInd w:val="0"/>
              <w:ind w:left="266" w:hanging="266"/>
              <w:textAlignment w:val="baseline"/>
            </w:pPr>
            <w:r w:rsidRPr="00CF3B63">
              <w:t>Own-initiative opinion</w:t>
            </w:r>
          </w:p>
          <w:p w:rsidRPr="00CF3B63" w:rsidR="00E73010" w:rsidP="00E73010" w:rsidRDefault="00E73010" w14:paraId="58476701" w14:textId="52B2602E">
            <w:pPr>
              <w:tabs>
                <w:tab w:val="center" w:pos="284"/>
              </w:tabs>
              <w:overflowPunct w:val="0"/>
              <w:autoSpaceDE w:val="0"/>
              <w:autoSpaceDN w:val="0"/>
              <w:adjustRightInd w:val="0"/>
              <w:ind w:left="266" w:hanging="266"/>
              <w:textAlignment w:val="baseline"/>
            </w:pPr>
            <w:r w:rsidRPr="00CF3B63">
              <w:t>EESC-2023-00860-00-AC</w:t>
            </w:r>
          </w:p>
        </w:tc>
      </w:tr>
      <w:tr w:rsidRPr="00CF3B63" w:rsidR="00E73010" w:rsidTr="00B17F65" w14:paraId="65C7AC0C" w14:textId="77777777">
        <w:tc>
          <w:tcPr>
            <w:tcW w:w="1701" w:type="dxa"/>
          </w:tcPr>
          <w:p w:rsidRPr="00CF3B63" w:rsidR="00E73010" w:rsidP="00B17F65" w:rsidRDefault="00E73010" w14:paraId="4EE462AD" w14:textId="77777777">
            <w:pPr>
              <w:tabs>
                <w:tab w:val="center" w:pos="284"/>
              </w:tabs>
              <w:overflowPunct w:val="0"/>
              <w:autoSpaceDE w:val="0"/>
              <w:autoSpaceDN w:val="0"/>
              <w:adjustRightInd w:val="0"/>
              <w:ind w:left="266" w:hanging="266"/>
              <w:textAlignment w:val="baseline"/>
              <w:rPr>
                <w:b/>
                <w:bCs/>
              </w:rPr>
            </w:pPr>
          </w:p>
        </w:tc>
        <w:tc>
          <w:tcPr>
            <w:tcW w:w="5670" w:type="dxa"/>
          </w:tcPr>
          <w:p w:rsidRPr="00CF3B63" w:rsidR="00E73010" w:rsidP="00B17F65" w:rsidRDefault="00E73010" w14:paraId="2AAA63E9" w14:textId="77777777">
            <w:pPr>
              <w:tabs>
                <w:tab w:val="center" w:pos="284"/>
              </w:tabs>
              <w:overflowPunct w:val="0"/>
              <w:autoSpaceDE w:val="0"/>
              <w:autoSpaceDN w:val="0"/>
              <w:adjustRightInd w:val="0"/>
              <w:ind w:left="266" w:hanging="266"/>
              <w:textAlignment w:val="baseline"/>
            </w:pPr>
          </w:p>
        </w:tc>
      </w:tr>
    </w:tbl>
    <w:p w:rsidR="00E73010" w:rsidP="00CF3B63" w:rsidRDefault="00E73010" w14:paraId="54675DBA" w14:textId="1C83796C">
      <w:pPr>
        <w:tabs>
          <w:tab w:val="center" w:pos="284"/>
        </w:tabs>
        <w:overflowPunct w:val="0"/>
        <w:autoSpaceDE w:val="0"/>
        <w:autoSpaceDN w:val="0"/>
        <w:adjustRightInd w:val="0"/>
        <w:ind w:left="266" w:hanging="266"/>
        <w:textAlignment w:val="baseline"/>
        <w:rPr>
          <w:b/>
        </w:rPr>
      </w:pPr>
    </w:p>
    <w:p w:rsidRPr="00CF3B63" w:rsidR="00CF3B63" w:rsidP="00CC4510" w:rsidRDefault="00CF3B63" w14:paraId="37EC7423" w14:textId="77777777">
      <w:pPr>
        <w:keepNext/>
        <w:keepLines/>
        <w:tabs>
          <w:tab w:val="center" w:pos="284"/>
        </w:tabs>
        <w:overflowPunct w:val="0"/>
        <w:autoSpaceDE w:val="0"/>
        <w:autoSpaceDN w:val="0"/>
        <w:adjustRightInd w:val="0"/>
        <w:ind w:left="266" w:hanging="124"/>
        <w:textAlignment w:val="baseline"/>
        <w:rPr>
          <w:b/>
        </w:rPr>
      </w:pPr>
      <w:r w:rsidRPr="00CF3B63">
        <w:rPr>
          <w:b/>
        </w:rPr>
        <w:t>Key points</w:t>
      </w:r>
    </w:p>
    <w:p w:rsidRPr="00CF3B63" w:rsidR="00CF3B63" w:rsidP="00CC4510" w:rsidRDefault="00CF3B63" w14:paraId="05302960" w14:textId="77777777">
      <w:pPr>
        <w:keepNext/>
        <w:keepLines/>
        <w:tabs>
          <w:tab w:val="center" w:pos="284"/>
        </w:tabs>
        <w:overflowPunct w:val="0"/>
        <w:autoSpaceDE w:val="0"/>
        <w:autoSpaceDN w:val="0"/>
        <w:adjustRightInd w:val="0"/>
        <w:ind w:left="266" w:hanging="124"/>
        <w:textAlignment w:val="baseline"/>
        <w:rPr>
          <w:b/>
        </w:rPr>
      </w:pPr>
    </w:p>
    <w:p w:rsidRPr="00CF3B63" w:rsidR="00CF3B63" w:rsidP="00CC4510" w:rsidRDefault="00CF3B63" w14:paraId="23B0065E" w14:textId="77777777">
      <w:pPr>
        <w:keepNext/>
        <w:keepLines/>
        <w:tabs>
          <w:tab w:val="center" w:pos="284"/>
        </w:tabs>
        <w:overflowPunct w:val="0"/>
        <w:autoSpaceDE w:val="0"/>
        <w:autoSpaceDN w:val="0"/>
        <w:adjustRightInd w:val="0"/>
        <w:ind w:left="266" w:hanging="124"/>
        <w:textAlignment w:val="baseline"/>
        <w:rPr>
          <w:bCs/>
        </w:rPr>
      </w:pPr>
      <w:r w:rsidRPr="00CF3B63">
        <w:rPr>
          <w:bCs/>
        </w:rPr>
        <w:t>The EESC:</w:t>
      </w:r>
    </w:p>
    <w:p w:rsidRPr="00CF3B63" w:rsidR="00CF3B63" w:rsidP="00CF3B63" w:rsidRDefault="00CF3B63" w14:paraId="32F10A5B" w14:textId="77777777">
      <w:pPr>
        <w:keepNext/>
        <w:keepLines/>
        <w:tabs>
          <w:tab w:val="center" w:pos="284"/>
        </w:tabs>
        <w:overflowPunct w:val="0"/>
        <w:autoSpaceDE w:val="0"/>
        <w:autoSpaceDN w:val="0"/>
        <w:adjustRightInd w:val="0"/>
        <w:ind w:left="266" w:hanging="266"/>
        <w:textAlignment w:val="baseline"/>
        <w:rPr>
          <w:b/>
        </w:rPr>
      </w:pPr>
    </w:p>
    <w:p w:rsidRPr="00CF3B63" w:rsidR="00CF3B63" w:rsidP="00CC4510" w:rsidRDefault="00CF3B63" w14:paraId="64272677" w14:textId="77777777">
      <w:pPr>
        <w:numPr>
          <w:ilvl w:val="0"/>
          <w:numId w:val="15"/>
        </w:numPr>
        <w:overflowPunct w:val="0"/>
        <w:autoSpaceDE w:val="0"/>
        <w:autoSpaceDN w:val="0"/>
        <w:adjustRightInd w:val="0"/>
        <w:spacing w:after="200" w:line="276" w:lineRule="auto"/>
        <w:ind w:left="284" w:hanging="284"/>
        <w:contextualSpacing/>
        <w:textAlignment w:val="baseline"/>
        <w:rPr>
          <w:szCs w:val="20"/>
        </w:rPr>
      </w:pPr>
      <w:r w:rsidRPr="00CF3B63">
        <w:rPr>
          <w:szCs w:val="20"/>
        </w:rPr>
        <w:t>stresses that over the last decade, globalisation and digitalisation have opened up new opportunities to work remotely. The COVID-19 pandemic brought about an unprecedented change in the lives of both workers and businesses, leading to an exponential rise in teleworking;</w:t>
      </w:r>
    </w:p>
    <w:p w:rsidR="00CF3B63" w:rsidP="00CC4510" w:rsidRDefault="00CF3B63" w14:paraId="67BD646A" w14:textId="2729F36C">
      <w:pPr>
        <w:numPr>
          <w:ilvl w:val="0"/>
          <w:numId w:val="15"/>
        </w:numPr>
        <w:overflowPunct w:val="0"/>
        <w:autoSpaceDE w:val="0"/>
        <w:autoSpaceDN w:val="0"/>
        <w:adjustRightInd w:val="0"/>
        <w:spacing w:after="200" w:line="276" w:lineRule="auto"/>
        <w:ind w:left="284" w:hanging="284"/>
        <w:contextualSpacing/>
        <w:textAlignment w:val="baseline"/>
        <w:rPr>
          <w:szCs w:val="20"/>
        </w:rPr>
      </w:pPr>
      <w:r w:rsidRPr="00CF3B63">
        <w:rPr>
          <w:szCs w:val="20"/>
        </w:rPr>
        <w:t>reminds that with the new technology, the exact same work can be carried out without the need to be physically present. This also means that many more people are able to work remotely across borders and the number of cross-border teleworkers has increased drastically;</w:t>
      </w:r>
    </w:p>
    <w:p w:rsidR="00CF3B63" w:rsidP="00CC4510" w:rsidRDefault="00CF3B63" w14:paraId="1EE80ABE" w14:textId="474071FB">
      <w:pPr>
        <w:numPr>
          <w:ilvl w:val="0"/>
          <w:numId w:val="15"/>
        </w:numPr>
        <w:overflowPunct w:val="0"/>
        <w:autoSpaceDE w:val="0"/>
        <w:autoSpaceDN w:val="0"/>
        <w:adjustRightInd w:val="0"/>
        <w:spacing w:after="200" w:line="276" w:lineRule="auto"/>
        <w:ind w:left="284" w:hanging="284"/>
        <w:contextualSpacing/>
        <w:textAlignment w:val="baseline"/>
        <w:rPr>
          <w:szCs w:val="20"/>
        </w:rPr>
      </w:pPr>
      <w:r w:rsidRPr="00CF3B63">
        <w:rPr>
          <w:szCs w:val="20"/>
        </w:rPr>
        <w:t>believes that taxation of employee income as wage income in the employer's country of residence is the preferred option. Such a regime would make things simpler for employees and could also be attractive for employers. In order to compensate for loss of revenue in the employee’s country of residence, a revenue sharing mechanism would likely be required;</w:t>
      </w:r>
    </w:p>
    <w:p w:rsidRPr="00CF3B63" w:rsidR="00CF3B63" w:rsidP="00CC4510" w:rsidRDefault="00CF3B63" w14:paraId="216DBC4F" w14:textId="77777777">
      <w:pPr>
        <w:numPr>
          <w:ilvl w:val="0"/>
          <w:numId w:val="15"/>
        </w:numPr>
        <w:overflowPunct w:val="0"/>
        <w:autoSpaceDE w:val="0"/>
        <w:autoSpaceDN w:val="0"/>
        <w:adjustRightInd w:val="0"/>
        <w:spacing w:after="200" w:line="276" w:lineRule="auto"/>
        <w:ind w:left="284" w:hanging="284"/>
        <w:contextualSpacing/>
        <w:textAlignment w:val="baseline"/>
        <w:rPr>
          <w:szCs w:val="20"/>
        </w:rPr>
      </w:pPr>
      <w:r w:rsidRPr="00CF3B63">
        <w:rPr>
          <w:szCs w:val="20"/>
        </w:rPr>
        <w:t>proposes that the revenue authorities may divide the income between the countries by applying data on actual individual presence in the states concerned (reported by the employer to the tax authority in its country of residence, thereby acting as a one-stop shop) or using some macro-economic aggregate key.</w:t>
      </w:r>
    </w:p>
    <w:p w:rsidRPr="00CF3B63" w:rsidR="00CF3B63" w:rsidP="00CF3B63" w:rsidRDefault="00CF3B63" w14:paraId="09DDE983" w14:textId="77777777">
      <w:pPr>
        <w:spacing w:after="200" w:line="276" w:lineRule="auto"/>
        <w:ind w:left="567"/>
        <w:contextualSpacing/>
        <w:jc w:val="left"/>
        <w:rPr>
          <w:color w:val="000000" w:themeColor="text1"/>
          <w:lang w:eastAsia="zh-CN"/>
        </w:rPr>
      </w:pPr>
    </w:p>
    <w:tbl>
      <w:tblPr>
        <w:tblStyle w:val="TableGrid19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CF3B63" w:rsidR="00CF3B63" w:rsidTr="00B05454" w14:paraId="4CD566CB" w14:textId="77777777">
        <w:tc>
          <w:tcPr>
            <w:tcW w:w="1418" w:type="dxa"/>
          </w:tcPr>
          <w:p w:rsidRPr="00CF3B63" w:rsidR="00CF3B63" w:rsidP="00CF3B63" w:rsidRDefault="00CF3B63" w14:paraId="2153ECA8" w14:textId="77777777">
            <w:pPr>
              <w:overflowPunct w:val="0"/>
              <w:autoSpaceDE w:val="0"/>
              <w:autoSpaceDN w:val="0"/>
              <w:adjustRightInd w:val="0"/>
              <w:spacing w:line="240" w:lineRule="auto"/>
              <w:textAlignment w:val="baseline"/>
              <w:rPr>
                <w:i/>
              </w:rPr>
            </w:pPr>
            <w:r w:rsidRPr="00CF3B63">
              <w:rPr>
                <w:b/>
                <w:i/>
              </w:rPr>
              <w:t>Contact</w:t>
            </w:r>
          </w:p>
        </w:tc>
        <w:tc>
          <w:tcPr>
            <w:tcW w:w="5670" w:type="dxa"/>
          </w:tcPr>
          <w:p w:rsidRPr="00CF3B63" w:rsidR="00CF3B63" w:rsidP="00CF3B63" w:rsidRDefault="00CF3B63" w14:paraId="2BAAA700" w14:textId="77777777">
            <w:pPr>
              <w:overflowPunct w:val="0"/>
              <w:autoSpaceDE w:val="0"/>
              <w:autoSpaceDN w:val="0"/>
              <w:adjustRightInd w:val="0"/>
              <w:spacing w:line="240" w:lineRule="auto"/>
              <w:textAlignment w:val="baseline"/>
              <w:rPr>
                <w:i/>
              </w:rPr>
            </w:pPr>
            <w:r w:rsidRPr="00CF3B63">
              <w:rPr>
                <w:i/>
              </w:rPr>
              <w:t xml:space="preserve">Jüri Soosaar </w:t>
            </w:r>
          </w:p>
        </w:tc>
      </w:tr>
      <w:tr w:rsidRPr="00CF3B63" w:rsidR="00CF3B63" w:rsidTr="00B05454" w14:paraId="0CCC2A7E" w14:textId="77777777">
        <w:tc>
          <w:tcPr>
            <w:tcW w:w="1418" w:type="dxa"/>
          </w:tcPr>
          <w:p w:rsidRPr="00CF3B63" w:rsidR="00CF3B63" w:rsidP="00CF3B63" w:rsidRDefault="00CF3B63" w14:paraId="31D551A3" w14:textId="77777777">
            <w:pPr>
              <w:overflowPunct w:val="0"/>
              <w:autoSpaceDE w:val="0"/>
              <w:autoSpaceDN w:val="0"/>
              <w:adjustRightInd w:val="0"/>
              <w:spacing w:line="240" w:lineRule="auto"/>
              <w:textAlignment w:val="baseline"/>
              <w:rPr>
                <w:i/>
              </w:rPr>
            </w:pPr>
            <w:r w:rsidRPr="00CF3B63">
              <w:rPr>
                <w:i/>
              </w:rPr>
              <w:t>Tel.</w:t>
            </w:r>
          </w:p>
        </w:tc>
        <w:tc>
          <w:tcPr>
            <w:tcW w:w="5670" w:type="dxa"/>
          </w:tcPr>
          <w:p w:rsidRPr="00CF3B63" w:rsidR="00CF3B63" w:rsidP="00CF3B63" w:rsidRDefault="00CF3B63" w14:paraId="5FA9B686" w14:textId="77777777">
            <w:pPr>
              <w:overflowPunct w:val="0"/>
              <w:autoSpaceDE w:val="0"/>
              <w:autoSpaceDN w:val="0"/>
              <w:adjustRightInd w:val="0"/>
              <w:spacing w:line="240" w:lineRule="auto"/>
              <w:textAlignment w:val="baseline"/>
              <w:rPr>
                <w:i/>
              </w:rPr>
            </w:pPr>
            <w:r w:rsidRPr="00CF3B63">
              <w:rPr>
                <w:i/>
              </w:rPr>
              <w:t>+32 25469628</w:t>
            </w:r>
          </w:p>
        </w:tc>
      </w:tr>
      <w:tr w:rsidRPr="00CF3B63" w:rsidR="00CF3B63" w:rsidTr="00B05454" w14:paraId="52648DE1" w14:textId="77777777">
        <w:tc>
          <w:tcPr>
            <w:tcW w:w="1418" w:type="dxa"/>
          </w:tcPr>
          <w:p w:rsidRPr="00CF3B63" w:rsidR="00CF3B63" w:rsidP="00CF3B63" w:rsidRDefault="009A2DD6" w14:paraId="0F86E843" w14:textId="73EA9BCB">
            <w:pPr>
              <w:overflowPunct w:val="0"/>
              <w:autoSpaceDE w:val="0"/>
              <w:autoSpaceDN w:val="0"/>
              <w:adjustRightInd w:val="0"/>
              <w:spacing w:line="240" w:lineRule="auto"/>
              <w:textAlignment w:val="baseline"/>
              <w:rPr>
                <w:i/>
              </w:rPr>
            </w:pPr>
            <w:r>
              <w:rPr>
                <w:i/>
              </w:rPr>
              <w:t>Em</w:t>
            </w:r>
            <w:r w:rsidRPr="00CF3B63" w:rsidR="00CF3B63">
              <w:rPr>
                <w:i/>
              </w:rPr>
              <w:t>ail</w:t>
            </w:r>
          </w:p>
        </w:tc>
        <w:tc>
          <w:tcPr>
            <w:tcW w:w="5670" w:type="dxa"/>
          </w:tcPr>
          <w:p w:rsidRPr="00CF3B63" w:rsidR="00CF3B63" w:rsidRDefault="00B21B70" w14:paraId="34CDB34E" w14:textId="0A67A9F1">
            <w:pPr>
              <w:overflowPunct w:val="0"/>
              <w:autoSpaceDE w:val="0"/>
              <w:autoSpaceDN w:val="0"/>
              <w:adjustRightInd w:val="0"/>
              <w:spacing w:line="240" w:lineRule="auto"/>
              <w:textAlignment w:val="baseline"/>
              <w:rPr>
                <w:i/>
              </w:rPr>
            </w:pPr>
            <w:hyperlink w:history="1" r:id="rId21">
              <w:r w:rsidRPr="00CF3B63" w:rsidR="00CF3B63">
                <w:rPr>
                  <w:color w:val="0000FF"/>
                  <w:u w:val="single"/>
                </w:rPr>
                <w:t>Juri.Soosaar@eesc.europa.eu</w:t>
              </w:r>
            </w:hyperlink>
            <w:r w:rsidRPr="00CF3B63" w:rsidR="00CF3B63">
              <w:t xml:space="preserve"> </w:t>
            </w:r>
          </w:p>
        </w:tc>
      </w:tr>
    </w:tbl>
    <w:p w:rsidR="00CF3B63" w:rsidRDefault="00CF3B63" w14:paraId="03718F05" w14:textId="77777777">
      <w:pPr>
        <w:spacing w:after="160" w:line="259" w:lineRule="auto"/>
        <w:jc w:val="left"/>
        <w:rPr>
          <w:b/>
          <w:bCs/>
        </w:rPr>
      </w:pPr>
    </w:p>
    <w:p w:rsidR="00CF3B63" w:rsidRDefault="00CF3B63" w14:paraId="2B55CB13" w14:textId="77777777">
      <w:pPr>
        <w:spacing w:after="160" w:line="259" w:lineRule="auto"/>
        <w:jc w:val="left"/>
        <w:rPr>
          <w:b/>
          <w:bCs/>
        </w:rPr>
      </w:pPr>
      <w:r>
        <w:rPr>
          <w:b/>
          <w:bCs/>
        </w:rPr>
        <w:br w:type="page"/>
      </w:r>
    </w:p>
    <w:bookmarkStart w:name="_Toc159831758" w:id="3"/>
    <w:p w:rsidRPr="00DA68C7" w:rsidR="00A32597" w:rsidP="00CC4510" w:rsidRDefault="004716B8" w14:paraId="1BD9833F" w14:textId="1748A743">
      <w:pPr>
        <w:pStyle w:val="ListParagraph"/>
        <w:numPr>
          <w:ilvl w:val="0"/>
          <w:numId w:val="16"/>
        </w:numPr>
        <w:shd w:val="clear" w:color="auto" w:fill="FFFFFF"/>
        <w:ind w:hanging="578"/>
        <w:outlineLvl w:val="0"/>
        <w:rPr>
          <w:b/>
          <w:kern w:val="28"/>
        </w:rPr>
      </w:pPr>
      <w:r>
        <w:fldChar w:fldCharType="begin"/>
      </w:r>
      <w:r>
        <w:instrText xml:space="preserve"> HYPERLINK "https://www.eesc.europa.eu/en/our-work/opinions-information-reports/opinions/annual-sustainable-growth-survey-2024" </w:instrText>
      </w:r>
      <w:r>
        <w:fldChar w:fldCharType="separate"/>
      </w:r>
      <w:r w:rsidRPr="00DA68C7" w:rsidR="00A32597">
        <w:rPr>
          <w:b/>
          <w:bCs/>
          <w:i/>
          <w:iCs/>
          <w:color w:val="0000FF"/>
          <w:sz w:val="28"/>
          <w:szCs w:val="28"/>
          <w:u w:val="single"/>
        </w:rPr>
        <w:t>The Annual Sustainable Growth Survey 2024</w:t>
      </w:r>
      <w:bookmarkEnd w:id="3"/>
      <w:r>
        <w:rPr>
          <w:b/>
          <w:bCs/>
          <w:i/>
          <w:iCs/>
          <w:color w:val="0000FF"/>
          <w:sz w:val="28"/>
          <w:szCs w:val="28"/>
          <w:u w:val="single"/>
        </w:rPr>
        <w:fldChar w:fldCharType="end"/>
      </w:r>
    </w:p>
    <w:tbl>
      <w:tblPr>
        <w:tblStyle w:val="TableGrid19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371"/>
      </w:tblGrid>
      <w:tr w:rsidRPr="00A32597" w:rsidR="00A32597" w:rsidTr="00B05454" w14:paraId="7BCB2534" w14:textId="77777777">
        <w:tc>
          <w:tcPr>
            <w:tcW w:w="1701" w:type="dxa"/>
          </w:tcPr>
          <w:p w:rsidRPr="00A32597" w:rsidR="007B6C34" w:rsidRDefault="007B6C34" w14:paraId="5143B750" w14:textId="77777777">
            <w:pPr>
              <w:widowControl w:val="0"/>
              <w:spacing w:line="276" w:lineRule="auto"/>
              <w:ind w:left="142"/>
              <w:contextualSpacing/>
              <w:jc w:val="left"/>
              <w:rPr>
                <w:b/>
                <w:bCs/>
                <w:iCs/>
                <w:noProof/>
                <w:sz w:val="16"/>
                <w:szCs w:val="16"/>
                <w:lang w:eastAsia="fr-BE"/>
              </w:rPr>
            </w:pPr>
          </w:p>
          <w:p w:rsidRPr="00A32597" w:rsidR="00A32597" w:rsidRDefault="00A32597" w14:paraId="6BE8915C" w14:textId="22A4DF31">
            <w:pPr>
              <w:widowControl w:val="0"/>
              <w:spacing w:line="276" w:lineRule="auto"/>
              <w:ind w:left="142"/>
              <w:contextualSpacing/>
              <w:jc w:val="left"/>
              <w:rPr>
                <w:b/>
                <w:bCs/>
                <w:iCs/>
                <w:noProof/>
                <w:lang w:eastAsia="fr-BE"/>
              </w:rPr>
            </w:pPr>
            <w:r w:rsidRPr="00A32597">
              <w:rPr>
                <w:b/>
                <w:bCs/>
                <w:iCs/>
                <w:noProof/>
                <w:lang w:eastAsia="fr-BE"/>
              </w:rPr>
              <w:t>Rapporteur:</w:t>
            </w:r>
          </w:p>
        </w:tc>
        <w:tc>
          <w:tcPr>
            <w:tcW w:w="7371" w:type="dxa"/>
          </w:tcPr>
          <w:p w:rsidRPr="00A32597" w:rsidR="00A32597" w:rsidRDefault="00A32597" w14:paraId="541D6CA9" w14:textId="77777777">
            <w:pPr>
              <w:widowControl w:val="0"/>
              <w:spacing w:line="276" w:lineRule="auto"/>
              <w:ind w:left="142"/>
              <w:contextualSpacing/>
              <w:jc w:val="left"/>
              <w:rPr>
                <w:bCs/>
                <w:iCs/>
                <w:noProof/>
                <w:sz w:val="16"/>
                <w:szCs w:val="16"/>
                <w:lang w:eastAsia="fr-BE"/>
              </w:rPr>
            </w:pPr>
          </w:p>
          <w:p w:rsidRPr="00A32597" w:rsidR="00A32597" w:rsidRDefault="00A32597" w14:paraId="07DE7214" w14:textId="38316A4D">
            <w:pPr>
              <w:widowControl w:val="0"/>
              <w:spacing w:line="276" w:lineRule="auto"/>
              <w:ind w:left="142" w:right="-1380"/>
              <w:contextualSpacing/>
              <w:jc w:val="left"/>
              <w:rPr>
                <w:bCs/>
                <w:iCs/>
                <w:noProof/>
                <w:lang w:eastAsia="fr-BE"/>
              </w:rPr>
            </w:pPr>
            <w:r w:rsidRPr="00A32597">
              <w:rPr>
                <w:bCs/>
                <w:iCs/>
                <w:noProof/>
                <w:lang w:eastAsia="fr-BE"/>
              </w:rPr>
              <w:t xml:space="preserve">Elena-Alexandra CALISTRU (Civil Society Organisations' Group - RO) </w:t>
            </w:r>
          </w:p>
        </w:tc>
      </w:tr>
    </w:tbl>
    <w:p w:rsidRPr="00A32597" w:rsidR="00A32597" w:rsidRDefault="00A32597" w14:paraId="3B5F4815" w14:textId="77777777">
      <w:pPr>
        <w:widowControl w:val="0"/>
        <w:spacing w:line="259" w:lineRule="auto"/>
        <w:ind w:left="567"/>
        <w:jc w:val="left"/>
        <w:rPr>
          <w:rFonts w:eastAsia="Calibri"/>
          <w:b/>
          <w:sz w:val="16"/>
          <w:szCs w:val="16"/>
        </w:rPr>
      </w:pPr>
    </w:p>
    <w:tbl>
      <w:tblPr>
        <w:tblStyle w:val="TableGrid19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670"/>
      </w:tblGrid>
      <w:tr w:rsidRPr="00A32597" w:rsidR="00A32597" w:rsidTr="00B05454" w14:paraId="7B85BF7E" w14:textId="77777777">
        <w:tc>
          <w:tcPr>
            <w:tcW w:w="1701" w:type="dxa"/>
          </w:tcPr>
          <w:p w:rsidRPr="00CC4510" w:rsidR="00A32597" w:rsidP="00CC4510" w:rsidRDefault="00A32597" w14:paraId="515D21C6" w14:textId="77777777">
            <w:pPr>
              <w:widowControl w:val="0"/>
              <w:spacing w:line="276" w:lineRule="auto"/>
              <w:ind w:left="142"/>
              <w:contextualSpacing/>
              <w:jc w:val="left"/>
              <w:rPr>
                <w:b/>
                <w:bCs/>
                <w:iCs/>
                <w:noProof/>
                <w:lang w:eastAsia="fr-BE"/>
              </w:rPr>
            </w:pPr>
            <w:r w:rsidRPr="00CC4510">
              <w:rPr>
                <w:b/>
                <w:bCs/>
                <w:iCs/>
                <w:noProof/>
                <w:lang w:eastAsia="fr-BE"/>
              </w:rPr>
              <w:t>References</w:t>
            </w:r>
          </w:p>
        </w:tc>
        <w:tc>
          <w:tcPr>
            <w:tcW w:w="5670" w:type="dxa"/>
          </w:tcPr>
          <w:p w:rsidRPr="00A32597" w:rsidR="00A32597" w:rsidP="00CC4510" w:rsidRDefault="00A32597" w14:paraId="7CE58217" w14:textId="77777777">
            <w:pPr>
              <w:tabs>
                <w:tab w:val="center" w:pos="284"/>
              </w:tabs>
              <w:spacing w:line="240" w:lineRule="auto"/>
              <w:ind w:left="266"/>
              <w:jc w:val="left"/>
            </w:pPr>
            <w:r w:rsidRPr="00A32597">
              <w:t>COM(2023) 901 final</w:t>
            </w:r>
          </w:p>
          <w:p w:rsidRPr="00A32597" w:rsidR="00A32597" w:rsidP="00CC4510" w:rsidRDefault="00A32597" w14:paraId="0BBCB268" w14:textId="77777777">
            <w:pPr>
              <w:tabs>
                <w:tab w:val="center" w:pos="284"/>
              </w:tabs>
              <w:spacing w:line="240" w:lineRule="auto"/>
              <w:ind w:left="266"/>
              <w:jc w:val="left"/>
            </w:pPr>
            <w:r w:rsidRPr="00A32597">
              <w:t>EESC-2023-05137-00-00-AC</w:t>
            </w:r>
          </w:p>
          <w:p w:rsidRPr="00A32597" w:rsidR="00A32597" w:rsidP="00CC4510" w:rsidRDefault="00A32597" w14:paraId="6114F19B" w14:textId="77777777">
            <w:pPr>
              <w:tabs>
                <w:tab w:val="center" w:pos="284"/>
              </w:tabs>
              <w:spacing w:line="240" w:lineRule="auto"/>
              <w:ind w:left="266"/>
              <w:jc w:val="left"/>
            </w:pPr>
          </w:p>
        </w:tc>
      </w:tr>
    </w:tbl>
    <w:p w:rsidR="00A32597" w:rsidP="00CC4510" w:rsidRDefault="00A32597" w14:paraId="55102C19" w14:textId="3C028EF4">
      <w:pPr>
        <w:keepNext/>
        <w:keepLines/>
        <w:tabs>
          <w:tab w:val="center" w:pos="284"/>
        </w:tabs>
        <w:spacing w:after="80" w:line="360" w:lineRule="auto"/>
        <w:ind w:left="266"/>
        <w:jc w:val="left"/>
        <w:rPr>
          <w:rFonts w:eastAsia="Calibri"/>
          <w:b/>
        </w:rPr>
      </w:pPr>
      <w:r w:rsidRPr="00A32597">
        <w:rPr>
          <w:rFonts w:eastAsia="Calibri"/>
          <w:b/>
        </w:rPr>
        <w:t>Key points</w:t>
      </w:r>
    </w:p>
    <w:p w:rsidR="00A32597" w:rsidP="00CC4510" w:rsidRDefault="00A32597" w14:paraId="6878A780" w14:textId="62407221">
      <w:pPr>
        <w:spacing w:after="80" w:line="360" w:lineRule="auto"/>
        <w:ind w:firstLine="284"/>
        <w:rPr>
          <w:rFonts w:eastAsia="Calibri"/>
        </w:rPr>
      </w:pPr>
      <w:r w:rsidRPr="00A32597">
        <w:rPr>
          <w:rFonts w:eastAsia="Calibri"/>
        </w:rPr>
        <w:t xml:space="preserve">The EESC: </w:t>
      </w:r>
    </w:p>
    <w:p w:rsidRPr="00A32597" w:rsidR="00A32597" w:rsidP="00CC4510" w:rsidRDefault="00A32597" w14:paraId="77BED355" w14:textId="77777777">
      <w:pPr>
        <w:numPr>
          <w:ilvl w:val="0"/>
          <w:numId w:val="17"/>
        </w:numPr>
        <w:spacing w:line="276" w:lineRule="auto"/>
        <w:ind w:left="284" w:hanging="284"/>
        <w:outlineLvl w:val="1"/>
      </w:pPr>
      <w:bookmarkStart w:name="_Toc159831759" w:id="4"/>
      <w:r w:rsidRPr="00A32597">
        <w:t>recommends that the European Central Bank closely monitor economic risks and carry out careful contingency planning to ensure credible inflation outlooks, and advises the ECB to be prepared to adjust policies if the projected decline in inflation slows or reverses, or alternatively drifts too far below 2%, thus advocating for clearer contingency planning to uphold the credibility of the inflation outlook;</w:t>
      </w:r>
      <w:bookmarkEnd w:id="4"/>
    </w:p>
    <w:p w:rsidRPr="00A32597" w:rsidR="00A32597" w:rsidP="00CC4510" w:rsidRDefault="00A32597" w14:paraId="6EBE4B0D" w14:textId="77777777">
      <w:pPr>
        <w:numPr>
          <w:ilvl w:val="0"/>
          <w:numId w:val="17"/>
        </w:numPr>
        <w:spacing w:line="276" w:lineRule="auto"/>
        <w:ind w:left="284" w:hanging="284"/>
        <w:outlineLvl w:val="1"/>
      </w:pPr>
      <w:bookmarkStart w:name="_Toc159831760" w:id="5"/>
      <w:r w:rsidRPr="00A32597">
        <w:t>calls for concrete engagement with national parliaments, regional and local authorities, civil society and social partners on reforms of the EU's macroeconomic governance framework, and stresses the importance of taking ownership of these reforms at national level through effective dialogue;</w:t>
      </w:r>
      <w:bookmarkEnd w:id="5"/>
    </w:p>
    <w:p w:rsidRPr="00A32597" w:rsidR="00A32597" w:rsidP="00CC4510" w:rsidRDefault="00A32597" w14:paraId="15523693" w14:textId="77777777">
      <w:pPr>
        <w:numPr>
          <w:ilvl w:val="0"/>
          <w:numId w:val="17"/>
        </w:numPr>
        <w:spacing w:line="276" w:lineRule="auto"/>
        <w:ind w:left="284" w:hanging="284"/>
        <w:outlineLvl w:val="1"/>
      </w:pPr>
      <w:bookmarkStart w:name="_Toc159831761" w:id="6"/>
      <w:r w:rsidRPr="00A32597">
        <w:t>emphasises the critical importance of integrating democratic values and rule of law principles in the EU's economic governance;</w:t>
      </w:r>
      <w:bookmarkEnd w:id="6"/>
    </w:p>
    <w:p w:rsidRPr="00A32597" w:rsidR="00A32597" w:rsidP="00CC4510" w:rsidRDefault="00A32597" w14:paraId="0E045AD4" w14:textId="77777777">
      <w:pPr>
        <w:numPr>
          <w:ilvl w:val="0"/>
          <w:numId w:val="17"/>
        </w:numPr>
        <w:spacing w:line="276" w:lineRule="auto"/>
        <w:ind w:left="284" w:hanging="284"/>
        <w:outlineLvl w:val="1"/>
      </w:pPr>
      <w:bookmarkStart w:name="_Toc159831762" w:id="7"/>
      <w:r w:rsidRPr="00A32597">
        <w:t>advocates for fiscal consolidation that takes into account each Member State's unique situation, while acknowledging the diverse economic conditions and growth challenges of Member States;</w:t>
      </w:r>
      <w:bookmarkEnd w:id="7"/>
    </w:p>
    <w:p w:rsidRPr="00A32597" w:rsidR="00A32597" w:rsidP="00CC4510" w:rsidRDefault="00A32597" w14:paraId="581D3E0C" w14:textId="77777777">
      <w:pPr>
        <w:numPr>
          <w:ilvl w:val="0"/>
          <w:numId w:val="17"/>
        </w:numPr>
        <w:spacing w:line="276" w:lineRule="auto"/>
        <w:ind w:left="284" w:hanging="284"/>
        <w:outlineLvl w:val="1"/>
      </w:pPr>
      <w:bookmarkStart w:name="_Toc159831763" w:id="8"/>
      <w:r w:rsidRPr="00A32597">
        <w:t>urges a balanced approach to phasing out crisis support, which continues to assist vulnerable groups impacted by high energy costs and inflation, and calls for a permanent framework of means-tested support in some countries, and emphasises the need for a detailed discussion on social impacts;</w:t>
      </w:r>
      <w:bookmarkEnd w:id="8"/>
    </w:p>
    <w:p w:rsidRPr="00A32597" w:rsidR="00A32597" w:rsidP="00CC4510" w:rsidRDefault="00A32597" w14:paraId="74E233B0" w14:textId="77777777">
      <w:pPr>
        <w:numPr>
          <w:ilvl w:val="0"/>
          <w:numId w:val="17"/>
        </w:numPr>
        <w:spacing w:line="276" w:lineRule="auto"/>
        <w:ind w:left="284" w:hanging="284"/>
        <w:outlineLvl w:val="1"/>
      </w:pPr>
      <w:bookmarkStart w:name="_Toc159831764" w:id="9"/>
      <w:r w:rsidRPr="00A32597">
        <w:t>calls on the European Commission and on national governments to provide the necessary support to enhance administrative capacity and streamline processes, and to involve civil society in the implementation of the national recovery and resilience plans;</w:t>
      </w:r>
      <w:bookmarkEnd w:id="9"/>
    </w:p>
    <w:p w:rsidRPr="00A32597" w:rsidR="00A32597" w:rsidP="00CC4510" w:rsidRDefault="00A32597" w14:paraId="24E5E545" w14:textId="77777777">
      <w:pPr>
        <w:numPr>
          <w:ilvl w:val="0"/>
          <w:numId w:val="18"/>
        </w:numPr>
        <w:spacing w:line="276" w:lineRule="auto"/>
        <w:ind w:left="284" w:hanging="284"/>
        <w:outlineLvl w:val="1"/>
      </w:pPr>
      <w:bookmarkStart w:name="_Toc159831765" w:id="10"/>
      <w:r w:rsidRPr="00A32597">
        <w:t>emphasises the need to increase labour market participation through upskilling, ensuring equal opportunities and targeting regional disparities, and advocates policies addressing pandemic-induced learning losses, focusing on the needs of disadvantaged students and schools;</w:t>
      </w:r>
      <w:bookmarkEnd w:id="10"/>
    </w:p>
    <w:p w:rsidRPr="00A32597" w:rsidR="00A32597" w:rsidP="00CC4510" w:rsidRDefault="00A32597" w14:paraId="22994523" w14:textId="77777777">
      <w:pPr>
        <w:numPr>
          <w:ilvl w:val="0"/>
          <w:numId w:val="18"/>
        </w:numPr>
        <w:spacing w:line="276" w:lineRule="auto"/>
        <w:ind w:left="284" w:hanging="284"/>
        <w:outlineLvl w:val="1"/>
      </w:pPr>
      <w:bookmarkStart w:name="_Toc159831766" w:id="11"/>
      <w:r w:rsidRPr="00A32597">
        <w:t>urges more courageous actions to dismantle administrative obstacles hampering EU businesses as well as other stakeholders, while supporting measures to boost productivity, and argues that initiatives to reduce reporting obligations must be coupled with stronger incentives for investments in sustainability, including cross-border ones;</w:t>
      </w:r>
      <w:bookmarkEnd w:id="11"/>
    </w:p>
    <w:p w:rsidRPr="00A32597" w:rsidR="00A32597" w:rsidP="00CC4510" w:rsidRDefault="00A32597" w14:paraId="6CFE049D" w14:textId="77777777">
      <w:pPr>
        <w:numPr>
          <w:ilvl w:val="0"/>
          <w:numId w:val="18"/>
        </w:numPr>
        <w:spacing w:line="276" w:lineRule="auto"/>
        <w:ind w:left="284" w:hanging="284"/>
        <w:outlineLvl w:val="1"/>
      </w:pPr>
      <w:bookmarkStart w:name="_Toc159831767" w:id="12"/>
      <w:r w:rsidRPr="00A32597">
        <w:t>advocates for a balanced fiscal approach integrating stakeholder input and considering economic realities across Member States, and underscores that the implementation of recovery plans should align with this nuanced approach in order to prevent undermining environmental and social objectives;</w:t>
      </w:r>
      <w:bookmarkEnd w:id="12"/>
    </w:p>
    <w:p w:rsidRPr="00A32597" w:rsidR="00A32597" w:rsidP="00CC4510" w:rsidRDefault="00A32597" w14:paraId="6803DE03" w14:textId="77777777">
      <w:pPr>
        <w:numPr>
          <w:ilvl w:val="0"/>
          <w:numId w:val="18"/>
        </w:numPr>
        <w:spacing w:line="276" w:lineRule="auto"/>
        <w:ind w:left="284" w:hanging="284"/>
        <w:outlineLvl w:val="1"/>
      </w:pPr>
      <w:bookmarkStart w:name="_Toc159831768" w:id="13"/>
      <w:r w:rsidRPr="00A32597">
        <w:t>is disappointed by the delayed establishment of the EU Sovereignty Fund, while the limited budget for STEP raises serious doubts about the EU’s dedication and ability to achieve its green transition objectives, as well as concerns about the investment in the Union’s competitiveness.</w:t>
      </w:r>
      <w:bookmarkEnd w:id="13"/>
    </w:p>
    <w:p w:rsidR="00A32597" w:rsidP="004D1AE7" w:rsidRDefault="00A32597" w14:paraId="77691757" w14:textId="1699C7E9">
      <w:pPr>
        <w:spacing w:line="276" w:lineRule="auto"/>
        <w:ind w:left="567"/>
        <w:contextualSpacing/>
        <w:rPr>
          <w:sz w:val="16"/>
          <w:szCs w:val="16"/>
        </w:rPr>
      </w:pPr>
    </w:p>
    <w:p w:rsidRPr="00A32597" w:rsidR="002C52B8" w:rsidP="00CC4510" w:rsidRDefault="002C52B8" w14:paraId="2496F124" w14:textId="77777777">
      <w:pPr>
        <w:spacing w:line="276" w:lineRule="auto"/>
        <w:ind w:left="567"/>
        <w:contextualSpacing/>
        <w:rPr>
          <w:sz w:val="16"/>
          <w:szCs w:val="16"/>
        </w:rPr>
      </w:pPr>
    </w:p>
    <w:tbl>
      <w:tblPr>
        <w:tblStyle w:val="TableGrid19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32597" w:rsidR="00A32597" w:rsidTr="00B05454" w14:paraId="4E0E2CCB" w14:textId="77777777">
        <w:tc>
          <w:tcPr>
            <w:tcW w:w="1418" w:type="dxa"/>
          </w:tcPr>
          <w:p w:rsidRPr="00A32597" w:rsidR="00A32597" w:rsidP="00CC4510" w:rsidRDefault="00A32597" w14:paraId="15B16749" w14:textId="77777777">
            <w:pPr>
              <w:keepNext/>
              <w:keepLines/>
              <w:spacing w:line="240" w:lineRule="auto"/>
              <w:jc w:val="left"/>
              <w:rPr>
                <w:i/>
              </w:rPr>
            </w:pPr>
            <w:r w:rsidRPr="00A32597">
              <w:rPr>
                <w:b/>
                <w:i/>
              </w:rPr>
              <w:t>Contact</w:t>
            </w:r>
          </w:p>
        </w:tc>
        <w:tc>
          <w:tcPr>
            <w:tcW w:w="5670" w:type="dxa"/>
          </w:tcPr>
          <w:p w:rsidRPr="00BB2680" w:rsidR="00A32597" w:rsidP="00CC4510" w:rsidRDefault="00A32597" w14:paraId="51D4069A" w14:textId="77777777">
            <w:pPr>
              <w:keepNext/>
              <w:keepLines/>
              <w:spacing w:line="240" w:lineRule="auto"/>
              <w:jc w:val="left"/>
              <w:rPr>
                <w:i/>
                <w:iCs/>
              </w:rPr>
            </w:pPr>
            <w:r w:rsidRPr="00BB2680">
              <w:rPr>
                <w:i/>
                <w:iCs/>
              </w:rPr>
              <w:t>Colombe Grégoire</w:t>
            </w:r>
          </w:p>
        </w:tc>
      </w:tr>
      <w:tr w:rsidRPr="00A32597" w:rsidR="00A32597" w:rsidTr="00B05454" w14:paraId="217EEC8E" w14:textId="77777777">
        <w:tc>
          <w:tcPr>
            <w:tcW w:w="1418" w:type="dxa"/>
          </w:tcPr>
          <w:p w:rsidRPr="00A32597" w:rsidR="00A32597" w:rsidP="00CC4510" w:rsidRDefault="00A32597" w14:paraId="10D94256" w14:textId="77777777">
            <w:pPr>
              <w:keepNext/>
              <w:keepLines/>
              <w:spacing w:line="240" w:lineRule="auto"/>
              <w:jc w:val="left"/>
              <w:rPr>
                <w:i/>
              </w:rPr>
            </w:pPr>
            <w:r w:rsidRPr="00A32597">
              <w:rPr>
                <w:i/>
              </w:rPr>
              <w:t>Tel.</w:t>
            </w:r>
          </w:p>
        </w:tc>
        <w:tc>
          <w:tcPr>
            <w:tcW w:w="5670" w:type="dxa"/>
          </w:tcPr>
          <w:p w:rsidRPr="00A32597" w:rsidR="00A32597" w:rsidP="00CC4510" w:rsidRDefault="00A32597" w14:paraId="79D2A7DE" w14:textId="77777777">
            <w:pPr>
              <w:keepNext/>
              <w:keepLines/>
              <w:spacing w:line="240" w:lineRule="auto"/>
              <w:jc w:val="left"/>
              <w:rPr>
                <w:i/>
                <w:iCs/>
              </w:rPr>
            </w:pPr>
            <w:r w:rsidRPr="00A32597">
              <w:rPr>
                <w:i/>
                <w:iCs/>
              </w:rPr>
              <w:t>+32 25469286</w:t>
            </w:r>
          </w:p>
        </w:tc>
      </w:tr>
      <w:tr w:rsidRPr="00A32597" w:rsidR="00A32597" w:rsidTr="00B05454" w14:paraId="6EE0DBD3" w14:textId="77777777">
        <w:tc>
          <w:tcPr>
            <w:tcW w:w="1418" w:type="dxa"/>
          </w:tcPr>
          <w:p w:rsidRPr="00A32597" w:rsidR="00A32597" w:rsidP="00CC4510" w:rsidRDefault="00A32597" w14:paraId="1D45D5A3" w14:textId="77777777">
            <w:pPr>
              <w:keepNext/>
              <w:keepLines/>
              <w:spacing w:line="240" w:lineRule="auto"/>
              <w:jc w:val="left"/>
              <w:rPr>
                <w:i/>
              </w:rPr>
            </w:pPr>
            <w:r w:rsidRPr="00A32597">
              <w:rPr>
                <w:i/>
              </w:rPr>
              <w:t>Email</w:t>
            </w:r>
          </w:p>
        </w:tc>
        <w:tc>
          <w:tcPr>
            <w:tcW w:w="5670" w:type="dxa"/>
          </w:tcPr>
          <w:p w:rsidRPr="00A32597" w:rsidR="00A32597" w:rsidP="00CC4510" w:rsidRDefault="00B21B70" w14:paraId="1B217DB9" w14:textId="77777777">
            <w:pPr>
              <w:keepNext/>
              <w:keepLines/>
              <w:spacing w:line="240" w:lineRule="auto"/>
              <w:jc w:val="left"/>
              <w:rPr>
                <w:i/>
                <w:iCs/>
              </w:rPr>
            </w:pPr>
            <w:hyperlink w:history="1" r:id="rId22">
              <w:r w:rsidRPr="00A32597" w:rsidR="00A32597">
                <w:rPr>
                  <w:color w:val="0000FF"/>
                  <w:u w:val="single"/>
                </w:rPr>
                <w:t>Colombe.Gregoire@eesc.europa.eu</w:t>
              </w:r>
            </w:hyperlink>
            <w:r w:rsidRPr="00A32597" w:rsidR="00A32597">
              <w:t xml:space="preserve"> </w:t>
            </w:r>
          </w:p>
        </w:tc>
      </w:tr>
    </w:tbl>
    <w:p w:rsidR="00A32597" w:rsidRDefault="00A32597" w14:paraId="11F6A301" w14:textId="30893F50">
      <w:pPr>
        <w:spacing w:after="160" w:line="259" w:lineRule="auto"/>
        <w:jc w:val="left"/>
        <w:rPr>
          <w:b/>
          <w:bCs/>
        </w:rPr>
      </w:pPr>
    </w:p>
    <w:p w:rsidRPr="00E76ACE" w:rsidR="00E76ACE" w:rsidP="00E76ACE" w:rsidRDefault="00B21B70" w14:paraId="10608E4B" w14:textId="1310A6A9">
      <w:pPr>
        <w:widowControl w:val="0"/>
        <w:numPr>
          <w:ilvl w:val="0"/>
          <w:numId w:val="2"/>
        </w:numPr>
        <w:overflowPunct w:val="0"/>
        <w:autoSpaceDE w:val="0"/>
        <w:autoSpaceDN w:val="0"/>
        <w:adjustRightInd w:val="0"/>
        <w:ind w:hanging="567"/>
        <w:textAlignment w:val="baseline"/>
        <w:rPr>
          <w:sz w:val="20"/>
          <w:szCs w:val="20"/>
        </w:rPr>
      </w:pPr>
      <w:hyperlink w:history="1" r:id="rId23">
        <w:r w:rsidRPr="00E76ACE" w:rsidR="00E76ACE">
          <w:rPr>
            <w:b/>
            <w:bCs/>
            <w:i/>
            <w:iCs/>
            <w:color w:val="0000FF"/>
            <w:sz w:val="28"/>
            <w:szCs w:val="28"/>
            <w:u w:val="single"/>
          </w:rPr>
          <w:t>Improving benchmarks and reporting requirements in financial services and investment support</w:t>
        </w:r>
      </w:hyperlink>
    </w:p>
    <w:p w:rsidRPr="00E76ACE" w:rsidR="00E76ACE" w:rsidP="00E76ACE" w:rsidRDefault="00E76ACE" w14:paraId="633F7F87" w14:textId="77777777">
      <w:pPr>
        <w:tabs>
          <w:tab w:val="center" w:pos="284"/>
        </w:tabs>
        <w:overflowPunct w:val="0"/>
        <w:autoSpaceDE w:val="0"/>
        <w:autoSpaceDN w:val="0"/>
        <w:adjustRightInd w:val="0"/>
        <w:ind w:left="266" w:hanging="266"/>
        <w:textAlignment w:val="baseline"/>
        <w:rPr>
          <w:b/>
        </w:rPr>
      </w:pPr>
    </w:p>
    <w:tbl>
      <w:tblPr>
        <w:tblStyle w:val="TableGrid199"/>
        <w:tblW w:w="484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967"/>
      </w:tblGrid>
      <w:tr w:rsidRPr="00E76ACE" w:rsidR="00E76ACE" w:rsidTr="00B05454" w14:paraId="618851BF" w14:textId="77777777">
        <w:tc>
          <w:tcPr>
            <w:tcW w:w="1129" w:type="pct"/>
          </w:tcPr>
          <w:p w:rsidRPr="00E76ACE" w:rsidR="00E76ACE" w:rsidP="00CC4510" w:rsidRDefault="00E76ACE" w14:paraId="160C454C" w14:textId="77777777">
            <w:pPr>
              <w:tabs>
                <w:tab w:val="center" w:pos="284"/>
              </w:tabs>
              <w:overflowPunct w:val="0"/>
              <w:autoSpaceDE w:val="0"/>
              <w:autoSpaceDN w:val="0"/>
              <w:adjustRightInd w:val="0"/>
              <w:ind w:left="266" w:hanging="376"/>
              <w:textAlignment w:val="baseline"/>
              <w:rPr>
                <w:b/>
              </w:rPr>
            </w:pPr>
            <w:r w:rsidRPr="00E76ACE">
              <w:rPr>
                <w:b/>
              </w:rPr>
              <w:t>Rapporteur</w:t>
            </w:r>
          </w:p>
        </w:tc>
        <w:tc>
          <w:tcPr>
            <w:tcW w:w="3871" w:type="pct"/>
          </w:tcPr>
          <w:p w:rsidRPr="00E76ACE" w:rsidR="00E76ACE" w:rsidP="00CC4510" w:rsidRDefault="00E76ACE" w14:paraId="6FCB339F" w14:textId="00D67000">
            <w:pPr>
              <w:tabs>
                <w:tab w:val="center" w:pos="284"/>
              </w:tabs>
              <w:overflowPunct w:val="0"/>
              <w:autoSpaceDE w:val="0"/>
              <w:autoSpaceDN w:val="0"/>
              <w:adjustRightInd w:val="0"/>
              <w:ind w:left="266" w:hanging="376"/>
              <w:textAlignment w:val="baseline"/>
            </w:pPr>
            <w:r w:rsidRPr="00E76ACE">
              <w:t xml:space="preserve">Krzysztof BALON (Civil Society Organisations' Group </w:t>
            </w:r>
            <w:r w:rsidR="002C52B8">
              <w:t>-</w:t>
            </w:r>
            <w:r w:rsidRPr="00E76ACE">
              <w:t xml:space="preserve"> PL)</w:t>
            </w:r>
          </w:p>
        </w:tc>
      </w:tr>
      <w:tr w:rsidRPr="00E76ACE" w:rsidR="00E76ACE" w:rsidTr="00B05454" w14:paraId="4A807341" w14:textId="77777777">
        <w:tc>
          <w:tcPr>
            <w:tcW w:w="5000" w:type="pct"/>
            <w:gridSpan w:val="2"/>
          </w:tcPr>
          <w:p w:rsidRPr="00E76ACE" w:rsidR="00E76ACE" w:rsidP="00CC4510" w:rsidRDefault="00E76ACE" w14:paraId="45B4F74F" w14:textId="77777777">
            <w:pPr>
              <w:tabs>
                <w:tab w:val="center" w:pos="284"/>
              </w:tabs>
              <w:overflowPunct w:val="0"/>
              <w:autoSpaceDE w:val="0"/>
              <w:autoSpaceDN w:val="0"/>
              <w:adjustRightInd w:val="0"/>
              <w:spacing w:line="160" w:lineRule="exact"/>
              <w:ind w:left="266" w:hanging="376"/>
              <w:textAlignment w:val="baseline"/>
            </w:pPr>
          </w:p>
        </w:tc>
      </w:tr>
      <w:tr w:rsidRPr="00E76ACE" w:rsidR="00E76ACE" w:rsidTr="00B05454" w14:paraId="6F674771" w14:textId="77777777">
        <w:tc>
          <w:tcPr>
            <w:tcW w:w="1129" w:type="pct"/>
            <w:vMerge w:val="restart"/>
          </w:tcPr>
          <w:p w:rsidRPr="00E76ACE" w:rsidR="00E76ACE" w:rsidP="00CC4510" w:rsidRDefault="00E76ACE" w14:paraId="3CD2717C" w14:textId="77777777">
            <w:pPr>
              <w:tabs>
                <w:tab w:val="center" w:pos="284"/>
              </w:tabs>
              <w:overflowPunct w:val="0"/>
              <w:autoSpaceDE w:val="0"/>
              <w:autoSpaceDN w:val="0"/>
              <w:adjustRightInd w:val="0"/>
              <w:ind w:left="266" w:hanging="376"/>
              <w:textAlignment w:val="baseline"/>
              <w:rPr>
                <w:b/>
              </w:rPr>
            </w:pPr>
            <w:r w:rsidRPr="00E76ACE">
              <w:rPr>
                <w:b/>
              </w:rPr>
              <w:t>References</w:t>
            </w:r>
          </w:p>
        </w:tc>
        <w:tc>
          <w:tcPr>
            <w:tcW w:w="3871" w:type="pct"/>
          </w:tcPr>
          <w:p w:rsidRPr="00E76ACE" w:rsidR="00E76ACE" w:rsidP="00CC4510" w:rsidRDefault="00E76ACE" w14:paraId="705878F6" w14:textId="3D9351DE">
            <w:pPr>
              <w:tabs>
                <w:tab w:val="center" w:pos="284"/>
              </w:tabs>
              <w:overflowPunct w:val="0"/>
              <w:autoSpaceDE w:val="0"/>
              <w:autoSpaceDN w:val="0"/>
              <w:adjustRightInd w:val="0"/>
              <w:ind w:left="266" w:hanging="376"/>
              <w:textAlignment w:val="baseline"/>
            </w:pPr>
            <w:r w:rsidRPr="00E76ACE">
              <w:t xml:space="preserve">COM(2023) 593 final </w:t>
            </w:r>
          </w:p>
          <w:p w:rsidRPr="00E76ACE" w:rsidR="00E76ACE" w:rsidP="00CC4510" w:rsidRDefault="00E76ACE" w14:paraId="0D256A2F" w14:textId="57B88F62">
            <w:pPr>
              <w:tabs>
                <w:tab w:val="center" w:pos="284"/>
              </w:tabs>
              <w:overflowPunct w:val="0"/>
              <w:autoSpaceDE w:val="0"/>
              <w:autoSpaceDN w:val="0"/>
              <w:adjustRightInd w:val="0"/>
              <w:ind w:left="266" w:hanging="376"/>
              <w:textAlignment w:val="baseline"/>
            </w:pPr>
            <w:r w:rsidRPr="00E76ACE">
              <w:t xml:space="preserve">COM(2023) 660 final </w:t>
            </w:r>
          </w:p>
        </w:tc>
      </w:tr>
      <w:tr w:rsidRPr="00E76ACE" w:rsidR="00E76ACE" w:rsidTr="00B05454" w14:paraId="2D4938C0" w14:textId="77777777">
        <w:tc>
          <w:tcPr>
            <w:tcW w:w="1129" w:type="pct"/>
            <w:vMerge/>
          </w:tcPr>
          <w:p w:rsidRPr="00E76ACE" w:rsidR="00E76ACE" w:rsidP="00CC4510" w:rsidRDefault="00E76ACE" w14:paraId="682CA6FF" w14:textId="77777777">
            <w:pPr>
              <w:tabs>
                <w:tab w:val="center" w:pos="284"/>
              </w:tabs>
              <w:overflowPunct w:val="0"/>
              <w:autoSpaceDE w:val="0"/>
              <w:autoSpaceDN w:val="0"/>
              <w:adjustRightInd w:val="0"/>
              <w:ind w:left="266" w:hanging="376"/>
              <w:textAlignment w:val="baseline"/>
              <w:rPr>
                <w:b/>
              </w:rPr>
            </w:pPr>
          </w:p>
        </w:tc>
        <w:tc>
          <w:tcPr>
            <w:tcW w:w="3871" w:type="pct"/>
          </w:tcPr>
          <w:p w:rsidRPr="00E76ACE" w:rsidR="00E76ACE" w:rsidP="00CC4510" w:rsidRDefault="00E76ACE" w14:paraId="140F62AD" w14:textId="77777777">
            <w:pPr>
              <w:tabs>
                <w:tab w:val="center" w:pos="284"/>
              </w:tabs>
              <w:overflowPunct w:val="0"/>
              <w:autoSpaceDE w:val="0"/>
              <w:autoSpaceDN w:val="0"/>
              <w:adjustRightInd w:val="0"/>
              <w:ind w:left="266" w:hanging="376"/>
              <w:textAlignment w:val="baseline"/>
            </w:pPr>
            <w:r w:rsidRPr="00E76ACE">
              <w:t>EESC-2023-05424-00-00-AC</w:t>
            </w:r>
          </w:p>
        </w:tc>
      </w:tr>
    </w:tbl>
    <w:p w:rsidRPr="00E76ACE" w:rsidR="00E76ACE" w:rsidP="00E76ACE" w:rsidRDefault="00E76ACE" w14:paraId="6D12F68A" w14:textId="77777777">
      <w:pPr>
        <w:keepNext/>
        <w:keepLines/>
        <w:tabs>
          <w:tab w:val="center" w:pos="284"/>
        </w:tabs>
        <w:overflowPunct w:val="0"/>
        <w:autoSpaceDE w:val="0"/>
        <w:autoSpaceDN w:val="0"/>
        <w:adjustRightInd w:val="0"/>
        <w:ind w:left="266" w:hanging="266"/>
        <w:textAlignment w:val="baseline"/>
        <w:rPr>
          <w:b/>
        </w:rPr>
      </w:pPr>
      <w:r w:rsidRPr="00E76ACE">
        <w:rPr>
          <w:b/>
        </w:rPr>
        <w:t>Key points</w:t>
      </w:r>
    </w:p>
    <w:p w:rsidRPr="00E76ACE" w:rsidR="00E76ACE" w:rsidP="00E76ACE" w:rsidRDefault="00E76ACE" w14:paraId="0B88EF57" w14:textId="77777777">
      <w:pPr>
        <w:widowControl w:val="0"/>
        <w:spacing w:line="24" w:lineRule="atLeast"/>
        <w:ind w:left="709"/>
        <w:contextualSpacing/>
        <w:jc w:val="left"/>
        <w:rPr>
          <w:rFonts w:ascii="Calibri" w:hAnsi="Calibri"/>
          <w:lang w:eastAsia="zh-CN"/>
        </w:rPr>
      </w:pPr>
    </w:p>
    <w:p w:rsidRPr="00E76ACE" w:rsidR="00E76ACE" w:rsidP="00CC4510" w:rsidRDefault="00E76ACE" w14:paraId="1F52A2F7" w14:textId="77777777">
      <w:pPr>
        <w:widowControl w:val="0"/>
        <w:spacing w:line="276" w:lineRule="auto"/>
        <w:contextualSpacing/>
        <w:rPr>
          <w:lang w:eastAsia="zh-CN"/>
        </w:rPr>
      </w:pPr>
      <w:r w:rsidRPr="00E76ACE">
        <w:rPr>
          <w:lang w:eastAsia="zh-CN"/>
        </w:rPr>
        <w:t>On data sharing and reducing administrative requirements in financial services and investment support, the EESC:</w:t>
      </w:r>
    </w:p>
    <w:p w:rsidRPr="00E76ACE" w:rsidR="00E76ACE" w:rsidP="00CC4510" w:rsidRDefault="00E76ACE" w14:paraId="4042A6B6" w14:textId="77777777">
      <w:pPr>
        <w:widowControl w:val="0"/>
        <w:overflowPunct w:val="0"/>
        <w:autoSpaceDE w:val="0"/>
        <w:autoSpaceDN w:val="0"/>
        <w:adjustRightInd w:val="0"/>
        <w:spacing w:line="276" w:lineRule="auto"/>
        <w:ind w:left="284" w:firstLine="425"/>
        <w:jc w:val="left"/>
        <w:rPr>
          <w:szCs w:val="20"/>
        </w:rPr>
      </w:pPr>
    </w:p>
    <w:p w:rsidRPr="00E76ACE" w:rsidR="00E76ACE" w:rsidP="00CC4510" w:rsidRDefault="00E76ACE" w14:paraId="58026ACF" w14:textId="77777777">
      <w:pPr>
        <w:widowControl w:val="0"/>
        <w:numPr>
          <w:ilvl w:val="0"/>
          <w:numId w:val="19"/>
        </w:numPr>
        <w:overflowPunct w:val="0"/>
        <w:autoSpaceDE w:val="0"/>
        <w:autoSpaceDN w:val="0"/>
        <w:adjustRightInd w:val="0"/>
        <w:spacing w:line="276" w:lineRule="auto"/>
        <w:ind w:left="284" w:hanging="284"/>
        <w:contextualSpacing/>
        <w:textAlignment w:val="baseline"/>
        <w:rPr>
          <w:lang w:eastAsia="zh-CN"/>
        </w:rPr>
      </w:pPr>
      <w:r w:rsidRPr="00E76ACE">
        <w:rPr>
          <w:lang w:eastAsia="zh-CN"/>
        </w:rPr>
        <w:t xml:space="preserve">welcomes the initiative to rationalise and simplify the supervisory reporting requirements and to avoid duplicate reporting requests, </w:t>
      </w:r>
    </w:p>
    <w:p w:rsidRPr="00E76ACE" w:rsidR="00E76ACE" w:rsidP="00CC4510" w:rsidRDefault="00E76ACE" w14:paraId="762863D4" w14:textId="77777777">
      <w:pPr>
        <w:widowControl w:val="0"/>
        <w:numPr>
          <w:ilvl w:val="0"/>
          <w:numId w:val="19"/>
        </w:numPr>
        <w:overflowPunct w:val="0"/>
        <w:autoSpaceDE w:val="0"/>
        <w:autoSpaceDN w:val="0"/>
        <w:adjustRightInd w:val="0"/>
        <w:spacing w:line="276" w:lineRule="auto"/>
        <w:ind w:left="284" w:hanging="284"/>
        <w:contextualSpacing/>
        <w:textAlignment w:val="baseline"/>
        <w:rPr>
          <w:lang w:eastAsia="zh-CN"/>
        </w:rPr>
      </w:pPr>
      <w:r w:rsidRPr="00E76ACE">
        <w:rPr>
          <w:lang w:eastAsia="zh-CN"/>
        </w:rPr>
        <w:t xml:space="preserve">considers necessary to standardise the scope and format of the data involved in the exchange of information between authorities overseeing the financial sector; </w:t>
      </w:r>
    </w:p>
    <w:p w:rsidRPr="00E76ACE" w:rsidR="00E76ACE" w:rsidP="00CC4510" w:rsidRDefault="00E76ACE" w14:paraId="1F63FC84" w14:textId="77777777">
      <w:pPr>
        <w:widowControl w:val="0"/>
        <w:numPr>
          <w:ilvl w:val="0"/>
          <w:numId w:val="19"/>
        </w:numPr>
        <w:overflowPunct w:val="0"/>
        <w:autoSpaceDE w:val="0"/>
        <w:autoSpaceDN w:val="0"/>
        <w:adjustRightInd w:val="0"/>
        <w:spacing w:line="276" w:lineRule="auto"/>
        <w:ind w:left="284" w:hanging="284"/>
        <w:contextualSpacing/>
        <w:textAlignment w:val="baseline"/>
        <w:rPr>
          <w:lang w:eastAsia="zh-CN"/>
        </w:rPr>
      </w:pPr>
      <w:r w:rsidRPr="00E76ACE">
        <w:rPr>
          <w:lang w:eastAsia="zh-CN"/>
        </w:rPr>
        <w:t>notes that the proposed changes may generate some implementation and/or further standardisation costs. Minimising costs should not be detached from the other objectives of data collection and data sharing;</w:t>
      </w:r>
    </w:p>
    <w:p w:rsidRPr="00E76ACE" w:rsidR="00E76ACE" w:rsidP="00CC4510" w:rsidRDefault="00E76ACE" w14:paraId="42EC964E" w14:textId="77777777">
      <w:pPr>
        <w:widowControl w:val="0"/>
        <w:numPr>
          <w:ilvl w:val="0"/>
          <w:numId w:val="19"/>
        </w:numPr>
        <w:overflowPunct w:val="0"/>
        <w:autoSpaceDE w:val="0"/>
        <w:autoSpaceDN w:val="0"/>
        <w:adjustRightInd w:val="0"/>
        <w:spacing w:line="276" w:lineRule="auto"/>
        <w:ind w:left="284" w:hanging="284"/>
        <w:contextualSpacing/>
        <w:textAlignment w:val="baseline"/>
        <w:rPr>
          <w:lang w:eastAsia="zh-CN"/>
        </w:rPr>
      </w:pPr>
      <w:r w:rsidRPr="00E76ACE">
        <w:rPr>
          <w:lang w:eastAsia="zh-CN"/>
        </w:rPr>
        <w:t>considers that future initiatives should establish that the delivery of data to one competent authority (or shared platform) is treated as delivery to all other competent authorities (one stop shop concept);</w:t>
      </w:r>
    </w:p>
    <w:p w:rsidRPr="00E76ACE" w:rsidR="00E76ACE" w:rsidP="00CC4510" w:rsidRDefault="00E76ACE" w14:paraId="0831C626" w14:textId="77777777">
      <w:pPr>
        <w:widowControl w:val="0"/>
        <w:numPr>
          <w:ilvl w:val="0"/>
          <w:numId w:val="19"/>
        </w:numPr>
        <w:overflowPunct w:val="0"/>
        <w:autoSpaceDE w:val="0"/>
        <w:autoSpaceDN w:val="0"/>
        <w:adjustRightInd w:val="0"/>
        <w:spacing w:line="276" w:lineRule="auto"/>
        <w:ind w:left="284" w:hanging="284"/>
        <w:contextualSpacing/>
        <w:textAlignment w:val="baseline"/>
        <w:rPr>
          <w:lang w:eastAsia="zh-CN"/>
        </w:rPr>
      </w:pPr>
      <w:r w:rsidRPr="00E76ACE">
        <w:rPr>
          <w:lang w:eastAsia="zh-CN"/>
        </w:rPr>
        <w:t>notes that data sharing between authorities would remain subject to a voluntary request. In this regard, the authorities must (not only "may") enter into memoranda of understanding to specify the modalities of the exchange of information;</w:t>
      </w:r>
    </w:p>
    <w:p w:rsidRPr="00E76ACE" w:rsidR="00E76ACE" w:rsidP="00CC4510" w:rsidRDefault="00E76ACE" w14:paraId="13DBA4C5" w14:textId="77777777">
      <w:pPr>
        <w:widowControl w:val="0"/>
        <w:numPr>
          <w:ilvl w:val="0"/>
          <w:numId w:val="19"/>
        </w:numPr>
        <w:overflowPunct w:val="0"/>
        <w:autoSpaceDE w:val="0"/>
        <w:autoSpaceDN w:val="0"/>
        <w:adjustRightInd w:val="0"/>
        <w:spacing w:line="276" w:lineRule="auto"/>
        <w:ind w:left="284" w:hanging="284"/>
        <w:contextualSpacing/>
        <w:textAlignment w:val="baseline"/>
        <w:rPr>
          <w:lang w:eastAsia="zh-CN"/>
        </w:rPr>
      </w:pPr>
      <w:r w:rsidRPr="00E76ACE">
        <w:rPr>
          <w:lang w:eastAsia="zh-CN"/>
        </w:rPr>
        <w:t>underlines that in order to achieve simplification, regularly reviewing reporting requirements should be mandatory;</w:t>
      </w:r>
    </w:p>
    <w:p w:rsidRPr="00E76ACE" w:rsidR="00E76ACE" w:rsidP="00CC4510" w:rsidRDefault="00E76ACE" w14:paraId="6C4CE41E" w14:textId="77777777">
      <w:pPr>
        <w:widowControl w:val="0"/>
        <w:overflowPunct w:val="0"/>
        <w:autoSpaceDE w:val="0"/>
        <w:autoSpaceDN w:val="0"/>
        <w:adjustRightInd w:val="0"/>
        <w:spacing w:line="276" w:lineRule="auto"/>
        <w:ind w:left="284"/>
        <w:jc w:val="left"/>
        <w:rPr>
          <w:szCs w:val="20"/>
        </w:rPr>
      </w:pPr>
    </w:p>
    <w:p w:rsidRPr="00E76ACE" w:rsidR="00E76ACE" w:rsidP="00CC4510" w:rsidRDefault="00E76ACE" w14:paraId="5CD848D6" w14:textId="77777777">
      <w:pPr>
        <w:widowControl w:val="0"/>
        <w:spacing w:line="276" w:lineRule="auto"/>
        <w:contextualSpacing/>
        <w:jc w:val="left"/>
        <w:rPr>
          <w:lang w:eastAsia="zh-CN"/>
        </w:rPr>
      </w:pPr>
      <w:r w:rsidRPr="00E76ACE">
        <w:rPr>
          <w:lang w:eastAsia="zh-CN"/>
        </w:rPr>
        <w:t>On the amendments to the Benchmark regulation, the EESC:</w:t>
      </w:r>
    </w:p>
    <w:p w:rsidRPr="00E76ACE" w:rsidR="00E76ACE" w:rsidP="00CC4510" w:rsidRDefault="00E76ACE" w14:paraId="706F0FFB" w14:textId="77777777">
      <w:pPr>
        <w:widowControl w:val="0"/>
        <w:overflowPunct w:val="0"/>
        <w:autoSpaceDE w:val="0"/>
        <w:autoSpaceDN w:val="0"/>
        <w:adjustRightInd w:val="0"/>
        <w:spacing w:line="276" w:lineRule="auto"/>
        <w:ind w:left="284"/>
        <w:jc w:val="left"/>
        <w:rPr>
          <w:szCs w:val="20"/>
        </w:rPr>
      </w:pPr>
    </w:p>
    <w:p w:rsidRPr="00E76ACE" w:rsidR="00E76ACE" w:rsidP="00CC4510" w:rsidRDefault="00E76ACE" w14:paraId="6FC51301" w14:textId="77777777">
      <w:pPr>
        <w:widowControl w:val="0"/>
        <w:numPr>
          <w:ilvl w:val="0"/>
          <w:numId w:val="20"/>
        </w:numPr>
        <w:overflowPunct w:val="0"/>
        <w:autoSpaceDE w:val="0"/>
        <w:autoSpaceDN w:val="0"/>
        <w:adjustRightInd w:val="0"/>
        <w:spacing w:line="276" w:lineRule="auto"/>
        <w:ind w:left="284" w:hanging="284"/>
        <w:contextualSpacing/>
        <w:textAlignment w:val="baseline"/>
        <w:rPr>
          <w:lang w:eastAsia="zh-CN"/>
        </w:rPr>
      </w:pPr>
      <w:r w:rsidRPr="00E76ACE">
        <w:rPr>
          <w:lang w:eastAsia="zh-CN"/>
        </w:rPr>
        <w:t xml:space="preserve">welcomes a more balanced and proportionate approach to safeguarding financial stability and the integrity of European markets, as well as to reducing costs and regulatory requirements, in particular by reducing the requirements for non-significant benchmarks; </w:t>
      </w:r>
    </w:p>
    <w:p w:rsidRPr="00E76ACE" w:rsidR="00E76ACE" w:rsidP="00CC4510" w:rsidRDefault="00E76ACE" w14:paraId="512ABB98" w14:textId="77777777">
      <w:pPr>
        <w:widowControl w:val="0"/>
        <w:numPr>
          <w:ilvl w:val="0"/>
          <w:numId w:val="20"/>
        </w:numPr>
        <w:overflowPunct w:val="0"/>
        <w:autoSpaceDE w:val="0"/>
        <w:autoSpaceDN w:val="0"/>
        <w:adjustRightInd w:val="0"/>
        <w:spacing w:line="276" w:lineRule="auto"/>
        <w:ind w:left="284" w:hanging="284"/>
        <w:contextualSpacing/>
        <w:textAlignment w:val="baseline"/>
        <w:rPr>
          <w:lang w:eastAsia="zh-CN"/>
        </w:rPr>
      </w:pPr>
      <w:r w:rsidRPr="00E76ACE">
        <w:rPr>
          <w:lang w:eastAsia="zh-CN"/>
        </w:rPr>
        <w:t>welcomes the clarification of the role of the Commission, the European Securities and Markets Authority (ESMA) and the national authorities in the process applicable to significant and critical benchmarks;</w:t>
      </w:r>
    </w:p>
    <w:p w:rsidRPr="00E76ACE" w:rsidR="00E76ACE" w:rsidP="00CC4510" w:rsidRDefault="00E76ACE" w14:paraId="39EE635D" w14:textId="77777777">
      <w:pPr>
        <w:widowControl w:val="0"/>
        <w:numPr>
          <w:ilvl w:val="0"/>
          <w:numId w:val="20"/>
        </w:numPr>
        <w:overflowPunct w:val="0"/>
        <w:autoSpaceDE w:val="0"/>
        <w:autoSpaceDN w:val="0"/>
        <w:adjustRightInd w:val="0"/>
        <w:spacing w:line="276" w:lineRule="auto"/>
        <w:ind w:left="284" w:hanging="284"/>
        <w:contextualSpacing/>
        <w:textAlignment w:val="baseline"/>
        <w:rPr>
          <w:lang w:eastAsia="zh-CN"/>
        </w:rPr>
      </w:pPr>
      <w:r w:rsidRPr="00E76ACE">
        <w:rPr>
          <w:lang w:eastAsia="zh-CN"/>
        </w:rPr>
        <w:t>highly recommends checking whether any initiative to minimise reporting requirements or to save costs for critical or significant benchmarks is possible.</w:t>
      </w:r>
    </w:p>
    <w:p w:rsidRPr="00E76ACE" w:rsidR="00E76ACE" w:rsidP="00E76ACE" w:rsidRDefault="00E76ACE" w14:paraId="0966C473" w14:textId="77777777">
      <w:pPr>
        <w:widowControl w:val="0"/>
        <w:overflowPunct w:val="0"/>
        <w:autoSpaceDE w:val="0"/>
        <w:autoSpaceDN w:val="0"/>
        <w:adjustRightInd w:val="0"/>
        <w:rPr>
          <w:szCs w:val="20"/>
        </w:rPr>
      </w:pPr>
    </w:p>
    <w:p w:rsidRPr="00E76ACE" w:rsidR="00E76ACE" w:rsidP="00E76ACE" w:rsidRDefault="00E76ACE" w14:paraId="468B2533" w14:textId="77777777">
      <w:pPr>
        <w:spacing w:line="360" w:lineRule="auto"/>
        <w:ind w:left="714"/>
        <w:contextualSpacing/>
        <w:rPr>
          <w:rFonts w:ascii="Calibri" w:hAnsi="Calibri"/>
          <w:lang w:eastAsia="zh-CN"/>
        </w:rPr>
      </w:pPr>
    </w:p>
    <w:tbl>
      <w:tblPr>
        <w:tblStyle w:val="TableGrid19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E76ACE" w:rsidR="00E76ACE" w:rsidTr="00B05454" w14:paraId="5AC2D924" w14:textId="77777777">
        <w:tc>
          <w:tcPr>
            <w:tcW w:w="1556" w:type="pct"/>
          </w:tcPr>
          <w:p w:rsidRPr="00E76ACE" w:rsidR="00E76ACE" w:rsidP="00E76ACE" w:rsidRDefault="00E76ACE" w14:paraId="631F02EC" w14:textId="77777777">
            <w:pPr>
              <w:overflowPunct w:val="0"/>
              <w:autoSpaceDE w:val="0"/>
              <w:autoSpaceDN w:val="0"/>
              <w:adjustRightInd w:val="0"/>
              <w:spacing w:line="240" w:lineRule="auto"/>
              <w:textAlignment w:val="baseline"/>
              <w:rPr>
                <w:i/>
              </w:rPr>
            </w:pPr>
            <w:r w:rsidRPr="00E76ACE">
              <w:rPr>
                <w:b/>
                <w:i/>
              </w:rPr>
              <w:t>Contact</w:t>
            </w:r>
          </w:p>
        </w:tc>
        <w:tc>
          <w:tcPr>
            <w:tcW w:w="3444" w:type="pct"/>
          </w:tcPr>
          <w:p w:rsidRPr="00E76ACE" w:rsidR="00E76ACE" w:rsidP="00E76ACE" w:rsidRDefault="00E76ACE" w14:paraId="37BFF911" w14:textId="26B6403B">
            <w:pPr>
              <w:overflowPunct w:val="0"/>
              <w:autoSpaceDE w:val="0"/>
              <w:autoSpaceDN w:val="0"/>
              <w:adjustRightInd w:val="0"/>
              <w:spacing w:line="240" w:lineRule="auto"/>
              <w:textAlignment w:val="baseline"/>
              <w:rPr>
                <w:i/>
              </w:rPr>
            </w:pPr>
            <w:r w:rsidRPr="00E76ACE">
              <w:rPr>
                <w:i/>
              </w:rPr>
              <w:t>Sergio L</w:t>
            </w:r>
            <w:r w:rsidRPr="00E76ACE" w:rsidR="002C52B8">
              <w:rPr>
                <w:i/>
              </w:rPr>
              <w:t>orencio</w:t>
            </w:r>
            <w:r w:rsidRPr="00E76ACE">
              <w:rPr>
                <w:i/>
              </w:rPr>
              <w:t xml:space="preserve"> M</w:t>
            </w:r>
            <w:r w:rsidRPr="00E76ACE" w:rsidR="002C52B8">
              <w:rPr>
                <w:i/>
              </w:rPr>
              <w:t>atallana</w:t>
            </w:r>
          </w:p>
        </w:tc>
      </w:tr>
      <w:tr w:rsidRPr="00E76ACE" w:rsidR="00E76ACE" w:rsidTr="00B05454" w14:paraId="38EECD9C" w14:textId="77777777">
        <w:tc>
          <w:tcPr>
            <w:tcW w:w="1556" w:type="pct"/>
          </w:tcPr>
          <w:p w:rsidRPr="00E76ACE" w:rsidR="00E76ACE" w:rsidP="00E76ACE" w:rsidRDefault="00E76ACE" w14:paraId="00111D5D" w14:textId="77777777">
            <w:pPr>
              <w:overflowPunct w:val="0"/>
              <w:autoSpaceDE w:val="0"/>
              <w:autoSpaceDN w:val="0"/>
              <w:adjustRightInd w:val="0"/>
              <w:spacing w:line="240" w:lineRule="auto"/>
              <w:textAlignment w:val="baseline"/>
              <w:rPr>
                <w:i/>
              </w:rPr>
            </w:pPr>
            <w:r w:rsidRPr="00E76ACE">
              <w:rPr>
                <w:i/>
              </w:rPr>
              <w:t>Tel.</w:t>
            </w:r>
          </w:p>
        </w:tc>
        <w:tc>
          <w:tcPr>
            <w:tcW w:w="3444" w:type="pct"/>
          </w:tcPr>
          <w:p w:rsidRPr="00E76ACE" w:rsidR="00E76ACE" w:rsidP="00E76ACE" w:rsidRDefault="00E76ACE" w14:paraId="2BA01FC0" w14:textId="77777777">
            <w:pPr>
              <w:overflowPunct w:val="0"/>
              <w:autoSpaceDE w:val="0"/>
              <w:autoSpaceDN w:val="0"/>
              <w:adjustRightInd w:val="0"/>
              <w:spacing w:line="240" w:lineRule="auto"/>
              <w:textAlignment w:val="baseline"/>
              <w:rPr>
                <w:i/>
              </w:rPr>
            </w:pPr>
            <w:r w:rsidRPr="00E76ACE">
              <w:rPr>
                <w:i/>
              </w:rPr>
              <w:t>+32 25469240</w:t>
            </w:r>
          </w:p>
        </w:tc>
      </w:tr>
      <w:tr w:rsidRPr="00E76ACE" w:rsidR="00E76ACE" w:rsidTr="00B05454" w14:paraId="34EA2FE0" w14:textId="77777777">
        <w:tc>
          <w:tcPr>
            <w:tcW w:w="1556" w:type="pct"/>
          </w:tcPr>
          <w:p w:rsidRPr="00E76ACE" w:rsidR="00E76ACE" w:rsidP="00E76ACE" w:rsidRDefault="00E76ACE" w14:paraId="3C52BE60" w14:textId="77777777">
            <w:pPr>
              <w:overflowPunct w:val="0"/>
              <w:autoSpaceDE w:val="0"/>
              <w:autoSpaceDN w:val="0"/>
              <w:adjustRightInd w:val="0"/>
              <w:spacing w:line="240" w:lineRule="auto"/>
              <w:textAlignment w:val="baseline"/>
              <w:rPr>
                <w:i/>
              </w:rPr>
            </w:pPr>
            <w:r w:rsidRPr="00E76ACE">
              <w:rPr>
                <w:i/>
              </w:rPr>
              <w:t>Email</w:t>
            </w:r>
          </w:p>
        </w:tc>
        <w:tc>
          <w:tcPr>
            <w:tcW w:w="3444" w:type="pct"/>
          </w:tcPr>
          <w:p w:rsidRPr="00E76ACE" w:rsidR="00E76ACE" w:rsidP="00E76ACE" w:rsidRDefault="00B21B70" w14:paraId="4D5E4782" w14:textId="77777777">
            <w:pPr>
              <w:overflowPunct w:val="0"/>
              <w:autoSpaceDE w:val="0"/>
              <w:autoSpaceDN w:val="0"/>
              <w:adjustRightInd w:val="0"/>
              <w:spacing w:line="240" w:lineRule="auto"/>
              <w:textAlignment w:val="baseline"/>
              <w:rPr>
                <w:i/>
              </w:rPr>
            </w:pPr>
            <w:hyperlink w:history="1" r:id="rId24">
              <w:r w:rsidRPr="00E76ACE" w:rsidR="00E76ACE">
                <w:rPr>
                  <w:i/>
                  <w:color w:val="0000FF"/>
                  <w:u w:val="single"/>
                </w:rPr>
                <w:t>Sergio.LorencioMatallana@eesc.europa.eu</w:t>
              </w:r>
            </w:hyperlink>
          </w:p>
        </w:tc>
      </w:tr>
    </w:tbl>
    <w:p w:rsidR="00E76ACE" w:rsidRDefault="00E76ACE" w14:paraId="610C8E26" w14:textId="77777777">
      <w:pPr>
        <w:spacing w:after="160" w:line="259" w:lineRule="auto"/>
        <w:jc w:val="left"/>
        <w:rPr>
          <w:b/>
          <w:bCs/>
        </w:rPr>
      </w:pPr>
    </w:p>
    <w:p w:rsidR="00E76ACE" w:rsidRDefault="00E76ACE" w14:paraId="1F90D670" w14:textId="77777777">
      <w:pPr>
        <w:spacing w:after="160" w:line="259" w:lineRule="auto"/>
        <w:jc w:val="left"/>
        <w:rPr>
          <w:b/>
          <w:bCs/>
        </w:rPr>
      </w:pPr>
      <w:r>
        <w:rPr>
          <w:b/>
          <w:bCs/>
        </w:rPr>
        <w:br w:type="page"/>
      </w:r>
    </w:p>
    <w:p w:rsidR="006C6A1E" w:rsidP="00234EA0" w:rsidRDefault="006C6A1E" w14:paraId="55E56154" w14:textId="2549BDD3">
      <w:pPr>
        <w:pStyle w:val="Heading1"/>
        <w:ind w:hanging="928"/>
        <w:rPr>
          <w:b/>
          <w:bCs/>
        </w:rPr>
      </w:pPr>
      <w:bookmarkStart w:name="_Toc150179063" w:id="14"/>
      <w:bookmarkStart w:name="_Toc159831769" w:id="15"/>
      <w:bookmarkStart w:name="_Toc153539680" w:id="16"/>
      <w:bookmarkEnd w:id="14"/>
      <w:r w:rsidRPr="006C6A1E">
        <w:rPr>
          <w:b/>
          <w:bCs/>
        </w:rPr>
        <w:t>EMPLOYMENT, SOCIAL AFFAIRS AND CITIZENSHIP</w:t>
      </w:r>
      <w:bookmarkEnd w:id="15"/>
    </w:p>
    <w:p w:rsidR="006C6A1E" w:rsidP="006C6A1E" w:rsidRDefault="006C6A1E" w14:paraId="190420D2" w14:textId="4E6BD19C"/>
    <w:p w:rsidRPr="006C6A1E" w:rsidR="006C6A1E" w:rsidP="006C6A1E" w:rsidRDefault="00B21B70" w14:paraId="7AA2DF65" w14:textId="5E6190D2">
      <w:pPr>
        <w:widowControl w:val="0"/>
        <w:numPr>
          <w:ilvl w:val="0"/>
          <w:numId w:val="2"/>
        </w:numPr>
        <w:overflowPunct w:val="0"/>
        <w:autoSpaceDE w:val="0"/>
        <w:autoSpaceDN w:val="0"/>
        <w:adjustRightInd w:val="0"/>
        <w:ind w:hanging="567"/>
        <w:textAlignment w:val="baseline"/>
        <w:rPr>
          <w:sz w:val="20"/>
          <w:szCs w:val="20"/>
        </w:rPr>
      </w:pPr>
      <w:hyperlink w:history="1" r:id="rId25">
        <w:r w:rsidRPr="006C6A1E" w:rsidR="006C6A1E">
          <w:rPr>
            <w:b/>
            <w:bCs/>
            <w:i/>
            <w:iCs/>
            <w:color w:val="0000FF"/>
            <w:sz w:val="28"/>
            <w:szCs w:val="28"/>
            <w:u w:val="single"/>
          </w:rPr>
          <w:t>Digitalisation in social security</w:t>
        </w:r>
      </w:hyperlink>
    </w:p>
    <w:p w:rsidRPr="006C6A1E" w:rsidR="006C6A1E" w:rsidP="006C6A1E" w:rsidRDefault="006C6A1E" w14:paraId="55612D29" w14:textId="77777777">
      <w:pPr>
        <w:tabs>
          <w:tab w:val="center" w:pos="284"/>
        </w:tabs>
        <w:overflowPunct w:val="0"/>
        <w:autoSpaceDE w:val="0"/>
        <w:autoSpaceDN w:val="0"/>
        <w:adjustRightInd w:val="0"/>
        <w:ind w:left="266" w:hanging="266"/>
        <w:textAlignment w:val="baseline"/>
        <w:rPr>
          <w:b/>
        </w:rPr>
      </w:pPr>
    </w:p>
    <w:tbl>
      <w:tblPr>
        <w:tblStyle w:val="TableGrid203"/>
        <w:tblW w:w="4503" w:type="pct"/>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87"/>
        <w:gridCol w:w="6477"/>
      </w:tblGrid>
      <w:tr w:rsidRPr="006C6A1E" w:rsidR="006C6A1E" w:rsidTr="00CC4510" w14:paraId="1E5744BE" w14:textId="77777777">
        <w:trPr>
          <w:trHeight w:val="564"/>
        </w:trPr>
        <w:tc>
          <w:tcPr>
            <w:tcW w:w="1128" w:type="pct"/>
          </w:tcPr>
          <w:p w:rsidRPr="006C6A1E" w:rsidR="006C6A1E" w:rsidP="006C6A1E" w:rsidRDefault="006C6A1E" w14:paraId="0C0E6752" w14:textId="77777777">
            <w:pPr>
              <w:tabs>
                <w:tab w:val="center" w:pos="284"/>
              </w:tabs>
              <w:overflowPunct w:val="0"/>
              <w:autoSpaceDE w:val="0"/>
              <w:autoSpaceDN w:val="0"/>
              <w:adjustRightInd w:val="0"/>
              <w:ind w:left="266" w:hanging="266"/>
              <w:textAlignment w:val="baseline"/>
              <w:rPr>
                <w:b/>
              </w:rPr>
            </w:pPr>
            <w:r w:rsidRPr="006C6A1E">
              <w:rPr>
                <w:b/>
              </w:rPr>
              <w:t>Rapporteur</w:t>
            </w:r>
          </w:p>
        </w:tc>
        <w:tc>
          <w:tcPr>
            <w:tcW w:w="3872" w:type="pct"/>
          </w:tcPr>
          <w:p w:rsidRPr="006C6A1E" w:rsidR="006C6A1E" w:rsidP="006C6A1E" w:rsidRDefault="006C6A1E" w14:paraId="1F9E7E12" w14:textId="5FFDA98B">
            <w:pPr>
              <w:tabs>
                <w:tab w:val="center" w:pos="284"/>
              </w:tabs>
              <w:overflowPunct w:val="0"/>
              <w:autoSpaceDE w:val="0"/>
              <w:autoSpaceDN w:val="0"/>
              <w:adjustRightInd w:val="0"/>
              <w:ind w:left="266" w:hanging="266"/>
              <w:textAlignment w:val="baseline"/>
            </w:pPr>
            <w:r w:rsidRPr="006C6A1E">
              <w:t xml:space="preserve">Krzysztof BALON (Civil Society Organisations' Group </w:t>
            </w:r>
            <w:r w:rsidR="009D799E">
              <w:t>-</w:t>
            </w:r>
            <w:r w:rsidRPr="006C6A1E">
              <w:t xml:space="preserve"> PL)</w:t>
            </w:r>
          </w:p>
        </w:tc>
      </w:tr>
      <w:tr w:rsidRPr="006C6A1E" w:rsidR="006C6A1E" w:rsidTr="00CC4510" w14:paraId="3FEF9A97" w14:textId="77777777">
        <w:trPr>
          <w:trHeight w:val="294"/>
        </w:trPr>
        <w:tc>
          <w:tcPr>
            <w:tcW w:w="1128" w:type="pct"/>
          </w:tcPr>
          <w:p w:rsidRPr="006C6A1E" w:rsidR="006C6A1E" w:rsidP="006C6A1E" w:rsidRDefault="006C6A1E" w14:paraId="14F4FC73" w14:textId="77777777">
            <w:pPr>
              <w:tabs>
                <w:tab w:val="center" w:pos="284"/>
              </w:tabs>
              <w:overflowPunct w:val="0"/>
              <w:autoSpaceDE w:val="0"/>
              <w:autoSpaceDN w:val="0"/>
              <w:adjustRightInd w:val="0"/>
              <w:ind w:left="266" w:hanging="266"/>
              <w:textAlignment w:val="baseline"/>
              <w:rPr>
                <w:b/>
              </w:rPr>
            </w:pPr>
            <w:r w:rsidRPr="006C6A1E">
              <w:rPr>
                <w:b/>
              </w:rPr>
              <w:t>Co-rapporteur</w:t>
            </w:r>
          </w:p>
        </w:tc>
        <w:tc>
          <w:tcPr>
            <w:tcW w:w="3872" w:type="pct"/>
          </w:tcPr>
          <w:p w:rsidRPr="006C6A1E" w:rsidR="006C6A1E" w:rsidP="006C6A1E" w:rsidRDefault="006C6A1E" w14:paraId="15858FF0" w14:textId="215E30DC">
            <w:pPr>
              <w:tabs>
                <w:tab w:val="center" w:pos="284"/>
              </w:tabs>
              <w:overflowPunct w:val="0"/>
              <w:autoSpaceDE w:val="0"/>
              <w:autoSpaceDN w:val="0"/>
              <w:adjustRightInd w:val="0"/>
              <w:ind w:left="266" w:hanging="266"/>
              <w:textAlignment w:val="baseline"/>
            </w:pPr>
            <w:r w:rsidRPr="006C6A1E">
              <w:t xml:space="preserve">Maria del Carmen BARRERA CHAMORRO (Workers' Group </w:t>
            </w:r>
            <w:r w:rsidR="009D799E">
              <w:t>-</w:t>
            </w:r>
            <w:r w:rsidRPr="006C6A1E">
              <w:t xml:space="preserve"> ES)</w:t>
            </w:r>
          </w:p>
        </w:tc>
      </w:tr>
      <w:tr w:rsidRPr="006C6A1E" w:rsidR="006C6A1E" w:rsidTr="00CC4510" w14:paraId="3AECE3D5" w14:textId="77777777">
        <w:trPr>
          <w:trHeight w:val="153"/>
        </w:trPr>
        <w:tc>
          <w:tcPr>
            <w:tcW w:w="5000" w:type="pct"/>
            <w:gridSpan w:val="2"/>
          </w:tcPr>
          <w:p w:rsidRPr="006C6A1E" w:rsidR="006C6A1E" w:rsidP="006C6A1E" w:rsidRDefault="006C6A1E" w14:paraId="660A79BB" w14:textId="77777777">
            <w:pPr>
              <w:tabs>
                <w:tab w:val="center" w:pos="284"/>
              </w:tabs>
              <w:overflowPunct w:val="0"/>
              <w:autoSpaceDE w:val="0"/>
              <w:autoSpaceDN w:val="0"/>
              <w:adjustRightInd w:val="0"/>
              <w:spacing w:line="160" w:lineRule="exact"/>
              <w:ind w:left="266" w:hanging="266"/>
              <w:textAlignment w:val="baseline"/>
            </w:pPr>
          </w:p>
        </w:tc>
      </w:tr>
      <w:tr w:rsidRPr="006C6A1E" w:rsidR="006C6A1E" w:rsidTr="00CC4510" w14:paraId="4552C784" w14:textId="77777777">
        <w:trPr>
          <w:trHeight w:val="282"/>
        </w:trPr>
        <w:tc>
          <w:tcPr>
            <w:tcW w:w="1128" w:type="pct"/>
          </w:tcPr>
          <w:p w:rsidRPr="006C6A1E" w:rsidR="006C6A1E" w:rsidP="006C6A1E" w:rsidRDefault="006C6A1E" w14:paraId="2CED479C" w14:textId="77777777">
            <w:pPr>
              <w:tabs>
                <w:tab w:val="center" w:pos="284"/>
              </w:tabs>
              <w:overflowPunct w:val="0"/>
              <w:autoSpaceDE w:val="0"/>
              <w:autoSpaceDN w:val="0"/>
              <w:adjustRightInd w:val="0"/>
              <w:ind w:left="266" w:hanging="266"/>
              <w:textAlignment w:val="baseline"/>
              <w:rPr>
                <w:b/>
              </w:rPr>
            </w:pPr>
            <w:r w:rsidRPr="006C6A1E">
              <w:rPr>
                <w:b/>
              </w:rPr>
              <w:t>References</w:t>
            </w:r>
          </w:p>
        </w:tc>
        <w:tc>
          <w:tcPr>
            <w:tcW w:w="3872" w:type="pct"/>
          </w:tcPr>
          <w:p w:rsidRPr="006C6A1E" w:rsidR="006C6A1E" w:rsidP="006C6A1E" w:rsidRDefault="006C6A1E" w14:paraId="25E0EE5C" w14:textId="77777777">
            <w:pPr>
              <w:tabs>
                <w:tab w:val="center" w:pos="284"/>
              </w:tabs>
              <w:overflowPunct w:val="0"/>
              <w:autoSpaceDE w:val="0"/>
              <w:autoSpaceDN w:val="0"/>
              <w:adjustRightInd w:val="0"/>
              <w:ind w:left="266" w:hanging="266"/>
              <w:textAlignment w:val="baseline"/>
            </w:pPr>
            <w:r w:rsidRPr="006C6A1E">
              <w:t>COM(2023) 501 final</w:t>
            </w:r>
          </w:p>
          <w:p w:rsidRPr="006C6A1E" w:rsidR="006C6A1E" w:rsidP="006C6A1E" w:rsidRDefault="006C6A1E" w14:paraId="41250C39" w14:textId="77777777">
            <w:pPr>
              <w:tabs>
                <w:tab w:val="center" w:pos="284"/>
              </w:tabs>
              <w:overflowPunct w:val="0"/>
              <w:autoSpaceDE w:val="0"/>
              <w:autoSpaceDN w:val="0"/>
              <w:adjustRightInd w:val="0"/>
              <w:ind w:left="266" w:hanging="266"/>
              <w:textAlignment w:val="baseline"/>
            </w:pPr>
            <w:r w:rsidRPr="006C6A1E">
              <w:t>EESC-2023-03875-00-00-AC</w:t>
            </w:r>
          </w:p>
        </w:tc>
      </w:tr>
    </w:tbl>
    <w:p w:rsidRPr="006C6A1E" w:rsidR="006C6A1E" w:rsidP="006C6A1E" w:rsidRDefault="006C6A1E" w14:paraId="13BCE082" w14:textId="77777777">
      <w:pPr>
        <w:tabs>
          <w:tab w:val="center" w:pos="284"/>
        </w:tabs>
        <w:overflowPunct w:val="0"/>
        <w:autoSpaceDE w:val="0"/>
        <w:autoSpaceDN w:val="0"/>
        <w:adjustRightInd w:val="0"/>
        <w:ind w:left="266" w:hanging="266"/>
        <w:textAlignment w:val="baseline"/>
      </w:pPr>
    </w:p>
    <w:p w:rsidRPr="006C6A1E" w:rsidR="006C6A1E" w:rsidP="006C6A1E" w:rsidRDefault="006C6A1E" w14:paraId="4FFD8EA0" w14:textId="77777777">
      <w:pPr>
        <w:keepNext/>
        <w:keepLines/>
        <w:tabs>
          <w:tab w:val="center" w:pos="284"/>
        </w:tabs>
        <w:overflowPunct w:val="0"/>
        <w:autoSpaceDE w:val="0"/>
        <w:autoSpaceDN w:val="0"/>
        <w:adjustRightInd w:val="0"/>
        <w:ind w:left="266" w:hanging="266"/>
        <w:textAlignment w:val="baseline"/>
        <w:rPr>
          <w:b/>
        </w:rPr>
      </w:pPr>
      <w:r w:rsidRPr="006C6A1E">
        <w:rPr>
          <w:b/>
        </w:rPr>
        <w:t>Key points</w:t>
      </w:r>
    </w:p>
    <w:p w:rsidRPr="006C6A1E" w:rsidR="006C6A1E" w:rsidP="006C6A1E" w:rsidRDefault="006C6A1E" w14:paraId="4D558131" w14:textId="77777777">
      <w:pPr>
        <w:keepNext/>
        <w:keepLines/>
        <w:tabs>
          <w:tab w:val="center" w:pos="284"/>
        </w:tabs>
        <w:overflowPunct w:val="0"/>
        <w:autoSpaceDE w:val="0"/>
        <w:autoSpaceDN w:val="0"/>
        <w:adjustRightInd w:val="0"/>
        <w:ind w:left="266" w:hanging="266"/>
        <w:textAlignment w:val="baseline"/>
        <w:rPr>
          <w:b/>
        </w:rPr>
      </w:pPr>
    </w:p>
    <w:p w:rsidRPr="006C6A1E" w:rsidR="006C6A1E" w:rsidP="006C6A1E" w:rsidRDefault="006C6A1E" w14:paraId="644A124F" w14:textId="77777777">
      <w:pPr>
        <w:overflowPunct w:val="0"/>
        <w:autoSpaceDE w:val="0"/>
        <w:autoSpaceDN w:val="0"/>
        <w:adjustRightInd w:val="0"/>
        <w:textAlignment w:val="baseline"/>
        <w:rPr>
          <w:bCs/>
          <w:iCs/>
        </w:rPr>
      </w:pPr>
      <w:r w:rsidRPr="006C6A1E">
        <w:rPr>
          <w:bCs/>
          <w:iCs/>
        </w:rPr>
        <w:t>The EESC:</w:t>
      </w:r>
    </w:p>
    <w:p w:rsidRPr="006C6A1E" w:rsidR="006C6A1E" w:rsidP="006C6A1E" w:rsidRDefault="006C6A1E" w14:paraId="08AD54EB" w14:textId="77777777">
      <w:pPr>
        <w:overflowPunct w:val="0"/>
        <w:autoSpaceDE w:val="0"/>
        <w:autoSpaceDN w:val="0"/>
        <w:adjustRightInd w:val="0"/>
        <w:textAlignment w:val="baseline"/>
        <w:rPr>
          <w:bCs/>
          <w:iCs/>
        </w:rPr>
      </w:pPr>
    </w:p>
    <w:p w:rsidRPr="006C6A1E" w:rsidR="006C6A1E" w:rsidP="00CC4510" w:rsidRDefault="006C6A1E" w14:paraId="7C9F6447" w14:textId="77777777">
      <w:pPr>
        <w:widowControl w:val="0"/>
        <w:numPr>
          <w:ilvl w:val="0"/>
          <w:numId w:val="21"/>
        </w:numPr>
        <w:overflowPunct w:val="0"/>
        <w:autoSpaceDE w:val="0"/>
        <w:autoSpaceDN w:val="0"/>
        <w:adjustRightInd w:val="0"/>
        <w:spacing w:line="276" w:lineRule="auto"/>
        <w:ind w:left="284" w:hanging="284"/>
        <w:textAlignment w:val="baseline"/>
        <w:rPr>
          <w:bCs/>
          <w:iCs/>
        </w:rPr>
      </w:pPr>
      <w:r w:rsidRPr="006C6A1E">
        <w:rPr>
          <w:bCs/>
          <w:iCs/>
        </w:rPr>
        <w:t xml:space="preserve">acknowledges the challenges in cross-border social security coordination, such as </w:t>
      </w:r>
      <w:r w:rsidRPr="006C6A1E">
        <w:rPr>
          <w:szCs w:val="20"/>
        </w:rPr>
        <w:t xml:space="preserve">the complexity of bureaucratic procedures, manual procedures and the need for certain documents to be in physical form and the difficulties in verifying or validating them, </w:t>
      </w:r>
      <w:r w:rsidRPr="006C6A1E">
        <w:rPr>
          <w:bCs/>
          <w:iCs/>
        </w:rPr>
        <w:t>which hinder free movement for citizens and businesses;</w:t>
      </w:r>
    </w:p>
    <w:p w:rsidRPr="006C6A1E" w:rsidR="006C6A1E" w:rsidP="00CC4510" w:rsidRDefault="006C6A1E" w14:paraId="09D6FEBE" w14:textId="77777777">
      <w:pPr>
        <w:widowControl w:val="0"/>
        <w:numPr>
          <w:ilvl w:val="0"/>
          <w:numId w:val="21"/>
        </w:numPr>
        <w:overflowPunct w:val="0"/>
        <w:autoSpaceDE w:val="0"/>
        <w:autoSpaceDN w:val="0"/>
        <w:adjustRightInd w:val="0"/>
        <w:spacing w:line="276" w:lineRule="auto"/>
        <w:ind w:left="284" w:hanging="284"/>
        <w:textAlignment w:val="baseline"/>
        <w:rPr>
          <w:bCs/>
          <w:iCs/>
        </w:rPr>
      </w:pPr>
      <w:r w:rsidRPr="006C6A1E">
        <w:rPr>
          <w:bCs/>
          <w:iCs/>
        </w:rPr>
        <w:t>welcomes and fully supports the Commission's goal to simplify cross-border social security and healthcare coordination through digitalisation;</w:t>
      </w:r>
    </w:p>
    <w:p w:rsidRPr="006C6A1E" w:rsidR="006C6A1E" w:rsidP="00CC4510" w:rsidRDefault="006C6A1E" w14:paraId="17F777BF" w14:textId="77777777">
      <w:pPr>
        <w:widowControl w:val="0"/>
        <w:numPr>
          <w:ilvl w:val="0"/>
          <w:numId w:val="21"/>
        </w:numPr>
        <w:overflowPunct w:val="0"/>
        <w:autoSpaceDE w:val="0"/>
        <w:autoSpaceDN w:val="0"/>
        <w:adjustRightInd w:val="0"/>
        <w:spacing w:line="276" w:lineRule="auto"/>
        <w:ind w:left="284" w:hanging="284"/>
        <w:textAlignment w:val="baseline"/>
        <w:rPr>
          <w:bCs/>
          <w:iCs/>
        </w:rPr>
      </w:pPr>
      <w:r w:rsidRPr="006C6A1E">
        <w:rPr>
          <w:bCs/>
          <w:iCs/>
        </w:rPr>
        <w:t>calls for the immediate development of a comprehensive action plan to digitalise social security coordination with a bottom-up approach, while highlighting the importance of considering the needs of social security institutions and stakeholders, including citizens, employers, companies and social economy entities;</w:t>
      </w:r>
    </w:p>
    <w:p w:rsidRPr="006C6A1E" w:rsidR="006C6A1E" w:rsidP="00CC4510" w:rsidRDefault="006C6A1E" w14:paraId="0BB9A11F" w14:textId="77777777">
      <w:pPr>
        <w:widowControl w:val="0"/>
        <w:numPr>
          <w:ilvl w:val="0"/>
          <w:numId w:val="21"/>
        </w:numPr>
        <w:overflowPunct w:val="0"/>
        <w:autoSpaceDE w:val="0"/>
        <w:autoSpaceDN w:val="0"/>
        <w:adjustRightInd w:val="0"/>
        <w:spacing w:line="276" w:lineRule="auto"/>
        <w:ind w:left="284" w:hanging="284"/>
        <w:textAlignment w:val="baseline"/>
      </w:pPr>
      <w:r w:rsidRPr="006C6A1E">
        <w:t>urges alternative solutions to be provided for those unable to use electronic means or who are otherwise digitally excluded. The EESC emphasises that digital identification should be an option, not a requirement, until suitable alternatives are established that respect the relevant data protection standards;</w:t>
      </w:r>
    </w:p>
    <w:p w:rsidRPr="006C6A1E" w:rsidR="006C6A1E" w:rsidP="00CC4510" w:rsidRDefault="006C6A1E" w14:paraId="6B66E7B8" w14:textId="77777777">
      <w:pPr>
        <w:widowControl w:val="0"/>
        <w:numPr>
          <w:ilvl w:val="0"/>
          <w:numId w:val="21"/>
        </w:numPr>
        <w:overflowPunct w:val="0"/>
        <w:autoSpaceDE w:val="0"/>
        <w:autoSpaceDN w:val="0"/>
        <w:adjustRightInd w:val="0"/>
        <w:spacing w:line="276" w:lineRule="auto"/>
        <w:ind w:left="284" w:hanging="284"/>
        <w:textAlignment w:val="baseline"/>
      </w:pPr>
      <w:r w:rsidRPr="006C6A1E">
        <w:t>believes that we will not be able to achieve our goals of removing obstacles to free movement solely by digitalising social security until the reform of Regulation 883/2004 on the coordination of social security systems is finalised;</w:t>
      </w:r>
    </w:p>
    <w:p w:rsidRPr="006C6A1E" w:rsidR="006C6A1E" w:rsidP="00CC4510" w:rsidRDefault="006C6A1E" w14:paraId="65D4664B" w14:textId="77777777">
      <w:pPr>
        <w:widowControl w:val="0"/>
        <w:numPr>
          <w:ilvl w:val="0"/>
          <w:numId w:val="21"/>
        </w:numPr>
        <w:overflowPunct w:val="0"/>
        <w:autoSpaceDE w:val="0"/>
        <w:autoSpaceDN w:val="0"/>
        <w:adjustRightInd w:val="0"/>
        <w:spacing w:line="276" w:lineRule="auto"/>
        <w:ind w:left="284" w:hanging="284"/>
        <w:textAlignment w:val="baseline"/>
      </w:pPr>
      <w:r w:rsidRPr="006C6A1E">
        <w:t xml:space="preserve">proposes establishing </w:t>
      </w:r>
      <w:r w:rsidRPr="006C6A1E">
        <w:rPr>
          <w:szCs w:val="20"/>
        </w:rPr>
        <w:t>a permanent exchange of best practices between Member States on digitalising the coordination of social security systems. In order to encourage and promote this, the EESC suggests that the Commission and the European Labour Authority organise a conference in which Member State governments and civil society participate.</w:t>
      </w:r>
    </w:p>
    <w:p w:rsidRPr="006C6A1E" w:rsidR="006C6A1E" w:rsidP="006C6A1E" w:rsidRDefault="006C6A1E" w14:paraId="648300B2" w14:textId="77777777">
      <w:pPr>
        <w:widowControl w:val="0"/>
        <w:overflowPunct w:val="0"/>
        <w:autoSpaceDE w:val="0"/>
        <w:autoSpaceDN w:val="0"/>
        <w:adjustRightInd w:val="0"/>
        <w:ind w:left="709"/>
        <w:textAlignment w:val="baseline"/>
        <w:rPr>
          <w:szCs w:val="20"/>
        </w:rPr>
      </w:pPr>
    </w:p>
    <w:tbl>
      <w:tblPr>
        <w:tblStyle w:val="TableGrid20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6C6A1E" w:rsidR="006C6A1E" w:rsidTr="00B05454" w14:paraId="4E6E4B82" w14:textId="77777777">
        <w:tc>
          <w:tcPr>
            <w:tcW w:w="1556" w:type="pct"/>
          </w:tcPr>
          <w:p w:rsidRPr="006C6A1E" w:rsidR="006C6A1E" w:rsidP="006C6A1E" w:rsidRDefault="006C6A1E" w14:paraId="10BE9558" w14:textId="77777777">
            <w:pPr>
              <w:overflowPunct w:val="0"/>
              <w:autoSpaceDE w:val="0"/>
              <w:autoSpaceDN w:val="0"/>
              <w:adjustRightInd w:val="0"/>
              <w:spacing w:line="240" w:lineRule="auto"/>
              <w:textAlignment w:val="baseline"/>
              <w:rPr>
                <w:i/>
              </w:rPr>
            </w:pPr>
            <w:r w:rsidRPr="006C6A1E">
              <w:rPr>
                <w:b/>
                <w:i/>
              </w:rPr>
              <w:t>Contact</w:t>
            </w:r>
          </w:p>
        </w:tc>
        <w:tc>
          <w:tcPr>
            <w:tcW w:w="3444" w:type="pct"/>
          </w:tcPr>
          <w:p w:rsidRPr="006C6A1E" w:rsidR="006C6A1E" w:rsidP="006C6A1E" w:rsidRDefault="006C6A1E" w14:paraId="7A73FAED" w14:textId="77777777">
            <w:pPr>
              <w:overflowPunct w:val="0"/>
              <w:autoSpaceDE w:val="0"/>
              <w:autoSpaceDN w:val="0"/>
              <w:adjustRightInd w:val="0"/>
              <w:spacing w:line="240" w:lineRule="auto"/>
              <w:textAlignment w:val="baseline"/>
              <w:rPr>
                <w:i/>
              </w:rPr>
            </w:pPr>
            <w:r w:rsidRPr="006C6A1E">
              <w:rPr>
                <w:i/>
              </w:rPr>
              <w:t>Bartek Bednarowicz</w:t>
            </w:r>
          </w:p>
        </w:tc>
      </w:tr>
      <w:tr w:rsidRPr="006C6A1E" w:rsidR="006C6A1E" w:rsidTr="00B05454" w14:paraId="62915FF2" w14:textId="77777777">
        <w:tc>
          <w:tcPr>
            <w:tcW w:w="1556" w:type="pct"/>
          </w:tcPr>
          <w:p w:rsidRPr="006C6A1E" w:rsidR="006C6A1E" w:rsidP="006C6A1E" w:rsidRDefault="006C6A1E" w14:paraId="7853AC57" w14:textId="77777777">
            <w:pPr>
              <w:overflowPunct w:val="0"/>
              <w:autoSpaceDE w:val="0"/>
              <w:autoSpaceDN w:val="0"/>
              <w:adjustRightInd w:val="0"/>
              <w:spacing w:line="240" w:lineRule="auto"/>
              <w:textAlignment w:val="baseline"/>
              <w:rPr>
                <w:i/>
              </w:rPr>
            </w:pPr>
            <w:r w:rsidRPr="006C6A1E">
              <w:rPr>
                <w:i/>
              </w:rPr>
              <w:t>Tel.</w:t>
            </w:r>
          </w:p>
        </w:tc>
        <w:tc>
          <w:tcPr>
            <w:tcW w:w="3444" w:type="pct"/>
          </w:tcPr>
          <w:p w:rsidRPr="006C6A1E" w:rsidR="006C6A1E" w:rsidP="006C6A1E" w:rsidRDefault="006C6A1E" w14:paraId="3D0777F2" w14:textId="77777777">
            <w:pPr>
              <w:overflowPunct w:val="0"/>
              <w:autoSpaceDE w:val="0"/>
              <w:autoSpaceDN w:val="0"/>
              <w:adjustRightInd w:val="0"/>
              <w:spacing w:line="240" w:lineRule="auto"/>
              <w:textAlignment w:val="baseline"/>
              <w:rPr>
                <w:i/>
              </w:rPr>
            </w:pPr>
            <w:r w:rsidRPr="006C6A1E">
              <w:rPr>
                <w:i/>
              </w:rPr>
              <w:t>+32 25469229</w:t>
            </w:r>
          </w:p>
        </w:tc>
      </w:tr>
      <w:tr w:rsidRPr="006C6A1E" w:rsidR="006C6A1E" w:rsidTr="00B05454" w14:paraId="400BD2E9" w14:textId="77777777">
        <w:tc>
          <w:tcPr>
            <w:tcW w:w="1556" w:type="pct"/>
          </w:tcPr>
          <w:p w:rsidRPr="006C6A1E" w:rsidR="006C6A1E" w:rsidP="006C6A1E" w:rsidRDefault="006C6A1E" w14:paraId="7E1AA95E" w14:textId="77777777">
            <w:pPr>
              <w:overflowPunct w:val="0"/>
              <w:autoSpaceDE w:val="0"/>
              <w:autoSpaceDN w:val="0"/>
              <w:adjustRightInd w:val="0"/>
              <w:spacing w:line="240" w:lineRule="auto"/>
              <w:textAlignment w:val="baseline"/>
              <w:rPr>
                <w:i/>
              </w:rPr>
            </w:pPr>
            <w:r w:rsidRPr="006C6A1E">
              <w:rPr>
                <w:i/>
              </w:rPr>
              <w:t>Email</w:t>
            </w:r>
          </w:p>
        </w:tc>
        <w:tc>
          <w:tcPr>
            <w:tcW w:w="3444" w:type="pct"/>
          </w:tcPr>
          <w:p w:rsidRPr="006C6A1E" w:rsidR="006C6A1E" w:rsidP="006C6A1E" w:rsidRDefault="00B21B70" w14:paraId="5FE06EE9" w14:textId="77777777">
            <w:pPr>
              <w:overflowPunct w:val="0"/>
              <w:autoSpaceDE w:val="0"/>
              <w:autoSpaceDN w:val="0"/>
              <w:adjustRightInd w:val="0"/>
              <w:spacing w:line="240" w:lineRule="auto"/>
              <w:textAlignment w:val="baseline"/>
              <w:rPr>
                <w:i/>
              </w:rPr>
            </w:pPr>
            <w:hyperlink w:history="1" r:id="rId26">
              <w:r w:rsidRPr="006C6A1E" w:rsidR="006C6A1E">
                <w:rPr>
                  <w:i/>
                  <w:color w:val="0000FF"/>
                  <w:u w:val="single"/>
                </w:rPr>
                <w:t>Bartek.Bednarowicz@eesc.europa.eu</w:t>
              </w:r>
            </w:hyperlink>
          </w:p>
        </w:tc>
      </w:tr>
    </w:tbl>
    <w:p w:rsidR="006C6A1E" w:rsidP="006C6A1E" w:rsidRDefault="006C6A1E" w14:paraId="195525CA" w14:textId="777AE21F"/>
    <w:p w:rsidR="00280432" w:rsidRDefault="00280432" w14:paraId="1109D69A" w14:textId="77777777">
      <w:pPr>
        <w:spacing w:after="160" w:line="259" w:lineRule="auto"/>
        <w:jc w:val="left"/>
      </w:pPr>
      <w:r>
        <w:br w:type="page"/>
      </w:r>
    </w:p>
    <w:p w:rsidRPr="00EE6FEF" w:rsidR="00EE6FEF" w:rsidP="00EE6FEF" w:rsidRDefault="00B21B70" w14:paraId="233F82BA" w14:textId="358528F6">
      <w:pPr>
        <w:widowControl w:val="0"/>
        <w:numPr>
          <w:ilvl w:val="0"/>
          <w:numId w:val="29"/>
        </w:numPr>
        <w:overflowPunct w:val="0"/>
        <w:autoSpaceDE w:val="0"/>
        <w:autoSpaceDN w:val="0"/>
        <w:adjustRightInd w:val="0"/>
        <w:ind w:hanging="567"/>
        <w:textAlignment w:val="baseline"/>
        <w:rPr>
          <w:b/>
        </w:rPr>
      </w:pPr>
      <w:hyperlink w:history="1" r:id="rId27">
        <w:r w:rsidRPr="00EE6FEF" w:rsidR="00EE6FEF">
          <w:rPr>
            <w:b/>
            <w:bCs/>
            <w:i/>
            <w:iCs/>
            <w:color w:val="0000FF"/>
            <w:sz w:val="28"/>
            <w:szCs w:val="28"/>
            <w:u w:val="single"/>
          </w:rPr>
          <w:t>Strengthening civil dialogue and participatory democracy in the EU: a path forward</w:t>
        </w:r>
      </w:hyperlink>
    </w:p>
    <w:p w:rsidR="00EE6FEF" w:rsidP="00EE6FEF" w:rsidRDefault="00EE6FEF" w14:paraId="5686EDCA" w14:textId="2AAEC5B9">
      <w:pPr>
        <w:tabs>
          <w:tab w:val="center" w:pos="284"/>
        </w:tabs>
        <w:overflowPunct w:val="0"/>
        <w:autoSpaceDE w:val="0"/>
        <w:autoSpaceDN w:val="0"/>
        <w:adjustRightInd w:val="0"/>
        <w:ind w:left="567" w:hanging="567"/>
        <w:textAlignment w:val="baseline"/>
        <w:rPr>
          <w:sz w:val="16"/>
          <w:szCs w:val="16"/>
          <w:lang w:val="pt-PT"/>
        </w:rPr>
      </w:pPr>
    </w:p>
    <w:p w:rsidRPr="00EE6FEF" w:rsidR="00EE6FEF" w:rsidP="00EE6FEF" w:rsidRDefault="00EE6FEF" w14:paraId="0DE421BA" w14:textId="77777777">
      <w:pPr>
        <w:tabs>
          <w:tab w:val="center" w:pos="284"/>
        </w:tabs>
        <w:overflowPunct w:val="0"/>
        <w:autoSpaceDE w:val="0"/>
        <w:autoSpaceDN w:val="0"/>
        <w:adjustRightInd w:val="0"/>
        <w:ind w:left="567" w:hanging="567"/>
        <w:textAlignment w:val="baseline"/>
        <w:rPr>
          <w:sz w:val="16"/>
          <w:szCs w:val="16"/>
          <w:lang w:val="pt-PT"/>
        </w:rPr>
      </w:pPr>
    </w:p>
    <w:tbl>
      <w:tblPr>
        <w:tblStyle w:val="TableGrid20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4"/>
        <w:gridCol w:w="6813"/>
      </w:tblGrid>
      <w:tr w:rsidRPr="00EE6FEF" w:rsidR="00EE6FEF" w:rsidTr="00CC4510" w14:paraId="7774CF3A" w14:textId="77777777">
        <w:tc>
          <w:tcPr>
            <w:tcW w:w="1834" w:type="dxa"/>
          </w:tcPr>
          <w:p w:rsidRPr="00EE6FEF" w:rsidR="00EE6FEF" w:rsidP="00EE6FEF" w:rsidRDefault="00EE6FEF" w14:paraId="115D3E85" w14:textId="77777777">
            <w:pPr>
              <w:tabs>
                <w:tab w:val="center" w:pos="284"/>
              </w:tabs>
              <w:overflowPunct w:val="0"/>
              <w:autoSpaceDE w:val="0"/>
              <w:autoSpaceDN w:val="0"/>
              <w:adjustRightInd w:val="0"/>
              <w:ind w:left="567" w:hanging="567"/>
              <w:textAlignment w:val="baseline"/>
              <w:rPr>
                <w:b/>
              </w:rPr>
            </w:pPr>
            <w:r w:rsidRPr="00EE6FEF">
              <w:rPr>
                <w:b/>
              </w:rPr>
              <w:t>Rapporteur</w:t>
            </w:r>
          </w:p>
          <w:p w:rsidRPr="00EE6FEF" w:rsidR="00EE6FEF" w:rsidP="00EE6FEF" w:rsidRDefault="00EE6FEF" w14:paraId="41342984" w14:textId="77777777">
            <w:pPr>
              <w:tabs>
                <w:tab w:val="center" w:pos="284"/>
              </w:tabs>
              <w:overflowPunct w:val="0"/>
              <w:autoSpaceDE w:val="0"/>
              <w:autoSpaceDN w:val="0"/>
              <w:adjustRightInd w:val="0"/>
              <w:ind w:left="567" w:hanging="567"/>
              <w:textAlignment w:val="baseline"/>
              <w:rPr>
                <w:b/>
              </w:rPr>
            </w:pPr>
            <w:r w:rsidRPr="00EE6FEF">
              <w:rPr>
                <w:b/>
              </w:rPr>
              <w:t>Co-rapporteur</w:t>
            </w:r>
          </w:p>
        </w:tc>
        <w:tc>
          <w:tcPr>
            <w:tcW w:w="6813" w:type="dxa"/>
          </w:tcPr>
          <w:p w:rsidRPr="00EE6FEF" w:rsidR="00EE6FEF" w:rsidP="00EE6FEF" w:rsidRDefault="00EE6FEF" w14:paraId="09298572" w14:textId="1E4C99CC">
            <w:pPr>
              <w:overflowPunct w:val="0"/>
              <w:autoSpaceDE w:val="0"/>
              <w:autoSpaceDN w:val="0"/>
              <w:adjustRightInd w:val="0"/>
              <w:ind w:left="567" w:hanging="567"/>
              <w:textAlignment w:val="baseline"/>
              <w:rPr>
                <w:lang w:val="es-ES"/>
              </w:rPr>
            </w:pPr>
            <w:r w:rsidRPr="00EE6FEF">
              <w:rPr>
                <w:lang w:val="es-ES"/>
              </w:rPr>
              <w:t>Pietro Vittorio B</w:t>
            </w:r>
            <w:r w:rsidRPr="00EE6FEF" w:rsidR="00362EE5">
              <w:rPr>
                <w:lang w:val="es-ES"/>
              </w:rPr>
              <w:t>ARBIERI</w:t>
            </w:r>
            <w:r w:rsidRPr="00EE6FEF">
              <w:rPr>
                <w:lang w:val="es-ES"/>
              </w:rPr>
              <w:t xml:space="preserve"> (</w:t>
            </w:r>
            <w:r w:rsidRPr="00EE6FEF">
              <w:rPr>
                <w:lang w:val="fr-FR"/>
              </w:rPr>
              <w:t>Civil Society Organisations Group</w:t>
            </w:r>
            <w:r w:rsidRPr="00EE6FEF">
              <w:rPr>
                <w:lang w:val="es-ES"/>
              </w:rPr>
              <w:t xml:space="preserve"> - IT)</w:t>
            </w:r>
          </w:p>
          <w:p w:rsidR="00EE6FEF" w:rsidP="00EE6FEF" w:rsidRDefault="00EE6FEF" w14:paraId="440A5CB9" w14:textId="50813251">
            <w:pPr>
              <w:tabs>
                <w:tab w:val="center" w:pos="284"/>
              </w:tabs>
              <w:overflowPunct w:val="0"/>
              <w:autoSpaceDE w:val="0"/>
              <w:autoSpaceDN w:val="0"/>
              <w:adjustRightInd w:val="0"/>
              <w:ind w:left="567" w:hanging="567"/>
              <w:textAlignment w:val="baseline"/>
              <w:rPr>
                <w:lang w:val="es-ES"/>
              </w:rPr>
            </w:pPr>
            <w:r w:rsidRPr="00EE6FEF">
              <w:rPr>
                <w:lang w:val="es-ES"/>
              </w:rPr>
              <w:t xml:space="preserve">Miranda Ulens (Workers' Group </w:t>
            </w:r>
            <w:r>
              <w:rPr>
                <w:lang w:val="es-ES"/>
              </w:rPr>
              <w:t>-</w:t>
            </w:r>
            <w:r w:rsidRPr="00EE6FEF">
              <w:rPr>
                <w:lang w:val="es-ES"/>
              </w:rPr>
              <w:t xml:space="preserve"> BE)</w:t>
            </w:r>
          </w:p>
          <w:p w:rsidRPr="00EE6FEF" w:rsidR="00734081" w:rsidP="00EE6FEF" w:rsidRDefault="00734081" w14:paraId="18F12DC0" w14:textId="6E440F43">
            <w:pPr>
              <w:tabs>
                <w:tab w:val="center" w:pos="284"/>
              </w:tabs>
              <w:overflowPunct w:val="0"/>
              <w:autoSpaceDE w:val="0"/>
              <w:autoSpaceDN w:val="0"/>
              <w:adjustRightInd w:val="0"/>
              <w:ind w:left="567" w:hanging="567"/>
              <w:textAlignment w:val="baseline"/>
              <w:rPr>
                <w:lang w:val="es-ES"/>
              </w:rPr>
            </w:pPr>
          </w:p>
        </w:tc>
      </w:tr>
      <w:tr w:rsidRPr="00EE6FEF" w:rsidR="00EE6FEF" w:rsidTr="00CC4510" w14:paraId="6999DE5D" w14:textId="77777777">
        <w:tc>
          <w:tcPr>
            <w:tcW w:w="1834" w:type="dxa"/>
            <w:vMerge w:val="restart"/>
          </w:tcPr>
          <w:p w:rsidRPr="00EE6FEF" w:rsidR="00EE6FEF" w:rsidP="00EE6FEF" w:rsidRDefault="00EE6FEF" w14:paraId="573ED1EA" w14:textId="77777777">
            <w:pPr>
              <w:tabs>
                <w:tab w:val="center" w:pos="284"/>
              </w:tabs>
              <w:overflowPunct w:val="0"/>
              <w:autoSpaceDE w:val="0"/>
              <w:autoSpaceDN w:val="0"/>
              <w:adjustRightInd w:val="0"/>
              <w:ind w:left="567" w:hanging="567"/>
              <w:textAlignment w:val="baseline"/>
              <w:rPr>
                <w:b/>
              </w:rPr>
            </w:pPr>
            <w:r w:rsidRPr="00EE6FEF">
              <w:rPr>
                <w:b/>
              </w:rPr>
              <w:t>References</w:t>
            </w:r>
          </w:p>
        </w:tc>
        <w:tc>
          <w:tcPr>
            <w:tcW w:w="6813" w:type="dxa"/>
          </w:tcPr>
          <w:p w:rsidR="00734081" w:rsidP="00EE6FEF" w:rsidRDefault="00734081" w14:paraId="35FF71C6" w14:textId="62F6C7E5">
            <w:pPr>
              <w:tabs>
                <w:tab w:val="center" w:pos="284"/>
              </w:tabs>
              <w:overflowPunct w:val="0"/>
              <w:autoSpaceDE w:val="0"/>
              <w:autoSpaceDN w:val="0"/>
              <w:adjustRightInd w:val="0"/>
              <w:ind w:left="567" w:hanging="567"/>
              <w:textAlignment w:val="baseline"/>
              <w:rPr>
                <w:lang w:val="pt-PT"/>
              </w:rPr>
            </w:pPr>
            <w:r>
              <w:rPr>
                <w:lang w:val="pt-PT"/>
              </w:rPr>
              <w:t>Exploratory opinion requested by the Belgian Presidency of the Council of the EU</w:t>
            </w:r>
          </w:p>
          <w:p w:rsidRPr="00EE6FEF" w:rsidR="00EE6FEF" w:rsidP="00EE6FEF" w:rsidRDefault="00EE6FEF" w14:paraId="2007E2F0" w14:textId="5C9407E3">
            <w:pPr>
              <w:tabs>
                <w:tab w:val="center" w:pos="284"/>
              </w:tabs>
              <w:overflowPunct w:val="0"/>
              <w:autoSpaceDE w:val="0"/>
              <w:autoSpaceDN w:val="0"/>
              <w:adjustRightInd w:val="0"/>
              <w:ind w:left="567" w:hanging="567"/>
              <w:textAlignment w:val="baseline"/>
              <w:rPr>
                <w:lang w:val="pt-PT"/>
              </w:rPr>
            </w:pPr>
            <w:r w:rsidRPr="00EE6FEF">
              <w:rPr>
                <w:lang w:val="pt-PT"/>
              </w:rPr>
              <w:t>EESC-2023-03879-00-00-AC</w:t>
            </w:r>
          </w:p>
        </w:tc>
      </w:tr>
      <w:tr w:rsidRPr="00EE6FEF" w:rsidR="00EE6FEF" w:rsidTr="00CC4510" w14:paraId="03305879" w14:textId="77777777">
        <w:tc>
          <w:tcPr>
            <w:tcW w:w="1834" w:type="dxa"/>
            <w:vMerge/>
          </w:tcPr>
          <w:p w:rsidRPr="00EE6FEF" w:rsidR="00EE6FEF" w:rsidP="00EE6FEF" w:rsidRDefault="00EE6FEF" w14:paraId="4EF47312" w14:textId="77777777">
            <w:pPr>
              <w:tabs>
                <w:tab w:val="center" w:pos="284"/>
              </w:tabs>
              <w:overflowPunct w:val="0"/>
              <w:autoSpaceDE w:val="0"/>
              <w:autoSpaceDN w:val="0"/>
              <w:adjustRightInd w:val="0"/>
              <w:ind w:left="266" w:hanging="266"/>
              <w:textAlignment w:val="baseline"/>
              <w:rPr>
                <w:b/>
                <w:lang w:val="pt-PT"/>
              </w:rPr>
            </w:pPr>
          </w:p>
        </w:tc>
        <w:tc>
          <w:tcPr>
            <w:tcW w:w="6813" w:type="dxa"/>
          </w:tcPr>
          <w:p w:rsidRPr="00EE6FEF" w:rsidR="00EE6FEF" w:rsidP="00EE6FEF" w:rsidRDefault="00EE6FEF" w14:paraId="12EF58DA" w14:textId="77777777">
            <w:pPr>
              <w:tabs>
                <w:tab w:val="center" w:pos="284"/>
              </w:tabs>
              <w:overflowPunct w:val="0"/>
              <w:autoSpaceDE w:val="0"/>
              <w:autoSpaceDN w:val="0"/>
              <w:adjustRightInd w:val="0"/>
              <w:ind w:left="266" w:hanging="266"/>
              <w:textAlignment w:val="baseline"/>
              <w:rPr>
                <w:sz w:val="16"/>
                <w:szCs w:val="16"/>
                <w:lang w:val="pt-PT"/>
              </w:rPr>
            </w:pPr>
          </w:p>
        </w:tc>
      </w:tr>
    </w:tbl>
    <w:p w:rsidRPr="00EE6FEF" w:rsidR="00EE6FEF" w:rsidP="00CC4510" w:rsidRDefault="00EE6FEF" w14:paraId="70BED30D" w14:textId="77777777">
      <w:pPr>
        <w:keepNext/>
        <w:keepLines/>
        <w:tabs>
          <w:tab w:val="center" w:pos="284"/>
        </w:tabs>
        <w:overflowPunct w:val="0"/>
        <w:autoSpaceDE w:val="0"/>
        <w:autoSpaceDN w:val="0"/>
        <w:adjustRightInd w:val="0"/>
        <w:ind w:left="266" w:hanging="124"/>
        <w:textAlignment w:val="baseline"/>
        <w:rPr>
          <w:b/>
        </w:rPr>
      </w:pPr>
      <w:r w:rsidRPr="00EE6FEF">
        <w:rPr>
          <w:b/>
        </w:rPr>
        <w:t>Key points</w:t>
      </w:r>
    </w:p>
    <w:p w:rsidRPr="00EE6FEF" w:rsidR="00EE6FEF" w:rsidP="00EE6FEF" w:rsidRDefault="00EE6FEF" w14:paraId="63B3834C" w14:textId="77777777">
      <w:pPr>
        <w:overflowPunct w:val="0"/>
        <w:autoSpaceDE w:val="0"/>
        <w:autoSpaceDN w:val="0"/>
        <w:adjustRightInd w:val="0"/>
        <w:textAlignment w:val="baseline"/>
        <w:rPr>
          <w:szCs w:val="20"/>
        </w:rPr>
      </w:pPr>
    </w:p>
    <w:p w:rsidR="00EE6FEF" w:rsidP="00EE6FEF" w:rsidRDefault="00EE6FEF" w14:paraId="78C0E8D3" w14:textId="3BEEDDA7">
      <w:pPr>
        <w:overflowPunct w:val="0"/>
        <w:autoSpaceDE w:val="0"/>
        <w:autoSpaceDN w:val="0"/>
        <w:adjustRightInd w:val="0"/>
        <w:ind w:firstLine="142"/>
        <w:textAlignment w:val="baseline"/>
        <w:rPr>
          <w:szCs w:val="20"/>
        </w:rPr>
      </w:pPr>
      <w:r w:rsidRPr="00EE6FEF">
        <w:rPr>
          <w:szCs w:val="20"/>
        </w:rPr>
        <w:t>The EESC:</w:t>
      </w:r>
    </w:p>
    <w:p w:rsidRPr="00EE6FEF" w:rsidR="00EE6FEF" w:rsidP="00CC4510" w:rsidRDefault="00EE6FEF" w14:paraId="1BB0EE46" w14:textId="77777777">
      <w:pPr>
        <w:numPr>
          <w:ilvl w:val="0"/>
          <w:numId w:val="31"/>
        </w:numPr>
        <w:overflowPunct w:val="0"/>
        <w:autoSpaceDE w:val="0"/>
        <w:autoSpaceDN w:val="0"/>
        <w:adjustRightInd w:val="0"/>
        <w:spacing w:after="200" w:line="276" w:lineRule="auto"/>
        <w:ind w:left="284" w:hanging="284"/>
        <w:contextualSpacing/>
        <w:textAlignment w:val="baseline"/>
        <w:rPr>
          <w:lang w:eastAsia="zh-CN"/>
        </w:rPr>
      </w:pPr>
      <w:r w:rsidRPr="00EE6FEF">
        <w:rPr>
          <w:lang w:eastAsia="zh-CN"/>
        </w:rPr>
        <w:t>stresses that the implementation of Article 11 TEU, as a follow-up to the Conference on the Future of Europe (CoFoE), while strengthening the role of the EESC, can lead to more effective policies. It supports the CoFoE recommendation to develop additional instruments of participatory democracy. Several of its recommendations involve building a conducive framework on civil dialogue and it recognizes the role of the EESC, also as a potential real hub for citizen panels. The specific role of social partner organisations should be fully respected in social dialogue structures and processes, with civil dialogue being a separate process;</w:t>
      </w:r>
    </w:p>
    <w:p w:rsidRPr="00EE6FEF" w:rsidR="00EE6FEF" w:rsidP="00CC4510" w:rsidRDefault="00EE6FEF" w14:paraId="6DB1C493" w14:textId="77777777">
      <w:pPr>
        <w:numPr>
          <w:ilvl w:val="0"/>
          <w:numId w:val="31"/>
        </w:numPr>
        <w:overflowPunct w:val="0"/>
        <w:autoSpaceDE w:val="0"/>
        <w:autoSpaceDN w:val="0"/>
        <w:adjustRightInd w:val="0"/>
        <w:spacing w:after="200" w:line="276" w:lineRule="auto"/>
        <w:ind w:left="284" w:hanging="284"/>
        <w:contextualSpacing/>
        <w:textAlignment w:val="baseline"/>
        <w:rPr>
          <w:lang w:eastAsia="zh-CN"/>
        </w:rPr>
      </w:pPr>
      <w:r w:rsidRPr="00EE6FEF">
        <w:rPr>
          <w:lang w:eastAsia="zh-CN"/>
        </w:rPr>
        <w:t>calls as a first step for a strategy for civil dialogue, resulting in an action plan, which could include a pillar as part of the European Defence of Democracy Package. Additionally, this could be aimed at considering seeking an interinstitutional agreement among EU institutions, that sets out actions and the related resources to be used. This could be facilitated by the EESC, with the participation of civil society networks at EU level;</w:t>
      </w:r>
    </w:p>
    <w:p w:rsidRPr="00EE6FEF" w:rsidR="00EE6FEF" w:rsidP="00CC4510" w:rsidRDefault="00EE6FEF" w14:paraId="57CF30BD" w14:textId="77777777">
      <w:pPr>
        <w:numPr>
          <w:ilvl w:val="0"/>
          <w:numId w:val="31"/>
        </w:numPr>
        <w:overflowPunct w:val="0"/>
        <w:autoSpaceDE w:val="0"/>
        <w:autoSpaceDN w:val="0"/>
        <w:adjustRightInd w:val="0"/>
        <w:spacing w:after="200" w:line="276" w:lineRule="auto"/>
        <w:ind w:left="284" w:hanging="284"/>
        <w:contextualSpacing/>
        <w:textAlignment w:val="baseline"/>
        <w:rPr>
          <w:lang w:eastAsia="zh-CN"/>
        </w:rPr>
      </w:pPr>
      <w:r w:rsidRPr="00EE6FEF">
        <w:rPr>
          <w:lang w:eastAsia="zh-CN"/>
        </w:rPr>
        <w:t>advocates that the role of those in charge in the different institutions be strengthened in order to make Article 11 TEU effective, and that certain standards be applied across EU institutions, such as the meaning of civil dialogue, the sharing of the policy agenda and priorities, the inclusion of vulnerable groups, etc;</w:t>
      </w:r>
    </w:p>
    <w:p w:rsidRPr="00EE6FEF" w:rsidR="00EE6FEF" w:rsidP="00CC4510" w:rsidRDefault="00EE6FEF" w14:paraId="428DADE2" w14:textId="77777777">
      <w:pPr>
        <w:numPr>
          <w:ilvl w:val="0"/>
          <w:numId w:val="31"/>
        </w:numPr>
        <w:overflowPunct w:val="0"/>
        <w:autoSpaceDE w:val="0"/>
        <w:autoSpaceDN w:val="0"/>
        <w:adjustRightInd w:val="0"/>
        <w:spacing w:after="200" w:line="276" w:lineRule="auto"/>
        <w:ind w:left="284" w:hanging="284"/>
        <w:contextualSpacing/>
        <w:textAlignment w:val="baseline"/>
        <w:rPr>
          <w:lang w:eastAsia="zh-CN"/>
        </w:rPr>
      </w:pPr>
      <w:r w:rsidRPr="00EE6FEF">
        <w:rPr>
          <w:lang w:eastAsia="zh-CN"/>
        </w:rPr>
        <w:t>calls for an annual civil dialogue (or civic space) scoreboard on CSOs contribution to consultation processes with the reasoning for whether their contributions have been taken on board or not. The impact assessment through an annual scoreboard could result in a biennial Civil Dialogue Report, tracing the EU's engagement with civil society in general, and evaluating the state of play of civil dialogue and the effectiveness of CSOs;</w:t>
      </w:r>
    </w:p>
    <w:p w:rsidRPr="00EE6FEF" w:rsidR="00EE6FEF" w:rsidP="00CC4510" w:rsidRDefault="00EE6FEF" w14:paraId="50548E2B" w14:textId="77777777">
      <w:pPr>
        <w:numPr>
          <w:ilvl w:val="0"/>
          <w:numId w:val="31"/>
        </w:numPr>
        <w:overflowPunct w:val="0"/>
        <w:autoSpaceDE w:val="0"/>
        <w:autoSpaceDN w:val="0"/>
        <w:adjustRightInd w:val="0"/>
        <w:spacing w:after="200" w:line="276" w:lineRule="auto"/>
        <w:ind w:left="284" w:hanging="284"/>
        <w:contextualSpacing/>
        <w:textAlignment w:val="baseline"/>
        <w:rPr>
          <w:rFonts w:ascii="Calibri" w:hAnsi="Calibri"/>
          <w:lang w:eastAsia="zh-CN"/>
        </w:rPr>
      </w:pPr>
      <w:r w:rsidRPr="00EE6FEF">
        <w:rPr>
          <w:lang w:eastAsia="zh-CN"/>
        </w:rPr>
        <w:t>reiterates that the EESC must be at the heart of moves to strengthen participatory democracy in and between the European institutions and proposes adapting the EESC's role to allow for experimentation with a range of participatory instruments, such as citizens' panels, in its advisory work, thus highlighting the special place of the EESC as the institutional guardian of civil society consultation and civil dialogue in general;</w:t>
      </w:r>
    </w:p>
    <w:p w:rsidRPr="00EE6FEF" w:rsidR="00EE6FEF" w:rsidP="00CC4510" w:rsidRDefault="00EE6FEF" w14:paraId="56DEE402" w14:textId="77777777">
      <w:pPr>
        <w:numPr>
          <w:ilvl w:val="0"/>
          <w:numId w:val="31"/>
        </w:numPr>
        <w:overflowPunct w:val="0"/>
        <w:autoSpaceDE w:val="0"/>
        <w:autoSpaceDN w:val="0"/>
        <w:adjustRightInd w:val="0"/>
        <w:spacing w:after="200" w:line="276" w:lineRule="auto"/>
        <w:ind w:left="284" w:hanging="284"/>
        <w:contextualSpacing/>
        <w:textAlignment w:val="baseline"/>
        <w:rPr>
          <w:lang w:eastAsia="zh-CN"/>
        </w:rPr>
      </w:pPr>
      <w:r w:rsidRPr="00EE6FEF">
        <w:rPr>
          <w:lang w:eastAsia="zh-CN"/>
        </w:rPr>
        <w:t>considers that CSOs must be founded on internal democracy, autonomy, and transparency; they must take the form of a not-for-profit model, working in the general, and/or specific interest of their constituents, and thus be legitimate and representative. It, therefore, calls for an accreditation mechanism based on the principles mentioned above.</w:t>
      </w:r>
    </w:p>
    <w:p w:rsidRPr="00EE6FEF" w:rsidR="00EE6FEF" w:rsidP="00CC4510" w:rsidRDefault="00EE6FEF" w14:paraId="3FDDF924" w14:textId="77777777">
      <w:pPr>
        <w:overflowPunct w:val="0"/>
        <w:autoSpaceDE w:val="0"/>
        <w:autoSpaceDN w:val="0"/>
        <w:adjustRightInd w:val="0"/>
        <w:spacing w:line="276" w:lineRule="auto"/>
        <w:textAlignment w:val="baseline"/>
        <w:rPr>
          <w:szCs w:val="20"/>
        </w:rPr>
      </w:pPr>
    </w:p>
    <w:tbl>
      <w:tblPr>
        <w:tblStyle w:val="TableGrid20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10"/>
        <w:gridCol w:w="4493"/>
      </w:tblGrid>
      <w:tr w:rsidRPr="003F6640" w:rsidR="00EE6FEF" w:rsidTr="00AF1B74" w14:paraId="141D7495" w14:textId="77777777">
        <w:tc>
          <w:tcPr>
            <w:tcW w:w="1210" w:type="dxa"/>
          </w:tcPr>
          <w:p w:rsidRPr="003F6640" w:rsidR="00EE6FEF" w:rsidP="00A838DE" w:rsidRDefault="00EE6FEF" w14:paraId="41ABC0CE" w14:textId="77777777">
            <w:pPr>
              <w:keepNext/>
              <w:keepLines/>
              <w:overflowPunct w:val="0"/>
              <w:autoSpaceDE w:val="0"/>
              <w:autoSpaceDN w:val="0"/>
              <w:adjustRightInd w:val="0"/>
              <w:spacing w:line="240" w:lineRule="auto"/>
              <w:textAlignment w:val="baseline"/>
              <w:rPr>
                <w:i/>
              </w:rPr>
            </w:pPr>
            <w:r w:rsidRPr="003F6640">
              <w:rPr>
                <w:b/>
                <w:i/>
              </w:rPr>
              <w:t>Contact</w:t>
            </w:r>
          </w:p>
        </w:tc>
        <w:tc>
          <w:tcPr>
            <w:tcW w:w="4493" w:type="dxa"/>
          </w:tcPr>
          <w:p w:rsidRPr="003F6640" w:rsidR="00EE6FEF" w:rsidP="00A838DE" w:rsidRDefault="00EE6FEF" w14:paraId="751079CC" w14:textId="77777777">
            <w:pPr>
              <w:keepNext/>
              <w:keepLines/>
              <w:overflowPunct w:val="0"/>
              <w:autoSpaceDE w:val="0"/>
              <w:autoSpaceDN w:val="0"/>
              <w:adjustRightInd w:val="0"/>
              <w:spacing w:line="240" w:lineRule="auto"/>
              <w:ind w:hanging="12"/>
              <w:textAlignment w:val="baseline"/>
              <w:rPr>
                <w:i/>
              </w:rPr>
            </w:pPr>
            <w:r w:rsidRPr="003F6640">
              <w:rPr>
                <w:i/>
              </w:rPr>
              <w:t>June Bedaton</w:t>
            </w:r>
          </w:p>
        </w:tc>
      </w:tr>
      <w:tr w:rsidRPr="003F6640" w:rsidR="00EE6FEF" w:rsidTr="00AF1B74" w14:paraId="4927775D" w14:textId="77777777">
        <w:tc>
          <w:tcPr>
            <w:tcW w:w="1210" w:type="dxa"/>
          </w:tcPr>
          <w:p w:rsidRPr="003F6640" w:rsidR="00EE6FEF" w:rsidP="00A838DE" w:rsidRDefault="00EE6FEF" w14:paraId="490E3A24" w14:textId="77777777">
            <w:pPr>
              <w:keepNext/>
              <w:keepLines/>
              <w:overflowPunct w:val="0"/>
              <w:autoSpaceDE w:val="0"/>
              <w:autoSpaceDN w:val="0"/>
              <w:adjustRightInd w:val="0"/>
              <w:spacing w:line="240" w:lineRule="auto"/>
              <w:textAlignment w:val="baseline"/>
              <w:rPr>
                <w:i/>
              </w:rPr>
            </w:pPr>
            <w:r w:rsidRPr="003F6640">
              <w:rPr>
                <w:i/>
              </w:rPr>
              <w:t>Tel.</w:t>
            </w:r>
          </w:p>
        </w:tc>
        <w:tc>
          <w:tcPr>
            <w:tcW w:w="4493" w:type="dxa"/>
          </w:tcPr>
          <w:p w:rsidRPr="003F6640" w:rsidR="00EE6FEF" w:rsidP="00A838DE" w:rsidRDefault="00EE6FEF" w14:paraId="41D951E4" w14:textId="77777777">
            <w:pPr>
              <w:keepNext/>
              <w:keepLines/>
              <w:overflowPunct w:val="0"/>
              <w:autoSpaceDE w:val="0"/>
              <w:autoSpaceDN w:val="0"/>
              <w:adjustRightInd w:val="0"/>
              <w:spacing w:line="240" w:lineRule="auto"/>
              <w:textAlignment w:val="baseline"/>
              <w:rPr>
                <w:i/>
              </w:rPr>
            </w:pPr>
            <w:r w:rsidRPr="003F6640">
              <w:rPr>
                <w:i/>
              </w:rPr>
              <w:t>+32 25468134</w:t>
            </w:r>
          </w:p>
        </w:tc>
      </w:tr>
      <w:tr w:rsidRPr="003F6640" w:rsidR="00EE6FEF" w:rsidTr="00AF1B74" w14:paraId="4358DB5A" w14:textId="77777777">
        <w:tc>
          <w:tcPr>
            <w:tcW w:w="1210" w:type="dxa"/>
          </w:tcPr>
          <w:p w:rsidRPr="003F6640" w:rsidR="00EE6FEF" w:rsidP="00EE6FEF" w:rsidRDefault="00EE6FEF" w14:paraId="0A1AF4F8" w14:textId="77777777">
            <w:pPr>
              <w:overflowPunct w:val="0"/>
              <w:autoSpaceDE w:val="0"/>
              <w:autoSpaceDN w:val="0"/>
              <w:adjustRightInd w:val="0"/>
              <w:spacing w:line="240" w:lineRule="auto"/>
              <w:textAlignment w:val="baseline"/>
              <w:rPr>
                <w:i/>
              </w:rPr>
            </w:pPr>
            <w:r w:rsidRPr="003F6640">
              <w:rPr>
                <w:i/>
              </w:rPr>
              <w:t>Email</w:t>
            </w:r>
          </w:p>
        </w:tc>
        <w:tc>
          <w:tcPr>
            <w:tcW w:w="4493" w:type="dxa"/>
          </w:tcPr>
          <w:p w:rsidRPr="003F6640" w:rsidR="00EE6FEF" w:rsidP="00EE6FEF" w:rsidRDefault="00B21B70" w14:paraId="47347AD3" w14:textId="77777777">
            <w:pPr>
              <w:overflowPunct w:val="0"/>
              <w:autoSpaceDE w:val="0"/>
              <w:autoSpaceDN w:val="0"/>
              <w:adjustRightInd w:val="0"/>
              <w:spacing w:line="240" w:lineRule="auto"/>
              <w:textAlignment w:val="baseline"/>
              <w:rPr>
                <w:i/>
              </w:rPr>
            </w:pPr>
            <w:hyperlink w:history="1" r:id="rId28">
              <w:r w:rsidRPr="003F6640" w:rsidR="00EE6FEF">
                <w:rPr>
                  <w:i/>
                  <w:color w:val="0000FF"/>
                  <w:u w:val="single"/>
                </w:rPr>
                <w:t>June.Bedaton@eesc.europa.eu</w:t>
              </w:r>
            </w:hyperlink>
          </w:p>
        </w:tc>
      </w:tr>
    </w:tbl>
    <w:p w:rsidRPr="00D6423D" w:rsidR="005A67F3" w:rsidP="00234EA0" w:rsidRDefault="004C3902" w14:paraId="3792A077" w14:textId="3F1CFB67">
      <w:pPr>
        <w:pStyle w:val="Heading1"/>
        <w:ind w:hanging="928"/>
        <w:rPr>
          <w:b/>
          <w:bCs/>
        </w:rPr>
      </w:pPr>
      <w:bookmarkStart w:name="_Toc159831770" w:id="17"/>
      <w:r w:rsidRPr="00D6423D">
        <w:rPr>
          <w:b/>
          <w:bCs/>
        </w:rPr>
        <w:t>SINGLE MARKET, PRODUCTION AND CONSUMPTION</w:t>
      </w:r>
      <w:bookmarkEnd w:id="16"/>
      <w:bookmarkEnd w:id="17"/>
    </w:p>
    <w:p w:rsidRPr="00094B6B" w:rsidR="004C3902" w:rsidP="00775FC4" w:rsidRDefault="004C3902" w14:paraId="51590E30" w14:textId="7D4E8C1F">
      <w:pPr>
        <w:keepNext/>
        <w:keepLines/>
        <w:jc w:val="left"/>
        <w:rPr>
          <w:b/>
          <w:iCs/>
        </w:rPr>
      </w:pPr>
    </w:p>
    <w:p w:rsidRPr="00115BBC" w:rsidR="00115BBC" w:rsidP="00CC4510" w:rsidRDefault="00B21B70" w14:paraId="331C902E" w14:textId="22AAD788">
      <w:pPr>
        <w:widowControl w:val="0"/>
        <w:numPr>
          <w:ilvl w:val="0"/>
          <w:numId w:val="4"/>
        </w:numPr>
        <w:overflowPunct w:val="0"/>
        <w:autoSpaceDE w:val="0"/>
        <w:autoSpaceDN w:val="0"/>
        <w:adjustRightInd w:val="0"/>
        <w:ind w:left="720" w:hanging="720"/>
        <w:textAlignment w:val="baseline"/>
        <w:rPr>
          <w:b/>
        </w:rPr>
      </w:pPr>
      <w:hyperlink w:history="1" r:id="rId29">
        <w:r w:rsidRPr="00115BBC" w:rsidR="00115BBC">
          <w:rPr>
            <w:b/>
            <w:bCs/>
            <w:i/>
            <w:iCs/>
            <w:color w:val="0000FF"/>
            <w:sz w:val="28"/>
            <w:szCs w:val="28"/>
            <w:u w:val="single"/>
          </w:rPr>
          <w:t>Alternative dispute resolution</w:t>
        </w:r>
      </w:hyperlink>
    </w:p>
    <w:p w:rsidRPr="00115BBC" w:rsidR="00115BBC" w:rsidP="00115BBC" w:rsidRDefault="00115BBC" w14:paraId="69D406FB" w14:textId="77777777">
      <w:pPr>
        <w:widowControl w:val="0"/>
        <w:overflowPunct w:val="0"/>
        <w:autoSpaceDE w:val="0"/>
        <w:autoSpaceDN w:val="0"/>
        <w:adjustRightInd w:val="0"/>
        <w:ind w:left="567"/>
        <w:textAlignment w:val="baseline"/>
        <w:rPr>
          <w:b/>
          <w:highlight w:val="yellow"/>
        </w:rPr>
      </w:pPr>
    </w:p>
    <w:tbl>
      <w:tblPr>
        <w:tblStyle w:val="TableGrid200"/>
        <w:tblW w:w="90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7602"/>
      </w:tblGrid>
      <w:tr w:rsidRPr="00115BBC" w:rsidR="00115BBC" w:rsidTr="00CC4510" w14:paraId="5FCB07DF" w14:textId="77777777">
        <w:trPr>
          <w:trHeight w:val="265"/>
        </w:trPr>
        <w:tc>
          <w:tcPr>
            <w:tcW w:w="1418" w:type="dxa"/>
          </w:tcPr>
          <w:p w:rsidRPr="00115BBC" w:rsidR="00115BBC" w:rsidP="00115BBC" w:rsidRDefault="00115BBC" w14:paraId="061CB5F6" w14:textId="77777777">
            <w:pPr>
              <w:tabs>
                <w:tab w:val="center" w:pos="284"/>
              </w:tabs>
              <w:overflowPunct w:val="0"/>
              <w:autoSpaceDE w:val="0"/>
              <w:autoSpaceDN w:val="0"/>
              <w:adjustRightInd w:val="0"/>
              <w:ind w:left="266" w:hanging="408"/>
              <w:textAlignment w:val="baseline"/>
              <w:rPr>
                <w:b/>
                <w:highlight w:val="yellow"/>
              </w:rPr>
            </w:pPr>
            <w:r w:rsidRPr="00115BBC">
              <w:rPr>
                <w:b/>
              </w:rPr>
              <w:t>Rapporteur</w:t>
            </w:r>
          </w:p>
        </w:tc>
        <w:tc>
          <w:tcPr>
            <w:tcW w:w="7602" w:type="dxa"/>
          </w:tcPr>
          <w:p w:rsidRPr="00115BBC" w:rsidR="00115BBC" w:rsidP="00115BBC" w:rsidRDefault="00115BBC" w14:paraId="167D4BA0" w14:textId="249DC758">
            <w:pPr>
              <w:tabs>
                <w:tab w:val="center" w:pos="284"/>
              </w:tabs>
              <w:overflowPunct w:val="0"/>
              <w:autoSpaceDE w:val="0"/>
              <w:autoSpaceDN w:val="0"/>
              <w:adjustRightInd w:val="0"/>
              <w:ind w:left="266" w:hanging="408"/>
              <w:textAlignment w:val="baseline"/>
              <w:rPr>
                <w:highlight w:val="yellow"/>
              </w:rPr>
            </w:pPr>
            <w:r w:rsidRPr="00115BBC">
              <w:t xml:space="preserve">Wautier ROBYNS DE SCHNEIDAUER (Employers' </w:t>
            </w:r>
            <w:r w:rsidR="007A6E66">
              <w:t>G</w:t>
            </w:r>
            <w:r w:rsidRPr="00115BBC">
              <w:t xml:space="preserve">roup </w:t>
            </w:r>
            <w:r w:rsidR="007A6E66">
              <w:t>-</w:t>
            </w:r>
            <w:r w:rsidRPr="00115BBC">
              <w:t xml:space="preserve"> BE)</w:t>
            </w:r>
          </w:p>
        </w:tc>
      </w:tr>
      <w:tr w:rsidRPr="00115BBC" w:rsidR="00115BBC" w:rsidTr="00CC4510" w14:paraId="296C346B" w14:textId="77777777">
        <w:trPr>
          <w:trHeight w:val="265"/>
        </w:trPr>
        <w:tc>
          <w:tcPr>
            <w:tcW w:w="1418" w:type="dxa"/>
          </w:tcPr>
          <w:p w:rsidRPr="00115BBC" w:rsidR="00115BBC" w:rsidP="00115BBC" w:rsidRDefault="00115BBC" w14:paraId="0AF9F28C" w14:textId="77777777">
            <w:pPr>
              <w:tabs>
                <w:tab w:val="center" w:pos="284"/>
              </w:tabs>
              <w:overflowPunct w:val="0"/>
              <w:autoSpaceDE w:val="0"/>
              <w:autoSpaceDN w:val="0"/>
              <w:adjustRightInd w:val="0"/>
              <w:ind w:left="266" w:hanging="408"/>
              <w:textAlignment w:val="baseline"/>
              <w:rPr>
                <w:b/>
                <w:highlight w:val="yellow"/>
              </w:rPr>
            </w:pPr>
          </w:p>
        </w:tc>
        <w:tc>
          <w:tcPr>
            <w:tcW w:w="7602" w:type="dxa"/>
          </w:tcPr>
          <w:p w:rsidRPr="00115BBC" w:rsidR="00115BBC" w:rsidP="00115BBC" w:rsidRDefault="00115BBC" w14:paraId="31DA93FE" w14:textId="77777777">
            <w:pPr>
              <w:tabs>
                <w:tab w:val="center" w:pos="284"/>
              </w:tabs>
              <w:overflowPunct w:val="0"/>
              <w:autoSpaceDE w:val="0"/>
              <w:autoSpaceDN w:val="0"/>
              <w:adjustRightInd w:val="0"/>
              <w:ind w:left="266" w:hanging="408"/>
              <w:textAlignment w:val="baseline"/>
              <w:rPr>
                <w:highlight w:val="yellow"/>
              </w:rPr>
            </w:pPr>
          </w:p>
        </w:tc>
      </w:tr>
      <w:tr w:rsidRPr="00115BBC" w:rsidR="00115BBC" w:rsidTr="00CC4510" w14:paraId="05E2FC21" w14:textId="77777777">
        <w:trPr>
          <w:trHeight w:val="289"/>
        </w:trPr>
        <w:tc>
          <w:tcPr>
            <w:tcW w:w="1418" w:type="dxa"/>
            <w:vMerge w:val="restart"/>
          </w:tcPr>
          <w:p w:rsidRPr="00115BBC" w:rsidR="00115BBC" w:rsidP="00115BBC" w:rsidRDefault="00115BBC" w14:paraId="3723A8BD" w14:textId="77777777">
            <w:pPr>
              <w:tabs>
                <w:tab w:val="center" w:pos="284"/>
              </w:tabs>
              <w:overflowPunct w:val="0"/>
              <w:autoSpaceDE w:val="0"/>
              <w:autoSpaceDN w:val="0"/>
              <w:adjustRightInd w:val="0"/>
              <w:ind w:left="266" w:hanging="408"/>
              <w:textAlignment w:val="baseline"/>
              <w:rPr>
                <w:b/>
              </w:rPr>
            </w:pPr>
            <w:r w:rsidRPr="00115BBC">
              <w:rPr>
                <w:b/>
              </w:rPr>
              <w:t>References</w:t>
            </w:r>
          </w:p>
        </w:tc>
        <w:tc>
          <w:tcPr>
            <w:tcW w:w="7602" w:type="dxa"/>
          </w:tcPr>
          <w:p w:rsidRPr="00115BBC" w:rsidR="00115BBC" w:rsidP="00115BBC" w:rsidRDefault="00115BBC" w14:paraId="6E0D3984" w14:textId="53F54A94">
            <w:pPr>
              <w:tabs>
                <w:tab w:val="center" w:pos="284"/>
              </w:tabs>
              <w:overflowPunct w:val="0"/>
              <w:autoSpaceDE w:val="0"/>
              <w:autoSpaceDN w:val="0"/>
              <w:adjustRightInd w:val="0"/>
              <w:ind w:left="266" w:hanging="408"/>
              <w:textAlignment w:val="baseline"/>
            </w:pPr>
            <w:r w:rsidRPr="00115BBC">
              <w:t xml:space="preserve">COM(2023) 647 final </w:t>
            </w:r>
          </w:p>
          <w:p w:rsidRPr="00115BBC" w:rsidR="00115BBC" w:rsidP="00115BBC" w:rsidRDefault="00115BBC" w14:paraId="0C647B83" w14:textId="65F68049">
            <w:pPr>
              <w:tabs>
                <w:tab w:val="center" w:pos="284"/>
              </w:tabs>
              <w:overflowPunct w:val="0"/>
              <w:autoSpaceDE w:val="0"/>
              <w:autoSpaceDN w:val="0"/>
              <w:adjustRightInd w:val="0"/>
              <w:ind w:left="266" w:hanging="408"/>
              <w:textAlignment w:val="baseline"/>
            </w:pPr>
            <w:r w:rsidRPr="00115BBC">
              <w:t>COM(2023) 649 final</w:t>
            </w:r>
          </w:p>
        </w:tc>
      </w:tr>
      <w:tr w:rsidRPr="00115BBC" w:rsidR="00115BBC" w:rsidTr="00CC4510" w14:paraId="17336284" w14:textId="77777777">
        <w:trPr>
          <w:trHeight w:val="289"/>
        </w:trPr>
        <w:tc>
          <w:tcPr>
            <w:tcW w:w="1418" w:type="dxa"/>
            <w:vMerge/>
          </w:tcPr>
          <w:p w:rsidRPr="00115BBC" w:rsidR="00115BBC" w:rsidP="00115BBC" w:rsidRDefault="00115BBC" w14:paraId="6FEF1F8E" w14:textId="77777777">
            <w:pPr>
              <w:tabs>
                <w:tab w:val="center" w:pos="284"/>
              </w:tabs>
              <w:overflowPunct w:val="0"/>
              <w:autoSpaceDE w:val="0"/>
              <w:autoSpaceDN w:val="0"/>
              <w:adjustRightInd w:val="0"/>
              <w:ind w:left="266" w:hanging="408"/>
              <w:textAlignment w:val="baseline"/>
              <w:rPr>
                <w:b/>
              </w:rPr>
            </w:pPr>
          </w:p>
        </w:tc>
        <w:tc>
          <w:tcPr>
            <w:tcW w:w="7602" w:type="dxa"/>
          </w:tcPr>
          <w:p w:rsidRPr="00115BBC" w:rsidR="00115BBC" w:rsidP="00CC4510" w:rsidRDefault="00115BBC" w14:paraId="439A72D0" w14:textId="3CA46808">
            <w:pPr>
              <w:tabs>
                <w:tab w:val="center" w:pos="284"/>
              </w:tabs>
              <w:overflowPunct w:val="0"/>
              <w:autoSpaceDE w:val="0"/>
              <w:autoSpaceDN w:val="0"/>
              <w:adjustRightInd w:val="0"/>
              <w:ind w:left="266" w:hanging="378"/>
              <w:textAlignment w:val="baseline"/>
            </w:pPr>
            <w:r w:rsidRPr="00115BBC">
              <w:t>EESC-2023-04939-00-00-AC</w:t>
            </w:r>
          </w:p>
        </w:tc>
      </w:tr>
    </w:tbl>
    <w:p w:rsidRPr="00115BBC" w:rsidR="00115BBC" w:rsidP="00115BBC" w:rsidRDefault="00115BBC" w14:paraId="29572A56" w14:textId="77777777">
      <w:pPr>
        <w:keepNext/>
        <w:keepLines/>
        <w:tabs>
          <w:tab w:val="center" w:pos="284"/>
        </w:tabs>
        <w:overflowPunct w:val="0"/>
        <w:autoSpaceDE w:val="0"/>
        <w:autoSpaceDN w:val="0"/>
        <w:adjustRightInd w:val="0"/>
        <w:ind w:left="266" w:hanging="408"/>
        <w:textAlignment w:val="baseline"/>
        <w:rPr>
          <w:b/>
        </w:rPr>
      </w:pPr>
    </w:p>
    <w:p w:rsidR="00115BBC" w:rsidP="00CC4510" w:rsidRDefault="00115BBC" w14:paraId="0FFFEA8E" w14:textId="30123C97">
      <w:pPr>
        <w:keepNext/>
        <w:keepLines/>
        <w:tabs>
          <w:tab w:val="center" w:pos="284"/>
        </w:tabs>
        <w:overflowPunct w:val="0"/>
        <w:autoSpaceDE w:val="0"/>
        <w:autoSpaceDN w:val="0"/>
        <w:adjustRightInd w:val="0"/>
        <w:ind w:left="266" w:hanging="266"/>
        <w:textAlignment w:val="baseline"/>
        <w:rPr>
          <w:b/>
        </w:rPr>
      </w:pPr>
      <w:r w:rsidRPr="00115BBC">
        <w:rPr>
          <w:b/>
        </w:rPr>
        <w:t>Key points</w:t>
      </w:r>
    </w:p>
    <w:p w:rsidR="0096247E" w:rsidP="00CC4510" w:rsidRDefault="0096247E" w14:paraId="1F14F94E" w14:textId="02ACF0CB">
      <w:pPr>
        <w:keepNext/>
        <w:keepLines/>
        <w:tabs>
          <w:tab w:val="center" w:pos="284"/>
        </w:tabs>
        <w:overflowPunct w:val="0"/>
        <w:autoSpaceDE w:val="0"/>
        <w:autoSpaceDN w:val="0"/>
        <w:adjustRightInd w:val="0"/>
        <w:ind w:left="266" w:hanging="266"/>
        <w:textAlignment w:val="baseline"/>
        <w:rPr>
          <w:b/>
        </w:rPr>
      </w:pPr>
    </w:p>
    <w:p w:rsidRPr="00BB2680" w:rsidR="0096247E" w:rsidP="00CC4510" w:rsidRDefault="0096247E" w14:paraId="3F9E4BDA" w14:textId="01735E5D">
      <w:pPr>
        <w:keepNext/>
        <w:keepLines/>
        <w:tabs>
          <w:tab w:val="center" w:pos="284"/>
        </w:tabs>
        <w:overflowPunct w:val="0"/>
        <w:autoSpaceDE w:val="0"/>
        <w:autoSpaceDN w:val="0"/>
        <w:adjustRightInd w:val="0"/>
        <w:ind w:left="266" w:hanging="266"/>
        <w:textAlignment w:val="baseline"/>
        <w:rPr>
          <w:bCs/>
        </w:rPr>
      </w:pPr>
      <w:r w:rsidRPr="00BB2680">
        <w:rPr>
          <w:bCs/>
        </w:rPr>
        <w:t>The EESC:</w:t>
      </w:r>
    </w:p>
    <w:p w:rsidRPr="00115BBC" w:rsidR="00115BBC" w:rsidP="00115BBC" w:rsidRDefault="00115BBC" w14:paraId="67D5FDBC" w14:textId="77777777">
      <w:pPr>
        <w:keepNext/>
        <w:keepLines/>
        <w:tabs>
          <w:tab w:val="center" w:pos="284"/>
        </w:tabs>
        <w:overflowPunct w:val="0"/>
        <w:autoSpaceDE w:val="0"/>
        <w:autoSpaceDN w:val="0"/>
        <w:adjustRightInd w:val="0"/>
        <w:ind w:left="266" w:hanging="266"/>
        <w:textAlignment w:val="baseline"/>
        <w:rPr>
          <w:b/>
        </w:rPr>
      </w:pPr>
    </w:p>
    <w:p w:rsidRPr="00115BBC" w:rsidR="00115BBC" w:rsidP="00CC4510" w:rsidRDefault="00115BBC" w14:paraId="1773FF53" w14:textId="77777777">
      <w:pPr>
        <w:numPr>
          <w:ilvl w:val="0"/>
          <w:numId w:val="23"/>
        </w:numPr>
        <w:overflowPunct w:val="0"/>
        <w:autoSpaceDE w:val="0"/>
        <w:autoSpaceDN w:val="0"/>
        <w:adjustRightInd w:val="0"/>
        <w:spacing w:after="200" w:line="276" w:lineRule="auto"/>
        <w:ind w:left="284" w:hanging="284"/>
        <w:contextualSpacing/>
        <w:textAlignment w:val="baseline"/>
        <w:rPr>
          <w:bCs/>
          <w:iCs/>
          <w:lang w:eastAsia="zh-CN"/>
        </w:rPr>
      </w:pPr>
      <w:r w:rsidRPr="00115BBC">
        <w:rPr>
          <w:bCs/>
          <w:iCs/>
          <w:lang w:eastAsia="zh-CN"/>
        </w:rPr>
        <w:t xml:space="preserve">supports the development of Alternative Dispute Resolution (ADR) as an </w:t>
      </w:r>
      <w:r w:rsidRPr="00115BBC">
        <w:rPr>
          <w:b/>
          <w:iCs/>
          <w:lang w:eastAsia="zh-CN"/>
        </w:rPr>
        <w:t>alternative to court proceedings</w:t>
      </w:r>
      <w:r w:rsidRPr="00115BBC">
        <w:rPr>
          <w:bCs/>
          <w:iCs/>
          <w:lang w:eastAsia="zh-CN"/>
        </w:rPr>
        <w:t xml:space="preserve"> when consumers seek redress for the damage traders may cause them, alongside accessible judicial proceedings and enforcement of consumer rights by national authorities;</w:t>
      </w:r>
    </w:p>
    <w:p w:rsidRPr="00115BBC" w:rsidR="00115BBC" w:rsidP="00CC4510" w:rsidRDefault="00115BBC" w14:paraId="5816C773" w14:textId="77777777">
      <w:pPr>
        <w:numPr>
          <w:ilvl w:val="0"/>
          <w:numId w:val="23"/>
        </w:numPr>
        <w:overflowPunct w:val="0"/>
        <w:autoSpaceDE w:val="0"/>
        <w:autoSpaceDN w:val="0"/>
        <w:adjustRightInd w:val="0"/>
        <w:spacing w:after="200" w:line="276" w:lineRule="auto"/>
        <w:ind w:left="284" w:hanging="284"/>
        <w:contextualSpacing/>
        <w:textAlignment w:val="baseline"/>
        <w:rPr>
          <w:bCs/>
          <w:iCs/>
          <w:lang w:eastAsia="zh-CN"/>
        </w:rPr>
      </w:pPr>
      <w:r w:rsidRPr="00115BBC">
        <w:rPr>
          <w:bCs/>
          <w:iCs/>
          <w:lang w:eastAsia="zh-CN"/>
        </w:rPr>
        <w:t xml:space="preserve">underlines the importance of encouraging Member States and industries to set up such schemes and of encouraging </w:t>
      </w:r>
      <w:r w:rsidRPr="00115BBC">
        <w:rPr>
          <w:b/>
          <w:iCs/>
          <w:lang w:eastAsia="zh-CN"/>
        </w:rPr>
        <w:t>traders</w:t>
      </w:r>
      <w:r w:rsidRPr="00115BBC">
        <w:rPr>
          <w:bCs/>
          <w:iCs/>
          <w:lang w:eastAsia="zh-CN"/>
        </w:rPr>
        <w:t xml:space="preserve">, including </w:t>
      </w:r>
      <w:r w:rsidRPr="00115BBC">
        <w:rPr>
          <w:b/>
          <w:iCs/>
          <w:lang w:eastAsia="zh-CN"/>
        </w:rPr>
        <w:t>SMEs</w:t>
      </w:r>
      <w:r w:rsidRPr="00115BBC">
        <w:rPr>
          <w:bCs/>
          <w:iCs/>
          <w:lang w:eastAsia="zh-CN"/>
        </w:rPr>
        <w:t xml:space="preserve">, to join them voluntarily and calls on the Commission to </w:t>
      </w:r>
      <w:r w:rsidRPr="00115BBC">
        <w:rPr>
          <w:b/>
          <w:iCs/>
          <w:lang w:eastAsia="zh-CN"/>
        </w:rPr>
        <w:t>review the progress of ADR schemes three years after the implementation</w:t>
      </w:r>
      <w:r w:rsidRPr="00115BBC">
        <w:rPr>
          <w:bCs/>
          <w:iCs/>
          <w:lang w:eastAsia="zh-CN"/>
        </w:rPr>
        <w:t xml:space="preserve"> of the proposed Directive;</w:t>
      </w:r>
    </w:p>
    <w:p w:rsidRPr="00115BBC" w:rsidR="00115BBC" w:rsidP="00CC4510" w:rsidRDefault="00115BBC" w14:paraId="7CEE7EBC" w14:textId="77777777">
      <w:pPr>
        <w:numPr>
          <w:ilvl w:val="0"/>
          <w:numId w:val="23"/>
        </w:numPr>
        <w:overflowPunct w:val="0"/>
        <w:autoSpaceDE w:val="0"/>
        <w:autoSpaceDN w:val="0"/>
        <w:adjustRightInd w:val="0"/>
        <w:spacing w:after="200" w:line="276" w:lineRule="auto"/>
        <w:ind w:left="284" w:hanging="284"/>
        <w:contextualSpacing/>
        <w:textAlignment w:val="baseline"/>
        <w:rPr>
          <w:bCs/>
          <w:iCs/>
          <w:lang w:eastAsia="zh-CN"/>
        </w:rPr>
      </w:pPr>
      <w:r w:rsidRPr="00115BBC">
        <w:rPr>
          <w:bCs/>
          <w:iCs/>
          <w:lang w:eastAsia="zh-CN"/>
        </w:rPr>
        <w:t xml:space="preserve">considers </w:t>
      </w:r>
      <w:r w:rsidRPr="00115BBC">
        <w:rPr>
          <w:b/>
          <w:iCs/>
          <w:lang w:eastAsia="zh-CN"/>
        </w:rPr>
        <w:t>feedback from ADR instances</w:t>
      </w:r>
      <w:r w:rsidRPr="00115BBC">
        <w:rPr>
          <w:bCs/>
          <w:iCs/>
          <w:lang w:eastAsia="zh-CN"/>
        </w:rPr>
        <w:t xml:space="preserve"> to be extremely valuable both to professionals and legislators or regulators. Therefore, it calls for </w:t>
      </w:r>
      <w:r w:rsidRPr="00115BBC">
        <w:rPr>
          <w:b/>
          <w:iCs/>
          <w:lang w:eastAsia="zh-CN"/>
        </w:rPr>
        <w:t>fast-track reporting of crisis situations</w:t>
      </w:r>
      <w:r w:rsidRPr="00115BBC">
        <w:rPr>
          <w:bCs/>
          <w:iCs/>
          <w:lang w:eastAsia="zh-CN"/>
        </w:rPr>
        <w:t xml:space="preserve"> on top of the requirement of biennial publication of activity reports by ADR schemes. It calls on the Commission to incorporate feedback from ADR platforms in its evaluations of sectoral regulations;</w:t>
      </w:r>
    </w:p>
    <w:p w:rsidRPr="00115BBC" w:rsidR="00115BBC" w:rsidP="00CC4510" w:rsidRDefault="00115BBC" w14:paraId="6480EB14" w14:textId="77777777">
      <w:pPr>
        <w:numPr>
          <w:ilvl w:val="0"/>
          <w:numId w:val="23"/>
        </w:numPr>
        <w:overflowPunct w:val="0"/>
        <w:autoSpaceDE w:val="0"/>
        <w:autoSpaceDN w:val="0"/>
        <w:adjustRightInd w:val="0"/>
        <w:spacing w:after="200" w:line="276" w:lineRule="auto"/>
        <w:ind w:left="284" w:hanging="284"/>
        <w:contextualSpacing/>
        <w:textAlignment w:val="baseline"/>
        <w:rPr>
          <w:bCs/>
          <w:iCs/>
          <w:lang w:eastAsia="zh-CN"/>
        </w:rPr>
      </w:pPr>
      <w:r w:rsidRPr="00115BBC">
        <w:rPr>
          <w:bCs/>
          <w:iCs/>
          <w:lang w:eastAsia="zh-CN"/>
        </w:rPr>
        <w:t xml:space="preserve">calls on the legislators to </w:t>
      </w:r>
      <w:r w:rsidRPr="00115BBC">
        <w:rPr>
          <w:b/>
          <w:iCs/>
          <w:lang w:eastAsia="zh-CN"/>
        </w:rPr>
        <w:t xml:space="preserve">be more precise about the requirement for consumers to first seek contact with the trader before resorting to an ADR scheme </w:t>
      </w:r>
      <w:r w:rsidRPr="00115BBC">
        <w:rPr>
          <w:bCs/>
          <w:iCs/>
          <w:lang w:eastAsia="zh-CN"/>
        </w:rPr>
        <w:t xml:space="preserve">and about </w:t>
      </w:r>
      <w:r w:rsidRPr="00115BBC">
        <w:rPr>
          <w:b/>
          <w:iCs/>
          <w:lang w:eastAsia="zh-CN"/>
        </w:rPr>
        <w:t>sanctions</w:t>
      </w:r>
      <w:r w:rsidRPr="00115BBC">
        <w:rPr>
          <w:bCs/>
          <w:iCs/>
          <w:lang w:eastAsia="zh-CN"/>
        </w:rPr>
        <w:t xml:space="preserve"> applicable to traders who do not comply with the requirement to report on their acceptance of the ADR procedure within the 20 working days mentioned in the proposals.</w:t>
      </w:r>
    </w:p>
    <w:p w:rsidRPr="00115BBC" w:rsidR="007B51DD" w:rsidP="00115BBC" w:rsidRDefault="007B51DD" w14:paraId="163168CE" w14:textId="77777777">
      <w:pPr>
        <w:widowControl w:val="0"/>
        <w:overflowPunct w:val="0"/>
        <w:autoSpaceDE w:val="0"/>
        <w:autoSpaceDN w:val="0"/>
        <w:adjustRightInd w:val="0"/>
        <w:ind w:left="709"/>
        <w:textAlignment w:val="baseline"/>
        <w:rPr>
          <w:szCs w:val="20"/>
        </w:rPr>
      </w:pPr>
    </w:p>
    <w:tbl>
      <w:tblPr>
        <w:tblStyle w:val="TableGrid20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15BBC" w:rsidR="00115BBC" w:rsidTr="00B05454" w14:paraId="0EF87FAC" w14:textId="77777777">
        <w:tc>
          <w:tcPr>
            <w:tcW w:w="1418" w:type="dxa"/>
          </w:tcPr>
          <w:p w:rsidRPr="00115BBC" w:rsidR="00115BBC" w:rsidP="00115BBC" w:rsidRDefault="00115BBC" w14:paraId="3A608033" w14:textId="77777777">
            <w:pPr>
              <w:overflowPunct w:val="0"/>
              <w:autoSpaceDE w:val="0"/>
              <w:autoSpaceDN w:val="0"/>
              <w:adjustRightInd w:val="0"/>
              <w:spacing w:line="240" w:lineRule="auto"/>
              <w:textAlignment w:val="baseline"/>
              <w:rPr>
                <w:i/>
              </w:rPr>
            </w:pPr>
            <w:r w:rsidRPr="00115BBC">
              <w:rPr>
                <w:b/>
                <w:i/>
              </w:rPr>
              <w:t>Contact</w:t>
            </w:r>
          </w:p>
        </w:tc>
        <w:tc>
          <w:tcPr>
            <w:tcW w:w="5670" w:type="dxa"/>
          </w:tcPr>
          <w:p w:rsidRPr="00115BBC" w:rsidR="00115BBC" w:rsidP="00115BBC" w:rsidRDefault="00115BBC" w14:paraId="2322F407" w14:textId="1D370AF8">
            <w:pPr>
              <w:overflowPunct w:val="0"/>
              <w:autoSpaceDE w:val="0"/>
              <w:autoSpaceDN w:val="0"/>
              <w:adjustRightInd w:val="0"/>
              <w:spacing w:line="240" w:lineRule="auto"/>
              <w:textAlignment w:val="baseline"/>
              <w:rPr>
                <w:i/>
              </w:rPr>
            </w:pPr>
            <w:r w:rsidRPr="00115BBC">
              <w:rPr>
                <w:i/>
              </w:rPr>
              <w:t>Silvia S</w:t>
            </w:r>
            <w:r w:rsidRPr="00115BBC" w:rsidR="00D0202C">
              <w:rPr>
                <w:i/>
              </w:rPr>
              <w:t>taffa</w:t>
            </w:r>
          </w:p>
        </w:tc>
      </w:tr>
      <w:tr w:rsidRPr="00115BBC" w:rsidR="00115BBC" w:rsidTr="00B05454" w14:paraId="1C49B2AC" w14:textId="77777777">
        <w:tc>
          <w:tcPr>
            <w:tcW w:w="1418" w:type="dxa"/>
          </w:tcPr>
          <w:p w:rsidRPr="00115BBC" w:rsidR="00115BBC" w:rsidP="00115BBC" w:rsidRDefault="00115BBC" w14:paraId="6E4695C4" w14:textId="77777777">
            <w:pPr>
              <w:overflowPunct w:val="0"/>
              <w:autoSpaceDE w:val="0"/>
              <w:autoSpaceDN w:val="0"/>
              <w:adjustRightInd w:val="0"/>
              <w:spacing w:line="240" w:lineRule="auto"/>
              <w:textAlignment w:val="baseline"/>
              <w:rPr>
                <w:i/>
              </w:rPr>
            </w:pPr>
            <w:r w:rsidRPr="00115BBC">
              <w:rPr>
                <w:i/>
              </w:rPr>
              <w:t>Tel.</w:t>
            </w:r>
          </w:p>
        </w:tc>
        <w:tc>
          <w:tcPr>
            <w:tcW w:w="5670" w:type="dxa"/>
          </w:tcPr>
          <w:p w:rsidRPr="00115BBC" w:rsidR="00115BBC" w:rsidP="00115BBC" w:rsidRDefault="00115BBC" w14:paraId="24EC6775" w14:textId="77777777">
            <w:pPr>
              <w:overflowPunct w:val="0"/>
              <w:autoSpaceDE w:val="0"/>
              <w:autoSpaceDN w:val="0"/>
              <w:adjustRightInd w:val="0"/>
              <w:spacing w:line="240" w:lineRule="auto"/>
              <w:textAlignment w:val="baseline"/>
              <w:rPr>
                <w:i/>
              </w:rPr>
            </w:pPr>
            <w:r w:rsidRPr="00115BBC">
              <w:rPr>
                <w:i/>
              </w:rPr>
              <w:t>+32 25468378</w:t>
            </w:r>
          </w:p>
        </w:tc>
      </w:tr>
      <w:tr w:rsidRPr="00115BBC" w:rsidR="00115BBC" w:rsidTr="00B05454" w14:paraId="55737622" w14:textId="77777777">
        <w:tc>
          <w:tcPr>
            <w:tcW w:w="1418" w:type="dxa"/>
          </w:tcPr>
          <w:p w:rsidRPr="00115BBC" w:rsidR="00115BBC" w:rsidP="00115BBC" w:rsidRDefault="00115BBC" w14:paraId="525828AE" w14:textId="77777777">
            <w:pPr>
              <w:overflowPunct w:val="0"/>
              <w:autoSpaceDE w:val="0"/>
              <w:autoSpaceDN w:val="0"/>
              <w:adjustRightInd w:val="0"/>
              <w:spacing w:line="240" w:lineRule="auto"/>
              <w:textAlignment w:val="baseline"/>
              <w:rPr>
                <w:i/>
              </w:rPr>
            </w:pPr>
            <w:r w:rsidRPr="00115BBC">
              <w:rPr>
                <w:i/>
              </w:rPr>
              <w:t>Email</w:t>
            </w:r>
          </w:p>
        </w:tc>
        <w:tc>
          <w:tcPr>
            <w:tcW w:w="5670" w:type="dxa"/>
          </w:tcPr>
          <w:p w:rsidRPr="00115BBC" w:rsidR="00115BBC" w:rsidP="00115BBC" w:rsidRDefault="00B21B70" w14:paraId="1B1D7DE5" w14:textId="77777777">
            <w:pPr>
              <w:overflowPunct w:val="0"/>
              <w:autoSpaceDE w:val="0"/>
              <w:autoSpaceDN w:val="0"/>
              <w:adjustRightInd w:val="0"/>
              <w:spacing w:line="240" w:lineRule="auto"/>
              <w:textAlignment w:val="baseline"/>
              <w:rPr>
                <w:i/>
                <w:iCs/>
              </w:rPr>
            </w:pPr>
            <w:hyperlink w:history="1" r:id="rId30">
              <w:r w:rsidRPr="00115BBC" w:rsidR="00115BBC">
                <w:rPr>
                  <w:i/>
                  <w:color w:val="0000FF"/>
                  <w:u w:val="single"/>
                </w:rPr>
                <w:t>Silvia.Staffa@eesc.europa.eu</w:t>
              </w:r>
            </w:hyperlink>
          </w:p>
        </w:tc>
      </w:tr>
    </w:tbl>
    <w:p w:rsidR="00115BBC" w:rsidRDefault="00115BBC" w14:paraId="7C16A4C7" w14:textId="77777777">
      <w:pPr>
        <w:spacing w:after="160" w:line="259" w:lineRule="auto"/>
        <w:jc w:val="left"/>
        <w:rPr>
          <w:sz w:val="16"/>
          <w:szCs w:val="16"/>
        </w:rPr>
      </w:pPr>
    </w:p>
    <w:p w:rsidR="00115BBC" w:rsidRDefault="00115BBC" w14:paraId="548FB513" w14:textId="77777777">
      <w:pPr>
        <w:spacing w:after="160" w:line="259" w:lineRule="auto"/>
        <w:jc w:val="left"/>
        <w:rPr>
          <w:sz w:val="16"/>
          <w:szCs w:val="16"/>
        </w:rPr>
      </w:pPr>
      <w:r>
        <w:rPr>
          <w:sz w:val="16"/>
          <w:szCs w:val="16"/>
        </w:rPr>
        <w:br w:type="page"/>
      </w:r>
    </w:p>
    <w:p w:rsidRPr="00016C21" w:rsidR="00016C21" w:rsidP="00016C21" w:rsidRDefault="00B21B70" w14:paraId="53C9A431" w14:textId="0A37C9E2">
      <w:pPr>
        <w:widowControl w:val="0"/>
        <w:numPr>
          <w:ilvl w:val="0"/>
          <w:numId w:val="2"/>
        </w:numPr>
        <w:overflowPunct w:val="0"/>
        <w:autoSpaceDE w:val="0"/>
        <w:autoSpaceDN w:val="0"/>
        <w:adjustRightInd w:val="0"/>
        <w:ind w:hanging="567"/>
        <w:textAlignment w:val="baseline"/>
        <w:rPr>
          <w:sz w:val="20"/>
          <w:szCs w:val="20"/>
        </w:rPr>
      </w:pPr>
      <w:hyperlink w:tgtFrame="_blank" w:history="1" r:id="rId31">
        <w:r w:rsidRPr="00016C21" w:rsidR="00016C21">
          <w:rPr>
            <w:b/>
            <w:bCs/>
            <w:i/>
            <w:iCs/>
            <w:color w:val="0000FF"/>
            <w:sz w:val="28"/>
            <w:szCs w:val="28"/>
            <w:u w:val="single"/>
          </w:rPr>
          <w:t>SME relief package</w:t>
        </w:r>
      </w:hyperlink>
    </w:p>
    <w:p w:rsidRPr="00016C21" w:rsidR="00016C21" w:rsidP="00016C21" w:rsidRDefault="00016C21" w14:paraId="79ACBD18" w14:textId="77777777">
      <w:pPr>
        <w:tabs>
          <w:tab w:val="center" w:pos="284"/>
        </w:tabs>
        <w:overflowPunct w:val="0"/>
        <w:autoSpaceDE w:val="0"/>
        <w:autoSpaceDN w:val="0"/>
        <w:adjustRightInd w:val="0"/>
        <w:ind w:left="266" w:hanging="266"/>
        <w:textAlignment w:val="baseline"/>
        <w:rPr>
          <w:b/>
        </w:rPr>
      </w:pPr>
    </w:p>
    <w:tbl>
      <w:tblPr>
        <w:tblStyle w:val="TableGrid201"/>
        <w:tblW w:w="445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241"/>
      </w:tblGrid>
      <w:tr w:rsidRPr="00016C21" w:rsidR="00016C21" w:rsidTr="00CC4510" w14:paraId="4F2580C3" w14:textId="77777777">
        <w:tc>
          <w:tcPr>
            <w:tcW w:w="1228" w:type="pct"/>
          </w:tcPr>
          <w:p w:rsidRPr="00016C21" w:rsidR="00016C21" w:rsidP="00016C21" w:rsidRDefault="00016C21" w14:paraId="72DF44FE" w14:textId="77777777">
            <w:pPr>
              <w:tabs>
                <w:tab w:val="center" w:pos="0"/>
              </w:tabs>
              <w:overflowPunct w:val="0"/>
              <w:autoSpaceDE w:val="0"/>
              <w:autoSpaceDN w:val="0"/>
              <w:adjustRightInd w:val="0"/>
              <w:jc w:val="left"/>
              <w:textAlignment w:val="baseline"/>
              <w:rPr>
                <w:b/>
              </w:rPr>
            </w:pPr>
            <w:r w:rsidRPr="00016C21">
              <w:rPr>
                <w:b/>
              </w:rPr>
              <w:t>Rapporteur</w:t>
            </w:r>
            <w:r w:rsidRPr="00016C21">
              <w:rPr>
                <w:b/>
              </w:rPr>
              <w:br/>
              <w:t>Co-rapporteur</w:t>
            </w:r>
          </w:p>
        </w:tc>
        <w:tc>
          <w:tcPr>
            <w:tcW w:w="3772" w:type="pct"/>
          </w:tcPr>
          <w:p w:rsidRPr="00016C21" w:rsidR="00016C21" w:rsidP="00CC4510" w:rsidRDefault="00016C21" w14:paraId="7A66A71A" w14:textId="1948A7D0">
            <w:pPr>
              <w:tabs>
                <w:tab w:val="center" w:pos="0"/>
              </w:tabs>
              <w:overflowPunct w:val="0"/>
              <w:autoSpaceDE w:val="0"/>
              <w:autoSpaceDN w:val="0"/>
              <w:adjustRightInd w:val="0"/>
              <w:ind w:right="1591"/>
              <w:textAlignment w:val="baseline"/>
            </w:pPr>
            <w:r w:rsidRPr="00016C21">
              <w:t>Alena MASTANTUONO (Employers'</w:t>
            </w:r>
            <w:r w:rsidR="007B51DD">
              <w:t xml:space="preserve"> </w:t>
            </w:r>
            <w:r w:rsidRPr="00016C21">
              <w:t>Group - CZ)</w:t>
            </w:r>
            <w:r w:rsidRPr="00016C21">
              <w:br/>
              <w:t>Angelo PAGLIARA (Workers' Group - IT)</w:t>
            </w:r>
          </w:p>
        </w:tc>
      </w:tr>
      <w:tr w:rsidRPr="00016C21" w:rsidR="00016C21" w:rsidTr="00CC4510" w14:paraId="0DAADC43" w14:textId="77777777">
        <w:tc>
          <w:tcPr>
            <w:tcW w:w="5000" w:type="pct"/>
            <w:gridSpan w:val="2"/>
          </w:tcPr>
          <w:p w:rsidRPr="00016C21" w:rsidR="00016C21" w:rsidP="00016C21" w:rsidRDefault="00016C21" w14:paraId="6CC99D77" w14:textId="77777777">
            <w:pPr>
              <w:tabs>
                <w:tab w:val="center" w:pos="284"/>
              </w:tabs>
              <w:overflowPunct w:val="0"/>
              <w:autoSpaceDE w:val="0"/>
              <w:autoSpaceDN w:val="0"/>
              <w:adjustRightInd w:val="0"/>
              <w:spacing w:line="160" w:lineRule="exact"/>
              <w:ind w:left="266" w:hanging="266"/>
              <w:textAlignment w:val="baseline"/>
            </w:pPr>
          </w:p>
        </w:tc>
      </w:tr>
      <w:tr w:rsidRPr="00016C21" w:rsidR="00016C21" w:rsidTr="00CC4510" w14:paraId="3C188AC4" w14:textId="77777777">
        <w:tc>
          <w:tcPr>
            <w:tcW w:w="1228" w:type="pct"/>
            <w:vMerge w:val="restart"/>
          </w:tcPr>
          <w:p w:rsidRPr="00016C21" w:rsidR="00016C21" w:rsidP="00016C21" w:rsidRDefault="00016C21" w14:paraId="6ED0BDE5" w14:textId="77777777">
            <w:pPr>
              <w:tabs>
                <w:tab w:val="center" w:pos="284"/>
              </w:tabs>
              <w:overflowPunct w:val="0"/>
              <w:autoSpaceDE w:val="0"/>
              <w:autoSpaceDN w:val="0"/>
              <w:adjustRightInd w:val="0"/>
              <w:ind w:left="266" w:hanging="266"/>
              <w:textAlignment w:val="baseline"/>
              <w:rPr>
                <w:b/>
              </w:rPr>
            </w:pPr>
            <w:r w:rsidRPr="00016C21">
              <w:rPr>
                <w:b/>
              </w:rPr>
              <w:t>References</w:t>
            </w:r>
          </w:p>
        </w:tc>
        <w:tc>
          <w:tcPr>
            <w:tcW w:w="3772" w:type="pct"/>
          </w:tcPr>
          <w:p w:rsidRPr="00016C21" w:rsidR="00016C21" w:rsidP="00016C21" w:rsidRDefault="00016C21" w14:paraId="5911E5F0" w14:textId="77777777">
            <w:pPr>
              <w:tabs>
                <w:tab w:val="center" w:pos="284"/>
              </w:tabs>
              <w:overflowPunct w:val="0"/>
              <w:autoSpaceDE w:val="0"/>
              <w:autoSpaceDN w:val="0"/>
              <w:adjustRightInd w:val="0"/>
              <w:ind w:left="266" w:hanging="266"/>
              <w:textAlignment w:val="baseline"/>
            </w:pPr>
            <w:r w:rsidRPr="00016C21">
              <w:t>COM(2023) 535 final</w:t>
            </w:r>
          </w:p>
          <w:p w:rsidRPr="00016C21" w:rsidR="00016C21" w:rsidP="00016C21" w:rsidRDefault="00016C21" w14:paraId="1EAF09D2" w14:textId="77777777">
            <w:pPr>
              <w:tabs>
                <w:tab w:val="center" w:pos="284"/>
              </w:tabs>
              <w:overflowPunct w:val="0"/>
              <w:autoSpaceDE w:val="0"/>
              <w:autoSpaceDN w:val="0"/>
              <w:adjustRightInd w:val="0"/>
              <w:ind w:left="266" w:hanging="266"/>
              <w:textAlignment w:val="baseline"/>
            </w:pPr>
            <w:r w:rsidRPr="00016C21">
              <w:t>EESC-2023-05071-00-00-AC</w:t>
            </w:r>
          </w:p>
        </w:tc>
      </w:tr>
      <w:tr w:rsidRPr="00016C21" w:rsidR="00016C21" w:rsidTr="00CC4510" w14:paraId="34BD45CA" w14:textId="77777777">
        <w:tc>
          <w:tcPr>
            <w:tcW w:w="1228" w:type="pct"/>
            <w:vMerge/>
          </w:tcPr>
          <w:p w:rsidRPr="00016C21" w:rsidR="00016C21" w:rsidP="00016C21" w:rsidRDefault="00016C21" w14:paraId="14905400" w14:textId="77777777">
            <w:pPr>
              <w:tabs>
                <w:tab w:val="center" w:pos="284"/>
              </w:tabs>
              <w:overflowPunct w:val="0"/>
              <w:autoSpaceDE w:val="0"/>
              <w:autoSpaceDN w:val="0"/>
              <w:adjustRightInd w:val="0"/>
              <w:ind w:left="266" w:hanging="266"/>
              <w:textAlignment w:val="baseline"/>
              <w:rPr>
                <w:b/>
              </w:rPr>
            </w:pPr>
          </w:p>
        </w:tc>
        <w:tc>
          <w:tcPr>
            <w:tcW w:w="3772" w:type="pct"/>
          </w:tcPr>
          <w:p w:rsidRPr="00016C21" w:rsidR="00016C21" w:rsidP="00016C21" w:rsidRDefault="00016C21" w14:paraId="7FF352D2" w14:textId="77777777">
            <w:pPr>
              <w:tabs>
                <w:tab w:val="center" w:pos="284"/>
              </w:tabs>
              <w:overflowPunct w:val="0"/>
              <w:autoSpaceDE w:val="0"/>
              <w:autoSpaceDN w:val="0"/>
              <w:adjustRightInd w:val="0"/>
              <w:ind w:left="266" w:hanging="266"/>
              <w:textAlignment w:val="baseline"/>
            </w:pPr>
          </w:p>
        </w:tc>
      </w:tr>
    </w:tbl>
    <w:p w:rsidRPr="00016C21" w:rsidR="00016C21" w:rsidP="00CC4510" w:rsidRDefault="00016C21" w14:paraId="5C2B27D4" w14:textId="77777777">
      <w:pPr>
        <w:keepNext/>
        <w:keepLines/>
        <w:tabs>
          <w:tab w:val="center" w:pos="284"/>
        </w:tabs>
        <w:overflowPunct w:val="0"/>
        <w:autoSpaceDE w:val="0"/>
        <w:autoSpaceDN w:val="0"/>
        <w:adjustRightInd w:val="0"/>
        <w:ind w:left="266" w:hanging="124"/>
        <w:textAlignment w:val="baseline"/>
        <w:rPr>
          <w:b/>
        </w:rPr>
      </w:pPr>
      <w:r w:rsidRPr="00016C21">
        <w:rPr>
          <w:b/>
        </w:rPr>
        <w:t>Key points</w:t>
      </w:r>
    </w:p>
    <w:p w:rsidRPr="00016C21" w:rsidR="00016C21" w:rsidP="00016C21" w:rsidRDefault="00016C21" w14:paraId="7EA3DADC" w14:textId="77777777">
      <w:pPr>
        <w:keepNext/>
        <w:keepLines/>
        <w:tabs>
          <w:tab w:val="center" w:pos="284"/>
        </w:tabs>
        <w:overflowPunct w:val="0"/>
        <w:autoSpaceDE w:val="0"/>
        <w:autoSpaceDN w:val="0"/>
        <w:adjustRightInd w:val="0"/>
        <w:ind w:left="266" w:hanging="266"/>
        <w:textAlignment w:val="baseline"/>
        <w:rPr>
          <w:b/>
        </w:rPr>
      </w:pPr>
    </w:p>
    <w:p w:rsidRPr="00016C21" w:rsidR="00016C21" w:rsidP="00CC4510" w:rsidRDefault="00016C21" w14:paraId="6F102ADF" w14:textId="77777777">
      <w:pPr>
        <w:overflowPunct w:val="0"/>
        <w:autoSpaceDE w:val="0"/>
        <w:autoSpaceDN w:val="0"/>
        <w:adjustRightInd w:val="0"/>
        <w:ind w:firstLine="142"/>
        <w:textAlignment w:val="baseline"/>
        <w:rPr>
          <w:bCs/>
          <w:iCs/>
        </w:rPr>
      </w:pPr>
      <w:r w:rsidRPr="00016C21">
        <w:rPr>
          <w:bCs/>
          <w:iCs/>
        </w:rPr>
        <w:t>The EESC:</w:t>
      </w:r>
    </w:p>
    <w:p w:rsidRPr="00016C21" w:rsidR="00016C21" w:rsidP="00016C21" w:rsidRDefault="00016C21" w14:paraId="5A499E14" w14:textId="77777777">
      <w:pPr>
        <w:overflowPunct w:val="0"/>
        <w:autoSpaceDE w:val="0"/>
        <w:autoSpaceDN w:val="0"/>
        <w:adjustRightInd w:val="0"/>
        <w:textAlignment w:val="baseline"/>
        <w:rPr>
          <w:bCs/>
          <w:iCs/>
        </w:rPr>
      </w:pPr>
    </w:p>
    <w:p w:rsidRPr="00016C21" w:rsidR="00016C21" w:rsidP="00CC4510" w:rsidRDefault="00016C21" w14:paraId="554242DA" w14:textId="77777777">
      <w:pPr>
        <w:numPr>
          <w:ilvl w:val="0"/>
          <w:numId w:val="24"/>
        </w:numPr>
        <w:overflowPunct w:val="0"/>
        <w:autoSpaceDE w:val="0"/>
        <w:autoSpaceDN w:val="0"/>
        <w:adjustRightInd w:val="0"/>
        <w:spacing w:after="200" w:line="276" w:lineRule="auto"/>
        <w:ind w:left="284" w:hanging="284"/>
        <w:contextualSpacing/>
        <w:textAlignment w:val="baseline"/>
        <w:rPr>
          <w:rFonts w:ascii="Calibri" w:hAnsi="Calibri"/>
          <w:bCs/>
          <w:iCs/>
          <w:lang w:eastAsia="zh-CN"/>
        </w:rPr>
      </w:pPr>
      <w:r w:rsidRPr="00016C21">
        <w:rPr>
          <w:bCs/>
          <w:iCs/>
          <w:lang w:eastAsia="zh-CN"/>
        </w:rPr>
        <w:t xml:space="preserve">welcomes the SME relief package as an attempt to put </w:t>
      </w:r>
      <w:r w:rsidRPr="00016C21">
        <w:rPr>
          <w:b/>
          <w:iCs/>
          <w:lang w:eastAsia="zh-CN"/>
        </w:rPr>
        <w:t>SMEs at the core of European legislation</w:t>
      </w:r>
      <w:r w:rsidRPr="00016C21">
        <w:rPr>
          <w:bCs/>
          <w:iCs/>
          <w:lang w:eastAsia="zh-CN"/>
        </w:rPr>
        <w:t xml:space="preserve"> and at the heart of European strategies, discussions, and actions in support of competitiveness. The next Commission should make this </w:t>
      </w:r>
      <w:r w:rsidRPr="00016C21">
        <w:rPr>
          <w:b/>
          <w:iCs/>
          <w:lang w:eastAsia="zh-CN"/>
        </w:rPr>
        <w:t>a priority and give it continuity</w:t>
      </w:r>
      <w:r w:rsidRPr="00016C21">
        <w:rPr>
          <w:bCs/>
          <w:iCs/>
          <w:lang w:eastAsia="zh-CN"/>
        </w:rPr>
        <w:t>;</w:t>
      </w:r>
    </w:p>
    <w:p w:rsidRPr="00016C21" w:rsidR="00016C21" w:rsidP="00CC4510" w:rsidRDefault="00016C21" w14:paraId="6A0B7A03" w14:textId="77777777">
      <w:pPr>
        <w:numPr>
          <w:ilvl w:val="0"/>
          <w:numId w:val="24"/>
        </w:numPr>
        <w:overflowPunct w:val="0"/>
        <w:autoSpaceDE w:val="0"/>
        <w:autoSpaceDN w:val="0"/>
        <w:adjustRightInd w:val="0"/>
        <w:spacing w:line="276" w:lineRule="auto"/>
        <w:ind w:left="284" w:hanging="284"/>
        <w:contextualSpacing/>
        <w:textAlignment w:val="baseline"/>
        <w:rPr>
          <w:bCs/>
          <w:iCs/>
          <w:lang w:eastAsia="zh-CN"/>
        </w:rPr>
      </w:pPr>
      <w:r w:rsidRPr="00016C21">
        <w:rPr>
          <w:bCs/>
          <w:iCs/>
          <w:lang w:eastAsia="zh-CN"/>
        </w:rPr>
        <w:t xml:space="preserve">believes that the Commission must ensure that the </w:t>
      </w:r>
      <w:r w:rsidRPr="00016C21">
        <w:rPr>
          <w:b/>
          <w:iCs/>
          <w:lang w:eastAsia="zh-CN"/>
        </w:rPr>
        <w:t>EU SME Envoy has an entrepreneurial background</w:t>
      </w:r>
      <w:r w:rsidRPr="00016C21">
        <w:rPr>
          <w:bCs/>
          <w:iCs/>
          <w:lang w:eastAsia="zh-CN"/>
        </w:rPr>
        <w:t xml:space="preserve"> and a well-defined set of competencies and responsibilities in the upcoming 2024-2029 mandate, and that the position is accompanied by </w:t>
      </w:r>
      <w:r w:rsidRPr="00016C21">
        <w:rPr>
          <w:b/>
          <w:iCs/>
          <w:lang w:eastAsia="zh-CN"/>
        </w:rPr>
        <w:t>adequate resources</w:t>
      </w:r>
      <w:r w:rsidRPr="00016C21">
        <w:rPr>
          <w:bCs/>
          <w:iCs/>
          <w:lang w:eastAsia="zh-CN"/>
        </w:rPr>
        <w:t xml:space="preserve"> in terms of staff and financial support;</w:t>
      </w:r>
    </w:p>
    <w:p w:rsidRPr="00016C21" w:rsidR="00016C21" w:rsidP="00CC4510" w:rsidRDefault="00016C21" w14:paraId="5554B69B" w14:textId="77777777">
      <w:pPr>
        <w:numPr>
          <w:ilvl w:val="0"/>
          <w:numId w:val="24"/>
        </w:numPr>
        <w:overflowPunct w:val="0"/>
        <w:autoSpaceDE w:val="0"/>
        <w:autoSpaceDN w:val="0"/>
        <w:adjustRightInd w:val="0"/>
        <w:spacing w:after="200" w:line="276" w:lineRule="auto"/>
        <w:ind w:left="284" w:hanging="284"/>
        <w:contextualSpacing/>
        <w:textAlignment w:val="baseline"/>
        <w:rPr>
          <w:bCs/>
          <w:iCs/>
          <w:lang w:eastAsia="zh-CN"/>
        </w:rPr>
      </w:pPr>
      <w:r w:rsidRPr="00016C21">
        <w:rPr>
          <w:bCs/>
          <w:iCs/>
          <w:lang w:eastAsia="zh-CN"/>
        </w:rPr>
        <w:t xml:space="preserve">welcomes the efforts for simplification as well as the reduction of burdens in VAT areas in cross-border activities. The EESC, however, notes that more needs to be done to remove other long-lasting barriers. </w:t>
      </w:r>
      <w:r w:rsidRPr="00016C21">
        <w:rPr>
          <w:b/>
          <w:iCs/>
          <w:lang w:eastAsia="zh-CN"/>
        </w:rPr>
        <w:t>Fragmentation across the single market</w:t>
      </w:r>
      <w:r w:rsidRPr="00016C21">
        <w:rPr>
          <w:bCs/>
          <w:iCs/>
          <w:lang w:eastAsia="zh-CN"/>
        </w:rPr>
        <w:t xml:space="preserve"> </w:t>
      </w:r>
      <w:r w:rsidRPr="00016C21">
        <w:rPr>
          <w:b/>
          <w:iCs/>
          <w:lang w:eastAsia="zh-CN"/>
        </w:rPr>
        <w:t>and different national rules</w:t>
      </w:r>
      <w:r w:rsidRPr="00016C21">
        <w:rPr>
          <w:bCs/>
          <w:iCs/>
          <w:lang w:eastAsia="zh-CN"/>
        </w:rPr>
        <w:t xml:space="preserve"> on goods and services </w:t>
      </w:r>
      <w:r w:rsidRPr="00016C21">
        <w:rPr>
          <w:b/>
          <w:iCs/>
          <w:lang w:eastAsia="zh-CN"/>
        </w:rPr>
        <w:t>place a considerable burden on businesses</w:t>
      </w:r>
      <w:r w:rsidRPr="00016C21">
        <w:rPr>
          <w:bCs/>
          <w:iCs/>
          <w:lang w:eastAsia="zh-CN"/>
        </w:rPr>
        <w:t>;</w:t>
      </w:r>
    </w:p>
    <w:p w:rsidRPr="00016C21" w:rsidR="00016C21" w:rsidP="00CC4510" w:rsidRDefault="00016C21" w14:paraId="2DEE3944" w14:textId="77777777">
      <w:pPr>
        <w:numPr>
          <w:ilvl w:val="0"/>
          <w:numId w:val="24"/>
        </w:numPr>
        <w:overflowPunct w:val="0"/>
        <w:autoSpaceDE w:val="0"/>
        <w:autoSpaceDN w:val="0"/>
        <w:adjustRightInd w:val="0"/>
        <w:spacing w:after="200" w:line="276" w:lineRule="auto"/>
        <w:ind w:left="284" w:hanging="284"/>
        <w:contextualSpacing/>
        <w:textAlignment w:val="baseline"/>
        <w:rPr>
          <w:bCs/>
          <w:iCs/>
          <w:lang w:eastAsia="zh-CN"/>
        </w:rPr>
      </w:pPr>
      <w:r w:rsidRPr="00016C21">
        <w:rPr>
          <w:bCs/>
          <w:iCs/>
          <w:lang w:eastAsia="zh-CN"/>
        </w:rPr>
        <w:t xml:space="preserve">believes that </w:t>
      </w:r>
      <w:r w:rsidRPr="00016C21">
        <w:rPr>
          <w:b/>
          <w:iCs/>
          <w:lang w:eastAsia="zh-CN"/>
        </w:rPr>
        <w:t>it should be made easier for SMEs to access financial resources</w:t>
      </w:r>
      <w:r w:rsidRPr="00016C21">
        <w:rPr>
          <w:bCs/>
          <w:iCs/>
          <w:lang w:eastAsia="zh-CN"/>
        </w:rPr>
        <w:t>, whether through grants, loans or other financial instruments, with tailored assistance. The EESC also asks the Commission to put in place all of the necessary measures to incentivise SMEs to adopt a responsible conduct in accessing EU funding;</w:t>
      </w:r>
    </w:p>
    <w:p w:rsidRPr="00016C21" w:rsidR="00016C21" w:rsidP="00CC4510" w:rsidRDefault="00016C21" w14:paraId="2717C131" w14:textId="77777777">
      <w:pPr>
        <w:numPr>
          <w:ilvl w:val="0"/>
          <w:numId w:val="24"/>
        </w:numPr>
        <w:overflowPunct w:val="0"/>
        <w:autoSpaceDE w:val="0"/>
        <w:autoSpaceDN w:val="0"/>
        <w:adjustRightInd w:val="0"/>
        <w:spacing w:line="276" w:lineRule="auto"/>
        <w:ind w:left="284" w:hanging="284"/>
        <w:contextualSpacing/>
        <w:textAlignment w:val="baseline"/>
        <w:rPr>
          <w:bCs/>
          <w:iCs/>
          <w:lang w:eastAsia="zh-CN"/>
        </w:rPr>
      </w:pPr>
      <w:r w:rsidRPr="00016C21">
        <w:rPr>
          <w:bCs/>
          <w:iCs/>
          <w:lang w:eastAsia="zh-CN"/>
        </w:rPr>
        <w:t xml:space="preserve">highlights that better use of already existing tools can contribute to avoiding red tape. A good example is to </w:t>
      </w:r>
      <w:r w:rsidRPr="00016C21">
        <w:rPr>
          <w:b/>
          <w:iCs/>
          <w:lang w:eastAsia="zh-CN"/>
        </w:rPr>
        <w:t>state in any legislative proposal the expected obligations deriving from the proposal</w:t>
      </w:r>
      <w:r w:rsidRPr="00016C21">
        <w:rPr>
          <w:bCs/>
          <w:iCs/>
          <w:lang w:eastAsia="zh-CN"/>
        </w:rPr>
        <w:t>, which, inter alia, helps provide a better understanding in terms of cumulative burden.</w:t>
      </w:r>
    </w:p>
    <w:p w:rsidRPr="00016C21" w:rsidR="00016C21" w:rsidP="00016C21" w:rsidRDefault="00016C21" w14:paraId="29A5A99B" w14:textId="77777777">
      <w:pPr>
        <w:spacing w:after="120" w:line="276" w:lineRule="auto"/>
        <w:ind w:left="1434"/>
        <w:rPr>
          <w:bCs/>
          <w:iCs/>
          <w:lang w:eastAsia="zh-CN"/>
        </w:rPr>
      </w:pPr>
    </w:p>
    <w:tbl>
      <w:tblPr>
        <w:tblStyle w:val="TableGrid20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016C21" w:rsidR="00016C21" w:rsidTr="00B05454" w14:paraId="33461CA2" w14:textId="77777777">
        <w:tc>
          <w:tcPr>
            <w:tcW w:w="1556" w:type="pct"/>
          </w:tcPr>
          <w:p w:rsidRPr="00016C21" w:rsidR="00016C21" w:rsidP="00016C21" w:rsidRDefault="00016C21" w14:paraId="536875C6" w14:textId="77777777">
            <w:pPr>
              <w:overflowPunct w:val="0"/>
              <w:autoSpaceDE w:val="0"/>
              <w:autoSpaceDN w:val="0"/>
              <w:adjustRightInd w:val="0"/>
              <w:spacing w:line="240" w:lineRule="auto"/>
              <w:textAlignment w:val="baseline"/>
              <w:rPr>
                <w:i/>
              </w:rPr>
            </w:pPr>
            <w:r w:rsidRPr="00016C21">
              <w:rPr>
                <w:b/>
                <w:i/>
              </w:rPr>
              <w:t>Contact</w:t>
            </w:r>
          </w:p>
        </w:tc>
        <w:tc>
          <w:tcPr>
            <w:tcW w:w="3444" w:type="pct"/>
          </w:tcPr>
          <w:p w:rsidRPr="00016C21" w:rsidR="00016C21" w:rsidP="00016C21" w:rsidRDefault="00016C21" w14:paraId="697B1E4B" w14:textId="77777777">
            <w:pPr>
              <w:overflowPunct w:val="0"/>
              <w:autoSpaceDE w:val="0"/>
              <w:autoSpaceDN w:val="0"/>
              <w:adjustRightInd w:val="0"/>
              <w:spacing w:line="240" w:lineRule="auto"/>
              <w:textAlignment w:val="baseline"/>
              <w:rPr>
                <w:i/>
              </w:rPr>
            </w:pPr>
            <w:r w:rsidRPr="00016C21">
              <w:rPr>
                <w:i/>
              </w:rPr>
              <w:t>Dalila Bernard</w:t>
            </w:r>
          </w:p>
        </w:tc>
      </w:tr>
      <w:tr w:rsidRPr="00016C21" w:rsidR="00016C21" w:rsidTr="00B05454" w14:paraId="11E64266" w14:textId="77777777">
        <w:tc>
          <w:tcPr>
            <w:tcW w:w="1556" w:type="pct"/>
          </w:tcPr>
          <w:p w:rsidRPr="00016C21" w:rsidR="00016C21" w:rsidP="00016C21" w:rsidRDefault="00016C21" w14:paraId="23C53038" w14:textId="77777777">
            <w:pPr>
              <w:overflowPunct w:val="0"/>
              <w:autoSpaceDE w:val="0"/>
              <w:autoSpaceDN w:val="0"/>
              <w:adjustRightInd w:val="0"/>
              <w:spacing w:line="240" w:lineRule="auto"/>
              <w:textAlignment w:val="baseline"/>
              <w:rPr>
                <w:i/>
              </w:rPr>
            </w:pPr>
            <w:r w:rsidRPr="00016C21">
              <w:rPr>
                <w:i/>
              </w:rPr>
              <w:t>Tel.</w:t>
            </w:r>
          </w:p>
        </w:tc>
        <w:tc>
          <w:tcPr>
            <w:tcW w:w="3444" w:type="pct"/>
          </w:tcPr>
          <w:p w:rsidRPr="00016C21" w:rsidR="00016C21" w:rsidP="00016C21" w:rsidRDefault="00016C21" w14:paraId="5ED7A51D" w14:textId="77777777">
            <w:pPr>
              <w:overflowPunct w:val="0"/>
              <w:autoSpaceDE w:val="0"/>
              <w:autoSpaceDN w:val="0"/>
              <w:adjustRightInd w:val="0"/>
              <w:spacing w:line="240" w:lineRule="auto"/>
              <w:textAlignment w:val="baseline"/>
              <w:rPr>
                <w:i/>
              </w:rPr>
            </w:pPr>
            <w:r w:rsidRPr="00016C21">
              <w:rPr>
                <w:i/>
              </w:rPr>
              <w:t>+ 32 25468438</w:t>
            </w:r>
          </w:p>
        </w:tc>
      </w:tr>
      <w:tr w:rsidRPr="00016C21" w:rsidR="00016C21" w:rsidTr="00B05454" w14:paraId="72056838" w14:textId="77777777">
        <w:tc>
          <w:tcPr>
            <w:tcW w:w="1556" w:type="pct"/>
          </w:tcPr>
          <w:p w:rsidRPr="00016C21" w:rsidR="00016C21" w:rsidP="00016C21" w:rsidRDefault="00016C21" w14:paraId="498DF601" w14:textId="77777777">
            <w:pPr>
              <w:overflowPunct w:val="0"/>
              <w:autoSpaceDE w:val="0"/>
              <w:autoSpaceDN w:val="0"/>
              <w:adjustRightInd w:val="0"/>
              <w:spacing w:line="240" w:lineRule="auto"/>
              <w:textAlignment w:val="baseline"/>
              <w:rPr>
                <w:i/>
              </w:rPr>
            </w:pPr>
            <w:r w:rsidRPr="00016C21">
              <w:rPr>
                <w:i/>
              </w:rPr>
              <w:t>Email</w:t>
            </w:r>
          </w:p>
        </w:tc>
        <w:tc>
          <w:tcPr>
            <w:tcW w:w="3444" w:type="pct"/>
          </w:tcPr>
          <w:p w:rsidRPr="00016C21" w:rsidR="00016C21" w:rsidP="00016C21" w:rsidRDefault="00B21B70" w14:paraId="78D8A06B" w14:textId="135A9FB2">
            <w:pPr>
              <w:overflowPunct w:val="0"/>
              <w:autoSpaceDE w:val="0"/>
              <w:autoSpaceDN w:val="0"/>
              <w:adjustRightInd w:val="0"/>
              <w:spacing w:line="240" w:lineRule="auto"/>
              <w:textAlignment w:val="baseline"/>
              <w:rPr>
                <w:i/>
              </w:rPr>
            </w:pPr>
            <w:hyperlink w:history="1" r:id="rId32">
              <w:r w:rsidRPr="00016C21" w:rsidR="00016C21">
                <w:rPr>
                  <w:color w:val="0000FF"/>
                  <w:u w:val="single"/>
                </w:rPr>
                <w:t>Dalila.Bernard@eesc.europa.eu</w:t>
              </w:r>
            </w:hyperlink>
          </w:p>
          <w:p w:rsidRPr="00016C21" w:rsidR="00016C21" w:rsidP="00016C21" w:rsidRDefault="00016C21" w14:paraId="298F1AD7" w14:textId="77777777">
            <w:pPr>
              <w:overflowPunct w:val="0"/>
              <w:autoSpaceDE w:val="0"/>
              <w:autoSpaceDN w:val="0"/>
              <w:adjustRightInd w:val="0"/>
              <w:spacing w:line="240" w:lineRule="auto"/>
              <w:textAlignment w:val="baseline"/>
              <w:rPr>
                <w:i/>
              </w:rPr>
            </w:pPr>
          </w:p>
        </w:tc>
      </w:tr>
    </w:tbl>
    <w:p w:rsidR="00DC121F" w:rsidRDefault="00DC121F" w14:paraId="6AFE14EC" w14:textId="0BBC5EDB">
      <w:pPr>
        <w:spacing w:after="160" w:line="259" w:lineRule="auto"/>
        <w:jc w:val="left"/>
        <w:rPr>
          <w:sz w:val="16"/>
          <w:szCs w:val="16"/>
        </w:rPr>
      </w:pPr>
      <w:r>
        <w:rPr>
          <w:sz w:val="16"/>
          <w:szCs w:val="16"/>
        </w:rPr>
        <w:br w:type="page"/>
      </w:r>
    </w:p>
    <w:p w:rsidR="004B5B45" w:rsidRDefault="004B5B45" w14:paraId="4BF86895" w14:textId="385BC456">
      <w:pPr>
        <w:spacing w:after="160" w:line="259" w:lineRule="auto"/>
        <w:jc w:val="left"/>
        <w:rPr>
          <w:sz w:val="16"/>
          <w:szCs w:val="16"/>
        </w:rPr>
      </w:pPr>
    </w:p>
    <w:p w:rsidRPr="00152FA6" w:rsidR="00152FA6" w:rsidP="00152FA6" w:rsidRDefault="00152FA6" w14:paraId="27F24A51" w14:textId="77777777">
      <w:bookmarkStart w:name="_Toc153539681" w:id="18"/>
    </w:p>
    <w:p w:rsidRPr="00EE2FBD" w:rsidR="004C3902" w:rsidP="00234EA0" w:rsidRDefault="008E2A59" w14:paraId="7AD922B6" w14:textId="6D6B967E">
      <w:pPr>
        <w:pStyle w:val="Heading1"/>
        <w:ind w:hanging="928"/>
        <w:rPr>
          <w:b/>
          <w:bCs/>
        </w:rPr>
      </w:pPr>
      <w:bookmarkStart w:name="_Toc159831771" w:id="19"/>
      <w:r w:rsidRPr="00EE2FBD">
        <w:rPr>
          <w:b/>
          <w:bCs/>
        </w:rPr>
        <w:t>AGRICULTURE, RURAL DEVELOPMENT AND THE ENVIRONMENT</w:t>
      </w:r>
      <w:bookmarkStart w:name="_Hlk145944317" w:id="20"/>
      <w:bookmarkEnd w:id="18"/>
      <w:bookmarkEnd w:id="19"/>
    </w:p>
    <w:bookmarkEnd w:id="20"/>
    <w:p w:rsidRPr="00094B6B" w:rsidR="002C016E" w:rsidP="00DE43CE" w:rsidRDefault="002C016E" w14:paraId="0E7342A4" w14:textId="73254B30">
      <w:pPr>
        <w:keepNext/>
        <w:keepLines/>
        <w:jc w:val="left"/>
        <w:rPr>
          <w:bCs/>
          <w:iCs/>
        </w:rPr>
      </w:pPr>
    </w:p>
    <w:p w:rsidRPr="00016C21" w:rsidR="00016C21" w:rsidP="00016C21" w:rsidRDefault="00B21B70" w14:paraId="48966958" w14:textId="16AD2DEF">
      <w:pPr>
        <w:numPr>
          <w:ilvl w:val="0"/>
          <w:numId w:val="3"/>
        </w:numPr>
        <w:overflowPunct w:val="0"/>
        <w:autoSpaceDE w:val="0"/>
        <w:autoSpaceDN w:val="0"/>
        <w:adjustRightInd w:val="0"/>
        <w:spacing w:line="276" w:lineRule="auto"/>
        <w:ind w:left="425" w:hanging="357"/>
        <w:contextualSpacing/>
        <w:jc w:val="left"/>
        <w:textAlignment w:val="baseline"/>
        <w:rPr>
          <w:i/>
          <w:iCs/>
          <w:lang w:eastAsia="zh-CN"/>
        </w:rPr>
      </w:pPr>
      <w:hyperlink w:history="1" r:id="rId33">
        <w:r w:rsidRPr="00016C21" w:rsidR="00016C21">
          <w:rPr>
            <w:b/>
            <w:bCs/>
            <w:i/>
            <w:iCs/>
            <w:color w:val="0000FF"/>
            <w:sz w:val="28"/>
            <w:szCs w:val="28"/>
            <w:u w:val="single"/>
            <w:lang w:eastAsia="zh-CN"/>
          </w:rPr>
          <w:t>Preventing plastic pellet losses to reduce microplastics pollution</w:t>
        </w:r>
      </w:hyperlink>
    </w:p>
    <w:p w:rsidR="00016C21" w:rsidP="00016C21" w:rsidRDefault="00016C21" w14:paraId="4D542D75" w14:textId="1DD5ECBD">
      <w:pPr>
        <w:widowControl w:val="0"/>
        <w:overflowPunct w:val="0"/>
        <w:autoSpaceDE w:val="0"/>
        <w:autoSpaceDN w:val="0"/>
        <w:adjustRightInd w:val="0"/>
        <w:ind w:left="567"/>
        <w:textAlignment w:val="baseline"/>
        <w:rPr>
          <w:bCs/>
          <w:sz w:val="16"/>
          <w:szCs w:val="16"/>
        </w:rPr>
      </w:pPr>
    </w:p>
    <w:p w:rsidRPr="00016C21" w:rsidR="005E64DC" w:rsidP="00016C21" w:rsidRDefault="005E64DC" w14:paraId="32E7BE77" w14:textId="77777777">
      <w:pPr>
        <w:widowControl w:val="0"/>
        <w:overflowPunct w:val="0"/>
        <w:autoSpaceDE w:val="0"/>
        <w:autoSpaceDN w:val="0"/>
        <w:adjustRightInd w:val="0"/>
        <w:ind w:left="567"/>
        <w:textAlignment w:val="baseline"/>
        <w:rPr>
          <w:bCs/>
          <w:sz w:val="16"/>
          <w:szCs w:val="16"/>
        </w:rPr>
      </w:pPr>
    </w:p>
    <w:tbl>
      <w:tblPr>
        <w:tblStyle w:val="TableGrid20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016C21" w:rsidR="00016C21" w:rsidTr="00B05454" w14:paraId="2AA339FF" w14:textId="77777777">
        <w:tc>
          <w:tcPr>
            <w:tcW w:w="1701" w:type="dxa"/>
          </w:tcPr>
          <w:p w:rsidRPr="00016C21" w:rsidR="00016C21" w:rsidP="00CC4510" w:rsidRDefault="00016C21" w14:paraId="3160CF33" w14:textId="77777777">
            <w:pPr>
              <w:tabs>
                <w:tab w:val="center" w:pos="284"/>
              </w:tabs>
              <w:overflowPunct w:val="0"/>
              <w:autoSpaceDE w:val="0"/>
              <w:autoSpaceDN w:val="0"/>
              <w:adjustRightInd w:val="0"/>
              <w:spacing w:line="276" w:lineRule="auto"/>
              <w:ind w:left="266" w:hanging="266"/>
              <w:textAlignment w:val="baseline"/>
              <w:rPr>
                <w:b/>
              </w:rPr>
            </w:pPr>
            <w:r w:rsidRPr="00016C21">
              <w:rPr>
                <w:b/>
              </w:rPr>
              <w:t>Rapporteur</w:t>
            </w:r>
          </w:p>
        </w:tc>
        <w:tc>
          <w:tcPr>
            <w:tcW w:w="6096" w:type="dxa"/>
          </w:tcPr>
          <w:p w:rsidRPr="00016C21" w:rsidR="00016C21" w:rsidP="00CC4510" w:rsidRDefault="00016C21" w14:paraId="69F9AE5E" w14:textId="0CC7DB21">
            <w:pPr>
              <w:tabs>
                <w:tab w:val="center" w:pos="284"/>
              </w:tabs>
              <w:overflowPunct w:val="0"/>
              <w:autoSpaceDE w:val="0"/>
              <w:autoSpaceDN w:val="0"/>
              <w:adjustRightInd w:val="0"/>
              <w:spacing w:line="276" w:lineRule="auto"/>
              <w:ind w:left="266" w:hanging="266"/>
              <w:textAlignment w:val="baseline"/>
              <w:rPr>
                <w:bCs/>
              </w:rPr>
            </w:pPr>
            <w:r w:rsidRPr="00016C21">
              <w:rPr>
                <w:b/>
                <w:bCs/>
              </w:rPr>
              <w:t>András EDELÉNYI</w:t>
            </w:r>
            <w:r w:rsidRPr="00016C21">
              <w:t xml:space="preserve"> (Employers' Group </w:t>
            </w:r>
            <w:r w:rsidR="005E64DC">
              <w:rPr>
                <w:color w:val="000000"/>
              </w:rPr>
              <w:t>-</w:t>
            </w:r>
            <w:r w:rsidRPr="00016C21">
              <w:rPr>
                <w:color w:val="000000"/>
              </w:rPr>
              <w:t xml:space="preserve"> HU</w:t>
            </w:r>
            <w:r w:rsidRPr="00016C21">
              <w:t>)</w:t>
            </w:r>
          </w:p>
        </w:tc>
      </w:tr>
      <w:tr w:rsidRPr="00016C21" w:rsidR="00016C21" w:rsidTr="00B05454" w14:paraId="3D2947AE" w14:textId="77777777">
        <w:tc>
          <w:tcPr>
            <w:tcW w:w="1701" w:type="dxa"/>
          </w:tcPr>
          <w:p w:rsidRPr="00016C21" w:rsidR="00016C21" w:rsidP="00CC4510" w:rsidRDefault="00016C21" w14:paraId="52F4AA0D" w14:textId="77777777">
            <w:pPr>
              <w:tabs>
                <w:tab w:val="center" w:pos="284"/>
              </w:tabs>
              <w:overflowPunct w:val="0"/>
              <w:autoSpaceDE w:val="0"/>
              <w:autoSpaceDN w:val="0"/>
              <w:adjustRightInd w:val="0"/>
              <w:spacing w:line="276" w:lineRule="auto"/>
              <w:ind w:left="266" w:hanging="266"/>
              <w:textAlignment w:val="baseline"/>
              <w:rPr>
                <w:b/>
              </w:rPr>
            </w:pPr>
            <w:r w:rsidRPr="00016C21">
              <w:rPr>
                <w:b/>
              </w:rPr>
              <w:t>Co-rapporteur</w:t>
            </w:r>
          </w:p>
        </w:tc>
        <w:tc>
          <w:tcPr>
            <w:tcW w:w="6096" w:type="dxa"/>
          </w:tcPr>
          <w:p w:rsidRPr="00016C21" w:rsidR="00016C21" w:rsidP="00CC4510" w:rsidRDefault="00016C21" w14:paraId="0F2C9A54" w14:textId="6A2E4865">
            <w:pPr>
              <w:overflowPunct w:val="0"/>
              <w:autoSpaceDE w:val="0"/>
              <w:autoSpaceDN w:val="0"/>
              <w:adjustRightInd w:val="0"/>
              <w:spacing w:line="276" w:lineRule="auto"/>
              <w:textAlignment w:val="baseline"/>
              <w:rPr>
                <w:b/>
              </w:rPr>
            </w:pPr>
            <w:r w:rsidRPr="00016C21">
              <w:rPr>
                <w:b/>
              </w:rPr>
              <w:t xml:space="preserve">Maria NIKOLOPOULOU </w:t>
            </w:r>
            <w:r w:rsidRPr="00016C21">
              <w:rPr>
                <w:bCs/>
              </w:rPr>
              <w:t>(</w:t>
            </w:r>
            <w:r w:rsidRPr="00016C21">
              <w:t>Workers' Group</w:t>
            </w:r>
            <w:r w:rsidRPr="00016C21">
              <w:rPr>
                <w:color w:val="000000"/>
              </w:rPr>
              <w:t xml:space="preserve"> </w:t>
            </w:r>
            <w:r w:rsidR="005E64DC">
              <w:rPr>
                <w:color w:val="000000"/>
              </w:rPr>
              <w:t>-</w:t>
            </w:r>
            <w:r w:rsidRPr="00016C21">
              <w:rPr>
                <w:color w:val="000000"/>
              </w:rPr>
              <w:t xml:space="preserve"> ES</w:t>
            </w:r>
            <w:r w:rsidRPr="00016C21">
              <w:rPr>
                <w:bCs/>
              </w:rPr>
              <w:t>)</w:t>
            </w:r>
          </w:p>
        </w:tc>
      </w:tr>
      <w:tr w:rsidRPr="00016C21" w:rsidR="00016C21" w:rsidTr="00B05454" w14:paraId="37E9B43F" w14:textId="77777777">
        <w:tc>
          <w:tcPr>
            <w:tcW w:w="7797" w:type="dxa"/>
            <w:gridSpan w:val="2"/>
          </w:tcPr>
          <w:p w:rsidRPr="00016C21" w:rsidR="00016C21" w:rsidP="00CC4510" w:rsidRDefault="00016C21" w14:paraId="73AFBCC5" w14:textId="77777777">
            <w:pPr>
              <w:tabs>
                <w:tab w:val="left" w:pos="2690"/>
              </w:tabs>
              <w:overflowPunct w:val="0"/>
              <w:autoSpaceDE w:val="0"/>
              <w:autoSpaceDN w:val="0"/>
              <w:adjustRightInd w:val="0"/>
              <w:spacing w:line="276" w:lineRule="auto"/>
              <w:ind w:left="266" w:hanging="266"/>
              <w:textAlignment w:val="baseline"/>
              <w:rPr>
                <w:sz w:val="10"/>
                <w:szCs w:val="10"/>
              </w:rPr>
            </w:pPr>
          </w:p>
        </w:tc>
      </w:tr>
      <w:tr w:rsidRPr="00016C21" w:rsidR="00016C21" w:rsidTr="00B05454" w14:paraId="15D23674" w14:textId="77777777">
        <w:tc>
          <w:tcPr>
            <w:tcW w:w="1701" w:type="dxa"/>
            <w:vMerge w:val="restart"/>
          </w:tcPr>
          <w:p w:rsidRPr="00016C21" w:rsidR="00016C21" w:rsidP="00CC4510" w:rsidRDefault="00016C21" w14:paraId="1BB4B745" w14:textId="77777777">
            <w:pPr>
              <w:tabs>
                <w:tab w:val="center" w:pos="284"/>
              </w:tabs>
              <w:overflowPunct w:val="0"/>
              <w:autoSpaceDE w:val="0"/>
              <w:autoSpaceDN w:val="0"/>
              <w:adjustRightInd w:val="0"/>
              <w:spacing w:line="276" w:lineRule="auto"/>
              <w:ind w:left="266" w:hanging="266"/>
              <w:textAlignment w:val="baseline"/>
              <w:rPr>
                <w:b/>
              </w:rPr>
            </w:pPr>
            <w:r w:rsidRPr="00016C21">
              <w:rPr>
                <w:b/>
              </w:rPr>
              <w:t>References</w:t>
            </w:r>
          </w:p>
        </w:tc>
        <w:tc>
          <w:tcPr>
            <w:tcW w:w="6096" w:type="dxa"/>
          </w:tcPr>
          <w:p w:rsidRPr="00016C21" w:rsidR="00016C21" w:rsidP="00CC4510" w:rsidRDefault="00016C21" w14:paraId="7EE7987F" w14:textId="0C9C2881">
            <w:pPr>
              <w:tabs>
                <w:tab w:val="center" w:pos="284"/>
              </w:tabs>
              <w:overflowPunct w:val="0"/>
              <w:autoSpaceDE w:val="0"/>
              <w:autoSpaceDN w:val="0"/>
              <w:adjustRightInd w:val="0"/>
              <w:spacing w:line="276" w:lineRule="auto"/>
              <w:ind w:left="266" w:hanging="266"/>
              <w:textAlignment w:val="baseline"/>
            </w:pPr>
            <w:r w:rsidRPr="00016C21">
              <w:t>COM(2023) 645 final</w:t>
            </w:r>
          </w:p>
        </w:tc>
      </w:tr>
      <w:tr w:rsidRPr="00016C21" w:rsidR="00016C21" w:rsidTr="00B05454" w14:paraId="5C2E846C" w14:textId="77777777">
        <w:tc>
          <w:tcPr>
            <w:tcW w:w="1701" w:type="dxa"/>
            <w:vMerge/>
          </w:tcPr>
          <w:p w:rsidRPr="00016C21" w:rsidR="00016C21" w:rsidP="00CC4510" w:rsidRDefault="00016C21" w14:paraId="3C7FAC6C" w14:textId="77777777">
            <w:pPr>
              <w:tabs>
                <w:tab w:val="center" w:pos="284"/>
              </w:tabs>
              <w:overflowPunct w:val="0"/>
              <w:autoSpaceDE w:val="0"/>
              <w:autoSpaceDN w:val="0"/>
              <w:adjustRightInd w:val="0"/>
              <w:spacing w:line="276" w:lineRule="auto"/>
              <w:ind w:left="266" w:hanging="266"/>
              <w:textAlignment w:val="baseline"/>
              <w:rPr>
                <w:b/>
              </w:rPr>
            </w:pPr>
          </w:p>
        </w:tc>
        <w:tc>
          <w:tcPr>
            <w:tcW w:w="6096" w:type="dxa"/>
          </w:tcPr>
          <w:p w:rsidRPr="00016C21" w:rsidR="00016C21" w:rsidP="00CC4510" w:rsidRDefault="00016C21" w14:paraId="0906927D" w14:textId="5DCAA039">
            <w:pPr>
              <w:tabs>
                <w:tab w:val="center" w:pos="284"/>
              </w:tabs>
              <w:overflowPunct w:val="0"/>
              <w:autoSpaceDE w:val="0"/>
              <w:autoSpaceDN w:val="0"/>
              <w:adjustRightInd w:val="0"/>
              <w:spacing w:line="276" w:lineRule="auto"/>
              <w:ind w:left="266" w:hanging="266"/>
              <w:textAlignment w:val="baseline"/>
            </w:pPr>
            <w:r w:rsidRPr="00016C21">
              <w:t>EESC-2023-04923-00-00-AC</w:t>
            </w:r>
          </w:p>
        </w:tc>
      </w:tr>
    </w:tbl>
    <w:p w:rsidR="00C05C6B" w:rsidP="005E64DC" w:rsidRDefault="00C05C6B" w14:paraId="53A18EF3" w14:textId="77777777">
      <w:pPr>
        <w:keepNext/>
        <w:keepLines/>
        <w:tabs>
          <w:tab w:val="center" w:pos="284"/>
        </w:tabs>
        <w:overflowPunct w:val="0"/>
        <w:autoSpaceDE w:val="0"/>
        <w:autoSpaceDN w:val="0"/>
        <w:adjustRightInd w:val="0"/>
        <w:spacing w:line="276" w:lineRule="auto"/>
        <w:ind w:left="266" w:hanging="124"/>
        <w:textAlignment w:val="baseline"/>
        <w:rPr>
          <w:b/>
        </w:rPr>
      </w:pPr>
    </w:p>
    <w:p w:rsidRPr="00016C21" w:rsidR="00016C21" w:rsidP="00CC4510" w:rsidRDefault="00016C21" w14:paraId="7C49C143" w14:textId="4C6ED9AD">
      <w:pPr>
        <w:keepNext/>
        <w:keepLines/>
        <w:tabs>
          <w:tab w:val="center" w:pos="284"/>
        </w:tabs>
        <w:overflowPunct w:val="0"/>
        <w:autoSpaceDE w:val="0"/>
        <w:autoSpaceDN w:val="0"/>
        <w:adjustRightInd w:val="0"/>
        <w:spacing w:line="276" w:lineRule="auto"/>
        <w:ind w:left="266" w:hanging="124"/>
        <w:textAlignment w:val="baseline"/>
        <w:rPr>
          <w:b/>
        </w:rPr>
      </w:pPr>
      <w:r w:rsidRPr="00016C21">
        <w:rPr>
          <w:b/>
        </w:rPr>
        <w:t>Key points</w:t>
      </w:r>
    </w:p>
    <w:p w:rsidRPr="00016C21" w:rsidR="00016C21" w:rsidRDefault="00016C21" w14:paraId="34882F56" w14:textId="77777777">
      <w:pPr>
        <w:keepNext/>
        <w:keepLines/>
        <w:tabs>
          <w:tab w:val="center" w:pos="284"/>
        </w:tabs>
        <w:overflowPunct w:val="0"/>
        <w:autoSpaceDE w:val="0"/>
        <w:autoSpaceDN w:val="0"/>
        <w:adjustRightInd w:val="0"/>
        <w:spacing w:line="276" w:lineRule="auto"/>
        <w:ind w:left="266" w:hanging="266"/>
        <w:textAlignment w:val="baseline"/>
        <w:rPr>
          <w:bCs/>
          <w:sz w:val="16"/>
          <w:szCs w:val="16"/>
        </w:rPr>
      </w:pPr>
    </w:p>
    <w:p w:rsidR="00016C21" w:rsidP="00CC4510" w:rsidRDefault="00016C21" w14:paraId="678CC3CA" w14:textId="6F26DAA6">
      <w:pPr>
        <w:overflowPunct w:val="0"/>
        <w:autoSpaceDE w:val="0"/>
        <w:autoSpaceDN w:val="0"/>
        <w:adjustRightInd w:val="0"/>
        <w:spacing w:line="276" w:lineRule="auto"/>
        <w:ind w:firstLine="142"/>
        <w:textAlignment w:val="baseline"/>
        <w:rPr>
          <w:bCs/>
          <w:iCs/>
        </w:rPr>
      </w:pPr>
      <w:r w:rsidRPr="00016C21">
        <w:rPr>
          <w:bCs/>
          <w:iCs/>
        </w:rPr>
        <w:t>The EESC:</w:t>
      </w:r>
    </w:p>
    <w:p w:rsidRPr="00016C21" w:rsidR="005E64DC" w:rsidP="00CC4510" w:rsidRDefault="005E64DC" w14:paraId="409EF56F" w14:textId="77777777">
      <w:pPr>
        <w:overflowPunct w:val="0"/>
        <w:autoSpaceDE w:val="0"/>
        <w:autoSpaceDN w:val="0"/>
        <w:adjustRightInd w:val="0"/>
        <w:spacing w:line="276" w:lineRule="auto"/>
        <w:textAlignment w:val="baseline"/>
        <w:rPr>
          <w:bCs/>
          <w:iCs/>
        </w:rPr>
      </w:pPr>
    </w:p>
    <w:p w:rsidRPr="00CC4510" w:rsidR="00016C21" w:rsidP="00CC4510" w:rsidRDefault="00016C21" w14:paraId="1E401C83"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2" w:id="21"/>
      <w:r w:rsidRPr="00CC4510">
        <w:rPr>
          <w:szCs w:val="20"/>
        </w:rPr>
        <w:t xml:space="preserve">agrees with and essentially </w:t>
      </w:r>
      <w:r w:rsidRPr="00CC4510">
        <w:rPr>
          <w:b/>
          <w:bCs/>
          <w:szCs w:val="20"/>
        </w:rPr>
        <w:t>supports the Commission's proposal</w:t>
      </w:r>
      <w:r w:rsidRPr="00CC4510">
        <w:rPr>
          <w:szCs w:val="20"/>
        </w:rPr>
        <w:t xml:space="preserve"> on regulating microplastic pellet operations and emissions and mitigating dangerous pollution in this specific area;</w:t>
      </w:r>
      <w:bookmarkEnd w:id="21"/>
    </w:p>
    <w:p w:rsidRPr="00CC4510" w:rsidR="00016C21" w:rsidP="00CC4510" w:rsidRDefault="00016C21" w14:paraId="1C92984C"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pacing w:val="-2"/>
          <w:szCs w:val="20"/>
        </w:rPr>
      </w:pPr>
      <w:bookmarkStart w:name="_Toc159831773" w:id="22"/>
      <w:r w:rsidRPr="00CC4510">
        <w:rPr>
          <w:spacing w:val="-2"/>
          <w:szCs w:val="20"/>
        </w:rPr>
        <w:t xml:space="preserve">points to the urgent need to </w:t>
      </w:r>
      <w:r w:rsidRPr="00CC4510">
        <w:rPr>
          <w:b/>
          <w:bCs/>
          <w:spacing w:val="-2"/>
          <w:szCs w:val="20"/>
        </w:rPr>
        <w:t>develop the standardised</w:t>
      </w:r>
      <w:r w:rsidRPr="00CC4510">
        <w:rPr>
          <w:spacing w:val="-2"/>
          <w:szCs w:val="20"/>
        </w:rPr>
        <w:t xml:space="preserve"> </w:t>
      </w:r>
      <w:r w:rsidRPr="00CC4510">
        <w:rPr>
          <w:b/>
          <w:bCs/>
          <w:spacing w:val="-2"/>
          <w:szCs w:val="20"/>
        </w:rPr>
        <w:t>methodology</w:t>
      </w:r>
      <w:r w:rsidRPr="00CC4510">
        <w:rPr>
          <w:spacing w:val="-2"/>
          <w:szCs w:val="20"/>
        </w:rPr>
        <w:t xml:space="preserve"> </w:t>
      </w:r>
      <w:r w:rsidRPr="00CC4510">
        <w:rPr>
          <w:b/>
          <w:bCs/>
          <w:spacing w:val="-2"/>
          <w:szCs w:val="20"/>
        </w:rPr>
        <w:t>for tracking and</w:t>
      </w:r>
      <w:r w:rsidRPr="00CC4510">
        <w:rPr>
          <w:spacing w:val="-2"/>
          <w:szCs w:val="20"/>
        </w:rPr>
        <w:t xml:space="preserve"> properly </w:t>
      </w:r>
      <w:r w:rsidRPr="00CC4510">
        <w:rPr>
          <w:b/>
          <w:bCs/>
          <w:spacing w:val="-2"/>
          <w:szCs w:val="20"/>
        </w:rPr>
        <w:t>estimating microplastic pellet losses</w:t>
      </w:r>
      <w:r w:rsidRPr="00CC4510">
        <w:rPr>
          <w:spacing w:val="-2"/>
          <w:szCs w:val="20"/>
        </w:rPr>
        <w:t xml:space="preserve"> along the whole supply chain. This could enable to estimate emissions and monitor progress towards achieving the set target of a 30% reduction by 2030;</w:t>
      </w:r>
      <w:bookmarkEnd w:id="22"/>
    </w:p>
    <w:p w:rsidRPr="00CC4510" w:rsidR="00016C21" w:rsidP="00CC4510" w:rsidRDefault="00016C21" w14:paraId="3EE952C2"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pacing w:val="-8"/>
          <w:szCs w:val="20"/>
        </w:rPr>
      </w:pPr>
      <w:bookmarkStart w:name="_Toc159831774" w:id="23"/>
      <w:r w:rsidRPr="00CC4510">
        <w:rPr>
          <w:spacing w:val="-8"/>
          <w:szCs w:val="20"/>
        </w:rPr>
        <w:t>recommends</w:t>
      </w:r>
      <w:r w:rsidRPr="00CC4510">
        <w:rPr>
          <w:b/>
          <w:bCs/>
          <w:spacing w:val="-8"/>
          <w:szCs w:val="20"/>
        </w:rPr>
        <w:t xml:space="preserve"> </w:t>
      </w:r>
      <w:r w:rsidRPr="00CC4510">
        <w:rPr>
          <w:spacing w:val="-8"/>
          <w:szCs w:val="20"/>
        </w:rPr>
        <w:t>that</w:t>
      </w:r>
      <w:r w:rsidRPr="00CC4510">
        <w:rPr>
          <w:iCs/>
          <w:spacing w:val="-8"/>
          <w:szCs w:val="20"/>
        </w:rPr>
        <w:t xml:space="preserve"> the EU should </w:t>
      </w:r>
      <w:r w:rsidRPr="00CC4510">
        <w:rPr>
          <w:b/>
          <w:bCs/>
          <w:iCs/>
          <w:spacing w:val="-8"/>
          <w:szCs w:val="20"/>
        </w:rPr>
        <w:t>align</w:t>
      </w:r>
      <w:r w:rsidRPr="00CC4510">
        <w:rPr>
          <w:b/>
          <w:bCs/>
          <w:spacing w:val="-8"/>
          <w:szCs w:val="20"/>
        </w:rPr>
        <w:t xml:space="preserve"> with the International Maritime Organization (IMO) legislation</w:t>
      </w:r>
      <w:r w:rsidRPr="00CC4510">
        <w:rPr>
          <w:spacing w:val="-8"/>
          <w:szCs w:val="20"/>
        </w:rPr>
        <w:t xml:space="preserve"> process</w:t>
      </w:r>
      <w:r w:rsidRPr="00CC4510">
        <w:rPr>
          <w:iCs/>
          <w:spacing w:val="-8"/>
          <w:szCs w:val="20"/>
        </w:rPr>
        <w:t>. If the IMO does not provide any rules by mid-2026, the Commission should consider provisions to implement for intra-EU maritime transports,</w:t>
      </w:r>
      <w:r w:rsidRPr="00CC4510">
        <w:rPr>
          <w:spacing w:val="-8"/>
          <w:szCs w:val="20"/>
        </w:rPr>
        <w:t xml:space="preserve"> as well as laying the groundwork for tackling the secondary microplastics issue of tyres, paints, textiles, geotextiles and detergent capsules;</w:t>
      </w:r>
      <w:bookmarkEnd w:id="23"/>
    </w:p>
    <w:p w:rsidRPr="00CC4510" w:rsidR="00016C21" w:rsidP="00CC4510" w:rsidRDefault="00016C21" w14:paraId="1818AA54"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5" w:id="24"/>
      <w:r w:rsidRPr="00CC4510">
        <w:rPr>
          <w:szCs w:val="20"/>
        </w:rPr>
        <w:t xml:space="preserve">suggests, with regard to environmental and human protection aspects, </w:t>
      </w:r>
      <w:r w:rsidRPr="00CC4510">
        <w:rPr>
          <w:b/>
          <w:bCs/>
          <w:szCs w:val="20"/>
        </w:rPr>
        <w:t>paying attention</w:t>
      </w:r>
      <w:r w:rsidRPr="00CC4510">
        <w:rPr>
          <w:szCs w:val="20"/>
        </w:rPr>
        <w:t xml:space="preserve"> in the regulation </w:t>
      </w:r>
      <w:r w:rsidRPr="00CC4510">
        <w:rPr>
          <w:b/>
          <w:bCs/>
          <w:szCs w:val="20"/>
        </w:rPr>
        <w:t>to the geographical areas</w:t>
      </w:r>
      <w:r w:rsidRPr="00CC4510">
        <w:rPr>
          <w:szCs w:val="20"/>
        </w:rPr>
        <w:t xml:space="preserve"> – as potential intervention points for mitigating/reducing pollution – that are most exposed to microplastics emissions;</w:t>
      </w:r>
      <w:bookmarkEnd w:id="24"/>
    </w:p>
    <w:p w:rsidRPr="00CC4510" w:rsidR="00016C21" w:rsidP="00CC4510" w:rsidRDefault="00016C21" w14:paraId="054B27CB"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6" w:id="25"/>
      <w:r w:rsidRPr="00CC4510">
        <w:rPr>
          <w:szCs w:val="20"/>
        </w:rPr>
        <w:t xml:space="preserve">stresses the need to </w:t>
      </w:r>
      <w:r w:rsidRPr="00CC4510">
        <w:rPr>
          <w:b/>
          <w:bCs/>
          <w:szCs w:val="20"/>
        </w:rPr>
        <w:t>increase the frequency of compliance verification</w:t>
      </w:r>
      <w:r w:rsidRPr="00CC4510">
        <w:rPr>
          <w:szCs w:val="20"/>
        </w:rPr>
        <w:t xml:space="preserve"> and </w:t>
      </w:r>
      <w:r w:rsidRPr="00CC4510">
        <w:rPr>
          <w:b/>
          <w:bCs/>
          <w:szCs w:val="20"/>
        </w:rPr>
        <w:t>introduce a mid-term revision of the legislation</w:t>
      </w:r>
      <w:r w:rsidRPr="00CC4510">
        <w:rPr>
          <w:szCs w:val="20"/>
        </w:rPr>
        <w:t xml:space="preserve"> to assess its efficiency and to review and, if necessary, fine-tune the volume limit for pellet operations laid down in the lightened regulatory requirements prescribed for micro and small enterprises;</w:t>
      </w:r>
      <w:bookmarkEnd w:id="25"/>
    </w:p>
    <w:p w:rsidRPr="00CC4510" w:rsidR="00016C21" w:rsidP="00CC4510" w:rsidRDefault="00016C21" w14:paraId="2F4250F7"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7" w:id="26"/>
      <w:r w:rsidRPr="00CC4510">
        <w:rPr>
          <w:szCs w:val="20"/>
        </w:rPr>
        <w:t xml:space="preserve">warns that the rapidly growing production of virgin and recycled plastic pellets makes it increasingly difficult to mitigate their impact. Therefore, efforts to </w:t>
      </w:r>
      <w:r w:rsidRPr="00CC4510">
        <w:rPr>
          <w:b/>
          <w:bCs/>
          <w:szCs w:val="20"/>
        </w:rPr>
        <w:t>implement and enforce compliance</w:t>
      </w:r>
      <w:r w:rsidRPr="00CC4510">
        <w:rPr>
          <w:szCs w:val="20"/>
        </w:rPr>
        <w:t xml:space="preserve"> with the regulation should be accelerated;</w:t>
      </w:r>
      <w:bookmarkEnd w:id="26"/>
    </w:p>
    <w:p w:rsidRPr="00CC4510" w:rsidR="00016C21" w:rsidP="00CC4510" w:rsidRDefault="00016C21" w14:paraId="1E28F2BE"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8" w:id="27"/>
      <w:r w:rsidRPr="00CC4510">
        <w:rPr>
          <w:szCs w:val="20"/>
        </w:rPr>
        <w:t xml:space="preserve">notes that there is not a high demand for additional workers, except in green-collar areas, but that </w:t>
      </w:r>
      <w:r w:rsidRPr="00CC4510">
        <w:rPr>
          <w:b/>
          <w:bCs/>
          <w:szCs w:val="20"/>
        </w:rPr>
        <w:t>awareness and training levels have to be increased across the</w:t>
      </w:r>
      <w:r w:rsidRPr="00CC4510">
        <w:rPr>
          <w:szCs w:val="20"/>
        </w:rPr>
        <w:t xml:space="preserve"> </w:t>
      </w:r>
      <w:r w:rsidRPr="00CC4510">
        <w:rPr>
          <w:b/>
          <w:bCs/>
          <w:szCs w:val="20"/>
        </w:rPr>
        <w:t>workforce</w:t>
      </w:r>
      <w:r w:rsidRPr="00CC4510">
        <w:rPr>
          <w:szCs w:val="20"/>
        </w:rPr>
        <w:t>;</w:t>
      </w:r>
      <w:bookmarkEnd w:id="27"/>
    </w:p>
    <w:p w:rsidRPr="00CC4510" w:rsidR="00016C21" w:rsidP="00CC4510" w:rsidRDefault="00016C21" w14:paraId="23F522CA"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9" w:id="28"/>
      <w:r w:rsidRPr="00CC4510">
        <w:rPr>
          <w:szCs w:val="20"/>
        </w:rPr>
        <w:t xml:space="preserve">points out that the </w:t>
      </w:r>
      <w:r w:rsidRPr="00CC4510">
        <w:rPr>
          <w:b/>
          <w:bCs/>
          <w:szCs w:val="20"/>
        </w:rPr>
        <w:t>international aspects of the regulation should be taken into consideration</w:t>
      </w:r>
      <w:r w:rsidRPr="00CC4510">
        <w:rPr>
          <w:szCs w:val="20"/>
        </w:rPr>
        <w:t xml:space="preserve"> to ensure a level playing field in the competitive environment</w:t>
      </w:r>
      <w:r w:rsidRPr="00CC4510" w:rsidDel="00FF5F7B">
        <w:rPr>
          <w:szCs w:val="20"/>
        </w:rPr>
        <w:t xml:space="preserve"> </w:t>
      </w:r>
      <w:r w:rsidRPr="00CC4510">
        <w:rPr>
          <w:szCs w:val="20"/>
        </w:rPr>
        <w:t>between EU operators that are complying with the regulation and third-country operators;</w:t>
      </w:r>
      <w:bookmarkEnd w:id="28"/>
    </w:p>
    <w:p w:rsidRPr="00CC4510" w:rsidR="00016C21" w:rsidP="00CC4510" w:rsidRDefault="00016C21" w14:paraId="0E4468F7"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pacing w:val="-4"/>
          <w:szCs w:val="20"/>
        </w:rPr>
      </w:pPr>
      <w:bookmarkStart w:name="_Toc159831780" w:id="29"/>
      <w:r w:rsidRPr="00CC4510">
        <w:rPr>
          <w:spacing w:val="-4"/>
          <w:szCs w:val="20"/>
        </w:rPr>
        <w:t>emphasises that science and research activities have to be stepped up, mainly with a view to understanding the harmful effects on human and ecological health of microplastic pellet pollution;</w:t>
      </w:r>
      <w:bookmarkEnd w:id="29"/>
    </w:p>
    <w:p w:rsidRPr="00CC4510" w:rsidR="00016C21" w:rsidP="00CC4510" w:rsidRDefault="00016C21" w14:paraId="717B8D71"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pacing w:val="-6"/>
          <w:szCs w:val="20"/>
        </w:rPr>
      </w:pPr>
      <w:bookmarkStart w:name="_Toc159831781" w:id="30"/>
      <w:r w:rsidRPr="00CC4510">
        <w:rPr>
          <w:szCs w:val="20"/>
        </w:rPr>
        <w:t>suggests</w:t>
      </w:r>
      <w:r w:rsidRPr="00CC4510">
        <w:rPr>
          <w:spacing w:val="-6"/>
          <w:szCs w:val="20"/>
        </w:rPr>
        <w:t xml:space="preserve"> to </w:t>
      </w:r>
      <w:r w:rsidRPr="00CC4510">
        <w:rPr>
          <w:b/>
          <w:bCs/>
          <w:spacing w:val="-6"/>
          <w:szCs w:val="20"/>
        </w:rPr>
        <w:t>review the Best Available Techniques</w:t>
      </w:r>
      <w:r w:rsidRPr="00CC4510">
        <w:rPr>
          <w:spacing w:val="-6"/>
          <w:szCs w:val="20"/>
        </w:rPr>
        <w:t xml:space="preserve"> for economic operators to include pellet losses.</w:t>
      </w:r>
      <w:bookmarkEnd w:id="30"/>
    </w:p>
    <w:p w:rsidR="00016C21" w:rsidP="00016C21" w:rsidRDefault="00016C21" w14:paraId="2BEE0D5B" w14:textId="4403D595">
      <w:pPr>
        <w:keepNext/>
        <w:keepLines/>
        <w:overflowPunct w:val="0"/>
        <w:autoSpaceDE w:val="0"/>
        <w:autoSpaceDN w:val="0"/>
        <w:adjustRightInd w:val="0"/>
        <w:spacing w:line="240" w:lineRule="auto"/>
        <w:textAlignment w:val="baseline"/>
        <w:rPr>
          <w:sz w:val="16"/>
          <w:szCs w:val="16"/>
        </w:rPr>
      </w:pPr>
    </w:p>
    <w:p w:rsidRPr="00016C21" w:rsidR="00DC108A" w:rsidP="00016C21" w:rsidRDefault="00DC108A" w14:paraId="62259C3A" w14:textId="77777777">
      <w:pPr>
        <w:keepNext/>
        <w:keepLines/>
        <w:overflowPunct w:val="0"/>
        <w:autoSpaceDE w:val="0"/>
        <w:autoSpaceDN w:val="0"/>
        <w:adjustRightInd w:val="0"/>
        <w:spacing w:line="240" w:lineRule="auto"/>
        <w:textAlignment w:val="baseline"/>
        <w:rPr>
          <w:sz w:val="16"/>
          <w:szCs w:val="16"/>
        </w:rPr>
      </w:pPr>
    </w:p>
    <w:tbl>
      <w:tblPr>
        <w:tblStyle w:val="TableGrid20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016C21" w:rsidR="00016C21" w:rsidTr="00B05454" w14:paraId="5AD55413" w14:textId="77777777">
        <w:tc>
          <w:tcPr>
            <w:tcW w:w="1418" w:type="dxa"/>
          </w:tcPr>
          <w:p w:rsidRPr="00016C21" w:rsidR="00016C21" w:rsidP="00016C21" w:rsidRDefault="00016C21" w14:paraId="668325B6" w14:textId="77777777">
            <w:pPr>
              <w:keepNext/>
              <w:keepLines/>
              <w:overflowPunct w:val="0"/>
              <w:autoSpaceDE w:val="0"/>
              <w:autoSpaceDN w:val="0"/>
              <w:adjustRightInd w:val="0"/>
              <w:spacing w:line="240" w:lineRule="auto"/>
              <w:ind w:left="34" w:right="-253"/>
              <w:textAlignment w:val="baseline"/>
              <w:rPr>
                <w:i/>
              </w:rPr>
            </w:pPr>
            <w:r w:rsidRPr="00016C21">
              <w:rPr>
                <w:b/>
                <w:i/>
              </w:rPr>
              <w:t>Contact</w:t>
            </w:r>
          </w:p>
        </w:tc>
        <w:tc>
          <w:tcPr>
            <w:tcW w:w="5670" w:type="dxa"/>
          </w:tcPr>
          <w:p w:rsidRPr="00016C21" w:rsidR="00016C21" w:rsidP="00016C21" w:rsidRDefault="00016C21" w14:paraId="504AA629" w14:textId="77777777">
            <w:pPr>
              <w:keepNext/>
              <w:keepLines/>
              <w:overflowPunct w:val="0"/>
              <w:autoSpaceDE w:val="0"/>
              <w:autoSpaceDN w:val="0"/>
              <w:adjustRightInd w:val="0"/>
              <w:spacing w:line="240" w:lineRule="auto"/>
              <w:ind w:left="709"/>
              <w:textAlignment w:val="baseline"/>
              <w:rPr>
                <w:i/>
                <w:iCs/>
              </w:rPr>
            </w:pPr>
            <w:r w:rsidRPr="00016C21">
              <w:rPr>
                <w:i/>
                <w:iCs/>
              </w:rPr>
              <w:t>Caroline Verhelst</w:t>
            </w:r>
          </w:p>
        </w:tc>
      </w:tr>
      <w:tr w:rsidRPr="00016C21" w:rsidR="00016C21" w:rsidTr="00B05454" w14:paraId="12754F25" w14:textId="77777777">
        <w:tc>
          <w:tcPr>
            <w:tcW w:w="1418" w:type="dxa"/>
          </w:tcPr>
          <w:p w:rsidRPr="00016C21" w:rsidR="00016C21" w:rsidP="00016C21" w:rsidRDefault="00016C21" w14:paraId="45074D4B" w14:textId="77777777">
            <w:pPr>
              <w:keepNext/>
              <w:keepLines/>
              <w:overflowPunct w:val="0"/>
              <w:autoSpaceDE w:val="0"/>
              <w:autoSpaceDN w:val="0"/>
              <w:adjustRightInd w:val="0"/>
              <w:spacing w:line="240" w:lineRule="auto"/>
              <w:ind w:left="34"/>
              <w:textAlignment w:val="baseline"/>
              <w:rPr>
                <w:i/>
              </w:rPr>
            </w:pPr>
            <w:r w:rsidRPr="00016C21">
              <w:rPr>
                <w:i/>
              </w:rPr>
              <w:t>Tel.</w:t>
            </w:r>
          </w:p>
        </w:tc>
        <w:tc>
          <w:tcPr>
            <w:tcW w:w="5670" w:type="dxa"/>
          </w:tcPr>
          <w:p w:rsidRPr="00016C21" w:rsidR="00016C21" w:rsidP="00016C21" w:rsidRDefault="00016C21" w14:paraId="442D21C5" w14:textId="77777777">
            <w:pPr>
              <w:keepNext/>
              <w:keepLines/>
              <w:overflowPunct w:val="0"/>
              <w:autoSpaceDE w:val="0"/>
              <w:autoSpaceDN w:val="0"/>
              <w:adjustRightInd w:val="0"/>
              <w:spacing w:line="240" w:lineRule="auto"/>
              <w:ind w:left="709"/>
              <w:textAlignment w:val="baseline"/>
              <w:rPr>
                <w:i/>
                <w:iCs/>
              </w:rPr>
            </w:pPr>
            <w:r w:rsidRPr="00016C21">
              <w:rPr>
                <w:i/>
              </w:rPr>
              <w:t>+32 25469497</w:t>
            </w:r>
          </w:p>
        </w:tc>
      </w:tr>
      <w:tr w:rsidRPr="00016C21" w:rsidR="00016C21" w:rsidTr="00B05454" w14:paraId="249DD5BE" w14:textId="77777777">
        <w:tc>
          <w:tcPr>
            <w:tcW w:w="1418" w:type="dxa"/>
          </w:tcPr>
          <w:p w:rsidRPr="00016C21" w:rsidR="00016C21" w:rsidP="00016C21" w:rsidRDefault="00DC108A" w14:paraId="396A0A58" w14:textId="71177E55">
            <w:pPr>
              <w:overflowPunct w:val="0"/>
              <w:autoSpaceDE w:val="0"/>
              <w:autoSpaceDN w:val="0"/>
              <w:adjustRightInd w:val="0"/>
              <w:spacing w:line="240" w:lineRule="auto"/>
              <w:ind w:left="34"/>
              <w:textAlignment w:val="baseline"/>
              <w:rPr>
                <w:i/>
              </w:rPr>
            </w:pPr>
            <w:r>
              <w:rPr>
                <w:i/>
              </w:rPr>
              <w:t>E</w:t>
            </w:r>
            <w:r w:rsidRPr="00016C21" w:rsidR="00016C21">
              <w:rPr>
                <w:i/>
              </w:rPr>
              <w:t>mail</w:t>
            </w:r>
          </w:p>
        </w:tc>
        <w:tc>
          <w:tcPr>
            <w:tcW w:w="5670" w:type="dxa"/>
          </w:tcPr>
          <w:p w:rsidRPr="00016C21" w:rsidR="00016C21" w:rsidP="00016C21" w:rsidRDefault="00B21B70" w14:paraId="341BABE2" w14:textId="77777777">
            <w:pPr>
              <w:overflowPunct w:val="0"/>
              <w:autoSpaceDE w:val="0"/>
              <w:autoSpaceDN w:val="0"/>
              <w:adjustRightInd w:val="0"/>
              <w:spacing w:line="240" w:lineRule="auto"/>
              <w:ind w:left="709"/>
              <w:textAlignment w:val="baseline"/>
              <w:rPr>
                <w:i/>
                <w:iCs/>
                <w:color w:val="0000FF"/>
                <w:u w:val="single"/>
              </w:rPr>
            </w:pPr>
            <w:hyperlink w:history="1" r:id="rId34">
              <w:r w:rsidRPr="00016C21" w:rsidR="00016C21">
                <w:rPr>
                  <w:i/>
                  <w:color w:val="0000FF"/>
                  <w:u w:val="single"/>
                </w:rPr>
                <w:t>Caroline.Verhelst@eesc.europa.eu</w:t>
              </w:r>
            </w:hyperlink>
          </w:p>
        </w:tc>
      </w:tr>
    </w:tbl>
    <w:p w:rsidR="006938FA" w:rsidRDefault="006938FA" w14:paraId="6AD61F9D" w14:textId="2D567E4A">
      <w:pPr>
        <w:spacing w:after="160" w:line="259" w:lineRule="auto"/>
        <w:jc w:val="left"/>
        <w:rPr>
          <w:b/>
          <w:bCs/>
        </w:rPr>
      </w:pPr>
    </w:p>
    <w:p w:rsidRPr="00810736" w:rsidR="006B3316" w:rsidP="0074419C" w:rsidRDefault="005374D2" w14:paraId="4FE1ECEE" w14:textId="7B16969B">
      <w:pPr>
        <w:pStyle w:val="Heading1"/>
        <w:ind w:hanging="928"/>
        <w:rPr>
          <w:b/>
          <w:bCs/>
        </w:rPr>
      </w:pPr>
      <w:bookmarkStart w:name="_Toc153539702" w:id="31"/>
      <w:bookmarkStart w:name="_Toc159831782" w:id="32"/>
      <w:r w:rsidRPr="00810736">
        <w:rPr>
          <w:b/>
          <w:bCs/>
        </w:rPr>
        <w:t>EXTERNAL RELATIONS</w:t>
      </w:r>
      <w:bookmarkEnd w:id="31"/>
      <w:bookmarkEnd w:id="32"/>
    </w:p>
    <w:p w:rsidR="00BD0493" w:rsidP="00BD0493" w:rsidRDefault="00BD0493" w14:paraId="10EC00FD" w14:textId="45B98434"/>
    <w:p w:rsidRPr="00231267" w:rsidR="00231267" w:rsidP="00CC4510" w:rsidRDefault="00B21B70" w14:paraId="1DBCF0C9" w14:textId="6A3796A6">
      <w:pPr>
        <w:widowControl w:val="0"/>
        <w:numPr>
          <w:ilvl w:val="0"/>
          <w:numId w:val="12"/>
        </w:numPr>
        <w:overflowPunct w:val="0"/>
        <w:autoSpaceDE w:val="0"/>
        <w:autoSpaceDN w:val="0"/>
        <w:adjustRightInd w:val="0"/>
        <w:ind w:hanging="720"/>
        <w:jc w:val="left"/>
        <w:textAlignment w:val="baseline"/>
        <w:rPr>
          <w:sz w:val="20"/>
          <w:szCs w:val="20"/>
        </w:rPr>
      </w:pPr>
      <w:hyperlink w:history="1" r:id="rId35">
        <w:r w:rsidRPr="00231267" w:rsidR="00231267">
          <w:rPr>
            <w:b/>
            <w:bCs/>
            <w:i/>
            <w:iCs/>
            <w:color w:val="0000FF"/>
            <w:sz w:val="28"/>
            <w:szCs w:val="28"/>
            <w:u w:val="single"/>
          </w:rPr>
          <w:t>European Economic Security Strategy</w:t>
        </w:r>
      </w:hyperlink>
    </w:p>
    <w:p w:rsidRPr="00231267" w:rsidR="00231267" w:rsidP="00231267" w:rsidRDefault="00231267" w14:paraId="746E1E4A" w14:textId="77777777">
      <w:pPr>
        <w:widowControl w:val="0"/>
        <w:overflowPunct w:val="0"/>
        <w:autoSpaceDE w:val="0"/>
        <w:autoSpaceDN w:val="0"/>
        <w:adjustRightInd w:val="0"/>
        <w:jc w:val="left"/>
        <w:textAlignment w:val="baseline"/>
        <w:rPr>
          <w:sz w:val="20"/>
          <w:szCs w:val="20"/>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5387"/>
      </w:tblGrid>
      <w:tr w:rsidRPr="00231267" w:rsidR="00231267" w:rsidTr="00CC4510" w14:paraId="588E9B2D" w14:textId="77777777">
        <w:trPr>
          <w:trHeight w:val="330"/>
        </w:trPr>
        <w:tc>
          <w:tcPr>
            <w:tcW w:w="1843" w:type="dxa"/>
          </w:tcPr>
          <w:p w:rsidRPr="00231267" w:rsidR="00231267" w:rsidP="00CC4510" w:rsidRDefault="00231267" w14:paraId="3F8D03D4" w14:textId="77777777">
            <w:pPr>
              <w:tabs>
                <w:tab w:val="center" w:pos="284"/>
              </w:tabs>
              <w:overflowPunct w:val="0"/>
              <w:autoSpaceDE w:val="0"/>
              <w:autoSpaceDN w:val="0"/>
              <w:adjustRightInd w:val="0"/>
              <w:ind w:left="266" w:hanging="376"/>
              <w:textAlignment w:val="baseline"/>
              <w:rPr>
                <w:b/>
              </w:rPr>
            </w:pPr>
            <w:r w:rsidRPr="00231267">
              <w:rPr>
                <w:b/>
              </w:rPr>
              <w:t>Rapporteur</w:t>
            </w:r>
          </w:p>
        </w:tc>
        <w:tc>
          <w:tcPr>
            <w:tcW w:w="5387" w:type="dxa"/>
          </w:tcPr>
          <w:p w:rsidRPr="00231267" w:rsidR="00231267" w:rsidP="00CC4510" w:rsidRDefault="00231267" w14:paraId="1FD8BB1A" w14:textId="719B603A">
            <w:pPr>
              <w:tabs>
                <w:tab w:val="center" w:pos="2585"/>
              </w:tabs>
              <w:overflowPunct w:val="0"/>
              <w:autoSpaceDE w:val="0"/>
              <w:autoSpaceDN w:val="0"/>
              <w:adjustRightInd w:val="0"/>
              <w:ind w:left="317" w:hanging="424"/>
              <w:jc w:val="left"/>
              <w:textAlignment w:val="baseline"/>
            </w:pPr>
            <w:r w:rsidRPr="00231267">
              <w:t xml:space="preserve">Milena ANGELOVA (Employers' Group </w:t>
            </w:r>
            <w:r w:rsidR="00B378B6">
              <w:t xml:space="preserve">- </w:t>
            </w:r>
            <w:r w:rsidRPr="00231267">
              <w:t>BG)</w:t>
            </w:r>
          </w:p>
        </w:tc>
      </w:tr>
      <w:tr w:rsidRPr="00231267" w:rsidR="00231267" w:rsidTr="00CC4510" w14:paraId="5246C778" w14:textId="77777777">
        <w:tc>
          <w:tcPr>
            <w:tcW w:w="1843" w:type="dxa"/>
          </w:tcPr>
          <w:p w:rsidRPr="00231267" w:rsidR="00231267" w:rsidP="00CC4510" w:rsidRDefault="00231267" w14:paraId="71E3F92B" w14:textId="77777777">
            <w:pPr>
              <w:tabs>
                <w:tab w:val="center" w:pos="284"/>
              </w:tabs>
              <w:overflowPunct w:val="0"/>
              <w:autoSpaceDE w:val="0"/>
              <w:autoSpaceDN w:val="0"/>
              <w:adjustRightInd w:val="0"/>
              <w:ind w:left="266" w:hanging="376"/>
              <w:textAlignment w:val="baseline"/>
              <w:rPr>
                <w:b/>
              </w:rPr>
            </w:pPr>
            <w:r w:rsidRPr="00231267">
              <w:rPr>
                <w:b/>
              </w:rPr>
              <w:t>References</w:t>
            </w:r>
          </w:p>
        </w:tc>
        <w:tc>
          <w:tcPr>
            <w:tcW w:w="5387" w:type="dxa"/>
          </w:tcPr>
          <w:p w:rsidRPr="00231267" w:rsidR="00231267" w:rsidP="00CC4510" w:rsidRDefault="00231267" w14:paraId="51DACF12" w14:textId="77777777">
            <w:pPr>
              <w:tabs>
                <w:tab w:val="center" w:pos="284"/>
              </w:tabs>
              <w:overflowPunct w:val="0"/>
              <w:autoSpaceDE w:val="0"/>
              <w:autoSpaceDN w:val="0"/>
              <w:adjustRightInd w:val="0"/>
              <w:ind w:left="266" w:hanging="376"/>
              <w:textAlignment w:val="baseline"/>
            </w:pPr>
            <w:r w:rsidRPr="00231267">
              <w:t>EESC-2023-04250-00-00-AC</w:t>
            </w:r>
          </w:p>
        </w:tc>
      </w:tr>
    </w:tbl>
    <w:p w:rsidRPr="00231267" w:rsidR="00231267" w:rsidP="00231267" w:rsidRDefault="00231267" w14:paraId="005F2FF2" w14:textId="77777777">
      <w:pPr>
        <w:keepNext/>
        <w:keepLines/>
        <w:tabs>
          <w:tab w:val="center" w:pos="284"/>
        </w:tabs>
        <w:overflowPunct w:val="0"/>
        <w:autoSpaceDE w:val="0"/>
        <w:autoSpaceDN w:val="0"/>
        <w:adjustRightInd w:val="0"/>
        <w:ind w:left="266" w:hanging="266"/>
        <w:textAlignment w:val="baseline"/>
        <w:rPr>
          <w:b/>
        </w:rPr>
      </w:pPr>
    </w:p>
    <w:p w:rsidRPr="00231267" w:rsidR="00231267" w:rsidP="00231267" w:rsidRDefault="00231267" w14:paraId="5EBF1939" w14:textId="77777777">
      <w:pPr>
        <w:keepNext/>
        <w:keepLines/>
        <w:tabs>
          <w:tab w:val="center" w:pos="284"/>
        </w:tabs>
        <w:overflowPunct w:val="0"/>
        <w:autoSpaceDE w:val="0"/>
        <w:autoSpaceDN w:val="0"/>
        <w:adjustRightInd w:val="0"/>
        <w:ind w:left="266" w:hanging="266"/>
        <w:textAlignment w:val="baseline"/>
        <w:rPr>
          <w:b/>
        </w:rPr>
      </w:pPr>
      <w:r w:rsidRPr="00231267">
        <w:rPr>
          <w:b/>
        </w:rPr>
        <w:t>Key points</w:t>
      </w:r>
    </w:p>
    <w:p w:rsidRPr="00231267" w:rsidR="00231267" w:rsidP="00231267" w:rsidRDefault="00231267" w14:paraId="64379665" w14:textId="77777777">
      <w:pPr>
        <w:keepNext/>
        <w:keepLines/>
        <w:tabs>
          <w:tab w:val="center" w:pos="284"/>
        </w:tabs>
        <w:overflowPunct w:val="0"/>
        <w:autoSpaceDE w:val="0"/>
        <w:autoSpaceDN w:val="0"/>
        <w:adjustRightInd w:val="0"/>
        <w:ind w:left="266" w:hanging="266"/>
        <w:textAlignment w:val="baseline"/>
        <w:rPr>
          <w:b/>
        </w:rPr>
      </w:pPr>
    </w:p>
    <w:p w:rsidR="00231267" w:rsidP="00231267" w:rsidRDefault="00231267" w14:paraId="43917E21" w14:textId="07835E4F">
      <w:pPr>
        <w:overflowPunct w:val="0"/>
        <w:autoSpaceDE w:val="0"/>
        <w:autoSpaceDN w:val="0"/>
        <w:adjustRightInd w:val="0"/>
        <w:textAlignment w:val="baseline"/>
        <w:rPr>
          <w:bCs/>
          <w:iCs/>
        </w:rPr>
      </w:pPr>
      <w:r w:rsidRPr="00231267">
        <w:rPr>
          <w:bCs/>
          <w:iCs/>
        </w:rPr>
        <w:t>The EESC:</w:t>
      </w:r>
    </w:p>
    <w:p w:rsidRPr="00231267" w:rsidR="00C05C6B" w:rsidP="00231267" w:rsidRDefault="00C05C6B" w14:paraId="55C5A328" w14:textId="77777777">
      <w:pPr>
        <w:overflowPunct w:val="0"/>
        <w:autoSpaceDE w:val="0"/>
        <w:autoSpaceDN w:val="0"/>
        <w:adjustRightInd w:val="0"/>
        <w:textAlignment w:val="baseline"/>
        <w:rPr>
          <w:bCs/>
          <w:iCs/>
        </w:rPr>
      </w:pPr>
    </w:p>
    <w:p w:rsidRPr="00231267" w:rsidR="00231267" w:rsidP="00CC4510" w:rsidRDefault="00231267" w14:paraId="3FA07EDF"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rsidRPr="00231267">
        <w:rPr>
          <w:szCs w:val="20"/>
        </w:rPr>
        <w:t>welcomes the Communication on "European Economic Security Strategy" as a topical initiative to respond to the new and constantly changing geopolitical and geoeconomic conditions.  While endorsing the risk-based approach, the EESC also calls for a comprehensive assessment of the EU's strengths and of the opportunities that global challenges may present;</w:t>
      </w:r>
    </w:p>
    <w:p w:rsidRPr="00231267" w:rsidR="00231267" w:rsidP="00CC4510" w:rsidRDefault="00231267" w14:paraId="0B300469"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rsidRPr="00231267">
        <w:rPr>
          <w:szCs w:val="20"/>
        </w:rPr>
        <w:t>stresses that investment in innovation, skills development and industrial capacities, together with ensuring a well-functioning internal market are indispensable means of both strengthening productivity and competitiveness and decreasing critical dependencies, while at the same time preserving the EU's social market economy. Other fundamental aspects include energy, raw materials, digital capacity and a stable access to finance, which requires the completion of the Capital Markets Union and the Banking Union;</w:t>
      </w:r>
    </w:p>
    <w:p w:rsidRPr="00231267" w:rsidR="00231267" w:rsidP="00CC4510" w:rsidRDefault="00231267" w14:paraId="4C25E9FD"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rsidRPr="00231267">
        <w:rPr>
          <w:szCs w:val="20"/>
        </w:rPr>
        <w:t xml:space="preserve">calls for making full use of trade and investment agreements and rapidly concluding ongoing trade negotiations, as well as starting new negotiations with new potential partners, to diversify supply chains and expand product markets. Boosting rules-based multilateral trade and global agreements should also be priorities for the EU; </w:t>
      </w:r>
    </w:p>
    <w:p w:rsidRPr="00231267" w:rsidR="00231267" w:rsidP="00CC4510" w:rsidRDefault="00231267" w14:paraId="658E7170"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rsidRPr="00231267">
        <w:rPr>
          <w:szCs w:val="20"/>
        </w:rPr>
        <w:t>highlights the need for decisive countering and protective measures related to trade, investment or technology cooperation in the case third countries pose a risk to the economic security of the EU;</w:t>
      </w:r>
    </w:p>
    <w:p w:rsidRPr="00231267" w:rsidR="00231267" w:rsidP="00CC4510" w:rsidRDefault="00231267" w14:paraId="24A2D06C"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rsidRPr="00231267">
        <w:rPr>
          <w:szCs w:val="20"/>
        </w:rPr>
        <w:t xml:space="preserve">calls on EU policymakers to enhance conditions that enable, encourage and support EU businesses, including MSMEs, to manage the geoeconomic risks in their operations, and to ensure that policy measures do not incur disproportionate costs or hindrances for them; </w:t>
      </w:r>
    </w:p>
    <w:p w:rsidRPr="00231267" w:rsidR="00231267" w:rsidP="00CC4510" w:rsidRDefault="00231267" w14:paraId="152286F2"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rsidRPr="00231267">
        <w:rPr>
          <w:szCs w:val="20"/>
        </w:rPr>
        <w:t>calls for the involvement of EU businesses and other relevant civil society actors in the further elaboration and implementation of the economic security strategy and highlights the need for strengthening synergies between Member States, thus contributing to the unity, global strength and overall economic security of the EU.</w:t>
      </w:r>
    </w:p>
    <w:p w:rsidRPr="00CC4510" w:rsidR="00231267" w:rsidP="00231267" w:rsidRDefault="00231267" w14:paraId="689F9EDE" w14:textId="77777777">
      <w:pPr>
        <w:widowControl w:val="0"/>
        <w:overflowPunct w:val="0"/>
        <w:autoSpaceDE w:val="0"/>
        <w:autoSpaceDN w:val="0"/>
        <w:adjustRightInd w:val="0"/>
        <w:ind w:left="709"/>
        <w:textAlignment w:val="baseline"/>
        <w:rPr>
          <w:sz w:val="18"/>
          <w:szCs w:val="16"/>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231267" w:rsidR="00231267" w:rsidTr="00B05454" w14:paraId="7CFE54E9" w14:textId="77777777">
        <w:tc>
          <w:tcPr>
            <w:tcW w:w="1418" w:type="dxa"/>
          </w:tcPr>
          <w:p w:rsidRPr="00231267" w:rsidR="00231267" w:rsidP="00231267" w:rsidRDefault="00231267" w14:paraId="4E9EAA40" w14:textId="77777777">
            <w:pPr>
              <w:overflowPunct w:val="0"/>
              <w:autoSpaceDE w:val="0"/>
              <w:autoSpaceDN w:val="0"/>
              <w:adjustRightInd w:val="0"/>
              <w:textAlignment w:val="baseline"/>
              <w:rPr>
                <w:i/>
              </w:rPr>
            </w:pPr>
            <w:r w:rsidRPr="00231267">
              <w:rPr>
                <w:b/>
                <w:i/>
              </w:rPr>
              <w:t>Contact</w:t>
            </w:r>
          </w:p>
        </w:tc>
        <w:tc>
          <w:tcPr>
            <w:tcW w:w="5670" w:type="dxa"/>
          </w:tcPr>
          <w:p w:rsidRPr="00231267" w:rsidR="00231267" w:rsidP="00231267" w:rsidRDefault="00231267" w14:paraId="37F63FE7" w14:textId="77777777">
            <w:pPr>
              <w:overflowPunct w:val="0"/>
              <w:autoSpaceDE w:val="0"/>
              <w:autoSpaceDN w:val="0"/>
              <w:adjustRightInd w:val="0"/>
              <w:textAlignment w:val="baseline"/>
              <w:rPr>
                <w:i/>
              </w:rPr>
            </w:pPr>
            <w:r w:rsidRPr="00231267">
              <w:rPr>
                <w:i/>
              </w:rPr>
              <w:t>Marco Ristori</w:t>
            </w:r>
          </w:p>
        </w:tc>
      </w:tr>
      <w:tr w:rsidRPr="00231267" w:rsidR="00231267" w:rsidTr="00B05454" w14:paraId="62B22192" w14:textId="77777777">
        <w:tc>
          <w:tcPr>
            <w:tcW w:w="1418" w:type="dxa"/>
          </w:tcPr>
          <w:p w:rsidRPr="00231267" w:rsidR="00231267" w:rsidP="00231267" w:rsidRDefault="00231267" w14:paraId="440C603C" w14:textId="77777777">
            <w:pPr>
              <w:overflowPunct w:val="0"/>
              <w:autoSpaceDE w:val="0"/>
              <w:autoSpaceDN w:val="0"/>
              <w:adjustRightInd w:val="0"/>
              <w:textAlignment w:val="baseline"/>
              <w:rPr>
                <w:i/>
              </w:rPr>
            </w:pPr>
            <w:r w:rsidRPr="00231267">
              <w:rPr>
                <w:i/>
              </w:rPr>
              <w:t>Tel.</w:t>
            </w:r>
          </w:p>
        </w:tc>
        <w:tc>
          <w:tcPr>
            <w:tcW w:w="5670" w:type="dxa"/>
          </w:tcPr>
          <w:p w:rsidRPr="00231267" w:rsidR="00231267" w:rsidP="00231267" w:rsidRDefault="00231267" w14:paraId="29D4C5B9" w14:textId="77777777">
            <w:pPr>
              <w:overflowPunct w:val="0"/>
              <w:autoSpaceDE w:val="0"/>
              <w:autoSpaceDN w:val="0"/>
              <w:adjustRightInd w:val="0"/>
              <w:textAlignment w:val="baseline"/>
              <w:rPr>
                <w:i/>
              </w:rPr>
            </w:pPr>
            <w:r w:rsidRPr="00231267">
              <w:rPr>
                <w:i/>
              </w:rPr>
              <w:t>+32 25469969</w:t>
            </w:r>
          </w:p>
        </w:tc>
      </w:tr>
      <w:tr w:rsidRPr="00231267" w:rsidR="00231267" w:rsidTr="00B05454" w14:paraId="48DEF925" w14:textId="77777777">
        <w:tc>
          <w:tcPr>
            <w:tcW w:w="1418" w:type="dxa"/>
          </w:tcPr>
          <w:p w:rsidRPr="00231267" w:rsidR="00231267" w:rsidP="00231267" w:rsidRDefault="00231267" w14:paraId="66BED64C" w14:textId="77777777">
            <w:pPr>
              <w:overflowPunct w:val="0"/>
              <w:autoSpaceDE w:val="0"/>
              <w:autoSpaceDN w:val="0"/>
              <w:adjustRightInd w:val="0"/>
              <w:textAlignment w:val="baseline"/>
              <w:rPr>
                <w:i/>
              </w:rPr>
            </w:pPr>
            <w:r w:rsidRPr="00231267">
              <w:rPr>
                <w:i/>
              </w:rPr>
              <w:t>Email</w:t>
            </w:r>
          </w:p>
        </w:tc>
        <w:tc>
          <w:tcPr>
            <w:tcW w:w="5670" w:type="dxa"/>
          </w:tcPr>
          <w:p w:rsidRPr="00231267" w:rsidR="00231267" w:rsidP="00231267" w:rsidRDefault="00B21B70" w14:paraId="42300FE7" w14:textId="77777777">
            <w:pPr>
              <w:overflowPunct w:val="0"/>
              <w:autoSpaceDE w:val="0"/>
              <w:autoSpaceDN w:val="0"/>
              <w:adjustRightInd w:val="0"/>
              <w:textAlignment w:val="baseline"/>
              <w:rPr>
                <w:i/>
              </w:rPr>
            </w:pPr>
            <w:hyperlink w:history="1" r:id="rId36">
              <w:r w:rsidRPr="00231267" w:rsidR="00231267">
                <w:rPr>
                  <w:i/>
                  <w:color w:val="0000FF"/>
                  <w:u w:val="single"/>
                </w:rPr>
                <w:t>Marco.Ristori@eesc.europa.eu</w:t>
              </w:r>
            </w:hyperlink>
          </w:p>
        </w:tc>
      </w:tr>
    </w:tbl>
    <w:p w:rsidRPr="003F6640" w:rsidR="003F6640" w:rsidRDefault="003F6640" w14:paraId="0E201C9B" w14:textId="77777777">
      <w:pPr>
        <w:spacing w:after="160" w:line="259" w:lineRule="auto"/>
        <w:jc w:val="left"/>
      </w:pPr>
    </w:p>
    <w:p w:rsidRPr="00CC4510" w:rsidR="00FF485C" w:rsidRDefault="00FF485C" w14:paraId="005CB271" w14:textId="70C78FEC">
      <w:pPr>
        <w:spacing w:after="160" w:line="259" w:lineRule="auto"/>
        <w:jc w:val="left"/>
        <w:rPr>
          <w:sz w:val="14"/>
          <w:szCs w:val="14"/>
        </w:rPr>
      </w:pPr>
    </w:p>
    <w:p w:rsidR="003B636C" w:rsidP="005B4680" w:rsidRDefault="003B636C" w14:paraId="2AFC2D25" w14:textId="6E54F172">
      <w:pPr>
        <w:pStyle w:val="Heading1"/>
        <w:ind w:hanging="928"/>
        <w:rPr>
          <w:b/>
          <w:bCs/>
        </w:rPr>
      </w:pPr>
      <w:bookmarkStart w:name="_Toc159831783" w:id="33"/>
      <w:bookmarkStart w:name="_Toc153539712" w:id="34"/>
      <w:r w:rsidRPr="000B1C30">
        <w:rPr>
          <w:b/>
          <w:bCs/>
        </w:rPr>
        <w:t>TRANSPORT, ENERGY, INFRASTRUCTURE AND THE INFORMATION SOCIETY</w:t>
      </w:r>
      <w:bookmarkEnd w:id="33"/>
    </w:p>
    <w:p w:rsidRPr="003B636C" w:rsidR="003B636C" w:rsidP="003B636C" w:rsidRDefault="003B636C" w14:paraId="4BBF9BF3" w14:textId="77777777"/>
    <w:p w:rsidRPr="00B114D4" w:rsidR="003B636C" w:rsidP="003B636C" w:rsidRDefault="00B21B70" w14:paraId="2292F34E" w14:textId="32E93E81">
      <w:pPr>
        <w:widowControl w:val="0"/>
        <w:numPr>
          <w:ilvl w:val="0"/>
          <w:numId w:val="2"/>
        </w:numPr>
        <w:overflowPunct w:val="0"/>
        <w:autoSpaceDE w:val="0"/>
        <w:autoSpaceDN w:val="0"/>
        <w:adjustRightInd w:val="0"/>
        <w:ind w:hanging="567"/>
        <w:textAlignment w:val="baseline"/>
        <w:rPr>
          <w:sz w:val="20"/>
          <w:szCs w:val="20"/>
        </w:rPr>
      </w:pPr>
      <w:hyperlink w:history="1" r:id="rId37">
        <w:r w:rsidRPr="00B114D4" w:rsidR="003B636C">
          <w:rPr>
            <w:b/>
            <w:i/>
            <w:iCs/>
            <w:color w:val="0000FF"/>
            <w:sz w:val="28"/>
            <w:szCs w:val="28"/>
            <w:u w:val="single"/>
          </w:rPr>
          <w:t>Revision of the Combined Transport Directive 92/106/EEC</w:t>
        </w:r>
      </w:hyperlink>
    </w:p>
    <w:p w:rsidRPr="00B114D4" w:rsidR="003B636C" w:rsidP="003B636C" w:rsidRDefault="003B636C" w14:paraId="7A8CB646" w14:textId="77777777">
      <w:pPr>
        <w:tabs>
          <w:tab w:val="center" w:pos="284"/>
        </w:tabs>
        <w:overflowPunct w:val="0"/>
        <w:autoSpaceDE w:val="0"/>
        <w:autoSpaceDN w:val="0"/>
        <w:adjustRightInd w:val="0"/>
        <w:ind w:left="266" w:hanging="266"/>
        <w:textAlignment w:val="baseline"/>
        <w:rPr>
          <w:b/>
        </w:rPr>
      </w:pPr>
    </w:p>
    <w:tbl>
      <w:tblPr>
        <w:tblStyle w:val="TableGrid205"/>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B114D4" w:rsidR="003B636C" w:rsidTr="00B05454" w14:paraId="226DE090" w14:textId="77777777">
        <w:tc>
          <w:tcPr>
            <w:tcW w:w="2235" w:type="dxa"/>
          </w:tcPr>
          <w:p w:rsidRPr="00B114D4" w:rsidR="003B636C" w:rsidP="00B05454" w:rsidRDefault="003B636C" w14:paraId="03398B74" w14:textId="77777777">
            <w:pPr>
              <w:tabs>
                <w:tab w:val="center" w:pos="284"/>
              </w:tabs>
              <w:overflowPunct w:val="0"/>
              <w:autoSpaceDE w:val="0"/>
              <w:autoSpaceDN w:val="0"/>
              <w:adjustRightInd w:val="0"/>
              <w:ind w:left="266" w:hanging="266"/>
              <w:textAlignment w:val="baseline"/>
              <w:rPr>
                <w:b/>
              </w:rPr>
            </w:pPr>
            <w:r w:rsidRPr="00B114D4">
              <w:rPr>
                <w:b/>
              </w:rPr>
              <w:t xml:space="preserve">Rapporteur </w:t>
            </w:r>
          </w:p>
        </w:tc>
        <w:tc>
          <w:tcPr>
            <w:tcW w:w="6838" w:type="dxa"/>
          </w:tcPr>
          <w:p w:rsidRPr="00B114D4" w:rsidR="003B636C" w:rsidP="00B05454" w:rsidRDefault="003B636C" w14:paraId="51A78388" w14:textId="77777777">
            <w:pPr>
              <w:tabs>
                <w:tab w:val="center" w:pos="284"/>
              </w:tabs>
              <w:overflowPunct w:val="0"/>
              <w:autoSpaceDE w:val="0"/>
              <w:autoSpaceDN w:val="0"/>
              <w:adjustRightInd w:val="0"/>
              <w:ind w:left="266" w:hanging="266"/>
              <w:textAlignment w:val="baseline"/>
            </w:pPr>
            <w:r w:rsidRPr="00B114D4">
              <w:t>Pierre Jean COULON (Workers' Group - FR)</w:t>
            </w:r>
          </w:p>
        </w:tc>
      </w:tr>
      <w:tr w:rsidRPr="00B114D4" w:rsidR="003B636C" w:rsidTr="00B05454" w14:paraId="54439CC0" w14:textId="77777777">
        <w:tc>
          <w:tcPr>
            <w:tcW w:w="9073" w:type="dxa"/>
            <w:gridSpan w:val="2"/>
          </w:tcPr>
          <w:p w:rsidRPr="00B114D4" w:rsidR="003B636C" w:rsidP="00B05454" w:rsidRDefault="003B636C" w14:paraId="6C4CAADC" w14:textId="77777777">
            <w:pPr>
              <w:tabs>
                <w:tab w:val="center" w:pos="284"/>
              </w:tabs>
              <w:overflowPunct w:val="0"/>
              <w:autoSpaceDE w:val="0"/>
              <w:autoSpaceDN w:val="0"/>
              <w:adjustRightInd w:val="0"/>
              <w:spacing w:line="160" w:lineRule="exact"/>
              <w:ind w:left="266" w:hanging="266"/>
              <w:textAlignment w:val="baseline"/>
            </w:pPr>
          </w:p>
        </w:tc>
      </w:tr>
      <w:tr w:rsidRPr="00B114D4" w:rsidR="003B636C" w:rsidTr="00B05454" w14:paraId="5C84AA61" w14:textId="77777777">
        <w:tc>
          <w:tcPr>
            <w:tcW w:w="2235" w:type="dxa"/>
          </w:tcPr>
          <w:p w:rsidRPr="00B114D4" w:rsidR="003B636C" w:rsidP="00B05454" w:rsidRDefault="003B636C" w14:paraId="40E16211" w14:textId="77777777">
            <w:pPr>
              <w:tabs>
                <w:tab w:val="center" w:pos="284"/>
              </w:tabs>
              <w:overflowPunct w:val="0"/>
              <w:autoSpaceDE w:val="0"/>
              <w:autoSpaceDN w:val="0"/>
              <w:adjustRightInd w:val="0"/>
              <w:ind w:left="266" w:hanging="266"/>
              <w:textAlignment w:val="baseline"/>
              <w:rPr>
                <w:b/>
              </w:rPr>
            </w:pPr>
            <w:r w:rsidRPr="00B114D4">
              <w:rPr>
                <w:b/>
              </w:rPr>
              <w:t>References</w:t>
            </w:r>
          </w:p>
        </w:tc>
        <w:tc>
          <w:tcPr>
            <w:tcW w:w="6838" w:type="dxa"/>
          </w:tcPr>
          <w:p w:rsidRPr="00B114D4" w:rsidR="003B636C" w:rsidP="00B05454" w:rsidRDefault="003B636C" w14:paraId="217C0ABB" w14:textId="77777777">
            <w:pPr>
              <w:tabs>
                <w:tab w:val="center" w:pos="284"/>
              </w:tabs>
              <w:overflowPunct w:val="0"/>
              <w:autoSpaceDE w:val="0"/>
              <w:autoSpaceDN w:val="0"/>
              <w:adjustRightInd w:val="0"/>
              <w:ind w:left="266" w:hanging="266"/>
              <w:textAlignment w:val="baseline"/>
            </w:pPr>
            <w:r w:rsidRPr="00B114D4">
              <w:t xml:space="preserve">COM(2023) 702 final </w:t>
            </w:r>
          </w:p>
          <w:p w:rsidRPr="00B114D4" w:rsidR="003B636C" w:rsidP="00B05454" w:rsidRDefault="003B636C" w14:paraId="2EB478A2" w14:textId="77777777">
            <w:pPr>
              <w:tabs>
                <w:tab w:val="center" w:pos="284"/>
              </w:tabs>
              <w:overflowPunct w:val="0"/>
              <w:autoSpaceDE w:val="0"/>
              <w:autoSpaceDN w:val="0"/>
              <w:adjustRightInd w:val="0"/>
              <w:ind w:left="266" w:hanging="266"/>
              <w:textAlignment w:val="baseline"/>
            </w:pPr>
            <w:r w:rsidRPr="00B114D4">
              <w:t>EESC-2023-03105-00-00-AC</w:t>
            </w:r>
          </w:p>
        </w:tc>
      </w:tr>
    </w:tbl>
    <w:p w:rsidRPr="00B114D4" w:rsidR="003B636C" w:rsidP="003B636C" w:rsidRDefault="003B636C" w14:paraId="688928AC" w14:textId="77777777">
      <w:pPr>
        <w:keepNext/>
        <w:keepLines/>
        <w:tabs>
          <w:tab w:val="center" w:pos="284"/>
        </w:tabs>
        <w:overflowPunct w:val="0"/>
        <w:autoSpaceDE w:val="0"/>
        <w:autoSpaceDN w:val="0"/>
        <w:adjustRightInd w:val="0"/>
        <w:ind w:left="266" w:hanging="266"/>
        <w:textAlignment w:val="baseline"/>
        <w:rPr>
          <w:b/>
        </w:rPr>
      </w:pPr>
    </w:p>
    <w:p w:rsidRPr="00B114D4" w:rsidR="003B636C" w:rsidP="003B636C" w:rsidRDefault="003B636C" w14:paraId="70EA3BBA" w14:textId="77777777">
      <w:pPr>
        <w:keepNext/>
        <w:keepLines/>
        <w:tabs>
          <w:tab w:val="center" w:pos="284"/>
        </w:tabs>
        <w:overflowPunct w:val="0"/>
        <w:autoSpaceDE w:val="0"/>
        <w:autoSpaceDN w:val="0"/>
        <w:adjustRightInd w:val="0"/>
        <w:ind w:left="266" w:hanging="266"/>
        <w:textAlignment w:val="baseline"/>
        <w:rPr>
          <w:b/>
        </w:rPr>
      </w:pPr>
      <w:r w:rsidRPr="00B114D4">
        <w:rPr>
          <w:b/>
        </w:rPr>
        <w:t>Key points</w:t>
      </w:r>
    </w:p>
    <w:p w:rsidRPr="00B114D4" w:rsidR="003B636C" w:rsidP="003B636C" w:rsidRDefault="003B636C" w14:paraId="65024854" w14:textId="77777777">
      <w:pPr>
        <w:keepNext/>
        <w:keepLines/>
        <w:tabs>
          <w:tab w:val="center" w:pos="284"/>
        </w:tabs>
        <w:overflowPunct w:val="0"/>
        <w:autoSpaceDE w:val="0"/>
        <w:autoSpaceDN w:val="0"/>
        <w:adjustRightInd w:val="0"/>
        <w:ind w:left="266" w:hanging="266"/>
        <w:textAlignment w:val="baseline"/>
        <w:rPr>
          <w:b/>
        </w:rPr>
      </w:pPr>
    </w:p>
    <w:p w:rsidRPr="00B114D4" w:rsidR="003B636C" w:rsidP="003B636C" w:rsidRDefault="003B636C" w14:paraId="239D9ECD" w14:textId="77777777">
      <w:pPr>
        <w:overflowPunct w:val="0"/>
        <w:autoSpaceDE w:val="0"/>
        <w:autoSpaceDN w:val="0"/>
        <w:adjustRightInd w:val="0"/>
        <w:textAlignment w:val="baseline"/>
        <w:rPr>
          <w:bCs/>
          <w:iCs/>
        </w:rPr>
      </w:pPr>
      <w:r w:rsidRPr="00B114D4">
        <w:rPr>
          <w:bCs/>
          <w:iCs/>
        </w:rPr>
        <w:t>The EESC:</w:t>
      </w:r>
    </w:p>
    <w:p w:rsidRPr="00B114D4" w:rsidR="003B636C" w:rsidP="003B636C" w:rsidRDefault="003B636C" w14:paraId="70E1E19B" w14:textId="77777777">
      <w:pPr>
        <w:contextualSpacing/>
        <w:rPr>
          <w:rFonts w:ascii="Calibri" w:hAnsi="Calibri"/>
          <w:b/>
          <w:bCs/>
          <w:sz w:val="28"/>
          <w:szCs w:val="28"/>
          <w:lang w:eastAsia="zh-CN"/>
        </w:rPr>
      </w:pPr>
    </w:p>
    <w:p w:rsidRPr="00B114D4" w:rsidR="003B636C" w:rsidP="00CC4510" w:rsidRDefault="003B636C" w14:paraId="2498EDEC" w14:textId="77777777">
      <w:pPr>
        <w:numPr>
          <w:ilvl w:val="0"/>
          <w:numId w:val="27"/>
        </w:numPr>
        <w:overflowPunct w:val="0"/>
        <w:autoSpaceDE w:val="0"/>
        <w:autoSpaceDN w:val="0"/>
        <w:adjustRightInd w:val="0"/>
        <w:ind w:left="284" w:hanging="284"/>
        <w:textAlignment w:val="baseline"/>
        <w:rPr>
          <w:rFonts w:eastAsiaTheme="minorHAnsi"/>
          <w:lang w:eastAsia="en-GB"/>
        </w:rPr>
      </w:pPr>
      <w:r w:rsidRPr="00B114D4">
        <w:rPr>
          <w:rFonts w:eastAsiaTheme="minorHAnsi"/>
          <w:lang w:eastAsia="en-GB"/>
        </w:rPr>
        <w:t>affirms the need for intermodality in all freight transport, while always bearing in mind the obligation to coordinate and optimise each mode of transport at European level;</w:t>
      </w:r>
    </w:p>
    <w:p w:rsidRPr="00B114D4" w:rsidR="003B636C" w:rsidP="00CC4510" w:rsidRDefault="003B636C" w14:paraId="17358799" w14:textId="77777777">
      <w:pPr>
        <w:numPr>
          <w:ilvl w:val="0"/>
          <w:numId w:val="27"/>
        </w:numPr>
        <w:overflowPunct w:val="0"/>
        <w:autoSpaceDE w:val="0"/>
        <w:autoSpaceDN w:val="0"/>
        <w:adjustRightInd w:val="0"/>
        <w:ind w:left="284" w:hanging="284"/>
        <w:textAlignment w:val="baseline"/>
        <w:rPr>
          <w:rFonts w:eastAsiaTheme="minorHAnsi"/>
          <w:lang w:eastAsia="en-GB"/>
        </w:rPr>
      </w:pPr>
      <w:r w:rsidRPr="00B114D4">
        <w:rPr>
          <w:rFonts w:eastAsiaTheme="minorHAnsi"/>
          <w:lang w:eastAsia="en-GB"/>
        </w:rPr>
        <w:t xml:space="preserve"> is convinced that establishing an intermodal transport system requires the public to be informed of the advantageous prospects it offers: an intermodal transport system is designed to serve the public, it must influence decisions on transport projects and policies;</w:t>
      </w:r>
    </w:p>
    <w:p w:rsidRPr="00B114D4" w:rsidR="003B636C" w:rsidP="00CC4510" w:rsidRDefault="003B636C" w14:paraId="398CB69E" w14:textId="77777777">
      <w:pPr>
        <w:numPr>
          <w:ilvl w:val="0"/>
          <w:numId w:val="27"/>
        </w:numPr>
        <w:overflowPunct w:val="0"/>
        <w:autoSpaceDE w:val="0"/>
        <w:autoSpaceDN w:val="0"/>
        <w:adjustRightInd w:val="0"/>
        <w:ind w:left="284" w:hanging="284"/>
        <w:textAlignment w:val="baseline"/>
        <w:rPr>
          <w:rFonts w:eastAsiaTheme="minorHAnsi"/>
          <w:lang w:val="fr-BE" w:eastAsia="en-GB"/>
        </w:rPr>
      </w:pPr>
      <w:r w:rsidRPr="00B114D4">
        <w:rPr>
          <w:rFonts w:eastAsiaTheme="minorHAnsi"/>
          <w:lang w:eastAsia="en-GB"/>
        </w:rPr>
        <w:t>stresses that the success of this policy calls for full compliance with social rules as well as a specific and systematic training policy for company staff and managers;</w:t>
      </w:r>
      <w:bookmarkStart w:name="x__Hlk157163546" w:id="35"/>
      <w:bookmarkEnd w:id="35"/>
    </w:p>
    <w:p w:rsidRPr="00B114D4" w:rsidR="003B636C" w:rsidP="00CC4510" w:rsidRDefault="003B636C" w14:paraId="40F2D32D" w14:textId="77777777">
      <w:pPr>
        <w:numPr>
          <w:ilvl w:val="0"/>
          <w:numId w:val="27"/>
        </w:numPr>
        <w:overflowPunct w:val="0"/>
        <w:autoSpaceDE w:val="0"/>
        <w:autoSpaceDN w:val="0"/>
        <w:adjustRightInd w:val="0"/>
        <w:ind w:left="284" w:hanging="284"/>
        <w:textAlignment w:val="baseline"/>
        <w:rPr>
          <w:rFonts w:eastAsiaTheme="minorHAnsi"/>
          <w:lang w:val="fr-BE" w:eastAsia="en-GB"/>
        </w:rPr>
      </w:pPr>
      <w:r w:rsidRPr="00B114D4">
        <w:rPr>
          <w:rFonts w:eastAsiaTheme="minorHAnsi"/>
          <w:lang w:eastAsia="en-GB"/>
        </w:rPr>
        <w:t>calls for the application of this new measure to respect the rest and break periods of HGV drivers. Economic profitability must not adversely affect road safety or the working conditions of drivers in the EU.</w:t>
      </w:r>
    </w:p>
    <w:p w:rsidRPr="00B114D4" w:rsidR="003B636C" w:rsidP="00CC4510" w:rsidRDefault="003B636C" w14:paraId="3E9C3226" w14:textId="77777777">
      <w:pPr>
        <w:widowControl w:val="0"/>
        <w:overflowPunct w:val="0"/>
        <w:autoSpaceDE w:val="0"/>
        <w:autoSpaceDN w:val="0"/>
        <w:adjustRightInd w:val="0"/>
        <w:ind w:left="284" w:hanging="284"/>
        <w:textAlignment w:val="baseline"/>
        <w:rPr>
          <w:szCs w:val="20"/>
        </w:rPr>
      </w:pPr>
    </w:p>
    <w:tbl>
      <w:tblPr>
        <w:tblStyle w:val="TableGrid20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B114D4" w:rsidR="003B636C" w:rsidTr="00B05454" w14:paraId="37497442" w14:textId="77777777">
        <w:tc>
          <w:tcPr>
            <w:tcW w:w="1418" w:type="dxa"/>
          </w:tcPr>
          <w:p w:rsidRPr="00B114D4" w:rsidR="003B636C" w:rsidP="00B05454" w:rsidRDefault="003B636C" w14:paraId="093CBC9E" w14:textId="77777777">
            <w:pPr>
              <w:overflowPunct w:val="0"/>
              <w:autoSpaceDE w:val="0"/>
              <w:autoSpaceDN w:val="0"/>
              <w:adjustRightInd w:val="0"/>
              <w:spacing w:line="240" w:lineRule="auto"/>
              <w:textAlignment w:val="baseline"/>
              <w:rPr>
                <w:i/>
              </w:rPr>
            </w:pPr>
            <w:r w:rsidRPr="00B114D4">
              <w:rPr>
                <w:b/>
                <w:i/>
              </w:rPr>
              <w:t>Contact</w:t>
            </w:r>
          </w:p>
        </w:tc>
        <w:tc>
          <w:tcPr>
            <w:tcW w:w="5670" w:type="dxa"/>
          </w:tcPr>
          <w:p w:rsidRPr="00B114D4" w:rsidR="003B636C" w:rsidP="00B05454" w:rsidRDefault="003B636C" w14:paraId="7A1CA095" w14:textId="22882764">
            <w:pPr>
              <w:overflowPunct w:val="0"/>
              <w:autoSpaceDE w:val="0"/>
              <w:autoSpaceDN w:val="0"/>
              <w:adjustRightInd w:val="0"/>
              <w:spacing w:line="240" w:lineRule="auto"/>
              <w:jc w:val="left"/>
              <w:textAlignment w:val="baseline"/>
              <w:rPr>
                <w:i/>
              </w:rPr>
            </w:pPr>
            <w:r w:rsidRPr="00B114D4">
              <w:rPr>
                <w:i/>
              </w:rPr>
              <w:t>Aleksandra S</w:t>
            </w:r>
            <w:r w:rsidRPr="00B114D4" w:rsidR="00D97B0D">
              <w:rPr>
                <w:i/>
              </w:rPr>
              <w:t>arman</w:t>
            </w:r>
            <w:r w:rsidRPr="00B114D4">
              <w:rPr>
                <w:i/>
              </w:rPr>
              <w:t xml:space="preserve"> G</w:t>
            </w:r>
            <w:r w:rsidRPr="00B114D4" w:rsidR="00D97B0D">
              <w:rPr>
                <w:i/>
              </w:rPr>
              <w:t>rilc</w:t>
            </w:r>
          </w:p>
        </w:tc>
      </w:tr>
      <w:tr w:rsidRPr="00B114D4" w:rsidR="003B636C" w:rsidTr="00B05454" w14:paraId="04CE6CD8" w14:textId="77777777">
        <w:tc>
          <w:tcPr>
            <w:tcW w:w="1418" w:type="dxa"/>
          </w:tcPr>
          <w:p w:rsidRPr="00B114D4" w:rsidR="003B636C" w:rsidP="00B05454" w:rsidRDefault="003B636C" w14:paraId="17FDD2D5" w14:textId="77777777">
            <w:pPr>
              <w:overflowPunct w:val="0"/>
              <w:autoSpaceDE w:val="0"/>
              <w:autoSpaceDN w:val="0"/>
              <w:adjustRightInd w:val="0"/>
              <w:spacing w:line="240" w:lineRule="auto"/>
              <w:textAlignment w:val="baseline"/>
              <w:rPr>
                <w:i/>
              </w:rPr>
            </w:pPr>
            <w:r w:rsidRPr="00B114D4">
              <w:rPr>
                <w:i/>
              </w:rPr>
              <w:t>Tel.</w:t>
            </w:r>
          </w:p>
        </w:tc>
        <w:tc>
          <w:tcPr>
            <w:tcW w:w="5670" w:type="dxa"/>
          </w:tcPr>
          <w:p w:rsidRPr="00B114D4" w:rsidR="003B636C" w:rsidP="00B05454" w:rsidRDefault="003B636C" w14:paraId="7F8DFA76" w14:textId="77777777">
            <w:pPr>
              <w:overflowPunct w:val="0"/>
              <w:autoSpaceDE w:val="0"/>
              <w:autoSpaceDN w:val="0"/>
              <w:adjustRightInd w:val="0"/>
              <w:spacing w:line="240" w:lineRule="auto"/>
              <w:textAlignment w:val="baseline"/>
              <w:rPr>
                <w:i/>
              </w:rPr>
            </w:pPr>
            <w:r w:rsidRPr="00B114D4">
              <w:rPr>
                <w:i/>
              </w:rPr>
              <w:t>+32 25468333</w:t>
            </w:r>
          </w:p>
        </w:tc>
      </w:tr>
      <w:tr w:rsidRPr="00B114D4" w:rsidR="003B636C" w:rsidTr="00B05454" w14:paraId="70ABA418" w14:textId="77777777">
        <w:tc>
          <w:tcPr>
            <w:tcW w:w="1418" w:type="dxa"/>
          </w:tcPr>
          <w:p w:rsidRPr="00B114D4" w:rsidR="003B636C" w:rsidP="00B05454" w:rsidRDefault="003B636C" w14:paraId="7E324433" w14:textId="77777777">
            <w:pPr>
              <w:overflowPunct w:val="0"/>
              <w:autoSpaceDE w:val="0"/>
              <w:autoSpaceDN w:val="0"/>
              <w:adjustRightInd w:val="0"/>
              <w:spacing w:line="240" w:lineRule="auto"/>
              <w:textAlignment w:val="baseline"/>
              <w:rPr>
                <w:i/>
              </w:rPr>
            </w:pPr>
            <w:r w:rsidRPr="00B114D4">
              <w:rPr>
                <w:i/>
              </w:rPr>
              <w:t>Email</w:t>
            </w:r>
          </w:p>
        </w:tc>
        <w:tc>
          <w:tcPr>
            <w:tcW w:w="5670" w:type="dxa"/>
          </w:tcPr>
          <w:p w:rsidRPr="00B114D4" w:rsidR="003B636C" w:rsidP="00B05454" w:rsidRDefault="00B21B70" w14:paraId="696F5F65" w14:textId="77777777">
            <w:pPr>
              <w:overflowPunct w:val="0"/>
              <w:autoSpaceDE w:val="0"/>
              <w:autoSpaceDN w:val="0"/>
              <w:adjustRightInd w:val="0"/>
              <w:spacing w:line="240" w:lineRule="auto"/>
              <w:textAlignment w:val="baseline"/>
              <w:rPr>
                <w:i/>
                <w:iCs/>
              </w:rPr>
            </w:pPr>
            <w:hyperlink w:history="1" r:id="rId38">
              <w:r w:rsidRPr="00B114D4" w:rsidR="003B636C">
                <w:rPr>
                  <w:i/>
                  <w:iCs/>
                  <w:color w:val="0000FF"/>
                  <w:u w:val="single"/>
                </w:rPr>
                <w:t>Aleksandra.SarmanGrilc@eesc.europa.eu</w:t>
              </w:r>
            </w:hyperlink>
            <w:r w:rsidRPr="00B114D4" w:rsidR="003B636C">
              <w:rPr>
                <w:i/>
                <w:iCs/>
              </w:rPr>
              <w:t xml:space="preserve"> </w:t>
            </w:r>
          </w:p>
        </w:tc>
      </w:tr>
    </w:tbl>
    <w:p w:rsidRPr="00B114D4" w:rsidR="003B636C" w:rsidP="003B636C" w:rsidRDefault="003B636C" w14:paraId="03C316F9" w14:textId="77777777">
      <w:pPr>
        <w:overflowPunct w:val="0"/>
        <w:autoSpaceDE w:val="0"/>
        <w:autoSpaceDN w:val="0"/>
        <w:adjustRightInd w:val="0"/>
        <w:jc w:val="center"/>
        <w:textAlignment w:val="baseline"/>
        <w:rPr>
          <w:szCs w:val="20"/>
          <w:lang w:val="nl-BE"/>
        </w:rPr>
      </w:pPr>
    </w:p>
    <w:p w:rsidR="003B636C" w:rsidRDefault="003B636C" w14:paraId="00774D54" w14:textId="10CE84BC">
      <w:pPr>
        <w:spacing w:after="160" w:line="259" w:lineRule="auto"/>
        <w:jc w:val="left"/>
      </w:pPr>
      <w:r>
        <w:br w:type="page"/>
      </w:r>
    </w:p>
    <w:p w:rsidR="003B636C" w:rsidP="005B4680" w:rsidRDefault="009C785E" w14:paraId="2BEB799C" w14:textId="1D1D6CC2">
      <w:pPr>
        <w:pStyle w:val="Heading1"/>
        <w:ind w:hanging="928"/>
        <w:rPr>
          <w:b/>
          <w:bCs/>
        </w:rPr>
      </w:pPr>
      <w:bookmarkStart w:name="_Toc159831784" w:id="36"/>
      <w:r w:rsidRPr="009C785E">
        <w:rPr>
          <w:b/>
          <w:bCs/>
        </w:rPr>
        <w:t>CONSULTATIVE COMMISSION ON INDUSTRIAL CHANGE</w:t>
      </w:r>
      <w:bookmarkEnd w:id="36"/>
    </w:p>
    <w:p w:rsidR="003B3E18" w:rsidP="003B3E18" w:rsidRDefault="003B3E18" w14:paraId="0CE20361" w14:textId="55A85CDB"/>
    <w:p w:rsidRPr="000F732E" w:rsidR="000F732E" w:rsidP="00CC4510" w:rsidRDefault="00B21B70" w14:paraId="67A73674" w14:textId="390FB8C0">
      <w:pPr>
        <w:widowControl w:val="0"/>
        <w:numPr>
          <w:ilvl w:val="0"/>
          <w:numId w:val="14"/>
        </w:numPr>
        <w:overflowPunct w:val="0"/>
        <w:autoSpaceDE w:val="0"/>
        <w:autoSpaceDN w:val="0"/>
        <w:adjustRightInd w:val="0"/>
        <w:spacing w:after="160" w:line="259" w:lineRule="auto"/>
        <w:ind w:left="709" w:hanging="709"/>
        <w:contextualSpacing/>
        <w:jc w:val="left"/>
        <w:textAlignment w:val="baseline"/>
        <w:rPr>
          <w:rFonts w:eastAsiaTheme="minorHAnsi"/>
          <w:sz w:val="28"/>
          <w:szCs w:val="28"/>
          <w:lang w:val="fr-FR"/>
        </w:rPr>
      </w:pPr>
      <w:hyperlink w:history="1" r:id="rId39">
        <w:r w:rsidRPr="000F732E" w:rsidR="000F732E">
          <w:rPr>
            <w:rFonts w:eastAsiaTheme="minorHAnsi"/>
            <w:b/>
            <w:bCs/>
            <w:i/>
            <w:iCs/>
            <w:color w:val="0000FF"/>
            <w:sz w:val="28"/>
            <w:szCs w:val="28"/>
            <w:u w:val="single"/>
            <w:lang w:val="fr-FR"/>
          </w:rPr>
          <w:t>Towards a comprehensive strategy for the EU wood industry</w:t>
        </w:r>
      </w:hyperlink>
    </w:p>
    <w:p w:rsidRPr="000F732E" w:rsidR="000F732E" w:rsidP="000F732E" w:rsidRDefault="000F732E" w14:paraId="14E0FEEC" w14:textId="77777777">
      <w:pPr>
        <w:tabs>
          <w:tab w:val="center" w:pos="284"/>
        </w:tabs>
        <w:spacing w:after="160" w:line="259" w:lineRule="auto"/>
        <w:ind w:left="266" w:hanging="266"/>
        <w:jc w:val="left"/>
        <w:rPr>
          <w:rFonts w:eastAsiaTheme="minorHAnsi"/>
          <w:b/>
          <w:lang w:val="fr-FR"/>
        </w:rPr>
      </w:pPr>
    </w:p>
    <w:tbl>
      <w:tblPr>
        <w:tblStyle w:val="TableGrid206"/>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57"/>
        <w:gridCol w:w="7530"/>
      </w:tblGrid>
      <w:tr w:rsidRPr="000F732E" w:rsidR="000F732E" w:rsidTr="00B05454" w14:paraId="2C390288" w14:textId="77777777">
        <w:tc>
          <w:tcPr>
            <w:tcW w:w="946" w:type="pct"/>
          </w:tcPr>
          <w:p w:rsidRPr="000F732E" w:rsidR="000F732E" w:rsidP="00CC4510" w:rsidRDefault="000F732E" w14:paraId="16A0641A" w14:textId="77777777">
            <w:pPr>
              <w:tabs>
                <w:tab w:val="center" w:pos="284"/>
              </w:tabs>
              <w:spacing w:line="240" w:lineRule="auto"/>
              <w:ind w:left="266" w:hanging="376"/>
              <w:jc w:val="left"/>
              <w:rPr>
                <w:b/>
              </w:rPr>
            </w:pPr>
            <w:r w:rsidRPr="000F732E">
              <w:rPr>
                <w:b/>
              </w:rPr>
              <w:t>Rapporteur</w:t>
            </w:r>
          </w:p>
          <w:p w:rsidRPr="000F732E" w:rsidR="000F732E" w:rsidP="00CC4510" w:rsidRDefault="000F732E" w14:paraId="222CEE0C" w14:textId="77777777">
            <w:pPr>
              <w:tabs>
                <w:tab w:val="center" w:pos="284"/>
              </w:tabs>
              <w:spacing w:line="240" w:lineRule="auto"/>
              <w:ind w:left="266" w:hanging="376"/>
              <w:jc w:val="left"/>
              <w:rPr>
                <w:b/>
              </w:rPr>
            </w:pPr>
          </w:p>
        </w:tc>
        <w:tc>
          <w:tcPr>
            <w:tcW w:w="4054" w:type="pct"/>
          </w:tcPr>
          <w:p w:rsidRPr="00CC4510" w:rsidR="000F732E" w:rsidP="00CC4510" w:rsidRDefault="000F732E" w14:paraId="30B50978" w14:textId="2B2F6815">
            <w:pPr>
              <w:tabs>
                <w:tab w:val="center" w:pos="284"/>
              </w:tabs>
              <w:spacing w:line="240" w:lineRule="auto"/>
              <w:ind w:left="266" w:hanging="376"/>
              <w:jc w:val="left"/>
              <w:rPr>
                <w:bCs/>
              </w:rPr>
            </w:pPr>
            <w:r w:rsidRPr="00CC4510">
              <w:rPr>
                <w:bCs/>
              </w:rPr>
              <w:t xml:space="preserve">Anastasis YIAPANIS (Civil Society Organisations Group </w:t>
            </w:r>
            <w:r w:rsidRPr="00CC4510" w:rsidR="001E04B8">
              <w:rPr>
                <w:bCs/>
              </w:rPr>
              <w:t xml:space="preserve">- </w:t>
            </w:r>
            <w:r w:rsidRPr="00CC4510">
              <w:rPr>
                <w:bCs/>
              </w:rPr>
              <w:t>CY)</w:t>
            </w:r>
          </w:p>
        </w:tc>
      </w:tr>
      <w:tr w:rsidRPr="000F732E" w:rsidR="000F732E" w:rsidTr="00B05454" w14:paraId="5F892D9C" w14:textId="77777777">
        <w:tc>
          <w:tcPr>
            <w:tcW w:w="946" w:type="pct"/>
          </w:tcPr>
          <w:p w:rsidRPr="000F732E" w:rsidR="000F732E" w:rsidP="00CC4510" w:rsidRDefault="000F732E" w14:paraId="2222EF41" w14:textId="77777777">
            <w:pPr>
              <w:tabs>
                <w:tab w:val="center" w:pos="284"/>
              </w:tabs>
              <w:spacing w:line="240" w:lineRule="auto"/>
              <w:ind w:left="266" w:hanging="376"/>
              <w:jc w:val="left"/>
              <w:rPr>
                <w:b/>
                <w:lang w:val="fr-FR"/>
              </w:rPr>
            </w:pPr>
            <w:r w:rsidRPr="000F732E">
              <w:rPr>
                <w:b/>
                <w:lang w:val="fr-FR"/>
              </w:rPr>
              <w:t>Co-rapporteur</w:t>
            </w:r>
          </w:p>
          <w:p w:rsidRPr="000F732E" w:rsidR="000F732E" w:rsidP="00CC4510" w:rsidRDefault="000F732E" w14:paraId="31414DE8" w14:textId="77777777">
            <w:pPr>
              <w:tabs>
                <w:tab w:val="center" w:pos="284"/>
              </w:tabs>
              <w:spacing w:line="240" w:lineRule="auto"/>
              <w:ind w:left="266" w:hanging="376"/>
              <w:jc w:val="left"/>
              <w:rPr>
                <w:b/>
              </w:rPr>
            </w:pPr>
          </w:p>
        </w:tc>
        <w:tc>
          <w:tcPr>
            <w:tcW w:w="4054" w:type="pct"/>
          </w:tcPr>
          <w:p w:rsidRPr="001E04B8" w:rsidR="000F732E" w:rsidP="00CC4510" w:rsidRDefault="000F732E" w14:paraId="31568716" w14:textId="3337EFC8">
            <w:pPr>
              <w:tabs>
                <w:tab w:val="center" w:pos="284"/>
              </w:tabs>
              <w:spacing w:line="240" w:lineRule="auto"/>
              <w:ind w:left="266" w:hanging="376"/>
              <w:jc w:val="left"/>
            </w:pPr>
            <w:r w:rsidRPr="00CC4510">
              <w:rPr>
                <w:lang w:val="fr-FR"/>
              </w:rPr>
              <w:t>Rolf GEHRING (Cat. 2</w:t>
            </w:r>
            <w:r w:rsidRPr="00CC4510" w:rsidR="001E04B8">
              <w:rPr>
                <w:lang w:val="fr-FR"/>
              </w:rPr>
              <w:t xml:space="preserve"> </w:t>
            </w:r>
            <w:r w:rsidRPr="00CC4510">
              <w:rPr>
                <w:lang w:val="fr-FR"/>
              </w:rPr>
              <w:t>- DE)</w:t>
            </w:r>
          </w:p>
        </w:tc>
      </w:tr>
      <w:tr w:rsidRPr="000F732E" w:rsidR="000F732E" w:rsidTr="00B05454" w14:paraId="0FBF1F0B" w14:textId="77777777">
        <w:tc>
          <w:tcPr>
            <w:tcW w:w="946" w:type="pct"/>
          </w:tcPr>
          <w:p w:rsidRPr="000F732E" w:rsidR="000F732E" w:rsidP="00CC4510" w:rsidRDefault="000F732E" w14:paraId="2CA7929D" w14:textId="77777777">
            <w:pPr>
              <w:tabs>
                <w:tab w:val="center" w:pos="284"/>
              </w:tabs>
              <w:spacing w:line="240" w:lineRule="auto"/>
              <w:ind w:left="266" w:hanging="376"/>
              <w:jc w:val="left"/>
            </w:pPr>
            <w:r w:rsidRPr="000F732E">
              <w:rPr>
                <w:b/>
              </w:rPr>
              <w:t>References</w:t>
            </w:r>
          </w:p>
        </w:tc>
        <w:tc>
          <w:tcPr>
            <w:tcW w:w="4054" w:type="pct"/>
          </w:tcPr>
          <w:p w:rsidR="00C41D73" w:rsidP="001E04B8" w:rsidRDefault="00C41D73" w14:paraId="320586E0" w14:textId="24B220EB">
            <w:pPr>
              <w:tabs>
                <w:tab w:val="center" w:pos="284"/>
              </w:tabs>
              <w:spacing w:line="240" w:lineRule="auto"/>
              <w:ind w:left="266" w:hanging="376"/>
              <w:jc w:val="left"/>
              <w:rPr>
                <w:lang w:val="fr-FR"/>
              </w:rPr>
            </w:pPr>
            <w:r>
              <w:rPr>
                <w:lang w:val="fr-FR"/>
              </w:rPr>
              <w:t>Own-initiative opinion</w:t>
            </w:r>
          </w:p>
          <w:p w:rsidRPr="000F732E" w:rsidR="000F732E" w:rsidP="00CC4510" w:rsidRDefault="000F732E" w14:paraId="33B05BD1" w14:textId="754D5011">
            <w:pPr>
              <w:tabs>
                <w:tab w:val="center" w:pos="284"/>
              </w:tabs>
              <w:spacing w:line="240" w:lineRule="auto"/>
              <w:ind w:left="266" w:hanging="376"/>
              <w:jc w:val="left"/>
            </w:pPr>
            <w:r w:rsidRPr="000F732E">
              <w:rPr>
                <w:lang w:val="fr-FR"/>
              </w:rPr>
              <w:t>EESC-2023-03538-00-00-AC</w:t>
            </w:r>
          </w:p>
        </w:tc>
      </w:tr>
    </w:tbl>
    <w:p w:rsidRPr="000F732E" w:rsidR="000F732E" w:rsidP="000F732E" w:rsidRDefault="000F732E" w14:paraId="3216B2BA" w14:textId="77777777">
      <w:pPr>
        <w:keepNext/>
        <w:keepLines/>
        <w:tabs>
          <w:tab w:val="center" w:pos="284"/>
        </w:tabs>
        <w:spacing w:after="160" w:line="259" w:lineRule="auto"/>
        <w:ind w:left="266" w:hanging="266"/>
        <w:jc w:val="left"/>
        <w:rPr>
          <w:rFonts w:eastAsiaTheme="minorHAnsi"/>
          <w:b/>
          <w:lang w:val="fr-FR"/>
        </w:rPr>
      </w:pPr>
    </w:p>
    <w:p w:rsidR="000F732E" w:rsidP="00CC4510" w:rsidRDefault="000F732E" w14:paraId="2BD35938" w14:textId="46AE9C8D">
      <w:pPr>
        <w:keepNext/>
        <w:keepLines/>
        <w:tabs>
          <w:tab w:val="center" w:pos="284"/>
        </w:tabs>
        <w:spacing w:after="160" w:line="360" w:lineRule="auto"/>
        <w:ind w:left="266" w:hanging="266"/>
        <w:jc w:val="left"/>
        <w:rPr>
          <w:rFonts w:eastAsiaTheme="minorHAnsi"/>
          <w:b/>
          <w:lang w:val="fr-FR"/>
        </w:rPr>
      </w:pPr>
      <w:r w:rsidRPr="000F732E">
        <w:rPr>
          <w:rFonts w:eastAsiaTheme="minorHAnsi"/>
          <w:b/>
          <w:lang w:val="fr-FR"/>
        </w:rPr>
        <w:t>Key points</w:t>
      </w:r>
    </w:p>
    <w:p w:rsidR="000F732E" w:rsidP="00CC4510" w:rsidRDefault="000F732E" w14:paraId="66129667" w14:textId="184E3AF9">
      <w:pPr>
        <w:spacing w:after="160" w:line="360" w:lineRule="auto"/>
        <w:jc w:val="left"/>
        <w:rPr>
          <w:rFonts w:eastAsiaTheme="minorHAnsi"/>
        </w:rPr>
      </w:pPr>
      <w:r w:rsidRPr="000F732E">
        <w:rPr>
          <w:rFonts w:eastAsiaTheme="minorHAnsi"/>
          <w:lang w:val="fr-FR"/>
        </w:rPr>
        <w:t xml:space="preserve">The </w:t>
      </w:r>
      <w:r w:rsidRPr="000F732E">
        <w:rPr>
          <w:rFonts w:eastAsiaTheme="minorHAnsi"/>
        </w:rPr>
        <w:t>EESC:</w:t>
      </w:r>
    </w:p>
    <w:p w:rsidRPr="000F732E" w:rsidR="000F732E" w:rsidP="00CC4510" w:rsidRDefault="000F732E" w14:paraId="7220DE2F" w14:textId="77777777">
      <w:pPr>
        <w:numPr>
          <w:ilvl w:val="0"/>
          <w:numId w:val="28"/>
        </w:numPr>
        <w:spacing w:after="160" w:line="259" w:lineRule="auto"/>
        <w:ind w:left="284" w:hanging="284"/>
        <w:contextualSpacing/>
        <w:rPr>
          <w:rFonts w:eastAsiaTheme="minorHAnsi"/>
        </w:rPr>
      </w:pPr>
      <w:r w:rsidRPr="000F732E">
        <w:rPr>
          <w:rFonts w:eastAsiaTheme="minorHAnsi"/>
        </w:rPr>
        <w:t xml:space="preserve">calls on EU and national public authorities to </w:t>
      </w:r>
      <w:r w:rsidRPr="000F732E">
        <w:rPr>
          <w:rFonts w:eastAsiaTheme="minorHAnsi"/>
          <w:b/>
          <w:bCs/>
        </w:rPr>
        <w:t>prioritise the competitiveness of the European wood industry</w:t>
      </w:r>
      <w:r w:rsidRPr="000F732E">
        <w:rPr>
          <w:rFonts w:eastAsiaTheme="minorHAnsi"/>
        </w:rPr>
        <w:t xml:space="preserve"> by </w:t>
      </w:r>
      <w:r w:rsidRPr="000F732E">
        <w:rPr>
          <w:rFonts w:eastAsiaTheme="minorHAnsi"/>
          <w:b/>
          <w:bCs/>
        </w:rPr>
        <w:t>ensuring market access</w:t>
      </w:r>
      <w:r w:rsidRPr="000F732E">
        <w:rPr>
          <w:rFonts w:eastAsiaTheme="minorHAnsi"/>
        </w:rPr>
        <w:t xml:space="preserve"> and addressing cost challenges and </w:t>
      </w:r>
      <w:r w:rsidRPr="000F732E">
        <w:rPr>
          <w:rFonts w:eastAsiaTheme="minorHAnsi"/>
          <w:b/>
          <w:bCs/>
        </w:rPr>
        <w:t>unfair trade practices</w:t>
      </w:r>
      <w:r w:rsidRPr="000F732E">
        <w:rPr>
          <w:rFonts w:eastAsiaTheme="minorHAnsi"/>
        </w:rPr>
        <w:t>, while securing a level playing field in the market;</w:t>
      </w:r>
    </w:p>
    <w:p w:rsidRPr="000F732E" w:rsidR="000F732E" w:rsidP="00CC4510" w:rsidRDefault="000F732E" w14:paraId="71F89912" w14:textId="77777777">
      <w:pPr>
        <w:numPr>
          <w:ilvl w:val="0"/>
          <w:numId w:val="28"/>
        </w:numPr>
        <w:spacing w:after="160" w:line="259" w:lineRule="auto"/>
        <w:ind w:left="284" w:hanging="284"/>
        <w:contextualSpacing/>
        <w:rPr>
          <w:rFonts w:eastAsiaTheme="minorHAnsi"/>
        </w:rPr>
      </w:pPr>
      <w:r w:rsidRPr="000F732E">
        <w:rPr>
          <w:rFonts w:eastAsiaTheme="minorHAnsi"/>
        </w:rPr>
        <w:t xml:space="preserve">calls upon all EU institutions to duly acknowledge the contribution of renewable materials to sustainability, circular economy and climate neutrality, while </w:t>
      </w:r>
      <w:r w:rsidRPr="000F732E">
        <w:rPr>
          <w:rFonts w:eastAsiaTheme="minorHAnsi"/>
          <w:b/>
          <w:bCs/>
        </w:rPr>
        <w:t>recognising wood as a precious circular resource and raw material</w:t>
      </w:r>
      <w:r w:rsidRPr="000F732E">
        <w:rPr>
          <w:rFonts w:eastAsiaTheme="minorHAnsi"/>
        </w:rPr>
        <w:t>;</w:t>
      </w:r>
    </w:p>
    <w:p w:rsidRPr="000F732E" w:rsidR="000F732E" w:rsidP="00CC4510" w:rsidRDefault="000F732E" w14:paraId="69154C3C" w14:textId="77777777">
      <w:pPr>
        <w:numPr>
          <w:ilvl w:val="0"/>
          <w:numId w:val="28"/>
        </w:numPr>
        <w:spacing w:after="160" w:line="259" w:lineRule="auto"/>
        <w:ind w:left="284" w:hanging="284"/>
        <w:contextualSpacing/>
        <w:rPr>
          <w:rFonts w:eastAsiaTheme="minorHAnsi"/>
        </w:rPr>
      </w:pPr>
      <w:r w:rsidRPr="000F732E">
        <w:rPr>
          <w:rFonts w:eastAsiaTheme="minorHAnsi"/>
        </w:rPr>
        <w:t xml:space="preserve">underscores the need to set minimum standards for lifecycle carbon emissions in construction and the </w:t>
      </w:r>
      <w:r w:rsidRPr="000F732E">
        <w:rPr>
          <w:rFonts w:eastAsiaTheme="minorHAnsi"/>
          <w:b/>
          <w:bCs/>
        </w:rPr>
        <w:t>requirement for carbon reporting</w:t>
      </w:r>
      <w:r w:rsidRPr="000F732E">
        <w:rPr>
          <w:rFonts w:eastAsiaTheme="minorHAnsi"/>
        </w:rPr>
        <w:t xml:space="preserve"> within the industry;</w:t>
      </w:r>
    </w:p>
    <w:p w:rsidRPr="000F732E" w:rsidR="000F732E" w:rsidP="00CC4510" w:rsidRDefault="000F732E" w14:paraId="711A8E02" w14:textId="77777777">
      <w:pPr>
        <w:numPr>
          <w:ilvl w:val="0"/>
          <w:numId w:val="28"/>
        </w:numPr>
        <w:spacing w:after="160" w:line="259" w:lineRule="auto"/>
        <w:ind w:left="284" w:hanging="284"/>
        <w:contextualSpacing/>
        <w:rPr>
          <w:rFonts w:eastAsiaTheme="minorHAnsi"/>
        </w:rPr>
      </w:pPr>
      <w:r w:rsidRPr="000F732E">
        <w:rPr>
          <w:rFonts w:eastAsiaTheme="minorHAnsi"/>
        </w:rPr>
        <w:t xml:space="preserve">calls for stronger, proactive measures to </w:t>
      </w:r>
      <w:r w:rsidRPr="000F732E">
        <w:rPr>
          <w:rFonts w:eastAsiaTheme="minorHAnsi"/>
          <w:b/>
          <w:bCs/>
        </w:rPr>
        <w:t>combat illegal logging, deforestation, and the unlawful timber trade</w:t>
      </w:r>
      <w:r w:rsidRPr="000F732E">
        <w:rPr>
          <w:rFonts w:eastAsiaTheme="minorHAnsi"/>
        </w:rPr>
        <w:t>;</w:t>
      </w:r>
    </w:p>
    <w:p w:rsidRPr="000F732E" w:rsidR="000F732E" w:rsidP="00CC4510" w:rsidRDefault="000F732E" w14:paraId="22C6D85E" w14:textId="77777777">
      <w:pPr>
        <w:numPr>
          <w:ilvl w:val="0"/>
          <w:numId w:val="28"/>
        </w:numPr>
        <w:spacing w:after="160" w:line="259" w:lineRule="auto"/>
        <w:ind w:left="284" w:hanging="284"/>
        <w:contextualSpacing/>
        <w:rPr>
          <w:rFonts w:eastAsiaTheme="minorHAnsi"/>
        </w:rPr>
      </w:pPr>
      <w:r w:rsidRPr="000F732E">
        <w:rPr>
          <w:rFonts w:eastAsiaTheme="minorHAnsi"/>
        </w:rPr>
        <w:t xml:space="preserve">urges the development of an </w:t>
      </w:r>
      <w:r w:rsidRPr="000F732E">
        <w:rPr>
          <w:rFonts w:eastAsiaTheme="minorHAnsi"/>
          <w:b/>
          <w:bCs/>
        </w:rPr>
        <w:t>EU strategy to attract and retain younger talent</w:t>
      </w:r>
      <w:r w:rsidRPr="000F732E">
        <w:rPr>
          <w:rFonts w:eastAsiaTheme="minorHAnsi"/>
        </w:rPr>
        <w:t xml:space="preserve"> and women in the sector and </w:t>
      </w:r>
      <w:r w:rsidRPr="000F732E">
        <w:rPr>
          <w:rFonts w:eastAsiaTheme="minorHAnsi"/>
          <w:b/>
          <w:bCs/>
        </w:rPr>
        <w:t>ensuring the availability of skilled workers</w:t>
      </w:r>
      <w:r w:rsidRPr="000F732E">
        <w:rPr>
          <w:rFonts w:eastAsiaTheme="minorHAnsi"/>
        </w:rPr>
        <w:t>;</w:t>
      </w:r>
    </w:p>
    <w:p w:rsidRPr="000F732E" w:rsidR="000F732E" w:rsidP="00CC4510" w:rsidRDefault="000F732E" w14:paraId="41674885" w14:textId="77777777">
      <w:pPr>
        <w:numPr>
          <w:ilvl w:val="0"/>
          <w:numId w:val="28"/>
        </w:numPr>
        <w:spacing w:after="160" w:line="259" w:lineRule="auto"/>
        <w:ind w:left="284" w:hanging="284"/>
        <w:contextualSpacing/>
        <w:rPr>
          <w:rFonts w:eastAsiaTheme="minorHAnsi"/>
        </w:rPr>
      </w:pPr>
      <w:r w:rsidRPr="000F732E">
        <w:rPr>
          <w:rFonts w:eastAsiaTheme="minorHAnsi"/>
        </w:rPr>
        <w:t xml:space="preserve">emphasises the importance of </w:t>
      </w:r>
      <w:r w:rsidRPr="000F732E">
        <w:rPr>
          <w:rFonts w:eastAsiaTheme="minorHAnsi"/>
          <w:b/>
          <w:bCs/>
        </w:rPr>
        <w:t xml:space="preserve">upholding the European Pillar of Social Rights (EPSR) </w:t>
      </w:r>
      <w:r w:rsidRPr="000F732E">
        <w:rPr>
          <w:rFonts w:eastAsiaTheme="minorHAnsi"/>
        </w:rPr>
        <w:t>within the EU wood industry;</w:t>
      </w:r>
    </w:p>
    <w:p w:rsidRPr="000F732E" w:rsidR="000F732E" w:rsidP="00CC4510" w:rsidRDefault="000F732E" w14:paraId="3255DCE6" w14:textId="77777777">
      <w:pPr>
        <w:numPr>
          <w:ilvl w:val="0"/>
          <w:numId w:val="28"/>
        </w:numPr>
        <w:spacing w:after="160" w:line="259" w:lineRule="auto"/>
        <w:ind w:left="284" w:hanging="284"/>
        <w:contextualSpacing/>
        <w:rPr>
          <w:rFonts w:eastAsiaTheme="minorHAnsi"/>
          <w:b/>
          <w:bCs/>
        </w:rPr>
      </w:pPr>
      <w:r w:rsidRPr="000F732E">
        <w:rPr>
          <w:rFonts w:eastAsiaTheme="minorHAnsi"/>
        </w:rPr>
        <w:t xml:space="preserve">highlights the growing need for effective forest management and improved coordination as well as better equipment for European and national firefighting services to </w:t>
      </w:r>
      <w:r w:rsidRPr="000F732E">
        <w:rPr>
          <w:rFonts w:eastAsiaTheme="minorHAnsi"/>
          <w:b/>
          <w:bCs/>
        </w:rPr>
        <w:t>counter the increasing trend of large forest fires;</w:t>
      </w:r>
    </w:p>
    <w:p w:rsidRPr="000F732E" w:rsidR="000F732E" w:rsidP="00CC4510" w:rsidRDefault="000F732E" w14:paraId="23084171" w14:textId="77777777">
      <w:pPr>
        <w:numPr>
          <w:ilvl w:val="0"/>
          <w:numId w:val="28"/>
        </w:numPr>
        <w:spacing w:after="160" w:line="259" w:lineRule="auto"/>
        <w:ind w:left="284" w:hanging="284"/>
        <w:contextualSpacing/>
        <w:rPr>
          <w:rFonts w:eastAsiaTheme="minorHAnsi"/>
        </w:rPr>
      </w:pPr>
      <w:r w:rsidRPr="000F732E">
        <w:rPr>
          <w:rFonts w:eastAsiaTheme="minorHAnsi"/>
        </w:rPr>
        <w:t xml:space="preserve">urges the consistent </w:t>
      </w:r>
      <w:r w:rsidRPr="000F732E">
        <w:rPr>
          <w:rFonts w:eastAsiaTheme="minorHAnsi"/>
          <w:b/>
          <w:bCs/>
        </w:rPr>
        <w:t>implementation of the Ecodesign for Sustainable Products Regulation</w:t>
      </w:r>
      <w:r w:rsidRPr="000F732E">
        <w:rPr>
          <w:rFonts w:eastAsiaTheme="minorHAnsi"/>
        </w:rPr>
        <w:t xml:space="preserve"> (ESPR) to make sustainable products the norm and maintain fair competition with imports. Additionally, the EU wood sector's social partners should be invited to participate in the Ecodesign Consultation Forum.</w:t>
      </w:r>
    </w:p>
    <w:p w:rsidRPr="000F732E" w:rsidR="000F732E" w:rsidP="000F732E" w:rsidRDefault="000F732E" w14:paraId="0EC35662" w14:textId="77777777">
      <w:pPr>
        <w:spacing w:after="160" w:line="259" w:lineRule="auto"/>
        <w:ind w:left="720"/>
        <w:contextualSpacing/>
        <w:jc w:val="left"/>
        <w:rPr>
          <w:rFonts w:eastAsiaTheme="minorHAnsi"/>
          <w:bCs/>
          <w:lang w:val="fr-FR"/>
        </w:rPr>
      </w:pPr>
    </w:p>
    <w:tbl>
      <w:tblPr>
        <w:tblStyle w:val="TableGrid20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43"/>
        <w:gridCol w:w="4088"/>
      </w:tblGrid>
      <w:tr w:rsidRPr="000F732E" w:rsidR="000F732E" w:rsidTr="00B05454" w14:paraId="47CF7F3B" w14:textId="77777777">
        <w:tc>
          <w:tcPr>
            <w:tcW w:w="1870" w:type="pct"/>
          </w:tcPr>
          <w:p w:rsidRPr="000F732E" w:rsidR="000F732E" w:rsidP="000F732E" w:rsidRDefault="000F732E" w14:paraId="76D5A844" w14:textId="77777777">
            <w:pPr>
              <w:spacing w:line="240" w:lineRule="auto"/>
              <w:jc w:val="left"/>
              <w:rPr>
                <w:i/>
              </w:rPr>
            </w:pPr>
            <w:r w:rsidRPr="000F732E">
              <w:rPr>
                <w:b/>
                <w:i/>
              </w:rPr>
              <w:t>Contact</w:t>
            </w:r>
          </w:p>
        </w:tc>
        <w:tc>
          <w:tcPr>
            <w:tcW w:w="3130" w:type="pct"/>
            <w:tcBorders>
              <w:left w:val="nil"/>
            </w:tcBorders>
          </w:tcPr>
          <w:p w:rsidRPr="00CC4510" w:rsidR="000F732E" w:rsidP="000F732E" w:rsidRDefault="000F732E" w14:paraId="7DA54185" w14:textId="31EEC934">
            <w:pPr>
              <w:spacing w:line="240" w:lineRule="auto"/>
              <w:jc w:val="left"/>
              <w:rPr>
                <w:bCs/>
                <w:i/>
              </w:rPr>
            </w:pPr>
            <w:r w:rsidRPr="00CC4510">
              <w:rPr>
                <w:bCs/>
                <w:i/>
              </w:rPr>
              <w:t>Heli N</w:t>
            </w:r>
            <w:r w:rsidRPr="00CC4510" w:rsidR="001E04B8">
              <w:rPr>
                <w:bCs/>
                <w:i/>
              </w:rPr>
              <w:t>iemelä</w:t>
            </w:r>
            <w:r w:rsidRPr="00CC4510">
              <w:rPr>
                <w:bCs/>
                <w:i/>
              </w:rPr>
              <w:t>-F</w:t>
            </w:r>
            <w:r w:rsidRPr="00CC4510" w:rsidR="001E04B8">
              <w:rPr>
                <w:bCs/>
                <w:i/>
              </w:rPr>
              <w:t>arrer</w:t>
            </w:r>
          </w:p>
        </w:tc>
      </w:tr>
      <w:tr w:rsidRPr="000F732E" w:rsidR="000F732E" w:rsidTr="00B05454" w14:paraId="6E3CE5FB" w14:textId="77777777">
        <w:tc>
          <w:tcPr>
            <w:tcW w:w="1870" w:type="pct"/>
          </w:tcPr>
          <w:p w:rsidRPr="000F732E" w:rsidR="000F732E" w:rsidP="000F732E" w:rsidRDefault="000F732E" w14:paraId="7E50D445" w14:textId="77777777">
            <w:pPr>
              <w:spacing w:line="240" w:lineRule="auto"/>
              <w:jc w:val="left"/>
              <w:rPr>
                <w:i/>
              </w:rPr>
            </w:pPr>
            <w:r w:rsidRPr="000F732E">
              <w:rPr>
                <w:i/>
              </w:rPr>
              <w:t xml:space="preserve">Tel. </w:t>
            </w:r>
          </w:p>
        </w:tc>
        <w:tc>
          <w:tcPr>
            <w:tcW w:w="3130" w:type="pct"/>
            <w:tcBorders>
              <w:left w:val="nil"/>
            </w:tcBorders>
          </w:tcPr>
          <w:p w:rsidRPr="000F732E" w:rsidR="000F732E" w:rsidP="000F732E" w:rsidRDefault="000F732E" w14:paraId="7DEC5319" w14:textId="77777777">
            <w:pPr>
              <w:spacing w:line="240" w:lineRule="auto"/>
              <w:jc w:val="left"/>
              <w:rPr>
                <w:i/>
              </w:rPr>
            </w:pPr>
            <w:r w:rsidRPr="000F732E">
              <w:rPr>
                <w:i/>
              </w:rPr>
              <w:t>+32 22822464</w:t>
            </w:r>
          </w:p>
        </w:tc>
      </w:tr>
      <w:tr w:rsidRPr="000F732E" w:rsidR="000F732E" w:rsidTr="00B05454" w14:paraId="2C89CBFA" w14:textId="77777777">
        <w:tc>
          <w:tcPr>
            <w:tcW w:w="1870" w:type="pct"/>
          </w:tcPr>
          <w:p w:rsidRPr="000F732E" w:rsidR="000F732E" w:rsidP="000F732E" w:rsidRDefault="000F732E" w14:paraId="314FD0C9" w14:textId="77777777">
            <w:pPr>
              <w:spacing w:line="240" w:lineRule="auto"/>
              <w:jc w:val="left"/>
              <w:rPr>
                <w:i/>
                <w:iCs/>
                <w:lang w:val="fr-FR"/>
              </w:rPr>
            </w:pPr>
            <w:r w:rsidRPr="000F732E">
              <w:rPr>
                <w:i/>
              </w:rPr>
              <w:t>Email</w:t>
            </w:r>
          </w:p>
        </w:tc>
        <w:tc>
          <w:tcPr>
            <w:tcW w:w="3130" w:type="pct"/>
            <w:tcBorders>
              <w:left w:val="nil"/>
            </w:tcBorders>
          </w:tcPr>
          <w:p w:rsidRPr="000F732E" w:rsidR="000F732E" w:rsidP="000F732E" w:rsidRDefault="00B21B70" w14:paraId="5E097992" w14:textId="77777777">
            <w:pPr>
              <w:spacing w:line="240" w:lineRule="auto"/>
              <w:jc w:val="left"/>
              <w:rPr>
                <w:i/>
              </w:rPr>
            </w:pPr>
            <w:hyperlink w:history="1" r:id="rId40">
              <w:r w:rsidRPr="000F732E" w:rsidR="000F732E">
                <w:rPr>
                  <w:i/>
                  <w:iCs/>
                  <w:color w:val="0000FF"/>
                  <w:u w:val="single"/>
                  <w:lang w:val="fr-FR"/>
                </w:rPr>
                <w:t>Heli.Niemela-Farrer@eesc.europa.eu</w:t>
              </w:r>
            </w:hyperlink>
          </w:p>
        </w:tc>
      </w:tr>
      <w:bookmarkEnd w:id="34"/>
      <w:bookmarkEnd w:id="0"/>
    </w:tbl>
    <w:p w:rsidR="003F6640" w:rsidP="006C7863" w:rsidRDefault="003F6640" w14:paraId="494EE16D" w14:textId="77777777">
      <w:pPr>
        <w:overflowPunct w:val="0"/>
        <w:autoSpaceDE w:val="0"/>
        <w:autoSpaceDN w:val="0"/>
        <w:adjustRightInd w:val="0"/>
        <w:jc w:val="center"/>
        <w:textAlignment w:val="baseline"/>
        <w:rPr>
          <w:lang w:val="nl-BE"/>
        </w:rPr>
      </w:pPr>
    </w:p>
    <w:p w:rsidRPr="006C7863" w:rsidR="0092772D" w:rsidP="006C7863" w:rsidRDefault="00556EDF" w14:paraId="7379A588" w14:textId="62AAB0D6">
      <w:pPr>
        <w:overflowPunct w:val="0"/>
        <w:autoSpaceDE w:val="0"/>
        <w:autoSpaceDN w:val="0"/>
        <w:adjustRightInd w:val="0"/>
        <w:jc w:val="center"/>
        <w:textAlignment w:val="baseline"/>
        <w:rPr>
          <w:lang w:val="nl-BE"/>
        </w:rPr>
      </w:pPr>
      <w:r>
        <w:rPr>
          <w:lang w:val="nl-BE"/>
        </w:rPr>
        <w:t>_____________</w:t>
      </w:r>
    </w:p>
    <w:sectPr w:rsidRPr="006C7863" w:rsidR="0092772D" w:rsidSect="004417CD">
      <w:headerReference w:type="even" r:id="rId41"/>
      <w:headerReference w:type="default" r:id="rId42"/>
      <w:footerReference w:type="even" r:id="rId43"/>
      <w:footerReference w:type="default" r:id="rId44"/>
      <w:headerReference w:type="first" r:id="rId45"/>
      <w:footerReference w:type="first" r:id="rId46"/>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F48" w:rsidP="003B0516" w:rsidRDefault="00FE6F48" w14:paraId="1788C989" w14:textId="77777777">
      <w:pPr>
        <w:spacing w:line="240" w:lineRule="auto"/>
      </w:pPr>
      <w:r>
        <w:separator/>
      </w:r>
    </w:p>
  </w:endnote>
  <w:endnote w:type="continuationSeparator" w:id="0">
    <w:p w:rsidR="00FE6F48" w:rsidP="003B0516" w:rsidRDefault="00FE6F48" w14:paraId="53145E4A"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417CD" w:rsidR="004417CD" w:rsidP="004417CD" w:rsidRDefault="004417CD" w14:paraId="2E08C2B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417CD" w:rsidR="00765C4F" w:rsidP="004417CD" w:rsidRDefault="004417CD" w14:paraId="02F89D38" w14:textId="43E635D3">
    <w:pPr>
      <w:pStyle w:val="Footer"/>
    </w:pPr>
    <w:r>
      <w:t xml:space="preserve">EESC-2024-00286-00-01-TCD-TRA (EN) </w:t>
    </w:r>
    <w:r>
      <w:fldChar w:fldCharType="begin"/>
    </w:r>
    <w:r>
      <w:instrText xml:space="preserve"> PAGE  \* Arabic  \* MERGEFORMAT </w:instrText>
    </w:r>
    <w:r>
      <w:fldChar w:fldCharType="separate"/>
    </w:r>
    <w:r w:rsidR="008A0F5B">
      <w:rPr>
        <w:noProof/>
      </w:rPr>
      <w:t>1</w:t>
    </w:r>
    <w:r>
      <w:fldChar w:fldCharType="end"/>
    </w:r>
    <w:r>
      <w:t>/</w:t>
    </w:r>
    <w:r w:rsidR="00B21B70">
      <w:fldChar w:fldCharType="begin"/>
    </w:r>
    <w:r w:rsidR="00B21B70">
      <w:instrText xml:space="preserve"> NUMPAGES </w:instrText>
    </w:r>
    <w:r w:rsidR="00B21B70">
      <w:fldChar w:fldCharType="separate"/>
    </w:r>
    <w:r w:rsidR="008A0F5B">
      <w:rPr>
        <w:noProof/>
      </w:rPr>
      <w:t>1</w:t>
    </w:r>
    <w:r w:rsidR="00B21B7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417CD" w:rsidR="004417CD" w:rsidP="004417CD" w:rsidRDefault="004417CD" w14:paraId="2B9E1A7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417CD" w:rsidR="00E4258F" w:rsidP="004417CD" w:rsidRDefault="00E4258F" w14:paraId="33C0885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417CD" w:rsidR="00E4258F" w:rsidP="004417CD" w:rsidRDefault="004417CD" w14:paraId="7CB2C8A9" w14:textId="6E2BD989">
    <w:pPr>
      <w:pStyle w:val="Footer"/>
    </w:pPr>
    <w:r>
      <w:t xml:space="preserve">EESC-2024-00286-00-01-TCD-TRA (EN) </w:t>
    </w:r>
    <w:r>
      <w:fldChar w:fldCharType="begin"/>
    </w:r>
    <w:r>
      <w:instrText xml:space="preserve"> PAGE  \* Arabic  \* MERGEFORMAT </w:instrText>
    </w:r>
    <w:r>
      <w:fldChar w:fldCharType="separate"/>
    </w:r>
    <w:r>
      <w:rPr>
        <w:noProof/>
      </w:rPr>
      <w:t>2</w:t>
    </w:r>
    <w:r>
      <w:fldChar w:fldCharType="end"/>
    </w:r>
    <w:r>
      <w:t>/</w:t>
    </w:r>
    <w:r w:rsidR="00B21B70">
      <w:fldChar w:fldCharType="begin"/>
    </w:r>
    <w:r w:rsidR="00B21B70">
      <w:instrText xml:space="preserve"> NUMPAGES </w:instrText>
    </w:r>
    <w:r w:rsidR="00B21B70">
      <w:fldChar w:fldCharType="separate"/>
    </w:r>
    <w:r>
      <w:rPr>
        <w:noProof/>
      </w:rPr>
      <w:t>14</w:t>
    </w:r>
    <w:r w:rsidR="00B21B70">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417CD" w:rsidR="00E4258F" w:rsidP="004417CD" w:rsidRDefault="00E4258F" w14:paraId="05A47D4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F48" w:rsidP="003B0516" w:rsidRDefault="00FE6F48" w14:paraId="73AC6067" w14:textId="77777777">
      <w:pPr>
        <w:spacing w:line="240" w:lineRule="auto"/>
      </w:pPr>
      <w:r>
        <w:separator/>
      </w:r>
    </w:p>
  </w:footnote>
  <w:footnote w:type="continuationSeparator" w:id="0">
    <w:p w:rsidR="00FE6F48" w:rsidP="003B0516" w:rsidRDefault="00FE6F48" w14:paraId="60476E3C"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417CD" w:rsidR="004417CD" w:rsidP="004417CD" w:rsidRDefault="004417CD" w14:paraId="4E6E823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417CD" w:rsidR="004417CD" w:rsidP="004417CD" w:rsidRDefault="004417CD" w14:paraId="3979D3EE" w14:textId="25799B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417CD" w:rsidR="004417CD" w:rsidP="004417CD" w:rsidRDefault="004417CD" w14:paraId="7B22AAA5"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417CD" w:rsidR="00E4258F" w:rsidP="004417CD" w:rsidRDefault="00E4258F" w14:paraId="423098DD"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417CD" w:rsidR="00E4258F" w:rsidP="004417CD" w:rsidRDefault="00E4258F" w14:paraId="6A3A0FFF" w14:textId="202CDA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417CD" w:rsidR="00E4258F" w:rsidP="004417CD" w:rsidRDefault="00E4258F" w14:paraId="2566BED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EBEEFDE"/>
    <w:lvl w:ilvl="0">
      <w:numFmt w:val="decimal"/>
      <w:lvlText w:val="*"/>
      <w:lvlJc w:val="left"/>
    </w:lvl>
  </w:abstractNum>
  <w:abstractNum w:abstractNumId="1" w15:restartNumberingAfterBreak="0">
    <w:nsid w:val="012A5128"/>
    <w:multiLevelType w:val="hybridMultilevel"/>
    <w:tmpl w:val="6A5CEA14"/>
    <w:lvl w:ilvl="0" w:tplc="F6166D28">
      <w:start w:val="1"/>
      <w:numFmt w:val="bullet"/>
      <w:lvlText w:val=""/>
      <w:lvlJc w:val="left"/>
      <w:pPr>
        <w:ind w:left="720" w:hanging="360"/>
      </w:pPr>
      <w:rPr>
        <w:rFonts w:ascii="Symbol" w:hAnsi="Symbol" w:hint="default"/>
      </w:rPr>
    </w:lvl>
    <w:lvl w:ilvl="1" w:tplc="F5B22DF6">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570519E"/>
    <w:multiLevelType w:val="hybridMultilevel"/>
    <w:tmpl w:val="B9B86228"/>
    <w:lvl w:ilvl="0" w:tplc="F6166D2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B5E0C"/>
    <w:multiLevelType w:val="hybridMultilevel"/>
    <w:tmpl w:val="9364F78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F7CF268"/>
    <w:multiLevelType w:val="hybridMultilevel"/>
    <w:tmpl w:val="F5A8EBE6"/>
    <w:lvl w:ilvl="0" w:tplc="04090001">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6" w15:restartNumberingAfterBreak="0">
    <w:nsid w:val="10912D32"/>
    <w:multiLevelType w:val="hybridMultilevel"/>
    <w:tmpl w:val="3EE66B3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4D7300B"/>
    <w:multiLevelType w:val="hybridMultilevel"/>
    <w:tmpl w:val="C152FF0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F425F51"/>
    <w:multiLevelType w:val="hybridMultilevel"/>
    <w:tmpl w:val="B1A0CBD0"/>
    <w:lvl w:ilvl="0" w:tplc="7EF2A60C">
      <w:start w:val="1"/>
      <w:numFmt w:val="bullet"/>
      <w:lvlText w:val=""/>
      <w:lvlJc w:val="left"/>
      <w:pPr>
        <w:ind w:left="720" w:hanging="360"/>
      </w:pPr>
      <w:rPr>
        <w:rFonts w:ascii="Symbol" w:hAnsi="Symbol" w:hint="default"/>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F897D79"/>
    <w:multiLevelType w:val="hybridMultilevel"/>
    <w:tmpl w:val="C7B62F5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3D25C5E"/>
    <w:multiLevelType w:val="hybridMultilevel"/>
    <w:tmpl w:val="7848F85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1"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A861250"/>
    <w:multiLevelType w:val="hybridMultilevel"/>
    <w:tmpl w:val="5F3E2F34"/>
    <w:lvl w:ilvl="0" w:tplc="04090001">
      <w:start w:val="1"/>
      <w:numFmt w:val="bullet"/>
      <w:lvlText w:val=""/>
      <w:lvlJc w:val="left"/>
      <w:pPr>
        <w:ind w:left="2421" w:hanging="360"/>
      </w:pPr>
      <w:rPr>
        <w:rFonts w:ascii="Symbol" w:hAnsi="Symbol" w:hint="default"/>
      </w:rPr>
    </w:lvl>
    <w:lvl w:ilvl="1" w:tplc="080C0003" w:tentative="1">
      <w:start w:val="1"/>
      <w:numFmt w:val="bullet"/>
      <w:lvlText w:val="o"/>
      <w:lvlJc w:val="left"/>
      <w:pPr>
        <w:ind w:left="3141" w:hanging="360"/>
      </w:pPr>
      <w:rPr>
        <w:rFonts w:ascii="Courier New" w:hAnsi="Courier New" w:cs="Courier New" w:hint="default"/>
      </w:rPr>
    </w:lvl>
    <w:lvl w:ilvl="2" w:tplc="080C0005" w:tentative="1">
      <w:start w:val="1"/>
      <w:numFmt w:val="bullet"/>
      <w:lvlText w:val=""/>
      <w:lvlJc w:val="left"/>
      <w:pPr>
        <w:ind w:left="3861" w:hanging="360"/>
      </w:pPr>
      <w:rPr>
        <w:rFonts w:ascii="Wingdings" w:hAnsi="Wingdings" w:hint="default"/>
      </w:rPr>
    </w:lvl>
    <w:lvl w:ilvl="3" w:tplc="080C0001" w:tentative="1">
      <w:start w:val="1"/>
      <w:numFmt w:val="bullet"/>
      <w:lvlText w:val=""/>
      <w:lvlJc w:val="left"/>
      <w:pPr>
        <w:ind w:left="4581" w:hanging="360"/>
      </w:pPr>
      <w:rPr>
        <w:rFonts w:ascii="Symbol" w:hAnsi="Symbol" w:hint="default"/>
      </w:rPr>
    </w:lvl>
    <w:lvl w:ilvl="4" w:tplc="080C0003" w:tentative="1">
      <w:start w:val="1"/>
      <w:numFmt w:val="bullet"/>
      <w:lvlText w:val="o"/>
      <w:lvlJc w:val="left"/>
      <w:pPr>
        <w:ind w:left="5301" w:hanging="360"/>
      </w:pPr>
      <w:rPr>
        <w:rFonts w:ascii="Courier New" w:hAnsi="Courier New" w:cs="Courier New" w:hint="default"/>
      </w:rPr>
    </w:lvl>
    <w:lvl w:ilvl="5" w:tplc="080C0005" w:tentative="1">
      <w:start w:val="1"/>
      <w:numFmt w:val="bullet"/>
      <w:lvlText w:val=""/>
      <w:lvlJc w:val="left"/>
      <w:pPr>
        <w:ind w:left="6021" w:hanging="360"/>
      </w:pPr>
      <w:rPr>
        <w:rFonts w:ascii="Wingdings" w:hAnsi="Wingdings" w:hint="default"/>
      </w:rPr>
    </w:lvl>
    <w:lvl w:ilvl="6" w:tplc="080C0001" w:tentative="1">
      <w:start w:val="1"/>
      <w:numFmt w:val="bullet"/>
      <w:lvlText w:val=""/>
      <w:lvlJc w:val="left"/>
      <w:pPr>
        <w:ind w:left="6741" w:hanging="360"/>
      </w:pPr>
      <w:rPr>
        <w:rFonts w:ascii="Symbol" w:hAnsi="Symbol" w:hint="default"/>
      </w:rPr>
    </w:lvl>
    <w:lvl w:ilvl="7" w:tplc="080C0003" w:tentative="1">
      <w:start w:val="1"/>
      <w:numFmt w:val="bullet"/>
      <w:lvlText w:val="o"/>
      <w:lvlJc w:val="left"/>
      <w:pPr>
        <w:ind w:left="7461" w:hanging="360"/>
      </w:pPr>
      <w:rPr>
        <w:rFonts w:ascii="Courier New" w:hAnsi="Courier New" w:cs="Courier New" w:hint="default"/>
      </w:rPr>
    </w:lvl>
    <w:lvl w:ilvl="8" w:tplc="080C0005" w:tentative="1">
      <w:start w:val="1"/>
      <w:numFmt w:val="bullet"/>
      <w:lvlText w:val=""/>
      <w:lvlJc w:val="left"/>
      <w:pPr>
        <w:ind w:left="8181" w:hanging="360"/>
      </w:pPr>
      <w:rPr>
        <w:rFonts w:ascii="Wingdings" w:hAnsi="Wingdings" w:hint="default"/>
      </w:rPr>
    </w:lvl>
  </w:abstractNum>
  <w:abstractNum w:abstractNumId="14" w15:restartNumberingAfterBreak="0">
    <w:nsid w:val="2CB83CA6"/>
    <w:multiLevelType w:val="hybridMultilevel"/>
    <w:tmpl w:val="E0580AF4"/>
    <w:lvl w:ilvl="0" w:tplc="F6166D28">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CED45CA"/>
    <w:multiLevelType w:val="hybridMultilevel"/>
    <w:tmpl w:val="31168010"/>
    <w:lvl w:ilvl="0" w:tplc="F6166D28">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BC94212"/>
    <w:multiLevelType w:val="hybridMultilevel"/>
    <w:tmpl w:val="A7FE6368"/>
    <w:lvl w:ilvl="0" w:tplc="08090001">
      <w:start w:val="1"/>
      <w:numFmt w:val="bullet"/>
      <w:lvlText w:val=""/>
      <w:lvlJc w:val="left"/>
      <w:pPr>
        <w:ind w:left="720" w:hanging="360"/>
      </w:pPr>
      <w:rPr>
        <w:rFonts w:ascii="Symbol" w:hAnsi="Symbol" w:hint="default"/>
      </w:rPr>
    </w:lvl>
    <w:lvl w:ilvl="1" w:tplc="F5B22DF6">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E03056"/>
    <w:multiLevelType w:val="hybridMultilevel"/>
    <w:tmpl w:val="22989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03C7B2A"/>
    <w:multiLevelType w:val="hybridMultilevel"/>
    <w:tmpl w:val="B2201AA2"/>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412A3200"/>
    <w:multiLevelType w:val="hybridMultilevel"/>
    <w:tmpl w:val="BDB6A23E"/>
    <w:lvl w:ilvl="0" w:tplc="DDE088C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214EF5"/>
    <w:multiLevelType w:val="hybridMultilevel"/>
    <w:tmpl w:val="B6825228"/>
    <w:lvl w:ilvl="0" w:tplc="F6166D28">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1" w15:restartNumberingAfterBreak="0">
    <w:nsid w:val="50DB1CE6"/>
    <w:multiLevelType w:val="hybridMultilevel"/>
    <w:tmpl w:val="A37EC5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5795314"/>
    <w:multiLevelType w:val="hybridMultilevel"/>
    <w:tmpl w:val="E182F320"/>
    <w:lvl w:ilvl="0" w:tplc="F6166D28">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23" w15:restartNumberingAfterBreak="0">
    <w:nsid w:val="5C130D57"/>
    <w:multiLevelType w:val="hybridMultilevel"/>
    <w:tmpl w:val="D396A28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67DF1691"/>
    <w:multiLevelType w:val="hybridMultilevel"/>
    <w:tmpl w:val="F5A8B66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6" w15:restartNumberingAfterBreak="0">
    <w:nsid w:val="6D1044A8"/>
    <w:multiLevelType w:val="hybridMultilevel"/>
    <w:tmpl w:val="5A002252"/>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8" w15:restartNumberingAfterBreak="0">
    <w:nsid w:val="7DD51B7E"/>
    <w:multiLevelType w:val="hybridMultilevel"/>
    <w:tmpl w:val="BFB88AA6"/>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9" w15:restartNumberingAfterBreak="0">
    <w:nsid w:val="7F8154DA"/>
    <w:multiLevelType w:val="hybridMultilevel"/>
    <w:tmpl w:val="05DE863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2"/>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
    <w:abstractNumId w:val="18"/>
  </w:num>
  <w:num w:numId="4">
    <w:abstractNumId w:val="13"/>
  </w:num>
  <w:num w:numId="5">
    <w:abstractNumId w:val="2"/>
  </w:num>
  <w:num w:numId="6">
    <w:abstractNumId w:val="17"/>
  </w:num>
  <w:num w:numId="7">
    <w:abstractNumId w:val="10"/>
  </w:num>
  <w:num w:numId="8">
    <w:abstractNumId w:val="21"/>
  </w:num>
  <w:num w:numId="9">
    <w:abstractNumId w:val="16"/>
  </w:num>
  <w:num w:numId="10">
    <w:abstractNumId w:val="19"/>
  </w:num>
  <w:num w:numId="11">
    <w:abstractNumId w:val="6"/>
  </w:num>
  <w:num w:numId="12">
    <w:abstractNumId w:val="5"/>
  </w:num>
  <w:num w:numId="13">
    <w:abstractNumId w:val="27"/>
  </w:num>
  <w:num w:numId="14">
    <w:abstractNumId w:val="24"/>
  </w:num>
  <w:num w:numId="15">
    <w:abstractNumId w:val="20"/>
  </w:num>
  <w:num w:numId="16">
    <w:abstractNumId w:val="8"/>
  </w:num>
  <w:num w:numId="17">
    <w:abstractNumId w:val="29"/>
  </w:num>
  <w:num w:numId="18">
    <w:abstractNumId w:val="23"/>
  </w:num>
  <w:num w:numId="19">
    <w:abstractNumId w:val="3"/>
  </w:num>
  <w:num w:numId="20">
    <w:abstractNumId w:val="1"/>
  </w:num>
  <w:num w:numId="21">
    <w:abstractNumId w:val="25"/>
  </w:num>
  <w:num w:numId="22">
    <w:abstractNumId w:val="9"/>
  </w:num>
  <w:num w:numId="23">
    <w:abstractNumId w:val="7"/>
  </w:num>
  <w:num w:numId="24">
    <w:abstractNumId w:val="26"/>
  </w:num>
  <w:num w:numId="25">
    <w:abstractNumId w:val="4"/>
  </w:num>
  <w:num w:numId="26">
    <w:abstractNumId w:val="22"/>
  </w:num>
  <w:num w:numId="27">
    <w:abstractNumId w:val="28"/>
  </w:num>
  <w:num w:numId="28">
    <w:abstractNumId w:val="14"/>
  </w:num>
  <w:num w:numId="29">
    <w:abstractNumId w:val="0"/>
    <w:lvlOverride w:ilvl="0">
      <w:lvl w:ilvl="0">
        <w:start w:val="1"/>
        <w:numFmt w:val="bullet"/>
        <w:lvlText w:val=""/>
        <w:lvlJc w:val="left"/>
        <w:pPr>
          <w:ind w:left="720" w:hanging="360"/>
        </w:pPr>
        <w:rPr>
          <w:rFonts w:ascii="Symbol" w:hAnsi="Symbol" w:hint="default"/>
          <w:color w:val="auto"/>
        </w:rPr>
      </w:lvl>
    </w:lvlOverride>
  </w:num>
  <w:num w:numId="30">
    <w:abstractNumId w:val="11"/>
  </w:num>
  <w:num w:numId="31">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C0"/>
    <w:rsid w:val="000011FC"/>
    <w:rsid w:val="00001786"/>
    <w:rsid w:val="00001A64"/>
    <w:rsid w:val="00002061"/>
    <w:rsid w:val="00002240"/>
    <w:rsid w:val="00002A4B"/>
    <w:rsid w:val="000058F8"/>
    <w:rsid w:val="00006967"/>
    <w:rsid w:val="00007729"/>
    <w:rsid w:val="00011582"/>
    <w:rsid w:val="00011846"/>
    <w:rsid w:val="00012071"/>
    <w:rsid w:val="000124A6"/>
    <w:rsid w:val="00013CEE"/>
    <w:rsid w:val="00014132"/>
    <w:rsid w:val="000142E0"/>
    <w:rsid w:val="00014C93"/>
    <w:rsid w:val="00015E18"/>
    <w:rsid w:val="00016015"/>
    <w:rsid w:val="00016A29"/>
    <w:rsid w:val="00016C21"/>
    <w:rsid w:val="00017B56"/>
    <w:rsid w:val="0002109C"/>
    <w:rsid w:val="00021CE3"/>
    <w:rsid w:val="000232FA"/>
    <w:rsid w:val="00023B5F"/>
    <w:rsid w:val="00023DE9"/>
    <w:rsid w:val="000243E7"/>
    <w:rsid w:val="0002450A"/>
    <w:rsid w:val="00024601"/>
    <w:rsid w:val="000247C5"/>
    <w:rsid w:val="00024D79"/>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385"/>
    <w:rsid w:val="00041C4A"/>
    <w:rsid w:val="0004205F"/>
    <w:rsid w:val="000421E0"/>
    <w:rsid w:val="000429BA"/>
    <w:rsid w:val="00043287"/>
    <w:rsid w:val="00043A3F"/>
    <w:rsid w:val="00046621"/>
    <w:rsid w:val="00046E56"/>
    <w:rsid w:val="00047887"/>
    <w:rsid w:val="00050002"/>
    <w:rsid w:val="000507DF"/>
    <w:rsid w:val="0005110E"/>
    <w:rsid w:val="0005170F"/>
    <w:rsid w:val="00052BF1"/>
    <w:rsid w:val="00052DD1"/>
    <w:rsid w:val="00052E1C"/>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5ECB"/>
    <w:rsid w:val="000764E8"/>
    <w:rsid w:val="00076BA9"/>
    <w:rsid w:val="00077FF5"/>
    <w:rsid w:val="000830F4"/>
    <w:rsid w:val="00083845"/>
    <w:rsid w:val="00085082"/>
    <w:rsid w:val="00086B53"/>
    <w:rsid w:val="00086D43"/>
    <w:rsid w:val="00091179"/>
    <w:rsid w:val="000911BF"/>
    <w:rsid w:val="000917D8"/>
    <w:rsid w:val="00092425"/>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1B7"/>
    <w:rsid w:val="000A2953"/>
    <w:rsid w:val="000A3603"/>
    <w:rsid w:val="000A558D"/>
    <w:rsid w:val="000A74DC"/>
    <w:rsid w:val="000A7BA8"/>
    <w:rsid w:val="000A7EC1"/>
    <w:rsid w:val="000B01F7"/>
    <w:rsid w:val="000B0B9A"/>
    <w:rsid w:val="000B19C4"/>
    <w:rsid w:val="000B1AE6"/>
    <w:rsid w:val="000B1C30"/>
    <w:rsid w:val="000B1C78"/>
    <w:rsid w:val="000B25D7"/>
    <w:rsid w:val="000B37D6"/>
    <w:rsid w:val="000B3917"/>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88"/>
    <w:rsid w:val="000D40D0"/>
    <w:rsid w:val="000D5A98"/>
    <w:rsid w:val="000D65AC"/>
    <w:rsid w:val="000D6BC4"/>
    <w:rsid w:val="000D6C7C"/>
    <w:rsid w:val="000D7181"/>
    <w:rsid w:val="000D72F5"/>
    <w:rsid w:val="000D754F"/>
    <w:rsid w:val="000D7878"/>
    <w:rsid w:val="000E1079"/>
    <w:rsid w:val="000E14F2"/>
    <w:rsid w:val="000E3485"/>
    <w:rsid w:val="000E37FD"/>
    <w:rsid w:val="000E437C"/>
    <w:rsid w:val="000E447F"/>
    <w:rsid w:val="000E5197"/>
    <w:rsid w:val="000E56EA"/>
    <w:rsid w:val="000E5EDB"/>
    <w:rsid w:val="000E5FFD"/>
    <w:rsid w:val="000E6108"/>
    <w:rsid w:val="000E698E"/>
    <w:rsid w:val="000E75F1"/>
    <w:rsid w:val="000F21B9"/>
    <w:rsid w:val="000F2598"/>
    <w:rsid w:val="000F2BDB"/>
    <w:rsid w:val="000F2E5A"/>
    <w:rsid w:val="000F442A"/>
    <w:rsid w:val="000F4825"/>
    <w:rsid w:val="000F53B7"/>
    <w:rsid w:val="000F679A"/>
    <w:rsid w:val="000F6FCF"/>
    <w:rsid w:val="000F732E"/>
    <w:rsid w:val="001000A8"/>
    <w:rsid w:val="0010109E"/>
    <w:rsid w:val="001016BE"/>
    <w:rsid w:val="00101D87"/>
    <w:rsid w:val="001023AA"/>
    <w:rsid w:val="00104302"/>
    <w:rsid w:val="00104B7A"/>
    <w:rsid w:val="001052A1"/>
    <w:rsid w:val="0010535A"/>
    <w:rsid w:val="00105758"/>
    <w:rsid w:val="00105EF9"/>
    <w:rsid w:val="00106358"/>
    <w:rsid w:val="00110085"/>
    <w:rsid w:val="00110172"/>
    <w:rsid w:val="001106FB"/>
    <w:rsid w:val="00111187"/>
    <w:rsid w:val="00111BD8"/>
    <w:rsid w:val="00113B00"/>
    <w:rsid w:val="001140AE"/>
    <w:rsid w:val="00115BBC"/>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CEB"/>
    <w:rsid w:val="00126D3E"/>
    <w:rsid w:val="00126D40"/>
    <w:rsid w:val="001271C3"/>
    <w:rsid w:val="00127C4E"/>
    <w:rsid w:val="0013052F"/>
    <w:rsid w:val="0013145E"/>
    <w:rsid w:val="00132B56"/>
    <w:rsid w:val="001332A2"/>
    <w:rsid w:val="00133C08"/>
    <w:rsid w:val="001348CC"/>
    <w:rsid w:val="00135610"/>
    <w:rsid w:val="00135769"/>
    <w:rsid w:val="00137BCC"/>
    <w:rsid w:val="001400C7"/>
    <w:rsid w:val="00142A44"/>
    <w:rsid w:val="001435E4"/>
    <w:rsid w:val="001445A7"/>
    <w:rsid w:val="001455A1"/>
    <w:rsid w:val="0014589C"/>
    <w:rsid w:val="00145DCD"/>
    <w:rsid w:val="00150AD8"/>
    <w:rsid w:val="00150B75"/>
    <w:rsid w:val="00150E51"/>
    <w:rsid w:val="001513FD"/>
    <w:rsid w:val="00151EDB"/>
    <w:rsid w:val="0015211E"/>
    <w:rsid w:val="00152FA6"/>
    <w:rsid w:val="00153032"/>
    <w:rsid w:val="00153F0C"/>
    <w:rsid w:val="001543FE"/>
    <w:rsid w:val="001546A6"/>
    <w:rsid w:val="00154EC7"/>
    <w:rsid w:val="00155B53"/>
    <w:rsid w:val="001563F6"/>
    <w:rsid w:val="00157F0F"/>
    <w:rsid w:val="001606AD"/>
    <w:rsid w:val="00163106"/>
    <w:rsid w:val="00164813"/>
    <w:rsid w:val="0016534C"/>
    <w:rsid w:val="00165EA2"/>
    <w:rsid w:val="0017095E"/>
    <w:rsid w:val="00172541"/>
    <w:rsid w:val="0017287C"/>
    <w:rsid w:val="00173E94"/>
    <w:rsid w:val="001744F9"/>
    <w:rsid w:val="00174763"/>
    <w:rsid w:val="001755E0"/>
    <w:rsid w:val="001756D1"/>
    <w:rsid w:val="00175EC3"/>
    <w:rsid w:val="001760E9"/>
    <w:rsid w:val="00176786"/>
    <w:rsid w:val="00180F59"/>
    <w:rsid w:val="0018231C"/>
    <w:rsid w:val="00182F92"/>
    <w:rsid w:val="0018432F"/>
    <w:rsid w:val="00184D19"/>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246"/>
    <w:rsid w:val="001B643B"/>
    <w:rsid w:val="001B6460"/>
    <w:rsid w:val="001B79F5"/>
    <w:rsid w:val="001C087D"/>
    <w:rsid w:val="001C08F2"/>
    <w:rsid w:val="001C1786"/>
    <w:rsid w:val="001C226F"/>
    <w:rsid w:val="001C3412"/>
    <w:rsid w:val="001C3A5B"/>
    <w:rsid w:val="001C3C0F"/>
    <w:rsid w:val="001C4219"/>
    <w:rsid w:val="001C4A5D"/>
    <w:rsid w:val="001C4EDC"/>
    <w:rsid w:val="001C4EFA"/>
    <w:rsid w:val="001C5776"/>
    <w:rsid w:val="001C5D5C"/>
    <w:rsid w:val="001C64EB"/>
    <w:rsid w:val="001C6DC3"/>
    <w:rsid w:val="001C72AB"/>
    <w:rsid w:val="001C7B41"/>
    <w:rsid w:val="001D1D1C"/>
    <w:rsid w:val="001D1F54"/>
    <w:rsid w:val="001D2636"/>
    <w:rsid w:val="001D277D"/>
    <w:rsid w:val="001D31CF"/>
    <w:rsid w:val="001D357A"/>
    <w:rsid w:val="001D3D0A"/>
    <w:rsid w:val="001D6EF9"/>
    <w:rsid w:val="001D6FFF"/>
    <w:rsid w:val="001D770D"/>
    <w:rsid w:val="001E04B8"/>
    <w:rsid w:val="001E0F0C"/>
    <w:rsid w:val="001E1489"/>
    <w:rsid w:val="001E1833"/>
    <w:rsid w:val="001E2286"/>
    <w:rsid w:val="001E347B"/>
    <w:rsid w:val="001E3DFE"/>
    <w:rsid w:val="001E418F"/>
    <w:rsid w:val="001E6413"/>
    <w:rsid w:val="001E6AE6"/>
    <w:rsid w:val="001E6F69"/>
    <w:rsid w:val="001E715B"/>
    <w:rsid w:val="001E71D7"/>
    <w:rsid w:val="001F0687"/>
    <w:rsid w:val="001F11A4"/>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0A0"/>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267"/>
    <w:rsid w:val="00231571"/>
    <w:rsid w:val="00232374"/>
    <w:rsid w:val="002326F4"/>
    <w:rsid w:val="00232868"/>
    <w:rsid w:val="002328D2"/>
    <w:rsid w:val="0023415A"/>
    <w:rsid w:val="00234EA0"/>
    <w:rsid w:val="00235B94"/>
    <w:rsid w:val="00235E61"/>
    <w:rsid w:val="00237481"/>
    <w:rsid w:val="00240C09"/>
    <w:rsid w:val="00240D4D"/>
    <w:rsid w:val="002419CA"/>
    <w:rsid w:val="00241C29"/>
    <w:rsid w:val="00242666"/>
    <w:rsid w:val="002435FB"/>
    <w:rsid w:val="00243BC0"/>
    <w:rsid w:val="00245136"/>
    <w:rsid w:val="002457A2"/>
    <w:rsid w:val="00245A60"/>
    <w:rsid w:val="00245CD4"/>
    <w:rsid w:val="00246F51"/>
    <w:rsid w:val="002479AC"/>
    <w:rsid w:val="00247E02"/>
    <w:rsid w:val="00251418"/>
    <w:rsid w:val="00251ED7"/>
    <w:rsid w:val="002525C2"/>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54EF"/>
    <w:rsid w:val="00267ABD"/>
    <w:rsid w:val="002706AD"/>
    <w:rsid w:val="00270828"/>
    <w:rsid w:val="00270AEC"/>
    <w:rsid w:val="002713AA"/>
    <w:rsid w:val="002713F4"/>
    <w:rsid w:val="002725D3"/>
    <w:rsid w:val="002736DF"/>
    <w:rsid w:val="002737D4"/>
    <w:rsid w:val="00274160"/>
    <w:rsid w:val="00274765"/>
    <w:rsid w:val="00274DCF"/>
    <w:rsid w:val="00275718"/>
    <w:rsid w:val="00275A32"/>
    <w:rsid w:val="002761B2"/>
    <w:rsid w:val="0027698E"/>
    <w:rsid w:val="00276CC9"/>
    <w:rsid w:val="002776B9"/>
    <w:rsid w:val="00277FEC"/>
    <w:rsid w:val="0028000C"/>
    <w:rsid w:val="00280432"/>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6D6C"/>
    <w:rsid w:val="002B74A3"/>
    <w:rsid w:val="002B75A5"/>
    <w:rsid w:val="002B7981"/>
    <w:rsid w:val="002B7C5C"/>
    <w:rsid w:val="002B7F3A"/>
    <w:rsid w:val="002C016E"/>
    <w:rsid w:val="002C07E4"/>
    <w:rsid w:val="002C08B8"/>
    <w:rsid w:val="002C0E2F"/>
    <w:rsid w:val="002C2466"/>
    <w:rsid w:val="002C24B9"/>
    <w:rsid w:val="002C273B"/>
    <w:rsid w:val="002C2B80"/>
    <w:rsid w:val="002C4B6E"/>
    <w:rsid w:val="002C52B8"/>
    <w:rsid w:val="002C5F52"/>
    <w:rsid w:val="002C704D"/>
    <w:rsid w:val="002D03B9"/>
    <w:rsid w:val="002D10D5"/>
    <w:rsid w:val="002D1175"/>
    <w:rsid w:val="002D31E3"/>
    <w:rsid w:val="002D3D63"/>
    <w:rsid w:val="002D3FFF"/>
    <w:rsid w:val="002D4382"/>
    <w:rsid w:val="002D4A78"/>
    <w:rsid w:val="002D4C38"/>
    <w:rsid w:val="002D4C63"/>
    <w:rsid w:val="002D4D5D"/>
    <w:rsid w:val="002D5A51"/>
    <w:rsid w:val="002D6C8A"/>
    <w:rsid w:val="002E01B5"/>
    <w:rsid w:val="002E211F"/>
    <w:rsid w:val="002E29B4"/>
    <w:rsid w:val="002E44D6"/>
    <w:rsid w:val="002E459D"/>
    <w:rsid w:val="002E5473"/>
    <w:rsid w:val="002E615C"/>
    <w:rsid w:val="002E62B0"/>
    <w:rsid w:val="002E7F30"/>
    <w:rsid w:val="002F0853"/>
    <w:rsid w:val="002F0F3E"/>
    <w:rsid w:val="002F1909"/>
    <w:rsid w:val="002F31FD"/>
    <w:rsid w:val="002F32E6"/>
    <w:rsid w:val="002F4AF0"/>
    <w:rsid w:val="002F5750"/>
    <w:rsid w:val="002F57AC"/>
    <w:rsid w:val="002F5819"/>
    <w:rsid w:val="002F5EE1"/>
    <w:rsid w:val="002F63EB"/>
    <w:rsid w:val="002F665D"/>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17D48"/>
    <w:rsid w:val="00320F33"/>
    <w:rsid w:val="0032128B"/>
    <w:rsid w:val="00321539"/>
    <w:rsid w:val="0032154F"/>
    <w:rsid w:val="0032266E"/>
    <w:rsid w:val="003227CC"/>
    <w:rsid w:val="0032340F"/>
    <w:rsid w:val="0032356C"/>
    <w:rsid w:val="00323A05"/>
    <w:rsid w:val="00325509"/>
    <w:rsid w:val="00325F6C"/>
    <w:rsid w:val="003262D8"/>
    <w:rsid w:val="00326919"/>
    <w:rsid w:val="00326CD9"/>
    <w:rsid w:val="00326F5F"/>
    <w:rsid w:val="00327162"/>
    <w:rsid w:val="0033098C"/>
    <w:rsid w:val="0033099B"/>
    <w:rsid w:val="00330A97"/>
    <w:rsid w:val="00331ACB"/>
    <w:rsid w:val="00331C12"/>
    <w:rsid w:val="00331F0C"/>
    <w:rsid w:val="00331F6F"/>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4B6"/>
    <w:rsid w:val="00347F9A"/>
    <w:rsid w:val="003505DD"/>
    <w:rsid w:val="00350A12"/>
    <w:rsid w:val="00350F5C"/>
    <w:rsid w:val="003512EC"/>
    <w:rsid w:val="0035145B"/>
    <w:rsid w:val="00351F56"/>
    <w:rsid w:val="003527B4"/>
    <w:rsid w:val="003529C2"/>
    <w:rsid w:val="00353184"/>
    <w:rsid w:val="00353D37"/>
    <w:rsid w:val="00354714"/>
    <w:rsid w:val="003550F7"/>
    <w:rsid w:val="00356BAD"/>
    <w:rsid w:val="00356CCD"/>
    <w:rsid w:val="003604AE"/>
    <w:rsid w:val="00360C81"/>
    <w:rsid w:val="00361E48"/>
    <w:rsid w:val="00361F46"/>
    <w:rsid w:val="00362EE5"/>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878F2"/>
    <w:rsid w:val="00390587"/>
    <w:rsid w:val="00391B98"/>
    <w:rsid w:val="0039201C"/>
    <w:rsid w:val="00394949"/>
    <w:rsid w:val="00395070"/>
    <w:rsid w:val="003953F0"/>
    <w:rsid w:val="00395762"/>
    <w:rsid w:val="00396061"/>
    <w:rsid w:val="0039613E"/>
    <w:rsid w:val="003965BB"/>
    <w:rsid w:val="00396707"/>
    <w:rsid w:val="00396CC5"/>
    <w:rsid w:val="00397F85"/>
    <w:rsid w:val="003A0DB7"/>
    <w:rsid w:val="003A2251"/>
    <w:rsid w:val="003A37C0"/>
    <w:rsid w:val="003A3C4C"/>
    <w:rsid w:val="003A7071"/>
    <w:rsid w:val="003B01EE"/>
    <w:rsid w:val="003B0516"/>
    <w:rsid w:val="003B2007"/>
    <w:rsid w:val="003B301F"/>
    <w:rsid w:val="003B3C5F"/>
    <w:rsid w:val="003B3D68"/>
    <w:rsid w:val="003B3E18"/>
    <w:rsid w:val="003B48B7"/>
    <w:rsid w:val="003B6100"/>
    <w:rsid w:val="003B62FD"/>
    <w:rsid w:val="003B636C"/>
    <w:rsid w:val="003B6653"/>
    <w:rsid w:val="003B6760"/>
    <w:rsid w:val="003B6EB5"/>
    <w:rsid w:val="003C07C5"/>
    <w:rsid w:val="003C0D9C"/>
    <w:rsid w:val="003C0E5B"/>
    <w:rsid w:val="003C0FF2"/>
    <w:rsid w:val="003C179C"/>
    <w:rsid w:val="003C23DD"/>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76E2"/>
    <w:rsid w:val="003D7B91"/>
    <w:rsid w:val="003E15E3"/>
    <w:rsid w:val="003E15FD"/>
    <w:rsid w:val="003E2373"/>
    <w:rsid w:val="003E262D"/>
    <w:rsid w:val="003E2757"/>
    <w:rsid w:val="003E2FFB"/>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D7F"/>
    <w:rsid w:val="003F6382"/>
    <w:rsid w:val="003F6640"/>
    <w:rsid w:val="003F6762"/>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417"/>
    <w:rsid w:val="004268C7"/>
    <w:rsid w:val="00426B8F"/>
    <w:rsid w:val="00426ECD"/>
    <w:rsid w:val="00427161"/>
    <w:rsid w:val="00427D31"/>
    <w:rsid w:val="004305AF"/>
    <w:rsid w:val="004331B4"/>
    <w:rsid w:val="00433439"/>
    <w:rsid w:val="0043387F"/>
    <w:rsid w:val="00435C78"/>
    <w:rsid w:val="00436853"/>
    <w:rsid w:val="004408E6"/>
    <w:rsid w:val="004412D5"/>
    <w:rsid w:val="004415E2"/>
    <w:rsid w:val="004417CD"/>
    <w:rsid w:val="00441A37"/>
    <w:rsid w:val="00441E1B"/>
    <w:rsid w:val="00441E45"/>
    <w:rsid w:val="004429E2"/>
    <w:rsid w:val="004437F6"/>
    <w:rsid w:val="0044393A"/>
    <w:rsid w:val="0044394C"/>
    <w:rsid w:val="00443C4F"/>
    <w:rsid w:val="00444114"/>
    <w:rsid w:val="004442D3"/>
    <w:rsid w:val="00447339"/>
    <w:rsid w:val="004477C9"/>
    <w:rsid w:val="00447EE5"/>
    <w:rsid w:val="00450E5A"/>
    <w:rsid w:val="004511AE"/>
    <w:rsid w:val="0045193E"/>
    <w:rsid w:val="004529D8"/>
    <w:rsid w:val="004539DA"/>
    <w:rsid w:val="00455312"/>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7BE4"/>
    <w:rsid w:val="00470719"/>
    <w:rsid w:val="004716B8"/>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8644C"/>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CD7"/>
    <w:rsid w:val="004A6166"/>
    <w:rsid w:val="004A654F"/>
    <w:rsid w:val="004A66EE"/>
    <w:rsid w:val="004A688A"/>
    <w:rsid w:val="004A6B7F"/>
    <w:rsid w:val="004B2250"/>
    <w:rsid w:val="004B32D3"/>
    <w:rsid w:val="004B344F"/>
    <w:rsid w:val="004B4150"/>
    <w:rsid w:val="004B4B28"/>
    <w:rsid w:val="004B5B45"/>
    <w:rsid w:val="004B7248"/>
    <w:rsid w:val="004B72DD"/>
    <w:rsid w:val="004C0C1D"/>
    <w:rsid w:val="004C1E12"/>
    <w:rsid w:val="004C1EDE"/>
    <w:rsid w:val="004C2872"/>
    <w:rsid w:val="004C3902"/>
    <w:rsid w:val="004C40E4"/>
    <w:rsid w:val="004C4101"/>
    <w:rsid w:val="004C583B"/>
    <w:rsid w:val="004C6FAA"/>
    <w:rsid w:val="004C76BE"/>
    <w:rsid w:val="004C7B29"/>
    <w:rsid w:val="004D0366"/>
    <w:rsid w:val="004D0940"/>
    <w:rsid w:val="004D09EB"/>
    <w:rsid w:val="004D1910"/>
    <w:rsid w:val="004D1AE7"/>
    <w:rsid w:val="004D2E64"/>
    <w:rsid w:val="004D3247"/>
    <w:rsid w:val="004D3E27"/>
    <w:rsid w:val="004D45DE"/>
    <w:rsid w:val="004D495A"/>
    <w:rsid w:val="004D4CB3"/>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097"/>
    <w:rsid w:val="00507FBD"/>
    <w:rsid w:val="00510903"/>
    <w:rsid w:val="00510F71"/>
    <w:rsid w:val="0051254E"/>
    <w:rsid w:val="005127F5"/>
    <w:rsid w:val="00512A34"/>
    <w:rsid w:val="005139C5"/>
    <w:rsid w:val="0051658B"/>
    <w:rsid w:val="00516FB9"/>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14B4"/>
    <w:rsid w:val="00542A74"/>
    <w:rsid w:val="00542AB1"/>
    <w:rsid w:val="00542C6F"/>
    <w:rsid w:val="005445DD"/>
    <w:rsid w:val="00544D95"/>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83C"/>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DC"/>
    <w:rsid w:val="00571BCD"/>
    <w:rsid w:val="00571FEB"/>
    <w:rsid w:val="00572679"/>
    <w:rsid w:val="00572735"/>
    <w:rsid w:val="005727A8"/>
    <w:rsid w:val="00574403"/>
    <w:rsid w:val="00574E5A"/>
    <w:rsid w:val="0057638B"/>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5154"/>
    <w:rsid w:val="0059541C"/>
    <w:rsid w:val="0059647B"/>
    <w:rsid w:val="005967FB"/>
    <w:rsid w:val="005A1FA3"/>
    <w:rsid w:val="005A297E"/>
    <w:rsid w:val="005A29D5"/>
    <w:rsid w:val="005A31A4"/>
    <w:rsid w:val="005A3AC1"/>
    <w:rsid w:val="005A3DF8"/>
    <w:rsid w:val="005A3E6D"/>
    <w:rsid w:val="005A4945"/>
    <w:rsid w:val="005A4ABB"/>
    <w:rsid w:val="005A4E72"/>
    <w:rsid w:val="005A54A8"/>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0E3D"/>
    <w:rsid w:val="005D326D"/>
    <w:rsid w:val="005D3431"/>
    <w:rsid w:val="005D3628"/>
    <w:rsid w:val="005D55F5"/>
    <w:rsid w:val="005D610D"/>
    <w:rsid w:val="005D621C"/>
    <w:rsid w:val="005D6E4D"/>
    <w:rsid w:val="005D76AC"/>
    <w:rsid w:val="005D7939"/>
    <w:rsid w:val="005E1D60"/>
    <w:rsid w:val="005E23CD"/>
    <w:rsid w:val="005E2C02"/>
    <w:rsid w:val="005E3426"/>
    <w:rsid w:val="005E3EE4"/>
    <w:rsid w:val="005E4970"/>
    <w:rsid w:val="005E547D"/>
    <w:rsid w:val="005E56F3"/>
    <w:rsid w:val="005E60E1"/>
    <w:rsid w:val="005E64DC"/>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07F31"/>
    <w:rsid w:val="00610B3B"/>
    <w:rsid w:val="0061132E"/>
    <w:rsid w:val="006119BD"/>
    <w:rsid w:val="00612458"/>
    <w:rsid w:val="006125A8"/>
    <w:rsid w:val="00613467"/>
    <w:rsid w:val="0061692F"/>
    <w:rsid w:val="00617140"/>
    <w:rsid w:val="0061753E"/>
    <w:rsid w:val="006178CC"/>
    <w:rsid w:val="006203CD"/>
    <w:rsid w:val="0062050F"/>
    <w:rsid w:val="00621329"/>
    <w:rsid w:val="0062138E"/>
    <w:rsid w:val="00621E7B"/>
    <w:rsid w:val="00622199"/>
    <w:rsid w:val="006221F1"/>
    <w:rsid w:val="00622822"/>
    <w:rsid w:val="00623469"/>
    <w:rsid w:val="00624785"/>
    <w:rsid w:val="00624CAC"/>
    <w:rsid w:val="00625885"/>
    <w:rsid w:val="006262F2"/>
    <w:rsid w:val="006263FF"/>
    <w:rsid w:val="00626B92"/>
    <w:rsid w:val="006270FF"/>
    <w:rsid w:val="00627B8F"/>
    <w:rsid w:val="00627D71"/>
    <w:rsid w:val="00630047"/>
    <w:rsid w:val="0063079B"/>
    <w:rsid w:val="00630928"/>
    <w:rsid w:val="00631509"/>
    <w:rsid w:val="00631A84"/>
    <w:rsid w:val="00632139"/>
    <w:rsid w:val="0063245C"/>
    <w:rsid w:val="006324DA"/>
    <w:rsid w:val="006334BE"/>
    <w:rsid w:val="00636F0E"/>
    <w:rsid w:val="00637ED7"/>
    <w:rsid w:val="00637F76"/>
    <w:rsid w:val="00640656"/>
    <w:rsid w:val="00640B6E"/>
    <w:rsid w:val="00640E92"/>
    <w:rsid w:val="00641262"/>
    <w:rsid w:val="00641B9B"/>
    <w:rsid w:val="006432CF"/>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57A0A"/>
    <w:rsid w:val="006604D8"/>
    <w:rsid w:val="00661542"/>
    <w:rsid w:val="00662436"/>
    <w:rsid w:val="00662475"/>
    <w:rsid w:val="00662D95"/>
    <w:rsid w:val="0066408C"/>
    <w:rsid w:val="006669FA"/>
    <w:rsid w:val="00666A72"/>
    <w:rsid w:val="00667261"/>
    <w:rsid w:val="00667E70"/>
    <w:rsid w:val="00670347"/>
    <w:rsid w:val="00670387"/>
    <w:rsid w:val="006722E8"/>
    <w:rsid w:val="0067337A"/>
    <w:rsid w:val="006736F5"/>
    <w:rsid w:val="006749D4"/>
    <w:rsid w:val="00674A47"/>
    <w:rsid w:val="00675177"/>
    <w:rsid w:val="00675C3E"/>
    <w:rsid w:val="00676CBB"/>
    <w:rsid w:val="00677979"/>
    <w:rsid w:val="00680336"/>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406"/>
    <w:rsid w:val="006A497B"/>
    <w:rsid w:val="006A5171"/>
    <w:rsid w:val="006A5764"/>
    <w:rsid w:val="006A5AA8"/>
    <w:rsid w:val="006A66F5"/>
    <w:rsid w:val="006A6D9B"/>
    <w:rsid w:val="006A6FE4"/>
    <w:rsid w:val="006A737A"/>
    <w:rsid w:val="006A7FB4"/>
    <w:rsid w:val="006B050A"/>
    <w:rsid w:val="006B106B"/>
    <w:rsid w:val="006B13C2"/>
    <w:rsid w:val="006B1A4D"/>
    <w:rsid w:val="006B265F"/>
    <w:rsid w:val="006B2795"/>
    <w:rsid w:val="006B318C"/>
    <w:rsid w:val="006B3316"/>
    <w:rsid w:val="006B3644"/>
    <w:rsid w:val="006B5025"/>
    <w:rsid w:val="006B58ED"/>
    <w:rsid w:val="006B5D99"/>
    <w:rsid w:val="006B6D88"/>
    <w:rsid w:val="006C1160"/>
    <w:rsid w:val="006C23B2"/>
    <w:rsid w:val="006C24B2"/>
    <w:rsid w:val="006C25B5"/>
    <w:rsid w:val="006C2C92"/>
    <w:rsid w:val="006C2EB9"/>
    <w:rsid w:val="006C4311"/>
    <w:rsid w:val="006C4ED2"/>
    <w:rsid w:val="006C61EF"/>
    <w:rsid w:val="006C6A1E"/>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22C8"/>
    <w:rsid w:val="006E3078"/>
    <w:rsid w:val="006E3F60"/>
    <w:rsid w:val="006E4430"/>
    <w:rsid w:val="006E489B"/>
    <w:rsid w:val="006E4F6C"/>
    <w:rsid w:val="006E6434"/>
    <w:rsid w:val="006E679C"/>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08B"/>
    <w:rsid w:val="00724702"/>
    <w:rsid w:val="00724D6D"/>
    <w:rsid w:val="00727B0D"/>
    <w:rsid w:val="00730A22"/>
    <w:rsid w:val="00730BCC"/>
    <w:rsid w:val="00730F46"/>
    <w:rsid w:val="007313E4"/>
    <w:rsid w:val="007327CD"/>
    <w:rsid w:val="00732CC4"/>
    <w:rsid w:val="00733A55"/>
    <w:rsid w:val="00734081"/>
    <w:rsid w:val="00734181"/>
    <w:rsid w:val="00735256"/>
    <w:rsid w:val="00737766"/>
    <w:rsid w:val="007406C8"/>
    <w:rsid w:val="007425D2"/>
    <w:rsid w:val="0074379C"/>
    <w:rsid w:val="00743FAB"/>
    <w:rsid w:val="0074419C"/>
    <w:rsid w:val="00744C0A"/>
    <w:rsid w:val="00745EAA"/>
    <w:rsid w:val="00746B35"/>
    <w:rsid w:val="007473E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1F36"/>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A6E66"/>
    <w:rsid w:val="007B081C"/>
    <w:rsid w:val="007B20AF"/>
    <w:rsid w:val="007B21C5"/>
    <w:rsid w:val="007B231B"/>
    <w:rsid w:val="007B4C34"/>
    <w:rsid w:val="007B4C38"/>
    <w:rsid w:val="007B4EBE"/>
    <w:rsid w:val="007B51DD"/>
    <w:rsid w:val="007B6259"/>
    <w:rsid w:val="007B6B96"/>
    <w:rsid w:val="007B6C34"/>
    <w:rsid w:val="007B76EB"/>
    <w:rsid w:val="007B7C40"/>
    <w:rsid w:val="007C0BDC"/>
    <w:rsid w:val="007C1057"/>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020"/>
    <w:rsid w:val="007F2119"/>
    <w:rsid w:val="007F211C"/>
    <w:rsid w:val="007F292F"/>
    <w:rsid w:val="007F2C09"/>
    <w:rsid w:val="007F6026"/>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2594"/>
    <w:rsid w:val="00813A00"/>
    <w:rsid w:val="00813C58"/>
    <w:rsid w:val="00814E33"/>
    <w:rsid w:val="008159E1"/>
    <w:rsid w:val="00816A45"/>
    <w:rsid w:val="008171DA"/>
    <w:rsid w:val="008172B0"/>
    <w:rsid w:val="00820120"/>
    <w:rsid w:val="00821220"/>
    <w:rsid w:val="008220BD"/>
    <w:rsid w:val="00822289"/>
    <w:rsid w:val="00822B63"/>
    <w:rsid w:val="00822ED8"/>
    <w:rsid w:val="008230CE"/>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33A"/>
    <w:rsid w:val="008944AD"/>
    <w:rsid w:val="008946BF"/>
    <w:rsid w:val="00894BA8"/>
    <w:rsid w:val="00895C48"/>
    <w:rsid w:val="008968EE"/>
    <w:rsid w:val="00896F71"/>
    <w:rsid w:val="008A0B15"/>
    <w:rsid w:val="008A0B2F"/>
    <w:rsid w:val="008A0C54"/>
    <w:rsid w:val="008A0E09"/>
    <w:rsid w:val="008A0F5B"/>
    <w:rsid w:val="008A16E3"/>
    <w:rsid w:val="008A4B7D"/>
    <w:rsid w:val="008A4C14"/>
    <w:rsid w:val="008A4D3B"/>
    <w:rsid w:val="008A55B6"/>
    <w:rsid w:val="008A6537"/>
    <w:rsid w:val="008A6871"/>
    <w:rsid w:val="008A6EC7"/>
    <w:rsid w:val="008A755A"/>
    <w:rsid w:val="008A7B98"/>
    <w:rsid w:val="008B2544"/>
    <w:rsid w:val="008B25CA"/>
    <w:rsid w:val="008B26C6"/>
    <w:rsid w:val="008B2708"/>
    <w:rsid w:val="008B4283"/>
    <w:rsid w:val="008B47C5"/>
    <w:rsid w:val="008B5320"/>
    <w:rsid w:val="008B5703"/>
    <w:rsid w:val="008B659D"/>
    <w:rsid w:val="008B66DD"/>
    <w:rsid w:val="008B7198"/>
    <w:rsid w:val="008B72DD"/>
    <w:rsid w:val="008C0662"/>
    <w:rsid w:val="008C18DE"/>
    <w:rsid w:val="008C3DBE"/>
    <w:rsid w:val="008C3E09"/>
    <w:rsid w:val="008C4B50"/>
    <w:rsid w:val="008C4FD1"/>
    <w:rsid w:val="008C5773"/>
    <w:rsid w:val="008C5DFD"/>
    <w:rsid w:val="008D089A"/>
    <w:rsid w:val="008D1E60"/>
    <w:rsid w:val="008D2131"/>
    <w:rsid w:val="008D315D"/>
    <w:rsid w:val="008D47DD"/>
    <w:rsid w:val="008D5168"/>
    <w:rsid w:val="008D5213"/>
    <w:rsid w:val="008D6032"/>
    <w:rsid w:val="008E0931"/>
    <w:rsid w:val="008E0C2D"/>
    <w:rsid w:val="008E0C2F"/>
    <w:rsid w:val="008E0E80"/>
    <w:rsid w:val="008E2A59"/>
    <w:rsid w:val="008E2BA0"/>
    <w:rsid w:val="008E2CDC"/>
    <w:rsid w:val="008E2CDD"/>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273E"/>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37F88"/>
    <w:rsid w:val="00940899"/>
    <w:rsid w:val="00940972"/>
    <w:rsid w:val="00942238"/>
    <w:rsid w:val="00942F41"/>
    <w:rsid w:val="00943A69"/>
    <w:rsid w:val="00944336"/>
    <w:rsid w:val="009444A2"/>
    <w:rsid w:val="00944A54"/>
    <w:rsid w:val="0094733C"/>
    <w:rsid w:val="009476EF"/>
    <w:rsid w:val="00947E08"/>
    <w:rsid w:val="009508AD"/>
    <w:rsid w:val="00950C4F"/>
    <w:rsid w:val="009530C5"/>
    <w:rsid w:val="009534AA"/>
    <w:rsid w:val="0095386D"/>
    <w:rsid w:val="0095396D"/>
    <w:rsid w:val="00957B83"/>
    <w:rsid w:val="00957CBF"/>
    <w:rsid w:val="0096099A"/>
    <w:rsid w:val="00960F6E"/>
    <w:rsid w:val="00961956"/>
    <w:rsid w:val="00961F3C"/>
    <w:rsid w:val="0096247E"/>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60A0"/>
    <w:rsid w:val="00996E9C"/>
    <w:rsid w:val="009A1B51"/>
    <w:rsid w:val="009A2DD6"/>
    <w:rsid w:val="009A3E0E"/>
    <w:rsid w:val="009A6D65"/>
    <w:rsid w:val="009A74B2"/>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85E"/>
    <w:rsid w:val="009C7E57"/>
    <w:rsid w:val="009D07F4"/>
    <w:rsid w:val="009D0FCC"/>
    <w:rsid w:val="009D1CA2"/>
    <w:rsid w:val="009D1E59"/>
    <w:rsid w:val="009D2CD0"/>
    <w:rsid w:val="009D388E"/>
    <w:rsid w:val="009D5CC6"/>
    <w:rsid w:val="009D5F27"/>
    <w:rsid w:val="009D6767"/>
    <w:rsid w:val="009D6A81"/>
    <w:rsid w:val="009D7824"/>
    <w:rsid w:val="009D799E"/>
    <w:rsid w:val="009D7D40"/>
    <w:rsid w:val="009E03F3"/>
    <w:rsid w:val="009E2696"/>
    <w:rsid w:val="009E2B66"/>
    <w:rsid w:val="009E433D"/>
    <w:rsid w:val="009E4E92"/>
    <w:rsid w:val="009E57A4"/>
    <w:rsid w:val="009E6551"/>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07736"/>
    <w:rsid w:val="00A1036D"/>
    <w:rsid w:val="00A10A98"/>
    <w:rsid w:val="00A10B0E"/>
    <w:rsid w:val="00A10C1C"/>
    <w:rsid w:val="00A11AB2"/>
    <w:rsid w:val="00A12627"/>
    <w:rsid w:val="00A12A65"/>
    <w:rsid w:val="00A13493"/>
    <w:rsid w:val="00A13A09"/>
    <w:rsid w:val="00A1414A"/>
    <w:rsid w:val="00A15A99"/>
    <w:rsid w:val="00A17267"/>
    <w:rsid w:val="00A2086E"/>
    <w:rsid w:val="00A20E9D"/>
    <w:rsid w:val="00A2120F"/>
    <w:rsid w:val="00A2178F"/>
    <w:rsid w:val="00A21FFA"/>
    <w:rsid w:val="00A23F52"/>
    <w:rsid w:val="00A24264"/>
    <w:rsid w:val="00A26217"/>
    <w:rsid w:val="00A3013F"/>
    <w:rsid w:val="00A3055E"/>
    <w:rsid w:val="00A30792"/>
    <w:rsid w:val="00A30B84"/>
    <w:rsid w:val="00A31DC8"/>
    <w:rsid w:val="00A32597"/>
    <w:rsid w:val="00A3262A"/>
    <w:rsid w:val="00A3344B"/>
    <w:rsid w:val="00A33973"/>
    <w:rsid w:val="00A35436"/>
    <w:rsid w:val="00A35FF9"/>
    <w:rsid w:val="00A367AA"/>
    <w:rsid w:val="00A37880"/>
    <w:rsid w:val="00A400BF"/>
    <w:rsid w:val="00A41417"/>
    <w:rsid w:val="00A41A3E"/>
    <w:rsid w:val="00A42C70"/>
    <w:rsid w:val="00A4378E"/>
    <w:rsid w:val="00A43CE0"/>
    <w:rsid w:val="00A4413F"/>
    <w:rsid w:val="00A44394"/>
    <w:rsid w:val="00A45B92"/>
    <w:rsid w:val="00A45EC3"/>
    <w:rsid w:val="00A46122"/>
    <w:rsid w:val="00A478BD"/>
    <w:rsid w:val="00A47CF5"/>
    <w:rsid w:val="00A5032A"/>
    <w:rsid w:val="00A50AC9"/>
    <w:rsid w:val="00A50AE7"/>
    <w:rsid w:val="00A51F03"/>
    <w:rsid w:val="00A51F67"/>
    <w:rsid w:val="00A522D4"/>
    <w:rsid w:val="00A5367D"/>
    <w:rsid w:val="00A54E07"/>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3956"/>
    <w:rsid w:val="00A73BB9"/>
    <w:rsid w:val="00A73D4A"/>
    <w:rsid w:val="00A743EB"/>
    <w:rsid w:val="00A74B4C"/>
    <w:rsid w:val="00A7552F"/>
    <w:rsid w:val="00A76236"/>
    <w:rsid w:val="00A763E7"/>
    <w:rsid w:val="00A77796"/>
    <w:rsid w:val="00A81862"/>
    <w:rsid w:val="00A8187F"/>
    <w:rsid w:val="00A8243E"/>
    <w:rsid w:val="00A8271E"/>
    <w:rsid w:val="00A827D2"/>
    <w:rsid w:val="00A83351"/>
    <w:rsid w:val="00A838DE"/>
    <w:rsid w:val="00A847C3"/>
    <w:rsid w:val="00A855CF"/>
    <w:rsid w:val="00A86128"/>
    <w:rsid w:val="00A86D6A"/>
    <w:rsid w:val="00A86E2C"/>
    <w:rsid w:val="00A8766D"/>
    <w:rsid w:val="00A90F72"/>
    <w:rsid w:val="00A93DC3"/>
    <w:rsid w:val="00A9462E"/>
    <w:rsid w:val="00A94E45"/>
    <w:rsid w:val="00A950A5"/>
    <w:rsid w:val="00A978B6"/>
    <w:rsid w:val="00A97929"/>
    <w:rsid w:val="00AA05F8"/>
    <w:rsid w:val="00AA22BE"/>
    <w:rsid w:val="00AA44A3"/>
    <w:rsid w:val="00AA5C1D"/>
    <w:rsid w:val="00AA5C61"/>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258E"/>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DB9"/>
    <w:rsid w:val="00AE4F16"/>
    <w:rsid w:val="00AE6038"/>
    <w:rsid w:val="00AE6861"/>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20DA"/>
    <w:rsid w:val="00B0229E"/>
    <w:rsid w:val="00B02467"/>
    <w:rsid w:val="00B06EFC"/>
    <w:rsid w:val="00B0753C"/>
    <w:rsid w:val="00B07DA6"/>
    <w:rsid w:val="00B07E5D"/>
    <w:rsid w:val="00B10582"/>
    <w:rsid w:val="00B10934"/>
    <w:rsid w:val="00B11496"/>
    <w:rsid w:val="00B114D4"/>
    <w:rsid w:val="00B11964"/>
    <w:rsid w:val="00B12489"/>
    <w:rsid w:val="00B1292A"/>
    <w:rsid w:val="00B13B9C"/>
    <w:rsid w:val="00B1403C"/>
    <w:rsid w:val="00B141CC"/>
    <w:rsid w:val="00B15AA5"/>
    <w:rsid w:val="00B16284"/>
    <w:rsid w:val="00B1647B"/>
    <w:rsid w:val="00B20E83"/>
    <w:rsid w:val="00B215DF"/>
    <w:rsid w:val="00B21B70"/>
    <w:rsid w:val="00B2309B"/>
    <w:rsid w:val="00B234C6"/>
    <w:rsid w:val="00B23515"/>
    <w:rsid w:val="00B23BBB"/>
    <w:rsid w:val="00B24B60"/>
    <w:rsid w:val="00B24C28"/>
    <w:rsid w:val="00B24DF3"/>
    <w:rsid w:val="00B253A1"/>
    <w:rsid w:val="00B258FA"/>
    <w:rsid w:val="00B26941"/>
    <w:rsid w:val="00B2754C"/>
    <w:rsid w:val="00B27E17"/>
    <w:rsid w:val="00B30118"/>
    <w:rsid w:val="00B3128F"/>
    <w:rsid w:val="00B31461"/>
    <w:rsid w:val="00B31929"/>
    <w:rsid w:val="00B3199A"/>
    <w:rsid w:val="00B31B33"/>
    <w:rsid w:val="00B320F5"/>
    <w:rsid w:val="00B334FC"/>
    <w:rsid w:val="00B339AC"/>
    <w:rsid w:val="00B34E93"/>
    <w:rsid w:val="00B35908"/>
    <w:rsid w:val="00B371BD"/>
    <w:rsid w:val="00B378B6"/>
    <w:rsid w:val="00B40093"/>
    <w:rsid w:val="00B40158"/>
    <w:rsid w:val="00B408BC"/>
    <w:rsid w:val="00B417AB"/>
    <w:rsid w:val="00B41E79"/>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44B"/>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2A4"/>
    <w:rsid w:val="00B656FE"/>
    <w:rsid w:val="00B65C4F"/>
    <w:rsid w:val="00B65EA6"/>
    <w:rsid w:val="00B66035"/>
    <w:rsid w:val="00B667ED"/>
    <w:rsid w:val="00B67C63"/>
    <w:rsid w:val="00B67EDA"/>
    <w:rsid w:val="00B7366B"/>
    <w:rsid w:val="00B73746"/>
    <w:rsid w:val="00B7530C"/>
    <w:rsid w:val="00B76922"/>
    <w:rsid w:val="00B772EE"/>
    <w:rsid w:val="00B77513"/>
    <w:rsid w:val="00B77F1B"/>
    <w:rsid w:val="00B8063B"/>
    <w:rsid w:val="00B807B4"/>
    <w:rsid w:val="00B81D0F"/>
    <w:rsid w:val="00B823F6"/>
    <w:rsid w:val="00B8331B"/>
    <w:rsid w:val="00B83A51"/>
    <w:rsid w:val="00B83E7B"/>
    <w:rsid w:val="00B83F1F"/>
    <w:rsid w:val="00B84B22"/>
    <w:rsid w:val="00B84DE4"/>
    <w:rsid w:val="00B85573"/>
    <w:rsid w:val="00B86481"/>
    <w:rsid w:val="00B873AE"/>
    <w:rsid w:val="00B876EC"/>
    <w:rsid w:val="00B90D85"/>
    <w:rsid w:val="00B92B86"/>
    <w:rsid w:val="00B93469"/>
    <w:rsid w:val="00B951E9"/>
    <w:rsid w:val="00B95972"/>
    <w:rsid w:val="00B95AE8"/>
    <w:rsid w:val="00B95B34"/>
    <w:rsid w:val="00B95C39"/>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057"/>
    <w:rsid w:val="00BB054C"/>
    <w:rsid w:val="00BB1EE2"/>
    <w:rsid w:val="00BB219B"/>
    <w:rsid w:val="00BB2680"/>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2C1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05C6B"/>
    <w:rsid w:val="00C10B48"/>
    <w:rsid w:val="00C10C77"/>
    <w:rsid w:val="00C1211B"/>
    <w:rsid w:val="00C129F3"/>
    <w:rsid w:val="00C14111"/>
    <w:rsid w:val="00C142B4"/>
    <w:rsid w:val="00C1585F"/>
    <w:rsid w:val="00C15B26"/>
    <w:rsid w:val="00C15C6A"/>
    <w:rsid w:val="00C16CAA"/>
    <w:rsid w:val="00C1769B"/>
    <w:rsid w:val="00C17A76"/>
    <w:rsid w:val="00C20094"/>
    <w:rsid w:val="00C21E3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05D3"/>
    <w:rsid w:val="00C414F1"/>
    <w:rsid w:val="00C41D73"/>
    <w:rsid w:val="00C41F06"/>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DD4"/>
    <w:rsid w:val="00C80321"/>
    <w:rsid w:val="00C80462"/>
    <w:rsid w:val="00C82A3D"/>
    <w:rsid w:val="00C83487"/>
    <w:rsid w:val="00C834A5"/>
    <w:rsid w:val="00C8431E"/>
    <w:rsid w:val="00C85FA4"/>
    <w:rsid w:val="00C86443"/>
    <w:rsid w:val="00C8697D"/>
    <w:rsid w:val="00C86ABD"/>
    <w:rsid w:val="00C86F74"/>
    <w:rsid w:val="00C87097"/>
    <w:rsid w:val="00C91A43"/>
    <w:rsid w:val="00C92102"/>
    <w:rsid w:val="00C92A72"/>
    <w:rsid w:val="00C94208"/>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1EC"/>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31B2"/>
    <w:rsid w:val="00CC42B6"/>
    <w:rsid w:val="00CC4510"/>
    <w:rsid w:val="00CC521C"/>
    <w:rsid w:val="00CC7588"/>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111"/>
    <w:rsid w:val="00CF0005"/>
    <w:rsid w:val="00CF0261"/>
    <w:rsid w:val="00CF0270"/>
    <w:rsid w:val="00CF07AA"/>
    <w:rsid w:val="00CF1F97"/>
    <w:rsid w:val="00CF2B24"/>
    <w:rsid w:val="00CF2F88"/>
    <w:rsid w:val="00CF309F"/>
    <w:rsid w:val="00CF3B63"/>
    <w:rsid w:val="00CF3D01"/>
    <w:rsid w:val="00CF42E9"/>
    <w:rsid w:val="00CF53D9"/>
    <w:rsid w:val="00CF5AC7"/>
    <w:rsid w:val="00CF7381"/>
    <w:rsid w:val="00CF7F58"/>
    <w:rsid w:val="00D0023B"/>
    <w:rsid w:val="00D007F3"/>
    <w:rsid w:val="00D00BF8"/>
    <w:rsid w:val="00D014A8"/>
    <w:rsid w:val="00D01E10"/>
    <w:rsid w:val="00D0202C"/>
    <w:rsid w:val="00D02411"/>
    <w:rsid w:val="00D0461E"/>
    <w:rsid w:val="00D04678"/>
    <w:rsid w:val="00D0477D"/>
    <w:rsid w:val="00D04BC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699"/>
    <w:rsid w:val="00D35C97"/>
    <w:rsid w:val="00D36CE6"/>
    <w:rsid w:val="00D41299"/>
    <w:rsid w:val="00D41D3C"/>
    <w:rsid w:val="00D41F72"/>
    <w:rsid w:val="00D423EB"/>
    <w:rsid w:val="00D442EE"/>
    <w:rsid w:val="00D468A2"/>
    <w:rsid w:val="00D47085"/>
    <w:rsid w:val="00D47589"/>
    <w:rsid w:val="00D50A85"/>
    <w:rsid w:val="00D5178D"/>
    <w:rsid w:val="00D51D0A"/>
    <w:rsid w:val="00D525F9"/>
    <w:rsid w:val="00D534BA"/>
    <w:rsid w:val="00D53537"/>
    <w:rsid w:val="00D537FB"/>
    <w:rsid w:val="00D554E6"/>
    <w:rsid w:val="00D55B4C"/>
    <w:rsid w:val="00D56AAA"/>
    <w:rsid w:val="00D56C99"/>
    <w:rsid w:val="00D61100"/>
    <w:rsid w:val="00D61B08"/>
    <w:rsid w:val="00D623C0"/>
    <w:rsid w:val="00D630B8"/>
    <w:rsid w:val="00D633D2"/>
    <w:rsid w:val="00D63656"/>
    <w:rsid w:val="00D6371A"/>
    <w:rsid w:val="00D6423D"/>
    <w:rsid w:val="00D64E2D"/>
    <w:rsid w:val="00D65FA6"/>
    <w:rsid w:val="00D67943"/>
    <w:rsid w:val="00D67B5F"/>
    <w:rsid w:val="00D67CAD"/>
    <w:rsid w:val="00D706C3"/>
    <w:rsid w:val="00D707A3"/>
    <w:rsid w:val="00D70F4B"/>
    <w:rsid w:val="00D7226F"/>
    <w:rsid w:val="00D725C2"/>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86E5D"/>
    <w:rsid w:val="00D91EA9"/>
    <w:rsid w:val="00D92EBC"/>
    <w:rsid w:val="00D93D43"/>
    <w:rsid w:val="00D944B2"/>
    <w:rsid w:val="00D94C7B"/>
    <w:rsid w:val="00D9545B"/>
    <w:rsid w:val="00D957F7"/>
    <w:rsid w:val="00D95CCF"/>
    <w:rsid w:val="00D9691F"/>
    <w:rsid w:val="00D96DF6"/>
    <w:rsid w:val="00D97364"/>
    <w:rsid w:val="00D979E8"/>
    <w:rsid w:val="00D97AE5"/>
    <w:rsid w:val="00D97B0D"/>
    <w:rsid w:val="00D97E9C"/>
    <w:rsid w:val="00DA20F0"/>
    <w:rsid w:val="00DA2D88"/>
    <w:rsid w:val="00DA4A4C"/>
    <w:rsid w:val="00DA4A76"/>
    <w:rsid w:val="00DA5622"/>
    <w:rsid w:val="00DA608B"/>
    <w:rsid w:val="00DA68C7"/>
    <w:rsid w:val="00DB2B61"/>
    <w:rsid w:val="00DB34D6"/>
    <w:rsid w:val="00DB3C05"/>
    <w:rsid w:val="00DB3DBA"/>
    <w:rsid w:val="00DB4124"/>
    <w:rsid w:val="00DB5B6E"/>
    <w:rsid w:val="00DB678B"/>
    <w:rsid w:val="00DB6D98"/>
    <w:rsid w:val="00DC057E"/>
    <w:rsid w:val="00DC097D"/>
    <w:rsid w:val="00DC108A"/>
    <w:rsid w:val="00DC121F"/>
    <w:rsid w:val="00DC15A9"/>
    <w:rsid w:val="00DC1607"/>
    <w:rsid w:val="00DC17CF"/>
    <w:rsid w:val="00DC1E19"/>
    <w:rsid w:val="00DC21F4"/>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301"/>
    <w:rsid w:val="00DE29AC"/>
    <w:rsid w:val="00DE2C99"/>
    <w:rsid w:val="00DE308B"/>
    <w:rsid w:val="00DE3CA7"/>
    <w:rsid w:val="00DE43CE"/>
    <w:rsid w:val="00DE4C77"/>
    <w:rsid w:val="00DE5DA2"/>
    <w:rsid w:val="00DE65D0"/>
    <w:rsid w:val="00DE6659"/>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BF2"/>
    <w:rsid w:val="00E03F2E"/>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7FF"/>
    <w:rsid w:val="00E25AC4"/>
    <w:rsid w:val="00E26939"/>
    <w:rsid w:val="00E26B20"/>
    <w:rsid w:val="00E26F29"/>
    <w:rsid w:val="00E302BC"/>
    <w:rsid w:val="00E31152"/>
    <w:rsid w:val="00E3132D"/>
    <w:rsid w:val="00E31954"/>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BE0"/>
    <w:rsid w:val="00E67282"/>
    <w:rsid w:val="00E70A2D"/>
    <w:rsid w:val="00E70CCC"/>
    <w:rsid w:val="00E71209"/>
    <w:rsid w:val="00E72E7D"/>
    <w:rsid w:val="00E73010"/>
    <w:rsid w:val="00E73B1E"/>
    <w:rsid w:val="00E7466E"/>
    <w:rsid w:val="00E75479"/>
    <w:rsid w:val="00E75514"/>
    <w:rsid w:val="00E7553B"/>
    <w:rsid w:val="00E76ACE"/>
    <w:rsid w:val="00E775D4"/>
    <w:rsid w:val="00E80149"/>
    <w:rsid w:val="00E81287"/>
    <w:rsid w:val="00E81FA5"/>
    <w:rsid w:val="00E81FDD"/>
    <w:rsid w:val="00E822C7"/>
    <w:rsid w:val="00E827E1"/>
    <w:rsid w:val="00E82B6C"/>
    <w:rsid w:val="00E8353F"/>
    <w:rsid w:val="00E84D9E"/>
    <w:rsid w:val="00E84DEC"/>
    <w:rsid w:val="00E84ED0"/>
    <w:rsid w:val="00E86232"/>
    <w:rsid w:val="00E86421"/>
    <w:rsid w:val="00E865BD"/>
    <w:rsid w:val="00E86F1E"/>
    <w:rsid w:val="00E87122"/>
    <w:rsid w:val="00E87965"/>
    <w:rsid w:val="00E90E50"/>
    <w:rsid w:val="00E90FBA"/>
    <w:rsid w:val="00E91000"/>
    <w:rsid w:val="00E91550"/>
    <w:rsid w:val="00E926A5"/>
    <w:rsid w:val="00E94AE8"/>
    <w:rsid w:val="00E94F65"/>
    <w:rsid w:val="00E96E30"/>
    <w:rsid w:val="00E9788D"/>
    <w:rsid w:val="00E9792C"/>
    <w:rsid w:val="00E97B50"/>
    <w:rsid w:val="00EA1181"/>
    <w:rsid w:val="00EA13B5"/>
    <w:rsid w:val="00EA147B"/>
    <w:rsid w:val="00EA2799"/>
    <w:rsid w:val="00EA2EC0"/>
    <w:rsid w:val="00EA3D3D"/>
    <w:rsid w:val="00EA403A"/>
    <w:rsid w:val="00EA46F7"/>
    <w:rsid w:val="00EA6728"/>
    <w:rsid w:val="00EA72E8"/>
    <w:rsid w:val="00EA74E6"/>
    <w:rsid w:val="00EA76FF"/>
    <w:rsid w:val="00EB051C"/>
    <w:rsid w:val="00EB0645"/>
    <w:rsid w:val="00EB0A27"/>
    <w:rsid w:val="00EB0AB5"/>
    <w:rsid w:val="00EB1ADA"/>
    <w:rsid w:val="00EB29C1"/>
    <w:rsid w:val="00EB3927"/>
    <w:rsid w:val="00EB46E1"/>
    <w:rsid w:val="00EB473F"/>
    <w:rsid w:val="00EB49CC"/>
    <w:rsid w:val="00EB7883"/>
    <w:rsid w:val="00EB7972"/>
    <w:rsid w:val="00EC13BB"/>
    <w:rsid w:val="00EC1820"/>
    <w:rsid w:val="00EC533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1D94"/>
    <w:rsid w:val="00EE1E04"/>
    <w:rsid w:val="00EE27EF"/>
    <w:rsid w:val="00EE2FBD"/>
    <w:rsid w:val="00EE3B11"/>
    <w:rsid w:val="00EE478C"/>
    <w:rsid w:val="00EE5E80"/>
    <w:rsid w:val="00EE5FED"/>
    <w:rsid w:val="00EE6158"/>
    <w:rsid w:val="00EE6FEF"/>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161"/>
    <w:rsid w:val="00F161F9"/>
    <w:rsid w:val="00F173C9"/>
    <w:rsid w:val="00F20511"/>
    <w:rsid w:val="00F2127E"/>
    <w:rsid w:val="00F223D7"/>
    <w:rsid w:val="00F23C66"/>
    <w:rsid w:val="00F24CA0"/>
    <w:rsid w:val="00F25B83"/>
    <w:rsid w:val="00F25F17"/>
    <w:rsid w:val="00F27A84"/>
    <w:rsid w:val="00F3172E"/>
    <w:rsid w:val="00F3200A"/>
    <w:rsid w:val="00F324AC"/>
    <w:rsid w:val="00F32577"/>
    <w:rsid w:val="00F332F0"/>
    <w:rsid w:val="00F33C79"/>
    <w:rsid w:val="00F33D9F"/>
    <w:rsid w:val="00F33DD2"/>
    <w:rsid w:val="00F34DAF"/>
    <w:rsid w:val="00F355B5"/>
    <w:rsid w:val="00F359DE"/>
    <w:rsid w:val="00F3644C"/>
    <w:rsid w:val="00F36987"/>
    <w:rsid w:val="00F37CBC"/>
    <w:rsid w:val="00F37E4A"/>
    <w:rsid w:val="00F41E00"/>
    <w:rsid w:val="00F423CE"/>
    <w:rsid w:val="00F42580"/>
    <w:rsid w:val="00F42DA8"/>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029A"/>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87BA8"/>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5D6F"/>
    <w:rsid w:val="00FB65AC"/>
    <w:rsid w:val="00FB6E00"/>
    <w:rsid w:val="00FB7788"/>
    <w:rsid w:val="00FC0C7B"/>
    <w:rsid w:val="00FC2BE8"/>
    <w:rsid w:val="00FC39BA"/>
    <w:rsid w:val="00FC436F"/>
    <w:rsid w:val="00FC5914"/>
    <w:rsid w:val="00FC6799"/>
    <w:rsid w:val="00FC6EDF"/>
    <w:rsid w:val="00FC7765"/>
    <w:rsid w:val="00FD0F60"/>
    <w:rsid w:val="00FD118E"/>
    <w:rsid w:val="00FD2A65"/>
    <w:rsid w:val="00FD2AB0"/>
    <w:rsid w:val="00FD3685"/>
    <w:rsid w:val="00FD3A69"/>
    <w:rsid w:val="00FD3D66"/>
    <w:rsid w:val="00FD3EB9"/>
    <w:rsid w:val="00FD4593"/>
    <w:rsid w:val="00FD4CB4"/>
    <w:rsid w:val="00FD4EF0"/>
    <w:rsid w:val="00FD506D"/>
    <w:rsid w:val="00FD5455"/>
    <w:rsid w:val="00FD63A1"/>
    <w:rsid w:val="00FD6E31"/>
    <w:rsid w:val="00FE044C"/>
    <w:rsid w:val="00FE0E91"/>
    <w:rsid w:val="00FE234C"/>
    <w:rsid w:val="00FE394E"/>
    <w:rsid w:val="00FE6288"/>
    <w:rsid w:val="00FE67BB"/>
    <w:rsid w:val="00FE68B2"/>
    <w:rsid w:val="00FE6ADF"/>
    <w:rsid w:val="00FE6F48"/>
    <w:rsid w:val="00FE7250"/>
    <w:rsid w:val="00FE7D7E"/>
    <w:rsid w:val="00FF0AB7"/>
    <w:rsid w:val="00FF16D1"/>
    <w:rsid w:val="00FF24B5"/>
    <w:rsid w:val="00FF2BA0"/>
    <w:rsid w:val="00FF3C13"/>
    <w:rsid w:val="00FF485C"/>
    <w:rsid w:val="00FF528C"/>
    <w:rsid w:val="00FF5A6D"/>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B0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5"/>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en-GB"/>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7B6259"/>
    <w:pPr>
      <w:overflowPunct w:val="0"/>
      <w:autoSpaceDE w:val="0"/>
      <w:autoSpaceDN w:val="0"/>
      <w:adjustRightInd w:val="0"/>
      <w:spacing w:after="200" w:line="276" w:lineRule="auto"/>
      <w:ind w:left="720"/>
      <w:jc w:val="left"/>
      <w:textAlignment w:val="baseline"/>
    </w:pPr>
    <w:rPr>
      <w:rFonts w:ascii="Calibri" w:eastAsiaTheme="minorHAnsi" w:hAnsi="Calibri" w:cs="Calibri"/>
      <w:szCs w:val="20"/>
      <w:lang w:val="fr-BE" w:eastAsia="fr-BE"/>
    </w:r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126CE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2435F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DC121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DC121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1B624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235E6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DE665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9E655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C41F0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1546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5D0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AE686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48644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CF3B6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CF3B6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A3259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E76AC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115BB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016C2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016C2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6C6A1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23126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B114D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0F732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EE6FE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688021582">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Bartek.Bednarowicz@eesc.europa.eu" TargetMode="External"/><Relationship Id="rId39" Type="http://schemas.openxmlformats.org/officeDocument/2006/relationships/hyperlink" Target="https://www.eesc.europa.eu/en/our-work/opinions-information-reports/opinions/towards-comprehensive-strategy-eu-wood-industry" TargetMode="External"/><Relationship Id="rId21" Type="http://schemas.openxmlformats.org/officeDocument/2006/relationships/hyperlink" Target="mailto:Juri.Soosaar@eesc.europa.eu" TargetMode="External"/><Relationship Id="rId34" Type="http://schemas.openxmlformats.org/officeDocument/2006/relationships/hyperlink" Target="mailto:Caroline.Verhelst@eesc.europa.eu" TargetMode="External"/><Relationship Id="rId42" Type="http://schemas.openxmlformats.org/officeDocument/2006/relationships/header" Target="header5.xml"/><Relationship Id="rId47" Type="http://schemas.openxmlformats.org/officeDocument/2006/relationships/fontTable" Target="fontTable.xml"/><Relationship Id="rId50" Type="http://schemas.openxmlformats.org/officeDocument/2006/relationships/customXml" Target="../customXml/item2.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https://www.eesc.europa.eu/en/our-work/opinions-information-reports/opinions/alternative-dispute-resolution" TargetMode="Externa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Sergio.LorencioMatallana@eesc.europa.eu" TargetMode="External"/><Relationship Id="rId32" Type="http://schemas.openxmlformats.org/officeDocument/2006/relationships/hyperlink" Target="mailto:Dalila.Bernard@eesc.europa.eu" TargetMode="External"/><Relationship Id="rId37" Type="http://schemas.openxmlformats.org/officeDocument/2006/relationships/hyperlink" Target="https://www.eesc.europa.eu/en/our-work/opinions-information-reports/opinions/revision-combined-transport-directive-92106eec" TargetMode="External"/><Relationship Id="rId40" Type="http://schemas.openxmlformats.org/officeDocument/2006/relationships/hyperlink" Target="mailto:Heli.Niemela-Farrer@eesc.europa.eu" TargetMode="External"/><Relationship Id="rId45"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eesc.europa.eu/en/our-work/opinions-information-reports/opinions/improving-benchmarks-and-reporting-requirements-financial-services-and-investment-support" TargetMode="External"/><Relationship Id="rId28" Type="http://schemas.openxmlformats.org/officeDocument/2006/relationships/hyperlink" Target="mailto:June.Bedaton@eesc.europa.eu" TargetMode="External"/><Relationship Id="rId36" Type="http://schemas.openxmlformats.org/officeDocument/2006/relationships/hyperlink" Target="mailto:Marco.Ristori@eesc.europa.eu" TargetMode="External"/><Relationship Id="rId49" Type="http://schemas.openxmlformats.org/officeDocument/2006/relationships/customXml" Target="../customXml/item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eesc.europa.eu/en/our-work/opinions-information-reports/opinions/sme-relief-package" TargetMode="External"/><Relationship Id="rId44" Type="http://schemas.openxmlformats.org/officeDocument/2006/relationships/footer" Target="footer5.xml"/><Relationship Id="rId52"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Colombe.Gregoire@eesc.europa.eu" TargetMode="External"/><Relationship Id="rId27" Type="http://schemas.openxmlformats.org/officeDocument/2006/relationships/hyperlink" Target="https://www.eesc.europa.eu/en/our-work/opinions-information-reports/opinions/strengthening-civil-dialogue-and-participatory-democracy-eu-path-forward" TargetMode="External"/><Relationship Id="rId30" Type="http://schemas.openxmlformats.org/officeDocument/2006/relationships/hyperlink" Target="mailto:Silvia.Staffa@eesc.europa.eu" TargetMode="External"/><Relationship Id="rId35" Type="http://schemas.openxmlformats.org/officeDocument/2006/relationships/hyperlink" Target="https://www.eesc.europa.eu/en/our-work/opinions-information-reports/opinions/european-economic-security-strategy" TargetMode="External"/><Relationship Id="rId43" Type="http://schemas.openxmlformats.org/officeDocument/2006/relationships/footer" Target="footer4.xml"/><Relationship Id="rId48"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customXml" Target="../customXml/item3.xml"/><Relationship Id="rId12" Type="http://schemas.openxmlformats.org/officeDocument/2006/relationships/hyperlink" Target="https://www.eesc.europa.eu/en/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https://www.eesc.europa.eu/en/our-work/opinions-information-reports/opinions/digitalisation-social-security" TargetMode="External"/><Relationship Id="rId33" Type="http://schemas.openxmlformats.org/officeDocument/2006/relationships/hyperlink" Target="https://www.eesc.europa.eu/en/our-work/opinions-information-reports/opinions/preventing-plastic-pellet-losses-reduce-microplastics-pollution" TargetMode="External"/><Relationship Id="rId38" Type="http://schemas.openxmlformats.org/officeDocument/2006/relationships/hyperlink" Target="mailto:Aleksandra.SarmanGrilc@eesc.europa.eu" TargetMode="External"/><Relationship Id="rId46" Type="http://schemas.openxmlformats.org/officeDocument/2006/relationships/footer" Target="footer6.xml"/><Relationship Id="rId20" Type="http://schemas.openxmlformats.org/officeDocument/2006/relationships/hyperlink" Target="https://www.eesc.europa.eu/en/our-work/opinions-information-reports/opinions/taxation-cross-border-teleworkers-globally-and-impact-eu" TargetMode="External"/><Relationship Id="rId41"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F7M6YNZUATRX-416430479-4312</_dlc_DocId>
    <_dlc_DocIdUrl xmlns="59ace41b-6786-4ce3-be71-52c27066c6ef">
      <Url>http://dm/eesc/2024/_layouts/15/DocIdRedir.aspx?ID=F7M6YNZUATRX-416430479-4312</Url>
      <Description>F7M6YNZUATRX-416430479-4312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2024-03-06T12:00:00+00:00</ProductionDate>
    <FicheYear xmlns="59ace41b-6786-4ce3-be71-52c27066c6ef" xsi:nil="true"/>
    <DocumentNumber xmlns="1178e5e2-058a-41a1-9851-331c7b3fffb8">286</DocumentNumber>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2024-03-20T12:00:00+00:00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2630</FicheNumber>
    <OriginalSender xmlns="59ace41b-6786-4ce3-be71-52c27066c6ef">
      <UserInfo>
        <DisplayName>TDriveSVCUserProd</DisplayName>
        <AccountId>1388</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178e5e2-058a-41a1-9851-331c7b3fffb8">586</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E20A70424F8EF14D84929FAE9E34774B" ma:contentTypeVersion="4" ma:contentTypeDescription="Defines the documents for Document Manager V2" ma:contentTypeScope="" ma:versionID="3c88e340e370a402dfed352137800822">
  <xsd:schema xmlns:xsd="http://www.w3.org/2001/XMLSchema" xmlns:xs="http://www.w3.org/2001/XMLSchema" xmlns:p="http://schemas.microsoft.com/office/2006/metadata/properties" xmlns:ns2="59ace41b-6786-4ce3-be71-52c27066c6ef" xmlns:ns3="http://schemas.microsoft.com/sharepoint/v3/fields" xmlns:ns4="1178e5e2-058a-41a1-9851-331c7b3fffb8" targetNamespace="http://schemas.microsoft.com/office/2006/metadata/properties" ma:root="true" ma:fieldsID="cff03e2a422031f7afb63180aa455c21" ns2:_="" ns3:_="" ns4:_="">
    <xsd:import namespace="59ace41b-6786-4ce3-be71-52c27066c6ef"/>
    <xsd:import namespace="http://schemas.microsoft.com/sharepoint/v3/fields"/>
    <xsd:import namespace="1178e5e2-058a-41a1-9851-331c7b3fff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78e5e2-058a-41a1-9851-331c7b3fffb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0E0D30-31D3-4E24-973D-101357FD19B3}"/>
</file>

<file path=customXml/itemProps2.xml><?xml version="1.0" encoding="utf-8"?>
<ds:datastoreItem xmlns:ds="http://schemas.openxmlformats.org/officeDocument/2006/customXml" ds:itemID="{40CDBC1D-F2A9-40EF-95CB-C0D56A8CD874}"/>
</file>

<file path=customXml/itemProps3.xml><?xml version="1.0" encoding="utf-8"?>
<ds:datastoreItem xmlns:ds="http://schemas.openxmlformats.org/officeDocument/2006/customXml" ds:itemID="{6B386FCC-AF05-4E5A-8A76-72CD0F05D162}"/>
</file>

<file path=customXml/itemProps4.xml><?xml version="1.0" encoding="utf-8"?>
<ds:datastoreItem xmlns:ds="http://schemas.openxmlformats.org/officeDocument/2006/customXml" ds:itemID="{6C8DDC33-F8A1-49BE-9E76-FA9417113EEF}"/>
</file>

<file path=docProps/app.xml><?xml version="1.0" encoding="utf-8"?>
<Properties xmlns="http://schemas.openxmlformats.org/officeDocument/2006/extended-properties" xmlns:vt="http://schemas.openxmlformats.org/officeDocument/2006/docPropsVTypes">
  <Template>Normal</Template>
  <TotalTime>0</TotalTime>
  <Pages>2</Pages>
  <Words>4362</Words>
  <Characters>24867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Summary of opinions - 584th Plenary Session January 2024</vt:lpstr>
    </vt:vector>
  </TitlesOfParts>
  <Company>CESE-CdR</Company>
  <LinksUpToDate>false</LinksUpToDate>
  <CharactersWithSpaces>29171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the opinions - 585th plenary session - February 2024</dc:title>
  <dc:subject>Consultative work, various</dc:subject>
  <dc:creator>Nieddu Emma</dc:creator>
  <cp:keywords>EESC-2024-00286-00-01-TCD-TRA-EN</cp:keywords>
  <dc:description>Rapporteur: -  Original language: - EN Date of document: - 06/03/2024 Date of meeting: - 20/03/2024 External documents: -  Administrator responsible: - MME TAMASAUSKIENE Julija</dc:description>
  <cp:lastModifiedBy>TDriveSVCUserProd</cp:lastModifiedBy>
  <cp:revision>5</cp:revision>
  <cp:lastPrinted>2023-06-15T08:00:00Z</cp:lastPrinted>
  <dcterms:created xsi:type="dcterms:W3CDTF">2024-03-06T16:02:00Z</dcterms:created>
  <dcterms:modified xsi:type="dcterms:W3CDTF">2024-03-06T16:05:00Z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06/03/2024, 27/02/2024, 29/01/2024, 03/01/2024, 13/11/2023, 25/09/2023, 25/07/2023, 30/06/2023, 23/06/2023, 26/05/2023, 07/03/2023, 11/01/2023, 10/01/2023, 29/03/2022, 04/03/2022, 15/12/2021, 13/09/2021, 03/09/2021, 28/06/2021</vt:lpwstr>
  </property>
  <property fmtid="{D5CDD505-2E9C-101B-9397-08002B2CF9AE}" pid="4" name="Pref_Time">
    <vt:lpwstr>16:49:23, 12:56:45, 17:07:09, 15:02:18, 17:01:12, 16:07:19, 11:58:41, 14:00:08, 12:39:02, 15:12:50, 10:27:54, 10:12:15, 11:41:25, 14:21:50, 16:54:06, 17:56:36, 14:13:00, 10:08:10, 08:41:48</vt:lpwstr>
  </property>
  <property fmtid="{D5CDD505-2E9C-101B-9397-08002B2CF9AE}" pid="5" name="Pref_User">
    <vt:lpwstr>jhvi, jhvi, amett, enied, amett, amett, jhvi, pacup, jhvi, pacup, enied, pacup, enied, jhvi, enied, hnic, amett, enied, enied</vt:lpwstr>
  </property>
  <property fmtid="{D5CDD505-2E9C-101B-9397-08002B2CF9AE}" pid="6" name="Pref_FileName">
    <vt:lpwstr>EESC-2024-00286-00-01-TCD-ORI.docx, EESC-2024-00286-00-00-TCD-ORI.docx, EESC-2023-05816-00-00-TCD-ORI.docx, EESC-2023-04915-00-00-TCD-ORI.docx, EESC-2023-04201-00-00-TCD-ORI.docx, EESC-2023-03625-00-00-TCD-ORI.docx, EESC-2023-03078-00-00-TCD-TRA-EN-CRR.do</vt:lpwstr>
  </property>
  <property fmtid="{D5CDD505-2E9C-101B-9397-08002B2CF9AE}" pid="7" name="ContentTypeId">
    <vt:lpwstr>0x010100EA97B91038054C99906057A708A1480A00E20A70424F8EF14D84929FAE9E34774B</vt:lpwstr>
  </property>
  <property fmtid="{D5CDD505-2E9C-101B-9397-08002B2CF9AE}" pid="8" name="_dlc_DocIdItemGuid">
    <vt:lpwstr>637d3f50-8042-436e-ae71-11df3e1234c0</vt:lpwstr>
  </property>
  <property fmtid="{D5CDD505-2E9C-101B-9397-08002B2CF9AE}" pid="9" name="AvailableTranslations">
    <vt:lpwstr>5;#EN|f2175f21-25d7-44a3-96da-d6a61b075e1b;#36;#PT|50ccc04a-eadd-42ae-a0cb-acaf45f812ba;#14;#FR|d2afafd3-4c81-4f60-8f52-ee33f2f54ff3;#30;#HR|2f555653-ed1a-4fe6-8362-9082d95989e5;#16;#DA|5d49c027-8956-412b-aa16-e85a0f96ad0e;#43;#CS|72f9705b-0217-4fd3-bea2-cbc7ed80e26e;#12;#IT|0774613c-01ed-4e5d-a25d-11d2388de825;#33;#ET|ff6c3f4c-b02c-4c3c-ab07-2c37995a7a0a;#34;#LT|a7ff5ce7-6123-4f68-865a-a57c31810414;#27;#SL|98a412ae-eb01-49e9-ae3d-585a81724cfc;#32;#HU|6b229040-c589-4408-b4c1-4285663d20a8;#21;#SV|c2ed69e7-a339-43d7-8f22-d93680a92aa0;#35;#FI|87606a43-d45f-42d6-b8c9-e1a3457db5b7;#31;#NL|55c6556c-b4f4-441d-9acf-c498d4f838bd;#22;#BG|1a1b3951-7821-4e6a-85f5-5673fc08bd2c;#37;#RO|feb747a2-64cd-4299-af12-4833ddc30497;#28;#LV|46f7e311-5d9f-4663-b433-18aeccb7ace7;#24;#ES|e7a6b05b-ae16-40c8-add9-68b64b03aeba;#29;#EL|6d4f4d51-af9b-4650-94b4-4276bee85c91;#25;#DE|f6b31e5a-26fa-4935-b661-318e46daf27e;#17;#PL|1e03da61-4678-4e07-b136-b5024ca9197b;#26;#SK|46d9fce0-ef79-4f71-b89b-cd6aa82426b8</vt:lpwstr>
  </property>
  <property fmtid="{D5CDD505-2E9C-101B-9397-08002B2CF9AE}" pid="10" name="DocumentType_0">
    <vt:lpwstr>TCD|cd9d6eb6-3f4f-424a-b2d1-57c9d450eaaf</vt:lpwstr>
  </property>
  <property fmtid="{D5CDD505-2E9C-101B-9397-08002B2CF9AE}" pid="11" name="MeetingNumber">
    <vt:i4>586</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286</vt:i4>
  </property>
  <property fmtid="{D5CDD505-2E9C-101B-9397-08002B2CF9AE}" pid="15" name="FicheYear">
    <vt:i4>2024</vt:i4>
  </property>
  <property fmtid="{D5CDD505-2E9C-101B-9397-08002B2CF9AE}" pid="16" name="DocumentVersion">
    <vt:i4>1</vt:i4>
  </property>
  <property fmtid="{D5CDD505-2E9C-101B-9397-08002B2CF9AE}" pid="17" name="DocumentStatus">
    <vt:lpwstr>3;#TRA|150d2a88-1431-44e6-a8ca-0bb753ab8672</vt:lpwstr>
  </property>
  <property fmtid="{D5CDD505-2E9C-101B-9397-08002B2CF9AE}" pid="18" name="DossierName">
    <vt:lpwstr/>
  </property>
  <property fmtid="{D5CDD505-2E9C-101B-9397-08002B2CF9AE}" pid="19" name="RequestingService">
    <vt:lpwstr>Greffe</vt:lpwstr>
  </property>
  <property fmtid="{D5CDD505-2E9C-101B-9397-08002B2CF9AE}" pid="20" name="Confidentiality">
    <vt:lpwstr>6;#Unrestricted|826e22d7-d029-4ec0-a450-0c28ff673572</vt:lpwstr>
  </property>
  <property fmtid="{D5CDD505-2E9C-101B-9397-08002B2CF9AE}" pid="21" name="MeetingName_0">
    <vt:lpwstr>SPL-CES|32d8cb1f-c9ec-4365-95c7-8385a18618ac</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7;#SPL-CES|32d8cb1f-c9ec-4365-95c7-8385a18618ac</vt:lpwstr>
  </property>
  <property fmtid="{D5CDD505-2E9C-101B-9397-08002B2CF9AE}" pid="25" name="MeetingDate">
    <vt:filetime>2024-03-20T12:00:00Z</vt:filetime>
  </property>
  <property fmtid="{D5CDD505-2E9C-101B-9397-08002B2CF9AE}" pid="26" name="AvailableTranslations_0">
    <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13;#TCD|cd9d6eb6-3f4f-424a-b2d1-57c9d450eaaf;#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2024</vt:i4>
  </property>
  <property fmtid="{D5CDD505-2E9C-101B-9397-08002B2CF9AE}" pid="33" name="FicheNumber">
    <vt:i4>2630</vt:i4>
  </property>
  <property fmtid="{D5CDD505-2E9C-101B-9397-08002B2CF9AE}" pid="34" name="DocumentPart">
    <vt:i4>0</vt:i4>
  </property>
  <property fmtid="{D5CDD505-2E9C-101B-9397-08002B2CF9AE}" pid="35" name="DocumentSource">
    <vt:lpwstr>1;#EESC|422833ec-8d7e-4e65-8e4e-8bed07ffb729</vt:lpwstr>
  </property>
  <property fmtid="{D5CDD505-2E9C-101B-9397-08002B2CF9AE}" pid="37" name="DocumentType">
    <vt:lpwstr>13;#TCD|cd9d6eb6-3f4f-424a-b2d1-57c9d450eaaf</vt:lpwstr>
  </property>
  <property fmtid="{D5CDD505-2E9C-101B-9397-08002B2CF9AE}" pid="38" name="DocumentLanguage">
    <vt:lpwstr>5;#EN|f2175f21-25d7-44a3-96da-d6a61b075e1b</vt:lpwstr>
  </property>
  <property fmtid="{D5CDD505-2E9C-101B-9397-08002B2CF9AE}" pid="39" name="_docset_NoMedatataSyncRequired">
    <vt:lpwstr>False</vt:lpwstr>
  </property>
</Properties>
</file>