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803992" w14:paraId="785AE44C" w14:textId="5E000476">
      <w:pPr>
        <w:jc w:val="center"/>
      </w:pPr>
      <w:bookmarkStart w:name="_Hlk141173132" w:id="0"/>
      <w:r>
        <w:rPr>
          <w:noProof/>
        </w:rPr>
        <w:drawing>
          <wp:inline distT="0" distB="0" distL="0" distR="0" wp14:anchorId="3324E4B9" wp14:editId="350D659D">
            <wp:extent cx="1792605" cy="1239520"/>
            <wp:effectExtent l="0" t="0" r="0" b="0"/>
            <wp:docPr id="2" name="Picture 2" title="EESCLogo_BG"/>
            <wp:cNvGraphicFramePr/>
            <a:graphic xmlns:a="http://schemas.openxmlformats.org/drawingml/2006/main">
              <a:graphicData uri="http://schemas.openxmlformats.org/drawingml/2006/picture">
                <pic:pic xmlns:pic="http://schemas.openxmlformats.org/drawingml/2006/picture">
                  <pic:nvPicPr>
                    <pic:cNvPr id="2" name="Picture 2" title="EESCLogo_B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8752"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094B6B" w:rsidR="004D7AC0" w:rsidP="00775FC4" w:rsidRDefault="00014C93" w14:paraId="45DE4A28" w14:textId="5402B3AE">
      <w:pPr>
        <w:jc w:val="right"/>
      </w:pPr>
      <w:r>
        <w:t>Брюксел, 18 март 2024 г.</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585-а ПЛЕНАРНА СЕСИЯ</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14 и 15 февруари 2024 г.</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ОБОБЩЕНИЕ НА ПРИЕТИТЕ СТАНОВИЩА, РЕЗОЛЮЦИИ И ИНФОРМАЦИОННИ ДОКЛАДИ / ДОКЛАДИ ЗА ОЦЕНКА</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Настоящият документ е достъпен на официалните езици на уебсайта на ЕИСК на следния адрес:</w:t>
            </w:r>
          </w:p>
          <w:p w:rsidRPr="00094B6B" w:rsidR="00B16284" w:rsidP="00775FC4" w:rsidRDefault="00B16284" w14:paraId="4F26A4CE" w14:textId="77777777">
            <w:pPr>
              <w:snapToGrid w:val="0"/>
              <w:jc w:val="center"/>
            </w:pPr>
          </w:p>
          <w:p w:rsidRPr="00094B6B" w:rsidR="004D7AC0" w:rsidP="00775FC4" w:rsidRDefault="0066462F" w14:paraId="2A9352A2" w14:textId="0680ADB6">
            <w:pPr>
              <w:snapToGrid w:val="0"/>
              <w:jc w:val="center"/>
            </w:pPr>
            <w:hyperlink w:history="1" r:id="rId12">
              <w:r w:rsidR="00803992">
                <w:rPr>
                  <w:rStyle w:val="Hyperlink"/>
                  <w:highlight w:val="yellow"/>
                </w:rPr>
                <w:t>https://www.eesc.europa.eu/bg/our-work/opinions-information-reports/plenary-session-summarie</w:t>
              </w:r>
            </w:hyperlink>
            <w:r w:rsidR="00803992">
              <w:t>s</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Изброените становища могат да бъдат намерени онлайн чрез търсачката на ЕИСК:</w:t>
            </w:r>
          </w:p>
          <w:p w:rsidRPr="00094B6B" w:rsidR="00B16284" w:rsidP="00775FC4" w:rsidRDefault="00B16284" w14:paraId="7A5411A5" w14:textId="77777777">
            <w:pPr>
              <w:snapToGrid w:val="0"/>
              <w:jc w:val="center"/>
            </w:pPr>
          </w:p>
          <w:p w:rsidRPr="00094B6B" w:rsidR="004D7AC0" w:rsidP="00775FC4" w:rsidRDefault="0066462F" w14:paraId="441AC4DD" w14:textId="1194D751">
            <w:pPr>
              <w:snapToGrid w:val="0"/>
              <w:jc w:val="center"/>
            </w:pPr>
            <w:hyperlink w:history="1" r:id="rId13">
              <w:r w:rsidR="00803992">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Съдържание</w:t>
          </w:r>
        </w:p>
        <w:p w:rsidR="00C37A0A" w:rsidRDefault="00544D95" w14:paraId="25EF3A01" w14:textId="4EC6D946">
          <w:pPr>
            <w:pStyle w:val="TOC1"/>
            <w:rPr>
              <w:rFonts w:asciiTheme="minorHAnsi" w:hAnsiTheme="minorHAnsi" w:eastAsiaTheme="minorEastAsia" w:cstheme="minorBidi"/>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60715305">
            <w:r w:rsidRPr="006E5694" w:rsidR="00C37A0A">
              <w:rPr>
                <w:rStyle w:val="Hyperlink"/>
                <w14:scene3d>
                  <w14:camera w14:prst="orthographicFront"/>
                  <w14:lightRig w14:rig="threePt" w14:dir="t">
                    <w14:rot w14:lat="0" w14:lon="0" w14:rev="0"/>
                  </w14:lightRig>
                </w14:scene3d>
              </w:rPr>
              <w:t>1.</w:t>
            </w:r>
            <w:r w:rsidR="00C37A0A">
              <w:rPr>
                <w:rFonts w:asciiTheme="minorHAnsi" w:hAnsiTheme="minorHAnsi" w:eastAsiaTheme="minorEastAsia" w:cstheme="minorBidi"/>
                <w:bCs w:val="0"/>
                <w:sz w:val="22"/>
                <w:szCs w:val="22"/>
                <w:lang w:val="fr-BE" w:eastAsia="fr-BE"/>
              </w:rPr>
              <w:tab/>
            </w:r>
            <w:r w:rsidRPr="006E5694" w:rsidR="00C37A0A">
              <w:rPr>
                <w:rStyle w:val="Hyperlink"/>
                <w:b/>
              </w:rPr>
              <w:t>ИКОНОМИЧЕСКИ И ПАРИЧЕН С</w:t>
            </w:r>
            <w:r w:rsidRPr="006E5694" w:rsidR="00C37A0A">
              <w:rPr>
                <w:rStyle w:val="Hyperlink"/>
                <w:b/>
              </w:rPr>
              <w:t>Ъ</w:t>
            </w:r>
            <w:r w:rsidRPr="006E5694" w:rsidR="00C37A0A">
              <w:rPr>
                <w:rStyle w:val="Hyperlink"/>
                <w:b/>
              </w:rPr>
              <w:t>ЮЗ, ИКОНОМИЧЕСКО И СОЦИАЛНО СБЛИЖАВАНЕ</w:t>
            </w:r>
            <w:r w:rsidR="00C37A0A">
              <w:rPr>
                <w:rStyle w:val="Hyperlink"/>
                <w:b/>
                <w:lang w:val="en-US"/>
              </w:rPr>
              <w:t>………………………………………………………………………………………………...</w:t>
            </w:r>
            <w:r w:rsidR="00C37A0A">
              <w:rPr>
                <w:webHidden/>
              </w:rPr>
              <w:fldChar w:fldCharType="begin"/>
            </w:r>
            <w:r w:rsidR="00C37A0A">
              <w:rPr>
                <w:webHidden/>
              </w:rPr>
              <w:instrText xml:space="preserve"> PAGEREF _Toc160715305 \h </w:instrText>
            </w:r>
            <w:r w:rsidR="00C37A0A">
              <w:rPr>
                <w:webHidden/>
              </w:rPr>
            </w:r>
            <w:r w:rsidR="00C37A0A">
              <w:rPr>
                <w:webHidden/>
              </w:rPr>
              <w:fldChar w:fldCharType="separate"/>
            </w:r>
            <w:r w:rsidR="00C37A0A">
              <w:rPr>
                <w:webHidden/>
              </w:rPr>
              <w:t>3</w:t>
            </w:r>
            <w:r w:rsidR="00C37A0A">
              <w:rPr>
                <w:webHidden/>
              </w:rPr>
              <w:fldChar w:fldCharType="end"/>
            </w:r>
          </w:hyperlink>
        </w:p>
        <w:p w:rsidR="00C37A0A" w:rsidRDefault="00C37A0A" w14:paraId="5633C632" w14:textId="3F253077">
          <w:pPr>
            <w:pStyle w:val="TOC1"/>
            <w:rPr>
              <w:rFonts w:asciiTheme="minorHAnsi" w:hAnsiTheme="minorHAnsi" w:eastAsiaTheme="minorEastAsia" w:cstheme="minorBidi"/>
              <w:bCs w:val="0"/>
              <w:sz w:val="22"/>
              <w:szCs w:val="22"/>
              <w:lang w:val="fr-BE" w:eastAsia="fr-BE"/>
            </w:rPr>
          </w:pPr>
          <w:hyperlink w:history="1" w:anchor="_Toc160715317">
            <w:r w:rsidRPr="006E5694">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fr-BE" w:eastAsia="fr-BE"/>
              </w:rPr>
              <w:tab/>
            </w:r>
            <w:r w:rsidRPr="006E5694">
              <w:rPr>
                <w:rStyle w:val="Hyperlink"/>
                <w:b/>
              </w:rPr>
              <w:t>ЗАЕТОСТ, СОЦИАЛНИ ВЪПРОСИ И ГРАЖДАНСТВО</w:t>
            </w:r>
            <w:r>
              <w:rPr>
                <w:webHidden/>
              </w:rPr>
              <w:tab/>
            </w:r>
            <w:r>
              <w:rPr>
                <w:webHidden/>
              </w:rPr>
              <w:fldChar w:fldCharType="begin"/>
            </w:r>
            <w:r>
              <w:rPr>
                <w:webHidden/>
              </w:rPr>
              <w:instrText xml:space="preserve"> PAGEREF _Toc160715317 \h </w:instrText>
            </w:r>
            <w:r>
              <w:rPr>
                <w:webHidden/>
              </w:rPr>
            </w:r>
            <w:r>
              <w:rPr>
                <w:webHidden/>
              </w:rPr>
              <w:fldChar w:fldCharType="separate"/>
            </w:r>
            <w:r>
              <w:rPr>
                <w:webHidden/>
              </w:rPr>
              <w:t>7</w:t>
            </w:r>
            <w:r>
              <w:rPr>
                <w:webHidden/>
              </w:rPr>
              <w:fldChar w:fldCharType="end"/>
            </w:r>
          </w:hyperlink>
        </w:p>
        <w:p w:rsidR="00C37A0A" w:rsidRDefault="00C37A0A" w14:paraId="1B4742C9" w14:textId="5AA9B488">
          <w:pPr>
            <w:pStyle w:val="TOC1"/>
            <w:rPr>
              <w:rFonts w:asciiTheme="minorHAnsi" w:hAnsiTheme="minorHAnsi" w:eastAsiaTheme="minorEastAsia" w:cstheme="minorBidi"/>
              <w:bCs w:val="0"/>
              <w:sz w:val="22"/>
              <w:szCs w:val="22"/>
              <w:lang w:val="fr-BE" w:eastAsia="fr-BE"/>
            </w:rPr>
          </w:pPr>
          <w:hyperlink w:history="1" w:anchor="_Toc160715318">
            <w:r w:rsidRPr="006E5694">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fr-BE" w:eastAsia="fr-BE"/>
              </w:rPr>
              <w:tab/>
            </w:r>
            <w:r w:rsidRPr="006E5694">
              <w:rPr>
                <w:rStyle w:val="Hyperlink"/>
                <w:b/>
              </w:rPr>
              <w:t>ЕДИНЕН ПАЗАР, ПРОИЗВОДСТВО И ПОТРЕБЛЕНИЕ</w:t>
            </w:r>
            <w:r>
              <w:rPr>
                <w:webHidden/>
              </w:rPr>
              <w:tab/>
            </w:r>
            <w:r>
              <w:rPr>
                <w:webHidden/>
              </w:rPr>
              <w:fldChar w:fldCharType="begin"/>
            </w:r>
            <w:r>
              <w:rPr>
                <w:webHidden/>
              </w:rPr>
              <w:instrText xml:space="preserve"> PAGEREF _Toc160715318 \h </w:instrText>
            </w:r>
            <w:r>
              <w:rPr>
                <w:webHidden/>
              </w:rPr>
            </w:r>
            <w:r>
              <w:rPr>
                <w:webHidden/>
              </w:rPr>
              <w:fldChar w:fldCharType="separate"/>
            </w:r>
            <w:r>
              <w:rPr>
                <w:webHidden/>
              </w:rPr>
              <w:t>9</w:t>
            </w:r>
            <w:r>
              <w:rPr>
                <w:webHidden/>
              </w:rPr>
              <w:fldChar w:fldCharType="end"/>
            </w:r>
          </w:hyperlink>
        </w:p>
        <w:p w:rsidR="00C37A0A" w:rsidRDefault="00C37A0A" w14:paraId="17D9CB99" w14:textId="2A5AA212">
          <w:pPr>
            <w:pStyle w:val="TOC1"/>
            <w:rPr>
              <w:rFonts w:asciiTheme="minorHAnsi" w:hAnsiTheme="minorHAnsi" w:eastAsiaTheme="minorEastAsia" w:cstheme="minorBidi"/>
              <w:bCs w:val="0"/>
              <w:sz w:val="22"/>
              <w:szCs w:val="22"/>
              <w:lang w:val="fr-BE" w:eastAsia="fr-BE"/>
            </w:rPr>
          </w:pPr>
          <w:hyperlink w:history="1" w:anchor="_Toc160715319">
            <w:r w:rsidRPr="006E5694">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fr-BE" w:eastAsia="fr-BE"/>
              </w:rPr>
              <w:tab/>
            </w:r>
            <w:r w:rsidRPr="006E5694">
              <w:rPr>
                <w:rStyle w:val="Hyperlink"/>
                <w:b/>
              </w:rPr>
              <w:t>ЗЕМЕДЕЛИЕ, РАЗВИТИЕ НА СЕЛСКИТЕ РАЙОНИ, ОКОЛНА СРЕДА</w:t>
            </w:r>
            <w:r>
              <w:rPr>
                <w:webHidden/>
              </w:rPr>
              <w:tab/>
            </w:r>
            <w:r>
              <w:rPr>
                <w:webHidden/>
              </w:rPr>
              <w:fldChar w:fldCharType="begin"/>
            </w:r>
            <w:r>
              <w:rPr>
                <w:webHidden/>
              </w:rPr>
              <w:instrText xml:space="preserve"> PAGEREF _Toc160715319 \h </w:instrText>
            </w:r>
            <w:r>
              <w:rPr>
                <w:webHidden/>
              </w:rPr>
            </w:r>
            <w:r>
              <w:rPr>
                <w:webHidden/>
              </w:rPr>
              <w:fldChar w:fldCharType="separate"/>
            </w:r>
            <w:r>
              <w:rPr>
                <w:webHidden/>
              </w:rPr>
              <w:t>12</w:t>
            </w:r>
            <w:r>
              <w:rPr>
                <w:webHidden/>
              </w:rPr>
              <w:fldChar w:fldCharType="end"/>
            </w:r>
          </w:hyperlink>
        </w:p>
        <w:p w:rsidR="00C37A0A" w:rsidRDefault="00C37A0A" w14:paraId="6F460EE5" w14:textId="420E054E">
          <w:pPr>
            <w:pStyle w:val="TOC1"/>
            <w:rPr>
              <w:rFonts w:asciiTheme="minorHAnsi" w:hAnsiTheme="minorHAnsi" w:eastAsiaTheme="minorEastAsia" w:cstheme="minorBidi"/>
              <w:bCs w:val="0"/>
              <w:sz w:val="22"/>
              <w:szCs w:val="22"/>
              <w:lang w:val="fr-BE" w:eastAsia="fr-BE"/>
            </w:rPr>
          </w:pPr>
          <w:hyperlink w:history="1" w:anchor="_Toc160715330">
            <w:r w:rsidRPr="006E5694">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fr-BE" w:eastAsia="fr-BE"/>
              </w:rPr>
              <w:tab/>
            </w:r>
            <w:r w:rsidRPr="006E5694">
              <w:rPr>
                <w:rStyle w:val="Hyperlink"/>
                <w:b/>
              </w:rPr>
              <w:t>ВЪНШНИ ОТНОШЕНИЯ</w:t>
            </w:r>
            <w:r>
              <w:rPr>
                <w:webHidden/>
              </w:rPr>
              <w:tab/>
            </w:r>
            <w:r>
              <w:rPr>
                <w:webHidden/>
              </w:rPr>
              <w:fldChar w:fldCharType="begin"/>
            </w:r>
            <w:r>
              <w:rPr>
                <w:webHidden/>
              </w:rPr>
              <w:instrText xml:space="preserve"> PAGEREF _Toc160715330 \h </w:instrText>
            </w:r>
            <w:r>
              <w:rPr>
                <w:webHidden/>
              </w:rPr>
            </w:r>
            <w:r>
              <w:rPr>
                <w:webHidden/>
              </w:rPr>
              <w:fldChar w:fldCharType="separate"/>
            </w:r>
            <w:r>
              <w:rPr>
                <w:webHidden/>
              </w:rPr>
              <w:t>13</w:t>
            </w:r>
            <w:r>
              <w:rPr>
                <w:webHidden/>
              </w:rPr>
              <w:fldChar w:fldCharType="end"/>
            </w:r>
          </w:hyperlink>
        </w:p>
        <w:p w:rsidR="00C37A0A" w:rsidRDefault="00C37A0A" w14:paraId="6DB66C30" w14:textId="0A1294AD">
          <w:pPr>
            <w:pStyle w:val="TOC1"/>
            <w:rPr>
              <w:rFonts w:asciiTheme="minorHAnsi" w:hAnsiTheme="minorHAnsi" w:eastAsiaTheme="minorEastAsia" w:cstheme="minorBidi"/>
              <w:bCs w:val="0"/>
              <w:sz w:val="22"/>
              <w:szCs w:val="22"/>
              <w:lang w:val="fr-BE" w:eastAsia="fr-BE"/>
            </w:rPr>
          </w:pPr>
          <w:hyperlink w:history="1" w:anchor="_Toc160715331">
            <w:r w:rsidRPr="006E5694">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fr-BE" w:eastAsia="fr-BE"/>
              </w:rPr>
              <w:tab/>
            </w:r>
            <w:r w:rsidRPr="006E5694">
              <w:rPr>
                <w:rStyle w:val="Hyperlink"/>
                <w:b/>
              </w:rPr>
              <w:t>ТРАНСПОРТ, ЕНЕРГЕТИКА, ИНФРАСТРУКТУРИ, ИНФОРМАЦИОННО ОБЩЕСТВО</w:t>
            </w:r>
            <w:r>
              <w:rPr>
                <w:webHidden/>
              </w:rPr>
              <w:tab/>
            </w:r>
            <w:r>
              <w:rPr>
                <w:webHidden/>
              </w:rPr>
              <w:fldChar w:fldCharType="begin"/>
            </w:r>
            <w:r>
              <w:rPr>
                <w:webHidden/>
              </w:rPr>
              <w:instrText xml:space="preserve"> PAGEREF _Toc160715331 \h </w:instrText>
            </w:r>
            <w:r>
              <w:rPr>
                <w:webHidden/>
              </w:rPr>
            </w:r>
            <w:r>
              <w:rPr>
                <w:webHidden/>
              </w:rPr>
              <w:fldChar w:fldCharType="separate"/>
            </w:r>
            <w:r>
              <w:rPr>
                <w:webHidden/>
              </w:rPr>
              <w:t>14</w:t>
            </w:r>
            <w:r>
              <w:rPr>
                <w:webHidden/>
              </w:rPr>
              <w:fldChar w:fldCharType="end"/>
            </w:r>
          </w:hyperlink>
        </w:p>
        <w:p w:rsidR="00C37A0A" w:rsidRDefault="00C37A0A" w14:paraId="0A61572A" w14:textId="42003BB3">
          <w:pPr>
            <w:pStyle w:val="TOC1"/>
            <w:rPr>
              <w:rFonts w:asciiTheme="minorHAnsi" w:hAnsiTheme="minorHAnsi" w:eastAsiaTheme="minorEastAsia" w:cstheme="minorBidi"/>
              <w:bCs w:val="0"/>
              <w:sz w:val="22"/>
              <w:szCs w:val="22"/>
              <w:lang w:val="fr-BE" w:eastAsia="fr-BE"/>
            </w:rPr>
          </w:pPr>
          <w:hyperlink w:history="1" w:anchor="_Toc160715332">
            <w:r w:rsidRPr="006E5694">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fr-BE" w:eastAsia="fr-BE"/>
              </w:rPr>
              <w:tab/>
            </w:r>
            <w:r w:rsidRPr="006E5694">
              <w:rPr>
                <w:rStyle w:val="Hyperlink"/>
                <w:b/>
              </w:rPr>
              <w:t>КОНСУЛТАТИВНА КОМИСИЯ ПО ИНДУСТРИАЛНИ ПРОМЕНИ</w:t>
            </w:r>
            <w:r>
              <w:rPr>
                <w:webHidden/>
              </w:rPr>
              <w:tab/>
            </w:r>
            <w:r>
              <w:rPr>
                <w:webHidden/>
              </w:rPr>
              <w:fldChar w:fldCharType="begin"/>
            </w:r>
            <w:r>
              <w:rPr>
                <w:webHidden/>
              </w:rPr>
              <w:instrText xml:space="preserve"> PAGEREF _Toc160715332 \h </w:instrText>
            </w:r>
            <w:r>
              <w:rPr>
                <w:webHidden/>
              </w:rPr>
            </w:r>
            <w:r>
              <w:rPr>
                <w:webHidden/>
              </w:rPr>
              <w:fldChar w:fldCharType="separate"/>
            </w:r>
            <w:r>
              <w:rPr>
                <w:webHidden/>
              </w:rPr>
              <w:t>16</w:t>
            </w:r>
            <w:r>
              <w:rPr>
                <w:webHidden/>
              </w:rPr>
              <w:fldChar w:fldCharType="end"/>
            </w:r>
          </w:hyperlink>
        </w:p>
        <w:p w:rsidRPr="00544D95" w:rsidR="00544D95" w:rsidP="00544D95" w:rsidRDefault="00544D95" w14:paraId="589C47D7" w14:textId="5359A51F">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0038273B" w:rsidP="00C83487" w:rsidRDefault="0038273B" w14:paraId="62CE6920" w14:textId="4713069C">
      <w:pPr>
        <w:pStyle w:val="Heading1"/>
        <w:spacing w:before="0"/>
        <w:ind w:left="930" w:hanging="928"/>
        <w:rPr>
          <w:b/>
          <w:bCs/>
        </w:rPr>
      </w:pPr>
      <w:bookmarkStart w:name="_Toc160715305" w:id="1"/>
      <w:r>
        <w:rPr>
          <w:b/>
        </w:rPr>
        <w:t>ИКОНОМИЧЕСКИ И ПАРИЧЕН СЪЮЗ, ИКОНОМИЧЕСКО И СОЦИАЛНО СБЛИЖАВАНЕ</w:t>
      </w:r>
      <w:bookmarkEnd w:id="1"/>
    </w:p>
    <w:p w:rsidRPr="00115BBC" w:rsidR="00115BBC" w:rsidP="00115BBC" w:rsidRDefault="00115BBC" w14:paraId="5C4FD48E" w14:textId="77777777"/>
    <w:p w:rsidRPr="00CF3B63" w:rsidR="00CF3B63" w:rsidP="00CC4510" w:rsidRDefault="0066462F"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00803992">
          <w:rPr>
            <w:b/>
            <w:i/>
            <w:color w:val="0000FF"/>
            <w:sz w:val="28"/>
            <w:u w:val="single"/>
          </w:rPr>
          <w:t>Данъчно облагане на трансграничните дистанционни работници в световен мащаб и въздействието върху ЕС</w:t>
        </w:r>
      </w:hyperlink>
    </w:p>
    <w:p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4607"/>
      </w:tblGrid>
      <w:tr w:rsidRPr="00CF3B63" w:rsidR="00E73010" w:rsidTr="00DC6FD6" w14:paraId="751D3B32" w14:textId="77777777">
        <w:tc>
          <w:tcPr>
            <w:tcW w:w="0" w:type="auto"/>
          </w:tcPr>
          <w:p w:rsidRPr="00CF3B63"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Pr>
                <w:b/>
              </w:rPr>
              <w:t>Докладчик</w:t>
            </w:r>
          </w:p>
        </w:tc>
        <w:tc>
          <w:tcPr>
            <w:tcW w:w="0" w:type="auto"/>
          </w:tcPr>
          <w:p w:rsidRPr="00CF3B63" w:rsidR="00E73010" w:rsidP="00B17F65" w:rsidRDefault="00E73010" w14:paraId="47111346" w14:textId="77777777">
            <w:pPr>
              <w:tabs>
                <w:tab w:val="center" w:pos="284"/>
              </w:tabs>
              <w:overflowPunct w:val="0"/>
              <w:autoSpaceDE w:val="0"/>
              <w:autoSpaceDN w:val="0"/>
              <w:adjustRightInd w:val="0"/>
              <w:ind w:left="266" w:hanging="266"/>
              <w:textAlignment w:val="baseline"/>
            </w:pPr>
            <w:proofErr w:type="spellStart"/>
            <w:r>
              <w:t>Krister</w:t>
            </w:r>
            <w:proofErr w:type="spellEnd"/>
            <w:r>
              <w:t xml:space="preserve"> ANDERSSON (група „Работодатели“ — SE)</w:t>
            </w:r>
          </w:p>
        </w:tc>
      </w:tr>
      <w:tr w:rsidRPr="00CF3B63" w:rsidR="00E73010" w:rsidTr="00DC6FD6" w14:paraId="744149D0" w14:textId="77777777">
        <w:tc>
          <w:tcPr>
            <w:tcW w:w="0" w:type="auto"/>
          </w:tcPr>
          <w:p w:rsidRPr="00CF3B63"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0" w:type="auto"/>
          </w:tcPr>
          <w:p w:rsidRPr="00CF3B63"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CF3B63" w:rsidR="00E73010" w:rsidTr="00DC6FD6" w14:paraId="46478281" w14:textId="77777777">
        <w:tc>
          <w:tcPr>
            <w:tcW w:w="0" w:type="auto"/>
          </w:tcPr>
          <w:p w:rsidRPr="00CF3B63" w:rsidR="00E73010" w:rsidP="00B17F65" w:rsidRDefault="00E73010" w14:paraId="059FA346" w14:textId="0CE5F4EC">
            <w:pPr>
              <w:tabs>
                <w:tab w:val="center" w:pos="284"/>
              </w:tabs>
              <w:overflowPunct w:val="0"/>
              <w:autoSpaceDE w:val="0"/>
              <w:autoSpaceDN w:val="0"/>
              <w:adjustRightInd w:val="0"/>
              <w:ind w:left="266" w:hanging="266"/>
              <w:textAlignment w:val="baseline"/>
              <w:rPr>
                <w:b/>
                <w:bCs/>
              </w:rPr>
            </w:pPr>
            <w:r>
              <w:rPr>
                <w:b/>
              </w:rPr>
              <w:t>Отправни документи</w:t>
            </w:r>
          </w:p>
        </w:tc>
        <w:tc>
          <w:tcPr>
            <w:tcW w:w="0" w:type="auto"/>
          </w:tcPr>
          <w:p w:rsidR="00E73010" w:rsidP="00E73010" w:rsidRDefault="00E73010" w14:paraId="0E3642EE" w14:textId="77777777">
            <w:pPr>
              <w:tabs>
                <w:tab w:val="center" w:pos="284"/>
              </w:tabs>
              <w:overflowPunct w:val="0"/>
              <w:autoSpaceDE w:val="0"/>
              <w:autoSpaceDN w:val="0"/>
              <w:adjustRightInd w:val="0"/>
              <w:ind w:left="266" w:hanging="266"/>
              <w:textAlignment w:val="baseline"/>
            </w:pPr>
            <w:r>
              <w:t>Становище по собствена инициатива</w:t>
            </w:r>
          </w:p>
          <w:p w:rsidRPr="00CF3B63" w:rsidR="00E73010" w:rsidP="00E73010" w:rsidRDefault="00E73010" w14:paraId="58476701" w14:textId="52B2602E">
            <w:pPr>
              <w:tabs>
                <w:tab w:val="center" w:pos="284"/>
              </w:tabs>
              <w:overflowPunct w:val="0"/>
              <w:autoSpaceDE w:val="0"/>
              <w:autoSpaceDN w:val="0"/>
              <w:adjustRightInd w:val="0"/>
              <w:ind w:left="266" w:hanging="266"/>
              <w:textAlignment w:val="baseline"/>
            </w:pPr>
            <w:r>
              <w:t>EESC-2023-00860-00-AC</w:t>
            </w:r>
          </w:p>
        </w:tc>
      </w:tr>
      <w:tr w:rsidRPr="00CF3B63" w:rsidR="00E73010" w:rsidTr="00DC6FD6" w14:paraId="65C7AC0C" w14:textId="77777777">
        <w:tc>
          <w:tcPr>
            <w:tcW w:w="0" w:type="auto"/>
          </w:tcPr>
          <w:p w:rsidRPr="00CF3B63"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0" w:type="auto"/>
          </w:tcPr>
          <w:p w:rsidRPr="00CF3B63"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CF3B63"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Pr>
          <w:b/>
        </w:rPr>
        <w:t>Основни аспекти</w:t>
      </w:r>
    </w:p>
    <w:p w:rsidRPr="00CF3B63"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CF3B63"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t>ЕИСК:</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подчертава, че през последното десетилетие глобализацията и цифровизацията разкриха нови възможности за работа от разстояние. Пандемията от COVID-19 стана причина за безпрецедентна промяна в живота както на работниците, така и на предприятията, което доведе до експоненциално нарастване на работата от разстояние;</w:t>
      </w:r>
    </w:p>
    <w:p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t>припомня, че благодарение на новите технологии, същата работа може да бъде извършвана, без да е необходимо физическо присъствие. Това означава също, че много повече хора могат да работят от разстояние</w:t>
      </w:r>
      <w:r>
        <w:rPr>
          <w:b/>
        </w:rPr>
        <w:t xml:space="preserve"> </w:t>
      </w:r>
      <w:r>
        <w:t>извън границите на страната и броят на трансграничните дистанционни работници се е увеличил драстично;</w:t>
      </w:r>
    </w:p>
    <w:p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t>счита, че предпочитаният вариант е доходите на работниците да се облагат като доходи от заплати в държавата по пребиваване на работодателя. Подобен режим би улеснил работниците, a също така би могъл да бъде привлекателен за работодателите. За да се компенсира загубата на приходи в държавата на пребиваване на работника, вероятно ще бъде необходим механизъм за поделяне на приходите;</w:t>
      </w:r>
    </w:p>
    <w:p w:rsidRPr="00CF3B63"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предлага органите по приходите да могат да разделят доходите между държавите, като прилагат данни за действителното присъствие на лицата в съответните държави (според отчет от работодателя до данъчния орган в държавата му по пребиваване, като по този начин се осигурява обслужване на едно гише) или като използват макроикономически обобщен коефициент.</w:t>
      </w:r>
    </w:p>
    <w:p w:rsidRPr="00CF3B63"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561"/>
      </w:tblGrid>
      <w:tr w:rsidRPr="00CF3B63" w:rsidR="00CF3B63" w:rsidTr="00DC6FD6" w14:paraId="4CD566CB" w14:textId="77777777">
        <w:tc>
          <w:tcPr>
            <w:tcW w:w="0" w:type="auto"/>
          </w:tcPr>
          <w:p w:rsidRPr="00CF3B63" w:rsidR="00CF3B63" w:rsidP="00CF3B63" w:rsidRDefault="00CF3B63" w14:paraId="2153ECA8" w14:textId="77777777">
            <w:pPr>
              <w:overflowPunct w:val="0"/>
              <w:autoSpaceDE w:val="0"/>
              <w:autoSpaceDN w:val="0"/>
              <w:adjustRightInd w:val="0"/>
              <w:spacing w:line="240" w:lineRule="auto"/>
              <w:textAlignment w:val="baseline"/>
              <w:rPr>
                <w:i/>
              </w:rPr>
            </w:pPr>
            <w:r>
              <w:rPr>
                <w:b/>
                <w:i/>
              </w:rPr>
              <w:t>За контакт</w:t>
            </w:r>
          </w:p>
        </w:tc>
        <w:tc>
          <w:tcPr>
            <w:tcW w:w="0" w:type="auto"/>
          </w:tcPr>
          <w:p w:rsidRPr="00CF3B63" w:rsidR="00CF3B63" w:rsidP="00CF3B63" w:rsidRDefault="00CF3B63" w14:paraId="2BAAA700"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CF3B63" w:rsidR="00CF3B63" w:rsidTr="00DC6FD6" w14:paraId="0CCC2A7E" w14:textId="77777777">
        <w:tc>
          <w:tcPr>
            <w:tcW w:w="0" w:type="auto"/>
          </w:tcPr>
          <w:p w:rsidRPr="00CF3B63" w:rsidR="00CF3B63" w:rsidP="00CF3B63" w:rsidRDefault="00CF3B63" w14:paraId="31D551A3" w14:textId="77777777">
            <w:pPr>
              <w:overflowPunct w:val="0"/>
              <w:autoSpaceDE w:val="0"/>
              <w:autoSpaceDN w:val="0"/>
              <w:adjustRightInd w:val="0"/>
              <w:spacing w:line="240" w:lineRule="auto"/>
              <w:textAlignment w:val="baseline"/>
              <w:rPr>
                <w:i/>
              </w:rPr>
            </w:pPr>
            <w:r>
              <w:rPr>
                <w:i/>
              </w:rPr>
              <w:t>Тел.</w:t>
            </w:r>
          </w:p>
        </w:tc>
        <w:tc>
          <w:tcPr>
            <w:tcW w:w="0" w:type="auto"/>
          </w:tcPr>
          <w:p w:rsidRPr="00CF3B63" w:rsidR="00CF3B63" w:rsidP="00CF3B63" w:rsidRDefault="00CF3B63" w14:paraId="5FA9B686" w14:textId="77777777">
            <w:pPr>
              <w:overflowPunct w:val="0"/>
              <w:autoSpaceDE w:val="0"/>
              <w:autoSpaceDN w:val="0"/>
              <w:adjustRightInd w:val="0"/>
              <w:spacing w:line="240" w:lineRule="auto"/>
              <w:textAlignment w:val="baseline"/>
              <w:rPr>
                <w:i/>
              </w:rPr>
            </w:pPr>
            <w:r>
              <w:rPr>
                <w:i/>
              </w:rPr>
              <w:t>+32 25469628</w:t>
            </w:r>
          </w:p>
        </w:tc>
      </w:tr>
      <w:tr w:rsidRPr="00CF3B63" w:rsidR="00CF3B63" w:rsidTr="00DC6FD6" w14:paraId="52648DE1" w14:textId="77777777">
        <w:tc>
          <w:tcPr>
            <w:tcW w:w="0" w:type="auto"/>
          </w:tcPr>
          <w:p w:rsidRPr="00CF3B63" w:rsidR="00CF3B63" w:rsidP="00CF3B63" w:rsidRDefault="009A2DD6" w14:paraId="0F86E843" w14:textId="73EA9BCB">
            <w:pPr>
              <w:overflowPunct w:val="0"/>
              <w:autoSpaceDE w:val="0"/>
              <w:autoSpaceDN w:val="0"/>
              <w:adjustRightInd w:val="0"/>
              <w:spacing w:line="240" w:lineRule="auto"/>
              <w:textAlignment w:val="baseline"/>
              <w:rPr>
                <w:i/>
              </w:rPr>
            </w:pPr>
            <w:r>
              <w:rPr>
                <w:i/>
              </w:rPr>
              <w:t>Електронен адрес</w:t>
            </w:r>
          </w:p>
        </w:tc>
        <w:tc>
          <w:tcPr>
            <w:tcW w:w="0" w:type="auto"/>
          </w:tcPr>
          <w:p w:rsidRPr="00CF3B63" w:rsidR="00CF3B63" w:rsidRDefault="0066462F" w14:paraId="34CDB34E" w14:textId="0A67A9F1">
            <w:pPr>
              <w:overflowPunct w:val="0"/>
              <w:autoSpaceDE w:val="0"/>
              <w:autoSpaceDN w:val="0"/>
              <w:adjustRightInd w:val="0"/>
              <w:spacing w:line="240" w:lineRule="auto"/>
              <w:textAlignment w:val="baseline"/>
              <w:rPr>
                <w:i/>
              </w:rPr>
            </w:pPr>
            <w:hyperlink w:history="1" r:id="rId21">
              <w:r w:rsidR="00803992">
                <w:rPr>
                  <w:color w:val="0000FF"/>
                  <w:u w:val="single"/>
                </w:rPr>
                <w:t>Juri.Soosaar@eesc.europa.eu</w:t>
              </w:r>
            </w:hyperlink>
            <w:r w:rsidR="00803992">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r>
        <w:br w:type="page"/>
      </w:r>
    </w:p>
    <w:bookmarkStart w:name="_Toc159831758" w:id="2"/>
    <w:p w:rsidRPr="00DA68C7" w:rsidR="00A32597" w:rsidP="00CC4510" w:rsidRDefault="004716B8" w14:paraId="1BD9833F" w14:textId="1748A743">
      <w:pPr>
        <w:pStyle w:val="ListParagraph"/>
        <w:numPr>
          <w:ilvl w:val="0"/>
          <w:numId w:val="16"/>
        </w:numPr>
        <w:shd w:val="clear" w:color="auto" w:fill="FFFFFF"/>
        <w:ind w:hanging="578"/>
        <w:outlineLvl w:val="0"/>
        <w:rPr>
          <w:b/>
          <w:kern w:val="28"/>
        </w:rPr>
      </w:pPr>
      <w:r>
        <w:lastRenderedPageBreak/>
        <w:fldChar w:fldCharType="begin"/>
      </w:r>
      <w:r>
        <w:instrText xml:space="preserve"> HYPERLINK "https://www.eesc.europa.eu/bg/our-work/opinions-information-reports/opinions/annual-sustainable-growth-survey-2024" </w:instrText>
      </w:r>
      <w:r>
        <w:fldChar w:fldCharType="separate"/>
      </w:r>
      <w:bookmarkStart w:name="_Toc160715306" w:id="3"/>
      <w:r>
        <w:rPr>
          <w:b/>
          <w:i/>
          <w:color w:val="0000FF"/>
          <w:sz w:val="28"/>
          <w:u w:val="single"/>
        </w:rPr>
        <w:t>„Годишен обзор на устойчивия растеж за 2024 г.“</w:t>
      </w:r>
      <w:bookmarkEnd w:id="2"/>
      <w:bookmarkEnd w:id="3"/>
      <w:r>
        <w:rPr>
          <w:b/>
          <w:i/>
          <w:color w:val="0000FF"/>
          <w:sz w:val="28"/>
          <w:u w:val="single"/>
        </w:rPr>
        <w:fldChar w:fldCharType="end"/>
      </w:r>
    </w:p>
    <w:tbl>
      <w:tblPr>
        <w:tblStyle w:val="TableGrid198"/>
        <w:tblW w:w="9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763"/>
      </w:tblGrid>
      <w:tr w:rsidRPr="00A32597" w:rsidR="00A32597" w:rsidTr="00DC6FD6" w14:paraId="7BCB2534" w14:textId="77777777">
        <w:tc>
          <w:tcPr>
            <w:tcW w:w="1701" w:type="dxa"/>
          </w:tcPr>
          <w:p w:rsidRPr="00A32597" w:rsidR="007B6C34" w:rsidRDefault="007B6C34" w14:paraId="5143B750" w14:textId="77777777">
            <w:pPr>
              <w:widowControl w:val="0"/>
              <w:spacing w:line="276" w:lineRule="auto"/>
              <w:ind w:left="142"/>
              <w:contextualSpacing/>
              <w:jc w:val="left"/>
              <w:rPr>
                <w:b/>
                <w:bCs/>
                <w:iCs/>
                <w:noProof/>
                <w:sz w:val="16"/>
                <w:szCs w:val="16"/>
                <w:lang w:eastAsia="fr-BE"/>
              </w:rPr>
            </w:pPr>
          </w:p>
          <w:p w:rsidRPr="00A32597" w:rsidR="00A32597" w:rsidRDefault="00A32597" w14:paraId="6BE8915C" w14:textId="22A4DF31">
            <w:pPr>
              <w:widowControl w:val="0"/>
              <w:spacing w:line="276" w:lineRule="auto"/>
              <w:ind w:left="142"/>
              <w:contextualSpacing/>
              <w:jc w:val="left"/>
              <w:rPr>
                <w:b/>
                <w:bCs/>
                <w:iCs/>
                <w:noProof/>
              </w:rPr>
            </w:pPr>
            <w:r>
              <w:rPr>
                <w:b/>
              </w:rPr>
              <w:t>Докладчик</w:t>
            </w:r>
          </w:p>
        </w:tc>
        <w:tc>
          <w:tcPr>
            <w:tcW w:w="7763" w:type="dxa"/>
          </w:tcPr>
          <w:p w:rsidRPr="00A32597" w:rsidR="00A32597" w:rsidRDefault="00A32597" w14:paraId="541D6CA9" w14:textId="77777777">
            <w:pPr>
              <w:widowControl w:val="0"/>
              <w:spacing w:line="276" w:lineRule="auto"/>
              <w:ind w:left="142"/>
              <w:contextualSpacing/>
              <w:jc w:val="left"/>
              <w:rPr>
                <w:bCs/>
                <w:iCs/>
                <w:noProof/>
                <w:sz w:val="16"/>
                <w:szCs w:val="16"/>
                <w:lang w:eastAsia="fr-BE"/>
              </w:rPr>
            </w:pPr>
          </w:p>
          <w:p w:rsidRPr="00A32597" w:rsidR="00A32597" w:rsidRDefault="00A32597" w14:paraId="07DE7214" w14:textId="38316A4D">
            <w:pPr>
              <w:widowControl w:val="0"/>
              <w:spacing w:line="276" w:lineRule="auto"/>
              <w:ind w:left="142" w:right="-1380"/>
              <w:contextualSpacing/>
              <w:jc w:val="left"/>
              <w:rPr>
                <w:bCs/>
                <w:iCs/>
                <w:noProof/>
              </w:rPr>
            </w:pPr>
            <w:r>
              <w:t>Elena-</w:t>
            </w:r>
            <w:proofErr w:type="spellStart"/>
            <w:r>
              <w:t>Alexandra</w:t>
            </w:r>
            <w:proofErr w:type="spellEnd"/>
            <w:r>
              <w:t xml:space="preserve"> CALISTRU (група „Организации на гражданското общество“ — RO) </w:t>
            </w:r>
          </w:p>
        </w:tc>
      </w:tr>
    </w:tbl>
    <w:p w:rsidRPr="00A32597"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32597" w:rsidR="00A32597" w:rsidTr="00B05454" w14:paraId="7B85BF7E" w14:textId="77777777">
        <w:tc>
          <w:tcPr>
            <w:tcW w:w="1701" w:type="dxa"/>
          </w:tcPr>
          <w:p w:rsidRPr="00CC4510" w:rsidR="00A32597" w:rsidP="00CC4510" w:rsidRDefault="00A32597" w14:paraId="515D21C6" w14:textId="77777777">
            <w:pPr>
              <w:widowControl w:val="0"/>
              <w:spacing w:line="276" w:lineRule="auto"/>
              <w:ind w:left="142"/>
              <w:contextualSpacing/>
              <w:jc w:val="left"/>
              <w:rPr>
                <w:b/>
                <w:bCs/>
                <w:iCs/>
                <w:noProof/>
              </w:rPr>
            </w:pPr>
            <w:r>
              <w:rPr>
                <w:b/>
              </w:rPr>
              <w:t>Отправни документи</w:t>
            </w:r>
          </w:p>
        </w:tc>
        <w:tc>
          <w:tcPr>
            <w:tcW w:w="5670" w:type="dxa"/>
          </w:tcPr>
          <w:p w:rsidRPr="00A32597" w:rsidR="00A32597" w:rsidP="00CC4510" w:rsidRDefault="00A32597" w14:paraId="7CE58217" w14:textId="77777777">
            <w:pPr>
              <w:tabs>
                <w:tab w:val="center" w:pos="284"/>
              </w:tabs>
              <w:spacing w:line="240" w:lineRule="auto"/>
              <w:ind w:left="266"/>
              <w:jc w:val="left"/>
            </w:pPr>
            <w:r>
              <w:t xml:space="preserve">COM(2023) 901 </w:t>
            </w:r>
            <w:proofErr w:type="spellStart"/>
            <w:r>
              <w:t>final</w:t>
            </w:r>
            <w:proofErr w:type="spellEnd"/>
          </w:p>
          <w:p w:rsidRPr="00A32597" w:rsidR="00A32597" w:rsidP="00CC4510" w:rsidRDefault="00A32597" w14:paraId="0BBCB268" w14:textId="77777777">
            <w:pPr>
              <w:tabs>
                <w:tab w:val="center" w:pos="284"/>
              </w:tabs>
              <w:spacing w:line="240" w:lineRule="auto"/>
              <w:ind w:left="266"/>
              <w:jc w:val="left"/>
            </w:pPr>
            <w:r>
              <w:t>EESC-2023-05137-00-00-AC</w:t>
            </w:r>
          </w:p>
          <w:p w:rsidRPr="00A32597" w:rsidR="00A32597" w:rsidP="00CC4510" w:rsidRDefault="00A32597" w14:paraId="6114F19B" w14:textId="77777777">
            <w:pPr>
              <w:tabs>
                <w:tab w:val="center" w:pos="284"/>
              </w:tabs>
              <w:spacing w:line="240" w:lineRule="auto"/>
              <w:ind w:left="266"/>
              <w:jc w:val="left"/>
            </w:pPr>
          </w:p>
        </w:tc>
      </w:tr>
    </w:tbl>
    <w:p w:rsidR="00A32597" w:rsidP="00CC4510" w:rsidRDefault="00A32597" w14:paraId="55102C19" w14:textId="3C028EF4">
      <w:pPr>
        <w:keepNext/>
        <w:keepLines/>
        <w:tabs>
          <w:tab w:val="center" w:pos="284"/>
        </w:tabs>
        <w:spacing w:after="80" w:line="360" w:lineRule="auto"/>
        <w:ind w:left="266"/>
        <w:jc w:val="left"/>
        <w:rPr>
          <w:rFonts w:eastAsia="Calibri"/>
          <w:b/>
        </w:rPr>
      </w:pPr>
      <w:r>
        <w:rPr>
          <w:b/>
        </w:rPr>
        <w:t>Основни аспекти</w:t>
      </w:r>
    </w:p>
    <w:p w:rsidR="005B5B2E" w:rsidP="00CC4510" w:rsidRDefault="00A32597" w14:paraId="2C7A12DF" w14:textId="77777777">
      <w:pPr>
        <w:spacing w:after="80" w:line="360" w:lineRule="auto"/>
        <w:ind w:firstLine="284"/>
      </w:pPr>
      <w:r>
        <w:t>ЕИСК:</w:t>
      </w:r>
    </w:p>
    <w:p w:rsidRPr="00A32597" w:rsidR="00A32597" w:rsidP="00CC4510" w:rsidRDefault="00A32597" w14:paraId="77BED355" w14:textId="2FCB7CA8">
      <w:pPr>
        <w:numPr>
          <w:ilvl w:val="0"/>
          <w:numId w:val="17"/>
        </w:numPr>
        <w:spacing w:line="276" w:lineRule="auto"/>
        <w:ind w:left="284" w:hanging="284"/>
        <w:outlineLvl w:val="1"/>
      </w:pPr>
      <w:bookmarkStart w:name="_Toc159831759" w:id="4"/>
      <w:bookmarkStart w:name="_Toc160715307" w:id="5"/>
      <w:r>
        <w:t>препоръчва на Европейската централна банка да следи отблизо икономическите рискове и внимателно да планира действията при извънредни ситуации, за да гарантира надеждни прогнози за инфлацията; препоръчва ЕЦБ да бъде подготвена да коригира политиките, ако прогнозираният спад на инфлацията се забави или обърне, или като алтернатива спадне твърде далеч под 2 %, като по този начин се застъпва за по-ясно планиране на действията при извънредни ситуации, за да се запази надеждността на прогнозата за инфлацията;</w:t>
      </w:r>
      <w:bookmarkEnd w:id="4"/>
      <w:bookmarkEnd w:id="5"/>
    </w:p>
    <w:p w:rsidRPr="00A32597" w:rsidR="00A32597" w:rsidP="00CC4510" w:rsidRDefault="00A32597" w14:paraId="6EBE4B0D" w14:textId="77777777">
      <w:pPr>
        <w:numPr>
          <w:ilvl w:val="0"/>
          <w:numId w:val="17"/>
        </w:numPr>
        <w:spacing w:line="276" w:lineRule="auto"/>
        <w:ind w:left="284" w:hanging="284"/>
        <w:outlineLvl w:val="1"/>
      </w:pPr>
      <w:bookmarkStart w:name="_Toc159831760" w:id="6"/>
      <w:bookmarkStart w:name="_Toc160715308" w:id="7"/>
      <w:r>
        <w:t>призовава за конкретен ангажимент с националните парламенти, регионалните и местните власти, гражданското общество и социалните партньори относно реформите на рамката на ЕС за макроикономическо управление и подчертава значението на поемането на отговорност за тези реформи на национално равнище чрез ефективен диалог;</w:t>
      </w:r>
      <w:bookmarkEnd w:id="6"/>
      <w:bookmarkEnd w:id="7"/>
    </w:p>
    <w:p w:rsidRPr="00A32597" w:rsidR="00A32597" w:rsidP="00CC4510" w:rsidRDefault="00A32597" w14:paraId="15523693" w14:textId="77777777">
      <w:pPr>
        <w:numPr>
          <w:ilvl w:val="0"/>
          <w:numId w:val="17"/>
        </w:numPr>
        <w:spacing w:line="276" w:lineRule="auto"/>
        <w:ind w:left="284" w:hanging="284"/>
        <w:outlineLvl w:val="1"/>
      </w:pPr>
      <w:bookmarkStart w:name="_Toc159831761" w:id="8"/>
      <w:bookmarkStart w:name="_Toc160715309" w:id="9"/>
      <w:r>
        <w:t>подчертава решаващото значение на интегрирането на демократичните ценности и принципите на правовата държава в икономическото управление на ЕС;</w:t>
      </w:r>
      <w:bookmarkEnd w:id="8"/>
      <w:bookmarkEnd w:id="9"/>
    </w:p>
    <w:p w:rsidRPr="00A32597" w:rsidR="00A32597" w:rsidP="00CC4510" w:rsidRDefault="00A32597" w14:paraId="0E045AD4" w14:textId="77777777">
      <w:pPr>
        <w:numPr>
          <w:ilvl w:val="0"/>
          <w:numId w:val="17"/>
        </w:numPr>
        <w:spacing w:line="276" w:lineRule="auto"/>
        <w:ind w:left="284" w:hanging="284"/>
        <w:outlineLvl w:val="1"/>
      </w:pPr>
      <w:bookmarkStart w:name="_Toc159831762" w:id="10"/>
      <w:bookmarkStart w:name="_Toc160715310" w:id="11"/>
      <w:r>
        <w:t>застъпва се за фискална консолидация, която да отчита уникалното положение на всяка държава членка, като същевременно признава разнообразните икономически условия и предизвикателствата пред растежа на държавите членки;</w:t>
      </w:r>
      <w:bookmarkEnd w:id="10"/>
      <w:bookmarkEnd w:id="11"/>
    </w:p>
    <w:p w:rsidRPr="00A32597" w:rsidR="00A32597" w:rsidP="00CC4510" w:rsidRDefault="00A32597" w14:paraId="581D3E0C" w14:textId="77777777">
      <w:pPr>
        <w:numPr>
          <w:ilvl w:val="0"/>
          <w:numId w:val="17"/>
        </w:numPr>
        <w:spacing w:line="276" w:lineRule="auto"/>
        <w:ind w:left="284" w:hanging="284"/>
        <w:outlineLvl w:val="1"/>
      </w:pPr>
      <w:bookmarkStart w:name="_Toc159831763" w:id="12"/>
      <w:bookmarkStart w:name="_Toc160715311" w:id="13"/>
      <w:r>
        <w:t>настоятелно призовава за балансиран подход при постепенното премахване на подкрепата при кризи, чрез която продължава подпомагането на уязвимите групи, засегнати от високите разходи за енергия и инфлацията; призовава за създаване на постоянна рамка за подкрепа в зависимост от наличните ресурси в някои държави и подчертава необходимостта от подробно обсъждане на социалните въздействия;</w:t>
      </w:r>
      <w:bookmarkEnd w:id="12"/>
      <w:bookmarkEnd w:id="13"/>
    </w:p>
    <w:p w:rsidRPr="00A32597" w:rsidR="00A32597" w:rsidP="00CC4510" w:rsidRDefault="00A32597" w14:paraId="74E233B0" w14:textId="77777777">
      <w:pPr>
        <w:numPr>
          <w:ilvl w:val="0"/>
          <w:numId w:val="17"/>
        </w:numPr>
        <w:spacing w:line="276" w:lineRule="auto"/>
        <w:ind w:left="284" w:hanging="284"/>
        <w:outlineLvl w:val="1"/>
      </w:pPr>
      <w:bookmarkStart w:name="_Toc159831764" w:id="14"/>
      <w:bookmarkStart w:name="_Toc160715312" w:id="15"/>
      <w:r>
        <w:t>призовава Европейската комисия и националните правителства да предоставят необходимата подкрепа за повишаване на административния капацитет и рационализиране на процесите, както и да включат гражданското общество в изпълнението на националните планове за възстановяване и устойчивост;</w:t>
      </w:r>
      <w:bookmarkEnd w:id="14"/>
      <w:bookmarkEnd w:id="15"/>
    </w:p>
    <w:p w:rsidRPr="00A32597" w:rsidR="00A32597" w:rsidP="00CC4510" w:rsidRDefault="00A32597" w14:paraId="24E5E545" w14:textId="77777777">
      <w:pPr>
        <w:numPr>
          <w:ilvl w:val="0"/>
          <w:numId w:val="18"/>
        </w:numPr>
        <w:spacing w:line="276" w:lineRule="auto"/>
        <w:ind w:left="284" w:hanging="284"/>
        <w:outlineLvl w:val="1"/>
      </w:pPr>
      <w:bookmarkStart w:name="_Toc159831765" w:id="16"/>
      <w:bookmarkStart w:name="_Toc160715313" w:id="17"/>
      <w:r>
        <w:t>подчертава необходимостта от увеличаване на участието на пазара на труда чрез повишаване на квалификацията, гарантиране на равни възможности и обръщане на внимание на регионалните различия, и се застъпва за политики за справяне предизвиканите от пандемията загуби на обучение, като се поставя акцент върху нуждите на учениците и училищата в неравностойно положение;</w:t>
      </w:r>
      <w:bookmarkEnd w:id="16"/>
      <w:bookmarkEnd w:id="17"/>
    </w:p>
    <w:p w:rsidRPr="00A32597" w:rsidR="00A32597" w:rsidP="00CC4510" w:rsidRDefault="00A32597" w14:paraId="22994523" w14:textId="4ED509F5">
      <w:pPr>
        <w:numPr>
          <w:ilvl w:val="0"/>
          <w:numId w:val="18"/>
        </w:numPr>
        <w:spacing w:line="276" w:lineRule="auto"/>
        <w:ind w:left="284" w:hanging="284"/>
        <w:outlineLvl w:val="1"/>
      </w:pPr>
      <w:bookmarkStart w:name="_Toc159831766" w:id="18"/>
      <w:bookmarkStart w:name="_Toc160715314" w:id="19"/>
      <w:r>
        <w:t>настоятелно призовава за по-смели действия за премахване на административните пречки, които възпрепятстват както предприятията от ЕС, така и другите заинтересовани страни, като същевременно подкрепя мерките за повишаване на производителността; твърди, че инициативите за намаляване на задълженията за докладване трябва да бъдат съчетани с по</w:t>
      </w:r>
      <w:r w:rsidR="00DC6FD6">
        <w:noBreakHyphen/>
      </w:r>
      <w:r>
        <w:t>силни стимули за инвестиции в устойчивостта, включително трансгранични;</w:t>
      </w:r>
      <w:bookmarkEnd w:id="18"/>
      <w:bookmarkEnd w:id="19"/>
    </w:p>
    <w:p w:rsidRPr="00A32597" w:rsidR="00A32597" w:rsidP="00CC4510" w:rsidRDefault="00A32597" w14:paraId="6CFE049D" w14:textId="77777777">
      <w:pPr>
        <w:numPr>
          <w:ilvl w:val="0"/>
          <w:numId w:val="18"/>
        </w:numPr>
        <w:spacing w:line="276" w:lineRule="auto"/>
        <w:ind w:left="284" w:hanging="284"/>
        <w:outlineLvl w:val="1"/>
      </w:pPr>
      <w:bookmarkStart w:name="_Toc159831767" w:id="20"/>
      <w:bookmarkStart w:name="_Toc160715315" w:id="21"/>
      <w:r>
        <w:t xml:space="preserve">се застъпва за балансиран фискален подход, който да включва приноса на заинтересованите страни и да отчита икономическите реалности във всички държави членки и подчертава, че изпълнението на плановете за възстановяване би трябвало да бъде приведено в съответствие </w:t>
      </w:r>
      <w:r>
        <w:lastRenderedPageBreak/>
        <w:t>с този нюансиран подход, за да се предотврати подкопаването на екологичните и социалните цели;</w:t>
      </w:r>
      <w:bookmarkEnd w:id="20"/>
      <w:bookmarkEnd w:id="21"/>
    </w:p>
    <w:p w:rsidRPr="00A32597" w:rsidR="00A32597" w:rsidP="00CC4510" w:rsidRDefault="00A32597" w14:paraId="6803DE03" w14:textId="77777777">
      <w:pPr>
        <w:numPr>
          <w:ilvl w:val="0"/>
          <w:numId w:val="18"/>
        </w:numPr>
        <w:spacing w:line="276" w:lineRule="auto"/>
        <w:ind w:left="284" w:hanging="284"/>
        <w:outlineLvl w:val="1"/>
      </w:pPr>
      <w:bookmarkStart w:name="_Toc159831768" w:id="22"/>
      <w:bookmarkStart w:name="_Toc160715316" w:id="23"/>
      <w:r>
        <w:t>изразява разочарование от забавеното създаване на Фонда за суверенитет на ЕС, а ограниченият бюджет за платформата за стратегически технологии за Европа (STEP) поражда сериозни съмнения относно ангажираността и способността на Съюза да постигне целите си за екологичен преход, както и опасения относно инвестициите в конкурентоспособността му.</w:t>
      </w:r>
      <w:bookmarkEnd w:id="22"/>
      <w:bookmarkEnd w:id="23"/>
    </w:p>
    <w:p w:rsidRPr="00A32597" w:rsidR="002C52B8" w:rsidP="00CC4510" w:rsidRDefault="002C52B8" w14:paraId="2496F124" w14:textId="77777777">
      <w:pPr>
        <w:spacing w:line="276" w:lineRule="auto"/>
        <w:ind w:left="567"/>
        <w:contextualSpacing/>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32597" w:rsidR="00A32597" w:rsidTr="00B05454" w14:paraId="4E0E2CCB" w14:textId="77777777">
        <w:tc>
          <w:tcPr>
            <w:tcW w:w="1418" w:type="dxa"/>
          </w:tcPr>
          <w:p w:rsidRPr="00A32597" w:rsidR="00A32597" w:rsidP="00CC4510" w:rsidRDefault="00A32597" w14:paraId="15B16749" w14:textId="77777777">
            <w:pPr>
              <w:keepNext/>
              <w:keepLines/>
              <w:spacing w:line="240" w:lineRule="auto"/>
              <w:jc w:val="left"/>
              <w:rPr>
                <w:i/>
              </w:rPr>
            </w:pPr>
            <w:r>
              <w:rPr>
                <w:b/>
                <w:i/>
              </w:rPr>
              <w:t>За контакт</w:t>
            </w:r>
          </w:p>
        </w:tc>
        <w:tc>
          <w:tcPr>
            <w:tcW w:w="5670" w:type="dxa"/>
          </w:tcPr>
          <w:p w:rsidRPr="00D36819" w:rsidR="00A32597" w:rsidP="00CC4510" w:rsidRDefault="00A32597" w14:paraId="51D4069A" w14:textId="77777777">
            <w:pPr>
              <w:keepNext/>
              <w:keepLines/>
              <w:spacing w:line="240" w:lineRule="auto"/>
              <w:jc w:val="left"/>
              <w:rPr>
                <w:i/>
                <w:iCs/>
              </w:rPr>
            </w:pPr>
            <w:proofErr w:type="spellStart"/>
            <w:r>
              <w:rPr>
                <w:i/>
              </w:rPr>
              <w:t>Colombe</w:t>
            </w:r>
            <w:proofErr w:type="spellEnd"/>
            <w:r>
              <w:rPr>
                <w:i/>
              </w:rPr>
              <w:t xml:space="preserve"> </w:t>
            </w:r>
            <w:proofErr w:type="spellStart"/>
            <w:r>
              <w:rPr>
                <w:i/>
              </w:rPr>
              <w:t>Grégoire</w:t>
            </w:r>
            <w:proofErr w:type="spellEnd"/>
          </w:p>
        </w:tc>
      </w:tr>
      <w:tr w:rsidRPr="00A32597" w:rsidR="00A32597" w:rsidTr="00B05454" w14:paraId="217EEC8E" w14:textId="77777777">
        <w:tc>
          <w:tcPr>
            <w:tcW w:w="1418" w:type="dxa"/>
          </w:tcPr>
          <w:p w:rsidRPr="00A32597" w:rsidR="00A32597" w:rsidP="00CC4510" w:rsidRDefault="00A32597" w14:paraId="10D94256" w14:textId="77777777">
            <w:pPr>
              <w:keepNext/>
              <w:keepLines/>
              <w:spacing w:line="240" w:lineRule="auto"/>
              <w:jc w:val="left"/>
              <w:rPr>
                <w:i/>
              </w:rPr>
            </w:pPr>
            <w:r>
              <w:rPr>
                <w:i/>
              </w:rPr>
              <w:t>Тел.</w:t>
            </w:r>
          </w:p>
        </w:tc>
        <w:tc>
          <w:tcPr>
            <w:tcW w:w="5670" w:type="dxa"/>
          </w:tcPr>
          <w:p w:rsidRPr="00A32597" w:rsidR="00A32597" w:rsidP="00CC4510" w:rsidRDefault="00A32597" w14:paraId="79D2A7DE" w14:textId="77777777">
            <w:pPr>
              <w:keepNext/>
              <w:keepLines/>
              <w:spacing w:line="240" w:lineRule="auto"/>
              <w:jc w:val="left"/>
              <w:rPr>
                <w:i/>
                <w:iCs/>
              </w:rPr>
            </w:pPr>
            <w:r>
              <w:rPr>
                <w:i/>
              </w:rPr>
              <w:t>+32 25469286</w:t>
            </w:r>
          </w:p>
        </w:tc>
      </w:tr>
      <w:tr w:rsidRPr="00A32597" w:rsidR="00A32597" w:rsidTr="00B05454" w14:paraId="6EE0DBD3" w14:textId="77777777">
        <w:tc>
          <w:tcPr>
            <w:tcW w:w="1418" w:type="dxa"/>
          </w:tcPr>
          <w:p w:rsidRPr="00A32597" w:rsidR="00A32597" w:rsidP="00CC4510" w:rsidRDefault="00A32597" w14:paraId="1D45D5A3" w14:textId="77777777">
            <w:pPr>
              <w:keepNext/>
              <w:keepLines/>
              <w:spacing w:line="240" w:lineRule="auto"/>
              <w:jc w:val="left"/>
              <w:rPr>
                <w:i/>
              </w:rPr>
            </w:pPr>
            <w:r>
              <w:rPr>
                <w:i/>
              </w:rPr>
              <w:t>Електронен адрес</w:t>
            </w:r>
          </w:p>
        </w:tc>
        <w:tc>
          <w:tcPr>
            <w:tcW w:w="5670" w:type="dxa"/>
          </w:tcPr>
          <w:p w:rsidRPr="00A32597" w:rsidR="00A32597" w:rsidP="00CC4510" w:rsidRDefault="0066462F" w14:paraId="1B217DB9" w14:textId="77777777">
            <w:pPr>
              <w:keepNext/>
              <w:keepLines/>
              <w:spacing w:line="240" w:lineRule="auto"/>
              <w:jc w:val="left"/>
              <w:rPr>
                <w:i/>
                <w:iCs/>
              </w:rPr>
            </w:pPr>
            <w:hyperlink w:history="1" r:id="rId22">
              <w:r w:rsidR="00803992">
                <w:rPr>
                  <w:color w:val="0000FF"/>
                  <w:u w:val="single"/>
                </w:rPr>
                <w:t>Colombe.Gregoire@eesc.europa.eu</w:t>
              </w:r>
            </w:hyperlink>
            <w:r w:rsidR="00803992">
              <w:t xml:space="preserve"> </w:t>
            </w:r>
          </w:p>
        </w:tc>
      </w:tr>
    </w:tbl>
    <w:p w:rsidR="00A32597" w:rsidRDefault="00A32597" w14:paraId="11F6A301" w14:textId="30893F50">
      <w:pPr>
        <w:spacing w:after="160" w:line="259" w:lineRule="auto"/>
        <w:jc w:val="left"/>
        <w:rPr>
          <w:b/>
          <w:bCs/>
        </w:rPr>
      </w:pPr>
    </w:p>
    <w:p w:rsidRPr="00E76ACE" w:rsidR="00E76ACE" w:rsidP="00E76ACE" w:rsidRDefault="0066462F"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3">
        <w:r w:rsidR="00803992">
          <w:rPr>
            <w:b/>
            <w:i/>
            <w:color w:val="0000FF"/>
            <w:sz w:val="28"/>
            <w:u w:val="single"/>
          </w:rPr>
          <w:t xml:space="preserve">Подобряване на </w:t>
        </w:r>
        <w:proofErr w:type="spellStart"/>
        <w:r w:rsidR="00803992">
          <w:rPr>
            <w:b/>
            <w:i/>
            <w:color w:val="0000FF"/>
            <w:sz w:val="28"/>
            <w:u w:val="single"/>
          </w:rPr>
          <w:t>бенчмарковете</w:t>
        </w:r>
        <w:proofErr w:type="spellEnd"/>
        <w:r w:rsidR="00803992">
          <w:rPr>
            <w:b/>
            <w:i/>
            <w:color w:val="0000FF"/>
            <w:sz w:val="28"/>
            <w:u w:val="single"/>
          </w:rPr>
          <w:t xml:space="preserve"> и изискванията за докладване в областта на финансовите услуги и подкрепата за инвестициите</w:t>
        </w:r>
      </w:hyperlink>
    </w:p>
    <w:p w:rsidRPr="00E76ACE"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5"/>
        <w:gridCol w:w="6515"/>
      </w:tblGrid>
      <w:tr w:rsidRPr="00E76ACE" w:rsidR="00E76ACE" w:rsidTr="007825FA" w14:paraId="618851BF" w14:textId="77777777">
        <w:tc>
          <w:tcPr>
            <w:tcW w:w="0" w:type="auto"/>
          </w:tcPr>
          <w:p w:rsidRPr="00E76ACE"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Pr>
                <w:b/>
              </w:rPr>
              <w:t>Докладчик</w:t>
            </w:r>
          </w:p>
        </w:tc>
        <w:tc>
          <w:tcPr>
            <w:tcW w:w="0" w:type="auto"/>
          </w:tcPr>
          <w:p w:rsidRPr="00E76ACE" w:rsidR="00E76ACE" w:rsidP="00CC4510" w:rsidRDefault="00E76ACE" w14:paraId="6FCB339F" w14:textId="00D67000">
            <w:pPr>
              <w:tabs>
                <w:tab w:val="center" w:pos="284"/>
              </w:tabs>
              <w:overflowPunct w:val="0"/>
              <w:autoSpaceDE w:val="0"/>
              <w:autoSpaceDN w:val="0"/>
              <w:adjustRightInd w:val="0"/>
              <w:ind w:left="266" w:hanging="376"/>
              <w:textAlignment w:val="baseline"/>
            </w:pPr>
            <w:proofErr w:type="spellStart"/>
            <w:r>
              <w:t>Krzysztof</w:t>
            </w:r>
            <w:proofErr w:type="spellEnd"/>
            <w:r>
              <w:t xml:space="preserve"> BALON (група „Организации на гражданското общество“ — PL)</w:t>
            </w:r>
          </w:p>
        </w:tc>
      </w:tr>
      <w:tr w:rsidRPr="00E76ACE" w:rsidR="00E76ACE" w:rsidTr="007825FA" w14:paraId="4A807341" w14:textId="77777777">
        <w:tc>
          <w:tcPr>
            <w:tcW w:w="0" w:type="auto"/>
            <w:gridSpan w:val="2"/>
          </w:tcPr>
          <w:p w:rsidRPr="00E76ACE"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E76ACE" w:rsidR="00E76ACE" w:rsidTr="007825FA" w14:paraId="6F674771" w14:textId="77777777">
        <w:tc>
          <w:tcPr>
            <w:tcW w:w="0" w:type="auto"/>
            <w:vMerge w:val="restart"/>
          </w:tcPr>
          <w:p w:rsidRPr="00E76ACE" w:rsidR="00E76ACE" w:rsidP="00CC4510" w:rsidRDefault="00E76ACE" w14:paraId="3CD2717C" w14:textId="77777777">
            <w:pPr>
              <w:tabs>
                <w:tab w:val="center" w:pos="284"/>
              </w:tabs>
              <w:overflowPunct w:val="0"/>
              <w:autoSpaceDE w:val="0"/>
              <w:autoSpaceDN w:val="0"/>
              <w:adjustRightInd w:val="0"/>
              <w:ind w:left="266" w:hanging="376"/>
              <w:textAlignment w:val="baseline"/>
              <w:rPr>
                <w:b/>
              </w:rPr>
            </w:pPr>
            <w:r>
              <w:rPr>
                <w:b/>
              </w:rPr>
              <w:t>Отправни документи</w:t>
            </w:r>
          </w:p>
        </w:tc>
        <w:tc>
          <w:tcPr>
            <w:tcW w:w="0" w:type="auto"/>
          </w:tcPr>
          <w:p w:rsidR="005B5B2E" w:rsidP="00CC4510" w:rsidRDefault="00E76ACE" w14:paraId="34EF1006" w14:textId="77777777">
            <w:pPr>
              <w:tabs>
                <w:tab w:val="center" w:pos="284"/>
              </w:tabs>
              <w:overflowPunct w:val="0"/>
              <w:autoSpaceDE w:val="0"/>
              <w:autoSpaceDN w:val="0"/>
              <w:adjustRightInd w:val="0"/>
              <w:ind w:left="266" w:hanging="376"/>
              <w:textAlignment w:val="baseline"/>
            </w:pPr>
            <w:r>
              <w:t xml:space="preserve">COM(2023) 593 </w:t>
            </w:r>
            <w:proofErr w:type="spellStart"/>
            <w:r>
              <w:t>final</w:t>
            </w:r>
            <w:proofErr w:type="spellEnd"/>
          </w:p>
          <w:p w:rsidRPr="00E76ACE" w:rsidR="00E76ACE" w:rsidP="00CC4510" w:rsidRDefault="00E76ACE" w14:paraId="0D256A2F" w14:textId="22CD3175">
            <w:pPr>
              <w:tabs>
                <w:tab w:val="center" w:pos="284"/>
              </w:tabs>
              <w:overflowPunct w:val="0"/>
              <w:autoSpaceDE w:val="0"/>
              <w:autoSpaceDN w:val="0"/>
              <w:adjustRightInd w:val="0"/>
              <w:ind w:left="266" w:hanging="376"/>
              <w:textAlignment w:val="baseline"/>
            </w:pPr>
            <w:r>
              <w:t xml:space="preserve">COM(2023) 660 </w:t>
            </w:r>
            <w:proofErr w:type="spellStart"/>
            <w:r>
              <w:t>final</w:t>
            </w:r>
            <w:proofErr w:type="spellEnd"/>
            <w:r>
              <w:t xml:space="preserve"> </w:t>
            </w:r>
          </w:p>
        </w:tc>
      </w:tr>
      <w:tr w:rsidRPr="00E76ACE" w:rsidR="00E76ACE" w:rsidTr="007825FA" w14:paraId="2D4938C0" w14:textId="77777777">
        <w:tc>
          <w:tcPr>
            <w:tcW w:w="0" w:type="auto"/>
            <w:vMerge/>
          </w:tcPr>
          <w:p w:rsidRPr="00E76ACE"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0" w:type="auto"/>
          </w:tcPr>
          <w:p w:rsidRPr="00E76ACE" w:rsidR="00E76ACE" w:rsidP="00CC4510" w:rsidRDefault="00E76ACE" w14:paraId="140F62AD" w14:textId="77777777">
            <w:pPr>
              <w:tabs>
                <w:tab w:val="center" w:pos="284"/>
              </w:tabs>
              <w:overflowPunct w:val="0"/>
              <w:autoSpaceDE w:val="0"/>
              <w:autoSpaceDN w:val="0"/>
              <w:adjustRightInd w:val="0"/>
              <w:ind w:left="266" w:hanging="376"/>
              <w:textAlignment w:val="baseline"/>
            </w:pPr>
            <w:r>
              <w:t>EESC-2023-05424-00-00-AC</w:t>
            </w:r>
          </w:p>
        </w:tc>
      </w:tr>
    </w:tbl>
    <w:p w:rsidRPr="00E76ACE"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CC4510" w:rsidRDefault="00E76ACE" w14:paraId="1F52A2F7" w14:textId="77777777">
      <w:pPr>
        <w:widowControl w:val="0"/>
        <w:spacing w:line="276" w:lineRule="auto"/>
        <w:contextualSpacing/>
      </w:pPr>
      <w:r>
        <w:t>Относно споделянето на данни и намаляването на административните изисквания в областта на финансовите услуги и подкрепата за инвестициите, ЕИСК:</w:t>
      </w:r>
    </w:p>
    <w:p w:rsidRPr="00E76ACE"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005B5B2E" w:rsidP="00CC4510" w:rsidRDefault="00E76ACE" w14:paraId="7743CAAB"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приветства инициативата за рационализиране и опростяване на изискванията за надзорна отчетност и за избягване на дублирането на искания за докладване;</w:t>
      </w:r>
    </w:p>
    <w:p w:rsidR="005B5B2E" w:rsidP="00CC4510" w:rsidRDefault="00E76ACE" w14:paraId="1806B57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счита, че е необходимо да се стандартизират обхватът и форматът на данните, включвани в обмена на информация между органите, упражняващи надзор върху финансовия сектор;</w:t>
      </w:r>
    </w:p>
    <w:p w:rsidRPr="00E76ACE" w:rsidR="00E76ACE" w:rsidP="00CC4510" w:rsidRDefault="00E76ACE" w14:paraId="1F63FC84" w14:textId="7EC2F38F">
      <w:pPr>
        <w:widowControl w:val="0"/>
        <w:numPr>
          <w:ilvl w:val="0"/>
          <w:numId w:val="19"/>
        </w:numPr>
        <w:overflowPunct w:val="0"/>
        <w:autoSpaceDE w:val="0"/>
        <w:autoSpaceDN w:val="0"/>
        <w:adjustRightInd w:val="0"/>
        <w:spacing w:line="276" w:lineRule="auto"/>
        <w:ind w:left="284" w:hanging="284"/>
        <w:contextualSpacing/>
        <w:textAlignment w:val="baseline"/>
      </w:pPr>
      <w:r>
        <w:t>отбелязва, че предложените промени могат да доведат до известни разходи за прилагане и/или допълнителни разходи за стандартизация. Свеждането до минимум на разходите не следва да се отделя от другите цели за събиране и споделяне на данни;</w:t>
      </w:r>
    </w:p>
    <w:p w:rsidRPr="00E76ACE"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счита, че в бъдещите инициативи следва да се установи, че предоставянето на данни на даден компетентен орган (или съвместна платформа) се третира като предоставяне на всички други компетентни органи (концепция за „обслужване на едно гише“);</w:t>
      </w:r>
    </w:p>
    <w:p w:rsidRPr="00E76ACE"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отбелязва, че споделянето на данни между органите ще продължи да </w:t>
      </w:r>
      <w:proofErr w:type="spellStart"/>
      <w:r>
        <w:t>да</w:t>
      </w:r>
      <w:proofErr w:type="spellEnd"/>
      <w:r>
        <w:t xml:space="preserve"> бъде обусловено от доброволно искане. Във връзка с това органите трябва (не само „могат“) да сключват меморандуми за разбирателство, за да уточнят условията за обмен на информация;</w:t>
      </w:r>
    </w:p>
    <w:p w:rsidRPr="00E76ACE"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подчертава, че за да се постигне опростяване, редовното преразглеждане на изискванията за докладване следва да бъде задължително;</w:t>
      </w:r>
    </w:p>
    <w:p w:rsidRPr="00E76ACE"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5CD848D6" w14:textId="77777777">
      <w:pPr>
        <w:widowControl w:val="0"/>
        <w:spacing w:line="276" w:lineRule="auto"/>
        <w:contextualSpacing/>
        <w:jc w:val="left"/>
      </w:pPr>
      <w:r>
        <w:t xml:space="preserve">Относно измененията на Регламента за </w:t>
      </w:r>
      <w:proofErr w:type="spellStart"/>
      <w:r>
        <w:t>бенчмарковете</w:t>
      </w:r>
      <w:proofErr w:type="spellEnd"/>
      <w:r>
        <w:t>, ЕИСК:</w:t>
      </w:r>
    </w:p>
    <w:p w:rsidRPr="00E76ACE"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005B5B2E" w:rsidP="00CC4510" w:rsidRDefault="00E76ACE" w14:paraId="4B0C1AEE"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приветства прилагането на по-балансиран и пропорционален подход за запазване на финансовата стабилност и целостта на европейските пазари, както и за намаляване на разходите и регулаторните изисквания, по-специално чрез намаляване на изискванията за </w:t>
      </w:r>
      <w:proofErr w:type="spellStart"/>
      <w:r>
        <w:t>бенчмарковете</w:t>
      </w:r>
      <w:proofErr w:type="spellEnd"/>
      <w:r>
        <w:t xml:space="preserve"> с малка значимост;</w:t>
      </w:r>
    </w:p>
    <w:p w:rsidRPr="00E76ACE" w:rsidR="00E76ACE" w:rsidP="00CC4510" w:rsidRDefault="00E76ACE" w14:paraId="512ABB98" w14:textId="546BEA66">
      <w:pPr>
        <w:widowControl w:val="0"/>
        <w:numPr>
          <w:ilvl w:val="0"/>
          <w:numId w:val="20"/>
        </w:numPr>
        <w:overflowPunct w:val="0"/>
        <w:autoSpaceDE w:val="0"/>
        <w:autoSpaceDN w:val="0"/>
        <w:adjustRightInd w:val="0"/>
        <w:spacing w:line="276" w:lineRule="auto"/>
        <w:ind w:left="284" w:hanging="284"/>
        <w:contextualSpacing/>
        <w:textAlignment w:val="baseline"/>
      </w:pPr>
      <w:r>
        <w:lastRenderedPageBreak/>
        <w:t xml:space="preserve">приветства изясняването на ролята на Комисията, Европейския орган за ценни книжа и пазари (ЕОЦКП) и националните органи в процеса, приложим за значимите и критичните </w:t>
      </w:r>
      <w:proofErr w:type="spellStart"/>
      <w:r>
        <w:t>бенчмаркове</w:t>
      </w:r>
      <w:proofErr w:type="spellEnd"/>
      <w:r>
        <w:t>;</w:t>
      </w:r>
    </w:p>
    <w:p w:rsidRPr="00E76ACE"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настоятелно препоръчва да се провери дали е възможно да се предприеме инициатива за свеждане до минимум на изискванията за докладване или за спестяване на разходи за критични или значими </w:t>
      </w:r>
      <w:proofErr w:type="spellStart"/>
      <w:r>
        <w:t>бенчмаркове</w:t>
      </w:r>
      <w:proofErr w:type="spellEnd"/>
      <w:r>
        <w:t>.</w:t>
      </w:r>
    </w:p>
    <w:p w:rsidRPr="00E76ACE" w:rsidR="00E76ACE" w:rsidP="00E76ACE" w:rsidRDefault="00E76ACE" w14:paraId="0966C473" w14:textId="77777777">
      <w:pPr>
        <w:widowControl w:val="0"/>
        <w:overflowPunct w:val="0"/>
        <w:autoSpaceDE w:val="0"/>
        <w:autoSpaceDN w:val="0"/>
        <w:adjustRightInd w:val="0"/>
        <w:rPr>
          <w:szCs w:val="20"/>
        </w:rPr>
      </w:pPr>
    </w:p>
    <w:p w:rsidRPr="00E76ACE" w:rsidR="00E76ACE" w:rsidP="00E76ACE" w:rsidRDefault="00E76ACE" w14:paraId="468B2533" w14:textId="77777777">
      <w:pPr>
        <w:spacing w:line="360" w:lineRule="auto"/>
        <w:ind w:left="714"/>
        <w:contextualSpacing/>
        <w:rPr>
          <w:rFonts w:ascii="Calibri" w:hAnsi="Calibri"/>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E76ACE" w:rsidRDefault="00E76ACE" w14:paraId="631F02EC" w14:textId="77777777">
            <w:pPr>
              <w:overflowPunct w:val="0"/>
              <w:autoSpaceDE w:val="0"/>
              <w:autoSpaceDN w:val="0"/>
              <w:adjustRightInd w:val="0"/>
              <w:spacing w:line="240" w:lineRule="auto"/>
              <w:textAlignment w:val="baseline"/>
              <w:rPr>
                <w:i/>
              </w:rPr>
            </w:pPr>
            <w:r>
              <w:rPr>
                <w:b/>
                <w:i/>
              </w:rPr>
              <w:t>За контакт</w:t>
            </w:r>
          </w:p>
        </w:tc>
        <w:tc>
          <w:tcPr>
            <w:tcW w:w="3444" w:type="pct"/>
          </w:tcPr>
          <w:p w:rsidRPr="00E76ACE" w:rsidR="00E76ACE" w:rsidP="00E76ACE" w:rsidRDefault="00E76ACE" w14:paraId="37BFF911" w14:textId="26B6403B">
            <w:pPr>
              <w:overflowPunct w:val="0"/>
              <w:autoSpaceDE w:val="0"/>
              <w:autoSpaceDN w:val="0"/>
              <w:adjustRightInd w:val="0"/>
              <w:spacing w:line="240" w:lineRule="auto"/>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E76ACE" w:rsidR="00E76ACE" w:rsidTr="00B05454" w14:paraId="38EECD9C" w14:textId="77777777">
        <w:tc>
          <w:tcPr>
            <w:tcW w:w="1556" w:type="pct"/>
          </w:tcPr>
          <w:p w:rsidRPr="00E76ACE" w:rsidR="00E76ACE" w:rsidP="00E76ACE" w:rsidRDefault="00E76ACE" w14:paraId="00111D5D" w14:textId="77777777">
            <w:pPr>
              <w:overflowPunct w:val="0"/>
              <w:autoSpaceDE w:val="0"/>
              <w:autoSpaceDN w:val="0"/>
              <w:adjustRightInd w:val="0"/>
              <w:spacing w:line="240" w:lineRule="auto"/>
              <w:textAlignment w:val="baseline"/>
              <w:rPr>
                <w:i/>
              </w:rPr>
            </w:pPr>
            <w:r>
              <w:rPr>
                <w:i/>
              </w:rPr>
              <w:t>Тел.</w:t>
            </w:r>
          </w:p>
        </w:tc>
        <w:tc>
          <w:tcPr>
            <w:tcW w:w="3444" w:type="pct"/>
          </w:tcPr>
          <w:p w:rsidRPr="00E76ACE" w:rsidR="00E76ACE" w:rsidP="00E76ACE" w:rsidRDefault="00E76ACE" w14:paraId="2BA01FC0" w14:textId="77777777">
            <w:pPr>
              <w:overflowPunct w:val="0"/>
              <w:autoSpaceDE w:val="0"/>
              <w:autoSpaceDN w:val="0"/>
              <w:adjustRightInd w:val="0"/>
              <w:spacing w:line="240" w:lineRule="auto"/>
              <w:textAlignment w:val="baseline"/>
              <w:rPr>
                <w:i/>
              </w:rPr>
            </w:pPr>
            <w:r>
              <w:rPr>
                <w:i/>
              </w:rPr>
              <w:t>+32 25469240</w:t>
            </w:r>
          </w:p>
        </w:tc>
      </w:tr>
      <w:tr w:rsidRPr="00E76ACE" w:rsidR="00E76ACE" w:rsidTr="00B05454" w14:paraId="34EA2FE0" w14:textId="77777777">
        <w:tc>
          <w:tcPr>
            <w:tcW w:w="1556" w:type="pct"/>
          </w:tcPr>
          <w:p w:rsidRPr="00E76ACE" w:rsidR="00E76ACE" w:rsidP="00E76ACE" w:rsidRDefault="00E76ACE" w14:paraId="3C52BE60"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E76ACE" w:rsidR="00E76ACE" w:rsidP="00E76ACE" w:rsidRDefault="0066462F" w14:paraId="4D5E4782" w14:textId="77777777">
            <w:pPr>
              <w:overflowPunct w:val="0"/>
              <w:autoSpaceDE w:val="0"/>
              <w:autoSpaceDN w:val="0"/>
              <w:adjustRightInd w:val="0"/>
              <w:spacing w:line="240" w:lineRule="auto"/>
              <w:textAlignment w:val="baseline"/>
              <w:rPr>
                <w:i/>
              </w:rPr>
            </w:pPr>
            <w:hyperlink w:history="1" r:id="rId24">
              <w:r w:rsidR="00803992">
                <w:rPr>
                  <w:i/>
                  <w:color w:val="0000FF"/>
                  <w:u w:val="single"/>
                </w:rPr>
                <w:t>Sergio.LorencioMatallana@eesc.europa.eu</w:t>
              </w:r>
            </w:hyperlink>
          </w:p>
        </w:tc>
      </w:tr>
    </w:tbl>
    <w:p w:rsidR="00E76ACE" w:rsidRDefault="00E76ACE" w14:paraId="610C8E26" w14:textId="77777777">
      <w:pPr>
        <w:spacing w:after="160" w:line="259" w:lineRule="auto"/>
        <w:jc w:val="left"/>
        <w:rPr>
          <w:b/>
          <w:bCs/>
        </w:rPr>
      </w:pPr>
    </w:p>
    <w:p w:rsidR="006C6A1E" w:rsidP="00234EA0" w:rsidRDefault="006C6A1E" w14:paraId="55E56154" w14:textId="2549BDD3">
      <w:pPr>
        <w:pStyle w:val="Heading1"/>
        <w:ind w:hanging="928"/>
        <w:rPr>
          <w:b/>
          <w:bCs/>
        </w:rPr>
      </w:pPr>
      <w:bookmarkStart w:name="_Toc150179063" w:id="24"/>
      <w:bookmarkStart w:name="_Toc153539680" w:id="25"/>
      <w:bookmarkStart w:name="_Toc160715317" w:id="26"/>
      <w:bookmarkEnd w:id="24"/>
      <w:r>
        <w:rPr>
          <w:b/>
        </w:rPr>
        <w:t>ЗАЕТОСТ, СОЦИАЛНИ ВЪПРОСИ И ГРАЖДАНСТВО</w:t>
      </w:r>
      <w:bookmarkEnd w:id="26"/>
    </w:p>
    <w:p w:rsidR="006C6A1E" w:rsidP="006C6A1E" w:rsidRDefault="006C6A1E" w14:paraId="190420D2" w14:textId="4E6BD19C"/>
    <w:p w:rsidRPr="006C6A1E" w:rsidR="006C6A1E" w:rsidP="006C6A1E" w:rsidRDefault="0066462F"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5">
        <w:r w:rsidR="00803992">
          <w:rPr>
            <w:b/>
            <w:i/>
            <w:color w:val="0000FF"/>
            <w:sz w:val="28"/>
            <w:u w:val="single"/>
          </w:rPr>
          <w:t>Цифровизация на системите за социална сигурност</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7"/>
        <w:gridCol w:w="6477"/>
      </w:tblGrid>
      <w:tr w:rsidRPr="006C6A1E" w:rsidR="006C6A1E" w:rsidTr="00CC4510"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Pr>
                <w:b/>
              </w:rPr>
              <w:t>Докладчик</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proofErr w:type="spellStart"/>
            <w:r>
              <w:t>Krzysztof</w:t>
            </w:r>
            <w:proofErr w:type="spellEnd"/>
            <w:r>
              <w:t xml:space="preserve"> BALON (група „Организации на гражданското общество“ — PL)</w:t>
            </w:r>
          </w:p>
        </w:tc>
      </w:tr>
      <w:tr w:rsidRPr="006C6A1E" w:rsidR="006C6A1E" w:rsidTr="00CC4510"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r>
              <w:rPr>
                <w:b/>
              </w:rPr>
              <w:t>Съдокладчик</w:t>
            </w:r>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r>
              <w:t xml:space="preserve">Maria </w:t>
            </w:r>
            <w:proofErr w:type="spellStart"/>
            <w:r>
              <w:t>del</w:t>
            </w:r>
            <w:proofErr w:type="spellEnd"/>
            <w:r>
              <w:t xml:space="preserve"> </w:t>
            </w:r>
            <w:proofErr w:type="spellStart"/>
            <w:r>
              <w:t>Carmen</w:t>
            </w:r>
            <w:proofErr w:type="spellEnd"/>
            <w:r>
              <w:t xml:space="preserve"> BARRERA CHAMORRO (група „Работници“ — ES)</w:t>
            </w:r>
          </w:p>
        </w:tc>
      </w:tr>
      <w:tr w:rsidRPr="006C6A1E" w:rsidR="006C6A1E" w:rsidTr="00CC4510"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CC4510" w14:paraId="4552C784" w14:textId="77777777">
        <w:trPr>
          <w:trHeight w:val="282"/>
        </w:trPr>
        <w:tc>
          <w:tcPr>
            <w:tcW w:w="1128" w:type="pct"/>
          </w:tcPr>
          <w:p w:rsidRPr="006C6A1E"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t xml:space="preserve">COM(2023) 501 </w:t>
            </w:r>
            <w:proofErr w:type="spellStart"/>
            <w:r>
              <w:t>final</w:t>
            </w:r>
            <w:proofErr w:type="spellEnd"/>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ЕИСК:</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признава предизвикателствата, поставени от трансграничната координация на системите за социална сигурност, като сложността на бюрократичните процедури, въвеждането на ръка, изискването на определени документи във физическа форма и трудностите при проверката или валидирането им, които възпрепятстват свободното движение на гражданите и предприятията;</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приветства и напълно подкрепя целта на Комисията за опростяване на трансграничната координация на социалната сигурност и здравеопазването чрез цифровизация;</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призовава за незабавно разработване на всеобхватен план за действие за цифровизиране на координацията на системите за социална сигурност с подход „отдолу нагоре“, като същевременно подчертава значението на отчитането на нуждите на институциите за социална сигурност и заинтересованите страни, включително гражданите, работодателите, дружествата и субектите на социалната икономика;</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настоятелно призовава да се предвидят алтернативни решения за лицата, които не са в състояние да използват електронни средства или които по друг начин са изключени от цифровите технологии. ЕИСК подчертава, че цифровата идентификация следва да бъде възможност, а не изискване, докато не бъдат установени подходящи алтернативи, които да зачитат съответните стандарти за защита на данните;</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счита, че няма да успеем да постигнем целите си за премахване на пречките пред свободното движение единствено чрез цифровизиране на социалната сигурност, докато не приключи реформата на Регламент № 883/2004 за координация на системите за социална сигурност;</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lastRenderedPageBreak/>
        <w:t>предлага да се установи постоянен обмен между държавите членки на най-добри практики за цифровизация на координацията на системите за социална сигурност. За да се насърчи и популяризира това, ЕИСК предлага Комисията и Европейският орган по труда да организират конференция, в която да участват правителствата на държавите членки и гражданското общество.</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Pr>
                <w:b/>
                <w:i/>
              </w:rPr>
              <w:t>За контакт</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Pr>
                <w:i/>
              </w:rPr>
              <w:t>Тел.</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Pr>
                <w:i/>
              </w:rPr>
              <w:t>Електронен адрес</w:t>
            </w:r>
          </w:p>
        </w:tc>
        <w:tc>
          <w:tcPr>
            <w:tcW w:w="3444" w:type="pct"/>
          </w:tcPr>
          <w:p w:rsidRPr="006C6A1E" w:rsidR="006C6A1E" w:rsidP="006C6A1E" w:rsidRDefault="0066462F" w14:paraId="5FE06EE9" w14:textId="77777777">
            <w:pPr>
              <w:overflowPunct w:val="0"/>
              <w:autoSpaceDE w:val="0"/>
              <w:autoSpaceDN w:val="0"/>
              <w:adjustRightInd w:val="0"/>
              <w:spacing w:line="240" w:lineRule="auto"/>
              <w:textAlignment w:val="baseline"/>
              <w:rPr>
                <w:i/>
              </w:rPr>
            </w:pPr>
            <w:hyperlink w:history="1" r:id="rId26">
              <w:r w:rsidR="00803992">
                <w:rPr>
                  <w:i/>
                  <w:color w:val="0000FF"/>
                  <w:u w:val="single"/>
                </w:rPr>
                <w:t>Bartek.Bednarowicz@eesc.europa.eu</w:t>
              </w:r>
            </w:hyperlink>
          </w:p>
        </w:tc>
      </w:tr>
    </w:tbl>
    <w:p w:rsidR="006C6A1E" w:rsidP="006C6A1E" w:rsidRDefault="006C6A1E" w14:paraId="195525CA" w14:textId="777AE21F"/>
    <w:p w:rsidRPr="00EE6FEF" w:rsidR="00EE6FEF" w:rsidP="00EE6FEF" w:rsidRDefault="0066462F" w14:paraId="233F82BA" w14:textId="358528F6">
      <w:pPr>
        <w:widowControl w:val="0"/>
        <w:numPr>
          <w:ilvl w:val="0"/>
          <w:numId w:val="29"/>
        </w:numPr>
        <w:overflowPunct w:val="0"/>
        <w:autoSpaceDE w:val="0"/>
        <w:autoSpaceDN w:val="0"/>
        <w:adjustRightInd w:val="0"/>
        <w:ind w:hanging="567"/>
        <w:textAlignment w:val="baseline"/>
        <w:rPr>
          <w:b/>
        </w:rPr>
      </w:pPr>
      <w:hyperlink w:history="1" r:id="rId27">
        <w:r w:rsidR="00803992">
          <w:rPr>
            <w:b/>
            <w:i/>
            <w:color w:val="0000FF"/>
            <w:sz w:val="28"/>
            <w:u w:val="single"/>
          </w:rPr>
          <w:t>Укрепване на гражданския диалог и демокрацията на участието в ЕС: пътят напред</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2"/>
        <w:gridCol w:w="7175"/>
      </w:tblGrid>
      <w:tr w:rsidRPr="00EE6FEF" w:rsidR="00EE6FEF" w:rsidTr="003D0C0C" w14:paraId="7774CF3A" w14:textId="77777777">
        <w:tc>
          <w:tcPr>
            <w:tcW w:w="0" w:type="auto"/>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Pr>
                <w:b/>
              </w:rPr>
              <w:t>Докладчик</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r>
              <w:rPr>
                <w:b/>
              </w:rPr>
              <w:t>Съдокладчик</w:t>
            </w:r>
          </w:p>
        </w:tc>
        <w:tc>
          <w:tcPr>
            <w:tcW w:w="0" w:type="auto"/>
          </w:tcPr>
          <w:p w:rsidRPr="00EE6FEF" w:rsidR="00EE6FEF" w:rsidP="00EE6FEF" w:rsidRDefault="00EE6FEF" w14:paraId="09298572" w14:textId="1E4C99CC">
            <w:pPr>
              <w:overflowPunct w:val="0"/>
              <w:autoSpaceDE w:val="0"/>
              <w:autoSpaceDN w:val="0"/>
              <w:adjustRightInd w:val="0"/>
              <w:ind w:left="567" w:hanging="567"/>
              <w:textAlignment w:val="baseline"/>
            </w:pPr>
            <w:proofErr w:type="spellStart"/>
            <w:r>
              <w:t>Pietro</w:t>
            </w:r>
            <w:proofErr w:type="spellEnd"/>
            <w:r>
              <w:t xml:space="preserve"> </w:t>
            </w:r>
            <w:proofErr w:type="spellStart"/>
            <w:r>
              <w:t>Vittorio</w:t>
            </w:r>
            <w:proofErr w:type="spellEnd"/>
            <w:r>
              <w:t xml:space="preserve"> BARBIERI (група „Организации на гражданското общество“ — IT)</w:t>
            </w:r>
          </w:p>
          <w:p w:rsidR="00EE6FEF" w:rsidP="00EE6FEF" w:rsidRDefault="00EE6FEF" w14:paraId="440A5CB9" w14:textId="50813251">
            <w:pPr>
              <w:tabs>
                <w:tab w:val="center" w:pos="284"/>
              </w:tabs>
              <w:overflowPunct w:val="0"/>
              <w:autoSpaceDE w:val="0"/>
              <w:autoSpaceDN w:val="0"/>
              <w:adjustRightInd w:val="0"/>
              <w:ind w:left="567" w:hanging="567"/>
              <w:textAlignment w:val="baseline"/>
            </w:pPr>
            <w:proofErr w:type="spellStart"/>
            <w:r>
              <w:t>Miranda</w:t>
            </w:r>
            <w:proofErr w:type="spellEnd"/>
            <w:r>
              <w:t xml:space="preserve"> </w:t>
            </w:r>
            <w:proofErr w:type="spellStart"/>
            <w:r>
              <w:t>Ulens</w:t>
            </w:r>
            <w:proofErr w:type="spellEnd"/>
            <w:r>
              <w:t xml:space="preserve"> (група „Работници“ — 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3D0C0C" w14:paraId="6999DE5D" w14:textId="77777777">
        <w:tc>
          <w:tcPr>
            <w:tcW w:w="0" w:type="auto"/>
            <w:vMerge w:val="restart"/>
          </w:tcPr>
          <w:p w:rsidRPr="00EE6FEF"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Pr>
                <w:b/>
              </w:rPr>
              <w:t>Отправни документи</w:t>
            </w:r>
          </w:p>
        </w:tc>
        <w:tc>
          <w:tcPr>
            <w:tcW w:w="0" w:type="auto"/>
          </w:tcPr>
          <w:p w:rsidR="00734081" w:rsidP="00EE6FEF" w:rsidRDefault="00734081" w14:paraId="35FF71C6" w14:textId="62F6C7E5">
            <w:pPr>
              <w:tabs>
                <w:tab w:val="center" w:pos="284"/>
              </w:tabs>
              <w:overflowPunct w:val="0"/>
              <w:autoSpaceDE w:val="0"/>
              <w:autoSpaceDN w:val="0"/>
              <w:adjustRightInd w:val="0"/>
              <w:ind w:left="567" w:hanging="567"/>
              <w:textAlignment w:val="baseline"/>
            </w:pPr>
            <w:r>
              <w:t>Проучвателно становище по искане на белгийското председателство на Съвета на ЕС</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pPr>
            <w:r>
              <w:t>EESC-2023-03879-00-00-AC</w:t>
            </w:r>
          </w:p>
        </w:tc>
      </w:tr>
      <w:tr w:rsidRPr="00EE6FEF" w:rsidR="00EE6FEF" w:rsidTr="003D0C0C" w14:paraId="03305879" w14:textId="77777777">
        <w:tc>
          <w:tcPr>
            <w:tcW w:w="0" w:type="auto"/>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0" w:type="auto"/>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Pr>
          <w:b/>
        </w:rPr>
        <w:t>Основни аспекти</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t>ЕИСК:</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подчертава, че прилагането на член 11 от ДЕС като последващо действие във връзка с Конференцията за бъдещето на Европа (</w:t>
      </w:r>
      <w:proofErr w:type="spellStart"/>
      <w:r>
        <w:t>CoFoE</w:t>
      </w:r>
      <w:proofErr w:type="spellEnd"/>
      <w:r>
        <w:t>), при същевременно укрепване на ролята на ЕИСК, може да доведе до по-ефективни политики. Той подкрепя препоръката на Конференцията за бъдещето на Европа за разработване на допълнителни инструменти за демокрация на участието. Няколко от неговите препоръки включват изграждането на благоприятна рамка за граждански диалог и признават ролята на ЕИСК, включително като истински потенциален център за граждански панели. Специфичната роля на организациите на социалните партньори следва да се зачита изцяло в структурите и процесите на социалния диалог, като гражданският диалог е отделен процес;</w:t>
      </w:r>
    </w:p>
    <w:p w:rsidRPr="00EE6FEF"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t>призовава като първа стъпка за стратегия за граждански диалог, която да доведе до изготвяне на план за действие, който би могъл да включва стълб като част от Европейския пакет от мерки за защита на демокрацията. В допълнение това би могло да бъде насочено към обмисляне на възможността за постигане на междуинституционално споразумение между институциите на ЕС, в което да се определят действията и свързаните с тях ресурси, които да бъдат използвани. Това би могло да бъде улеснено от ЕИСК, с участието на мрежите на гражданското общество на равнището на ЕС;</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призовава за засилване на ролята на отговорните лица в различните институции, за да стане член 11 от ДЕС ефективен, както и за прилагането на определени стандарти във всички институции на ЕС, като например значението на гражданския диалог, споделянето на политическия дневен ред и приоритети, приобщаването на уязвимите групи и др.;</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 xml:space="preserve">призовава за </w:t>
      </w:r>
      <w:proofErr w:type="spellStart"/>
      <w:r>
        <w:t>годишeн</w:t>
      </w:r>
      <w:proofErr w:type="spellEnd"/>
      <w:r>
        <w:t xml:space="preserve"> набор от показатели за гражданския диалог (или гражданското пространство), отразяващ приноса на организациите на гражданското общество за процесите на консултации, който да показва дали техният принос е бил взет под внимание или не. </w:t>
      </w:r>
      <w:r>
        <w:lastRenderedPageBreak/>
        <w:t>Оценката на въздействието чрез годишния набор от показатели би могла да доведе до изготвянето на всеки две години на доклад относно гражданския диалог, в който да се проследява ангажираността на ЕС с гражданското общество като цяло и да се прави оценка на актуалното състояние на гражданския диалог и ефективността на ОГО;</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отново заявява, че в своята консултативна работа ЕИСК трябва да бъде в основата на действията за укрепване на демокрацията на участието във и между европейските институции, и предлага ролята на ЕИСК да се адаптира, за да се даде възможност за експериментиране с редица инструменти за участие, като например граждански панели, като по този начин се подчертае специалното място на ЕИСК като институционален пазител на процедурите на консултации с гражданското общество и гражданския диалог като цяло;</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t>счита, че ОГО трябва да се основават на вътрешна демокрация, автономност и прозрачност; те трябва да бъдат оформени съгласно модел с нестопанска цел, работещ в услуга на общия интерес и/или конкретни интереси членове, като по този начин се гарантира тяхната легитимност и представителност. Поради това той призовава за механизъм за акредитация, основан на горепосочените принципи.</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694"/>
      </w:tblGrid>
      <w:tr w:rsidRPr="003F6640" w:rsidR="00EE6FEF" w:rsidTr="003D0C0C" w14:paraId="141D7495" w14:textId="77777777">
        <w:tc>
          <w:tcPr>
            <w:tcW w:w="0" w:type="auto"/>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Pr>
                <w:b/>
                <w:i/>
              </w:rPr>
              <w:t>За контакт</w:t>
            </w:r>
          </w:p>
        </w:tc>
        <w:tc>
          <w:tcPr>
            <w:tcW w:w="0" w:type="auto"/>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proofErr w:type="spellStart"/>
            <w:r>
              <w:rPr>
                <w:i/>
              </w:rPr>
              <w:t>June</w:t>
            </w:r>
            <w:proofErr w:type="spellEnd"/>
            <w:r>
              <w:rPr>
                <w:i/>
              </w:rPr>
              <w:t xml:space="preserve"> </w:t>
            </w:r>
            <w:proofErr w:type="spellStart"/>
            <w:r>
              <w:rPr>
                <w:i/>
              </w:rPr>
              <w:t>Bedaton</w:t>
            </w:r>
            <w:proofErr w:type="spellEnd"/>
          </w:p>
        </w:tc>
      </w:tr>
      <w:tr w:rsidRPr="003F6640" w:rsidR="00EE6FEF" w:rsidTr="003D0C0C" w14:paraId="4927775D" w14:textId="77777777">
        <w:tc>
          <w:tcPr>
            <w:tcW w:w="0" w:type="auto"/>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Pr>
                <w:i/>
              </w:rPr>
              <w:t>Тел.</w:t>
            </w:r>
          </w:p>
        </w:tc>
        <w:tc>
          <w:tcPr>
            <w:tcW w:w="0" w:type="auto"/>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Pr>
                <w:i/>
              </w:rPr>
              <w:t>+32 25468134</w:t>
            </w:r>
          </w:p>
        </w:tc>
      </w:tr>
      <w:tr w:rsidRPr="003F6640" w:rsidR="00EE6FEF" w:rsidTr="003D0C0C" w14:paraId="4358DB5A" w14:textId="77777777">
        <w:tc>
          <w:tcPr>
            <w:tcW w:w="0" w:type="auto"/>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Pr>
                <w:i/>
              </w:rPr>
              <w:t>Електронен адрес</w:t>
            </w:r>
          </w:p>
        </w:tc>
        <w:tc>
          <w:tcPr>
            <w:tcW w:w="0" w:type="auto"/>
          </w:tcPr>
          <w:p w:rsidRPr="003F6640" w:rsidR="00EE6FEF" w:rsidP="00EE6FEF" w:rsidRDefault="0066462F" w14:paraId="47347AD3" w14:textId="77777777">
            <w:pPr>
              <w:overflowPunct w:val="0"/>
              <w:autoSpaceDE w:val="0"/>
              <w:autoSpaceDN w:val="0"/>
              <w:adjustRightInd w:val="0"/>
              <w:spacing w:line="240" w:lineRule="auto"/>
              <w:textAlignment w:val="baseline"/>
              <w:rPr>
                <w:i/>
              </w:rPr>
            </w:pPr>
            <w:hyperlink w:history="1" r:id="rId28">
              <w:r w:rsidR="00803992">
                <w:rPr>
                  <w:i/>
                  <w:color w:val="0000FF"/>
                  <w:u w:val="single"/>
                </w:rPr>
                <w:t>June.Bedaton@eesc.europa.eu</w:t>
              </w:r>
            </w:hyperlink>
          </w:p>
        </w:tc>
      </w:tr>
    </w:tbl>
    <w:p w:rsidRPr="00D6423D" w:rsidR="005A67F3" w:rsidP="00234EA0" w:rsidRDefault="004C3902" w14:paraId="3792A077" w14:textId="3F1CFB67">
      <w:pPr>
        <w:pStyle w:val="Heading1"/>
        <w:ind w:hanging="928"/>
        <w:rPr>
          <w:b/>
          <w:bCs/>
        </w:rPr>
      </w:pPr>
      <w:bookmarkStart w:name="_Toc160715318" w:id="27"/>
      <w:r>
        <w:rPr>
          <w:b/>
        </w:rPr>
        <w:t>ЕДИНЕН ПАЗАР, ПРОИЗВОДСТВО И ПОТРЕБЛЕНИЕ</w:t>
      </w:r>
      <w:bookmarkEnd w:id="25"/>
      <w:bookmarkEnd w:id="27"/>
    </w:p>
    <w:p w:rsidRPr="00094B6B" w:rsidR="004C3902" w:rsidP="00775FC4" w:rsidRDefault="004C3902" w14:paraId="51590E30" w14:textId="7D4E8C1F">
      <w:pPr>
        <w:keepNext/>
        <w:keepLines/>
        <w:jc w:val="left"/>
        <w:rPr>
          <w:b/>
          <w:iCs/>
        </w:rPr>
      </w:pPr>
    </w:p>
    <w:p w:rsidRPr="00115BBC" w:rsidR="00115BBC" w:rsidP="00CC4510" w:rsidRDefault="0066462F"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29">
        <w:r w:rsidR="00803992">
          <w:rPr>
            <w:b/>
            <w:i/>
            <w:color w:val="0000FF"/>
            <w:sz w:val="28"/>
            <w:u w:val="single"/>
          </w:rPr>
          <w:t>Алтернативно решаване на спорове</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3"/>
        <w:gridCol w:w="5764"/>
      </w:tblGrid>
      <w:tr w:rsidRPr="00115BBC" w:rsidR="00115BBC" w:rsidTr="003D0C0C" w14:paraId="5FCB07DF" w14:textId="77777777">
        <w:trPr>
          <w:trHeight w:val="265"/>
        </w:trPr>
        <w:tc>
          <w:tcPr>
            <w:tcW w:w="0" w:type="auto"/>
          </w:tcPr>
          <w:p w:rsidRPr="00115BBC"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Pr>
                <w:b/>
              </w:rPr>
              <w:t>Докладчик</w:t>
            </w:r>
          </w:p>
        </w:tc>
        <w:tc>
          <w:tcPr>
            <w:tcW w:w="0" w:type="auto"/>
          </w:tcPr>
          <w:p w:rsidRPr="00115BBC" w:rsidR="00115BBC" w:rsidP="00115BBC" w:rsidRDefault="00115BBC" w14:paraId="167D4BA0" w14:textId="249DC758">
            <w:pPr>
              <w:tabs>
                <w:tab w:val="center" w:pos="284"/>
              </w:tabs>
              <w:overflowPunct w:val="0"/>
              <w:autoSpaceDE w:val="0"/>
              <w:autoSpaceDN w:val="0"/>
              <w:adjustRightInd w:val="0"/>
              <w:ind w:left="266" w:hanging="408"/>
              <w:textAlignment w:val="baseline"/>
              <w:rPr>
                <w:highlight w:val="yellow"/>
              </w:rPr>
            </w:pPr>
            <w:proofErr w:type="spellStart"/>
            <w:r>
              <w:t>Wautier</w:t>
            </w:r>
            <w:proofErr w:type="spellEnd"/>
            <w:r>
              <w:t xml:space="preserve"> </w:t>
            </w:r>
            <w:proofErr w:type="spellStart"/>
            <w:r>
              <w:t>Robyns</w:t>
            </w:r>
            <w:proofErr w:type="spellEnd"/>
            <w:r>
              <w:t xml:space="preserve"> DE SCHNEIDAUER (група „Работодатели“ — BE)</w:t>
            </w:r>
          </w:p>
        </w:tc>
      </w:tr>
      <w:tr w:rsidRPr="00115BBC" w:rsidR="00115BBC" w:rsidTr="003D0C0C" w14:paraId="296C346B" w14:textId="77777777">
        <w:trPr>
          <w:trHeight w:val="265"/>
        </w:trPr>
        <w:tc>
          <w:tcPr>
            <w:tcW w:w="0" w:type="auto"/>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0" w:type="auto"/>
          </w:tcPr>
          <w:p w:rsidRPr="00115BBC" w:rsidR="00115BBC" w:rsidP="00115BBC" w:rsidRDefault="00115BBC" w14:paraId="31DA93FE" w14:textId="77777777">
            <w:pPr>
              <w:tabs>
                <w:tab w:val="center" w:pos="284"/>
              </w:tabs>
              <w:overflowPunct w:val="0"/>
              <w:autoSpaceDE w:val="0"/>
              <w:autoSpaceDN w:val="0"/>
              <w:adjustRightInd w:val="0"/>
              <w:ind w:left="266" w:hanging="408"/>
              <w:textAlignment w:val="baseline"/>
              <w:rPr>
                <w:highlight w:val="yellow"/>
              </w:rPr>
            </w:pPr>
          </w:p>
        </w:tc>
      </w:tr>
      <w:tr w:rsidRPr="00115BBC" w:rsidR="00115BBC" w:rsidTr="003D0C0C" w14:paraId="05E2FC21" w14:textId="77777777">
        <w:trPr>
          <w:trHeight w:val="289"/>
        </w:trPr>
        <w:tc>
          <w:tcPr>
            <w:tcW w:w="0" w:type="auto"/>
            <w:vMerge w:val="restart"/>
          </w:tcPr>
          <w:p w:rsidRPr="00115BBC"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Pr>
                <w:b/>
              </w:rPr>
              <w:t>Отправни документи</w:t>
            </w:r>
          </w:p>
        </w:tc>
        <w:tc>
          <w:tcPr>
            <w:tcW w:w="0" w:type="auto"/>
          </w:tcPr>
          <w:p w:rsidR="005B5B2E" w:rsidP="00115BBC" w:rsidRDefault="00115BBC" w14:paraId="6EE09237" w14:textId="77777777">
            <w:pPr>
              <w:tabs>
                <w:tab w:val="center" w:pos="284"/>
              </w:tabs>
              <w:overflowPunct w:val="0"/>
              <w:autoSpaceDE w:val="0"/>
              <w:autoSpaceDN w:val="0"/>
              <w:adjustRightInd w:val="0"/>
              <w:ind w:left="266" w:hanging="408"/>
              <w:textAlignment w:val="baseline"/>
            </w:pPr>
            <w:r>
              <w:t xml:space="preserve">COM(2023) 647 </w:t>
            </w:r>
            <w:proofErr w:type="spellStart"/>
            <w:r>
              <w:t>final</w:t>
            </w:r>
            <w:proofErr w:type="spellEnd"/>
          </w:p>
          <w:p w:rsidRPr="00115BBC" w:rsidR="00115BBC" w:rsidP="00115BBC" w:rsidRDefault="00115BBC" w14:paraId="0C647B83" w14:textId="2A71E811">
            <w:pPr>
              <w:tabs>
                <w:tab w:val="center" w:pos="284"/>
              </w:tabs>
              <w:overflowPunct w:val="0"/>
              <w:autoSpaceDE w:val="0"/>
              <w:autoSpaceDN w:val="0"/>
              <w:adjustRightInd w:val="0"/>
              <w:ind w:left="266" w:hanging="408"/>
              <w:textAlignment w:val="baseline"/>
            </w:pPr>
            <w:r>
              <w:t xml:space="preserve">COM(2023) 649 </w:t>
            </w:r>
            <w:proofErr w:type="spellStart"/>
            <w:r>
              <w:t>final</w:t>
            </w:r>
            <w:proofErr w:type="spellEnd"/>
          </w:p>
        </w:tc>
      </w:tr>
      <w:tr w:rsidRPr="00115BBC" w:rsidR="00115BBC" w:rsidTr="003D0C0C" w14:paraId="17336284" w14:textId="77777777">
        <w:trPr>
          <w:trHeight w:val="289"/>
        </w:trPr>
        <w:tc>
          <w:tcPr>
            <w:tcW w:w="0" w:type="auto"/>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0" w:type="auto"/>
          </w:tcPr>
          <w:p w:rsidRPr="00115BBC" w:rsidR="00115BBC" w:rsidP="00CC4510" w:rsidRDefault="00115BBC" w14:paraId="439A72D0" w14:textId="3CA46808">
            <w:pPr>
              <w:tabs>
                <w:tab w:val="center" w:pos="284"/>
              </w:tabs>
              <w:overflowPunct w:val="0"/>
              <w:autoSpaceDE w:val="0"/>
              <w:autoSpaceDN w:val="0"/>
              <w:adjustRightInd w:val="0"/>
              <w:ind w:left="266" w:hanging="378"/>
              <w:textAlignment w:val="baseline"/>
            </w:pPr>
            <w: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115BBC" w14:paraId="0FFFEA8E" w14:textId="6FE135C0">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36819"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t>ЕИСК:</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подкрепя развитието на алтернативното решаване на спорове (АРС) като </w:t>
      </w:r>
      <w:r>
        <w:rPr>
          <w:b/>
        </w:rPr>
        <w:t>алтернатива на съдебните производства</w:t>
      </w:r>
      <w:r>
        <w:t>, когато потребителите търсят правна защита за вреди, които търговците могат да причинят, наред с достъпните съдебни производства и прилагането на правата на потребителите от страна на националните органи;</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подчертава, че е важно държавите членки и промишлените отрасли да бъдат насърчавани да създават такива схеми, а </w:t>
      </w:r>
      <w:r>
        <w:rPr>
          <w:b/>
        </w:rPr>
        <w:t>търговците</w:t>
      </w:r>
      <w:r>
        <w:t xml:space="preserve">, включително </w:t>
      </w:r>
      <w:r>
        <w:rPr>
          <w:b/>
        </w:rPr>
        <w:t>МСП</w:t>
      </w:r>
      <w:r>
        <w:t xml:space="preserve"> — да се присъединяват доброволно към тях, и призовава Комисията да </w:t>
      </w:r>
      <w:r>
        <w:rPr>
          <w:b/>
        </w:rPr>
        <w:t>направи преглед на напредъка на схемите за АРС три години след прилагането</w:t>
      </w:r>
      <w:r>
        <w:t xml:space="preserve"> на предложената директива;</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счита, че </w:t>
      </w:r>
      <w:r>
        <w:rPr>
          <w:b/>
        </w:rPr>
        <w:t>обратната информация от инстанциите за АРС</w:t>
      </w:r>
      <w:r>
        <w:t xml:space="preserve"> е изключително ценна както за специалистите, така и за законодателите или регулаторните органи. Затова той призовава за </w:t>
      </w:r>
      <w:r>
        <w:rPr>
          <w:b/>
        </w:rPr>
        <w:t>ускорено докладване на кризисни ситуации</w:t>
      </w:r>
      <w:r>
        <w:t xml:space="preserve"> в допълнение към изискването схемите за АРС да публикуват доклади за дейността на всеки две години. Комитетът призовава Комисията да включва обратната информация от платформите за АРС в своите оценки на секторните разпоредби;</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lastRenderedPageBreak/>
        <w:t xml:space="preserve">призовава законодателите да </w:t>
      </w:r>
      <w:r>
        <w:rPr>
          <w:b/>
        </w:rPr>
        <w:t>бъдат по-прецизни по отношение на изискването потребителите първо да потърсят контакт с търговеца, преди да прибегнат до схема за АРС</w:t>
      </w:r>
      <w:r>
        <w:t xml:space="preserve">, както и по отношение на </w:t>
      </w:r>
      <w:r>
        <w:rPr>
          <w:b/>
        </w:rPr>
        <w:t>санкциите</w:t>
      </w:r>
      <w:r>
        <w:t>, приложими към търговците, които не спазват изискването да докладват за приемането на процедурата за АРС в рамките на посочените в предложенията 20 работни дни.</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15BBC" w:rsidR="00115BBC" w:rsidTr="00B05454" w14:paraId="0EF87FAC" w14:textId="77777777">
        <w:tc>
          <w:tcPr>
            <w:tcW w:w="1418" w:type="dxa"/>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Pr>
                <w:b/>
                <w:i/>
              </w:rPr>
              <w:t>За контакт</w:t>
            </w:r>
          </w:p>
        </w:tc>
        <w:tc>
          <w:tcPr>
            <w:tcW w:w="5670" w:type="dxa"/>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115BBC" w:rsidR="00115BBC" w:rsidTr="00B05454" w14:paraId="1C49B2AC" w14:textId="77777777">
        <w:tc>
          <w:tcPr>
            <w:tcW w:w="1418" w:type="dxa"/>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Pr>
                <w:i/>
              </w:rPr>
              <w:t>Тел.</w:t>
            </w:r>
          </w:p>
        </w:tc>
        <w:tc>
          <w:tcPr>
            <w:tcW w:w="5670" w:type="dxa"/>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Pr>
                <w:i/>
              </w:rPr>
              <w:t>+32 25468378</w:t>
            </w:r>
          </w:p>
        </w:tc>
      </w:tr>
      <w:tr w:rsidRPr="00115BBC" w:rsidR="00115BBC" w:rsidTr="00B05454" w14:paraId="55737622" w14:textId="77777777">
        <w:tc>
          <w:tcPr>
            <w:tcW w:w="1418" w:type="dxa"/>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Pr>
                <w:i/>
              </w:rPr>
              <w:t>Електронен адрес</w:t>
            </w:r>
          </w:p>
        </w:tc>
        <w:tc>
          <w:tcPr>
            <w:tcW w:w="5670" w:type="dxa"/>
          </w:tcPr>
          <w:p w:rsidRPr="00115BBC" w:rsidR="00115BBC" w:rsidP="00115BBC" w:rsidRDefault="0066462F" w14:paraId="1B1D7DE5" w14:textId="77777777">
            <w:pPr>
              <w:overflowPunct w:val="0"/>
              <w:autoSpaceDE w:val="0"/>
              <w:autoSpaceDN w:val="0"/>
              <w:adjustRightInd w:val="0"/>
              <w:spacing w:line="240" w:lineRule="auto"/>
              <w:textAlignment w:val="baseline"/>
              <w:rPr>
                <w:i/>
                <w:iCs/>
              </w:rPr>
            </w:pPr>
            <w:hyperlink w:history="1" r:id="rId30">
              <w:r w:rsidR="00803992">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Pr="00016C21" w:rsidR="00016C21" w:rsidP="00016C21" w:rsidRDefault="0066462F"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803992">
          <w:rPr>
            <w:b/>
            <w:i/>
            <w:color w:val="0000FF"/>
            <w:sz w:val="28"/>
            <w:u w:val="single"/>
          </w:rPr>
          <w:t>Пакет от мерки за подпомагане на МСП</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241"/>
      </w:tblGrid>
      <w:tr w:rsidRPr="00016C21" w:rsidR="00016C21" w:rsidTr="00CC4510"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Pr>
                <w:b/>
              </w:rPr>
              <w:t>Докладчик</w:t>
            </w:r>
            <w:r>
              <w:rPr>
                <w:b/>
              </w:rPr>
              <w:br/>
              <w:t>Съдокладчик</w:t>
            </w:r>
          </w:p>
        </w:tc>
        <w:tc>
          <w:tcPr>
            <w:tcW w:w="3772" w:type="pct"/>
          </w:tcPr>
          <w:p w:rsidRPr="00016C21" w:rsidR="00016C21" w:rsidP="00CC4510" w:rsidRDefault="00016C21" w14:paraId="7A66A71A" w14:textId="1948A7D0">
            <w:pPr>
              <w:tabs>
                <w:tab w:val="center" w:pos="0"/>
              </w:tabs>
              <w:overflowPunct w:val="0"/>
              <w:autoSpaceDE w:val="0"/>
              <w:autoSpaceDN w:val="0"/>
              <w:adjustRightInd w:val="0"/>
              <w:ind w:right="1591"/>
              <w:textAlignment w:val="baseline"/>
            </w:pPr>
            <w:proofErr w:type="spellStart"/>
            <w:r>
              <w:t>Alena</w:t>
            </w:r>
            <w:proofErr w:type="spellEnd"/>
            <w:r>
              <w:t xml:space="preserve"> MASTANTUONO (група „Работодатели“ — CZ)</w:t>
            </w:r>
            <w:r>
              <w:br/>
            </w:r>
            <w:proofErr w:type="spellStart"/>
            <w:r>
              <w:t>Angelo</w:t>
            </w:r>
            <w:proofErr w:type="spellEnd"/>
            <w:r>
              <w:t xml:space="preserve"> PAGLIARA (група „Работници“ — IT)</w:t>
            </w:r>
          </w:p>
        </w:tc>
      </w:tr>
      <w:tr w:rsidRPr="00016C21" w:rsidR="00016C21" w:rsidTr="00CC4510"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CC4510"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t xml:space="preserve">COM(2023) 535 </w:t>
            </w:r>
            <w:proofErr w:type="spellStart"/>
            <w:r>
              <w:t>final</w:t>
            </w:r>
            <w:proofErr w:type="spellEnd"/>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t>EESC-2023-05071-00-00-AC</w:t>
            </w:r>
          </w:p>
        </w:tc>
      </w:tr>
      <w:tr w:rsidRPr="00016C21" w:rsidR="00016C21" w:rsidTr="00CC4510"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Основни аспекти</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t>ЕИСК:</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 xml:space="preserve">приветства пакета от мерки за подпомагане на МСП като опит за поставяне на </w:t>
      </w:r>
      <w:r>
        <w:rPr>
          <w:b/>
        </w:rPr>
        <w:t>МСП в основата на европейското законодателство</w:t>
      </w:r>
      <w:r>
        <w:t xml:space="preserve"> и в центъра на европейските стратегии, дискусии и действия в подкрепа на конкурентоспособността. Следващата Комисия би трябвало да превърне този ангажимент в </w:t>
      </w:r>
      <w:r>
        <w:rPr>
          <w:b/>
        </w:rPr>
        <w:t>приоритет и да му осигури приемственост</w:t>
      </w:r>
      <w: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счита, че Комисията трябва да гарантира, че през предстоящия мандат 2024—2029 г. </w:t>
      </w:r>
      <w:r>
        <w:rPr>
          <w:b/>
        </w:rPr>
        <w:t>представителят на ЕС за МСП ще бъде с опит в предприемачеството</w:t>
      </w:r>
      <w:r>
        <w:t xml:space="preserve"> и ясно определен набор от компетентности и отговорности, както и че длъжността ще бъде придружена от </w:t>
      </w:r>
      <w:r>
        <w:rPr>
          <w:b/>
        </w:rPr>
        <w:t>подходящи ресурси</w:t>
      </w:r>
      <w:r>
        <w:t xml:space="preserve"> от гледна точка на персонал и финансова подкрепа;</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приветства усилията за опростяване, както и намаляването на тежестта в областта на ДДС при трансгранични дейности. ЕИСК обаче отбелязва, че е необходимо да се направи повече за премахване на други дълготрайни пречки. </w:t>
      </w:r>
      <w:r>
        <w:rPr>
          <w:b/>
        </w:rPr>
        <w:t>Разпокъсаността в рамките на единния пазар и различните национални правила</w:t>
      </w:r>
      <w:r>
        <w:t xml:space="preserve"> относно стоките и услугите </w:t>
      </w:r>
      <w:r>
        <w:rPr>
          <w:b/>
        </w:rPr>
        <w:t>представляват значителна тежест за предприятията</w:t>
      </w:r>
      <w: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счита, че </w:t>
      </w:r>
      <w:r>
        <w:rPr>
          <w:b/>
        </w:rPr>
        <w:t>би трябвало да се улесни достъпът на МСП до финансови ресурси</w:t>
      </w:r>
      <w:r>
        <w:t>, независимо дали чрез безвъзмездни средства, заеми или други финансови инструменти, със съобразена с нуждите помощ. ЕИСК също така призовава Комисията да въведе всички необходими мерки, за да стимулира МСП да възприемат отговорно поведение при достъпа до финансиране от ЕС;</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подчертава, че по-доброто използване на вече съществуващи инструменти може да допринесе за избягване на бюрокрацията. Добър пример е </w:t>
      </w:r>
      <w:r>
        <w:rPr>
          <w:b/>
        </w:rPr>
        <w:t>във всяко законодателно предложение да се посочват очакваните задължения, произтичащи от него,</w:t>
      </w:r>
      <w:r>
        <w:t xml:space="preserve"> което, наред с другото, спомага за по-доброто разбиране по отношение на кумулативната тежест.</w:t>
      </w:r>
    </w:p>
    <w:p w:rsidRPr="00016C21" w:rsidR="00016C21" w:rsidP="003D0C0C" w:rsidRDefault="00016C21" w14:paraId="29A5A99B" w14:textId="77777777">
      <w:pPr>
        <w:pageBreakBefore/>
        <w:spacing w:after="120" w:line="276" w:lineRule="auto"/>
        <w:rPr>
          <w:bCs/>
          <w:iCs/>
          <w:lang w:eastAsia="zh-CN"/>
        </w:rPr>
      </w:pPr>
    </w:p>
    <w:tbl>
      <w:tblPr>
        <w:tblStyle w:val="TableGrid20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761"/>
      </w:tblGrid>
      <w:tr w:rsidRPr="00016C21" w:rsidR="00016C21" w:rsidTr="003D0C0C" w14:paraId="33461CA2" w14:textId="77777777">
        <w:tc>
          <w:tcPr>
            <w:tcW w:w="0" w:type="auto"/>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Pr>
                <w:b/>
                <w:i/>
              </w:rPr>
              <w:t>За контакт</w:t>
            </w:r>
          </w:p>
        </w:tc>
        <w:tc>
          <w:tcPr>
            <w:tcW w:w="0" w:type="auto"/>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w:t>
            </w:r>
            <w:proofErr w:type="spellStart"/>
            <w:r>
              <w:rPr>
                <w:i/>
              </w:rPr>
              <w:t>Bernard</w:t>
            </w:r>
            <w:proofErr w:type="spellEnd"/>
          </w:p>
        </w:tc>
      </w:tr>
      <w:tr w:rsidRPr="00016C21" w:rsidR="00016C21" w:rsidTr="003D0C0C" w14:paraId="11E64266" w14:textId="77777777">
        <w:tc>
          <w:tcPr>
            <w:tcW w:w="0" w:type="auto"/>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Pr>
                <w:i/>
              </w:rPr>
              <w:t>Тел.</w:t>
            </w:r>
          </w:p>
        </w:tc>
        <w:tc>
          <w:tcPr>
            <w:tcW w:w="0" w:type="auto"/>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Pr>
                <w:i/>
              </w:rPr>
              <w:t>+ 32 25468438</w:t>
            </w:r>
          </w:p>
        </w:tc>
      </w:tr>
      <w:tr w:rsidRPr="00016C21" w:rsidR="00016C21" w:rsidTr="003D0C0C" w14:paraId="72056838" w14:textId="77777777">
        <w:tc>
          <w:tcPr>
            <w:tcW w:w="0" w:type="auto"/>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Pr>
                <w:i/>
              </w:rPr>
              <w:t>Електронен адрес</w:t>
            </w:r>
          </w:p>
        </w:tc>
        <w:tc>
          <w:tcPr>
            <w:tcW w:w="0" w:type="auto"/>
          </w:tcPr>
          <w:p w:rsidRPr="00016C21" w:rsidR="00016C21" w:rsidP="00016C21" w:rsidRDefault="0066462F" w14:paraId="78D8A06B" w14:textId="135A9FB2">
            <w:pPr>
              <w:overflowPunct w:val="0"/>
              <w:autoSpaceDE w:val="0"/>
              <w:autoSpaceDN w:val="0"/>
              <w:adjustRightInd w:val="0"/>
              <w:spacing w:line="240" w:lineRule="auto"/>
              <w:textAlignment w:val="baseline"/>
              <w:rPr>
                <w:i/>
              </w:rPr>
            </w:pPr>
            <w:hyperlink w:history="1" r:id="rId32">
              <w:r w:rsidR="00803992">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Pr="00152FA6" w:rsidR="00152FA6" w:rsidP="00152FA6" w:rsidRDefault="00152FA6" w14:paraId="27F24A51" w14:textId="77777777">
      <w:bookmarkStart w:name="_Toc153539681" w:id="28"/>
    </w:p>
    <w:p w:rsidRPr="00EE2FBD" w:rsidR="004C3902" w:rsidP="00234EA0" w:rsidRDefault="008E2A59" w14:paraId="7AD922B6" w14:textId="6D6B967E">
      <w:pPr>
        <w:pStyle w:val="Heading1"/>
        <w:ind w:hanging="928"/>
        <w:rPr>
          <w:b/>
          <w:bCs/>
        </w:rPr>
      </w:pPr>
      <w:bookmarkStart w:name="_Toc160715319" w:id="29"/>
      <w:r>
        <w:rPr>
          <w:b/>
        </w:rPr>
        <w:t>ЗЕМЕДЕЛИЕ, РАЗВИТИЕ НА СЕЛСКИТЕ РАЙОНИ, ОКОЛНА СРЕДА</w:t>
      </w:r>
      <w:bookmarkStart w:name="_Hlk145944317" w:id="30"/>
      <w:bookmarkEnd w:id="28"/>
      <w:bookmarkEnd w:id="29"/>
    </w:p>
    <w:bookmarkEnd w:id="30"/>
    <w:p w:rsidRPr="00094B6B" w:rsidR="002C016E" w:rsidP="00DE43CE" w:rsidRDefault="002C016E" w14:paraId="0E7342A4" w14:textId="73254B30">
      <w:pPr>
        <w:keepNext/>
        <w:keepLines/>
        <w:jc w:val="left"/>
        <w:rPr>
          <w:bCs/>
          <w:iCs/>
        </w:rPr>
      </w:pPr>
    </w:p>
    <w:p w:rsidRPr="00016C21" w:rsidR="00016C21" w:rsidP="00016C21" w:rsidRDefault="0066462F" w14:paraId="48966958" w14:textId="16AD2DEF">
      <w:pPr>
        <w:numPr>
          <w:ilvl w:val="0"/>
          <w:numId w:val="3"/>
        </w:numPr>
        <w:overflowPunct w:val="0"/>
        <w:autoSpaceDE w:val="0"/>
        <w:autoSpaceDN w:val="0"/>
        <w:adjustRightInd w:val="0"/>
        <w:spacing w:line="276" w:lineRule="auto"/>
        <w:ind w:left="425" w:hanging="357"/>
        <w:contextualSpacing/>
        <w:jc w:val="left"/>
        <w:textAlignment w:val="baseline"/>
        <w:rPr>
          <w:i/>
          <w:iCs/>
        </w:rPr>
      </w:pPr>
      <w:hyperlink w:history="1" r:id="rId33">
        <w:r w:rsidR="00803992">
          <w:rPr>
            <w:b/>
            <w:i/>
            <w:color w:val="0000FF"/>
            <w:sz w:val="28"/>
            <w:u w:val="single"/>
          </w:rPr>
          <w:t>Предотвратяване на загубата на пластмасови гранули с цел намаляване на замърсяването с пластмасови микрочастици</w:t>
        </w:r>
      </w:hyperlink>
    </w:p>
    <w:p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16C21" w:rsidR="00016C21" w:rsidTr="00B05454" w14:paraId="2AA339FF" w14:textId="77777777">
        <w:tc>
          <w:tcPr>
            <w:tcW w:w="1701" w:type="dxa"/>
          </w:tcPr>
          <w:p w:rsidRPr="00016C21"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Pr>
                <w:b/>
              </w:rPr>
              <w:t>Докладчик</w:t>
            </w:r>
          </w:p>
        </w:tc>
        <w:tc>
          <w:tcPr>
            <w:tcW w:w="6096" w:type="dxa"/>
          </w:tcPr>
          <w:p w:rsidRPr="00016C21"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proofErr w:type="spellStart"/>
            <w:r>
              <w:t>András</w:t>
            </w:r>
            <w:proofErr w:type="spellEnd"/>
            <w:r>
              <w:t xml:space="preserve"> EDELÉNYI (група „Работодатели“ — HU)</w:t>
            </w:r>
          </w:p>
        </w:tc>
      </w:tr>
      <w:tr w:rsidRPr="00016C21" w:rsidR="00016C21" w:rsidTr="00B05454" w14:paraId="3D2947AE" w14:textId="77777777">
        <w:tc>
          <w:tcPr>
            <w:tcW w:w="1701" w:type="dxa"/>
          </w:tcPr>
          <w:p w:rsidRPr="00016C21"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r>
              <w:rPr>
                <w:b/>
              </w:rPr>
              <w:t>Съдокладчик</w:t>
            </w:r>
          </w:p>
        </w:tc>
        <w:tc>
          <w:tcPr>
            <w:tcW w:w="6096" w:type="dxa"/>
          </w:tcPr>
          <w:p w:rsidRPr="00016C21" w:rsidR="00016C21" w:rsidP="00CC4510" w:rsidRDefault="00016C21" w14:paraId="0F2C9A54" w14:textId="6A2E4865">
            <w:pPr>
              <w:overflowPunct w:val="0"/>
              <w:autoSpaceDE w:val="0"/>
              <w:autoSpaceDN w:val="0"/>
              <w:adjustRightInd w:val="0"/>
              <w:spacing w:line="276" w:lineRule="auto"/>
              <w:textAlignment w:val="baseline"/>
              <w:rPr>
                <w:b/>
              </w:rPr>
            </w:pPr>
            <w:r>
              <w:t>Maria NIKOLOPOULOU (група „Работници“ — ES)</w:t>
            </w:r>
          </w:p>
        </w:tc>
      </w:tr>
      <w:tr w:rsidRPr="00016C21" w:rsidR="00016C21" w:rsidTr="00B05454" w14:paraId="37E9B43F" w14:textId="77777777">
        <w:tc>
          <w:tcPr>
            <w:tcW w:w="7797" w:type="dxa"/>
            <w:gridSpan w:val="2"/>
          </w:tcPr>
          <w:p w:rsidRPr="00016C21"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016C21" w:rsidR="00016C21" w:rsidTr="00B05454" w14:paraId="15D23674" w14:textId="77777777">
        <w:tc>
          <w:tcPr>
            <w:tcW w:w="1701" w:type="dxa"/>
            <w:vMerge w:val="restart"/>
          </w:tcPr>
          <w:p w:rsidRPr="00016C21" w:rsidR="00016C21" w:rsidP="00CC4510" w:rsidRDefault="00016C21" w14:paraId="1BB4B745" w14:textId="77777777">
            <w:pPr>
              <w:tabs>
                <w:tab w:val="center" w:pos="284"/>
              </w:tabs>
              <w:overflowPunct w:val="0"/>
              <w:autoSpaceDE w:val="0"/>
              <w:autoSpaceDN w:val="0"/>
              <w:adjustRightInd w:val="0"/>
              <w:spacing w:line="276" w:lineRule="auto"/>
              <w:ind w:left="266" w:hanging="266"/>
              <w:textAlignment w:val="baseline"/>
              <w:rPr>
                <w:b/>
              </w:rPr>
            </w:pPr>
            <w:r>
              <w:rPr>
                <w:b/>
              </w:rPr>
              <w:t>Отправни документи</w:t>
            </w:r>
          </w:p>
        </w:tc>
        <w:tc>
          <w:tcPr>
            <w:tcW w:w="6096" w:type="dxa"/>
          </w:tcPr>
          <w:p w:rsidRPr="00016C21"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t xml:space="preserve">COM(2023) 645 </w:t>
            </w:r>
            <w:proofErr w:type="spellStart"/>
            <w:r>
              <w:t>final</w:t>
            </w:r>
            <w:proofErr w:type="spellEnd"/>
          </w:p>
        </w:tc>
      </w:tr>
      <w:tr w:rsidRPr="00016C21" w:rsidR="00016C21" w:rsidTr="00B05454" w14:paraId="5C2E846C" w14:textId="77777777">
        <w:tc>
          <w:tcPr>
            <w:tcW w:w="1701" w:type="dxa"/>
            <w:vMerge/>
          </w:tcPr>
          <w:p w:rsidRPr="00016C21"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6096" w:type="dxa"/>
          </w:tcPr>
          <w:p w:rsidRPr="00016C21"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t>EESC-2023-04923-00-00-AC</w:t>
            </w:r>
          </w:p>
        </w:tc>
      </w:tr>
    </w:tbl>
    <w:p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016C21"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Pr>
          <w:b/>
        </w:rPr>
        <w:t>Основни аспекти</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t>ЕИСК:</w:t>
      </w:r>
    </w:p>
    <w:p w:rsidRPr="00016C21" w:rsidR="005E64DC" w:rsidP="00CC4510" w:rsidRDefault="005E64DC" w14:paraId="409EF56F" w14:textId="77777777">
      <w:pPr>
        <w:overflowPunct w:val="0"/>
        <w:autoSpaceDE w:val="0"/>
        <w:autoSpaceDN w:val="0"/>
        <w:adjustRightInd w:val="0"/>
        <w:spacing w:line="276" w:lineRule="auto"/>
        <w:textAlignment w:val="baseline"/>
        <w:rPr>
          <w:bCs/>
          <w:iCs/>
        </w:rPr>
      </w:pPr>
    </w:p>
    <w:p w:rsidRPr="00CC451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1"/>
      <w:bookmarkStart w:name="_Toc160715320" w:id="32"/>
      <w:r>
        <w:t xml:space="preserve">изразява съгласие и по същество </w:t>
      </w:r>
      <w:r>
        <w:rPr>
          <w:b/>
        </w:rPr>
        <w:t>подкрепя предложението на Комисията</w:t>
      </w:r>
      <w:r>
        <w:t xml:space="preserve"> за регулиране на операциите и емисиите, свързани с пластмасови гранули, и за намаляване на опасното замърсяване в тази специфична област;</w:t>
      </w:r>
      <w:bookmarkEnd w:id="31"/>
      <w:bookmarkEnd w:id="32"/>
    </w:p>
    <w:p w:rsidRPr="00CC451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3"/>
      <w:bookmarkStart w:name="_Toc160715321" w:id="34"/>
      <w:r>
        <w:t xml:space="preserve">посочва неотложната необходимост от </w:t>
      </w:r>
      <w:r>
        <w:rPr>
          <w:b/>
        </w:rPr>
        <w:t>разработване на стандартизирана методика за проследяване</w:t>
      </w:r>
      <w:r>
        <w:t xml:space="preserve"> и правилно </w:t>
      </w:r>
      <w:r>
        <w:rPr>
          <w:b/>
        </w:rPr>
        <w:t>оценяване на загубите на пластмасови гранули</w:t>
      </w:r>
      <w:r>
        <w:t xml:space="preserve"> по цялата верига на доставки. Това би могло да даде възможност за оценка на емисиите и мониторинг на напредъка към постигане на поставената екологична цел за намаляване с 30 % до 2030 г.;</w:t>
      </w:r>
      <w:bookmarkEnd w:id="33"/>
      <w:bookmarkEnd w:id="34"/>
    </w:p>
    <w:p w:rsidRPr="00CC451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5"/>
      <w:bookmarkStart w:name="_Toc160715322" w:id="36"/>
      <w:r>
        <w:t>препоръча ЕС да</w:t>
      </w:r>
      <w:r>
        <w:rPr>
          <w:b/>
        </w:rPr>
        <w:t xml:space="preserve"> приведе дейността си в съответствие със законодателния процес на Международната морска организация (ИМО)</w:t>
      </w:r>
      <w:r>
        <w:t>. Ако ИМО не предвиди правила до средата на 2026 г., Комисията следва да обмисли разпоредби за прилагане по отношение на морския транспорт в рамките на ЕС, както и да се положат основите за справяне с проблема с вторичните пластмасови микрочастици от гуми, бои, текстил, геотекстил и капсули с детергенти;</w:t>
      </w:r>
      <w:bookmarkEnd w:id="35"/>
      <w:bookmarkEnd w:id="36"/>
    </w:p>
    <w:p w:rsidRPr="00CC451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7"/>
      <w:bookmarkStart w:name="_Toc160715323" w:id="38"/>
      <w:r>
        <w:t xml:space="preserve">предлага, що се отнася до аспектите, свързани с околната среда и защитата на човека, в регламента да се </w:t>
      </w:r>
      <w:r>
        <w:rPr>
          <w:b/>
        </w:rPr>
        <w:t>обърне внимание на географските райони</w:t>
      </w:r>
      <w:r>
        <w:t xml:space="preserve"> — като потенциални точки за намеса за смекчаване/намаляване на замърсяването — които са изложени в най-голяма степен на емисиите на пластмасови микрочастици;</w:t>
      </w:r>
      <w:bookmarkEnd w:id="37"/>
      <w:bookmarkEnd w:id="38"/>
    </w:p>
    <w:p w:rsidRPr="00CC451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39"/>
      <w:bookmarkStart w:name="_Toc160715324" w:id="40"/>
      <w:r>
        <w:t xml:space="preserve">подчертава необходимостта от </w:t>
      </w:r>
      <w:r>
        <w:rPr>
          <w:b/>
        </w:rPr>
        <w:t xml:space="preserve">увеличаване на честотата на проверките за съответствие </w:t>
      </w:r>
      <w:r>
        <w:t>и</w:t>
      </w:r>
      <w:r>
        <w:rPr>
          <w:b/>
        </w:rPr>
        <w:t xml:space="preserve"> въвеждане на междинно преразглеждане на законодателството</w:t>
      </w:r>
      <w:r>
        <w:t>, за да се оцени неговата ефективност и да се преразгледа и, ако е необходимо, да се уточни ограничението за обема на операциите с пластмасови гранули, предвидено в облекчените регулаторни изисквания, установени за микропредприятията и малките предприятия;</w:t>
      </w:r>
      <w:bookmarkEnd w:id="39"/>
      <w:bookmarkEnd w:id="40"/>
    </w:p>
    <w:p w:rsidRPr="00CC451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1"/>
      <w:bookmarkStart w:name="_Toc160715325" w:id="42"/>
      <w:r>
        <w:t xml:space="preserve">предупреждава, че бързо нарастващото производство на първични и рециклирани пластмасови гранули затруднява все повече смекчаването на тяхното въздействие. Поради това следва да се ускорят усилията за </w:t>
      </w:r>
      <w:r>
        <w:rPr>
          <w:b/>
        </w:rPr>
        <w:t>прилагане и налагане на спазването</w:t>
      </w:r>
      <w:r>
        <w:t xml:space="preserve"> на регламента;</w:t>
      </w:r>
      <w:bookmarkEnd w:id="41"/>
      <w:bookmarkEnd w:id="42"/>
    </w:p>
    <w:p w:rsidRPr="00CC451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3"/>
      <w:bookmarkStart w:name="_Toc160715326" w:id="44"/>
      <w:r>
        <w:lastRenderedPageBreak/>
        <w:t xml:space="preserve">отбелязва, че няма голямо търсене на допълнителни работници, освен в екологичния сектор, но че равнището на </w:t>
      </w:r>
      <w:r>
        <w:rPr>
          <w:b/>
        </w:rPr>
        <w:t>осведоменост и обучение сред работната сила трябва да се повиши</w:t>
      </w:r>
      <w:r>
        <w:t>;</w:t>
      </w:r>
      <w:bookmarkEnd w:id="43"/>
      <w:bookmarkEnd w:id="44"/>
    </w:p>
    <w:p w:rsidRPr="00CC451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5"/>
      <w:bookmarkStart w:name="_Toc160715327" w:id="46"/>
      <w:r>
        <w:t xml:space="preserve">посочва, че </w:t>
      </w:r>
      <w:r>
        <w:rPr>
          <w:b/>
        </w:rPr>
        <w:t>международните</w:t>
      </w:r>
      <w:r>
        <w:t xml:space="preserve"> </w:t>
      </w:r>
      <w:r>
        <w:rPr>
          <w:b/>
        </w:rPr>
        <w:t>аспекти на регламента следва да бъдат взети предвид</w:t>
      </w:r>
      <w:r>
        <w:t>, за да се гарантират еднакви условия на конкуренция между операторите от ЕС, които спазват регламента, и операторите от трети държави;</w:t>
      </w:r>
      <w:bookmarkEnd w:id="45"/>
      <w:bookmarkEnd w:id="46"/>
    </w:p>
    <w:p w:rsidRPr="00CC451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7"/>
      <w:bookmarkStart w:name="_Toc160715328" w:id="48"/>
      <w:r>
        <w:t>подчертава, че научните и научноизследователските дейности трябва да бъдат засилени, основно за да се разберат вредните последици за човешкото здраве и околната среда от замърсяването с пластмасови микрочастици;</w:t>
      </w:r>
      <w:bookmarkEnd w:id="47"/>
      <w:bookmarkEnd w:id="48"/>
    </w:p>
    <w:p w:rsidRPr="00CC451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49"/>
      <w:bookmarkStart w:name="_Toc160715329" w:id="50"/>
      <w:r>
        <w:t xml:space="preserve">предлага да се </w:t>
      </w:r>
      <w:r>
        <w:rPr>
          <w:b/>
        </w:rPr>
        <w:t>преразгледат най-добрите налични техники</w:t>
      </w:r>
      <w:r>
        <w:t xml:space="preserve"> за икономическите оператори, за да бъдат включени гранулите.</w:t>
      </w:r>
      <w:bookmarkEnd w:id="49"/>
      <w:bookmarkEnd w:id="50"/>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16C21" w:rsidR="00016C21" w:rsidTr="00B05454" w14:paraId="5AD55413" w14:textId="77777777">
        <w:tc>
          <w:tcPr>
            <w:tcW w:w="1418" w:type="dxa"/>
          </w:tcPr>
          <w:p w:rsidRPr="00016C21"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Pr>
                <w:b/>
                <w:i/>
              </w:rPr>
              <w:t>За контакт</w:t>
            </w:r>
          </w:p>
        </w:tc>
        <w:tc>
          <w:tcPr>
            <w:tcW w:w="5670" w:type="dxa"/>
          </w:tcPr>
          <w:p w:rsidRPr="00016C21"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proofErr w:type="spellStart"/>
            <w:r>
              <w:rPr>
                <w:i/>
              </w:rPr>
              <w:t>Caroline</w:t>
            </w:r>
            <w:proofErr w:type="spellEnd"/>
            <w:r>
              <w:rPr>
                <w:i/>
              </w:rPr>
              <w:t xml:space="preserve"> </w:t>
            </w:r>
            <w:proofErr w:type="spellStart"/>
            <w:r>
              <w:rPr>
                <w:i/>
              </w:rPr>
              <w:t>Verhelst</w:t>
            </w:r>
            <w:proofErr w:type="spellEnd"/>
          </w:p>
        </w:tc>
      </w:tr>
      <w:tr w:rsidRPr="00016C21" w:rsidR="00016C21" w:rsidTr="00B05454" w14:paraId="12754F25" w14:textId="77777777">
        <w:tc>
          <w:tcPr>
            <w:tcW w:w="1418" w:type="dxa"/>
          </w:tcPr>
          <w:p w:rsidRPr="00016C21"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r>
              <w:rPr>
                <w:i/>
              </w:rPr>
              <w:t>Тел.</w:t>
            </w:r>
          </w:p>
        </w:tc>
        <w:tc>
          <w:tcPr>
            <w:tcW w:w="5670" w:type="dxa"/>
          </w:tcPr>
          <w:p w:rsidRPr="00016C21"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Pr>
                <w:i/>
              </w:rPr>
              <w:t>+32 25469497</w:t>
            </w:r>
          </w:p>
        </w:tc>
      </w:tr>
      <w:tr w:rsidRPr="00016C21" w:rsidR="00016C21" w:rsidTr="00B05454" w14:paraId="249DD5BE" w14:textId="77777777">
        <w:tc>
          <w:tcPr>
            <w:tcW w:w="1418" w:type="dxa"/>
          </w:tcPr>
          <w:p w:rsidRPr="00016C21" w:rsidR="00016C21" w:rsidP="00016C21" w:rsidRDefault="00DC108A" w14:paraId="396A0A58" w14:textId="71177E55">
            <w:pPr>
              <w:overflowPunct w:val="0"/>
              <w:autoSpaceDE w:val="0"/>
              <w:autoSpaceDN w:val="0"/>
              <w:adjustRightInd w:val="0"/>
              <w:spacing w:line="240" w:lineRule="auto"/>
              <w:ind w:left="34"/>
              <w:textAlignment w:val="baseline"/>
              <w:rPr>
                <w:i/>
              </w:rPr>
            </w:pPr>
            <w:r>
              <w:rPr>
                <w:i/>
              </w:rPr>
              <w:t>Електронен адрес</w:t>
            </w:r>
          </w:p>
        </w:tc>
        <w:tc>
          <w:tcPr>
            <w:tcW w:w="5670" w:type="dxa"/>
          </w:tcPr>
          <w:p w:rsidRPr="00016C21" w:rsidR="00016C21" w:rsidP="00016C21" w:rsidRDefault="0066462F"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4">
              <w:r w:rsidR="00803992">
                <w:rPr>
                  <w:i/>
                  <w:color w:val="0000FF"/>
                  <w:u w:val="single"/>
                </w:rPr>
                <w:t>Caroline.Verhelst@eesc.europa.eu</w:t>
              </w:r>
            </w:hyperlink>
          </w:p>
        </w:tc>
      </w:tr>
    </w:tbl>
    <w:p w:rsidR="006938FA" w:rsidRDefault="006938FA" w14:paraId="6AD61F9D" w14:textId="2D567E4A">
      <w:pPr>
        <w:spacing w:after="160" w:line="259" w:lineRule="auto"/>
        <w:jc w:val="left"/>
        <w:rPr>
          <w:b/>
          <w:bCs/>
        </w:rPr>
      </w:pPr>
    </w:p>
    <w:p w:rsidRPr="00810736" w:rsidR="006B3316" w:rsidP="0074419C" w:rsidRDefault="005374D2" w14:paraId="4FE1ECEE" w14:textId="7B16969B">
      <w:pPr>
        <w:pStyle w:val="Heading1"/>
        <w:ind w:hanging="928"/>
        <w:rPr>
          <w:b/>
          <w:bCs/>
        </w:rPr>
      </w:pPr>
      <w:bookmarkStart w:name="_Toc153539702" w:id="51"/>
      <w:bookmarkStart w:name="_Toc160715330" w:id="52"/>
      <w:r>
        <w:rPr>
          <w:b/>
        </w:rPr>
        <w:t>ВЪНШНИ ОТНОШЕНИЯ</w:t>
      </w:r>
      <w:bookmarkEnd w:id="51"/>
      <w:bookmarkEnd w:id="52"/>
    </w:p>
    <w:p w:rsidR="00BD0493" w:rsidP="00BD0493" w:rsidRDefault="00BD0493" w14:paraId="10EC00FD" w14:textId="45B98434"/>
    <w:p w:rsidRPr="00231267" w:rsidR="00231267" w:rsidP="00CC4510" w:rsidRDefault="0066462F"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5">
        <w:r w:rsidR="00803992">
          <w:rPr>
            <w:b/>
            <w:i/>
            <w:color w:val="0000FF"/>
            <w:sz w:val="28"/>
            <w:u w:val="single"/>
          </w:rPr>
          <w:t>Европейска стратегия за икономическа сигурност</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5"/>
        <w:gridCol w:w="4542"/>
      </w:tblGrid>
      <w:tr w:rsidRPr="00231267" w:rsidR="00231267" w:rsidTr="003D0C0C" w14:paraId="588E9B2D" w14:textId="77777777">
        <w:trPr>
          <w:trHeight w:val="330"/>
        </w:trPr>
        <w:tc>
          <w:tcPr>
            <w:tcW w:w="0" w:type="auto"/>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Pr>
                <w:b/>
              </w:rPr>
              <w:t>Докладчик</w:t>
            </w:r>
          </w:p>
        </w:tc>
        <w:tc>
          <w:tcPr>
            <w:tcW w:w="0" w:type="auto"/>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r>
              <w:t>Милена АНГЕЛОВА (група „Работодатели“ — BG)</w:t>
            </w:r>
          </w:p>
        </w:tc>
      </w:tr>
      <w:tr w:rsidRPr="00231267" w:rsidR="00231267" w:rsidTr="003D0C0C" w14:paraId="5246C778" w14:textId="77777777">
        <w:tc>
          <w:tcPr>
            <w:tcW w:w="0" w:type="auto"/>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Pr>
                <w:b/>
              </w:rPr>
              <w:t>Отправни документи</w:t>
            </w:r>
          </w:p>
        </w:tc>
        <w:tc>
          <w:tcPr>
            <w:tcW w:w="0" w:type="auto"/>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t>ЕИСК:</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приветства съобщението относно „Европейска стратегия за икономическа сигурност“ като актуална инициатива в отговор на новите и постоянно променящи се геополитически и геоикономически условия.  Въпреки че подкрепя основания на риска подход, ЕИСК призовава и за всеобхватна оценка на силните страни на ЕС и на възможностите, които глобалните предизвикателства могат да предоставят;</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подчертава, че инвестициите в иновации, развитие на умения и промишлен капацитет, наред с осигуряването на добре функциониращ вътрешен пазар, са незаменимо средство както за укрепване на производителността и конкурентоспособността, така и за намаляване на критичните зависимости, при същевременно запазване на социалната пазарна икономика на ЕС. Други основни аспекти включват енергетиката, суровините, цифровия капацитет и стабилния достъп до финансиране, който изисква завършване на съюза на капиталовите пазари и банковия съюз;</w:t>
      </w:r>
    </w:p>
    <w:p w:rsidR="005B5B2E" w:rsidP="00CC4510" w:rsidRDefault="00231267" w14:paraId="5DA6ACA7" w14:textId="77777777">
      <w:pPr>
        <w:widowControl w:val="0"/>
        <w:numPr>
          <w:ilvl w:val="0"/>
          <w:numId w:val="26"/>
        </w:numPr>
        <w:overflowPunct w:val="0"/>
        <w:autoSpaceDE w:val="0"/>
        <w:autoSpaceDN w:val="0"/>
        <w:adjustRightInd w:val="0"/>
        <w:spacing w:line="276" w:lineRule="auto"/>
        <w:ind w:left="284" w:hanging="284"/>
        <w:textAlignment w:val="baseline"/>
      </w:pPr>
      <w:r>
        <w:t>призовава за пълноценно използване на търговските и инвестиционните споразумения и за бързо приключване на текущите търговски преговори, както и за започване на нови преговори с нови потенциални партньори, с цел диверсифициране на веригите на доставките и разширяване на продуктовите пазари. Насърчаването на основаната на правила многостранна търговия и глобалните споразумения също следва да бъдат приоритет на ЕС;</w:t>
      </w:r>
    </w:p>
    <w:p w:rsidRPr="00231267" w:rsidR="00231267" w:rsidP="00CC4510" w:rsidRDefault="00231267" w14:paraId="658E7170" w14:textId="3856311B">
      <w:pPr>
        <w:widowControl w:val="0"/>
        <w:numPr>
          <w:ilvl w:val="0"/>
          <w:numId w:val="26"/>
        </w:numPr>
        <w:overflowPunct w:val="0"/>
        <w:autoSpaceDE w:val="0"/>
        <w:autoSpaceDN w:val="0"/>
        <w:adjustRightInd w:val="0"/>
        <w:spacing w:line="276" w:lineRule="auto"/>
        <w:ind w:left="284" w:hanging="284"/>
        <w:textAlignment w:val="baseline"/>
        <w:rPr>
          <w:szCs w:val="20"/>
        </w:rPr>
      </w:pPr>
      <w:r>
        <w:t>подчертава необходимостта от решителни мерки за противодействие и защита, свързани с търговията, инвестициите или технологичното сътрудничество, в случай че трети държави представляват риск за икономическата сигурност на ЕС;</w:t>
      </w:r>
    </w:p>
    <w:p w:rsidR="005B5B2E" w:rsidP="00CC4510" w:rsidRDefault="00231267" w14:paraId="017447F6" w14:textId="77777777">
      <w:pPr>
        <w:widowControl w:val="0"/>
        <w:numPr>
          <w:ilvl w:val="0"/>
          <w:numId w:val="26"/>
        </w:numPr>
        <w:overflowPunct w:val="0"/>
        <w:autoSpaceDE w:val="0"/>
        <w:autoSpaceDN w:val="0"/>
        <w:adjustRightInd w:val="0"/>
        <w:spacing w:line="276" w:lineRule="auto"/>
        <w:ind w:left="284" w:hanging="284"/>
        <w:textAlignment w:val="baseline"/>
      </w:pPr>
      <w:r>
        <w:lastRenderedPageBreak/>
        <w:t>призовава създателите на политики в ЕС да подобрят условията, които дават възможности, насърчават и подкрепят предприятията в ЕС, включително ММСП, да управляват геоикономическите рискове в своите дейности, както и да гарантират, че мерките на политиката не водят до прекомерни разходи или пречки за тях;</w:t>
      </w:r>
    </w:p>
    <w:p w:rsidRPr="00231267" w:rsidR="00231267" w:rsidP="00CC4510" w:rsidRDefault="00231267" w14:paraId="152286F2" w14:textId="5E3A6652">
      <w:pPr>
        <w:widowControl w:val="0"/>
        <w:numPr>
          <w:ilvl w:val="0"/>
          <w:numId w:val="26"/>
        </w:numPr>
        <w:overflowPunct w:val="0"/>
        <w:autoSpaceDE w:val="0"/>
        <w:autoSpaceDN w:val="0"/>
        <w:adjustRightInd w:val="0"/>
        <w:spacing w:line="276" w:lineRule="auto"/>
        <w:ind w:left="284" w:hanging="284"/>
        <w:textAlignment w:val="baseline"/>
        <w:rPr>
          <w:szCs w:val="20"/>
        </w:rPr>
      </w:pPr>
      <w:r>
        <w:t>призовава за включване на предприятията от ЕС и други заинтересовани участници от гражданското общество в по-нататъшното разработване и изпълнение на стратегията за икономическа сигурност и подчертава необходимостта от засилване на полезните взаимодействия между държавите членки, за да се допринесе за единството, глобалната сила и цялостната икономическа сигурност на ЕС.</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31267" w:rsidR="00231267" w:rsidTr="00B05454" w14:paraId="7CFE54E9" w14:textId="77777777">
        <w:tc>
          <w:tcPr>
            <w:tcW w:w="1418" w:type="dxa"/>
          </w:tcPr>
          <w:p w:rsidRPr="00231267" w:rsidR="00231267" w:rsidP="00231267" w:rsidRDefault="00231267" w14:paraId="4E9EAA40" w14:textId="77777777">
            <w:pPr>
              <w:overflowPunct w:val="0"/>
              <w:autoSpaceDE w:val="0"/>
              <w:autoSpaceDN w:val="0"/>
              <w:adjustRightInd w:val="0"/>
              <w:textAlignment w:val="baseline"/>
              <w:rPr>
                <w:i/>
              </w:rPr>
            </w:pPr>
            <w:r>
              <w:rPr>
                <w:b/>
                <w:i/>
              </w:rPr>
              <w:t>За контакт</w:t>
            </w:r>
          </w:p>
        </w:tc>
        <w:tc>
          <w:tcPr>
            <w:tcW w:w="5670" w:type="dxa"/>
          </w:tcPr>
          <w:p w:rsidRPr="00231267" w:rsidR="00231267" w:rsidP="00231267" w:rsidRDefault="00231267" w14:paraId="37F63FE7" w14:textId="77777777">
            <w:pPr>
              <w:overflowPunct w:val="0"/>
              <w:autoSpaceDE w:val="0"/>
              <w:autoSpaceDN w:val="0"/>
              <w:adjustRightInd w:val="0"/>
              <w:textAlignment w:val="baseline"/>
              <w:rPr>
                <w:i/>
              </w:rPr>
            </w:pPr>
            <w:r>
              <w:rPr>
                <w:i/>
              </w:rPr>
              <w:t xml:space="preserve">Marco </w:t>
            </w:r>
            <w:proofErr w:type="spellStart"/>
            <w:r>
              <w:rPr>
                <w:i/>
              </w:rPr>
              <w:t>Ristori</w:t>
            </w:r>
            <w:proofErr w:type="spellEnd"/>
          </w:p>
        </w:tc>
      </w:tr>
      <w:tr w:rsidRPr="00231267" w:rsidR="00231267" w:rsidTr="00B05454" w14:paraId="62B22192" w14:textId="77777777">
        <w:tc>
          <w:tcPr>
            <w:tcW w:w="1418" w:type="dxa"/>
          </w:tcPr>
          <w:p w:rsidRPr="00231267" w:rsidR="00231267" w:rsidP="00231267" w:rsidRDefault="00231267" w14:paraId="440C603C" w14:textId="77777777">
            <w:pPr>
              <w:overflowPunct w:val="0"/>
              <w:autoSpaceDE w:val="0"/>
              <w:autoSpaceDN w:val="0"/>
              <w:adjustRightInd w:val="0"/>
              <w:textAlignment w:val="baseline"/>
              <w:rPr>
                <w:i/>
              </w:rPr>
            </w:pPr>
            <w:r>
              <w:rPr>
                <w:i/>
              </w:rPr>
              <w:t>Тел.</w:t>
            </w:r>
          </w:p>
        </w:tc>
        <w:tc>
          <w:tcPr>
            <w:tcW w:w="5670" w:type="dxa"/>
          </w:tcPr>
          <w:p w:rsidRPr="00231267" w:rsidR="00231267" w:rsidP="00231267" w:rsidRDefault="00231267" w14:paraId="29D4C5B9" w14:textId="77777777">
            <w:pPr>
              <w:overflowPunct w:val="0"/>
              <w:autoSpaceDE w:val="0"/>
              <w:autoSpaceDN w:val="0"/>
              <w:adjustRightInd w:val="0"/>
              <w:textAlignment w:val="baseline"/>
              <w:rPr>
                <w:i/>
              </w:rPr>
            </w:pPr>
            <w:r>
              <w:rPr>
                <w:i/>
              </w:rPr>
              <w:t>+32 25469969</w:t>
            </w:r>
          </w:p>
        </w:tc>
      </w:tr>
      <w:tr w:rsidRPr="00231267" w:rsidR="00231267" w:rsidTr="00B05454" w14:paraId="48DEF925" w14:textId="77777777">
        <w:tc>
          <w:tcPr>
            <w:tcW w:w="1418" w:type="dxa"/>
          </w:tcPr>
          <w:p w:rsidRPr="00231267" w:rsidR="00231267" w:rsidP="00231267" w:rsidRDefault="00231267" w14:paraId="66BED64C" w14:textId="77777777">
            <w:pPr>
              <w:overflowPunct w:val="0"/>
              <w:autoSpaceDE w:val="0"/>
              <w:autoSpaceDN w:val="0"/>
              <w:adjustRightInd w:val="0"/>
              <w:textAlignment w:val="baseline"/>
              <w:rPr>
                <w:i/>
              </w:rPr>
            </w:pPr>
            <w:r>
              <w:rPr>
                <w:i/>
              </w:rPr>
              <w:t>Електронен адрес</w:t>
            </w:r>
          </w:p>
        </w:tc>
        <w:tc>
          <w:tcPr>
            <w:tcW w:w="5670" w:type="dxa"/>
          </w:tcPr>
          <w:p w:rsidRPr="00231267" w:rsidR="00231267" w:rsidP="00231267" w:rsidRDefault="0066462F" w14:paraId="42300FE7" w14:textId="77777777">
            <w:pPr>
              <w:overflowPunct w:val="0"/>
              <w:autoSpaceDE w:val="0"/>
              <w:autoSpaceDN w:val="0"/>
              <w:adjustRightInd w:val="0"/>
              <w:textAlignment w:val="baseline"/>
              <w:rPr>
                <w:i/>
              </w:rPr>
            </w:pPr>
            <w:hyperlink w:history="1" r:id="rId36">
              <w:r w:rsidR="00803992">
                <w:rPr>
                  <w:i/>
                  <w:color w:val="0000FF"/>
                  <w:u w:val="single"/>
                </w:rPr>
                <w:t>Marco.Ristori@eesc.europa.eu</w:t>
              </w:r>
            </w:hyperlink>
          </w:p>
        </w:tc>
      </w:tr>
    </w:tbl>
    <w:p w:rsidRPr="003F6640" w:rsidR="003F6640" w:rsidRDefault="003F6640" w14:paraId="0E201C9B" w14:textId="77777777">
      <w:pPr>
        <w:spacing w:after="160" w:line="259" w:lineRule="auto"/>
        <w:jc w:val="left"/>
      </w:pPr>
    </w:p>
    <w:p w:rsidR="003B636C" w:rsidP="005B4680" w:rsidRDefault="003B636C" w14:paraId="2AFC2D25" w14:textId="6E54F172">
      <w:pPr>
        <w:pStyle w:val="Heading1"/>
        <w:ind w:hanging="928"/>
        <w:rPr>
          <w:b/>
          <w:bCs/>
        </w:rPr>
      </w:pPr>
      <w:bookmarkStart w:name="_Toc153539712" w:id="53"/>
      <w:bookmarkStart w:name="_Toc160715331" w:id="54"/>
      <w:r>
        <w:rPr>
          <w:b/>
        </w:rPr>
        <w:t>ТРАНСПОРТ, ЕНЕРГЕТИКА, ИНФРАСТРУКТУРИ, ИНФОРМАЦИОННО ОБЩЕСТВО</w:t>
      </w:r>
      <w:bookmarkEnd w:id="54"/>
    </w:p>
    <w:p w:rsidRPr="003B636C" w:rsidR="003B636C" w:rsidP="003B636C" w:rsidRDefault="003B636C" w14:paraId="4BBF9BF3" w14:textId="77777777"/>
    <w:p w:rsidRPr="00B114D4" w:rsidR="003B636C" w:rsidP="003B636C" w:rsidRDefault="0066462F"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7">
        <w:r w:rsidR="00803992">
          <w:rPr>
            <w:b/>
            <w:i/>
            <w:color w:val="0000FF"/>
            <w:sz w:val="28"/>
            <w:u w:val="single"/>
          </w:rPr>
          <w:t>Преразглеждане на Директива 92/106/ЕИО относно комбинирания транспорт</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Pr>
                <w:b/>
              </w:rPr>
              <w:t xml:space="preserve">Докладчик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proofErr w:type="spellStart"/>
            <w:r>
              <w:t>Pierre</w:t>
            </w:r>
            <w:proofErr w:type="spellEnd"/>
            <w:r>
              <w:t xml:space="preserve"> </w:t>
            </w:r>
            <w:proofErr w:type="spellStart"/>
            <w:r>
              <w:t>Jean</w:t>
            </w:r>
            <w:proofErr w:type="spellEnd"/>
            <w:r>
              <w:t xml:space="preserve"> COULON (група „Работници“ — 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Pr>
                <w:b/>
              </w:rPr>
              <w:t>Отправни документи</w:t>
            </w:r>
          </w:p>
        </w:tc>
        <w:tc>
          <w:tcPr>
            <w:tcW w:w="6838" w:type="dxa"/>
          </w:tcPr>
          <w:p w:rsidR="005B5B2E" w:rsidP="00B05454" w:rsidRDefault="003B636C" w14:paraId="6F81B454" w14:textId="77777777">
            <w:pPr>
              <w:tabs>
                <w:tab w:val="center" w:pos="284"/>
              </w:tabs>
              <w:overflowPunct w:val="0"/>
              <w:autoSpaceDE w:val="0"/>
              <w:autoSpaceDN w:val="0"/>
              <w:adjustRightInd w:val="0"/>
              <w:ind w:left="266" w:hanging="266"/>
              <w:textAlignment w:val="baseline"/>
            </w:pPr>
            <w:r>
              <w:t xml:space="preserve">COM(2023) 702 </w:t>
            </w:r>
            <w:proofErr w:type="spellStart"/>
            <w:r>
              <w:t>final</w:t>
            </w:r>
            <w:proofErr w:type="spellEnd"/>
          </w:p>
          <w:p w:rsidRPr="00B114D4" w:rsidR="003B636C" w:rsidP="00B05454" w:rsidRDefault="003B636C" w14:paraId="2EB478A2" w14:textId="49D0EF86">
            <w:pPr>
              <w:tabs>
                <w:tab w:val="center" w:pos="284"/>
              </w:tabs>
              <w:overflowPunct w:val="0"/>
              <w:autoSpaceDE w:val="0"/>
              <w:autoSpaceDN w:val="0"/>
              <w:adjustRightInd w:val="0"/>
              <w:ind w:left="266" w:hanging="266"/>
              <w:textAlignment w:val="baseline"/>
            </w:pPr>
            <w:r>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Pr>
          <w:b/>
        </w:rPr>
        <w:t>Основни аспекти</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t>ЕИСК:</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rPr>
      </w:pPr>
      <w:r>
        <w:t>потвърждава необходимостта от интермодалност във всички видове товарен транспорт, като при всички случаи се има предвид задължението за координиране и оптимизиране на всеки вид транспорт на европейско равнище;</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rPr>
      </w:pPr>
      <w:r>
        <w:t xml:space="preserve"> изразява убеденост, че въвеждането на интермодална транспортна система предполага, че обществеността е информирана за интересните перспективи, които тя предлага: интермодалната транспортна система се създава, за да бъде в услуга на обществеността, която да може да оказва влияние при вземането на решения относно проектите и политиките;</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 xml:space="preserve">подчертава, че успехът на тази политика зависи от пълното спазване на социалните правила и от систематична политика за специфично обучение на </w:t>
      </w:r>
      <w:proofErr w:type="spellStart"/>
      <w:r>
        <w:t>перосонала</w:t>
      </w:r>
      <w:proofErr w:type="spellEnd"/>
      <w:r>
        <w:t xml:space="preserve"> и ръководителите на предприятията;</w:t>
      </w:r>
      <w:bookmarkStart w:name="x__Hlk157163546" w:id="55"/>
      <w:bookmarkEnd w:id="55"/>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призовава прилагането на тази нова мярка да зачита периодите на почивка и пауза на водачите на тежкотоварни превозни средства. Икономическата рентабилност не трябва да е в ущърб на пътната безопасност и условията на труд на водачите в ЕС.</w:t>
      </w:r>
    </w:p>
    <w:p w:rsidRPr="00B114D4" w:rsidR="003B636C" w:rsidP="00BB2A42" w:rsidRDefault="003B636C" w14:paraId="3E9C3226" w14:textId="77777777">
      <w:pPr>
        <w:pageBreakBefore/>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114D4" w:rsidR="003B636C" w:rsidTr="00B05454" w14:paraId="37497442" w14:textId="77777777">
        <w:tc>
          <w:tcPr>
            <w:tcW w:w="1418" w:type="dxa"/>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Pr>
                <w:b/>
                <w:i/>
              </w:rPr>
              <w:t>За контакт</w:t>
            </w:r>
          </w:p>
        </w:tc>
        <w:tc>
          <w:tcPr>
            <w:tcW w:w="5670" w:type="dxa"/>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proofErr w:type="spellStart"/>
            <w:r>
              <w:rPr>
                <w:i/>
              </w:rPr>
              <w:t>Aleksandra</w:t>
            </w:r>
            <w:proofErr w:type="spellEnd"/>
            <w:r>
              <w:rPr>
                <w:i/>
              </w:rPr>
              <w:t xml:space="preserve"> </w:t>
            </w:r>
            <w:proofErr w:type="spellStart"/>
            <w:r>
              <w:rPr>
                <w:i/>
              </w:rPr>
              <w:t>Sarman</w:t>
            </w:r>
            <w:proofErr w:type="spellEnd"/>
            <w:r>
              <w:rPr>
                <w:i/>
              </w:rPr>
              <w:t xml:space="preserve"> </w:t>
            </w:r>
            <w:proofErr w:type="spellStart"/>
            <w:r>
              <w:rPr>
                <w:i/>
              </w:rPr>
              <w:t>Grilc</w:t>
            </w:r>
            <w:proofErr w:type="spellEnd"/>
          </w:p>
        </w:tc>
      </w:tr>
      <w:tr w:rsidRPr="00B114D4" w:rsidR="003B636C" w:rsidTr="00B05454" w14:paraId="04CE6CD8" w14:textId="77777777">
        <w:tc>
          <w:tcPr>
            <w:tcW w:w="1418" w:type="dxa"/>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Pr>
                <w:i/>
              </w:rPr>
              <w:t>Тел.</w:t>
            </w:r>
          </w:p>
        </w:tc>
        <w:tc>
          <w:tcPr>
            <w:tcW w:w="5670" w:type="dxa"/>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Pr>
                <w:i/>
              </w:rPr>
              <w:t>+32 25468333</w:t>
            </w:r>
          </w:p>
        </w:tc>
      </w:tr>
      <w:tr w:rsidRPr="00B114D4" w:rsidR="003B636C" w:rsidTr="00B05454" w14:paraId="70ABA418" w14:textId="77777777">
        <w:tc>
          <w:tcPr>
            <w:tcW w:w="1418" w:type="dxa"/>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Pr>
                <w:i/>
              </w:rPr>
              <w:t>Електронен адрес</w:t>
            </w:r>
          </w:p>
        </w:tc>
        <w:tc>
          <w:tcPr>
            <w:tcW w:w="5670" w:type="dxa"/>
          </w:tcPr>
          <w:p w:rsidRPr="00B114D4" w:rsidR="003B636C" w:rsidP="00B05454" w:rsidRDefault="0066462F" w14:paraId="696F5F65" w14:textId="77777777">
            <w:pPr>
              <w:overflowPunct w:val="0"/>
              <w:autoSpaceDE w:val="0"/>
              <w:autoSpaceDN w:val="0"/>
              <w:adjustRightInd w:val="0"/>
              <w:spacing w:line="240" w:lineRule="auto"/>
              <w:textAlignment w:val="baseline"/>
              <w:rPr>
                <w:i/>
                <w:iCs/>
              </w:rPr>
            </w:pPr>
            <w:hyperlink w:history="1" r:id="rId38">
              <w:r w:rsidR="00803992">
                <w:rPr>
                  <w:i/>
                  <w:color w:val="0000FF"/>
                  <w:u w:val="single"/>
                </w:rPr>
                <w:t>Aleksandra.SarmanGrilc@eesc.europa.eu</w:t>
              </w:r>
            </w:hyperlink>
            <w:r w:rsidR="00803992">
              <w:rPr>
                <w:i/>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39658301">
      <w:pPr>
        <w:spacing w:after="160" w:line="259" w:lineRule="auto"/>
        <w:jc w:val="left"/>
      </w:pPr>
    </w:p>
    <w:p w:rsidR="003B636C" w:rsidP="005B4680" w:rsidRDefault="009C785E" w14:paraId="2BEB799C" w14:textId="1D1D6CC2">
      <w:pPr>
        <w:pStyle w:val="Heading1"/>
        <w:ind w:hanging="928"/>
        <w:rPr>
          <w:b/>
          <w:bCs/>
        </w:rPr>
      </w:pPr>
      <w:bookmarkStart w:name="_Toc160715332" w:id="56"/>
      <w:r>
        <w:rPr>
          <w:b/>
        </w:rPr>
        <w:t>КОНСУЛТАТИВНА КОМИСИЯ ПО ИНДУСТРИАЛНИ ПРОМЕНИ</w:t>
      </w:r>
      <w:bookmarkEnd w:id="56"/>
    </w:p>
    <w:p w:rsidR="003B3E18" w:rsidP="003B3E18" w:rsidRDefault="003B3E18" w14:paraId="0CE20361" w14:textId="55A85CDB"/>
    <w:p w:rsidRPr="000F732E" w:rsidR="000F732E" w:rsidP="00CC4510" w:rsidRDefault="0066462F"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39">
        <w:r w:rsidR="00803992">
          <w:rPr>
            <w:b/>
            <w:i/>
            <w:color w:val="0000FF"/>
            <w:sz w:val="28"/>
            <w:u w:val="single"/>
          </w:rPr>
          <w:t>Към всеобхватна стратегия за дърводобивната и дървопреработвателната промишленост в ЕС</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0F732E" w:rsidR="000F732E" w:rsidTr="00B05454" w14:paraId="2C390288" w14:textId="77777777">
        <w:tc>
          <w:tcPr>
            <w:tcW w:w="946" w:type="pct"/>
          </w:tcPr>
          <w:p w:rsidRPr="000F732E" w:rsidR="000F732E" w:rsidP="00CC4510" w:rsidRDefault="000F732E" w14:paraId="16A0641A" w14:textId="77777777">
            <w:pPr>
              <w:tabs>
                <w:tab w:val="center" w:pos="284"/>
              </w:tabs>
              <w:spacing w:line="240" w:lineRule="auto"/>
              <w:ind w:left="266" w:hanging="376"/>
              <w:jc w:val="left"/>
              <w:rPr>
                <w:b/>
              </w:rPr>
            </w:pPr>
            <w:r>
              <w:rPr>
                <w:b/>
              </w:rPr>
              <w:t>Докладчик</w:t>
            </w:r>
          </w:p>
          <w:p w:rsidRPr="000F732E" w:rsidR="000F732E" w:rsidP="00CC4510" w:rsidRDefault="000F732E" w14:paraId="222CEE0C" w14:textId="77777777">
            <w:pPr>
              <w:tabs>
                <w:tab w:val="center" w:pos="284"/>
              </w:tabs>
              <w:spacing w:line="240" w:lineRule="auto"/>
              <w:ind w:left="266" w:hanging="376"/>
              <w:jc w:val="left"/>
              <w:rPr>
                <w:b/>
              </w:rPr>
            </w:pPr>
          </w:p>
        </w:tc>
        <w:tc>
          <w:tcPr>
            <w:tcW w:w="4054" w:type="pct"/>
          </w:tcPr>
          <w:p w:rsidRPr="00CC4510" w:rsidR="000F732E" w:rsidP="00CC4510" w:rsidRDefault="000F732E" w14:paraId="30B50978" w14:textId="2B2F6815">
            <w:pPr>
              <w:tabs>
                <w:tab w:val="center" w:pos="284"/>
              </w:tabs>
              <w:spacing w:line="240" w:lineRule="auto"/>
              <w:ind w:left="266" w:hanging="376"/>
              <w:jc w:val="left"/>
              <w:rPr>
                <w:bCs/>
              </w:rPr>
            </w:pPr>
            <w:proofErr w:type="spellStart"/>
            <w:r>
              <w:t>Anastasis</w:t>
            </w:r>
            <w:proofErr w:type="spellEnd"/>
            <w:r>
              <w:t xml:space="preserve"> YIAPANIS (група „Организации на гражданското общество“ — CY)</w:t>
            </w:r>
          </w:p>
        </w:tc>
      </w:tr>
      <w:tr w:rsidRPr="000F732E" w:rsidR="000F732E" w:rsidTr="00B05454" w14:paraId="5F892D9C" w14:textId="77777777">
        <w:tc>
          <w:tcPr>
            <w:tcW w:w="946" w:type="pct"/>
          </w:tcPr>
          <w:p w:rsidRPr="000F732E" w:rsidR="000F732E" w:rsidP="00CC4510" w:rsidRDefault="000F732E" w14:paraId="2222EF41" w14:textId="77777777">
            <w:pPr>
              <w:tabs>
                <w:tab w:val="center" w:pos="284"/>
              </w:tabs>
              <w:spacing w:line="240" w:lineRule="auto"/>
              <w:ind w:left="266" w:hanging="376"/>
              <w:jc w:val="left"/>
              <w:rPr>
                <w:b/>
              </w:rPr>
            </w:pPr>
            <w:r>
              <w:rPr>
                <w:b/>
              </w:rPr>
              <w:t>Съдокладчик</w:t>
            </w:r>
          </w:p>
          <w:p w:rsidRPr="000F732E" w:rsidR="000F732E" w:rsidP="00CC4510" w:rsidRDefault="000F732E" w14:paraId="31414DE8" w14:textId="77777777">
            <w:pPr>
              <w:tabs>
                <w:tab w:val="center" w:pos="284"/>
              </w:tabs>
              <w:spacing w:line="240" w:lineRule="auto"/>
              <w:ind w:left="266" w:hanging="376"/>
              <w:jc w:val="left"/>
              <w:rPr>
                <w:b/>
              </w:rPr>
            </w:pPr>
          </w:p>
        </w:tc>
        <w:tc>
          <w:tcPr>
            <w:tcW w:w="4054" w:type="pct"/>
          </w:tcPr>
          <w:p w:rsidRPr="001E04B8" w:rsidR="000F732E" w:rsidP="00CC4510" w:rsidRDefault="000F732E" w14:paraId="31568716" w14:textId="3337EFC8">
            <w:pPr>
              <w:tabs>
                <w:tab w:val="center" w:pos="284"/>
              </w:tabs>
              <w:spacing w:line="240" w:lineRule="auto"/>
              <w:ind w:left="266" w:hanging="376"/>
              <w:jc w:val="left"/>
            </w:pPr>
            <w:proofErr w:type="spellStart"/>
            <w:r>
              <w:t>Rolf</w:t>
            </w:r>
            <w:proofErr w:type="spellEnd"/>
            <w:r>
              <w:t xml:space="preserve"> </w:t>
            </w:r>
            <w:proofErr w:type="spellStart"/>
            <w:r>
              <w:t>Gehring</w:t>
            </w:r>
            <w:proofErr w:type="spellEnd"/>
            <w:r>
              <w:t xml:space="preserve"> (Кат. 2 — DE)</w:t>
            </w:r>
          </w:p>
        </w:tc>
      </w:tr>
      <w:tr w:rsidRPr="000F732E" w:rsidR="000F732E" w:rsidTr="00B05454" w14:paraId="0FBF1F0B" w14:textId="77777777">
        <w:tc>
          <w:tcPr>
            <w:tcW w:w="946" w:type="pct"/>
          </w:tcPr>
          <w:p w:rsidRPr="000F732E" w:rsidR="000F732E" w:rsidP="00CC4510" w:rsidRDefault="000F732E" w14:paraId="2CA7929D" w14:textId="77777777">
            <w:pPr>
              <w:tabs>
                <w:tab w:val="center" w:pos="284"/>
              </w:tabs>
              <w:spacing w:line="240" w:lineRule="auto"/>
              <w:ind w:left="266" w:hanging="376"/>
              <w:jc w:val="left"/>
            </w:pPr>
            <w:r>
              <w:rPr>
                <w:b/>
              </w:rPr>
              <w:t>Отправни документи</w:t>
            </w:r>
          </w:p>
        </w:tc>
        <w:tc>
          <w:tcPr>
            <w:tcW w:w="4054" w:type="pct"/>
          </w:tcPr>
          <w:p w:rsidR="00C41D73" w:rsidP="001E04B8" w:rsidRDefault="00C41D73" w14:paraId="320586E0" w14:textId="24B220EB">
            <w:pPr>
              <w:tabs>
                <w:tab w:val="center" w:pos="284"/>
              </w:tabs>
              <w:spacing w:line="240" w:lineRule="auto"/>
              <w:ind w:left="266" w:hanging="376"/>
              <w:jc w:val="left"/>
            </w:pPr>
            <w:r>
              <w:t>Становище по собствена инициатива</w:t>
            </w:r>
          </w:p>
          <w:p w:rsidRPr="000F732E" w:rsidR="000F732E" w:rsidP="00CC4510" w:rsidRDefault="000F732E" w14:paraId="33B05BD1" w14:textId="754D5011">
            <w:pPr>
              <w:tabs>
                <w:tab w:val="center" w:pos="284"/>
              </w:tabs>
              <w:spacing w:line="240" w:lineRule="auto"/>
              <w:ind w:left="266" w:hanging="376"/>
              <w:jc w:val="left"/>
            </w:pPr>
            <w: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rPr>
      </w:pPr>
      <w:r>
        <w:rPr>
          <w:b/>
        </w:rPr>
        <w:t>Основни аспекти</w:t>
      </w:r>
    </w:p>
    <w:p w:rsidR="000F732E" w:rsidP="00CC4510" w:rsidRDefault="000F732E" w14:paraId="66129667" w14:textId="184E3AF9">
      <w:pPr>
        <w:spacing w:after="160" w:line="360" w:lineRule="auto"/>
        <w:jc w:val="left"/>
        <w:rPr>
          <w:rFonts w:eastAsiaTheme="minorHAnsi"/>
        </w:rPr>
      </w:pPr>
      <w:r>
        <w:t>ЕИСК:</w:t>
      </w:r>
    </w:p>
    <w:p w:rsidRPr="000F732E" w:rsidR="000F732E" w:rsidP="00CC4510" w:rsidRDefault="000F732E" w14:paraId="7220DE2F" w14:textId="77777777">
      <w:pPr>
        <w:numPr>
          <w:ilvl w:val="0"/>
          <w:numId w:val="28"/>
        </w:numPr>
        <w:spacing w:after="160" w:line="259" w:lineRule="auto"/>
        <w:ind w:left="284" w:hanging="284"/>
        <w:contextualSpacing/>
        <w:rPr>
          <w:rFonts w:eastAsiaTheme="minorHAnsi"/>
        </w:rPr>
      </w:pPr>
      <w:r>
        <w:t xml:space="preserve">призовава публичните органи на ЕС и националните органи да </w:t>
      </w:r>
      <w:r>
        <w:rPr>
          <w:b/>
        </w:rPr>
        <w:t>дадат приоритет на конкурентоспособността на европейската дърводобивна и дървопреработвателна промишленост</w:t>
      </w:r>
      <w:r>
        <w:t xml:space="preserve">, като </w:t>
      </w:r>
      <w:r>
        <w:rPr>
          <w:b/>
        </w:rPr>
        <w:t>гарантират достъпа до пазара</w:t>
      </w:r>
      <w:r>
        <w:t xml:space="preserve"> и се справят с предизвикателствата, свързани с разходите, и </w:t>
      </w:r>
      <w:r>
        <w:rPr>
          <w:b/>
        </w:rPr>
        <w:t>нелоялните търговски практики</w:t>
      </w:r>
      <w:r>
        <w:t xml:space="preserve"> и същевременно осигуряват еднакви условия на конкуренция на пазара;</w:t>
      </w:r>
    </w:p>
    <w:p w:rsidRPr="000F732E" w:rsidR="000F732E" w:rsidP="00CC4510" w:rsidRDefault="000F732E" w14:paraId="71F89912" w14:textId="77777777">
      <w:pPr>
        <w:numPr>
          <w:ilvl w:val="0"/>
          <w:numId w:val="28"/>
        </w:numPr>
        <w:spacing w:after="160" w:line="259" w:lineRule="auto"/>
        <w:ind w:left="284" w:hanging="284"/>
        <w:contextualSpacing/>
        <w:rPr>
          <w:rFonts w:eastAsiaTheme="minorHAnsi"/>
        </w:rPr>
      </w:pPr>
      <w:r>
        <w:t xml:space="preserve">призовава всички институции на ЕС надлежно да отчетат приноса на възобновяемите материали за устойчивостта, кръговата икономика и неутралността по отношение на климата, като същевременно </w:t>
      </w:r>
      <w:r>
        <w:rPr>
          <w:b/>
        </w:rPr>
        <w:t>признаят дървесината за ценен кръгов ресурс и суровина</w:t>
      </w:r>
      <w:r>
        <w:t>;</w:t>
      </w:r>
    </w:p>
    <w:p w:rsidRPr="000F732E" w:rsidR="000F732E" w:rsidP="00CC4510" w:rsidRDefault="000F732E" w14:paraId="69154C3C" w14:textId="77777777">
      <w:pPr>
        <w:numPr>
          <w:ilvl w:val="0"/>
          <w:numId w:val="28"/>
        </w:numPr>
        <w:spacing w:after="160" w:line="259" w:lineRule="auto"/>
        <w:ind w:left="284" w:hanging="284"/>
        <w:contextualSpacing/>
        <w:rPr>
          <w:rFonts w:eastAsiaTheme="minorHAnsi"/>
        </w:rPr>
      </w:pPr>
      <w:r>
        <w:t xml:space="preserve">подчертава необходимостта от определяне на минимални стандарти за въглеродните емисии през целия жизнен цикъл в строителството и на </w:t>
      </w:r>
      <w:r>
        <w:rPr>
          <w:b/>
        </w:rPr>
        <w:t>изискването за докладване на въглеродни емисии</w:t>
      </w:r>
      <w:r>
        <w:t xml:space="preserve"> в сектора;</w:t>
      </w:r>
    </w:p>
    <w:p w:rsidRPr="000F732E" w:rsidR="000F732E" w:rsidP="00CC4510" w:rsidRDefault="000F732E" w14:paraId="711A8E02" w14:textId="77777777">
      <w:pPr>
        <w:numPr>
          <w:ilvl w:val="0"/>
          <w:numId w:val="28"/>
        </w:numPr>
        <w:spacing w:after="160" w:line="259" w:lineRule="auto"/>
        <w:ind w:left="284" w:hanging="284"/>
        <w:contextualSpacing/>
        <w:rPr>
          <w:rFonts w:eastAsiaTheme="minorHAnsi"/>
        </w:rPr>
      </w:pPr>
      <w:r>
        <w:t xml:space="preserve">призовава за по-строги и проактивни мерки за </w:t>
      </w:r>
      <w:r>
        <w:rPr>
          <w:b/>
        </w:rPr>
        <w:t>борба с незаконната сеч, обезлесяването и незаконната търговия с дървен материал</w:t>
      </w:r>
      <w:r>
        <w:t>;</w:t>
      </w:r>
    </w:p>
    <w:p w:rsidRPr="000F732E" w:rsidR="000F732E" w:rsidP="00CC4510" w:rsidRDefault="000F732E" w14:paraId="22C6D85E" w14:textId="77777777">
      <w:pPr>
        <w:numPr>
          <w:ilvl w:val="0"/>
          <w:numId w:val="28"/>
        </w:numPr>
        <w:spacing w:after="160" w:line="259" w:lineRule="auto"/>
        <w:ind w:left="284" w:hanging="284"/>
        <w:contextualSpacing/>
        <w:rPr>
          <w:rFonts w:eastAsiaTheme="minorHAnsi"/>
        </w:rPr>
      </w:pPr>
      <w:r>
        <w:t xml:space="preserve">настоятелно призовава за разработване на </w:t>
      </w:r>
      <w:r>
        <w:rPr>
          <w:b/>
        </w:rPr>
        <w:t>стратегия на ЕС за привличане и задържане на по-млади таланти</w:t>
      </w:r>
      <w:r>
        <w:t xml:space="preserve"> и жени в сектора, като се </w:t>
      </w:r>
      <w:r>
        <w:rPr>
          <w:b/>
        </w:rPr>
        <w:t>гарантира наличието на квалифицирани работници</w:t>
      </w:r>
      <w:r>
        <w:t>;</w:t>
      </w:r>
    </w:p>
    <w:p w:rsidRPr="000F732E" w:rsidR="000F732E" w:rsidP="00CC4510" w:rsidRDefault="000F732E" w14:paraId="41674885" w14:textId="77777777">
      <w:pPr>
        <w:numPr>
          <w:ilvl w:val="0"/>
          <w:numId w:val="28"/>
        </w:numPr>
        <w:spacing w:after="160" w:line="259" w:lineRule="auto"/>
        <w:ind w:left="284" w:hanging="284"/>
        <w:contextualSpacing/>
        <w:rPr>
          <w:rFonts w:eastAsiaTheme="minorHAnsi"/>
        </w:rPr>
      </w:pPr>
      <w:r>
        <w:t xml:space="preserve">подчертава колко е важно </w:t>
      </w:r>
      <w:r>
        <w:rPr>
          <w:b/>
        </w:rPr>
        <w:t>поддържането на Европейския стълб на социалните права (ЕССП)</w:t>
      </w:r>
      <w:r>
        <w:t xml:space="preserve"> в рамките на дърводобивната и дървопреработвателната промишленост в ЕС;</w:t>
      </w:r>
    </w:p>
    <w:p w:rsidRPr="000F732E"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t xml:space="preserve">подчертава нарастващата необходимост от ефективно управление на горите и подобрена координация и по-добро оборудване за европейските и националните служби за борба с пожарите, за да се </w:t>
      </w:r>
      <w:r>
        <w:rPr>
          <w:b/>
        </w:rPr>
        <w:t>противодейства на нарастващата тенденция на големи горски пожари</w:t>
      </w:r>
      <w:r>
        <w:t>;</w:t>
      </w:r>
    </w:p>
    <w:p w:rsidRPr="000F732E" w:rsidR="000F732E" w:rsidP="00FA5731" w:rsidRDefault="000F732E" w14:paraId="23084171" w14:textId="77777777">
      <w:pPr>
        <w:pageBreakBefore/>
        <w:numPr>
          <w:ilvl w:val="0"/>
          <w:numId w:val="28"/>
        </w:numPr>
        <w:spacing w:after="160" w:line="259" w:lineRule="auto"/>
        <w:ind w:left="284" w:hanging="284"/>
        <w:contextualSpacing/>
        <w:rPr>
          <w:rFonts w:eastAsiaTheme="minorHAnsi"/>
        </w:rPr>
      </w:pPr>
      <w:r>
        <w:lastRenderedPageBreak/>
        <w:t xml:space="preserve">настоятелно призовава за последователно </w:t>
      </w:r>
      <w:r>
        <w:rPr>
          <w:b/>
        </w:rPr>
        <w:t>прилагане на Регламента за екопроектирането на устойчиви продукти</w:t>
      </w:r>
      <w:r>
        <w:t xml:space="preserve"> (ESPR), за да се превърнат в норма устойчивите продукти и да се поддържа лоялна конкуренция при вноса. Освен това социалните партньори в дърводобивната и дървопреработвателната промишленост в ЕС следва да бъдат поканени да вземат участие в Консултативния форум по екопроектиране.</w:t>
      </w:r>
    </w:p>
    <w:p w:rsidRPr="000F732E" w:rsidR="000F732E" w:rsidP="000F732E" w:rsidRDefault="000F732E" w14:paraId="0EC35662" w14:textId="77777777">
      <w:pPr>
        <w:spacing w:after="160" w:line="259" w:lineRule="auto"/>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0F732E" w:rsidR="000F732E" w:rsidTr="00B05454" w14:paraId="47CF7F3B" w14:textId="77777777">
        <w:tc>
          <w:tcPr>
            <w:tcW w:w="1870" w:type="pct"/>
          </w:tcPr>
          <w:p w:rsidRPr="000F732E" w:rsidR="000F732E" w:rsidP="000F732E" w:rsidRDefault="000F732E" w14:paraId="76D5A844" w14:textId="77777777">
            <w:pPr>
              <w:spacing w:line="240" w:lineRule="auto"/>
              <w:jc w:val="left"/>
              <w:rPr>
                <w:i/>
              </w:rPr>
            </w:pPr>
            <w:r>
              <w:rPr>
                <w:b/>
                <w:i/>
              </w:rPr>
              <w:t>За контакт</w:t>
            </w:r>
          </w:p>
        </w:tc>
        <w:tc>
          <w:tcPr>
            <w:tcW w:w="3130" w:type="pct"/>
            <w:tcBorders>
              <w:left w:val="nil"/>
            </w:tcBorders>
          </w:tcPr>
          <w:p w:rsidRPr="00CC4510" w:rsidR="000F732E" w:rsidP="000F732E" w:rsidRDefault="000F732E" w14:paraId="7DA54185" w14:textId="31EEC934">
            <w:pPr>
              <w:spacing w:line="240" w:lineRule="auto"/>
              <w:jc w:val="left"/>
              <w:rPr>
                <w:bCs/>
                <w:i/>
              </w:rPr>
            </w:pPr>
            <w:proofErr w:type="spellStart"/>
            <w:r>
              <w:rPr>
                <w:i/>
              </w:rPr>
              <w:t>Heli</w:t>
            </w:r>
            <w:proofErr w:type="spellEnd"/>
            <w:r>
              <w:rPr>
                <w:i/>
              </w:rPr>
              <w:t xml:space="preserve"> </w:t>
            </w:r>
            <w:proofErr w:type="spellStart"/>
            <w:r>
              <w:rPr>
                <w:i/>
              </w:rPr>
              <w:t>Niemelä-Farrer</w:t>
            </w:r>
            <w:proofErr w:type="spellEnd"/>
          </w:p>
        </w:tc>
      </w:tr>
      <w:tr w:rsidRPr="000F732E" w:rsidR="000F732E" w:rsidTr="00B05454" w14:paraId="6E3CE5FB" w14:textId="77777777">
        <w:tc>
          <w:tcPr>
            <w:tcW w:w="1870" w:type="pct"/>
          </w:tcPr>
          <w:p w:rsidRPr="000F732E" w:rsidR="000F732E" w:rsidP="000F732E" w:rsidRDefault="000F732E" w14:paraId="7E50D445" w14:textId="77777777">
            <w:pPr>
              <w:spacing w:line="240" w:lineRule="auto"/>
              <w:jc w:val="left"/>
              <w:rPr>
                <w:i/>
              </w:rPr>
            </w:pPr>
            <w:r>
              <w:rPr>
                <w:i/>
              </w:rPr>
              <w:t xml:space="preserve">Тел. </w:t>
            </w:r>
          </w:p>
        </w:tc>
        <w:tc>
          <w:tcPr>
            <w:tcW w:w="3130" w:type="pct"/>
            <w:tcBorders>
              <w:left w:val="nil"/>
            </w:tcBorders>
          </w:tcPr>
          <w:p w:rsidRPr="000F732E" w:rsidR="000F732E" w:rsidP="000F732E" w:rsidRDefault="000F732E" w14:paraId="7DEC5319" w14:textId="77777777">
            <w:pPr>
              <w:spacing w:line="240" w:lineRule="auto"/>
              <w:jc w:val="left"/>
              <w:rPr>
                <w:i/>
              </w:rPr>
            </w:pPr>
            <w:r>
              <w:rPr>
                <w:i/>
              </w:rPr>
              <w:t>+32 22822464</w:t>
            </w:r>
          </w:p>
        </w:tc>
      </w:tr>
      <w:tr w:rsidRPr="000F732E" w:rsidR="000F732E" w:rsidTr="00B05454" w14:paraId="2C89CBFA" w14:textId="77777777">
        <w:tc>
          <w:tcPr>
            <w:tcW w:w="1870" w:type="pct"/>
          </w:tcPr>
          <w:p w:rsidRPr="000F732E" w:rsidR="000F732E" w:rsidP="000F732E" w:rsidRDefault="000F732E" w14:paraId="314FD0C9" w14:textId="77777777">
            <w:pPr>
              <w:spacing w:line="240" w:lineRule="auto"/>
              <w:jc w:val="left"/>
              <w:rPr>
                <w:i/>
                <w:iCs/>
              </w:rPr>
            </w:pPr>
            <w:r>
              <w:rPr>
                <w:i/>
              </w:rPr>
              <w:t>Електронен адрес</w:t>
            </w:r>
          </w:p>
        </w:tc>
        <w:tc>
          <w:tcPr>
            <w:tcW w:w="3130" w:type="pct"/>
            <w:tcBorders>
              <w:left w:val="nil"/>
            </w:tcBorders>
          </w:tcPr>
          <w:p w:rsidRPr="000F732E" w:rsidR="000F732E" w:rsidP="000F732E" w:rsidRDefault="0066462F" w14:paraId="5E097992" w14:textId="77777777">
            <w:pPr>
              <w:spacing w:line="240" w:lineRule="auto"/>
              <w:jc w:val="left"/>
              <w:rPr>
                <w:i/>
              </w:rPr>
            </w:pPr>
            <w:hyperlink w:history="1" r:id="rId40">
              <w:r w:rsidR="00803992">
                <w:rPr>
                  <w:i/>
                  <w:color w:val="0000FF"/>
                  <w:u w:val="single"/>
                </w:rPr>
                <w:t>Heli.Niemela-Farrer@eesc.europa.eu</w:t>
              </w:r>
            </w:hyperlink>
          </w:p>
        </w:tc>
      </w:tr>
      <w:bookmarkEnd w:id="53"/>
      <w:bookmarkEnd w:id="0"/>
    </w:tbl>
    <w:p w:rsidR="003F6640" w:rsidP="0089063B" w:rsidRDefault="003F6640" w14:paraId="494EE16D" w14:textId="77777777">
      <w:pPr>
        <w:overflowPunct w:val="0"/>
        <w:autoSpaceDE w:val="0"/>
        <w:autoSpaceDN w:val="0"/>
        <w:adjustRightInd w:val="0"/>
        <w:jc w:val="left"/>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4417CD">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4417CD" w:rsidRDefault="004417CD" w:rsidP="0044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fldSimple w:instr=" NUMPAGES ">
      <w:r w:rsidR="00D3681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4417CD" w:rsidRDefault="004417CD" w:rsidP="0044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4417CD" w:rsidRDefault="004417CD" w:rsidP="0044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4417CD" w:rsidRDefault="004417CD" w:rsidP="004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4417CD" w:rsidRDefault="004417CD" w:rsidP="0044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87086"/>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0C0C"/>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5B2E"/>
    <w:rsid w:val="005B6007"/>
    <w:rsid w:val="005B7660"/>
    <w:rsid w:val="005C01F9"/>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25FA"/>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C48"/>
    <w:rsid w:val="007F7DBA"/>
    <w:rsid w:val="007F7E38"/>
    <w:rsid w:val="00800DE9"/>
    <w:rsid w:val="00802A53"/>
    <w:rsid w:val="008033DC"/>
    <w:rsid w:val="00803992"/>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063B"/>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2A42"/>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0A"/>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C6FD6"/>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D65"/>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5731"/>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bg-BG"/>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Bartek.Bednarowicz@eesc.europa.eu" TargetMode="External"/><Relationship Id="rId39" Type="http://schemas.openxmlformats.org/officeDocument/2006/relationships/hyperlink" Target="https://www.eesc.europa.eu/bg/our-work/opinions-information-reports/opinions/towards-comprehensive-strategy-eu-wood-industry" TargetMode="External"/><Relationship Id="rId21" Type="http://schemas.openxmlformats.org/officeDocument/2006/relationships/hyperlink" Target="mailto:Juri.Soosaar@eesc.europa.eu" TargetMode="External"/><Relationship Id="rId34" Type="http://schemas.openxmlformats.org/officeDocument/2006/relationships/hyperlink" Target="mailto:Caroline.Verhelst@eesc.europa.eu"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bg/our-work/opinions-information-reports/opinions/alternative-dispute-resolution"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rgio.LorencioMatallana@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https://www.eesc.europa.eu/bg/our-work/opinions-information-reports/opinions/revision-combined-transport-directive-92106eec"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bg/our-work/opinions-information-reports/opinions/improving-benchmarks-and-reporting-requirements-financial-services-and-investment-support" TargetMode="External"/><Relationship Id="rId28" Type="http://schemas.openxmlformats.org/officeDocument/2006/relationships/hyperlink" Target="mailto:June.Bedaton@eesc.europa.eu" TargetMode="External"/><Relationship Id="rId36" Type="http://schemas.openxmlformats.org/officeDocument/2006/relationships/hyperlink" Target="mailto:Marco.Ristor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bg/our-work/opinions-information-reports/opinions/sme-relief-package"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olombe.Gregoire@eesc.europa.eu" TargetMode="External"/><Relationship Id="rId27" Type="http://schemas.openxmlformats.org/officeDocument/2006/relationships/hyperlink" Target="https://www.eesc.europa.eu/bg/our-work/opinions-information-reports/opinions/strengthening-civil-dialogue-and-participatory-democracy-eu-path-forward"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bg/our-work/opinions-information-reports/opinions/european-economic-security-strategy"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bg/our-work/opinions-information-reports/opinions/digitalisation-social-security" TargetMode="External"/><Relationship Id="rId33" Type="http://schemas.openxmlformats.org/officeDocument/2006/relationships/hyperlink" Target="https://www.eesc.europa.eu/bg/our-work/opinions-information-reports/opinions/preventing-plastic-pellet-losses-reduce-microplastics-pollution"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6.xml"/><Relationship Id="rId20" Type="http://schemas.openxmlformats.org/officeDocument/2006/relationships/hyperlink" Target="https://www.eesc.europa.eu/bg/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F7M6YNZUATRX-416430479-4429</_dlc_DocId>
    <_dlc_DocIdUrl xmlns="59ace41b-6786-4ce3-be71-52c27066c6ef">
      <Url>http://dm/eesc/2024/_layouts/15/DocIdRedir.aspx?ID=F7M6YNZUATRX-416430479-4429</Url>
      <Description>F7M6YNZUATRX-416430479-4429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Petrov Yulian</DisplayName>
        <AccountId>1513</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3743D-D0CA-4752-8092-F44487B9A30B}"/>
</file>

<file path=customXml/itemProps2.xml><?xml version="1.0" encoding="utf-8"?>
<ds:datastoreItem xmlns:ds="http://schemas.openxmlformats.org/officeDocument/2006/customXml" ds:itemID="{E1426ADB-ADD2-461C-8B6D-7E9E7F654340}"/>
</file>

<file path=customXml/itemProps3.xml><?xml version="1.0" encoding="utf-8"?>
<ds:datastoreItem xmlns:ds="http://schemas.openxmlformats.org/officeDocument/2006/customXml" ds:itemID="{D3CE2A3E-7323-423D-A233-FD10D64127EB}"/>
</file>

<file path=customXml/itemProps4.xml><?xml version="1.0" encoding="utf-8"?>
<ds:datastoreItem xmlns:ds="http://schemas.openxmlformats.org/officeDocument/2006/customXml" ds:itemID="{3ABC83D3-1F7F-4457-B6C5-939E1CA406EF}"/>
</file>

<file path=docProps/app.xml><?xml version="1.0" encoding="utf-8"?>
<Properties xmlns="http://schemas.openxmlformats.org/officeDocument/2006/extended-properties" xmlns:vt="http://schemas.openxmlformats.org/officeDocument/2006/docPropsVTypes">
  <Template>Normal</Template>
  <TotalTime>12</TotalTime>
  <Pages>14</Pages>
  <Words>4718</Words>
  <Characters>25952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становищата - 585-а пленарна сесия - февруари 2024 г.</dc:title>
  <dc:subject>TCD</dc:subject>
  <dc:creator>Nieddu Emma</dc:creator>
  <cp:keywords>EESC-2024-00286-00-01-TCD-TRA-EN</cp:keywords>
  <dc:description>Rapporteur:  - Original language: EN - Date of document: 07/03/2024 - Date of meeting: 30/20/2024 14:30 - External documents:  - Administrator: MME TAMASAUSKIENE Julija</dc:description>
  <cp:lastModifiedBy>Petrov Yulian</cp:lastModifiedBy>
  <cp:revision>17</cp:revision>
  <cp:lastPrinted>2023-06-15T08:00:00Z</cp:lastPrinted>
  <dcterms:created xsi:type="dcterms:W3CDTF">2024-03-06T16:02:00Z</dcterms:created>
  <dcterms:modified xsi:type="dcterms:W3CDTF">2024-03-07T14:00:00Z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44eb3e5e-879d-421f-90c6-c39720f1ffd7</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FR|d2afafd3-4c81-4f60-8f52-ee33f2f54ff3;DA|5d49c027-8956-412b-aa16-e85a0f96ad0e;IT|0774613c-01ed-4e5d-a25d-11d2388de825;ET|ff6c3f4c-b02c-4c3c-ab07-2c37995a7a0a;LT|a7ff5ce7-6123-4f68-865a-a57c31810414;SL|98a412ae-eb01-49e9-ae3d-585a81724cfc;FI|87606a43-d45f-42d6-b8c9-e1a3457db5b7;NL|55c6556c-b4f4-441d-9acf-c498d4f838bd;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31;#NL|55c6556c-b4f4-441d-9acf-c498d4f838bd;#27;#SL|98a412ae-eb01-49e9-ae3d-585a81724cfc;#24;#ES|e7a6b05b-ae16-40c8-add9-68b64b03aeba;#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22;#BG|1a1b3951-7821-4e6a-85f5-5673fc08bd2c</vt:lpwstr>
  </property>
</Properties>
</file>