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73C30" w14:textId="77777777" w:rsidR="00E012B4" w:rsidRPr="0036156F" w:rsidRDefault="0018168C" w:rsidP="00CE68F7">
      <w:pPr>
        <w:overflowPunct/>
        <w:adjustRightInd/>
        <w:jc w:val="center"/>
        <w:textAlignment w:val="auto"/>
      </w:pPr>
      <w:r w:rsidRPr="0036156F">
        <w:rPr>
          <w:lang w:eastAsia="fr-BE" w:bidi="ar-SA"/>
        </w:rPr>
        <mc:AlternateContent>
          <mc:Choice Requires="wps">
            <w:drawing>
              <wp:anchor distT="0" distB="0" distL="114300" distR="114300" simplePos="0" relativeHeight="251657216" behindDoc="1" locked="0" layoutInCell="0" allowOverlap="1" wp14:anchorId="699FF3B3" wp14:editId="3855064D">
                <wp:simplePos x="0" y="0"/>
                <wp:positionH relativeFrom="page">
                  <wp:posOffset>6767830</wp:posOffset>
                </wp:positionH>
                <wp:positionV relativeFrom="page">
                  <wp:posOffset>10079990</wp:posOffset>
                </wp:positionV>
                <wp:extent cx="647700" cy="396240"/>
                <wp:effectExtent l="0" t="2540" r="4445" b="127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2B011" w14:textId="77777777" w:rsidR="00102356" w:rsidRPr="00CE68F7" w:rsidRDefault="00102356" w:rsidP="00CE68F7">
                            <w:pPr>
                              <w:overflowPunct/>
                              <w:adjustRightInd/>
                              <w:jc w:val="center"/>
                              <w:textAlignment w:val="auto"/>
                              <w:rPr>
                                <w:rFonts w:ascii="Arial" w:hAnsi="Arial" w:cs="Arial"/>
                                <w:b/>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17" o:spid="_x0000_s1026" type="#_x0000_t202" style="position:absolute;left:0;text-align:left;margin-left:532.9pt;margin-top:793.7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5OftgIAALk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PReTn7YC&#10;AAC5BQAADgAAAAAAAAAAAAAAAAAuAgAAZHJzL2Uyb0RvYy54bWxQSwECLQAUAAYACAAAACEAgQOp&#10;fOEAAAAPAQAADwAAAAAAAAAAAAAAAAAQBQAAZHJzL2Rvd25yZXYueG1sUEsFBgAAAAAEAAQA8wAA&#10;AB4GAAAAAA==&#10;" o:allowincell="f" filled="f" stroked="f">
                <v:textbox>
                  <w:txbxContent>
                    <w:p xmlns:w14="http://schemas.microsoft.com/office/word/2010/wordml" w14:paraId="17F2B011" w14:textId="77777777" w:rsidR="00102356" w:rsidRPr="00CE68F7" w:rsidRDefault="00102356" w:rsidP="00CE68F7">
                      <w:pPr>
                        <w:overflowPunct/>
                        <w:adjustRightInd/>
                        <w:jc w:val="center"/>
                        <w:textAlignment w:val="auto"/>
                        <w:rPr>
                          <w:rFonts w:ascii="Arial" w:hAnsi="Arial" w:cs="Arial"/>
                          <w:b/>
                          <w:sz w:val="48"/>
                        </w:rPr>
                      </w:pPr>
                      <w:r>
                        <w:rPr>
                          <w:rFonts w:ascii="Arial" w:hAnsi="Arial"/>
                          <w:b/>
                          <w:sz w:val="48"/>
                        </w:rPr>
                        <w:t>ET</w:t>
                      </w:r>
                    </w:p>
                  </w:txbxContent>
                </v:textbox>
                <w10:wrap xmlns:w10="urn:schemas-microsoft-com:office:word" anchorx="page" anchory="page"/>
              </v:shape>
            </w:pict>
          </mc:Fallback>
        </mc:AlternateContent>
      </w:r>
      <w:r w:rsidRPr="0036156F">
        <w:rPr>
          <w:lang w:eastAsia="fr-BE" w:bidi="ar-SA"/>
        </w:rPr>
        <w:drawing>
          <wp:inline distT="0" distB="0" distL="0" distR="0" wp14:anchorId="30DF88F9" wp14:editId="0A967980">
            <wp:extent cx="882650" cy="556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2650" cy="556895"/>
                    </a:xfrm>
                    <a:prstGeom prst="rect">
                      <a:avLst/>
                    </a:prstGeom>
                    <a:noFill/>
                    <a:ln>
                      <a:noFill/>
                    </a:ln>
                  </pic:spPr>
                </pic:pic>
              </a:graphicData>
            </a:graphic>
          </wp:inline>
        </w:drawing>
      </w:r>
    </w:p>
    <w:p w14:paraId="769D0761" w14:textId="77777777" w:rsidR="00E012B4" w:rsidRPr="0036156F" w:rsidRDefault="00E012B4" w:rsidP="00CE68F7">
      <w:pPr>
        <w:overflowPunct/>
        <w:adjustRightInd/>
        <w:jc w:val="center"/>
        <w:textAlignment w:val="auto"/>
        <w:rPr>
          <w:b/>
          <w:i/>
        </w:rPr>
      </w:pPr>
      <w:r w:rsidRPr="0036156F">
        <w:rPr>
          <w:rFonts w:ascii="Arial" w:hAnsi="Arial"/>
          <w:b/>
          <w:i/>
          <w:sz w:val="20"/>
        </w:rPr>
        <w:t>Euroopa Majandus- ja Sotsiaalkomitee</w:t>
      </w:r>
    </w:p>
    <w:p w14:paraId="0130FD84" w14:textId="77777777" w:rsidR="00E012B4" w:rsidRPr="0036156F" w:rsidRDefault="008C76AD" w:rsidP="00CE68F7">
      <w:pPr>
        <w:overflowPunct/>
        <w:adjustRightInd/>
        <w:textAlignment w:val="auto"/>
      </w:pPr>
      <w:r w:rsidRPr="0036156F">
        <w:rPr>
          <w:lang w:eastAsia="fr-BE" w:bidi="ar-SA"/>
        </w:rPr>
        <mc:AlternateContent>
          <mc:Choice Requires="wps">
            <w:drawing>
              <wp:anchor distT="0" distB="0" distL="114300" distR="114300" simplePos="0" relativeHeight="251659264" behindDoc="1" locked="0" layoutInCell="0" allowOverlap="1" wp14:anchorId="49BFCA16" wp14:editId="5DB89CBC">
                <wp:simplePos x="0" y="0"/>
                <wp:positionH relativeFrom="page">
                  <wp:posOffset>817245</wp:posOffset>
                </wp:positionH>
                <wp:positionV relativeFrom="page">
                  <wp:posOffset>9898380</wp:posOffset>
                </wp:positionV>
                <wp:extent cx="6172200" cy="809625"/>
                <wp:effectExtent l="0" t="1905"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863A2" w14:textId="77777777" w:rsidR="00102356" w:rsidRPr="00CE68F7" w:rsidRDefault="00102356" w:rsidP="00CE68F7">
                            <w:pPr>
                              <w:pBdr>
                                <w:top w:val="single" w:sz="4" w:space="1" w:color="auto"/>
                              </w:pBdr>
                              <w:overflowPunct/>
                              <w:adjustRightInd/>
                              <w:jc w:val="center"/>
                              <w:textAlignment w:val="auto"/>
                              <w:rPr>
                                <w:b/>
                                <w:sz w:val="16"/>
                              </w:rPr>
                            </w:pPr>
                            <w:r>
                              <w:rPr>
                                <w:b/>
                                <w:sz w:val="16"/>
                              </w:rPr>
                              <w:t>Rue Belliard/Belliardstraat 99 — 1040 Bruxelles/Brussel — BELGIQUE/BELGIË</w:t>
                            </w:r>
                          </w:p>
                          <w:p w14:paraId="77133E6D" w14:textId="77777777" w:rsidR="00102356" w:rsidRPr="00CE68F7" w:rsidRDefault="00102356" w:rsidP="00CE68F7">
                            <w:pPr>
                              <w:pBdr>
                                <w:top w:val="single" w:sz="4" w:space="1" w:color="auto"/>
                              </w:pBdr>
                              <w:overflowPunct/>
                              <w:adjustRightInd/>
                              <w:jc w:val="center"/>
                              <w:textAlignment w:val="auto"/>
                              <w:rPr>
                                <w:b/>
                                <w:sz w:val="16"/>
                              </w:rPr>
                            </w:pPr>
                            <w:r>
                              <w:rPr>
                                <w:b/>
                                <w:sz w:val="16"/>
                              </w:rPr>
                              <w:t xml:space="preserve">Tel +32 25469011 — Faks +32 25134893 — Internet: </w:t>
                            </w:r>
                            <w:hyperlink r:id="rId15">
                              <w:r>
                                <w:rPr>
                                  <w:rStyle w:val="Hyperlink"/>
                                  <w:b/>
                                  <w:sz w:val="16"/>
                                </w:rPr>
                                <w:t>http://www.eesc.europa.eu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4" o:spid="_x0000_s1027" type="#_x0000_t202" style="position:absolute;left:0;text-align:left;margin-left:64.35pt;margin-top:779.4pt;width:486pt;height:6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" o:allowincell="f" filled="f" stroked="f">
                <v:textbox>
                  <w:txbxContent>
                    <w:p xmlns:w14="http://schemas.microsoft.com/office/word/2010/wordml" w14:paraId="7FF863A2" w14:textId="77777777" w:rsidR="00102356" w:rsidRPr="00CE68F7" w:rsidRDefault="00102356" w:rsidP="00CE68F7">
                      <w:pPr>
                        <w:pBdr>
                          <w:top w:val="single" w:sz="4" w:space="1" w:color="auto"/>
                        </w:pBdr>
                        <w:overflowPunct/>
                        <w:adjustRightInd/>
                        <w:jc w:val="center"/>
                        <w:textAlignment w:val="auto"/>
                        <w:rPr>
                          <w:b/>
                          <w:sz w:val="16"/>
                        </w:rPr>
                      </w:pPr>
                      <w:r>
                        <w:rPr>
                          <w:b/>
                          <w:sz w:val="16"/>
                        </w:rPr>
                        <w:t>Rue Belliard/Belliardstraat 99 — 1040 Bruxelles/Brussel — BELGIQUE/BELGIË</w:t>
                      </w:r>
                    </w:p>
                    <w:p xmlns:w14="http://schemas.microsoft.com/office/word/2010/wordml" w14:paraId="77133E6D" w14:textId="77777777" w:rsidR="00102356" w:rsidRPr="00CE68F7" w:rsidRDefault="00102356" w:rsidP="00CE68F7">
                      <w:pPr>
                        <w:pBdr>
                          <w:top w:val="single" w:sz="4" w:space="1" w:color="auto"/>
                        </w:pBdr>
                        <w:overflowPunct/>
                        <w:adjustRightInd/>
                        <w:jc w:val="center"/>
                        <w:textAlignment w:val="auto"/>
                        <w:rPr>
                          <w:b/>
                          <w:sz w:val="16"/>
                        </w:rPr>
                      </w:pPr>
                      <w:r>
                        <w:rPr>
                          <w:b/>
                          <w:sz w:val="16"/>
                        </w:rPr>
                        <w:t xml:space="preserve">Tel +32 25469011 — Faks +32 25134893 — Internet: </w:t>
                      </w:r>
                      <w:hyperlink r:id="rId16">
                        <w:r>
                          <w:rPr>
                            <w:rStyle w:val="Hyperlink"/>
                            <w:b/>
                            <w:sz w:val="16"/>
                          </w:rPr>
                          <w:t>http://www.eesc.europa.eu</w:t>
                        </w:r>
                      </w:hyperlink>
                    </w:p>
                  </w:txbxContent>
                </v:textbox>
                <w10:wrap xmlns:w10="urn:schemas-microsoft-com:office:word" anchorx="page" anchory="page"/>
              </v:shape>
            </w:pict>
          </mc:Fallback>
        </mc:AlternateContent>
      </w:r>
    </w:p>
    <w:p w14:paraId="4F7A6C5F" w14:textId="77777777" w:rsidR="00E012B4" w:rsidRPr="0036156F" w:rsidRDefault="00E012B4" w:rsidP="00CE68F7">
      <w:pPr>
        <w:overflowPunct/>
        <w:adjustRightInd/>
        <w:textAlignment w:val="auto"/>
      </w:pPr>
    </w:p>
    <w:tbl>
      <w:tblPr>
        <w:tblW w:w="0" w:type="auto"/>
        <w:jc w:val="right"/>
        <w:tblLayout w:type="fixed"/>
        <w:tblLook w:val="0000" w:firstRow="0" w:lastRow="0" w:firstColumn="0" w:lastColumn="0" w:noHBand="0" w:noVBand="0"/>
      </w:tblPr>
      <w:tblGrid>
        <w:gridCol w:w="3525"/>
      </w:tblGrid>
      <w:tr w:rsidR="00E012B4" w:rsidRPr="0036156F" w14:paraId="50022374" w14:textId="77777777" w:rsidTr="00333C9C">
        <w:trPr>
          <w:jc w:val="right"/>
        </w:trPr>
        <w:tc>
          <w:tcPr>
            <w:tcW w:w="3525" w:type="dxa"/>
          </w:tcPr>
          <w:p w14:paraId="269C53ED" w14:textId="77777777" w:rsidR="00870390" w:rsidRPr="0036156F" w:rsidRDefault="00870390" w:rsidP="00CE68F7">
            <w:pPr>
              <w:overflowPunct/>
              <w:adjustRightInd/>
              <w:jc w:val="center"/>
              <w:textAlignment w:val="auto"/>
              <w:rPr>
                <w:b/>
                <w:sz w:val="28"/>
              </w:rPr>
            </w:pPr>
            <w:r w:rsidRPr="0036156F">
              <w:rPr>
                <w:b/>
                <w:sz w:val="28"/>
              </w:rPr>
              <w:t>REX/432</w:t>
            </w:r>
          </w:p>
          <w:p w14:paraId="564C811D" w14:textId="18EEF791" w:rsidR="00E012B4" w:rsidRPr="0036156F" w:rsidRDefault="00870390" w:rsidP="00CE68F7">
            <w:pPr>
              <w:overflowPunct/>
              <w:adjustRightInd/>
              <w:jc w:val="center"/>
              <w:textAlignment w:val="auto"/>
              <w:rPr>
                <w:b/>
                <w:bCs/>
                <w:sz w:val="28"/>
                <w:szCs w:val="22"/>
              </w:rPr>
            </w:pPr>
            <w:r w:rsidRPr="0036156F">
              <w:rPr>
                <w:b/>
                <w:sz w:val="28"/>
              </w:rPr>
              <w:t>Meedia kasutamine sotsiaalsete ja poliitiliste protsesside mõjutamiseks ELis ja idapoolsetes naaberriikides</w:t>
            </w:r>
          </w:p>
        </w:tc>
      </w:tr>
    </w:tbl>
    <w:p w14:paraId="7D1704E2" w14:textId="77777777" w:rsidR="00E012B4" w:rsidRPr="0036156F" w:rsidRDefault="00E012B4" w:rsidP="00CE68F7">
      <w:pPr>
        <w:overflowPunct/>
        <w:adjustRightInd/>
        <w:textAlignment w:val="auto"/>
      </w:pPr>
    </w:p>
    <w:p w14:paraId="772359F2" w14:textId="77777777" w:rsidR="00E012B4" w:rsidRPr="0036156F" w:rsidRDefault="00E012B4" w:rsidP="00CE68F7">
      <w:pPr>
        <w:overflowPunct/>
        <w:adjustRightInd/>
        <w:textAlignment w:val="auto"/>
      </w:pPr>
    </w:p>
    <w:p w14:paraId="223E7EE5" w14:textId="13147728" w:rsidR="00E012B4" w:rsidRPr="0036156F" w:rsidRDefault="00BB05DF" w:rsidP="00CE68F7">
      <w:pPr>
        <w:overflowPunct/>
        <w:adjustRightInd/>
        <w:jc w:val="right"/>
        <w:textAlignment w:val="auto"/>
      </w:pPr>
      <w:r w:rsidRPr="0036156F">
        <w:t xml:space="preserve">Brüssel, </w:t>
      </w:r>
      <w:r w:rsidR="00944179" w:rsidRPr="0036156F">
        <w:t>8</w:t>
      </w:r>
      <w:r w:rsidR="00E012B4" w:rsidRPr="0036156F">
        <w:t>. </w:t>
      </w:r>
      <w:r w:rsidR="00944179" w:rsidRPr="0036156F">
        <w:t>mai</w:t>
      </w:r>
      <w:r w:rsidR="00E012B4" w:rsidRPr="0036156F">
        <w:t> 2015</w:t>
      </w:r>
    </w:p>
    <w:p w14:paraId="5296D2E9" w14:textId="77777777" w:rsidR="00E012B4" w:rsidRPr="0036156F" w:rsidRDefault="00E012B4" w:rsidP="00CE68F7">
      <w:pPr>
        <w:overflowPunct/>
        <w:adjustRightInd/>
        <w:textAlignment w:val="auto"/>
      </w:pPr>
    </w:p>
    <w:p w14:paraId="7F260590" w14:textId="77777777" w:rsidR="00E012B4" w:rsidRPr="0036156F" w:rsidRDefault="00E012B4" w:rsidP="00CE68F7">
      <w:pPr>
        <w:overflowPunct/>
        <w:adjustRightInd/>
        <w:textAlignment w:val="auto"/>
      </w:pPr>
    </w:p>
    <w:p w14:paraId="70B06C1B" w14:textId="77777777" w:rsidR="00E012B4" w:rsidRPr="0036156F" w:rsidRDefault="00E012B4" w:rsidP="00CE68F7">
      <w:pPr>
        <w:overflowPunct/>
        <w:adjustRightInd/>
        <w:textAlignment w:val="auto"/>
      </w:pPr>
    </w:p>
    <w:p w14:paraId="3B303F52" w14:textId="77777777" w:rsidR="00E012B4" w:rsidRPr="0036156F" w:rsidRDefault="00E012B4" w:rsidP="00CE68F7">
      <w:pPr>
        <w:overflowPunct/>
        <w:adjustRightInd/>
        <w:textAlignment w:val="auto"/>
      </w:pPr>
    </w:p>
    <w:tbl>
      <w:tblPr>
        <w:tblW w:w="0" w:type="auto"/>
        <w:tblLayout w:type="fixed"/>
        <w:tblLook w:val="0000" w:firstRow="0" w:lastRow="0" w:firstColumn="0" w:lastColumn="0" w:noHBand="0" w:noVBand="0"/>
      </w:tblPr>
      <w:tblGrid>
        <w:gridCol w:w="9243"/>
      </w:tblGrid>
      <w:tr w:rsidR="00E012B4" w:rsidRPr="0036156F" w14:paraId="453F32C8" w14:textId="77777777" w:rsidTr="00333C9C">
        <w:tc>
          <w:tcPr>
            <w:tcW w:w="9243" w:type="dxa"/>
          </w:tcPr>
          <w:p w14:paraId="44F9FBD7" w14:textId="54BB0777" w:rsidR="00E012B4" w:rsidRPr="0036156F" w:rsidRDefault="00944179" w:rsidP="003948A0">
            <w:pPr>
              <w:overflowPunct/>
              <w:adjustRightInd/>
              <w:jc w:val="center"/>
              <w:textAlignment w:val="auto"/>
              <w:rPr>
                <w:szCs w:val="22"/>
              </w:rPr>
            </w:pPr>
            <w:r w:rsidRPr="0036156F">
              <w:t>Välissuhete sektsiooni</w:t>
            </w:r>
            <w:r w:rsidR="009A613F" w:rsidRPr="0036156F">
              <w:br/>
            </w:r>
            <w:r w:rsidRPr="0036156F">
              <w:rPr>
                <w:b/>
                <w:sz w:val="32"/>
              </w:rPr>
              <w:t>TEABEARUANNE</w:t>
            </w:r>
            <w:r w:rsidR="009A613F" w:rsidRPr="0036156F">
              <w:br/>
              <w:t xml:space="preserve">teemal </w:t>
            </w:r>
            <w:r w:rsidR="009A613F" w:rsidRPr="0036156F">
              <w:br/>
            </w:r>
            <w:r w:rsidR="009A613F" w:rsidRPr="0036156F">
              <w:rPr>
                <w:b/>
              </w:rPr>
              <w:t>„Meedia kasutamine sotsiaalsete ja poliitiliste protsesside mõjutamiseks ELis ja idapoolsetes naaberriikides”</w:t>
            </w:r>
          </w:p>
        </w:tc>
      </w:tr>
      <w:tr w:rsidR="00E012B4" w:rsidRPr="0036156F" w14:paraId="0F9967BB" w14:textId="77777777" w:rsidTr="00333C9C">
        <w:tc>
          <w:tcPr>
            <w:tcW w:w="9243" w:type="dxa"/>
          </w:tcPr>
          <w:p w14:paraId="248C0E08" w14:textId="77777777" w:rsidR="00E012B4" w:rsidRPr="0036156F" w:rsidRDefault="00E012B4" w:rsidP="00CE68F7">
            <w:pPr>
              <w:overflowPunct/>
              <w:adjustRightInd/>
              <w:jc w:val="center"/>
              <w:textAlignment w:val="auto"/>
            </w:pPr>
            <w:r w:rsidRPr="0036156F">
              <w:t>_____________</w:t>
            </w:r>
          </w:p>
          <w:p w14:paraId="2C03078C" w14:textId="77777777" w:rsidR="00E012B4" w:rsidRPr="0036156F" w:rsidRDefault="00E012B4" w:rsidP="00CE68F7">
            <w:pPr>
              <w:overflowPunct/>
              <w:adjustRightInd/>
              <w:jc w:val="center"/>
              <w:textAlignment w:val="auto"/>
            </w:pPr>
          </w:p>
          <w:p w14:paraId="0B455A02" w14:textId="77777777" w:rsidR="00E012B4" w:rsidRPr="0036156F" w:rsidRDefault="00E012B4" w:rsidP="00CE68F7">
            <w:pPr>
              <w:overflowPunct/>
              <w:adjustRightInd/>
              <w:jc w:val="center"/>
              <w:textAlignment w:val="auto"/>
              <w:rPr>
                <w:b/>
              </w:rPr>
            </w:pPr>
            <w:r w:rsidRPr="0036156F">
              <w:t>Raportöör:</w:t>
            </w:r>
            <w:r w:rsidRPr="0036156F">
              <w:rPr>
                <w:b/>
              </w:rPr>
              <w:t xml:space="preserve"> Indrė Vareikytė</w:t>
            </w:r>
          </w:p>
          <w:p w14:paraId="7E9AB186" w14:textId="77777777" w:rsidR="00E012B4" w:rsidRPr="0036156F" w:rsidRDefault="00E012B4" w:rsidP="00CE68F7">
            <w:pPr>
              <w:overflowPunct/>
              <w:adjustRightInd/>
              <w:jc w:val="center"/>
              <w:textAlignment w:val="auto"/>
              <w:rPr>
                <w:szCs w:val="22"/>
              </w:rPr>
            </w:pPr>
            <w:r w:rsidRPr="0036156F">
              <w:t xml:space="preserve">_____________ </w:t>
            </w:r>
            <w:r w:rsidRPr="0036156F">
              <w:br/>
              <w:t xml:space="preserve"> </w:t>
            </w:r>
            <w:r w:rsidRPr="0036156F">
              <w:br/>
            </w:r>
          </w:p>
        </w:tc>
      </w:tr>
      <w:tr w:rsidR="00E012B4" w:rsidRPr="0036156F" w14:paraId="787D1530" w14:textId="77777777" w:rsidTr="00333C9C">
        <w:tc>
          <w:tcPr>
            <w:tcW w:w="9243" w:type="dxa"/>
          </w:tcPr>
          <w:p w14:paraId="2D718EB9" w14:textId="261A3F04" w:rsidR="00080055" w:rsidRPr="0036156F" w:rsidRDefault="00080055" w:rsidP="00CE68F7">
            <w:pPr>
              <w:overflowPunct/>
              <w:adjustRightInd/>
              <w:textAlignment w:val="auto"/>
              <w:rPr>
                <w:szCs w:val="22"/>
              </w:rPr>
            </w:pPr>
          </w:p>
        </w:tc>
      </w:tr>
      <w:tr w:rsidR="00E012B4" w:rsidRPr="0036156F" w14:paraId="0C780659" w14:textId="77777777" w:rsidTr="00333C9C">
        <w:tc>
          <w:tcPr>
            <w:tcW w:w="9243" w:type="dxa"/>
          </w:tcPr>
          <w:p w14:paraId="71A2C54D" w14:textId="57F04DAD" w:rsidR="00080055" w:rsidRPr="0036156F" w:rsidRDefault="00080055" w:rsidP="003F2B3A">
            <w:pPr>
              <w:overflowPunct/>
              <w:adjustRightInd/>
              <w:ind w:left="770" w:hanging="770"/>
              <w:textAlignment w:val="auto"/>
              <w:rPr>
                <w:szCs w:val="22"/>
              </w:rPr>
            </w:pPr>
          </w:p>
        </w:tc>
      </w:tr>
      <w:tr w:rsidR="00E012B4" w:rsidRPr="0036156F" w14:paraId="2614090F" w14:textId="77777777" w:rsidTr="00333C9C">
        <w:tc>
          <w:tcPr>
            <w:tcW w:w="9243" w:type="dxa"/>
          </w:tcPr>
          <w:p w14:paraId="453F3D00" w14:textId="77777777" w:rsidR="00080055" w:rsidRPr="0036156F" w:rsidRDefault="00080055" w:rsidP="00CE68F7">
            <w:pPr>
              <w:overflowPunct/>
              <w:adjustRightInd/>
              <w:textAlignment w:val="auto"/>
              <w:rPr>
                <w:bCs/>
                <w:szCs w:val="22"/>
              </w:rPr>
            </w:pPr>
          </w:p>
        </w:tc>
      </w:tr>
      <w:tr w:rsidR="00E012B4" w:rsidRPr="0036156F" w14:paraId="13E0D79C" w14:textId="77777777" w:rsidTr="00333C9C">
        <w:tc>
          <w:tcPr>
            <w:tcW w:w="9243" w:type="dxa"/>
          </w:tcPr>
          <w:p w14:paraId="69AC590B" w14:textId="748927D7" w:rsidR="00E012B4" w:rsidRPr="0036156F" w:rsidRDefault="00F40F85" w:rsidP="003F2B3A">
            <w:pPr>
              <w:overflowPunct/>
              <w:adjustRightInd/>
              <w:jc w:val="right"/>
              <w:textAlignment w:val="auto"/>
              <w:rPr>
                <w:smallCaps/>
                <w:szCs w:val="22"/>
              </w:rPr>
            </w:pPr>
            <w:r w:rsidRPr="0036156F">
              <w:t>Administraator: Laura Ernšteina</w:t>
            </w:r>
          </w:p>
        </w:tc>
      </w:tr>
    </w:tbl>
    <w:p w14:paraId="33BC42A1" w14:textId="77777777" w:rsidR="00E31335" w:rsidRPr="0036156F" w:rsidRDefault="00E31335" w:rsidP="00CE68F7">
      <w:pPr>
        <w:overflowPunct/>
        <w:adjustRightInd/>
        <w:textAlignment w:val="auto"/>
        <w:sectPr w:rsidR="00E31335" w:rsidRPr="0036156F" w:rsidSect="000434BD">
          <w:headerReference w:type="even" r:id="rId17"/>
          <w:headerReference w:type="default" r:id="rId18"/>
          <w:footerReference w:type="even" r:id="rId19"/>
          <w:footerReference w:type="default" r:id="rId20"/>
          <w:headerReference w:type="first" r:id="rId21"/>
          <w:footerReference w:type="first" r:id="rId22"/>
          <w:pgSz w:w="11907" w:h="16839" w:code="9"/>
          <w:pgMar w:top="567" w:right="1440" w:bottom="1928" w:left="1440" w:header="283" w:footer="1134" w:gutter="0"/>
          <w:pgNumType w:start="1"/>
          <w:cols w:space="708"/>
          <w:docGrid w:linePitch="360"/>
        </w:sectPr>
      </w:pPr>
    </w:p>
    <w:p w14:paraId="69FB751A" w14:textId="77777777" w:rsidR="00E012B4" w:rsidRPr="0036156F" w:rsidRDefault="0063616B" w:rsidP="00CE68F7">
      <w:pPr>
        <w:overflowPunct/>
        <w:adjustRightInd/>
        <w:textAlignment w:val="auto"/>
      </w:pPr>
      <w:bookmarkStart w:id="0" w:name="_GoBack"/>
      <w:bookmarkEnd w:id="0"/>
      <w:r w:rsidRPr="0036156F">
        <w:lastRenderedPageBreak/>
        <w:t>11. detsembril 2014 otsustas Euroopa Majandus- ja Sotsiaalkomitee vastavalt kodukorra artiklile 31 teha välissuhete sektsioonile ülesandeks koostada teabearuanne teemal:</w:t>
      </w:r>
    </w:p>
    <w:p w14:paraId="6EC8649F" w14:textId="77777777" w:rsidR="00E012B4" w:rsidRPr="0036156F" w:rsidRDefault="00E012B4" w:rsidP="00CE68F7">
      <w:pPr>
        <w:overflowPunct/>
        <w:adjustRightInd/>
        <w:textAlignment w:val="auto"/>
      </w:pPr>
    </w:p>
    <w:p w14:paraId="18C92379" w14:textId="1D75ECD8" w:rsidR="00E012B4" w:rsidRPr="0036156F" w:rsidRDefault="00F40F85" w:rsidP="00CE68F7">
      <w:pPr>
        <w:overflowPunct/>
        <w:adjustRightInd/>
        <w:ind w:left="1429"/>
        <w:textAlignment w:val="auto"/>
        <w:rPr>
          <w:i/>
        </w:rPr>
      </w:pPr>
      <w:r w:rsidRPr="0036156F">
        <w:rPr>
          <w:i/>
        </w:rPr>
        <w:t>„Meedia kasutamine sotsiaalsete ja poliitiliste protsesside mõjutamiseks ELis ja idapoolsetes naaberriikides”.</w:t>
      </w:r>
    </w:p>
    <w:p w14:paraId="7762883C" w14:textId="77777777" w:rsidR="00E012B4" w:rsidRPr="0036156F" w:rsidRDefault="00E012B4" w:rsidP="00CE68F7">
      <w:pPr>
        <w:overflowPunct/>
        <w:adjustRightInd/>
        <w:textAlignment w:val="auto"/>
      </w:pPr>
    </w:p>
    <w:p w14:paraId="1A11573E" w14:textId="7D134F95" w:rsidR="00E012B4" w:rsidRPr="0036156F" w:rsidRDefault="00E012B4" w:rsidP="00CE68F7">
      <w:pPr>
        <w:overflowPunct/>
        <w:adjustRightInd/>
        <w:textAlignment w:val="auto"/>
      </w:pPr>
      <w:r w:rsidRPr="0036156F">
        <w:t xml:space="preserve">Asjaomase töö ettevalmistamise eest vastutav välissuhete sektsioon võttis </w:t>
      </w:r>
      <w:r w:rsidR="0069406B" w:rsidRPr="0036156F">
        <w:t>teabearuande</w:t>
      </w:r>
      <w:r w:rsidRPr="0036156F">
        <w:t xml:space="preserve"> vastu </w:t>
      </w:r>
      <w:r w:rsidR="0069406B" w:rsidRPr="0036156F">
        <w:t>28. aprillil 2015</w:t>
      </w:r>
      <w:r w:rsidRPr="0036156F">
        <w:t>.</w:t>
      </w:r>
    </w:p>
    <w:p w14:paraId="264C994D" w14:textId="77777777" w:rsidR="00E012B4" w:rsidRPr="0036156F" w:rsidRDefault="00E012B4" w:rsidP="00CE68F7">
      <w:pPr>
        <w:overflowPunct/>
        <w:adjustRightInd/>
        <w:textAlignment w:val="auto"/>
      </w:pPr>
    </w:p>
    <w:p w14:paraId="1565796A" w14:textId="77777777" w:rsidR="00E012B4" w:rsidRPr="0036156F" w:rsidRDefault="00E012B4" w:rsidP="00CE68F7">
      <w:pPr>
        <w:overflowPunct/>
        <w:adjustRightInd/>
        <w:jc w:val="center"/>
        <w:textAlignment w:val="auto"/>
      </w:pPr>
      <w:r w:rsidRPr="0036156F">
        <w:t>*</w:t>
      </w:r>
    </w:p>
    <w:p w14:paraId="70EF952C" w14:textId="77777777" w:rsidR="00E012B4" w:rsidRPr="0036156F" w:rsidRDefault="00E012B4" w:rsidP="00CE68F7">
      <w:pPr>
        <w:overflowPunct/>
        <w:adjustRightInd/>
        <w:jc w:val="center"/>
        <w:textAlignment w:val="auto"/>
      </w:pPr>
    </w:p>
    <w:p w14:paraId="323AA5A2" w14:textId="77777777" w:rsidR="00E012B4" w:rsidRPr="0036156F" w:rsidRDefault="00E012B4" w:rsidP="00CE68F7">
      <w:pPr>
        <w:overflowPunct/>
        <w:adjustRightInd/>
        <w:jc w:val="center"/>
        <w:textAlignment w:val="auto"/>
      </w:pPr>
      <w:r w:rsidRPr="0036156F">
        <w:t>*</w:t>
      </w:r>
      <w:r w:rsidRPr="0036156F">
        <w:tab/>
        <w:t>*</w:t>
      </w:r>
    </w:p>
    <w:p w14:paraId="0EF0FA04" w14:textId="77777777" w:rsidR="00E012B4" w:rsidRPr="0036156F" w:rsidRDefault="00E012B4" w:rsidP="00CE68F7">
      <w:pPr>
        <w:overflowPunct/>
        <w:adjustRightInd/>
        <w:textAlignment w:val="auto"/>
        <w:rPr>
          <w:b/>
        </w:rPr>
      </w:pPr>
    </w:p>
    <w:p w14:paraId="4DB42DD7" w14:textId="77777777" w:rsidR="009A613F" w:rsidRPr="0036156F" w:rsidRDefault="009A613F" w:rsidP="00CE68F7">
      <w:pPr>
        <w:pStyle w:val="Heading1"/>
        <w:keepNext/>
        <w:overflowPunct/>
        <w:adjustRightInd/>
        <w:textAlignment w:val="auto"/>
      </w:pPr>
      <w:r w:rsidRPr="0036156F">
        <w:rPr>
          <w:b/>
        </w:rPr>
        <w:t>Järeldused ja soovitused</w:t>
      </w:r>
    </w:p>
    <w:p w14:paraId="144F6866" w14:textId="77777777" w:rsidR="009A613F" w:rsidRPr="0036156F" w:rsidRDefault="009A613F" w:rsidP="00CE68F7">
      <w:pPr>
        <w:keepNext/>
        <w:overflowPunct/>
        <w:adjustRightInd/>
        <w:textAlignment w:val="auto"/>
        <w:outlineLvl w:val="0"/>
        <w:rPr>
          <w:b/>
        </w:rPr>
      </w:pPr>
    </w:p>
    <w:p w14:paraId="49581E99" w14:textId="479A50B1" w:rsidR="009A613F" w:rsidRPr="0036156F" w:rsidRDefault="009A613F" w:rsidP="00365A24">
      <w:pPr>
        <w:pStyle w:val="Heading2"/>
        <w:overflowPunct/>
        <w:adjustRightInd/>
        <w:textAlignment w:val="auto"/>
      </w:pPr>
      <w:r w:rsidRPr="0036156F">
        <w:t xml:space="preserve">Teabe- ja sõnavabadus on ELis puutumatud. Kuid seda vabadust võib kasutada ka nende põhimõtete ümberlükkamiseks, et muuta arutelu ja kriitiline mõtlemine võimatuks ning kasutada seda mitte teavitamise ja veenmise vahendina, vaid hoopis relvana. Propaganda on meedia kuritarvitamise äärmuslik vorm, mille eesmärk on mõjutada sotsiaalseid ja poliitilisi protsesse, ning see on eriti mõjus, kui seda rahastavad valitsused ja seda kasutatakse rahvusvahelistes suhetes. Aktuaalne näide on Venemaa riiklikult rahastatav propaganda, mis tekitab tõsist muret Euroopa </w:t>
      </w:r>
      <w:r w:rsidR="00BB3FFC" w:rsidRPr="0036156F">
        <w:t xml:space="preserve">ja Venemaa </w:t>
      </w:r>
      <w:r w:rsidRPr="0036156F">
        <w:t>kodanikuühiskonnas.</w:t>
      </w:r>
    </w:p>
    <w:p w14:paraId="2EB46F61" w14:textId="77777777" w:rsidR="00D00282" w:rsidRPr="0036156F" w:rsidRDefault="00D00282" w:rsidP="00CE68F7">
      <w:pPr>
        <w:overflowPunct/>
        <w:adjustRightInd/>
        <w:textAlignment w:val="auto"/>
        <w:outlineLvl w:val="0"/>
        <w:rPr>
          <w:b/>
        </w:rPr>
      </w:pPr>
    </w:p>
    <w:p w14:paraId="549ABB6F" w14:textId="77777777" w:rsidR="009A613F" w:rsidRPr="0036156F" w:rsidRDefault="00445785" w:rsidP="00CE68F7">
      <w:pPr>
        <w:pStyle w:val="Heading2"/>
        <w:overflowPunct/>
        <w:adjustRightInd/>
        <w:textAlignment w:val="auto"/>
      </w:pPr>
      <w:r w:rsidRPr="0036156F">
        <w:t>Praegu kasutatakse mitmesuguseid vahendeid ja meetodeid, et õõnestada Euroopa väärtusi ning mõjutada idapartnerlust ja ELi teisi välistegevusi, aga ka arendada ja provotseerida separatistlikke ja natsionalistlikke hoiakuid, manipuleerida avalikkust ning otseselt sekkuda suveräänsete riikide ja ELi kui terviku sisepoliitikasse. Sellise väärinfo mõju alahinnatakse sageli, isegi riikides, mis sellega kõige sagedamini silmitsi seisavad. Samal ajal jääb riiklikul ja ELi tasandil puudu meetmetest kõnealuse probleemi lahendamiseks.</w:t>
      </w:r>
    </w:p>
    <w:p w14:paraId="4F1561B9" w14:textId="77777777" w:rsidR="00C126CB" w:rsidRPr="0036156F" w:rsidRDefault="00C126CB" w:rsidP="00CE68F7">
      <w:pPr>
        <w:overflowPunct/>
        <w:adjustRightInd/>
        <w:textAlignment w:val="auto"/>
      </w:pPr>
    </w:p>
    <w:p w14:paraId="0252CC3B" w14:textId="28BA452A" w:rsidR="009A613F" w:rsidRPr="0036156F" w:rsidRDefault="009A613F" w:rsidP="00CE68F7">
      <w:pPr>
        <w:pStyle w:val="Heading2"/>
        <w:overflowPunct/>
        <w:adjustRightInd/>
        <w:textAlignment w:val="auto"/>
      </w:pPr>
      <w:r w:rsidRPr="0036156F">
        <w:t>Majanduskriisi ajal seisid Euroopa meediakanalid silmitsi eelarvekärbetega, mis omakorda vähendasid meedia kvaliteedistandardeid. Hoolimata eelarvekärbetest investeerib Venemaa samal ajal hoogsalt riigi kontrollitavasse meediasse ja tugevdab oma teabemõju kampaaniaid, et saada riigisiseste ja väliste sihtrühmade hulgas toetust oma poliitilistele eesmärkidele ja meetmetele. Oluline on märkida, et Vene meediakanalid on suutelised pakkuma populaarsemat ja sageli vastuolulist teavet, eirates Euroopa meediale iseloomulikke kõrgeid eetikastandardeid.</w:t>
      </w:r>
    </w:p>
    <w:p w14:paraId="3D7194A1" w14:textId="77777777" w:rsidR="009A613F" w:rsidRPr="0036156F" w:rsidRDefault="009A613F" w:rsidP="00CE68F7">
      <w:pPr>
        <w:overflowPunct/>
        <w:adjustRightInd/>
        <w:textAlignment w:val="auto"/>
        <w:outlineLvl w:val="0"/>
        <w:rPr>
          <w:b/>
        </w:rPr>
      </w:pPr>
    </w:p>
    <w:p w14:paraId="495FA9E0" w14:textId="0CFC2099" w:rsidR="009A613F" w:rsidRPr="0036156F" w:rsidRDefault="009A613F" w:rsidP="00CE68F7">
      <w:pPr>
        <w:pStyle w:val="Heading2"/>
        <w:overflowPunct/>
        <w:adjustRightInd/>
        <w:textAlignment w:val="auto"/>
      </w:pPr>
      <w:r w:rsidRPr="0036156F">
        <w:t xml:space="preserve">Propagandale ei saa ja ei tohi vastata vastupropagandaga. Arvestades teabe mõju suurendamiseks eraldatavate vahendite ulatust ja summat, kutsub komitee üles eelistama sisemisi partnerlusi, reklaami, läbipaistvust ja haridust, selle asemel, et kasutada vastupropagandat või teha katseid avaliku meediasõja alustamiseks, mis ainult destabiliseeriks veelgi enam Euroopa ühiskonda. </w:t>
      </w:r>
    </w:p>
    <w:p w14:paraId="0396EFE7" w14:textId="77777777" w:rsidR="00EF1F80" w:rsidRPr="0036156F" w:rsidRDefault="00EF1F80" w:rsidP="00EF1F80"/>
    <w:p w14:paraId="4A8177FF" w14:textId="5637D6EC" w:rsidR="00365A24" w:rsidRPr="0036156F" w:rsidRDefault="00365A24" w:rsidP="00365A24">
      <w:pPr>
        <w:pStyle w:val="Heading2"/>
      </w:pPr>
      <w:r w:rsidRPr="0036156F">
        <w:t>Euroopa peaks õppima hiljuti Euroopa naabruses aset leidnud sõjast: propaganda roll oli äärmiselt negatiivne ja häiriv ning sõltumatute ajakirjanike positsioon oli vaid kahe aastakümne eest toimunud Balkani sõja ajal väga ebakindel.</w:t>
      </w:r>
    </w:p>
    <w:p w14:paraId="0F39C7B2" w14:textId="77777777" w:rsidR="00365A24" w:rsidRPr="0036156F" w:rsidRDefault="00365A24" w:rsidP="00EF1F80"/>
    <w:p w14:paraId="507E175B" w14:textId="6D4F1547" w:rsidR="00EF1F80" w:rsidRPr="0036156F" w:rsidRDefault="00F43887" w:rsidP="00EF1F80">
      <w:pPr>
        <w:pStyle w:val="Heading2"/>
        <w:overflowPunct/>
        <w:adjustRightInd/>
        <w:textAlignment w:val="auto"/>
      </w:pPr>
      <w:r w:rsidRPr="0036156F">
        <w:t>Praegusele olukorrale vastamiseks peaksid ELi institutsioonid koos liikmesriikidega välja töötama strateegilise kommunikatsiooni tegevuskava, mis hõlmaks järgmisi olulisi valdkondi: a) ELi teabevahetuse ja meedia kvaliteedi parandamine; b) toetuse suurendamine ELi ja idapartnerluse riikide olemasolevatele meediakanalitele ELi aruannetes; c) meedia koostöövõrgustike tugevdamine; d) platvormide arendamine ja toetamine elanikkonnaga meedia kaudu suhtlemiseks; e) kohalike ajakirjanike kaasamine ja usaldamine ning selliste kohalike algatuste toetamine, mis on suunatud kohalikule tasandile, mitte ainult piirkondlikule või Euroopa tasandile; f) meedia kasutamise soodustamine ELi küsimustest teavitamisel; g) parimate tavade tutvustamine, et harida üldsust ning suurendada meediapädevust ja arendada kriitilist mõtlemist; h) hea valitsemistava edendamine meediakanalites ning läbipaistvuse tagamine omandilise kuuluvuse ja rahastamise valdkonnas; i) meediat käsitlevate sõltumatute akadeemiliste teadusuuringute edendamine; j) vajalike meetmete elluviimiseks piisavate vahendite tagamine.</w:t>
      </w:r>
    </w:p>
    <w:p w14:paraId="1052DEDF" w14:textId="77777777" w:rsidR="00EF1F80" w:rsidRPr="0036156F" w:rsidRDefault="00EF1F80" w:rsidP="00EF1F80"/>
    <w:p w14:paraId="28912A13" w14:textId="35B2C827" w:rsidR="004B4E33" w:rsidRPr="0036156F" w:rsidRDefault="004B4E33" w:rsidP="004B4E33">
      <w:pPr>
        <w:pStyle w:val="Heading2"/>
      </w:pPr>
      <w:r w:rsidRPr="0036156F">
        <w:t>Seetõttu soovitab komitee võtta järgmisi vajalikke meetmeid.</w:t>
      </w:r>
    </w:p>
    <w:p w14:paraId="50057463" w14:textId="77777777" w:rsidR="004B4E33" w:rsidRPr="0036156F" w:rsidRDefault="004B4E33" w:rsidP="00EF1F80"/>
    <w:p w14:paraId="563CB833" w14:textId="0DF043E0" w:rsidR="00EF1F80" w:rsidRPr="0036156F" w:rsidRDefault="007E3C0B" w:rsidP="004B4E33">
      <w:pPr>
        <w:pStyle w:val="Heading3"/>
      </w:pPr>
      <w:r w:rsidRPr="0036156F">
        <w:t>Toetada ELi tasandi võrgustikku, kuhu kuuluvad meediat reguleerivate ametiasutuste, ajakirjanike, ekspertide, valitsusväliste organisatsioonide ja ELi institutsioonide esindajad, et luua ja rakendada meedia erapooletuse hindamise süsteem, koostada soovitused meediat käsitlevate õigusaktide kohta, kaitsta sõnavabadust, kehtestada ajakirjanduse kvaliteedi võrdlusalus, jälgida meedia olukorda ELis ja selle vahetus naabruses, toetada ELi liikmesriikide valitsusi nende suhtluses vähemustega jne.</w:t>
      </w:r>
    </w:p>
    <w:p w14:paraId="7273564A" w14:textId="77777777" w:rsidR="00EF1F80" w:rsidRPr="0036156F" w:rsidRDefault="00EF1F80" w:rsidP="00EF1F80"/>
    <w:p w14:paraId="4DC245F3" w14:textId="400FACE7" w:rsidR="00EF1F80" w:rsidRPr="0036156F" w:rsidRDefault="00EF1F80" w:rsidP="004B4E33">
      <w:pPr>
        <w:pStyle w:val="Heading3"/>
      </w:pPr>
      <w:r w:rsidRPr="0036156F">
        <w:t>Innustada Euroopa audiovisuaalmeedia teenuseid reguleerivate asutuste töörühma hindama audiovisuaalmeedia teenuste direktiivi rakendamist, kaebuste esitamise menetluste kiirust ning väärinfo ja teabe- ja sõnavabaduse manipuleerimise vastu võetavate meetmete tõhusust.</w:t>
      </w:r>
    </w:p>
    <w:p w14:paraId="310258DD" w14:textId="77777777" w:rsidR="00EF1F80" w:rsidRPr="0036156F" w:rsidRDefault="00EF1F80" w:rsidP="00EF1F80"/>
    <w:p w14:paraId="4217EB1B" w14:textId="169CB2D5" w:rsidR="00EF1F80" w:rsidRPr="0036156F" w:rsidRDefault="002751E9" w:rsidP="004B4E33">
      <w:pPr>
        <w:pStyle w:val="Heading3"/>
      </w:pPr>
      <w:r w:rsidRPr="0036156F">
        <w:t>Suurendada Euroopa teoste osakaalu audiovisuaalmeedia teenuste direktiivis ning tagada nende laiem levitamine.</w:t>
      </w:r>
    </w:p>
    <w:p w14:paraId="2AA335F7" w14:textId="77777777" w:rsidR="00EF1F80" w:rsidRPr="0036156F" w:rsidRDefault="00EF1F80" w:rsidP="00EF1F80"/>
    <w:p w14:paraId="5259FF53" w14:textId="3151645F" w:rsidR="00EF1F80" w:rsidRPr="0036156F" w:rsidRDefault="00EF1F80" w:rsidP="004B4E33">
      <w:pPr>
        <w:pStyle w:val="Heading3"/>
      </w:pPr>
      <w:r w:rsidRPr="0036156F">
        <w:t>Julgustada nõukogu teabevahetuse töörühma koostöös Euroopa välisteenistuse ja teiste asjaomaste institutsioonidega koguma, filtreerima, koondama teavet ning jagama seda liikmesriikide kõrgete esindajatega, tagamaks, et kõigil on ühesugused andmed teemade kohta, mille üle otsuseid langetatakse.</w:t>
      </w:r>
    </w:p>
    <w:p w14:paraId="61A4EEA3" w14:textId="77777777" w:rsidR="00EF1F80" w:rsidRPr="0036156F" w:rsidRDefault="00EF1F80" w:rsidP="00EF1F80"/>
    <w:p w14:paraId="0F63DB1A" w14:textId="5C92D9D4" w:rsidR="00EF1F80" w:rsidRPr="0036156F" w:rsidRDefault="00EF1F80" w:rsidP="004B4E33">
      <w:pPr>
        <w:pStyle w:val="Heading3"/>
      </w:pPr>
      <w:r w:rsidRPr="0036156F">
        <w:t xml:space="preserve">Luua ELi ametikoht Venemaaga seonduvate küsimuste meediaspetsialistile, kes peaks olema hästi ette valmistatud, et reageerida propagandale ja kanda hoolt ühtlustatud ELi lähenemisviisi eest. </w:t>
      </w:r>
    </w:p>
    <w:p w14:paraId="04D93FE7" w14:textId="77777777" w:rsidR="00EF1F80" w:rsidRPr="0036156F" w:rsidRDefault="00EF1F80" w:rsidP="00EF1F80"/>
    <w:p w14:paraId="1D753106" w14:textId="3890FF90" w:rsidR="00EF1F80" w:rsidRPr="0036156F" w:rsidRDefault="00EF1F80" w:rsidP="004B4E33">
      <w:pPr>
        <w:pStyle w:val="Heading3"/>
      </w:pPr>
      <w:r w:rsidRPr="0036156F">
        <w:t>Toetada üleeuroopaliste järelevalvealgatuste loomist ja toimimist, et süstemaatiliselt jälgida vale- ja/või eksitavat teavet, mis on pärit välismaistest meediakanalitest. Seirearuanded tuleks teha üldsusele kättesaadavaks.</w:t>
      </w:r>
    </w:p>
    <w:p w14:paraId="33E67E2F" w14:textId="77777777" w:rsidR="00EF1F80" w:rsidRPr="0036156F" w:rsidRDefault="00EF1F80" w:rsidP="00EF1F80"/>
    <w:p w14:paraId="61F2DC8C" w14:textId="66B31202" w:rsidR="00EF1F80" w:rsidRPr="0036156F" w:rsidRDefault="00EF1F80" w:rsidP="004B4E33">
      <w:pPr>
        <w:pStyle w:val="Heading3"/>
      </w:pPr>
      <w:r w:rsidRPr="0036156F">
        <w:t xml:space="preserve">Luua ELi loetelu meediakanalitest ja nende esindajatest, keda on süüdistatud vale- ja/või eksitava teabe levitamises ja selle eest karistatud vähemalt ühes liikmesriigis. Seda loetelu tuleb pidevalt ajakohastada. </w:t>
      </w:r>
    </w:p>
    <w:p w14:paraId="3D03DFB8" w14:textId="77777777" w:rsidR="00EF1F80" w:rsidRPr="0036156F" w:rsidRDefault="00EF1F80" w:rsidP="00EF1F80"/>
    <w:p w14:paraId="58AA6F28" w14:textId="38A532BA" w:rsidR="00EF1F80" w:rsidRPr="0036156F" w:rsidRDefault="00EF1F80" w:rsidP="004B4E33">
      <w:pPr>
        <w:pStyle w:val="Heading3"/>
      </w:pPr>
      <w:r w:rsidRPr="0036156F">
        <w:t>Julgustada liikmesriike ja nende reguleerivaid asutusi ning nendega seotud meedia- ja kodanikuühiskonna organisatsioone aktiivsemalt analüüsima eksitava teabe, propaganda, manipuleerimiskatsete, petmise, vaenu õhutamise ja sõja propageerimise juhtumeid ja teisi teabe mõjutamise meetodeid, paljastades ja avalikustades väärinfo esitamise juhtumeid. Samuti tuleb suurendada teadlikkust nendest juhtumitest. EL peaks koguma ja tutvustama parimaid tavasid liikmesriikides.</w:t>
      </w:r>
    </w:p>
    <w:p w14:paraId="1D773F27" w14:textId="77777777" w:rsidR="00EF1F80" w:rsidRPr="0036156F" w:rsidRDefault="00EF1F80" w:rsidP="00EF1F80"/>
    <w:p w14:paraId="02BE8B0C" w14:textId="11D9690D" w:rsidR="00EF1F80" w:rsidRPr="0036156F" w:rsidRDefault="00EF1F80" w:rsidP="004B4E33">
      <w:pPr>
        <w:pStyle w:val="Heading3"/>
      </w:pPr>
      <w:r w:rsidRPr="0036156F">
        <w:t>Suurendada toetust Euroopas toodetud meediasisu vahetamisele, pidades eelkõige silmas laienevat juurdepääsu kirjaliku tõlke kaudu, et edendada Euroopa päritolu teoseid ja pakkuda konkurentsivõimelisi alternatiive Venemaa toodangule ELi televisiooniturul.</w:t>
      </w:r>
    </w:p>
    <w:p w14:paraId="62E8F099" w14:textId="77777777" w:rsidR="00EF1F80" w:rsidRPr="0036156F" w:rsidRDefault="00EF1F80" w:rsidP="00EF1F80"/>
    <w:p w14:paraId="1D6301FE" w14:textId="7F28BEFE" w:rsidR="00EF1F80" w:rsidRPr="0036156F" w:rsidRDefault="00EF1F80" w:rsidP="004B4E33">
      <w:pPr>
        <w:pStyle w:val="Heading3"/>
      </w:pPr>
      <w:r w:rsidRPr="0036156F">
        <w:t>Kehtestada kaasrahastamise kava ELi idapiiri riikide, idapartnerluse riikide ja liikmesriikide selliste ringhäälinguorganisatsioonide reporterite jaoks, kellel ei ole piisavalt vahendeid Brüsselist ELi uudiste edastamiseks.</w:t>
      </w:r>
    </w:p>
    <w:p w14:paraId="7A5020AC" w14:textId="77777777" w:rsidR="00EF1F80" w:rsidRPr="0036156F" w:rsidRDefault="00EF1F80" w:rsidP="00EF1F80"/>
    <w:p w14:paraId="6F02578C" w14:textId="75A19C72" w:rsidR="00EF1F80" w:rsidRPr="0036156F" w:rsidRDefault="00EF1F80" w:rsidP="004B4E33">
      <w:pPr>
        <w:pStyle w:val="Heading3"/>
      </w:pPr>
      <w:r w:rsidRPr="0036156F">
        <w:t>Kaasata ja seeläbi tugevdada sõltumatuid venekeelseid meediakanaleid, julgustades koostööd riiklike ja ELi-üleste ringhäälinguorganisatsioonidega, et jagada teabesisu ja reportaaže.</w:t>
      </w:r>
    </w:p>
    <w:p w14:paraId="47E599CF" w14:textId="77777777" w:rsidR="00EF1F80" w:rsidRPr="0036156F" w:rsidRDefault="00EF1F80" w:rsidP="00EF1F80"/>
    <w:p w14:paraId="4E4A6F18" w14:textId="2C3EC4FF" w:rsidR="00EF1F80" w:rsidRPr="0036156F" w:rsidRDefault="00EF1F80" w:rsidP="004B4E33">
      <w:pPr>
        <w:pStyle w:val="Heading3"/>
      </w:pPr>
      <w:r w:rsidRPr="0036156F">
        <w:t>Julgustada Eurobaromeetri ja riiklikke küsitlusi, et analüüsida väärinfo ja teabega manipuleerimise mõju avalikkusele ning kasutada saadud andmeid kvaliteetsete kommunikatsioonistrateegiate ja -meetmete arendamiseks ELi ja riiklikul tasandil.</w:t>
      </w:r>
    </w:p>
    <w:p w14:paraId="1894BDD8" w14:textId="77777777" w:rsidR="00EF1F80" w:rsidRPr="0036156F" w:rsidRDefault="00EF1F80" w:rsidP="00EF1F80"/>
    <w:p w14:paraId="1D43BDF2" w14:textId="4D6D7EF4" w:rsidR="00EF1F80" w:rsidRPr="0036156F" w:rsidRDefault="003F3F0C" w:rsidP="004B4E33">
      <w:pPr>
        <w:pStyle w:val="Heading3"/>
      </w:pPr>
      <w:r w:rsidRPr="0036156F">
        <w:t>Kutsuda hariduse ja kultuuri peadirektoraati (DG EAC) üles koguma UNESCO, Euroopa Nõukogu ja liikmesriikide olemasolevaid näited meediahariduse ja infopädevuse koolitamise kohta ning valmistama ette soovituslike tavade loetelu liikmesriikidele.</w:t>
      </w:r>
    </w:p>
    <w:p w14:paraId="4ADAA26A" w14:textId="77777777" w:rsidR="00EF1F80" w:rsidRPr="0036156F" w:rsidRDefault="00EF1F80" w:rsidP="00EF1F80"/>
    <w:p w14:paraId="2BF7FDF0" w14:textId="29F9A44B" w:rsidR="002A4CDB" w:rsidRPr="0036156F" w:rsidRDefault="002751E9" w:rsidP="004B4E33">
      <w:pPr>
        <w:pStyle w:val="Heading3"/>
      </w:pPr>
      <w:r w:rsidRPr="0036156F">
        <w:t>Tugevdada Euroopa identiteedi ja põhiväärtuste – inimväärikuse, vabaduse, demokraatia, võrdsuse, õigusriigi ja inimõiguste austamise – edendamist, rakendades Euroopa toetusvahendeid nii liikmesriikides kui ka sellise toetuse saamiseks abikõlblikes riikides.</w:t>
      </w:r>
    </w:p>
    <w:p w14:paraId="408C6FCB" w14:textId="77777777" w:rsidR="002A4CDB" w:rsidRPr="0036156F" w:rsidRDefault="002A4CDB" w:rsidP="00EF1F80"/>
    <w:p w14:paraId="40958A82" w14:textId="3FF1CEDF" w:rsidR="00EF1F80" w:rsidRPr="0036156F" w:rsidRDefault="00EF1F80" w:rsidP="004B4E33">
      <w:pPr>
        <w:pStyle w:val="Heading3"/>
      </w:pPr>
      <w:r w:rsidRPr="0036156F">
        <w:t>Suurendada lobistide, eksperdirühmade ja valitsusväliste organisatsioonide läbipaistvust ja ausust nii ELi kui ka riikide tasandil, rakendades rangeid lobistide registreerimise ja deklareerimise eeskirju, samuti nõudes eksperdirühmade ja valitsusväliste organisatsioonide rahastamisallikate avalikustamist ning nende rahastajate ja teadusuuringute tulemuste vaheliste võimalike seoste avaldamist.</w:t>
      </w:r>
    </w:p>
    <w:p w14:paraId="62560F7C" w14:textId="77777777" w:rsidR="009A613F" w:rsidRPr="0036156F" w:rsidRDefault="009A613F" w:rsidP="00CE68F7">
      <w:pPr>
        <w:overflowPunct/>
        <w:adjustRightInd/>
        <w:textAlignment w:val="auto"/>
        <w:outlineLvl w:val="0"/>
      </w:pPr>
    </w:p>
    <w:p w14:paraId="1A9CFC90" w14:textId="3E163FD3" w:rsidR="009A613F" w:rsidRPr="0036156F" w:rsidRDefault="00681246" w:rsidP="00CE68F7">
      <w:pPr>
        <w:pStyle w:val="Heading1"/>
        <w:keepNext/>
        <w:overflowPunct/>
        <w:adjustRightInd/>
        <w:textAlignment w:val="auto"/>
      </w:pPr>
      <w:r w:rsidRPr="0036156F">
        <w:rPr>
          <w:b/>
        </w:rPr>
        <w:t>Sissejuhatus ja ülevaade olukorrast ELis ja idapartnerluse riikides</w:t>
      </w:r>
    </w:p>
    <w:p w14:paraId="1391E51A" w14:textId="77777777" w:rsidR="009A613F" w:rsidRPr="0036156F" w:rsidRDefault="009A613F" w:rsidP="00CE68F7">
      <w:pPr>
        <w:keepNext/>
        <w:overflowPunct/>
        <w:adjustRightInd/>
        <w:textAlignment w:val="auto"/>
        <w:outlineLvl w:val="0"/>
      </w:pPr>
    </w:p>
    <w:p w14:paraId="5F0EC02E" w14:textId="2F9991DE" w:rsidR="00BA7016" w:rsidRPr="0036156F" w:rsidRDefault="009A613F" w:rsidP="00CE68F7">
      <w:pPr>
        <w:pStyle w:val="Heading2"/>
        <w:overflowPunct/>
        <w:adjustRightInd/>
        <w:textAlignment w:val="auto"/>
      </w:pPr>
      <w:r w:rsidRPr="0036156F">
        <w:t>Rahvusvahelisel tasandil on Vene meediakanalite sõnumid palju tagasihoidlikumad kui need, mida ta kasutab oma kodupubliku ees. Venemaa meedia jõuab laiema publikuni tänu võõrkeelte kasutamisele ning need teated on koostatud arvamuste mõjutamiseks ja muutmiseks. Vene meediakanalite põhieesmärgid on järgmised: suurendada oma mõju Euroopa rahvaste hulgas, lõpetada eraldatus Läänest ja kaotada sanktsioonid, kahjustada ELi ja teiste lääneriikide mainet, vähendada toetust seaduslikele valitsustele, demoraliseerida kohalikku elanikkonda, eksitada Lääne poliitikuid ning õõnestada vaba, sõltumatu ja pluralistliku meedia kontseptsiooni</w:t>
      </w:r>
      <w:r w:rsidRPr="0036156F">
        <w:rPr>
          <w:rStyle w:val="FootnoteReference"/>
        </w:rPr>
        <w:footnoteReference w:id="1"/>
      </w:r>
      <w:r w:rsidRPr="0036156F">
        <w:t>.</w:t>
      </w:r>
    </w:p>
    <w:p w14:paraId="53EF8538" w14:textId="77777777" w:rsidR="009A613F" w:rsidRPr="0036156F" w:rsidRDefault="009A613F" w:rsidP="00CE68F7">
      <w:pPr>
        <w:overflowPunct/>
        <w:adjustRightInd/>
        <w:textAlignment w:val="auto"/>
        <w:outlineLvl w:val="1"/>
      </w:pPr>
    </w:p>
    <w:p w14:paraId="26D68D63" w14:textId="409907E1" w:rsidR="009A613F" w:rsidRPr="0036156F" w:rsidRDefault="009A613F" w:rsidP="00CE68F7">
      <w:pPr>
        <w:pStyle w:val="Heading2"/>
        <w:overflowPunct/>
        <w:adjustRightInd/>
        <w:textAlignment w:val="auto"/>
      </w:pPr>
      <w:r w:rsidRPr="0036156F">
        <w:t>Venemaa meedia sisu on sageli suunatud Euroopa väärtustele ja ELi välispoliitikale. Selle tulemusel on pilt maailmast lihtsustatud ning kujutatud mustvalgena, kus dekadentlik Lääs on must ja Venemaa valge</w:t>
      </w:r>
      <w:r w:rsidRPr="0036156F">
        <w:rPr>
          <w:rStyle w:val="FootnoteReference"/>
        </w:rPr>
        <w:footnoteReference w:id="2"/>
      </w:r>
      <w:r w:rsidRPr="0036156F">
        <w:t>. Niimoodi destabiliseeritakse ELi ühiskonda, õhutatakse konflikte ning samas takistatakse ELi ja idapartnerluse riikide koostööd</w:t>
      </w:r>
      <w:r w:rsidRPr="0036156F">
        <w:rPr>
          <w:rStyle w:val="FootnoteReference"/>
        </w:rPr>
        <w:footnoteReference w:id="3"/>
      </w:r>
      <w:r w:rsidRPr="0036156F">
        <w:t>.</w:t>
      </w:r>
    </w:p>
    <w:p w14:paraId="0FFAD2DA" w14:textId="77777777" w:rsidR="009A613F" w:rsidRPr="0036156F" w:rsidRDefault="009A613F" w:rsidP="00CE68F7">
      <w:pPr>
        <w:overflowPunct/>
        <w:adjustRightInd/>
        <w:textAlignment w:val="auto"/>
        <w:outlineLvl w:val="0"/>
        <w:rPr>
          <w:b/>
        </w:rPr>
      </w:pPr>
    </w:p>
    <w:p w14:paraId="2477BE67" w14:textId="4D054C8B" w:rsidR="009A613F" w:rsidRPr="0036156F" w:rsidRDefault="00681246" w:rsidP="00CE68F7">
      <w:pPr>
        <w:pStyle w:val="Heading2"/>
        <w:overflowPunct/>
        <w:adjustRightInd/>
        <w:textAlignment w:val="auto"/>
      </w:pPr>
      <w:r w:rsidRPr="0036156F">
        <w:t>Venemaa valitsus püüab avaldada mõju idapartnerluse riikide strateegilistele otsustele, kasutades massimeediat, aga ka majanduslikke ja poliitilisi vahendeid. Venemaa suhtumine oma naaberriikidesse hõlmab katseid takistada nende püüdlusi kujundada oma rahvuslikku identiteeti, väites, et nimetatud riigid ja nende elanikud peaksid olema tihedamalt seotud Venemaaga, mitte Euroopaga.</w:t>
      </w:r>
    </w:p>
    <w:p w14:paraId="20D03AA7" w14:textId="77777777" w:rsidR="009A613F" w:rsidRPr="0036156F" w:rsidRDefault="009A613F" w:rsidP="00CE68F7">
      <w:pPr>
        <w:overflowPunct/>
        <w:adjustRightInd/>
        <w:textAlignment w:val="auto"/>
        <w:outlineLvl w:val="0"/>
        <w:rPr>
          <w:b/>
        </w:rPr>
      </w:pPr>
    </w:p>
    <w:p w14:paraId="6F66EC36" w14:textId="225831F9" w:rsidR="009A613F" w:rsidRPr="0036156F" w:rsidRDefault="009E43A6" w:rsidP="00CE68F7">
      <w:pPr>
        <w:pStyle w:val="Heading2"/>
        <w:overflowPunct/>
        <w:adjustRightInd/>
        <w:textAlignment w:val="auto"/>
      </w:pPr>
      <w:r w:rsidRPr="0036156F">
        <w:t>Avalikus diplomaatias püüab Venemaa valitsus arendada oma tõhusaid teabemõjutamise vahendeid avaliku arvamuse mõjutamiseks välismaal ning riigi kontrollitavatel meediakanalitel on oluline roll avaliku arvamuse kujundamisel, levitades lugusid, temaatilisi raamistikke ja sõnumeid, mis sisalduvad Vene Föderatsiooni strateegilistes poliitikadokumentides</w:t>
      </w:r>
      <w:r w:rsidRPr="0036156F">
        <w:rPr>
          <w:rStyle w:val="FootnoteReference"/>
        </w:rPr>
        <w:footnoteReference w:id="4"/>
      </w:r>
      <w:r w:rsidRPr="0036156F">
        <w:t>.</w:t>
      </w:r>
    </w:p>
    <w:p w14:paraId="5A80C1C3" w14:textId="77777777" w:rsidR="009A613F" w:rsidRPr="0036156F" w:rsidRDefault="009A613F" w:rsidP="00CE68F7">
      <w:pPr>
        <w:overflowPunct/>
        <w:adjustRightInd/>
        <w:textAlignment w:val="auto"/>
        <w:outlineLvl w:val="0"/>
        <w:rPr>
          <w:b/>
        </w:rPr>
      </w:pPr>
    </w:p>
    <w:p w14:paraId="18963048" w14:textId="5711FFF9" w:rsidR="009A613F" w:rsidRPr="0036156F" w:rsidRDefault="009A613F" w:rsidP="00CE68F7">
      <w:pPr>
        <w:pStyle w:val="Heading2"/>
        <w:overflowPunct/>
        <w:adjustRightInd/>
        <w:textAlignment w:val="auto"/>
      </w:pPr>
      <w:r w:rsidRPr="0036156F">
        <w:t>Ülemaailmse uudistevõrgustik RT on Venemaa peamine rahvusvaheline meediakanal, mida kasutatakse valitsuse teabekampaanias. 22 satelliidi ja enam kui 230 saatejaamaga on sellel üle 700 miljoni vaataja enam kui 100 riigis ja see on kättesaadav peaaegu 3 miljonis hotellitoas üle kogu maailma. 400 miljoni suuruse riigi rahastatava eelarvega 2015. aastal edastab RT saateid inglise, araabia, hispaania, saksa, prantsuse ja vene keeles ning on maailma vaadatuim uudistekanal internetis</w:t>
      </w:r>
      <w:r w:rsidRPr="0036156F">
        <w:rPr>
          <w:rStyle w:val="FootnoteReference"/>
        </w:rPr>
        <w:footnoteReference w:id="5"/>
      </w:r>
      <w:r w:rsidRPr="0036156F">
        <w:t>. Võrdluseks võib tuua, et maailma suurima ringhäälingu- ja uudisteorganisatsiooni BBC World Service Groupi eelarve oli 376 miljonit USA dollarit aastatel 2014–2015.</w:t>
      </w:r>
    </w:p>
    <w:p w14:paraId="54C6F6D9" w14:textId="77777777" w:rsidR="009A613F" w:rsidRPr="0036156F" w:rsidRDefault="009A613F" w:rsidP="00CE68F7">
      <w:pPr>
        <w:overflowPunct/>
        <w:adjustRightInd/>
        <w:textAlignment w:val="auto"/>
        <w:outlineLvl w:val="0"/>
        <w:rPr>
          <w:b/>
        </w:rPr>
      </w:pPr>
    </w:p>
    <w:p w14:paraId="6FF8C19D" w14:textId="260BB72F" w:rsidR="009A613F" w:rsidRPr="0036156F" w:rsidRDefault="001F21C0" w:rsidP="00CE68F7">
      <w:pPr>
        <w:pStyle w:val="Heading2"/>
        <w:overflowPunct/>
        <w:adjustRightInd/>
        <w:textAlignment w:val="auto"/>
      </w:pPr>
      <w:r w:rsidRPr="0036156F">
        <w:t>Oma ülemaailmse ulatuse ja eri meedialiikides edastamise edasiseks suurendamiseks käivitati uus riiklikult rahastatav rahvusvaheline multimeediastruktuur Sputnik. See hõlmab veebisaiti, uudisteteenistust ja osalemist sotsiaalmeedias, samuti 30 keeles tegutsevaid uudisteplatvorme 34 riigis ja 130 linnas üle kogu maailma. Sputnik edastab enam kui 800 tundi raadioprogrammi päevas.</w:t>
      </w:r>
    </w:p>
    <w:p w14:paraId="35289B9F" w14:textId="77777777" w:rsidR="009A613F" w:rsidRPr="0036156F" w:rsidRDefault="009A613F" w:rsidP="00CE68F7">
      <w:pPr>
        <w:overflowPunct/>
        <w:adjustRightInd/>
        <w:textAlignment w:val="auto"/>
        <w:outlineLvl w:val="0"/>
        <w:rPr>
          <w:b/>
        </w:rPr>
      </w:pPr>
    </w:p>
    <w:p w14:paraId="71E6F8B4" w14:textId="693B8658" w:rsidR="009A613F" w:rsidRPr="0036156F" w:rsidRDefault="009A613F" w:rsidP="00CE68F7">
      <w:pPr>
        <w:pStyle w:val="Heading2"/>
        <w:overflowPunct/>
        <w:adjustRightInd/>
        <w:textAlignment w:val="auto"/>
      </w:pPr>
      <w:r w:rsidRPr="0036156F">
        <w:t>Sotsiaalmeedia on saanud teabe kogumise vahendiks luure, eksitamise, pettuse eesmärgil ning teatud tegevusteks inimeste värbamisel ja rahastamisvahendite leidmisel. Oma erinevates vormides, nt võltskontod ja -profiilid sotsiaalvõrgustikes, on sotsiaalmeedia ka sobiv vahend teatud esitust toetavate üksteisega seotud tekstide ja piltide kiireks levitamiseks ning nende lihtsaks tasuta paljundamiseks.</w:t>
      </w:r>
    </w:p>
    <w:p w14:paraId="44DFF858" w14:textId="77777777" w:rsidR="00BA7016" w:rsidRPr="0036156F" w:rsidRDefault="00BA7016" w:rsidP="00CE68F7"/>
    <w:p w14:paraId="5F47119F" w14:textId="21D9CA89" w:rsidR="009A613F" w:rsidRPr="0036156F" w:rsidRDefault="005D08D9" w:rsidP="00CE68F7">
      <w:pPr>
        <w:pStyle w:val="Heading2"/>
        <w:overflowPunct/>
        <w:adjustRightInd/>
        <w:textAlignment w:val="auto"/>
      </w:pPr>
      <w:r w:rsidRPr="0036156F">
        <w:t>Rahvusvahelise arvamuse kujundamise teabekampaania raames värvatakse ja koolitatakse tänapäeval blogijaid ja internetitrolle, kes levitavad Kremli sõnumeid uudiseid edastavate juhtivate veebisaitide kommentaariumides ja sotsiaalvõrgustikes. Üle 400 töötaja töötavad 12 tunni pikkustes vahetustes ja on jagatud kolmeks osakonnaks – tekstide kirjutamine, kommenteerimine ja sotsiaalmeedia jaoks graafika ja sisu loomine</w:t>
      </w:r>
      <w:r w:rsidRPr="0036156F">
        <w:rPr>
          <w:rStyle w:val="FootnoteReference"/>
        </w:rPr>
        <w:footnoteReference w:id="6"/>
      </w:r>
      <w:r w:rsidRPr="0036156F">
        <w:t>. Keskmise tööpäeva jooksul eeldatakse internetitrollidelt 50 postitust uudisteartiklite kohta. Iga blogija peab hoidma kuut Facebooki kontot, tegema kõigilt neilt kontodelt vähemalt kolm postitust päevas ning arutama gruppides uudiseid vähemalt kaks korda päevas. Nad peaksid lisama 500 uut abonenti kuus ja saama iga teema kohta vähemalt viis postitust päevas. Twitteris blogijatelt eeldatakse 10 konto haldamist kuni 2 000 jälgijaga ja 50 säutsuga päevas</w:t>
      </w:r>
      <w:r w:rsidRPr="0036156F">
        <w:rPr>
          <w:rStyle w:val="FootnoteReference"/>
        </w:rPr>
        <w:footnoteReference w:id="7"/>
      </w:r>
      <w:r w:rsidRPr="0036156F">
        <w:t>.</w:t>
      </w:r>
    </w:p>
    <w:p w14:paraId="447BEFCE" w14:textId="77777777" w:rsidR="009A613F" w:rsidRPr="0036156F" w:rsidRDefault="009A613F" w:rsidP="00CE68F7">
      <w:pPr>
        <w:overflowPunct/>
        <w:adjustRightInd/>
        <w:textAlignment w:val="auto"/>
        <w:outlineLvl w:val="0"/>
        <w:rPr>
          <w:b/>
        </w:rPr>
      </w:pPr>
    </w:p>
    <w:p w14:paraId="61AB9304" w14:textId="65582DD8" w:rsidR="00BA7016" w:rsidRPr="0036156F" w:rsidRDefault="009A613F" w:rsidP="00CE68F7">
      <w:pPr>
        <w:pStyle w:val="Heading2"/>
        <w:overflowPunct/>
        <w:adjustRightInd/>
        <w:textAlignment w:val="auto"/>
      </w:pPr>
      <w:r w:rsidRPr="0036156F">
        <w:t>Suure venekeelse elanikkonnaga on Balti riigid ELi riikide hulgas Venemaa väärinfo ja mõju suhtes väga haavatavad. Suurim Baltimaade kanal Pervõi Baltiiski Kanal (PBK) edastab Venemaa riigiomandis oleva esimese kanali programmi ja uudiseid ning sellel on Balti piirkonnas üle 4 miljoni vaataja ehk 2/3 kogu elanikkonnast. Sageli pakutakse Vene meediasisu Baltimaade ringhäälinguorganisatsioonidele tasuta või sümboolse tasu eest vastutasuna pikaajalistele partnerluslepingutele, aga ka kohustuse eest mitte taasedastada sõltumatuid Vene meediakanaleid</w:t>
      </w:r>
      <w:r w:rsidRPr="0036156F">
        <w:rPr>
          <w:rStyle w:val="FootnoteReference"/>
        </w:rPr>
        <w:footnoteReference w:id="8"/>
      </w:r>
      <w:r w:rsidRPr="0036156F">
        <w:t>.</w:t>
      </w:r>
    </w:p>
    <w:p w14:paraId="0E33F0D9" w14:textId="77777777" w:rsidR="00BA7016" w:rsidRPr="0036156F" w:rsidRDefault="00BA7016" w:rsidP="00CE68F7"/>
    <w:p w14:paraId="79AB79FD" w14:textId="6B1D5707" w:rsidR="00550F85" w:rsidRPr="0036156F" w:rsidRDefault="009A613F" w:rsidP="00550F85">
      <w:pPr>
        <w:pStyle w:val="Heading2"/>
        <w:overflowPunct/>
        <w:adjustRightInd/>
        <w:textAlignment w:val="auto"/>
      </w:pPr>
      <w:r w:rsidRPr="0036156F">
        <w:t>Vene riigi kontrolli all olev meedia umbusaldab sageli ELi, tuginedes selliste üksikisikute arvamustele, kellel ei ole ELis usaldusväärsust. Sellised eksperdid on sageli ekstremistlike rühmituste taustaga, mistõttu ei anta neile sõna Lääne meediakanalites</w:t>
      </w:r>
      <w:r w:rsidRPr="0036156F">
        <w:rPr>
          <w:rStyle w:val="FootnoteReference"/>
        </w:rPr>
        <w:footnoteReference w:id="9"/>
      </w:r>
      <w:r w:rsidRPr="0036156F">
        <w:t>. Venemaa riiklik meedia põhjendab oma lähenemisviisi sellega, et objektiivset tõde ei ole olemas – seda kasutatakse argumendina selle poolt, et iga arvamus, ükskõik kui kummaline või naeruväärne, on samaväärne kõigi teiste arvamustega.</w:t>
      </w:r>
    </w:p>
    <w:p w14:paraId="7046643F" w14:textId="77777777" w:rsidR="00BA7016" w:rsidRPr="0036156F" w:rsidRDefault="00BA7016" w:rsidP="00CE68F7"/>
    <w:p w14:paraId="5780ACBC" w14:textId="2C5FCEAD" w:rsidR="009A613F" w:rsidRPr="0036156F" w:rsidRDefault="009A613F" w:rsidP="00CE68F7">
      <w:pPr>
        <w:pStyle w:val="Heading2"/>
        <w:overflowPunct/>
        <w:adjustRightInd/>
        <w:textAlignment w:val="auto"/>
      </w:pPr>
      <w:r w:rsidRPr="0036156F">
        <w:t>Siiski ei ole meedia ainus Venemaa kasutatav teabe mõjutamise vahend. See toimub ka mitmesuguste avalike suhetega tegelevate asutuste, lobistide, eksperdirühmade, valitsusväliste organisatsioonide, arvamusliidrite seisukohtade, erakondliku poliitika, ekspertide kogukonna, kultuuriürituste ning Euroopa parem- ja vasakäärmuslaste liikumiste kaudu, kes vastutasuks saavad raha erinevatelt „sõltumatutelt” avalikelt fondidelt, offshore-kontodelt ja/või kajastust Venemaa riiklikus meedias</w:t>
      </w:r>
      <w:r w:rsidRPr="0036156F">
        <w:rPr>
          <w:rStyle w:val="FootnoteReference"/>
        </w:rPr>
        <w:footnoteReference w:id="10"/>
      </w:r>
      <w:r w:rsidRPr="0036156F">
        <w:t>.</w:t>
      </w:r>
    </w:p>
    <w:p w14:paraId="7E6F9F34" w14:textId="77777777" w:rsidR="00BA7016" w:rsidRPr="0036156F" w:rsidRDefault="00BA7016" w:rsidP="00CE68F7"/>
    <w:p w14:paraId="528E6CB3" w14:textId="6A1E7D29" w:rsidR="009A613F" w:rsidRPr="0036156F" w:rsidRDefault="009A613F" w:rsidP="00CE68F7">
      <w:pPr>
        <w:pStyle w:val="Heading1"/>
        <w:keepNext/>
        <w:overflowPunct/>
        <w:adjustRightInd/>
        <w:textAlignment w:val="auto"/>
      </w:pPr>
      <w:r w:rsidRPr="0036156F">
        <w:rPr>
          <w:b/>
        </w:rPr>
        <w:t>Ülevaade meedia olukorrast Vene Föderatsioonis</w:t>
      </w:r>
    </w:p>
    <w:p w14:paraId="3CECE139" w14:textId="77777777" w:rsidR="009A613F" w:rsidRPr="0036156F" w:rsidRDefault="009A613F" w:rsidP="00CE68F7">
      <w:pPr>
        <w:keepNext/>
        <w:overflowPunct/>
        <w:adjustRightInd/>
        <w:textAlignment w:val="auto"/>
        <w:outlineLvl w:val="0"/>
      </w:pPr>
    </w:p>
    <w:p w14:paraId="66892B82" w14:textId="61616314" w:rsidR="00BA7016" w:rsidRPr="0036156F" w:rsidRDefault="009A613F" w:rsidP="00365A24">
      <w:pPr>
        <w:pStyle w:val="Heading2"/>
      </w:pPr>
      <w:r w:rsidRPr="0036156F">
        <w:t>Venemaa kodumaise riigimeedia ja teabekampaaniate eesmärgid erinevad rahvusvahelisel tasandil edastatavate meediakanalite omadest. Kodumaine elanikkond vajab kindlust, et kulutused riigikaitsele ja meediale on vajalikud, samal ajal mõjutatakse elanikkonda heaks kiitma kärpeid tsiviilsektori programmides ja säilitama toetust Venemaa juhtidele (enne Ukraina konflikti ütles 53 % venelastest, et nad hääletaksid järgmistel valimistel mõne teise kandidaadi poolt. Pärast Krimmi annekteerimist teatas 86 %, et nad valiksid Vladimir Putini uuesti presidendiks</w:t>
      </w:r>
      <w:r w:rsidRPr="0036156F">
        <w:rPr>
          <w:rStyle w:val="FootnoteReference"/>
        </w:rPr>
        <w:footnoteReference w:id="11"/>
      </w:r>
      <w:r w:rsidRPr="0036156F">
        <w:t>.)</w:t>
      </w:r>
    </w:p>
    <w:p w14:paraId="37571855" w14:textId="77777777" w:rsidR="00BA7016" w:rsidRPr="0036156F" w:rsidRDefault="00BA7016" w:rsidP="00CE68F7"/>
    <w:p w14:paraId="234D4342" w14:textId="77777777" w:rsidR="009A613F" w:rsidRPr="0036156F" w:rsidRDefault="009A613F" w:rsidP="00CE68F7">
      <w:pPr>
        <w:pStyle w:val="Heading2"/>
        <w:overflowPunct/>
        <w:adjustRightInd/>
        <w:textAlignment w:val="auto"/>
      </w:pPr>
      <w:r w:rsidRPr="0036156F">
        <w:t>Meediavabaduse puudumine Venemaal toimib neid eesmärke toetava tegurina. Venemaa valitsus kontrollib ligikaudu 95 % meediast ja üle 90 %</w:t>
      </w:r>
      <w:r w:rsidRPr="0036156F">
        <w:rPr>
          <w:rStyle w:val="FootnoteReference"/>
        </w:rPr>
        <w:footnoteReference w:id="12"/>
      </w:r>
      <w:r w:rsidRPr="0036156F">
        <w:t xml:space="preserve"> venelastest saab oma teabe otse riigimeediast. Riigi kogukulutused meediale moodustasid 2014. aasta septembris umbes 2,94 miljardit USA dollarit.</w:t>
      </w:r>
    </w:p>
    <w:p w14:paraId="6619EE4D" w14:textId="77777777" w:rsidR="00BA7016" w:rsidRPr="0036156F" w:rsidRDefault="00BA7016" w:rsidP="00CE68F7"/>
    <w:p w14:paraId="0BD7EA13" w14:textId="2BD2D24D" w:rsidR="009A613F" w:rsidRPr="0036156F" w:rsidRDefault="009A613F" w:rsidP="00CE68F7">
      <w:pPr>
        <w:pStyle w:val="Heading2"/>
        <w:overflowPunct/>
        <w:adjustRightInd/>
        <w:textAlignment w:val="auto"/>
      </w:pPr>
      <w:r w:rsidRPr="0036156F">
        <w:t xml:space="preserve">Venemaa meedia on nelja rühma omandis: a) riik – VGTRG (riigi suurim meediaettevõte, millele kuuluvad 4 peamist riiklikku ja üle 80 piirkondliku telekanali, 5 riiklikku raadiojaama ja </w:t>
      </w:r>
      <w:r w:rsidRPr="0036156F">
        <w:rPr>
          <w:b/>
        </w:rPr>
        <w:t>17% Euronewsi osakutest</w:t>
      </w:r>
      <w:r w:rsidRPr="0036156F">
        <w:t>), esimene kanal (250 miljonit vaatajat kogu maailmas), RT, ITAR-TASS jne; b) Gazprom-Media Holding – NTV, Rutube jne; c) Bank Rossiya – REN TV, 5. kanal jne; d) Alisher Usmanov – Mail.ru, VKontake ja Odnoklassniki (kõige populaarsemad suhtlusvõrgustikud) jne</w:t>
      </w:r>
      <w:r w:rsidRPr="0036156F">
        <w:rPr>
          <w:rStyle w:val="FootnoteReference"/>
        </w:rPr>
        <w:footnoteReference w:id="13"/>
      </w:r>
      <w:r w:rsidRPr="0036156F">
        <w:t>.</w:t>
      </w:r>
    </w:p>
    <w:p w14:paraId="753B962B" w14:textId="77777777" w:rsidR="00BA7016" w:rsidRPr="0036156F" w:rsidRDefault="00BA7016" w:rsidP="00CE68F7"/>
    <w:p w14:paraId="09FCE377" w14:textId="3E092BC3" w:rsidR="009A613F" w:rsidRPr="0036156F" w:rsidRDefault="009A613F" w:rsidP="00CE68F7">
      <w:pPr>
        <w:pStyle w:val="Heading2"/>
        <w:overflowPunct/>
        <w:adjustRightInd/>
        <w:textAlignment w:val="auto"/>
      </w:pPr>
      <w:r w:rsidRPr="0036156F">
        <w:t>2014. aasta septembris võttis Venemaa riigiduuma vastu seaduse, millega piiratakse välismaist osalust meediaettevõtetes 20 %-ni. See sunnib välismaiseid omanikke loobuma kontrollist sõltumatute meediakanalite üle. Seeläbi tugevneb valitsuse kontroll meedia üle veelgi ning välismaistel meediakanalitel kaob võimalus Venemaal saateid edastada.</w:t>
      </w:r>
    </w:p>
    <w:p w14:paraId="51DA953D" w14:textId="77777777" w:rsidR="00DF2B7C" w:rsidRPr="0036156F" w:rsidRDefault="00DF2B7C" w:rsidP="00365A24"/>
    <w:p w14:paraId="45AEF8D0" w14:textId="028C419F" w:rsidR="009A613F" w:rsidRPr="0036156F" w:rsidRDefault="009A613F" w:rsidP="00CE68F7">
      <w:pPr>
        <w:pStyle w:val="Heading2"/>
        <w:overflowPunct/>
        <w:adjustRightInd/>
        <w:textAlignment w:val="auto"/>
      </w:pPr>
      <w:r w:rsidRPr="0036156F">
        <w:t>Kui enamik venelasi saab uudised kätte televisiooni kaudu, siis nooremad venelased ka interneti kaudu. Sellele vastuseks nimetas Venemaa internetti CIA projektiks ja võttis vastu „blogijate seaduse”, mille kohaselt peavad üle 3 000 jälgijaga blogijad end riigiasutuses registreerima. Samuti kehtestati ranged nõuded sotsiaalmeedia veebisaitidele ja otsingumootoritele. 2014. aasta juunis kehtestas Venemaa riigiduuma seaduse, mille kohaselt saab isikut, kes vajutab Venemaa tegevuse või poliitika hukkamõistmise puhul nupule „meeldib” või „jaga”, süüdistada ekstremistlikus tegevuses ja kohtu alla anda. Samuti on valitsusel volitused blokeerida opositsiooni veebisaidid ilma selgitusi andmata.</w:t>
      </w:r>
    </w:p>
    <w:p w14:paraId="648C2052" w14:textId="77777777" w:rsidR="00BA7016" w:rsidRPr="0036156F" w:rsidRDefault="00BA7016" w:rsidP="00CE68F7"/>
    <w:p w14:paraId="6EC0E50B" w14:textId="6021A097" w:rsidR="009A613F" w:rsidRPr="0036156F" w:rsidRDefault="009A613F" w:rsidP="00CE68F7">
      <w:pPr>
        <w:pStyle w:val="Heading2"/>
        <w:overflowPunct/>
        <w:adjustRightInd/>
        <w:textAlignment w:val="auto"/>
      </w:pPr>
      <w:r w:rsidRPr="0036156F">
        <w:t>Maailma ajakirjandusvabaduse indeksis ja ajakirjandusvabaduse uuringus liigitati 2014. aastal olukord Venemaal „halvenevaks” ning „mitte vabaks”. Meediakeskkonda iseloomustas meelevaldse kohtusüsteemi kasutamine sõltumatute ajakirjanike jälitamisel, karistamatus ajakirjanike füüsilise ahistamise ja tapmise korral ning riigi pidev kontroll või mõju peaaegu kõigi traditsiooniliste meediakanalite üle</w:t>
      </w:r>
      <w:r w:rsidRPr="0036156F">
        <w:rPr>
          <w:rStyle w:val="FootnoteReference"/>
        </w:rPr>
        <w:footnoteReference w:id="14"/>
      </w:r>
      <w:r w:rsidRPr="0036156F">
        <w:t>. Ajakirjandusvabaduse halvenemise tõttu on sõltumatud meediakanalid ja ajakirjanikud sunnitud peatama oma saadete edastamise või isegi riigist lahkuma.</w:t>
      </w:r>
    </w:p>
    <w:p w14:paraId="791FCF7A" w14:textId="77777777" w:rsidR="00BA7016" w:rsidRPr="0036156F" w:rsidRDefault="00BA7016" w:rsidP="00CE68F7"/>
    <w:p w14:paraId="54677E85" w14:textId="7248ED75" w:rsidR="009A613F" w:rsidRPr="0036156F" w:rsidRDefault="00102356" w:rsidP="00CE68F7">
      <w:pPr>
        <w:pStyle w:val="Heading2"/>
        <w:overflowPunct/>
        <w:adjustRightInd/>
        <w:textAlignment w:val="auto"/>
      </w:pPr>
      <w:r w:rsidRPr="0036156F">
        <w:t>Selle tulemusena leiab 49% venelastest, et internetis olevat teavet tuleks tsenseerida; 42% usub, et välisriigid kasutavad internetti Venemaa vastu ja oma huvides; 24% leiab, et internet ohustab poliitilist stabiilsust; ning 39% on arvamusel, et isiklikke blogisid tuleks reguleerida samuti kui massimeedia veebisaite</w:t>
      </w:r>
      <w:r w:rsidRPr="0036156F">
        <w:rPr>
          <w:rStyle w:val="FootnoteReference"/>
        </w:rPr>
        <w:footnoteReference w:id="15"/>
      </w:r>
      <w:r w:rsidRPr="0036156F">
        <w:t>.</w:t>
      </w:r>
    </w:p>
    <w:p w14:paraId="216D9041" w14:textId="77777777" w:rsidR="00BA7016" w:rsidRPr="0036156F" w:rsidRDefault="00BA7016" w:rsidP="00CE68F7"/>
    <w:p w14:paraId="0343E296" w14:textId="6C2B681D" w:rsidR="009A613F" w:rsidRPr="0036156F" w:rsidRDefault="009A613F" w:rsidP="00CE68F7">
      <w:pPr>
        <w:pStyle w:val="Heading2"/>
        <w:overflowPunct/>
        <w:adjustRightInd/>
        <w:textAlignment w:val="auto"/>
      </w:pPr>
      <w:r w:rsidRPr="0036156F">
        <w:t>Propaganda ja vandenõuteooriad tekitavad riigis segadust, nii et tõde jääb väärteabe voogude varju. Väited, mis loovad pildi vaenlasest, ei ole küll täielikult usutavad, kuid sobivad segaduse tekitamiseks, et muuta pilt süngeks. Venemaa elanikkond on segaduses ja passiivne – propaganda on muutunud vahendiks, millega kaasnevad paranoia, hirm, ebakindlustunne, igatsus Nõukogude Liidu järele ja natsionalism. Andmetest selgub, et 68 % (st 17% rohkem kui 2014. aastal</w:t>
      </w:r>
      <w:r w:rsidRPr="0036156F">
        <w:rPr>
          <w:rStyle w:val="FootnoteReference"/>
        </w:rPr>
        <w:footnoteReference w:id="16"/>
      </w:r>
      <w:r w:rsidRPr="0036156F">
        <w:t>) venelastest usub, et neid ohustavad teiste riikide rünnakud.</w:t>
      </w:r>
    </w:p>
    <w:p w14:paraId="5E584738" w14:textId="77777777" w:rsidR="00BA7016" w:rsidRPr="0036156F" w:rsidRDefault="00BA7016" w:rsidP="00CE68F7"/>
    <w:p w14:paraId="7BB1080F" w14:textId="584610A0" w:rsidR="009A613F" w:rsidRPr="0036156F" w:rsidRDefault="009A613F" w:rsidP="00BB05DF">
      <w:pPr>
        <w:pStyle w:val="Heading2"/>
        <w:keepNext/>
        <w:keepLines/>
        <w:overflowPunct/>
        <w:adjustRightInd/>
        <w:textAlignment w:val="auto"/>
      </w:pPr>
      <w:r w:rsidRPr="0036156F">
        <w:t>Seepärast on oluline teha jätkuvalt koostööd Venemaa rahvaga, eelkõige noortega, et toetada ja säilitada kontakte Venemaa ühiskonnaga ning hoida Euroopa perspektiivi. Vastastikuse usalduse loomine ning Venemaa ja Euroopa Liidu kodanikuühiskonna vahelise vaba suhtlemise tagamine, samuti võimalikult ulatuslik toetus Venemaa sõltumatutele kodanikuühiskonna organisatsioonidele on praegu olulisem kui kunagi varem</w:t>
      </w:r>
      <w:r w:rsidRPr="0036156F">
        <w:rPr>
          <w:rStyle w:val="FootnoteReference"/>
        </w:rPr>
        <w:footnoteReference w:id="17"/>
      </w:r>
      <w:r w:rsidRPr="0036156F">
        <w:t xml:space="preserve">. </w:t>
      </w:r>
    </w:p>
    <w:p w14:paraId="518F1AB0" w14:textId="77777777" w:rsidR="00BA7016" w:rsidRPr="0036156F" w:rsidRDefault="00BA7016" w:rsidP="00BB05DF">
      <w:pPr>
        <w:keepNext/>
        <w:keepLines/>
      </w:pPr>
    </w:p>
    <w:p w14:paraId="79FFB9DC" w14:textId="77777777" w:rsidR="009A613F" w:rsidRPr="0036156F" w:rsidRDefault="009A613F" w:rsidP="00CE68F7">
      <w:pPr>
        <w:pStyle w:val="Heading1"/>
        <w:keepNext/>
        <w:overflowPunct/>
        <w:adjustRightInd/>
        <w:textAlignment w:val="auto"/>
      </w:pPr>
      <w:r w:rsidRPr="0036156F">
        <w:rPr>
          <w:b/>
        </w:rPr>
        <w:t>Praegused ELi ja riikliku tasandi meetmed</w:t>
      </w:r>
    </w:p>
    <w:p w14:paraId="628A2AA6" w14:textId="77777777" w:rsidR="00BA7016" w:rsidRPr="0036156F" w:rsidRDefault="00BA7016" w:rsidP="00CE68F7">
      <w:pPr>
        <w:keepNext/>
      </w:pPr>
    </w:p>
    <w:p w14:paraId="69931AB6" w14:textId="12F8C024" w:rsidR="009A613F" w:rsidRPr="0036156F" w:rsidRDefault="009A613F" w:rsidP="00CE68F7">
      <w:pPr>
        <w:pStyle w:val="Heading2"/>
        <w:overflowPunct/>
        <w:adjustRightInd/>
        <w:textAlignment w:val="auto"/>
      </w:pPr>
      <w:r w:rsidRPr="0036156F">
        <w:t>Vastumeetmena Venemaa väärinfo levitamise kampaaniale, mis on suunatud ELi, tema idapoolsete naaberriikide ja Venemaa enda vastu, on tarvis koostada teabevahetusstrateegia, mille vajadust on juba rõhutanud Euroopa Parlament</w:t>
      </w:r>
      <w:r w:rsidRPr="0036156F">
        <w:rPr>
          <w:rStyle w:val="FootnoteReference"/>
        </w:rPr>
        <w:footnoteReference w:id="18"/>
      </w:r>
      <w:r w:rsidRPr="0036156F">
        <w:t>, nõukogu</w:t>
      </w:r>
      <w:r w:rsidRPr="0036156F">
        <w:rPr>
          <w:rStyle w:val="FootnoteReference"/>
        </w:rPr>
        <w:footnoteReference w:id="19"/>
      </w:r>
      <w:r w:rsidRPr="0036156F">
        <w:t xml:space="preserve"> ja neli liikmesriiki oma mitteametlikus dokumendis</w:t>
      </w:r>
      <w:r w:rsidRPr="0036156F">
        <w:rPr>
          <w:rStyle w:val="FootnoteReference"/>
        </w:rPr>
        <w:footnoteReference w:id="20"/>
      </w:r>
      <w:r w:rsidRPr="0036156F">
        <w:t>.</w:t>
      </w:r>
    </w:p>
    <w:p w14:paraId="4B74B459" w14:textId="77777777" w:rsidR="00BA7016" w:rsidRPr="0036156F" w:rsidRDefault="00BA7016" w:rsidP="00CE68F7"/>
    <w:p w14:paraId="7C1C4F21" w14:textId="46B3AF89" w:rsidR="00102356" w:rsidRPr="0036156F" w:rsidRDefault="00102356" w:rsidP="004A4A08">
      <w:pPr>
        <w:pStyle w:val="Heading2"/>
      </w:pPr>
      <w:r w:rsidRPr="0036156F">
        <w:t>Euroopa Ülemkogu 19. märtsi 2015. aasta järeldustes välissuhete kohta rõhutati vajadust vastata Venemaa käimasolevatele väärinfo levitamise kampaaniatele ning kutsuti kõrget esindajat üles valmistama koostöös liikmesriikide ja ELi institutsioonidega juuniks ette strateegilise kommunikatsiooni tegevuskava.</w:t>
      </w:r>
    </w:p>
    <w:p w14:paraId="6514A68A" w14:textId="77777777" w:rsidR="00102356" w:rsidRPr="0036156F" w:rsidRDefault="00102356" w:rsidP="00CE68F7"/>
    <w:p w14:paraId="57379A50" w14:textId="77777777" w:rsidR="00BA7016" w:rsidRPr="0036156F" w:rsidRDefault="009A613F" w:rsidP="00CE68F7">
      <w:pPr>
        <w:pStyle w:val="Heading2"/>
        <w:overflowPunct/>
        <w:adjustRightInd/>
        <w:textAlignment w:val="auto"/>
      </w:pPr>
      <w:r w:rsidRPr="0036156F">
        <w:t>Ühendkuningriigi reguleeriv asutus OFCOM teavitas TV Novostit (RT litsentsiaat Ühendkuningriigis), et erapooletuse eeskirjade mis tahes edasised rikkumised võivad kaasa tuua täiendavad reguleerivad meetmed, sealhulgas seadusega ettenähtud karistused</w:t>
      </w:r>
      <w:r w:rsidRPr="0036156F">
        <w:rPr>
          <w:rStyle w:val="FootnoteReference"/>
        </w:rPr>
        <w:footnoteReference w:id="21"/>
      </w:r>
      <w:r w:rsidRPr="0036156F">
        <w:t>.</w:t>
      </w:r>
    </w:p>
    <w:p w14:paraId="0B27E30E" w14:textId="77777777" w:rsidR="00BA7016" w:rsidRPr="0036156F" w:rsidRDefault="00BA7016" w:rsidP="00CE68F7"/>
    <w:p w14:paraId="143E4A75" w14:textId="77777777" w:rsidR="00BA7016" w:rsidRPr="0036156F" w:rsidRDefault="009A613F" w:rsidP="00CE68F7">
      <w:pPr>
        <w:pStyle w:val="Heading2"/>
        <w:overflowPunct/>
        <w:adjustRightInd/>
        <w:textAlignment w:val="auto"/>
      </w:pPr>
      <w:r w:rsidRPr="0036156F">
        <w:t>Leedu kohus kinnitas ühe meediajärelevalve asutuse algatust lülitada välja Gazpromi omandis olev NTV MIR pärast seda, kui see edastas filmi, milles valetati 1991. aasta sündmuste kohta, kui Nõukogude armee püüdis kõrvaldada Leedu iseseisvust pooldavat valitsust</w:t>
      </w:r>
      <w:r w:rsidRPr="0036156F">
        <w:rPr>
          <w:rStyle w:val="FootnoteReference"/>
        </w:rPr>
        <w:footnoteReference w:id="22"/>
      </w:r>
      <w:r w:rsidRPr="0036156F">
        <w:t>.</w:t>
      </w:r>
    </w:p>
    <w:p w14:paraId="34BB3116" w14:textId="77777777" w:rsidR="00BA7016" w:rsidRPr="0036156F" w:rsidRDefault="00BA7016" w:rsidP="00CE68F7"/>
    <w:p w14:paraId="0C56F6E1" w14:textId="77777777" w:rsidR="009A613F" w:rsidRPr="0036156F" w:rsidRDefault="009A613F" w:rsidP="00CE68F7">
      <w:pPr>
        <w:pStyle w:val="Heading2"/>
        <w:overflowPunct/>
        <w:adjustRightInd/>
        <w:textAlignment w:val="auto"/>
      </w:pPr>
      <w:r w:rsidRPr="0036156F">
        <w:t>Läti reguleeriv asutus piiras telekanali Rossija RTR taasedastamist Läti territooriumil kolme kuu vältel pärast seda, kui oli Venemaa tegevuse Ukrainas teravalt hukka mõistnud ning selgus, et Rossija RTR koos teiste riigi kontrolli all olevate telekanalitega levitab tendentslikku teavet, millel on negatiivne mõju Läti riiklikele julgeolekuhuvidele</w:t>
      </w:r>
      <w:r w:rsidRPr="0036156F">
        <w:rPr>
          <w:rStyle w:val="FootnoteReference"/>
        </w:rPr>
        <w:footnoteReference w:id="23"/>
      </w:r>
      <w:r w:rsidRPr="0036156F">
        <w:t>.</w:t>
      </w:r>
    </w:p>
    <w:p w14:paraId="7F49E010" w14:textId="77777777" w:rsidR="00BA7016" w:rsidRPr="0036156F" w:rsidRDefault="00BA7016" w:rsidP="00CE68F7"/>
    <w:p w14:paraId="5025CD35" w14:textId="77777777" w:rsidR="009A613F" w:rsidRPr="0036156F" w:rsidRDefault="009A613F" w:rsidP="00BB05DF">
      <w:pPr>
        <w:pStyle w:val="Heading2"/>
        <w:keepNext/>
        <w:keepLines/>
        <w:overflowPunct/>
        <w:adjustRightInd/>
        <w:textAlignment w:val="auto"/>
      </w:pPr>
      <w:r w:rsidRPr="0036156F">
        <w:t>Sellest hoolimata on liikmesriikide reguleerivate asutuste meetmed kallutatud teabe ja väärinfo vastu piiratud sõltuvalt audiovisuaalmeedia teenuste direktiivi rakendamise ulatusest teistes liikmesriikides. Eespool nimetatud näited Balti riikide ametiasutustest ei suutnud tuua konkreetset mõju, sest mõned ringhäälinguorganisatsioonid on registreeritud teises liikmesriigis ja edastavad signaali sealt, kus direktiiv ei ole veel täielikult rakendatud.</w:t>
      </w:r>
    </w:p>
    <w:p w14:paraId="084CB3F1" w14:textId="77777777" w:rsidR="00E012B4" w:rsidRPr="0036156F" w:rsidRDefault="00E012B4" w:rsidP="00CE68F7"/>
    <w:p w14:paraId="046A1568" w14:textId="6265B47B" w:rsidR="0069406B" w:rsidRPr="0036156F" w:rsidRDefault="0069406B" w:rsidP="00166C9E">
      <w:pPr>
        <w:keepNext/>
      </w:pPr>
      <w:r w:rsidRPr="0036156F">
        <w:t>Brüssel, 28 aprill 2015</w:t>
      </w:r>
    </w:p>
    <w:p w14:paraId="74C3F14C" w14:textId="77777777" w:rsidR="0069406B" w:rsidRPr="0036156F" w:rsidRDefault="0069406B" w:rsidP="00166C9E">
      <w:pPr>
        <w:keepNext/>
      </w:pPr>
    </w:p>
    <w:tbl>
      <w:tblPr>
        <w:tblW w:w="0" w:type="auto"/>
        <w:jc w:val="center"/>
        <w:tblLayout w:type="fixed"/>
        <w:tblLook w:val="0000" w:firstRow="0" w:lastRow="0" w:firstColumn="0" w:lastColumn="0" w:noHBand="0" w:noVBand="0"/>
      </w:tblPr>
      <w:tblGrid>
        <w:gridCol w:w="4618"/>
        <w:gridCol w:w="4620"/>
      </w:tblGrid>
      <w:tr w:rsidR="0069406B" w:rsidRPr="0036156F" w14:paraId="4FD63144" w14:textId="77777777" w:rsidTr="00166C9E">
        <w:trPr>
          <w:cantSplit/>
          <w:jc w:val="center"/>
        </w:trPr>
        <w:tc>
          <w:tcPr>
            <w:tcW w:w="4618" w:type="dxa"/>
          </w:tcPr>
          <w:p w14:paraId="3F5FB95A" w14:textId="56567C06" w:rsidR="0069406B" w:rsidRPr="0036156F" w:rsidRDefault="0069406B" w:rsidP="00E01D80">
            <w:pPr>
              <w:jc w:val="center"/>
            </w:pPr>
            <w:r w:rsidRPr="0036156F">
              <w:t>Välissuhete sektsiooni</w:t>
            </w:r>
          </w:p>
          <w:p w14:paraId="36B3166B" w14:textId="2213A113" w:rsidR="0069406B" w:rsidRPr="0036156F" w:rsidRDefault="0069406B" w:rsidP="0069406B">
            <w:pPr>
              <w:jc w:val="center"/>
              <w:rPr>
                <w:b/>
                <w:bCs/>
              </w:rPr>
            </w:pPr>
            <w:r w:rsidRPr="0036156F">
              <w:t>esimees</w:t>
            </w:r>
            <w:r w:rsidRPr="0036156F">
              <w:br/>
            </w:r>
            <w:r w:rsidRPr="0036156F">
              <w:br/>
            </w:r>
            <w:r w:rsidRPr="0036156F">
              <w:br/>
            </w:r>
            <w:r w:rsidRPr="0036156F">
              <w:br/>
            </w:r>
            <w:r w:rsidRPr="0036156F">
              <w:br/>
              <w:t>José María Zufiaur Narvaiza</w:t>
            </w:r>
          </w:p>
        </w:tc>
        <w:tc>
          <w:tcPr>
            <w:tcW w:w="4620" w:type="dxa"/>
          </w:tcPr>
          <w:p w14:paraId="0F6FD1F4" w14:textId="77777777" w:rsidR="0069406B" w:rsidRPr="0036156F" w:rsidRDefault="0069406B" w:rsidP="00E01D80">
            <w:pPr>
              <w:jc w:val="center"/>
              <w:rPr>
                <w:b/>
                <w:bCs/>
              </w:rPr>
            </w:pPr>
          </w:p>
        </w:tc>
      </w:tr>
    </w:tbl>
    <w:p w14:paraId="3E775E51" w14:textId="77777777" w:rsidR="0069406B" w:rsidRPr="0036156F" w:rsidRDefault="0069406B" w:rsidP="00CE68F7"/>
    <w:p w14:paraId="019FC6F2" w14:textId="77777777" w:rsidR="00BA7016" w:rsidRPr="0036156F" w:rsidRDefault="00BA7016" w:rsidP="00CE68F7">
      <w:pPr>
        <w:jc w:val="center"/>
      </w:pPr>
      <w:r w:rsidRPr="0036156F">
        <w:t>_____________</w:t>
      </w:r>
    </w:p>
    <w:sectPr w:rsidR="00BA7016" w:rsidRPr="0036156F" w:rsidSect="000434BD">
      <w:headerReference w:type="even" r:id="rId23"/>
      <w:headerReference w:type="default" r:id="rId24"/>
      <w:footerReference w:type="even" r:id="rId25"/>
      <w:footerReference w:type="default" r:id="rId26"/>
      <w:headerReference w:type="first" r:id="rId27"/>
      <w:footerReference w:type="first" r:id="rId28"/>
      <w:pgSz w:w="11907" w:h="16839" w:code="9"/>
      <w:pgMar w:top="1701" w:right="1440" w:bottom="1928" w:left="1440" w:header="1020"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13E66" w14:textId="77777777" w:rsidR="00684408" w:rsidRDefault="00684408" w:rsidP="009A1FB1">
      <w:pPr>
        <w:spacing w:line="240" w:lineRule="auto"/>
      </w:pPr>
      <w:r>
        <w:separator/>
      </w:r>
    </w:p>
  </w:endnote>
  <w:endnote w:type="continuationSeparator" w:id="0">
    <w:p w14:paraId="129EB080" w14:textId="77777777" w:rsidR="00684408" w:rsidRDefault="00684408" w:rsidP="009A1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BF06A" w14:textId="77777777" w:rsidR="005E20F6" w:rsidRPr="000434BD" w:rsidRDefault="005E20F6" w:rsidP="000434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4B7B5" w14:textId="1170AA6D" w:rsidR="00102356" w:rsidRPr="000434BD" w:rsidRDefault="000434BD" w:rsidP="000434BD">
    <w:pPr>
      <w:pStyle w:val="Footer"/>
    </w:pPr>
    <w:r>
      <w:t xml:space="preserve">REX/432 – EESC-2014-07333-00-01-RI-TRA (EN) </w:t>
    </w:r>
    <w:r>
      <w:fldChar w:fldCharType="begin"/>
    </w:r>
    <w:r>
      <w:instrText xml:space="preserve"> PAGE  \* Arabic  \* MERGEFORMAT </w:instrText>
    </w:r>
    <w:r>
      <w:fldChar w:fldCharType="separate"/>
    </w:r>
    <w:r w:rsidR="0036156F">
      <w:rPr>
        <w:noProof/>
      </w:rPr>
      <w:t>1</w:t>
    </w:r>
    <w:r>
      <w:fldChar w:fldCharType="end"/>
    </w:r>
    <w:r>
      <w:t>/</w:t>
    </w:r>
    <w:r>
      <w:fldChar w:fldCharType="begin"/>
    </w:r>
    <w:r>
      <w:instrText xml:space="preserve"> = </w:instrText>
    </w:r>
    <w:r w:rsidR="0036156F">
      <w:fldChar w:fldCharType="begin"/>
    </w:r>
    <w:r w:rsidR="0036156F">
      <w:instrText xml:space="preserve"> NUMPAGES </w:instrText>
    </w:r>
    <w:r w:rsidR="0036156F">
      <w:fldChar w:fldCharType="separate"/>
    </w:r>
    <w:r w:rsidR="0036156F">
      <w:rPr>
        <w:noProof/>
      </w:rPr>
      <w:instrText>3</w:instrText>
    </w:r>
    <w:r w:rsidR="0036156F">
      <w:rPr>
        <w:noProof/>
      </w:rPr>
      <w:fldChar w:fldCharType="end"/>
    </w:r>
    <w:r>
      <w:instrText xml:space="preserve"> -0 </w:instrText>
    </w:r>
    <w:r>
      <w:fldChar w:fldCharType="separate"/>
    </w:r>
    <w:r w:rsidR="0036156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BC441" w14:textId="77777777" w:rsidR="005E20F6" w:rsidRPr="000434BD" w:rsidRDefault="005E20F6" w:rsidP="000434B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A63AE" w14:textId="77777777" w:rsidR="00102356" w:rsidRPr="000434BD" w:rsidRDefault="00102356" w:rsidP="000434B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C468C" w14:textId="430FE3B8" w:rsidR="00102356" w:rsidRPr="000434BD" w:rsidRDefault="000434BD" w:rsidP="000434BD">
    <w:pPr>
      <w:pStyle w:val="Footer"/>
    </w:pPr>
    <w:r>
      <w:t xml:space="preserve">REX/432 – EESC-2014-07333-00-01-RI-TRA (EN) </w:t>
    </w:r>
    <w:r>
      <w:fldChar w:fldCharType="begin"/>
    </w:r>
    <w:r>
      <w:instrText xml:space="preserve"> PAGE  \* Arabic  \* MERGEFORMAT </w:instrText>
    </w:r>
    <w:r>
      <w:fldChar w:fldCharType="separate"/>
    </w:r>
    <w:r w:rsidR="0036156F">
      <w:rPr>
        <w:noProof/>
      </w:rPr>
      <w:t>3</w:t>
    </w:r>
    <w:r>
      <w:fldChar w:fldCharType="end"/>
    </w:r>
    <w:r>
      <w:t>/</w:t>
    </w:r>
    <w:r>
      <w:fldChar w:fldCharType="begin"/>
    </w:r>
    <w:r>
      <w:instrText xml:space="preserve"> = </w:instrText>
    </w:r>
    <w:r w:rsidR="0036156F">
      <w:fldChar w:fldCharType="begin"/>
    </w:r>
    <w:r w:rsidR="0036156F">
      <w:instrText xml:space="preserve"> NUMPAGES </w:instrText>
    </w:r>
    <w:r w:rsidR="0036156F">
      <w:fldChar w:fldCharType="separate"/>
    </w:r>
    <w:r w:rsidR="0036156F">
      <w:rPr>
        <w:noProof/>
      </w:rPr>
      <w:instrText>3</w:instrText>
    </w:r>
    <w:r w:rsidR="0036156F">
      <w:rPr>
        <w:noProof/>
      </w:rPr>
      <w:fldChar w:fldCharType="end"/>
    </w:r>
    <w:r>
      <w:instrText xml:space="preserve"> -0 </w:instrText>
    </w:r>
    <w:r>
      <w:fldChar w:fldCharType="separate"/>
    </w:r>
    <w:r w:rsidR="0036156F">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4B234" w14:textId="77777777" w:rsidR="00102356" w:rsidRPr="000434BD" w:rsidRDefault="00102356" w:rsidP="00043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6B392" w14:textId="77777777" w:rsidR="00684408" w:rsidRDefault="00684408" w:rsidP="009A1FB1">
      <w:pPr>
        <w:spacing w:line="240" w:lineRule="auto"/>
      </w:pPr>
      <w:r>
        <w:separator/>
      </w:r>
    </w:p>
  </w:footnote>
  <w:footnote w:type="continuationSeparator" w:id="0">
    <w:p w14:paraId="74065896" w14:textId="77777777" w:rsidR="00684408" w:rsidRDefault="00684408" w:rsidP="009A1FB1">
      <w:pPr>
        <w:spacing w:line="240" w:lineRule="auto"/>
      </w:pPr>
      <w:r>
        <w:continuationSeparator/>
      </w:r>
    </w:p>
  </w:footnote>
  <w:footnote w:id="1">
    <w:p w14:paraId="317DC9D7" w14:textId="29AEDA2C" w:rsidR="00102356" w:rsidRPr="00365A24" w:rsidRDefault="00102356">
      <w:pPr>
        <w:pStyle w:val="FootnoteText"/>
        <w:rPr>
          <w:lang w:val="en-US"/>
        </w:rPr>
      </w:pPr>
      <w:r>
        <w:rPr>
          <w:rStyle w:val="FootnoteReference"/>
        </w:rPr>
        <w:footnoteRef/>
      </w:r>
      <w:r>
        <w:t xml:space="preserve"> </w:t>
      </w:r>
      <w:r>
        <w:tab/>
        <w:t>Propagandat käsitlev ELi strateegiline kommunikatsioon, mitteametlik dokument, 8. jaanuar 2015.</w:t>
      </w:r>
    </w:p>
  </w:footnote>
  <w:footnote w:id="2">
    <w:p w14:paraId="2B1BF1C6" w14:textId="68A24F1F" w:rsidR="00102356" w:rsidRPr="00365A24" w:rsidRDefault="00102356">
      <w:pPr>
        <w:pStyle w:val="FootnoteText"/>
        <w:rPr>
          <w:lang w:val="en-US"/>
        </w:rPr>
      </w:pPr>
      <w:r>
        <w:rPr>
          <w:rStyle w:val="FootnoteReference"/>
        </w:rPr>
        <w:footnoteRef/>
      </w:r>
      <w:r>
        <w:t xml:space="preserve"> </w:t>
      </w:r>
      <w:r>
        <w:tab/>
      </w:r>
      <w:r>
        <w:rPr>
          <w:i/>
        </w:rPr>
        <w:t>The anatomy of Russian information warfare</w:t>
      </w:r>
      <w:r>
        <w:t>, Centre for Eastern Studies, mai 2014.</w:t>
      </w:r>
    </w:p>
  </w:footnote>
  <w:footnote w:id="3">
    <w:p w14:paraId="53947DBA" w14:textId="6124B906" w:rsidR="00102356" w:rsidRPr="00365A24" w:rsidRDefault="00102356">
      <w:pPr>
        <w:pStyle w:val="FootnoteText"/>
        <w:rPr>
          <w:lang w:val="en-US"/>
        </w:rPr>
      </w:pPr>
      <w:r>
        <w:rPr>
          <w:rStyle w:val="FootnoteReference"/>
        </w:rPr>
        <w:footnoteRef/>
      </w:r>
      <w:r>
        <w:t xml:space="preserve"> </w:t>
      </w:r>
      <w:r>
        <w:tab/>
      </w:r>
      <w:r>
        <w:rPr>
          <w:i/>
        </w:rPr>
        <w:t>The Menace of Unreality: How the Kremlin Weaponizes Information, Culture and Money</w:t>
      </w:r>
      <w:r>
        <w:t>, Institute of Modern Russia, 2014</w:t>
      </w:r>
    </w:p>
  </w:footnote>
  <w:footnote w:id="4">
    <w:p w14:paraId="62FBCEBA" w14:textId="29099857" w:rsidR="00102356" w:rsidRPr="000B7149" w:rsidRDefault="00102356" w:rsidP="009E43A6">
      <w:pPr>
        <w:pStyle w:val="FootnoteText"/>
        <w:rPr>
          <w:lang w:val="lt-LT"/>
        </w:rPr>
      </w:pPr>
      <w:r>
        <w:rPr>
          <w:rStyle w:val="FootnoteReference"/>
        </w:rPr>
        <w:footnoteRef/>
      </w:r>
      <w:r>
        <w:t xml:space="preserve"> </w:t>
      </w:r>
      <w:r>
        <w:tab/>
        <w:t>Vene Föderatsiooni välispoliitika kontseptsioon, 303-18-02-2013, 12. veebruar 2013.</w:t>
      </w:r>
    </w:p>
  </w:footnote>
  <w:footnote w:id="5">
    <w:p w14:paraId="6F3C3B8C" w14:textId="66586886" w:rsidR="00102356" w:rsidRPr="00365A24" w:rsidRDefault="00102356">
      <w:pPr>
        <w:pStyle w:val="FootnoteText"/>
        <w:rPr>
          <w:lang w:val="en-US"/>
        </w:rPr>
      </w:pPr>
      <w:r>
        <w:rPr>
          <w:rStyle w:val="FootnoteReference"/>
        </w:rPr>
        <w:footnoteRef/>
      </w:r>
      <w:r>
        <w:t xml:space="preserve"> </w:t>
      </w:r>
      <w:r>
        <w:tab/>
        <w:t>RT-l on maailma kõigist uudisteagentuuridest kõige enam videolõike Youtube’is ja1 466 miljonit Youtube’i abonenti. Võrdluseks: BBC News – 0,377 miljonit abonenti.</w:t>
      </w:r>
    </w:p>
  </w:footnote>
  <w:footnote w:id="6">
    <w:p w14:paraId="5C23A283" w14:textId="07EC048E" w:rsidR="00102356" w:rsidRPr="00365A24" w:rsidRDefault="00102356">
      <w:pPr>
        <w:pStyle w:val="FootnoteText"/>
        <w:rPr>
          <w:lang w:val="en-US"/>
        </w:rPr>
      </w:pPr>
      <w:r>
        <w:rPr>
          <w:rStyle w:val="FootnoteReference"/>
        </w:rPr>
        <w:footnoteRef/>
      </w:r>
      <w:r>
        <w:t xml:space="preserve"> </w:t>
      </w:r>
      <w:r>
        <w:tab/>
      </w:r>
      <w:r>
        <w:rPr>
          <w:i/>
        </w:rPr>
        <w:t>The Trolls Who Came In From The Cold</w:t>
      </w:r>
      <w:r>
        <w:t>, Radio Svoboda, http://www.svoboda.org/content/transcript/26899521.html</w:t>
      </w:r>
    </w:p>
  </w:footnote>
  <w:footnote w:id="7">
    <w:p w14:paraId="789777FF" w14:textId="59785EC5" w:rsidR="00102356" w:rsidRDefault="00102356">
      <w:pPr>
        <w:pStyle w:val="FootnoteText"/>
      </w:pPr>
      <w:r>
        <w:rPr>
          <w:rStyle w:val="FootnoteReference"/>
        </w:rPr>
        <w:footnoteRef/>
      </w:r>
      <w:r>
        <w:t xml:space="preserve"> </w:t>
      </w:r>
      <w:r>
        <w:tab/>
      </w:r>
      <w:r>
        <w:rPr>
          <w:i/>
        </w:rPr>
        <w:t>Documents Show How Russia’s Troll Army Hit America</w:t>
      </w:r>
      <w:r>
        <w:t>, Max Seddon, BuzzFeed, 2. juuni 2014.</w:t>
      </w:r>
    </w:p>
  </w:footnote>
  <w:footnote w:id="8">
    <w:p w14:paraId="6EFF6494" w14:textId="0354891F" w:rsidR="00102356" w:rsidRPr="00AF6380" w:rsidRDefault="00102356" w:rsidP="00C46DE4">
      <w:pPr>
        <w:pStyle w:val="FootnoteText"/>
        <w:rPr>
          <w:lang w:val="en-US"/>
        </w:rPr>
      </w:pPr>
      <w:r>
        <w:rPr>
          <w:rStyle w:val="FootnoteReference"/>
        </w:rPr>
        <w:footnoteRef/>
      </w:r>
      <w:r>
        <w:t xml:space="preserve"> </w:t>
      </w:r>
      <w:r>
        <w:tab/>
      </w:r>
      <w:r>
        <w:rPr>
          <w:i/>
        </w:rPr>
        <w:t>Humanitarian Dimensions of Russian Foreign Policy Toward Georgia, Moldova, Ukraine, and the Baltic States.</w:t>
      </w:r>
      <w:r>
        <w:t xml:space="preserve"> Centre for East European Policy Studies, 2010</w:t>
      </w:r>
    </w:p>
  </w:footnote>
  <w:footnote w:id="9">
    <w:p w14:paraId="603D062A" w14:textId="375B4B48" w:rsidR="00102356" w:rsidRDefault="00102356">
      <w:pPr>
        <w:pStyle w:val="FootnoteText"/>
      </w:pPr>
      <w:r>
        <w:rPr>
          <w:rStyle w:val="FootnoteReference"/>
        </w:rPr>
        <w:footnoteRef/>
      </w:r>
      <w:r>
        <w:t xml:space="preserve"> </w:t>
      </w:r>
      <w:r>
        <w:tab/>
        <w:t>Näited RT ekspertidest: holokausti eitaja Ryan Dawson kui „inimõiguste aktivist” ja neonats Manuel Ochsenreiter kui „Lähis-Ida analüütik”.</w:t>
      </w:r>
    </w:p>
  </w:footnote>
  <w:footnote w:id="10">
    <w:p w14:paraId="644A24AB" w14:textId="4463E28C" w:rsidR="00102356" w:rsidRDefault="00102356">
      <w:pPr>
        <w:pStyle w:val="FootnoteText"/>
      </w:pPr>
      <w:r>
        <w:rPr>
          <w:rStyle w:val="FootnoteReference"/>
        </w:rPr>
        <w:footnoteRef/>
      </w:r>
      <w:r>
        <w:t xml:space="preserve"> </w:t>
      </w:r>
      <w:r>
        <w:tab/>
      </w:r>
      <w:r>
        <w:rPr>
          <w:i/>
        </w:rPr>
        <w:t>Spin doctors to the autocrats: how European PR firms whitewash repressive regimes</w:t>
      </w:r>
      <w:r>
        <w:t>, Corporate Europe Observatory, 2015.</w:t>
      </w:r>
    </w:p>
  </w:footnote>
  <w:footnote w:id="11">
    <w:p w14:paraId="54725D9F" w14:textId="413E6B02" w:rsidR="00102356" w:rsidRPr="00365A24" w:rsidRDefault="00102356">
      <w:pPr>
        <w:pStyle w:val="FootnoteText"/>
        <w:rPr>
          <w:lang w:val="en-US"/>
        </w:rPr>
      </w:pPr>
      <w:r>
        <w:rPr>
          <w:rStyle w:val="FootnoteReference"/>
        </w:rPr>
        <w:footnoteRef/>
      </w:r>
      <w:r>
        <w:t xml:space="preserve"> </w:t>
      </w:r>
      <w:r>
        <w:tab/>
        <w:t>Levada analüüsikeskuse uuring, 2014.</w:t>
      </w:r>
    </w:p>
  </w:footnote>
  <w:footnote w:id="12">
    <w:p w14:paraId="0B6DA351" w14:textId="46F6E316" w:rsidR="00102356" w:rsidRDefault="00102356">
      <w:pPr>
        <w:pStyle w:val="FootnoteText"/>
      </w:pPr>
      <w:r>
        <w:rPr>
          <w:rStyle w:val="FootnoteReference"/>
        </w:rPr>
        <w:footnoteRef/>
      </w:r>
      <w:r>
        <w:t xml:space="preserve"> </w:t>
      </w:r>
      <w:r>
        <w:tab/>
      </w:r>
      <w:r>
        <w:rPr>
          <w:i/>
        </w:rPr>
        <w:t>Media Guide – Russia</w:t>
      </w:r>
      <w:r>
        <w:t>, BBC Monitoring, september 2014.</w:t>
      </w:r>
    </w:p>
  </w:footnote>
  <w:footnote w:id="13">
    <w:p w14:paraId="081F232F" w14:textId="45D02DAB" w:rsidR="00102356" w:rsidRDefault="00102356">
      <w:pPr>
        <w:pStyle w:val="FootnoteText"/>
      </w:pPr>
      <w:r>
        <w:rPr>
          <w:rStyle w:val="FootnoteReference"/>
        </w:rPr>
        <w:footnoteRef/>
      </w:r>
      <w:r>
        <w:t xml:space="preserve"> </w:t>
      </w:r>
      <w:r>
        <w:tab/>
      </w:r>
      <w:r>
        <w:rPr>
          <w:i/>
        </w:rPr>
        <w:t>Media Guide – Russia</w:t>
      </w:r>
      <w:r>
        <w:t>, BBC Monitoring, september 2014.</w:t>
      </w:r>
    </w:p>
  </w:footnote>
  <w:footnote w:id="14">
    <w:p w14:paraId="2D9583DD" w14:textId="5E74CDA4" w:rsidR="00102356" w:rsidRDefault="00102356" w:rsidP="00DB30A0">
      <w:pPr>
        <w:pStyle w:val="FootnoteText"/>
      </w:pPr>
      <w:r>
        <w:rPr>
          <w:rStyle w:val="FootnoteReference"/>
        </w:rPr>
        <w:footnoteRef/>
      </w:r>
      <w:r>
        <w:t xml:space="preserve"> </w:t>
      </w:r>
      <w:r>
        <w:tab/>
      </w:r>
      <w:r>
        <w:rPr>
          <w:i/>
        </w:rPr>
        <w:t>World Press Freedom Index 2014</w:t>
      </w:r>
      <w:r>
        <w:t>, Reporters Without Borders; Freedom House, Press Freedom Survey, 2014.</w:t>
      </w:r>
    </w:p>
  </w:footnote>
  <w:footnote w:id="15">
    <w:p w14:paraId="5BF07B31" w14:textId="4201E239" w:rsidR="00102356" w:rsidRPr="00AF6380" w:rsidRDefault="00102356">
      <w:pPr>
        <w:pStyle w:val="FootnoteText"/>
        <w:rPr>
          <w:lang w:val="lt-LT"/>
        </w:rPr>
      </w:pPr>
      <w:r>
        <w:rPr>
          <w:rStyle w:val="FootnoteReference"/>
        </w:rPr>
        <w:footnoteRef/>
      </w:r>
      <w:r>
        <w:t xml:space="preserve"> </w:t>
      </w:r>
      <w:r>
        <w:tab/>
        <w:t>Benchmarking Public demand, Erik Nisbet/Center of Global Communication Studies/Russian Public Opinion Research Center.</w:t>
      </w:r>
    </w:p>
  </w:footnote>
  <w:footnote w:id="16">
    <w:p w14:paraId="3D793C73" w14:textId="32522B8B" w:rsidR="00102356" w:rsidRDefault="00102356" w:rsidP="00102356">
      <w:pPr>
        <w:pStyle w:val="FootnoteText"/>
      </w:pPr>
      <w:r>
        <w:rPr>
          <w:rStyle w:val="FootnoteReference"/>
        </w:rPr>
        <w:footnoteRef/>
      </w:r>
      <w:r>
        <w:tab/>
        <w:t>Levada analüüsikeskuse uuring, 2015.</w:t>
      </w:r>
    </w:p>
  </w:footnote>
  <w:footnote w:id="17">
    <w:p w14:paraId="1EF67B5F" w14:textId="121DCFC5" w:rsidR="00102356" w:rsidRPr="00365A24" w:rsidRDefault="00102356">
      <w:pPr>
        <w:pStyle w:val="FootnoteText"/>
        <w:rPr>
          <w:lang w:val="en-US"/>
        </w:rPr>
      </w:pPr>
      <w:r>
        <w:rPr>
          <w:rStyle w:val="FootnoteReference"/>
        </w:rPr>
        <w:footnoteRef/>
      </w:r>
      <w:r>
        <w:t xml:space="preserve"> </w:t>
      </w:r>
      <w:r>
        <w:tab/>
        <w:t>REX/400, Venemaa kodanikuühiskond, 10. detsember 2015, raportöör Mall Hellam.</w:t>
      </w:r>
    </w:p>
  </w:footnote>
  <w:footnote w:id="18">
    <w:p w14:paraId="73158614" w14:textId="5D506FC9" w:rsidR="00102356" w:rsidRDefault="00102356">
      <w:pPr>
        <w:pStyle w:val="FootnoteText"/>
      </w:pPr>
      <w:r>
        <w:rPr>
          <w:rStyle w:val="FootnoteReference"/>
        </w:rPr>
        <w:footnoteRef/>
      </w:r>
      <w:r>
        <w:t xml:space="preserve"> </w:t>
      </w:r>
      <w:r>
        <w:tab/>
        <w:t>Euroopa Parlamendi resolutsioon olukorra kohta Ukrainas, 15. jaanuar 2015 (2014/2965(RSP)).</w:t>
      </w:r>
    </w:p>
  </w:footnote>
  <w:footnote w:id="19">
    <w:p w14:paraId="1BC5B14B" w14:textId="77777777" w:rsidR="00102356" w:rsidRDefault="00102356">
      <w:pPr>
        <w:pStyle w:val="FootnoteText"/>
      </w:pPr>
      <w:r>
        <w:rPr>
          <w:rStyle w:val="FootnoteReference"/>
        </w:rPr>
        <w:footnoteRef/>
      </w:r>
      <w:r>
        <w:t xml:space="preserve"> </w:t>
      </w:r>
      <w:r>
        <w:tab/>
        <w:t>Nõukogu järeldused Ukraina kohta, 29. jaanuar 2015.</w:t>
      </w:r>
    </w:p>
  </w:footnote>
  <w:footnote w:id="20">
    <w:p w14:paraId="7281AC4B" w14:textId="44C826FA" w:rsidR="001B1DFE" w:rsidRPr="00B21A43" w:rsidRDefault="001B1DFE">
      <w:pPr>
        <w:pStyle w:val="FootnoteText"/>
        <w:rPr>
          <w:lang w:val="en-US"/>
        </w:rPr>
      </w:pPr>
      <w:r>
        <w:rPr>
          <w:rStyle w:val="FootnoteReference"/>
        </w:rPr>
        <w:footnoteRef/>
      </w:r>
      <w:r>
        <w:t xml:space="preserve"> </w:t>
      </w:r>
      <w:r>
        <w:tab/>
        <w:t>Propagandat käsitlev ELi strateegiline kommunikatsioon, mitteametlik dokument, 8. jaanuar 2015.</w:t>
      </w:r>
    </w:p>
  </w:footnote>
  <w:footnote w:id="21">
    <w:p w14:paraId="0A2F3FD3" w14:textId="71DD4C01" w:rsidR="00102356" w:rsidRDefault="00102356">
      <w:pPr>
        <w:pStyle w:val="FootnoteText"/>
      </w:pPr>
      <w:r>
        <w:rPr>
          <w:rStyle w:val="FootnoteReference"/>
        </w:rPr>
        <w:footnoteRef/>
      </w:r>
      <w:r>
        <w:t xml:space="preserve"> </w:t>
      </w:r>
      <w:r>
        <w:tab/>
        <w:t>Ofcom Broadcast Bulletin, väljaanne nr 266, 10. november 2014, lk 5–44.</w:t>
      </w:r>
    </w:p>
  </w:footnote>
  <w:footnote w:id="22">
    <w:p w14:paraId="51B03042" w14:textId="51B9C856" w:rsidR="00102356" w:rsidRDefault="00102356">
      <w:pPr>
        <w:pStyle w:val="FootnoteText"/>
      </w:pPr>
      <w:r>
        <w:rPr>
          <w:rStyle w:val="FootnoteReference"/>
        </w:rPr>
        <w:footnoteRef/>
      </w:r>
      <w:r>
        <w:t xml:space="preserve"> </w:t>
      </w:r>
      <w:r>
        <w:tab/>
        <w:t>Vilniuse piirkondliku halduskohtu otsus Leedu ringhäälingukomisjoni taotluse kohta peatada Venemaa telekanali NTV MIR Lithuania edastamine, 21. märts 2014.</w:t>
      </w:r>
    </w:p>
  </w:footnote>
  <w:footnote w:id="23">
    <w:p w14:paraId="6F382D10" w14:textId="5F475C63" w:rsidR="00102356" w:rsidRDefault="00102356">
      <w:pPr>
        <w:pStyle w:val="FootnoteText"/>
      </w:pPr>
      <w:r>
        <w:rPr>
          <w:rStyle w:val="FootnoteReference"/>
        </w:rPr>
        <w:footnoteRef/>
      </w:r>
      <w:r>
        <w:t xml:space="preserve"> </w:t>
      </w:r>
      <w:r>
        <w:tab/>
        <w:t>Otsus nr 95, millega piiratakse Rossija RTR taasedastamist Lätis, elektroonilise meediameedia riiklik nõukogu, 3. aprill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AB131" w14:textId="77777777" w:rsidR="005E20F6" w:rsidRPr="000434BD" w:rsidRDefault="005E20F6" w:rsidP="00043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0453B" w14:textId="77777777" w:rsidR="005E20F6" w:rsidRPr="000434BD" w:rsidRDefault="005E20F6" w:rsidP="000434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67954" w14:textId="77777777" w:rsidR="005E20F6" w:rsidRPr="000434BD" w:rsidRDefault="005E20F6" w:rsidP="000434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E794D" w14:textId="77777777" w:rsidR="00102356" w:rsidRPr="000434BD" w:rsidRDefault="00102356" w:rsidP="000434B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557B2" w14:textId="77777777" w:rsidR="00102356" w:rsidRPr="000434BD" w:rsidRDefault="00102356" w:rsidP="000434B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C13D5" w14:textId="77777777" w:rsidR="00102356" w:rsidRPr="000434BD" w:rsidRDefault="00102356" w:rsidP="000434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12CEBF6"/>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62F5AEC"/>
    <w:multiLevelType w:val="hybridMultilevel"/>
    <w:tmpl w:val="E6DE6968"/>
    <w:lvl w:ilvl="0" w:tplc="09D470F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C6529"/>
    <w:multiLevelType w:val="hybridMultilevel"/>
    <w:tmpl w:val="04D0ED06"/>
    <w:lvl w:ilvl="0" w:tplc="EFFA038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E5CD1"/>
    <w:multiLevelType w:val="hybridMultilevel"/>
    <w:tmpl w:val="EC503C98"/>
    <w:lvl w:ilvl="0" w:tplc="1BD2931A">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76244"/>
    <w:multiLevelType w:val="hybridMultilevel"/>
    <w:tmpl w:val="5BC85A1E"/>
    <w:lvl w:ilvl="0" w:tplc="1BD2931A">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210F4"/>
    <w:multiLevelType w:val="hybridMultilevel"/>
    <w:tmpl w:val="02802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4182D"/>
    <w:multiLevelType w:val="hybridMultilevel"/>
    <w:tmpl w:val="FB0C99E0"/>
    <w:lvl w:ilvl="0" w:tplc="1BD2931A">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403D7"/>
    <w:multiLevelType w:val="hybridMultilevel"/>
    <w:tmpl w:val="D708D1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107636"/>
    <w:multiLevelType w:val="hybridMultilevel"/>
    <w:tmpl w:val="F864A6FA"/>
    <w:lvl w:ilvl="0" w:tplc="CE926B0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63221B9"/>
    <w:multiLevelType w:val="hybridMultilevel"/>
    <w:tmpl w:val="FF061008"/>
    <w:lvl w:ilvl="0" w:tplc="A68AA1BE">
      <w:start w:val="1"/>
      <w:numFmt w:val="bullet"/>
      <w:lvlRestart w:val="0"/>
      <w:lvlText w:val="-"/>
      <w:lvlJc w:val="left"/>
      <w:pPr>
        <w:tabs>
          <w:tab w:val="num" w:pos="0"/>
        </w:tabs>
        <w:ind w:left="369" w:hanging="369"/>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82B60CF"/>
    <w:multiLevelType w:val="hybridMultilevel"/>
    <w:tmpl w:val="734CCAE8"/>
    <w:lvl w:ilvl="0" w:tplc="A52AA3EE">
      <w:start w:val="1"/>
      <w:numFmt w:val="bullet"/>
      <w:lvlText w:val="•"/>
      <w:lvlJc w:val="left"/>
      <w:pPr>
        <w:tabs>
          <w:tab w:val="num" w:pos="720"/>
        </w:tabs>
        <w:ind w:left="720" w:hanging="360"/>
      </w:pPr>
      <w:rPr>
        <w:rFonts w:ascii="Arial" w:hAnsi="Arial" w:hint="default"/>
      </w:rPr>
    </w:lvl>
    <w:lvl w:ilvl="1" w:tplc="8112F958" w:tentative="1">
      <w:start w:val="1"/>
      <w:numFmt w:val="bullet"/>
      <w:lvlText w:val="•"/>
      <w:lvlJc w:val="left"/>
      <w:pPr>
        <w:tabs>
          <w:tab w:val="num" w:pos="1440"/>
        </w:tabs>
        <w:ind w:left="1440" w:hanging="360"/>
      </w:pPr>
      <w:rPr>
        <w:rFonts w:ascii="Arial" w:hAnsi="Arial" w:hint="default"/>
      </w:rPr>
    </w:lvl>
    <w:lvl w:ilvl="2" w:tplc="6B8444BA" w:tentative="1">
      <w:start w:val="1"/>
      <w:numFmt w:val="bullet"/>
      <w:lvlText w:val="•"/>
      <w:lvlJc w:val="left"/>
      <w:pPr>
        <w:tabs>
          <w:tab w:val="num" w:pos="2160"/>
        </w:tabs>
        <w:ind w:left="2160" w:hanging="360"/>
      </w:pPr>
      <w:rPr>
        <w:rFonts w:ascii="Arial" w:hAnsi="Arial" w:hint="default"/>
      </w:rPr>
    </w:lvl>
    <w:lvl w:ilvl="3" w:tplc="1E54FF5E" w:tentative="1">
      <w:start w:val="1"/>
      <w:numFmt w:val="bullet"/>
      <w:lvlText w:val="•"/>
      <w:lvlJc w:val="left"/>
      <w:pPr>
        <w:tabs>
          <w:tab w:val="num" w:pos="2880"/>
        </w:tabs>
        <w:ind w:left="2880" w:hanging="360"/>
      </w:pPr>
      <w:rPr>
        <w:rFonts w:ascii="Arial" w:hAnsi="Arial" w:hint="default"/>
      </w:rPr>
    </w:lvl>
    <w:lvl w:ilvl="4" w:tplc="7F2A0038" w:tentative="1">
      <w:start w:val="1"/>
      <w:numFmt w:val="bullet"/>
      <w:lvlText w:val="•"/>
      <w:lvlJc w:val="left"/>
      <w:pPr>
        <w:tabs>
          <w:tab w:val="num" w:pos="3600"/>
        </w:tabs>
        <w:ind w:left="3600" w:hanging="360"/>
      </w:pPr>
      <w:rPr>
        <w:rFonts w:ascii="Arial" w:hAnsi="Arial" w:hint="default"/>
      </w:rPr>
    </w:lvl>
    <w:lvl w:ilvl="5" w:tplc="C96A5B3C" w:tentative="1">
      <w:start w:val="1"/>
      <w:numFmt w:val="bullet"/>
      <w:lvlText w:val="•"/>
      <w:lvlJc w:val="left"/>
      <w:pPr>
        <w:tabs>
          <w:tab w:val="num" w:pos="4320"/>
        </w:tabs>
        <w:ind w:left="4320" w:hanging="360"/>
      </w:pPr>
      <w:rPr>
        <w:rFonts w:ascii="Arial" w:hAnsi="Arial" w:hint="default"/>
      </w:rPr>
    </w:lvl>
    <w:lvl w:ilvl="6" w:tplc="761EE898" w:tentative="1">
      <w:start w:val="1"/>
      <w:numFmt w:val="bullet"/>
      <w:lvlText w:val="•"/>
      <w:lvlJc w:val="left"/>
      <w:pPr>
        <w:tabs>
          <w:tab w:val="num" w:pos="5040"/>
        </w:tabs>
        <w:ind w:left="5040" w:hanging="360"/>
      </w:pPr>
      <w:rPr>
        <w:rFonts w:ascii="Arial" w:hAnsi="Arial" w:hint="default"/>
      </w:rPr>
    </w:lvl>
    <w:lvl w:ilvl="7" w:tplc="8D348606" w:tentative="1">
      <w:start w:val="1"/>
      <w:numFmt w:val="bullet"/>
      <w:lvlText w:val="•"/>
      <w:lvlJc w:val="left"/>
      <w:pPr>
        <w:tabs>
          <w:tab w:val="num" w:pos="5760"/>
        </w:tabs>
        <w:ind w:left="5760" w:hanging="360"/>
      </w:pPr>
      <w:rPr>
        <w:rFonts w:ascii="Arial" w:hAnsi="Arial" w:hint="default"/>
      </w:rPr>
    </w:lvl>
    <w:lvl w:ilvl="8" w:tplc="FBC44010" w:tentative="1">
      <w:start w:val="1"/>
      <w:numFmt w:val="bullet"/>
      <w:lvlText w:val="•"/>
      <w:lvlJc w:val="left"/>
      <w:pPr>
        <w:tabs>
          <w:tab w:val="num" w:pos="6480"/>
        </w:tabs>
        <w:ind w:left="6480" w:hanging="360"/>
      </w:pPr>
      <w:rPr>
        <w:rFonts w:ascii="Arial" w:hAnsi="Arial" w:hint="default"/>
      </w:rPr>
    </w:lvl>
  </w:abstractNum>
  <w:abstractNum w:abstractNumId="12">
    <w:nsid w:val="4EAD757B"/>
    <w:multiLevelType w:val="hybridMultilevel"/>
    <w:tmpl w:val="BFDCD09A"/>
    <w:lvl w:ilvl="0" w:tplc="BB682EB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2F3083"/>
    <w:multiLevelType w:val="hybridMultilevel"/>
    <w:tmpl w:val="DC0AE7CC"/>
    <w:lvl w:ilvl="0" w:tplc="07AA4D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F226FA"/>
    <w:multiLevelType w:val="hybridMultilevel"/>
    <w:tmpl w:val="E5266B0E"/>
    <w:lvl w:ilvl="0" w:tplc="1BD2931A">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12"/>
  </w:num>
  <w:num w:numId="5">
    <w:abstractNumId w:val="2"/>
  </w:num>
  <w:num w:numId="6">
    <w:abstractNumId w:val="9"/>
  </w:num>
  <w:num w:numId="7">
    <w:abstractNumId w:val="0"/>
  </w:num>
  <w:num w:numId="8">
    <w:abstractNumId w:val="13"/>
  </w:num>
  <w:num w:numId="9">
    <w:abstractNumId w:val="6"/>
  </w:num>
  <w:num w:numId="10">
    <w:abstractNumId w:val="7"/>
  </w:num>
  <w:num w:numId="11">
    <w:abstractNumId w:val="14"/>
  </w:num>
  <w:num w:numId="12">
    <w:abstractNumId w:val="4"/>
  </w:num>
  <w:num w:numId="13">
    <w:abstractNumId w:val="3"/>
  </w:num>
  <w:num w:numId="14">
    <w:abstractNumId w:val="8"/>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9B9"/>
    <w:rsid w:val="00004005"/>
    <w:rsid w:val="0000405D"/>
    <w:rsid w:val="0001379A"/>
    <w:rsid w:val="00013952"/>
    <w:rsid w:val="000149BE"/>
    <w:rsid w:val="00016C7D"/>
    <w:rsid w:val="000213B5"/>
    <w:rsid w:val="00021468"/>
    <w:rsid w:val="000231AF"/>
    <w:rsid w:val="00023487"/>
    <w:rsid w:val="0002552A"/>
    <w:rsid w:val="00025741"/>
    <w:rsid w:val="00034974"/>
    <w:rsid w:val="000434BD"/>
    <w:rsid w:val="000549E3"/>
    <w:rsid w:val="00064BB4"/>
    <w:rsid w:val="0006781A"/>
    <w:rsid w:val="00071D1C"/>
    <w:rsid w:val="00080055"/>
    <w:rsid w:val="00082A12"/>
    <w:rsid w:val="00087E0F"/>
    <w:rsid w:val="000926E0"/>
    <w:rsid w:val="00092AA6"/>
    <w:rsid w:val="000A0218"/>
    <w:rsid w:val="000A499D"/>
    <w:rsid w:val="000A4CFC"/>
    <w:rsid w:val="000A51C3"/>
    <w:rsid w:val="000A69E0"/>
    <w:rsid w:val="000C2F13"/>
    <w:rsid w:val="000C70C1"/>
    <w:rsid w:val="000C7CC8"/>
    <w:rsid w:val="000D0C3C"/>
    <w:rsid w:val="000D1E02"/>
    <w:rsid w:val="000D3EB9"/>
    <w:rsid w:val="000D7A11"/>
    <w:rsid w:val="000E2CDF"/>
    <w:rsid w:val="000E5F8E"/>
    <w:rsid w:val="000E609A"/>
    <w:rsid w:val="000E707F"/>
    <w:rsid w:val="000E785F"/>
    <w:rsid w:val="000F0121"/>
    <w:rsid w:val="000F329F"/>
    <w:rsid w:val="00101B5A"/>
    <w:rsid w:val="00102356"/>
    <w:rsid w:val="00105BB8"/>
    <w:rsid w:val="00117A4C"/>
    <w:rsid w:val="001200DF"/>
    <w:rsid w:val="0012443A"/>
    <w:rsid w:val="001261CE"/>
    <w:rsid w:val="00132F68"/>
    <w:rsid w:val="0013393E"/>
    <w:rsid w:val="00134255"/>
    <w:rsid w:val="0013451F"/>
    <w:rsid w:val="00142A3E"/>
    <w:rsid w:val="00143638"/>
    <w:rsid w:val="001525EF"/>
    <w:rsid w:val="00154094"/>
    <w:rsid w:val="00166365"/>
    <w:rsid w:val="00166C9E"/>
    <w:rsid w:val="0017102E"/>
    <w:rsid w:val="0017347A"/>
    <w:rsid w:val="00173808"/>
    <w:rsid w:val="00174A73"/>
    <w:rsid w:val="0018168C"/>
    <w:rsid w:val="001A21BE"/>
    <w:rsid w:val="001A3331"/>
    <w:rsid w:val="001A5D7B"/>
    <w:rsid w:val="001A5F8B"/>
    <w:rsid w:val="001B1DFE"/>
    <w:rsid w:val="001B3A0F"/>
    <w:rsid w:val="001C161D"/>
    <w:rsid w:val="001C2BE9"/>
    <w:rsid w:val="001C6072"/>
    <w:rsid w:val="001D2298"/>
    <w:rsid w:val="001D3F96"/>
    <w:rsid w:val="001F21C0"/>
    <w:rsid w:val="001F6995"/>
    <w:rsid w:val="00204026"/>
    <w:rsid w:val="0021314C"/>
    <w:rsid w:val="002155DD"/>
    <w:rsid w:val="002173F3"/>
    <w:rsid w:val="00217520"/>
    <w:rsid w:val="00230498"/>
    <w:rsid w:val="00244DA6"/>
    <w:rsid w:val="00255DF2"/>
    <w:rsid w:val="00260A2E"/>
    <w:rsid w:val="00265428"/>
    <w:rsid w:val="00271C43"/>
    <w:rsid w:val="00271E1A"/>
    <w:rsid w:val="002725AC"/>
    <w:rsid w:val="002749C4"/>
    <w:rsid w:val="002751E9"/>
    <w:rsid w:val="00285DE7"/>
    <w:rsid w:val="0028689D"/>
    <w:rsid w:val="00292E43"/>
    <w:rsid w:val="002A226F"/>
    <w:rsid w:val="002A3A6D"/>
    <w:rsid w:val="002A4C83"/>
    <w:rsid w:val="002A4CDB"/>
    <w:rsid w:val="002A5920"/>
    <w:rsid w:val="002A6282"/>
    <w:rsid w:val="002B0CDA"/>
    <w:rsid w:val="002B3FE4"/>
    <w:rsid w:val="002B69E0"/>
    <w:rsid w:val="002C1EFD"/>
    <w:rsid w:val="002C251C"/>
    <w:rsid w:val="002C267B"/>
    <w:rsid w:val="002C47A3"/>
    <w:rsid w:val="002D4CD9"/>
    <w:rsid w:val="002E3383"/>
    <w:rsid w:val="002E4815"/>
    <w:rsid w:val="002E5204"/>
    <w:rsid w:val="002E7C66"/>
    <w:rsid w:val="002F3F8B"/>
    <w:rsid w:val="002F41E4"/>
    <w:rsid w:val="002F6938"/>
    <w:rsid w:val="00304AA6"/>
    <w:rsid w:val="0031686E"/>
    <w:rsid w:val="00320135"/>
    <w:rsid w:val="003213D8"/>
    <w:rsid w:val="00321732"/>
    <w:rsid w:val="003305C3"/>
    <w:rsid w:val="00330797"/>
    <w:rsid w:val="00330E28"/>
    <w:rsid w:val="00332BB9"/>
    <w:rsid w:val="00333C9C"/>
    <w:rsid w:val="00337132"/>
    <w:rsid w:val="003373E3"/>
    <w:rsid w:val="00342403"/>
    <w:rsid w:val="00342B8B"/>
    <w:rsid w:val="0036156F"/>
    <w:rsid w:val="00361FAC"/>
    <w:rsid w:val="0036427F"/>
    <w:rsid w:val="003647DE"/>
    <w:rsid w:val="00365A24"/>
    <w:rsid w:val="00370A87"/>
    <w:rsid w:val="00373AF4"/>
    <w:rsid w:val="00376339"/>
    <w:rsid w:val="00380974"/>
    <w:rsid w:val="00386AC4"/>
    <w:rsid w:val="00386D25"/>
    <w:rsid w:val="003910A2"/>
    <w:rsid w:val="003948A0"/>
    <w:rsid w:val="003A7E78"/>
    <w:rsid w:val="003B6386"/>
    <w:rsid w:val="003C347B"/>
    <w:rsid w:val="003C5068"/>
    <w:rsid w:val="003C6D97"/>
    <w:rsid w:val="003D4904"/>
    <w:rsid w:val="003E29C2"/>
    <w:rsid w:val="003F17AE"/>
    <w:rsid w:val="003F2B3A"/>
    <w:rsid w:val="003F3F0C"/>
    <w:rsid w:val="004067F0"/>
    <w:rsid w:val="00407258"/>
    <w:rsid w:val="00416C2C"/>
    <w:rsid w:val="0042318A"/>
    <w:rsid w:val="00426573"/>
    <w:rsid w:val="00426F9E"/>
    <w:rsid w:val="004307CD"/>
    <w:rsid w:val="00432718"/>
    <w:rsid w:val="0043597E"/>
    <w:rsid w:val="00436B43"/>
    <w:rsid w:val="004407C0"/>
    <w:rsid w:val="004449EC"/>
    <w:rsid w:val="00444C5B"/>
    <w:rsid w:val="00444E56"/>
    <w:rsid w:val="00445785"/>
    <w:rsid w:val="00453B50"/>
    <w:rsid w:val="00454B44"/>
    <w:rsid w:val="004609B9"/>
    <w:rsid w:val="00460BF7"/>
    <w:rsid w:val="00462088"/>
    <w:rsid w:val="00466CBD"/>
    <w:rsid w:val="0046775F"/>
    <w:rsid w:val="00472C0F"/>
    <w:rsid w:val="00480557"/>
    <w:rsid w:val="004847AF"/>
    <w:rsid w:val="00484BA6"/>
    <w:rsid w:val="00487D91"/>
    <w:rsid w:val="004937EB"/>
    <w:rsid w:val="00495F2E"/>
    <w:rsid w:val="004A3822"/>
    <w:rsid w:val="004A498B"/>
    <w:rsid w:val="004A4A08"/>
    <w:rsid w:val="004A4A1F"/>
    <w:rsid w:val="004B0EAC"/>
    <w:rsid w:val="004B4E33"/>
    <w:rsid w:val="004C1546"/>
    <w:rsid w:val="004C2C31"/>
    <w:rsid w:val="004C4360"/>
    <w:rsid w:val="004C57E8"/>
    <w:rsid w:val="004C7319"/>
    <w:rsid w:val="004D1352"/>
    <w:rsid w:val="004D1EE2"/>
    <w:rsid w:val="004D6B92"/>
    <w:rsid w:val="004E0127"/>
    <w:rsid w:val="004E7D40"/>
    <w:rsid w:val="004F5D38"/>
    <w:rsid w:val="00510272"/>
    <w:rsid w:val="00510473"/>
    <w:rsid w:val="00511A19"/>
    <w:rsid w:val="00514723"/>
    <w:rsid w:val="00515772"/>
    <w:rsid w:val="0052058A"/>
    <w:rsid w:val="0052192E"/>
    <w:rsid w:val="00521A83"/>
    <w:rsid w:val="0052722B"/>
    <w:rsid w:val="00534DEF"/>
    <w:rsid w:val="00535DA3"/>
    <w:rsid w:val="00543774"/>
    <w:rsid w:val="00544386"/>
    <w:rsid w:val="00546BF9"/>
    <w:rsid w:val="00550F85"/>
    <w:rsid w:val="00561F00"/>
    <w:rsid w:val="005641AC"/>
    <w:rsid w:val="00564C7F"/>
    <w:rsid w:val="005709DB"/>
    <w:rsid w:val="0057184C"/>
    <w:rsid w:val="005870E2"/>
    <w:rsid w:val="005912B2"/>
    <w:rsid w:val="00592003"/>
    <w:rsid w:val="00593538"/>
    <w:rsid w:val="005A1917"/>
    <w:rsid w:val="005A2416"/>
    <w:rsid w:val="005A52A1"/>
    <w:rsid w:val="005B0686"/>
    <w:rsid w:val="005B48F6"/>
    <w:rsid w:val="005B49ED"/>
    <w:rsid w:val="005C10D0"/>
    <w:rsid w:val="005C1174"/>
    <w:rsid w:val="005C197F"/>
    <w:rsid w:val="005D08D9"/>
    <w:rsid w:val="005D43E7"/>
    <w:rsid w:val="005D56A0"/>
    <w:rsid w:val="005D5C3F"/>
    <w:rsid w:val="005E20F6"/>
    <w:rsid w:val="005E4693"/>
    <w:rsid w:val="005E48FA"/>
    <w:rsid w:val="005F11CA"/>
    <w:rsid w:val="005F576F"/>
    <w:rsid w:val="005F7707"/>
    <w:rsid w:val="006040DB"/>
    <w:rsid w:val="006241C2"/>
    <w:rsid w:val="0062466D"/>
    <w:rsid w:val="00635DC9"/>
    <w:rsid w:val="0063616B"/>
    <w:rsid w:val="006365BC"/>
    <w:rsid w:val="006376DA"/>
    <w:rsid w:val="00642773"/>
    <w:rsid w:val="0064544A"/>
    <w:rsid w:val="00660A28"/>
    <w:rsid w:val="0066431F"/>
    <w:rsid w:val="006652BD"/>
    <w:rsid w:val="0067319E"/>
    <w:rsid w:val="00681246"/>
    <w:rsid w:val="00682D3A"/>
    <w:rsid w:val="00684408"/>
    <w:rsid w:val="0069406B"/>
    <w:rsid w:val="006954FD"/>
    <w:rsid w:val="006960FF"/>
    <w:rsid w:val="00697398"/>
    <w:rsid w:val="006A052E"/>
    <w:rsid w:val="006A650F"/>
    <w:rsid w:val="006C1092"/>
    <w:rsid w:val="006D0363"/>
    <w:rsid w:val="006D39D7"/>
    <w:rsid w:val="006E21D1"/>
    <w:rsid w:val="006F6E88"/>
    <w:rsid w:val="0070181A"/>
    <w:rsid w:val="00701A87"/>
    <w:rsid w:val="00716383"/>
    <w:rsid w:val="00724F5D"/>
    <w:rsid w:val="007358E8"/>
    <w:rsid w:val="00741242"/>
    <w:rsid w:val="0074200D"/>
    <w:rsid w:val="00744535"/>
    <w:rsid w:val="00745641"/>
    <w:rsid w:val="007620B5"/>
    <w:rsid w:val="00763314"/>
    <w:rsid w:val="0076341E"/>
    <w:rsid w:val="007669DC"/>
    <w:rsid w:val="00770279"/>
    <w:rsid w:val="00774DB4"/>
    <w:rsid w:val="007847D7"/>
    <w:rsid w:val="00784DCA"/>
    <w:rsid w:val="0078720D"/>
    <w:rsid w:val="007B3251"/>
    <w:rsid w:val="007B5747"/>
    <w:rsid w:val="007C16EA"/>
    <w:rsid w:val="007C23CE"/>
    <w:rsid w:val="007D04D5"/>
    <w:rsid w:val="007D398C"/>
    <w:rsid w:val="007D4DE6"/>
    <w:rsid w:val="007E1AD6"/>
    <w:rsid w:val="007E3C0B"/>
    <w:rsid w:val="007F5786"/>
    <w:rsid w:val="00805740"/>
    <w:rsid w:val="00805D46"/>
    <w:rsid w:val="0080688C"/>
    <w:rsid w:val="00807AB9"/>
    <w:rsid w:val="008100E6"/>
    <w:rsid w:val="008108BB"/>
    <w:rsid w:val="008112B4"/>
    <w:rsid w:val="00814BC2"/>
    <w:rsid w:val="0081743E"/>
    <w:rsid w:val="00821D3C"/>
    <w:rsid w:val="00833171"/>
    <w:rsid w:val="008473A4"/>
    <w:rsid w:val="008563EE"/>
    <w:rsid w:val="008564B8"/>
    <w:rsid w:val="00857D9B"/>
    <w:rsid w:val="00870390"/>
    <w:rsid w:val="008733FF"/>
    <w:rsid w:val="00873650"/>
    <w:rsid w:val="00875704"/>
    <w:rsid w:val="00877714"/>
    <w:rsid w:val="00877BB2"/>
    <w:rsid w:val="00887D07"/>
    <w:rsid w:val="008940C0"/>
    <w:rsid w:val="008B4899"/>
    <w:rsid w:val="008C2B66"/>
    <w:rsid w:val="008C680E"/>
    <w:rsid w:val="008C76AD"/>
    <w:rsid w:val="008D030F"/>
    <w:rsid w:val="008D041B"/>
    <w:rsid w:val="008D37DB"/>
    <w:rsid w:val="008D39CB"/>
    <w:rsid w:val="008D57A2"/>
    <w:rsid w:val="008D6433"/>
    <w:rsid w:val="008E0E94"/>
    <w:rsid w:val="008E20D9"/>
    <w:rsid w:val="008E3AC3"/>
    <w:rsid w:val="008E42A9"/>
    <w:rsid w:val="008E7D6D"/>
    <w:rsid w:val="008F65B5"/>
    <w:rsid w:val="009104FA"/>
    <w:rsid w:val="00912B08"/>
    <w:rsid w:val="00915747"/>
    <w:rsid w:val="00920587"/>
    <w:rsid w:val="0092695A"/>
    <w:rsid w:val="00933E90"/>
    <w:rsid w:val="009355A3"/>
    <w:rsid w:val="00940A98"/>
    <w:rsid w:val="00940CB8"/>
    <w:rsid w:val="00944179"/>
    <w:rsid w:val="00944492"/>
    <w:rsid w:val="00944909"/>
    <w:rsid w:val="0095179E"/>
    <w:rsid w:val="00952685"/>
    <w:rsid w:val="00955F04"/>
    <w:rsid w:val="0096192F"/>
    <w:rsid w:val="0096408E"/>
    <w:rsid w:val="00970191"/>
    <w:rsid w:val="0097271A"/>
    <w:rsid w:val="00972B01"/>
    <w:rsid w:val="00973144"/>
    <w:rsid w:val="00974E76"/>
    <w:rsid w:val="00977BE3"/>
    <w:rsid w:val="0098358E"/>
    <w:rsid w:val="00984918"/>
    <w:rsid w:val="00985988"/>
    <w:rsid w:val="0099165B"/>
    <w:rsid w:val="00992AB6"/>
    <w:rsid w:val="009978E1"/>
    <w:rsid w:val="009A1FB1"/>
    <w:rsid w:val="009A4980"/>
    <w:rsid w:val="009A613F"/>
    <w:rsid w:val="009A7AD7"/>
    <w:rsid w:val="009B426A"/>
    <w:rsid w:val="009B44EA"/>
    <w:rsid w:val="009C12B1"/>
    <w:rsid w:val="009C1D6E"/>
    <w:rsid w:val="009C502F"/>
    <w:rsid w:val="009D10AE"/>
    <w:rsid w:val="009D552A"/>
    <w:rsid w:val="009E2380"/>
    <w:rsid w:val="009E3B83"/>
    <w:rsid w:val="009E43A6"/>
    <w:rsid w:val="009E4C9E"/>
    <w:rsid w:val="009E51EC"/>
    <w:rsid w:val="009F09BB"/>
    <w:rsid w:val="009F7472"/>
    <w:rsid w:val="00A05791"/>
    <w:rsid w:val="00A11E5D"/>
    <w:rsid w:val="00A202F4"/>
    <w:rsid w:val="00A26C61"/>
    <w:rsid w:val="00A27EDA"/>
    <w:rsid w:val="00A30195"/>
    <w:rsid w:val="00A34369"/>
    <w:rsid w:val="00A351AB"/>
    <w:rsid w:val="00A40E0F"/>
    <w:rsid w:val="00A5086B"/>
    <w:rsid w:val="00A62223"/>
    <w:rsid w:val="00A75AEB"/>
    <w:rsid w:val="00A75EDD"/>
    <w:rsid w:val="00A775B4"/>
    <w:rsid w:val="00A831AE"/>
    <w:rsid w:val="00AA2EF9"/>
    <w:rsid w:val="00AA5AD3"/>
    <w:rsid w:val="00AA6945"/>
    <w:rsid w:val="00AB2B37"/>
    <w:rsid w:val="00AB43F6"/>
    <w:rsid w:val="00AB5AB1"/>
    <w:rsid w:val="00AD0185"/>
    <w:rsid w:val="00AD1517"/>
    <w:rsid w:val="00AD2D93"/>
    <w:rsid w:val="00AD6AFC"/>
    <w:rsid w:val="00AE00D7"/>
    <w:rsid w:val="00AE033A"/>
    <w:rsid w:val="00AE2CC0"/>
    <w:rsid w:val="00AF2263"/>
    <w:rsid w:val="00AF2D54"/>
    <w:rsid w:val="00AF32A0"/>
    <w:rsid w:val="00AF6380"/>
    <w:rsid w:val="00B15315"/>
    <w:rsid w:val="00B172A6"/>
    <w:rsid w:val="00B21A43"/>
    <w:rsid w:val="00B222F1"/>
    <w:rsid w:val="00B25115"/>
    <w:rsid w:val="00B30BC2"/>
    <w:rsid w:val="00B43056"/>
    <w:rsid w:val="00B43F87"/>
    <w:rsid w:val="00B4442F"/>
    <w:rsid w:val="00B46868"/>
    <w:rsid w:val="00B526AC"/>
    <w:rsid w:val="00B55F39"/>
    <w:rsid w:val="00B70486"/>
    <w:rsid w:val="00B70F23"/>
    <w:rsid w:val="00B71FEC"/>
    <w:rsid w:val="00B773BF"/>
    <w:rsid w:val="00B829F3"/>
    <w:rsid w:val="00B85007"/>
    <w:rsid w:val="00B87925"/>
    <w:rsid w:val="00B900D4"/>
    <w:rsid w:val="00B94E82"/>
    <w:rsid w:val="00BA49A6"/>
    <w:rsid w:val="00BA529A"/>
    <w:rsid w:val="00BA54C6"/>
    <w:rsid w:val="00BA6D79"/>
    <w:rsid w:val="00BA7016"/>
    <w:rsid w:val="00BB05DF"/>
    <w:rsid w:val="00BB3FFC"/>
    <w:rsid w:val="00BB5B2F"/>
    <w:rsid w:val="00BC00B3"/>
    <w:rsid w:val="00BC1AC6"/>
    <w:rsid w:val="00BC51BB"/>
    <w:rsid w:val="00BC6A37"/>
    <w:rsid w:val="00BD0883"/>
    <w:rsid w:val="00BE1FF5"/>
    <w:rsid w:val="00BE2C0E"/>
    <w:rsid w:val="00BE5737"/>
    <w:rsid w:val="00BE796A"/>
    <w:rsid w:val="00BF4A31"/>
    <w:rsid w:val="00BF64C8"/>
    <w:rsid w:val="00C019D3"/>
    <w:rsid w:val="00C075F7"/>
    <w:rsid w:val="00C126CB"/>
    <w:rsid w:val="00C136B0"/>
    <w:rsid w:val="00C14E96"/>
    <w:rsid w:val="00C17B37"/>
    <w:rsid w:val="00C2262B"/>
    <w:rsid w:val="00C235A9"/>
    <w:rsid w:val="00C23D5B"/>
    <w:rsid w:val="00C32EA3"/>
    <w:rsid w:val="00C33C1C"/>
    <w:rsid w:val="00C34BA4"/>
    <w:rsid w:val="00C413FC"/>
    <w:rsid w:val="00C46357"/>
    <w:rsid w:val="00C46DE4"/>
    <w:rsid w:val="00C5369F"/>
    <w:rsid w:val="00C56EB9"/>
    <w:rsid w:val="00C577BF"/>
    <w:rsid w:val="00C652AD"/>
    <w:rsid w:val="00C720CC"/>
    <w:rsid w:val="00C72FDF"/>
    <w:rsid w:val="00C738E9"/>
    <w:rsid w:val="00C7483B"/>
    <w:rsid w:val="00C80B82"/>
    <w:rsid w:val="00C95E79"/>
    <w:rsid w:val="00CA7980"/>
    <w:rsid w:val="00CB0F7C"/>
    <w:rsid w:val="00CB1238"/>
    <w:rsid w:val="00CB1411"/>
    <w:rsid w:val="00CB2903"/>
    <w:rsid w:val="00CB3499"/>
    <w:rsid w:val="00CC2277"/>
    <w:rsid w:val="00CC5B9F"/>
    <w:rsid w:val="00CC6EEC"/>
    <w:rsid w:val="00CC7DD8"/>
    <w:rsid w:val="00CD238E"/>
    <w:rsid w:val="00CD4D8E"/>
    <w:rsid w:val="00CD4F97"/>
    <w:rsid w:val="00CD6009"/>
    <w:rsid w:val="00CE4F46"/>
    <w:rsid w:val="00CE68F7"/>
    <w:rsid w:val="00CF14CA"/>
    <w:rsid w:val="00D00282"/>
    <w:rsid w:val="00D04DC2"/>
    <w:rsid w:val="00D15030"/>
    <w:rsid w:val="00D24AAB"/>
    <w:rsid w:val="00D26F8F"/>
    <w:rsid w:val="00D27887"/>
    <w:rsid w:val="00D3295F"/>
    <w:rsid w:val="00D349AA"/>
    <w:rsid w:val="00D35CA3"/>
    <w:rsid w:val="00D36C33"/>
    <w:rsid w:val="00D36E8D"/>
    <w:rsid w:val="00D3732A"/>
    <w:rsid w:val="00D42867"/>
    <w:rsid w:val="00D43984"/>
    <w:rsid w:val="00D51548"/>
    <w:rsid w:val="00D519D6"/>
    <w:rsid w:val="00D52398"/>
    <w:rsid w:val="00D621CD"/>
    <w:rsid w:val="00D632BE"/>
    <w:rsid w:val="00D64041"/>
    <w:rsid w:val="00D7616E"/>
    <w:rsid w:val="00D92720"/>
    <w:rsid w:val="00D93902"/>
    <w:rsid w:val="00D94258"/>
    <w:rsid w:val="00D9649F"/>
    <w:rsid w:val="00DA2EAA"/>
    <w:rsid w:val="00DA4963"/>
    <w:rsid w:val="00DA6753"/>
    <w:rsid w:val="00DB097F"/>
    <w:rsid w:val="00DB0F10"/>
    <w:rsid w:val="00DB107D"/>
    <w:rsid w:val="00DB30A0"/>
    <w:rsid w:val="00DB3D73"/>
    <w:rsid w:val="00DC1732"/>
    <w:rsid w:val="00DC1F01"/>
    <w:rsid w:val="00DC49D1"/>
    <w:rsid w:val="00DC7387"/>
    <w:rsid w:val="00DD7770"/>
    <w:rsid w:val="00DE0D50"/>
    <w:rsid w:val="00DE634B"/>
    <w:rsid w:val="00DF0652"/>
    <w:rsid w:val="00DF2B7C"/>
    <w:rsid w:val="00DF3CCA"/>
    <w:rsid w:val="00E00F44"/>
    <w:rsid w:val="00E012B4"/>
    <w:rsid w:val="00E035A3"/>
    <w:rsid w:val="00E03608"/>
    <w:rsid w:val="00E03A5F"/>
    <w:rsid w:val="00E04DC3"/>
    <w:rsid w:val="00E05874"/>
    <w:rsid w:val="00E05EF0"/>
    <w:rsid w:val="00E05F7B"/>
    <w:rsid w:val="00E17683"/>
    <w:rsid w:val="00E22579"/>
    <w:rsid w:val="00E25BF3"/>
    <w:rsid w:val="00E31335"/>
    <w:rsid w:val="00E35EA8"/>
    <w:rsid w:val="00E412EB"/>
    <w:rsid w:val="00E42559"/>
    <w:rsid w:val="00E42772"/>
    <w:rsid w:val="00E435DF"/>
    <w:rsid w:val="00E55601"/>
    <w:rsid w:val="00E55A83"/>
    <w:rsid w:val="00E55F8F"/>
    <w:rsid w:val="00E61BDD"/>
    <w:rsid w:val="00E64E2E"/>
    <w:rsid w:val="00E661D1"/>
    <w:rsid w:val="00E770BB"/>
    <w:rsid w:val="00E80937"/>
    <w:rsid w:val="00E819D1"/>
    <w:rsid w:val="00E82382"/>
    <w:rsid w:val="00E83130"/>
    <w:rsid w:val="00E87D1B"/>
    <w:rsid w:val="00E952F4"/>
    <w:rsid w:val="00E96F48"/>
    <w:rsid w:val="00EA4E42"/>
    <w:rsid w:val="00EB03B3"/>
    <w:rsid w:val="00EB0C5A"/>
    <w:rsid w:val="00EB2B50"/>
    <w:rsid w:val="00EB48B2"/>
    <w:rsid w:val="00EC2060"/>
    <w:rsid w:val="00EC2267"/>
    <w:rsid w:val="00EC7324"/>
    <w:rsid w:val="00ED7E0C"/>
    <w:rsid w:val="00EE18EE"/>
    <w:rsid w:val="00EE53D5"/>
    <w:rsid w:val="00EE62C9"/>
    <w:rsid w:val="00EF1067"/>
    <w:rsid w:val="00EF1F80"/>
    <w:rsid w:val="00F065E7"/>
    <w:rsid w:val="00F06C55"/>
    <w:rsid w:val="00F1595A"/>
    <w:rsid w:val="00F2198A"/>
    <w:rsid w:val="00F40F85"/>
    <w:rsid w:val="00F43887"/>
    <w:rsid w:val="00F44FF2"/>
    <w:rsid w:val="00F46DCB"/>
    <w:rsid w:val="00F50D99"/>
    <w:rsid w:val="00F552EF"/>
    <w:rsid w:val="00F62A7A"/>
    <w:rsid w:val="00F74336"/>
    <w:rsid w:val="00F7606F"/>
    <w:rsid w:val="00F92C72"/>
    <w:rsid w:val="00F94FC3"/>
    <w:rsid w:val="00FA0F79"/>
    <w:rsid w:val="00FA2D4E"/>
    <w:rsid w:val="00FA392C"/>
    <w:rsid w:val="00FA3DE1"/>
    <w:rsid w:val="00FA53BE"/>
    <w:rsid w:val="00FA7A9F"/>
    <w:rsid w:val="00FB110E"/>
    <w:rsid w:val="00FB3B6D"/>
    <w:rsid w:val="00FB5FAA"/>
    <w:rsid w:val="00FB5FE7"/>
    <w:rsid w:val="00FC0E5D"/>
    <w:rsid w:val="00FC13EA"/>
    <w:rsid w:val="00FC62D8"/>
    <w:rsid w:val="00FD26DB"/>
    <w:rsid w:val="00FF0AD7"/>
    <w:rsid w:val="00FF144B"/>
    <w:rsid w:val="00FF65D7"/>
    <w:rsid w:val="00FF7333"/>
    <w:rsid w:val="00FF75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2C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t-EE" w:eastAsia="et-EE" w:bidi="et-E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4E"/>
    <w:pPr>
      <w:overflowPunct w:val="0"/>
      <w:autoSpaceDE w:val="0"/>
      <w:autoSpaceDN w:val="0"/>
      <w:adjustRightInd w:val="0"/>
      <w:spacing w:line="288" w:lineRule="auto"/>
      <w:jc w:val="both"/>
      <w:textAlignment w:val="baseline"/>
    </w:pPr>
    <w:rPr>
      <w:rFonts w:ascii="Times New Roman" w:eastAsia="Times New Roman" w:hAnsi="Times New Roman"/>
      <w:sz w:val="22"/>
    </w:rPr>
  </w:style>
  <w:style w:type="paragraph" w:styleId="Heading1">
    <w:name w:val="heading 1"/>
    <w:basedOn w:val="Normal"/>
    <w:next w:val="Normal"/>
    <w:link w:val="Heading1Char"/>
    <w:qFormat/>
    <w:rsid w:val="00FA2D4E"/>
    <w:pPr>
      <w:numPr>
        <w:numId w:val="2"/>
      </w:numPr>
      <w:ind w:left="720" w:hanging="720"/>
      <w:outlineLvl w:val="0"/>
    </w:pPr>
    <w:rPr>
      <w:kern w:val="28"/>
    </w:rPr>
  </w:style>
  <w:style w:type="paragraph" w:styleId="Heading2">
    <w:name w:val="heading 2"/>
    <w:basedOn w:val="Normal"/>
    <w:next w:val="Normal"/>
    <w:link w:val="Heading2Char"/>
    <w:qFormat/>
    <w:rsid w:val="00FA2D4E"/>
    <w:pPr>
      <w:numPr>
        <w:ilvl w:val="1"/>
        <w:numId w:val="2"/>
      </w:numPr>
      <w:ind w:left="720" w:hanging="720"/>
      <w:outlineLvl w:val="1"/>
    </w:pPr>
  </w:style>
  <w:style w:type="paragraph" w:styleId="Heading3">
    <w:name w:val="heading 3"/>
    <w:basedOn w:val="Normal"/>
    <w:next w:val="Normal"/>
    <w:link w:val="Heading3Char"/>
    <w:qFormat/>
    <w:rsid w:val="00FA2D4E"/>
    <w:pPr>
      <w:numPr>
        <w:ilvl w:val="2"/>
        <w:numId w:val="2"/>
      </w:numPr>
      <w:ind w:left="720" w:hanging="720"/>
      <w:outlineLvl w:val="2"/>
    </w:pPr>
  </w:style>
  <w:style w:type="paragraph" w:styleId="Heading4">
    <w:name w:val="heading 4"/>
    <w:basedOn w:val="Normal"/>
    <w:next w:val="Normal"/>
    <w:link w:val="Heading4Char"/>
    <w:qFormat/>
    <w:rsid w:val="00FA2D4E"/>
    <w:pPr>
      <w:numPr>
        <w:ilvl w:val="3"/>
        <w:numId w:val="2"/>
      </w:numPr>
      <w:ind w:left="720" w:hanging="720"/>
      <w:outlineLvl w:val="3"/>
    </w:pPr>
  </w:style>
  <w:style w:type="paragraph" w:styleId="Heading5">
    <w:name w:val="heading 5"/>
    <w:basedOn w:val="Normal"/>
    <w:next w:val="Normal"/>
    <w:link w:val="Heading5Char"/>
    <w:qFormat/>
    <w:rsid w:val="00FA2D4E"/>
    <w:pPr>
      <w:numPr>
        <w:ilvl w:val="4"/>
        <w:numId w:val="2"/>
      </w:numPr>
      <w:ind w:left="720" w:hanging="720"/>
      <w:outlineLvl w:val="4"/>
    </w:pPr>
  </w:style>
  <w:style w:type="paragraph" w:styleId="Heading6">
    <w:name w:val="heading 6"/>
    <w:basedOn w:val="Normal"/>
    <w:next w:val="Normal"/>
    <w:link w:val="Heading6Char"/>
    <w:qFormat/>
    <w:rsid w:val="00FA2D4E"/>
    <w:pPr>
      <w:numPr>
        <w:ilvl w:val="5"/>
        <w:numId w:val="2"/>
      </w:numPr>
      <w:ind w:left="720" w:hanging="720"/>
      <w:outlineLvl w:val="5"/>
    </w:pPr>
  </w:style>
  <w:style w:type="paragraph" w:styleId="Heading7">
    <w:name w:val="heading 7"/>
    <w:basedOn w:val="Normal"/>
    <w:next w:val="Normal"/>
    <w:link w:val="Heading7Char"/>
    <w:qFormat/>
    <w:rsid w:val="00FA2D4E"/>
    <w:pPr>
      <w:numPr>
        <w:ilvl w:val="6"/>
        <w:numId w:val="2"/>
      </w:numPr>
      <w:ind w:left="720" w:hanging="720"/>
      <w:outlineLvl w:val="6"/>
    </w:pPr>
  </w:style>
  <w:style w:type="paragraph" w:styleId="Heading8">
    <w:name w:val="heading 8"/>
    <w:basedOn w:val="Normal"/>
    <w:next w:val="Normal"/>
    <w:link w:val="Heading8Char"/>
    <w:qFormat/>
    <w:rsid w:val="00FA2D4E"/>
    <w:pPr>
      <w:numPr>
        <w:ilvl w:val="7"/>
        <w:numId w:val="2"/>
      </w:numPr>
      <w:ind w:left="720" w:hanging="720"/>
      <w:outlineLvl w:val="7"/>
    </w:pPr>
  </w:style>
  <w:style w:type="paragraph" w:styleId="Heading9">
    <w:name w:val="heading 9"/>
    <w:basedOn w:val="Normal"/>
    <w:next w:val="Normal"/>
    <w:link w:val="Heading9Char"/>
    <w:qFormat/>
    <w:rsid w:val="00FA2D4E"/>
    <w:pPr>
      <w:numPr>
        <w:ilvl w:val="8"/>
        <w:numId w:val="2"/>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4E2E"/>
    <w:rPr>
      <w:rFonts w:ascii="Times New Roman" w:eastAsia="Times New Roman" w:hAnsi="Times New Roman"/>
      <w:kern w:val="28"/>
      <w:sz w:val="22"/>
      <w:lang w:eastAsia="et-EE"/>
    </w:rPr>
  </w:style>
  <w:style w:type="character" w:customStyle="1" w:styleId="Heading2Char">
    <w:name w:val="Heading 2 Char"/>
    <w:link w:val="Heading2"/>
    <w:rsid w:val="00E64E2E"/>
    <w:rPr>
      <w:rFonts w:ascii="Times New Roman" w:eastAsia="Times New Roman" w:hAnsi="Times New Roman"/>
      <w:sz w:val="22"/>
      <w:lang w:eastAsia="et-EE"/>
    </w:rPr>
  </w:style>
  <w:style w:type="character" w:customStyle="1" w:styleId="Heading3Char">
    <w:name w:val="Heading 3 Char"/>
    <w:link w:val="Heading3"/>
    <w:rsid w:val="00E64E2E"/>
    <w:rPr>
      <w:rFonts w:ascii="Times New Roman" w:eastAsia="Times New Roman" w:hAnsi="Times New Roman"/>
      <w:sz w:val="22"/>
      <w:lang w:eastAsia="et-EE"/>
    </w:rPr>
  </w:style>
  <w:style w:type="character" w:customStyle="1" w:styleId="Heading4Char">
    <w:name w:val="Heading 4 Char"/>
    <w:link w:val="Heading4"/>
    <w:rsid w:val="00E64E2E"/>
    <w:rPr>
      <w:rFonts w:ascii="Times New Roman" w:eastAsia="Times New Roman" w:hAnsi="Times New Roman"/>
      <w:sz w:val="22"/>
      <w:lang w:eastAsia="et-EE"/>
    </w:rPr>
  </w:style>
  <w:style w:type="character" w:customStyle="1" w:styleId="Heading5Char">
    <w:name w:val="Heading 5 Char"/>
    <w:link w:val="Heading5"/>
    <w:rsid w:val="00E64E2E"/>
    <w:rPr>
      <w:rFonts w:ascii="Times New Roman" w:eastAsia="Times New Roman" w:hAnsi="Times New Roman"/>
      <w:sz w:val="22"/>
      <w:lang w:eastAsia="et-EE"/>
    </w:rPr>
  </w:style>
  <w:style w:type="character" w:customStyle="1" w:styleId="Heading6Char">
    <w:name w:val="Heading 6 Char"/>
    <w:link w:val="Heading6"/>
    <w:rsid w:val="00E64E2E"/>
    <w:rPr>
      <w:rFonts w:ascii="Times New Roman" w:eastAsia="Times New Roman" w:hAnsi="Times New Roman"/>
      <w:sz w:val="22"/>
      <w:lang w:eastAsia="et-EE"/>
    </w:rPr>
  </w:style>
  <w:style w:type="character" w:customStyle="1" w:styleId="Heading7Char">
    <w:name w:val="Heading 7 Char"/>
    <w:link w:val="Heading7"/>
    <w:rsid w:val="00E64E2E"/>
    <w:rPr>
      <w:rFonts w:ascii="Times New Roman" w:eastAsia="Times New Roman" w:hAnsi="Times New Roman"/>
      <w:sz w:val="22"/>
      <w:lang w:eastAsia="et-EE"/>
    </w:rPr>
  </w:style>
  <w:style w:type="character" w:customStyle="1" w:styleId="Heading8Char">
    <w:name w:val="Heading 8 Char"/>
    <w:link w:val="Heading8"/>
    <w:rsid w:val="00E64E2E"/>
    <w:rPr>
      <w:rFonts w:ascii="Times New Roman" w:eastAsia="Times New Roman" w:hAnsi="Times New Roman"/>
      <w:sz w:val="22"/>
      <w:lang w:eastAsia="et-EE"/>
    </w:rPr>
  </w:style>
  <w:style w:type="character" w:customStyle="1" w:styleId="Heading9Char">
    <w:name w:val="Heading 9 Char"/>
    <w:link w:val="Heading9"/>
    <w:rsid w:val="00E64E2E"/>
    <w:rPr>
      <w:rFonts w:ascii="Times New Roman" w:eastAsia="Times New Roman" w:hAnsi="Times New Roman"/>
      <w:sz w:val="22"/>
      <w:lang w:eastAsia="et-EE"/>
    </w:rPr>
  </w:style>
  <w:style w:type="character" w:styleId="Hyperlink">
    <w:name w:val="Hyperlink"/>
    <w:unhideWhenUsed/>
    <w:rsid w:val="000E609A"/>
    <w:rPr>
      <w:color w:val="0000FF"/>
      <w:u w:val="single"/>
    </w:rPr>
  </w:style>
  <w:style w:type="paragraph" w:styleId="FootnoteText">
    <w:name w:val="footnote text"/>
    <w:basedOn w:val="Normal"/>
    <w:link w:val="FootnoteTextChar"/>
    <w:rsid w:val="00FA2D4E"/>
    <w:pPr>
      <w:keepLines/>
      <w:spacing w:after="60" w:line="240" w:lineRule="auto"/>
      <w:ind w:left="720" w:hanging="720"/>
    </w:pPr>
    <w:rPr>
      <w:sz w:val="16"/>
    </w:rPr>
  </w:style>
  <w:style w:type="character" w:customStyle="1" w:styleId="FootnoteTextChar">
    <w:name w:val="Footnote Text Char"/>
    <w:link w:val="FootnoteText"/>
    <w:rsid w:val="009A1FB1"/>
    <w:rPr>
      <w:rFonts w:ascii="Times New Roman" w:eastAsia="Times New Roman" w:hAnsi="Times New Roman"/>
      <w:sz w:val="16"/>
      <w:lang w:eastAsia="et-EE"/>
    </w:rPr>
  </w:style>
  <w:style w:type="character" w:styleId="FootnoteReference">
    <w:name w:val="footnote reference"/>
    <w:basedOn w:val="DefaultParagraphFont"/>
    <w:rsid w:val="00FA2D4E"/>
    <w:rPr>
      <w:sz w:val="24"/>
      <w:vertAlign w:val="superscript"/>
    </w:rPr>
  </w:style>
  <w:style w:type="paragraph" w:styleId="Header">
    <w:name w:val="header"/>
    <w:basedOn w:val="Normal"/>
    <w:link w:val="HeaderChar"/>
    <w:rsid w:val="00FA2D4E"/>
  </w:style>
  <w:style w:type="character" w:customStyle="1" w:styleId="HeaderChar">
    <w:name w:val="Header Char"/>
    <w:link w:val="Header"/>
    <w:rsid w:val="00561F00"/>
    <w:rPr>
      <w:rFonts w:ascii="Times New Roman" w:eastAsia="Times New Roman" w:hAnsi="Times New Roman"/>
      <w:sz w:val="22"/>
      <w:lang w:eastAsia="et-EE"/>
    </w:rPr>
  </w:style>
  <w:style w:type="paragraph" w:styleId="Footer">
    <w:name w:val="footer"/>
    <w:basedOn w:val="Normal"/>
    <w:link w:val="FooterChar"/>
    <w:rsid w:val="00FA2D4E"/>
  </w:style>
  <w:style w:type="character" w:customStyle="1" w:styleId="FooterChar">
    <w:name w:val="Footer Char"/>
    <w:link w:val="Footer"/>
    <w:rsid w:val="00561F00"/>
    <w:rPr>
      <w:rFonts w:ascii="Times New Roman" w:eastAsia="Times New Roman" w:hAnsi="Times New Roman"/>
      <w:sz w:val="22"/>
      <w:lang w:eastAsia="et-EE"/>
    </w:rPr>
  </w:style>
  <w:style w:type="paragraph" w:styleId="Revision">
    <w:name w:val="Revision"/>
    <w:hidden/>
    <w:uiPriority w:val="99"/>
    <w:semiHidden/>
    <w:rsid w:val="008D041B"/>
    <w:rPr>
      <w:sz w:val="22"/>
      <w:szCs w:val="22"/>
    </w:rPr>
  </w:style>
  <w:style w:type="character" w:styleId="FollowedHyperlink">
    <w:name w:val="FollowedHyperlink"/>
    <w:uiPriority w:val="99"/>
    <w:semiHidden/>
    <w:unhideWhenUsed/>
    <w:rsid w:val="00C80B82"/>
    <w:rPr>
      <w:color w:val="800080"/>
      <w:u w:val="single"/>
    </w:rPr>
  </w:style>
  <w:style w:type="paragraph" w:styleId="BalloonText">
    <w:name w:val="Balloon Text"/>
    <w:basedOn w:val="Normal"/>
    <w:link w:val="BalloonTextChar"/>
    <w:uiPriority w:val="99"/>
    <w:semiHidden/>
    <w:unhideWhenUsed/>
    <w:rsid w:val="00CE68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F7"/>
    <w:rPr>
      <w:rFonts w:ascii="Tahoma" w:eastAsia="Times New Roman" w:hAnsi="Tahoma" w:cs="Tahoma"/>
      <w:sz w:val="16"/>
      <w:szCs w:val="16"/>
      <w:lang w:eastAsia="et-EE"/>
    </w:rPr>
  </w:style>
  <w:style w:type="paragraph" w:styleId="ListParagraph">
    <w:name w:val="List Paragraph"/>
    <w:basedOn w:val="Normal"/>
    <w:uiPriority w:val="34"/>
    <w:qFormat/>
    <w:rsid w:val="00436B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t-EE" w:eastAsia="et-EE" w:bidi="et-E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4E"/>
    <w:pPr>
      <w:overflowPunct w:val="0"/>
      <w:autoSpaceDE w:val="0"/>
      <w:autoSpaceDN w:val="0"/>
      <w:adjustRightInd w:val="0"/>
      <w:spacing w:line="288" w:lineRule="auto"/>
      <w:jc w:val="both"/>
      <w:textAlignment w:val="baseline"/>
    </w:pPr>
    <w:rPr>
      <w:rFonts w:ascii="Times New Roman" w:eastAsia="Times New Roman" w:hAnsi="Times New Roman"/>
      <w:sz w:val="22"/>
    </w:rPr>
  </w:style>
  <w:style w:type="paragraph" w:styleId="Heading1">
    <w:name w:val="heading 1"/>
    <w:basedOn w:val="Normal"/>
    <w:next w:val="Normal"/>
    <w:link w:val="Heading1Char"/>
    <w:qFormat/>
    <w:rsid w:val="00FA2D4E"/>
    <w:pPr>
      <w:numPr>
        <w:numId w:val="2"/>
      </w:numPr>
      <w:ind w:left="720" w:hanging="720"/>
      <w:outlineLvl w:val="0"/>
    </w:pPr>
    <w:rPr>
      <w:kern w:val="28"/>
    </w:rPr>
  </w:style>
  <w:style w:type="paragraph" w:styleId="Heading2">
    <w:name w:val="heading 2"/>
    <w:basedOn w:val="Normal"/>
    <w:next w:val="Normal"/>
    <w:link w:val="Heading2Char"/>
    <w:qFormat/>
    <w:rsid w:val="00FA2D4E"/>
    <w:pPr>
      <w:numPr>
        <w:ilvl w:val="1"/>
        <w:numId w:val="2"/>
      </w:numPr>
      <w:ind w:left="720" w:hanging="720"/>
      <w:outlineLvl w:val="1"/>
    </w:pPr>
  </w:style>
  <w:style w:type="paragraph" w:styleId="Heading3">
    <w:name w:val="heading 3"/>
    <w:basedOn w:val="Normal"/>
    <w:next w:val="Normal"/>
    <w:link w:val="Heading3Char"/>
    <w:qFormat/>
    <w:rsid w:val="00FA2D4E"/>
    <w:pPr>
      <w:numPr>
        <w:ilvl w:val="2"/>
        <w:numId w:val="2"/>
      </w:numPr>
      <w:ind w:left="720" w:hanging="720"/>
      <w:outlineLvl w:val="2"/>
    </w:pPr>
  </w:style>
  <w:style w:type="paragraph" w:styleId="Heading4">
    <w:name w:val="heading 4"/>
    <w:basedOn w:val="Normal"/>
    <w:next w:val="Normal"/>
    <w:link w:val="Heading4Char"/>
    <w:qFormat/>
    <w:rsid w:val="00FA2D4E"/>
    <w:pPr>
      <w:numPr>
        <w:ilvl w:val="3"/>
        <w:numId w:val="2"/>
      </w:numPr>
      <w:ind w:left="720" w:hanging="720"/>
      <w:outlineLvl w:val="3"/>
    </w:pPr>
  </w:style>
  <w:style w:type="paragraph" w:styleId="Heading5">
    <w:name w:val="heading 5"/>
    <w:basedOn w:val="Normal"/>
    <w:next w:val="Normal"/>
    <w:link w:val="Heading5Char"/>
    <w:qFormat/>
    <w:rsid w:val="00FA2D4E"/>
    <w:pPr>
      <w:numPr>
        <w:ilvl w:val="4"/>
        <w:numId w:val="2"/>
      </w:numPr>
      <w:ind w:left="720" w:hanging="720"/>
      <w:outlineLvl w:val="4"/>
    </w:pPr>
  </w:style>
  <w:style w:type="paragraph" w:styleId="Heading6">
    <w:name w:val="heading 6"/>
    <w:basedOn w:val="Normal"/>
    <w:next w:val="Normal"/>
    <w:link w:val="Heading6Char"/>
    <w:qFormat/>
    <w:rsid w:val="00FA2D4E"/>
    <w:pPr>
      <w:numPr>
        <w:ilvl w:val="5"/>
        <w:numId w:val="2"/>
      </w:numPr>
      <w:ind w:left="720" w:hanging="720"/>
      <w:outlineLvl w:val="5"/>
    </w:pPr>
  </w:style>
  <w:style w:type="paragraph" w:styleId="Heading7">
    <w:name w:val="heading 7"/>
    <w:basedOn w:val="Normal"/>
    <w:next w:val="Normal"/>
    <w:link w:val="Heading7Char"/>
    <w:qFormat/>
    <w:rsid w:val="00FA2D4E"/>
    <w:pPr>
      <w:numPr>
        <w:ilvl w:val="6"/>
        <w:numId w:val="2"/>
      </w:numPr>
      <w:ind w:left="720" w:hanging="720"/>
      <w:outlineLvl w:val="6"/>
    </w:pPr>
  </w:style>
  <w:style w:type="paragraph" w:styleId="Heading8">
    <w:name w:val="heading 8"/>
    <w:basedOn w:val="Normal"/>
    <w:next w:val="Normal"/>
    <w:link w:val="Heading8Char"/>
    <w:qFormat/>
    <w:rsid w:val="00FA2D4E"/>
    <w:pPr>
      <w:numPr>
        <w:ilvl w:val="7"/>
        <w:numId w:val="2"/>
      </w:numPr>
      <w:ind w:left="720" w:hanging="720"/>
      <w:outlineLvl w:val="7"/>
    </w:pPr>
  </w:style>
  <w:style w:type="paragraph" w:styleId="Heading9">
    <w:name w:val="heading 9"/>
    <w:basedOn w:val="Normal"/>
    <w:next w:val="Normal"/>
    <w:link w:val="Heading9Char"/>
    <w:qFormat/>
    <w:rsid w:val="00FA2D4E"/>
    <w:pPr>
      <w:numPr>
        <w:ilvl w:val="8"/>
        <w:numId w:val="2"/>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4E2E"/>
    <w:rPr>
      <w:rFonts w:ascii="Times New Roman" w:eastAsia="Times New Roman" w:hAnsi="Times New Roman"/>
      <w:kern w:val="28"/>
      <w:sz w:val="22"/>
      <w:lang w:eastAsia="et-EE"/>
    </w:rPr>
  </w:style>
  <w:style w:type="character" w:customStyle="1" w:styleId="Heading2Char">
    <w:name w:val="Heading 2 Char"/>
    <w:link w:val="Heading2"/>
    <w:rsid w:val="00E64E2E"/>
    <w:rPr>
      <w:rFonts w:ascii="Times New Roman" w:eastAsia="Times New Roman" w:hAnsi="Times New Roman"/>
      <w:sz w:val="22"/>
      <w:lang w:eastAsia="et-EE"/>
    </w:rPr>
  </w:style>
  <w:style w:type="character" w:customStyle="1" w:styleId="Heading3Char">
    <w:name w:val="Heading 3 Char"/>
    <w:link w:val="Heading3"/>
    <w:rsid w:val="00E64E2E"/>
    <w:rPr>
      <w:rFonts w:ascii="Times New Roman" w:eastAsia="Times New Roman" w:hAnsi="Times New Roman"/>
      <w:sz w:val="22"/>
      <w:lang w:eastAsia="et-EE"/>
    </w:rPr>
  </w:style>
  <w:style w:type="character" w:customStyle="1" w:styleId="Heading4Char">
    <w:name w:val="Heading 4 Char"/>
    <w:link w:val="Heading4"/>
    <w:rsid w:val="00E64E2E"/>
    <w:rPr>
      <w:rFonts w:ascii="Times New Roman" w:eastAsia="Times New Roman" w:hAnsi="Times New Roman"/>
      <w:sz w:val="22"/>
      <w:lang w:eastAsia="et-EE"/>
    </w:rPr>
  </w:style>
  <w:style w:type="character" w:customStyle="1" w:styleId="Heading5Char">
    <w:name w:val="Heading 5 Char"/>
    <w:link w:val="Heading5"/>
    <w:rsid w:val="00E64E2E"/>
    <w:rPr>
      <w:rFonts w:ascii="Times New Roman" w:eastAsia="Times New Roman" w:hAnsi="Times New Roman"/>
      <w:sz w:val="22"/>
      <w:lang w:eastAsia="et-EE"/>
    </w:rPr>
  </w:style>
  <w:style w:type="character" w:customStyle="1" w:styleId="Heading6Char">
    <w:name w:val="Heading 6 Char"/>
    <w:link w:val="Heading6"/>
    <w:rsid w:val="00E64E2E"/>
    <w:rPr>
      <w:rFonts w:ascii="Times New Roman" w:eastAsia="Times New Roman" w:hAnsi="Times New Roman"/>
      <w:sz w:val="22"/>
      <w:lang w:eastAsia="et-EE"/>
    </w:rPr>
  </w:style>
  <w:style w:type="character" w:customStyle="1" w:styleId="Heading7Char">
    <w:name w:val="Heading 7 Char"/>
    <w:link w:val="Heading7"/>
    <w:rsid w:val="00E64E2E"/>
    <w:rPr>
      <w:rFonts w:ascii="Times New Roman" w:eastAsia="Times New Roman" w:hAnsi="Times New Roman"/>
      <w:sz w:val="22"/>
      <w:lang w:eastAsia="et-EE"/>
    </w:rPr>
  </w:style>
  <w:style w:type="character" w:customStyle="1" w:styleId="Heading8Char">
    <w:name w:val="Heading 8 Char"/>
    <w:link w:val="Heading8"/>
    <w:rsid w:val="00E64E2E"/>
    <w:rPr>
      <w:rFonts w:ascii="Times New Roman" w:eastAsia="Times New Roman" w:hAnsi="Times New Roman"/>
      <w:sz w:val="22"/>
      <w:lang w:eastAsia="et-EE"/>
    </w:rPr>
  </w:style>
  <w:style w:type="character" w:customStyle="1" w:styleId="Heading9Char">
    <w:name w:val="Heading 9 Char"/>
    <w:link w:val="Heading9"/>
    <w:rsid w:val="00E64E2E"/>
    <w:rPr>
      <w:rFonts w:ascii="Times New Roman" w:eastAsia="Times New Roman" w:hAnsi="Times New Roman"/>
      <w:sz w:val="22"/>
      <w:lang w:eastAsia="et-EE"/>
    </w:rPr>
  </w:style>
  <w:style w:type="character" w:styleId="Hyperlink">
    <w:name w:val="Hyperlink"/>
    <w:unhideWhenUsed/>
    <w:rsid w:val="000E609A"/>
    <w:rPr>
      <w:color w:val="0000FF"/>
      <w:u w:val="single"/>
    </w:rPr>
  </w:style>
  <w:style w:type="paragraph" w:styleId="FootnoteText">
    <w:name w:val="footnote text"/>
    <w:basedOn w:val="Normal"/>
    <w:link w:val="FootnoteTextChar"/>
    <w:rsid w:val="00FA2D4E"/>
    <w:pPr>
      <w:keepLines/>
      <w:spacing w:after="60" w:line="240" w:lineRule="auto"/>
      <w:ind w:left="720" w:hanging="720"/>
    </w:pPr>
    <w:rPr>
      <w:sz w:val="16"/>
    </w:rPr>
  </w:style>
  <w:style w:type="character" w:customStyle="1" w:styleId="FootnoteTextChar">
    <w:name w:val="Footnote Text Char"/>
    <w:link w:val="FootnoteText"/>
    <w:rsid w:val="009A1FB1"/>
    <w:rPr>
      <w:rFonts w:ascii="Times New Roman" w:eastAsia="Times New Roman" w:hAnsi="Times New Roman"/>
      <w:sz w:val="16"/>
      <w:lang w:eastAsia="et-EE"/>
    </w:rPr>
  </w:style>
  <w:style w:type="character" w:styleId="FootnoteReference">
    <w:name w:val="footnote reference"/>
    <w:basedOn w:val="DefaultParagraphFont"/>
    <w:rsid w:val="00FA2D4E"/>
    <w:rPr>
      <w:sz w:val="24"/>
      <w:vertAlign w:val="superscript"/>
    </w:rPr>
  </w:style>
  <w:style w:type="paragraph" w:styleId="Header">
    <w:name w:val="header"/>
    <w:basedOn w:val="Normal"/>
    <w:link w:val="HeaderChar"/>
    <w:rsid w:val="00FA2D4E"/>
  </w:style>
  <w:style w:type="character" w:customStyle="1" w:styleId="HeaderChar">
    <w:name w:val="Header Char"/>
    <w:link w:val="Header"/>
    <w:rsid w:val="00561F00"/>
    <w:rPr>
      <w:rFonts w:ascii="Times New Roman" w:eastAsia="Times New Roman" w:hAnsi="Times New Roman"/>
      <w:sz w:val="22"/>
      <w:lang w:eastAsia="et-EE"/>
    </w:rPr>
  </w:style>
  <w:style w:type="paragraph" w:styleId="Footer">
    <w:name w:val="footer"/>
    <w:basedOn w:val="Normal"/>
    <w:link w:val="FooterChar"/>
    <w:rsid w:val="00FA2D4E"/>
  </w:style>
  <w:style w:type="character" w:customStyle="1" w:styleId="FooterChar">
    <w:name w:val="Footer Char"/>
    <w:link w:val="Footer"/>
    <w:rsid w:val="00561F00"/>
    <w:rPr>
      <w:rFonts w:ascii="Times New Roman" w:eastAsia="Times New Roman" w:hAnsi="Times New Roman"/>
      <w:sz w:val="22"/>
      <w:lang w:eastAsia="et-EE"/>
    </w:rPr>
  </w:style>
  <w:style w:type="paragraph" w:styleId="Revision">
    <w:name w:val="Revision"/>
    <w:hidden/>
    <w:uiPriority w:val="99"/>
    <w:semiHidden/>
    <w:rsid w:val="008D041B"/>
    <w:rPr>
      <w:sz w:val="22"/>
      <w:szCs w:val="22"/>
    </w:rPr>
  </w:style>
  <w:style w:type="character" w:styleId="FollowedHyperlink">
    <w:name w:val="FollowedHyperlink"/>
    <w:uiPriority w:val="99"/>
    <w:semiHidden/>
    <w:unhideWhenUsed/>
    <w:rsid w:val="00C80B82"/>
    <w:rPr>
      <w:color w:val="800080"/>
      <w:u w:val="single"/>
    </w:rPr>
  </w:style>
  <w:style w:type="paragraph" w:styleId="BalloonText">
    <w:name w:val="Balloon Text"/>
    <w:basedOn w:val="Normal"/>
    <w:link w:val="BalloonTextChar"/>
    <w:uiPriority w:val="99"/>
    <w:semiHidden/>
    <w:unhideWhenUsed/>
    <w:rsid w:val="00CE68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F7"/>
    <w:rPr>
      <w:rFonts w:ascii="Tahoma" w:eastAsia="Times New Roman" w:hAnsi="Tahoma" w:cs="Tahoma"/>
      <w:sz w:val="16"/>
      <w:szCs w:val="16"/>
      <w:lang w:eastAsia="et-EE"/>
    </w:rPr>
  </w:style>
  <w:style w:type="paragraph" w:styleId="ListParagraph">
    <w:name w:val="List Paragraph"/>
    <w:basedOn w:val="Normal"/>
    <w:uiPriority w:val="34"/>
    <w:qFormat/>
    <w:rsid w:val="00436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514559">
      <w:bodyDiv w:val="1"/>
      <w:marLeft w:val="0"/>
      <w:marRight w:val="0"/>
      <w:marTop w:val="0"/>
      <w:marBottom w:val="0"/>
      <w:divBdr>
        <w:top w:val="none" w:sz="0" w:space="0" w:color="auto"/>
        <w:left w:val="none" w:sz="0" w:space="0" w:color="auto"/>
        <w:bottom w:val="none" w:sz="0" w:space="0" w:color="auto"/>
        <w:right w:val="none" w:sz="0" w:space="0" w:color="auto"/>
      </w:divBdr>
      <w:divsChild>
        <w:div w:id="209894049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eesc.europa.eu/"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eesc.europa.eu/"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41;#REX|6820eaf5-116e-436b-ad9c-156f8a94c2a1;#51;#DT|25c86c03-f029-4a57-bd6c-25106fad060c;#6;#EN|f2175f21-25d7-44a3-96da-d6a61b075e1b;#5;#Unrestricted|826e22d7-d029-4ec0-a450-0c28ff673572;#2;#TRA|150d2a88-1431-44e6-a8ca-0bb753ab8672;#117;#REX/420|b699b776-318c-48f2-addc-ccf46d46ffbe;#1;#EESC|422833ec-8d7e-4e65-8e4e-8bed07ffb729]]></LongProp>
</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7C4C6B888C88648859301E5DC39021F" ma:contentTypeVersion="7" ma:contentTypeDescription="Defines the documents for Document Manager V2" ma:contentTypeScope="" ma:versionID="0a6b6afaaae622956df9a131e1dfe56d">
  <xsd:schema xmlns:xsd="http://www.w3.org/2001/XMLSchema" xmlns:xs="http://www.w3.org/2001/XMLSchema" xmlns:p="http://schemas.microsoft.com/office/2006/metadata/properties" xmlns:ns2="949ff7b9-ac16-4cac-b916-60a333a9bf9d" xmlns:ns3="http://schemas.microsoft.com/sharepoint/v3/fields" xmlns:ns4="65b73678-9262-4d7f-9e02-68c3d086faf0" targetNamespace="http://schemas.microsoft.com/office/2006/metadata/properties" ma:root="true" ma:fieldsID="aff103003414b61c6abe39bb627eabd2" ns2:_="" ns3:_="" ns4:_="">
    <xsd:import namespace="949ff7b9-ac16-4cac-b916-60a333a9bf9d"/>
    <xsd:import namespace="http://schemas.microsoft.com/sharepoint/v3/fields"/>
    <xsd:import namespace="65b73678-9262-4d7f-9e02-68c3d086faf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4:MeetingNumber" minOccurs="0"/>
                <xsd:element ref="ns3:MeetingName_0" minOccurs="0"/>
                <xsd:element ref="ns2:TaxCatchAll" minOccurs="0"/>
                <xsd:element ref="ns2:TaxCatchAllLabel" minOccurs="0"/>
                <xsd:element ref="ns3:DocumentLanguage_0" minOccurs="0"/>
                <xsd:element ref="ns2:DocumentNumber" minOccurs="0"/>
                <xsd:element ref="ns2:Rapporteur" minOccurs="0"/>
                <xsd:element ref="ns2:RequestingService" minOccurs="0"/>
                <xsd:element ref="ns2:DocumentPart" minOccurs="0"/>
                <xsd:element ref="ns2:AdoptionDate" minOccurs="0"/>
                <xsd:element ref="ns2:DossierNumber" minOccurs="0"/>
                <xsd:element ref="ns3:Confidentiality_0" minOccurs="0"/>
                <xsd:element ref="ns2:FicheNumber" minOccurs="0"/>
                <xsd:element ref="ns2:Procedure" minOccurs="0"/>
                <xsd:element ref="ns2:DocumentVersion" minOccurs="0"/>
                <xsd:element ref="ns3:DossierName_0" minOccurs="0"/>
                <xsd:element ref="ns2:FicheYear" minOccurs="0"/>
                <xsd:element ref="ns3:DocumentType_0" minOccurs="0"/>
                <xsd:element ref="ns3:DocumentStatus_0" minOccurs="0"/>
                <xsd:element ref="ns3:AvailableTranslations_0" minOccurs="0"/>
                <xsd:element ref="ns3:DocumentSource_0" minOccurs="0"/>
                <xsd:element ref="ns3:OriginalLanguage_0" minOccurs="0"/>
                <xsd:element ref="ns2:DocumentYear"/>
                <xsd:element ref="ns2:MeetingDate" minOccurs="0"/>
                <xsd:element ref="ns3:VersionStatus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ff7b9-ac16-4cac-b916-60a333a9bf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TaxCatchAll" ma:index="15" nillable="true" ma:displayName="Taxonomy Catch All Column" ma:hidden="true" ma:list="{3de8a310-458d-4626-b67f-b7f3c0b5774d}" ma:internalName="TaxCatchAll" ma:showField="CatchAllData" ma:web="949ff7b9-ac16-4cac-b916-60a333a9bf9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de8a310-458d-4626-b67f-b7f3c0b5774d}" ma:internalName="TaxCatchAllLabel" ma:readOnly="true" ma:showField="CatchAllDataLabel" ma:web="949ff7b9-ac16-4cac-b916-60a333a9bf9d">
      <xsd:complexType>
        <xsd:complexContent>
          <xsd:extension base="dms:MultiChoiceLookup">
            <xsd:sequence>
              <xsd:element name="Value" type="dms:Lookup" maxOccurs="unbounded" minOccurs="0" nillable="true"/>
            </xsd:sequence>
          </xsd:extension>
        </xsd:complexContent>
      </xsd:complexType>
    </xsd:element>
    <xsd:element name="DocumentNumber" ma:index="19" nillable="true" ma:displayName="Document Number" ma:indexed="true" ma:internalName="DocumentNumber" ma:readOnly="false">
      <xsd:simpleType>
        <xsd:restriction base="dms:Unknown"/>
      </xsd:simpleType>
    </xsd:element>
    <xsd:element name="Rapporteur" ma:index="20" nillable="true" ma:displayName="Rapporteur" ma:internalName="Rapporteur" ma:readOnly="false">
      <xsd:simpleType>
        <xsd:restriction base="dms:Text"/>
      </xsd:simpleType>
    </xsd:element>
    <xsd:element name="RequestingService" ma:index="21" nillable="true" ma:displayName="Requesting Service" ma:internalName="RequestingService" ma:readOnly="false">
      <xsd:simpleType>
        <xsd:restriction base="dms:Text"/>
      </xsd:simpleType>
    </xsd:element>
    <xsd:element name="DocumentPart" ma:index="22" nillable="true" ma:displayName="Document Part" ma:decimals="0" ma:internalName="DocumentPart" ma:readOnly="false">
      <xsd:simpleType>
        <xsd:restriction base="dms:Unknown"/>
      </xsd:simpleType>
    </xsd:element>
    <xsd:element name="AdoptionDate" ma:index="23" nillable="true" ma:displayName="Adoption Date" ma:format="DateOnly" ma:internalName="AdoptionDate" ma:readOnly="false">
      <xsd:simpleType>
        <xsd:restriction base="dms:DateTime"/>
      </xsd:simpleType>
    </xsd:element>
    <xsd:element name="DossierNumber" ma:index="24" nillable="true" ma:displayName="Dossier Number" ma:decimals="0" ma:internalName="DossierNumber" ma:readOnly="false">
      <xsd:simpleType>
        <xsd:restriction base="dms:Unknown"/>
      </xsd:simpleType>
    </xsd:element>
    <xsd:element name="FicheNumber" ma:index="27" nillable="true" ma:displayName="Fiche Number" ma:decimals="0" ma:internalName="FicheNumber" ma:readOnly="false">
      <xsd:simpleType>
        <xsd:restriction base="dms:Unknown"/>
      </xsd:simpleType>
    </xsd:element>
    <xsd:element name="Procedure" ma:index="28" nillable="true" ma:displayName="Procedure" ma:internalName="Procedure" ma:readOnly="false">
      <xsd:simpleType>
        <xsd:restriction base="dms:Text"/>
      </xsd:simpleType>
    </xsd:element>
    <xsd:element name="DocumentVersion" ma:index="29" nillable="true" ma:displayName="Document Version" ma:decimals="0" ma:internalName="DocumentVersion" ma:readOnly="false">
      <xsd:simpleType>
        <xsd:restriction base="dms:Unknown"/>
      </xsd:simpleType>
    </xsd:element>
    <xsd:element name="FicheYear" ma:index="32" nillable="true" ma:displayName="Fiche Year" ma:decimals="0" ma:internalName="FicheYear" ma:readOnly="false">
      <xsd:simpleType>
        <xsd:restriction base="dms:Unknown"/>
      </xsd:simpleType>
    </xsd:element>
    <xsd:element name="DocumentYear" ma:index="43"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MeetingName_0" ma:index="14"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Language_0" ma:index="18"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25"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30"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33"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5"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7"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DocumentSource_0" ma:index="39"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41"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5"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b73678-9262-4d7f-9e02-68c3d086faf0" elementFormDefault="qualified">
    <xsd:import namespace="http://schemas.microsoft.com/office/2006/documentManagement/types"/>
    <xsd:import namespace="http://schemas.microsoft.com/office/infopath/2007/PartnerControls"/>
    <xsd:element name="MeetingNumber" ma:index="13"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49ff7b9-ac16-4cac-b916-60a333a9bf9d">Q4AU5J5HWUN2-11-3338</_dlc_DocId>
    <_dlc_DocIdUrl xmlns="949ff7b9-ac16-4cac-b916-60a333a9bf9d">
      <Url>http://dm/EESC/2014/_layouts/DocIdRedir.aspx?ID=Q4AU5J5HWUN2-11-3338</Url>
      <Description>Q4AU5J5HWUN2-11-3338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TermName>
          <TermId xmlns="http://schemas.microsoft.com/office/infopath/2007/PartnerControls">0e66e8df-1601-4fe1-947b-eb539760261a</TermId>
        </TermInfo>
      </Terms>
    </DocumentType_0>
    <Procedure xmlns="949ff7b9-ac16-4cac-b916-60a333a9bf9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949ff7b9-ac16-4cac-b916-60a333a9bf9d">2015-05-08T12:00:00+00:00</ProductionDate>
    <DocumentNumber xmlns="949ff7b9-ac16-4cac-b916-60a333a9bf9d">7333</DocumentNumber>
    <FicheYear xmlns="949ff7b9-ac16-4cac-b916-60a333a9bf9d">2015</FicheYear>
    <DossierNumber xmlns="949ff7b9-ac16-4cac-b916-60a333a9bf9d">432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TaxCatchAll xmlns="949ff7b9-ac16-4cac-b916-60a333a9bf9d">
      <Value>93</Value>
      <Value>41</Value>
      <Value>38</Value>
      <Value>37</Value>
      <Value>30</Value>
      <Value>35</Value>
      <Value>34</Value>
      <Value>33</Value>
      <Value>32</Value>
      <Value>31</Value>
      <Value>28</Value>
      <Value>29</Value>
      <Value>71</Value>
      <Value>27</Value>
      <Value>25</Value>
      <Value>24</Value>
      <Value>23</Value>
      <Value>22</Value>
      <Value>21</Value>
      <Value>19</Value>
      <Value>18</Value>
      <Value>12</Value>
      <Value>10</Value>
      <Value>9</Value>
      <Value>6</Value>
      <Value>5</Value>
      <Value>4</Value>
      <Value>144</Value>
      <Value>2</Value>
      <Value>1</Value>
    </TaxCatchAll>
    <MeetingDate xmlns="949ff7b9-ac16-4cac-b916-60a333a9bf9d">2015-05-27T12:00:00+00:00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Obsolete</TermName>
          <TermId xmlns="http://schemas.microsoft.com/office/infopath/2007/PartnerControls">ef7b2089-53ec-4293-a3a0-fe07d3abc41e</TermId>
        </TermInfo>
      </Terms>
    </VersionStatus_0>
    <Rapporteur xmlns="949ff7b9-ac16-4cac-b916-60a333a9bf9d">VAREIKYTĖ</Rapporteur>
    <DocumentYear xmlns="949ff7b9-ac16-4cac-b916-60a333a9bf9d">2014</DocumentYear>
    <FicheNumber xmlns="949ff7b9-ac16-4cac-b916-60a333a9bf9d">4808</FicheNumber>
    <AdoptionDate xmlns="949ff7b9-ac16-4cac-b916-60a333a9bf9d" xsi:nil="true"/>
    <DocumentPart xmlns="949ff7b9-ac16-4cac-b916-60a333a9bf9d">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949ff7b9-ac16-4cac-b916-60a333a9bf9d">Relations extérieures</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MeetingNumber xmlns="65b73678-9262-4d7f-9e02-68c3d086faf0">508</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949ff7b9-ac16-4cac-b916-60a333a9bf9d">1</DocumentVersion>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0C453-56C6-4861-A6EC-BD7936DD0D96}"/>
</file>

<file path=customXml/itemProps2.xml><?xml version="1.0" encoding="utf-8"?>
<ds:datastoreItem xmlns:ds="http://schemas.openxmlformats.org/officeDocument/2006/customXml" ds:itemID="{8EEF3825-E1D2-4F83-9DF9-EF63A68DF996}"/>
</file>

<file path=customXml/itemProps3.xml><?xml version="1.0" encoding="utf-8"?>
<ds:datastoreItem xmlns:ds="http://schemas.openxmlformats.org/officeDocument/2006/customXml" ds:itemID="{678C141A-8AA0-4FEC-AD8F-20D9C342FD43}"/>
</file>

<file path=customXml/itemProps4.xml><?xml version="1.0" encoding="utf-8"?>
<ds:datastoreItem xmlns:ds="http://schemas.openxmlformats.org/officeDocument/2006/customXml" ds:itemID="{FF1B3D7F-D0BA-46C6-8808-268622D815D4}"/>
</file>

<file path=customXml/itemProps5.xml><?xml version="1.0" encoding="utf-8"?>
<ds:datastoreItem xmlns:ds="http://schemas.openxmlformats.org/officeDocument/2006/customXml" ds:itemID="{C75A71AD-D76A-4A30-9CCB-E55FE5B2DCB4}"/>
</file>

<file path=customXml/itemProps6.xml><?xml version="1.0" encoding="utf-8"?>
<ds:datastoreItem xmlns:ds="http://schemas.openxmlformats.org/officeDocument/2006/customXml" ds:itemID="{1A078E55-BFB2-4796-84C8-C67203F70DEF}"/>
</file>

<file path=docProps/app.xml><?xml version="1.0" encoding="utf-8"?>
<Properties xmlns="http://schemas.openxmlformats.org/officeDocument/2006/extended-properties" xmlns:vt="http://schemas.openxmlformats.org/officeDocument/2006/docPropsVTypes">
  <Template>Styles.dotm</Template>
  <TotalTime>4</TotalTime>
  <Pages>3</Pages>
  <Words>2430</Words>
  <Characters>18060</Characters>
  <Application>Microsoft Office Word</Application>
  <DocSecurity>0</DocSecurity>
  <Lines>351</Lines>
  <Paragraphs>70</Paragraphs>
  <ScaleCrop>false</ScaleCrop>
  <HeadingPairs>
    <vt:vector size="2" baseType="variant">
      <vt:variant>
        <vt:lpstr>Title</vt:lpstr>
      </vt:variant>
      <vt:variant>
        <vt:i4>1</vt:i4>
      </vt:variant>
    </vt:vector>
  </HeadingPairs>
  <TitlesOfParts>
    <vt:vector size="1" baseType="lpstr">
      <vt:lpstr>Meedia kasutamine sotsiaalsete ja poliitiliste protsesside mõjutamiseks ELis ja idapoolsetes naaberriikides</vt:lpstr>
    </vt:vector>
  </TitlesOfParts>
  <Company>CESE-CdR</Company>
  <LinksUpToDate>false</LinksUpToDate>
  <CharactersWithSpaces>20419</CharactersWithSpaces>
  <SharedDoc>false</SharedDoc>
  <HLinks>
    <vt:vector size="18" baseType="variant">
      <vt:variant>
        <vt:i4>7864427</vt:i4>
      </vt:variant>
      <vt:variant>
        <vt:i4>3</vt:i4>
      </vt:variant>
      <vt:variant>
        <vt:i4>0</vt:i4>
      </vt:variant>
      <vt:variant>
        <vt:i4>5</vt:i4>
      </vt:variant>
      <vt:variant>
        <vt:lpwstr>http://www.unesco.org/new/en/communication-and-information/resources/publications-and-communication-materials/publications/full-list/media-education-a-kit-for-teachers-students-parents-and-professionals/</vt:lpwstr>
      </vt:variant>
      <vt:variant>
        <vt:lpwstr/>
      </vt:variant>
      <vt:variant>
        <vt:i4>65564</vt:i4>
      </vt:variant>
      <vt:variant>
        <vt:i4>0</vt:i4>
      </vt:variant>
      <vt:variant>
        <vt:i4>0</vt:i4>
      </vt:variant>
      <vt:variant>
        <vt:i4>5</vt:i4>
      </vt:variant>
      <vt:variant>
        <vt:lpwstr>https://freedomhouse.org/report/freedom-press/2014/russia</vt:lpwstr>
      </vt:variant>
      <vt:variant>
        <vt:lpwstr>.VNft60LwiRs</vt:lpwstr>
      </vt:variant>
      <vt:variant>
        <vt:i4>2228330</vt:i4>
      </vt:variant>
      <vt:variant>
        <vt:i4>0</vt:i4>
      </vt:variant>
      <vt:variant>
        <vt:i4>0</vt:i4>
      </vt:variant>
      <vt:variant>
        <vt:i4>5</vt:i4>
      </vt:variant>
      <vt:variant>
        <vt:lpwstr>http://www.eesc.europa.eu/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Meedia kasutamine sotsiaalsete ja poliitiliste protsesside mõjutamiseks ELis ja idapoolsetes naaberriikides</dc:title>
  <dc:subject>Teabearuanne</dc:subject>
  <dc:creator/>
  <cp:keywords>EESC-2014-07333-00-01-RI-TRA-ET</cp:keywords>
  <dc:description>Rapporteur: VAREIKYTE_x000d_
Original language: EN_x000d_
Date of document: 08/05/2015_x000d_
Date of meeting: 27/05/2015_x000d_
External documents: -_x000d_
Administrator responsible: Ernsteina Laura, telephone: + 2 546 9194_x000d_
_x000d_
Abstract:</dc:description>
  <cp:lastModifiedBy>Aili Rosenberg</cp:lastModifiedBy>
  <cp:revision>5</cp:revision>
  <cp:lastPrinted>2015-03-18T14:55:00Z</cp:lastPrinted>
  <dcterms:created xsi:type="dcterms:W3CDTF">2015-05-08T07:36:00Z</dcterms:created>
  <dcterms:modified xsi:type="dcterms:W3CDTF">2015-05-08T07:39:00Z</dcterms:modified>
  <cp:category>REX/432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15/04/2015, 18/03/2015, 11/03/2015, 11/03/2015, 11/02/2015, 11/02/2015, 11/02/2015, 22/12/2014</vt:lpwstr>
  </property>
  <property fmtid="{D5CDD505-2E9C-101B-9397-08002B2CF9AE}" pid="4" name="Pref_Time">
    <vt:lpwstr>12/33/57, 17/35/29, 15/30/22, 15/22/12, 15/43/31, 15/17/23, 13/33/04, 16:59:06</vt:lpwstr>
  </property>
  <property fmtid="{D5CDD505-2E9C-101B-9397-08002B2CF9AE}" pid="5" name="Pref_User">
    <vt:lpwstr>amett, dtai, tvoc, YMUR, mkop, jhvi, gharr, akli</vt:lpwstr>
  </property>
  <property fmtid="{D5CDD505-2E9C-101B-9397-08002B2CF9AE}" pid="6" name="Pref_FileName">
    <vt:lpwstr>EESC-2014-07333-00-00-PRI-ORI.docx, EESC-2014-07333-00-00-APRI-ORI.docx, EESC-2014-07333-00-00-APA-TRA-EN-CRR.docx, EESC-2014-07333-00-00-APA-CRR-EN.docx, EESC-2014-07333-00-00-DT-ORI.docx, EESC-2014-07333-00-00-DT-TRA-EN-CRR.docx, EESC-2014-07333-00-00-D</vt:lpwstr>
  </property>
  <property fmtid="{D5CDD505-2E9C-101B-9397-08002B2CF9AE}" pid="7" name="_dlc_DocId">
    <vt:lpwstr>Q4AU5J5HWUN2-10-5827</vt:lpwstr>
  </property>
  <property fmtid="{D5CDD505-2E9C-101B-9397-08002B2CF9AE}" pid="8" name="_dlc_DocIdItemGuid">
    <vt:lpwstr>02400a67-6c69-4389-bbbd-fe472f6f47c7</vt:lpwstr>
  </property>
  <property fmtid="{D5CDD505-2E9C-101B-9397-08002B2CF9AE}" pid="9" name="_dlc_DocIdUrl">
    <vt:lpwstr>http://dm/EESC/2014/_layouts/DocIdRedir.aspx?ID=Q4AU5J5HWUN2-10-5827, Q4AU5J5HWUN2-10-5827</vt:lpwstr>
  </property>
  <property fmtid="{D5CDD505-2E9C-101B-9397-08002B2CF9AE}" pid="10" name="DocumentSourceAsText">
    <vt:lpwstr>CES</vt:lpwstr>
  </property>
  <property fmtid="{D5CDD505-2E9C-101B-9397-08002B2CF9AE}" pid="11" name="DocumentTypeAsText">
    <vt:lpwstr>DT</vt:lpwstr>
  </property>
  <property fmtid="{D5CDD505-2E9C-101B-9397-08002B2CF9AE}" pid="12" name="DocumentYearAsText">
    <vt:lpwstr>2014</vt:lpwstr>
  </property>
  <property fmtid="{D5CDD505-2E9C-101B-9397-08002B2CF9AE}" pid="13" name="MeetingDateAsText">
    <vt:lpwstr>2015-01-07</vt:lpwstr>
  </property>
  <property fmtid="{D5CDD505-2E9C-101B-9397-08002B2CF9AE}" pid="14" name="ConfidentialityAsText">
    <vt:lpwstr>Unrestricted</vt:lpwstr>
  </property>
  <property fmtid="{D5CDD505-2E9C-101B-9397-08002B2CF9AE}" pid="15" name="DocumentPartAsText">
    <vt:lpwstr>00</vt:lpwstr>
  </property>
  <property fmtid="{D5CDD505-2E9C-101B-9397-08002B2CF9AE}" pid="16" name="DocumentVersionAsText">
    <vt:lpwstr>00</vt:lpwstr>
  </property>
  <property fmtid="{D5CDD505-2E9C-101B-9397-08002B2CF9AE}" pid="17" name="DossierNameAsText">
    <vt:lpwstr>REX</vt:lpwstr>
  </property>
  <property fmtid="{D5CDD505-2E9C-101B-9397-08002B2CF9AE}" pid="18" name="DocumentLanguageAsText">
    <vt:lpwstr>EN</vt:lpwstr>
  </property>
  <property fmtid="{D5CDD505-2E9C-101B-9397-08002B2CF9AE}" pid="19" name="DocumentStatusAsText">
    <vt:lpwstr>TRA</vt:lpwstr>
  </property>
  <property fmtid="{D5CDD505-2E9C-101B-9397-08002B2CF9AE}" pid="20" name="DocumentNumberAsText">
    <vt:lpwstr>6949</vt:lpwstr>
  </property>
  <property fmtid="{D5CDD505-2E9C-101B-9397-08002B2CF9AE}" pid="21" name="RequestingServiceAsText">
    <vt:lpwstr>Unité REX</vt:lpwstr>
  </property>
  <property fmtid="{D5CDD505-2E9C-101B-9397-08002B2CF9AE}" pid="22" name="MeetingNameAsText">
    <vt:lpwstr>REX/420</vt:lpwstr>
  </property>
  <property fmtid="{D5CDD505-2E9C-101B-9397-08002B2CF9AE}" pid="23" name="DossierNumberAsText">
    <vt:lpwstr>420</vt:lpwstr>
  </property>
  <property fmtid="{D5CDD505-2E9C-101B-9397-08002B2CF9AE}" pid="24" name="RapporteurAsText">
    <vt:lpwstr>SIBIAN</vt:lpwstr>
  </property>
  <property fmtid="{D5CDD505-2E9C-101B-9397-08002B2CF9AE}" pid="25" name="FicheNumberAsText">
    <vt:lpwstr>11567</vt:lpwstr>
  </property>
  <property fmtid="{D5CDD505-2E9C-101B-9397-08002B2CF9AE}" pid="26" name="FicheYearAsText">
    <vt:lpwstr>2014</vt:lpwstr>
  </property>
  <property fmtid="{D5CDD505-2E9C-101B-9397-08002B2CF9AE}" pid="27" name="ProductionDateAsText">
    <vt:lpwstr>2014-12-22</vt:lpwstr>
  </property>
  <property fmtid="{D5CDD505-2E9C-101B-9397-08002B2CF9AE}" pid="28" name="OriginalLanguageAsText">
    <vt:lpwstr>EN</vt:lpwstr>
  </property>
  <property fmtid="{D5CDD505-2E9C-101B-9397-08002B2CF9AE}" pid="29" name="AvailableTranslations">
    <vt:lpwstr>10;#PT|50ccc04a-eadd-42ae-a0cb-acaf45f812ba;#18;#PL|1e03da61-4678-4e07-b136-b5024ca9197b;#35;#SL|98a412ae-eb01-49e9-ae3d-585a81724cfc;#31;#HU|6b229040-c589-4408-b4c1-4285663d20a8;#9;#ES|e7a6b05b-ae16-40c8-add9-68b64b03aeba;#24;#SK|46d9fce0-ef79-4f71-b89b-cd6aa82426b8;#6;#EN|f2175f21-25d7-44a3-96da-d6a61b075e1b;#38;#RO|feb747a2-64cd-4299-af12-4833ddc30497;#37;#MT|7df99101-6854-4a26-b53a-b88c0da02c26;#21;#EL|6d4f4d51-af9b-4650-94b4-4276bee85c91;#4;#FR|d2afafd3-4c81-4f60-8f52-ee33f2f54ff3;#28;#LV|46f7e311-5d9f-4663-b433-18aeccb7ace7;#33;#LT|a7ff5ce7-6123-4f68-865a-a57c31810414;#25;#FI|87606a43-d45f-42d6-b8c9-e1a3457db5b7;#32;#HR|2f555653-ed1a-4fe6-8362-9082d95989e5;#12;#DE|f6b31e5a-26fa-4935-b661-318e46daf27e;#27;#SV|c2ed69e7-a339-43d7-8f22-d93680a92aa0;#19;#IT|0774613c-01ed-4e5d-a25d-11d2388de825;#29;#DA|5d49c027-8956-412b-aa16-e85a0f96ad0e;#23;#CS|72f9705b-0217-4fd3-bea2-cbc7ed80e26e;#34;#ET|ff6c3f4c-b02c-4c3c-ab07-2c37995a7a0a;#22;#NL|55c6556c-b4f4-441d-9acf-c498d4f838bd;#30;#BG|1a1b3951-7821-4e6a-85f5-5673fc08bd2c</vt:lpwstr>
  </property>
  <property fmtid="{D5CDD505-2E9C-101B-9397-08002B2CF9AE}" pid="30" name="OriginalLanguage">
    <vt:lpwstr>6;#EN|f2175f21-25d7-44a3-96da-d6a61b075e1b</vt:lpwstr>
  </property>
  <property fmtid="{D5CDD505-2E9C-101B-9397-08002B2CF9AE}" pid="31" name="MeetingName">
    <vt:lpwstr>93;#SPL-CES|32d8cb1f-c9ec-4365-95c7-8385a18618ac</vt:lpwstr>
  </property>
  <property fmtid="{D5CDD505-2E9C-101B-9397-08002B2CF9AE}" pid="32" name="DocumentStatus">
    <vt:lpwstr>2;#TRA|150d2a88-1431-44e6-a8ca-0bb753ab8672</vt:lpwstr>
  </property>
  <property fmtid="{D5CDD505-2E9C-101B-9397-08002B2CF9AE}" pid="33" name="DossierName">
    <vt:lpwstr>41;#REX|6820eaf5-116e-436b-ad9c-156f8a94c2a1</vt:lpwstr>
  </property>
  <property fmtid="{D5CDD505-2E9C-101B-9397-08002B2CF9AE}" pid="34" name="DocumentType">
    <vt:lpwstr>71;#RI|0e66e8df-1601-4fe1-947b-eb539760261a</vt:lpwstr>
  </property>
  <property fmtid="{D5CDD505-2E9C-101B-9397-08002B2CF9AE}" pid="35" name="DocumentSource">
    <vt:lpwstr>1;#EESC|422833ec-8d7e-4e65-8e4e-8bed07ffb729</vt:lpwstr>
  </property>
  <property fmtid="{D5CDD505-2E9C-101B-9397-08002B2CF9AE}" pid="36" name="Confidentiality">
    <vt:lpwstr>5;#Unrestricted|826e22d7-d029-4ec0-a450-0c28ff673572</vt:lpwstr>
  </property>
  <property fmtid="{D5CDD505-2E9C-101B-9397-08002B2CF9AE}" pid="37" name="ContentTypeId">
    <vt:lpwstr>0x010100EA97B91038054C99906057A708A1480A0077C4C6B888C88648859301E5DC39021F</vt:lpwstr>
  </property>
  <property fmtid="{D5CDD505-2E9C-101B-9397-08002B2CF9AE}" pid="38" name="DocumentLanguage">
    <vt:lpwstr>34;#ET|ff6c3f4c-b02c-4c3c-ab07-2c37995a7a0a</vt:lpwstr>
  </property>
  <property fmtid="{D5CDD505-2E9C-101B-9397-08002B2CF9AE}" pid="39" name="StyleCheckSum">
    <vt:lpwstr>42683_C21472_P221_L53</vt:lpwstr>
  </property>
  <property fmtid="{D5CDD505-2E9C-101B-9397-08002B2CF9AE}" pid="40" name="DocumentType_0">
    <vt:lpwstr>DT|25c86c03-f029-4a57-bd6c-25106fad060c</vt:lpwstr>
  </property>
  <property fmtid="{D5CDD505-2E9C-101B-9397-08002B2CF9AE}" pid="41" name="DossierName_0">
    <vt:lpwstr>REX|6820eaf5-116e-436b-ad9c-156f8a94c2a1</vt:lpwstr>
  </property>
  <property fmtid="{D5CDD505-2E9C-101B-9397-08002B2CF9AE}" pid="42" name="DocumentSource_0">
    <vt:lpwstr>EESC|422833ec-8d7e-4e65-8e4e-8bed07ffb729</vt:lpwstr>
  </property>
  <property fmtid="{D5CDD505-2E9C-101B-9397-08002B2CF9AE}" pid="43" name="Confidentiality_0">
    <vt:lpwstr>Unrestricted|826e22d7-d029-4ec0-a450-0c28ff673572</vt:lpwstr>
  </property>
  <property fmtid="{D5CDD505-2E9C-101B-9397-08002B2CF9AE}" pid="44" name="DocumentStatus_0">
    <vt:lpwstr>TRA|150d2a88-1431-44e6-a8ca-0bb753ab8672</vt:lpwstr>
  </property>
  <property fmtid="{D5CDD505-2E9C-101B-9397-08002B2CF9AE}" pid="45" name="OriginalLanguage_0">
    <vt:lpwstr>EN|f2175f21-25d7-44a3-96da-d6a61b075e1b</vt:lpwstr>
  </property>
  <property fmtid="{D5CDD505-2E9C-101B-9397-08002B2CF9AE}" pid="46" name="AvailableTranslations_0">
    <vt:lpwstr>EN|f2175f21-25d7-44a3-96da-d6a61b075e1b</vt:lpwstr>
  </property>
  <property fmtid="{D5CDD505-2E9C-101B-9397-08002B2CF9AE}" pid="47" name="DocumentLanguage_0">
    <vt:lpwstr>EN|f2175f21-25d7-44a3-96da-d6a61b075e1b</vt:lpwstr>
  </property>
  <property fmtid="{D5CDD505-2E9C-101B-9397-08002B2CF9AE}" pid="48" name="TaxCatchAll">
    <vt:lpwstr>41;#REX|6820eaf5-116e-436b-ad9c-156f8a94c2a1;#51;#DT|25c86c03-f029-4a57-bd6c-25106fad060c;#6;#EN|f2175f21-25d7-44a3-96da-d6a61b075e1b;#5;#Unrestricted|826e22d7-d029-4ec0-a450-0c28ff673572;#2;#TRA|150d2a88-1431-44e6-a8ca-0bb753ab8672;#117;#REX/420|b699b776-318c-48f2-addc-ccf46d46ffbe;#1;#EESC|422833ec-8d7e-4e65-8e4e-8bed07ffb729</vt:lpwstr>
  </property>
  <property fmtid="{D5CDD505-2E9C-101B-9397-08002B2CF9AE}" pid="49" name="MeetingName_0">
    <vt:lpwstr>REX/420|b699b776-318c-48f2-addc-ccf46d46ffbe</vt:lpwstr>
  </property>
  <property fmtid="{D5CDD505-2E9C-101B-9397-08002B2CF9AE}" pid="50" name="VersionStatus">
    <vt:lpwstr>144;#Obsolete|ef7b2089-53ec-4293-a3a0-fe07d3abc41e</vt:lpwstr>
  </property>
  <property fmtid="{D5CDD505-2E9C-101B-9397-08002B2CF9AE}" pid="51" name="VersionStatus_0">
    <vt:lpwstr/>
  </property>
</Properties>
</file>