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23EF" w:rsidR="003C2229" w:rsidP="00686EC2" w:rsidRDefault="00837B82" w14:paraId="35A2306C" w14:textId="77777777">
      <w:pPr>
        <w:spacing w:line="240" w:lineRule="auto"/>
        <w:rPr>
          <w:rFonts w:ascii="Verdana" w:hAnsi="Verdana"/>
          <w:sz w:val="20"/>
        </w:rPr>
      </w:pPr>
      <w:r>
        <w:rPr>
          <w:rFonts w:ascii="Verdana" w:hAnsi="Verdana"/>
          <w:noProof/>
          <w:sz w:val="20"/>
        </w:rPr>
        <w:drawing>
          <wp:inline distT="0" distB="0" distL="0" distR="0" wp14:anchorId="149B9ABC" wp14:editId="2B521D73">
            <wp:extent cx="5757987"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a:fillRect/>
                    </a:stretch>
                  </pic:blipFill>
                  <pic:spPr>
                    <a:xfrm>
                      <a:off x="0" y="0"/>
                      <a:ext cx="5757987" cy="1396800"/>
                    </a:xfrm>
                    <a:prstGeom prst="rect">
                      <a:avLst/>
                    </a:prstGeom>
                  </pic:spPr>
                </pic:pic>
              </a:graphicData>
            </a:graphic>
          </wp:inline>
        </w:drawing>
      </w:r>
    </w:p>
    <w:tbl>
      <w:tblPr>
        <w:tblW w:w="0" w:type="auto"/>
        <w:tblLook w:val="0000" w:firstRow="0" w:lastRow="0" w:firstColumn="0" w:lastColumn="0" w:noHBand="0" w:noVBand="0"/>
      </w:tblPr>
      <w:tblGrid>
        <w:gridCol w:w="5041"/>
        <w:gridCol w:w="4030"/>
      </w:tblGrid>
      <w:tr w:rsidRPr="007223EF" w:rsidR="00C93E55" w:rsidTr="00705C0F" w14:paraId="16E539E7" w14:textId="77777777">
        <w:trPr>
          <w:cantSplit/>
        </w:trPr>
        <w:tc>
          <w:tcPr>
            <w:tcW w:w="5168" w:type="dxa"/>
          </w:tcPr>
          <w:p w:rsidRPr="007223EF" w:rsidR="00C93E55" w:rsidP="002F79A3" w:rsidRDefault="00321382" w14:paraId="2A287900" w14:textId="5D2BFDF4">
            <w:pPr>
              <w:spacing w:before="120" w:after="120" w:line="240" w:lineRule="auto"/>
              <w:rPr>
                <w:rFonts w:ascii="Verdana" w:hAnsi="Verdana"/>
                <w:b/>
                <w:bCs/>
                <w:sz w:val="20"/>
              </w:rPr>
            </w:pPr>
            <w:r>
              <w:rPr>
                <w:rFonts w:ascii="Verdana" w:hAnsi="Verdana"/>
                <w:noProof/>
                <w:sz w:val="20"/>
              </w:rPr>
              <mc:AlternateContent>
                <mc:Choice Requires="wps">
                  <w:drawing>
                    <wp:anchor distT="0" distB="0" distL="114300" distR="114300" simplePos="0" relativeHeight="251659264" behindDoc="1" locked="0" layoutInCell="0" allowOverlap="1" wp14:editId="07A6F766" wp14:anchorId="02E0DDB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321382" w:rsidRDefault="00321382" w14:paraId="6C3A69A6" w14:textId="77777777">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2E0DDBB">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321382" w:rsidRDefault="00321382" w14:paraId="6C3A69A6" w14:textId="77777777">
                            <w:pPr>
                              <w:jc w:val="center"/>
                              <w:rPr>
                                <w:rFonts w:ascii="Arial" w:hAnsi="Arial" w:cs="Arial"/>
                                <w:b/>
                                <w:bCs/>
                                <w:sz w:val="48"/>
                              </w:rPr>
                            </w:pPr>
                            <w:r>
                              <w:rPr>
                                <w:rFonts w:ascii="Arial" w:hAnsi="Arial"/>
                                <w:b/>
                                <w:sz w:val="48"/>
                              </w:rPr>
                              <w:t>RO</w:t>
                            </w:r>
                          </w:p>
                        </w:txbxContent>
                      </v:textbox>
                      <w10:wrap anchorx="page" anchory="page"/>
                    </v:shape>
                  </w:pict>
                </mc:Fallback>
              </mc:AlternateContent>
            </w:r>
            <w:r>
              <w:rPr>
                <w:rFonts w:ascii="Verdana" w:hAnsi="Verdana"/>
                <w:b/>
                <w:sz w:val="20"/>
              </w:rPr>
              <w:t>Nr. 7/2024</w:t>
            </w:r>
          </w:p>
        </w:tc>
        <w:tc>
          <w:tcPr>
            <w:tcW w:w="4119" w:type="dxa"/>
          </w:tcPr>
          <w:p w:rsidRPr="007223EF" w:rsidR="00C93E55" w:rsidP="00F92DAC" w:rsidRDefault="00A13237" w14:paraId="6DB6BFB3" w14:textId="5F1D647B">
            <w:pPr>
              <w:spacing w:before="120" w:after="120" w:line="240" w:lineRule="auto"/>
              <w:jc w:val="right"/>
              <w:rPr>
                <w:rFonts w:ascii="Verdana" w:hAnsi="Verdana"/>
                <w:b/>
                <w:bCs/>
                <w:sz w:val="20"/>
              </w:rPr>
            </w:pPr>
            <w:r>
              <w:rPr>
                <w:rFonts w:ascii="Verdana" w:hAnsi="Verdana"/>
                <w:b/>
                <w:sz w:val="20"/>
              </w:rPr>
              <w:t>14 februarie 2024</w:t>
            </w:r>
          </w:p>
        </w:tc>
      </w:tr>
    </w:tbl>
    <w:p w:rsidRPr="007223EF" w:rsidR="00F83179" w:rsidP="00686EC2" w:rsidRDefault="00F83179" w14:paraId="72EB20C4" w14:textId="5DE9E1A8">
      <w:pPr>
        <w:spacing w:line="240" w:lineRule="auto"/>
        <w:rPr>
          <w:rFonts w:ascii="Verdana" w:hAnsi="Verdana"/>
          <w:sz w:val="20"/>
        </w:rPr>
      </w:pPr>
    </w:p>
    <w:p w:rsidRPr="007223EF" w:rsidR="00F83179" w:rsidP="00686EC2" w:rsidRDefault="00F83179" w14:paraId="4154F4D7" w14:textId="77777777">
      <w:pPr>
        <w:spacing w:line="240" w:lineRule="auto"/>
        <w:rPr>
          <w:rFonts w:ascii="Verdana" w:hAnsi="Verdana"/>
          <w:sz w:val="20"/>
        </w:rPr>
        <w:sectPr w:rsidRPr="007223EF" w:rsidR="00F83179" w:rsidSect="00837B82">
          <w:footerReference w:type="default" r:id="rId12"/>
          <w:pgSz w:w="11907" w:h="16839" w:code="9"/>
          <w:pgMar w:top="425" w:right="1418" w:bottom="1418" w:left="1418" w:header="709" w:footer="709" w:gutter="0"/>
          <w:cols w:space="720"/>
          <w:docGrid w:linePitch="299"/>
        </w:sectPr>
      </w:pPr>
    </w:p>
    <w:p w:rsidRPr="007223EF" w:rsidR="008850E4" w:rsidP="008850E4" w:rsidRDefault="008850E4" w14:paraId="7341BCD6" w14:textId="77777777">
      <w:pPr>
        <w:rPr>
          <w:rFonts w:ascii="Verdana" w:hAnsi="Verdana"/>
          <w:sz w:val="18"/>
        </w:rPr>
      </w:pPr>
    </w:p>
    <w:p w:rsidRPr="007223EF" w:rsidR="00AE0AA2" w:rsidP="00795B49" w:rsidRDefault="00AE0AA2" w14:paraId="1D70F4AA" w14:textId="681AFC90">
      <w:pPr>
        <w:jc w:val="center"/>
        <w:rPr>
          <w:rFonts w:ascii="Verdana" w:hAnsi="Verdana"/>
          <w:b/>
          <w:bCs/>
          <w:sz w:val="28"/>
        </w:rPr>
      </w:pPr>
      <w:r>
        <w:rPr>
          <w:rFonts w:ascii="Verdana" w:hAnsi="Verdana"/>
          <w:b/>
          <w:color w:val="0070C0"/>
          <w:sz w:val="28"/>
        </w:rPr>
        <w:t>Programul de lucru al Comisiei Europene pentru 2024 trebuie să se concentreze pe aspectele economice și sociale</w:t>
      </w:r>
    </w:p>
    <w:p w:rsidRPr="007223EF" w:rsidR="00826961" w:rsidP="00826961" w:rsidRDefault="00826961" w14:paraId="729C1FF8" w14:textId="3E6A8AFC">
      <w:pPr>
        <w:rPr>
          <w:rFonts w:ascii="Verdana" w:hAnsi="Verdana"/>
          <w:sz w:val="18"/>
        </w:rPr>
      </w:pPr>
    </w:p>
    <w:p w:rsidR="00DE30E6" w:rsidP="00795B49" w:rsidRDefault="001739C0" w14:paraId="2CBF5C2F" w14:textId="05568DD5">
      <w:pPr>
        <w:rPr>
          <w:rFonts w:ascii="Verdana" w:hAnsi="Verdana"/>
          <w:b/>
          <w:bCs/>
          <w:sz w:val="20"/>
        </w:rPr>
      </w:pPr>
      <w:r>
        <w:rPr>
          <w:rFonts w:ascii="Verdana" w:hAnsi="Verdana"/>
          <w:b/>
          <w:sz w:val="20"/>
        </w:rPr>
        <w:t xml:space="preserve">În cadrul sesiunii plenare din februarie, Comitetul Economic și Social European (CESE) a subliniat că factorii-cheie pentru redresarea în urma crizelor recente și pentru asigurarea unei Uniuni mai </w:t>
      </w:r>
      <w:proofErr w:type="spellStart"/>
      <w:r>
        <w:rPr>
          <w:rFonts w:ascii="Verdana" w:hAnsi="Verdana"/>
          <w:b/>
          <w:sz w:val="20"/>
        </w:rPr>
        <w:t>reziliente</w:t>
      </w:r>
      <w:proofErr w:type="spellEnd"/>
      <w:r>
        <w:rPr>
          <w:rFonts w:ascii="Verdana" w:hAnsi="Verdana"/>
          <w:b/>
          <w:sz w:val="20"/>
        </w:rPr>
        <w:t xml:space="preserve"> sunt creșterea durabilă, convergența socială, un mediu de afaceri favorabil și condiții mai bune de ocupare a forței de muncă.</w:t>
      </w:r>
    </w:p>
    <w:p w:rsidR="001F660F" w:rsidP="00795B49" w:rsidRDefault="001F660F" w14:paraId="6A973F45" w14:textId="6BFE1296">
      <w:pPr>
        <w:rPr>
          <w:rFonts w:ascii="Verdana" w:hAnsi="Verdana"/>
          <w:sz w:val="18"/>
        </w:rPr>
      </w:pPr>
    </w:p>
    <w:p w:rsidR="00DD5FD1" w:rsidP="00795B49" w:rsidRDefault="00E85D95" w14:paraId="4D97E88B" w14:textId="34728AA0">
      <w:pPr>
        <w:rPr>
          <w:rFonts w:ascii="Verdana" w:hAnsi="Verdana"/>
          <w:sz w:val="18"/>
        </w:rPr>
      </w:pPr>
      <w:r>
        <w:rPr>
          <w:rFonts w:ascii="Verdana" w:hAnsi="Verdana"/>
          <w:sz w:val="18"/>
        </w:rPr>
        <w:t>Principala prioritate a Comisiei Europene pentru 2024 va fi asigurarea redresării Europei, acordând atenția cuvenită aspectelor economice și sociale. Obiectivul principal va fi atenuarea impactului nociv al războiului din Ucraina și a crizei energetice pe care o generează.</w:t>
      </w:r>
    </w:p>
    <w:p w:rsidR="00DD5FD1" w:rsidP="00795B49" w:rsidRDefault="00DD5FD1" w14:paraId="23A83108" w14:textId="77777777">
      <w:pPr>
        <w:rPr>
          <w:rFonts w:ascii="Verdana" w:hAnsi="Verdana"/>
          <w:sz w:val="18"/>
        </w:rPr>
      </w:pPr>
    </w:p>
    <w:p w:rsidR="00A85DB4" w:rsidP="00795B49" w:rsidRDefault="00E85D95" w14:paraId="39184027" w14:textId="73F90B58">
      <w:pPr>
        <w:rPr>
          <w:rFonts w:ascii="Verdana" w:hAnsi="Verdana"/>
          <w:sz w:val="18"/>
        </w:rPr>
      </w:pPr>
      <w:r>
        <w:rPr>
          <w:rFonts w:ascii="Verdana" w:hAnsi="Verdana"/>
          <w:sz w:val="18"/>
        </w:rPr>
        <w:t xml:space="preserve">În cursul dezbaterii din sesiunea plenară din 14 februarie, președintele CESE, </w:t>
      </w:r>
      <w:r>
        <w:rPr>
          <w:rFonts w:ascii="Verdana" w:hAnsi="Verdana"/>
          <w:b/>
          <w:sz w:val="18"/>
        </w:rPr>
        <w:t>dl</w:t>
      </w:r>
      <w:r w:rsidR="003C04F9">
        <w:rPr>
          <w:rFonts w:ascii="Verdana" w:hAnsi="Verdana"/>
          <w:b/>
          <w:sz w:val="18"/>
        </w:rPr>
        <w:t> </w:t>
      </w:r>
      <w:r>
        <w:rPr>
          <w:rFonts w:ascii="Verdana" w:hAnsi="Verdana"/>
          <w:b/>
          <w:sz w:val="18"/>
        </w:rPr>
        <w:t>Oliver</w:t>
      </w:r>
      <w:r w:rsidR="003C04F9">
        <w:rPr>
          <w:rFonts w:ascii="Verdana" w:hAnsi="Verdana"/>
          <w:b/>
          <w:sz w:val="18"/>
        </w:rPr>
        <w:t> </w:t>
      </w:r>
      <w:proofErr w:type="spellStart"/>
      <w:r>
        <w:rPr>
          <w:rFonts w:ascii="Verdana" w:hAnsi="Verdana"/>
          <w:b/>
          <w:sz w:val="18"/>
        </w:rPr>
        <w:t>Röpke</w:t>
      </w:r>
      <w:proofErr w:type="spellEnd"/>
      <w:r>
        <w:rPr>
          <w:rFonts w:ascii="Verdana" w:hAnsi="Verdana"/>
          <w:sz w:val="18"/>
        </w:rPr>
        <w:t>, a lăudat programul de lucru al Comisiei pentru 2024: „Acest program pune un accent puternic pe simplificarea normelor pentru cetățenii și întreprinderile din întreaga Uniune Europeană. Personal, sunt recunoscător că aceste măsuri nu coboară nivelul standardelor sociale, de siguranță, de protecție a consumatorilor, de mediu sau economice.</w:t>
      </w:r>
      <w:r>
        <w:t xml:space="preserve"> </w:t>
      </w:r>
      <w:r>
        <w:rPr>
          <w:rFonts w:ascii="Verdana" w:hAnsi="Verdana"/>
          <w:sz w:val="18"/>
        </w:rPr>
        <w:t xml:space="preserve">Suntem conștienți că Europa se confruntă cu un număr tot mai mare de provocări neprevăzute.” </w:t>
      </w:r>
    </w:p>
    <w:p w:rsidR="001F4F41" w:rsidP="006A61DA" w:rsidRDefault="001F4F41" w14:paraId="376CF054" w14:textId="11EED944">
      <w:pPr>
        <w:rPr>
          <w:rFonts w:ascii="Verdana" w:hAnsi="Verdana"/>
          <w:sz w:val="18"/>
        </w:rPr>
      </w:pPr>
    </w:p>
    <w:p w:rsidR="006E42E7" w:rsidP="001C258E" w:rsidRDefault="00A85DB4" w14:paraId="3434B06B" w14:textId="55BE5C48">
      <w:pPr>
        <w:rPr>
          <w:rFonts w:ascii="Verdana" w:hAnsi="Verdana"/>
          <w:sz w:val="18"/>
        </w:rPr>
      </w:pPr>
      <w:r>
        <w:rPr>
          <w:rFonts w:ascii="Verdana" w:hAnsi="Verdana"/>
          <w:sz w:val="18"/>
        </w:rPr>
        <w:t xml:space="preserve">Evocând o perioadă de „provocări fără precedent, dar și de oportunități fără precedent”, </w:t>
      </w:r>
      <w:r>
        <w:rPr>
          <w:rFonts w:ascii="Verdana" w:hAnsi="Verdana"/>
          <w:b/>
          <w:sz w:val="18"/>
        </w:rPr>
        <w:t>dl</w:t>
      </w:r>
      <w:r w:rsidR="003C04F9">
        <w:rPr>
          <w:rFonts w:ascii="Verdana" w:hAnsi="Verdana"/>
          <w:b/>
          <w:sz w:val="18"/>
        </w:rPr>
        <w:t> </w:t>
      </w:r>
      <w:proofErr w:type="spellStart"/>
      <w:r>
        <w:rPr>
          <w:rFonts w:ascii="Verdana" w:hAnsi="Verdana"/>
          <w:b/>
          <w:sz w:val="18"/>
        </w:rPr>
        <w:t>Maroš</w:t>
      </w:r>
      <w:proofErr w:type="spellEnd"/>
      <w:r w:rsidR="003C04F9">
        <w:rPr>
          <w:rFonts w:ascii="Verdana" w:hAnsi="Verdana"/>
          <w:b/>
          <w:sz w:val="18"/>
        </w:rPr>
        <w:t> </w:t>
      </w:r>
      <w:proofErr w:type="spellStart"/>
      <w:r>
        <w:rPr>
          <w:rFonts w:ascii="Verdana" w:hAnsi="Verdana"/>
          <w:b/>
          <w:sz w:val="18"/>
        </w:rPr>
        <w:t>Šefčovič</w:t>
      </w:r>
      <w:proofErr w:type="spellEnd"/>
      <w:r>
        <w:rPr>
          <w:rFonts w:ascii="Verdana" w:hAnsi="Verdana"/>
          <w:sz w:val="18"/>
        </w:rPr>
        <w:t xml:space="preserve">, vicepreședintele executiv al Comisiei Europene pentru Pactul verde european, relații interinstituționale și prospectivă, a subliniat hotărârea Comisiei de a reduce sarcina administrativă asupra cetățenilor și întreprinderilor din UE: „Este crucial să ne asigurăm că întreprinderile noastre, în special cele mici și mijlocii, rămân competitive în contextul global și economic actual. De aceea continuăm să depunem eforturi pentru a reduce cu 25 % sarcinile care decurg din cerințele de raportare, fără a ne submina obiectivele de politică.” </w:t>
      </w:r>
    </w:p>
    <w:p w:rsidR="006E42E7" w:rsidP="001C258E" w:rsidRDefault="006E42E7" w14:paraId="727D5668" w14:textId="77777777">
      <w:pPr>
        <w:rPr>
          <w:rFonts w:ascii="Verdana" w:hAnsi="Verdana"/>
          <w:sz w:val="18"/>
        </w:rPr>
      </w:pPr>
    </w:p>
    <w:p w:rsidR="001C258E" w:rsidP="001C258E" w:rsidRDefault="001C258E" w14:paraId="5F2DF0EE" w14:textId="083F9C44">
      <w:pPr>
        <w:rPr>
          <w:rFonts w:ascii="Verdana" w:hAnsi="Verdana"/>
          <w:sz w:val="18"/>
        </w:rPr>
      </w:pPr>
      <w:r>
        <w:rPr>
          <w:rFonts w:ascii="Verdana" w:hAnsi="Verdana"/>
          <w:sz w:val="18"/>
        </w:rPr>
        <w:t>„Programul de lucru al Comisiei pentru 2024 prezintă 41 de propuneri de simplificare și raționalizare a cerințelor de raportare, care, împreună, vor genera economii estimate la 3,6</w:t>
      </w:r>
      <w:r w:rsidR="003C04F9">
        <w:rPr>
          <w:rFonts w:ascii="Verdana" w:hAnsi="Verdana"/>
          <w:sz w:val="18"/>
        </w:rPr>
        <w:t> </w:t>
      </w:r>
      <w:r>
        <w:rPr>
          <w:rFonts w:ascii="Verdana" w:hAnsi="Verdana"/>
          <w:sz w:val="18"/>
        </w:rPr>
        <w:t>miliarde de euro. Totodată, în 2024, ne vom strădui în continuare să avansăm pe calea tranziției verzi și a punerii în aplicare corespunzătoare a Pactului verde, menținând în același timp competitivitatea industriei noastre și asigurând o tranziție echitabilă din punct de vedere social, justă și favorabilă incluziunii”, a adăugat dl</w:t>
      </w:r>
      <w:r w:rsidR="003C04F9">
        <w:rPr>
          <w:rFonts w:ascii="Verdana" w:hAnsi="Verdana"/>
          <w:sz w:val="18"/>
        </w:rPr>
        <w:t> </w:t>
      </w:r>
      <w:proofErr w:type="spellStart"/>
      <w:r>
        <w:rPr>
          <w:rFonts w:ascii="Verdana" w:hAnsi="Verdana"/>
          <w:sz w:val="18"/>
        </w:rPr>
        <w:t>Šefčovič</w:t>
      </w:r>
      <w:proofErr w:type="spellEnd"/>
      <w:r>
        <w:rPr>
          <w:rFonts w:ascii="Verdana" w:hAnsi="Verdana"/>
          <w:sz w:val="18"/>
        </w:rPr>
        <w:t>, menționând necesitatea de a colabora îndeaproape și de a discuta cu toate părțile interesate, inclusiv cu fermierii.</w:t>
      </w:r>
    </w:p>
    <w:p w:rsidR="001F4F41" w:rsidP="006A61DA" w:rsidRDefault="001F4F41" w14:paraId="5B29F6D4" w14:textId="735F6858">
      <w:pPr>
        <w:rPr>
          <w:rFonts w:ascii="Verdana" w:hAnsi="Verdana"/>
          <w:sz w:val="18"/>
        </w:rPr>
      </w:pPr>
    </w:p>
    <w:p w:rsidR="00DD14D6" w:rsidP="006A61DA" w:rsidRDefault="005107DF" w14:paraId="5DFC56F5" w14:textId="0F4E7097">
      <w:pPr>
        <w:rPr>
          <w:rFonts w:ascii="Verdana" w:hAnsi="Verdana"/>
          <w:sz w:val="18"/>
        </w:rPr>
      </w:pPr>
      <w:r>
        <w:rPr>
          <w:rFonts w:ascii="Verdana" w:hAnsi="Verdana"/>
          <w:sz w:val="18"/>
        </w:rPr>
        <w:t xml:space="preserve">În acest context, președintele CESE a subliniat că avizele Comitetului au evidențiat o serie de factori esențiali pentru redresarea în urma crizelor și pentru creșterea rezilienței UE. Printre aceștia s-au numărat creșterea durabilă, convergența socială, un mediu de afaceri favorabil, condiții mai bune de </w:t>
      </w:r>
      <w:r>
        <w:rPr>
          <w:rFonts w:ascii="Verdana" w:hAnsi="Verdana"/>
          <w:sz w:val="18"/>
        </w:rPr>
        <w:lastRenderedPageBreak/>
        <w:t>ocupare a forței de muncă și axarea pe convergența socială și economică ascendentă, fără a lăsa pe nimeni în urmă.</w:t>
      </w:r>
    </w:p>
    <w:p w:rsidR="001F4F41" w:rsidP="006A61DA" w:rsidRDefault="001F4F41" w14:paraId="161B3472" w14:textId="750030DC">
      <w:pPr>
        <w:rPr>
          <w:rFonts w:ascii="Verdana" w:hAnsi="Verdana"/>
          <w:sz w:val="18"/>
        </w:rPr>
      </w:pPr>
    </w:p>
    <w:p w:rsidR="001836AA" w:rsidP="001836AA" w:rsidRDefault="001836AA" w14:paraId="235F5DF0" w14:textId="274CF37B">
      <w:pPr>
        <w:rPr>
          <w:rFonts w:ascii="Verdana" w:hAnsi="Verdana"/>
          <w:sz w:val="18"/>
        </w:rPr>
      </w:pPr>
      <w:r>
        <w:rPr>
          <w:rFonts w:ascii="Verdana" w:hAnsi="Verdana"/>
          <w:sz w:val="18"/>
        </w:rPr>
        <w:t>Vicepreședintele executiv a constatat cu satisfacție că Comitetul a elaborat inițiative importante, cum ar fi recrutarea unor membri din țări candidate la aderare (CESE este prima instituție a UE care implică țările candidate la UE în activitatea sa), evaluarea impactului UE din perspectiva tinerilor (Comitetul este de părere că această perspectivă ar trebui luată în considerare în fiecare domeniu de politică) și Pactul albastru al UE (apelul CESE la elaborarea unei abordări cuprinzătoare a politicilor europene în domeniul apei).</w:t>
      </w:r>
    </w:p>
    <w:p w:rsidR="001836AA" w:rsidP="006A61DA" w:rsidRDefault="001836AA" w14:paraId="080242DD" w14:textId="77777777">
      <w:pPr>
        <w:rPr>
          <w:rFonts w:ascii="Verdana" w:hAnsi="Verdana"/>
          <w:sz w:val="18"/>
        </w:rPr>
      </w:pPr>
    </w:p>
    <w:p w:rsidRPr="007223EF" w:rsidR="008522EF" w:rsidP="008522EF" w:rsidRDefault="008522EF" w14:paraId="638FA24F" w14:textId="39ED8677">
      <w:pPr>
        <w:rPr>
          <w:rFonts w:ascii="Verdana" w:hAnsi="Verdana"/>
          <w:sz w:val="18"/>
        </w:rPr>
      </w:pPr>
      <w:r>
        <w:rPr>
          <w:rFonts w:ascii="Verdana" w:hAnsi="Verdana"/>
          <w:sz w:val="18"/>
        </w:rPr>
        <w:t xml:space="preserve">În cursul dezbaterii cu membrii CESE, </w:t>
      </w:r>
      <w:r>
        <w:rPr>
          <w:rFonts w:ascii="Verdana" w:hAnsi="Verdana"/>
          <w:b/>
          <w:sz w:val="18"/>
        </w:rPr>
        <w:t>dl</w:t>
      </w:r>
      <w:r w:rsidR="003C04F9">
        <w:rPr>
          <w:rFonts w:ascii="Verdana" w:hAnsi="Verdana"/>
          <w:b/>
          <w:sz w:val="18"/>
        </w:rPr>
        <w:t> </w:t>
      </w:r>
      <w:proofErr w:type="spellStart"/>
      <w:r>
        <w:rPr>
          <w:rFonts w:ascii="Verdana" w:hAnsi="Verdana"/>
          <w:b/>
          <w:sz w:val="18"/>
        </w:rPr>
        <w:t>Stefano</w:t>
      </w:r>
      <w:proofErr w:type="spellEnd"/>
      <w:r w:rsidR="003C04F9">
        <w:rPr>
          <w:rFonts w:ascii="Verdana" w:hAnsi="Verdana"/>
          <w:b/>
          <w:sz w:val="18"/>
        </w:rPr>
        <w:t> </w:t>
      </w:r>
      <w:proofErr w:type="spellStart"/>
      <w:r>
        <w:rPr>
          <w:rFonts w:ascii="Verdana" w:hAnsi="Verdana"/>
          <w:b/>
          <w:sz w:val="18"/>
        </w:rPr>
        <w:t>Mallia</w:t>
      </w:r>
      <w:proofErr w:type="spellEnd"/>
      <w:r>
        <w:rPr>
          <w:rFonts w:ascii="Verdana" w:hAnsi="Verdana"/>
          <w:b/>
          <w:sz w:val="18"/>
        </w:rPr>
        <w:t>,</w:t>
      </w:r>
      <w:r>
        <w:rPr>
          <w:rFonts w:ascii="Verdana" w:hAnsi="Verdana"/>
          <w:sz w:val="18"/>
        </w:rPr>
        <w:t xml:space="preserve"> președintele Grupului „Angajatori” al CESE, a pus accentul la rândul său pe competitivitatea UE, afirmând că întreprinderile europene întâmpină dificultăți în îndeplinirea obiectivelor tranziției verzi și că se impune o evaluare pentru a verifica dacă aceste obiective sunt încă realiste și fezabile.</w:t>
      </w:r>
    </w:p>
    <w:p w:rsidRPr="007223EF" w:rsidR="0061662B" w:rsidP="008522EF" w:rsidRDefault="0061662B" w14:paraId="7846C861" w14:textId="77777777">
      <w:pPr>
        <w:rPr>
          <w:rFonts w:ascii="Verdana" w:hAnsi="Verdana"/>
          <w:sz w:val="18"/>
        </w:rPr>
      </w:pPr>
    </w:p>
    <w:p w:rsidR="003400C0" w:rsidP="008522EF" w:rsidRDefault="008522EF" w14:paraId="4953B62A" w14:textId="0B9CD11C">
      <w:pPr>
        <w:rPr>
          <w:rFonts w:ascii="Verdana" w:hAnsi="Verdana"/>
          <w:sz w:val="18"/>
        </w:rPr>
      </w:pPr>
      <w:r>
        <w:rPr>
          <w:rFonts w:ascii="Verdana" w:hAnsi="Verdana"/>
          <w:sz w:val="18"/>
        </w:rPr>
        <w:t xml:space="preserve">În numele Grupului „Lucrători” al CESE, președinta Secțiunii pentru afaceri sociale a CESE, </w:t>
      </w:r>
      <w:r>
        <w:rPr>
          <w:rFonts w:ascii="Verdana" w:hAnsi="Verdana"/>
          <w:b/>
          <w:sz w:val="18"/>
        </w:rPr>
        <w:t>dna</w:t>
      </w:r>
      <w:r w:rsidR="003C04F9">
        <w:rPr>
          <w:rFonts w:ascii="Verdana" w:hAnsi="Verdana"/>
          <w:b/>
          <w:sz w:val="18"/>
        </w:rPr>
        <w:t> </w:t>
      </w:r>
      <w:proofErr w:type="spellStart"/>
      <w:r>
        <w:rPr>
          <w:rFonts w:ascii="Verdana" w:hAnsi="Verdana"/>
          <w:b/>
          <w:sz w:val="18"/>
        </w:rPr>
        <w:t>Cinzia</w:t>
      </w:r>
      <w:proofErr w:type="spellEnd"/>
      <w:r w:rsidR="003C04F9">
        <w:rPr>
          <w:rFonts w:ascii="Verdana" w:hAnsi="Verdana"/>
          <w:b/>
          <w:sz w:val="18"/>
        </w:rPr>
        <w:t> </w:t>
      </w:r>
      <w:proofErr w:type="spellStart"/>
      <w:r>
        <w:rPr>
          <w:rFonts w:ascii="Verdana" w:hAnsi="Verdana"/>
          <w:b/>
          <w:sz w:val="18"/>
        </w:rPr>
        <w:t>Del</w:t>
      </w:r>
      <w:proofErr w:type="spellEnd"/>
      <w:r w:rsidR="003C04F9">
        <w:rPr>
          <w:rFonts w:ascii="Verdana" w:hAnsi="Verdana"/>
          <w:b/>
          <w:sz w:val="18"/>
        </w:rPr>
        <w:t> </w:t>
      </w:r>
      <w:r>
        <w:rPr>
          <w:rFonts w:ascii="Verdana" w:hAnsi="Verdana"/>
          <w:b/>
          <w:sz w:val="18"/>
        </w:rPr>
        <w:t>Rio</w:t>
      </w:r>
      <w:r>
        <w:rPr>
          <w:rFonts w:ascii="Verdana" w:hAnsi="Verdana"/>
          <w:sz w:val="18"/>
        </w:rPr>
        <w:t>, a declarat că tranziția verde și cea digitală trebuie să fie însoțite de măsuri de promovare a sustenabilității sociale. Securitatea socială trebuie să meargă mână în mână cu economia, iar agenda economică nu va putea niciodată să facă abstracție de dimensiunea socială a investițiilor și a reformelor.</w:t>
      </w:r>
      <w:r>
        <w:t xml:space="preserve"> </w:t>
      </w:r>
      <w:r>
        <w:rPr>
          <w:rFonts w:ascii="Verdana" w:hAnsi="Verdana"/>
          <w:sz w:val="18"/>
        </w:rPr>
        <w:t>O dimensiune socială solidă reprezintă totodată o modalitate eficace de a combate retorica populistă.</w:t>
      </w:r>
    </w:p>
    <w:p w:rsidRPr="007223EF" w:rsidR="003400C0" w:rsidP="008522EF" w:rsidRDefault="003400C0" w14:paraId="73CB9A0B" w14:textId="77777777">
      <w:pPr>
        <w:rPr>
          <w:rFonts w:ascii="Verdana" w:hAnsi="Verdana"/>
          <w:sz w:val="18"/>
        </w:rPr>
      </w:pPr>
    </w:p>
    <w:p w:rsidRPr="003400C0" w:rsidR="003400C0" w:rsidP="003400C0" w:rsidRDefault="005B611F" w14:paraId="025F8F02" w14:textId="30F54279">
      <w:pPr>
        <w:rPr>
          <w:rFonts w:ascii="Verdana" w:hAnsi="Verdana"/>
          <w:sz w:val="18"/>
        </w:rPr>
      </w:pPr>
      <w:r>
        <w:rPr>
          <w:rFonts w:ascii="Verdana" w:hAnsi="Verdana"/>
          <w:sz w:val="18"/>
        </w:rPr>
        <w:t xml:space="preserve">În final, </w:t>
      </w:r>
      <w:r>
        <w:rPr>
          <w:rFonts w:ascii="Verdana" w:hAnsi="Verdana"/>
          <w:b/>
          <w:sz w:val="18"/>
        </w:rPr>
        <w:t xml:space="preserve">dl </w:t>
      </w:r>
      <w:proofErr w:type="spellStart"/>
      <w:r>
        <w:rPr>
          <w:rFonts w:ascii="Verdana" w:hAnsi="Verdana"/>
          <w:b/>
          <w:sz w:val="18"/>
        </w:rPr>
        <w:t>Séamus</w:t>
      </w:r>
      <w:proofErr w:type="spellEnd"/>
      <w:r>
        <w:rPr>
          <w:rFonts w:ascii="Verdana" w:hAnsi="Verdana"/>
          <w:b/>
          <w:sz w:val="18"/>
        </w:rPr>
        <w:t xml:space="preserve"> </w:t>
      </w:r>
      <w:proofErr w:type="spellStart"/>
      <w:r>
        <w:rPr>
          <w:rFonts w:ascii="Verdana" w:hAnsi="Verdana"/>
          <w:b/>
          <w:sz w:val="18"/>
        </w:rPr>
        <w:t>Boland</w:t>
      </w:r>
      <w:proofErr w:type="spellEnd"/>
      <w:r>
        <w:rPr>
          <w:rFonts w:ascii="Verdana" w:hAnsi="Verdana"/>
          <w:sz w:val="18"/>
        </w:rPr>
        <w:t xml:space="preserve">, președintele Grupului „Organizații ale societății civile”, s-a întrebat dacă prioritățile Comisiei sunt aliniate la prioritățile cetățenilor, așa cum reies dintr-un recent sondaj </w:t>
      </w:r>
      <w:proofErr w:type="spellStart"/>
      <w:r>
        <w:rPr>
          <w:rFonts w:ascii="Verdana" w:hAnsi="Verdana"/>
          <w:sz w:val="18"/>
        </w:rPr>
        <w:t>Eurobarometru</w:t>
      </w:r>
      <w:proofErr w:type="spellEnd"/>
      <w:r>
        <w:rPr>
          <w:rFonts w:ascii="Verdana" w:hAnsi="Verdana"/>
          <w:sz w:val="18"/>
        </w:rPr>
        <w:t>. El a subliniat că o astfel de neconcordanță este periculoasă, în special în contextul creșterii populismului, că UE trebuie să stabilească contacte și să intre în dialog cu cetățenii europeni și să li se adreseze pe toate căile posibile pentru a afla ce au de spus și pentru a pune capăt lipsei de comunicare dintre instituții și cetățeni.</w:t>
      </w:r>
    </w:p>
    <w:p w:rsidR="008522EF" w:rsidP="00177BD4" w:rsidRDefault="008522EF" w14:paraId="6370E74D" w14:textId="7E1237D4">
      <w:pPr>
        <w:rPr>
          <w:rFonts w:ascii="Verdana" w:hAnsi="Verdana"/>
          <w:sz w:val="18"/>
        </w:rPr>
      </w:pPr>
    </w:p>
    <w:p w:rsidR="008522EF" w:rsidP="00177BD4" w:rsidRDefault="008522EF" w14:paraId="59EFE777" w14:textId="77777777">
      <w:pPr>
        <w:rPr>
          <w:rFonts w:ascii="Verdana" w:hAnsi="Verdana"/>
          <w:sz w:val="18"/>
        </w:rPr>
      </w:pPr>
    </w:p>
    <w:p w:rsidRPr="007223EF" w:rsidR="006A61DA" w:rsidP="00177BD4" w:rsidRDefault="006A61DA" w14:paraId="08238E23" w14:textId="77777777">
      <w:pPr>
        <w:rPr>
          <w:rFonts w:ascii="Verdana" w:hAnsi="Verdana"/>
          <w:sz w:val="18"/>
        </w:rPr>
      </w:pPr>
    </w:p>
    <w:p w:rsidRPr="007223EF" w:rsidR="005C43A1" w:rsidP="00795B49" w:rsidRDefault="005C43A1" w14:paraId="4255D68F" w14:textId="77777777">
      <w:pPr>
        <w:rPr>
          <w:rFonts w:ascii="Verdana" w:hAnsi="Verdana"/>
          <w:bCs/>
          <w:sz w:val="18"/>
          <w:szCs w:val="18"/>
        </w:rPr>
      </w:pPr>
    </w:p>
    <w:p w:rsidRPr="007223EF" w:rsidR="00BD7293" w:rsidP="00BD7293" w:rsidRDefault="00BD7293" w14:paraId="721508B5" w14:textId="77777777">
      <w:pPr>
        <w:jc w:val="center"/>
        <w:rPr>
          <w:rFonts w:ascii="Verdana" w:hAnsi="Verdana"/>
          <w:sz w:val="18"/>
          <w:szCs w:val="18"/>
        </w:rPr>
      </w:pPr>
      <w:r>
        <w:rPr>
          <w:rFonts w:ascii="Verdana" w:hAnsi="Verdana"/>
          <w:b/>
          <w:sz w:val="18"/>
        </w:rPr>
        <w:t>Pentru informații suplimentare vă rugăm să contactați:</w:t>
      </w:r>
    </w:p>
    <w:p w:rsidRPr="007223EF" w:rsidR="00BD7293" w:rsidP="00BD7293" w:rsidRDefault="00BD7293" w14:paraId="2BFC0303" w14:textId="77777777">
      <w:pPr>
        <w:pStyle w:val="Heading1"/>
        <w:numPr>
          <w:ilvl w:val="0"/>
          <w:numId w:val="0"/>
        </w:numPr>
        <w:ind w:left="360"/>
        <w:jc w:val="center"/>
        <w:rPr>
          <w:rFonts w:ascii="Verdana" w:hAnsi="Verdana"/>
          <w:sz w:val="18"/>
          <w:szCs w:val="18"/>
        </w:rPr>
      </w:pPr>
      <w:r>
        <w:rPr>
          <w:rFonts w:ascii="Verdana" w:hAnsi="Verdana"/>
          <w:sz w:val="18"/>
        </w:rPr>
        <w:t xml:space="preserve">Unitatea Presă a CESE – </w:t>
      </w:r>
      <w:proofErr w:type="spellStart"/>
      <w:r>
        <w:rPr>
          <w:rFonts w:ascii="Verdana" w:hAnsi="Verdana"/>
          <w:sz w:val="18"/>
        </w:rPr>
        <w:t>Marco</w:t>
      </w:r>
      <w:proofErr w:type="spellEnd"/>
      <w:r>
        <w:rPr>
          <w:rFonts w:ascii="Verdana" w:hAnsi="Verdana"/>
          <w:sz w:val="18"/>
        </w:rPr>
        <w:t xml:space="preserve"> </w:t>
      </w:r>
      <w:proofErr w:type="spellStart"/>
      <w:r>
        <w:rPr>
          <w:rFonts w:ascii="Verdana" w:hAnsi="Verdana"/>
          <w:sz w:val="18"/>
        </w:rPr>
        <w:t>Pezzani</w:t>
      </w:r>
      <w:proofErr w:type="spellEnd"/>
      <w:r>
        <w:rPr>
          <w:rFonts w:ascii="Verdana" w:hAnsi="Verdana"/>
          <w:sz w:val="18"/>
        </w:rPr>
        <w:br/>
        <w:t>Tel. fix +32 (0)2 546 97 93 – Tel. mobil +32 (0)470 881 903</w:t>
      </w:r>
    </w:p>
    <w:p w:rsidRPr="007223EF" w:rsidR="00BD7293" w:rsidP="00BD7293" w:rsidRDefault="00E4738E" w14:paraId="7E0C5C48" w14:textId="77777777">
      <w:pPr>
        <w:jc w:val="center"/>
        <w:rPr>
          <w:rFonts w:ascii="Verdana" w:hAnsi="Verdana"/>
          <w:sz w:val="18"/>
          <w:szCs w:val="18"/>
        </w:rPr>
      </w:pPr>
      <w:hyperlink w:history="1" r:id="rId13">
        <w:r w:rsidR="009E4417">
          <w:rPr>
            <w:rStyle w:val="Hyperlink"/>
            <w:rFonts w:ascii="Verdana" w:hAnsi="Verdana"/>
            <w:sz w:val="18"/>
          </w:rPr>
          <w:t>marco.pezzani@eesc.europa.eu</w:t>
        </w:r>
      </w:hyperlink>
    </w:p>
    <w:p w:rsidR="00BD7293" w:rsidP="00BD7293" w:rsidRDefault="00BD7293" w14:paraId="3B3D4053" w14:textId="4D9A942B">
      <w:pPr>
        <w:pStyle w:val="Heading1"/>
        <w:numPr>
          <w:ilvl w:val="0"/>
          <w:numId w:val="0"/>
        </w:numPr>
        <w:jc w:val="center"/>
        <w:rPr>
          <w:rFonts w:ascii="Verdana" w:hAnsi="Verdana"/>
          <w:b/>
          <w:bCs/>
          <w:sz w:val="18"/>
          <w:szCs w:val="18"/>
        </w:rPr>
      </w:pPr>
      <w:r>
        <w:rPr>
          <w:rFonts w:ascii="Verdana" w:hAnsi="Verdana"/>
          <w:b/>
          <w:sz w:val="18"/>
        </w:rPr>
        <w:t>@EESC_PRESS</w:t>
      </w:r>
    </w:p>
    <w:p w:rsidRPr="004177F4" w:rsidR="004177F4" w:rsidP="004177F4" w:rsidRDefault="004177F4" w14:paraId="2D86040E" w14:textId="77777777">
      <w:pPr>
        <w:rPr>
          <w:rFonts w:ascii="Verdana" w:hAnsi="Verdana"/>
          <w:sz w:val="18"/>
        </w:rPr>
      </w:pPr>
    </w:p>
    <w:p w:rsidRPr="007223EF" w:rsidR="00F83179" w:rsidP="00CE439D" w:rsidRDefault="00F83179" w14:paraId="2F3F2A91" w14:textId="77777777">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rsidRPr="007223EF" w:rsidR="00F83179" w:rsidP="00CE439D" w:rsidRDefault="00F83179" w14:paraId="2550D65E" w14:textId="77777777">
      <w:pPr>
        <w:rPr>
          <w:rFonts w:ascii="Verdana" w:hAnsi="Verdana"/>
          <w:i/>
          <w:sz w:val="16"/>
          <w:szCs w:val="16"/>
        </w:rPr>
      </w:pPr>
      <w:r>
        <w:rPr>
          <w:rFonts w:ascii="Verdana" w:hAnsi="Verdana"/>
          <w:i/>
          <w:sz w:val="16"/>
        </w:rPr>
        <w:t>Comitetul Economic și Social European asigură reprezentarea diferitelor componente cu caracter economic și social ale societății civile organizate. Este un organ instituțional consultativ, instituit prin Tratatul de la Roma din 1957. Rolul său consultativ le permite membrilor Comitetului, deci și organizațiilor pe care aceștia le reprezintă, să participe la procesul de luare a deciziilor la nivelul UE.</w:t>
      </w:r>
    </w:p>
    <w:p w:rsidRPr="007223EF" w:rsidR="00F83179" w:rsidP="00AB5D9C" w:rsidRDefault="00F83179" w14:paraId="293C97E3" w14:textId="77777777">
      <w:pPr>
        <w:rPr>
          <w:rFonts w:ascii="Verdana" w:hAnsi="Verdana"/>
          <w:sz w:val="18"/>
        </w:rPr>
      </w:pPr>
      <w:r>
        <w:rPr>
          <w:rFonts w:ascii="Verdana" w:hAnsi="Verdana"/>
          <w:i/>
          <w:sz w:val="16"/>
        </w:rPr>
        <w:t>__</w:t>
      </w:r>
      <w:r>
        <w:rPr>
          <w:rFonts w:ascii="Verdana" w:hAnsi="Verdana"/>
          <w:b/>
          <w:i/>
          <w:sz w:val="16"/>
        </w:rPr>
        <w:t>_____________________________________________________________________________</w:t>
      </w:r>
    </w:p>
    <w:sectPr w:rsidRPr="007223EF" w:rsidR="00F83179"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FA2B" w14:textId="77777777" w:rsidR="002355EA" w:rsidRDefault="002355EA">
      <w:r>
        <w:separator/>
      </w:r>
    </w:p>
  </w:endnote>
  <w:endnote w:type="continuationSeparator" w:id="0">
    <w:p w14:paraId="4DCB29AB" w14:textId="77777777" w:rsidR="002355EA" w:rsidRDefault="0023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8EF4" w14:textId="77777777" w:rsidR="00F83179" w:rsidRPr="0004715C" w:rsidRDefault="00F83179" w:rsidP="0004715C">
    <w:pPr>
      <w:spacing w:line="240" w:lineRule="auto"/>
      <w:jc w:val="center"/>
      <w:rPr>
        <w:rFonts w:ascii="Verdana" w:hAnsi="Verdana"/>
        <w:sz w:val="16"/>
        <w:szCs w:val="16"/>
      </w:rPr>
    </w:pPr>
    <w:proofErr w:type="spellStart"/>
    <w:r>
      <w:rPr>
        <w:rFonts w:ascii="Verdana" w:hAnsi="Verdana"/>
        <w:sz w:val="16"/>
      </w:rPr>
      <w:t>Rue</w:t>
    </w:r>
    <w:proofErr w:type="spellEnd"/>
    <w:r>
      <w:rPr>
        <w:rFonts w:ascii="Verdana" w:hAnsi="Verdana"/>
        <w:sz w:val="16"/>
      </w:rPr>
      <w:t xml:space="preserve"> </w:t>
    </w:r>
    <w:proofErr w:type="spellStart"/>
    <w:r>
      <w:rPr>
        <w:rFonts w:ascii="Verdana" w:hAnsi="Verdana"/>
        <w:sz w:val="16"/>
      </w:rPr>
      <w:t>Belliard</w:t>
    </w:r>
    <w:proofErr w:type="spellEnd"/>
    <w:r>
      <w:rPr>
        <w:rFonts w:ascii="Verdana" w:hAnsi="Verdana"/>
        <w:sz w:val="16"/>
      </w:rPr>
      <w:t>/</w:t>
    </w:r>
    <w:proofErr w:type="spellStart"/>
    <w:r>
      <w:rPr>
        <w:rFonts w:ascii="Verdana" w:hAnsi="Verdana"/>
        <w:sz w:val="16"/>
      </w:rPr>
      <w:t>Belliardstraat</w:t>
    </w:r>
    <w:proofErr w:type="spellEnd"/>
    <w:r>
      <w:rPr>
        <w:rFonts w:ascii="Verdana" w:hAnsi="Verdana"/>
        <w:sz w:val="16"/>
      </w:rPr>
      <w:t xml:space="preserve"> 99 – 1040 Bruxelles/</w:t>
    </w:r>
    <w:proofErr w:type="spellStart"/>
    <w:r>
      <w:rPr>
        <w:rFonts w:ascii="Verdana" w:hAnsi="Verdana"/>
        <w:sz w:val="16"/>
      </w:rPr>
      <w:t>Brussel</w:t>
    </w:r>
    <w:proofErr w:type="spellEnd"/>
    <w:r>
      <w:rPr>
        <w:rFonts w:ascii="Verdana" w:hAnsi="Verdana"/>
        <w:sz w:val="16"/>
      </w:rPr>
      <w:t xml:space="preserve"> – BELGIQUE/BELGIË</w:t>
    </w:r>
  </w:p>
  <w:p w14:paraId="7818F7A3" w14:textId="77777777" w:rsidR="00F83179" w:rsidRPr="0004715C" w:rsidRDefault="00F83179" w:rsidP="0004715C">
    <w:pPr>
      <w:spacing w:line="240" w:lineRule="auto"/>
      <w:jc w:val="center"/>
      <w:rPr>
        <w:rFonts w:ascii="Verdana" w:hAnsi="Verdana"/>
        <w:sz w:val="16"/>
        <w:szCs w:val="16"/>
      </w:rPr>
    </w:pPr>
    <w:r>
      <w:rPr>
        <w:rFonts w:ascii="Verdana" w:hAnsi="Verdana"/>
        <w:sz w:val="16"/>
      </w:rPr>
      <w:t>Tel. +32 25469406 – Fax +32 25469764</w:t>
    </w:r>
  </w:p>
  <w:p w14:paraId="70E10F9D" w14:textId="77777777" w:rsidR="00F83179" w:rsidRDefault="00F83179" w:rsidP="0004715C">
    <w:pPr>
      <w:spacing w:line="240" w:lineRule="auto"/>
      <w:jc w:val="center"/>
      <w:rPr>
        <w:rFonts w:ascii="Verdana" w:hAnsi="Verdana"/>
        <w:sz w:val="16"/>
        <w:szCs w:val="16"/>
      </w:rPr>
    </w:pPr>
    <w:r>
      <w:rPr>
        <w:rFonts w:ascii="Verdana" w:hAnsi="Verdana"/>
        <w:sz w:val="16"/>
      </w:rPr>
      <w:t xml:space="preserve">E-mail: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rPr>
      <w:t xml:space="preserve">Urmăriți CESE pe </w:t>
    </w:r>
    <w:r>
      <w:rPr>
        <w:noProof/>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FB26" w14:textId="77777777" w:rsidR="002355EA" w:rsidRDefault="002355EA">
      <w:r>
        <w:separator/>
      </w:r>
    </w:p>
  </w:footnote>
  <w:footnote w:type="continuationSeparator" w:id="0">
    <w:p w14:paraId="0566E594" w14:textId="77777777" w:rsidR="002355EA" w:rsidRDefault="00235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F5"/>
    <w:rsid w:val="00000BF5"/>
    <w:rsid w:val="00023F9C"/>
    <w:rsid w:val="000414DC"/>
    <w:rsid w:val="000440D3"/>
    <w:rsid w:val="00044548"/>
    <w:rsid w:val="00045128"/>
    <w:rsid w:val="00046C01"/>
    <w:rsid w:val="00046C51"/>
    <w:rsid w:val="0004715C"/>
    <w:rsid w:val="00067F21"/>
    <w:rsid w:val="00071F79"/>
    <w:rsid w:val="00084F2D"/>
    <w:rsid w:val="0009232E"/>
    <w:rsid w:val="000B3C43"/>
    <w:rsid w:val="000B4610"/>
    <w:rsid w:val="000C1DBE"/>
    <w:rsid w:val="000D145C"/>
    <w:rsid w:val="000F2AD2"/>
    <w:rsid w:val="000F4C6D"/>
    <w:rsid w:val="00100731"/>
    <w:rsid w:val="00101E94"/>
    <w:rsid w:val="001020BC"/>
    <w:rsid w:val="00104DFA"/>
    <w:rsid w:val="00105E49"/>
    <w:rsid w:val="00112EAE"/>
    <w:rsid w:val="00115153"/>
    <w:rsid w:val="00123470"/>
    <w:rsid w:val="00132CB8"/>
    <w:rsid w:val="00142677"/>
    <w:rsid w:val="0015150A"/>
    <w:rsid w:val="001527B2"/>
    <w:rsid w:val="00155ED8"/>
    <w:rsid w:val="001739C0"/>
    <w:rsid w:val="00177BD4"/>
    <w:rsid w:val="001836AA"/>
    <w:rsid w:val="0018613F"/>
    <w:rsid w:val="00186ABF"/>
    <w:rsid w:val="00190E01"/>
    <w:rsid w:val="001C258E"/>
    <w:rsid w:val="001C5BD4"/>
    <w:rsid w:val="001C5F46"/>
    <w:rsid w:val="001D73C0"/>
    <w:rsid w:val="001F4F41"/>
    <w:rsid w:val="001F660F"/>
    <w:rsid w:val="00202C14"/>
    <w:rsid w:val="0021466B"/>
    <w:rsid w:val="002150A2"/>
    <w:rsid w:val="00220030"/>
    <w:rsid w:val="00227A31"/>
    <w:rsid w:val="002355EA"/>
    <w:rsid w:val="0026528E"/>
    <w:rsid w:val="002734F3"/>
    <w:rsid w:val="00275154"/>
    <w:rsid w:val="002A2267"/>
    <w:rsid w:val="002B4379"/>
    <w:rsid w:val="002C0643"/>
    <w:rsid w:val="002C13B0"/>
    <w:rsid w:val="002D0CCC"/>
    <w:rsid w:val="002D4DF1"/>
    <w:rsid w:val="002D5709"/>
    <w:rsid w:val="002E5A1B"/>
    <w:rsid w:val="002F1A65"/>
    <w:rsid w:val="002F1B62"/>
    <w:rsid w:val="002F55CB"/>
    <w:rsid w:val="002F79A3"/>
    <w:rsid w:val="00321382"/>
    <w:rsid w:val="00323645"/>
    <w:rsid w:val="0033634E"/>
    <w:rsid w:val="00337F0A"/>
    <w:rsid w:val="003400C0"/>
    <w:rsid w:val="00347036"/>
    <w:rsid w:val="003759BE"/>
    <w:rsid w:val="00380820"/>
    <w:rsid w:val="00384F7A"/>
    <w:rsid w:val="0038577F"/>
    <w:rsid w:val="003872F9"/>
    <w:rsid w:val="00394D81"/>
    <w:rsid w:val="003959F5"/>
    <w:rsid w:val="003A04C7"/>
    <w:rsid w:val="003A21DF"/>
    <w:rsid w:val="003A77E7"/>
    <w:rsid w:val="003B4C73"/>
    <w:rsid w:val="003B6A00"/>
    <w:rsid w:val="003B714A"/>
    <w:rsid w:val="003C04F9"/>
    <w:rsid w:val="003C1F6B"/>
    <w:rsid w:val="003C2229"/>
    <w:rsid w:val="003C60BB"/>
    <w:rsid w:val="003D3BA4"/>
    <w:rsid w:val="003D5773"/>
    <w:rsid w:val="003E76A5"/>
    <w:rsid w:val="00412228"/>
    <w:rsid w:val="004138F2"/>
    <w:rsid w:val="00414734"/>
    <w:rsid w:val="00415456"/>
    <w:rsid w:val="004177F4"/>
    <w:rsid w:val="0042470A"/>
    <w:rsid w:val="00424928"/>
    <w:rsid w:val="004368E2"/>
    <w:rsid w:val="00442BCC"/>
    <w:rsid w:val="0044529A"/>
    <w:rsid w:val="00452C55"/>
    <w:rsid w:val="004605FD"/>
    <w:rsid w:val="00474606"/>
    <w:rsid w:val="0047608F"/>
    <w:rsid w:val="00486392"/>
    <w:rsid w:val="00486D46"/>
    <w:rsid w:val="004873DA"/>
    <w:rsid w:val="00494BBC"/>
    <w:rsid w:val="004965E4"/>
    <w:rsid w:val="004A06BC"/>
    <w:rsid w:val="004B0E00"/>
    <w:rsid w:val="004C0408"/>
    <w:rsid w:val="004D3B07"/>
    <w:rsid w:val="004D6672"/>
    <w:rsid w:val="004E422F"/>
    <w:rsid w:val="004E7C21"/>
    <w:rsid w:val="004F4C5B"/>
    <w:rsid w:val="005022D4"/>
    <w:rsid w:val="00502CAB"/>
    <w:rsid w:val="005107DF"/>
    <w:rsid w:val="00512080"/>
    <w:rsid w:val="00520507"/>
    <w:rsid w:val="005244B3"/>
    <w:rsid w:val="005270ED"/>
    <w:rsid w:val="00527D5E"/>
    <w:rsid w:val="00531975"/>
    <w:rsid w:val="005520A7"/>
    <w:rsid w:val="00552EA9"/>
    <w:rsid w:val="005549A1"/>
    <w:rsid w:val="00556CD0"/>
    <w:rsid w:val="00560900"/>
    <w:rsid w:val="00566D83"/>
    <w:rsid w:val="0056705F"/>
    <w:rsid w:val="0057111D"/>
    <w:rsid w:val="005730BB"/>
    <w:rsid w:val="00574D18"/>
    <w:rsid w:val="00582C7E"/>
    <w:rsid w:val="0058450C"/>
    <w:rsid w:val="005847E5"/>
    <w:rsid w:val="005A0E46"/>
    <w:rsid w:val="005A186C"/>
    <w:rsid w:val="005A1ABE"/>
    <w:rsid w:val="005B3342"/>
    <w:rsid w:val="005B611F"/>
    <w:rsid w:val="005C07A3"/>
    <w:rsid w:val="005C08F4"/>
    <w:rsid w:val="005C2258"/>
    <w:rsid w:val="005C43A1"/>
    <w:rsid w:val="005C46DB"/>
    <w:rsid w:val="005D09BB"/>
    <w:rsid w:val="005D3D97"/>
    <w:rsid w:val="005D4A5F"/>
    <w:rsid w:val="005E2455"/>
    <w:rsid w:val="005F28E2"/>
    <w:rsid w:val="005F7092"/>
    <w:rsid w:val="00607FB0"/>
    <w:rsid w:val="00612B3A"/>
    <w:rsid w:val="00612E05"/>
    <w:rsid w:val="0061662B"/>
    <w:rsid w:val="00624950"/>
    <w:rsid w:val="00626C38"/>
    <w:rsid w:val="0063783D"/>
    <w:rsid w:val="00640DDB"/>
    <w:rsid w:val="00640E00"/>
    <w:rsid w:val="0064141E"/>
    <w:rsid w:val="0064298E"/>
    <w:rsid w:val="00642F54"/>
    <w:rsid w:val="00662EE3"/>
    <w:rsid w:val="00677E9B"/>
    <w:rsid w:val="00686EC2"/>
    <w:rsid w:val="006A0D60"/>
    <w:rsid w:val="006A61DA"/>
    <w:rsid w:val="006A744F"/>
    <w:rsid w:val="006B3979"/>
    <w:rsid w:val="006B4D96"/>
    <w:rsid w:val="006B4DBE"/>
    <w:rsid w:val="006B688E"/>
    <w:rsid w:val="006D5A79"/>
    <w:rsid w:val="006E01EA"/>
    <w:rsid w:val="006E2FE3"/>
    <w:rsid w:val="006E42E7"/>
    <w:rsid w:val="006E7847"/>
    <w:rsid w:val="006F338B"/>
    <w:rsid w:val="006F774D"/>
    <w:rsid w:val="007010E4"/>
    <w:rsid w:val="00704AB6"/>
    <w:rsid w:val="00712975"/>
    <w:rsid w:val="00712EA3"/>
    <w:rsid w:val="007223EF"/>
    <w:rsid w:val="007253F3"/>
    <w:rsid w:val="0072607B"/>
    <w:rsid w:val="007313DC"/>
    <w:rsid w:val="0073691E"/>
    <w:rsid w:val="00741024"/>
    <w:rsid w:val="0079001F"/>
    <w:rsid w:val="00795B49"/>
    <w:rsid w:val="007A23CA"/>
    <w:rsid w:val="007A5486"/>
    <w:rsid w:val="007B338F"/>
    <w:rsid w:val="007C71FD"/>
    <w:rsid w:val="007D5510"/>
    <w:rsid w:val="007D76CF"/>
    <w:rsid w:val="007E14EC"/>
    <w:rsid w:val="007E7541"/>
    <w:rsid w:val="007F216B"/>
    <w:rsid w:val="00807DED"/>
    <w:rsid w:val="008133EA"/>
    <w:rsid w:val="008141F8"/>
    <w:rsid w:val="008146D0"/>
    <w:rsid w:val="00816631"/>
    <w:rsid w:val="0082166E"/>
    <w:rsid w:val="00826961"/>
    <w:rsid w:val="00837B82"/>
    <w:rsid w:val="008412F6"/>
    <w:rsid w:val="008522EF"/>
    <w:rsid w:val="00853D56"/>
    <w:rsid w:val="00874A65"/>
    <w:rsid w:val="008820BE"/>
    <w:rsid w:val="008850E4"/>
    <w:rsid w:val="008A055C"/>
    <w:rsid w:val="008A15C7"/>
    <w:rsid w:val="008B051E"/>
    <w:rsid w:val="008C5722"/>
    <w:rsid w:val="008C573E"/>
    <w:rsid w:val="008E2965"/>
    <w:rsid w:val="008E71E6"/>
    <w:rsid w:val="008F4CA5"/>
    <w:rsid w:val="00901854"/>
    <w:rsid w:val="00904607"/>
    <w:rsid w:val="0091356C"/>
    <w:rsid w:val="0092004D"/>
    <w:rsid w:val="00921A9C"/>
    <w:rsid w:val="00932CFF"/>
    <w:rsid w:val="00945B9A"/>
    <w:rsid w:val="00955D3C"/>
    <w:rsid w:val="009572EA"/>
    <w:rsid w:val="009666A2"/>
    <w:rsid w:val="00970DC9"/>
    <w:rsid w:val="0098368F"/>
    <w:rsid w:val="00990253"/>
    <w:rsid w:val="00992A5E"/>
    <w:rsid w:val="009A1F99"/>
    <w:rsid w:val="009A4C63"/>
    <w:rsid w:val="009B7C5E"/>
    <w:rsid w:val="009C2FCF"/>
    <w:rsid w:val="009D2D03"/>
    <w:rsid w:val="009D3245"/>
    <w:rsid w:val="009E41C4"/>
    <w:rsid w:val="009E4417"/>
    <w:rsid w:val="009E75B7"/>
    <w:rsid w:val="00A010F0"/>
    <w:rsid w:val="00A13237"/>
    <w:rsid w:val="00A1723B"/>
    <w:rsid w:val="00A17743"/>
    <w:rsid w:val="00A3743B"/>
    <w:rsid w:val="00A37B52"/>
    <w:rsid w:val="00A53AA2"/>
    <w:rsid w:val="00A70691"/>
    <w:rsid w:val="00A74687"/>
    <w:rsid w:val="00A778B6"/>
    <w:rsid w:val="00A85DB4"/>
    <w:rsid w:val="00A9418C"/>
    <w:rsid w:val="00A955DF"/>
    <w:rsid w:val="00A96CE7"/>
    <w:rsid w:val="00AA4215"/>
    <w:rsid w:val="00AA61D9"/>
    <w:rsid w:val="00AA68B4"/>
    <w:rsid w:val="00AB4DA7"/>
    <w:rsid w:val="00AB5D9C"/>
    <w:rsid w:val="00AC5963"/>
    <w:rsid w:val="00AE0AA2"/>
    <w:rsid w:val="00AE4E92"/>
    <w:rsid w:val="00AF2692"/>
    <w:rsid w:val="00AF458E"/>
    <w:rsid w:val="00B15098"/>
    <w:rsid w:val="00B2321D"/>
    <w:rsid w:val="00B239E2"/>
    <w:rsid w:val="00B26429"/>
    <w:rsid w:val="00B3271E"/>
    <w:rsid w:val="00B40FE0"/>
    <w:rsid w:val="00B415DC"/>
    <w:rsid w:val="00B514E0"/>
    <w:rsid w:val="00B66648"/>
    <w:rsid w:val="00B66DB9"/>
    <w:rsid w:val="00B710AF"/>
    <w:rsid w:val="00B75489"/>
    <w:rsid w:val="00B8166F"/>
    <w:rsid w:val="00B87297"/>
    <w:rsid w:val="00B903CC"/>
    <w:rsid w:val="00B92193"/>
    <w:rsid w:val="00B9349D"/>
    <w:rsid w:val="00B96D77"/>
    <w:rsid w:val="00BA247D"/>
    <w:rsid w:val="00BA72BC"/>
    <w:rsid w:val="00BB36F5"/>
    <w:rsid w:val="00BB4292"/>
    <w:rsid w:val="00BC0660"/>
    <w:rsid w:val="00BD617C"/>
    <w:rsid w:val="00BD7293"/>
    <w:rsid w:val="00BE62DF"/>
    <w:rsid w:val="00BF0E86"/>
    <w:rsid w:val="00BF2441"/>
    <w:rsid w:val="00BF6293"/>
    <w:rsid w:val="00C0652E"/>
    <w:rsid w:val="00C15642"/>
    <w:rsid w:val="00C22A5C"/>
    <w:rsid w:val="00C26FD8"/>
    <w:rsid w:val="00C72B00"/>
    <w:rsid w:val="00C740E7"/>
    <w:rsid w:val="00C85646"/>
    <w:rsid w:val="00C8634A"/>
    <w:rsid w:val="00C91698"/>
    <w:rsid w:val="00C93E55"/>
    <w:rsid w:val="00C97D1B"/>
    <w:rsid w:val="00CB17D3"/>
    <w:rsid w:val="00CB326F"/>
    <w:rsid w:val="00CB5993"/>
    <w:rsid w:val="00CC276E"/>
    <w:rsid w:val="00CE439D"/>
    <w:rsid w:val="00CE6DB7"/>
    <w:rsid w:val="00CF3901"/>
    <w:rsid w:val="00D016BE"/>
    <w:rsid w:val="00D0228E"/>
    <w:rsid w:val="00D06185"/>
    <w:rsid w:val="00D1029C"/>
    <w:rsid w:val="00D212E0"/>
    <w:rsid w:val="00D32C93"/>
    <w:rsid w:val="00D33655"/>
    <w:rsid w:val="00D41605"/>
    <w:rsid w:val="00D44F8B"/>
    <w:rsid w:val="00D522CE"/>
    <w:rsid w:val="00D54832"/>
    <w:rsid w:val="00D56843"/>
    <w:rsid w:val="00D60065"/>
    <w:rsid w:val="00D6369C"/>
    <w:rsid w:val="00D638F0"/>
    <w:rsid w:val="00D70036"/>
    <w:rsid w:val="00D8197C"/>
    <w:rsid w:val="00D831D3"/>
    <w:rsid w:val="00D9016E"/>
    <w:rsid w:val="00D9379D"/>
    <w:rsid w:val="00D93A09"/>
    <w:rsid w:val="00DA03A2"/>
    <w:rsid w:val="00DA048B"/>
    <w:rsid w:val="00DA287A"/>
    <w:rsid w:val="00DA7868"/>
    <w:rsid w:val="00DB07FE"/>
    <w:rsid w:val="00DB575B"/>
    <w:rsid w:val="00DB6FF3"/>
    <w:rsid w:val="00DC66B3"/>
    <w:rsid w:val="00DD14D6"/>
    <w:rsid w:val="00DD3BAC"/>
    <w:rsid w:val="00DD5FD1"/>
    <w:rsid w:val="00DE0845"/>
    <w:rsid w:val="00DE30E6"/>
    <w:rsid w:val="00DE3436"/>
    <w:rsid w:val="00DE4F59"/>
    <w:rsid w:val="00E01BEB"/>
    <w:rsid w:val="00E27081"/>
    <w:rsid w:val="00E47ED9"/>
    <w:rsid w:val="00E57DE4"/>
    <w:rsid w:val="00E64712"/>
    <w:rsid w:val="00E85D95"/>
    <w:rsid w:val="00E904CD"/>
    <w:rsid w:val="00E914ED"/>
    <w:rsid w:val="00EA22E5"/>
    <w:rsid w:val="00EC4417"/>
    <w:rsid w:val="00EC55A1"/>
    <w:rsid w:val="00ED35AF"/>
    <w:rsid w:val="00EE424A"/>
    <w:rsid w:val="00EE66AF"/>
    <w:rsid w:val="00F1060C"/>
    <w:rsid w:val="00F13426"/>
    <w:rsid w:val="00F135E2"/>
    <w:rsid w:val="00F27CD5"/>
    <w:rsid w:val="00F376C6"/>
    <w:rsid w:val="00F45A6F"/>
    <w:rsid w:val="00F46C77"/>
    <w:rsid w:val="00F51000"/>
    <w:rsid w:val="00F61167"/>
    <w:rsid w:val="00F7410C"/>
    <w:rsid w:val="00F76B4C"/>
    <w:rsid w:val="00F83179"/>
    <w:rsid w:val="00F876F3"/>
    <w:rsid w:val="00F90CFF"/>
    <w:rsid w:val="00F92DAC"/>
    <w:rsid w:val="00FA1B78"/>
    <w:rsid w:val="00FB4EA9"/>
    <w:rsid w:val="00FD794D"/>
    <w:rsid w:val="00FE2775"/>
    <w:rsid w:val="00FE4564"/>
    <w:rsid w:val="00FE4D83"/>
    <w:rsid w:val="00FF2BA0"/>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CAEBB43"/>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ro-RO"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ro-RO"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ro-RO"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ro-RO"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ro-RO"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ro-RO"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ro-RO"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ro-RO"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ro-RO"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ro-RO"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ro-RO"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ro-RO"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ro-RO" w:eastAsia="en-US"/>
    </w:rPr>
  </w:style>
  <w:style w:type="table" w:styleId="TableGrid">
    <w:name w:val="Table Grid"/>
    <w:basedOn w:val="TableNormal"/>
    <w:uiPriority w:val="59"/>
    <w:rsid w:val="00BD72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ro-RO"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ro-RO" w:eastAsia="en-US"/>
    </w:rPr>
  </w:style>
  <w:style w:type="paragraph" w:styleId="Revision">
    <w:name w:val="Revision"/>
    <w:hidden/>
    <w:uiPriority w:val="99"/>
    <w:semiHidden/>
    <w:rsid w:val="0073691E"/>
    <w:rPr>
      <w:sz w:val="22"/>
      <w:lang w:eastAsia="en-US"/>
    </w:rPr>
  </w:style>
  <w:style w:type="character" w:customStyle="1" w:styleId="UnresolvedMention1">
    <w:name w:val="Unresolved Mention1"/>
    <w:basedOn w:val="DefaultParagraphFont"/>
    <w:uiPriority w:val="99"/>
    <w:semiHidden/>
    <w:unhideWhenUsed/>
    <w:rsid w:val="00173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841313310">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o.pezzani@eesc.europa.eu" TargetMode="External"/><Relationship Id="rId18"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2.xml"/><Relationship Id="rId16"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F7M6YNZUATRX-416430479-2863</_dlc_DocId>
    <_dlc_DocIdUrl xmlns="59ace41b-6786-4ce3-be71-52c27066c6ef">
      <Url>http://dm/eesc/2024/_layouts/15/DocIdRedir.aspx?ID=F7M6YNZUATRX-416430479-2863</Url>
      <Description>F7M6YNZUATRX-416430479-2863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2024-02-19T12:00:00+00:00</ProductionDate>
    <DocumentNumber xmlns="1178e5e2-058a-41a1-9851-331c7b3fffb8">439</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22</Value>
      <Value>48</Value>
      <Value>37</Value>
      <Value>12</Value>
      <Value>8</Value>
      <Value>24</Value>
      <Value>6</Value>
      <Value>5</Value>
      <Value>14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1923</FicheNumber>
    <OriginalSender xmlns="59ace41b-6786-4ce3-be71-52c27066c6ef">
      <UserInfo>
        <DisplayName>Greff Daniela</DisplayName>
        <AccountId>1553</AccountId>
        <AccountType/>
      </UserInfo>
    </OriginalSender>
    <DocumentPart xmlns="59ace41b-6786-4ce3-be71-52c27066c6ef">0</DocumentPart>
    <AdoptionDate xmlns="59ace41b-6786-4ce3-be71-52c27066c6ef" xsi:nil="true"/>
    <RequestingService xmlns="59ace41b-6786-4ce3-be71-52c27066c6ef">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 xsi:nil="true"/>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B8A8-76F6-4794-BE83-50EF704CEAE0}"/>
</file>

<file path=customXml/itemProps2.xml><?xml version="1.0" encoding="utf-8"?>
<ds:datastoreItem xmlns:ds="http://schemas.openxmlformats.org/officeDocument/2006/customXml" ds:itemID="{B7293AF0-F139-4BD3-ADD3-6B9FE682BF99}"/>
</file>

<file path=customXml/itemProps3.xml><?xml version="1.0" encoding="utf-8"?>
<ds:datastoreItem xmlns:ds="http://schemas.openxmlformats.org/officeDocument/2006/customXml" ds:itemID="{2BC223B1-0729-41B4-8C4A-7006A0578712}"/>
</file>

<file path=customXml/itemProps4.xml><?xml version="1.0" encoding="utf-8"?>
<ds:datastoreItem xmlns:ds="http://schemas.openxmlformats.org/officeDocument/2006/customXml" ds:itemID="{11673861-512B-4DEF-BEB1-3A542A24DAA4}"/>
</file>

<file path=docProps/app.xml><?xml version="1.0" encoding="utf-8"?>
<Properties xmlns="http://schemas.openxmlformats.org/officeDocument/2006/extended-properties" xmlns:vt="http://schemas.openxmlformats.org/officeDocument/2006/docPropsVTypes">
  <Template>Normal.dotm</Template>
  <TotalTime>9</TotalTime>
  <Pages>2</Pages>
  <Words>817</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European Commission's 2024 Work Programme must focus on economic and social aspects</vt:lpstr>
    </vt:vector>
  </TitlesOfParts>
  <Company>CESE-CdR</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Programul de lucru al Comisiei Europene pentru 2024 trebuie să se concentreze pe aspectele economice și sociale</dc:title>
  <dc:subject>CP</dc:subject>
  <dc:creator>Emma Nieddu</dc:creator>
  <cp:keywords>EESC-2024-00439-00-01-CP-TRA-EN</cp:keywords>
  <dc:description>Rapporteur:  - Original language: EN - Date of document: 19/02/2024 - Date of meeting:  - External documents:  - Administrator: M. PEZZANI Marco</dc:description>
  <cp:lastModifiedBy>Greff Daniela</cp:lastModifiedBy>
  <cp:revision>6</cp:revision>
  <cp:lastPrinted>2007-06-05T13:08:00Z</cp:lastPrinted>
  <dcterms:created xsi:type="dcterms:W3CDTF">2024-02-19T15:10:00Z</dcterms:created>
  <dcterms:modified xsi:type="dcterms:W3CDTF">2024-02-19T15:20:00Z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15/02/2024, 15/02/2024, 05/04/2022</vt:lpwstr>
  </property>
  <property fmtid="{D5CDD505-2E9C-101B-9397-08002B2CF9AE}" pid="4" name="Pref_Time">
    <vt:lpwstr>11:28:36, 09:45:48, 16:28:46</vt:lpwstr>
  </property>
  <property fmtid="{D5CDD505-2E9C-101B-9397-08002B2CF9AE}" pid="5" name="Pref_User">
    <vt:lpwstr>enied, enied, enied</vt:lpwstr>
  </property>
  <property fmtid="{D5CDD505-2E9C-101B-9397-08002B2CF9AE}" pid="6" name="Pref_FileName">
    <vt:lpwstr>EESC-2024-00439-00-01-CP-ORI.docx, EESC-2024-00439-00-00-CP-ORI.docx, EESC-2022-01954-00-00-ADMIN-ORI.docx</vt:lpwstr>
  </property>
  <property fmtid="{D5CDD505-2E9C-101B-9397-08002B2CF9AE}" pid="7" name="ContentTypeId">
    <vt:lpwstr>0x010100EA97B91038054C99906057A708A1480A00E20A70424F8EF14D84929FAE9E34774B</vt:lpwstr>
  </property>
  <property fmtid="{D5CDD505-2E9C-101B-9397-08002B2CF9AE}" pid="8" name="_dlc_DocIdItemGuid">
    <vt:lpwstr>d031ccdc-79ba-448c-abfa-3beb532ad586</vt:lpwstr>
  </property>
  <property fmtid="{D5CDD505-2E9C-101B-9397-08002B2CF9AE}" pid="9" name="AvailableTranslations">
    <vt:lpwstr>22;#BG|1a1b3951-7821-4e6a-85f5-5673fc08bd2c;#5;#EN|f2175f21-25d7-44a3-96da-d6a61b075e1b;#37;#RO|feb747a2-64cd-4299-af12-4833ddc30497;#12;#IT|0774613c-01ed-4e5d-a25d-11d2388de825;#14;#FR|d2afafd3-4c81-4f60-8f52-ee33f2f54ff3;#24;#ES|e7a6b05b-ae16-40c8-add9-68b64b03aeba</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439</vt:i4>
  </property>
  <property fmtid="{D5CDD505-2E9C-101B-9397-08002B2CF9AE}" pid="14" name="DocumentVersion">
    <vt:i4>1</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48;#CP|de8ad211-9e8d-408b-8324-674d21bb7d18</vt:lpwstr>
  </property>
  <property fmtid="{D5CDD505-2E9C-101B-9397-08002B2CF9AE}" pid="21" name="RequestingService">
    <vt:lpwstr>Presse</vt:lpwstr>
  </property>
  <property fmtid="{D5CDD505-2E9C-101B-9397-08002B2CF9AE}" pid="22" name="Confidentiality">
    <vt:lpwstr>6;#Unrestricted|826e22d7-d029-4ec0-a450-0c28ff673572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BG|1a1b3951-7821-4e6a-85f5-5673fc08bd2c;EN|f2175f21-25d7-44a3-96da-d6a61b075e1b;IT|0774613c-01ed-4e5d-a25d-11d2388de825;FR|d2afafd3-4c81-4f60-8f52-ee33f2f54ff3;ES|e7a6b05b-ae16-40c8-add9-68b64b03aeba</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22;#BG|1a1b3951-7821-4e6a-85f5-5673fc08bd2c;#48;#CP|de8ad211-9e8d-408b-8324-674d21bb7d18;#12;#IT|0774613c-01ed-4e5d-a25d-11d2388de825;#8;#Final|ea5e6674-7b27-4bac-b091-73adbb394efe;#24;#ES|e7a6b05b-ae16-40c8-add9-68b64b03aeba;#6;#Unrestricted|826e22d7-d029-4ec0-a450-0c28ff673572;#5;#EN|f2175f21-25d7-44a3-96da-d6a61b075e1b;#14;#FR|d2afafd3-4c81-4f60-8f52-ee33f2f54ff3;#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1923</vt:i4>
  </property>
  <property fmtid="{D5CDD505-2E9C-101B-9397-08002B2CF9AE}" pid="36" name="DocumentLanguage">
    <vt:lpwstr>37;#RO|feb747a2-64cd-4299-af12-4833ddc30497</vt:lpwstr>
  </property>
  <property fmtid="{D5CDD505-2E9C-101B-9397-08002B2CF9AE}" pid="37" name="_docset_NoMedatataSyncRequired">
    <vt:lpwstr>False</vt:lpwstr>
  </property>
</Properties>
</file>