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223EF" w:rsidR="003C2229" w:rsidP="00686EC2" w:rsidRDefault="00837B82" w14:paraId="35A2306C" w14:textId="77777777">
      <w:pPr>
        <w:spacing w:line="240" w:lineRule="auto"/>
        <w:rPr>
          <w:rFonts w:ascii="Verdana" w:hAnsi="Verdana"/>
          <w:sz w:val="20"/>
        </w:rPr>
      </w:pPr>
      <w:r>
        <w:rPr>
          <w:rFonts w:ascii="Verdana" w:hAnsi="Verdana"/>
          <w:noProof/>
          <w:sz w:val="20"/>
        </w:rPr>
        <w:drawing>
          <wp:inline distT="0" distB="0" distL="0" distR="0" wp14:anchorId="149B9ABC" wp14:editId="198D9B83">
            <wp:extent cx="5754422" cy="139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a:fillRect/>
                    </a:stretch>
                  </pic:blipFill>
                  <pic:spPr>
                    <a:xfrm>
                      <a:off x="0" y="0"/>
                      <a:ext cx="5754422" cy="1396800"/>
                    </a:xfrm>
                    <a:prstGeom prst="rect">
                      <a:avLst/>
                    </a:prstGeom>
                  </pic:spPr>
                </pic:pic>
              </a:graphicData>
            </a:graphic>
          </wp:inline>
        </w:drawing>
      </w:r>
    </w:p>
    <w:tbl>
      <w:tblPr>
        <w:tblW w:w="0" w:type="auto"/>
        <w:tblLook w:val="0000" w:firstRow="0" w:lastRow="0" w:firstColumn="0" w:lastColumn="0" w:noHBand="0" w:noVBand="0"/>
      </w:tblPr>
      <w:tblGrid>
        <w:gridCol w:w="5168"/>
        <w:gridCol w:w="4119"/>
      </w:tblGrid>
      <w:tr w:rsidRPr="007223EF" w:rsidR="00C93E55" w:rsidTr="00705C0F" w14:paraId="16E539E7" w14:textId="77777777">
        <w:trPr>
          <w:cantSplit/>
        </w:trPr>
        <w:tc>
          <w:tcPr>
            <w:tcW w:w="5168" w:type="dxa"/>
          </w:tcPr>
          <w:p w:rsidRPr="007223EF" w:rsidR="00C93E55" w:rsidP="002F79A3" w:rsidRDefault="00321382" w14:paraId="2A287900" w14:textId="5D2BFDF4">
            <w:pPr>
              <w:spacing w:before="120" w:after="120" w:line="240" w:lineRule="auto"/>
              <w:rPr>
                <w:rFonts w:ascii="Verdana" w:hAnsi="Verdana"/>
                <w:b/>
                <w:bCs/>
                <w:sz w:val="20"/>
              </w:rPr>
            </w:pPr>
            <w:r>
              <w:rPr>
                <w:rFonts w:ascii="Verdana" w:hAnsi="Verdana"/>
                <w:noProof/>
                <w:sz w:val="20"/>
              </w:rPr>
              <mc:AlternateContent>
                <mc:Choice Requires="wps">
                  <w:drawing>
                    <wp:anchor distT="0" distB="0" distL="114300" distR="114300" simplePos="0" relativeHeight="251659264" behindDoc="1" locked="0" layoutInCell="0" allowOverlap="1" wp14:editId="07A6F766" wp14:anchorId="02E0DDBB">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321382" w:rsidRDefault="00321382" w14:paraId="6C3A69A6" w14:textId="77777777">
                                  <w:pPr>
                                    <w:jc w:val="center"/>
                                    <w:rPr>
                                      <w:rFonts w:ascii="Arial" w:hAnsi="Arial" w:cs="Arial"/>
                                      <w:b/>
                                      <w:bCs/>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2E0DDBB">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321382" w:rsidRDefault="00321382" w14:paraId="6C3A69A6" w14:textId="77777777">
                            <w:pPr>
                              <w:jc w:val="center"/>
                              <w:rPr>
                                <w:rFonts w:ascii="Arial" w:hAnsi="Arial" w:cs="Arial"/>
                                <w:b/>
                                <w:bCs/>
                                <w:sz w:val="48"/>
                              </w:rPr>
                            </w:pPr>
                            <w:r>
                              <w:rPr>
                                <w:rFonts w:ascii="Arial" w:hAnsi="Arial"/>
                                <w:b/>
                                <w:sz w:val="48"/>
                              </w:rPr>
                              <w:t>ES</w:t>
                            </w:r>
                          </w:p>
                        </w:txbxContent>
                      </v:textbox>
                      <w10:wrap anchorx="page" anchory="page"/>
                    </v:shape>
                  </w:pict>
                </mc:Fallback>
              </mc:AlternateContent>
            </w:r>
            <w:r>
              <w:rPr>
                <w:rFonts w:ascii="Verdana" w:hAnsi="Verdana"/>
                <w:b/>
                <w:sz w:val="20"/>
              </w:rPr>
              <w:t>N.º 7/2024</w:t>
            </w:r>
          </w:p>
        </w:tc>
        <w:tc>
          <w:tcPr>
            <w:tcW w:w="4119" w:type="dxa"/>
          </w:tcPr>
          <w:p w:rsidRPr="007223EF" w:rsidR="00C93E55" w:rsidP="00F92DAC" w:rsidRDefault="00A13237" w14:paraId="6DB6BFB3" w14:textId="5F1D647B">
            <w:pPr>
              <w:spacing w:before="120" w:after="120" w:line="240" w:lineRule="auto"/>
              <w:jc w:val="right"/>
              <w:rPr>
                <w:rFonts w:ascii="Verdana" w:hAnsi="Verdana"/>
                <w:b/>
                <w:bCs/>
                <w:sz w:val="20"/>
              </w:rPr>
            </w:pPr>
            <w:r>
              <w:rPr>
                <w:rFonts w:ascii="Verdana" w:hAnsi="Verdana"/>
                <w:b/>
                <w:sz w:val="20"/>
              </w:rPr>
              <w:t>14 de febrero de 2024</w:t>
            </w:r>
          </w:p>
        </w:tc>
      </w:tr>
    </w:tbl>
    <w:p w:rsidRPr="007223EF" w:rsidR="00F83179" w:rsidP="00686EC2" w:rsidRDefault="00F83179" w14:paraId="72EB20C4" w14:textId="5DE9E1A8">
      <w:pPr>
        <w:spacing w:line="240" w:lineRule="auto"/>
        <w:rPr>
          <w:rFonts w:ascii="Verdana" w:hAnsi="Verdana"/>
          <w:sz w:val="20"/>
        </w:rPr>
      </w:pPr>
    </w:p>
    <w:p w:rsidRPr="007223EF" w:rsidR="00F83179" w:rsidP="00686EC2" w:rsidRDefault="00F83179" w14:paraId="4154F4D7" w14:textId="77777777">
      <w:pPr>
        <w:spacing w:line="240" w:lineRule="auto"/>
        <w:rPr>
          <w:rFonts w:ascii="Verdana" w:hAnsi="Verdana"/>
          <w:sz w:val="20"/>
        </w:rPr>
        <w:sectPr w:rsidRPr="007223EF" w:rsidR="00F83179" w:rsidSect="00837B82">
          <w:footerReference w:type="default" r:id="rId12"/>
          <w:pgSz w:w="11907" w:h="16839" w:code="9"/>
          <w:pgMar w:top="425" w:right="1418" w:bottom="1418" w:left="1418" w:header="709" w:footer="709" w:gutter="0"/>
          <w:cols w:space="720"/>
          <w:docGrid w:linePitch="299"/>
        </w:sectPr>
      </w:pPr>
    </w:p>
    <w:p w:rsidRPr="007223EF" w:rsidR="008850E4" w:rsidP="008850E4" w:rsidRDefault="008850E4" w14:paraId="7341BCD6" w14:textId="77777777">
      <w:pPr>
        <w:rPr>
          <w:rFonts w:ascii="Verdana" w:hAnsi="Verdana"/>
          <w:sz w:val="18"/>
        </w:rPr>
      </w:pPr>
    </w:p>
    <w:p w:rsidRPr="007223EF" w:rsidR="00AE0AA2" w:rsidP="00795B49" w:rsidRDefault="00AE0AA2" w14:paraId="1D70F4AA" w14:textId="50DAB696">
      <w:pPr>
        <w:jc w:val="center"/>
        <w:rPr>
          <w:rFonts w:ascii="Verdana" w:hAnsi="Verdana"/>
          <w:b/>
          <w:bCs/>
          <w:sz w:val="28"/>
        </w:rPr>
      </w:pPr>
      <w:r>
        <w:rPr>
          <w:rFonts w:ascii="Verdana" w:hAnsi="Verdana"/>
          <w:b/>
          <w:color w:val="0070C0"/>
          <w:sz w:val="28"/>
        </w:rPr>
        <w:t xml:space="preserve">El programa de trabajo de la Comisión Europea </w:t>
      </w:r>
      <w:r w:rsidR="00C052CF">
        <w:rPr>
          <w:rFonts w:ascii="Verdana" w:hAnsi="Verdana"/>
          <w:b/>
          <w:color w:val="0070C0"/>
          <w:sz w:val="28"/>
        </w:rPr>
        <w:br/>
      </w:r>
      <w:r>
        <w:rPr>
          <w:rFonts w:ascii="Verdana" w:hAnsi="Verdana"/>
          <w:b/>
          <w:color w:val="0070C0"/>
          <w:sz w:val="28"/>
        </w:rPr>
        <w:t xml:space="preserve">para 2024 debe centrarse </w:t>
      </w:r>
      <w:r w:rsidR="00C052CF">
        <w:rPr>
          <w:rFonts w:ascii="Verdana" w:hAnsi="Verdana"/>
          <w:b/>
          <w:color w:val="0070C0"/>
          <w:sz w:val="28"/>
        </w:rPr>
        <w:br/>
      </w:r>
      <w:r>
        <w:rPr>
          <w:rFonts w:ascii="Verdana" w:hAnsi="Verdana"/>
          <w:b/>
          <w:color w:val="0070C0"/>
          <w:sz w:val="28"/>
        </w:rPr>
        <w:t>en los aspectos económicos y sociales</w:t>
      </w:r>
    </w:p>
    <w:p w:rsidRPr="007223EF" w:rsidR="00826961" w:rsidP="00826961" w:rsidRDefault="00826961" w14:paraId="729C1FF8" w14:textId="3E6A8AFC">
      <w:pPr>
        <w:rPr>
          <w:rFonts w:ascii="Verdana" w:hAnsi="Verdana"/>
          <w:sz w:val="18"/>
        </w:rPr>
      </w:pPr>
    </w:p>
    <w:p w:rsidR="00DE30E6" w:rsidP="00795B49" w:rsidRDefault="001739C0" w14:paraId="2CBF5C2F" w14:textId="05568DD5">
      <w:pPr>
        <w:rPr>
          <w:rFonts w:ascii="Verdana" w:hAnsi="Verdana"/>
          <w:b/>
          <w:bCs/>
          <w:sz w:val="20"/>
        </w:rPr>
      </w:pPr>
      <w:r>
        <w:rPr>
          <w:rFonts w:ascii="Verdana" w:hAnsi="Verdana"/>
          <w:b/>
          <w:sz w:val="20"/>
        </w:rPr>
        <w:t>En el pleno de febrero, el Comité Económico y Social Europeo (CESE) señaló que la recuperación de las recientes crisis y el fortalecimiento de la resiliencia de la UE pasan fundamentalmente por el crecimiento sostenible, la convergencia social, un entorno empresarial favorable y mejores condiciones laborales.</w:t>
      </w:r>
    </w:p>
    <w:p w:rsidR="001F660F" w:rsidP="00795B49" w:rsidRDefault="001F660F" w14:paraId="6A973F45" w14:textId="6BFE1296">
      <w:pPr>
        <w:rPr>
          <w:rFonts w:ascii="Verdana" w:hAnsi="Verdana"/>
          <w:sz w:val="18"/>
        </w:rPr>
      </w:pPr>
    </w:p>
    <w:p w:rsidR="00DD5FD1" w:rsidP="00795B49" w:rsidRDefault="00E85D95" w14:paraId="4D97E88B" w14:textId="34728AA0">
      <w:pPr>
        <w:rPr>
          <w:rFonts w:ascii="Verdana" w:hAnsi="Verdana"/>
          <w:sz w:val="18"/>
        </w:rPr>
      </w:pPr>
      <w:r>
        <w:rPr>
          <w:rFonts w:ascii="Verdana" w:hAnsi="Verdana"/>
          <w:sz w:val="18"/>
        </w:rPr>
        <w:t>La principal prioridad de la Comisión Europea para 2024 será garantizar la recuperación de Europa, teniendo debidamente en cuenta los aspectos económicos y sociales. Lo que se pretende ante todo es mitigar el impacto perjudicial de la guerra en Ucrania y la consiguiente crisis energética.</w:t>
      </w:r>
    </w:p>
    <w:p w:rsidR="00DD5FD1" w:rsidP="00795B49" w:rsidRDefault="00DD5FD1" w14:paraId="23A83108" w14:textId="77777777">
      <w:pPr>
        <w:rPr>
          <w:rFonts w:ascii="Verdana" w:hAnsi="Verdana"/>
          <w:sz w:val="18"/>
        </w:rPr>
      </w:pPr>
    </w:p>
    <w:p w:rsidR="00A85DB4" w:rsidP="00795B49" w:rsidRDefault="00E85D95" w14:paraId="39184027" w14:textId="6B09EE1A">
      <w:pPr>
        <w:rPr>
          <w:rFonts w:ascii="Verdana" w:hAnsi="Verdana"/>
          <w:sz w:val="18"/>
        </w:rPr>
      </w:pPr>
      <w:r>
        <w:rPr>
          <w:rFonts w:ascii="Verdana" w:hAnsi="Verdana"/>
          <w:sz w:val="18"/>
        </w:rPr>
        <w:t xml:space="preserve">Durante el debate mantenido el 14 de febrero en el pleno, </w:t>
      </w:r>
      <w:r>
        <w:rPr>
          <w:rFonts w:ascii="Verdana" w:hAnsi="Verdana"/>
          <w:b/>
          <w:sz w:val="18"/>
        </w:rPr>
        <w:t>Oliver Röpke</w:t>
      </w:r>
      <w:r>
        <w:rPr>
          <w:rFonts w:ascii="Verdana" w:hAnsi="Verdana"/>
          <w:sz w:val="18"/>
        </w:rPr>
        <w:t>, presidente del CESE, elogió el programa de trabajo de la Comisión para 2024: «Este programa hace especial hincapié en la simplificación de las normas dirigidas a la ciudadanía y al tejido empresarial de la Unión Europa. Agradezco personalmente que estas medidas no rebajen las normas sociales, medioambientales, económicas, de seguridad o de protección de los consumidores.</w:t>
      </w:r>
      <w:r>
        <w:t xml:space="preserve"> </w:t>
      </w:r>
      <w:r>
        <w:rPr>
          <w:rFonts w:ascii="Verdana" w:hAnsi="Verdana"/>
          <w:sz w:val="18"/>
        </w:rPr>
        <w:t xml:space="preserve">Somos conscientes de que Europa se enfrenta a cada vez más retos imprevistos». </w:t>
      </w:r>
    </w:p>
    <w:p w:rsidR="001F4F41" w:rsidP="006A61DA" w:rsidRDefault="001F4F41" w14:paraId="376CF054" w14:textId="11EED944">
      <w:pPr>
        <w:rPr>
          <w:rFonts w:ascii="Verdana" w:hAnsi="Verdana"/>
          <w:sz w:val="18"/>
        </w:rPr>
      </w:pPr>
    </w:p>
    <w:p w:rsidR="006E42E7" w:rsidP="001C258E" w:rsidRDefault="00A85DB4" w14:paraId="3434B06B" w14:textId="56149DE5">
      <w:pPr>
        <w:rPr>
          <w:rFonts w:ascii="Verdana" w:hAnsi="Verdana"/>
          <w:sz w:val="18"/>
        </w:rPr>
      </w:pPr>
      <w:r>
        <w:rPr>
          <w:rFonts w:ascii="Verdana" w:hAnsi="Verdana"/>
          <w:sz w:val="18"/>
        </w:rPr>
        <w:t xml:space="preserve">Refiriéndose a una «época no solo de retos, sino también de oportunidades sin precedentes», </w:t>
      </w:r>
      <w:r>
        <w:rPr>
          <w:rFonts w:ascii="Verdana" w:hAnsi="Verdana"/>
          <w:b/>
          <w:sz w:val="18"/>
        </w:rPr>
        <w:t>Maroš Šefčovič</w:t>
      </w:r>
      <w:r>
        <w:rPr>
          <w:rFonts w:ascii="Verdana" w:hAnsi="Verdana"/>
          <w:sz w:val="18"/>
        </w:rPr>
        <w:t xml:space="preserve">, vicepresidente ejecutivo para el Pacto Verde Europeo, Relaciones Interinstitucionales y Prospectiva de la Comisión Europea, recalcó la determinación de la Comisión de reducir la carga administrativa que soportan los ciudadanos y las empresas de la UE: «Es fundamental garantizar que nuestras empresas —en particular las pymes— sigan siendo competitivas en el actual contexto mundial y económico. De ahí que sigamos trabajando para reducir en un 25 % las cargas derivadas de los requisitos de información sin que ello vaya en detrimento de nuestros objetivos políticos». </w:t>
      </w:r>
    </w:p>
    <w:p w:rsidR="006E42E7" w:rsidP="001C258E" w:rsidRDefault="006E42E7" w14:paraId="727D5668" w14:textId="77777777">
      <w:pPr>
        <w:rPr>
          <w:rFonts w:ascii="Verdana" w:hAnsi="Verdana"/>
          <w:sz w:val="18"/>
        </w:rPr>
      </w:pPr>
    </w:p>
    <w:p w:rsidR="001C258E" w:rsidP="001C258E" w:rsidRDefault="001C258E" w14:paraId="5F2DF0EE" w14:textId="184E5B28">
      <w:pPr>
        <w:rPr>
          <w:rFonts w:ascii="Verdana" w:hAnsi="Verdana"/>
          <w:sz w:val="18"/>
        </w:rPr>
      </w:pPr>
      <w:r>
        <w:rPr>
          <w:rFonts w:ascii="Verdana" w:hAnsi="Verdana"/>
          <w:sz w:val="18"/>
        </w:rPr>
        <w:t>«El programa de trabajo de la Comisión para 2024 prevé cuarenta y una propuestas para simplificar y racionalizar los requisitos de información, lo que supondrá un ahorro total estimado de 3 600 millones EUR. Además, en 2024 proseguiremos nuestros esfuerzos por impulsar la transición ecológica y aplicar de forma adecuada el Pacto Verde, sin dejar de preservar la competitividad de nuestra industria ni de garantizar una transición socialmente equitativa, justa e inclusiva», añadió el Sr. Šefčovič, quien también subrayó la necesidad de colaborar estrechamente y dialogar con todas las partes interesadas, incluidos los agricultores.</w:t>
      </w:r>
    </w:p>
    <w:p w:rsidR="001F4F41" w:rsidP="006A61DA" w:rsidRDefault="001F4F41" w14:paraId="5B29F6D4" w14:textId="735F6858">
      <w:pPr>
        <w:rPr>
          <w:rFonts w:ascii="Verdana" w:hAnsi="Verdana"/>
          <w:sz w:val="18"/>
        </w:rPr>
      </w:pPr>
    </w:p>
    <w:p w:rsidR="00DD14D6" w:rsidP="006A61DA" w:rsidRDefault="005107DF" w14:paraId="5DFC56F5" w14:textId="1A3CB2DB">
      <w:pPr>
        <w:rPr>
          <w:rFonts w:ascii="Verdana" w:hAnsi="Verdana"/>
          <w:sz w:val="18"/>
        </w:rPr>
      </w:pPr>
      <w:r>
        <w:rPr>
          <w:rFonts w:ascii="Verdana" w:hAnsi="Verdana"/>
          <w:sz w:val="18"/>
        </w:rPr>
        <w:t xml:space="preserve">En este contexto, el presidente del CESE señaló que los dictámenes del Comité han puesto de relieve que la recuperación de las crisis y el fortalecimiento de la resiliencia de la UE pasan por una serie de factores clave, entre los que cabe citar el crecimiento sostenible, la convergencia social, </w:t>
      </w:r>
      <w:r>
        <w:rPr>
          <w:rFonts w:ascii="Verdana" w:hAnsi="Verdana"/>
          <w:sz w:val="18"/>
        </w:rPr>
        <w:lastRenderedPageBreak/>
        <w:t>un</w:t>
      </w:r>
      <w:r w:rsidR="00180790">
        <w:rPr>
          <w:rFonts w:ascii="Verdana" w:hAnsi="Verdana"/>
          <w:sz w:val="18"/>
        </w:rPr>
        <w:t> </w:t>
      </w:r>
      <w:r>
        <w:rPr>
          <w:rFonts w:ascii="Verdana" w:hAnsi="Verdana"/>
          <w:sz w:val="18"/>
        </w:rPr>
        <w:t>entorno empresarial favorable y mejores condiciones laborales, así como la apuesta por una convergencia social y económica al alza y que no deje a nadie atrás.</w:t>
      </w:r>
    </w:p>
    <w:p w:rsidR="001F4F41" w:rsidP="006A61DA" w:rsidRDefault="001F4F41" w14:paraId="161B3472" w14:textId="750030DC">
      <w:pPr>
        <w:rPr>
          <w:rFonts w:ascii="Verdana" w:hAnsi="Verdana"/>
          <w:sz w:val="18"/>
        </w:rPr>
      </w:pPr>
    </w:p>
    <w:p w:rsidR="001836AA" w:rsidP="001836AA" w:rsidRDefault="001836AA" w14:paraId="235F5DF0" w14:textId="274CF37B">
      <w:pPr>
        <w:rPr>
          <w:rFonts w:ascii="Verdana" w:hAnsi="Verdana"/>
          <w:sz w:val="18"/>
        </w:rPr>
      </w:pPr>
      <w:r>
        <w:rPr>
          <w:rFonts w:ascii="Verdana" w:hAnsi="Verdana"/>
          <w:sz w:val="18"/>
        </w:rPr>
        <w:t>El vicepresidente ejecutivo de la Comisión observó con satisfacción que el CESE ha estado trabajando en iniciativas de gran calado, como la de los miembros de los países candidatos a la adhesión (el Comité es el primer órgano de la UE en implicar a los países candidatos a la adhesión en sus trabajos), la evaluación de la UE desde el punto de vista de los jóvenes (el Comité considera necesario tener en cuenta la perspectiva de la juventud en todos los ámbitos políticos) y el Pacto Azul Europeo (el Comité hace un llamamiento con vistas a elaborar un enfoque global de las políticas europeas del agua).</w:t>
      </w:r>
    </w:p>
    <w:p w:rsidR="001836AA" w:rsidP="006A61DA" w:rsidRDefault="001836AA" w14:paraId="080242DD" w14:textId="77777777">
      <w:pPr>
        <w:rPr>
          <w:rFonts w:ascii="Verdana" w:hAnsi="Verdana"/>
          <w:sz w:val="18"/>
        </w:rPr>
      </w:pPr>
    </w:p>
    <w:p w:rsidRPr="007223EF" w:rsidR="008522EF" w:rsidP="008522EF" w:rsidRDefault="008522EF" w14:paraId="638FA24F" w14:textId="259FEF78">
      <w:pPr>
        <w:rPr>
          <w:rFonts w:ascii="Verdana" w:hAnsi="Verdana"/>
          <w:sz w:val="18"/>
        </w:rPr>
      </w:pPr>
      <w:r>
        <w:rPr>
          <w:rFonts w:ascii="Verdana" w:hAnsi="Verdana"/>
          <w:sz w:val="18"/>
        </w:rPr>
        <w:t xml:space="preserve">Durante el debate con los miembros del CESE, </w:t>
      </w:r>
      <w:r>
        <w:rPr>
          <w:rFonts w:ascii="Verdana" w:hAnsi="Verdana"/>
          <w:b/>
          <w:sz w:val="18"/>
        </w:rPr>
        <w:t>Stefano Mallia</w:t>
      </w:r>
      <w:r>
        <w:rPr>
          <w:rFonts w:ascii="Verdana" w:hAnsi="Verdana"/>
          <w:sz w:val="18"/>
        </w:rPr>
        <w:t>, presidente del Grupo de Empresarios del Comité, también hizo hincapié en la competitividad de la UE y afirmó que las empresas europeas tienen dificultades para cumplir los objetivos de la transición ecológica, por lo que se antoja necesario efectuar una evaluación para comprobar hasta qué punto siguen siendo realistas y viables.</w:t>
      </w:r>
    </w:p>
    <w:p w:rsidRPr="007223EF" w:rsidR="0061662B" w:rsidP="008522EF" w:rsidRDefault="0061662B" w14:paraId="7846C861" w14:textId="77777777">
      <w:pPr>
        <w:rPr>
          <w:rFonts w:ascii="Verdana" w:hAnsi="Verdana"/>
          <w:sz w:val="18"/>
        </w:rPr>
      </w:pPr>
    </w:p>
    <w:p w:rsidR="003400C0" w:rsidP="008522EF" w:rsidRDefault="008522EF" w14:paraId="4953B62A" w14:textId="5203E1FB">
      <w:pPr>
        <w:rPr>
          <w:rFonts w:ascii="Verdana" w:hAnsi="Verdana"/>
          <w:sz w:val="18"/>
        </w:rPr>
      </w:pPr>
      <w:r>
        <w:rPr>
          <w:rFonts w:ascii="Verdana" w:hAnsi="Verdana"/>
          <w:sz w:val="18"/>
        </w:rPr>
        <w:t xml:space="preserve">En nombre del Grupo de Trabajadores del CESE, </w:t>
      </w:r>
      <w:r>
        <w:rPr>
          <w:rFonts w:ascii="Verdana" w:hAnsi="Verdana"/>
          <w:b/>
          <w:sz w:val="18"/>
        </w:rPr>
        <w:t>Cinzia Del Rio</w:t>
      </w:r>
      <w:r>
        <w:rPr>
          <w:rFonts w:ascii="Verdana" w:hAnsi="Verdana"/>
          <w:sz w:val="18"/>
        </w:rPr>
        <w:t>, presidenta de la Sección de Asuntos Sociales del Comité, sostuvo que la doble transición ecológica y digital debe acompañarse de medidas para promover la sostenibilidad social. La seguridad social y la economía son dos aspectos indisociables, por lo que la agenda económica en ningún caso puede pasar por alto la dimensión social de las inversiones y las reformas.</w:t>
      </w:r>
      <w:r>
        <w:t xml:space="preserve"> </w:t>
      </w:r>
      <w:r>
        <w:rPr>
          <w:rFonts w:ascii="Verdana" w:hAnsi="Verdana"/>
          <w:sz w:val="18"/>
        </w:rPr>
        <w:t>Asimismo, una dimensión social sólida constituye una respuesta eficaz al discurso populista.</w:t>
      </w:r>
    </w:p>
    <w:p w:rsidRPr="007223EF" w:rsidR="003400C0" w:rsidP="008522EF" w:rsidRDefault="003400C0" w14:paraId="73CB9A0B" w14:textId="77777777">
      <w:pPr>
        <w:rPr>
          <w:rFonts w:ascii="Verdana" w:hAnsi="Verdana"/>
          <w:sz w:val="18"/>
        </w:rPr>
      </w:pPr>
    </w:p>
    <w:p w:rsidRPr="003400C0" w:rsidR="003400C0" w:rsidP="003400C0" w:rsidRDefault="005B611F" w14:paraId="025F8F02" w14:textId="7760D028">
      <w:pPr>
        <w:rPr>
          <w:rFonts w:ascii="Verdana" w:hAnsi="Verdana"/>
          <w:sz w:val="18"/>
        </w:rPr>
      </w:pPr>
      <w:r>
        <w:rPr>
          <w:rFonts w:ascii="Verdana" w:hAnsi="Verdana"/>
          <w:sz w:val="18"/>
        </w:rPr>
        <w:t xml:space="preserve">Por último, </w:t>
      </w:r>
      <w:r>
        <w:rPr>
          <w:rFonts w:ascii="Verdana" w:hAnsi="Verdana"/>
          <w:b/>
          <w:sz w:val="18"/>
        </w:rPr>
        <w:t>Séamus Boland</w:t>
      </w:r>
      <w:r>
        <w:rPr>
          <w:rFonts w:ascii="Verdana" w:hAnsi="Verdana"/>
          <w:sz w:val="18"/>
        </w:rPr>
        <w:t>, presidente del Grupo de Organizaciones de la Sociedad Civil, planteó la cuestión de si las prioridades de la Comisión concordaban con las de la ciudadanía tal y como se reflejan en una reciente encuesta del Eurobarómetro. Subrayó el peligro de que no este no fuera el caso, máxime teniendo en cuenta el auge del populismo; también insistió en la necesidad de que la</w:t>
      </w:r>
      <w:r w:rsidR="00180790">
        <w:rPr>
          <w:rFonts w:ascii="Verdana" w:hAnsi="Verdana"/>
          <w:sz w:val="18"/>
        </w:rPr>
        <w:t> </w:t>
      </w:r>
      <w:r>
        <w:rPr>
          <w:rFonts w:ascii="Verdana" w:hAnsi="Verdana"/>
          <w:sz w:val="18"/>
        </w:rPr>
        <w:t>UE haga todo lo posible por tender la mano y forjar vínculos con la ciudadanía europea, para escuchar lo que esta tiene que decir y poner coto a la brecha existente entre las personas y las instituciones.</w:t>
      </w:r>
    </w:p>
    <w:p w:rsidR="008522EF" w:rsidP="00177BD4" w:rsidRDefault="008522EF" w14:paraId="6370E74D" w14:textId="7E1237D4">
      <w:pPr>
        <w:rPr>
          <w:rFonts w:ascii="Verdana" w:hAnsi="Verdana"/>
          <w:sz w:val="18"/>
        </w:rPr>
      </w:pPr>
    </w:p>
    <w:p w:rsidR="008522EF" w:rsidP="00177BD4" w:rsidRDefault="008522EF" w14:paraId="59EFE777" w14:textId="77777777">
      <w:pPr>
        <w:rPr>
          <w:rFonts w:ascii="Verdana" w:hAnsi="Verdana"/>
          <w:sz w:val="18"/>
        </w:rPr>
      </w:pPr>
    </w:p>
    <w:p w:rsidRPr="007223EF" w:rsidR="006A61DA" w:rsidP="00177BD4" w:rsidRDefault="006A61DA" w14:paraId="08238E23" w14:textId="77777777">
      <w:pPr>
        <w:rPr>
          <w:rFonts w:ascii="Verdana" w:hAnsi="Verdana"/>
          <w:sz w:val="18"/>
        </w:rPr>
      </w:pPr>
    </w:p>
    <w:p w:rsidRPr="007223EF" w:rsidR="005C43A1" w:rsidP="00795B49" w:rsidRDefault="005C43A1" w14:paraId="4255D68F" w14:textId="77777777">
      <w:pPr>
        <w:rPr>
          <w:rFonts w:ascii="Verdana" w:hAnsi="Verdana"/>
          <w:bCs/>
          <w:sz w:val="18"/>
          <w:szCs w:val="18"/>
        </w:rPr>
      </w:pPr>
    </w:p>
    <w:p w:rsidRPr="007223EF" w:rsidR="00BD7293" w:rsidP="00BD7293" w:rsidRDefault="00BD7293" w14:paraId="721508B5" w14:textId="77777777">
      <w:pPr>
        <w:jc w:val="center"/>
        <w:rPr>
          <w:rFonts w:ascii="Verdana" w:hAnsi="Verdana"/>
          <w:sz w:val="18"/>
          <w:szCs w:val="18"/>
        </w:rPr>
      </w:pPr>
      <w:r>
        <w:rPr>
          <w:rFonts w:ascii="Verdana" w:hAnsi="Verdana"/>
          <w:b/>
          <w:sz w:val="18"/>
        </w:rPr>
        <w:t>Para obtener más información, póngase en contacto con:</w:t>
      </w:r>
    </w:p>
    <w:p w:rsidRPr="007223EF" w:rsidR="00BD7293" w:rsidP="00BD7293" w:rsidRDefault="00BD7293" w14:paraId="2BFC0303" w14:textId="77777777">
      <w:pPr>
        <w:pStyle w:val="Heading1"/>
        <w:numPr>
          <w:ilvl w:val="0"/>
          <w:numId w:val="0"/>
        </w:numPr>
        <w:ind w:left="360"/>
        <w:jc w:val="center"/>
        <w:rPr>
          <w:rFonts w:ascii="Verdana" w:hAnsi="Verdana"/>
          <w:sz w:val="18"/>
          <w:szCs w:val="18"/>
        </w:rPr>
      </w:pPr>
      <w:r>
        <w:rPr>
          <w:rFonts w:ascii="Verdana" w:hAnsi="Verdana"/>
          <w:sz w:val="18"/>
        </w:rPr>
        <w:t>Unidad de Prensa del CESE – Marco Pezzani</w:t>
      </w:r>
      <w:r>
        <w:rPr>
          <w:rFonts w:ascii="Verdana" w:hAnsi="Verdana"/>
          <w:sz w:val="18"/>
        </w:rPr>
        <w:br/>
        <w:t>+32 (0)2 546 9793 – Móvil: +32 (0)470 881 903</w:t>
      </w:r>
    </w:p>
    <w:p w:rsidRPr="007223EF" w:rsidR="00BD7293" w:rsidP="00BD7293" w:rsidRDefault="00900DE7" w14:paraId="7E0C5C48" w14:textId="77777777">
      <w:pPr>
        <w:jc w:val="center"/>
        <w:rPr>
          <w:rFonts w:ascii="Verdana" w:hAnsi="Verdana"/>
          <w:sz w:val="18"/>
          <w:szCs w:val="18"/>
        </w:rPr>
      </w:pPr>
      <w:hyperlink w:history="1" r:id="rId13">
        <w:r w:rsidR="009E4417">
          <w:rPr>
            <w:rStyle w:val="Hyperlink"/>
            <w:rFonts w:ascii="Verdana" w:hAnsi="Verdana"/>
            <w:sz w:val="18"/>
          </w:rPr>
          <w:t>marco.pezzani@eesc.eur</w:t>
        </w:r>
        <w:r w:rsidR="009E4417">
          <w:rPr>
            <w:rStyle w:val="Hyperlink"/>
            <w:rFonts w:ascii="Verdana" w:hAnsi="Verdana"/>
            <w:sz w:val="18"/>
          </w:rPr>
          <w:t>o</w:t>
        </w:r>
        <w:r w:rsidR="009E4417">
          <w:rPr>
            <w:rStyle w:val="Hyperlink"/>
            <w:rFonts w:ascii="Verdana" w:hAnsi="Verdana"/>
            <w:sz w:val="18"/>
          </w:rPr>
          <w:t>pa.eu</w:t>
        </w:r>
      </w:hyperlink>
    </w:p>
    <w:p w:rsidR="00BD7293" w:rsidP="00BD7293" w:rsidRDefault="00BD7293" w14:paraId="3B3D4053" w14:textId="4D9A942B">
      <w:pPr>
        <w:pStyle w:val="Heading1"/>
        <w:numPr>
          <w:ilvl w:val="0"/>
          <w:numId w:val="0"/>
        </w:numPr>
        <w:jc w:val="center"/>
        <w:rPr>
          <w:rFonts w:ascii="Verdana" w:hAnsi="Verdana"/>
          <w:b/>
          <w:bCs/>
          <w:sz w:val="18"/>
          <w:szCs w:val="18"/>
        </w:rPr>
      </w:pPr>
      <w:r>
        <w:rPr>
          <w:rFonts w:ascii="Verdana" w:hAnsi="Verdana"/>
          <w:b/>
          <w:sz w:val="18"/>
        </w:rPr>
        <w:t>@EESC_PRESS</w:t>
      </w:r>
    </w:p>
    <w:p w:rsidRPr="004177F4" w:rsidR="004177F4" w:rsidP="004177F4" w:rsidRDefault="004177F4" w14:paraId="2D86040E" w14:textId="77777777">
      <w:pPr>
        <w:rPr>
          <w:rFonts w:ascii="Verdana" w:hAnsi="Verdana"/>
          <w:sz w:val="18"/>
        </w:rPr>
      </w:pPr>
    </w:p>
    <w:p w:rsidRPr="007223EF" w:rsidR="00F83179" w:rsidP="00CE439D" w:rsidRDefault="00F83179" w14:paraId="2F3F2A91" w14:textId="77777777">
      <w:pPr>
        <w:rPr>
          <w:rFonts w:ascii="Verdana" w:hAnsi="Verdana"/>
          <w:b/>
          <w:bCs/>
          <w:i/>
          <w:sz w:val="16"/>
          <w:szCs w:val="16"/>
        </w:rPr>
      </w:pPr>
      <w:r>
        <w:rPr>
          <w:rFonts w:ascii="Verdana" w:hAnsi="Verdana"/>
          <w:i/>
          <w:sz w:val="16"/>
        </w:rPr>
        <w:t>__</w:t>
      </w:r>
      <w:r>
        <w:rPr>
          <w:rFonts w:ascii="Verdana" w:hAnsi="Verdana"/>
          <w:b/>
          <w:i/>
          <w:sz w:val="16"/>
        </w:rPr>
        <w:t>_____________________________________________________________________________</w:t>
      </w:r>
    </w:p>
    <w:p w:rsidRPr="007223EF" w:rsidR="00F83179" w:rsidP="00CE439D" w:rsidRDefault="00F83179" w14:paraId="2550D65E" w14:textId="77777777">
      <w:pPr>
        <w:rPr>
          <w:rFonts w:ascii="Verdana" w:hAnsi="Verdana"/>
          <w:i/>
          <w:sz w:val="16"/>
          <w:szCs w:val="16"/>
        </w:rPr>
      </w:pPr>
      <w:r>
        <w:rPr>
          <w:rFonts w:ascii="Verdana" w:hAnsi="Verdana"/>
          <w:i/>
          <w:sz w:val="16"/>
        </w:rPr>
        <w:t>El Comité Económico y Social Europeo garantiza la representación de los diferentes componentes de carácter económico y social de la sociedad civil organizada. Es un órgano institucional consultivo, creado por el Tratado de Roma en 1957. Su función consultiva hace posible que sus miembros —y, por tanto, las organizaciones a las que representan— participen en el proceso de decisión de la UE.</w:t>
      </w:r>
    </w:p>
    <w:p w:rsidRPr="007223EF" w:rsidR="00F83179" w:rsidP="00AB5D9C" w:rsidRDefault="00F83179" w14:paraId="293C97E3" w14:textId="77777777">
      <w:pPr>
        <w:rPr>
          <w:rFonts w:ascii="Verdana" w:hAnsi="Verdana"/>
          <w:sz w:val="18"/>
        </w:rPr>
      </w:pPr>
      <w:r>
        <w:rPr>
          <w:rFonts w:ascii="Verdana" w:hAnsi="Verdana"/>
          <w:i/>
          <w:sz w:val="16"/>
        </w:rPr>
        <w:t>__</w:t>
      </w:r>
      <w:r>
        <w:rPr>
          <w:rFonts w:ascii="Verdana" w:hAnsi="Verdana"/>
          <w:b/>
          <w:i/>
          <w:sz w:val="16"/>
        </w:rPr>
        <w:t>_____________________________________________________________________________</w:t>
      </w:r>
    </w:p>
    <w:sectPr w:rsidRPr="007223EF" w:rsidR="00F83179" w:rsidSect="00A70691">
      <w:type w:val="continuous"/>
      <w:pgSz w:w="11907" w:h="16839" w:code="9"/>
      <w:pgMar w:top="425" w:right="1418" w:bottom="1418" w:left="1418" w:header="3062" w:footer="1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DFA2B" w14:textId="77777777" w:rsidR="002355EA" w:rsidRDefault="002355EA">
      <w:r>
        <w:separator/>
      </w:r>
    </w:p>
  </w:endnote>
  <w:endnote w:type="continuationSeparator" w:id="0">
    <w:p w14:paraId="4DCB29AB" w14:textId="77777777" w:rsidR="002355EA" w:rsidRDefault="00235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8EF4" w14:textId="77777777" w:rsidR="00F83179" w:rsidRPr="0004715C" w:rsidRDefault="00F83179" w:rsidP="0004715C">
    <w:pPr>
      <w:spacing w:line="240" w:lineRule="auto"/>
      <w:jc w:val="center"/>
      <w:rPr>
        <w:rFonts w:ascii="Verdana" w:hAnsi="Verdana"/>
        <w:sz w:val="16"/>
        <w:szCs w:val="16"/>
      </w:rPr>
    </w:pPr>
    <w:r>
      <w:rPr>
        <w:rFonts w:ascii="Verdana" w:hAnsi="Verdana"/>
        <w:sz w:val="16"/>
      </w:rPr>
      <w:t>Rue Belliard/Belliardstraat 99, 1040 Bruselas (BÉLGICA)</w:t>
    </w:r>
  </w:p>
  <w:p w14:paraId="7818F7A3" w14:textId="77777777" w:rsidR="00F83179" w:rsidRPr="0004715C" w:rsidRDefault="00F83179" w:rsidP="0004715C">
    <w:pPr>
      <w:spacing w:line="240" w:lineRule="auto"/>
      <w:jc w:val="center"/>
      <w:rPr>
        <w:rFonts w:ascii="Verdana" w:hAnsi="Verdana"/>
        <w:sz w:val="16"/>
        <w:szCs w:val="16"/>
      </w:rPr>
    </w:pPr>
    <w:r>
      <w:rPr>
        <w:rFonts w:ascii="Verdana" w:hAnsi="Verdana"/>
        <w:sz w:val="16"/>
      </w:rPr>
      <w:t>Tel.: +32 (0)25469406 – Fax: +32 (0)25469764</w:t>
    </w:r>
  </w:p>
  <w:p w14:paraId="70E10F9D" w14:textId="77777777" w:rsidR="00F83179" w:rsidRDefault="00F83179" w:rsidP="0004715C">
    <w:pPr>
      <w:spacing w:line="240" w:lineRule="auto"/>
      <w:jc w:val="center"/>
      <w:rPr>
        <w:rFonts w:ascii="Verdana" w:hAnsi="Verdana"/>
        <w:sz w:val="16"/>
        <w:szCs w:val="16"/>
      </w:rPr>
    </w:pPr>
    <w:r>
      <w:rPr>
        <w:rFonts w:ascii="Verdana" w:hAnsi="Verdana"/>
        <w:sz w:val="16"/>
      </w:rPr>
      <w:t xml:space="preserve">Correo electrónico: </w:t>
    </w:r>
    <w:hyperlink r:id="rId1" w:history="1">
      <w:r>
        <w:rPr>
          <w:rStyle w:val="Hyperlink"/>
          <w:rFonts w:ascii="Verdana" w:hAnsi="Verdana"/>
          <w:sz w:val="16"/>
        </w:rPr>
        <w:t>press@eesc.europ</w:t>
      </w:r>
      <w:r>
        <w:rPr>
          <w:rStyle w:val="Hyperlink"/>
          <w:rFonts w:ascii="Verdana" w:hAnsi="Verdana"/>
          <w:sz w:val="16"/>
        </w:rPr>
        <w:t>a</w:t>
      </w:r>
      <w:r>
        <w:rPr>
          <w:rStyle w:val="Hyperlink"/>
          <w:rFonts w:ascii="Verdana" w:hAnsi="Verdana"/>
          <w:sz w:val="16"/>
        </w:rPr>
        <w:t>.eu</w:t>
      </w:r>
    </w:hyperlink>
    <w:r>
      <w:rPr>
        <w:rFonts w:ascii="Verdana" w:hAnsi="Verdana"/>
        <w:sz w:val="16"/>
      </w:rPr>
      <w:t xml:space="preserve"> – Internet: </w:t>
    </w:r>
    <w:hyperlink r:id="rId2" w:history="1">
      <w:r>
        <w:rPr>
          <w:rStyle w:val="Hyperlink"/>
          <w:rFonts w:ascii="Verdana" w:hAnsi="Verdana"/>
          <w:sz w:val="16"/>
        </w:rPr>
        <w:t>www.eesc.eu</w:t>
      </w:r>
      <w:r>
        <w:rPr>
          <w:rStyle w:val="Hyperlink"/>
          <w:rFonts w:ascii="Verdana" w:hAnsi="Verdana"/>
          <w:sz w:val="16"/>
        </w:rPr>
        <w:t>r</w:t>
      </w:r>
      <w:r>
        <w:rPr>
          <w:rStyle w:val="Hyperlink"/>
          <w:rFonts w:ascii="Verdana" w:hAnsi="Verdana"/>
          <w:sz w:val="16"/>
        </w:rPr>
        <w:t>opa.eu</w:t>
      </w:r>
    </w:hyperlink>
  </w:p>
  <w:p w14:paraId="0520ED5B" w14:textId="77777777" w:rsidR="00F83179" w:rsidRPr="0004715C" w:rsidRDefault="00046C01" w:rsidP="00F61167">
    <w:pPr>
      <w:spacing w:line="240" w:lineRule="auto"/>
      <w:jc w:val="center"/>
      <w:rPr>
        <w:rFonts w:ascii="Verdana" w:hAnsi="Verdana"/>
        <w:sz w:val="16"/>
        <w:szCs w:val="16"/>
      </w:rPr>
    </w:pPr>
    <w:r>
      <w:rPr>
        <w:rFonts w:ascii="Verdana" w:hAnsi="Verdana"/>
        <w:sz w:val="16"/>
      </w:rPr>
      <w:t xml:space="preserve">Síganos en </w:t>
    </w:r>
    <w:r>
      <w:rPr>
        <w:noProof/>
      </w:rPr>
      <w:drawing>
        <wp:inline distT="0" distB="0" distL="0" distR="0" wp14:anchorId="06994DCF" wp14:editId="424AC23D">
          <wp:extent cx="323850" cy="323850"/>
          <wp:effectExtent l="0" t="0" r="0" b="0"/>
          <wp:docPr id="8" name="Graphic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3"/>
                  </pic:cNvPr>
                  <pic:cNvPicPr/>
                </pic:nvPicPr>
                <pic:blipFill>
                  <a:blip r:embed="rId4">
                    <a:extLst>
                      <a:ext uri="{96DAC541-7B7A-43D3-8B79-37D633B846F1}">
                        <asvg:svgBlip xmlns:asvg="http://schemas.microsoft.com/office/drawing/2016/SVG/main" r:embed="rId5"/>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490A65EF" wp14:editId="2EF54CD4">
          <wp:extent cx="323850" cy="323850"/>
          <wp:effectExtent l="0" t="0" r="0" b="0"/>
          <wp:docPr id="7" name="Graphic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hlinkClick r:id="rId6"/>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1391340A" wp14:editId="44862100">
          <wp:extent cx="323850" cy="323850"/>
          <wp:effectExtent l="0" t="0" r="0" b="0"/>
          <wp:docPr id="3" name="Graphic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hlinkClick r:id="rId9"/>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68ACCDC5" wp14:editId="485EF76D">
          <wp:extent cx="323850" cy="323850"/>
          <wp:effectExtent l="0" t="0" r="0" b="0"/>
          <wp:docPr id="2" name="Graphic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7E46E9E9" wp14:editId="01887D45">
          <wp:extent cx="323850" cy="323850"/>
          <wp:effectExtent l="0" t="0" r="0" b="0"/>
          <wp:docPr id="1" name="Graphic 1" descr="https://www.facebook.com/EuropeanEconomicAndSocialCommittee&#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ttps://www.facebook.com/EuropeanEconomicAndSocialCommittee&#10;">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323850" cy="3238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FFB26" w14:textId="77777777" w:rsidR="002355EA" w:rsidRDefault="002355EA">
      <w:r>
        <w:separator/>
      </w:r>
    </w:p>
  </w:footnote>
  <w:footnote w:type="continuationSeparator" w:id="0">
    <w:p w14:paraId="0566E594" w14:textId="77777777" w:rsidR="002355EA" w:rsidRDefault="00235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37725C48"/>
    <w:multiLevelType w:val="hybridMultilevel"/>
    <w:tmpl w:val="FF60C2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F5"/>
    <w:rsid w:val="00000BF5"/>
    <w:rsid w:val="00023F9C"/>
    <w:rsid w:val="000414DC"/>
    <w:rsid w:val="000440D3"/>
    <w:rsid w:val="00044548"/>
    <w:rsid w:val="00045128"/>
    <w:rsid w:val="00046C01"/>
    <w:rsid w:val="00046C51"/>
    <w:rsid w:val="0004715C"/>
    <w:rsid w:val="00067F21"/>
    <w:rsid w:val="00071F79"/>
    <w:rsid w:val="00084F2D"/>
    <w:rsid w:val="0009232E"/>
    <w:rsid w:val="000B4610"/>
    <w:rsid w:val="000D145C"/>
    <w:rsid w:val="000F2AD2"/>
    <w:rsid w:val="000F4C6D"/>
    <w:rsid w:val="00100731"/>
    <w:rsid w:val="00101E94"/>
    <w:rsid w:val="001020BC"/>
    <w:rsid w:val="00104DFA"/>
    <w:rsid w:val="00105E49"/>
    <w:rsid w:val="00112EAE"/>
    <w:rsid w:val="00115153"/>
    <w:rsid w:val="00123470"/>
    <w:rsid w:val="00132CB8"/>
    <w:rsid w:val="00142677"/>
    <w:rsid w:val="0015150A"/>
    <w:rsid w:val="001527B2"/>
    <w:rsid w:val="00155ED8"/>
    <w:rsid w:val="001739C0"/>
    <w:rsid w:val="00177BD4"/>
    <w:rsid w:val="00180790"/>
    <w:rsid w:val="001836AA"/>
    <w:rsid w:val="0018613F"/>
    <w:rsid w:val="00186ABF"/>
    <w:rsid w:val="00190E01"/>
    <w:rsid w:val="001C258E"/>
    <w:rsid w:val="001C5BD4"/>
    <w:rsid w:val="001C5F46"/>
    <w:rsid w:val="001D73C0"/>
    <w:rsid w:val="001F4F41"/>
    <w:rsid w:val="001F660F"/>
    <w:rsid w:val="00202C14"/>
    <w:rsid w:val="0021466B"/>
    <w:rsid w:val="002150A2"/>
    <w:rsid w:val="00220030"/>
    <w:rsid w:val="00227A31"/>
    <w:rsid w:val="002355EA"/>
    <w:rsid w:val="0026528E"/>
    <w:rsid w:val="002734F3"/>
    <w:rsid w:val="00275154"/>
    <w:rsid w:val="002A2267"/>
    <w:rsid w:val="002B4379"/>
    <w:rsid w:val="002C0643"/>
    <w:rsid w:val="002C13B0"/>
    <w:rsid w:val="002D0CCC"/>
    <w:rsid w:val="002D4DF1"/>
    <w:rsid w:val="002D5709"/>
    <w:rsid w:val="002E5A1B"/>
    <w:rsid w:val="002F1A65"/>
    <w:rsid w:val="002F1B62"/>
    <w:rsid w:val="002F55CB"/>
    <w:rsid w:val="002F781D"/>
    <w:rsid w:val="002F79A3"/>
    <w:rsid w:val="00321382"/>
    <w:rsid w:val="00323645"/>
    <w:rsid w:val="0033634E"/>
    <w:rsid w:val="00337F0A"/>
    <w:rsid w:val="003400C0"/>
    <w:rsid w:val="00347036"/>
    <w:rsid w:val="003759BE"/>
    <w:rsid w:val="00380820"/>
    <w:rsid w:val="00384F7A"/>
    <w:rsid w:val="0038577F"/>
    <w:rsid w:val="003872F9"/>
    <w:rsid w:val="00394D81"/>
    <w:rsid w:val="003959F5"/>
    <w:rsid w:val="003A04C7"/>
    <w:rsid w:val="003A21DF"/>
    <w:rsid w:val="003A77E7"/>
    <w:rsid w:val="003B4C73"/>
    <w:rsid w:val="003B6A00"/>
    <w:rsid w:val="003B714A"/>
    <w:rsid w:val="003C1F6B"/>
    <w:rsid w:val="003C2229"/>
    <w:rsid w:val="003C60BB"/>
    <w:rsid w:val="003D5773"/>
    <w:rsid w:val="003E76A5"/>
    <w:rsid w:val="00412228"/>
    <w:rsid w:val="004138F2"/>
    <w:rsid w:val="00414734"/>
    <w:rsid w:val="00415456"/>
    <w:rsid w:val="004177F4"/>
    <w:rsid w:val="0042470A"/>
    <w:rsid w:val="00424928"/>
    <w:rsid w:val="004368E2"/>
    <w:rsid w:val="00442BCC"/>
    <w:rsid w:val="0044529A"/>
    <w:rsid w:val="00452C55"/>
    <w:rsid w:val="004605FD"/>
    <w:rsid w:val="00474606"/>
    <w:rsid w:val="0047608F"/>
    <w:rsid w:val="00486392"/>
    <w:rsid w:val="00486D46"/>
    <w:rsid w:val="004873DA"/>
    <w:rsid w:val="00494BBC"/>
    <w:rsid w:val="004965E4"/>
    <w:rsid w:val="004A06BC"/>
    <w:rsid w:val="004B0E00"/>
    <w:rsid w:val="004C0408"/>
    <w:rsid w:val="004D3B07"/>
    <w:rsid w:val="004D6672"/>
    <w:rsid w:val="004E422F"/>
    <w:rsid w:val="004F4C5B"/>
    <w:rsid w:val="005022D4"/>
    <w:rsid w:val="00502CAB"/>
    <w:rsid w:val="005107DF"/>
    <w:rsid w:val="00512080"/>
    <w:rsid w:val="00520507"/>
    <w:rsid w:val="005244B3"/>
    <w:rsid w:val="005270ED"/>
    <w:rsid w:val="00527D5E"/>
    <w:rsid w:val="00531975"/>
    <w:rsid w:val="005520A7"/>
    <w:rsid w:val="00552EA9"/>
    <w:rsid w:val="005549A1"/>
    <w:rsid w:val="00556CD0"/>
    <w:rsid w:val="00560900"/>
    <w:rsid w:val="00566D83"/>
    <w:rsid w:val="0056705F"/>
    <w:rsid w:val="0057111D"/>
    <w:rsid w:val="005730BB"/>
    <w:rsid w:val="00574D18"/>
    <w:rsid w:val="00582C7E"/>
    <w:rsid w:val="0058450C"/>
    <w:rsid w:val="005847E5"/>
    <w:rsid w:val="005A0E46"/>
    <w:rsid w:val="005A186C"/>
    <w:rsid w:val="005A1ABE"/>
    <w:rsid w:val="005B3342"/>
    <w:rsid w:val="005B611F"/>
    <w:rsid w:val="005C07A3"/>
    <w:rsid w:val="005C08F4"/>
    <w:rsid w:val="005C2258"/>
    <w:rsid w:val="005C43A1"/>
    <w:rsid w:val="005C46DB"/>
    <w:rsid w:val="005D09BB"/>
    <w:rsid w:val="005D3D97"/>
    <w:rsid w:val="005D4A5F"/>
    <w:rsid w:val="005E2455"/>
    <w:rsid w:val="005F28E2"/>
    <w:rsid w:val="005F7092"/>
    <w:rsid w:val="00607FB0"/>
    <w:rsid w:val="00612B3A"/>
    <w:rsid w:val="00612E05"/>
    <w:rsid w:val="0061662B"/>
    <w:rsid w:val="00624950"/>
    <w:rsid w:val="00626C38"/>
    <w:rsid w:val="0063783D"/>
    <w:rsid w:val="00640DDB"/>
    <w:rsid w:val="00640E00"/>
    <w:rsid w:val="0064141E"/>
    <w:rsid w:val="0064298E"/>
    <w:rsid w:val="00642F54"/>
    <w:rsid w:val="00662EE3"/>
    <w:rsid w:val="00677E9B"/>
    <w:rsid w:val="00686EC2"/>
    <w:rsid w:val="006A0D60"/>
    <w:rsid w:val="006A61DA"/>
    <w:rsid w:val="006A744F"/>
    <w:rsid w:val="006B3979"/>
    <w:rsid w:val="006B4D96"/>
    <w:rsid w:val="006B4DBE"/>
    <w:rsid w:val="006B688E"/>
    <w:rsid w:val="006D5A79"/>
    <w:rsid w:val="006E01EA"/>
    <w:rsid w:val="006E2FE3"/>
    <w:rsid w:val="006E42E7"/>
    <w:rsid w:val="006E7847"/>
    <w:rsid w:val="006F0CAC"/>
    <w:rsid w:val="006F338B"/>
    <w:rsid w:val="006F774D"/>
    <w:rsid w:val="007010E4"/>
    <w:rsid w:val="00704AB6"/>
    <w:rsid w:val="00712975"/>
    <w:rsid w:val="00712EA3"/>
    <w:rsid w:val="007223EF"/>
    <w:rsid w:val="007253F3"/>
    <w:rsid w:val="0072607B"/>
    <w:rsid w:val="007313DC"/>
    <w:rsid w:val="0073691E"/>
    <w:rsid w:val="00741024"/>
    <w:rsid w:val="007762F9"/>
    <w:rsid w:val="0079001F"/>
    <w:rsid w:val="00795B49"/>
    <w:rsid w:val="007A23CA"/>
    <w:rsid w:val="007A5486"/>
    <w:rsid w:val="007B338F"/>
    <w:rsid w:val="007C71FD"/>
    <w:rsid w:val="007D5510"/>
    <w:rsid w:val="007D76CF"/>
    <w:rsid w:val="007E14EC"/>
    <w:rsid w:val="007E7541"/>
    <w:rsid w:val="007F216B"/>
    <w:rsid w:val="00807DED"/>
    <w:rsid w:val="008133EA"/>
    <w:rsid w:val="008141F8"/>
    <w:rsid w:val="008146D0"/>
    <w:rsid w:val="00816631"/>
    <w:rsid w:val="0082166E"/>
    <w:rsid w:val="00826961"/>
    <w:rsid w:val="00837B82"/>
    <w:rsid w:val="008412F6"/>
    <w:rsid w:val="008522EF"/>
    <w:rsid w:val="00853D56"/>
    <w:rsid w:val="00874A65"/>
    <w:rsid w:val="008820BE"/>
    <w:rsid w:val="008850E4"/>
    <w:rsid w:val="008A055C"/>
    <w:rsid w:val="008A15C7"/>
    <w:rsid w:val="008B051E"/>
    <w:rsid w:val="008C5722"/>
    <w:rsid w:val="008C573E"/>
    <w:rsid w:val="008E2965"/>
    <w:rsid w:val="008E71E6"/>
    <w:rsid w:val="008F4CA5"/>
    <w:rsid w:val="00900DE7"/>
    <w:rsid w:val="00901854"/>
    <w:rsid w:val="00904607"/>
    <w:rsid w:val="0091356C"/>
    <w:rsid w:val="0092004D"/>
    <w:rsid w:val="00921A9C"/>
    <w:rsid w:val="00930325"/>
    <w:rsid w:val="00932CFF"/>
    <w:rsid w:val="00945B9A"/>
    <w:rsid w:val="00955D3C"/>
    <w:rsid w:val="009572EA"/>
    <w:rsid w:val="009666A2"/>
    <w:rsid w:val="00970DC9"/>
    <w:rsid w:val="0098368F"/>
    <w:rsid w:val="00990253"/>
    <w:rsid w:val="00992A5E"/>
    <w:rsid w:val="009A1F99"/>
    <w:rsid w:val="009A4C63"/>
    <w:rsid w:val="009B7C5E"/>
    <w:rsid w:val="009C2FCF"/>
    <w:rsid w:val="009D2D03"/>
    <w:rsid w:val="009D3245"/>
    <w:rsid w:val="009E41C4"/>
    <w:rsid w:val="009E4417"/>
    <w:rsid w:val="009E75B7"/>
    <w:rsid w:val="00A010F0"/>
    <w:rsid w:val="00A13237"/>
    <w:rsid w:val="00A1723B"/>
    <w:rsid w:val="00A17743"/>
    <w:rsid w:val="00A3743B"/>
    <w:rsid w:val="00A37B52"/>
    <w:rsid w:val="00A53AA2"/>
    <w:rsid w:val="00A70691"/>
    <w:rsid w:val="00A74687"/>
    <w:rsid w:val="00A778B6"/>
    <w:rsid w:val="00A85DB4"/>
    <w:rsid w:val="00A9418C"/>
    <w:rsid w:val="00A955DF"/>
    <w:rsid w:val="00A96CE7"/>
    <w:rsid w:val="00AA4215"/>
    <w:rsid w:val="00AA4F86"/>
    <w:rsid w:val="00AA61D9"/>
    <w:rsid w:val="00AA68B4"/>
    <w:rsid w:val="00AB4DA7"/>
    <w:rsid w:val="00AB5D9C"/>
    <w:rsid w:val="00AC5963"/>
    <w:rsid w:val="00AE0AA2"/>
    <w:rsid w:val="00AE4E92"/>
    <w:rsid w:val="00AF2692"/>
    <w:rsid w:val="00AF458E"/>
    <w:rsid w:val="00B15098"/>
    <w:rsid w:val="00B2321D"/>
    <w:rsid w:val="00B239E2"/>
    <w:rsid w:val="00B26429"/>
    <w:rsid w:val="00B3271E"/>
    <w:rsid w:val="00B40FE0"/>
    <w:rsid w:val="00B415DC"/>
    <w:rsid w:val="00B514E0"/>
    <w:rsid w:val="00B66648"/>
    <w:rsid w:val="00B66DB9"/>
    <w:rsid w:val="00B710AF"/>
    <w:rsid w:val="00B75489"/>
    <w:rsid w:val="00B8166F"/>
    <w:rsid w:val="00B87297"/>
    <w:rsid w:val="00B903CC"/>
    <w:rsid w:val="00B92193"/>
    <w:rsid w:val="00B9349D"/>
    <w:rsid w:val="00B96D77"/>
    <w:rsid w:val="00BA247D"/>
    <w:rsid w:val="00BA2C77"/>
    <w:rsid w:val="00BA72BC"/>
    <w:rsid w:val="00BB36F5"/>
    <w:rsid w:val="00BB4292"/>
    <w:rsid w:val="00BC0660"/>
    <w:rsid w:val="00BD617C"/>
    <w:rsid w:val="00BD7293"/>
    <w:rsid w:val="00BE62DF"/>
    <w:rsid w:val="00BF0E86"/>
    <w:rsid w:val="00BF2441"/>
    <w:rsid w:val="00BF6293"/>
    <w:rsid w:val="00C052CF"/>
    <w:rsid w:val="00C0652E"/>
    <w:rsid w:val="00C15642"/>
    <w:rsid w:val="00C22A5C"/>
    <w:rsid w:val="00C26FD8"/>
    <w:rsid w:val="00C72B00"/>
    <w:rsid w:val="00C740E7"/>
    <w:rsid w:val="00C85646"/>
    <w:rsid w:val="00C8634A"/>
    <w:rsid w:val="00C91698"/>
    <w:rsid w:val="00C93E55"/>
    <w:rsid w:val="00C97D1B"/>
    <w:rsid w:val="00CB17D3"/>
    <w:rsid w:val="00CB326F"/>
    <w:rsid w:val="00CB5993"/>
    <w:rsid w:val="00CC276E"/>
    <w:rsid w:val="00CE439D"/>
    <w:rsid w:val="00CE6DB7"/>
    <w:rsid w:val="00CF3901"/>
    <w:rsid w:val="00D016BE"/>
    <w:rsid w:val="00D0228E"/>
    <w:rsid w:val="00D06185"/>
    <w:rsid w:val="00D1029C"/>
    <w:rsid w:val="00D212E0"/>
    <w:rsid w:val="00D32C93"/>
    <w:rsid w:val="00D33655"/>
    <w:rsid w:val="00D41605"/>
    <w:rsid w:val="00D44F8B"/>
    <w:rsid w:val="00D522CE"/>
    <w:rsid w:val="00D54832"/>
    <w:rsid w:val="00D56843"/>
    <w:rsid w:val="00D60065"/>
    <w:rsid w:val="00D6369C"/>
    <w:rsid w:val="00D70036"/>
    <w:rsid w:val="00D8197C"/>
    <w:rsid w:val="00D831D3"/>
    <w:rsid w:val="00D9016E"/>
    <w:rsid w:val="00D9379D"/>
    <w:rsid w:val="00D93A09"/>
    <w:rsid w:val="00DA03A2"/>
    <w:rsid w:val="00DA048B"/>
    <w:rsid w:val="00DA287A"/>
    <w:rsid w:val="00DA7868"/>
    <w:rsid w:val="00DB07FE"/>
    <w:rsid w:val="00DB575B"/>
    <w:rsid w:val="00DB6FF3"/>
    <w:rsid w:val="00DC66B3"/>
    <w:rsid w:val="00DD14D6"/>
    <w:rsid w:val="00DD3BAC"/>
    <w:rsid w:val="00DD5FD1"/>
    <w:rsid w:val="00DE0845"/>
    <w:rsid w:val="00DE30E6"/>
    <w:rsid w:val="00DE3436"/>
    <w:rsid w:val="00DE4F59"/>
    <w:rsid w:val="00E01BEB"/>
    <w:rsid w:val="00E27081"/>
    <w:rsid w:val="00E47ED9"/>
    <w:rsid w:val="00E57DE4"/>
    <w:rsid w:val="00E64712"/>
    <w:rsid w:val="00E85D95"/>
    <w:rsid w:val="00E904CD"/>
    <w:rsid w:val="00E914ED"/>
    <w:rsid w:val="00EA22E5"/>
    <w:rsid w:val="00EC4417"/>
    <w:rsid w:val="00EC55A1"/>
    <w:rsid w:val="00ED35AF"/>
    <w:rsid w:val="00EE424A"/>
    <w:rsid w:val="00EE66AF"/>
    <w:rsid w:val="00F1060C"/>
    <w:rsid w:val="00F13426"/>
    <w:rsid w:val="00F135E2"/>
    <w:rsid w:val="00F27CD5"/>
    <w:rsid w:val="00F376C6"/>
    <w:rsid w:val="00F45A6F"/>
    <w:rsid w:val="00F46C77"/>
    <w:rsid w:val="00F51000"/>
    <w:rsid w:val="00F61167"/>
    <w:rsid w:val="00F7410C"/>
    <w:rsid w:val="00F76B4C"/>
    <w:rsid w:val="00F83179"/>
    <w:rsid w:val="00F876F3"/>
    <w:rsid w:val="00F90CFF"/>
    <w:rsid w:val="00F92DAC"/>
    <w:rsid w:val="00FA1B78"/>
    <w:rsid w:val="00FB4EA9"/>
    <w:rsid w:val="00FD794D"/>
    <w:rsid w:val="00FE2775"/>
    <w:rsid w:val="00FE4564"/>
    <w:rsid w:val="00FE4D83"/>
    <w:rsid w:val="00FF2BA0"/>
    <w:rsid w:val="00FF4788"/>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0CAEBB43"/>
  <w15:docId w15:val="{E1200CD2-0F58-4465-8C7F-6A425784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fr-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F61167"/>
    <w:pPr>
      <w:numPr>
        <w:numId w:val="1"/>
      </w:numPr>
      <w:ind w:left="720" w:hanging="720"/>
      <w:outlineLvl w:val="0"/>
    </w:pPr>
    <w:rPr>
      <w:kern w:val="28"/>
    </w:rPr>
  </w:style>
  <w:style w:type="paragraph" w:styleId="Heading2">
    <w:name w:val="heading 2"/>
    <w:basedOn w:val="Normal"/>
    <w:next w:val="Normal"/>
    <w:link w:val="Heading2Char"/>
    <w:uiPriority w:val="9"/>
    <w:qFormat/>
    <w:rsid w:val="00F61167"/>
    <w:pPr>
      <w:numPr>
        <w:ilvl w:val="1"/>
        <w:numId w:val="1"/>
      </w:numPr>
      <w:ind w:left="720" w:hanging="720"/>
      <w:outlineLvl w:val="1"/>
    </w:pPr>
  </w:style>
  <w:style w:type="paragraph" w:styleId="Heading3">
    <w:name w:val="heading 3"/>
    <w:basedOn w:val="Normal"/>
    <w:next w:val="Normal"/>
    <w:link w:val="Heading3Char"/>
    <w:uiPriority w:val="9"/>
    <w:qFormat/>
    <w:rsid w:val="00F61167"/>
    <w:pPr>
      <w:numPr>
        <w:ilvl w:val="2"/>
        <w:numId w:val="1"/>
      </w:numPr>
      <w:ind w:left="720" w:hanging="720"/>
      <w:outlineLvl w:val="2"/>
    </w:pPr>
  </w:style>
  <w:style w:type="paragraph" w:styleId="Heading4">
    <w:name w:val="heading 4"/>
    <w:basedOn w:val="Normal"/>
    <w:next w:val="Normal"/>
    <w:link w:val="Heading4Char"/>
    <w:uiPriority w:val="9"/>
    <w:qFormat/>
    <w:rsid w:val="00F61167"/>
    <w:pPr>
      <w:numPr>
        <w:ilvl w:val="3"/>
        <w:numId w:val="1"/>
      </w:numPr>
      <w:ind w:left="720" w:hanging="720"/>
      <w:outlineLvl w:val="3"/>
    </w:pPr>
  </w:style>
  <w:style w:type="paragraph" w:styleId="Heading5">
    <w:name w:val="heading 5"/>
    <w:basedOn w:val="Normal"/>
    <w:next w:val="Normal"/>
    <w:link w:val="Heading5Char"/>
    <w:uiPriority w:val="9"/>
    <w:qFormat/>
    <w:rsid w:val="00F61167"/>
    <w:pPr>
      <w:numPr>
        <w:ilvl w:val="4"/>
        <w:numId w:val="1"/>
      </w:numPr>
      <w:ind w:left="720" w:hanging="720"/>
      <w:outlineLvl w:val="4"/>
    </w:pPr>
  </w:style>
  <w:style w:type="paragraph" w:styleId="Heading6">
    <w:name w:val="heading 6"/>
    <w:basedOn w:val="Normal"/>
    <w:next w:val="Normal"/>
    <w:link w:val="Heading6Char"/>
    <w:uiPriority w:val="9"/>
    <w:qFormat/>
    <w:rsid w:val="00F61167"/>
    <w:pPr>
      <w:numPr>
        <w:ilvl w:val="5"/>
        <w:numId w:val="1"/>
      </w:numPr>
      <w:ind w:left="720" w:hanging="720"/>
      <w:outlineLvl w:val="5"/>
    </w:pPr>
  </w:style>
  <w:style w:type="paragraph" w:styleId="Heading7">
    <w:name w:val="heading 7"/>
    <w:basedOn w:val="Normal"/>
    <w:next w:val="Normal"/>
    <w:link w:val="Heading7Char"/>
    <w:uiPriority w:val="9"/>
    <w:qFormat/>
    <w:rsid w:val="00F61167"/>
    <w:pPr>
      <w:numPr>
        <w:ilvl w:val="6"/>
        <w:numId w:val="1"/>
      </w:numPr>
      <w:ind w:left="720" w:hanging="720"/>
      <w:outlineLvl w:val="6"/>
    </w:pPr>
  </w:style>
  <w:style w:type="paragraph" w:styleId="Heading8">
    <w:name w:val="heading 8"/>
    <w:basedOn w:val="Normal"/>
    <w:next w:val="Normal"/>
    <w:link w:val="Heading8Char"/>
    <w:uiPriority w:val="9"/>
    <w:qFormat/>
    <w:rsid w:val="00F61167"/>
    <w:pPr>
      <w:numPr>
        <w:ilvl w:val="7"/>
        <w:numId w:val="1"/>
      </w:numPr>
      <w:ind w:left="720" w:hanging="720"/>
      <w:outlineLvl w:val="7"/>
    </w:pPr>
  </w:style>
  <w:style w:type="paragraph" w:styleId="Heading9">
    <w:name w:val="heading 9"/>
    <w:basedOn w:val="Normal"/>
    <w:next w:val="Normal"/>
    <w:link w:val="Heading9Char"/>
    <w:uiPriority w:val="9"/>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es-ES"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es-ES"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es-ES"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es-ES"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es-ES"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es-ES"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es-ES"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es-ES"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es-ES"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semiHidden/>
    <w:rsid w:val="001374F9"/>
    <w:rPr>
      <w:sz w:val="22"/>
      <w:lang w:val="es-ES"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es-ES"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es-ES"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es-ES" w:eastAsia="en-US"/>
    </w:rPr>
  </w:style>
  <w:style w:type="table" w:styleId="TableGrid">
    <w:name w:val="Table Grid"/>
    <w:basedOn w:val="TableNormal"/>
    <w:uiPriority w:val="59"/>
    <w:rsid w:val="00BD72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7A3"/>
    <w:pPr>
      <w:ind w:left="720"/>
      <w:contextualSpacing/>
    </w:pPr>
  </w:style>
  <w:style w:type="character" w:styleId="CommentReference">
    <w:name w:val="annotation reference"/>
    <w:basedOn w:val="DefaultParagraphFont"/>
    <w:semiHidden/>
    <w:unhideWhenUsed/>
    <w:rsid w:val="0073691E"/>
    <w:rPr>
      <w:sz w:val="16"/>
      <w:szCs w:val="16"/>
    </w:rPr>
  </w:style>
  <w:style w:type="paragraph" w:styleId="CommentText">
    <w:name w:val="annotation text"/>
    <w:basedOn w:val="Normal"/>
    <w:link w:val="CommentTextChar"/>
    <w:semiHidden/>
    <w:unhideWhenUsed/>
    <w:rsid w:val="0073691E"/>
    <w:pPr>
      <w:spacing w:line="240" w:lineRule="auto"/>
    </w:pPr>
    <w:rPr>
      <w:sz w:val="20"/>
    </w:rPr>
  </w:style>
  <w:style w:type="character" w:customStyle="1" w:styleId="CommentTextChar">
    <w:name w:val="Comment Text Char"/>
    <w:basedOn w:val="DefaultParagraphFont"/>
    <w:link w:val="CommentText"/>
    <w:semiHidden/>
    <w:rsid w:val="0073691E"/>
    <w:rPr>
      <w:lang w:val="es-ES" w:eastAsia="en-US"/>
    </w:rPr>
  </w:style>
  <w:style w:type="paragraph" w:styleId="CommentSubject">
    <w:name w:val="annotation subject"/>
    <w:basedOn w:val="CommentText"/>
    <w:next w:val="CommentText"/>
    <w:link w:val="CommentSubjectChar"/>
    <w:semiHidden/>
    <w:unhideWhenUsed/>
    <w:rsid w:val="0073691E"/>
    <w:rPr>
      <w:b/>
      <w:bCs/>
    </w:rPr>
  </w:style>
  <w:style w:type="character" w:customStyle="1" w:styleId="CommentSubjectChar">
    <w:name w:val="Comment Subject Char"/>
    <w:basedOn w:val="CommentTextChar"/>
    <w:link w:val="CommentSubject"/>
    <w:semiHidden/>
    <w:rsid w:val="0073691E"/>
    <w:rPr>
      <w:b/>
      <w:bCs/>
      <w:lang w:val="es-ES" w:eastAsia="en-US"/>
    </w:rPr>
  </w:style>
  <w:style w:type="paragraph" w:styleId="Revision">
    <w:name w:val="Revision"/>
    <w:hidden/>
    <w:uiPriority w:val="99"/>
    <w:semiHidden/>
    <w:rsid w:val="0073691E"/>
    <w:rPr>
      <w:sz w:val="22"/>
      <w:lang w:eastAsia="en-US"/>
    </w:rPr>
  </w:style>
  <w:style w:type="character" w:customStyle="1" w:styleId="UnresolvedMention1">
    <w:name w:val="Unresolved Mention1"/>
    <w:basedOn w:val="DefaultParagraphFont"/>
    <w:uiPriority w:val="99"/>
    <w:semiHidden/>
    <w:unhideWhenUsed/>
    <w:rsid w:val="00173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74054">
      <w:bodyDiv w:val="1"/>
      <w:marLeft w:val="0"/>
      <w:marRight w:val="0"/>
      <w:marTop w:val="0"/>
      <w:marBottom w:val="0"/>
      <w:divBdr>
        <w:top w:val="none" w:sz="0" w:space="0" w:color="auto"/>
        <w:left w:val="none" w:sz="0" w:space="0" w:color="auto"/>
        <w:bottom w:val="none" w:sz="0" w:space="0" w:color="auto"/>
        <w:right w:val="none" w:sz="0" w:space="0" w:color="auto"/>
      </w:divBdr>
    </w:div>
    <w:div w:id="841313310">
      <w:bodyDiv w:val="1"/>
      <w:marLeft w:val="0"/>
      <w:marRight w:val="0"/>
      <w:marTop w:val="0"/>
      <w:marBottom w:val="0"/>
      <w:divBdr>
        <w:top w:val="none" w:sz="0" w:space="0" w:color="auto"/>
        <w:left w:val="none" w:sz="0" w:space="0" w:color="auto"/>
        <w:bottom w:val="none" w:sz="0" w:space="0" w:color="auto"/>
        <w:right w:val="none" w:sz="0" w:space="0" w:color="auto"/>
      </w:divBdr>
    </w:div>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140865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o.pezzani@eesc.europa.eu" TargetMode="External"/><Relationship Id="rId18"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2.xml"/><Relationship Id="rId16"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8.png"/><Relationship Id="rId3" Type="http://schemas.openxmlformats.org/officeDocument/2006/relationships/hyperlink" Target="https://www.youtube.com/user/EurEcoSocCommittee" TargetMode="External"/><Relationship Id="rId7" Type="http://schemas.openxmlformats.org/officeDocument/2006/relationships/image" Target="media/image4.png"/><Relationship Id="rId12" Type="http://schemas.openxmlformats.org/officeDocument/2006/relationships/hyperlink" Target="https://www.instagram.com/accounts/login/?next=/eu_civilsociety/" TargetMode="External"/><Relationship Id="rId17" Type="http://schemas.openxmlformats.org/officeDocument/2006/relationships/image" Target="media/image11.svg"/><Relationship Id="rId2" Type="http://schemas.openxmlformats.org/officeDocument/2006/relationships/hyperlink" Target="http://www.eesc.europa.eu" TargetMode="External"/><Relationship Id="rId16" Type="http://schemas.openxmlformats.org/officeDocument/2006/relationships/image" Target="media/image10.png"/><Relationship Id="rId1" Type="http://schemas.openxmlformats.org/officeDocument/2006/relationships/hyperlink" Target="mailto:press@eesc.europa.eu" TargetMode="External"/><Relationship Id="rId6" Type="http://schemas.openxmlformats.org/officeDocument/2006/relationships/hyperlink" Target="https://twitter.com/EU_EESC" TargetMode="External"/><Relationship Id="rId11" Type="http://schemas.openxmlformats.org/officeDocument/2006/relationships/image" Target="media/image7.svg"/><Relationship Id="rId5" Type="http://schemas.openxmlformats.org/officeDocument/2006/relationships/image" Target="media/image3.svg"/><Relationship Id="rId15" Type="http://schemas.openxmlformats.org/officeDocument/2006/relationships/hyperlink" Target="https://www.facebook.com/EuropeanEconomicAndSocialCommittee" TargetMode="External"/><Relationship Id="rId10" Type="http://schemas.openxmlformats.org/officeDocument/2006/relationships/image" Target="media/image6.png"/><Relationship Id="rId4" Type="http://schemas.openxmlformats.org/officeDocument/2006/relationships/image" Target="media/image2.png"/><Relationship Id="rId9" Type="http://schemas.openxmlformats.org/officeDocument/2006/relationships/hyperlink" Target="https://be.linkedin.com/company/european-economic-social-committee" TargetMode="External"/><Relationship Id="rId14"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F7M6YNZUATRX-416430479-2749</_dlc_DocId>
    <_dlc_DocIdUrl xmlns="59ace41b-6786-4ce3-be71-52c27066c6ef">
      <Url>http://dm/eesc/2024/_layouts/15/DocIdRedir.aspx?ID=F7M6YNZUATRX-416430479-2749</Url>
      <Description>F7M6YNZUATRX-416430479-2749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2024-02-16T12:00:00+00:00</ProductionDate>
    <DocumentNumber xmlns="1178e5e2-058a-41a1-9851-331c7b3fffb8">439</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22</Value>
      <Value>48</Value>
      <Value>37</Value>
      <Value>12</Value>
      <Value>8</Value>
      <Value>24</Value>
      <Value>6</Value>
      <Value>5</Value>
      <Value>14</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1923</FicheNumber>
    <OriginalSender xmlns="59ace41b-6786-4ce3-be71-52c27066c6ef">
      <UserInfo>
        <DisplayName>Fernandez Riego Maria Gabriela</DisplayName>
        <AccountId>1517</AccountId>
        <AccountType/>
      </UserInfo>
    </OriginalSender>
    <DocumentPart xmlns="59ace41b-6786-4ce3-be71-52c27066c6ef">0</DocumentPart>
    <AdoptionDate xmlns="59ace41b-6786-4ce3-be71-52c27066c6ef" xsi:nil="true"/>
    <RequestingService xmlns="59ace41b-6786-4ce3-be71-52c27066c6ef">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 xsi:nil="true"/>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82F00-307E-4CD9-AF2D-B7D71EFB2FA9}"/>
</file>

<file path=customXml/itemProps2.xml><?xml version="1.0" encoding="utf-8"?>
<ds:datastoreItem xmlns:ds="http://schemas.openxmlformats.org/officeDocument/2006/customXml" ds:itemID="{1FEE3BF8-BDCD-4BE9-937D-9C0BB472EB93}"/>
</file>

<file path=customXml/itemProps3.xml><?xml version="1.0" encoding="utf-8"?>
<ds:datastoreItem xmlns:ds="http://schemas.openxmlformats.org/officeDocument/2006/customXml" ds:itemID="{E4FE9D17-770C-4C92-A0A7-634980BBE031}"/>
</file>

<file path=customXml/itemProps4.xml><?xml version="1.0" encoding="utf-8"?>
<ds:datastoreItem xmlns:ds="http://schemas.openxmlformats.org/officeDocument/2006/customXml" ds:itemID="{FEE48867-CF55-4688-9B6D-B2F6514A5CD5}"/>
</file>

<file path=docProps/app.xml><?xml version="1.0" encoding="utf-8"?>
<Properties xmlns="http://schemas.openxmlformats.org/officeDocument/2006/extended-properties" xmlns:vt="http://schemas.openxmlformats.org/officeDocument/2006/docPropsVTypes">
  <Template>Normal.dotm</Template>
  <TotalTime>0</TotalTime>
  <Pages>2</Pages>
  <Words>912</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EESC CP template updated</vt:lpstr>
    </vt:vector>
  </TitlesOfParts>
  <Company>CESE-CdR</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programa de trabajo de la Comisión Europea para 2024 debe centrarse en los aspectos económicos y sociales</dc:title>
  <dc:subject>CP</dc:subject>
  <dc:creator>Emma Nieddu</dc:creator>
  <cp:keywords>EESC-2024-00439-00-01-CP-TRA-EN</cp:keywords>
  <dc:description>Rapporteur:  - Original language: EN - Date of document: 16/02/2024 - Date of meeting:  - External documents:  - Administrator: M. PEZZANI Marco</dc:description>
  <cp:lastModifiedBy>Fernandez Riego Maria Gabriela</cp:lastModifiedBy>
  <cp:revision>15</cp:revision>
  <cp:lastPrinted>2007-06-05T13:08:00Z</cp:lastPrinted>
  <dcterms:created xsi:type="dcterms:W3CDTF">2024-02-15T10:28:00Z</dcterms:created>
  <dcterms:modified xsi:type="dcterms:W3CDTF">2024-02-16T09:56:00Z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15/02/2024, 15/02/2024, 05/04/2022</vt:lpwstr>
  </property>
  <property fmtid="{D5CDD505-2E9C-101B-9397-08002B2CF9AE}" pid="4" name="Pref_Time">
    <vt:lpwstr>11:28:36, 09:45:48, 16:28:46</vt:lpwstr>
  </property>
  <property fmtid="{D5CDD505-2E9C-101B-9397-08002B2CF9AE}" pid="5" name="Pref_User">
    <vt:lpwstr>enied, enied, enied</vt:lpwstr>
  </property>
  <property fmtid="{D5CDD505-2E9C-101B-9397-08002B2CF9AE}" pid="6" name="Pref_FileName">
    <vt:lpwstr>EESC-2024-00439-00-01-CP-ORI.docx, EESC-2024-00439-00-00-CP-ORI.docx, EESC-2022-01954-00-00-ADMIN-ORI.docx</vt:lpwstr>
  </property>
  <property fmtid="{D5CDD505-2E9C-101B-9397-08002B2CF9AE}" pid="7" name="ContentTypeId">
    <vt:lpwstr>0x010100EA97B91038054C99906057A708A1480A00E20A70424F8EF14D84929FAE9E34774B</vt:lpwstr>
  </property>
  <property fmtid="{D5CDD505-2E9C-101B-9397-08002B2CF9AE}" pid="8" name="_dlc_DocIdItemGuid">
    <vt:lpwstr>ca990139-7e4f-47e4-b693-d495911ed812</vt:lpwstr>
  </property>
  <property fmtid="{D5CDD505-2E9C-101B-9397-08002B2CF9AE}" pid="9" name="AvailableTranslations">
    <vt:lpwstr>22;#BG|1a1b3951-7821-4e6a-85f5-5673fc08bd2c;#5;#EN|f2175f21-25d7-44a3-96da-d6a61b075e1b;#37;#RO|feb747a2-64cd-4299-af12-4833ddc30497;#12;#IT|0774613c-01ed-4e5d-a25d-11d2388de825;#14;#FR|d2afafd3-4c81-4f60-8f52-ee33f2f54ff3;#24;#ES|e7a6b05b-ae16-40c8-add9-68b64b03aeba</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439</vt:i4>
  </property>
  <property fmtid="{D5CDD505-2E9C-101B-9397-08002B2CF9AE}" pid="14" name="DocumentVersion">
    <vt:i4>1</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48;#CP|de8ad211-9e8d-408b-8324-674d21bb7d18</vt:lpwstr>
  </property>
  <property fmtid="{D5CDD505-2E9C-101B-9397-08002B2CF9AE}" pid="21" name="RequestingService">
    <vt:lpwstr>Presse</vt:lpwstr>
  </property>
  <property fmtid="{D5CDD505-2E9C-101B-9397-08002B2CF9AE}" pid="22" name="Confidentiality">
    <vt:lpwstr>6;#Unrestricted|826e22d7-d029-4ec0-a450-0c28ff673572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8" name="AvailableTranslations_0">
    <vt:lpwstr>EN|f2175f21-25d7-44a3-96da-d6a61b075e1b;IT|0774613c-01ed-4e5d-a25d-11d2388de825</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48;#CP|de8ad211-9e8d-408b-8324-674d21bb7d18;#12;#IT|0774613c-01ed-4e5d-a25d-11d2388de825;#8;#Final|ea5e6674-7b27-4bac-b091-73adbb394efe;#6;#Unrestricted|826e22d7-d029-4ec0-a450-0c28ff673572;#5;#EN|f2175f21-25d7-44a3-96da-d6a61b075e1b;#3;#TRA|150d2a88-1431-44e6-a8ca-0bb753ab8672;#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1923</vt:i4>
  </property>
  <property fmtid="{D5CDD505-2E9C-101B-9397-08002B2CF9AE}" pid="36" name="DocumentLanguage">
    <vt:lpwstr>24;#ES|e7a6b05b-ae16-40c8-add9-68b64b03aeba</vt:lpwstr>
  </property>
  <property fmtid="{D5CDD505-2E9C-101B-9397-08002B2CF9AE}" pid="37" name="_docset_NoMedatataSyncRequired">
    <vt:lpwstr>False</vt:lpwstr>
  </property>
</Properties>
</file>