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223EF" w:rsidR="003C2229" w:rsidP="00686EC2" w:rsidRDefault="00D92D1E" w14:paraId="35A2306C" w14:textId="6E7EF020">
      <w:pPr>
        <w:spacing w:line="240" w:lineRule="auto"/>
        <w:rPr>
          <w:rFonts w:ascii="Verdana" w:hAnsi="Verdana"/>
          <w:sz w:val="20"/>
        </w:rPr>
      </w:pPr>
      <w:r>
        <w:rPr>
          <w:noProof/>
        </w:rPr>
        <w:drawing>
          <wp:inline distT="0" distB="0" distL="0" distR="0" wp14:anchorId="23F64D94" wp14:editId="53FB65D8">
            <wp:extent cx="5760085" cy="139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68"/>
        <w:gridCol w:w="4119"/>
      </w:tblGrid>
      <w:tr w:rsidRPr="007223EF" w:rsidR="00C93E55" w:rsidTr="00705C0F" w14:paraId="16E539E7" w14:textId="77777777">
        <w:trPr>
          <w:cantSplit/>
        </w:trPr>
        <w:tc>
          <w:tcPr>
            <w:tcW w:w="5168" w:type="dxa"/>
          </w:tcPr>
          <w:p w:rsidRPr="007223EF" w:rsidR="00C93E55" w:rsidP="002F79A3" w:rsidRDefault="00321382" w14:paraId="2A287900" w14:textId="5D2BFDF4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editId="07A6F766" wp14:anchorId="02E0DDBB">
                      <wp:simplePos x="0" y="0"/>
                      <wp:positionH relativeFrom="page">
                        <wp:posOffset>6769100</wp:posOffset>
                      </wp:positionH>
                      <wp:positionV relativeFrom="page">
                        <wp:posOffset>10081260</wp:posOffset>
                      </wp:positionV>
                      <wp:extent cx="647700" cy="396240"/>
                      <wp:effectExtent l="0" t="3810" r="3175" b="0"/>
                      <wp:wrapNone/>
                      <wp:docPr id="2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260E65" w:rsidR="00321382" w:rsidRDefault="00321382" w14:paraId="6C3A69A6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  <w:t>BG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2E0DDBB">
                      <v:stroke joinstyle="miter"/>
                      <v:path gradientshapeok="t" o:connecttype="rect"/>
                    </v:shapetype>
      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      <v:textbox>
                        <w:txbxContent>
                          <w:p w:rsidRPr="00260E65" w:rsidR="00321382" w:rsidRDefault="00321382" w14:paraId="6C3A69A6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BG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Verdana" w:hAnsi="Verdana"/>
                <w:b/>
                <w:sz w:val="20"/>
              </w:rPr>
              <w:t>№ 7/2024 г.</w:t>
            </w:r>
          </w:p>
        </w:tc>
        <w:tc>
          <w:tcPr>
            <w:tcW w:w="4119" w:type="dxa"/>
          </w:tcPr>
          <w:p w:rsidRPr="007223EF" w:rsidR="00C93E55" w:rsidP="00F92DAC" w:rsidRDefault="00A13237" w14:paraId="6DB6BFB3" w14:textId="5F1D647B">
            <w:pPr>
              <w:spacing w:before="120" w:after="12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14 февруари 2024 г.</w:t>
            </w:r>
          </w:p>
        </w:tc>
      </w:tr>
    </w:tbl>
    <w:p w:rsidRPr="007223EF" w:rsidR="00F83179" w:rsidP="00686EC2" w:rsidRDefault="00F83179" w14:paraId="72EB20C4" w14:textId="5DE9E1A8">
      <w:pPr>
        <w:spacing w:line="240" w:lineRule="auto"/>
        <w:rPr>
          <w:rFonts w:ascii="Verdana" w:hAnsi="Verdana"/>
          <w:sz w:val="20"/>
        </w:rPr>
      </w:pPr>
    </w:p>
    <w:p w:rsidRPr="007223EF" w:rsidR="00F83179" w:rsidP="00686EC2" w:rsidRDefault="00F83179" w14:paraId="4154F4D7" w14:textId="77777777">
      <w:pPr>
        <w:spacing w:line="240" w:lineRule="auto"/>
        <w:rPr>
          <w:rFonts w:ascii="Verdana" w:hAnsi="Verdana"/>
          <w:sz w:val="20"/>
        </w:rPr>
        <w:sectPr w:rsidRPr="007223EF" w:rsidR="00F83179" w:rsidSect="00837B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425" w:right="1418" w:bottom="1418" w:left="1418" w:header="709" w:footer="709" w:gutter="0"/>
          <w:cols w:space="720"/>
          <w:docGrid w:linePitch="299"/>
        </w:sectPr>
      </w:pPr>
    </w:p>
    <w:p w:rsidRPr="007223EF" w:rsidR="008850E4" w:rsidP="008850E4" w:rsidRDefault="008850E4" w14:paraId="7341BCD6" w14:textId="77777777">
      <w:pPr>
        <w:rPr>
          <w:rFonts w:ascii="Verdana" w:hAnsi="Verdana"/>
          <w:sz w:val="18"/>
        </w:rPr>
      </w:pPr>
    </w:p>
    <w:p w:rsidRPr="007223EF" w:rsidR="00AE0AA2" w:rsidP="00795B49" w:rsidRDefault="00AE0AA2" w14:paraId="1D70F4AA" w14:textId="681AFC90">
      <w:pPr>
        <w:jc w:val="center"/>
        <w:rPr>
          <w:rFonts w:ascii="Verdana" w:hAnsi="Verdana"/>
          <w:b/>
          <w:bCs/>
          <w:sz w:val="28"/>
        </w:rPr>
      </w:pPr>
      <w:r>
        <w:rPr>
          <w:rFonts w:ascii="Verdana" w:hAnsi="Verdana"/>
          <w:b/>
          <w:color w:val="0070C0"/>
          <w:sz w:val="28"/>
        </w:rPr>
        <w:t>Работната програма на Европейската комисия за 2024 г. трябва да се съсредоточи върху икономическите и социалните аспекти</w:t>
      </w:r>
    </w:p>
    <w:p w:rsidRPr="007223EF" w:rsidR="00826961" w:rsidP="00826961" w:rsidRDefault="00826961" w14:paraId="729C1FF8" w14:textId="3E6A8AFC">
      <w:pPr>
        <w:rPr>
          <w:rFonts w:ascii="Verdana" w:hAnsi="Verdana"/>
          <w:sz w:val="18"/>
        </w:rPr>
      </w:pPr>
    </w:p>
    <w:p w:rsidR="00DE30E6" w:rsidP="00795B49" w:rsidRDefault="001739C0" w14:paraId="2CBF5C2F" w14:textId="05568DD5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20"/>
        </w:rPr>
        <w:t>На пленарната сесия през февруари Европейският икономически и социален комитет (ЕИСК) посочи, че ключовите фактори за възстановяването от неотдавнашните кризи и за постигането на по-издръжлив ЕС са устойчивият растеж, социалното сближаване, благоприятната бизнес среда и по-добрите условия на заетост.</w:t>
      </w:r>
    </w:p>
    <w:p w:rsidR="001F660F" w:rsidP="00795B49" w:rsidRDefault="001F660F" w14:paraId="6A973F45" w14:textId="6BFE1296">
      <w:pPr>
        <w:rPr>
          <w:rFonts w:ascii="Verdana" w:hAnsi="Verdana"/>
          <w:sz w:val="18"/>
        </w:rPr>
      </w:pPr>
    </w:p>
    <w:p w:rsidR="00DD5FD1" w:rsidP="00795B49" w:rsidRDefault="00E85D95" w14:paraId="4D97E88B" w14:textId="34728AA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Основният приоритет на Европейската комисия за 2024 г. ще бъде да се гарантира възстановяването на Европа, като се отчитат надлежно икономическите и социалните аспекти. Основната цел ще бъде смекчаването на вредното въздействие на войната в Украйна и на произтичащата от нея енергийна криза.</w:t>
      </w:r>
    </w:p>
    <w:p w:rsidR="00DD5FD1" w:rsidP="00795B49" w:rsidRDefault="00DD5FD1" w14:paraId="23A83108" w14:textId="77777777">
      <w:pPr>
        <w:rPr>
          <w:rFonts w:ascii="Verdana" w:hAnsi="Verdana"/>
          <w:sz w:val="18"/>
        </w:rPr>
      </w:pPr>
    </w:p>
    <w:p w:rsidR="00A85DB4" w:rsidP="00795B49" w:rsidRDefault="00E85D95" w14:paraId="39184027" w14:textId="6B09EE1A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По време на дебата на пленарната сесия на 14 февруари председателят на ЕИСК </w:t>
      </w:r>
      <w:r>
        <w:rPr>
          <w:rFonts w:ascii="Verdana" w:hAnsi="Verdana"/>
          <w:b/>
          <w:sz w:val="18"/>
        </w:rPr>
        <w:t>Оливер Рьопке</w:t>
      </w:r>
      <w:r>
        <w:rPr>
          <w:rFonts w:ascii="Verdana" w:hAnsi="Verdana"/>
          <w:sz w:val="18"/>
        </w:rPr>
        <w:t xml:space="preserve"> даде висока оценка на работната програма на Комисията за 2024 г.: „Тази програма поставя силен акцент върху опростяването на правилата за гражданите и предприятията в целия Европейски съюз. Лично съм благодарен, че тези мерки не водят до понижаване на социалните стандарти, стандартите за безопасност и защита на потребителите, екологичните или икономическите стандарти.</w:t>
      </w:r>
      <w:r>
        <w:t xml:space="preserve"> </w:t>
      </w:r>
      <w:r>
        <w:rPr>
          <w:rFonts w:ascii="Verdana" w:hAnsi="Verdana"/>
          <w:sz w:val="18"/>
        </w:rPr>
        <w:t xml:space="preserve">Наясно сме, че Европа се сблъсква с все повече непредвидени предизвикателства.“ </w:t>
      </w:r>
    </w:p>
    <w:p w:rsidR="001F4F41" w:rsidP="006A61DA" w:rsidRDefault="001F4F41" w14:paraId="376CF054" w14:textId="11EED944">
      <w:pPr>
        <w:rPr>
          <w:rFonts w:ascii="Verdana" w:hAnsi="Verdana"/>
          <w:sz w:val="18"/>
        </w:rPr>
      </w:pPr>
    </w:p>
    <w:p w:rsidR="006E42E7" w:rsidP="001C258E" w:rsidRDefault="00A85DB4" w14:paraId="3434B06B" w14:textId="56149DE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Говорейки за период на „безпрецедентни предизвикателства, но и безпрецедентни възможности“ </w:t>
      </w:r>
      <w:r>
        <w:rPr>
          <w:rFonts w:ascii="Verdana" w:hAnsi="Verdana"/>
          <w:b/>
          <w:sz w:val="18"/>
        </w:rPr>
        <w:t>Марош Шефчович</w:t>
      </w:r>
      <w:r>
        <w:rPr>
          <w:rFonts w:ascii="Verdana" w:hAnsi="Verdana"/>
          <w:sz w:val="18"/>
        </w:rPr>
        <w:t xml:space="preserve">, изпълнителен заместник-председател на Европейската комисия, отговарящ за Европейския зелен пакт, междуинституционалните отношения и перспективи, подчерта решимостта на Комисията да намали административната тежест за хората и дружествата в ЕС: „От решаващо значение е да се гарантира, че нашите предприятия ще останат конкурентоспособни в настоящия глобален и икономически контекст, по-специално нашите малки и средни предприятия. Затова продължаваме нашата работата за намаляване с 25 % на тежестта, произтичаща от изискванията за докладване, без това да застрашава целите на нашата политика.“ </w:t>
      </w:r>
    </w:p>
    <w:p w:rsidR="006E42E7" w:rsidP="001C258E" w:rsidRDefault="006E42E7" w14:paraId="727D5668" w14:textId="77777777">
      <w:pPr>
        <w:rPr>
          <w:rFonts w:ascii="Verdana" w:hAnsi="Verdana"/>
          <w:sz w:val="18"/>
        </w:rPr>
      </w:pPr>
    </w:p>
    <w:p w:rsidR="001C258E" w:rsidP="001C258E" w:rsidRDefault="001C258E" w14:paraId="5F2DF0EE" w14:textId="184E5B28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„В работната програма на Комисията за 2024 г. са представени 41 предложения за опростяване и рационализиране на изискванията за докладване, които заедно ще доведат до икономии в размер на 3,6 милиарда евро. През 2024 г. продължаваме също да полагаме усилия за по-нататъшна реализация на екологичния преход и за правилно прилагане на Зеления пакт, като същевременно запазваме конкурентоспособността на нашата промишленост и гарантираме справедлив и приобщаващ преход“, добави г-н Шефчович, като </w:t>
      </w:r>
      <w:r>
        <w:rPr>
          <w:rFonts w:ascii="Verdana" w:hAnsi="Verdana"/>
          <w:sz w:val="18"/>
        </w:rPr>
        <w:lastRenderedPageBreak/>
        <w:t>спомена необходимостта да се работи в тясно сътрудничество с всички заинтересовани страни, включително земеделските стопани, и да се разговаря с тях.</w:t>
      </w:r>
    </w:p>
    <w:p w:rsidR="001F4F41" w:rsidP="006A61DA" w:rsidRDefault="001F4F41" w14:paraId="5B29F6D4" w14:textId="735F6858">
      <w:pPr>
        <w:rPr>
          <w:rFonts w:ascii="Verdana" w:hAnsi="Verdana"/>
          <w:sz w:val="18"/>
        </w:rPr>
      </w:pPr>
    </w:p>
    <w:p w:rsidR="00DD14D6" w:rsidP="006A61DA" w:rsidRDefault="005107DF" w14:paraId="5DFC56F5" w14:textId="0F4E709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Във връзка с това председателят на ЕИСК посочи, че в становищата на Комитета са изтъкнати редица фактори, които са от ключово значение за възстановяването от кризите и за повишаването на устойчивостта на ЕС. Те включват устойчив растеж, социално сближаване, благоприятна бизнес среда, по-добри условия на заетост и съсредоточаване върху социалното и икономическото сближаване във възходяща посока, при което никой не е изоставен.</w:t>
      </w:r>
    </w:p>
    <w:p w:rsidR="001F4F41" w:rsidP="006A61DA" w:rsidRDefault="001F4F41" w14:paraId="161B3472" w14:textId="750030DC">
      <w:pPr>
        <w:rPr>
          <w:rFonts w:ascii="Verdana" w:hAnsi="Verdana"/>
          <w:sz w:val="18"/>
        </w:rPr>
      </w:pPr>
    </w:p>
    <w:p w:rsidR="001836AA" w:rsidP="001836AA" w:rsidRDefault="001836AA" w14:paraId="235F5DF0" w14:textId="274CF37B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Изпълнителният заместник-председател отбеляза със задоволство, че Комитетът е работил по важни инициативи като участие на членове от страните — кандидатки за присъединяване (ЕИСК е първата институция на ЕС, която включи в работата си страните кандидатки за членство в ЕС), оценката на въздействието на ЕС от гледна точка на младежта (Комитетът счита, че гледната точка на младежта следва да се взема предвид във всяка област на политиката) и Синия пакт на ЕС (призива на ЕИСК за изграждане на всеобхватен подход към европейските политики в областта на водите).</w:t>
      </w:r>
    </w:p>
    <w:p w:rsidR="001836AA" w:rsidP="006A61DA" w:rsidRDefault="001836AA" w14:paraId="080242DD" w14:textId="77777777">
      <w:pPr>
        <w:rPr>
          <w:rFonts w:ascii="Verdana" w:hAnsi="Verdana"/>
          <w:sz w:val="18"/>
        </w:rPr>
      </w:pPr>
    </w:p>
    <w:p w:rsidRPr="007223EF" w:rsidR="008522EF" w:rsidP="008522EF" w:rsidRDefault="008522EF" w14:paraId="638FA24F" w14:textId="259FEF78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По време на дебата с членовете на ЕИСК </w:t>
      </w:r>
      <w:r>
        <w:rPr>
          <w:rFonts w:ascii="Verdana" w:hAnsi="Verdana"/>
          <w:b/>
          <w:sz w:val="18"/>
        </w:rPr>
        <w:t>Стефано Малия</w:t>
      </w:r>
      <w:r>
        <w:rPr>
          <w:rFonts w:ascii="Verdana" w:hAnsi="Verdana"/>
          <w:sz w:val="18"/>
        </w:rPr>
        <w:t>, председател на група „Работодатели“ на ЕИСК, също обърна внимание на конкурентоспособността на ЕС, като заяви, че европейските дружества се борят да постигнат целите на екологичния преход и че е необходима оценка, за да се провери дали тези цели са все още реалистични и осъществими.</w:t>
      </w:r>
    </w:p>
    <w:p w:rsidRPr="007223EF" w:rsidR="0061662B" w:rsidP="008522EF" w:rsidRDefault="0061662B" w14:paraId="7846C861" w14:textId="77777777">
      <w:pPr>
        <w:rPr>
          <w:rFonts w:ascii="Verdana" w:hAnsi="Verdana"/>
          <w:sz w:val="18"/>
        </w:rPr>
      </w:pPr>
    </w:p>
    <w:p w:rsidR="003400C0" w:rsidP="008522EF" w:rsidRDefault="008522EF" w14:paraId="4953B62A" w14:textId="5203E1FB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От името на група „Работници“ на ЕИСК председателят на секция „Социални въпроси“ на ЕИСК </w:t>
      </w:r>
      <w:r>
        <w:rPr>
          <w:rFonts w:ascii="Verdana" w:hAnsi="Verdana"/>
          <w:b/>
          <w:sz w:val="18"/>
        </w:rPr>
        <w:t>Чинция Дел Рио</w:t>
      </w:r>
      <w:r>
        <w:rPr>
          <w:rFonts w:ascii="Verdana" w:hAnsi="Verdana"/>
          <w:sz w:val="18"/>
        </w:rPr>
        <w:t xml:space="preserve"> заяви, че екологичният и цифровият преход трябва да бъдат съпътствани от мерки за насърчаване на социалната устойчивост. Социалната сигурност трябва да върви ръка за ръка с икономиката, а в икономическата програма никога не може да се пренебрегва социалното измерение на инвестициите и реформите.</w:t>
      </w:r>
      <w:r>
        <w:t xml:space="preserve"> </w:t>
      </w:r>
      <w:r>
        <w:rPr>
          <w:rFonts w:ascii="Verdana" w:hAnsi="Verdana"/>
          <w:sz w:val="18"/>
        </w:rPr>
        <w:t>Солидното социално измерение също беше ефективен отговор на популистката реторика.</w:t>
      </w:r>
    </w:p>
    <w:p w:rsidRPr="007223EF" w:rsidR="003400C0" w:rsidP="008522EF" w:rsidRDefault="003400C0" w14:paraId="73CB9A0B" w14:textId="77777777">
      <w:pPr>
        <w:rPr>
          <w:rFonts w:ascii="Verdana" w:hAnsi="Verdana"/>
          <w:sz w:val="18"/>
        </w:rPr>
      </w:pPr>
    </w:p>
    <w:p w:rsidRPr="003400C0" w:rsidR="003400C0" w:rsidP="003400C0" w:rsidRDefault="005B611F" w14:paraId="025F8F02" w14:textId="30F5427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Накрая,  </w:t>
      </w:r>
      <w:r>
        <w:rPr>
          <w:rFonts w:ascii="Verdana" w:hAnsi="Verdana"/>
          <w:b/>
          <w:sz w:val="18"/>
        </w:rPr>
        <w:t>Шеймус Боланд</w:t>
      </w:r>
      <w:r>
        <w:rPr>
          <w:rFonts w:ascii="Verdana" w:hAnsi="Verdana"/>
          <w:sz w:val="18"/>
        </w:rPr>
        <w:t>, председател на група „Организации на гражданското общество“, постави въпроса дали приоритетите на Комисията съответстват на тези на гражданите, както е отразено в неотдавнашно проучване на Евробарометър. Той подчерта, че несъответствието е опасно, особено като се има предвид нарастващият популизъм, и че ЕС e трябвало да установи връзка с европейците и да се свързва с тях по всички възможни начини, за да чуе това, което те имат да кажат, и да поправи нарушената връзката между институциите и хората.</w:t>
      </w:r>
    </w:p>
    <w:p w:rsidR="008522EF" w:rsidP="00177BD4" w:rsidRDefault="008522EF" w14:paraId="6370E74D" w14:textId="7E1237D4">
      <w:pPr>
        <w:rPr>
          <w:rFonts w:ascii="Verdana" w:hAnsi="Verdana"/>
          <w:sz w:val="18"/>
        </w:rPr>
      </w:pPr>
    </w:p>
    <w:p w:rsidR="008522EF" w:rsidP="00177BD4" w:rsidRDefault="008522EF" w14:paraId="59EFE777" w14:textId="77777777">
      <w:pPr>
        <w:rPr>
          <w:rFonts w:ascii="Verdana" w:hAnsi="Verdana"/>
          <w:sz w:val="18"/>
        </w:rPr>
      </w:pPr>
    </w:p>
    <w:p w:rsidRPr="007223EF" w:rsidR="006A61DA" w:rsidP="00177BD4" w:rsidRDefault="006A61DA" w14:paraId="08238E23" w14:textId="77777777">
      <w:pPr>
        <w:rPr>
          <w:rFonts w:ascii="Verdana" w:hAnsi="Verdana"/>
          <w:sz w:val="18"/>
        </w:rPr>
      </w:pPr>
    </w:p>
    <w:p w:rsidRPr="007223EF" w:rsidR="005C43A1" w:rsidP="00795B49" w:rsidRDefault="005C43A1" w14:paraId="4255D68F" w14:textId="77777777">
      <w:pPr>
        <w:rPr>
          <w:rFonts w:ascii="Verdana" w:hAnsi="Verdana"/>
          <w:bCs/>
          <w:sz w:val="18"/>
          <w:szCs w:val="18"/>
        </w:rPr>
      </w:pPr>
    </w:p>
    <w:p w:rsidRPr="007223EF" w:rsidR="00BD7293" w:rsidP="00BD7293" w:rsidRDefault="00BD7293" w14:paraId="721508B5" w14:textId="7777777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</w:rPr>
        <w:t>За повече информация можете да се свържете със:</w:t>
      </w:r>
    </w:p>
    <w:p w:rsidRPr="007223EF" w:rsidR="00BD7293" w:rsidP="00BD7293" w:rsidRDefault="00BD7293" w14:paraId="2BFC0303" w14:textId="77777777">
      <w:pPr>
        <w:pStyle w:val="Heading1"/>
        <w:numPr>
          <w:ilvl w:val="0"/>
          <w:numId w:val="0"/>
        </w:numPr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Пресслужбата на ЕИСК — Марко Пецани</w:t>
      </w:r>
      <w:r>
        <w:rPr>
          <w:rFonts w:ascii="Verdana" w:hAnsi="Verdana"/>
          <w:sz w:val="18"/>
        </w:rPr>
        <w:br/>
        <w:t>+32 (0)2 546 97 93· GSM +32 (0)470 881 903</w:t>
      </w:r>
    </w:p>
    <w:p w:rsidRPr="007223EF" w:rsidR="00BD7293" w:rsidP="00BD7293" w:rsidRDefault="00976F40" w14:paraId="7E0C5C48" w14:textId="77777777">
      <w:pPr>
        <w:jc w:val="center"/>
        <w:rPr>
          <w:rFonts w:ascii="Verdana" w:hAnsi="Verdana"/>
          <w:sz w:val="18"/>
          <w:szCs w:val="18"/>
        </w:rPr>
      </w:pPr>
      <w:hyperlink w:history="1" r:id="rId18">
        <w:r w:rsidR="009E4417">
          <w:rPr>
            <w:rStyle w:val="Hyperlink"/>
            <w:rFonts w:ascii="Verdana" w:hAnsi="Verdana"/>
            <w:sz w:val="18"/>
          </w:rPr>
          <w:t>marco.pezzani@eesc.europa.eu</w:t>
        </w:r>
      </w:hyperlink>
    </w:p>
    <w:p w:rsidR="00BD7293" w:rsidP="00BD7293" w:rsidRDefault="00BD7293" w14:paraId="3B3D4053" w14:textId="4D9A942B">
      <w:pPr>
        <w:pStyle w:val="Heading1"/>
        <w:numPr>
          <w:ilvl w:val="0"/>
          <w:numId w:val="0"/>
        </w:num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t>@EESC_PRESS</w:t>
      </w:r>
    </w:p>
    <w:p w:rsidRPr="004177F4" w:rsidR="004177F4" w:rsidP="004177F4" w:rsidRDefault="004177F4" w14:paraId="2D86040E" w14:textId="77777777">
      <w:pPr>
        <w:rPr>
          <w:rFonts w:ascii="Verdana" w:hAnsi="Verdana"/>
          <w:sz w:val="18"/>
        </w:rPr>
      </w:pPr>
    </w:p>
    <w:p w:rsidRPr="007223EF" w:rsidR="00F83179" w:rsidP="00CE439D" w:rsidRDefault="00F83179" w14:paraId="2F3F2A91" w14:textId="77777777">
      <w:pPr>
        <w:rPr>
          <w:rFonts w:ascii="Verdana" w:hAnsi="Verdana"/>
          <w:b/>
          <w:bCs/>
          <w:i/>
          <w:sz w:val="16"/>
          <w:szCs w:val="16"/>
        </w:rPr>
      </w:pPr>
      <w:r>
        <w:rPr>
          <w:rFonts w:ascii="Verdana" w:hAnsi="Verdana"/>
          <w:i/>
          <w:sz w:val="16"/>
        </w:rPr>
        <w:lastRenderedPageBreak/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p w:rsidRPr="007223EF" w:rsidR="00F83179" w:rsidP="00CE439D" w:rsidRDefault="00F83179" w14:paraId="2550D65E" w14:textId="77777777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</w:rPr>
        <w:t>Европейският икономически и социален комитет представлява различните икономически и социални участници в организираното гражданско общество. Той е консултативен институционален орган, създаден през 1957 г. с Римския договор. Консултативната функция на Европейския икономически и социален комитет позволява на неговите членове, а следователно и на организациите, които те представляват, да участват в процеса на вземане на решения в Европейския съюз.</w:t>
      </w:r>
    </w:p>
    <w:p w:rsidRPr="007223EF" w:rsidR="00F83179" w:rsidP="00AB5D9C" w:rsidRDefault="00F83179" w14:paraId="293C97E3" w14:textId="77777777">
      <w:pPr>
        <w:rPr>
          <w:rFonts w:ascii="Verdana" w:hAnsi="Verdana"/>
          <w:sz w:val="18"/>
        </w:rPr>
      </w:pPr>
      <w:r>
        <w:rPr>
          <w:rFonts w:ascii="Verdana" w:hAnsi="Verdana"/>
          <w:i/>
          <w:sz w:val="16"/>
        </w:rPr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sectPr w:rsidRPr="007223EF" w:rsidR="00F83179" w:rsidSect="00A70691">
      <w:type w:val="continuous"/>
      <w:pgSz w:w="11907" w:h="16839" w:code="9"/>
      <w:pgMar w:top="425" w:right="1418" w:bottom="1418" w:left="1418" w:header="3062" w:footer="1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FA2B" w14:textId="77777777" w:rsidR="002355EA" w:rsidRDefault="002355EA">
      <w:r>
        <w:separator/>
      </w:r>
    </w:p>
  </w:endnote>
  <w:endnote w:type="continuationSeparator" w:id="0">
    <w:p w14:paraId="4DCB29AB" w14:textId="77777777" w:rsidR="002355EA" w:rsidRDefault="0023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D5A1" w14:textId="77777777" w:rsidR="00AB4DA7" w:rsidRDefault="00AB4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8EF4" w14:textId="77777777" w:rsidR="00F83179" w:rsidRPr="0004715C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>Rue Belliard/Belliardstraat 99 — 1040 Bruxelles/Brussel — BELGIQUE/BELGIË</w:t>
    </w:r>
  </w:p>
  <w:p w14:paraId="7818F7A3" w14:textId="77777777" w:rsidR="00F83179" w:rsidRPr="0004715C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>Тел.: +32 25469406 — Факс: +32 25469764</w:t>
    </w:r>
  </w:p>
  <w:p w14:paraId="70E10F9D" w14:textId="77777777" w:rsidR="00F83179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 xml:space="preserve">Електронен адрес: </w:t>
    </w:r>
    <w:hyperlink r:id="rId1" w:history="1">
      <w:r>
        <w:rPr>
          <w:rStyle w:val="Hyperlink"/>
          <w:rFonts w:ascii="Verdana" w:hAnsi="Verdana"/>
          <w:sz w:val="16"/>
        </w:rPr>
        <w:t>press@eesc.europa.eu</w:t>
      </w:r>
    </w:hyperlink>
    <w:r>
      <w:rPr>
        <w:rFonts w:ascii="Verdana" w:hAnsi="Verdana"/>
        <w:sz w:val="16"/>
      </w:rPr>
      <w:t xml:space="preserve"> — Интернет: </w:t>
    </w:r>
    <w:hyperlink r:id="rId2" w:history="1">
      <w:r>
        <w:rPr>
          <w:rStyle w:val="Hyperlink"/>
          <w:rFonts w:ascii="Verdana" w:hAnsi="Verdana"/>
          <w:sz w:val="16"/>
        </w:rPr>
        <w:t>www.eesc.europa.eu</w:t>
      </w:r>
    </w:hyperlink>
  </w:p>
  <w:p w14:paraId="0520ED5B" w14:textId="77777777" w:rsidR="00F83179" w:rsidRPr="0004715C" w:rsidRDefault="00046C01" w:rsidP="00F61167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 xml:space="preserve">Следвайте ЕИСК в </w:t>
    </w:r>
    <w:r>
      <w:rPr>
        <w:noProof/>
      </w:rPr>
      <w:drawing>
        <wp:inline distT="0" distB="0" distL="0" distR="0" wp14:anchorId="06994DCF" wp14:editId="424AC23D">
          <wp:extent cx="323850" cy="323850"/>
          <wp:effectExtent l="0" t="0" r="0" b="0"/>
          <wp:docPr id="8" name="Graphic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0A65EF" wp14:editId="2EF54CD4">
          <wp:extent cx="323850" cy="323850"/>
          <wp:effectExtent l="0" t="0" r="0" b="0"/>
          <wp:docPr id="7" name="Graphic 7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>
                    <a:hlinkClick r:id="rId6"/>
                  </pic:cNvPr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91340A" wp14:editId="44862100">
          <wp:extent cx="323850" cy="323850"/>
          <wp:effectExtent l="0" t="0" r="0" b="0"/>
          <wp:docPr id="3" name="Graphic 3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ACCDC5" wp14:editId="485EF76D">
          <wp:extent cx="323850" cy="323850"/>
          <wp:effectExtent l="0" t="0" r="0" b="0"/>
          <wp:docPr id="2" name="Graphic 2">
            <a:hlinkClick xmlns:a="http://schemas.openxmlformats.org/drawingml/2006/main" r:id="rId1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hlinkClick r:id="rId12"/>
                  </pic:cNvPr>
                  <pic:cNvPicPr/>
                </pic:nvPicPr>
                <pic:blipFill>
                  <a:blip r:embed="rId13">
                    <a:extLs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46E9E9" wp14:editId="01887D45">
          <wp:extent cx="323850" cy="323850"/>
          <wp:effectExtent l="0" t="0" r="0" b="0"/>
          <wp:docPr id="1" name="Graphic 1" descr="https://www.facebook.com/EuropeanEconomicAndSocialCommittee&#10;">
            <a:hlinkClick xmlns:a="http://schemas.openxmlformats.org/drawingml/2006/main" r:id="rId1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https://www.facebook.com/EuropeanEconomicAndSocialCommittee&#10;">
                    <a:hlinkClick r:id="rId15"/>
                  </pic:cNvPr>
                  <pic:cNvPicPr/>
                </pic:nvPicPr>
                <pic:blipFill>
                  <a:blip r:embed="rId16">
                    <a:extLst>
                      <a:ext uri="{96DAC541-7B7A-43D3-8B79-37D633B846F1}">
                        <asvg:svgBlip xmlns:asvg="http://schemas.microsoft.com/office/drawing/2016/SVG/main" r:embed="rId1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2B87" w14:textId="77777777" w:rsidR="00AB4DA7" w:rsidRDefault="00AB4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FB26" w14:textId="77777777" w:rsidR="002355EA" w:rsidRDefault="002355EA">
      <w:r>
        <w:separator/>
      </w:r>
    </w:p>
  </w:footnote>
  <w:footnote w:type="continuationSeparator" w:id="0">
    <w:p w14:paraId="0566E594" w14:textId="77777777" w:rsidR="002355EA" w:rsidRDefault="0023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82C0" w14:textId="77777777" w:rsidR="00AB4DA7" w:rsidRDefault="00AB4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4795" w14:textId="77777777" w:rsidR="00AB4DA7" w:rsidRDefault="00AB4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D7D6" w14:textId="77777777" w:rsidR="00AB4DA7" w:rsidRDefault="00AB4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37725C48"/>
    <w:multiLevelType w:val="hybridMultilevel"/>
    <w:tmpl w:val="FF60C2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F5"/>
    <w:rsid w:val="00000BF5"/>
    <w:rsid w:val="00023F9C"/>
    <w:rsid w:val="000414DC"/>
    <w:rsid w:val="000440D3"/>
    <w:rsid w:val="00044548"/>
    <w:rsid w:val="00045128"/>
    <w:rsid w:val="00046C01"/>
    <w:rsid w:val="00046C51"/>
    <w:rsid w:val="0004715C"/>
    <w:rsid w:val="00067F21"/>
    <w:rsid w:val="00071F79"/>
    <w:rsid w:val="00084F2D"/>
    <w:rsid w:val="0009232E"/>
    <w:rsid w:val="000B4610"/>
    <w:rsid w:val="000D145C"/>
    <w:rsid w:val="000F2AD2"/>
    <w:rsid w:val="000F4C6D"/>
    <w:rsid w:val="00100731"/>
    <w:rsid w:val="00101E94"/>
    <w:rsid w:val="001020BC"/>
    <w:rsid w:val="00104DFA"/>
    <w:rsid w:val="00105E49"/>
    <w:rsid w:val="00112EAE"/>
    <w:rsid w:val="00115153"/>
    <w:rsid w:val="00123470"/>
    <w:rsid w:val="00132CB8"/>
    <w:rsid w:val="00142677"/>
    <w:rsid w:val="0015150A"/>
    <w:rsid w:val="001527B2"/>
    <w:rsid w:val="00155ED8"/>
    <w:rsid w:val="001739C0"/>
    <w:rsid w:val="00177BD4"/>
    <w:rsid w:val="001836AA"/>
    <w:rsid w:val="0018613F"/>
    <w:rsid w:val="00186ABF"/>
    <w:rsid w:val="00190E01"/>
    <w:rsid w:val="001C258E"/>
    <w:rsid w:val="001C338C"/>
    <w:rsid w:val="001C5BD4"/>
    <w:rsid w:val="001C5F46"/>
    <w:rsid w:val="001D73C0"/>
    <w:rsid w:val="001F4F41"/>
    <w:rsid w:val="001F660F"/>
    <w:rsid w:val="00202C14"/>
    <w:rsid w:val="0021466B"/>
    <w:rsid w:val="002150A2"/>
    <w:rsid w:val="00220030"/>
    <w:rsid w:val="00227A31"/>
    <w:rsid w:val="002355EA"/>
    <w:rsid w:val="0026528E"/>
    <w:rsid w:val="002734F3"/>
    <w:rsid w:val="00275154"/>
    <w:rsid w:val="002A2267"/>
    <w:rsid w:val="002B4379"/>
    <w:rsid w:val="002C0643"/>
    <w:rsid w:val="002C13B0"/>
    <w:rsid w:val="002D0CCC"/>
    <w:rsid w:val="002D4DF1"/>
    <w:rsid w:val="002D5709"/>
    <w:rsid w:val="002E5A1B"/>
    <w:rsid w:val="002F1A65"/>
    <w:rsid w:val="002F1B62"/>
    <w:rsid w:val="002F55CB"/>
    <w:rsid w:val="002F79A3"/>
    <w:rsid w:val="00321382"/>
    <w:rsid w:val="00323645"/>
    <w:rsid w:val="0033634E"/>
    <w:rsid w:val="00337F0A"/>
    <w:rsid w:val="003400C0"/>
    <w:rsid w:val="00347036"/>
    <w:rsid w:val="003759BE"/>
    <w:rsid w:val="00380820"/>
    <w:rsid w:val="00384F7A"/>
    <w:rsid w:val="0038577F"/>
    <w:rsid w:val="003872F9"/>
    <w:rsid w:val="00394D81"/>
    <w:rsid w:val="003959F5"/>
    <w:rsid w:val="003A04C7"/>
    <w:rsid w:val="003A21DF"/>
    <w:rsid w:val="003A77E7"/>
    <w:rsid w:val="003B4C73"/>
    <w:rsid w:val="003B6A00"/>
    <w:rsid w:val="003B714A"/>
    <w:rsid w:val="003C1F6B"/>
    <w:rsid w:val="003C2229"/>
    <w:rsid w:val="003C60BB"/>
    <w:rsid w:val="003D5773"/>
    <w:rsid w:val="003E76A5"/>
    <w:rsid w:val="00412228"/>
    <w:rsid w:val="004138F2"/>
    <w:rsid w:val="00414734"/>
    <w:rsid w:val="00415456"/>
    <w:rsid w:val="004177F4"/>
    <w:rsid w:val="0042470A"/>
    <w:rsid w:val="00424928"/>
    <w:rsid w:val="004368E2"/>
    <w:rsid w:val="00442BCC"/>
    <w:rsid w:val="0044529A"/>
    <w:rsid w:val="00452C55"/>
    <w:rsid w:val="004605FD"/>
    <w:rsid w:val="00474606"/>
    <w:rsid w:val="0047608F"/>
    <w:rsid w:val="00486392"/>
    <w:rsid w:val="00486D46"/>
    <w:rsid w:val="004873DA"/>
    <w:rsid w:val="00494BBC"/>
    <w:rsid w:val="004965E4"/>
    <w:rsid w:val="004A06BC"/>
    <w:rsid w:val="004B0E00"/>
    <w:rsid w:val="004C0408"/>
    <w:rsid w:val="004D3B07"/>
    <w:rsid w:val="004D6672"/>
    <w:rsid w:val="004E422F"/>
    <w:rsid w:val="004F4C5B"/>
    <w:rsid w:val="005022D4"/>
    <w:rsid w:val="00502CAB"/>
    <w:rsid w:val="005107DF"/>
    <w:rsid w:val="00512080"/>
    <w:rsid w:val="00520507"/>
    <w:rsid w:val="005244B3"/>
    <w:rsid w:val="005270ED"/>
    <w:rsid w:val="00527D5E"/>
    <w:rsid w:val="00531975"/>
    <w:rsid w:val="005520A7"/>
    <w:rsid w:val="00552EA9"/>
    <w:rsid w:val="005549A1"/>
    <w:rsid w:val="00556CD0"/>
    <w:rsid w:val="00560900"/>
    <w:rsid w:val="00566D83"/>
    <w:rsid w:val="0056705F"/>
    <w:rsid w:val="0057111D"/>
    <w:rsid w:val="005730BB"/>
    <w:rsid w:val="00574D18"/>
    <w:rsid w:val="00582C7E"/>
    <w:rsid w:val="0058450C"/>
    <w:rsid w:val="005847E5"/>
    <w:rsid w:val="005A0E46"/>
    <w:rsid w:val="005A186C"/>
    <w:rsid w:val="005A1ABE"/>
    <w:rsid w:val="005B3342"/>
    <w:rsid w:val="005B611F"/>
    <w:rsid w:val="005C07A3"/>
    <w:rsid w:val="005C08F4"/>
    <w:rsid w:val="005C2258"/>
    <w:rsid w:val="005C43A1"/>
    <w:rsid w:val="005C46DB"/>
    <w:rsid w:val="005D09BB"/>
    <w:rsid w:val="005D3D97"/>
    <w:rsid w:val="005D4A5F"/>
    <w:rsid w:val="005E2455"/>
    <w:rsid w:val="005E746F"/>
    <w:rsid w:val="005F28E2"/>
    <w:rsid w:val="005F7092"/>
    <w:rsid w:val="00607FB0"/>
    <w:rsid w:val="00612B3A"/>
    <w:rsid w:val="00612E05"/>
    <w:rsid w:val="0061662B"/>
    <w:rsid w:val="00624950"/>
    <w:rsid w:val="00626C38"/>
    <w:rsid w:val="0063783D"/>
    <w:rsid w:val="00640DDB"/>
    <w:rsid w:val="00640E00"/>
    <w:rsid w:val="0064141E"/>
    <w:rsid w:val="0064298E"/>
    <w:rsid w:val="00642F54"/>
    <w:rsid w:val="00662EE3"/>
    <w:rsid w:val="00677E9B"/>
    <w:rsid w:val="00686EC2"/>
    <w:rsid w:val="006A0D60"/>
    <w:rsid w:val="006A61DA"/>
    <w:rsid w:val="006A744F"/>
    <w:rsid w:val="006B3979"/>
    <w:rsid w:val="006B4D96"/>
    <w:rsid w:val="006B4DBE"/>
    <w:rsid w:val="006B688E"/>
    <w:rsid w:val="006D5A79"/>
    <w:rsid w:val="006E01EA"/>
    <w:rsid w:val="006E2FE3"/>
    <w:rsid w:val="006E42E7"/>
    <w:rsid w:val="006E7847"/>
    <w:rsid w:val="006F338B"/>
    <w:rsid w:val="006F774D"/>
    <w:rsid w:val="007010E4"/>
    <w:rsid w:val="00704AB6"/>
    <w:rsid w:val="00712975"/>
    <w:rsid w:val="00712EA3"/>
    <w:rsid w:val="007223EF"/>
    <w:rsid w:val="007253F3"/>
    <w:rsid w:val="0072607B"/>
    <w:rsid w:val="007313DC"/>
    <w:rsid w:val="0073691E"/>
    <w:rsid w:val="00741024"/>
    <w:rsid w:val="0079001F"/>
    <w:rsid w:val="00795B49"/>
    <w:rsid w:val="007A23CA"/>
    <w:rsid w:val="007A5486"/>
    <w:rsid w:val="007B338F"/>
    <w:rsid w:val="007C71FD"/>
    <w:rsid w:val="007D5510"/>
    <w:rsid w:val="007D76CF"/>
    <w:rsid w:val="007E14EC"/>
    <w:rsid w:val="007E7541"/>
    <w:rsid w:val="007F216B"/>
    <w:rsid w:val="00807DED"/>
    <w:rsid w:val="008133EA"/>
    <w:rsid w:val="008141F8"/>
    <w:rsid w:val="008146D0"/>
    <w:rsid w:val="00816631"/>
    <w:rsid w:val="0082166E"/>
    <w:rsid w:val="00826961"/>
    <w:rsid w:val="00837B82"/>
    <w:rsid w:val="008412F6"/>
    <w:rsid w:val="008522EF"/>
    <w:rsid w:val="00853D56"/>
    <w:rsid w:val="00874A65"/>
    <w:rsid w:val="008820BE"/>
    <w:rsid w:val="008850E4"/>
    <w:rsid w:val="008A055C"/>
    <w:rsid w:val="008A15C7"/>
    <w:rsid w:val="008B051E"/>
    <w:rsid w:val="008C5722"/>
    <w:rsid w:val="008C573E"/>
    <w:rsid w:val="008E2965"/>
    <w:rsid w:val="008E71E6"/>
    <w:rsid w:val="008F4CA5"/>
    <w:rsid w:val="00901854"/>
    <w:rsid w:val="00904607"/>
    <w:rsid w:val="0091356C"/>
    <w:rsid w:val="0092004D"/>
    <w:rsid w:val="00921A9C"/>
    <w:rsid w:val="00932CFF"/>
    <w:rsid w:val="00945B9A"/>
    <w:rsid w:val="00955D3C"/>
    <w:rsid w:val="009572EA"/>
    <w:rsid w:val="009666A2"/>
    <w:rsid w:val="00970DC9"/>
    <w:rsid w:val="00976F40"/>
    <w:rsid w:val="0098368F"/>
    <w:rsid w:val="00990253"/>
    <w:rsid w:val="00992A5E"/>
    <w:rsid w:val="009A1F99"/>
    <w:rsid w:val="009A4C63"/>
    <w:rsid w:val="009B7C5E"/>
    <w:rsid w:val="009C2FCF"/>
    <w:rsid w:val="009D2D03"/>
    <w:rsid w:val="009D3245"/>
    <w:rsid w:val="009E41C4"/>
    <w:rsid w:val="009E4417"/>
    <w:rsid w:val="009E75B7"/>
    <w:rsid w:val="00A010F0"/>
    <w:rsid w:val="00A13237"/>
    <w:rsid w:val="00A1634B"/>
    <w:rsid w:val="00A1723B"/>
    <w:rsid w:val="00A17743"/>
    <w:rsid w:val="00A3743B"/>
    <w:rsid w:val="00A37B52"/>
    <w:rsid w:val="00A53AA2"/>
    <w:rsid w:val="00A70691"/>
    <w:rsid w:val="00A74687"/>
    <w:rsid w:val="00A778B6"/>
    <w:rsid w:val="00A85DB4"/>
    <w:rsid w:val="00A9418C"/>
    <w:rsid w:val="00A955DF"/>
    <w:rsid w:val="00A96CE7"/>
    <w:rsid w:val="00AA4215"/>
    <w:rsid w:val="00AA61D9"/>
    <w:rsid w:val="00AA68B4"/>
    <w:rsid w:val="00AB4DA7"/>
    <w:rsid w:val="00AB5D9C"/>
    <w:rsid w:val="00AC5963"/>
    <w:rsid w:val="00AE0AA2"/>
    <w:rsid w:val="00AE4E92"/>
    <w:rsid w:val="00AF2692"/>
    <w:rsid w:val="00AF458E"/>
    <w:rsid w:val="00B15098"/>
    <w:rsid w:val="00B2321D"/>
    <w:rsid w:val="00B239E2"/>
    <w:rsid w:val="00B26429"/>
    <w:rsid w:val="00B3271E"/>
    <w:rsid w:val="00B40FE0"/>
    <w:rsid w:val="00B415DC"/>
    <w:rsid w:val="00B514E0"/>
    <w:rsid w:val="00B66648"/>
    <w:rsid w:val="00B66DB9"/>
    <w:rsid w:val="00B710AF"/>
    <w:rsid w:val="00B75489"/>
    <w:rsid w:val="00B8166F"/>
    <w:rsid w:val="00B87297"/>
    <w:rsid w:val="00B903CC"/>
    <w:rsid w:val="00B92193"/>
    <w:rsid w:val="00B9349D"/>
    <w:rsid w:val="00B96D77"/>
    <w:rsid w:val="00BA247D"/>
    <w:rsid w:val="00BA72BC"/>
    <w:rsid w:val="00BB36F5"/>
    <w:rsid w:val="00BB4292"/>
    <w:rsid w:val="00BC0660"/>
    <w:rsid w:val="00BD617C"/>
    <w:rsid w:val="00BD7293"/>
    <w:rsid w:val="00BE62DF"/>
    <w:rsid w:val="00BF0E86"/>
    <w:rsid w:val="00BF2441"/>
    <w:rsid w:val="00BF6293"/>
    <w:rsid w:val="00C0652E"/>
    <w:rsid w:val="00C15642"/>
    <w:rsid w:val="00C22A5C"/>
    <w:rsid w:val="00C26FD8"/>
    <w:rsid w:val="00C72B00"/>
    <w:rsid w:val="00C740E7"/>
    <w:rsid w:val="00C85646"/>
    <w:rsid w:val="00C8634A"/>
    <w:rsid w:val="00C91698"/>
    <w:rsid w:val="00C93E55"/>
    <w:rsid w:val="00C97D1B"/>
    <w:rsid w:val="00CB17D3"/>
    <w:rsid w:val="00CB326F"/>
    <w:rsid w:val="00CB5993"/>
    <w:rsid w:val="00CC276E"/>
    <w:rsid w:val="00CE439D"/>
    <w:rsid w:val="00CE6DB7"/>
    <w:rsid w:val="00CF3901"/>
    <w:rsid w:val="00D016BE"/>
    <w:rsid w:val="00D0228E"/>
    <w:rsid w:val="00D05246"/>
    <w:rsid w:val="00D06185"/>
    <w:rsid w:val="00D1029C"/>
    <w:rsid w:val="00D212E0"/>
    <w:rsid w:val="00D32C93"/>
    <w:rsid w:val="00D33655"/>
    <w:rsid w:val="00D41605"/>
    <w:rsid w:val="00D44F8B"/>
    <w:rsid w:val="00D522CE"/>
    <w:rsid w:val="00D54832"/>
    <w:rsid w:val="00D56843"/>
    <w:rsid w:val="00D60065"/>
    <w:rsid w:val="00D6369C"/>
    <w:rsid w:val="00D70036"/>
    <w:rsid w:val="00D8197C"/>
    <w:rsid w:val="00D831D3"/>
    <w:rsid w:val="00D9016E"/>
    <w:rsid w:val="00D92D1E"/>
    <w:rsid w:val="00D9379D"/>
    <w:rsid w:val="00D93A09"/>
    <w:rsid w:val="00DA03A2"/>
    <w:rsid w:val="00DA048B"/>
    <w:rsid w:val="00DA287A"/>
    <w:rsid w:val="00DA7868"/>
    <w:rsid w:val="00DB07FE"/>
    <w:rsid w:val="00DB575B"/>
    <w:rsid w:val="00DB6FF3"/>
    <w:rsid w:val="00DC66B3"/>
    <w:rsid w:val="00DD14D6"/>
    <w:rsid w:val="00DD3BAC"/>
    <w:rsid w:val="00DD5FD1"/>
    <w:rsid w:val="00DE0845"/>
    <w:rsid w:val="00DE30E6"/>
    <w:rsid w:val="00DE3436"/>
    <w:rsid w:val="00DE4F59"/>
    <w:rsid w:val="00E01BEB"/>
    <w:rsid w:val="00E27081"/>
    <w:rsid w:val="00E47ED9"/>
    <w:rsid w:val="00E57DE4"/>
    <w:rsid w:val="00E64712"/>
    <w:rsid w:val="00E85D95"/>
    <w:rsid w:val="00E904CD"/>
    <w:rsid w:val="00E914ED"/>
    <w:rsid w:val="00EA22E5"/>
    <w:rsid w:val="00EC4417"/>
    <w:rsid w:val="00EC55A1"/>
    <w:rsid w:val="00ED35AF"/>
    <w:rsid w:val="00EE424A"/>
    <w:rsid w:val="00EE66AF"/>
    <w:rsid w:val="00F1060C"/>
    <w:rsid w:val="00F13426"/>
    <w:rsid w:val="00F135E2"/>
    <w:rsid w:val="00F27CD5"/>
    <w:rsid w:val="00F376C6"/>
    <w:rsid w:val="00F45A6F"/>
    <w:rsid w:val="00F46C77"/>
    <w:rsid w:val="00F51000"/>
    <w:rsid w:val="00F61167"/>
    <w:rsid w:val="00F7410C"/>
    <w:rsid w:val="00F76B4C"/>
    <w:rsid w:val="00F83179"/>
    <w:rsid w:val="00F876F3"/>
    <w:rsid w:val="00F90CFF"/>
    <w:rsid w:val="00F92DAC"/>
    <w:rsid w:val="00FA1B78"/>
    <w:rsid w:val="00FB4EA9"/>
    <w:rsid w:val="00FD794D"/>
    <w:rsid w:val="00FE2775"/>
    <w:rsid w:val="00FE4564"/>
    <w:rsid w:val="00FE4D83"/>
    <w:rsid w:val="00FF2BA0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CAEBB43"/>
  <w15:docId w15:val="{E1200CD2-0F58-4465-8C7F-6A425784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167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167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167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F61167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F61167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F61167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F61167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F61167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61167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F61167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4F9"/>
    <w:rPr>
      <w:rFonts w:asciiTheme="majorHAnsi" w:eastAsiaTheme="majorEastAsia" w:hAnsiTheme="majorHAnsi" w:cstheme="majorBidi"/>
      <w:b/>
      <w:bCs/>
      <w:color w:val="4F81BD" w:themeColor="accent1"/>
      <w:sz w:val="22"/>
      <w:lang w:val="bg-BG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4F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bg-BG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F9"/>
    <w:rPr>
      <w:rFonts w:asciiTheme="majorHAnsi" w:eastAsiaTheme="majorEastAsia" w:hAnsiTheme="majorHAnsi" w:cstheme="majorBidi"/>
      <w:color w:val="243F60" w:themeColor="accent1" w:themeShade="7F"/>
      <w:sz w:val="22"/>
      <w:lang w:val="bg-BG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4F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bg-BG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4F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bg-BG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4F9"/>
    <w:rPr>
      <w:rFonts w:asciiTheme="majorHAnsi" w:eastAsiaTheme="majorEastAsia" w:hAnsiTheme="majorHAnsi" w:cstheme="majorBidi"/>
      <w:color w:val="404040" w:themeColor="text1" w:themeTint="BF"/>
      <w:lang w:val="bg-BG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4F9"/>
    <w:rPr>
      <w:rFonts w:asciiTheme="majorHAnsi" w:eastAsiaTheme="majorEastAsia" w:hAnsiTheme="majorHAnsi" w:cstheme="majorBidi"/>
      <w:i/>
      <w:iCs/>
      <w:color w:val="404040" w:themeColor="text1" w:themeTint="BF"/>
      <w:lang w:val="bg-BG" w:eastAsia="en-US"/>
    </w:rPr>
  </w:style>
  <w:style w:type="paragraph" w:styleId="Footer">
    <w:name w:val="footer"/>
    <w:basedOn w:val="Normal"/>
    <w:link w:val="FooterChar"/>
    <w:uiPriority w:val="99"/>
    <w:rsid w:val="00F61167"/>
  </w:style>
  <w:style w:type="character" w:customStyle="1" w:styleId="FooterChar">
    <w:name w:val="Footer Char"/>
    <w:basedOn w:val="DefaultParagraphFont"/>
    <w:link w:val="Footer"/>
    <w:uiPriority w:val="99"/>
    <w:semiHidden/>
    <w:rsid w:val="001374F9"/>
    <w:rPr>
      <w:sz w:val="22"/>
      <w:lang w:val="bg-BG" w:eastAsia="en-US"/>
    </w:rPr>
  </w:style>
  <w:style w:type="paragraph" w:styleId="FootnoteText">
    <w:name w:val="footnote text"/>
    <w:basedOn w:val="Normal"/>
    <w:link w:val="FootnoteTextChar"/>
    <w:uiPriority w:val="99"/>
    <w:rsid w:val="00F61167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4F9"/>
    <w:rPr>
      <w:lang w:val="bg-BG" w:eastAsia="en-US"/>
    </w:rPr>
  </w:style>
  <w:style w:type="paragraph" w:styleId="Header">
    <w:name w:val="header"/>
    <w:basedOn w:val="Normal"/>
    <w:link w:val="HeaderChar"/>
    <w:uiPriority w:val="99"/>
    <w:rsid w:val="00F61167"/>
  </w:style>
  <w:style w:type="character" w:customStyle="1" w:styleId="HeaderChar">
    <w:name w:val="Header Char"/>
    <w:basedOn w:val="DefaultParagraphFont"/>
    <w:link w:val="Header"/>
    <w:uiPriority w:val="99"/>
    <w:semiHidden/>
    <w:rsid w:val="001374F9"/>
    <w:rPr>
      <w:sz w:val="22"/>
      <w:lang w:val="bg-BG" w:eastAsia="en-US"/>
    </w:rPr>
  </w:style>
  <w:style w:type="paragraph" w:customStyle="1" w:styleId="quotes">
    <w:name w:val="quotes"/>
    <w:basedOn w:val="Normal"/>
    <w:next w:val="Normal"/>
    <w:rsid w:val="00F61167"/>
    <w:pPr>
      <w:ind w:left="720"/>
    </w:pPr>
    <w:rPr>
      <w:i/>
    </w:rPr>
  </w:style>
  <w:style w:type="character" w:styleId="FootnoteReference">
    <w:name w:val="footnote reference"/>
    <w:basedOn w:val="DefaultParagraphFont"/>
    <w:uiPriority w:val="99"/>
    <w:semiHidden/>
    <w:rsid w:val="00F61167"/>
    <w:rPr>
      <w:sz w:val="24"/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1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0AF"/>
    <w:rPr>
      <w:rFonts w:ascii="Tahoma" w:hAnsi="Tahoma" w:cs="Tahoma"/>
      <w:sz w:val="16"/>
      <w:szCs w:val="16"/>
      <w:lang w:val="bg-BG" w:eastAsia="en-US"/>
    </w:rPr>
  </w:style>
  <w:style w:type="table" w:styleId="TableGrid">
    <w:name w:val="Table Grid"/>
    <w:basedOn w:val="TableNormal"/>
    <w:uiPriority w:val="59"/>
    <w:rsid w:val="00BD72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7A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369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69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691E"/>
    <w:rPr>
      <w:lang w:val="bg-BG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691E"/>
    <w:rPr>
      <w:b/>
      <w:bCs/>
      <w:lang w:val="bg-BG" w:eastAsia="en-US"/>
    </w:rPr>
  </w:style>
  <w:style w:type="paragraph" w:styleId="Revision">
    <w:name w:val="Revision"/>
    <w:hidden/>
    <w:uiPriority w:val="99"/>
    <w:semiHidden/>
    <w:rsid w:val="0073691E"/>
    <w:rPr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marco.pezzani@eesc.europa.eu" TargetMode="Externa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ustomXml" Target="../customXml/item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8.png"/><Relationship Id="rId3" Type="http://schemas.openxmlformats.org/officeDocument/2006/relationships/hyperlink" Target="https://www.youtube.com/user/EurEcoSocCommittee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www.instagram.com/accounts/login/?next=/eu_civilsociety/" TargetMode="External"/><Relationship Id="rId17" Type="http://schemas.openxmlformats.org/officeDocument/2006/relationships/image" Target="media/image11.svg"/><Relationship Id="rId2" Type="http://schemas.openxmlformats.org/officeDocument/2006/relationships/hyperlink" Target="http://www.eesc.europa.eu" TargetMode="External"/><Relationship Id="rId16" Type="http://schemas.openxmlformats.org/officeDocument/2006/relationships/image" Target="media/image10.png"/><Relationship Id="rId1" Type="http://schemas.openxmlformats.org/officeDocument/2006/relationships/hyperlink" Target="mailto:press@eesc.europa.eu" TargetMode="External"/><Relationship Id="rId6" Type="http://schemas.openxmlformats.org/officeDocument/2006/relationships/hyperlink" Target="https://twitter.com/EU_EESC" TargetMode="External"/><Relationship Id="rId11" Type="http://schemas.openxmlformats.org/officeDocument/2006/relationships/image" Target="media/image7.svg"/><Relationship Id="rId5" Type="http://schemas.openxmlformats.org/officeDocument/2006/relationships/image" Target="media/image3.svg"/><Relationship Id="rId15" Type="http://schemas.openxmlformats.org/officeDocument/2006/relationships/hyperlink" Target="https://www.facebook.com/EuropeanEconomicAndSocialCommittee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2.png"/><Relationship Id="rId9" Type="http://schemas.openxmlformats.org/officeDocument/2006/relationships/hyperlink" Target="https://be.linkedin.com/company/european-economic-social-committee" TargetMode="External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F7M6YNZUATRX-416430479-2819</_dlc_DocId>
    <_dlc_DocIdUrl xmlns="59ace41b-6786-4ce3-be71-52c27066c6ef">
      <Url>http://dm/eesc/2024/_layouts/15/DocIdRedir.aspx?ID=F7M6YNZUATRX-416430479-2819</Url>
      <Description>F7M6YNZUATRX-416430479-2819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2024-02-19T12:00:00+00:00</ProductionDate>
    <DocumentNumber xmlns="1178e5e2-058a-41a1-9851-331c7b3fffb8">439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22</Value>
      <Value>48</Value>
      <Value>37</Value>
      <Value>12</Value>
      <Value>8</Value>
      <Value>24</Value>
      <Value>6</Value>
      <Value>5</Value>
      <Value>14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1923</FicheNumber>
    <OriginalSender xmlns="59ace41b-6786-4ce3-be71-52c27066c6ef">
      <UserInfo>
        <DisplayName>Ilieva Albena</DisplayName>
        <AccountId>1557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 xsi:nil="true"/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B8E893-02B5-4703-9D8F-F451093D4C7E}"/>
</file>

<file path=customXml/itemProps2.xml><?xml version="1.0" encoding="utf-8"?>
<ds:datastoreItem xmlns:ds="http://schemas.openxmlformats.org/officeDocument/2006/customXml" ds:itemID="{C6E01490-5301-4CA0-A085-DD6C2B1049A5}"/>
</file>

<file path=customXml/itemProps3.xml><?xml version="1.0" encoding="utf-8"?>
<ds:datastoreItem xmlns:ds="http://schemas.openxmlformats.org/officeDocument/2006/customXml" ds:itemID="{05A7592B-7941-46C1-A387-451B510D82D0}"/>
</file>

<file path=customXml/itemProps4.xml><?xml version="1.0" encoding="utf-8"?>
<ds:datastoreItem xmlns:ds="http://schemas.openxmlformats.org/officeDocument/2006/customXml" ds:itemID="{813C25FB-86D3-4D07-B48D-28F719226C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EESC CP template updated</vt:lpstr>
    </vt:vector>
  </TitlesOfParts>
  <Company>CESE-CdR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Работната програма на Европейската комисия за 2024 г. трябва да се съсредоточи върху икономическите и социалните аспекти</dc:title>
  <dc:subject>CP</dc:subject>
  <dc:creator>Emma Nieddu</dc:creator>
  <cp:keywords>EESC-2024-00439-00-01-CP-TRA-EN</cp:keywords>
  <dc:description>Rapporteur:  - Original language: EN - Date of document: 19/02/2024 - Date of meeting:  - External documents:  - Administrator: M. PEZZANI Marco</dc:description>
  <cp:lastModifiedBy>Ilieva Albena</cp:lastModifiedBy>
  <cp:revision>6</cp:revision>
  <cp:lastPrinted>2007-06-05T13:08:00Z</cp:lastPrinted>
  <dcterms:created xsi:type="dcterms:W3CDTF">2024-02-19T10:03:00Z</dcterms:created>
  <dcterms:modified xsi:type="dcterms:W3CDTF">2024-02-19T10:21:00Z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15/02/2024, 15/02/2024, 05/04/2022</vt:lpwstr>
  </property>
  <property fmtid="{D5CDD505-2E9C-101B-9397-08002B2CF9AE}" pid="4" name="Pref_Time">
    <vt:lpwstr>11:28:36, 09:45:48, 16:28:46</vt:lpwstr>
  </property>
  <property fmtid="{D5CDD505-2E9C-101B-9397-08002B2CF9AE}" pid="5" name="Pref_User">
    <vt:lpwstr>enied, enied, enied</vt:lpwstr>
  </property>
  <property fmtid="{D5CDD505-2E9C-101B-9397-08002B2CF9AE}" pid="6" name="Pref_FileName">
    <vt:lpwstr>EESC-2024-00439-00-01-CP-ORI.docx, EESC-2024-00439-00-00-CP-ORI.docx, EESC-2022-01954-00-00-ADMIN-ORI.docx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34034c05-335b-44ef-b77a-0578f476b3eb</vt:lpwstr>
  </property>
  <property fmtid="{D5CDD505-2E9C-101B-9397-08002B2CF9AE}" pid="9" name="AvailableTranslations">
    <vt:lpwstr>22;#BG|1a1b3951-7821-4e6a-85f5-5673fc08bd2c;#5;#EN|f2175f21-25d7-44a3-96da-d6a61b075e1b;#37;#RO|feb747a2-64cd-4299-af12-4833ddc30497;#12;#IT|0774613c-01ed-4e5d-a25d-11d2388de825;#14;#FR|d2afafd3-4c81-4f60-8f52-ee33f2f54ff3;#24;#ES|e7a6b05b-ae16-40c8-add9-68b64b03aeba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439</vt:i4>
  </property>
  <property fmtid="{D5CDD505-2E9C-101B-9397-08002B2CF9AE}" pid="14" name="DocumentVersion">
    <vt:i4>1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Presse</vt:lpwstr>
  </property>
  <property fmtid="{D5CDD505-2E9C-101B-9397-08002B2CF9AE}" pid="22" name="Confidentiality">
    <vt:lpwstr>6;#Unrestricted|826e22d7-d029-4ec0-a450-0c28ff673572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EN|f2175f21-25d7-44a3-96da-d6a61b075e1b;IT|0774613c-01ed-4e5d-a25d-11d2388de825;FR|d2afafd3-4c81-4f60-8f52-ee33f2f54ff3;ES|e7a6b05b-ae16-40c8-add9-68b64b03aeba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48;#CP|de8ad211-9e8d-408b-8324-674d21bb7d18;#12;#IT|0774613c-01ed-4e5d-a25d-11d2388de825;#8;#Final|ea5e6674-7b27-4bac-b091-73adbb394efe;#24;#ES|e7a6b05b-ae16-40c8-add9-68b64b03aeba;#6;#Unrestricted|826e22d7-d029-4ec0-a450-0c28ff673572;#5;#EN|f2175f21-25d7-44a3-96da-d6a61b075e1b;#14;#FR|d2afafd3-4c81-4f60-8f52-ee33f2f54ff3;#3;#TRA|150d2a88-1431-44e6-a8ca-0bb753ab8672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1923</vt:i4>
  </property>
  <property fmtid="{D5CDD505-2E9C-101B-9397-08002B2CF9AE}" pid="36" name="DocumentLanguage">
    <vt:lpwstr>22;#BG|1a1b3951-7821-4e6a-85f5-5673fc08bd2c</vt:lpwstr>
  </property>
  <property fmtid="{D5CDD505-2E9C-101B-9397-08002B2CF9AE}" pid="37" name="_docset_NoMedatataSyncRequired">
    <vt:lpwstr>False</vt:lpwstr>
  </property>
</Properties>
</file>