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2F07C4" w14:paraId="785AE44C" w14:textId="16EAE157">
      <w:pPr>
        <w:jc w:val="center"/>
      </w:pPr>
      <w:r>
        <w:rPr>
          <w:noProof/>
        </w:rPr>
        <w:drawing>
          <wp:inline distT="0" distB="0" distL="0" distR="0" wp14:anchorId="306D197E" wp14:editId="4BABBFD3">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BD3785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t>Bryssel, den 2 februari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BFCADBB">
            <w:pPr>
              <w:snapToGrid w:val="0"/>
              <w:jc w:val="center"/>
              <w:rPr>
                <w:b/>
                <w:sz w:val="32"/>
              </w:rPr>
            </w:pPr>
            <w:r>
              <w:rPr>
                <w:b/>
                <w:sz w:val="32"/>
              </w:rPr>
              <w:t>584:e plenarsessionen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17 och 18 januari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494D13" w14:paraId="2A9352A2" w14:textId="0680ADB6">
            <w:pPr>
              <w:snapToGrid w:val="0"/>
              <w:jc w:val="center"/>
            </w:pPr>
            <w:hyperlink w:history="1" r:id="rId12">
              <w:r w:rsidR="008778F4">
                <w:rPr>
                  <w:rStyle w:val="Hyperlink"/>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494D13" w14:paraId="441AC4DD" w14:textId="1194D751">
            <w:pPr>
              <w:snapToGrid w:val="0"/>
              <w:jc w:val="center"/>
            </w:pPr>
            <w:hyperlink w:history="1" r:id="rId13">
              <w:r w:rsidR="002F07C4">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Innehåll</w:t>
          </w:r>
        </w:p>
        <w:p w:rsidR="00767EF5" w:rsidRDefault="00544D95" w14:paraId="77BCED19" w14:textId="406655AD">
          <w:pPr>
            <w:pStyle w:val="TOC1"/>
            <w:rPr>
              <w:rFonts w:asciiTheme="minorHAnsi" w:hAnsiTheme="minorHAnsi" w:eastAsiaTheme="minorEastAsia"/>
              <w:bCs w:val="0"/>
              <w:sz w:val="22"/>
              <w:lang w:val="en-US" w:bidi="hi-x-bh-SDL"/>
            </w:rPr>
          </w:pPr>
          <w:r w:rsidRPr="00544D95">
            <w:fldChar w:fldCharType="begin"/>
          </w:r>
          <w:r w:rsidRPr="00544D95">
            <w:instrText xml:space="preserve"> TOC \o "1-3" \h \z \u </w:instrText>
          </w:r>
          <w:r w:rsidRPr="00544D95">
            <w:fldChar w:fldCharType="separate"/>
          </w:r>
          <w:hyperlink w:history="1" w:anchor="_Toc157768443">
            <w:r w:rsidRPr="001A3311" w:rsidR="00767EF5">
              <w:rPr>
                <w:rStyle w:val="Hyperlink"/>
                <w14:scene3d>
                  <w14:camera w14:prst="orthographicFront"/>
                  <w14:lightRig w14:rig="threePt" w14:dir="t">
                    <w14:rot w14:lat="0" w14:lon="0" w14:rev="0"/>
                  </w14:lightRig>
                </w14:scene3d>
              </w:rPr>
              <w:t>1.</w:t>
            </w:r>
            <w:r w:rsidR="00767EF5">
              <w:rPr>
                <w:rFonts w:asciiTheme="minorHAnsi" w:hAnsiTheme="minorHAnsi" w:eastAsiaTheme="minorEastAsia"/>
                <w:bCs w:val="0"/>
                <w:sz w:val="22"/>
                <w:lang w:val="en-US" w:bidi="hi-x-bh-SDL"/>
              </w:rPr>
              <w:tab/>
            </w:r>
            <w:r w:rsidRPr="001A3311" w:rsidR="00767EF5">
              <w:rPr>
                <w:rStyle w:val="Hyperlink"/>
                <w:b/>
              </w:rPr>
              <w:t>EKONOMISKA OCH MONETÄRA UNIONEN, EKONOMISK OCH SOCIAL SAMMANHÅLLNING</w:t>
            </w:r>
            <w:r w:rsidR="00767EF5">
              <w:rPr>
                <w:webHidden/>
              </w:rPr>
              <w:tab/>
            </w:r>
            <w:r w:rsidR="00767EF5">
              <w:rPr>
                <w:webHidden/>
              </w:rPr>
              <w:fldChar w:fldCharType="begin"/>
            </w:r>
            <w:r w:rsidR="00767EF5">
              <w:rPr>
                <w:webHidden/>
              </w:rPr>
              <w:instrText xml:space="preserve"> PAGEREF _Toc157768443 \h </w:instrText>
            </w:r>
            <w:r w:rsidR="00767EF5">
              <w:rPr>
                <w:webHidden/>
              </w:rPr>
            </w:r>
            <w:r w:rsidR="00767EF5">
              <w:rPr>
                <w:webHidden/>
              </w:rPr>
              <w:fldChar w:fldCharType="separate"/>
            </w:r>
            <w:r w:rsidR="00767EF5">
              <w:rPr>
                <w:webHidden/>
              </w:rPr>
              <w:t>5</w:t>
            </w:r>
            <w:r w:rsidR="00767EF5">
              <w:rPr>
                <w:webHidden/>
              </w:rPr>
              <w:fldChar w:fldCharType="end"/>
            </w:r>
          </w:hyperlink>
        </w:p>
        <w:p w:rsidR="00767EF5" w:rsidRDefault="00494D13" w14:paraId="038EA34D" w14:textId="3D0560F1">
          <w:pPr>
            <w:pStyle w:val="TOC1"/>
            <w:rPr>
              <w:rFonts w:asciiTheme="minorHAnsi" w:hAnsiTheme="minorHAnsi" w:eastAsiaTheme="minorEastAsia"/>
              <w:bCs w:val="0"/>
              <w:sz w:val="22"/>
              <w:lang w:val="en-US" w:bidi="hi-x-bh-SDL"/>
            </w:rPr>
          </w:pPr>
          <w:hyperlink w:history="1" w:anchor="_Toc157768458">
            <w:r w:rsidRPr="001A3311" w:rsidR="00767EF5">
              <w:rPr>
                <w:rStyle w:val="Hyperlink"/>
                <w14:scene3d>
                  <w14:camera w14:prst="orthographicFront"/>
                  <w14:lightRig w14:rig="threePt" w14:dir="t">
                    <w14:rot w14:lat="0" w14:lon="0" w14:rev="0"/>
                  </w14:lightRig>
                </w14:scene3d>
              </w:rPr>
              <w:t>2.</w:t>
            </w:r>
            <w:r w:rsidR="00767EF5">
              <w:rPr>
                <w:rFonts w:asciiTheme="minorHAnsi" w:hAnsiTheme="minorHAnsi" w:eastAsiaTheme="minorEastAsia"/>
                <w:bCs w:val="0"/>
                <w:sz w:val="22"/>
                <w:lang w:val="en-US" w:bidi="hi-x-bh-SDL"/>
              </w:rPr>
              <w:tab/>
            </w:r>
            <w:r w:rsidRPr="001A3311" w:rsidR="00767EF5">
              <w:rPr>
                <w:rStyle w:val="Hyperlink"/>
                <w:b/>
              </w:rPr>
              <w:t>INRE MARKNADEN, PRODUKTION OCH KONSUMTION</w:t>
            </w:r>
            <w:r w:rsidR="00767EF5">
              <w:rPr>
                <w:webHidden/>
              </w:rPr>
              <w:tab/>
            </w:r>
            <w:r w:rsidR="00767EF5">
              <w:rPr>
                <w:webHidden/>
              </w:rPr>
              <w:fldChar w:fldCharType="begin"/>
            </w:r>
            <w:r w:rsidR="00767EF5">
              <w:rPr>
                <w:webHidden/>
              </w:rPr>
              <w:instrText xml:space="preserve"> PAGEREF _Toc157768458 \h </w:instrText>
            </w:r>
            <w:r w:rsidR="00767EF5">
              <w:rPr>
                <w:webHidden/>
              </w:rPr>
            </w:r>
            <w:r w:rsidR="00767EF5">
              <w:rPr>
                <w:webHidden/>
              </w:rPr>
              <w:fldChar w:fldCharType="separate"/>
            </w:r>
            <w:r w:rsidR="00767EF5">
              <w:rPr>
                <w:webHidden/>
              </w:rPr>
              <w:t>7</w:t>
            </w:r>
            <w:r w:rsidR="00767EF5">
              <w:rPr>
                <w:webHidden/>
              </w:rPr>
              <w:fldChar w:fldCharType="end"/>
            </w:r>
          </w:hyperlink>
        </w:p>
        <w:p w:rsidR="00767EF5" w:rsidRDefault="00494D13" w14:paraId="121B6AC9" w14:textId="3FD4A0E7">
          <w:pPr>
            <w:pStyle w:val="TOC1"/>
            <w:rPr>
              <w:rFonts w:asciiTheme="minorHAnsi" w:hAnsiTheme="minorHAnsi" w:eastAsiaTheme="minorEastAsia"/>
              <w:bCs w:val="0"/>
              <w:sz w:val="22"/>
              <w:lang w:val="en-US" w:bidi="hi-x-bh-SDL"/>
            </w:rPr>
          </w:pPr>
          <w:hyperlink w:history="1" w:anchor="_Toc157768459">
            <w:r w:rsidRPr="001A3311" w:rsidR="00767EF5">
              <w:rPr>
                <w:rStyle w:val="Hyperlink"/>
                <w14:scene3d>
                  <w14:camera w14:prst="orthographicFront"/>
                  <w14:lightRig w14:rig="threePt" w14:dir="t">
                    <w14:rot w14:lat="0" w14:lon="0" w14:rev="0"/>
                  </w14:lightRig>
                </w14:scene3d>
              </w:rPr>
              <w:t>3.</w:t>
            </w:r>
            <w:r w:rsidR="00767EF5">
              <w:rPr>
                <w:rFonts w:asciiTheme="minorHAnsi" w:hAnsiTheme="minorHAnsi" w:eastAsiaTheme="minorEastAsia"/>
                <w:bCs w:val="0"/>
                <w:sz w:val="22"/>
                <w:lang w:val="en-US" w:bidi="hi-x-bh-SDL"/>
              </w:rPr>
              <w:tab/>
            </w:r>
            <w:r w:rsidRPr="001A3311" w:rsidR="00767EF5">
              <w:rPr>
                <w:rStyle w:val="Hyperlink"/>
                <w:b/>
              </w:rPr>
              <w:t>JORDBRUK, LANDSBYGDSUTVECKLING OCH MILJÖ</w:t>
            </w:r>
            <w:r w:rsidR="00767EF5">
              <w:rPr>
                <w:webHidden/>
              </w:rPr>
              <w:tab/>
            </w:r>
            <w:r w:rsidR="00767EF5">
              <w:rPr>
                <w:webHidden/>
              </w:rPr>
              <w:fldChar w:fldCharType="begin"/>
            </w:r>
            <w:r w:rsidR="00767EF5">
              <w:rPr>
                <w:webHidden/>
              </w:rPr>
              <w:instrText xml:space="preserve"> PAGEREF _Toc157768459 \h </w:instrText>
            </w:r>
            <w:r w:rsidR="00767EF5">
              <w:rPr>
                <w:webHidden/>
              </w:rPr>
            </w:r>
            <w:r w:rsidR="00767EF5">
              <w:rPr>
                <w:webHidden/>
              </w:rPr>
              <w:fldChar w:fldCharType="separate"/>
            </w:r>
            <w:r w:rsidR="00767EF5">
              <w:rPr>
                <w:webHidden/>
              </w:rPr>
              <w:t>14</w:t>
            </w:r>
            <w:r w:rsidR="00767EF5">
              <w:rPr>
                <w:webHidden/>
              </w:rPr>
              <w:fldChar w:fldCharType="end"/>
            </w:r>
          </w:hyperlink>
        </w:p>
        <w:p w:rsidR="00767EF5" w:rsidRDefault="00494D13" w14:paraId="71D75D36" w14:textId="408D7E94">
          <w:pPr>
            <w:pStyle w:val="TOC1"/>
            <w:rPr>
              <w:rFonts w:asciiTheme="minorHAnsi" w:hAnsiTheme="minorHAnsi" w:eastAsiaTheme="minorEastAsia"/>
              <w:bCs w:val="0"/>
              <w:sz w:val="22"/>
              <w:lang w:val="en-US" w:bidi="hi-x-bh-SDL"/>
            </w:rPr>
          </w:pPr>
          <w:hyperlink w:history="1" w:anchor="_Toc157768469">
            <w:r w:rsidRPr="001A3311" w:rsidR="00767EF5">
              <w:rPr>
                <w:rStyle w:val="Hyperlink"/>
                <w14:scene3d>
                  <w14:camera w14:prst="orthographicFront"/>
                  <w14:lightRig w14:rig="threePt" w14:dir="t">
                    <w14:rot w14:lat="0" w14:lon="0" w14:rev="0"/>
                  </w14:lightRig>
                </w14:scene3d>
              </w:rPr>
              <w:t>4.</w:t>
            </w:r>
            <w:r w:rsidR="00767EF5">
              <w:rPr>
                <w:rFonts w:asciiTheme="minorHAnsi" w:hAnsiTheme="minorHAnsi" w:eastAsiaTheme="minorEastAsia"/>
                <w:bCs w:val="0"/>
                <w:sz w:val="22"/>
                <w:lang w:val="en-US" w:bidi="hi-x-bh-SDL"/>
              </w:rPr>
              <w:tab/>
            </w:r>
            <w:r w:rsidRPr="001A3311" w:rsidR="00767EF5">
              <w:rPr>
                <w:rStyle w:val="Hyperlink"/>
                <w:b/>
              </w:rPr>
              <w:t>YTTRE FÖRBINDELSER</w:t>
            </w:r>
            <w:r w:rsidR="00767EF5">
              <w:rPr>
                <w:webHidden/>
              </w:rPr>
              <w:tab/>
            </w:r>
            <w:r w:rsidR="00767EF5">
              <w:rPr>
                <w:webHidden/>
              </w:rPr>
              <w:fldChar w:fldCharType="begin"/>
            </w:r>
            <w:r w:rsidR="00767EF5">
              <w:rPr>
                <w:webHidden/>
              </w:rPr>
              <w:instrText xml:space="preserve"> PAGEREF _Toc157768469 \h </w:instrText>
            </w:r>
            <w:r w:rsidR="00767EF5">
              <w:rPr>
                <w:webHidden/>
              </w:rPr>
            </w:r>
            <w:r w:rsidR="00767EF5">
              <w:rPr>
                <w:webHidden/>
              </w:rPr>
              <w:fldChar w:fldCharType="separate"/>
            </w:r>
            <w:r w:rsidR="00767EF5">
              <w:rPr>
                <w:webHidden/>
              </w:rPr>
              <w:t>16</w:t>
            </w:r>
            <w:r w:rsidR="00767EF5">
              <w:rPr>
                <w:webHidden/>
              </w:rPr>
              <w:fldChar w:fldCharType="end"/>
            </w:r>
          </w:hyperlink>
        </w:p>
        <w:p w:rsidR="00767EF5" w:rsidRDefault="00494D13" w14:paraId="6E1FC70B" w14:textId="05A435FC">
          <w:pPr>
            <w:pStyle w:val="TOC1"/>
            <w:rPr>
              <w:rFonts w:asciiTheme="minorHAnsi" w:hAnsiTheme="minorHAnsi" w:eastAsiaTheme="minorEastAsia"/>
              <w:bCs w:val="0"/>
              <w:sz w:val="22"/>
              <w:lang w:val="en-US" w:bidi="hi-x-bh-SDL"/>
            </w:rPr>
          </w:pPr>
          <w:hyperlink w:history="1" w:anchor="_Toc157768470">
            <w:r w:rsidRPr="001A3311" w:rsidR="00767EF5">
              <w:rPr>
                <w:rStyle w:val="Hyperlink"/>
                <w14:scene3d>
                  <w14:camera w14:prst="orthographicFront"/>
                  <w14:lightRig w14:rig="threePt" w14:dir="t">
                    <w14:rot w14:lat="0" w14:lon="0" w14:rev="0"/>
                  </w14:lightRig>
                </w14:scene3d>
              </w:rPr>
              <w:t>5.</w:t>
            </w:r>
            <w:r w:rsidR="00767EF5">
              <w:rPr>
                <w:rFonts w:asciiTheme="minorHAnsi" w:hAnsiTheme="minorHAnsi" w:eastAsiaTheme="minorEastAsia"/>
                <w:bCs w:val="0"/>
                <w:sz w:val="22"/>
                <w:lang w:val="en-US" w:bidi="hi-x-bh-SDL"/>
              </w:rPr>
              <w:tab/>
            </w:r>
            <w:r w:rsidRPr="001A3311" w:rsidR="00767EF5">
              <w:rPr>
                <w:rStyle w:val="Hyperlink"/>
                <w:b/>
              </w:rPr>
              <w:t>TRANSPORTER, ENERGI, INFRASTRUKTUR OCH INFORMATIONSSAMHÄLLET</w:t>
            </w:r>
            <w:r w:rsidR="00767EF5">
              <w:rPr>
                <w:webHidden/>
              </w:rPr>
              <w:tab/>
            </w:r>
            <w:r w:rsidR="00767EF5">
              <w:rPr>
                <w:webHidden/>
              </w:rPr>
              <w:fldChar w:fldCharType="begin"/>
            </w:r>
            <w:r w:rsidR="00767EF5">
              <w:rPr>
                <w:webHidden/>
              </w:rPr>
              <w:instrText xml:space="preserve"> PAGEREF _Toc157768470 \h </w:instrText>
            </w:r>
            <w:r w:rsidR="00767EF5">
              <w:rPr>
                <w:webHidden/>
              </w:rPr>
            </w:r>
            <w:r w:rsidR="00767EF5">
              <w:rPr>
                <w:webHidden/>
              </w:rPr>
              <w:fldChar w:fldCharType="separate"/>
            </w:r>
            <w:r w:rsidR="00767EF5">
              <w:rPr>
                <w:webHidden/>
              </w:rPr>
              <w:t>17</w:t>
            </w:r>
            <w:r w:rsidR="00767EF5">
              <w:rPr>
                <w:webHidden/>
              </w:rPr>
              <w:fldChar w:fldCharType="end"/>
            </w:r>
          </w:hyperlink>
        </w:p>
        <w:p w:rsidRPr="00544D95" w:rsidR="00544D95" w:rsidP="00544D95" w:rsidRDefault="00544D95" w14:paraId="589C47D7" w14:textId="5423D686">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768443" w:id="0"/>
      <w:r>
        <w:rPr>
          <w:b/>
        </w:rPr>
        <w:lastRenderedPageBreak/>
        <w:t>EKONOMISKA OCH MONETÄRA UNIONEN, EKONOMISK OCH SOCIAL SAMMANHÅLLNING</w:t>
      </w:r>
      <w:bookmarkEnd w:id="0"/>
    </w:p>
    <w:p w:rsidRPr="00EE2FBD" w:rsidR="00B807B4" w:rsidP="00C83487" w:rsidRDefault="00B807B4" w14:paraId="3CAC710B" w14:textId="11524E6A">
      <w:pPr>
        <w:pStyle w:val="Heading1"/>
        <w:numPr>
          <w:ilvl w:val="0"/>
          <w:numId w:val="0"/>
        </w:numPr>
        <w:spacing w:before="0"/>
        <w:ind w:left="930"/>
        <w:rPr>
          <w:b/>
          <w:bCs/>
        </w:rPr>
      </w:pPr>
    </w:p>
    <w:p w:rsidRPr="00126CEB" w:rsidR="00126CEB" w:rsidP="000E5EDB" w:rsidRDefault="00494D13" w14:paraId="232120CA" w14:textId="3EB29E48">
      <w:pPr>
        <w:widowControl w:val="0"/>
        <w:numPr>
          <w:ilvl w:val="0"/>
          <w:numId w:val="2"/>
        </w:numPr>
        <w:overflowPunct w:val="0"/>
        <w:autoSpaceDE w:val="0"/>
        <w:autoSpaceDN w:val="0"/>
        <w:adjustRightInd w:val="0"/>
        <w:ind w:hanging="425"/>
        <w:textAlignment w:val="baseline"/>
        <w:rPr>
          <w:sz w:val="20"/>
          <w:szCs w:val="20"/>
        </w:rPr>
      </w:pPr>
      <w:hyperlink w:history="1" r:id="rId20">
        <w:r w:rsidR="00767EF5">
          <w:rPr>
            <w:b/>
            <w:i/>
            <w:color w:val="0000FF"/>
            <w:sz w:val="28"/>
            <w:u w:val="single"/>
          </w:rPr>
          <w:t>Inrättande av ett huvudkontorsbaserat skattesystem för små och medelstora företag</w:t>
        </w:r>
      </w:hyperlink>
      <w:r w:rsidR="002F07C4">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126CEB" w:rsidR="00126CEB" w:rsidP="00126CEB" w:rsidRDefault="00126CEB" w14:paraId="54D0AAF8" w14:textId="0710242A">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(Arbetsgivargruppen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Referenser</w:t>
            </w:r>
          </w:p>
        </w:tc>
        <w:tc>
          <w:tcPr>
            <w:tcW w:w="7479" w:type="dxa"/>
          </w:tcPr>
          <w:p w:rsidRPr="00126CEB" w:rsidR="00126CEB" w:rsidP="00126CEB" w:rsidRDefault="00126CEB" w14:paraId="55EDF860" w14:textId="176D8C2B">
            <w:pPr>
              <w:tabs>
                <w:tab w:val="center" w:pos="284"/>
              </w:tabs>
              <w:overflowPunct w:val="0"/>
              <w:autoSpaceDE w:val="0"/>
              <w:autoSpaceDN w:val="0"/>
              <w:adjustRightInd w:val="0"/>
              <w:ind w:left="266" w:hanging="266"/>
              <w:textAlignment w:val="baseline"/>
            </w:pPr>
            <w:r>
              <w:t>COM(2023) 528 final</w:t>
            </w:r>
          </w:p>
          <w:p w:rsidRPr="00126CEB" w:rsidR="00126CEB" w:rsidP="00126CEB" w:rsidRDefault="00126CEB" w14:paraId="255E70E4" w14:textId="60A6FCF9">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0E5EDB"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1"/>
      <w:bookmarkStart w:name="_Toc157768444" w:id="2"/>
      <w:r>
        <w:t>EESK stöder till fullo kommissionens förslag om att inrätta ett huvudkontorsbaserat skattesystem för mikroföretag samt små och medelstora företag, liksom även förslagets mål, eftersom dessa går ut på att stärka dessa företag, förenkla deras gränsöverskridande verksamhet och minska de administrativa och finansiella hindren, och därigenom öka dessa företags konkurrenskraft generellt.</w:t>
      </w:r>
      <w:bookmarkEnd w:id="1"/>
      <w:bookmarkEnd w:id="2"/>
    </w:p>
    <w:p w:rsidRPr="00126CEB" w:rsidR="00126CEB" w:rsidP="000E5EDB" w:rsidRDefault="00126CEB" w14:paraId="7E3C2B4F" w14:textId="65048028">
      <w:pPr>
        <w:numPr>
          <w:ilvl w:val="0"/>
          <w:numId w:val="33"/>
        </w:numPr>
        <w:overflowPunct w:val="0"/>
        <w:autoSpaceDE w:val="0"/>
        <w:autoSpaceDN w:val="0"/>
        <w:adjustRightInd w:val="0"/>
        <w:ind w:left="567" w:hanging="567"/>
        <w:textAlignment w:val="baseline"/>
        <w:outlineLvl w:val="1"/>
        <w:rPr>
          <w:szCs w:val="20"/>
        </w:rPr>
      </w:pPr>
      <w:bookmarkStart w:name="_Toc157076137" w:id="3"/>
      <w:bookmarkStart w:name="_Toc157768445" w:id="4"/>
      <w:r>
        <w:t>Antagandet av förslaget om ett huvudkontorsbaserat skattesystem kommer att medföra ett stort mervärde för företag och anställda samt för unionens medlemsstater. Minskningen av den administrativa bördan för mikroföretag samt små och medelstora företag kommer att medföra större konkurrensfördelar för deras dagliga verksamhet.</w:t>
      </w:r>
      <w:bookmarkEnd w:id="3"/>
      <w:bookmarkEnd w:id="4"/>
    </w:p>
    <w:p w:rsidRPr="00126CEB" w:rsidR="00126CEB" w:rsidP="000E5EDB" w:rsidRDefault="00126CEB" w14:paraId="655676B9" w14:textId="29308207">
      <w:pPr>
        <w:numPr>
          <w:ilvl w:val="0"/>
          <w:numId w:val="33"/>
        </w:numPr>
        <w:overflowPunct w:val="0"/>
        <w:autoSpaceDE w:val="0"/>
        <w:autoSpaceDN w:val="0"/>
        <w:adjustRightInd w:val="0"/>
        <w:ind w:left="567" w:hanging="567"/>
        <w:textAlignment w:val="baseline"/>
        <w:outlineLvl w:val="1"/>
        <w:rPr>
          <w:szCs w:val="20"/>
        </w:rPr>
      </w:pPr>
      <w:bookmarkStart w:name="_Toc157076138" w:id="5"/>
      <w:bookmarkStart w:name="_Toc157768446" w:id="6"/>
      <w:r>
        <w:t>Kommissionens förslag om ett huvudkontorsbaserat skattesystem bör antas snarast i syfte att öka tillväxten för mikroföretag samt små och medelstora företag och främja lika villkor för deltagande av sådana företag med gränsöverskridande verksamhet på den inre marknaden, och på så sätt bidra till långsiktig tillväxt av BNP och ökad sysselsättning.</w:t>
      </w:r>
      <w:bookmarkEnd w:id="5"/>
      <w:bookmarkEnd w:id="6"/>
    </w:p>
    <w:p w:rsidRPr="00126CEB" w:rsidR="00126CEB" w:rsidP="000E5EDB" w:rsidRDefault="00126CEB" w14:paraId="41158F51" w14:textId="67F484B6">
      <w:pPr>
        <w:numPr>
          <w:ilvl w:val="0"/>
          <w:numId w:val="33"/>
        </w:numPr>
        <w:overflowPunct w:val="0"/>
        <w:autoSpaceDE w:val="0"/>
        <w:autoSpaceDN w:val="0"/>
        <w:adjustRightInd w:val="0"/>
        <w:ind w:left="567" w:hanging="567"/>
        <w:textAlignment w:val="baseline"/>
        <w:outlineLvl w:val="1"/>
        <w:rPr>
          <w:szCs w:val="20"/>
        </w:rPr>
      </w:pPr>
      <w:bookmarkStart w:name="_Toc157076139" w:id="7"/>
      <w:bookmarkStart w:name="_Toc157768447" w:id="8"/>
      <w:r>
        <w:t>EESK anser att det huvudkontorsbaserade skattesystemet kommer att öka och förbättra samarbetet mellan medlemsstaternas skattemyndigheter. Samarbete mellan dem är avgörande för ett framgångsrikt och meningsfullt genomförande av det föreslagna huvudkontorsbaserade skattesystemet och för att de fastställda målen ska kunna uppnås.</w:t>
      </w:r>
      <w:bookmarkEnd w:id="7"/>
      <w:bookmarkEnd w:id="8"/>
    </w:p>
    <w:p w:rsidRPr="00126CEB" w:rsidR="00126CEB" w:rsidP="000E5EDB" w:rsidRDefault="00126CEB" w14:paraId="7327F6C8" w14:textId="0CE6C7C3">
      <w:pPr>
        <w:numPr>
          <w:ilvl w:val="0"/>
          <w:numId w:val="33"/>
        </w:numPr>
        <w:overflowPunct w:val="0"/>
        <w:autoSpaceDE w:val="0"/>
        <w:autoSpaceDN w:val="0"/>
        <w:adjustRightInd w:val="0"/>
        <w:ind w:left="567" w:hanging="567"/>
        <w:textAlignment w:val="baseline"/>
        <w:outlineLvl w:val="1"/>
        <w:rPr>
          <w:szCs w:val="20"/>
        </w:rPr>
      </w:pPr>
      <w:bookmarkStart w:name="_Toc157076140" w:id="9"/>
      <w:bookmarkStart w:name="_Toc157768448" w:id="10"/>
      <w:r>
        <w:t>Kommissionen uppmanas att efter antagandet av förslaget bedriva ett nära samarbete med medlemsstaterna och organisationer som företräder mikroföretag samt små och medelstora företag för att sprida kunskap om den tillgängliga bolagsbeskattningsmekanismen bland mikroföretag och små och medelstora företag i syfte att bättre uppnå målen att minska regelbördan, öka den gränsöverskridande verksamheten och fullt ut utnyttja fördelarna med den inre marknaden.</w:t>
      </w:r>
      <w:bookmarkEnd w:id="9"/>
      <w:bookmarkEnd w:id="10"/>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r>
              <w:rPr>
                <w:i/>
              </w:rPr>
              <w:t xml:space="preserve">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Tfn</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Tfn +32 25469628</w:t>
            </w:r>
          </w:p>
        </w:tc>
      </w:tr>
      <w:tr w:rsidRPr="00126CEB" w:rsidR="00126CEB" w:rsidTr="00F655B8" w14:paraId="6A7E9917" w14:textId="77777777">
        <w:tc>
          <w:tcPr>
            <w:tcW w:w="1418" w:type="dxa"/>
          </w:tcPr>
          <w:p w:rsidRPr="00126CEB" w:rsidR="00126CEB" w:rsidP="00126CEB" w:rsidRDefault="001F11A4" w14:paraId="6FBCCB68" w14:textId="3B0D3232">
            <w:pPr>
              <w:overflowPunct w:val="0"/>
              <w:autoSpaceDE w:val="0"/>
              <w:autoSpaceDN w:val="0"/>
              <w:adjustRightInd w:val="0"/>
              <w:spacing w:line="240" w:lineRule="auto"/>
              <w:textAlignment w:val="baseline"/>
              <w:rPr>
                <w:i/>
              </w:rPr>
            </w:pPr>
            <w:r>
              <w:rPr>
                <w:i/>
              </w:rPr>
              <w:t>E-post:</w:t>
            </w:r>
          </w:p>
        </w:tc>
        <w:tc>
          <w:tcPr>
            <w:tcW w:w="5670" w:type="dxa"/>
          </w:tcPr>
          <w:p w:rsidRPr="00C83487" w:rsidR="00126CEB" w:rsidP="00126CEB" w:rsidRDefault="00494D13" w14:paraId="40D946D1" w14:textId="201B9EAD">
            <w:pPr>
              <w:overflowPunct w:val="0"/>
              <w:autoSpaceDE w:val="0"/>
              <w:autoSpaceDN w:val="0"/>
              <w:adjustRightInd w:val="0"/>
              <w:spacing w:line="240" w:lineRule="auto"/>
              <w:textAlignment w:val="baseline"/>
              <w:rPr>
                <w:i/>
                <w:iCs/>
              </w:rPr>
            </w:pPr>
            <w:hyperlink w:history="1" r:id="rId21">
              <w:r w:rsidR="002F07C4">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494D13" w14:paraId="4661A989" w14:textId="60BEDC41">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767EF5">
          <w:rPr>
            <w:b/>
            <w:i/>
            <w:color w:val="0000FF"/>
            <w:sz w:val="28"/>
            <w:u w:val="single"/>
          </w:rPr>
          <w:t>Den ekonomiska politiken i euroområdet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r>
              <w:t xml:space="preserve">Konstantinos </w:t>
            </w:r>
            <w:proofErr w:type="spellStart"/>
            <w:r>
              <w:t>Diamantouros</w:t>
            </w:r>
            <w:proofErr w:type="spellEnd"/>
            <w:r>
              <w:t xml:space="preserve"> (EL–I)</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Referenser</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COM(2023) 903 final</w:t>
            </w:r>
          </w:p>
          <w:p w:rsidRPr="002435FB" w:rsidR="002435FB" w:rsidP="002435FB" w:rsidRDefault="002435FB" w14:paraId="4D3CD881" w14:textId="54643070">
            <w:pPr>
              <w:tabs>
                <w:tab w:val="center" w:pos="284"/>
              </w:tabs>
              <w:overflowPunct w:val="0"/>
              <w:autoSpaceDE w:val="0"/>
              <w:autoSpaceDN w:val="0"/>
              <w:adjustRightInd w:val="0"/>
              <w:textAlignment w:val="baseline"/>
            </w:pPr>
            <w:r>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0E5EDB"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Huvudpunkter</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0E5EDB" w:rsidRDefault="002435FB" w14:paraId="41A4E45B" w14:textId="77777777">
      <w:pPr>
        <w:overflowPunct w:val="0"/>
        <w:autoSpaceDE w:val="0"/>
        <w:autoSpaceDN w:val="0"/>
        <w:adjustRightInd w:val="0"/>
        <w:ind w:left="425" w:hanging="283"/>
        <w:textAlignment w:val="baseline"/>
        <w:rPr>
          <w:bCs/>
          <w:iCs/>
          <w:highlight w:val="yellow"/>
        </w:rPr>
      </w:pPr>
      <w:proofErr w:type="spellStart"/>
      <w:r>
        <w:t>EESK:s</w:t>
      </w:r>
      <w:proofErr w:type="spellEnd"/>
      <w:r>
        <w:t xml:space="preserve"> ståndpunkt:</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2435FB" w:rsidR="002435FB" w:rsidP="000E5EDB"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11"/>
      <w:bookmarkStart w:name="_Toc157768449" w:id="12"/>
      <w:r>
        <w:t>EESK välkomnar kommissionens rekommendationer för euroområdet och ställer sig till största delen bakom dessa samt kommissionens bedömning av den rådande ekonomiska situationen.</w:t>
      </w:r>
      <w:bookmarkEnd w:id="11"/>
      <w:bookmarkEnd w:id="12"/>
      <w:r>
        <w:t xml:space="preserve"> </w:t>
      </w:r>
    </w:p>
    <w:p w:rsidRPr="002435FB" w:rsidR="002435FB" w:rsidP="000E5EDB" w:rsidRDefault="002435FB" w14:paraId="79D8B48A" w14:textId="70E02FC7">
      <w:pPr>
        <w:numPr>
          <w:ilvl w:val="0"/>
          <w:numId w:val="34"/>
        </w:numPr>
        <w:overflowPunct w:val="0"/>
        <w:autoSpaceDE w:val="0"/>
        <w:autoSpaceDN w:val="0"/>
        <w:adjustRightInd w:val="0"/>
        <w:ind w:left="567" w:hanging="567"/>
        <w:textAlignment w:val="baseline"/>
        <w:outlineLvl w:val="1"/>
        <w:rPr>
          <w:szCs w:val="20"/>
        </w:rPr>
      </w:pPr>
      <w:bookmarkStart w:name="_Toc157076142" w:id="13"/>
      <w:bookmarkStart w:name="_Toc157768450" w:id="14"/>
      <w:r>
        <w:t>EESK uppmanar Europeiska centralbanken (ECB) att anta en tillsynsstrategi som bygger på en dynamisk och datadriven penningpolitik för att föra inflationen ännu närmare målet, och uttrycker sitt stöd för en fortsatt samordning av medlemsstaternas finanspolitik med ECB:s penningpolitik.</w:t>
      </w:r>
      <w:bookmarkEnd w:id="13"/>
      <w:bookmarkEnd w:id="14"/>
    </w:p>
    <w:p w:rsidRPr="002435FB" w:rsidR="002435FB" w:rsidP="000E5EDB" w:rsidRDefault="002435FB" w14:paraId="0992FDE2" w14:textId="444BEB88">
      <w:pPr>
        <w:numPr>
          <w:ilvl w:val="0"/>
          <w:numId w:val="34"/>
        </w:numPr>
        <w:overflowPunct w:val="0"/>
        <w:autoSpaceDE w:val="0"/>
        <w:autoSpaceDN w:val="0"/>
        <w:adjustRightInd w:val="0"/>
        <w:ind w:left="567" w:hanging="567"/>
        <w:textAlignment w:val="baseline"/>
        <w:outlineLvl w:val="1"/>
        <w:rPr>
          <w:szCs w:val="20"/>
        </w:rPr>
      </w:pPr>
      <w:bookmarkStart w:name="_Toc157076143" w:id="15"/>
      <w:bookmarkStart w:name="_Toc157768451" w:id="16"/>
      <w:r>
        <w:t>Kommittén stöder kommissionens uppmaning till budgetkonsolidering, och uppmanar medlemsstaterna att nå en överenskommelse om reformen av stabilitets- och tillväxtpakten före årets slut.</w:t>
      </w:r>
      <w:bookmarkEnd w:id="15"/>
      <w:bookmarkEnd w:id="16"/>
    </w:p>
    <w:p w:rsidRPr="002435FB" w:rsidR="002435FB" w:rsidP="000E5EDB" w:rsidRDefault="002435FB" w14:paraId="6722825E" w14:textId="7AE01381">
      <w:pPr>
        <w:numPr>
          <w:ilvl w:val="0"/>
          <w:numId w:val="34"/>
        </w:numPr>
        <w:overflowPunct w:val="0"/>
        <w:autoSpaceDE w:val="0"/>
        <w:autoSpaceDN w:val="0"/>
        <w:adjustRightInd w:val="0"/>
        <w:ind w:left="567" w:hanging="567"/>
        <w:textAlignment w:val="baseline"/>
        <w:outlineLvl w:val="1"/>
        <w:rPr>
          <w:szCs w:val="20"/>
        </w:rPr>
      </w:pPr>
      <w:bookmarkStart w:name="_Toc157076144" w:id="17"/>
      <w:bookmarkStart w:name="_Toc157768452" w:id="18"/>
      <w:r>
        <w:t>Kommittén välkomnar kommissionens rekommendation till medlemsstaterna att i enlighet med nationell praxis och med respekt för arbetsmarknadsparternas roller främja en löneutveckling som mildrar köpkraftsförluster, särskilt för låginkomsttagare, men samtidigt ta hänsyn till konkurrenskraftsutvecklingen och undvika att det uppstår permanenta skillnader inom euroområdet.</w:t>
      </w:r>
      <w:bookmarkEnd w:id="17"/>
      <w:bookmarkEnd w:id="18"/>
    </w:p>
    <w:p w:rsidRPr="002435FB" w:rsidR="002435FB" w:rsidP="000E5EDB" w:rsidRDefault="002435FB" w14:paraId="31F043FD" w14:textId="5F4A8B7F">
      <w:pPr>
        <w:numPr>
          <w:ilvl w:val="0"/>
          <w:numId w:val="34"/>
        </w:numPr>
        <w:overflowPunct w:val="0"/>
        <w:autoSpaceDE w:val="0"/>
        <w:autoSpaceDN w:val="0"/>
        <w:adjustRightInd w:val="0"/>
        <w:ind w:left="567" w:hanging="567"/>
        <w:textAlignment w:val="baseline"/>
        <w:outlineLvl w:val="1"/>
        <w:rPr>
          <w:i/>
          <w:iCs/>
          <w:szCs w:val="20"/>
        </w:rPr>
      </w:pPr>
      <w:bookmarkStart w:name="_Toc157076145" w:id="19"/>
      <w:bookmarkStart w:name="_Toc157768453" w:id="20"/>
      <w:r>
        <w:t>EESK välkomnar lanseringen av EU-talangreserven, och upprepar att det är viktigt att rekommendationerna i rapporten ”</w:t>
      </w:r>
      <w:proofErr w:type="spellStart"/>
      <w:r>
        <w:t>Employment</w:t>
      </w:r>
      <w:proofErr w:type="spellEnd"/>
      <w:r>
        <w:t xml:space="preserve"> and Social </w:t>
      </w:r>
      <w:proofErr w:type="spellStart"/>
      <w:r>
        <w:t>Developments</w:t>
      </w:r>
      <w:proofErr w:type="spellEnd"/>
      <w:r>
        <w:t xml:space="preserve"> in </w:t>
      </w:r>
      <w:proofErr w:type="spellStart"/>
      <w:r>
        <w:t>Europe</w:t>
      </w:r>
      <w:proofErr w:type="spellEnd"/>
      <w:r>
        <w:t xml:space="preserve">: </w:t>
      </w:r>
      <w:proofErr w:type="spellStart"/>
      <w:r>
        <w:t>Addressing</w:t>
      </w:r>
      <w:proofErr w:type="spellEnd"/>
      <w:r>
        <w:t xml:space="preserve"> </w:t>
      </w:r>
      <w:proofErr w:type="spellStart"/>
      <w:r>
        <w:t>labour</w:t>
      </w:r>
      <w:proofErr w:type="spellEnd"/>
      <w:r>
        <w:t xml:space="preserve"> </w:t>
      </w:r>
      <w:proofErr w:type="spellStart"/>
      <w:r>
        <w:t>shortages</w:t>
      </w:r>
      <w:proofErr w:type="spellEnd"/>
      <w:r>
        <w:t xml:space="preserve"> and </w:t>
      </w:r>
      <w:proofErr w:type="spellStart"/>
      <w:r>
        <w:t>skills</w:t>
      </w:r>
      <w:proofErr w:type="spellEnd"/>
      <w:r>
        <w:t xml:space="preserve"> gaps in the EU” genomförs.</w:t>
      </w:r>
      <w:bookmarkEnd w:id="19"/>
      <w:bookmarkEnd w:id="20"/>
    </w:p>
    <w:p w:rsidRPr="002435FB" w:rsidR="002435FB" w:rsidP="000E5EDB" w:rsidRDefault="002435FB" w14:paraId="696D13B4" w14:textId="28F1227C">
      <w:pPr>
        <w:numPr>
          <w:ilvl w:val="0"/>
          <w:numId w:val="34"/>
        </w:numPr>
        <w:overflowPunct w:val="0"/>
        <w:autoSpaceDE w:val="0"/>
        <w:autoSpaceDN w:val="0"/>
        <w:adjustRightInd w:val="0"/>
        <w:ind w:left="567" w:hanging="567"/>
        <w:textAlignment w:val="baseline"/>
        <w:outlineLvl w:val="1"/>
        <w:rPr>
          <w:szCs w:val="20"/>
        </w:rPr>
      </w:pPr>
      <w:bookmarkStart w:name="_Toc157076146" w:id="21"/>
      <w:bookmarkStart w:name="_Toc157768454" w:id="22"/>
      <w:r>
        <w:t>Kommittén anser att kapitalmarknadsunionen bör fullbordas i syfte att undanröja befintliga hinder för att tillgodose investeringsbehoven för en rättvis och inkluderande grön och digital omställning.</w:t>
      </w:r>
      <w:bookmarkEnd w:id="21"/>
      <w:bookmarkEnd w:id="22"/>
    </w:p>
    <w:p w:rsidRPr="002435FB" w:rsidR="002435FB" w:rsidP="000E5EDB" w:rsidRDefault="002435FB" w14:paraId="1899D595" w14:textId="3600A846">
      <w:pPr>
        <w:numPr>
          <w:ilvl w:val="0"/>
          <w:numId w:val="34"/>
        </w:numPr>
        <w:overflowPunct w:val="0"/>
        <w:autoSpaceDE w:val="0"/>
        <w:autoSpaceDN w:val="0"/>
        <w:adjustRightInd w:val="0"/>
        <w:ind w:left="567" w:hanging="567"/>
        <w:textAlignment w:val="baseline"/>
        <w:outlineLvl w:val="1"/>
        <w:rPr>
          <w:szCs w:val="20"/>
        </w:rPr>
      </w:pPr>
      <w:bookmarkStart w:name="_Toc157076147" w:id="23"/>
      <w:bookmarkStart w:name="_Toc157768455" w:id="24"/>
      <w:r>
        <w:t>EESK betonar vikten av att bankunionen fullbordas och den tredje pelare som saknas, det europeiska insättningsgarantisystemet, inrättas.</w:t>
      </w:r>
      <w:bookmarkEnd w:id="23"/>
      <w:bookmarkEnd w:id="24"/>
    </w:p>
    <w:p w:rsidRPr="002435FB" w:rsidR="002435FB" w:rsidP="000E5EDB" w:rsidRDefault="002435FB" w14:paraId="60A36BE6" w14:textId="5186E800">
      <w:pPr>
        <w:numPr>
          <w:ilvl w:val="0"/>
          <w:numId w:val="34"/>
        </w:numPr>
        <w:overflowPunct w:val="0"/>
        <w:autoSpaceDE w:val="0"/>
        <w:autoSpaceDN w:val="0"/>
        <w:adjustRightInd w:val="0"/>
        <w:ind w:left="567" w:hanging="567"/>
        <w:textAlignment w:val="baseline"/>
        <w:outlineLvl w:val="1"/>
        <w:rPr>
          <w:szCs w:val="20"/>
        </w:rPr>
      </w:pPr>
      <w:bookmarkStart w:name="_Toc157076148" w:id="25"/>
      <w:bookmarkStart w:name="_Toc157768456" w:id="26"/>
      <w:r>
        <w:t>Kommittén efterlyser framsteg med reformen av elmarknaden och med energiunionen genom lagstiftning och investeringar i energiinfrastruktur och sammanlänkningar. Det handlar om mycket viktiga steg mot att sänka hushållens energikostnader och samtidigt förbättra de europeiska företagens konkurrenskraft.</w:t>
      </w:r>
      <w:bookmarkEnd w:id="25"/>
      <w:bookmarkEnd w:id="26"/>
      <w:r>
        <w:t xml:space="preserve"> </w:t>
      </w:r>
    </w:p>
    <w:p w:rsidRPr="002435FB" w:rsidR="002435FB" w:rsidP="000E5EDB" w:rsidRDefault="002435FB" w14:paraId="786F4E49" w14:textId="692AD56E">
      <w:pPr>
        <w:numPr>
          <w:ilvl w:val="0"/>
          <w:numId w:val="34"/>
        </w:numPr>
        <w:overflowPunct w:val="0"/>
        <w:autoSpaceDE w:val="0"/>
        <w:autoSpaceDN w:val="0"/>
        <w:adjustRightInd w:val="0"/>
        <w:ind w:left="567" w:hanging="567"/>
        <w:textAlignment w:val="baseline"/>
        <w:outlineLvl w:val="1"/>
        <w:rPr>
          <w:szCs w:val="20"/>
        </w:rPr>
      </w:pPr>
      <w:bookmarkStart w:name="_Toc157076149" w:id="27"/>
      <w:bookmarkStart w:name="_Toc157768457" w:id="28"/>
      <w:r>
        <w:t>Kommittén anser att en EU-lösning för att stärka de europeiska företagens långsiktiga konkurrenskraft som inte undergräver den inre marknaden är av avgörande betydelse. EESK bekräftar därför sitt stöd för den europeiska plattformen för strategisk teknik, och upprepar sin uppmaning till kommissionen om att inrätta gemensamma instrument för detta ändamål.</w:t>
      </w:r>
      <w:bookmarkEnd w:id="27"/>
      <w:bookmarkEnd w:id="28"/>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593"/>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Kontaktperson:</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Tfn</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Tfn +32 25469740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E-post:</w:t>
            </w:r>
          </w:p>
        </w:tc>
        <w:tc>
          <w:tcPr>
            <w:tcW w:w="5670" w:type="dxa"/>
          </w:tcPr>
          <w:p w:rsidRPr="00C83487" w:rsidR="002435FB" w:rsidP="002435FB" w:rsidRDefault="00494D13" w14:paraId="6D8AA2A8" w14:textId="3DD28C1F">
            <w:pPr>
              <w:keepNext/>
              <w:keepLines/>
              <w:overflowPunct w:val="0"/>
              <w:autoSpaceDE w:val="0"/>
              <w:autoSpaceDN w:val="0"/>
              <w:adjustRightInd w:val="0"/>
              <w:spacing w:line="240" w:lineRule="auto"/>
              <w:textAlignment w:val="baseline"/>
              <w:rPr>
                <w:i/>
                <w:iCs/>
              </w:rPr>
            </w:pPr>
            <w:hyperlink w:history="1" r:id="rId23">
              <w:r w:rsidR="002F07C4">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29"/>
      <w:bookmarkStart w:name="_Toc153539680" w:id="30"/>
      <w:bookmarkStart w:name="_Toc157768458" w:id="31"/>
      <w:bookmarkEnd w:id="29"/>
      <w:r>
        <w:rPr>
          <w:b/>
        </w:rPr>
        <w:lastRenderedPageBreak/>
        <w:t>INRE MARKNADEN, PRODUKTION OCH KONSUMTION</w:t>
      </w:r>
      <w:bookmarkEnd w:id="30"/>
      <w:bookmarkEnd w:id="31"/>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Bekämpning av sexuella övergrepp mot barn på nätet</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0E5EDB"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Referenser</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Kategori C-yttrande</w:t>
            </w:r>
          </w:p>
          <w:p w:rsidRPr="00DC121F" w:rsidR="00DC121F" w:rsidP="000E5EDB" w:rsidRDefault="00DC121F" w14:paraId="373F352E" w14:textId="495EFA22">
            <w:pPr>
              <w:tabs>
                <w:tab w:val="center" w:pos="284"/>
              </w:tabs>
              <w:overflowPunct w:val="0"/>
              <w:autoSpaceDE w:val="0"/>
              <w:autoSpaceDN w:val="0"/>
              <w:adjustRightInd w:val="0"/>
              <w:ind w:left="266" w:hanging="376"/>
              <w:textAlignment w:val="baseline"/>
            </w:pPr>
            <w:r>
              <w:t>COM(2023) 777 final</w:t>
            </w:r>
          </w:p>
        </w:tc>
      </w:tr>
      <w:tr w:rsidRPr="00DC121F" w:rsidR="00DC121F" w:rsidTr="00C83487" w14:paraId="59903D0F" w14:textId="77777777">
        <w:tc>
          <w:tcPr>
            <w:tcW w:w="1701" w:type="dxa"/>
            <w:vMerge/>
          </w:tcPr>
          <w:p w:rsidRPr="00DC121F" w:rsidR="00DC121F" w:rsidP="000E5EDB"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0E5EDB"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EESK beslutade att avge ett positivt yttrande om förslaget.</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0E5EDB" w:rsidRDefault="00DC121F" w14:paraId="08A41DF2" w14:textId="77777777">
            <w:pPr>
              <w:overflowPunct w:val="0"/>
              <w:autoSpaceDE w:val="0"/>
              <w:autoSpaceDN w:val="0"/>
              <w:adjustRightInd w:val="0"/>
              <w:spacing w:line="240" w:lineRule="auto"/>
              <w:ind w:hanging="110"/>
              <w:textAlignment w:val="baseline"/>
              <w:rPr>
                <w:i/>
              </w:rPr>
            </w:pPr>
            <w:r>
              <w:rPr>
                <w:b/>
                <w:i/>
              </w:rPr>
              <w:t>Kontaktperson:</w:t>
            </w:r>
          </w:p>
        </w:tc>
        <w:tc>
          <w:tcPr>
            <w:tcW w:w="5670" w:type="dxa"/>
          </w:tcPr>
          <w:p w:rsidRPr="00DC121F" w:rsidR="00DC121F" w:rsidP="000E5EDB" w:rsidRDefault="00DC121F" w14:paraId="1B1D7048" w14:textId="77777777">
            <w:pPr>
              <w:overflowPunct w:val="0"/>
              <w:autoSpaceDE w:val="0"/>
              <w:autoSpaceDN w:val="0"/>
              <w:adjustRightInd w:val="0"/>
              <w:spacing w:line="240" w:lineRule="auto"/>
              <w:ind w:hanging="110"/>
              <w:textAlignment w:val="baseline"/>
              <w:rPr>
                <w:i/>
              </w:rPr>
            </w:pPr>
            <w:r>
              <w:rPr>
                <w:i/>
              </w:rPr>
              <w:t xml:space="preserve">Alice </w:t>
            </w:r>
            <w:proofErr w:type="spellStart"/>
            <w:r>
              <w:rPr>
                <w:i/>
              </w:rPr>
              <w:t>Tétu</w:t>
            </w:r>
            <w:proofErr w:type="spellEnd"/>
          </w:p>
        </w:tc>
      </w:tr>
      <w:tr w:rsidRPr="00DC121F" w:rsidR="00DC121F" w:rsidTr="00F655B8" w14:paraId="2F7D7C01" w14:textId="77777777">
        <w:tc>
          <w:tcPr>
            <w:tcW w:w="1418" w:type="dxa"/>
          </w:tcPr>
          <w:p w:rsidRPr="00DC121F" w:rsidR="00DC121F" w:rsidP="000E5EDB" w:rsidRDefault="00DC121F" w14:paraId="094140E7" w14:textId="77777777">
            <w:pPr>
              <w:overflowPunct w:val="0"/>
              <w:autoSpaceDE w:val="0"/>
              <w:autoSpaceDN w:val="0"/>
              <w:adjustRightInd w:val="0"/>
              <w:spacing w:line="240" w:lineRule="auto"/>
              <w:ind w:hanging="110"/>
              <w:textAlignment w:val="baseline"/>
              <w:rPr>
                <w:i/>
              </w:rPr>
            </w:pPr>
            <w:r>
              <w:rPr>
                <w:i/>
              </w:rPr>
              <w:t>Tfn</w:t>
            </w:r>
          </w:p>
        </w:tc>
        <w:tc>
          <w:tcPr>
            <w:tcW w:w="5670" w:type="dxa"/>
          </w:tcPr>
          <w:p w:rsidRPr="00DC121F" w:rsidR="00DC121F" w:rsidP="000E5EDB" w:rsidRDefault="00DC121F" w14:paraId="276381F6" w14:textId="77777777">
            <w:pPr>
              <w:overflowPunct w:val="0"/>
              <w:autoSpaceDE w:val="0"/>
              <w:autoSpaceDN w:val="0"/>
              <w:adjustRightInd w:val="0"/>
              <w:spacing w:line="240" w:lineRule="auto"/>
              <w:ind w:hanging="110"/>
              <w:textAlignment w:val="baseline"/>
              <w:rPr>
                <w:i/>
              </w:rPr>
            </w:pPr>
            <w:r>
              <w:rPr>
                <w:i/>
              </w:rPr>
              <w:t>Tfn +32 25468286</w:t>
            </w:r>
          </w:p>
        </w:tc>
      </w:tr>
      <w:tr w:rsidRPr="00DC121F" w:rsidR="00DC121F" w:rsidTr="00F655B8" w14:paraId="59D0574A" w14:textId="77777777">
        <w:tc>
          <w:tcPr>
            <w:tcW w:w="1418" w:type="dxa"/>
          </w:tcPr>
          <w:p w:rsidRPr="00DC121F" w:rsidR="00DC121F" w:rsidP="000E5EDB" w:rsidRDefault="00DC121F" w14:paraId="7C0B10B2" w14:textId="77777777">
            <w:pPr>
              <w:overflowPunct w:val="0"/>
              <w:autoSpaceDE w:val="0"/>
              <w:autoSpaceDN w:val="0"/>
              <w:adjustRightInd w:val="0"/>
              <w:spacing w:line="240" w:lineRule="auto"/>
              <w:ind w:hanging="110"/>
              <w:textAlignment w:val="baseline"/>
              <w:rPr>
                <w:i/>
              </w:rPr>
            </w:pPr>
            <w:r>
              <w:rPr>
                <w:i/>
              </w:rPr>
              <w:t>E-post:</w:t>
            </w:r>
          </w:p>
        </w:tc>
        <w:tc>
          <w:tcPr>
            <w:tcW w:w="5670" w:type="dxa"/>
          </w:tcPr>
          <w:p w:rsidRPr="00DC121F" w:rsidR="00DC121F" w:rsidP="000E5EDB" w:rsidRDefault="00494D13" w14:paraId="4F8C70CD" w14:textId="77777777">
            <w:pPr>
              <w:overflowPunct w:val="0"/>
              <w:autoSpaceDE w:val="0"/>
              <w:autoSpaceDN w:val="0"/>
              <w:adjustRightInd w:val="0"/>
              <w:spacing w:line="240" w:lineRule="auto"/>
              <w:ind w:hanging="110"/>
              <w:textAlignment w:val="baseline"/>
              <w:rPr>
                <w:i/>
              </w:rPr>
            </w:pPr>
            <w:hyperlink w:history="1" r:id="rId24">
              <w:r w:rsidR="002F07C4">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494D13"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2F07C4">
          <w:rPr>
            <w:b/>
            <w:i/>
            <w:color w:val="0000FF"/>
            <w:sz w:val="28"/>
            <w:u w:val="single"/>
          </w:rPr>
          <w:t>Korruption i samband med offentlig upphandling/den inre marknaden</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Föredragande</w:t>
            </w:r>
          </w:p>
        </w:tc>
        <w:tc>
          <w:tcPr>
            <w:tcW w:w="3910" w:type="pct"/>
          </w:tcPr>
          <w:p w:rsidRPr="00DC121F" w:rsidR="00DC121F" w:rsidP="00DC121F" w:rsidRDefault="00DC121F" w14:paraId="4ED4B842" w14:textId="7EEA168C">
            <w:pPr>
              <w:tabs>
                <w:tab w:val="center" w:pos="0"/>
              </w:tabs>
              <w:overflowPunct w:val="0"/>
              <w:autoSpaceDE w:val="0"/>
              <w:autoSpaceDN w:val="0"/>
              <w:adjustRightInd w:val="0"/>
              <w:ind w:left="266" w:hanging="266"/>
              <w:textAlignment w:val="baseline"/>
            </w:pPr>
            <w:r>
              <w:t>José Antonio Moreno </w:t>
            </w:r>
            <w:proofErr w:type="spellStart"/>
            <w:r>
              <w:t>Díaz</w:t>
            </w:r>
            <w:proofErr w:type="spellEnd"/>
            <w:r>
              <w:t xml:space="preserve"> (Arbetstagargruppen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Medföredragande</w:t>
            </w:r>
          </w:p>
        </w:tc>
        <w:tc>
          <w:tcPr>
            <w:tcW w:w="3910" w:type="pct"/>
          </w:tcPr>
          <w:p w:rsidRPr="00DC121F" w:rsidR="00DC121F" w:rsidP="00DC121F" w:rsidRDefault="00DC121F" w14:paraId="23F0707E" w14:textId="60F82BE9">
            <w:pPr>
              <w:tabs>
                <w:tab w:val="center" w:pos="284"/>
              </w:tabs>
              <w:overflowPunct w:val="0"/>
              <w:autoSpaceDE w:val="0"/>
              <w:autoSpaceDN w:val="0"/>
              <w:adjustRightInd w:val="0"/>
              <w:ind w:left="266" w:hanging="266"/>
              <w:textAlignment w:val="baseline"/>
            </w:pPr>
            <w:r>
              <w:t xml:space="preserve">Cristian </w:t>
            </w:r>
            <w:proofErr w:type="spellStart"/>
            <w:r>
              <w:t>Pîrvulescu</w:t>
            </w:r>
            <w:proofErr w:type="spellEnd"/>
            <w:r>
              <w:t xml:space="preserve"> (Gruppen för civilsamhällesorganisationer –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Referenser</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Yttrande på eget initiativ</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2BB96715">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Pr>
          <w:b/>
        </w:rPr>
        <w:t>Huvudpunkter</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proofErr w:type="spellStart"/>
      <w:r>
        <w:t>EESK:s</w:t>
      </w:r>
      <w:proofErr w:type="spellEnd"/>
      <w:r>
        <w:t xml:space="preserve"> ståndpunkt:</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EESK anser att kommissionen måste återinföra EU:s rapport om insatserna mot korruption.</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EU måste prioritera en utvärdering av den rättsliga ramen för integritet vid offentlig upphandling och dess praktiska genomförande i syfte att kontrollera om denna ram är förenlig med behoven i kampen mot korruption.</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EESK stöder Europaparlamentets förslag om att kommissionen ska utarbeta en global EU-strategi mot korruption.</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 xml:space="preserve">Insatserna för att bekämpa korruption bör anpassas bättre till insatserna för att värna och utveckla demokratin i EU, eftersom korrupta metoder kan erbjuda politiska aktörer olagliga vinster och resurser för att bedriva kampanjer och upprätthålla sitt </w:t>
      </w:r>
      <w:proofErr w:type="spellStart"/>
      <w:r>
        <w:t>klientelismbaserade</w:t>
      </w:r>
      <w:proofErr w:type="spellEnd"/>
      <w:r>
        <w:t xml:space="preserve"> stödsystem.</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Digitaliseringen av marknaden för offentlig upphandling i EU borde ha kommit mycket längre. Det är därför mycket viktigt att kommissionen fortsätter att ge de nationella myndigheterna tekniskt stöd under hela denna svåra process.</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Kommissionen skulle kunna fästa större vikt vid integritetspakterna.</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Systemet med gemensam uteslutning (mellan europeiska myndigheter/nationella institutioner/privata banker) skulle kunna vara användbart för att skydda den inre marknaden mot missbruk av offentliga medel som tilldelats i anbudsförfaranden.</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EESK uppmanar kommissionen och övriga EU-institutioner och nationella institutioner att betrakta arbetstagarrepresentation, kollektivförhandlingar och social dialog som viktiga instrument för en effektiv korruptionsbekämpning på alla nivåer.</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Kommittén uppmuntrar alla företag/arbetsgivarorganisationer och arbetsmarknadsparter att aktivt sträva efter en integritetskultur och följa de bästa standarder som finns tillgängliga på nationell och internationell nivå.</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Kommittén ser fram emot institutionaliseringen och utvecklingen av EU:s nätverk mot korruption och är villig att delta i dess arbete.</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r>
              <w:rPr>
                <w:i/>
              </w:rPr>
              <w:t xml:space="preserve">Radoslava </w:t>
            </w:r>
            <w:proofErr w:type="spellStart"/>
            <w:r>
              <w:rPr>
                <w:i/>
              </w:rPr>
              <w:t>Štefanková</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Tfn</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Tfn +32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E-post:</w:t>
            </w:r>
          </w:p>
        </w:tc>
        <w:tc>
          <w:tcPr>
            <w:tcW w:w="3444" w:type="pct"/>
          </w:tcPr>
          <w:p w:rsidRPr="00DC121F" w:rsidR="00DC121F" w:rsidP="00DC121F" w:rsidRDefault="00494D13" w14:paraId="1E20E942" w14:textId="77777777">
            <w:pPr>
              <w:overflowPunct w:val="0"/>
              <w:autoSpaceDE w:val="0"/>
              <w:autoSpaceDN w:val="0"/>
              <w:adjustRightInd w:val="0"/>
              <w:spacing w:line="240" w:lineRule="auto"/>
              <w:textAlignment w:val="baseline"/>
              <w:rPr>
                <w:i/>
              </w:rPr>
            </w:pPr>
            <w:hyperlink w:history="1" r:id="rId26">
              <w:r w:rsidR="002F07C4">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0E5EDB" w:rsidRDefault="00494D13"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2F07C4">
          <w:rPr>
            <w:b/>
            <w:i/>
            <w:color w:val="0000FF"/>
            <w:sz w:val="28"/>
            <w:u w:val="single"/>
          </w:rPr>
          <w:t>Bekämpning av fattigdom och social utestängning</w:t>
        </w:r>
      </w:hyperlink>
      <w:r w:rsidR="002F07C4">
        <w:rPr>
          <w:b/>
          <w:i/>
          <w:color w:val="0000FF"/>
          <w:sz w:val="28"/>
          <w:u w:val="single"/>
        </w:rPr>
        <w:t>: att ta till vara potentialen i den sociala ekonomin och socioekonomisk innovation</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1"/>
        <w:gridCol w:w="7310"/>
      </w:tblGrid>
      <w:tr w:rsidRPr="001B6246" w:rsidR="001B6246" w:rsidTr="000E5EDB"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Föredragande</w:t>
            </w:r>
          </w:p>
        </w:tc>
        <w:tc>
          <w:tcPr>
            <w:tcW w:w="7403" w:type="dxa"/>
          </w:tcPr>
          <w:p w:rsidRPr="001B6246" w:rsidR="001B6246" w:rsidP="001B6246" w:rsidRDefault="001B6246" w14:paraId="4AF9E1DA" w14:textId="63894304">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(Gruppen för civilsamhällesorganisationer – BE)</w:t>
            </w:r>
          </w:p>
        </w:tc>
      </w:tr>
      <w:tr w:rsidRPr="001B6246" w:rsidR="001B6246" w:rsidTr="000E5EDB" w14:paraId="64849DFE" w14:textId="77777777">
        <w:trPr>
          <w:trHeight w:val="265"/>
        </w:trPr>
        <w:tc>
          <w:tcPr>
            <w:tcW w:w="1668" w:type="dxa"/>
          </w:tcPr>
          <w:p w:rsidRPr="001B6246" w:rsidR="001B6246" w:rsidP="000E5EDB" w:rsidRDefault="001B6246" w14:paraId="731776C9" w14:textId="23DCE8CA">
            <w:pPr>
              <w:tabs>
                <w:tab w:val="center" w:pos="457"/>
              </w:tabs>
              <w:overflowPunct w:val="0"/>
              <w:autoSpaceDE w:val="0"/>
              <w:autoSpaceDN w:val="0"/>
              <w:adjustRightInd w:val="0"/>
              <w:ind w:left="266" w:hanging="266"/>
              <w:textAlignment w:val="baseline"/>
              <w:rPr>
                <w:b/>
              </w:rPr>
            </w:pPr>
            <w:r>
              <w:rPr>
                <w:b/>
              </w:rPr>
              <w:t>Medföredragande</w:t>
            </w:r>
          </w:p>
        </w:tc>
        <w:tc>
          <w:tcPr>
            <w:tcW w:w="7403" w:type="dxa"/>
          </w:tcPr>
          <w:p w:rsidRPr="001B6246" w:rsidR="001B6246" w:rsidP="001B6246" w:rsidRDefault="001B6246" w14:paraId="18CF51DF" w14:textId="6CDB5C48">
            <w:pPr>
              <w:tabs>
                <w:tab w:val="center" w:pos="284"/>
              </w:tabs>
              <w:overflowPunct w:val="0"/>
              <w:autoSpaceDE w:val="0"/>
              <w:autoSpaceDN w:val="0"/>
              <w:adjustRightInd w:val="0"/>
              <w:ind w:left="266" w:hanging="266"/>
              <w:textAlignment w:val="baseline"/>
            </w:pPr>
            <w:proofErr w:type="spellStart"/>
            <w:r>
              <w:t>Ferre</w:t>
            </w:r>
            <w:proofErr w:type="spellEnd"/>
            <w:r>
              <w:t xml:space="preserve"> </w:t>
            </w:r>
            <w:proofErr w:type="spellStart"/>
            <w:r>
              <w:t>Wyckmans</w:t>
            </w:r>
            <w:proofErr w:type="spellEnd"/>
            <w:r>
              <w:t xml:space="preserve"> (Arbetstagargruppen – BE)</w:t>
            </w:r>
          </w:p>
        </w:tc>
      </w:tr>
      <w:tr w:rsidRPr="001B6246" w:rsidR="001B6246" w:rsidTr="000E5EDB"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Referenser</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Förberedande yttrande på begäran av det belgiska rådsordförandeskapet</w:t>
            </w:r>
          </w:p>
        </w:tc>
      </w:tr>
      <w:tr w:rsidRPr="001B6246" w:rsidR="001B6246" w:rsidTr="000E5EDB"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Huvudpunkter</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EESK uppmanar kommissionen att fortsätta att genomföra sin handlingsplan för den sociala ekonomin, att utvärdera den under 2025 för att bidra till en ny handlingsplan, att aktivt stödja medlemsstaternas genomförande av rekommendationen och att uttryckligen integrera den sociala ekonomin och politiken för social innovation i kommissionens nästa arbetsprogram.</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 xml:space="preserve">EESK förespråkar en stark </w:t>
      </w:r>
      <w:proofErr w:type="spellStart"/>
      <w:r>
        <w:t>platsbaserad</w:t>
      </w:r>
      <w:proofErr w:type="spellEnd"/>
      <w:r>
        <w:t xml:space="preserve"> strategi som involverar regioner och kommuner genom att sammanföra ett flertal aktörer i politiken för utbyggnad av den sociala ekonomin. Under de offentliga myndigheternas ledning är det möjligt att främja lokal utveckling, återflytt av produktionsverktyg och skapande av anständiga arbetstillfällen som inte kan utlokaliseras, uppmuntra till samarbete mellan ekonomiska aktörer och skapa ett stimulerande ekosystem som samlar föreningar, kooperativ, ömsesidiga bolag, traditionella företag, investerare i banksektorn, det civila samhället, arbetsmarknadens parter, den akademiska världen osv.</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EESK uppmanar kommissionen att säkerställa att man i sina initiativ för social innovation antar en övergripande strategi som samlar en mängd aktörer från traditionella företag och den sociala ekonomin, och inbegriper miljömässiga och sociala perspektiv.</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Vi uppmanar kommissionen att inkludera den sociala ekonomin och social innovation bland de initiativ som den kommer att ta för att utveckla handlingslinjerna i sin framsynsrapport, i syfte att öka framför allt kvinnors arbetsmarknadsdeltagande. Att öka arbetsmarknadsdeltagandet bland andra sårbara samhällsgrupper (personer med funktionsnedsättning, ungdomar, personer från andra under</w:t>
      </w:r>
      <w:r>
        <w:noBreakHyphen/>
        <w:t>representerade eller utestängda grupper som varken arbetar eller studerar eller personer som lever i extrem fattigdom) förblir en utmaning.</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Tfn</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Tfn +32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E-post:</w:t>
            </w:r>
          </w:p>
        </w:tc>
        <w:tc>
          <w:tcPr>
            <w:tcW w:w="5670" w:type="dxa"/>
          </w:tcPr>
          <w:p w:rsidRPr="001B6246" w:rsidR="001B6246" w:rsidP="001B6246" w:rsidRDefault="00494D13" w14:paraId="7EBA911B" w14:textId="77777777">
            <w:pPr>
              <w:overflowPunct w:val="0"/>
              <w:autoSpaceDE w:val="0"/>
              <w:autoSpaceDN w:val="0"/>
              <w:adjustRightInd w:val="0"/>
              <w:spacing w:line="240" w:lineRule="auto"/>
              <w:textAlignment w:val="baseline"/>
              <w:rPr>
                <w:i/>
                <w:iCs/>
              </w:rPr>
            </w:pPr>
            <w:hyperlink w:history="1" r:id="rId28">
              <w:r w:rsidR="002F07C4">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494D13"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2F07C4">
          <w:rPr>
            <w:b/>
            <w:i/>
            <w:color w:val="0000FF"/>
            <w:sz w:val="28"/>
            <w:u w:val="single"/>
          </w:rPr>
          <w:t>Ett europeiskt stresstest för innovation</w:t>
        </w:r>
      </w:hyperlink>
      <w:r w:rsidR="002F07C4">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Föredragande</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r>
              <w:t>Olivier Joris (Arbetsgivargruppen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Referenser</w:t>
            </w:r>
          </w:p>
        </w:tc>
        <w:tc>
          <w:tcPr>
            <w:tcW w:w="3893" w:type="pct"/>
          </w:tcPr>
          <w:p w:rsidRPr="00235E61" w:rsidR="00235E61" w:rsidP="00C83487" w:rsidRDefault="00235E61" w14:paraId="2CDE140A" w14:textId="59E0AF5C">
            <w:pPr>
              <w:tabs>
                <w:tab w:val="center" w:pos="284"/>
              </w:tabs>
              <w:overflowPunct w:val="0"/>
              <w:autoSpaceDE w:val="0"/>
              <w:autoSpaceDN w:val="0"/>
              <w:adjustRightInd w:val="0"/>
              <w:ind w:left="266" w:right="-107" w:hanging="266"/>
              <w:textAlignment w:val="baseline"/>
            </w:pPr>
            <w:r>
              <w:t>Förberedande yttrande på begäran av det belgiska rådsordförandeskapet</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Pr>
          <w:b/>
        </w:rPr>
        <w:t>Huvudpunkter</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EESK rekommenderar att den nuvarande och den kommande kommissionen </w:t>
      </w:r>
      <w:r>
        <w:rPr>
          <w:b/>
        </w:rPr>
        <w:t>inför ett nytt stresstest för innovation för att bedöma all ny lagstiftning och alla nya politiska initiativ</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 xml:space="preserve">Kommittén föreslår att </w:t>
      </w:r>
      <w:proofErr w:type="spellStart"/>
      <w:r>
        <w:t>stresstestet</w:t>
      </w:r>
      <w:proofErr w:type="spellEnd"/>
      <w:r>
        <w:t xml:space="preserve"> för innovation ska omfatta följande tio centrala krav</w:t>
      </w:r>
    </w:p>
    <w:p w:rsidRPr="00235E61" w:rsidR="00235E61" w:rsidP="006221F1" w:rsidRDefault="00235E61" w14:paraId="1355EE8E" w14:textId="4CAE8943">
      <w:pPr>
        <w:overflowPunct w:val="0"/>
        <w:autoSpaceDE w:val="0"/>
        <w:autoSpaceDN w:val="0"/>
        <w:adjustRightInd w:val="0"/>
        <w:ind w:left="567"/>
        <w:textAlignment w:val="baseline"/>
        <w:rPr>
          <w:iCs/>
        </w:rPr>
      </w:pPr>
      <w:r>
        <w:t>vid bedömningen av ny lagstiftning/nya politiska åtgärder:</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t>Skyddas konsumenterna och miljön samt erkänns vikten av innovation för att möjliggöra EU:s dubbla gröna och digitala omställning till hållbarhet, bidra till att skapa fler och bättre arbetstillfällen till förmån för samhället och stimulera ekonomin? (Ja)</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t>Säkerställs ett samordnat beslutsfattande så att befintlig och framtida politik används på ett sätt som väcker förtroende hos investerarna och stimulerar innovation, utan att skapa hinder för fortsatta och nya innovationsinvesteringar i EU? (Ja)</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t>Säkerställs full förståelse bland innovatörer och investerare? (Ja)</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t>Är förslaget förenligt med användningen av kommissionens verktygslåda för bättre lagstiftning? (Ja)</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t>Inkluderas samråd med och aktivt deltagande av innovatörer och investerare över hela spektrumet, från uppstartsföretag till internationella organisationer, för att se till att politiken, varken nu eller framöver, inte oavsiktligt undergräver investerarnas förtroende för att börja eller fortsätta att investera i innovation i EU? (Ja)</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t>Erkänns legitima farhågor om potentiella intressekonflikter och ges alla som deltar i processen, inbegripet beslutsfattare, offentliga och privata sektorer och det civila samhället, insyn i dessa frågor? (Ja)</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t>Tas hänsyn till bästa tillgängliga och mest aktuella vetenskapliga belägg? (Ja)</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t>Har det negativ inverkan på tillgången till den kompetens, det humankapital och den utbildning som behövs för innovation, forskning och utveckling? (Nej)</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t>Resulterar det i åtgärder som skulle kunna leda till obalans mellan könen? (Nej)</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t>Strider det mot befintliga eller framtida skatteincitament för innovation eller forskning och utveckling i Europa? (Nej)</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Tfn</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Tfn +32 25469140</w:t>
            </w:r>
          </w:p>
        </w:tc>
      </w:tr>
      <w:tr w:rsidRPr="00235E61" w:rsidR="00235E61" w:rsidTr="00F655B8" w14:paraId="1F9FE480" w14:textId="77777777">
        <w:tc>
          <w:tcPr>
            <w:tcW w:w="1556" w:type="pct"/>
          </w:tcPr>
          <w:p w:rsidRPr="00235E61" w:rsidR="00235E61" w:rsidP="00235E61" w:rsidRDefault="00C94208" w14:paraId="76CEE141" w14:textId="1BB43870">
            <w:pPr>
              <w:overflowPunct w:val="0"/>
              <w:autoSpaceDE w:val="0"/>
              <w:autoSpaceDN w:val="0"/>
              <w:adjustRightInd w:val="0"/>
              <w:spacing w:line="240" w:lineRule="auto"/>
              <w:textAlignment w:val="baseline"/>
              <w:rPr>
                <w:i/>
              </w:rPr>
            </w:pPr>
            <w:r>
              <w:rPr>
                <w:i/>
              </w:rPr>
              <w:t>E-post:</w:t>
            </w:r>
          </w:p>
        </w:tc>
        <w:tc>
          <w:tcPr>
            <w:tcW w:w="3444" w:type="pct"/>
          </w:tcPr>
          <w:p w:rsidRPr="00235E61" w:rsidR="00235E61" w:rsidP="00235E61" w:rsidRDefault="00494D13" w14:paraId="32AFDC36" w14:textId="64AA67A0">
            <w:pPr>
              <w:overflowPunct w:val="0"/>
              <w:autoSpaceDE w:val="0"/>
              <w:autoSpaceDN w:val="0"/>
              <w:adjustRightInd w:val="0"/>
              <w:spacing w:line="240" w:lineRule="auto"/>
              <w:textAlignment w:val="baseline"/>
              <w:rPr>
                <w:i/>
              </w:rPr>
            </w:pPr>
            <w:hyperlink w:history="1" r:id="rId30">
              <w:r w:rsidR="002F07C4">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494D13"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2F07C4">
          <w:rPr>
            <w:b/>
            <w:i/>
            <w:color w:val="0000FF"/>
            <w:sz w:val="28"/>
            <w:u w:val="single"/>
          </w:rPr>
          <w:t>Europeiska gränsöverskridande sammanslutningar</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för civilsamhällesorganisationer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Referenser</w:t>
            </w:r>
          </w:p>
        </w:tc>
        <w:tc>
          <w:tcPr>
            <w:tcW w:w="3852" w:type="pct"/>
          </w:tcPr>
          <w:p w:rsidRPr="00DE6659" w:rsidR="00DE6659" w:rsidP="00DE6659" w:rsidRDefault="00DE6659" w14:paraId="68348F3B" w14:textId="3267B5EA">
            <w:pPr>
              <w:tabs>
                <w:tab w:val="center" w:pos="284"/>
              </w:tabs>
              <w:overflowPunct w:val="0"/>
              <w:autoSpaceDE w:val="0"/>
              <w:autoSpaceDN w:val="0"/>
              <w:adjustRightInd w:val="0"/>
              <w:ind w:left="266" w:hanging="266"/>
              <w:textAlignment w:val="baseline"/>
            </w:pPr>
            <w:r>
              <w:t>COM(2023) 515 final</w:t>
            </w:r>
          </w:p>
          <w:p w:rsidRPr="00DE6659" w:rsidR="00DE6659" w:rsidP="00DE6659" w:rsidRDefault="00DE6659" w14:paraId="4367C17F" w14:textId="4FBAACF8">
            <w:pPr>
              <w:tabs>
                <w:tab w:val="center" w:pos="284"/>
              </w:tabs>
              <w:overflowPunct w:val="0"/>
              <w:autoSpaceDE w:val="0"/>
              <w:autoSpaceDN w:val="0"/>
              <w:adjustRightInd w:val="0"/>
              <w:ind w:left="266" w:hanging="266"/>
              <w:textAlignment w:val="baseline"/>
            </w:pPr>
            <w:r>
              <w:t>COM(2023) 516 final</w:t>
            </w:r>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478A9390">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proofErr w:type="spellStart"/>
      <w:r>
        <w:t>EESK:s</w:t>
      </w:r>
      <w:proofErr w:type="spellEnd"/>
      <w:r>
        <w:t xml:space="preserve"> ståndpunkt:</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4125AE55">
      <w:pPr>
        <w:numPr>
          <w:ilvl w:val="0"/>
          <w:numId w:val="44"/>
        </w:numPr>
        <w:overflowPunct w:val="0"/>
        <w:autoSpaceDE w:val="0"/>
        <w:autoSpaceDN w:val="0"/>
        <w:adjustRightInd w:val="0"/>
        <w:spacing w:after="200" w:line="276" w:lineRule="auto"/>
        <w:ind w:left="567" w:hanging="567"/>
        <w:contextualSpacing/>
        <w:textAlignment w:val="baseline"/>
        <w:rPr>
          <w:bCs/>
          <w:iCs/>
        </w:rPr>
      </w:pPr>
      <w:r>
        <w:t>EESK välkomnar kommissionens förslag som syftar till att underlätta ideella samman</w:t>
      </w:r>
      <w:r w:rsidR="00767EF5">
        <w:softHyphen/>
      </w:r>
      <w:r>
        <w:t>slutningars gränsöverskridande verksamhet i EU genom att inrätta den nya rättsliga formen ”europeisk gränsöverskridande sammanslutning”. EESK uppmanar medlagstiftarna att anta det skyndsamt.</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Kommittén är medveten om de svårigheter som ideella sammanslutningar och enheter möter när de deltar på den inre marknaden. Vi rekommenderar kommissionen och medlemsstaterna att undanröja de rättsliga och administrativa hindren för att på så sätt främja den roll som dessa sammanslutningar spelar i EU när det gäller att generera ekonomiskt och socialt värde.</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Kommittén är medveten om de ideella organisationernas potential inom ramen för den inre marknaden och påminner om behovet av att främja inrättandet av ett europeiskt ekosystem för denna typ av enheter för att göra den inre marknaden mer ”social”.</w:t>
      </w:r>
    </w:p>
    <w:p w:rsidRPr="00DE6659" w:rsidR="00DE6659" w:rsidP="000E5EDB"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EESK välkomnar kommissionens förslag om att införa den ytterligare rättsliga formen ”europeisk gränsöverskridande sammanslutning” i medlemsstaternas nationella rättssystem för att minska den rättsliga och administrativa bördan i samband med erkännande och inrättande av ideella sammanslutningar som bedriver verksamhet i en annan medlemsstat.</w:t>
      </w:r>
    </w:p>
    <w:p w:rsidRPr="00DE6659" w:rsidR="00DE6659" w:rsidP="000E5EDB" w:rsidRDefault="00DE6659" w14:paraId="743CE49B" w14:textId="0ABAB566">
      <w:pPr>
        <w:numPr>
          <w:ilvl w:val="0"/>
          <w:numId w:val="44"/>
        </w:numPr>
        <w:overflowPunct w:val="0"/>
        <w:autoSpaceDE w:val="0"/>
        <w:autoSpaceDN w:val="0"/>
        <w:adjustRightInd w:val="0"/>
        <w:spacing w:after="200" w:line="276" w:lineRule="auto"/>
        <w:ind w:left="567" w:hanging="567"/>
        <w:contextualSpacing/>
        <w:textAlignment w:val="baseline"/>
        <w:rPr>
          <w:bCs/>
          <w:iCs/>
        </w:rPr>
      </w:pPr>
      <w:r>
        <w:t>Vi anser att alla organisationer som uppfyller kraven och har sitt säte i EU bör kunna få ställning som europeisk gränsöverskridande sammanslutning, även om det bland medlemmarna i det verkställande organet finns fysiska personer som är bosatta i länder utanför EU och, i</w:t>
      </w:r>
      <w:r w:rsidR="00767EF5">
        <w:t> </w:t>
      </w:r>
      <w:r>
        <w:t>synnerhet, om dessa är bosatta i länder inom Europeiska ekonomiska samarbetsområdet.</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Kommittén anser att de typer av medlemskap som kan förekomma i en viss sammanslutning och hur rösträtten ska utövas bör fastställas genom sammanslutningarnas stadgar eller av dess medlemmar, med respekt för den demokratiska principen och principen om föreningsfrihet.</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EESK stöder och välkomnar inrättandet av intyget för europeiska gränsöverskridande sammanslutningar, som innebär att denna nya rättsliga form erkänns i hela EU när en europeisk gränsöverskridande sammanslutning väl har registrerats i en medlemsstat. Vi rekommenderar dock att klassificerings- och registreringssystemen förbättras genom att det inrättas jämförbara databaser.</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Tfn</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Tfn +32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E-post:</w:t>
            </w:r>
          </w:p>
        </w:tc>
        <w:tc>
          <w:tcPr>
            <w:tcW w:w="3444" w:type="pct"/>
          </w:tcPr>
          <w:p w:rsidRPr="00DE6659" w:rsidR="00DE6659" w:rsidP="00DE6659" w:rsidRDefault="00494D13" w14:paraId="23C9553B" w14:textId="77777777">
            <w:pPr>
              <w:overflowPunct w:val="0"/>
              <w:autoSpaceDE w:val="0"/>
              <w:autoSpaceDN w:val="0"/>
              <w:adjustRightInd w:val="0"/>
              <w:spacing w:line="240" w:lineRule="auto"/>
              <w:textAlignment w:val="baseline"/>
              <w:rPr>
                <w:i/>
              </w:rPr>
            </w:pPr>
            <w:hyperlink w:history="1" r:id="rId32">
              <w:r w:rsidR="002F07C4">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494D13" w14:paraId="4DE066CB" w14:textId="75EB8864">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2F07C4">
          <w:rPr>
            <w:b/>
            <w:i/>
            <w:color w:val="0000FF"/>
            <w:sz w:val="28"/>
            <w:u w:val="single"/>
          </w:rPr>
          <w:t>En ny EU-strategi för den inre marknaden</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0E5EDB"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rPr>
              <w:t>Föredragande</w:t>
            </w:r>
          </w:p>
        </w:tc>
        <w:tc>
          <w:tcPr>
            <w:tcW w:w="3871" w:type="pct"/>
          </w:tcPr>
          <w:p w:rsidRPr="009E6551" w:rsidR="009E6551" w:rsidP="009E6551" w:rsidRDefault="009E6551" w14:paraId="1A8DCFC5" w14:textId="0AA262D5">
            <w:pPr>
              <w:tabs>
                <w:tab w:val="center" w:pos="0"/>
              </w:tabs>
              <w:overflowPunct w:val="0"/>
              <w:autoSpaceDE w:val="0"/>
              <w:autoSpaceDN w:val="0"/>
              <w:adjustRightInd w:val="0"/>
              <w:ind w:left="266" w:hanging="266"/>
              <w:textAlignment w:val="baseline"/>
            </w:pPr>
            <w:r>
              <w:t xml:space="preserve">Sandra </w:t>
            </w:r>
            <w:proofErr w:type="spellStart"/>
            <w:r>
              <w:t>Parthie</w:t>
            </w:r>
            <w:proofErr w:type="spellEnd"/>
            <w:r>
              <w:t xml:space="preserve"> (Arbetsgivargruppen – DE)</w:t>
            </w:r>
          </w:p>
        </w:tc>
      </w:tr>
      <w:tr w:rsidRPr="009E6551" w:rsidR="009E6551" w:rsidTr="000E5EDB"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Medföredragande</w:t>
            </w:r>
          </w:p>
        </w:tc>
        <w:tc>
          <w:tcPr>
            <w:tcW w:w="3871" w:type="pct"/>
          </w:tcPr>
          <w:p w:rsidRPr="009E6551" w:rsidR="009E6551" w:rsidP="009E6551" w:rsidRDefault="009E6551" w14:paraId="0FC36817" w14:textId="7498D0C1">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(Gruppen för civilsamhällesorganisationer – BE)</w:t>
            </w:r>
          </w:p>
        </w:tc>
      </w:tr>
      <w:tr w:rsidRPr="009E6551" w:rsidR="009E6551" w:rsidTr="000E5EDB"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0E5EDB" w14:paraId="423137BA" w14:textId="77777777">
        <w:tc>
          <w:tcPr>
            <w:tcW w:w="1129" w:type="pct"/>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Pr>
                <w:b/>
              </w:rPr>
              <w:t>Referenser</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Förberedande yttrande på begäran av det belgiska rådsordförandeskapet</w:t>
            </w:r>
          </w:p>
        </w:tc>
      </w:tr>
      <w:tr w:rsidRPr="009E6551" w:rsidR="009E6551" w:rsidTr="000E5EDB"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258D60F8">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Pr>
          <w:b/>
        </w:rPr>
        <w:t>Huvudpunkter</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proofErr w:type="spellStart"/>
      <w:r>
        <w:t>EESK:s</w:t>
      </w:r>
      <w:proofErr w:type="spellEnd"/>
      <w:r>
        <w:t xml:space="preserve"> ståndpunkt:</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697CECA1">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En strategi för </w:t>
      </w:r>
      <w:r>
        <w:rPr>
          <w:b/>
        </w:rPr>
        <w:t>den inre marknadens framtid</w:t>
      </w:r>
      <w:r>
        <w:t xml:space="preserve"> bör inriktas på flera aspekter: en </w:t>
      </w:r>
      <w:r>
        <w:rPr>
          <w:b/>
        </w:rPr>
        <w:t>industripolitik för EU</w:t>
      </w:r>
      <w:r>
        <w:t xml:space="preserve">, gynnsamma </w:t>
      </w:r>
      <w:r>
        <w:rPr>
          <w:b/>
        </w:rPr>
        <w:t>ramar för näringslivet och för små och medelstora företag</w:t>
      </w:r>
      <w:r>
        <w:t xml:space="preserve">, </w:t>
      </w:r>
      <w:r>
        <w:rPr>
          <w:b/>
        </w:rPr>
        <w:t>företag i</w:t>
      </w:r>
      <w:r w:rsidR="00767EF5">
        <w:rPr>
          <w:b/>
        </w:rPr>
        <w:t> </w:t>
      </w:r>
      <w:r>
        <w:rPr>
          <w:b/>
        </w:rPr>
        <w:t>den sociala ekonomin</w:t>
      </w:r>
      <w:r>
        <w:t xml:space="preserve">, allmänhetens stöd för </w:t>
      </w:r>
      <w:r>
        <w:rPr>
          <w:b/>
        </w:rPr>
        <w:t>EU-projektet</w:t>
      </w:r>
      <w:r>
        <w:t xml:space="preserve">, korrekt organiserade och ändamålsenliga </w:t>
      </w:r>
      <w:r>
        <w:rPr>
          <w:b/>
        </w:rPr>
        <w:t>tjänster av allmänt intresse</w:t>
      </w:r>
      <w:r>
        <w:t xml:space="preserve"> samt åtgärder för att bevara och utveckla vår </w:t>
      </w:r>
      <w:r>
        <w:rPr>
          <w:b/>
        </w:rPr>
        <w:t>sociala modell</w:t>
      </w:r>
      <w:r>
        <w:t>.</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Kommittén efterlyser en </w:t>
      </w:r>
      <w:r>
        <w:rPr>
          <w:b/>
        </w:rPr>
        <w:t>ny analytisk ram som vägledning för det politiska beslutsfattandet</w:t>
      </w:r>
      <w:r>
        <w:t xml:space="preserve"> i en förändrad värld med nya geopolitiska utmaningar. Ett antal mål står i motsatsställning till varandra: begäran om stöd mot krav på begränsningar av statligt stöd, krav på lokal produktion mot åtgärder för att öppna upp marknaderna, tillgång till oumbärliga råvaror mot leveransvillkor. Det behövs </w:t>
      </w:r>
      <w:r>
        <w:rPr>
          <w:b/>
        </w:rPr>
        <w:t>ett nytt samarbetssystem</w:t>
      </w:r>
      <w:r>
        <w:t xml:space="preserve"> för att hitta de bästa lösningarna och en ny samarbetsanda mellan medlemsstaterna för att skapa </w:t>
      </w:r>
      <w:r>
        <w:rPr>
          <w:b/>
        </w:rPr>
        <w:t>en verklig känsla av europeisk identitet</w:t>
      </w:r>
      <w:r>
        <w:t>.</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Vi efterlyser en </w:t>
      </w:r>
      <w:r>
        <w:rPr>
          <w:b/>
        </w:rPr>
        <w:t>utvärdering av konsekvenserna</w:t>
      </w:r>
      <w:r>
        <w:t xml:space="preserve"> </w:t>
      </w:r>
      <w:r>
        <w:rPr>
          <w:b/>
        </w:rPr>
        <w:t>av avregleringen av tjänster av allmänt ekonomiskt intresse</w:t>
      </w:r>
      <w:r>
        <w:t xml:space="preserve"> för den ekonomiska, sociala och territoriella sammanhållningen. Det är också viktigt att undersöka om det finns ett behov av nya </w:t>
      </w:r>
      <w:r>
        <w:rPr>
          <w:b/>
        </w:rPr>
        <w:t>EU-instrument för offentliga åtgärder i sektorer som tillhandahåller tjänster av allmänt ekonomiskt intresse</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Tfn</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E-post:</w:t>
            </w:r>
          </w:p>
        </w:tc>
        <w:tc>
          <w:tcPr>
            <w:tcW w:w="3444" w:type="pct"/>
          </w:tcPr>
          <w:p w:rsidRPr="009E6551" w:rsidR="009E6551" w:rsidP="009E6551" w:rsidRDefault="00494D13" w14:paraId="4125E6FA" w14:textId="77777777">
            <w:pPr>
              <w:overflowPunct w:val="0"/>
              <w:autoSpaceDE w:val="0"/>
              <w:autoSpaceDN w:val="0"/>
              <w:adjustRightInd w:val="0"/>
              <w:spacing w:line="240" w:lineRule="auto"/>
              <w:textAlignment w:val="baseline"/>
              <w:rPr>
                <w:iCs/>
              </w:rPr>
            </w:pPr>
            <w:hyperlink w:history="1" r:id="rId34">
              <w:r w:rsidR="002F07C4">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494D13"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5">
        <w:r w:rsidR="002F07C4">
          <w:rPr>
            <w:b/>
            <w:i/>
            <w:color w:val="0000FF"/>
            <w:sz w:val="28"/>
            <w:u w:val="single"/>
          </w:rPr>
          <w:t>Översyn av direktivet om sena betalningar</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Föredragande:</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(Gruppen för civilsamhällesorganisationer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(Arbetsgivargruppen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r>
              <w:t xml:space="preserve">Angelo </w:t>
            </w:r>
            <w:proofErr w:type="spellStart"/>
            <w:r>
              <w:t>Pagliara</w:t>
            </w:r>
            <w:proofErr w:type="spellEnd"/>
            <w:r>
              <w:t xml:space="preserve"> (Arbetstagargruppen –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Referenser</w:t>
            </w:r>
          </w:p>
        </w:tc>
        <w:tc>
          <w:tcPr>
            <w:tcW w:w="3858" w:type="pct"/>
          </w:tcPr>
          <w:p w:rsidRPr="00C41F06" w:rsidR="00C41F06" w:rsidP="00C41F06" w:rsidRDefault="00C41F06" w14:paraId="16F6C4C1" w14:textId="13C0F28D">
            <w:pPr>
              <w:tabs>
                <w:tab w:val="center" w:pos="284"/>
              </w:tabs>
              <w:overflowPunct w:val="0"/>
              <w:autoSpaceDE w:val="0"/>
              <w:autoSpaceDN w:val="0"/>
              <w:adjustRightInd w:val="0"/>
              <w:ind w:left="266" w:hanging="266"/>
              <w:textAlignment w:val="baseline"/>
            </w:pPr>
            <w:r>
              <w:t>COM(2023) 533 final</w:t>
            </w:r>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6C25D1E1">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Pr>
          <w:b/>
        </w:rPr>
        <w:t>Huvudpunkter</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EESK välkomnar kommissionens meddelande om stödpaketet för små och medelstora företag och kommissionens avsikt att ytterligare bekämpa sena betalningar. Samtidigt </w:t>
      </w:r>
      <w:r>
        <w:rPr>
          <w:b/>
        </w:rPr>
        <w:t>befarar</w:t>
      </w:r>
      <w:r>
        <w:t xml:space="preserve"> EESK </w:t>
      </w:r>
      <w:r>
        <w:rPr>
          <w:b/>
        </w:rPr>
        <w:t>att omvandlingen av det gällande direktivet till en förordning skulle kunna begränsa medlemsstaternas flexibilitet</w:t>
      </w:r>
      <w:r>
        <w:t xml:space="preserve"> och göra företagsklimatet mindre flexibelt i en tid när det blåser motvind på många områden runtom i EU.</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Pr>
          <w:b/>
        </w:rPr>
        <w:t>Sena betalningar</w:t>
      </w:r>
      <w:r>
        <w:t xml:space="preserve"> är till nackdel för småföretagare, deras familjer och deras anställda, med </w:t>
      </w:r>
      <w:r>
        <w:rPr>
          <w:b/>
        </w:rPr>
        <w:t>allvarliga konsekvenser för betalningar av allmännyttiga tjänster, hyra och lån</w:t>
      </w:r>
      <w:r>
        <w:t xml:space="preserve"> samt deras </w:t>
      </w:r>
      <w:r>
        <w:rPr>
          <w:b/>
        </w:rPr>
        <w:t>arbetsmoral och produktivitet</w:t>
      </w:r>
      <w:r>
        <w:t>.</w:t>
      </w:r>
    </w:p>
    <w:p w:rsidRPr="00C41F06" w:rsidR="00C41F06" w:rsidP="000E5EDB" w:rsidRDefault="00C41F06" w14:paraId="3D337469" w14:textId="1A34154E">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Kommittén tror att kommissionen med sitt förslag försöker ta itu med problemet med långa betalningstider snarare än sena betalningar genom att </w:t>
      </w:r>
      <w:r>
        <w:rPr>
          <w:b/>
        </w:rPr>
        <w:t>införa alltför restriktiva åtgärder i</w:t>
      </w:r>
      <w:r w:rsidR="00767EF5">
        <w:rPr>
          <w:b/>
        </w:rPr>
        <w:t> </w:t>
      </w:r>
      <w:r>
        <w:rPr>
          <w:b/>
        </w:rPr>
        <w:t>stället för att förbättra den gällande verkställighetsramen</w:t>
      </w:r>
      <w:r>
        <w:t xml:space="preserve"> med effektivare regler.</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EESK understryker vikten av flexibla förhandlingar när betalningsfristerna fastställs, och hyser stark oro över kommissionens förslag. I praktiken innebär </w:t>
      </w:r>
      <w:r>
        <w:rPr>
          <w:b/>
        </w:rPr>
        <w:t>det föreslagna taket på 30 dagar att avtalsfriheten mellan företag försvinner</w:t>
      </w:r>
      <w: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EESK välkomnar den föreslagna betalningsfristen på 30 dagar för transaktioner mellan myndigheter och företag. </w:t>
      </w:r>
      <w:r>
        <w:rPr>
          <w:b/>
        </w:rPr>
        <w:t>De offentliga myndigheterna bör föregå med gott exempel eftersom de utgör en avgörande partner för företagen</w:t>
      </w:r>
      <w: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EESK ser den potentiella fördelen med att inrätta </w:t>
      </w:r>
      <w:r>
        <w:rPr>
          <w:b/>
        </w:rPr>
        <w:t>nationella verkställighetsmyndigheter</w:t>
      </w:r>
      <w:r>
        <w:t xml:space="preserve">. Kommittén betonar dock att dessa myndigheter </w:t>
      </w:r>
      <w:r>
        <w:rPr>
          <w:b/>
        </w:rPr>
        <w:t>måste agera objektivt och garantera maximal sekretess</w:t>
      </w:r>
      <w:r>
        <w:t xml:space="preserve"> när de behandlar kommersiellt känsliga uppgifter från både företag och offentliga myndigheter, utan att införa ytterligare rapporteringsskyldigheter.</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rPr>
          <w:b/>
        </w:rPr>
        <w:t>Stränga villkor för betalningsfrister</w:t>
      </w:r>
      <w:r>
        <w:t xml:space="preserve"> skulle kunna påverka affärstransaktioner på den inre marknaden och driva bort affärsverksamhet från EU. Det skulle vara lättare att samarbeta med leverantörer från tredjeländer som har rätt att acceptera längre betalningsfrister. Detta skulle kunna utgöra ett </w:t>
      </w:r>
      <w:r>
        <w:rPr>
          <w:b/>
        </w:rPr>
        <w:t>potentiellt hot mot EU:s konkurrenskraft</w:t>
      </w:r>
      <w:r>
        <w:t xml:space="preserve"> och bör undvikas.</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036"/>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Kontaktperson:</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Tfn</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E-post:</w:t>
            </w:r>
          </w:p>
        </w:tc>
        <w:tc>
          <w:tcPr>
            <w:tcW w:w="4049" w:type="pct"/>
          </w:tcPr>
          <w:p w:rsidRPr="00C41F06" w:rsidR="00C41F06" w:rsidP="00C41F06" w:rsidRDefault="00494D13" w14:paraId="36F98705" w14:textId="77777777">
            <w:pPr>
              <w:overflowPunct w:val="0"/>
              <w:autoSpaceDE w:val="0"/>
              <w:autoSpaceDN w:val="0"/>
              <w:adjustRightInd w:val="0"/>
              <w:spacing w:line="240" w:lineRule="auto"/>
              <w:textAlignment w:val="baseline"/>
              <w:rPr>
                <w:i/>
              </w:rPr>
            </w:pPr>
            <w:hyperlink w:history="1" r:id="rId36">
              <w:r w:rsidR="002F07C4">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32"/>
      <w:bookmarkStart w:name="_Toc157768459" w:id="33"/>
      <w:r>
        <w:rPr>
          <w:b/>
        </w:rPr>
        <w:lastRenderedPageBreak/>
        <w:t>JORDBRUK, LANDSBYGDSUTVECKLING OCH MILJÖ</w:t>
      </w:r>
      <w:bookmarkEnd w:id="32"/>
      <w:bookmarkEnd w:id="33"/>
    </w:p>
    <w:p w:rsidRPr="00094B6B" w:rsidR="002C016E" w:rsidP="00DE43CE" w:rsidRDefault="002C016E" w14:paraId="0E7342A4" w14:textId="73254B30">
      <w:pPr>
        <w:keepNext/>
        <w:keepLines/>
        <w:jc w:val="left"/>
        <w:rPr>
          <w:bCs/>
          <w:iCs/>
        </w:rPr>
      </w:pPr>
    </w:p>
    <w:p w:rsidRPr="001546A6" w:rsidR="001546A6" w:rsidP="000E5EDB" w:rsidRDefault="00494D13"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2F07C4">
          <w:rPr>
            <w:b/>
            <w:i/>
            <w:color w:val="0000FF"/>
            <w:sz w:val="28"/>
            <w:u w:val="single"/>
          </w:rPr>
          <w:t>Mål för fastställande av fiskemöjligheter</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1D1D1C" w:rsidR="001546A6" w:rsidP="001546A6" w:rsidRDefault="001546A6" w14:paraId="71636E19" w14:textId="2A385294">
            <w:pPr>
              <w:tabs>
                <w:tab w:val="center" w:pos="284"/>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(Gruppen för civilsamhällesorganisationer –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Referenser</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COM(2023) 771 final</w:t>
            </w:r>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proofErr w:type="spellStart"/>
      <w:r>
        <w:t>EESK:s</w:t>
      </w:r>
      <w:proofErr w:type="spellEnd"/>
      <w:r>
        <w:t xml:space="preserve"> ståndpunkt:</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0E5EDB" w:rsidRDefault="001546A6" w14:paraId="3F976603" w14:textId="4552D7E3">
      <w:pPr>
        <w:numPr>
          <w:ilvl w:val="0"/>
          <w:numId w:val="40"/>
        </w:numPr>
        <w:overflowPunct w:val="0"/>
        <w:autoSpaceDE w:val="0"/>
        <w:autoSpaceDN w:val="0"/>
        <w:adjustRightInd w:val="0"/>
        <w:spacing w:after="200" w:line="276" w:lineRule="auto"/>
        <w:ind w:left="567" w:hanging="567"/>
        <w:contextualSpacing/>
        <w:textAlignment w:val="baseline"/>
      </w:pPr>
      <w:r>
        <w:t>Syftet med lagstiftningsförslaget är att ändra de fleråriga planerna för vissa bestånd som fiskas i</w:t>
      </w:r>
      <w:r w:rsidR="00767EF5">
        <w:t> </w:t>
      </w:r>
      <w:r>
        <w:t>Östersjön, Nordsjön och de västliga vattnen och för det fiske som nyttjar dessa bestånd, för att säkerställa konsekvens i de regler som styr rådets fastställande av årliga fiskemöjligheter.</w:t>
      </w:r>
    </w:p>
    <w:p w:rsidRPr="001546A6" w:rsidR="001546A6" w:rsidP="000E5EDB"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Alla tre fleråriga planer innehåller en så kallad femprocentsregel, som föreskriver att fiskemöjligheterna ska fastställas på ett sådant sätt att sannolikheten för att lekbeståndets biomassa sjunker till den punkt under vilken reproduktionsförmågan kan minska är mindre än 5 %.</w:t>
      </w:r>
    </w:p>
    <w:p w:rsidRPr="001546A6" w:rsidR="001546A6" w:rsidP="000E5EDB"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Under vissa omständigheter som rör ett visst fiskbestånds status och den kortsiktiga prognosen för biomassans utveckling kan tillämpningen av femprocentsregeln dock innebära att fiskemöjligheterna inte kan fastställas och att det riktade fisket måste avbrytas, vilket kan få allvarliga socioekonomiska konsekvenser.</w:t>
      </w:r>
    </w:p>
    <w:p w:rsidRPr="001546A6" w:rsidR="001546A6" w:rsidP="000E5EDB"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EESK ställer sig därför bakom förslaget att stryka femprocentsregeln i dessa tre fleråriga planer.</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Tfn</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E-post:</w:t>
            </w:r>
          </w:p>
        </w:tc>
        <w:tc>
          <w:tcPr>
            <w:tcW w:w="5670" w:type="dxa"/>
          </w:tcPr>
          <w:p w:rsidRPr="00C83487" w:rsidR="001546A6" w:rsidP="001546A6" w:rsidRDefault="00494D13" w14:paraId="4CAF59C5" w14:textId="663BE3D7">
            <w:pPr>
              <w:overflowPunct w:val="0"/>
              <w:autoSpaceDE w:val="0"/>
              <w:autoSpaceDN w:val="0"/>
              <w:adjustRightInd w:val="0"/>
              <w:spacing w:line="240" w:lineRule="auto"/>
              <w:textAlignment w:val="baseline"/>
              <w:rPr>
                <w:i/>
                <w:color w:val="0000FF"/>
                <w:u w:val="single"/>
              </w:rPr>
            </w:pPr>
            <w:hyperlink w:history="1" r:id="rId38">
              <w:r w:rsidR="002F07C4">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494D13" w14:paraId="3853AC6D" w14:textId="3550F579">
      <w:pPr>
        <w:widowControl w:val="0"/>
        <w:numPr>
          <w:ilvl w:val="0"/>
          <w:numId w:val="2"/>
        </w:numPr>
        <w:overflowPunct w:val="0"/>
        <w:autoSpaceDE w:val="0"/>
        <w:autoSpaceDN w:val="0"/>
        <w:adjustRightInd w:val="0"/>
        <w:ind w:hanging="567"/>
        <w:textAlignment w:val="baseline"/>
        <w:rPr>
          <w:sz w:val="20"/>
          <w:szCs w:val="20"/>
        </w:rPr>
      </w:pPr>
      <w:hyperlink w:history="1" r:id="rId39">
        <w:r w:rsidR="002F07C4">
          <w:rPr>
            <w:b/>
            <w:i/>
            <w:color w:val="0000FF"/>
            <w:sz w:val="28"/>
            <w:u w:val="single"/>
          </w:rPr>
          <w:t>På väg mot den gemensamma jordbrukspolitiken efter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7"/>
        <w:gridCol w:w="7860"/>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Föredragande</w:t>
            </w:r>
          </w:p>
        </w:tc>
        <w:tc>
          <w:tcPr>
            <w:tcW w:w="4267" w:type="pct"/>
          </w:tcPr>
          <w:p w:rsidRPr="0048644C" w:rsidR="0048644C" w:rsidP="0048644C" w:rsidRDefault="0048644C" w14:paraId="0A2388D7" w14:textId="7DE5EA6F">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(Gruppen för civilsamhällesorganisationer –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Referenser</w:t>
            </w:r>
          </w:p>
        </w:tc>
        <w:tc>
          <w:tcPr>
            <w:tcW w:w="4267" w:type="pct"/>
          </w:tcPr>
          <w:p w:rsidRPr="0048644C" w:rsidR="0048644C" w:rsidP="0048644C" w:rsidRDefault="0048644C" w14:paraId="12F473B0" w14:textId="785FAF77">
            <w:pPr>
              <w:tabs>
                <w:tab w:val="center" w:pos="284"/>
              </w:tabs>
              <w:overflowPunct w:val="0"/>
              <w:autoSpaceDE w:val="0"/>
              <w:autoSpaceDN w:val="0"/>
              <w:adjustRightInd w:val="0"/>
              <w:ind w:left="266" w:hanging="266"/>
              <w:textAlignment w:val="baseline"/>
            </w:pPr>
            <w:r>
              <w:t>Förberedande yttrande på begäran av det belgiska rådsordförandeskapet</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0E5EDB" w:rsidRDefault="0048644C" w14:paraId="66B2F906" w14:textId="5A6361DC">
      <w:pPr>
        <w:keepNext/>
        <w:keepLines/>
        <w:overflowPunct w:val="0"/>
        <w:autoSpaceDE w:val="0"/>
        <w:autoSpaceDN w:val="0"/>
        <w:adjustRightInd w:val="0"/>
        <w:textAlignment w:val="baseline"/>
        <w:rPr>
          <w:b/>
        </w:rPr>
      </w:pPr>
      <w:r>
        <w:rPr>
          <w:b/>
        </w:rPr>
        <w:t>Huvudpunkter</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EESK anser att den gemensamma jordbrukspolitiken efter 2027</w:t>
      </w:r>
    </w:p>
    <w:p w:rsidRPr="000E5EDB" w:rsidR="0048644C" w:rsidP="000E5EDB"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0" w:id="34"/>
      <w:r>
        <w:t xml:space="preserve">måste tillhandahålla en </w:t>
      </w:r>
      <w:r>
        <w:rPr>
          <w:b/>
        </w:rPr>
        <w:t>stabil och långsiktig politisk ram</w:t>
      </w:r>
      <w:r>
        <w:t xml:space="preserve"> som är inriktad på hållbar livsmedelsproduktion och öppet strategiskt oberoende för Europeiska unionen, samtidigt som den skyddar de många olika typerna av jordbruk i EU och tillgodoser samhälleliga och ekologiska behov (”offentliga medel för kollektiva nyttigheter”), vid sidan av att trygga landsbygdsutvecklingen,</w:t>
      </w:r>
      <w:bookmarkEnd w:id="34"/>
    </w:p>
    <w:p w:rsidRPr="000E5EDB" w:rsidR="0048644C" w:rsidP="000E5EDB"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1" w:id="35"/>
      <w:r>
        <w:t xml:space="preserve">måste vara en </w:t>
      </w:r>
      <w:r>
        <w:rPr>
          <w:b/>
        </w:rPr>
        <w:t>väckarklocka</w:t>
      </w:r>
      <w:r>
        <w:t xml:space="preserve"> som belyser behovet av att ge jordbrukarna tillräckligt stöd under omställningen,</w:t>
      </w:r>
      <w:bookmarkEnd w:id="35"/>
      <w:r>
        <w:t xml:space="preserve"> </w:t>
      </w:r>
    </w:p>
    <w:p w:rsidRPr="000E5EDB" w:rsidR="0048644C" w:rsidP="000E5EDB"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2" w:id="36"/>
      <w:r>
        <w:t xml:space="preserve">trots att den andel av EU:s budget som går till den gemensamma jordbrukspolitiken har minskat konstant under de senaste 40 åren, till strax under 25 % år 2021, måste ha </w:t>
      </w:r>
      <w:r>
        <w:rPr>
          <w:b/>
        </w:rPr>
        <w:t>finansiering</w:t>
      </w:r>
      <w:r>
        <w:t xml:space="preserve"> som står i proportion till dess ambition att stödja en rättvis omställning, och att det grundläggande inkomststödet baserat på areal gradvis bör ersättas med ekonomiska incitament för jordbrukarna för miljötjänster och sociala tjänster, med en rimlig övergångsperiod som kan sträcka sig längre än tillämpningsområdet för en enda flerårig budgetram,</w:t>
      </w:r>
      <w:bookmarkEnd w:id="36"/>
      <w:r>
        <w:t xml:space="preserve"> </w:t>
      </w:r>
    </w:p>
    <w:p w:rsidRPr="000E5EDB" w:rsidR="0048644C" w:rsidP="000E5EDB"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3" w:id="37"/>
      <w:r>
        <w:t xml:space="preserve">vid sidan av andra politikområden och för att avvärja en ytterligare minskning av antalet jordbruksföretag i EU bör främja ett </w:t>
      </w:r>
      <w:r>
        <w:rPr>
          <w:b/>
        </w:rPr>
        <w:t>generationsskifte</w:t>
      </w:r>
      <w:r>
        <w:t xml:space="preserve"> genom tillgång till mark, högre genomsnittsinkomst från jordbruksverksamhet, gynnsamma investeringsvillkor, kvinnors egenmakt, goda arbetsvillkor, förbättrade långsiktiga utsikter för jordbrukare, främjande av ett hållbart utnyttjande av övergiven eller marginell mark samt extensiv boskapsuppfödning,</w:t>
      </w:r>
      <w:bookmarkEnd w:id="37"/>
    </w:p>
    <w:p w:rsidRPr="000E5EDB" w:rsidR="0048644C" w:rsidP="000E5EDB" w:rsidRDefault="0048644C" w14:paraId="02D08C86" w14:textId="1630F6C2">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4" w:id="38"/>
      <w:r>
        <w:t xml:space="preserve">måste bevara en hållbar jordbruksproduktion i hela EU och bidra till att främja </w:t>
      </w:r>
      <w:r>
        <w:rPr>
          <w:b/>
        </w:rPr>
        <w:t>konsumenternas efterfrågan</w:t>
      </w:r>
      <w:r>
        <w:t xml:space="preserve"> i EU på hälsosammare och mer hållbar kost, minska matsvinnet och reglera livsmedelsmarknaderna i syfte att ta itu med </w:t>
      </w:r>
      <w:proofErr w:type="spellStart"/>
      <w:r>
        <w:t>finansialiseringen</w:t>
      </w:r>
      <w:proofErr w:type="spellEnd"/>
      <w:r>
        <w:t xml:space="preserve"> av livsmedels</w:t>
      </w:r>
      <w:r w:rsidR="00767EF5">
        <w:softHyphen/>
      </w:r>
      <w:r>
        <w:t>sektorn,</w:t>
      </w:r>
      <w:bookmarkEnd w:id="38"/>
    </w:p>
    <w:p w:rsidRPr="000E5EDB" w:rsidR="0048644C" w:rsidP="000E5EDB"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5" w:id="39"/>
      <w:r>
        <w:t xml:space="preserve">kanske bör omfatta </w:t>
      </w:r>
      <w:r>
        <w:rPr>
          <w:b/>
        </w:rPr>
        <w:t>kontracykliska komponenter</w:t>
      </w:r>
      <w:r>
        <w:t xml:space="preserve"> och tillhandahålla ordningar för investeringsstöd för produktion av förnybar energi på gårdsnivå och lokal nivå på landsbygden,</w:t>
      </w:r>
      <w:bookmarkEnd w:id="39"/>
    </w:p>
    <w:p w:rsidRPr="000E5EDB" w:rsidR="0048644C" w:rsidP="000E5EDB"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6" w:id="40"/>
      <w:r>
        <w:t xml:space="preserve">bör baseras på förstärkta offentlig-privata partnerskap för </w:t>
      </w:r>
      <w:r>
        <w:rPr>
          <w:b/>
        </w:rPr>
        <w:t>försäkringssystem</w:t>
      </w:r>
      <w:r>
        <w:t xml:space="preserve"> som svar på konsekvenserna av extrema klimatförhållanden,</w:t>
      </w:r>
      <w:bookmarkEnd w:id="40"/>
    </w:p>
    <w:p w:rsidRPr="000E5EDB" w:rsidR="0048644C" w:rsidP="000E5EDB"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7" w:id="41"/>
      <w:r>
        <w:t xml:space="preserve">bör stödja </w:t>
      </w:r>
      <w:r>
        <w:rPr>
          <w:b/>
        </w:rPr>
        <w:t>digital teknik</w:t>
      </w:r>
      <w:r>
        <w:t xml:space="preserve"> som bevisat bidrar till att minska natur- och miljöpåverkan eller förbättra djurskyddet eller arbetsvillkoren,</w:t>
      </w:r>
      <w:bookmarkEnd w:id="41"/>
    </w:p>
    <w:p w:rsidRPr="000E5EDB" w:rsidR="0048644C" w:rsidP="000E5EDB"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57768468" w:id="42"/>
      <w:r>
        <w:t xml:space="preserve">bör omfatta </w:t>
      </w:r>
      <w:r>
        <w:rPr>
          <w:b/>
        </w:rPr>
        <w:t>reviderade processer</w:t>
      </w:r>
      <w:r>
        <w:t xml:space="preserve"> för att utforma och anpassa de strategiska planerna i syfte att möjliggöra berörda parters deltagande, större flexibilitet för medlemsstaterna och snabbare anpassningar efter det ursprungliga godkännandet av planerna.</w:t>
      </w:r>
      <w:bookmarkEnd w:id="42"/>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Pr>
                <w:i/>
              </w:rPr>
              <w:t xml:space="preserve">Martine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Tfn</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E-post:</w:t>
            </w:r>
          </w:p>
        </w:tc>
        <w:tc>
          <w:tcPr>
            <w:tcW w:w="3444" w:type="pct"/>
          </w:tcPr>
          <w:p w:rsidRPr="0048644C" w:rsidR="0048644C" w:rsidP="0048644C" w:rsidRDefault="00494D13" w14:paraId="7C6FE1E8" w14:textId="755735AE">
            <w:pPr>
              <w:overflowPunct w:val="0"/>
              <w:autoSpaceDE w:val="0"/>
              <w:autoSpaceDN w:val="0"/>
              <w:adjustRightInd w:val="0"/>
              <w:spacing w:line="240" w:lineRule="auto"/>
              <w:textAlignment w:val="baseline"/>
              <w:rPr>
                <w:i/>
              </w:rPr>
            </w:pPr>
            <w:hyperlink w:history="1" r:id="rId40">
              <w:r w:rsidR="002F07C4">
                <w:rPr>
                  <w:i/>
                  <w:color w:val="0000FF"/>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43"/>
      <w:bookmarkStart w:name="_Toc157768469" w:id="44"/>
      <w:r>
        <w:rPr>
          <w:b/>
        </w:rPr>
        <w:lastRenderedPageBreak/>
        <w:t>YTTRE FÖRBINDELSER</w:t>
      </w:r>
      <w:bookmarkEnd w:id="43"/>
      <w:bookmarkEnd w:id="44"/>
    </w:p>
    <w:p w:rsidRPr="00BD0493" w:rsidR="00BD0493" w:rsidP="00BD0493" w:rsidRDefault="00BD0493" w14:paraId="10EC00FD" w14:textId="77777777"/>
    <w:p w:rsidRPr="005D0E3D" w:rsidR="005D0E3D" w:rsidP="005D0E3D" w:rsidRDefault="00494D13"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1">
        <w:r w:rsidR="002F07C4">
          <w:rPr>
            <w:b/>
            <w:i/>
            <w:color w:val="0000FF"/>
            <w:sz w:val="28"/>
            <w:u w:val="single"/>
          </w:rPr>
          <w:t>Hantering av klimatförändringarnas och miljöförstöringens inverkan på fred, säkerhet och försvar</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Föredragande</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Özlem</w:t>
            </w:r>
            <w:proofErr w:type="spellEnd"/>
            <w:r>
              <w:t xml:space="preserve"> </w:t>
            </w:r>
            <w:proofErr w:type="spellStart"/>
            <w:r>
              <w:t>Yıldırım</w:t>
            </w:r>
            <w:proofErr w:type="spellEnd"/>
            <w:r>
              <w:t xml:space="preserve"> (Arbetstagargruppen –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79BBB9E5">
            <w:pPr>
              <w:tabs>
                <w:tab w:val="center" w:pos="284"/>
              </w:tabs>
              <w:overflowPunct w:val="0"/>
              <w:autoSpaceDE w:val="0"/>
              <w:autoSpaceDN w:val="0"/>
              <w:adjustRightInd w:val="0"/>
              <w:ind w:left="266" w:hanging="266"/>
              <w:textAlignment w:val="baseline"/>
              <w:rPr>
                <w:b/>
              </w:rPr>
            </w:pPr>
            <w:r>
              <w:rPr>
                <w:b/>
              </w:rPr>
              <w:t>Referenser</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JOIN(2023) 19 final</w:t>
            </w:r>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Pr>
          <w:b/>
        </w:rPr>
        <w:t>Huvudpunkter</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proofErr w:type="spellStart"/>
      <w:r>
        <w:t>EESK:s</w:t>
      </w:r>
      <w:proofErr w:type="spellEnd"/>
      <w:r>
        <w:t xml:space="preserve"> ståndpunkt:</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EESK anser att klimatförändringarnas inverkan innebär en ökad risk för och ett ökat hot mot freden och den europeiska och internationella säkerheten.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Vi stöder kommissionens avsikt att ta hänsyn till problematiken kring klimat och säkerhet, men noterar att de geografiska, politiska och militära parametrarna för detta måste ringas in bättre.</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EESK anser att det är bråttom att investera i uppbyggnaden av motståndskraftig beredskap, bland annat genom att förbereda europeiska beslutsprocesser inför dessa typer av framtida spänningar.</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EU-institutionerna bör överväga att i unionens politik beakta de snabbt föränderliga biofysiska realiteterna (som människors liv och välbefinnande är beroende av) och den politiska sammanhållningen (både mellan medlemsstaterna och med EU:s grannländer och partner).</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EESK påminner om det europeiska projektets grundläggande uppdrag, nämligen att främja och bevara freden, och upprepar att detta är av yttersta vikt. För att lyckas med detta måste Europa intensifiera sina fredsbyggande insatser. Detta fredsfrämjande arbete är oupplösligt förbundet med bevarandet och främjandet av grundläggande rättigheter och av demokratin. Genom att beakta kopplingen mellan klimat och säkerhet strävar man efter att bevara dessa rättigheter, eftersom syftet med denna ansats är att upprätthålla och främja de grundläggande rättigheterna mot bakgrund av de utmaningar som osäkerheten kring klimatförändringarna ger upphov till för såväl individer som samhällen.</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 xml:space="preserve">EESK rekommenderar att kopplingen mellan klimat och säkerhet beaktas starkare genom att det skapas proaktiva gränssnitt mellan de institutioner som ansvarar för yttre förbindelser, den inre sammanhållningen i unionen och medlemsstaternas säkerhets- och försvarstjänster, och genom att det inrättas en permanent dialog med forskarsamhället. I dessa förstärkningar bör man integrera bidrag från forskning och innovation om </w:t>
      </w:r>
      <w:proofErr w:type="spellStart"/>
      <w:r>
        <w:t>resiliens</w:t>
      </w:r>
      <w:proofErr w:type="spellEnd"/>
      <w:r>
        <w:t>, vilket gör det möjligt att förbättra både framsynthet och effektivitet i EU:s åtgärder.</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Kontaktperson:</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Dujmović</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Tfn</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E-post:</w:t>
            </w:r>
          </w:p>
        </w:tc>
        <w:tc>
          <w:tcPr>
            <w:tcW w:w="4252" w:type="dxa"/>
          </w:tcPr>
          <w:p w:rsidRPr="005D0E3D" w:rsidR="005D0E3D" w:rsidP="005D0E3D" w:rsidRDefault="00494D13" w14:paraId="7D5BAAE0" w14:textId="69E0C0B9">
            <w:pPr>
              <w:overflowPunct w:val="0"/>
              <w:autoSpaceDE w:val="0"/>
              <w:autoSpaceDN w:val="0"/>
              <w:adjustRightInd w:val="0"/>
              <w:spacing w:line="240" w:lineRule="auto"/>
              <w:textAlignment w:val="baseline"/>
              <w:rPr>
                <w:i/>
              </w:rPr>
            </w:pPr>
            <w:hyperlink w:history="1" r:id="rId42">
              <w:r w:rsidR="002F07C4">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5CCAA924">
      <w:pPr>
        <w:pStyle w:val="Heading1"/>
        <w:ind w:hanging="928"/>
        <w:rPr>
          <w:b/>
          <w:bCs/>
        </w:rPr>
      </w:pPr>
      <w:bookmarkStart w:name="_Toc153539712" w:id="45"/>
      <w:bookmarkStart w:name="_Toc157768470" w:id="46"/>
      <w:r>
        <w:rPr>
          <w:b/>
        </w:rPr>
        <w:lastRenderedPageBreak/>
        <w:t>TRANSPORTER, ENERGI, INFRASTRUKTUR OCH INFORMATIONSSAMHÄLLET</w:t>
      </w:r>
      <w:bookmarkEnd w:id="45"/>
      <w:bookmarkEnd w:id="46"/>
    </w:p>
    <w:p w:rsidR="0092772D" w:rsidP="00775FC4" w:rsidRDefault="0092772D" w14:paraId="764F554F" w14:textId="3DB1B15F">
      <w:pPr>
        <w:keepNext/>
        <w:keepLines/>
      </w:pPr>
    </w:p>
    <w:p w:rsidRPr="00AE6861" w:rsidR="00AE6861" w:rsidP="00AE6861" w:rsidRDefault="00494D13"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3">
        <w:r w:rsidR="002F07C4">
          <w:rPr>
            <w:b/>
            <w:i/>
            <w:color w:val="0000FF"/>
            <w:sz w:val="28"/>
            <w:u w:val="single"/>
          </w:rPr>
          <w:t>Planering av gränsöverskridande energiinfrastruktur</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6838" w:type="dxa"/>
          </w:tcPr>
          <w:p w:rsidRPr="00AE6861" w:rsidR="00AE6861" w:rsidP="00AE6861" w:rsidRDefault="00AE6861" w14:paraId="3E0F0420" w14:textId="4DC0B14D">
            <w:pPr>
              <w:tabs>
                <w:tab w:val="center" w:pos="284"/>
              </w:tabs>
              <w:overflowPunct w:val="0"/>
              <w:autoSpaceDE w:val="0"/>
              <w:autoSpaceDN w:val="0"/>
              <w:adjustRightInd w:val="0"/>
              <w:ind w:left="266" w:hanging="266"/>
              <w:textAlignment w:val="baseline"/>
            </w:pPr>
            <w:r>
              <w:t xml:space="preserve">Thomas </w:t>
            </w:r>
            <w:proofErr w:type="spellStart"/>
            <w:r>
              <w:t>Kattnig</w:t>
            </w:r>
            <w:proofErr w:type="spellEnd"/>
            <w:r>
              <w:t xml:space="preserve"> (Arbetstagargruppen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Referenser</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Förberedande yttrande på begäran av det belgiska rådsordförandeskapet</w:t>
            </w:r>
          </w:p>
          <w:p w:rsidRPr="00AE6861" w:rsidR="00AE6861" w:rsidP="00AE6861" w:rsidRDefault="00AE6861" w14:paraId="793F9518" w14:textId="745EC39E">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Huvudpunkter</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EESK betonar att energiinfrastruktur, såsom infrastruktur för transport och distribution av energi, inte kan betraktas som vilken handelsvara som helst utan i stället måste klassificeras som en tjänst av allmänt intresse för ekonomin och befolkningen.</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Kommittén anser att särskild uppmärksamhet bör ägnas åt att fastställa nätutbyggnaden, inklusive sammanlänkningar över gränserna, både på land och till havs, som kritisk infrastruktur av överordnat allmänintresse, införa klimatskydd som ett regleringsmål och, mer allmänt, bättre synkronisera planeringen av förnybar energi och elnätet.</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Med tanke på den ökande efterfrågan är det särskilt viktigt att betydande investeringar görs i elnät för att stimulera den europeiska ekonomin och skapa (gröna) arbetstillfällen av hög kvalitet.</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Det behövs mer bindande åtgärder för systemansvariga för överföringssystem och systemansvariga för distributionssystem, men även för att inkludera energiproducenter i nätstabiliseringsåtgärderna, i syfte att bättre samordna deras åtgärder och göra så att nätet kan dra nytta av digitalisering.</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Energiinfrastruktur såsom storskaliga energianläggningar förtjänar särskild uppmärksamhet när det gäller säkerhetsåtgärder. I synnerhet bör (cyber)säkerhetsfrågan ges ännu högre prioritet.</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Tfn</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+32 25468535</w:t>
            </w:r>
          </w:p>
        </w:tc>
      </w:tr>
      <w:tr w:rsidRPr="00AE6861" w:rsidR="00AE6861" w:rsidTr="00F655B8" w14:paraId="194AB4C5" w14:textId="77777777">
        <w:tc>
          <w:tcPr>
            <w:tcW w:w="1418" w:type="dxa"/>
          </w:tcPr>
          <w:p w:rsidRPr="00AE6861" w:rsidR="00AE6861" w:rsidP="00AE6861" w:rsidRDefault="006B1A4D" w14:paraId="5F0CF1BE" w14:textId="72836CC5">
            <w:pPr>
              <w:overflowPunct w:val="0"/>
              <w:autoSpaceDE w:val="0"/>
              <w:autoSpaceDN w:val="0"/>
              <w:adjustRightInd w:val="0"/>
              <w:spacing w:line="240" w:lineRule="auto"/>
              <w:textAlignment w:val="baseline"/>
              <w:rPr>
                <w:i/>
              </w:rPr>
            </w:pPr>
            <w:r>
              <w:rPr>
                <w:i/>
              </w:rPr>
              <w:t>E-post:</w:t>
            </w:r>
          </w:p>
        </w:tc>
        <w:tc>
          <w:tcPr>
            <w:tcW w:w="5670" w:type="dxa"/>
          </w:tcPr>
          <w:p w:rsidRPr="00AE6861" w:rsidR="00AE6861" w:rsidP="00AE6861" w:rsidRDefault="00494D13" w14:paraId="0EA2DED1" w14:textId="77777777">
            <w:pPr>
              <w:overflowPunct w:val="0"/>
              <w:autoSpaceDE w:val="0"/>
              <w:autoSpaceDN w:val="0"/>
              <w:adjustRightInd w:val="0"/>
              <w:spacing w:line="240" w:lineRule="auto"/>
              <w:textAlignment w:val="baseline"/>
              <w:rPr>
                <w:i/>
                <w:iCs/>
              </w:rPr>
            </w:pPr>
            <w:hyperlink w:history="1" r:id="rId44">
              <w:r w:rsidR="002F07C4">
                <w:rPr>
                  <w:i/>
                  <w:color w:val="0000FF"/>
                  <w:u w:val="single"/>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8778F4">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BDF" w14:textId="77777777" w:rsidR="00215B75" w:rsidRDefault="00215B75" w:rsidP="003B0516">
      <w:pPr>
        <w:spacing w:line="240" w:lineRule="auto"/>
      </w:pPr>
      <w:r>
        <w:separator/>
      </w:r>
    </w:p>
  </w:endnote>
  <w:endnote w:type="continuationSeparator" w:id="0">
    <w:p w14:paraId="0CF7AA27" w14:textId="77777777" w:rsidR="00215B75" w:rsidRDefault="00215B7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CAB" w14:textId="77777777" w:rsidR="00134B23" w:rsidRPr="008778F4" w:rsidRDefault="00134B23" w:rsidP="0087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644EC15" w:rsidR="00765C4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rsidR="00CD621A">
      <w:t>1</w:t>
    </w:r>
    <w:r>
      <w:fldChar w:fldCharType="end"/>
    </w:r>
    <w:r>
      <w:t>/</w:t>
    </w:r>
    <w:r w:rsidR="00494D13">
      <w:fldChar w:fldCharType="begin"/>
    </w:r>
    <w:r w:rsidR="00494D13">
      <w:instrText xml:space="preserve"> NUMPAGES </w:instrText>
    </w:r>
    <w:r w:rsidR="00494D13">
      <w:fldChar w:fldCharType="separate"/>
    </w:r>
    <w:r w:rsidR="00CD621A">
      <w:t>1</w:t>
    </w:r>
    <w:r w:rsidR="00494D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4D2" w14:textId="77777777" w:rsidR="00134B23" w:rsidRPr="008778F4" w:rsidRDefault="00134B23" w:rsidP="0087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8778F4" w:rsidRDefault="00E4258F" w:rsidP="008778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72A4C58" w:rsidR="00E4258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t>2</w:t>
    </w:r>
    <w:r>
      <w:fldChar w:fldCharType="end"/>
    </w:r>
    <w:r>
      <w:t>/</w:t>
    </w:r>
    <w:r w:rsidR="00494D13">
      <w:fldChar w:fldCharType="begin"/>
    </w:r>
    <w:r w:rsidR="00494D13">
      <w:instrText xml:space="preserve"> NUMPAGES </w:instrText>
    </w:r>
    <w:r w:rsidR="00494D13">
      <w:fldChar w:fldCharType="separate"/>
    </w:r>
    <w:r>
      <w:t>8</w:t>
    </w:r>
    <w:r w:rsidR="00494D1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8778F4" w:rsidRDefault="00E4258F" w:rsidP="0087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5E4" w14:textId="77777777" w:rsidR="00215B75" w:rsidRDefault="00215B75" w:rsidP="003B0516">
      <w:pPr>
        <w:spacing w:line="240" w:lineRule="auto"/>
      </w:pPr>
      <w:r>
        <w:separator/>
      </w:r>
    </w:p>
  </w:footnote>
  <w:footnote w:type="continuationSeparator" w:id="0">
    <w:p w14:paraId="6B7B7113" w14:textId="77777777" w:rsidR="00215B75" w:rsidRDefault="00215B7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419" w14:textId="77777777" w:rsidR="00134B23" w:rsidRPr="008778F4" w:rsidRDefault="00134B23" w:rsidP="0087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AC7F" w14:textId="0AAABE86" w:rsidR="00134B23" w:rsidRPr="008778F4" w:rsidRDefault="00134B23" w:rsidP="0087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922" w14:textId="77777777" w:rsidR="00134B23" w:rsidRPr="008778F4" w:rsidRDefault="00134B23" w:rsidP="0087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8778F4" w:rsidRDefault="00E4258F" w:rsidP="008778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2BEB4B1" w:rsidR="00E4258F" w:rsidRPr="008778F4" w:rsidRDefault="00E4258F" w:rsidP="00877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8778F4" w:rsidRDefault="00E4258F" w:rsidP="0087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7C4"/>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175"/>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4D13"/>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39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67EF5"/>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C7A"/>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97E77"/>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3CD"/>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21A"/>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B72"/>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bidi="hi-x-bh-SD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en/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en/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n/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euro-area-economic-policy-2024" TargetMode="External"/><Relationship Id="rId27" Type="http://schemas.openxmlformats.org/officeDocument/2006/relationships/hyperlink" Target="https://www.eesc.europa.eu/en/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en/our-work/opinions-information-reports/opinions/revision-late-payments-directive" TargetMode="External"/><Relationship Id="rId43" Type="http://schemas.openxmlformats.org/officeDocument/2006/relationships/hyperlink" Target="https://www.eesc.europa.eu/en/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s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corruption-public-procurement-and-its-impact-internal-market" TargetMode="External"/><Relationship Id="rId33"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en/our-work/opinions-information-reports/opinions/establishing-head-office-tax-system-smes-hot" TargetMode="External"/><Relationship Id="rId41" Type="http://schemas.openxmlformats.org/officeDocument/2006/relationships/hyperlink" Target="https://www.eesc.europa.eu/en/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XMKEDVFMMJCW-1998863520-5423</_dlc_DocId>
    <_dlc_DocIdUrl xmlns="56a5413d-c261-4a00-870c-a20d3379ae6d">
      <Url>http://dm/eesc/2023/_layouts/15/DocIdRedir.aspx?ID=XMKEDVFMMJCW-1998863520-5423</Url>
      <Description>XMKEDVFMMJCW-1998863520-5423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Wennblom Karin</DisplayName>
        <AccountId>2204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B2F1F-4112-4B45-AC7D-637BBF6153D1}"/>
</file>

<file path=customXml/itemProps2.xml><?xml version="1.0" encoding="utf-8"?>
<ds:datastoreItem xmlns:ds="http://schemas.openxmlformats.org/officeDocument/2006/customXml" ds:itemID="{85EE1146-F87A-4CFF-BFCD-D0954ADFBC2B}"/>
</file>

<file path=customXml/itemProps3.xml><?xml version="1.0" encoding="utf-8"?>
<ds:datastoreItem xmlns:ds="http://schemas.openxmlformats.org/officeDocument/2006/customXml" ds:itemID="{050DD36F-629E-44BB-867F-151242B4DF3E}"/>
</file>

<file path=customXml/itemProps4.xml><?xml version="1.0" encoding="utf-8"?>
<ds:datastoreItem xmlns:ds="http://schemas.openxmlformats.org/officeDocument/2006/customXml" ds:itemID="{2E39C9DE-83DC-4050-A62E-C2C6421A112B}"/>
</file>

<file path=docProps/app.xml><?xml version="1.0" encoding="utf-8"?>
<Properties xmlns="http://schemas.openxmlformats.org/officeDocument/2006/extended-properties" xmlns:vt="http://schemas.openxmlformats.org/officeDocument/2006/docPropsVTypes">
  <Template>Normal.dotm</Template>
  <TotalTime>0</TotalTime>
  <Pages>15</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- 584:e plenarsessionen januari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Wennblom Karin</cp:lastModifiedBy>
  <cp:revision>13</cp:revision>
  <cp:lastPrinted>2023-06-15T08:00:00Z</cp:lastPrinted>
  <dcterms:created xsi:type="dcterms:W3CDTF">2024-02-02T10:46:00Z</dcterms:created>
  <dcterms:modified xsi:type="dcterms:W3CDTF">2024-02-02T11:20:00Z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217b678b-8d26-4e1d-9dea-2da60f33f0e5</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ES|e7a6b05b-ae16-40c8-add9-68b64b03aeba;HR|2f555653-ed1a-4fe6-8362-9082d95989e5;FI|87606a43-d45f-42d6-b8c9-e1a3457db5b7;NL|55c6556c-b4f4-441d-9acf-c498d4f838bd;IT|0774613c-01ed-4e5d-a25d-11d2388de825;HU|6b229040-c589-4408-b4c1-4285663d20a8;EL|6d4f4d51-af9b-4650-94b4-4276bee85c91;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31;#NL|55c6556c-b4f4-441d-9acf-c498d4f838bd;#30;#IT|0774613c-01ed-4e5d-a25d-11d2388de825;#25;#ES|e7a6b05b-ae16-40c8-add9-68b64b03aeba;#38;#EL|6d4f4d51-af9b-4650-94b4-4276bee85c91;#59;#SPL-CES|32d8cb1f-c9ec-4365-95c7-8385a18618ac;#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21;#SV|c2ed69e7-a339-43d7-8f22-d93680a92aa0</vt:lpwstr>
  </property>
</Properties>
</file>