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4839AF" w14:paraId="785AE44C" w14:textId="036A34D9">
      <w:pPr>
        <w:jc w:val="center"/>
      </w:pPr>
      <w:r>
        <w:rPr>
          <w:noProof/>
        </w:rPr>
        <w:drawing>
          <wp:inline distT="0" distB="0" distL="0" distR="0" wp14:anchorId="067269B9" wp14:editId="5CC16C72">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2" name="Picture 2"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1C7A1DB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t>Bruxelles, 2 februarie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BFCADBB">
            <w:pPr>
              <w:snapToGrid w:val="0"/>
              <w:jc w:val="center"/>
              <w:rPr>
                <w:b/>
                <w:sz w:val="32"/>
              </w:rPr>
            </w:pPr>
            <w:r>
              <w:rPr>
                <w:b/>
                <w:sz w:val="32"/>
              </w:rPr>
              <w:t>A 582-A SESIUNE PLENARĂ</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17 și 18 ianuarie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0D8B8A4E">
            <w:pPr>
              <w:snapToGrid w:val="0"/>
              <w:jc w:val="center"/>
              <w:rPr>
                <w:rFonts w:eastAsia="MS Mincho"/>
                <w:b/>
                <w:sz w:val="32"/>
                <w:szCs w:val="32"/>
              </w:rPr>
            </w:pPr>
            <w:r>
              <w:rPr>
                <w:b/>
                <w:sz w:val="32"/>
              </w:rPr>
              <w:t>REZUMATUL AVIZELOR, REZOLUȚIILOR ȘI RAPOARTELOR DE INFORMARE/EVALUARE ADOPTATE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Prezentul document este disponibil în limbile oficiale ale UE pe site-ul internet al CESE, la adresa:</w:t>
            </w:r>
          </w:p>
          <w:p w:rsidRPr="00094B6B" w:rsidR="00B16284" w:rsidP="00775FC4" w:rsidRDefault="00B16284" w14:paraId="4F26A4CE" w14:textId="77777777">
            <w:pPr>
              <w:snapToGrid w:val="0"/>
              <w:jc w:val="center"/>
            </w:pPr>
          </w:p>
          <w:p w:rsidRPr="00094B6B" w:rsidR="004D7AC0" w:rsidP="00775FC4" w:rsidRDefault="00901E5A" w14:paraId="2A9352A2" w14:textId="0680ADB6">
            <w:pPr>
              <w:snapToGrid w:val="0"/>
              <w:jc w:val="center"/>
            </w:pPr>
            <w:hyperlink w:history="1" r:id="rId12">
              <w:r w:rsidR="008778F4">
                <w:rPr>
                  <w:rStyle w:val="Hyperlink"/>
                </w:rPr>
                <w:t>https://www.eesc.europa.eu/ro/our-work/opinions-information-reports/plenary-session-summaries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Avizele menționate pot fi consultate online prin intermediul motorului de căutare al CESE:</w:t>
            </w:r>
          </w:p>
          <w:p w:rsidRPr="00094B6B" w:rsidR="00B16284" w:rsidP="00775FC4" w:rsidRDefault="00B16284" w14:paraId="7A5411A5" w14:textId="77777777">
            <w:pPr>
              <w:snapToGrid w:val="0"/>
              <w:jc w:val="center"/>
            </w:pPr>
          </w:p>
          <w:p w:rsidRPr="00094B6B" w:rsidR="004D7AC0" w:rsidP="00775FC4" w:rsidRDefault="00901E5A" w14:paraId="441AC4DD" w14:textId="1194D751">
            <w:pPr>
              <w:snapToGrid w:val="0"/>
              <w:jc w:val="center"/>
            </w:pPr>
            <w:hyperlink w:history="1" r:id="rId13">
              <w:r w:rsidR="004839AF">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Cuprins</w:t>
          </w:r>
        </w:p>
        <w:p w:rsidRPr="000E5EDB" w:rsidR="00326CD9" w:rsidRDefault="00544D95" w14:paraId="29C68370" w14:textId="75757294">
          <w:pPr>
            <w:pStyle w:val="TOC1"/>
            <w:rPr>
              <w:rFonts w:asciiTheme="minorHAnsi" w:hAnsiTheme="minorHAnsi" w:eastAsiaTheme="minorEastAsia" w:cstheme="minorBidi"/>
              <w:b/>
              <w:bCs w:val="0"/>
            </w:rPr>
          </w:pPr>
          <w:r w:rsidRPr="00544D95">
            <w:fldChar w:fldCharType="begin"/>
          </w:r>
          <w:r w:rsidRPr="00544D95">
            <w:instrText xml:space="preserve"> TOC \o "1-3" \h \z \u </w:instrText>
          </w:r>
          <w:r w:rsidRPr="00544D95">
            <w:fldChar w:fldCharType="separate"/>
          </w:r>
          <w:hyperlink w:history="1" w:anchor="_Toc157076135">
            <w:r w:rsidRPr="000E5EDB" w:rsidR="00326CD9">
              <w:rPr>
                <w:rStyle w:val="Hyperlink"/>
                <w:b/>
                <w14:scene3d>
                  <w14:camera w14:prst="orthographicFront"/>
                  <w14:lightRig w14:rig="threePt" w14:dir="t">
                    <w14:rot w14:lat="0" w14:lon="0" w14:rev="0"/>
                  </w14:lightRig>
                </w14:scene3d>
              </w:rPr>
              <w:t>1.</w:t>
            </w:r>
            <w:r w:rsidRPr="000E5EDB" w:rsidR="00326CD9">
              <w:rPr>
                <w:rFonts w:asciiTheme="minorHAnsi" w:hAnsiTheme="minorHAnsi" w:eastAsiaTheme="minorEastAsia" w:cstheme="minorBidi"/>
                <w:b/>
              </w:rPr>
              <w:tab/>
            </w:r>
            <w:r w:rsidR="004348A5">
              <w:rPr>
                <w:b/>
              </w:rPr>
              <w:t>SECȚIUNEA PENTRU UNIUNEA ECONOMICĂ ȘI MONETARĂ ȘI COEZIUNE ECONOMICĂ ȘI SOCIALĂ</w:t>
            </w:r>
            <w:r w:rsidRPr="000E5EDB" w:rsidR="00326CD9">
              <w:rPr>
                <w:b/>
                <w:webHidden/>
              </w:rPr>
              <w:tab/>
            </w:r>
            <w:r w:rsidRPr="000E5EDB" w:rsidR="00326CD9">
              <w:rPr>
                <w:b/>
                <w:webHidden/>
              </w:rPr>
              <w:fldChar w:fldCharType="begin"/>
            </w:r>
            <w:r w:rsidRPr="000E5EDB" w:rsidR="00326CD9">
              <w:rPr>
                <w:b/>
                <w:webHidden/>
              </w:rPr>
              <w:instrText xml:space="preserve"> PAGEREF _Toc157076135 \h </w:instrText>
            </w:r>
            <w:r w:rsidRPr="000E5EDB" w:rsidR="00326CD9">
              <w:rPr>
                <w:b/>
                <w:webHidden/>
              </w:rPr>
            </w:r>
            <w:r w:rsidRPr="000E5EDB" w:rsidR="00326CD9">
              <w:rPr>
                <w:b/>
                <w:webHidden/>
              </w:rPr>
              <w:fldChar w:fldCharType="separate"/>
            </w:r>
            <w:r w:rsidR="004348A5">
              <w:rPr>
                <w:b/>
                <w:webHidden/>
              </w:rPr>
              <w:t>3</w:t>
            </w:r>
            <w:r w:rsidRPr="000E5EDB" w:rsidR="00326CD9">
              <w:rPr>
                <w:b/>
                <w:webHidden/>
              </w:rPr>
              <w:fldChar w:fldCharType="end"/>
            </w:r>
          </w:hyperlink>
        </w:p>
        <w:p w:rsidRPr="000E5EDB" w:rsidR="00326CD9" w:rsidRDefault="00901E5A" w14:paraId="21D13557" w14:textId="197F346D">
          <w:pPr>
            <w:pStyle w:val="TOC1"/>
            <w:rPr>
              <w:rFonts w:asciiTheme="minorHAnsi" w:hAnsiTheme="minorHAnsi" w:eastAsiaTheme="minorEastAsia" w:cstheme="minorBidi"/>
              <w:b/>
            </w:rPr>
          </w:pPr>
          <w:hyperlink w:history="1" w:anchor="_Toc157076150">
            <w:r w:rsidRPr="000E5EDB" w:rsidR="00326CD9">
              <w:rPr>
                <w:rStyle w:val="Hyperlink"/>
                <w:b/>
                <w14:scene3d>
                  <w14:camera w14:prst="orthographicFront"/>
                  <w14:lightRig w14:rig="threePt" w14:dir="t">
                    <w14:rot w14:lat="0" w14:lon="0" w14:rev="0"/>
                  </w14:lightRig>
                </w14:scene3d>
              </w:rPr>
              <w:t>2.</w:t>
            </w:r>
            <w:r w:rsidRPr="000E5EDB" w:rsidR="00326CD9">
              <w:rPr>
                <w:rFonts w:asciiTheme="minorHAnsi" w:hAnsiTheme="minorHAnsi" w:eastAsiaTheme="minorEastAsia" w:cstheme="minorBidi"/>
                <w:b/>
              </w:rPr>
              <w:tab/>
            </w:r>
            <w:r w:rsidR="00F2308A">
              <w:rPr>
                <w:b/>
              </w:rPr>
              <w:t>SECȚIUNEA PENTRU PIAȚA UNICĂ, PRODU</w:t>
            </w:r>
            <w:r w:rsidR="00F2308A">
              <w:rPr>
                <w:b/>
              </w:rPr>
              <w:t>C</w:t>
            </w:r>
            <w:r w:rsidR="00F2308A">
              <w:rPr>
                <w:b/>
              </w:rPr>
              <w:t>ȚIE ȘI CONSUM</w:t>
            </w:r>
            <w:r w:rsidRPr="000E5EDB" w:rsidR="00326CD9">
              <w:rPr>
                <w:b/>
                <w:webHidden/>
              </w:rPr>
              <w:tab/>
            </w:r>
            <w:r w:rsidRPr="000E5EDB" w:rsidR="00326CD9">
              <w:rPr>
                <w:b/>
                <w:webHidden/>
              </w:rPr>
              <w:fldChar w:fldCharType="begin"/>
            </w:r>
            <w:r w:rsidRPr="000E5EDB" w:rsidR="00326CD9">
              <w:rPr>
                <w:b/>
                <w:webHidden/>
              </w:rPr>
              <w:instrText xml:space="preserve"> PAGEREF _Toc157076150 \h </w:instrText>
            </w:r>
            <w:r w:rsidRPr="000E5EDB" w:rsidR="00326CD9">
              <w:rPr>
                <w:b/>
                <w:webHidden/>
              </w:rPr>
            </w:r>
            <w:r w:rsidRPr="000E5EDB" w:rsidR="00326CD9">
              <w:rPr>
                <w:b/>
                <w:webHidden/>
              </w:rPr>
              <w:fldChar w:fldCharType="separate"/>
            </w:r>
            <w:r w:rsidR="004348A5">
              <w:rPr>
                <w:b/>
                <w:webHidden/>
              </w:rPr>
              <w:t>5</w:t>
            </w:r>
            <w:r w:rsidRPr="000E5EDB" w:rsidR="00326CD9">
              <w:rPr>
                <w:b/>
                <w:webHidden/>
              </w:rPr>
              <w:fldChar w:fldCharType="end"/>
            </w:r>
          </w:hyperlink>
        </w:p>
        <w:p w:rsidRPr="000E5EDB" w:rsidR="00326CD9" w:rsidP="004129ED" w:rsidRDefault="00901E5A" w14:paraId="71F81C46" w14:textId="68F84A28">
          <w:pPr>
            <w:pStyle w:val="TOC1"/>
            <w:tabs>
              <w:tab w:val="clear" w:pos="440"/>
              <w:tab w:val="clear" w:pos="9063"/>
              <w:tab w:val="left" w:pos="284"/>
            </w:tabs>
            <w:rPr>
              <w:rFonts w:asciiTheme="minorHAnsi" w:hAnsiTheme="minorHAnsi" w:eastAsiaTheme="minorEastAsia" w:cstheme="minorBidi"/>
              <w:b/>
            </w:rPr>
          </w:pPr>
          <w:hyperlink w:history="1" w:anchor="_Toc157076151">
            <w:r w:rsidRPr="000E5EDB" w:rsidR="00326CD9">
              <w:rPr>
                <w:rStyle w:val="Hyperlink"/>
                <w:b/>
                <w14:scene3d>
                  <w14:camera w14:prst="orthographicFront"/>
                  <w14:lightRig w14:rig="threePt" w14:dir="t">
                    <w14:rot w14:lat="0" w14:lon="0" w14:rev="0"/>
                  </w14:lightRig>
                </w14:scene3d>
              </w:rPr>
              <w:t>3.</w:t>
            </w:r>
            <w:r w:rsidRPr="000E5EDB" w:rsidR="00326CD9">
              <w:rPr>
                <w:rFonts w:asciiTheme="minorHAnsi" w:hAnsiTheme="minorHAnsi" w:eastAsiaTheme="minorEastAsia" w:cstheme="minorBidi"/>
                <w:b/>
              </w:rPr>
              <w:tab/>
            </w:r>
            <w:r w:rsidR="00F2308A">
              <w:rPr>
                <w:b/>
              </w:rPr>
              <w:t>SECȚIUNEA PENTRU AGRICU</w:t>
            </w:r>
            <w:r w:rsidR="00F2308A">
              <w:rPr>
                <w:b/>
              </w:rPr>
              <w:t>L</w:t>
            </w:r>
            <w:r w:rsidR="00F2308A">
              <w:rPr>
                <w:b/>
              </w:rPr>
              <w:t>TURĂ, DEZVOLTARE RURALĂ ȘI PROTECȚIA MEDIULUI</w:t>
            </w:r>
            <w:r w:rsidR="004129ED">
              <w:rPr>
                <w:b/>
              </w:rPr>
              <w:t>.</w:t>
            </w:r>
            <w:r w:rsidRPr="000E5EDB" w:rsidR="00326CD9">
              <w:rPr>
                <w:b/>
                <w:webHidden/>
              </w:rPr>
              <w:tab/>
            </w:r>
            <w:r w:rsidRPr="000E5EDB" w:rsidR="00326CD9">
              <w:rPr>
                <w:b/>
                <w:webHidden/>
              </w:rPr>
              <w:fldChar w:fldCharType="begin"/>
            </w:r>
            <w:r w:rsidRPr="000E5EDB" w:rsidR="00326CD9">
              <w:rPr>
                <w:b/>
                <w:webHidden/>
              </w:rPr>
              <w:instrText xml:space="preserve"> PAGEREF _Toc157076151 \h </w:instrText>
            </w:r>
            <w:r w:rsidRPr="000E5EDB" w:rsidR="00326CD9">
              <w:rPr>
                <w:b/>
                <w:webHidden/>
              </w:rPr>
            </w:r>
            <w:r w:rsidRPr="000E5EDB" w:rsidR="00326CD9">
              <w:rPr>
                <w:b/>
                <w:webHidden/>
              </w:rPr>
              <w:fldChar w:fldCharType="separate"/>
            </w:r>
            <w:r w:rsidR="004348A5">
              <w:rPr>
                <w:b/>
                <w:webHidden/>
              </w:rPr>
              <w:t>12</w:t>
            </w:r>
            <w:r w:rsidRPr="000E5EDB" w:rsidR="00326CD9">
              <w:rPr>
                <w:b/>
                <w:webHidden/>
              </w:rPr>
              <w:fldChar w:fldCharType="end"/>
            </w:r>
          </w:hyperlink>
        </w:p>
        <w:p w:rsidRPr="000E5EDB" w:rsidR="00326CD9" w:rsidRDefault="00901E5A" w14:paraId="5661A92E" w14:textId="0CAFD4FC">
          <w:pPr>
            <w:pStyle w:val="TOC1"/>
            <w:rPr>
              <w:rFonts w:asciiTheme="minorHAnsi" w:hAnsiTheme="minorHAnsi" w:eastAsiaTheme="minorEastAsia" w:cstheme="minorBidi"/>
              <w:b/>
            </w:rPr>
          </w:pPr>
          <w:hyperlink w:history="1" w:anchor="_Toc157076152">
            <w:r w:rsidRPr="000E5EDB" w:rsidR="00326CD9">
              <w:rPr>
                <w:rStyle w:val="Hyperlink"/>
                <w:b/>
                <w14:scene3d>
                  <w14:camera w14:prst="orthographicFront"/>
                  <w14:lightRig w14:rig="threePt" w14:dir="t">
                    <w14:rot w14:lat="0" w14:lon="0" w14:rev="0"/>
                  </w14:lightRig>
                </w14:scene3d>
              </w:rPr>
              <w:t>4.</w:t>
            </w:r>
            <w:r w:rsidRPr="000E5EDB" w:rsidR="00326CD9">
              <w:rPr>
                <w:rFonts w:asciiTheme="minorHAnsi" w:hAnsiTheme="minorHAnsi" w:eastAsiaTheme="minorEastAsia" w:cstheme="minorBidi"/>
                <w:b/>
              </w:rPr>
              <w:tab/>
            </w:r>
            <w:r w:rsidR="004129ED">
              <w:rPr>
                <w:b/>
              </w:rPr>
              <w:t>SECȚIUNEA PENTR</w:t>
            </w:r>
            <w:r w:rsidR="004129ED">
              <w:rPr>
                <w:b/>
              </w:rPr>
              <w:t>U</w:t>
            </w:r>
            <w:r w:rsidR="004129ED">
              <w:rPr>
                <w:b/>
              </w:rPr>
              <w:t xml:space="preserve"> RELAȚII EXTERNE</w:t>
            </w:r>
            <w:r w:rsidRPr="000E5EDB" w:rsidR="00326CD9">
              <w:rPr>
                <w:b/>
                <w:webHidden/>
              </w:rPr>
              <w:tab/>
            </w:r>
            <w:r w:rsidRPr="000E5EDB" w:rsidR="00326CD9">
              <w:rPr>
                <w:b/>
                <w:webHidden/>
              </w:rPr>
              <w:fldChar w:fldCharType="begin"/>
            </w:r>
            <w:r w:rsidRPr="000E5EDB" w:rsidR="00326CD9">
              <w:rPr>
                <w:b/>
                <w:webHidden/>
              </w:rPr>
              <w:instrText xml:space="preserve"> PAGEREF _Toc157076152 \h </w:instrText>
            </w:r>
            <w:r w:rsidRPr="000E5EDB" w:rsidR="00326CD9">
              <w:rPr>
                <w:b/>
                <w:webHidden/>
              </w:rPr>
            </w:r>
            <w:r w:rsidRPr="000E5EDB" w:rsidR="00326CD9">
              <w:rPr>
                <w:b/>
                <w:webHidden/>
              </w:rPr>
              <w:fldChar w:fldCharType="separate"/>
            </w:r>
            <w:r w:rsidR="004348A5">
              <w:rPr>
                <w:b/>
                <w:webHidden/>
              </w:rPr>
              <w:t>14</w:t>
            </w:r>
            <w:r w:rsidRPr="000E5EDB" w:rsidR="00326CD9">
              <w:rPr>
                <w:b/>
                <w:webHidden/>
              </w:rPr>
              <w:fldChar w:fldCharType="end"/>
            </w:r>
          </w:hyperlink>
        </w:p>
        <w:p w:rsidR="00326CD9" w:rsidRDefault="00901E5A" w14:paraId="7BA43E5F" w14:textId="4E5463B2">
          <w:pPr>
            <w:pStyle w:val="TOC1"/>
            <w:rPr>
              <w:rFonts w:asciiTheme="minorHAnsi" w:hAnsiTheme="minorHAnsi" w:eastAsiaTheme="minorEastAsia" w:cstheme="minorBidi"/>
              <w:sz w:val="22"/>
            </w:rPr>
          </w:pPr>
          <w:hyperlink w:history="1" w:anchor="_Toc157076153">
            <w:r w:rsidRPr="000E5EDB" w:rsidR="00326CD9">
              <w:rPr>
                <w:rStyle w:val="Hyperlink"/>
                <w:b/>
                <w14:scene3d>
                  <w14:camera w14:prst="orthographicFront"/>
                  <w14:lightRig w14:rig="threePt" w14:dir="t">
                    <w14:rot w14:lat="0" w14:lon="0" w14:rev="0"/>
                  </w14:lightRig>
                </w14:scene3d>
              </w:rPr>
              <w:t>5.</w:t>
            </w:r>
            <w:r w:rsidRPr="000E5EDB" w:rsidR="00326CD9">
              <w:rPr>
                <w:rFonts w:asciiTheme="minorHAnsi" w:hAnsiTheme="minorHAnsi" w:eastAsiaTheme="minorEastAsia" w:cstheme="minorBidi"/>
                <w:b/>
              </w:rPr>
              <w:tab/>
            </w:r>
            <w:r w:rsidR="004129ED">
              <w:rPr>
                <w:b/>
              </w:rPr>
              <w:t>SECȚIUNEA PENTRU TRANSPO</w:t>
            </w:r>
            <w:r w:rsidR="004129ED">
              <w:rPr>
                <w:b/>
              </w:rPr>
              <w:t>R</w:t>
            </w:r>
            <w:r w:rsidR="004129ED">
              <w:rPr>
                <w:b/>
              </w:rPr>
              <w:t>TURI, ENERGIE, INFRASTRUCTURĂ ȘI SOCIETATEA INFORMAȚIONALĂ</w:t>
            </w:r>
            <w:r w:rsidRPr="000E5EDB" w:rsidR="00326CD9">
              <w:rPr>
                <w:b/>
                <w:webHidden/>
              </w:rPr>
              <w:tab/>
            </w:r>
            <w:r w:rsidRPr="000E5EDB" w:rsidR="00326CD9">
              <w:rPr>
                <w:b/>
                <w:webHidden/>
              </w:rPr>
              <w:fldChar w:fldCharType="begin"/>
            </w:r>
            <w:r w:rsidRPr="000E5EDB" w:rsidR="00326CD9">
              <w:rPr>
                <w:b/>
                <w:webHidden/>
              </w:rPr>
              <w:instrText xml:space="preserve"> PAGEREF _Toc157076153 \h </w:instrText>
            </w:r>
            <w:r w:rsidRPr="000E5EDB" w:rsidR="00326CD9">
              <w:rPr>
                <w:b/>
                <w:webHidden/>
              </w:rPr>
            </w:r>
            <w:r w:rsidRPr="000E5EDB" w:rsidR="00326CD9">
              <w:rPr>
                <w:b/>
                <w:webHidden/>
              </w:rPr>
              <w:fldChar w:fldCharType="separate"/>
            </w:r>
            <w:r w:rsidR="004348A5">
              <w:rPr>
                <w:b/>
                <w:webHidden/>
              </w:rPr>
              <w:t>15</w:t>
            </w:r>
            <w:r w:rsidRPr="000E5EDB" w:rsidR="00326CD9">
              <w:rPr>
                <w:b/>
                <w:webHidden/>
              </w:rPr>
              <w:fldChar w:fldCharType="end"/>
            </w:r>
          </w:hyperlink>
        </w:p>
        <w:p w:rsidRPr="00544D95" w:rsidR="00544D95" w:rsidP="00544D95" w:rsidRDefault="00544D95" w14:paraId="589C47D7" w14:textId="57EEEBB6">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076135" w:id="0"/>
      <w:r>
        <w:rPr>
          <w:b/>
        </w:rPr>
        <w:lastRenderedPageBreak/>
        <w:t>SECȚIUNEA PENTRU UNIUNEA ECONOMICĂ ȘI MONETARĂ ȘI COEZIUNE ECONOMICĂ ȘI SOCIALĂ</w:t>
      </w:r>
      <w:bookmarkEnd w:id="0"/>
    </w:p>
    <w:p w:rsidRPr="00EE2FBD" w:rsidR="00B807B4" w:rsidP="00C83487" w:rsidRDefault="00B807B4" w14:paraId="3CAC710B" w14:textId="11524E6A">
      <w:pPr>
        <w:pStyle w:val="Heading1"/>
        <w:numPr>
          <w:ilvl w:val="0"/>
          <w:numId w:val="0"/>
        </w:numPr>
        <w:spacing w:before="0"/>
        <w:ind w:left="930"/>
        <w:rPr>
          <w:b/>
          <w:bCs/>
        </w:rPr>
      </w:pPr>
    </w:p>
    <w:p w:rsidRPr="00126CEB" w:rsidR="00126CEB" w:rsidP="000E5EDB" w:rsidRDefault="00901E5A" w14:paraId="232120CA" w14:textId="1F75D8F0">
      <w:pPr>
        <w:widowControl w:val="0"/>
        <w:numPr>
          <w:ilvl w:val="0"/>
          <w:numId w:val="2"/>
        </w:numPr>
        <w:overflowPunct w:val="0"/>
        <w:autoSpaceDE w:val="0"/>
        <w:autoSpaceDN w:val="0"/>
        <w:adjustRightInd w:val="0"/>
        <w:ind w:hanging="425"/>
        <w:textAlignment w:val="baseline"/>
        <w:rPr>
          <w:sz w:val="20"/>
          <w:szCs w:val="20"/>
        </w:rPr>
      </w:pPr>
      <w:hyperlink w:history="1" r:id="rId20">
        <w:r w:rsidR="004839AF">
          <w:rPr>
            <w:b/>
            <w:i/>
            <w:color w:val="0000FF"/>
            <w:sz w:val="28"/>
            <w:u w:val="single"/>
          </w:rPr>
          <w:t>Instituirea unui sistem de impunere în funcție de sediul central pentru IMM-uri</w:t>
        </w:r>
      </w:hyperlink>
      <w:r w:rsidR="004839AF">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4"/>
        <w:gridCol w:w="7377"/>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Raportoare:</w:t>
            </w:r>
          </w:p>
        </w:tc>
        <w:tc>
          <w:tcPr>
            <w:tcW w:w="7479" w:type="dxa"/>
          </w:tcPr>
          <w:p w:rsidRPr="00126CEB" w:rsidR="00126CEB" w:rsidP="00126CEB" w:rsidRDefault="00126CEB" w14:paraId="54D0AAF8" w14:textId="0710242A">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(Grupul „Angajatori”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3907EE" w14:paraId="6D8301EE" w14:textId="0372C67C">
            <w:pPr>
              <w:tabs>
                <w:tab w:val="center" w:pos="284"/>
              </w:tabs>
              <w:overflowPunct w:val="0"/>
              <w:autoSpaceDE w:val="0"/>
              <w:autoSpaceDN w:val="0"/>
              <w:adjustRightInd w:val="0"/>
              <w:ind w:left="266" w:hanging="266"/>
              <w:textAlignment w:val="baseline"/>
              <w:rPr>
                <w:b/>
              </w:rPr>
            </w:pPr>
            <w:r>
              <w:rPr>
                <w:b/>
              </w:rPr>
              <w:t>R</w:t>
            </w:r>
            <w:r w:rsidR="00126CEB">
              <w:rPr>
                <w:b/>
              </w:rPr>
              <w:t>eferință:</w:t>
            </w:r>
          </w:p>
        </w:tc>
        <w:tc>
          <w:tcPr>
            <w:tcW w:w="7479" w:type="dxa"/>
          </w:tcPr>
          <w:p w:rsidRPr="00126CEB" w:rsidR="00126CEB" w:rsidP="00126CEB" w:rsidRDefault="00126CEB" w14:paraId="55EDF860" w14:textId="176D8C2B">
            <w:pPr>
              <w:tabs>
                <w:tab w:val="center" w:pos="284"/>
              </w:tabs>
              <w:overflowPunct w:val="0"/>
              <w:autoSpaceDE w:val="0"/>
              <w:autoSpaceDN w:val="0"/>
              <w:adjustRightInd w:val="0"/>
              <w:ind w:left="266" w:hanging="266"/>
              <w:textAlignment w:val="baseline"/>
            </w:pPr>
            <w:r>
              <w:t>COM(2023) 528 final</w:t>
            </w:r>
          </w:p>
          <w:p w:rsidRPr="00126CEB" w:rsidR="00126CEB" w:rsidP="00126CEB" w:rsidRDefault="00126CEB" w14:paraId="255E70E4" w14:textId="60A6FCF9">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CESE:</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0E5EDB" w:rsidRDefault="00126CEB" w14:paraId="17A05DD3" w14:textId="428B461B">
      <w:pPr>
        <w:numPr>
          <w:ilvl w:val="0"/>
          <w:numId w:val="33"/>
        </w:numPr>
        <w:overflowPunct w:val="0"/>
        <w:autoSpaceDE w:val="0"/>
        <w:autoSpaceDN w:val="0"/>
        <w:adjustRightInd w:val="0"/>
        <w:ind w:left="567" w:hanging="567"/>
        <w:textAlignment w:val="baseline"/>
        <w:outlineLvl w:val="1"/>
        <w:rPr>
          <w:szCs w:val="20"/>
        </w:rPr>
      </w:pPr>
      <w:bookmarkStart w:name="_Toc157076136" w:id="1"/>
      <w:r>
        <w:t>sprijină propunerea CE de a institui un sistem de impunere în funcție de sediul central (</w:t>
      </w:r>
      <w:proofErr w:type="spellStart"/>
      <w:r>
        <w:t>Head</w:t>
      </w:r>
      <w:proofErr w:type="spellEnd"/>
      <w:r>
        <w:t xml:space="preserve"> Office </w:t>
      </w:r>
      <w:proofErr w:type="spellStart"/>
      <w:r>
        <w:t>Tax</w:t>
      </w:r>
      <w:proofErr w:type="spellEnd"/>
      <w:r>
        <w:t xml:space="preserve"> – HOT) pentru microîntreprinderi și întreprinderi mici și mijlocii (MIMM-uri) și obiectivele sale, întrucât acestea sunt în conformitate cu obiectivul de consolidare a MIMM</w:t>
      </w:r>
      <w:r w:rsidR="003907EE">
        <w:noBreakHyphen/>
      </w:r>
      <w:r>
        <w:t>urilor, de simplificare a activităților transfrontaliere ale acestora și de reducere a obstacolelor administrative și financiare, îmbunătățind competitivitatea globală a MIMM-urilor;</w:t>
      </w:r>
      <w:bookmarkEnd w:id="1"/>
    </w:p>
    <w:p w:rsidRPr="00126CEB" w:rsidR="00126CEB" w:rsidP="000E5EDB" w:rsidRDefault="00126CEB" w14:paraId="7E3C2B4F" w14:textId="65048028">
      <w:pPr>
        <w:numPr>
          <w:ilvl w:val="0"/>
          <w:numId w:val="33"/>
        </w:numPr>
        <w:overflowPunct w:val="0"/>
        <w:autoSpaceDE w:val="0"/>
        <w:autoSpaceDN w:val="0"/>
        <w:adjustRightInd w:val="0"/>
        <w:ind w:left="567" w:hanging="567"/>
        <w:textAlignment w:val="baseline"/>
        <w:outlineLvl w:val="1"/>
        <w:rPr>
          <w:szCs w:val="20"/>
        </w:rPr>
      </w:pPr>
      <w:bookmarkStart w:name="_Toc157076137" w:id="2"/>
      <w:r>
        <w:t>observă că adoptarea propunerii privind un sistem de impunere în funcție de sediul central va genera o valoare adăugată ridicată pentru întreprinderi, angajați și statele membre. Reducerea sarcinii administrative pentru MIMM-uri va genera mai multe avantaje competitive pentru activitățile zilnice ale acestora;</w:t>
      </w:r>
      <w:bookmarkEnd w:id="2"/>
    </w:p>
    <w:p w:rsidRPr="00126CEB" w:rsidR="00126CEB" w:rsidP="000E5EDB" w:rsidRDefault="00126CEB" w14:paraId="655676B9" w14:textId="29308207">
      <w:pPr>
        <w:numPr>
          <w:ilvl w:val="0"/>
          <w:numId w:val="33"/>
        </w:numPr>
        <w:overflowPunct w:val="0"/>
        <w:autoSpaceDE w:val="0"/>
        <w:autoSpaceDN w:val="0"/>
        <w:adjustRightInd w:val="0"/>
        <w:ind w:left="567" w:hanging="567"/>
        <w:textAlignment w:val="baseline"/>
        <w:outlineLvl w:val="1"/>
        <w:rPr>
          <w:szCs w:val="20"/>
        </w:rPr>
      </w:pPr>
      <w:bookmarkStart w:name="_Toc157076138" w:id="3"/>
      <w:r>
        <w:t>solicită să nu se întârzie adoptarea propunerii CE privind sistemul de impunere în funcție de sediul central, pentru a îmbunătăți creșterea MIMM-urilor și a promova condiții de concurență echitabile pentru participarea MIMM-urilor care activează transfrontalier pe piața internă, contribuind astfel la PIB-ul pe termen lung și la creșterea numărului de locuri de muncă;</w:t>
      </w:r>
      <w:bookmarkEnd w:id="3"/>
    </w:p>
    <w:p w:rsidRPr="00126CEB" w:rsidR="00126CEB" w:rsidP="000E5EDB" w:rsidRDefault="00126CEB" w14:paraId="41158F51" w14:textId="67F484B6">
      <w:pPr>
        <w:numPr>
          <w:ilvl w:val="0"/>
          <w:numId w:val="33"/>
        </w:numPr>
        <w:overflowPunct w:val="0"/>
        <w:autoSpaceDE w:val="0"/>
        <w:autoSpaceDN w:val="0"/>
        <w:adjustRightInd w:val="0"/>
        <w:ind w:left="567" w:hanging="567"/>
        <w:textAlignment w:val="baseline"/>
        <w:outlineLvl w:val="1"/>
        <w:rPr>
          <w:szCs w:val="20"/>
        </w:rPr>
      </w:pPr>
      <w:bookmarkStart w:name="_Toc157076139" w:id="4"/>
      <w:r>
        <w:t>consideră că sistemul de impunere în funcție de sediul central va îmbunătăți și spori cooperarea dintre autoritățile fiscale din statele membre. Cooperarea între acestea este esențială pentru punerea în aplicare cu succes și în mod semnificativ a sistemului de impunere în funcție de sediul central propus și pentru atingerea obiectivelor stabilite.</w:t>
      </w:r>
      <w:bookmarkEnd w:id="4"/>
    </w:p>
    <w:p w:rsidRPr="00126CEB" w:rsidR="00126CEB" w:rsidP="000E5EDB" w:rsidRDefault="00126CEB" w14:paraId="7327F6C8" w14:textId="0CE6C7C3">
      <w:pPr>
        <w:numPr>
          <w:ilvl w:val="0"/>
          <w:numId w:val="33"/>
        </w:numPr>
        <w:overflowPunct w:val="0"/>
        <w:autoSpaceDE w:val="0"/>
        <w:autoSpaceDN w:val="0"/>
        <w:adjustRightInd w:val="0"/>
        <w:ind w:left="567" w:hanging="567"/>
        <w:textAlignment w:val="baseline"/>
        <w:outlineLvl w:val="1"/>
        <w:rPr>
          <w:szCs w:val="20"/>
        </w:rPr>
      </w:pPr>
      <w:bookmarkStart w:name="_Toc157076140" w:id="5"/>
      <w:r>
        <w:t>îndeamnă CE să coopereze îndeaproape cu statele membre și cu organizațiile care reprezintă MIMM-urile, după adoptarea propunerii, pentru o mai bună sensibilizare cu privire la mecanismul de impunere în funcție de sediul central disponibil între MIMM-uri, în vederea atingerii, într-o măsură mai mare, a obiectivelor de reducere a sarcinilor de reglementare, de intensificare a activității transfrontaliere și de valorificare la maximum a avantajelor pieței unice.</w:t>
      </w:r>
      <w:bookmarkEnd w:id="5"/>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126CEB" w:rsidR="00126CEB" w:rsidTr="003907EE" w14:paraId="6F0A6D34" w14:textId="77777777">
        <w:tc>
          <w:tcPr>
            <w:tcW w:w="1560" w:type="dxa"/>
          </w:tcPr>
          <w:p w:rsidRPr="00126CEB" w:rsidR="00126CEB" w:rsidP="00126CEB" w:rsidRDefault="003907EE" w14:paraId="4D3C62D4" w14:textId="043173D6">
            <w:pPr>
              <w:overflowPunct w:val="0"/>
              <w:autoSpaceDE w:val="0"/>
              <w:autoSpaceDN w:val="0"/>
              <w:adjustRightInd w:val="0"/>
              <w:spacing w:line="240" w:lineRule="auto"/>
              <w:textAlignment w:val="baseline"/>
              <w:rPr>
                <w:i/>
              </w:rPr>
            </w:pPr>
            <w:r>
              <w:rPr>
                <w:b/>
                <w:i/>
              </w:rPr>
              <w:t>Date</w:t>
            </w:r>
            <w:r w:rsidR="00126CEB">
              <w:rPr>
                <w:b/>
                <w:i/>
              </w:rPr>
              <w:t xml:space="preserve"> de contact:</w:t>
            </w:r>
          </w:p>
        </w:tc>
        <w:tc>
          <w:tcPr>
            <w:tcW w:w="5528"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126CEB" w:rsidR="00126CEB" w:rsidTr="003907EE" w14:paraId="701BA604" w14:textId="77777777">
        <w:tc>
          <w:tcPr>
            <w:tcW w:w="1560"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Tel.:</w:t>
            </w:r>
          </w:p>
        </w:tc>
        <w:tc>
          <w:tcPr>
            <w:tcW w:w="5528"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3907EE" w14:paraId="6A7E9917" w14:textId="77777777">
        <w:tc>
          <w:tcPr>
            <w:tcW w:w="1560" w:type="dxa"/>
          </w:tcPr>
          <w:p w:rsidRPr="00126CEB" w:rsidR="00126CEB" w:rsidP="00126CEB" w:rsidRDefault="003907EE" w14:paraId="6FBCCB68" w14:textId="5903ACD5">
            <w:pPr>
              <w:overflowPunct w:val="0"/>
              <w:autoSpaceDE w:val="0"/>
              <w:autoSpaceDN w:val="0"/>
              <w:adjustRightInd w:val="0"/>
              <w:spacing w:line="240" w:lineRule="auto"/>
              <w:textAlignment w:val="baseline"/>
              <w:rPr>
                <w:i/>
              </w:rPr>
            </w:pPr>
            <w:r>
              <w:rPr>
                <w:i/>
              </w:rPr>
              <w:t>E</w:t>
            </w:r>
            <w:r w:rsidR="001F11A4">
              <w:rPr>
                <w:i/>
              </w:rPr>
              <w:t>-mail:</w:t>
            </w:r>
          </w:p>
        </w:tc>
        <w:tc>
          <w:tcPr>
            <w:tcW w:w="5528" w:type="dxa"/>
          </w:tcPr>
          <w:p w:rsidRPr="00C83487" w:rsidR="00126CEB" w:rsidP="00126CEB" w:rsidRDefault="00901E5A" w14:paraId="40D946D1" w14:textId="201B9EAD">
            <w:pPr>
              <w:overflowPunct w:val="0"/>
              <w:autoSpaceDE w:val="0"/>
              <w:autoSpaceDN w:val="0"/>
              <w:adjustRightInd w:val="0"/>
              <w:spacing w:line="240" w:lineRule="auto"/>
              <w:textAlignment w:val="baseline"/>
              <w:rPr>
                <w:i/>
                <w:iCs/>
              </w:rPr>
            </w:pPr>
            <w:hyperlink w:history="1" r:id="rId21">
              <w:r w:rsidR="004839AF">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901E5A" w14:paraId="4661A989" w14:textId="044B8228">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4839AF">
          <w:rPr>
            <w:b/>
            <w:i/>
            <w:color w:val="0000FF"/>
            <w:sz w:val="28"/>
            <w:u w:val="single"/>
          </w:rPr>
          <w:t>Politica economică a zonei euro pentru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7381"/>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Raportor:</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proofErr w:type="spellStart"/>
            <w:r>
              <w:t>Konstantinos</w:t>
            </w:r>
            <w:proofErr w:type="spellEnd"/>
            <w:r>
              <w:t xml:space="preserve"> DIAMANTOUROS (Grupul „Angajatori” –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3907EE" w14:paraId="734F88B7" w14:textId="5E565EB7">
            <w:pPr>
              <w:tabs>
                <w:tab w:val="center" w:pos="284"/>
              </w:tabs>
              <w:overflowPunct w:val="0"/>
              <w:autoSpaceDE w:val="0"/>
              <w:autoSpaceDN w:val="0"/>
              <w:adjustRightInd w:val="0"/>
              <w:ind w:left="266" w:hanging="266"/>
              <w:textAlignment w:val="baseline"/>
              <w:rPr>
                <w:b/>
              </w:rPr>
            </w:pPr>
            <w:r>
              <w:rPr>
                <w:b/>
              </w:rPr>
              <w:t>Referință</w:t>
            </w:r>
            <w:r w:rsidR="002435FB">
              <w:rPr>
                <w:b/>
              </w:rPr>
              <w:t>:</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COM(2023) 903 final</w:t>
            </w:r>
          </w:p>
          <w:p w:rsidRPr="002435FB" w:rsidR="002435FB" w:rsidP="002435FB" w:rsidRDefault="002435FB" w14:paraId="4D3CD881" w14:textId="54643070">
            <w:pPr>
              <w:tabs>
                <w:tab w:val="center" w:pos="284"/>
              </w:tabs>
              <w:overflowPunct w:val="0"/>
              <w:autoSpaceDE w:val="0"/>
              <w:autoSpaceDN w:val="0"/>
              <w:adjustRightInd w:val="0"/>
              <w:textAlignment w:val="baseline"/>
            </w:pPr>
            <w:r>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0E5EDB"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Punctele principale:</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0E5EDB" w:rsidRDefault="002435FB" w14:paraId="41A4E45B" w14:textId="77777777">
      <w:pPr>
        <w:overflowPunct w:val="0"/>
        <w:autoSpaceDE w:val="0"/>
        <w:autoSpaceDN w:val="0"/>
        <w:adjustRightInd w:val="0"/>
        <w:ind w:left="425" w:hanging="283"/>
        <w:textAlignment w:val="baseline"/>
        <w:rPr>
          <w:bCs/>
          <w:iCs/>
          <w:highlight w:val="yellow"/>
        </w:rPr>
      </w:pPr>
      <w:r>
        <w:t>CESE:</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2435FB" w:rsidR="002435FB" w:rsidP="000E5EDB"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6"/>
      <w:r>
        <w:t>salută recomandările Comisiei Europene pentru zona euro și este, în linii mari, de acord cu acestea și cu evaluarea situației economice actuale;</w:t>
      </w:r>
      <w:bookmarkEnd w:id="6"/>
      <w:r>
        <w:t xml:space="preserve"> </w:t>
      </w:r>
    </w:p>
    <w:p w:rsidRPr="002435FB" w:rsidR="002435FB" w:rsidP="000E5EDB" w:rsidRDefault="002435FB" w14:paraId="79D8B48A" w14:textId="70E02FC7">
      <w:pPr>
        <w:numPr>
          <w:ilvl w:val="0"/>
          <w:numId w:val="34"/>
        </w:numPr>
        <w:overflowPunct w:val="0"/>
        <w:autoSpaceDE w:val="0"/>
        <w:autoSpaceDN w:val="0"/>
        <w:adjustRightInd w:val="0"/>
        <w:ind w:left="567" w:hanging="567"/>
        <w:textAlignment w:val="baseline"/>
        <w:outlineLvl w:val="1"/>
        <w:rPr>
          <w:szCs w:val="20"/>
        </w:rPr>
      </w:pPr>
      <w:bookmarkStart w:name="_Toc157076142" w:id="7"/>
      <w:r>
        <w:t>îndeamnă Banca Centrală Europeană (BCE) să adopte o abordare prudențială întemeiată pe o politică monetară dinamică și bazată pe date, pentru a reduce și mai mult inflația, apropiind-o de valoarea-țintă, și își exprimă sprijinul pentru coordonarea constantă a politicii fiscale a statelor membre cu politica monetară a BCE;</w:t>
      </w:r>
      <w:bookmarkEnd w:id="7"/>
    </w:p>
    <w:p w:rsidRPr="002435FB" w:rsidR="002435FB" w:rsidP="000E5EDB" w:rsidRDefault="002435FB" w14:paraId="0992FDE2" w14:textId="444BEB88">
      <w:pPr>
        <w:numPr>
          <w:ilvl w:val="0"/>
          <w:numId w:val="34"/>
        </w:numPr>
        <w:overflowPunct w:val="0"/>
        <w:autoSpaceDE w:val="0"/>
        <w:autoSpaceDN w:val="0"/>
        <w:adjustRightInd w:val="0"/>
        <w:ind w:left="567" w:hanging="567"/>
        <w:textAlignment w:val="baseline"/>
        <w:outlineLvl w:val="1"/>
        <w:rPr>
          <w:szCs w:val="20"/>
        </w:rPr>
      </w:pPr>
      <w:bookmarkStart w:name="_Toc157076143" w:id="8"/>
      <w:r>
        <w:t>sprijină solicitarea Comisiei privind consolidarea fiscală și îndeamnă statele membre să ajungă până la sfârșitul anului la un acord cu privire la reforma Pactului de stabilitate și de creștere;</w:t>
      </w:r>
      <w:bookmarkEnd w:id="8"/>
    </w:p>
    <w:p w:rsidRPr="002435FB" w:rsidR="002435FB" w:rsidP="000E5EDB" w:rsidRDefault="002435FB" w14:paraId="6722825E" w14:textId="7AE01381">
      <w:pPr>
        <w:numPr>
          <w:ilvl w:val="0"/>
          <w:numId w:val="34"/>
        </w:numPr>
        <w:overflowPunct w:val="0"/>
        <w:autoSpaceDE w:val="0"/>
        <w:autoSpaceDN w:val="0"/>
        <w:adjustRightInd w:val="0"/>
        <w:ind w:left="567" w:hanging="567"/>
        <w:textAlignment w:val="baseline"/>
        <w:outlineLvl w:val="1"/>
        <w:rPr>
          <w:szCs w:val="20"/>
        </w:rPr>
      </w:pPr>
      <w:bookmarkStart w:name="_Toc157076144" w:id="9"/>
      <w:r>
        <w:t>salută recomandarea Comisiei Europene adresată statelor membre de a sprijini, în conformitate cu practicile naționale și respectând totodată rolul partenerilor sociali, evoluțiile salariale care atenuează pierderile în puterea de cumpărare, în special în cazul persoanelor cu venituri mici, ținând seama cum se cuvine de dinamica competitivității și evitând divergențele de durată în cadrul zonei euro;</w:t>
      </w:r>
      <w:bookmarkEnd w:id="9"/>
    </w:p>
    <w:p w:rsidRPr="002435FB" w:rsidR="002435FB" w:rsidP="000E5EDB" w:rsidRDefault="002435FB" w14:paraId="31F043FD" w14:textId="5F4A8B7F">
      <w:pPr>
        <w:numPr>
          <w:ilvl w:val="0"/>
          <w:numId w:val="34"/>
        </w:numPr>
        <w:overflowPunct w:val="0"/>
        <w:autoSpaceDE w:val="0"/>
        <w:autoSpaceDN w:val="0"/>
        <w:adjustRightInd w:val="0"/>
        <w:ind w:left="567" w:hanging="567"/>
        <w:textAlignment w:val="baseline"/>
        <w:outlineLvl w:val="1"/>
        <w:rPr>
          <w:i/>
          <w:iCs/>
          <w:szCs w:val="20"/>
        </w:rPr>
      </w:pPr>
      <w:bookmarkStart w:name="_Toc157076145" w:id="10"/>
      <w:r>
        <w:t xml:space="preserve">salută demararea inițiativei privind rezerva de talente la nivelul UE și reiterează importanța punerii în aplicare rapide a recomandărilor formulate în </w:t>
      </w:r>
      <w:r>
        <w:rPr>
          <w:i/>
        </w:rPr>
        <w:t>Raportul privind evoluția ocupării forței de muncă și a situației sociale în Europa privind abordarea deficitului de forță de muncă și a lacunelor în materie de competențe în UE</w:t>
      </w:r>
      <w:r>
        <w:t>.</w:t>
      </w:r>
      <w:bookmarkEnd w:id="10"/>
    </w:p>
    <w:p w:rsidRPr="002435FB" w:rsidR="002435FB" w:rsidP="000E5EDB" w:rsidRDefault="002435FB" w14:paraId="696D13B4" w14:textId="28F1227C">
      <w:pPr>
        <w:numPr>
          <w:ilvl w:val="0"/>
          <w:numId w:val="34"/>
        </w:numPr>
        <w:overflowPunct w:val="0"/>
        <w:autoSpaceDE w:val="0"/>
        <w:autoSpaceDN w:val="0"/>
        <w:adjustRightInd w:val="0"/>
        <w:ind w:left="567" w:hanging="567"/>
        <w:textAlignment w:val="baseline"/>
        <w:outlineLvl w:val="1"/>
        <w:rPr>
          <w:szCs w:val="20"/>
        </w:rPr>
      </w:pPr>
      <w:bookmarkStart w:name="_Toc157076146" w:id="11"/>
      <w:r>
        <w:t>solicită finalizarea uniunii piețelor de capital pentru a elimina barierele existente în calea satisfacerii nevoilor de investiții pentru o tranziție verde și digitală justă și incluzivă;</w:t>
      </w:r>
      <w:bookmarkEnd w:id="11"/>
    </w:p>
    <w:p w:rsidRPr="002435FB" w:rsidR="002435FB" w:rsidP="000E5EDB" w:rsidRDefault="002435FB" w14:paraId="1899D595" w14:textId="3600A846">
      <w:pPr>
        <w:numPr>
          <w:ilvl w:val="0"/>
          <w:numId w:val="34"/>
        </w:numPr>
        <w:overflowPunct w:val="0"/>
        <w:autoSpaceDE w:val="0"/>
        <w:autoSpaceDN w:val="0"/>
        <w:adjustRightInd w:val="0"/>
        <w:ind w:left="567" w:hanging="567"/>
        <w:textAlignment w:val="baseline"/>
        <w:outlineLvl w:val="1"/>
        <w:rPr>
          <w:szCs w:val="20"/>
        </w:rPr>
      </w:pPr>
      <w:bookmarkStart w:name="_Toc157076147" w:id="12"/>
      <w:r>
        <w:t>subliniază importanța finalizării uniunii bancare și a instituirii celui de-al treilea pilon, sistemul european de asigurare a depozitelor (EDIS), care lipsește încă;</w:t>
      </w:r>
      <w:bookmarkEnd w:id="12"/>
    </w:p>
    <w:p w:rsidRPr="002435FB" w:rsidR="002435FB" w:rsidP="000E5EDB" w:rsidRDefault="002435FB" w14:paraId="60A36BE6" w14:textId="5186E800">
      <w:pPr>
        <w:numPr>
          <w:ilvl w:val="0"/>
          <w:numId w:val="34"/>
        </w:numPr>
        <w:overflowPunct w:val="0"/>
        <w:autoSpaceDE w:val="0"/>
        <w:autoSpaceDN w:val="0"/>
        <w:adjustRightInd w:val="0"/>
        <w:ind w:left="567" w:hanging="567"/>
        <w:textAlignment w:val="baseline"/>
        <w:outlineLvl w:val="1"/>
        <w:rPr>
          <w:szCs w:val="20"/>
        </w:rPr>
      </w:pPr>
      <w:bookmarkStart w:name="_Toc157076148" w:id="13"/>
      <w:r>
        <w:t>solicită realizarea de progrese în reforma pieței energiei electrice și uniunea energetică prin legislație și investiții în infrastructura și interconexiunile energetice. Aceștia sunt pași esențiali în direcția reducerii costurilor energiei pentru gospodării, îmbunătățind în același timp competitivitatea întreprinderilor europene;</w:t>
      </w:r>
      <w:bookmarkEnd w:id="13"/>
      <w:r>
        <w:t xml:space="preserve"> </w:t>
      </w:r>
    </w:p>
    <w:p w:rsidRPr="002435FB" w:rsidR="002435FB" w:rsidP="000E5EDB" w:rsidRDefault="002435FB" w14:paraId="786F4E49" w14:textId="692AD56E">
      <w:pPr>
        <w:numPr>
          <w:ilvl w:val="0"/>
          <w:numId w:val="34"/>
        </w:numPr>
        <w:overflowPunct w:val="0"/>
        <w:autoSpaceDE w:val="0"/>
        <w:autoSpaceDN w:val="0"/>
        <w:adjustRightInd w:val="0"/>
        <w:ind w:left="567" w:hanging="567"/>
        <w:textAlignment w:val="baseline"/>
        <w:outlineLvl w:val="1"/>
        <w:rPr>
          <w:szCs w:val="20"/>
        </w:rPr>
      </w:pPr>
      <w:bookmarkStart w:name="_Toc157076149" w:id="14"/>
      <w:r>
        <w:t>consideră că este esențial să se găsească o soluție europeană pentru a consolida competitivitatea pe termen lung a întreprinderilor europene, care să nu submineze piața unică. Prin urmare, CESE își reiterează sprijinul pentru platforma „Tehnologii strategice pentru Europa” și își reiterează solicitarea adresată Comisiei de a stabili instrumente comune în acest scop.</w:t>
      </w:r>
      <w:bookmarkEnd w:id="14"/>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2435FB" w:rsidR="002435FB" w:rsidTr="003907EE" w14:paraId="29A98A47" w14:textId="77777777">
        <w:tc>
          <w:tcPr>
            <w:tcW w:w="1560" w:type="dxa"/>
          </w:tcPr>
          <w:p w:rsidRPr="002435FB" w:rsidR="002435FB" w:rsidP="002435FB" w:rsidRDefault="003907EE" w14:paraId="6FF6279F" w14:textId="6F30FF76">
            <w:pPr>
              <w:keepNext/>
              <w:keepLines/>
              <w:overflowPunct w:val="0"/>
              <w:autoSpaceDE w:val="0"/>
              <w:autoSpaceDN w:val="0"/>
              <w:adjustRightInd w:val="0"/>
              <w:spacing w:line="240" w:lineRule="auto"/>
              <w:textAlignment w:val="baseline"/>
              <w:rPr>
                <w:i/>
              </w:rPr>
            </w:pPr>
            <w:r>
              <w:rPr>
                <w:b/>
                <w:i/>
              </w:rPr>
              <w:t>Date de contact</w:t>
            </w:r>
            <w:r w:rsidR="002435FB">
              <w:rPr>
                <w:b/>
                <w:i/>
              </w:rPr>
              <w:t>:</w:t>
            </w:r>
          </w:p>
        </w:tc>
        <w:tc>
          <w:tcPr>
            <w:tcW w:w="5528"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r>
              <w:rPr>
                <w:i/>
              </w:rPr>
              <w:t xml:space="preserve">Krisztina </w:t>
            </w:r>
            <w:proofErr w:type="spellStart"/>
            <w:r>
              <w:rPr>
                <w:i/>
              </w:rPr>
              <w:t>Perlaky</w:t>
            </w:r>
            <w:proofErr w:type="spellEnd"/>
            <w:r>
              <w:rPr>
                <w:i/>
              </w:rPr>
              <w:t xml:space="preserve">-Tóth </w:t>
            </w:r>
          </w:p>
        </w:tc>
      </w:tr>
      <w:tr w:rsidRPr="002435FB" w:rsidR="002435FB" w:rsidTr="003907EE" w14:paraId="305317EB" w14:textId="77777777">
        <w:tc>
          <w:tcPr>
            <w:tcW w:w="1560"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Tel.:</w:t>
            </w:r>
          </w:p>
        </w:tc>
        <w:tc>
          <w:tcPr>
            <w:tcW w:w="5528"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3907EE" w14:paraId="7A8F0AC0" w14:textId="77777777">
        <w:tc>
          <w:tcPr>
            <w:tcW w:w="1560" w:type="dxa"/>
          </w:tcPr>
          <w:p w:rsidRPr="002435FB" w:rsidR="002435FB" w:rsidP="002435FB" w:rsidRDefault="003907EE" w14:paraId="7EC9556E" w14:textId="6FC4C8AD">
            <w:pPr>
              <w:keepNext/>
              <w:keepLines/>
              <w:overflowPunct w:val="0"/>
              <w:autoSpaceDE w:val="0"/>
              <w:autoSpaceDN w:val="0"/>
              <w:adjustRightInd w:val="0"/>
              <w:spacing w:line="240" w:lineRule="auto"/>
              <w:textAlignment w:val="baseline"/>
              <w:rPr>
                <w:i/>
              </w:rPr>
            </w:pPr>
            <w:r>
              <w:rPr>
                <w:i/>
              </w:rPr>
              <w:t>E-mail</w:t>
            </w:r>
            <w:r w:rsidR="002435FB">
              <w:rPr>
                <w:i/>
              </w:rPr>
              <w:t>:</w:t>
            </w:r>
          </w:p>
        </w:tc>
        <w:tc>
          <w:tcPr>
            <w:tcW w:w="5528" w:type="dxa"/>
          </w:tcPr>
          <w:p w:rsidRPr="00C83487" w:rsidR="002435FB" w:rsidP="002435FB" w:rsidRDefault="00901E5A" w14:paraId="6D8AA2A8" w14:textId="3DD28C1F">
            <w:pPr>
              <w:keepNext/>
              <w:keepLines/>
              <w:overflowPunct w:val="0"/>
              <w:autoSpaceDE w:val="0"/>
              <w:autoSpaceDN w:val="0"/>
              <w:adjustRightInd w:val="0"/>
              <w:spacing w:line="240" w:lineRule="auto"/>
              <w:textAlignment w:val="baseline"/>
              <w:rPr>
                <w:i/>
                <w:iCs/>
              </w:rPr>
            </w:pPr>
            <w:hyperlink w:history="1" r:id="rId23">
              <w:r w:rsidR="004839AF">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5"/>
      <w:bookmarkStart w:name="_Toc153539680" w:id="16"/>
      <w:bookmarkStart w:name="_Toc157076150" w:id="17"/>
      <w:bookmarkEnd w:id="15"/>
      <w:r>
        <w:rPr>
          <w:b/>
        </w:rPr>
        <w:lastRenderedPageBreak/>
        <w:t>SECȚIUNEA PENTRU PIAȚA UNICĂ, PRODUCȚIE ȘI CONSUM</w:t>
      </w:r>
      <w:bookmarkEnd w:id="16"/>
      <w:bookmarkEnd w:id="17"/>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Combaterea abuzului sexual online asupra copiilor</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7381"/>
      </w:tblGrid>
      <w:tr w:rsidRPr="00DC121F" w:rsidR="00DC121F" w:rsidTr="00C83487" w14:paraId="0EE803D3" w14:textId="77777777">
        <w:tc>
          <w:tcPr>
            <w:tcW w:w="1701" w:type="dxa"/>
            <w:vMerge w:val="restart"/>
          </w:tcPr>
          <w:p w:rsidRPr="00DC121F" w:rsidR="00DC121F" w:rsidP="000E5EDB" w:rsidRDefault="003907EE" w14:paraId="3EB4C03A" w14:textId="7D4453EB">
            <w:pPr>
              <w:tabs>
                <w:tab w:val="center" w:pos="284"/>
              </w:tabs>
              <w:overflowPunct w:val="0"/>
              <w:autoSpaceDE w:val="0"/>
              <w:autoSpaceDN w:val="0"/>
              <w:adjustRightInd w:val="0"/>
              <w:ind w:left="266" w:right="-5356" w:hanging="376"/>
              <w:textAlignment w:val="baseline"/>
              <w:rPr>
                <w:b/>
              </w:rPr>
            </w:pPr>
            <w:r>
              <w:rPr>
                <w:b/>
              </w:rPr>
              <w:t>Referință</w:t>
            </w:r>
            <w:r w:rsidR="00DC121F">
              <w:rPr>
                <w:b/>
              </w:rPr>
              <w:t>:</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Aviz de categoria C</w:t>
            </w:r>
          </w:p>
          <w:p w:rsidRPr="00DC121F" w:rsidR="00DC121F" w:rsidP="000E5EDB" w:rsidRDefault="00DC121F" w14:paraId="373F352E" w14:textId="495EFA22">
            <w:pPr>
              <w:tabs>
                <w:tab w:val="center" w:pos="284"/>
              </w:tabs>
              <w:overflowPunct w:val="0"/>
              <w:autoSpaceDE w:val="0"/>
              <w:autoSpaceDN w:val="0"/>
              <w:adjustRightInd w:val="0"/>
              <w:ind w:left="266" w:hanging="376"/>
              <w:textAlignment w:val="baseline"/>
            </w:pPr>
            <w:r>
              <w:t>COM(2023) 777 final</w:t>
            </w:r>
          </w:p>
        </w:tc>
      </w:tr>
      <w:tr w:rsidRPr="00DC121F" w:rsidR="00DC121F" w:rsidTr="00C83487" w14:paraId="59903D0F" w14:textId="77777777">
        <w:tc>
          <w:tcPr>
            <w:tcW w:w="1701" w:type="dxa"/>
            <w:vMerge/>
          </w:tcPr>
          <w:p w:rsidRPr="00DC121F" w:rsidR="00DC121F" w:rsidP="000E5EDB"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0E5EDB"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CESE a decis să emită un aviz favorabil cu privire la textul propus.</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DC121F" w:rsidR="00DC121F" w:rsidTr="00F2308A" w14:paraId="536949CE" w14:textId="77777777">
        <w:tc>
          <w:tcPr>
            <w:tcW w:w="1701" w:type="dxa"/>
          </w:tcPr>
          <w:p w:rsidRPr="00DC121F" w:rsidR="00DC121F" w:rsidP="000E5EDB" w:rsidRDefault="003907EE" w14:paraId="08A41DF2" w14:textId="3AE51126">
            <w:pPr>
              <w:overflowPunct w:val="0"/>
              <w:autoSpaceDE w:val="0"/>
              <w:autoSpaceDN w:val="0"/>
              <w:adjustRightInd w:val="0"/>
              <w:spacing w:line="240" w:lineRule="auto"/>
              <w:ind w:hanging="110"/>
              <w:textAlignment w:val="baseline"/>
              <w:rPr>
                <w:i/>
              </w:rPr>
            </w:pPr>
            <w:r>
              <w:rPr>
                <w:b/>
                <w:i/>
              </w:rPr>
              <w:t>Date de contact</w:t>
            </w:r>
            <w:r w:rsidR="00DC121F">
              <w:rPr>
                <w:b/>
                <w:i/>
              </w:rPr>
              <w:t>:</w:t>
            </w:r>
          </w:p>
        </w:tc>
        <w:tc>
          <w:tcPr>
            <w:tcW w:w="5387" w:type="dxa"/>
          </w:tcPr>
          <w:p w:rsidRPr="00DC121F" w:rsidR="00DC121F" w:rsidP="000E5EDB" w:rsidRDefault="00DC121F" w14:paraId="1B1D7048" w14:textId="77777777">
            <w:pPr>
              <w:overflowPunct w:val="0"/>
              <w:autoSpaceDE w:val="0"/>
              <w:autoSpaceDN w:val="0"/>
              <w:adjustRightInd w:val="0"/>
              <w:spacing w:line="240" w:lineRule="auto"/>
              <w:ind w:hanging="110"/>
              <w:textAlignment w:val="baseline"/>
              <w:rPr>
                <w:i/>
              </w:rPr>
            </w:pPr>
            <w:r>
              <w:rPr>
                <w:i/>
              </w:rPr>
              <w:t xml:space="preserve">Alice </w:t>
            </w:r>
            <w:proofErr w:type="spellStart"/>
            <w:r>
              <w:rPr>
                <w:i/>
              </w:rPr>
              <w:t>Tétu</w:t>
            </w:r>
            <w:proofErr w:type="spellEnd"/>
          </w:p>
        </w:tc>
      </w:tr>
      <w:tr w:rsidRPr="00DC121F" w:rsidR="00DC121F" w:rsidTr="00F2308A" w14:paraId="2F7D7C01" w14:textId="77777777">
        <w:tc>
          <w:tcPr>
            <w:tcW w:w="1701" w:type="dxa"/>
          </w:tcPr>
          <w:p w:rsidRPr="00DC121F" w:rsidR="00DC121F" w:rsidP="000E5EDB" w:rsidRDefault="00DC121F" w14:paraId="094140E7" w14:textId="77777777">
            <w:pPr>
              <w:overflowPunct w:val="0"/>
              <w:autoSpaceDE w:val="0"/>
              <w:autoSpaceDN w:val="0"/>
              <w:adjustRightInd w:val="0"/>
              <w:spacing w:line="240" w:lineRule="auto"/>
              <w:ind w:hanging="110"/>
              <w:textAlignment w:val="baseline"/>
              <w:rPr>
                <w:i/>
              </w:rPr>
            </w:pPr>
            <w:r>
              <w:rPr>
                <w:i/>
              </w:rPr>
              <w:t>Tel.:</w:t>
            </w:r>
          </w:p>
        </w:tc>
        <w:tc>
          <w:tcPr>
            <w:tcW w:w="5387" w:type="dxa"/>
          </w:tcPr>
          <w:p w:rsidRPr="00DC121F" w:rsidR="00DC121F" w:rsidP="000E5EDB"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F2308A" w14:paraId="59D0574A" w14:textId="77777777">
        <w:tc>
          <w:tcPr>
            <w:tcW w:w="1701" w:type="dxa"/>
          </w:tcPr>
          <w:p w:rsidRPr="00DC121F" w:rsidR="00DC121F" w:rsidP="000E5EDB" w:rsidRDefault="003907EE" w14:paraId="7C0B10B2" w14:textId="382A4349">
            <w:pPr>
              <w:overflowPunct w:val="0"/>
              <w:autoSpaceDE w:val="0"/>
              <w:autoSpaceDN w:val="0"/>
              <w:adjustRightInd w:val="0"/>
              <w:spacing w:line="240" w:lineRule="auto"/>
              <w:ind w:hanging="110"/>
              <w:textAlignment w:val="baseline"/>
              <w:rPr>
                <w:i/>
              </w:rPr>
            </w:pPr>
            <w:r>
              <w:rPr>
                <w:i/>
              </w:rPr>
              <w:t>E-mail</w:t>
            </w:r>
            <w:r w:rsidR="00DC121F">
              <w:rPr>
                <w:i/>
              </w:rPr>
              <w:t>:</w:t>
            </w:r>
          </w:p>
        </w:tc>
        <w:tc>
          <w:tcPr>
            <w:tcW w:w="5387" w:type="dxa"/>
          </w:tcPr>
          <w:p w:rsidRPr="00DC121F" w:rsidR="00DC121F" w:rsidP="000E5EDB" w:rsidRDefault="00901E5A" w14:paraId="4F8C70CD" w14:textId="77777777">
            <w:pPr>
              <w:overflowPunct w:val="0"/>
              <w:autoSpaceDE w:val="0"/>
              <w:autoSpaceDN w:val="0"/>
              <w:adjustRightInd w:val="0"/>
              <w:spacing w:line="240" w:lineRule="auto"/>
              <w:ind w:hanging="110"/>
              <w:textAlignment w:val="baseline"/>
              <w:rPr>
                <w:i/>
              </w:rPr>
            </w:pPr>
            <w:hyperlink w:history="1" r:id="rId24">
              <w:r w:rsidR="004839AF">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901E5A"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4839AF">
          <w:rPr>
            <w:b/>
            <w:i/>
            <w:color w:val="0000FF"/>
            <w:sz w:val="28"/>
            <w:u w:val="single"/>
          </w:rPr>
          <w:t>Corupția în domeniul achizițiilor publice/piața internă</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7094"/>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Raportor:</w:t>
            </w:r>
          </w:p>
        </w:tc>
        <w:tc>
          <w:tcPr>
            <w:tcW w:w="3910" w:type="pct"/>
          </w:tcPr>
          <w:p w:rsidRPr="00DC121F" w:rsidR="00DC121F" w:rsidP="00DC121F" w:rsidRDefault="00DC121F" w14:paraId="4ED4B842" w14:textId="7EEA168C">
            <w:pPr>
              <w:tabs>
                <w:tab w:val="center" w:pos="0"/>
              </w:tabs>
              <w:overflowPunct w:val="0"/>
              <w:autoSpaceDE w:val="0"/>
              <w:autoSpaceDN w:val="0"/>
              <w:adjustRightInd w:val="0"/>
              <w:ind w:left="266" w:hanging="266"/>
              <w:textAlignment w:val="baseline"/>
            </w:pPr>
            <w:r>
              <w:t>José Antonio MORENO DÍAZ (Grupul „Lucrători”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Coraportor:</w:t>
            </w:r>
          </w:p>
        </w:tc>
        <w:tc>
          <w:tcPr>
            <w:tcW w:w="3910" w:type="pct"/>
          </w:tcPr>
          <w:p w:rsidRPr="00DC121F" w:rsidR="00DC121F" w:rsidP="00DC121F" w:rsidRDefault="00DC121F" w14:paraId="23F0707E" w14:textId="60F82BE9">
            <w:pPr>
              <w:tabs>
                <w:tab w:val="center" w:pos="284"/>
              </w:tabs>
              <w:overflowPunct w:val="0"/>
              <w:autoSpaceDE w:val="0"/>
              <w:autoSpaceDN w:val="0"/>
              <w:adjustRightInd w:val="0"/>
              <w:ind w:left="266" w:hanging="266"/>
              <w:textAlignment w:val="baseline"/>
            </w:pPr>
            <w:r>
              <w:t>Cristian PÎRVULESCU (Grupul „Organizații ale societății civile” –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3907EE" w14:paraId="47684010" w14:textId="5BF3C833">
            <w:pPr>
              <w:tabs>
                <w:tab w:val="center" w:pos="284"/>
              </w:tabs>
              <w:overflowPunct w:val="0"/>
              <w:autoSpaceDE w:val="0"/>
              <w:autoSpaceDN w:val="0"/>
              <w:adjustRightInd w:val="0"/>
              <w:ind w:left="266" w:hanging="266"/>
              <w:textAlignment w:val="baseline"/>
              <w:rPr>
                <w:b/>
              </w:rPr>
            </w:pPr>
            <w:r>
              <w:rPr>
                <w:b/>
              </w:rPr>
              <w:t>Referință</w:t>
            </w:r>
            <w:r w:rsidR="00DC121F">
              <w:rPr>
                <w:b/>
              </w:rPr>
              <w:t>:</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aviz din proprie inițiativă</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2BB96715">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Pr>
          <w:b/>
        </w:rPr>
        <w:t>Punctele principale:</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CESE:</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consideră că Comisia trebuie să reinstituie Raportul anti-corupție al UE;</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subliniază că UE trebuie să acorde prioritate evaluării cadrului legislativ privind integritatea achizițiilor publice și punerii sale în aplicare pentru a verifica dacă acest cadru este în concordanță cu nevoile luptei împotriva corupției;</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sprijină propunerea Parlamentului European prin care se solicită Comisiei să pregătească o strategie globală anticorupție a UE;</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consideră că eforturile de combatere a corupției ar trebui să fie mai bine aliniate la cele de protejare și dezvoltare a democrației în UE, dat fiind că practicile de corupție pot oferi actorilor politici câștiguri și resurse ilegale pentru a organiza campanii și a-și menține sistemul de sprijin bazat pe clientelă;</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își exprimă convingerea că piața europeană a achizițiilor publice ar fi trebuit să fie mai avansată în ceea ce privește digitalizarea. Prin urmare, este esențial ca, pe parcursul acestui proces dificil, Comisia să continue să ofere asistență tehnică autorităților naționale;</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consideră că Comisia ar putea acorda o importanță mai mare pactelor de integritate;</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consideră că sistemul de excludere încrucișată (între autoritățile europene/instituțiile naționale/băncile private) ar putea fi util pentru protejarea pieței interne împotriva utilizării neconforme a resurselor publice alocate licitațiilor;</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încurajează Comisia și alte instituții ale UE și naționale să considere reprezentarea lucrătorilor, negocierea colectivă și dialogul social ca instrumente esențiale pentru eficientizarea combaterii corupției la toate nivelurile;</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încurajează toate întreprinderile / asociațiile patronale și partenerii sociali să urmărească activ o cultură a integrității și să adere la cele mai bune standarde disponibile la nivel național și internațional;</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așteaptă cu interes instituționalizarea și dezvoltarea rețelei UE de combatere a corupției și este dispus să participe la lucrările acesteia.</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C121F" w:rsidR="00DC121F" w:rsidTr="00F655B8" w14:paraId="2DF0CC51" w14:textId="77777777">
        <w:tc>
          <w:tcPr>
            <w:tcW w:w="1556" w:type="pct"/>
          </w:tcPr>
          <w:p w:rsidRPr="00DC121F" w:rsidR="00DC121F" w:rsidP="00DC121F" w:rsidRDefault="003907EE" w14:paraId="296C78BC" w14:textId="3D587330">
            <w:pPr>
              <w:overflowPunct w:val="0"/>
              <w:autoSpaceDE w:val="0"/>
              <w:autoSpaceDN w:val="0"/>
              <w:adjustRightInd w:val="0"/>
              <w:spacing w:line="240" w:lineRule="auto"/>
              <w:textAlignment w:val="baseline"/>
              <w:rPr>
                <w:i/>
              </w:rPr>
            </w:pPr>
            <w:r>
              <w:rPr>
                <w:b/>
                <w:i/>
              </w:rPr>
              <w:t>Date de contact</w:t>
            </w:r>
            <w:r w:rsidR="00DC121F">
              <w:rPr>
                <w:b/>
                <w:i/>
              </w:rPr>
              <w:t>:</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Tel.:</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3907EE" w14:paraId="4827136C" w14:textId="44F6285F">
            <w:pPr>
              <w:overflowPunct w:val="0"/>
              <w:autoSpaceDE w:val="0"/>
              <w:autoSpaceDN w:val="0"/>
              <w:adjustRightInd w:val="0"/>
              <w:spacing w:line="240" w:lineRule="auto"/>
              <w:textAlignment w:val="baseline"/>
              <w:rPr>
                <w:i/>
              </w:rPr>
            </w:pPr>
            <w:r>
              <w:rPr>
                <w:i/>
              </w:rPr>
              <w:t>E-mail</w:t>
            </w:r>
            <w:r w:rsidR="00DC121F">
              <w:rPr>
                <w:i/>
              </w:rPr>
              <w:t>:</w:t>
            </w:r>
          </w:p>
        </w:tc>
        <w:tc>
          <w:tcPr>
            <w:tcW w:w="3444" w:type="pct"/>
          </w:tcPr>
          <w:p w:rsidRPr="00DC121F" w:rsidR="00DC121F" w:rsidP="00DC121F" w:rsidRDefault="00901E5A" w14:paraId="1E20E942" w14:textId="77777777">
            <w:pPr>
              <w:overflowPunct w:val="0"/>
              <w:autoSpaceDE w:val="0"/>
              <w:autoSpaceDN w:val="0"/>
              <w:adjustRightInd w:val="0"/>
              <w:spacing w:line="240" w:lineRule="auto"/>
              <w:textAlignment w:val="baseline"/>
              <w:rPr>
                <w:i/>
              </w:rPr>
            </w:pPr>
            <w:hyperlink w:history="1" r:id="rId26">
              <w:r w:rsidR="004839AF">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0E5EDB" w:rsidRDefault="00901E5A"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4839AF">
          <w:rPr>
            <w:b/>
            <w:i/>
            <w:color w:val="0000FF"/>
            <w:sz w:val="28"/>
            <w:u w:val="single"/>
          </w:rPr>
          <w:t>Combaterea sărăciei și a excluziunii sociale</w:t>
        </w:r>
      </w:hyperlink>
      <w:r w:rsidR="004839AF">
        <w:rPr>
          <w:b/>
          <w:i/>
          <w:color w:val="0000FF"/>
          <w:sz w:val="28"/>
          <w:u w:val="single"/>
        </w:rPr>
        <w:t>: valorificarea puterii economiei sociale și a inovațiilor socioeconomice</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1B6246" w:rsidR="001B6246" w:rsidTr="000E5EDB"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Raportor:</w:t>
            </w:r>
          </w:p>
        </w:tc>
        <w:tc>
          <w:tcPr>
            <w:tcW w:w="7403" w:type="dxa"/>
          </w:tcPr>
          <w:p w:rsidRPr="001B6246" w:rsidR="001B6246" w:rsidP="001B6246" w:rsidRDefault="001B6246" w14:paraId="4AF9E1DA" w14:textId="63894304">
            <w:pPr>
              <w:tabs>
                <w:tab w:val="center" w:pos="284"/>
              </w:tabs>
              <w:overflowPunct w:val="0"/>
              <w:autoSpaceDE w:val="0"/>
              <w:autoSpaceDN w:val="0"/>
              <w:adjustRightInd w:val="0"/>
              <w:ind w:left="266" w:hanging="266"/>
              <w:textAlignment w:val="baseline"/>
            </w:pPr>
            <w:r>
              <w:t>Alain COHEUR (Grupul „Organizații ale societății civile” – BE)</w:t>
            </w:r>
          </w:p>
        </w:tc>
      </w:tr>
      <w:tr w:rsidRPr="001B6246" w:rsidR="001B6246" w:rsidTr="000E5EDB" w14:paraId="64849DFE" w14:textId="77777777">
        <w:trPr>
          <w:trHeight w:val="265"/>
        </w:trPr>
        <w:tc>
          <w:tcPr>
            <w:tcW w:w="1668" w:type="dxa"/>
          </w:tcPr>
          <w:p w:rsidRPr="001B6246" w:rsidR="001B6246" w:rsidP="000E5EDB" w:rsidRDefault="001B6246" w14:paraId="731776C9" w14:textId="23DCE8CA">
            <w:pPr>
              <w:tabs>
                <w:tab w:val="center" w:pos="457"/>
              </w:tabs>
              <w:overflowPunct w:val="0"/>
              <w:autoSpaceDE w:val="0"/>
              <w:autoSpaceDN w:val="0"/>
              <w:adjustRightInd w:val="0"/>
              <w:ind w:left="266" w:hanging="266"/>
              <w:textAlignment w:val="baseline"/>
              <w:rPr>
                <w:b/>
              </w:rPr>
            </w:pPr>
            <w:r>
              <w:rPr>
                <w:b/>
              </w:rPr>
              <w:t>Coraportor:</w:t>
            </w:r>
          </w:p>
        </w:tc>
        <w:tc>
          <w:tcPr>
            <w:tcW w:w="7403" w:type="dxa"/>
          </w:tcPr>
          <w:p w:rsidRPr="001B6246" w:rsidR="001B6246" w:rsidP="001B6246" w:rsidRDefault="001B6246" w14:paraId="18CF51DF" w14:textId="6CDB5C48">
            <w:pPr>
              <w:tabs>
                <w:tab w:val="center" w:pos="284"/>
              </w:tabs>
              <w:overflowPunct w:val="0"/>
              <w:autoSpaceDE w:val="0"/>
              <w:autoSpaceDN w:val="0"/>
              <w:adjustRightInd w:val="0"/>
              <w:ind w:left="266" w:hanging="266"/>
              <w:textAlignment w:val="baseline"/>
            </w:pPr>
            <w:proofErr w:type="spellStart"/>
            <w:r>
              <w:t>Ferre</w:t>
            </w:r>
            <w:proofErr w:type="spellEnd"/>
            <w:r>
              <w:t xml:space="preserve"> WYCKMANS (Grupul „Lucrători” – BE)</w:t>
            </w:r>
          </w:p>
        </w:tc>
      </w:tr>
      <w:tr w:rsidRPr="001B6246" w:rsidR="001B6246" w:rsidTr="000E5EDB" w14:paraId="5C65FF20" w14:textId="77777777">
        <w:trPr>
          <w:trHeight w:val="289"/>
        </w:trPr>
        <w:tc>
          <w:tcPr>
            <w:tcW w:w="1668" w:type="dxa"/>
            <w:vMerge w:val="restart"/>
          </w:tcPr>
          <w:p w:rsidRPr="001B6246" w:rsidR="001B6246" w:rsidP="001B6246" w:rsidRDefault="003907EE" w14:paraId="4EAE0C23" w14:textId="6547682B">
            <w:pPr>
              <w:tabs>
                <w:tab w:val="center" w:pos="284"/>
              </w:tabs>
              <w:overflowPunct w:val="0"/>
              <w:autoSpaceDE w:val="0"/>
              <w:autoSpaceDN w:val="0"/>
              <w:adjustRightInd w:val="0"/>
              <w:ind w:left="266" w:hanging="266"/>
              <w:textAlignment w:val="baseline"/>
              <w:rPr>
                <w:b/>
              </w:rPr>
            </w:pPr>
            <w:r>
              <w:rPr>
                <w:b/>
              </w:rPr>
              <w:t>Referință</w:t>
            </w:r>
            <w:r w:rsidR="001B6246">
              <w:rPr>
                <w:b/>
              </w:rPr>
              <w:t>:</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Aviz exploratoriu la solicitarea Președinției belgiene a Consiliului UE</w:t>
            </w:r>
          </w:p>
        </w:tc>
      </w:tr>
      <w:tr w:rsidRPr="001B6246" w:rsidR="001B6246" w:rsidTr="000E5EDB"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Punctele principale:</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CESE:</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solicită Comisiei Europene (CE) să continue punerea în aplicare a planului său de acțiune pentru economia socială, să îl evalueze în 2025 pentru a contribui la un nou plan de acțiune, să sprijine în mod activ punerea în aplicare a recomandării de către statele membre și să integreze explicit politica privind ES și inovarea socială în următorul program de lucru al CE;</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pledează pentru o abordare teritorială solidă, care să implice regiunile și administrațiile locale, prin reunirea mai multor actori în politicile de implementare a economiei sociale. Sub conducerea autorităților publice, sunt posibile promovarea dezvoltării locale, relocalizarea instrumentelor de producție, crearea de locuri de muncă decente care nu pot fi relocate, colaborarea între actorii economici și crearea unui ecosistem stimulant în care asociații, cooperative, case de ajutor reciproc, întreprinderi tradiționale, investitori în sectorul bancar, societatea civilă, partenerii sociali, mediul universitar etc.;</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 xml:space="preserve">solicită CE să asigure, în cadrul inițiativelor sale în materie de inovare socială, o abordare transversală și </w:t>
      </w:r>
      <w:proofErr w:type="spellStart"/>
      <w:r>
        <w:t>multipartită</w:t>
      </w:r>
      <w:proofErr w:type="spellEnd"/>
      <w:r>
        <w:t xml:space="preserve"> din partea întreprinderilor tradiționale și a economiei sociale, care să includă perspectivele sociale și de mediu;</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solicită CE să includă economia socială și inovarea printre inițiativele pe care le va lua în elaborarea liniilor de acțiune din raportul său de analiză prospectivă, pentru a crește, în primul rând, participarea femeilor pe piața forței de muncă. Această creștere rămâne o provocare pentru alte segmente vulnerabile ale populației: persoanele cu dizabilități, tinerii și celelalte grupuri subreprezentate sau excluse, care nu sunt nici pe piața forței de muncă, nici într-un sistem de educație sau formare sau care trăiesc în sărăcie extremă.</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1B6246" w:rsidR="001B6246" w:rsidTr="00F2308A" w14:paraId="4815605B" w14:textId="77777777">
        <w:tc>
          <w:tcPr>
            <w:tcW w:w="1560" w:type="dxa"/>
          </w:tcPr>
          <w:p w:rsidRPr="001B6246" w:rsidR="001B6246" w:rsidP="001B6246" w:rsidRDefault="003907EE" w14:paraId="32B2F0B1" w14:textId="3157940A">
            <w:pPr>
              <w:overflowPunct w:val="0"/>
              <w:autoSpaceDE w:val="0"/>
              <w:autoSpaceDN w:val="0"/>
              <w:adjustRightInd w:val="0"/>
              <w:spacing w:line="240" w:lineRule="auto"/>
              <w:textAlignment w:val="baseline"/>
              <w:rPr>
                <w:i/>
              </w:rPr>
            </w:pPr>
            <w:r>
              <w:rPr>
                <w:b/>
                <w:i/>
              </w:rPr>
              <w:t>Date de contact</w:t>
            </w:r>
            <w:r w:rsidR="001B6246">
              <w:rPr>
                <w:b/>
                <w:i/>
              </w:rPr>
              <w:t>:</w:t>
            </w:r>
          </w:p>
        </w:tc>
        <w:tc>
          <w:tcPr>
            <w:tcW w:w="5528"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1B6246" w:rsidR="001B6246" w:rsidTr="00F2308A" w14:paraId="7129E52D" w14:textId="77777777">
        <w:tc>
          <w:tcPr>
            <w:tcW w:w="1560"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Tel.:</w:t>
            </w:r>
          </w:p>
        </w:tc>
        <w:tc>
          <w:tcPr>
            <w:tcW w:w="5528"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F2308A" w14:paraId="565DBDCE" w14:textId="77777777">
        <w:tc>
          <w:tcPr>
            <w:tcW w:w="1560" w:type="dxa"/>
          </w:tcPr>
          <w:p w:rsidRPr="001B6246" w:rsidR="001B6246" w:rsidP="001B6246" w:rsidRDefault="003907EE" w14:paraId="6F49D699" w14:textId="32F70960">
            <w:pPr>
              <w:overflowPunct w:val="0"/>
              <w:autoSpaceDE w:val="0"/>
              <w:autoSpaceDN w:val="0"/>
              <w:adjustRightInd w:val="0"/>
              <w:spacing w:line="240" w:lineRule="auto"/>
              <w:textAlignment w:val="baseline"/>
              <w:rPr>
                <w:i/>
              </w:rPr>
            </w:pPr>
            <w:r>
              <w:rPr>
                <w:i/>
              </w:rPr>
              <w:t>E-mail</w:t>
            </w:r>
            <w:r w:rsidR="001B6246">
              <w:rPr>
                <w:i/>
              </w:rPr>
              <w:t>:</w:t>
            </w:r>
          </w:p>
        </w:tc>
        <w:tc>
          <w:tcPr>
            <w:tcW w:w="5528" w:type="dxa"/>
          </w:tcPr>
          <w:p w:rsidRPr="001B6246" w:rsidR="001B6246" w:rsidP="001B6246" w:rsidRDefault="00901E5A" w14:paraId="7EBA911B" w14:textId="77777777">
            <w:pPr>
              <w:overflowPunct w:val="0"/>
              <w:autoSpaceDE w:val="0"/>
              <w:autoSpaceDN w:val="0"/>
              <w:adjustRightInd w:val="0"/>
              <w:spacing w:line="240" w:lineRule="auto"/>
              <w:textAlignment w:val="baseline"/>
              <w:rPr>
                <w:i/>
                <w:iCs/>
              </w:rPr>
            </w:pPr>
            <w:hyperlink w:history="1" r:id="rId28">
              <w:r w:rsidR="004839AF">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901E5A"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4839AF">
          <w:rPr>
            <w:b/>
            <w:i/>
            <w:color w:val="0000FF"/>
            <w:sz w:val="28"/>
            <w:u w:val="single"/>
          </w:rPr>
          <w:t>Testul european de rezistență în materie de inovare</w:t>
        </w:r>
      </w:hyperlink>
      <w:r w:rsidR="004839AF">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Raportor:</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Olivier JORIS (Grupul „Angajatori”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3907EE" w14:paraId="1709B388" w14:textId="23800304">
            <w:pPr>
              <w:tabs>
                <w:tab w:val="center" w:pos="284"/>
              </w:tabs>
              <w:overflowPunct w:val="0"/>
              <w:autoSpaceDE w:val="0"/>
              <w:autoSpaceDN w:val="0"/>
              <w:adjustRightInd w:val="0"/>
              <w:ind w:left="266" w:hanging="266"/>
              <w:textAlignment w:val="baseline"/>
              <w:rPr>
                <w:b/>
              </w:rPr>
            </w:pPr>
            <w:r>
              <w:rPr>
                <w:b/>
              </w:rPr>
              <w:t>Referință</w:t>
            </w:r>
            <w:r w:rsidR="00235E61">
              <w:rPr>
                <w:b/>
              </w:rPr>
              <w:t>:</w:t>
            </w:r>
          </w:p>
        </w:tc>
        <w:tc>
          <w:tcPr>
            <w:tcW w:w="3893" w:type="pct"/>
          </w:tcPr>
          <w:p w:rsidRPr="00235E61" w:rsidR="00235E61" w:rsidP="00C83487" w:rsidRDefault="00235E61" w14:paraId="2CDE140A" w14:textId="59E0AF5C">
            <w:pPr>
              <w:tabs>
                <w:tab w:val="center" w:pos="284"/>
              </w:tabs>
              <w:overflowPunct w:val="0"/>
              <w:autoSpaceDE w:val="0"/>
              <w:autoSpaceDN w:val="0"/>
              <w:adjustRightInd w:val="0"/>
              <w:ind w:left="266" w:right="-107" w:hanging="266"/>
              <w:textAlignment w:val="baseline"/>
            </w:pPr>
            <w:r>
              <w:t>Aviz exploratoriu la solicitarea Președinției belgiene a Consiliului UE</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Pr>
          <w:b/>
        </w:rPr>
        <w:t>Punctele principale:</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CESE:</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recomandă ca actuala și viitoarea Comisie Europeană să </w:t>
      </w:r>
      <w:r>
        <w:rPr>
          <w:b/>
        </w:rPr>
        <w:t>introducă un nou test de rezistență în materie de inovare pentru evaluarea fiecărei noi legislații și inițiative politice</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propune ca testul de rezistență în materie de inovare să includă următoarele zece cerințe-cheie.</w:t>
      </w:r>
    </w:p>
    <w:p w:rsidRPr="00235E61" w:rsidR="00235E61" w:rsidP="006221F1" w:rsidRDefault="00235E61" w14:paraId="1355EE8E" w14:textId="4CAE8943">
      <w:pPr>
        <w:overflowPunct w:val="0"/>
        <w:autoSpaceDE w:val="0"/>
        <w:autoSpaceDN w:val="0"/>
        <w:adjustRightInd w:val="0"/>
        <w:ind w:left="567"/>
        <w:textAlignment w:val="baseline"/>
        <w:rPr>
          <w:iCs/>
        </w:rPr>
      </w:pPr>
      <w:r>
        <w:t>Noua legislație/inițiativă politică:</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t>protejează consumatorii și mediul, recunoaște nevoia de inovare pentru a facilita tranziția verde și pe cea digitală a UE către durabilitate, ajută la crearea de mai multe locuri de muncă de mai bună calitate în beneficiul societății și stimulează economia? (Da)</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t>asigură un proces de elaborare în comun a politicilor, astfel încât politicile existente și viitoare să fie utilizate în moduri care să creeze încredere în rândul investitorilor și să stimuleze inovarea, dar să nu creeze bariere pentru investițiile continue și noi în materie de inovare în UE? (Da)</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t>asigură o înțelegere clară în rândul inovatorilor și al investitorilor? (Da)</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t>respectă utilizarea setului de instrumente pentru o mai bună legiferare al Comisiei Europene? (Da)</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t>include în mod activ consultarea și implicarea inovatorilor și a investitorilor din întregul spectru, de la întreprinderi nou-înființate la organizații internaționale, pentru a garanta că politicile nu subminează în mod neintenționat, acum și în viitor, încrederea investitorilor pentru a investi sau a continua să investească în inovare la nivelul UE? (Da)</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t>recunoaște preocupările legitime în ceea ce privește potențialele conflicte de interese și asigură transparență în ceea ce privește aceste aspecte pentru toți cei implicați în proces, inclusiv pentru actorii politici, pentru sectoarele publice și private și pentru societatea civilă? (Da)</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t>ține cont de cea mai bună și mai actualizată pondere disponibilă a dovezilor științifice? (Da)</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t>afectează disponibilitatea competențelor, a capitalului uman și a educației necesare pentru inovare, cercetare și dezvoltare? (Nu)</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t>conduce la măsuri care ar putea genera un dezechilibru în materie de gen? (Nu)</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t>intră în conflict cu stimulentele fiscale existente sau viitoare pentru inovare sau cercetare și dezvoltare în Europa? (Nu)</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5E61" w:rsidR="00235E61" w:rsidTr="00F655B8" w14:paraId="4B488F4B" w14:textId="77777777">
        <w:tc>
          <w:tcPr>
            <w:tcW w:w="1556" w:type="pct"/>
          </w:tcPr>
          <w:p w:rsidRPr="00235E61" w:rsidR="00235E61" w:rsidP="00235E61" w:rsidRDefault="003907EE" w14:paraId="25B49F11" w14:textId="61398C25">
            <w:pPr>
              <w:overflowPunct w:val="0"/>
              <w:autoSpaceDE w:val="0"/>
              <w:autoSpaceDN w:val="0"/>
              <w:adjustRightInd w:val="0"/>
              <w:spacing w:line="240" w:lineRule="auto"/>
              <w:textAlignment w:val="baseline"/>
              <w:rPr>
                <w:i/>
              </w:rPr>
            </w:pPr>
            <w:r>
              <w:rPr>
                <w:b/>
                <w:i/>
              </w:rPr>
              <w:t>Date de contact</w:t>
            </w:r>
            <w:r w:rsidR="00235E61">
              <w:rPr>
                <w:b/>
                <w:i/>
              </w:rPr>
              <w:t>:</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Tel.:</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3907EE" w14:paraId="76CEE141" w14:textId="1ABE4498">
            <w:pPr>
              <w:overflowPunct w:val="0"/>
              <w:autoSpaceDE w:val="0"/>
              <w:autoSpaceDN w:val="0"/>
              <w:adjustRightInd w:val="0"/>
              <w:spacing w:line="240" w:lineRule="auto"/>
              <w:textAlignment w:val="baseline"/>
              <w:rPr>
                <w:i/>
              </w:rPr>
            </w:pPr>
            <w:r>
              <w:rPr>
                <w:i/>
              </w:rPr>
              <w:t>E-mail</w:t>
            </w:r>
            <w:r w:rsidR="00C94208">
              <w:rPr>
                <w:i/>
              </w:rPr>
              <w:t>:</w:t>
            </w:r>
          </w:p>
        </w:tc>
        <w:tc>
          <w:tcPr>
            <w:tcW w:w="3444" w:type="pct"/>
          </w:tcPr>
          <w:p w:rsidRPr="00235E61" w:rsidR="00235E61" w:rsidP="00235E61" w:rsidRDefault="00901E5A" w14:paraId="32AFDC36" w14:textId="64AA67A0">
            <w:pPr>
              <w:overflowPunct w:val="0"/>
              <w:autoSpaceDE w:val="0"/>
              <w:autoSpaceDN w:val="0"/>
              <w:adjustRightInd w:val="0"/>
              <w:spacing w:line="240" w:lineRule="auto"/>
              <w:textAlignment w:val="baseline"/>
              <w:rPr>
                <w:i/>
              </w:rPr>
            </w:pPr>
            <w:hyperlink w:history="1" r:id="rId30">
              <w:r w:rsidR="004839AF">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901E5A"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4839AF">
          <w:rPr>
            <w:b/>
            <w:i/>
            <w:color w:val="0000FF"/>
            <w:sz w:val="28"/>
            <w:u w:val="single"/>
          </w:rPr>
          <w:t>Asociațiile transfrontaliere europene</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Raportor:</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Giuseppe GUERINI (Grupul „Organizații ale societății civile”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3907EE" w14:paraId="023C8E87" w14:textId="0859A3E0">
            <w:pPr>
              <w:tabs>
                <w:tab w:val="center" w:pos="284"/>
              </w:tabs>
              <w:overflowPunct w:val="0"/>
              <w:autoSpaceDE w:val="0"/>
              <w:autoSpaceDN w:val="0"/>
              <w:adjustRightInd w:val="0"/>
              <w:ind w:left="266" w:hanging="266"/>
              <w:textAlignment w:val="baseline"/>
              <w:rPr>
                <w:b/>
              </w:rPr>
            </w:pPr>
            <w:r>
              <w:rPr>
                <w:b/>
              </w:rPr>
              <w:t>Referință</w:t>
            </w:r>
            <w:r w:rsidR="00DE6659">
              <w:rPr>
                <w:b/>
              </w:rPr>
              <w:t>:</w:t>
            </w:r>
          </w:p>
        </w:tc>
        <w:tc>
          <w:tcPr>
            <w:tcW w:w="3852" w:type="pct"/>
          </w:tcPr>
          <w:p w:rsidRPr="00DE6659" w:rsidR="00DE6659" w:rsidP="00DE6659" w:rsidRDefault="00DE6659" w14:paraId="68348F3B" w14:textId="3267B5EA">
            <w:pPr>
              <w:tabs>
                <w:tab w:val="center" w:pos="284"/>
              </w:tabs>
              <w:overflowPunct w:val="0"/>
              <w:autoSpaceDE w:val="0"/>
              <w:autoSpaceDN w:val="0"/>
              <w:adjustRightInd w:val="0"/>
              <w:ind w:left="266" w:hanging="266"/>
              <w:textAlignment w:val="baseline"/>
            </w:pPr>
            <w:r>
              <w:t>COM(2023) 515 final</w:t>
            </w:r>
          </w:p>
          <w:p w:rsidRPr="00DE6659" w:rsidR="00DE6659" w:rsidP="00DE6659" w:rsidRDefault="00DE6659" w14:paraId="4367C17F" w14:textId="4FBAACF8">
            <w:pPr>
              <w:tabs>
                <w:tab w:val="center" w:pos="284"/>
              </w:tabs>
              <w:overflowPunct w:val="0"/>
              <w:autoSpaceDE w:val="0"/>
              <w:autoSpaceDN w:val="0"/>
              <w:adjustRightInd w:val="0"/>
              <w:ind w:left="266" w:hanging="266"/>
              <w:textAlignment w:val="baseline"/>
            </w:pPr>
            <w:r>
              <w:t>COM(2023) 516 final</w:t>
            </w:r>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478A9390">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CESE:</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 xml:space="preserve">salută propunerea Comisiei Europene care urmărește să faciliteze activitățile transfrontaliere ale asociațiilor non-profit din UE prin crearea unei noi forme juridice de „asociație transfrontalieră europeană” și propune </w:t>
      </w:r>
      <w:proofErr w:type="spellStart"/>
      <w:r>
        <w:t>colegiuitorilor</w:t>
      </w:r>
      <w:proofErr w:type="spellEnd"/>
      <w:r>
        <w:t xml:space="preserve"> să avanseze rapid în direcția adoptării sale;</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recunoaște dificultățile cu care se confruntă asociațiile și organismele non-profit în participarea la piața internă și recomandă Comisiei și statelor membre să elimine obstacolele juridice și administrative, promovând astfel rolul pe care aceste asociații îl joacă în UE în generarea de valoare economică și socială;</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recunoaște potențialul organizațiilor non-profit în contextul pieței unice și reamintește necesitatea de a promova crearea unui ecosistem european pentru acest tip de organizații, astfel încât piața unică să capete un caracter mai „social”;</w:t>
      </w:r>
    </w:p>
    <w:p w:rsidRPr="00DE6659" w:rsidR="00DE6659" w:rsidP="000E5EDB" w:rsidRDefault="00DE6659" w14:paraId="41339DE3" w14:textId="0EFF97F7">
      <w:pPr>
        <w:numPr>
          <w:ilvl w:val="0"/>
          <w:numId w:val="44"/>
        </w:numPr>
        <w:overflowPunct w:val="0"/>
        <w:autoSpaceDE w:val="0"/>
        <w:autoSpaceDN w:val="0"/>
        <w:adjustRightInd w:val="0"/>
        <w:spacing w:after="200" w:line="276" w:lineRule="auto"/>
        <w:ind w:left="567" w:hanging="567"/>
        <w:contextualSpacing/>
        <w:textAlignment w:val="baseline"/>
        <w:rPr>
          <w:bCs/>
          <w:iCs/>
        </w:rPr>
      </w:pPr>
      <w:r>
        <w:t>salută propunerea Comisiei de a introduce o formă juridică suplimentară de asociație transfrontalieră europeană (ECBA) în sistemele juridice naționale ale statelor membre, pentru a reduce sarcina juridică și administrativă în ce privește recunoașterea și crearea de asociații non</w:t>
      </w:r>
      <w:r w:rsidR="00F2308A">
        <w:noBreakHyphen/>
      </w:r>
      <w:r>
        <w:t>profit care desfășoară activități într-un alt stat membru;</w:t>
      </w:r>
    </w:p>
    <w:p w:rsidRPr="00DE6659" w:rsidR="00DE6659" w:rsidP="000E5EDB"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propune ca dobândirea statutului de asociație transfrontalieră europeană să fie posibilă pentru toate organizațiile care îndeplinesc cerințele și au sediul social în Uniunea Europeană. Printre acestea se numără cele care au membri ai organului executiv care sunt persoane fizice cu reședința în țări din afara UE, în special în țări din Spațiul Economic European;</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recomandă ca stabilirea statutelor de către organizații și membrii acestora să poată determina diversele tipuri de afiliere la asociații și modul de exprimare a dreptului de vot, cu respectarea principiului democratic și a principiului libertății de asociere;</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sprijină și apreciază crearea „certificatului ECBA”, care va permite recunoașterea acestei noi forme juridice în întreaga Uniune după ce o ECBA a fost înregistrată într-un stat membru, dar recomandă îmbunătățirea sistemelor de clasificare și înregistrare, prin crearea unor baze de date comparabile.</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E6659" w:rsidR="00DE6659" w:rsidTr="00F655B8" w14:paraId="1391A80B" w14:textId="77777777">
        <w:tc>
          <w:tcPr>
            <w:tcW w:w="1556" w:type="pct"/>
          </w:tcPr>
          <w:p w:rsidRPr="00DE6659" w:rsidR="00DE6659" w:rsidP="00DE6659" w:rsidRDefault="003907EE" w14:paraId="55CC11E0" w14:textId="775CBEA1">
            <w:pPr>
              <w:overflowPunct w:val="0"/>
              <w:autoSpaceDE w:val="0"/>
              <w:autoSpaceDN w:val="0"/>
              <w:adjustRightInd w:val="0"/>
              <w:spacing w:line="240" w:lineRule="auto"/>
              <w:textAlignment w:val="baseline"/>
              <w:rPr>
                <w:i/>
              </w:rPr>
            </w:pPr>
            <w:r>
              <w:rPr>
                <w:b/>
                <w:i/>
              </w:rPr>
              <w:t>Date de contact</w:t>
            </w:r>
            <w:r w:rsidR="00DE6659">
              <w:rPr>
                <w:b/>
                <w:i/>
              </w:rPr>
              <w:t>:</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Tel.:</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3907EE" w14:paraId="1EFE7B35" w14:textId="7383DD5F">
            <w:pPr>
              <w:overflowPunct w:val="0"/>
              <w:autoSpaceDE w:val="0"/>
              <w:autoSpaceDN w:val="0"/>
              <w:adjustRightInd w:val="0"/>
              <w:spacing w:line="240" w:lineRule="auto"/>
              <w:textAlignment w:val="baseline"/>
              <w:rPr>
                <w:i/>
              </w:rPr>
            </w:pPr>
            <w:r>
              <w:rPr>
                <w:i/>
              </w:rPr>
              <w:t>E-mail</w:t>
            </w:r>
            <w:r w:rsidR="00DE6659">
              <w:rPr>
                <w:i/>
              </w:rPr>
              <w:t>:</w:t>
            </w:r>
          </w:p>
        </w:tc>
        <w:tc>
          <w:tcPr>
            <w:tcW w:w="3444" w:type="pct"/>
          </w:tcPr>
          <w:p w:rsidRPr="00DE6659" w:rsidR="00DE6659" w:rsidP="00DE6659" w:rsidRDefault="00901E5A" w14:paraId="23C9553B" w14:textId="77777777">
            <w:pPr>
              <w:overflowPunct w:val="0"/>
              <w:autoSpaceDE w:val="0"/>
              <w:autoSpaceDN w:val="0"/>
              <w:adjustRightInd w:val="0"/>
              <w:spacing w:line="240" w:lineRule="auto"/>
              <w:textAlignment w:val="baseline"/>
              <w:rPr>
                <w:i/>
              </w:rPr>
            </w:pPr>
            <w:hyperlink w:history="1" r:id="rId32">
              <w:r w:rsidR="004839AF">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901E5A" w14:paraId="4DE066CB" w14:textId="75EB8864">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4839AF">
          <w:rPr>
            <w:b/>
            <w:i/>
            <w:color w:val="0000FF"/>
            <w:sz w:val="28"/>
            <w:u w:val="single"/>
          </w:rPr>
          <w:t>Noua strategie europeană pentru piața internă</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5"/>
      </w:tblGrid>
      <w:tr w:rsidRPr="009E6551" w:rsidR="009E6551" w:rsidTr="000E5EDB"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rPr>
              <w:t>Raportoare:</w:t>
            </w:r>
          </w:p>
        </w:tc>
        <w:tc>
          <w:tcPr>
            <w:tcW w:w="3871" w:type="pct"/>
          </w:tcPr>
          <w:p w:rsidRPr="009E6551" w:rsidR="009E6551" w:rsidP="009E6551" w:rsidRDefault="009E6551" w14:paraId="1A8DCFC5" w14:textId="0AA262D5">
            <w:pPr>
              <w:tabs>
                <w:tab w:val="center" w:pos="0"/>
              </w:tabs>
              <w:overflowPunct w:val="0"/>
              <w:autoSpaceDE w:val="0"/>
              <w:autoSpaceDN w:val="0"/>
              <w:adjustRightInd w:val="0"/>
              <w:ind w:left="266" w:hanging="266"/>
              <w:textAlignment w:val="baseline"/>
            </w:pPr>
            <w:r>
              <w:t>Sandra PARTHIE (Grupul „Angajatori” – DE)</w:t>
            </w:r>
          </w:p>
        </w:tc>
      </w:tr>
      <w:tr w:rsidRPr="009E6551" w:rsidR="009E6551" w:rsidTr="000E5EDB"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Coraportor:</w:t>
            </w:r>
          </w:p>
        </w:tc>
        <w:tc>
          <w:tcPr>
            <w:tcW w:w="3871" w:type="pct"/>
          </w:tcPr>
          <w:p w:rsidRPr="009E6551" w:rsidR="009E6551" w:rsidP="009E6551" w:rsidRDefault="009E6551" w14:paraId="0FC36817" w14:textId="7498D0C1">
            <w:pPr>
              <w:tabs>
                <w:tab w:val="center" w:pos="284"/>
              </w:tabs>
              <w:overflowPunct w:val="0"/>
              <w:autoSpaceDE w:val="0"/>
              <w:autoSpaceDN w:val="0"/>
              <w:adjustRightInd w:val="0"/>
              <w:ind w:left="266" w:hanging="266"/>
              <w:textAlignment w:val="baseline"/>
            </w:pPr>
            <w:r>
              <w:t>Alain COHEUR (Grupul „Organizații ale societății civile” – BE)</w:t>
            </w:r>
          </w:p>
        </w:tc>
      </w:tr>
      <w:tr w:rsidRPr="009E6551" w:rsidR="009E6551" w:rsidTr="000E5EDB"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0E5EDB" w14:paraId="423137BA" w14:textId="77777777">
        <w:tc>
          <w:tcPr>
            <w:tcW w:w="1129" w:type="pct"/>
            <w:vMerge w:val="restart"/>
          </w:tcPr>
          <w:p w:rsidRPr="009E6551" w:rsidR="009E6551" w:rsidP="009E6551" w:rsidRDefault="003907EE" w14:paraId="73633D71" w14:textId="339822AD">
            <w:pPr>
              <w:tabs>
                <w:tab w:val="center" w:pos="284"/>
              </w:tabs>
              <w:overflowPunct w:val="0"/>
              <w:autoSpaceDE w:val="0"/>
              <w:autoSpaceDN w:val="0"/>
              <w:adjustRightInd w:val="0"/>
              <w:ind w:left="266" w:hanging="266"/>
              <w:textAlignment w:val="baseline"/>
              <w:rPr>
                <w:b/>
              </w:rPr>
            </w:pPr>
            <w:r>
              <w:rPr>
                <w:b/>
              </w:rPr>
              <w:t>Referință</w:t>
            </w:r>
            <w:r w:rsidR="009E6551">
              <w:rPr>
                <w:b/>
              </w:rPr>
              <w:t>:</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Aviz exploratoriu la solicitarea Președinției belgiene a Consiliului UE</w:t>
            </w:r>
          </w:p>
        </w:tc>
      </w:tr>
      <w:tr w:rsidRPr="009E6551" w:rsidR="009E6551" w:rsidTr="000E5EDB"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258D60F8">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Pr>
          <w:b/>
        </w:rPr>
        <w:t>Punctele principale:</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CESE:</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consideră că o strategie privind </w:t>
      </w:r>
      <w:r>
        <w:rPr>
          <w:b/>
        </w:rPr>
        <w:t>viitorul pieței interne</w:t>
      </w:r>
      <w:r>
        <w:t xml:space="preserve"> ar trebui să se concentreze asupra mai multor aspecte: </w:t>
      </w:r>
      <w:r>
        <w:rPr>
          <w:b/>
        </w:rPr>
        <w:t>o politică industrială europeană</w:t>
      </w:r>
      <w:r>
        <w:t xml:space="preserve">, </w:t>
      </w:r>
      <w:r>
        <w:rPr>
          <w:b/>
        </w:rPr>
        <w:t>un cadru</w:t>
      </w:r>
      <w:r>
        <w:t xml:space="preserve"> favorabil </w:t>
      </w:r>
      <w:r>
        <w:rPr>
          <w:b/>
        </w:rPr>
        <w:t>pentru întreprinderi, IMM-uri și întreprinderi din economia socială</w:t>
      </w:r>
      <w:r>
        <w:t xml:space="preserve">, sprijin public pentru </w:t>
      </w:r>
      <w:r>
        <w:rPr>
          <w:b/>
        </w:rPr>
        <w:t>proiectul european</w:t>
      </w:r>
      <w:r>
        <w:t xml:space="preserve">, </w:t>
      </w:r>
      <w:r>
        <w:rPr>
          <w:b/>
        </w:rPr>
        <w:t>servicii de interes</w:t>
      </w:r>
      <w:r>
        <w:t xml:space="preserve"> </w:t>
      </w:r>
      <w:r>
        <w:rPr>
          <w:b/>
        </w:rPr>
        <w:t>general</w:t>
      </w:r>
      <w:r>
        <w:t xml:space="preserve"> organizate corespunzător și eficiente, precum și măsuri de conservare și dezvoltare a </w:t>
      </w:r>
      <w:r>
        <w:rPr>
          <w:b/>
        </w:rPr>
        <w:t>modelului</w:t>
      </w:r>
      <w:r>
        <w:t xml:space="preserve"> nostru </w:t>
      </w:r>
      <w:r>
        <w:rPr>
          <w:b/>
        </w:rPr>
        <w:t>social</w:t>
      </w:r>
      <w:r>
        <w:t>;</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solicită un </w:t>
      </w:r>
      <w:r>
        <w:rPr>
          <w:b/>
        </w:rPr>
        <w:t>nou cadru analitic care să orienteze procesul decizional politic</w:t>
      </w:r>
      <w:r>
        <w:t xml:space="preserve"> către o lume în schimbare, care se confruntă cu noi provocări geopolitice. Există o serie de obiective care intră în contradicție unele cu altele: solicitări de subvenții, dar și de limitare a ajutoarelor de stat; cerințe privind producția locală, dar și acțiuni de deschidere a piețelor; acces la materii prime indispensabile, dar și condiții de furnizare. Este nevoie de </w:t>
      </w:r>
      <w:r>
        <w:rPr>
          <w:b/>
        </w:rPr>
        <w:t>un nou sistem de cooperare</w:t>
      </w:r>
      <w:r>
        <w:t xml:space="preserve"> pentru a găsi cele mai bune soluții, iar un nou spirit de colaborare între statele membre este esențial pentru a crea un </w:t>
      </w:r>
      <w:r>
        <w:rPr>
          <w:b/>
        </w:rPr>
        <w:t>veritabil sentiment al identității europene</w:t>
      </w:r>
      <w:r>
        <w:t>;</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solicită: </w:t>
      </w:r>
      <w:r>
        <w:rPr>
          <w:b/>
        </w:rPr>
        <w:t>evaluarea consecințelor</w:t>
      </w:r>
      <w:r>
        <w:t xml:space="preserve"> </w:t>
      </w:r>
      <w:r>
        <w:rPr>
          <w:b/>
        </w:rPr>
        <w:t>liberalizării serviciilor de interes economic general (SIEG)</w:t>
      </w:r>
      <w:r>
        <w:t xml:space="preserve"> asupra coeziunii economice, sociale și teritoriale și un studiu privind posibila necesitate de a crea </w:t>
      </w:r>
      <w:r>
        <w:rPr>
          <w:b/>
        </w:rPr>
        <w:t>instrumente europene de intervenție publică în sectoarele SIEG</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9E6551" w:rsidR="009E6551" w:rsidTr="00F655B8" w14:paraId="41B2FFFB" w14:textId="77777777">
        <w:tc>
          <w:tcPr>
            <w:tcW w:w="1556" w:type="pct"/>
          </w:tcPr>
          <w:p w:rsidRPr="009E6551" w:rsidR="009E6551" w:rsidP="009E6551" w:rsidRDefault="003907EE" w14:paraId="3C548129" w14:textId="6A75BD53">
            <w:pPr>
              <w:overflowPunct w:val="0"/>
              <w:autoSpaceDE w:val="0"/>
              <w:autoSpaceDN w:val="0"/>
              <w:adjustRightInd w:val="0"/>
              <w:spacing w:line="240" w:lineRule="auto"/>
              <w:textAlignment w:val="baseline"/>
              <w:rPr>
                <w:i/>
              </w:rPr>
            </w:pPr>
            <w:r>
              <w:rPr>
                <w:b/>
                <w:i/>
              </w:rPr>
              <w:t>Date de contact</w:t>
            </w:r>
            <w:r w:rsidR="009E6551">
              <w:rPr>
                <w:b/>
                <w:i/>
              </w:rPr>
              <w:t>:</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Tel.:</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3907EE" w14:paraId="402406CE" w14:textId="6AD25B66">
            <w:pPr>
              <w:overflowPunct w:val="0"/>
              <w:autoSpaceDE w:val="0"/>
              <w:autoSpaceDN w:val="0"/>
              <w:adjustRightInd w:val="0"/>
              <w:spacing w:line="240" w:lineRule="auto"/>
              <w:textAlignment w:val="baseline"/>
              <w:rPr>
                <w:i/>
              </w:rPr>
            </w:pPr>
            <w:r>
              <w:rPr>
                <w:i/>
              </w:rPr>
              <w:t>E-mail</w:t>
            </w:r>
            <w:r w:rsidR="009E6551">
              <w:rPr>
                <w:i/>
              </w:rPr>
              <w:t>:</w:t>
            </w:r>
          </w:p>
        </w:tc>
        <w:tc>
          <w:tcPr>
            <w:tcW w:w="3444" w:type="pct"/>
          </w:tcPr>
          <w:p w:rsidRPr="009E6551" w:rsidR="009E6551" w:rsidP="009E6551" w:rsidRDefault="00901E5A" w14:paraId="4125E6FA" w14:textId="77777777">
            <w:pPr>
              <w:overflowPunct w:val="0"/>
              <w:autoSpaceDE w:val="0"/>
              <w:autoSpaceDN w:val="0"/>
              <w:adjustRightInd w:val="0"/>
              <w:spacing w:line="240" w:lineRule="auto"/>
              <w:textAlignment w:val="baseline"/>
              <w:rPr>
                <w:iCs/>
              </w:rPr>
            </w:pPr>
            <w:hyperlink w:history="1" r:id="rId34">
              <w:r w:rsidR="004839AF">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901E5A"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5">
        <w:r w:rsidR="004839AF">
          <w:rPr>
            <w:b/>
            <w:i/>
            <w:color w:val="0000FF"/>
            <w:sz w:val="28"/>
            <w:u w:val="single"/>
          </w:rPr>
          <w:t>Revizuirea Directivei privind întârzierea în efectuarea plăților</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704"/>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Raportori:</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xml:space="preserve"> GKOFAS (Grupul „Organizații ale societății civile”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r>
              <w:t>Alena MASTANTUONO (Grupul „Angajatori”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proofErr w:type="spellStart"/>
            <w:r>
              <w:t>Angelo</w:t>
            </w:r>
            <w:proofErr w:type="spellEnd"/>
            <w:r>
              <w:t xml:space="preserve"> PAGLIARA (Grupul „Lucrători” – IT)</w:t>
            </w:r>
          </w:p>
        </w:tc>
      </w:tr>
      <w:tr w:rsidRPr="00C41F06" w:rsidR="00C41F06" w:rsidTr="00F655B8" w14:paraId="13E6E1E7" w14:textId="77777777">
        <w:tc>
          <w:tcPr>
            <w:tcW w:w="1142" w:type="pct"/>
            <w:vMerge w:val="restart"/>
          </w:tcPr>
          <w:p w:rsidRPr="00C41F06" w:rsidR="00C41F06" w:rsidP="00C41F06" w:rsidRDefault="003907EE" w14:paraId="3D984E0B" w14:textId="6C3C0573">
            <w:pPr>
              <w:tabs>
                <w:tab w:val="center" w:pos="284"/>
              </w:tabs>
              <w:overflowPunct w:val="0"/>
              <w:autoSpaceDE w:val="0"/>
              <w:autoSpaceDN w:val="0"/>
              <w:adjustRightInd w:val="0"/>
              <w:ind w:left="266" w:hanging="266"/>
              <w:textAlignment w:val="baseline"/>
              <w:rPr>
                <w:b/>
              </w:rPr>
            </w:pPr>
            <w:r>
              <w:rPr>
                <w:b/>
              </w:rPr>
              <w:t>Referință</w:t>
            </w:r>
            <w:r w:rsidR="00C41F06">
              <w:rPr>
                <w:b/>
              </w:rPr>
              <w:t>:</w:t>
            </w:r>
          </w:p>
        </w:tc>
        <w:tc>
          <w:tcPr>
            <w:tcW w:w="3858" w:type="pct"/>
          </w:tcPr>
          <w:p w:rsidRPr="00C41F06" w:rsidR="00C41F06" w:rsidP="00C41F06" w:rsidRDefault="00C41F06" w14:paraId="16F6C4C1" w14:textId="13C0F28D">
            <w:pPr>
              <w:tabs>
                <w:tab w:val="center" w:pos="284"/>
              </w:tabs>
              <w:overflowPunct w:val="0"/>
              <w:autoSpaceDE w:val="0"/>
              <w:autoSpaceDN w:val="0"/>
              <w:adjustRightInd w:val="0"/>
              <w:ind w:left="266" w:hanging="266"/>
              <w:textAlignment w:val="baseline"/>
            </w:pPr>
            <w:r>
              <w:t>COM(2023) 533 final</w:t>
            </w:r>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6C25D1E1">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Pr>
          <w:b/>
        </w:rPr>
        <w:t>Punctele principale:</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CESE:</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salută Comunicarea Comisiei privind pachetul de ajutor pentru IMM-uri și intenția Comisiei de a combate în continuare întârzierile în efectuarea plăților. Totodată, Comitetul </w:t>
      </w:r>
      <w:r>
        <w:rPr>
          <w:b/>
        </w:rPr>
        <w:t>este îngrijorat că transformarea directivei actuale într-un regulament ar putea limita flexibilitatea statelor membre</w:t>
      </w:r>
      <w:r>
        <w:t xml:space="preserve"> și a mediului de afaceri, într-o perioadă în care UE se confruntă cu mai multe turbulențe;</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consideră că </w:t>
      </w:r>
      <w:r>
        <w:rPr>
          <w:b/>
        </w:rPr>
        <w:t>întârzierile în efectuarea plăților</w:t>
      </w:r>
      <w:r>
        <w:t xml:space="preserve"> sunt în detrimentul proprietarilor de întreprinderi mici și al familiilor și angajaților acestora și are </w:t>
      </w:r>
      <w:r>
        <w:rPr>
          <w:b/>
        </w:rPr>
        <w:t>consecințe grave asupra plății utilităților, a chiriilor și a creditelor</w:t>
      </w:r>
      <w:r>
        <w:t xml:space="preserve">, dar și </w:t>
      </w:r>
      <w:r>
        <w:rPr>
          <w:b/>
        </w:rPr>
        <w:t>asupra stării de spirit și a productivității</w:t>
      </w:r>
      <w:r>
        <w:t xml:space="preserve"> celor vizați;</w:t>
      </w:r>
    </w:p>
    <w:p w:rsidRPr="00C41F06" w:rsidR="00C41F06" w:rsidP="000E5EDB"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consideră că, prin propunerea sa, Comisia încearcă să abordeze problema termenelor de plată lungi, în loc de cea a întârzierilor în efectuarea plăților, </w:t>
      </w:r>
      <w:r>
        <w:rPr>
          <w:b/>
        </w:rPr>
        <w:t>introducând măsuri exagerat de restrictive, în loc să aducă îmbunătățiri cadrului actual de punere în aplicare</w:t>
      </w:r>
      <w:r>
        <w:t xml:space="preserve"> prin norme mai eficace;</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subliniază importanța unor negocieri flexibile atunci când se stabilesc termenele de plată și subliniază că are îngrijorări semnificative în ceea ce privește propunerea Comisiei. Într-adevăr, plafonul de </w:t>
      </w:r>
      <w:r>
        <w:rPr>
          <w:b/>
        </w:rPr>
        <w:t>30 de zile propus elimină libertatea contractuală care se aplică în relațiile dintre întreprinderi</w:t>
      </w:r>
      <w: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salută stabilirea termenului de plată la 30 de zile pentru tranzacțiile între administrațiile publice și întreprinderi. </w:t>
      </w:r>
      <w:r>
        <w:rPr>
          <w:b/>
        </w:rPr>
        <w:t>Autoritățile publice ar trebui să dea un exemplu, deoarece ele sunt parteneri esențiali pentru întreprinderi</w:t>
      </w:r>
      <w: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consideră că introducerea unor </w:t>
      </w:r>
      <w:r>
        <w:rPr>
          <w:b/>
        </w:rPr>
        <w:t>organisme naționale de asigurare a respectării legii</w:t>
      </w:r>
      <w:r>
        <w:t xml:space="preserve"> ar putea fi benefică. Cu toate acestea, Comitetul subliniază că aceste autorități </w:t>
      </w:r>
      <w:r>
        <w:rPr>
          <w:b/>
        </w:rPr>
        <w:t>vor trebui să își desfășoare activitatea într-o manieră obiectivă și să garanteze o confidențialitate maximă</w:t>
      </w:r>
      <w:r>
        <w:t xml:space="preserve"> atunci când gestionează informații sensibile din punct de vedere comercial ale întreprinderilor și autorităților publice, fără a impune obligații suplimentare în ceea ce privește raportarea;</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crede că </w:t>
      </w:r>
      <w:r>
        <w:rPr>
          <w:b/>
        </w:rPr>
        <w:t>condițiile stricte privind termenele de plată</w:t>
      </w:r>
      <w:r>
        <w:t xml:space="preserve"> ar putea afecta tranzacțiile comerciale pe piața unică și determina mutarea operațiunilor comerciale în afara Uniunii. ar deveni mai ușor să se colaboreze cu furnizori din țări terțe, cărora li se permite să accepte termene de plată mai lungi. Aceasta ar putea reprezenta o </w:t>
      </w:r>
      <w:r>
        <w:rPr>
          <w:b/>
        </w:rPr>
        <w:t>amenințare potențială la adresa competitivității Europei</w:t>
      </w:r>
      <w:r>
        <w:t xml:space="preserve"> și ar trebui evitată.</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4819"/>
      </w:tblGrid>
      <w:tr w:rsidRPr="00C41F06" w:rsidR="00C41F06" w:rsidTr="00F2308A" w14:paraId="6F31166D" w14:textId="77777777">
        <w:tc>
          <w:tcPr>
            <w:tcW w:w="1223" w:type="pct"/>
          </w:tcPr>
          <w:p w:rsidRPr="00C41F06" w:rsidR="00C41F06" w:rsidP="00C41F06" w:rsidRDefault="003907EE" w14:paraId="185C0272" w14:textId="3D1B4A73">
            <w:pPr>
              <w:overflowPunct w:val="0"/>
              <w:autoSpaceDE w:val="0"/>
              <w:autoSpaceDN w:val="0"/>
              <w:adjustRightInd w:val="0"/>
              <w:spacing w:line="240" w:lineRule="auto"/>
              <w:textAlignment w:val="baseline"/>
              <w:rPr>
                <w:i/>
              </w:rPr>
            </w:pPr>
            <w:r>
              <w:rPr>
                <w:b/>
                <w:i/>
              </w:rPr>
              <w:t>Date de contact</w:t>
            </w:r>
            <w:r w:rsidR="00C41F06">
              <w:rPr>
                <w:b/>
                <w:i/>
              </w:rPr>
              <w:t>:</w:t>
            </w:r>
          </w:p>
        </w:tc>
        <w:tc>
          <w:tcPr>
            <w:tcW w:w="3777"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r>
              <w:rPr>
                <w:i/>
              </w:rPr>
              <w:t>Dalila Bernard</w:t>
            </w:r>
          </w:p>
        </w:tc>
      </w:tr>
      <w:tr w:rsidRPr="00C41F06" w:rsidR="00C41F06" w:rsidTr="00F2308A" w14:paraId="14726A39" w14:textId="77777777">
        <w:tc>
          <w:tcPr>
            <w:tcW w:w="1223"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Tel.:</w:t>
            </w:r>
          </w:p>
        </w:tc>
        <w:tc>
          <w:tcPr>
            <w:tcW w:w="3777"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F2308A" w14:paraId="1DBDA269" w14:textId="77777777">
        <w:tc>
          <w:tcPr>
            <w:tcW w:w="1223" w:type="pct"/>
          </w:tcPr>
          <w:p w:rsidRPr="00C41F06" w:rsidR="00C41F06" w:rsidP="00C41F06" w:rsidRDefault="003907EE" w14:paraId="0461CCC6" w14:textId="3871CEF7">
            <w:pPr>
              <w:overflowPunct w:val="0"/>
              <w:autoSpaceDE w:val="0"/>
              <w:autoSpaceDN w:val="0"/>
              <w:adjustRightInd w:val="0"/>
              <w:spacing w:line="240" w:lineRule="auto"/>
              <w:textAlignment w:val="baseline"/>
              <w:rPr>
                <w:i/>
              </w:rPr>
            </w:pPr>
            <w:r>
              <w:rPr>
                <w:i/>
              </w:rPr>
              <w:t>E-mail</w:t>
            </w:r>
            <w:r w:rsidR="00C41F06">
              <w:rPr>
                <w:i/>
              </w:rPr>
              <w:t>:</w:t>
            </w:r>
          </w:p>
        </w:tc>
        <w:tc>
          <w:tcPr>
            <w:tcW w:w="3777" w:type="pct"/>
          </w:tcPr>
          <w:p w:rsidRPr="00C41F06" w:rsidR="00C41F06" w:rsidP="00C41F06" w:rsidRDefault="00901E5A" w14:paraId="36F98705" w14:textId="77777777">
            <w:pPr>
              <w:overflowPunct w:val="0"/>
              <w:autoSpaceDE w:val="0"/>
              <w:autoSpaceDN w:val="0"/>
              <w:adjustRightInd w:val="0"/>
              <w:spacing w:line="240" w:lineRule="auto"/>
              <w:textAlignment w:val="baseline"/>
              <w:rPr>
                <w:i/>
              </w:rPr>
            </w:pPr>
            <w:hyperlink w:history="1" r:id="rId36">
              <w:r w:rsidR="004839AF">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18"/>
      <w:bookmarkStart w:name="_Toc157076151" w:id="19"/>
      <w:r>
        <w:rPr>
          <w:b/>
        </w:rPr>
        <w:lastRenderedPageBreak/>
        <w:t>SECȚIUNEA PENTRU AGRICULTURĂ, DEZVOLTARE RURALĂ ȘI PROTECȚIA MEDIULUI</w:t>
      </w:r>
      <w:bookmarkEnd w:id="18"/>
      <w:bookmarkEnd w:id="19"/>
    </w:p>
    <w:p w:rsidRPr="00094B6B" w:rsidR="002C016E" w:rsidP="00DE43CE" w:rsidRDefault="002C016E" w14:paraId="0E7342A4" w14:textId="73254B30">
      <w:pPr>
        <w:keepNext/>
        <w:keepLines/>
        <w:jc w:val="left"/>
        <w:rPr>
          <w:bCs/>
          <w:iCs/>
        </w:rPr>
      </w:pPr>
    </w:p>
    <w:p w:rsidRPr="001546A6" w:rsidR="001546A6" w:rsidP="000E5EDB" w:rsidRDefault="00901E5A"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4839AF">
          <w:rPr>
            <w:b/>
            <w:i/>
            <w:color w:val="0000FF"/>
            <w:sz w:val="28"/>
            <w:u w:val="single"/>
          </w:rPr>
          <w:t>Ținte pentru stabilirea posibilităților de pescuit</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1"/>
        <w:gridCol w:w="7380"/>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Raportor:</w:t>
            </w:r>
          </w:p>
        </w:tc>
        <w:tc>
          <w:tcPr>
            <w:tcW w:w="7479" w:type="dxa"/>
          </w:tcPr>
          <w:p w:rsidRPr="001D1D1C" w:rsidR="001546A6" w:rsidP="001546A6" w:rsidRDefault="001546A6" w14:paraId="71636E19" w14:textId="2A385294">
            <w:pPr>
              <w:tabs>
                <w:tab w:val="center" w:pos="284"/>
              </w:tabs>
              <w:overflowPunct w:val="0"/>
              <w:autoSpaceDE w:val="0"/>
              <w:autoSpaceDN w:val="0"/>
              <w:adjustRightInd w:val="0"/>
              <w:ind w:left="266" w:hanging="266"/>
              <w:textAlignment w:val="baseline"/>
            </w:pPr>
            <w:proofErr w:type="spellStart"/>
            <w:r>
              <w:t>Panagiotis</w:t>
            </w:r>
            <w:proofErr w:type="spellEnd"/>
            <w:r>
              <w:t xml:space="preserve"> GKOFAS (Grupul „Organizații ale societății civile” –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3907EE" w14:paraId="6043C6DB" w14:textId="771FD22B">
            <w:pPr>
              <w:tabs>
                <w:tab w:val="center" w:pos="284"/>
              </w:tabs>
              <w:overflowPunct w:val="0"/>
              <w:autoSpaceDE w:val="0"/>
              <w:autoSpaceDN w:val="0"/>
              <w:adjustRightInd w:val="0"/>
              <w:ind w:left="266" w:hanging="266"/>
              <w:textAlignment w:val="baseline"/>
              <w:rPr>
                <w:b/>
              </w:rPr>
            </w:pPr>
            <w:r>
              <w:rPr>
                <w:b/>
              </w:rPr>
              <w:t>Referință</w:t>
            </w:r>
            <w:r w:rsidR="001546A6">
              <w:rPr>
                <w:b/>
              </w:rPr>
              <w:t>:</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COM(2023) 771 final</w:t>
            </w:r>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CESE:</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0E5EDB"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recunoaște că obiectivul propunerii legislative este de a modifica planurile multianuale pentru anumite stocuri pescuite în Marea Baltică, în Marea Nordului și în apele occidentale și pentru activitățile de pescuit care exploatează stocurile respective, asigurând astfel coerența normelor care reglementează stabilirea posibilităților de pescuit anuale de către Consiliu;</w:t>
      </w:r>
    </w:p>
    <w:p w:rsidRPr="001546A6" w:rsidR="001546A6" w:rsidP="000E5EDB"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recunoaște că toate cele trei planuri multianuale conțin o așa-numită „regulă de 5 %”, care prevede că posibilitățile de pescuit se stabilesc pentru a garanta că probabilitatea ca biomasa stocului de reproducere să scadă până la punctul sub care ar putea avea o capacitate de reproducere redusă este mai mică de 5 %;</w:t>
      </w:r>
    </w:p>
    <w:p w:rsidRPr="001546A6" w:rsidR="001546A6" w:rsidP="000E5EDB"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recunoaște că, în anumite circumstanțe legate de starea unui anumit stoc de pește și de previziunile pe termen scurt pentru a-i dezvolta biomasa, aplicarea regulii de 5 % poate însemna că posibilitățile de pescuit nu pot fi stabilite, iar pescuitul vizat trebuie suspendat, cu potențiale implicații socioeconomice grave;</w:t>
      </w:r>
    </w:p>
    <w:p w:rsidRPr="001546A6" w:rsidR="001546A6" w:rsidP="000E5EDB"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Ca atare, este de acord cu propunerea de eliminare a regulii de 5 % din aceste trei planuri multianuale.</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1546A6" w:rsidR="001546A6" w:rsidTr="004129ED" w14:paraId="70454B14" w14:textId="77777777">
        <w:tc>
          <w:tcPr>
            <w:tcW w:w="1560" w:type="dxa"/>
          </w:tcPr>
          <w:p w:rsidRPr="001546A6" w:rsidR="001546A6" w:rsidP="001546A6" w:rsidRDefault="003907EE" w14:paraId="40690270" w14:textId="43338F14">
            <w:pPr>
              <w:overflowPunct w:val="0"/>
              <w:autoSpaceDE w:val="0"/>
              <w:autoSpaceDN w:val="0"/>
              <w:adjustRightInd w:val="0"/>
              <w:spacing w:line="240" w:lineRule="auto"/>
              <w:textAlignment w:val="baseline"/>
              <w:rPr>
                <w:i/>
              </w:rPr>
            </w:pPr>
            <w:r>
              <w:rPr>
                <w:b/>
                <w:i/>
              </w:rPr>
              <w:t>Date de contact</w:t>
            </w:r>
            <w:r w:rsidR="001546A6">
              <w:rPr>
                <w:b/>
                <w:i/>
              </w:rPr>
              <w:t>:</w:t>
            </w:r>
          </w:p>
        </w:tc>
        <w:tc>
          <w:tcPr>
            <w:tcW w:w="5528"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1546A6" w:rsidR="001546A6" w:rsidTr="004129ED" w14:paraId="59C49362" w14:textId="77777777">
        <w:tc>
          <w:tcPr>
            <w:tcW w:w="1560"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Tel.:</w:t>
            </w:r>
          </w:p>
        </w:tc>
        <w:tc>
          <w:tcPr>
            <w:tcW w:w="5528"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4129ED" w14:paraId="7E13A8F0" w14:textId="77777777">
        <w:tc>
          <w:tcPr>
            <w:tcW w:w="1560" w:type="dxa"/>
          </w:tcPr>
          <w:p w:rsidRPr="001546A6" w:rsidR="001546A6" w:rsidP="001546A6" w:rsidRDefault="003907EE" w14:paraId="65570F29" w14:textId="679386D8">
            <w:pPr>
              <w:overflowPunct w:val="0"/>
              <w:autoSpaceDE w:val="0"/>
              <w:autoSpaceDN w:val="0"/>
              <w:adjustRightInd w:val="0"/>
              <w:spacing w:line="240" w:lineRule="auto"/>
              <w:textAlignment w:val="baseline"/>
              <w:rPr>
                <w:i/>
              </w:rPr>
            </w:pPr>
            <w:r>
              <w:rPr>
                <w:i/>
              </w:rPr>
              <w:t>E-mail</w:t>
            </w:r>
            <w:r w:rsidR="001546A6">
              <w:rPr>
                <w:i/>
              </w:rPr>
              <w:t>:</w:t>
            </w:r>
          </w:p>
        </w:tc>
        <w:tc>
          <w:tcPr>
            <w:tcW w:w="5528" w:type="dxa"/>
          </w:tcPr>
          <w:p w:rsidRPr="00C83487" w:rsidR="001546A6" w:rsidP="001546A6" w:rsidRDefault="00901E5A" w14:paraId="4CAF59C5" w14:textId="663BE3D7">
            <w:pPr>
              <w:overflowPunct w:val="0"/>
              <w:autoSpaceDE w:val="0"/>
              <w:autoSpaceDN w:val="0"/>
              <w:adjustRightInd w:val="0"/>
              <w:spacing w:line="240" w:lineRule="auto"/>
              <w:textAlignment w:val="baseline"/>
              <w:rPr>
                <w:i/>
                <w:color w:val="0000FF"/>
                <w:u w:val="single"/>
              </w:rPr>
            </w:pPr>
            <w:hyperlink w:history="1" r:id="rId38">
              <w:r w:rsidR="004839AF">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901E5A" w14:paraId="3853AC6D" w14:textId="3550F579">
      <w:pPr>
        <w:widowControl w:val="0"/>
        <w:numPr>
          <w:ilvl w:val="0"/>
          <w:numId w:val="2"/>
        </w:numPr>
        <w:overflowPunct w:val="0"/>
        <w:autoSpaceDE w:val="0"/>
        <w:autoSpaceDN w:val="0"/>
        <w:adjustRightInd w:val="0"/>
        <w:ind w:hanging="567"/>
        <w:textAlignment w:val="baseline"/>
        <w:rPr>
          <w:sz w:val="20"/>
          <w:szCs w:val="20"/>
        </w:rPr>
      </w:pPr>
      <w:hyperlink w:history="1" r:id="rId39">
        <w:r w:rsidR="004839AF">
          <w:rPr>
            <w:b/>
            <w:i/>
            <w:color w:val="0000FF"/>
            <w:sz w:val="28"/>
            <w:u w:val="single"/>
          </w:rPr>
          <w:t>Către politica agricolă comună (PAC) post-2027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0"/>
        <w:gridCol w:w="7741"/>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Raportor:</w:t>
            </w:r>
          </w:p>
        </w:tc>
        <w:tc>
          <w:tcPr>
            <w:tcW w:w="4267" w:type="pct"/>
          </w:tcPr>
          <w:p w:rsidRPr="0048644C" w:rsidR="0048644C" w:rsidP="0048644C" w:rsidRDefault="0048644C" w14:paraId="0A2388D7" w14:textId="7DE5EA6F">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(Grupul „Organizații ale societății civile” – BG)</w:t>
            </w:r>
          </w:p>
        </w:tc>
      </w:tr>
      <w:tr w:rsidRPr="0048644C" w:rsidR="0048644C" w:rsidTr="00F655B8" w14:paraId="4706EC05" w14:textId="77777777">
        <w:trPr>
          <w:trHeight w:val="285"/>
        </w:trPr>
        <w:tc>
          <w:tcPr>
            <w:tcW w:w="733" w:type="pct"/>
            <w:vMerge w:val="restart"/>
          </w:tcPr>
          <w:p w:rsidRPr="0048644C" w:rsidR="0048644C" w:rsidP="0048644C" w:rsidRDefault="003907EE" w14:paraId="4E8A6DF7" w14:textId="09197331">
            <w:pPr>
              <w:tabs>
                <w:tab w:val="center" w:pos="284"/>
              </w:tabs>
              <w:overflowPunct w:val="0"/>
              <w:autoSpaceDE w:val="0"/>
              <w:autoSpaceDN w:val="0"/>
              <w:adjustRightInd w:val="0"/>
              <w:ind w:left="266" w:hanging="266"/>
              <w:textAlignment w:val="baseline"/>
              <w:rPr>
                <w:b/>
              </w:rPr>
            </w:pPr>
            <w:r>
              <w:rPr>
                <w:b/>
              </w:rPr>
              <w:t>Referință</w:t>
            </w:r>
            <w:r w:rsidR="0048644C">
              <w:rPr>
                <w:b/>
              </w:rPr>
              <w:t>:</w:t>
            </w:r>
          </w:p>
        </w:tc>
        <w:tc>
          <w:tcPr>
            <w:tcW w:w="4267" w:type="pct"/>
          </w:tcPr>
          <w:p w:rsidRPr="0048644C" w:rsidR="0048644C" w:rsidP="0048644C" w:rsidRDefault="0048644C" w14:paraId="12F473B0" w14:textId="785FAF77">
            <w:pPr>
              <w:tabs>
                <w:tab w:val="center" w:pos="284"/>
              </w:tabs>
              <w:overflowPunct w:val="0"/>
              <w:autoSpaceDE w:val="0"/>
              <w:autoSpaceDN w:val="0"/>
              <w:adjustRightInd w:val="0"/>
              <w:ind w:left="266" w:hanging="266"/>
              <w:textAlignment w:val="baseline"/>
            </w:pPr>
            <w:r>
              <w:t>Aviz exploratoriu la solicitarea Președinției belgiene a Consiliului UE</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0E5EDB" w:rsidRDefault="0048644C" w14:paraId="66B2F906" w14:textId="5A6361DC">
      <w:pPr>
        <w:keepNext/>
        <w:keepLines/>
        <w:overflowPunct w:val="0"/>
        <w:autoSpaceDE w:val="0"/>
        <w:autoSpaceDN w:val="0"/>
        <w:adjustRightInd w:val="0"/>
        <w:textAlignment w:val="baseline"/>
        <w:rPr>
          <w:b/>
        </w:rPr>
      </w:pPr>
      <w:r>
        <w:rPr>
          <w:b/>
        </w:rPr>
        <w:t>Punctele principale:</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CESE consideră că politica agricolă comună post-2027:</w:t>
      </w:r>
    </w:p>
    <w:p w:rsidRPr="000E5EDB" w:rsidR="0048644C" w:rsidP="000E5EDB"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trebuie să ofere un </w:t>
      </w:r>
      <w:r>
        <w:rPr>
          <w:b/>
        </w:rPr>
        <w:t>cadru de politică stabil pe termen lung</w:t>
      </w:r>
      <w:r>
        <w:t>, canalizat către o producție sustenabilă de alimente și o autonomie strategică deschisă pentru Uniunea Europeană, protejând totodată diversitatea tipurilor de agricultură din UE, răspunzând nevoilor societale și ecologice („bani publici pentru bunuri publice”) și garantând dezvoltarea rurală;</w:t>
      </w:r>
    </w:p>
    <w:p w:rsidRPr="000E5EDB" w:rsidR="0048644C" w:rsidP="000E5EDB"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trebuie să fie un </w:t>
      </w:r>
      <w:r>
        <w:rPr>
          <w:b/>
        </w:rPr>
        <w:t>semnal de alarmă</w:t>
      </w:r>
      <w:r>
        <w:t xml:space="preserve"> care să atragă atenția că fermierii trebuie sprijiniți în mod adecvat pe parcursul tranziției; </w:t>
      </w:r>
    </w:p>
    <w:p w:rsidRPr="000E5EDB" w:rsidR="0048644C" w:rsidP="000E5EDB"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în pofida faptului că ponderea din bugetul UE alocată PAC a scăzut constant în ultimii 40 ani, fiind mai mică de 25 % în 2021, </w:t>
      </w:r>
      <w:r>
        <w:rPr>
          <w:b/>
        </w:rPr>
        <w:t>finanțarea</w:t>
      </w:r>
      <w:r>
        <w:t xml:space="preserve"> trebuie să fie proporțională cu ambiția acestei politici de a sprijini o tranziție durabilă, iar sprijinul de bază pentru venit, bazat pe suprafață, ar trebui înlocuit treptat cu stimulente financiare acordate fermierilor pentru servicii în beneficiul mediului și al societății, cu o perioadă de tranziție rezonabilă care poate depăși domeniul de aplicare al unui singur cadru financiar multianual (CFM); </w:t>
      </w:r>
    </w:p>
    <w:p w:rsidRPr="000E5EDB" w:rsidR="0048644C" w:rsidP="000E5EDB"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alături de alte politici, și pentru a împiedica scăderea în continuare a numărului de ferme din UE, ar trebui să promoveze </w:t>
      </w:r>
      <w:r>
        <w:rPr>
          <w:b/>
        </w:rPr>
        <w:t>reînnoirea generațiilor</w:t>
      </w:r>
      <w:r>
        <w:t xml:space="preserve"> prin accesul la terenuri, creșterea veniturilor medii din agricultură, condiții favorabile pentru investiții, capacitarea femeilor, condiții bune de muncă, îmbunătățirea perspectivelor pe termen lung pentru fermieri, promovarea exploatării durabile a terenurilor abandonate sau marginale și a creșterii extensive a animalelor;</w:t>
      </w:r>
    </w:p>
    <w:p w:rsidRPr="000E5EDB" w:rsidR="0048644C" w:rsidP="000E5EDB"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trebuie să mențină producția agricolă durabilă în întreaga UE și să contribuie la promovarea </w:t>
      </w:r>
      <w:r>
        <w:rPr>
          <w:b/>
        </w:rPr>
        <w:t>cererii din partea consumatorilor</w:t>
      </w:r>
      <w:r>
        <w:t xml:space="preserve"> din UE pentru regimuri alimentare mai sănătoase și mai durabile, la reducerea risipei de alimente și la reglementarea piețelor alimentare pentru a aborda </w:t>
      </w:r>
      <w:proofErr w:type="spellStart"/>
      <w:r>
        <w:t>financiarizarea</w:t>
      </w:r>
      <w:proofErr w:type="spellEnd"/>
      <w:r>
        <w:t xml:space="preserve"> sectorului alimentar;</w:t>
      </w:r>
    </w:p>
    <w:p w:rsidRPr="000E5EDB" w:rsidR="0048644C" w:rsidP="000E5EDB"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ar trebui să ia în considerare includerea unor </w:t>
      </w:r>
      <w:r>
        <w:rPr>
          <w:b/>
        </w:rPr>
        <w:t xml:space="preserve">componente </w:t>
      </w:r>
      <w:proofErr w:type="spellStart"/>
      <w:r>
        <w:rPr>
          <w:b/>
        </w:rPr>
        <w:t>anticiclice</w:t>
      </w:r>
      <w:proofErr w:type="spellEnd"/>
      <w:r>
        <w:t xml:space="preserve"> și să asigure scheme de sprijin pentru investiții destinate producției de energie din surse regenerabile la nivel local și la nivel de fermă în zonele rurale;</w:t>
      </w:r>
    </w:p>
    <w:p w:rsidRPr="000E5EDB" w:rsidR="0048644C" w:rsidP="000E5EDB"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ar trebui să se bazeze pe parteneriate public-privat consolidate pentru </w:t>
      </w:r>
      <w:r>
        <w:rPr>
          <w:b/>
        </w:rPr>
        <w:t>schemele de asigurări</w:t>
      </w:r>
      <w:r>
        <w:t>, ca răspuns la consecințele condițiilor climatice extreme;</w:t>
      </w:r>
    </w:p>
    <w:p w:rsidRPr="000E5EDB" w:rsidR="0048644C" w:rsidP="000E5EDB"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ar trebui să sprijine </w:t>
      </w:r>
      <w:r>
        <w:rPr>
          <w:b/>
        </w:rPr>
        <w:t>tehnologiile digitale</w:t>
      </w:r>
      <w:r>
        <w:t xml:space="preserve"> care au demonstrat că contribuie la reducerea impactului asupra naturii și mediului, la îmbunătățirea bunăstării animalelor sau a condițiilor de muncă;</w:t>
      </w:r>
    </w:p>
    <w:p w:rsidRPr="000E5EDB" w:rsidR="0048644C" w:rsidP="000E5EDB"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ar trebui să prevadă </w:t>
      </w:r>
      <w:r>
        <w:rPr>
          <w:b/>
        </w:rPr>
        <w:t>procese revizuite</w:t>
      </w:r>
      <w:r>
        <w:t xml:space="preserve"> de elaborare și adaptare a planurilor strategice, pentru a permite implicarea părților interesate, o flexibilitate sporită pentru statele membre și adaptări mai rapide după aprobarea lor inițială.</w:t>
      </w:r>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48644C" w:rsidR="0048644C" w:rsidTr="00F655B8" w14:paraId="721C88AC" w14:textId="77777777">
        <w:tc>
          <w:tcPr>
            <w:tcW w:w="1556" w:type="pct"/>
          </w:tcPr>
          <w:p w:rsidRPr="0048644C" w:rsidR="0048644C" w:rsidP="0048644C" w:rsidRDefault="003907EE" w14:paraId="0B8D550D" w14:textId="4E4522EC">
            <w:pPr>
              <w:overflowPunct w:val="0"/>
              <w:autoSpaceDE w:val="0"/>
              <w:autoSpaceDN w:val="0"/>
              <w:adjustRightInd w:val="0"/>
              <w:spacing w:line="240" w:lineRule="auto"/>
              <w:textAlignment w:val="baseline"/>
              <w:rPr>
                <w:i/>
              </w:rPr>
            </w:pPr>
            <w:r>
              <w:rPr>
                <w:b/>
                <w:i/>
              </w:rPr>
              <w:t>Date de contact</w:t>
            </w:r>
            <w:r w:rsidR="0048644C">
              <w:rPr>
                <w:b/>
                <w:i/>
              </w:rPr>
              <w:t>:</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proofErr w:type="spellStart"/>
            <w:r>
              <w:rPr>
                <w:i/>
              </w:rPr>
              <w:t>Martine</w:t>
            </w:r>
            <w:proofErr w:type="spellEnd"/>
            <w:r>
              <w:rPr>
                <w:i/>
              </w:rPr>
              <w:t xml:space="preserv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Tel.:</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3907EE" w14:paraId="45417D47" w14:textId="6A588226">
            <w:pPr>
              <w:overflowPunct w:val="0"/>
              <w:autoSpaceDE w:val="0"/>
              <w:autoSpaceDN w:val="0"/>
              <w:adjustRightInd w:val="0"/>
              <w:spacing w:line="240" w:lineRule="auto"/>
              <w:textAlignment w:val="baseline"/>
              <w:rPr>
                <w:i/>
              </w:rPr>
            </w:pPr>
            <w:r>
              <w:rPr>
                <w:i/>
              </w:rPr>
              <w:t>E-mail</w:t>
            </w:r>
            <w:r w:rsidR="0048644C">
              <w:rPr>
                <w:i/>
              </w:rPr>
              <w:t>:</w:t>
            </w:r>
          </w:p>
        </w:tc>
        <w:tc>
          <w:tcPr>
            <w:tcW w:w="3444" w:type="pct"/>
          </w:tcPr>
          <w:p w:rsidRPr="0048644C" w:rsidR="0048644C" w:rsidP="0048644C" w:rsidRDefault="00901E5A" w14:paraId="7C6FE1E8" w14:textId="755735AE">
            <w:pPr>
              <w:overflowPunct w:val="0"/>
              <w:autoSpaceDE w:val="0"/>
              <w:autoSpaceDN w:val="0"/>
              <w:adjustRightInd w:val="0"/>
              <w:spacing w:line="240" w:lineRule="auto"/>
              <w:textAlignment w:val="baseline"/>
              <w:rPr>
                <w:i/>
              </w:rPr>
            </w:pPr>
            <w:hyperlink w:history="1" r:id="rId40">
              <w:r w:rsidR="004839AF">
                <w:rPr>
                  <w:i/>
                  <w:color w:val="0000FF"/>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20"/>
      <w:bookmarkStart w:name="_Toc157076152" w:id="21"/>
      <w:r>
        <w:rPr>
          <w:b/>
        </w:rPr>
        <w:lastRenderedPageBreak/>
        <w:t>SECȚIUNEA PENTRU RELAȚII EXTERNE</w:t>
      </w:r>
      <w:bookmarkEnd w:id="20"/>
      <w:bookmarkEnd w:id="21"/>
    </w:p>
    <w:p w:rsidRPr="00BD0493" w:rsidR="00BD0493" w:rsidP="00BD0493" w:rsidRDefault="00BD0493" w14:paraId="10EC00FD" w14:textId="77777777"/>
    <w:p w:rsidRPr="005D0E3D" w:rsidR="005D0E3D" w:rsidP="005D0E3D" w:rsidRDefault="00901E5A"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1">
        <w:r w:rsidR="004839AF">
          <w:rPr>
            <w:b/>
            <w:i/>
            <w:color w:val="0000FF"/>
            <w:sz w:val="28"/>
            <w:u w:val="single"/>
          </w:rPr>
          <w:t>Abordarea impactului schimbărilor climatice și al degradării mediului asupra păcii, securității și apărării</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Raportoare:</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Özlem</w:t>
            </w:r>
            <w:proofErr w:type="spellEnd"/>
            <w:r>
              <w:t xml:space="preserve"> YILDIRIM (Grupul „Lucrători” –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3907EE" w14:paraId="3569DACF" w14:textId="27BB55C4">
            <w:pPr>
              <w:tabs>
                <w:tab w:val="center" w:pos="284"/>
              </w:tabs>
              <w:overflowPunct w:val="0"/>
              <w:autoSpaceDE w:val="0"/>
              <w:autoSpaceDN w:val="0"/>
              <w:adjustRightInd w:val="0"/>
              <w:ind w:left="266" w:hanging="266"/>
              <w:textAlignment w:val="baseline"/>
              <w:rPr>
                <w:b/>
              </w:rPr>
            </w:pPr>
            <w:r>
              <w:rPr>
                <w:b/>
              </w:rPr>
              <w:t>Referință</w:t>
            </w:r>
            <w:r w:rsidR="005D0E3D">
              <w:rPr>
                <w:b/>
              </w:rPr>
              <w:t>:</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JOIN(2023) 19 final</w:t>
            </w:r>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Pr>
          <w:b/>
        </w:rPr>
        <w:t>Punctele principale:</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CESE:</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consideră că efectele schimbărilor climatice exacerbează riscurile și amenințările la adresa păcii și a securității europene și internaționale;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sprijină intenția Comisiei Europene de a lua în considerare aspectele legate de climă și securitate, dar observă că perimetrul geografic, politic și militar al acestei problematici trebuie să fie mai bine definit;</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 xml:space="preserve">subliniază că trebuie să se investească urgent în elaborarea unor răspunsuri </w:t>
      </w:r>
      <w:proofErr w:type="spellStart"/>
      <w:r>
        <w:t>reziliente</w:t>
      </w:r>
      <w:proofErr w:type="spellEnd"/>
      <w:r>
        <w:t>, inclusiv prin pregătirea proceselor decizionale europene pentru a face față acestor tipuri de tensiuni în viitor;</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recomandă instituțiilor europene să-și propună să ia în considerare evoluția rapidă a realităților biofizice (de care depind viața și bunăstarea oamenilor) și coeziunea politică (atât a statelor membre, cât și a vecinilor și partenerilor UE) în procesul de elaborare a politicilor europene;</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reamintește misiunea fundamentală a proiectului european, și anume promovarea și menținerea păcii, reiterând importanța sa capitală. Pentru a realiza acest lucru, Europa trebuie să își intensifice eforturile de consolidare a păcii. Această promovare a păcii este indisolubil legată de menținerea și promovarea drepturilor fundamentale și a democrației. Luarea în considerare a legăturii dintre climă și securitate este menită să le protejeze, deoarece scopul acestei abordări este tocmai de a menține și promova drepturile fundamentale în fața provocărilor pe care insecuritatea generată de schimbările climatice le-ar putea avea atât asupra cetățenilor, cât și asupra societăților;</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 xml:space="preserve">recomandă ca legătura dintre climă și securitate să fie mai bine luată în considerare, prin crearea unor interfețe </w:t>
      </w:r>
      <w:proofErr w:type="spellStart"/>
      <w:r>
        <w:t>proactive</w:t>
      </w:r>
      <w:proofErr w:type="spellEnd"/>
      <w:r>
        <w:t xml:space="preserve"> între instituțiile responsabile de relațiile externe, de coeziunea internă a Uniunii și de serviciile de securitate și apărare ale statelor membre, integrând în acest context un dialog permanent cu comunitatea științifică. Consolidarea menționată va trebui să integreze contribuția cercetării și inovării în materie de reziliență, îmbunătățind astfel atât analiza prospectivă, cât și eficacitatea acțiunii UE.</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3907EE" w14:paraId="1E279F70" w14:textId="7F387152">
            <w:pPr>
              <w:overflowPunct w:val="0"/>
              <w:autoSpaceDE w:val="0"/>
              <w:autoSpaceDN w:val="0"/>
              <w:adjustRightInd w:val="0"/>
              <w:spacing w:line="240" w:lineRule="auto"/>
              <w:textAlignment w:val="baseline"/>
              <w:rPr>
                <w:i/>
              </w:rPr>
            </w:pPr>
            <w:r>
              <w:rPr>
                <w:b/>
                <w:i/>
              </w:rPr>
              <w:t>Date de contact</w:t>
            </w:r>
            <w:r w:rsidR="005D0E3D">
              <w:rPr>
                <w:b/>
                <w:i/>
              </w:rPr>
              <w:t>:</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Dujmovic</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Tel.:</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3907EE" w14:paraId="25DF2A04" w14:textId="09A27E19">
            <w:pPr>
              <w:overflowPunct w:val="0"/>
              <w:autoSpaceDE w:val="0"/>
              <w:autoSpaceDN w:val="0"/>
              <w:adjustRightInd w:val="0"/>
              <w:spacing w:line="240" w:lineRule="auto"/>
              <w:textAlignment w:val="baseline"/>
              <w:rPr>
                <w:i/>
              </w:rPr>
            </w:pPr>
            <w:r>
              <w:rPr>
                <w:i/>
              </w:rPr>
              <w:t>E-mail</w:t>
            </w:r>
            <w:r w:rsidR="005D0E3D">
              <w:rPr>
                <w:i/>
              </w:rPr>
              <w:t>:</w:t>
            </w:r>
          </w:p>
        </w:tc>
        <w:tc>
          <w:tcPr>
            <w:tcW w:w="4252" w:type="dxa"/>
          </w:tcPr>
          <w:p w:rsidRPr="005D0E3D" w:rsidR="005D0E3D" w:rsidP="005D0E3D" w:rsidRDefault="00901E5A" w14:paraId="7D5BAAE0" w14:textId="69E0C0B9">
            <w:pPr>
              <w:overflowPunct w:val="0"/>
              <w:autoSpaceDE w:val="0"/>
              <w:autoSpaceDN w:val="0"/>
              <w:adjustRightInd w:val="0"/>
              <w:spacing w:line="240" w:lineRule="auto"/>
              <w:textAlignment w:val="baseline"/>
              <w:rPr>
                <w:i/>
              </w:rPr>
            </w:pPr>
            <w:hyperlink w:history="1" r:id="rId42">
              <w:r w:rsidR="004839AF">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5CCAA924">
      <w:pPr>
        <w:pStyle w:val="Heading1"/>
        <w:ind w:hanging="928"/>
        <w:rPr>
          <w:b/>
          <w:bCs/>
        </w:rPr>
      </w:pPr>
      <w:bookmarkStart w:name="_Toc153539712" w:id="22"/>
      <w:bookmarkStart w:name="_Toc157076153" w:id="23"/>
      <w:r>
        <w:rPr>
          <w:b/>
        </w:rPr>
        <w:lastRenderedPageBreak/>
        <w:t>SECȚIUNEA PENTRU TRANSPORTURI, ENERGIE, INFRASTRUCTURĂ ȘI SOCIETATEA INFORMAȚIONALĂ</w:t>
      </w:r>
      <w:bookmarkEnd w:id="22"/>
      <w:bookmarkEnd w:id="23"/>
    </w:p>
    <w:p w:rsidR="0092772D" w:rsidP="00775FC4" w:rsidRDefault="0092772D" w14:paraId="764F554F" w14:textId="3DB1B15F">
      <w:pPr>
        <w:keepNext/>
        <w:keepLines/>
      </w:pPr>
    </w:p>
    <w:p w:rsidRPr="00AE6861" w:rsidR="00AE6861" w:rsidP="00AE6861" w:rsidRDefault="00901E5A"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3">
        <w:r w:rsidR="004839AF">
          <w:rPr>
            <w:b/>
            <w:i/>
            <w:color w:val="0000FF"/>
            <w:sz w:val="28"/>
            <w:u w:val="single"/>
          </w:rPr>
          <w:t>Planificarea infrastructurii energetice transfrontaliere</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Raportor: </w:t>
            </w:r>
          </w:p>
        </w:tc>
        <w:tc>
          <w:tcPr>
            <w:tcW w:w="6838" w:type="dxa"/>
          </w:tcPr>
          <w:p w:rsidRPr="00AE6861" w:rsidR="00AE6861" w:rsidP="00AE6861" w:rsidRDefault="00AE6861" w14:paraId="3E0F0420" w14:textId="4DC0B14D">
            <w:pPr>
              <w:tabs>
                <w:tab w:val="center" w:pos="284"/>
              </w:tabs>
              <w:overflowPunct w:val="0"/>
              <w:autoSpaceDE w:val="0"/>
              <w:autoSpaceDN w:val="0"/>
              <w:adjustRightInd w:val="0"/>
              <w:ind w:left="266" w:hanging="266"/>
              <w:textAlignment w:val="baseline"/>
            </w:pPr>
            <w:r>
              <w:t>Thomas KATTNIG (Grupul „Lucrători”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3907EE" w14:paraId="5CAE83EB" w14:textId="284D4E32">
            <w:pPr>
              <w:tabs>
                <w:tab w:val="center" w:pos="284"/>
              </w:tabs>
              <w:overflowPunct w:val="0"/>
              <w:autoSpaceDE w:val="0"/>
              <w:autoSpaceDN w:val="0"/>
              <w:adjustRightInd w:val="0"/>
              <w:ind w:left="266" w:hanging="266"/>
              <w:textAlignment w:val="baseline"/>
              <w:rPr>
                <w:b/>
              </w:rPr>
            </w:pPr>
            <w:r>
              <w:rPr>
                <w:b/>
              </w:rPr>
              <w:t>Referință</w:t>
            </w:r>
            <w:r w:rsidR="00AE6861">
              <w:rPr>
                <w:b/>
              </w:rPr>
              <w:t>:</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Aviz exploratoriu la solicitarea Președinției belgiene a Consiliului UE</w:t>
            </w:r>
          </w:p>
          <w:p w:rsidRPr="00AE6861" w:rsidR="00AE6861" w:rsidP="00AE6861" w:rsidRDefault="00AE6861" w14:paraId="793F9518" w14:textId="745EC39E">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Punctele principale:</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CESE:</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subliniază că infrastructura energetică, cum ar fi infrastructura de transport și de distribuție a energiei, nu poate fi tratată ca o marfă oarecare, ci trebuie clasificată drept serviciu de interes general în beneficiul economiei și populației;</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 xml:space="preserve">solicită să se acorde o atenție deosebită definirii dezvoltării rețelelor, inclusiv a interconexiunilor </w:t>
      </w:r>
      <w:proofErr w:type="spellStart"/>
      <w:r>
        <w:t>onshore</w:t>
      </w:r>
      <w:proofErr w:type="spellEnd"/>
      <w:r>
        <w:t xml:space="preserve"> și </w:t>
      </w:r>
      <w:proofErr w:type="spellStart"/>
      <w:r>
        <w:t>offshore</w:t>
      </w:r>
      <w:proofErr w:type="spellEnd"/>
      <w:r>
        <w:t>, ca infrastructură critică servind un interes public superior, incluzând protecția climei ca obiectiv de reglementare și, în general, sincronizând mai eficace planificarea energiilor din surse regenerabile și a rețelei de energie;</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subliniază că, recunoscând cererea în creștere, este deosebit de important să se facă investiții substanțiale în rețelele de energie electrică pentru a stimula economia europeană și a crea locuri de muncă (ecologice) de înaltă calitate;</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solicită măsuri mai stricte pentru operatorii de sisteme de transport, pentru operatorii de sisteme de distribuție, dar și pentru includerea producătorilor de energie în măsurile de stabilizare a rețelei, pentru a-și coordona mai bine acțiunile și pentru a permite rețelelor să culeagă roadele digitalizării;</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scoate în evidență faptul că infrastructura energetică, cum ar fi instalațiile energetice la scară largă, necesită o atenție specială în ceea ce privește măsurile de securitate. În special, chestiunea securității (cibernetice) ar trebui să devină o prioritate și mai mare.</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AE6861" w:rsidR="00AE6861" w:rsidTr="00044DE4" w14:paraId="5AE54BB8" w14:textId="77777777">
        <w:tc>
          <w:tcPr>
            <w:tcW w:w="1560" w:type="dxa"/>
          </w:tcPr>
          <w:p w:rsidRPr="00AE6861" w:rsidR="00AE6861" w:rsidP="00AE6861" w:rsidRDefault="003907EE" w14:paraId="34F28AF2" w14:textId="13E1A9FC">
            <w:pPr>
              <w:overflowPunct w:val="0"/>
              <w:autoSpaceDE w:val="0"/>
              <w:autoSpaceDN w:val="0"/>
              <w:adjustRightInd w:val="0"/>
              <w:spacing w:line="240" w:lineRule="auto"/>
              <w:textAlignment w:val="baseline"/>
              <w:rPr>
                <w:i/>
              </w:rPr>
            </w:pPr>
            <w:r>
              <w:rPr>
                <w:b/>
                <w:i/>
              </w:rPr>
              <w:t>Date de contact</w:t>
            </w:r>
            <w:r w:rsidR="00AE6861">
              <w:rPr>
                <w:b/>
                <w:i/>
              </w:rPr>
              <w:t>:</w:t>
            </w:r>
          </w:p>
        </w:tc>
        <w:tc>
          <w:tcPr>
            <w:tcW w:w="5528"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044DE4" w14:paraId="1C50B3C3" w14:textId="77777777">
        <w:tc>
          <w:tcPr>
            <w:tcW w:w="1560"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Tel.:</w:t>
            </w:r>
          </w:p>
        </w:tc>
        <w:tc>
          <w:tcPr>
            <w:tcW w:w="5528"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25468535</w:t>
            </w:r>
          </w:p>
        </w:tc>
      </w:tr>
      <w:tr w:rsidRPr="00AE6861" w:rsidR="00AE6861" w:rsidTr="00044DE4" w14:paraId="194AB4C5" w14:textId="77777777">
        <w:tc>
          <w:tcPr>
            <w:tcW w:w="1560" w:type="dxa"/>
          </w:tcPr>
          <w:p w:rsidRPr="00AE6861" w:rsidR="00AE6861" w:rsidP="00AE6861" w:rsidRDefault="003907EE" w14:paraId="5F0CF1BE" w14:textId="688BEFAC">
            <w:pPr>
              <w:overflowPunct w:val="0"/>
              <w:autoSpaceDE w:val="0"/>
              <w:autoSpaceDN w:val="0"/>
              <w:adjustRightInd w:val="0"/>
              <w:spacing w:line="240" w:lineRule="auto"/>
              <w:textAlignment w:val="baseline"/>
              <w:rPr>
                <w:i/>
              </w:rPr>
            </w:pPr>
            <w:r>
              <w:rPr>
                <w:i/>
              </w:rPr>
              <w:t>E-mail</w:t>
            </w:r>
            <w:r w:rsidR="006B1A4D">
              <w:rPr>
                <w:i/>
              </w:rPr>
              <w:t>:</w:t>
            </w:r>
          </w:p>
        </w:tc>
        <w:tc>
          <w:tcPr>
            <w:tcW w:w="5528" w:type="dxa"/>
          </w:tcPr>
          <w:p w:rsidRPr="00AE6861" w:rsidR="00AE6861" w:rsidP="00AE6861" w:rsidRDefault="00901E5A" w14:paraId="0EA2DED1" w14:textId="77777777">
            <w:pPr>
              <w:overflowPunct w:val="0"/>
              <w:autoSpaceDE w:val="0"/>
              <w:autoSpaceDN w:val="0"/>
              <w:adjustRightInd w:val="0"/>
              <w:spacing w:line="240" w:lineRule="auto"/>
              <w:textAlignment w:val="baseline"/>
              <w:rPr>
                <w:i/>
                <w:iCs/>
              </w:rPr>
            </w:pPr>
            <w:hyperlink w:history="1" r:id="rId44">
              <w:r w:rsidR="004839AF">
                <w:rPr>
                  <w:i/>
                  <w:color w:val="0000FF"/>
                  <w:u w:val="single"/>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8778F4">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BDF" w14:textId="77777777" w:rsidR="00215B75" w:rsidRDefault="00215B75" w:rsidP="003B0516">
      <w:pPr>
        <w:spacing w:line="240" w:lineRule="auto"/>
      </w:pPr>
      <w:r>
        <w:separator/>
      </w:r>
    </w:p>
  </w:endnote>
  <w:endnote w:type="continuationSeparator" w:id="0">
    <w:p w14:paraId="0CF7AA27" w14:textId="77777777" w:rsidR="00215B75" w:rsidRDefault="00215B7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CAB" w14:textId="77777777" w:rsidR="00134B23" w:rsidRPr="008778F4" w:rsidRDefault="00134B23" w:rsidP="0087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644EC15" w:rsidR="00765C4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rsidR="00CD621A">
      <w:t>1</w:t>
    </w:r>
    <w:r>
      <w:fldChar w:fldCharType="end"/>
    </w:r>
    <w:r>
      <w:t>/</w:t>
    </w:r>
    <w:r w:rsidR="004839AF">
      <w:fldChar w:fldCharType="begin"/>
    </w:r>
    <w:r w:rsidR="004839AF">
      <w:instrText xml:space="preserve"> NUMPAGES </w:instrText>
    </w:r>
    <w:r w:rsidR="004839AF">
      <w:fldChar w:fldCharType="separate"/>
    </w:r>
    <w:r w:rsidR="00CD621A">
      <w:t>1</w:t>
    </w:r>
    <w:r w:rsidR="004839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4D2" w14:textId="77777777" w:rsidR="00134B23" w:rsidRPr="008778F4" w:rsidRDefault="00134B23" w:rsidP="0087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8778F4" w:rsidRDefault="00E4258F" w:rsidP="008778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72A4C58" w:rsidR="00E4258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t>2</w:t>
    </w:r>
    <w:r>
      <w:fldChar w:fldCharType="end"/>
    </w:r>
    <w:r>
      <w:t>/</w:t>
    </w:r>
    <w:r w:rsidR="004839AF">
      <w:fldChar w:fldCharType="begin"/>
    </w:r>
    <w:r w:rsidR="004839AF">
      <w:instrText xml:space="preserve"> NUMPAGES </w:instrText>
    </w:r>
    <w:r w:rsidR="004839AF">
      <w:fldChar w:fldCharType="separate"/>
    </w:r>
    <w:r>
      <w:t>8</w:t>
    </w:r>
    <w:r w:rsidR="004839A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8778F4" w:rsidRDefault="00E4258F" w:rsidP="0087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5E4" w14:textId="77777777" w:rsidR="00215B75" w:rsidRDefault="00215B75" w:rsidP="003B0516">
      <w:pPr>
        <w:spacing w:line="240" w:lineRule="auto"/>
      </w:pPr>
      <w:r>
        <w:separator/>
      </w:r>
    </w:p>
  </w:footnote>
  <w:footnote w:type="continuationSeparator" w:id="0">
    <w:p w14:paraId="6B7B7113" w14:textId="77777777" w:rsidR="00215B75" w:rsidRDefault="00215B7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419" w14:textId="77777777" w:rsidR="00134B23" w:rsidRPr="008778F4" w:rsidRDefault="00134B23" w:rsidP="0087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AC7F" w14:textId="0AAABE86" w:rsidR="00134B23" w:rsidRPr="008778F4" w:rsidRDefault="00134B23" w:rsidP="0087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922" w14:textId="77777777" w:rsidR="00134B23" w:rsidRPr="008778F4" w:rsidRDefault="00134B23" w:rsidP="0087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8778F4" w:rsidRDefault="00E4258F" w:rsidP="008778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2BEB4B1" w:rsidR="00E4258F" w:rsidRPr="008778F4" w:rsidRDefault="00E4258F" w:rsidP="00877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8778F4" w:rsidRDefault="00E4258F" w:rsidP="0087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4DE4"/>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6E1D"/>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4F93"/>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07EE"/>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9ED"/>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48A5"/>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9AF"/>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23A2"/>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1E5A"/>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723"/>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21A"/>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08A"/>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ro-RO"/>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ro/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ro/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ro/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ro/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ro/our-work/opinions-information-reports/opinions/euro-area-economic-policy-2024" TargetMode="External"/><Relationship Id="rId27" Type="http://schemas.openxmlformats.org/officeDocument/2006/relationships/hyperlink" Target="https://www.eesc.europa.eu/ro/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ro/our-work/opinions-information-reports/opinions/revision-late-payments-directive" TargetMode="External"/><Relationship Id="rId43" Type="http://schemas.openxmlformats.org/officeDocument/2006/relationships/hyperlink" Target="https://www.eesc.europa.eu/ro/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ro/our-work/opinions-information-reports/opinions/corruption-public-procurement-and-its-impact-internal-market" TargetMode="External"/><Relationship Id="rId33" Type="http://schemas.openxmlformats.org/officeDocument/2006/relationships/hyperlink" Target="https://www.eesc.europa.eu/ro/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ro/our-work/opinions-information-reports/opinions/establishing-head-office-tax-system-smes-hot" TargetMode="External"/><Relationship Id="rId41" Type="http://schemas.openxmlformats.org/officeDocument/2006/relationships/hyperlink" Target="https://www.eesc.europa.eu/ro/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XMKEDVFMMJCW-1998863520-5435</_dlc_DocId>
    <_dlc_DocIdUrl xmlns="56a5413d-c261-4a00-870c-a20d3379ae6d">
      <Url>http://dm/eesc/2023/_layouts/15/DocIdRedir.aspx?ID=XMKEDVFMMJCW-1998863520-5435</Url>
      <Description>XMKEDVFMMJCW-1998863520-5435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Soldan Aureliana Cristiana</DisplayName>
        <AccountId>1654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B4F7A-9DF5-4266-9D44-475387A8F951}"/>
</file>

<file path=customXml/itemProps2.xml><?xml version="1.0" encoding="utf-8"?>
<ds:datastoreItem xmlns:ds="http://schemas.openxmlformats.org/officeDocument/2006/customXml" ds:itemID="{77830876-2294-46E6-A4C0-D914062B64FD}"/>
</file>

<file path=customXml/itemProps3.xml><?xml version="1.0" encoding="utf-8"?>
<ds:datastoreItem xmlns:ds="http://schemas.openxmlformats.org/officeDocument/2006/customXml" ds:itemID="{D03E266C-F67A-46F6-8210-E6C7B8341071}"/>
</file>

<file path=customXml/itemProps4.xml><?xml version="1.0" encoding="utf-8"?>
<ds:datastoreItem xmlns:ds="http://schemas.openxmlformats.org/officeDocument/2006/customXml" ds:itemID="{D772F62B-04AB-4D8D-87FA-BF6D363DE042}"/>
</file>

<file path=docProps/app.xml><?xml version="1.0" encoding="utf-8"?>
<Properties xmlns="http://schemas.openxmlformats.org/officeDocument/2006/extended-properties" xmlns:vt="http://schemas.openxmlformats.org/officeDocument/2006/docPropsVTypes">
  <Template>Normal.dotm</Template>
  <TotalTime>14</TotalTime>
  <Pages>15</Pages>
  <Words>4983</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584-a sesiune plenară - ianuarie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Soldan Aureliana Cristiana</cp:lastModifiedBy>
  <cp:revision>11</cp:revision>
  <cp:lastPrinted>2023-06-15T08:00:00Z</cp:lastPrinted>
  <dcterms:created xsi:type="dcterms:W3CDTF">2024-02-02T12:54:00Z</dcterms:created>
  <dcterms:modified xsi:type="dcterms:W3CDTF">2024-02-02T13:08:00Z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d6912180-ed02-40ac-aba9-a8b2efe86ec1</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LV|46f7e311-5d9f-4663-b433-18aeccb7ace7;HR|2f555653-ed1a-4fe6-8362-9082d95989e5;PT|50ccc04a-eadd-42ae-a0cb-acaf45f812ba;FI|87606a43-d45f-42d6-b8c9-e1a3457db5b7;SK|46d9fce0-ef79-4f71-b89b-cd6aa82426b8;NL|55c6556c-b4f4-441d-9acf-c498d4f838bd;IT|0774613c-01ed-4e5d-a25d-11d2388de825;CS|72f9705b-0217-4fd3-bea2-cbc7ed80e26e;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30;#IT|0774613c-01ed-4e5d-a25d-11d2388de825;#25;#ES|e7a6b05b-ae16-40c8-add9-68b64b03aeba;#38;#EL|6d4f4d51-af9b-4650-94b4-4276bee85c91;#59;#SPL-CES|32d8cb1f-c9ec-4365-95c7-8385a18618ac;#21;#SV|c2ed69e7-a339-43d7-8f22-d93680a92aa0;#45;#ET|ff6c3f4c-b02c-4c3c-ab07-2c37995a7a0a;#44;#BG|1a1b3951-7821-4e6a-85f5-5673fc08bd2c;#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37;#CS|72f9705b-0217-4fd3-bea2-cbc7ed80e26e</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40;#RO|feb747a2-64cd-4299-af12-4833ddc30497</vt:lpwstr>
  </property>
</Properties>
</file>