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356E7D" w14:paraId="785AE44C" w14:textId="7A7F44A0">
      <w:pPr>
        <w:jc w:val="center"/>
      </w:pPr>
      <w:r>
        <w:rPr>
          <w:noProof/>
        </w:rPr>
        <w:drawing>
          <wp:inline distT="0" distB="0" distL="0" distR="0" wp14:anchorId="22206654" wp14:editId="0625FD9E">
            <wp:extent cx="1792605" cy="1239520"/>
            <wp:effectExtent l="0" t="0" r="0" b="0"/>
            <wp:docPr id="2" name="Picture 2" title="EESCLogo_LT"/>
            <wp:cNvGraphicFramePr/>
            <a:graphic xmlns:a="http://schemas.openxmlformats.org/drawingml/2006/main">
              <a:graphicData uri="http://schemas.openxmlformats.org/drawingml/2006/picture">
                <pic:pic xmlns:pic="http://schemas.openxmlformats.org/drawingml/2006/picture">
                  <pic:nvPicPr>
                    <pic:cNvPr id="2" name="Picture 2"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7F78B119"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A0A0940">
      <w:pPr>
        <w:jc w:val="right"/>
      </w:pPr>
      <w:r>
        <w:t>2024 m. vasario 2 d., Briuselis</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BFCADBB">
            <w:pPr>
              <w:snapToGrid w:val="0"/>
              <w:jc w:val="center"/>
              <w:rPr>
                <w:b/>
                <w:sz w:val="32"/>
              </w:rPr>
            </w:pPr>
            <w:r>
              <w:rPr>
                <w:b/>
                <w:sz w:val="32"/>
              </w:rPr>
              <w:t>584-oji PLENARINĖ SESIJA</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05A5CBA3">
            <w:pPr>
              <w:snapToGrid w:val="0"/>
              <w:jc w:val="center"/>
              <w:rPr>
                <w:b/>
                <w:sz w:val="32"/>
              </w:rPr>
            </w:pPr>
            <w:r>
              <w:rPr>
                <w:b/>
                <w:sz w:val="32"/>
              </w:rPr>
              <w:t>2024 m. sausio 17–18 d.</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PRIIMTŲ NUOMONIŲ, REZOLIUCIJŲ IR INFORMACINIŲ IR (ARBA) VERTINIMO PRANEŠIMŲ SANTRAUKA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Šį dokumentą visomis oficialiosiomis kalbomis rasite EESRK interneto svetainėje adresu</w:t>
            </w:r>
          </w:p>
          <w:p w:rsidRPr="00094B6B" w:rsidR="00B16284" w:rsidP="00775FC4" w:rsidRDefault="00B16284" w14:paraId="4F26A4CE" w14:textId="77777777">
            <w:pPr>
              <w:snapToGrid w:val="0"/>
              <w:jc w:val="center"/>
            </w:pPr>
          </w:p>
          <w:p w:rsidRPr="00094B6B" w:rsidR="004D7AC0" w:rsidP="00775FC4" w:rsidRDefault="002B6F40" w14:paraId="2A9352A2" w14:textId="0680ADB6">
            <w:pPr>
              <w:snapToGrid w:val="0"/>
              <w:jc w:val="center"/>
            </w:pPr>
            <w:hyperlink w:history="1" r:id="rId12">
              <w:r w:rsidR="008778F4">
                <w:rPr>
                  <w:rStyle w:val="Hyperlink"/>
                </w:rPr>
                <w:t>https://www.eesc.europa.eu/lt/our-work/opinions-information-reports/plenary-session-summaries</w:t>
              </w:r>
            </w:hyperlink>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Visas minimas nuomones rasite EESRK interneto svetainėje adresu</w:t>
            </w:r>
          </w:p>
          <w:p w:rsidRPr="00094B6B" w:rsidR="00B16284" w:rsidP="00775FC4" w:rsidRDefault="00B16284" w14:paraId="7A5411A5" w14:textId="77777777">
            <w:pPr>
              <w:snapToGrid w:val="0"/>
              <w:jc w:val="center"/>
            </w:pPr>
          </w:p>
          <w:p w:rsidRPr="00094B6B" w:rsidR="004D7AC0" w:rsidP="00775FC4" w:rsidRDefault="002B6F40" w14:paraId="441AC4DD" w14:textId="1194D751">
            <w:pPr>
              <w:snapToGrid w:val="0"/>
              <w:jc w:val="center"/>
            </w:pPr>
            <w:hyperlink w:history="1" r:id="rId13">
              <w:r w:rsidR="00356E7D">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8778F4">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Turinys</w:t>
          </w:r>
        </w:p>
        <w:p w:rsidR="00142115" w:rsidRDefault="00544D95" w14:paraId="136CD045" w14:textId="157964A2">
          <w:pPr>
            <w:pStyle w:val="TOC1"/>
            <w:rPr>
              <w:rFonts w:asciiTheme="minorHAnsi" w:hAnsiTheme="minorHAnsi" w:eastAsiaTheme="minorEastAsia" w:cstheme="minorBidi"/>
              <w:bCs w:val="0"/>
              <w:sz w:val="22"/>
              <w:szCs w:val="22"/>
              <w:lang w:val="en-US"/>
            </w:rPr>
          </w:pPr>
          <w:r w:rsidRPr="00544D95">
            <w:fldChar w:fldCharType="begin"/>
          </w:r>
          <w:r w:rsidRPr="00544D95">
            <w:instrText xml:space="preserve"> TOC \o "1-3" \h \z \u </w:instrText>
          </w:r>
          <w:r w:rsidRPr="00544D95">
            <w:fldChar w:fldCharType="separate"/>
          </w:r>
          <w:hyperlink w:history="1" w:anchor="_Toc157781924">
            <w:r w:rsidRPr="007F2DC7" w:rsidR="00142115">
              <w:rPr>
                <w:rStyle w:val="Hyperlink"/>
                <w14:scene3d>
                  <w14:camera w14:prst="orthographicFront"/>
                  <w14:lightRig w14:rig="threePt" w14:dir="t">
                    <w14:rot w14:lat="0" w14:lon="0" w14:rev="0"/>
                  </w14:lightRig>
                </w14:scene3d>
              </w:rPr>
              <w:t>1.</w:t>
            </w:r>
            <w:r w:rsidR="00142115">
              <w:rPr>
                <w:rFonts w:asciiTheme="minorHAnsi" w:hAnsiTheme="minorHAnsi" w:eastAsiaTheme="minorEastAsia" w:cstheme="minorBidi"/>
                <w:bCs w:val="0"/>
                <w:sz w:val="22"/>
                <w:szCs w:val="22"/>
                <w:lang w:val="en-US"/>
              </w:rPr>
              <w:tab/>
            </w:r>
            <w:r w:rsidRPr="007F2DC7" w:rsidR="00142115">
              <w:rPr>
                <w:rStyle w:val="Hyperlink"/>
                <w:b/>
              </w:rPr>
              <w:t>EKONOMINĖ IR PINIGŲ SĄJUNGA, EKONOMINĖ IR SOCIALINĖ SANGLAUDA</w:t>
            </w:r>
            <w:r w:rsidR="00142115">
              <w:rPr>
                <w:webHidden/>
              </w:rPr>
              <w:tab/>
            </w:r>
            <w:r w:rsidR="00142115">
              <w:rPr>
                <w:webHidden/>
              </w:rPr>
              <w:fldChar w:fldCharType="begin"/>
            </w:r>
            <w:r w:rsidR="00142115">
              <w:rPr>
                <w:webHidden/>
              </w:rPr>
              <w:instrText xml:space="preserve"> PAGEREF _Toc157781924 \h </w:instrText>
            </w:r>
            <w:r w:rsidR="00142115">
              <w:rPr>
                <w:webHidden/>
              </w:rPr>
            </w:r>
            <w:r w:rsidR="00142115">
              <w:rPr>
                <w:webHidden/>
              </w:rPr>
              <w:fldChar w:fldCharType="separate"/>
            </w:r>
            <w:r w:rsidR="00142115">
              <w:rPr>
                <w:webHidden/>
              </w:rPr>
              <w:t>3</w:t>
            </w:r>
            <w:r w:rsidR="00142115">
              <w:rPr>
                <w:webHidden/>
              </w:rPr>
              <w:fldChar w:fldCharType="end"/>
            </w:r>
          </w:hyperlink>
        </w:p>
        <w:p w:rsidR="00142115" w:rsidRDefault="00142115" w14:paraId="507EA1F6" w14:textId="10A7E897">
          <w:pPr>
            <w:pStyle w:val="TOC1"/>
            <w:rPr>
              <w:rFonts w:asciiTheme="minorHAnsi" w:hAnsiTheme="minorHAnsi" w:eastAsiaTheme="minorEastAsia" w:cstheme="minorBidi"/>
              <w:bCs w:val="0"/>
              <w:sz w:val="22"/>
              <w:szCs w:val="22"/>
              <w:lang w:val="en-US"/>
            </w:rPr>
          </w:pPr>
          <w:hyperlink w:history="1" w:anchor="_Toc157781925">
            <w:r w:rsidRPr="007F2DC7">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7F2DC7">
              <w:rPr>
                <w:rStyle w:val="Hyperlink"/>
                <w:b/>
              </w:rPr>
              <w:t>BENDROJI RINKA, GAMYBA IR VARTOJIMAS</w:t>
            </w:r>
            <w:r>
              <w:rPr>
                <w:webHidden/>
              </w:rPr>
              <w:tab/>
            </w:r>
            <w:r>
              <w:rPr>
                <w:webHidden/>
              </w:rPr>
              <w:fldChar w:fldCharType="begin"/>
            </w:r>
            <w:r>
              <w:rPr>
                <w:webHidden/>
              </w:rPr>
              <w:instrText xml:space="preserve"> PAGEREF _Toc157781925 \h </w:instrText>
            </w:r>
            <w:r>
              <w:rPr>
                <w:webHidden/>
              </w:rPr>
            </w:r>
            <w:r>
              <w:rPr>
                <w:webHidden/>
              </w:rPr>
              <w:fldChar w:fldCharType="separate"/>
            </w:r>
            <w:r>
              <w:rPr>
                <w:webHidden/>
              </w:rPr>
              <w:t>5</w:t>
            </w:r>
            <w:r>
              <w:rPr>
                <w:webHidden/>
              </w:rPr>
              <w:fldChar w:fldCharType="end"/>
            </w:r>
          </w:hyperlink>
        </w:p>
        <w:p w:rsidR="00142115" w:rsidRDefault="00142115" w14:paraId="25182B5E" w14:textId="0D0E715B">
          <w:pPr>
            <w:pStyle w:val="TOC1"/>
            <w:rPr>
              <w:rFonts w:asciiTheme="minorHAnsi" w:hAnsiTheme="minorHAnsi" w:eastAsiaTheme="minorEastAsia" w:cstheme="minorBidi"/>
              <w:bCs w:val="0"/>
              <w:sz w:val="22"/>
              <w:szCs w:val="22"/>
              <w:lang w:val="en-US"/>
            </w:rPr>
          </w:pPr>
          <w:hyperlink w:history="1" w:anchor="_Toc157781926">
            <w:r w:rsidRPr="007F2DC7">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7F2DC7">
              <w:rPr>
                <w:rStyle w:val="Hyperlink"/>
                <w:b/>
              </w:rPr>
              <w:t>ŽEMĖS ŪKIS, KAIMO PLĖTRA IR APLINKA</w:t>
            </w:r>
            <w:r>
              <w:rPr>
                <w:webHidden/>
              </w:rPr>
              <w:tab/>
            </w:r>
            <w:r>
              <w:rPr>
                <w:webHidden/>
              </w:rPr>
              <w:fldChar w:fldCharType="begin"/>
            </w:r>
            <w:r>
              <w:rPr>
                <w:webHidden/>
              </w:rPr>
              <w:instrText xml:space="preserve"> PAGEREF _Toc157781926 \h </w:instrText>
            </w:r>
            <w:r>
              <w:rPr>
                <w:webHidden/>
              </w:rPr>
            </w:r>
            <w:r>
              <w:rPr>
                <w:webHidden/>
              </w:rPr>
              <w:fldChar w:fldCharType="separate"/>
            </w:r>
            <w:r>
              <w:rPr>
                <w:webHidden/>
              </w:rPr>
              <w:t>12</w:t>
            </w:r>
            <w:r>
              <w:rPr>
                <w:webHidden/>
              </w:rPr>
              <w:fldChar w:fldCharType="end"/>
            </w:r>
          </w:hyperlink>
        </w:p>
        <w:p w:rsidR="00142115" w:rsidRDefault="00142115" w14:paraId="2B447630" w14:textId="3570D1FF">
          <w:pPr>
            <w:pStyle w:val="TOC1"/>
            <w:rPr>
              <w:rFonts w:asciiTheme="minorHAnsi" w:hAnsiTheme="minorHAnsi" w:eastAsiaTheme="minorEastAsia" w:cstheme="minorBidi"/>
              <w:bCs w:val="0"/>
              <w:sz w:val="22"/>
              <w:szCs w:val="22"/>
              <w:lang w:val="en-US"/>
            </w:rPr>
          </w:pPr>
          <w:hyperlink w:history="1" w:anchor="_Toc157781927">
            <w:r w:rsidRPr="007F2DC7">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7F2DC7">
              <w:rPr>
                <w:rStyle w:val="Hyperlink"/>
                <w:b/>
              </w:rPr>
              <w:t>IŠORĖS SANTYKIAI</w:t>
            </w:r>
            <w:r>
              <w:rPr>
                <w:webHidden/>
              </w:rPr>
              <w:tab/>
            </w:r>
            <w:r>
              <w:rPr>
                <w:webHidden/>
              </w:rPr>
              <w:fldChar w:fldCharType="begin"/>
            </w:r>
            <w:r>
              <w:rPr>
                <w:webHidden/>
              </w:rPr>
              <w:instrText xml:space="preserve"> PAGEREF _Toc157781927 \h </w:instrText>
            </w:r>
            <w:r>
              <w:rPr>
                <w:webHidden/>
              </w:rPr>
            </w:r>
            <w:r>
              <w:rPr>
                <w:webHidden/>
              </w:rPr>
              <w:fldChar w:fldCharType="separate"/>
            </w:r>
            <w:r>
              <w:rPr>
                <w:webHidden/>
              </w:rPr>
              <w:t>14</w:t>
            </w:r>
            <w:r>
              <w:rPr>
                <w:webHidden/>
              </w:rPr>
              <w:fldChar w:fldCharType="end"/>
            </w:r>
          </w:hyperlink>
        </w:p>
        <w:p w:rsidR="00142115" w:rsidRDefault="00142115" w14:paraId="7C76DC63" w14:textId="30CA0C43">
          <w:pPr>
            <w:pStyle w:val="TOC1"/>
            <w:rPr>
              <w:rFonts w:asciiTheme="minorHAnsi" w:hAnsiTheme="minorHAnsi" w:eastAsiaTheme="minorEastAsia" w:cstheme="minorBidi"/>
              <w:bCs w:val="0"/>
              <w:sz w:val="22"/>
              <w:szCs w:val="22"/>
              <w:lang w:val="en-US"/>
            </w:rPr>
          </w:pPr>
          <w:hyperlink w:history="1" w:anchor="_Toc157781928">
            <w:r w:rsidRPr="007F2DC7">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7F2DC7">
              <w:rPr>
                <w:rStyle w:val="Hyperlink"/>
                <w:b/>
              </w:rPr>
              <w:t>TRANSPORTAS, ENERGETIKA, INFRASTRUKTŪRA IR INFORMACINĖ VISUOMENĖ</w:t>
            </w:r>
            <w:r>
              <w:rPr>
                <w:webHidden/>
              </w:rPr>
              <w:tab/>
            </w:r>
            <w:r>
              <w:rPr>
                <w:webHidden/>
              </w:rPr>
              <w:fldChar w:fldCharType="begin"/>
            </w:r>
            <w:r>
              <w:rPr>
                <w:webHidden/>
              </w:rPr>
              <w:instrText xml:space="preserve"> PAGEREF _Toc157781928 \h </w:instrText>
            </w:r>
            <w:r>
              <w:rPr>
                <w:webHidden/>
              </w:rPr>
            </w:r>
            <w:r>
              <w:rPr>
                <w:webHidden/>
              </w:rPr>
              <w:fldChar w:fldCharType="separate"/>
            </w:r>
            <w:r>
              <w:rPr>
                <w:webHidden/>
              </w:rPr>
              <w:t>15</w:t>
            </w:r>
            <w:r>
              <w:rPr>
                <w:webHidden/>
              </w:rPr>
              <w:fldChar w:fldCharType="end"/>
            </w:r>
          </w:hyperlink>
        </w:p>
        <w:p w:rsidRPr="00544D95" w:rsidR="00544D95" w:rsidP="00544D95" w:rsidRDefault="00544D95" w14:paraId="589C47D7" w14:textId="76F1B0B5">
          <w:pPr>
            <w:rPr>
              <w:b/>
            </w:rPr>
          </w:pPr>
          <w:r w:rsidRPr="00544D95">
            <w:rPr>
              <w:b/>
            </w:rPr>
            <w:fldChar w:fldCharType="end"/>
          </w:r>
        </w:p>
      </w:sdtContent>
    </w:sdt>
    <w:p w:rsidR="00A07736" w:rsidRDefault="00A07736" w14:paraId="2900045F" w14:textId="77777777">
      <w:pPr>
        <w:spacing w:after="160" w:line="259" w:lineRule="auto"/>
        <w:jc w:val="left"/>
      </w:pPr>
      <w:r>
        <w:br w:type="page"/>
      </w:r>
    </w:p>
    <w:p w:rsidRPr="00EE2FBD" w:rsidR="0038273B" w:rsidP="00C83487" w:rsidRDefault="0038273B" w14:paraId="62CE6920" w14:textId="77777777">
      <w:pPr>
        <w:pStyle w:val="Heading1"/>
        <w:spacing w:before="0"/>
        <w:ind w:left="930" w:hanging="928"/>
        <w:rPr>
          <w:b/>
          <w:bCs/>
        </w:rPr>
      </w:pPr>
      <w:bookmarkStart w:name="_Toc157781924" w:id="0"/>
      <w:r>
        <w:rPr>
          <w:b/>
        </w:rPr>
        <w:lastRenderedPageBreak/>
        <w:t>EKONOMINĖ IR PINIGŲ SĄJUNGA, EKONOMINĖ IR SOCIALINĖ SANGLAUDA</w:t>
      </w:r>
      <w:bookmarkEnd w:id="0"/>
    </w:p>
    <w:p w:rsidRPr="00EE2FBD" w:rsidR="00B807B4" w:rsidP="00C83487" w:rsidRDefault="00B807B4" w14:paraId="3CAC710B" w14:textId="11524E6A">
      <w:pPr>
        <w:pStyle w:val="Heading1"/>
        <w:numPr>
          <w:ilvl w:val="0"/>
          <w:numId w:val="0"/>
        </w:numPr>
        <w:spacing w:before="0"/>
        <w:ind w:left="930"/>
        <w:rPr>
          <w:b/>
          <w:bCs/>
        </w:rPr>
      </w:pPr>
    </w:p>
    <w:p w:rsidRPr="00126CEB" w:rsidR="00126CEB" w:rsidP="000E5EDB" w:rsidRDefault="002B6F40" w14:paraId="232120CA" w14:textId="1F75D8F0">
      <w:pPr>
        <w:widowControl w:val="0"/>
        <w:numPr>
          <w:ilvl w:val="0"/>
          <w:numId w:val="2"/>
        </w:numPr>
        <w:overflowPunct w:val="0"/>
        <w:autoSpaceDE w:val="0"/>
        <w:autoSpaceDN w:val="0"/>
        <w:adjustRightInd w:val="0"/>
        <w:ind w:hanging="425"/>
        <w:textAlignment w:val="baseline"/>
        <w:rPr>
          <w:sz w:val="20"/>
          <w:szCs w:val="20"/>
        </w:rPr>
      </w:pPr>
      <w:hyperlink w:history="1" r:id="rId20">
        <w:r w:rsidR="00356E7D">
          <w:rPr>
            <w:b/>
            <w:i/>
            <w:color w:val="0000FF"/>
            <w:sz w:val="28"/>
            <w:u w:val="single"/>
          </w:rPr>
          <w:t>MVĮ pagrindine buveine grindžiamos mokesčių sistemos nustatymas</w:t>
        </w:r>
      </w:hyperlink>
      <w:r w:rsidR="00356E7D">
        <w:t xml:space="preserve"> </w:t>
      </w:r>
    </w:p>
    <w:p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26CEB" w:rsidR="00126CEB" w:rsidTr="00C83487" w14:paraId="643BD7EA" w14:textId="77777777">
        <w:tc>
          <w:tcPr>
            <w:tcW w:w="1701" w:type="dxa"/>
          </w:tcPr>
          <w:p w:rsidRPr="00126CEB" w:rsidR="00126CEB" w:rsidP="00126CEB" w:rsidRDefault="00126CEB" w14:paraId="451F1761" w14:textId="77777777">
            <w:pPr>
              <w:tabs>
                <w:tab w:val="center" w:pos="284"/>
              </w:tabs>
              <w:overflowPunct w:val="0"/>
              <w:autoSpaceDE w:val="0"/>
              <w:autoSpaceDN w:val="0"/>
              <w:adjustRightInd w:val="0"/>
              <w:ind w:left="266" w:hanging="266"/>
              <w:textAlignment w:val="baseline"/>
              <w:rPr>
                <w:b/>
              </w:rPr>
            </w:pPr>
            <w:r>
              <w:rPr>
                <w:b/>
              </w:rPr>
              <w:t>Pranešėja</w:t>
            </w:r>
          </w:p>
        </w:tc>
        <w:tc>
          <w:tcPr>
            <w:tcW w:w="7479" w:type="dxa"/>
          </w:tcPr>
          <w:p w:rsidRPr="00126CEB" w:rsidR="00126CEB" w:rsidP="00126CEB" w:rsidRDefault="00126CEB" w14:paraId="54D0AAF8" w14:textId="0710242A">
            <w:pPr>
              <w:tabs>
                <w:tab w:val="center" w:pos="284"/>
              </w:tabs>
              <w:overflowPunct w:val="0"/>
              <w:autoSpaceDE w:val="0"/>
              <w:autoSpaceDN w:val="0"/>
              <w:adjustRightInd w:val="0"/>
              <w:ind w:left="266" w:hanging="266"/>
              <w:textAlignment w:val="baseline"/>
            </w:pPr>
            <w:proofErr w:type="spellStart"/>
            <w:r>
              <w:t>Katrīna</w:t>
            </w:r>
            <w:proofErr w:type="spellEnd"/>
            <w:r>
              <w:t xml:space="preserve"> </w:t>
            </w:r>
            <w:proofErr w:type="spellStart"/>
            <w:r>
              <w:t>Zariņa</w:t>
            </w:r>
            <w:proofErr w:type="spellEnd"/>
            <w:r>
              <w:t xml:space="preserve"> (Darbdavių </w:t>
            </w:r>
            <w:proofErr w:type="spellStart"/>
            <w:r>
              <w:t>gr</w:t>
            </w:r>
            <w:proofErr w:type="spellEnd"/>
            <w:r>
              <w:t>., LV)</w:t>
            </w:r>
          </w:p>
        </w:tc>
      </w:tr>
      <w:tr w:rsidRPr="00126CEB" w:rsidR="00126CEB" w:rsidTr="00C83487" w14:paraId="6438AE49" w14:textId="77777777">
        <w:tc>
          <w:tcPr>
            <w:tcW w:w="9180" w:type="dxa"/>
            <w:gridSpan w:val="2"/>
          </w:tcPr>
          <w:p w:rsidRPr="00126CEB"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pPr>
          </w:p>
        </w:tc>
      </w:tr>
      <w:tr w:rsidRPr="00126CEB" w:rsidR="00126CEB" w:rsidTr="00C83487" w14:paraId="331D9187" w14:textId="77777777">
        <w:tc>
          <w:tcPr>
            <w:tcW w:w="1701" w:type="dxa"/>
          </w:tcPr>
          <w:p w:rsidRPr="00126CEB" w:rsidR="00126CEB" w:rsidP="00126CEB" w:rsidRDefault="00126CEB" w14:paraId="6D8301EE" w14:textId="77777777">
            <w:pPr>
              <w:tabs>
                <w:tab w:val="center" w:pos="284"/>
              </w:tabs>
              <w:overflowPunct w:val="0"/>
              <w:autoSpaceDE w:val="0"/>
              <w:autoSpaceDN w:val="0"/>
              <w:adjustRightInd w:val="0"/>
              <w:ind w:left="266" w:hanging="266"/>
              <w:textAlignment w:val="baseline"/>
              <w:rPr>
                <w:b/>
              </w:rPr>
            </w:pPr>
            <w:r>
              <w:rPr>
                <w:b/>
              </w:rPr>
              <w:t>Nuorodos</w:t>
            </w:r>
          </w:p>
        </w:tc>
        <w:tc>
          <w:tcPr>
            <w:tcW w:w="7479" w:type="dxa"/>
          </w:tcPr>
          <w:p w:rsidRPr="00126CEB" w:rsidR="00126CEB" w:rsidP="00126CEB" w:rsidRDefault="00126CEB" w14:paraId="55EDF860" w14:textId="176D8C2B">
            <w:pPr>
              <w:tabs>
                <w:tab w:val="center" w:pos="284"/>
              </w:tabs>
              <w:overflowPunct w:val="0"/>
              <w:autoSpaceDE w:val="0"/>
              <w:autoSpaceDN w:val="0"/>
              <w:adjustRightInd w:val="0"/>
              <w:ind w:left="266" w:hanging="266"/>
              <w:textAlignment w:val="baseline"/>
            </w:pPr>
            <w:r>
              <w:t xml:space="preserve">COM(2023) 528 </w:t>
            </w:r>
            <w:proofErr w:type="spellStart"/>
            <w:r>
              <w:t>final</w:t>
            </w:r>
            <w:proofErr w:type="spellEnd"/>
          </w:p>
          <w:p w:rsidRPr="00126CEB" w:rsidR="00126CEB" w:rsidP="00126CEB" w:rsidRDefault="00126CEB" w14:paraId="255E70E4" w14:textId="60A6FCF9">
            <w:pPr>
              <w:tabs>
                <w:tab w:val="center" w:pos="284"/>
              </w:tabs>
              <w:overflowPunct w:val="0"/>
              <w:autoSpaceDE w:val="0"/>
              <w:autoSpaceDN w:val="0"/>
              <w:adjustRightInd w:val="0"/>
              <w:ind w:left="266" w:hanging="266"/>
              <w:textAlignment w:val="baseline"/>
            </w:pPr>
            <w:r>
              <w:t>EESC-2023-04262-00-AC</w:t>
            </w:r>
          </w:p>
        </w:tc>
      </w:tr>
    </w:tbl>
    <w:p w:rsidRPr="00126CEB" w:rsidR="00126CEB" w:rsidP="00126CEB" w:rsidRDefault="00126CEB" w14:paraId="6D096BD7"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126CEB"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146B4F46" w14:textId="77777777">
      <w:pPr>
        <w:overflowPunct w:val="0"/>
        <w:autoSpaceDE w:val="0"/>
        <w:autoSpaceDN w:val="0"/>
        <w:adjustRightInd w:val="0"/>
        <w:textAlignment w:val="baseline"/>
        <w:rPr>
          <w:bCs/>
          <w:iCs/>
        </w:rPr>
      </w:pPr>
      <w:r>
        <w:t>EESRK</w:t>
      </w:r>
    </w:p>
    <w:p w:rsidRPr="00126CEB" w:rsidR="00126CEB" w:rsidP="00126CEB" w:rsidRDefault="00126CEB" w14:paraId="73CCECAB" w14:textId="77777777">
      <w:pPr>
        <w:overflowPunct w:val="0"/>
        <w:autoSpaceDE w:val="0"/>
        <w:autoSpaceDN w:val="0"/>
        <w:adjustRightInd w:val="0"/>
        <w:textAlignment w:val="baseline"/>
        <w:rPr>
          <w:bCs/>
          <w:iCs/>
        </w:rPr>
      </w:pPr>
    </w:p>
    <w:p w:rsidRPr="00447BE1" w:rsidR="00126CEB" w:rsidP="00447BE1" w:rsidRDefault="00126CEB" w14:paraId="17A05DD3" w14:textId="77777777">
      <w:pPr>
        <w:pStyle w:val="ListParagraph"/>
        <w:numPr>
          <w:ilvl w:val="0"/>
          <w:numId w:val="45"/>
        </w:numPr>
        <w:rPr>
          <w:szCs w:val="20"/>
        </w:rPr>
      </w:pPr>
      <w:bookmarkStart w:name="_Toc157076136" w:id="1"/>
      <w:r>
        <w:t>pritaria Europos Komisijos pasiūlymui nustatyti labai mažų, mažųjų ir vidutinių įmonių (MVĮ) pagrindine buveine grindžiamą mokesčių sistemą ir jo tikslams, nes jie atitinka tikslus remti MVĮ, supaprastinti jų tarpvalstybinę veiklą, sumažinti administracines ir finansines kliūtis ir padidinti bendrą MVĮ;</w:t>
      </w:r>
      <w:bookmarkEnd w:id="1"/>
    </w:p>
    <w:p w:rsidRPr="00447BE1" w:rsidR="00126CEB" w:rsidP="00447BE1" w:rsidRDefault="00126CEB" w14:paraId="7E3C2B4F" w14:textId="65048028">
      <w:pPr>
        <w:pStyle w:val="ListParagraph"/>
        <w:numPr>
          <w:ilvl w:val="0"/>
          <w:numId w:val="45"/>
        </w:numPr>
        <w:rPr>
          <w:szCs w:val="20"/>
        </w:rPr>
      </w:pPr>
      <w:bookmarkStart w:name="_Toc157076137" w:id="2"/>
      <w:r>
        <w:t>nurodo, kad pasiūlymo dėl pagrindine buveine grindžiamos mokesčių sistemos priėmimas įmonėms, darbuotojams ir valstybėms narėms sukurs didelės pridėtinės vertės. Administracinės naštos sumažinimas labai mažoms, mažosioms ir vidutinėms įmonėms joms suteiks daugiau konkurencinių pranašumų vykdant kasdienę veiklą;</w:t>
      </w:r>
      <w:bookmarkEnd w:id="2"/>
    </w:p>
    <w:p w:rsidRPr="00447BE1" w:rsidR="00126CEB" w:rsidP="00447BE1" w:rsidRDefault="00126CEB" w14:paraId="655676B9" w14:textId="29308207">
      <w:pPr>
        <w:pStyle w:val="ListParagraph"/>
        <w:numPr>
          <w:ilvl w:val="0"/>
          <w:numId w:val="45"/>
        </w:numPr>
        <w:rPr>
          <w:szCs w:val="20"/>
        </w:rPr>
      </w:pPr>
      <w:bookmarkStart w:name="_Toc157076138" w:id="3"/>
      <w:r>
        <w:t>ragina nedelsti priimti Komisijos pasiūlymą dėl pagrindine buveine grindžiamos mokesčių sistemos, kad būtų skatinamas MVĮ augimas ir vienodų sąlygų sudarymas tarpvalstybinę veiklą vykdančių MVĮ dalyvavimui vidaus rinkoje, taip prisidedant prie ilgalaikio BVP ir užimtumo;</w:t>
      </w:r>
      <w:bookmarkEnd w:id="3"/>
    </w:p>
    <w:p w:rsidRPr="00447BE1" w:rsidR="00126CEB" w:rsidP="00447BE1" w:rsidRDefault="00126CEB" w14:paraId="41158F51" w14:textId="67F484B6">
      <w:pPr>
        <w:pStyle w:val="ListParagraph"/>
        <w:numPr>
          <w:ilvl w:val="0"/>
          <w:numId w:val="45"/>
        </w:numPr>
        <w:rPr>
          <w:szCs w:val="20"/>
        </w:rPr>
      </w:pPr>
      <w:bookmarkStart w:name="_Toc157076139" w:id="4"/>
      <w:r>
        <w:t>mano, kad pagrindine buveine grindžiama mokesčių sistema padidins ir pagerins valstybių narių mokesčių administratorių bendradarbiavimą. Siekiant sėkmingai ir prasmingai įgyvendinti siūlomą pagrindine buveine grindžiamą mokesčių sistemą ir pasiekti užsibrėžtus tikslus, valstybių narių mokesčių administratorių bendradarbiavimas yra labai svarbus;</w:t>
      </w:r>
      <w:bookmarkEnd w:id="4"/>
    </w:p>
    <w:p w:rsidRPr="00447BE1" w:rsidR="00126CEB" w:rsidP="00447BE1" w:rsidRDefault="00126CEB" w14:paraId="7327F6C8" w14:textId="0CE6C7C3">
      <w:pPr>
        <w:pStyle w:val="ListParagraph"/>
        <w:numPr>
          <w:ilvl w:val="0"/>
          <w:numId w:val="45"/>
        </w:numPr>
        <w:rPr>
          <w:szCs w:val="20"/>
        </w:rPr>
      </w:pPr>
      <w:bookmarkStart w:name="_Toc157076140" w:id="5"/>
      <w:r>
        <w:t>ragina Komisiją priėmus pasiūlymą glaudžiai bendradarbiauti su valstybėmis narėmis ir MVĮ atstovaujančiomis organizacijomis, kad būtų didinamas informuotumas apie pagrindinės buveinės apmokestinimo mechanizmą, kuriuo gali pasinaudoti MVĮ, siekiant geriau įgyvendinti tikslus mažinti reglamentavimo naštą, skatinti tarpvalstybinę veiklą ir visapusiškai išnaudoti bendrosios rinkos privalumus.</w:t>
      </w:r>
      <w:bookmarkEnd w:id="5"/>
    </w:p>
    <w:p w:rsidRPr="00126CEB"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6CEB" w:rsidR="00126CEB" w:rsidTr="00F655B8" w14:paraId="6F0A6D34" w14:textId="77777777">
        <w:tc>
          <w:tcPr>
            <w:tcW w:w="1418" w:type="dxa"/>
          </w:tcPr>
          <w:p w:rsidRPr="00126CEB" w:rsidR="00126CEB" w:rsidP="00126CEB" w:rsidRDefault="00126CEB" w14:paraId="4D3C62D4"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126CEB" w:rsidR="00126CEB" w:rsidP="00126CEB" w:rsidRDefault="00126CEB" w14:paraId="20A82E71"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r>
              <w:rPr>
                <w:i/>
              </w:rPr>
              <w:t xml:space="preserve"> </w:t>
            </w:r>
          </w:p>
        </w:tc>
      </w:tr>
      <w:tr w:rsidRPr="00126CEB" w:rsidR="00126CEB" w:rsidTr="00F655B8" w14:paraId="701BA604" w14:textId="77777777">
        <w:tc>
          <w:tcPr>
            <w:tcW w:w="1418" w:type="dxa"/>
          </w:tcPr>
          <w:p w:rsidRPr="00126CEB" w:rsidR="00126CEB" w:rsidP="00126CEB" w:rsidRDefault="00126CEB" w14:paraId="7E0C6104" w14:textId="77777777">
            <w:pPr>
              <w:overflowPunct w:val="0"/>
              <w:autoSpaceDE w:val="0"/>
              <w:autoSpaceDN w:val="0"/>
              <w:adjustRightInd w:val="0"/>
              <w:spacing w:line="240" w:lineRule="auto"/>
              <w:textAlignment w:val="baseline"/>
              <w:rPr>
                <w:i/>
              </w:rPr>
            </w:pPr>
            <w:r>
              <w:rPr>
                <w:i/>
              </w:rPr>
              <w:t>Tel.</w:t>
            </w:r>
          </w:p>
        </w:tc>
        <w:tc>
          <w:tcPr>
            <w:tcW w:w="5670" w:type="dxa"/>
          </w:tcPr>
          <w:p w:rsidRPr="00126CEB" w:rsidR="00126CEB" w:rsidP="00126CEB" w:rsidRDefault="00126CEB" w14:paraId="3BF2E3D8" w14:textId="77777777">
            <w:pPr>
              <w:overflowPunct w:val="0"/>
              <w:autoSpaceDE w:val="0"/>
              <w:autoSpaceDN w:val="0"/>
              <w:adjustRightInd w:val="0"/>
              <w:spacing w:line="240" w:lineRule="auto"/>
              <w:textAlignment w:val="baseline"/>
              <w:rPr>
                <w:i/>
              </w:rPr>
            </w:pPr>
            <w:r>
              <w:rPr>
                <w:i/>
              </w:rPr>
              <w:t>+32 25469628</w:t>
            </w:r>
          </w:p>
        </w:tc>
      </w:tr>
      <w:tr w:rsidRPr="00126CEB" w:rsidR="00126CEB" w:rsidTr="00F655B8" w14:paraId="6A7E9917" w14:textId="77777777">
        <w:tc>
          <w:tcPr>
            <w:tcW w:w="1418" w:type="dxa"/>
          </w:tcPr>
          <w:p w:rsidRPr="00126CEB" w:rsidR="00126CEB" w:rsidP="00126CEB" w:rsidRDefault="001F11A4" w14:paraId="6FBCCB68" w14:textId="3B0D3232">
            <w:pPr>
              <w:overflowPunct w:val="0"/>
              <w:autoSpaceDE w:val="0"/>
              <w:autoSpaceDN w:val="0"/>
              <w:adjustRightInd w:val="0"/>
              <w:spacing w:line="240" w:lineRule="auto"/>
              <w:textAlignment w:val="baseline"/>
              <w:rPr>
                <w:i/>
              </w:rPr>
            </w:pPr>
            <w:r>
              <w:rPr>
                <w:i/>
              </w:rPr>
              <w:t>E. paštas</w:t>
            </w:r>
          </w:p>
        </w:tc>
        <w:tc>
          <w:tcPr>
            <w:tcW w:w="5670" w:type="dxa"/>
          </w:tcPr>
          <w:p w:rsidRPr="00C83487" w:rsidR="00126CEB" w:rsidP="00126CEB" w:rsidRDefault="002B6F40" w14:paraId="40D946D1" w14:textId="201B9EAD">
            <w:pPr>
              <w:overflowPunct w:val="0"/>
              <w:autoSpaceDE w:val="0"/>
              <w:autoSpaceDN w:val="0"/>
              <w:adjustRightInd w:val="0"/>
              <w:spacing w:line="240" w:lineRule="auto"/>
              <w:textAlignment w:val="baseline"/>
              <w:rPr>
                <w:i/>
                <w:iCs/>
              </w:rPr>
            </w:pPr>
            <w:hyperlink w:history="1" r:id="rId21">
              <w:r w:rsidR="00356E7D">
                <w:rPr>
                  <w:i/>
                  <w:color w:val="0000FF"/>
                  <w:u w:val="single"/>
                </w:rPr>
                <w:t>Juri.Soosaar@eesc.europa.eu</w:t>
              </w:r>
            </w:hyperlink>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0E5EDB" w:rsidRDefault="002B6F40" w14:paraId="4661A989" w14:textId="044B8228">
      <w:pPr>
        <w:widowControl w:val="0"/>
        <w:numPr>
          <w:ilvl w:val="0"/>
          <w:numId w:val="2"/>
        </w:numPr>
        <w:overflowPunct w:val="0"/>
        <w:autoSpaceDE w:val="0"/>
        <w:autoSpaceDN w:val="0"/>
        <w:adjustRightInd w:val="0"/>
        <w:ind w:hanging="425"/>
        <w:textAlignment w:val="baseline"/>
        <w:rPr>
          <w:b/>
          <w:bCs/>
          <w:i/>
          <w:iCs/>
          <w:sz w:val="28"/>
          <w:szCs w:val="28"/>
        </w:rPr>
      </w:pPr>
      <w:hyperlink w:history="1" r:id="rId22">
        <w:r w:rsidR="00356E7D">
          <w:rPr>
            <w:b/>
            <w:i/>
            <w:color w:val="0000FF"/>
            <w:sz w:val="28"/>
            <w:u w:val="single"/>
          </w:rPr>
          <w:t>2024 m. Euro zonos ekonominė politika</w:t>
        </w:r>
      </w:hyperlink>
    </w:p>
    <w:p w:rsidRPr="002435FB" w:rsidR="002435FB" w:rsidP="002435FB" w:rsidRDefault="002435FB" w14:paraId="2BB1B4C7" w14:textId="77777777">
      <w:pPr>
        <w:widowControl w:val="0"/>
        <w:overflowPunct w:val="0"/>
        <w:autoSpaceDE w:val="0"/>
        <w:autoSpaceDN w:val="0"/>
        <w:adjustRightInd w:val="0"/>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2435FB" w:rsidR="002435FB" w:rsidTr="00C83487" w14:paraId="05716C64" w14:textId="77777777">
        <w:tc>
          <w:tcPr>
            <w:tcW w:w="1701" w:type="dxa"/>
          </w:tcPr>
          <w:p w:rsidRPr="002435FB" w:rsidR="002435FB" w:rsidP="002435FB" w:rsidRDefault="002435FB" w14:paraId="5B70FF1F" w14:textId="77777777">
            <w:pPr>
              <w:tabs>
                <w:tab w:val="center" w:pos="284"/>
              </w:tabs>
              <w:overflowPunct w:val="0"/>
              <w:autoSpaceDE w:val="0"/>
              <w:autoSpaceDN w:val="0"/>
              <w:adjustRightInd w:val="0"/>
              <w:ind w:left="266" w:hanging="266"/>
              <w:textAlignment w:val="baseline"/>
              <w:rPr>
                <w:b/>
              </w:rPr>
            </w:pPr>
            <w:r>
              <w:rPr>
                <w:b/>
              </w:rPr>
              <w:t>Pranešėjas</w:t>
            </w:r>
          </w:p>
        </w:tc>
        <w:tc>
          <w:tcPr>
            <w:tcW w:w="7479" w:type="dxa"/>
          </w:tcPr>
          <w:p w:rsidRPr="002435FB" w:rsidR="002435FB" w:rsidP="002435FB" w:rsidRDefault="002435FB" w14:paraId="18F83762" w14:textId="77777777">
            <w:pPr>
              <w:tabs>
                <w:tab w:val="center" w:pos="284"/>
              </w:tabs>
              <w:overflowPunct w:val="0"/>
              <w:autoSpaceDE w:val="0"/>
              <w:autoSpaceDN w:val="0"/>
              <w:adjustRightInd w:val="0"/>
              <w:ind w:left="266" w:hanging="266"/>
              <w:textAlignment w:val="baseline"/>
            </w:pPr>
            <w:r>
              <w:t xml:space="preserve">Konstantinos </w:t>
            </w:r>
            <w:proofErr w:type="spellStart"/>
            <w:r>
              <w:t>Diamantouros</w:t>
            </w:r>
            <w:proofErr w:type="spellEnd"/>
            <w:r>
              <w:t xml:space="preserve"> (Darbdavių </w:t>
            </w:r>
            <w:proofErr w:type="spellStart"/>
            <w:r>
              <w:t>gr</w:t>
            </w:r>
            <w:proofErr w:type="spellEnd"/>
            <w:r>
              <w:t>., EL)</w:t>
            </w:r>
          </w:p>
        </w:tc>
      </w:tr>
      <w:tr w:rsidRPr="002435FB" w:rsidR="002435FB" w:rsidTr="00C83487" w14:paraId="29C12FB2" w14:textId="77777777">
        <w:tc>
          <w:tcPr>
            <w:tcW w:w="9180" w:type="dxa"/>
            <w:gridSpan w:val="2"/>
          </w:tcPr>
          <w:p w:rsidRPr="002435FB"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pPr>
          </w:p>
        </w:tc>
      </w:tr>
      <w:tr w:rsidRPr="002435FB" w:rsidR="002435FB" w:rsidTr="00C83487" w14:paraId="324AA8CD" w14:textId="77777777">
        <w:tc>
          <w:tcPr>
            <w:tcW w:w="1701" w:type="dxa"/>
          </w:tcPr>
          <w:p w:rsidRPr="002435FB" w:rsidR="002435FB" w:rsidP="002435FB" w:rsidRDefault="002435FB" w14:paraId="734F88B7" w14:textId="5A6F762A">
            <w:pPr>
              <w:tabs>
                <w:tab w:val="center" w:pos="284"/>
              </w:tabs>
              <w:overflowPunct w:val="0"/>
              <w:autoSpaceDE w:val="0"/>
              <w:autoSpaceDN w:val="0"/>
              <w:adjustRightInd w:val="0"/>
              <w:ind w:left="266" w:hanging="266"/>
              <w:textAlignment w:val="baseline"/>
              <w:rPr>
                <w:b/>
              </w:rPr>
            </w:pPr>
            <w:r>
              <w:rPr>
                <w:b/>
              </w:rPr>
              <w:t>Nuorodos</w:t>
            </w:r>
          </w:p>
        </w:tc>
        <w:tc>
          <w:tcPr>
            <w:tcW w:w="7479" w:type="dxa"/>
          </w:tcPr>
          <w:p w:rsidR="000B3917" w:rsidP="002435FB" w:rsidRDefault="002435FB" w14:paraId="222638D0" w14:textId="77777777">
            <w:pPr>
              <w:tabs>
                <w:tab w:val="center" w:pos="284"/>
              </w:tabs>
              <w:overflowPunct w:val="0"/>
              <w:autoSpaceDE w:val="0"/>
              <w:autoSpaceDN w:val="0"/>
              <w:adjustRightInd w:val="0"/>
              <w:textAlignment w:val="baseline"/>
            </w:pPr>
            <w:r>
              <w:t xml:space="preserve">COM(2023) 903 </w:t>
            </w:r>
            <w:proofErr w:type="spellStart"/>
            <w:r>
              <w:t>final</w:t>
            </w:r>
            <w:proofErr w:type="spellEnd"/>
          </w:p>
          <w:p w:rsidRPr="002435FB" w:rsidR="002435FB" w:rsidP="002435FB" w:rsidRDefault="002435FB" w14:paraId="4D3CD881" w14:textId="54643070">
            <w:pPr>
              <w:tabs>
                <w:tab w:val="center" w:pos="284"/>
              </w:tabs>
              <w:overflowPunct w:val="0"/>
              <w:autoSpaceDE w:val="0"/>
              <w:autoSpaceDN w:val="0"/>
              <w:adjustRightInd w:val="0"/>
              <w:textAlignment w:val="baseline"/>
            </w:pPr>
            <w:r>
              <w:t>EESC-2023-04821-00-00-AC</w:t>
            </w:r>
          </w:p>
        </w:tc>
      </w:tr>
    </w:tbl>
    <w:p w:rsidR="006221F1" w:rsidP="006221F1" w:rsidRDefault="006221F1" w14:paraId="53931BB8" w14:textId="77777777">
      <w:pPr>
        <w:keepNext/>
        <w:keepLines/>
        <w:tabs>
          <w:tab w:val="center" w:pos="284"/>
        </w:tabs>
        <w:overflowPunct w:val="0"/>
        <w:autoSpaceDE w:val="0"/>
        <w:autoSpaceDN w:val="0"/>
        <w:adjustRightInd w:val="0"/>
        <w:ind w:left="266" w:hanging="124"/>
        <w:textAlignment w:val="baseline"/>
        <w:rPr>
          <w:b/>
        </w:rPr>
      </w:pPr>
    </w:p>
    <w:p w:rsidRPr="002435FB" w:rsidR="002435FB" w:rsidP="000E5EDB" w:rsidRDefault="002435FB" w14:paraId="027341DC" w14:textId="24AE7389">
      <w:pPr>
        <w:keepNext/>
        <w:keepLines/>
        <w:tabs>
          <w:tab w:val="center" w:pos="284"/>
        </w:tabs>
        <w:overflowPunct w:val="0"/>
        <w:autoSpaceDE w:val="0"/>
        <w:autoSpaceDN w:val="0"/>
        <w:adjustRightInd w:val="0"/>
        <w:ind w:left="266" w:hanging="124"/>
        <w:textAlignment w:val="baseline"/>
        <w:rPr>
          <w:b/>
        </w:rPr>
      </w:pPr>
      <w:r>
        <w:rPr>
          <w:b/>
        </w:rPr>
        <w:t>Dokumento esmė</w:t>
      </w:r>
    </w:p>
    <w:p w:rsidRPr="002435FB" w:rsidR="002435FB" w:rsidP="002435FB" w:rsidRDefault="002435FB" w14:paraId="1AB234EB" w14:textId="77777777">
      <w:pPr>
        <w:keepNext/>
        <w:keepLines/>
        <w:tabs>
          <w:tab w:val="center" w:pos="284"/>
        </w:tabs>
        <w:overflowPunct w:val="0"/>
        <w:autoSpaceDE w:val="0"/>
        <w:autoSpaceDN w:val="0"/>
        <w:adjustRightInd w:val="0"/>
        <w:ind w:left="266" w:hanging="266"/>
        <w:textAlignment w:val="baseline"/>
        <w:rPr>
          <w:b/>
        </w:rPr>
      </w:pPr>
    </w:p>
    <w:p w:rsidRPr="002435FB" w:rsidR="002435FB" w:rsidP="000E5EDB" w:rsidRDefault="002435FB" w14:paraId="41A4E45B" w14:textId="77777777">
      <w:pPr>
        <w:overflowPunct w:val="0"/>
        <w:autoSpaceDE w:val="0"/>
        <w:autoSpaceDN w:val="0"/>
        <w:adjustRightInd w:val="0"/>
        <w:ind w:left="425" w:hanging="283"/>
        <w:textAlignment w:val="baseline"/>
        <w:rPr>
          <w:bCs/>
          <w:iCs/>
          <w:highlight w:val="yellow"/>
        </w:rPr>
      </w:pPr>
      <w:r>
        <w:t>EESRK</w:t>
      </w:r>
    </w:p>
    <w:p w:rsidRPr="002435FB" w:rsidR="002435FB" w:rsidP="002435FB" w:rsidRDefault="002435FB" w14:paraId="6DD93E63" w14:textId="77777777">
      <w:pPr>
        <w:overflowPunct w:val="0"/>
        <w:autoSpaceDE w:val="0"/>
        <w:autoSpaceDN w:val="0"/>
        <w:adjustRightInd w:val="0"/>
        <w:ind w:left="709" w:hanging="425"/>
        <w:textAlignment w:val="baseline"/>
        <w:outlineLvl w:val="1"/>
        <w:rPr>
          <w:szCs w:val="20"/>
          <w:highlight w:val="yellow"/>
        </w:rPr>
      </w:pPr>
    </w:p>
    <w:p w:rsidRPr="00BC2B3A" w:rsidR="002435FB" w:rsidP="00BC2B3A" w:rsidRDefault="002435FB" w14:paraId="423B592C" w14:textId="77777777">
      <w:pPr>
        <w:pStyle w:val="ListParagraph"/>
        <w:numPr>
          <w:ilvl w:val="0"/>
          <w:numId w:val="46"/>
        </w:numPr>
        <w:rPr>
          <w:szCs w:val="20"/>
        </w:rPr>
      </w:pPr>
      <w:bookmarkStart w:name="_Toc157076141" w:id="6"/>
      <w:r>
        <w:t>palankiai vertina Europos Komisijos euro zonai skirtas rekomendacijas ir iš esmės pritaria joms ir Komisijos pateiktam dabartinės ekonominės padėties vertinimui;</w:t>
      </w:r>
      <w:bookmarkEnd w:id="6"/>
      <w:r>
        <w:t xml:space="preserve"> </w:t>
      </w:r>
    </w:p>
    <w:p w:rsidRPr="00BC2B3A" w:rsidR="002435FB" w:rsidP="00BC2B3A" w:rsidRDefault="002435FB" w14:paraId="79D8B48A" w14:textId="70E02FC7">
      <w:pPr>
        <w:pStyle w:val="ListParagraph"/>
        <w:numPr>
          <w:ilvl w:val="0"/>
          <w:numId w:val="46"/>
        </w:numPr>
        <w:rPr>
          <w:szCs w:val="20"/>
        </w:rPr>
      </w:pPr>
      <w:bookmarkStart w:name="_Toc157076142" w:id="7"/>
      <w:r>
        <w:t xml:space="preserve">primygtinai ragina Europos Centrinį Banką (ECB) laikytis </w:t>
      </w:r>
      <w:proofErr w:type="spellStart"/>
      <w:r>
        <w:t>prudencinio</w:t>
      </w:r>
      <w:proofErr w:type="spellEnd"/>
      <w:r>
        <w:t xml:space="preserve"> požiūrio, pagrįsto dinamiška ir duomenimis grindžiama pinigų politika, kad infliacija toliau būtų mažinama iki tikslinio lygio, ir pritaria tolesniam valstybių narių fiskalinės politikos koordinavimui su ECB pinigų politika;</w:t>
      </w:r>
      <w:bookmarkEnd w:id="7"/>
    </w:p>
    <w:p w:rsidRPr="00BC2B3A" w:rsidR="002435FB" w:rsidP="00BC2B3A" w:rsidRDefault="002435FB" w14:paraId="0992FDE2" w14:textId="444BEB88">
      <w:pPr>
        <w:pStyle w:val="ListParagraph"/>
        <w:numPr>
          <w:ilvl w:val="0"/>
          <w:numId w:val="46"/>
        </w:numPr>
        <w:rPr>
          <w:szCs w:val="20"/>
        </w:rPr>
      </w:pPr>
      <w:bookmarkStart w:name="_Toc157076143" w:id="8"/>
      <w:r>
        <w:t>pritaria Komisijos raginimui užtikrinti fiskalinį konsolidavimą ir primygtinai ragina valstybes nares iki metų pabaigos pasiekti susitarimą dėl Stabilumo ir augimo pakto reformos;</w:t>
      </w:r>
      <w:bookmarkEnd w:id="8"/>
    </w:p>
    <w:p w:rsidRPr="00BC2B3A" w:rsidR="002435FB" w:rsidP="00BC2B3A" w:rsidRDefault="002435FB" w14:paraId="6722825E" w14:textId="7AE01381">
      <w:pPr>
        <w:pStyle w:val="ListParagraph"/>
        <w:numPr>
          <w:ilvl w:val="0"/>
          <w:numId w:val="46"/>
        </w:numPr>
        <w:rPr>
          <w:szCs w:val="20"/>
        </w:rPr>
      </w:pPr>
      <w:bookmarkStart w:name="_Toc157076144" w:id="9"/>
      <w:r>
        <w:t>palankiai vertina Europos Komisijos rekomendaciją, kad valstybės narės, laikydamosi nacionalinės praktikos ir paisydamos socialinių partnerių vaidmens, remtų darbo užmokesčio pokyčius, kuriais siekiama sušvelninti perkamosios galios sumažėjimą, ypač mažą darbo užmokestį gaunantiems asmenims, tinkamai atsižvelgiant į konkurencingumo dinamiką ir vengiant ilgalaikių skirtumų euro zonoje;</w:t>
      </w:r>
      <w:bookmarkEnd w:id="9"/>
    </w:p>
    <w:p w:rsidRPr="00BC2B3A" w:rsidR="002435FB" w:rsidP="00BC2B3A" w:rsidRDefault="002435FB" w14:paraId="31F043FD" w14:textId="5F4A8B7F">
      <w:pPr>
        <w:pStyle w:val="ListParagraph"/>
        <w:numPr>
          <w:ilvl w:val="0"/>
          <w:numId w:val="46"/>
        </w:numPr>
        <w:rPr>
          <w:i/>
          <w:iCs/>
          <w:szCs w:val="20"/>
        </w:rPr>
      </w:pPr>
      <w:bookmarkStart w:name="_Toc157076145" w:id="10"/>
      <w:r>
        <w:t xml:space="preserve">palankiai vertina ES specialistų rezervo sukūrimą ir pakartoja, kad svarbu skubiai įgyvendinti rekomendacijas, pateiktas leidinyje </w:t>
      </w:r>
      <w:r w:rsidRPr="00BC2B3A">
        <w:rPr>
          <w:i/>
        </w:rPr>
        <w:t>Užimtumo ir socialinės tendencijos Europoje. Darbo jėgos trūkumo ir įgūdžių spragos problemos sprendimas ES</w:t>
      </w:r>
      <w:r>
        <w:t>;</w:t>
      </w:r>
      <w:bookmarkEnd w:id="10"/>
    </w:p>
    <w:p w:rsidRPr="00BC2B3A" w:rsidR="002435FB" w:rsidP="00BC2B3A" w:rsidRDefault="002435FB" w14:paraId="696D13B4" w14:textId="28F1227C">
      <w:pPr>
        <w:pStyle w:val="ListParagraph"/>
        <w:numPr>
          <w:ilvl w:val="0"/>
          <w:numId w:val="46"/>
        </w:numPr>
        <w:rPr>
          <w:szCs w:val="20"/>
        </w:rPr>
      </w:pPr>
      <w:bookmarkStart w:name="_Toc157076146" w:id="11"/>
      <w:r>
        <w:t>ragina baigti kurti kapitalo rinkų sąjungą, kad būtų pašalintos esamos kliūtys, trukdančios patenkinti teisingos ir įtraukios žaliosios ir skaitmeninės pertvarkos investicijų poreikius;</w:t>
      </w:r>
      <w:bookmarkEnd w:id="11"/>
    </w:p>
    <w:p w:rsidRPr="00BC2B3A" w:rsidR="002435FB" w:rsidP="00BC2B3A" w:rsidRDefault="002435FB" w14:paraId="1899D595" w14:textId="3600A846">
      <w:pPr>
        <w:pStyle w:val="ListParagraph"/>
        <w:numPr>
          <w:ilvl w:val="0"/>
          <w:numId w:val="46"/>
        </w:numPr>
        <w:rPr>
          <w:szCs w:val="20"/>
        </w:rPr>
      </w:pPr>
      <w:bookmarkStart w:name="_Toc157076147" w:id="12"/>
      <w:r>
        <w:t>pabrėžia, kad svarbu baigti kurti bankų sąjungą ir sukurti trūkstamą trečiąjį ramstį – Europos indėlių draudimo sistemą (EIDS);</w:t>
      </w:r>
      <w:bookmarkEnd w:id="12"/>
    </w:p>
    <w:p w:rsidRPr="00BC2B3A" w:rsidR="002435FB" w:rsidP="00BC2B3A" w:rsidRDefault="002435FB" w14:paraId="60A36BE6" w14:textId="5186E800">
      <w:pPr>
        <w:pStyle w:val="ListParagraph"/>
        <w:numPr>
          <w:ilvl w:val="0"/>
          <w:numId w:val="46"/>
        </w:numPr>
        <w:rPr>
          <w:szCs w:val="20"/>
        </w:rPr>
      </w:pPr>
      <w:bookmarkStart w:name="_Toc157076148" w:id="13"/>
      <w:r>
        <w:t>ragina daryti pažangą vykdant elektros energijos rinkos reformą ir kuriant energetikos sąjungą, tuo tikslu priimant teisės aktus ir investuojant į energetikos infrastruktūrą ir jungtis. Tai labai svarbūs žingsniai siekiant sumažinti namų ūkių išlaidas energijai ir kartu didinti Europos įmonių konkurencingumą;</w:t>
      </w:r>
      <w:bookmarkEnd w:id="13"/>
      <w:r>
        <w:t xml:space="preserve"> </w:t>
      </w:r>
    </w:p>
    <w:p w:rsidRPr="00BC2B3A" w:rsidR="002435FB" w:rsidP="00BC2B3A" w:rsidRDefault="002435FB" w14:paraId="786F4E49" w14:textId="692AD56E">
      <w:pPr>
        <w:pStyle w:val="ListParagraph"/>
        <w:numPr>
          <w:ilvl w:val="0"/>
          <w:numId w:val="46"/>
        </w:numPr>
        <w:rPr>
          <w:szCs w:val="20"/>
        </w:rPr>
      </w:pPr>
      <w:bookmarkStart w:name="_Toc157076149" w:id="14"/>
      <w:r>
        <w:t>mano, kad nepaprastai svarbu rasti Europos lygmens sprendimą, kuris leistų padidinti ilgalaikį Europos įmonių konkurencingumą, tačiau nekenktų bendrajai rinkai. Todėl EESRK dar kartą patvirtina, kad remia Europos strateginių technologijų platformą, ir dar kartą ragina Komisiją tuo tikslu sukurti bendras priemones.</w:t>
      </w:r>
      <w:bookmarkEnd w:id="14"/>
      <w:r>
        <w:t xml:space="preserve"> </w:t>
      </w:r>
    </w:p>
    <w:p w:rsidRPr="002435FB" w:rsidR="002435FB" w:rsidP="002435FB" w:rsidRDefault="002435FB" w14:paraId="611B50C3" w14:textId="77777777">
      <w:pPr>
        <w:keepNext/>
        <w:keepLines/>
        <w:overflowPunct w:val="0"/>
        <w:autoSpaceDE w:val="0"/>
        <w:autoSpaceDN w:val="0"/>
        <w:adjustRightInd w:val="0"/>
        <w:textAlignment w:val="baseline"/>
        <w:rPr>
          <w:bCs/>
          <w:iCs/>
          <w:szCs w:val="20"/>
        </w:rPr>
      </w:pPr>
    </w:p>
    <w:tbl>
      <w:tblPr>
        <w:tblStyle w:val="TableGrid18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435FB" w:rsidR="002435FB" w:rsidTr="00F655B8" w14:paraId="29A98A47" w14:textId="77777777">
        <w:tc>
          <w:tcPr>
            <w:tcW w:w="1418" w:type="dxa"/>
          </w:tcPr>
          <w:p w:rsidRPr="002435FB" w:rsidR="002435FB" w:rsidP="002435FB" w:rsidRDefault="002435FB" w14:paraId="6FF6279F" w14:textId="77777777">
            <w:pPr>
              <w:keepNext/>
              <w:keepLines/>
              <w:overflowPunct w:val="0"/>
              <w:autoSpaceDE w:val="0"/>
              <w:autoSpaceDN w:val="0"/>
              <w:adjustRightInd w:val="0"/>
              <w:spacing w:line="240" w:lineRule="auto"/>
              <w:textAlignment w:val="baseline"/>
              <w:rPr>
                <w:i/>
              </w:rPr>
            </w:pPr>
            <w:r>
              <w:rPr>
                <w:b/>
                <w:i/>
              </w:rPr>
              <w:t>Kontaktinis asmuo</w:t>
            </w:r>
          </w:p>
        </w:tc>
        <w:tc>
          <w:tcPr>
            <w:tcW w:w="5670" w:type="dxa"/>
          </w:tcPr>
          <w:p w:rsidRPr="002435FB" w:rsidR="002435FB" w:rsidP="002435FB" w:rsidRDefault="002435FB" w14:paraId="515AF659" w14:textId="77777777">
            <w:pPr>
              <w:keepNext/>
              <w:keepLines/>
              <w:overflowPunct w:val="0"/>
              <w:autoSpaceDE w:val="0"/>
              <w:autoSpaceDN w:val="0"/>
              <w:adjustRightInd w:val="0"/>
              <w:spacing w:line="240" w:lineRule="auto"/>
              <w:textAlignment w:val="baseline"/>
              <w:rPr>
                <w:i/>
              </w:rPr>
            </w:pPr>
            <w:proofErr w:type="spellStart"/>
            <w:r>
              <w:rPr>
                <w:i/>
              </w:rPr>
              <w:t>Krisztina</w:t>
            </w:r>
            <w:proofErr w:type="spellEnd"/>
            <w:r>
              <w:rPr>
                <w:i/>
              </w:rPr>
              <w:t xml:space="preserve"> </w:t>
            </w:r>
            <w:proofErr w:type="spellStart"/>
            <w:r>
              <w:rPr>
                <w:i/>
              </w:rPr>
              <w:t>Perlaky-Tóth</w:t>
            </w:r>
            <w:proofErr w:type="spellEnd"/>
            <w:r>
              <w:rPr>
                <w:i/>
              </w:rPr>
              <w:t xml:space="preserve"> </w:t>
            </w:r>
          </w:p>
        </w:tc>
      </w:tr>
      <w:tr w:rsidRPr="002435FB" w:rsidR="002435FB" w:rsidTr="00F655B8" w14:paraId="305317EB" w14:textId="77777777">
        <w:tc>
          <w:tcPr>
            <w:tcW w:w="1418" w:type="dxa"/>
          </w:tcPr>
          <w:p w:rsidRPr="002435FB" w:rsidR="002435FB" w:rsidP="002435FB" w:rsidRDefault="002435FB" w14:paraId="682A8661"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2435FB" w:rsidR="002435FB" w:rsidP="002435FB" w:rsidRDefault="002435FB" w14:paraId="4272271B" w14:textId="77777777">
            <w:pPr>
              <w:keepNext/>
              <w:keepLines/>
              <w:overflowPunct w:val="0"/>
              <w:autoSpaceDE w:val="0"/>
              <w:autoSpaceDN w:val="0"/>
              <w:adjustRightInd w:val="0"/>
              <w:spacing w:line="240" w:lineRule="auto"/>
              <w:textAlignment w:val="baseline"/>
              <w:rPr>
                <w:i/>
              </w:rPr>
            </w:pPr>
            <w:r>
              <w:rPr>
                <w:i/>
              </w:rPr>
              <w:t>+32 25469740</w:t>
            </w:r>
          </w:p>
        </w:tc>
      </w:tr>
      <w:tr w:rsidRPr="002435FB" w:rsidR="002435FB" w:rsidTr="00F655B8" w14:paraId="7A8F0AC0" w14:textId="77777777">
        <w:tc>
          <w:tcPr>
            <w:tcW w:w="1418" w:type="dxa"/>
          </w:tcPr>
          <w:p w:rsidRPr="002435FB" w:rsidR="002435FB" w:rsidP="002435FB" w:rsidRDefault="002435FB" w14:paraId="7EC9556E" w14:textId="77777777">
            <w:pPr>
              <w:keepNext/>
              <w:keepLines/>
              <w:overflowPunct w:val="0"/>
              <w:autoSpaceDE w:val="0"/>
              <w:autoSpaceDN w:val="0"/>
              <w:adjustRightInd w:val="0"/>
              <w:spacing w:line="240" w:lineRule="auto"/>
              <w:textAlignment w:val="baseline"/>
              <w:rPr>
                <w:i/>
              </w:rPr>
            </w:pPr>
            <w:r>
              <w:rPr>
                <w:i/>
              </w:rPr>
              <w:t>E. paštas</w:t>
            </w:r>
          </w:p>
        </w:tc>
        <w:tc>
          <w:tcPr>
            <w:tcW w:w="5670" w:type="dxa"/>
          </w:tcPr>
          <w:p w:rsidRPr="00C83487" w:rsidR="002435FB" w:rsidP="002435FB" w:rsidRDefault="002B6F40" w14:paraId="6D8AA2A8" w14:textId="3DD28C1F">
            <w:pPr>
              <w:keepNext/>
              <w:keepLines/>
              <w:overflowPunct w:val="0"/>
              <w:autoSpaceDE w:val="0"/>
              <w:autoSpaceDN w:val="0"/>
              <w:adjustRightInd w:val="0"/>
              <w:spacing w:line="240" w:lineRule="auto"/>
              <w:textAlignment w:val="baseline"/>
              <w:rPr>
                <w:i/>
                <w:iCs/>
              </w:rPr>
            </w:pPr>
            <w:hyperlink w:history="1" r:id="rId23">
              <w:r w:rsidR="00356E7D">
                <w:rPr>
                  <w:i/>
                  <w:color w:val="0000FF"/>
                  <w:u w:val="single"/>
                </w:rPr>
                <w:t>Krisztina.PerlakyToth@eesc.europa.eu</w:t>
              </w:r>
            </w:hyperlink>
          </w:p>
        </w:tc>
      </w:tr>
    </w:tbl>
    <w:p w:rsidR="005B4EE6" w:rsidRDefault="005B4EE6" w14:paraId="0843A720" w14:textId="2B5851B7">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15"/>
      <w:bookmarkStart w:name="_Toc153539680" w:id="16"/>
      <w:bookmarkStart w:name="_Toc157781925" w:id="17"/>
      <w:bookmarkEnd w:id="15"/>
      <w:r>
        <w:rPr>
          <w:b/>
        </w:rPr>
        <w:lastRenderedPageBreak/>
        <w:t>BENDROJI RINKA, GAMYBA IR VARTOJIMAS</w:t>
      </w:r>
      <w:bookmarkEnd w:id="16"/>
      <w:bookmarkEnd w:id="17"/>
    </w:p>
    <w:p w:rsidRPr="00094B6B" w:rsidR="004C3902" w:rsidP="00775FC4" w:rsidRDefault="004C3902" w14:paraId="51590E30" w14:textId="7D4E8C1F">
      <w:pPr>
        <w:keepNext/>
        <w:keepLines/>
        <w:jc w:val="left"/>
        <w:rPr>
          <w:b/>
          <w:iCs/>
        </w:rPr>
      </w:pPr>
    </w:p>
    <w:p w:rsidRPr="00C83487" w:rsidR="00DC121F" w:rsidP="00235E61" w:rsidRDefault="00DC121F" w14:paraId="7C0332D6" w14:textId="782DE997">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Kova su seksualine prievarta prieš vaikus internete</w:t>
      </w:r>
    </w:p>
    <w:p w:rsidRPr="000E5EDB"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DC121F" w:rsidR="00DC121F" w:rsidTr="00C83487" w14:paraId="0EE803D3" w14:textId="77777777">
        <w:tc>
          <w:tcPr>
            <w:tcW w:w="1701" w:type="dxa"/>
            <w:vMerge w:val="restart"/>
          </w:tcPr>
          <w:p w:rsidRPr="00DC121F" w:rsidR="00DC121F" w:rsidP="000E5EDB" w:rsidRDefault="00DC121F" w14:paraId="3EB4C03A" w14:textId="77777777">
            <w:pPr>
              <w:tabs>
                <w:tab w:val="center" w:pos="284"/>
              </w:tabs>
              <w:overflowPunct w:val="0"/>
              <w:autoSpaceDE w:val="0"/>
              <w:autoSpaceDN w:val="0"/>
              <w:adjustRightInd w:val="0"/>
              <w:ind w:left="266" w:right="-5356" w:hanging="376"/>
              <w:textAlignment w:val="baseline"/>
              <w:rPr>
                <w:b/>
              </w:rPr>
            </w:pPr>
            <w:r>
              <w:rPr>
                <w:b/>
              </w:rPr>
              <w:t>Nuorodos</w:t>
            </w:r>
          </w:p>
        </w:tc>
        <w:tc>
          <w:tcPr>
            <w:tcW w:w="7479" w:type="dxa"/>
          </w:tcPr>
          <w:p w:rsidR="0057638B" w:rsidP="00B65EA6" w:rsidRDefault="0057638B" w14:paraId="5BAEC5EA" w14:textId="5156636B">
            <w:pPr>
              <w:tabs>
                <w:tab w:val="center" w:pos="284"/>
              </w:tabs>
              <w:overflowPunct w:val="0"/>
              <w:autoSpaceDE w:val="0"/>
              <w:autoSpaceDN w:val="0"/>
              <w:adjustRightInd w:val="0"/>
              <w:ind w:left="266" w:hanging="376"/>
              <w:textAlignment w:val="baseline"/>
            </w:pPr>
            <w:r>
              <w:rPr>
                <w:b/>
              </w:rPr>
              <w:t>C kategorijos nuomonė</w:t>
            </w:r>
          </w:p>
          <w:p w:rsidRPr="00DC121F" w:rsidR="00DC121F" w:rsidP="000E5EDB" w:rsidRDefault="00DC121F" w14:paraId="373F352E" w14:textId="495EFA22">
            <w:pPr>
              <w:tabs>
                <w:tab w:val="center" w:pos="284"/>
              </w:tabs>
              <w:overflowPunct w:val="0"/>
              <w:autoSpaceDE w:val="0"/>
              <w:autoSpaceDN w:val="0"/>
              <w:adjustRightInd w:val="0"/>
              <w:ind w:left="266" w:hanging="376"/>
              <w:textAlignment w:val="baseline"/>
            </w:pPr>
            <w:r>
              <w:t xml:space="preserve">COM(2023) 777 </w:t>
            </w:r>
            <w:proofErr w:type="spellStart"/>
            <w:r>
              <w:t>final</w:t>
            </w:r>
            <w:proofErr w:type="spellEnd"/>
          </w:p>
        </w:tc>
      </w:tr>
      <w:tr w:rsidRPr="00DC121F" w:rsidR="00DC121F" w:rsidTr="00C83487" w14:paraId="59903D0F" w14:textId="77777777">
        <w:tc>
          <w:tcPr>
            <w:tcW w:w="1701" w:type="dxa"/>
            <w:vMerge/>
          </w:tcPr>
          <w:p w:rsidRPr="00DC121F" w:rsidR="00DC121F" w:rsidP="000E5EDB" w:rsidRDefault="00DC121F" w14:paraId="75E76E85" w14:textId="77777777">
            <w:pPr>
              <w:tabs>
                <w:tab w:val="center" w:pos="284"/>
              </w:tabs>
              <w:overflowPunct w:val="0"/>
              <w:autoSpaceDE w:val="0"/>
              <w:autoSpaceDN w:val="0"/>
              <w:adjustRightInd w:val="0"/>
              <w:ind w:left="266" w:hanging="376"/>
              <w:textAlignment w:val="baseline"/>
              <w:rPr>
                <w:b/>
              </w:rPr>
            </w:pPr>
          </w:p>
        </w:tc>
        <w:tc>
          <w:tcPr>
            <w:tcW w:w="7479" w:type="dxa"/>
          </w:tcPr>
          <w:p w:rsidRPr="00DC121F" w:rsidR="00DC121F" w:rsidP="000E5EDB" w:rsidRDefault="00DC121F" w14:paraId="4A87DF59" w14:textId="77777777">
            <w:pPr>
              <w:tabs>
                <w:tab w:val="center" w:pos="284"/>
              </w:tabs>
              <w:overflowPunct w:val="0"/>
              <w:autoSpaceDE w:val="0"/>
              <w:autoSpaceDN w:val="0"/>
              <w:adjustRightInd w:val="0"/>
              <w:ind w:left="266" w:hanging="376"/>
              <w:textAlignment w:val="baseline"/>
            </w:pPr>
            <w:r>
              <w:t>EESC-2023-05560-00-00-AC</w:t>
            </w:r>
          </w:p>
        </w:tc>
      </w:tr>
    </w:tbl>
    <w:p w:rsidRPr="00DC121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DC121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DC121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DC121F" w:rsidR="00DC121F" w:rsidP="00DC121F" w:rsidRDefault="00DC121F" w14:paraId="4A13D654" w14:textId="77777777">
      <w:pPr>
        <w:overflowPunct w:val="0"/>
        <w:autoSpaceDE w:val="0"/>
        <w:autoSpaceDN w:val="0"/>
        <w:adjustRightInd w:val="0"/>
        <w:textAlignment w:val="baseline"/>
        <w:rPr>
          <w:bCs/>
          <w:iCs/>
        </w:rPr>
      </w:pPr>
      <w:r>
        <w:t>EESRK nusprendė pateikti palankią nuomonę dėl siūlomo dokumento.</w:t>
      </w:r>
    </w:p>
    <w:p w:rsidRPr="00DC121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C121F" w:rsidR="00DC121F" w:rsidTr="00F655B8" w14:paraId="536949CE" w14:textId="77777777">
        <w:tc>
          <w:tcPr>
            <w:tcW w:w="1418" w:type="dxa"/>
          </w:tcPr>
          <w:p w:rsidRPr="00DC121F" w:rsidR="00DC121F" w:rsidP="000E5EDB" w:rsidRDefault="00DC121F" w14:paraId="08A41DF2" w14:textId="77777777">
            <w:pPr>
              <w:overflowPunct w:val="0"/>
              <w:autoSpaceDE w:val="0"/>
              <w:autoSpaceDN w:val="0"/>
              <w:adjustRightInd w:val="0"/>
              <w:spacing w:line="240" w:lineRule="auto"/>
              <w:ind w:hanging="110"/>
              <w:textAlignment w:val="baseline"/>
              <w:rPr>
                <w:i/>
              </w:rPr>
            </w:pPr>
            <w:r>
              <w:rPr>
                <w:b/>
                <w:i/>
              </w:rPr>
              <w:t>Kontaktinis asmuo</w:t>
            </w:r>
          </w:p>
        </w:tc>
        <w:tc>
          <w:tcPr>
            <w:tcW w:w="5670" w:type="dxa"/>
          </w:tcPr>
          <w:p w:rsidRPr="00DC121F" w:rsidR="00DC121F" w:rsidP="000E5EDB" w:rsidRDefault="00DC121F" w14:paraId="1B1D7048" w14:textId="77777777">
            <w:pPr>
              <w:overflowPunct w:val="0"/>
              <w:autoSpaceDE w:val="0"/>
              <w:autoSpaceDN w:val="0"/>
              <w:adjustRightInd w:val="0"/>
              <w:spacing w:line="240" w:lineRule="auto"/>
              <w:ind w:hanging="110"/>
              <w:textAlignment w:val="baseline"/>
              <w:rPr>
                <w:i/>
              </w:rPr>
            </w:pPr>
            <w:proofErr w:type="spellStart"/>
            <w:r>
              <w:rPr>
                <w:i/>
              </w:rPr>
              <w:t>Alice</w:t>
            </w:r>
            <w:proofErr w:type="spellEnd"/>
            <w:r>
              <w:rPr>
                <w:i/>
              </w:rPr>
              <w:t xml:space="preserve"> </w:t>
            </w:r>
            <w:proofErr w:type="spellStart"/>
            <w:r>
              <w:rPr>
                <w:i/>
              </w:rPr>
              <w:t>Tétu</w:t>
            </w:r>
            <w:proofErr w:type="spellEnd"/>
          </w:p>
        </w:tc>
      </w:tr>
      <w:tr w:rsidRPr="00DC121F" w:rsidR="00DC121F" w:rsidTr="00F655B8" w14:paraId="2F7D7C01" w14:textId="77777777">
        <w:tc>
          <w:tcPr>
            <w:tcW w:w="1418" w:type="dxa"/>
          </w:tcPr>
          <w:p w:rsidRPr="00DC121F" w:rsidR="00DC121F" w:rsidP="000E5EDB" w:rsidRDefault="00DC121F" w14:paraId="094140E7" w14:textId="77777777">
            <w:pPr>
              <w:overflowPunct w:val="0"/>
              <w:autoSpaceDE w:val="0"/>
              <w:autoSpaceDN w:val="0"/>
              <w:adjustRightInd w:val="0"/>
              <w:spacing w:line="240" w:lineRule="auto"/>
              <w:ind w:hanging="110"/>
              <w:textAlignment w:val="baseline"/>
              <w:rPr>
                <w:i/>
              </w:rPr>
            </w:pPr>
            <w:r>
              <w:rPr>
                <w:i/>
              </w:rPr>
              <w:t>Tel.</w:t>
            </w:r>
          </w:p>
        </w:tc>
        <w:tc>
          <w:tcPr>
            <w:tcW w:w="5670" w:type="dxa"/>
          </w:tcPr>
          <w:p w:rsidRPr="00DC121F" w:rsidR="00DC121F" w:rsidP="000E5EDB" w:rsidRDefault="00DC121F" w14:paraId="276381F6" w14:textId="77777777">
            <w:pPr>
              <w:overflowPunct w:val="0"/>
              <w:autoSpaceDE w:val="0"/>
              <w:autoSpaceDN w:val="0"/>
              <w:adjustRightInd w:val="0"/>
              <w:spacing w:line="240" w:lineRule="auto"/>
              <w:ind w:hanging="110"/>
              <w:textAlignment w:val="baseline"/>
              <w:rPr>
                <w:i/>
              </w:rPr>
            </w:pPr>
            <w:r>
              <w:rPr>
                <w:i/>
              </w:rPr>
              <w:t>+32 25468286</w:t>
            </w:r>
          </w:p>
        </w:tc>
      </w:tr>
      <w:tr w:rsidRPr="00DC121F" w:rsidR="00DC121F" w:rsidTr="00F655B8" w14:paraId="59D0574A" w14:textId="77777777">
        <w:tc>
          <w:tcPr>
            <w:tcW w:w="1418" w:type="dxa"/>
          </w:tcPr>
          <w:p w:rsidRPr="00DC121F" w:rsidR="00DC121F" w:rsidP="000E5EDB" w:rsidRDefault="00DC121F" w14:paraId="7C0B10B2" w14:textId="77777777">
            <w:pPr>
              <w:overflowPunct w:val="0"/>
              <w:autoSpaceDE w:val="0"/>
              <w:autoSpaceDN w:val="0"/>
              <w:adjustRightInd w:val="0"/>
              <w:spacing w:line="240" w:lineRule="auto"/>
              <w:ind w:hanging="110"/>
              <w:textAlignment w:val="baseline"/>
              <w:rPr>
                <w:i/>
              </w:rPr>
            </w:pPr>
            <w:r>
              <w:rPr>
                <w:i/>
              </w:rPr>
              <w:t>E. paštas</w:t>
            </w:r>
          </w:p>
        </w:tc>
        <w:tc>
          <w:tcPr>
            <w:tcW w:w="5670" w:type="dxa"/>
          </w:tcPr>
          <w:p w:rsidRPr="00DC121F" w:rsidR="00DC121F" w:rsidP="000E5EDB" w:rsidRDefault="002B6F40" w14:paraId="4F8C70CD" w14:textId="77777777">
            <w:pPr>
              <w:overflowPunct w:val="0"/>
              <w:autoSpaceDE w:val="0"/>
              <w:autoSpaceDN w:val="0"/>
              <w:adjustRightInd w:val="0"/>
              <w:spacing w:line="240" w:lineRule="auto"/>
              <w:ind w:hanging="110"/>
              <w:textAlignment w:val="baseline"/>
              <w:rPr>
                <w:i/>
              </w:rPr>
            </w:pPr>
            <w:hyperlink w:history="1" r:id="rId24">
              <w:r w:rsidR="00356E7D">
                <w:rPr>
                  <w:i/>
                  <w:color w:val="0000FF"/>
                  <w:u w:val="single"/>
                </w:rPr>
                <w:t>Alice.Tetu@eesc.europa.eu</w:t>
              </w:r>
            </w:hyperlink>
          </w:p>
        </w:tc>
      </w:tr>
    </w:tbl>
    <w:p w:rsidR="00DC121F" w:rsidRDefault="00DC121F" w14:paraId="02197E8B" w14:textId="77777777">
      <w:pPr>
        <w:spacing w:after="160" w:line="259" w:lineRule="auto"/>
        <w:jc w:val="left"/>
        <w:rPr>
          <w:sz w:val="16"/>
          <w:szCs w:val="16"/>
        </w:rPr>
      </w:pPr>
    </w:p>
    <w:p w:rsidR="00DC121F" w:rsidRDefault="00DC121F" w14:paraId="6AFE14EC" w14:textId="77777777">
      <w:pPr>
        <w:spacing w:after="160" w:line="259" w:lineRule="auto"/>
        <w:jc w:val="left"/>
        <w:rPr>
          <w:sz w:val="16"/>
          <w:szCs w:val="16"/>
        </w:rPr>
      </w:pPr>
      <w:r>
        <w:br w:type="page"/>
      </w:r>
    </w:p>
    <w:p w:rsidRPr="00DC121F" w:rsidR="00DC121F" w:rsidP="00235E61" w:rsidRDefault="002B6F40" w14:paraId="063ADD0E" w14:textId="14674FF4">
      <w:pPr>
        <w:widowControl w:val="0"/>
        <w:numPr>
          <w:ilvl w:val="0"/>
          <w:numId w:val="2"/>
        </w:numPr>
        <w:overflowPunct w:val="0"/>
        <w:autoSpaceDE w:val="0"/>
        <w:autoSpaceDN w:val="0"/>
        <w:adjustRightInd w:val="0"/>
        <w:ind w:hanging="567"/>
        <w:textAlignment w:val="baseline"/>
        <w:rPr>
          <w:b/>
          <w:bCs/>
          <w:i/>
          <w:iCs/>
          <w:sz w:val="28"/>
          <w:szCs w:val="28"/>
        </w:rPr>
      </w:pPr>
      <w:hyperlink w:history="1" r:id="rId25">
        <w:r w:rsidR="00356E7D">
          <w:rPr>
            <w:b/>
            <w:i/>
            <w:color w:val="0000FF"/>
            <w:sz w:val="28"/>
            <w:u w:val="single"/>
          </w:rPr>
          <w:t>Korupcija viešųjų pirkimų srityje. Vidaus rinka</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5"/>
        <w:gridCol w:w="7262"/>
      </w:tblGrid>
      <w:tr w:rsidRPr="00DC121F" w:rsidR="00DC121F" w:rsidTr="00C83487" w14:paraId="51AD98E3" w14:textId="77777777">
        <w:tc>
          <w:tcPr>
            <w:tcW w:w="1090" w:type="pct"/>
          </w:tcPr>
          <w:p w:rsidRPr="00DC121F" w:rsidR="00DC121F" w:rsidP="00DC121F" w:rsidRDefault="00DC121F" w14:paraId="60E8676D" w14:textId="77777777">
            <w:pPr>
              <w:tabs>
                <w:tab w:val="center" w:pos="284"/>
              </w:tabs>
              <w:overflowPunct w:val="0"/>
              <w:autoSpaceDE w:val="0"/>
              <w:autoSpaceDN w:val="0"/>
              <w:adjustRightInd w:val="0"/>
              <w:ind w:left="266" w:hanging="266"/>
              <w:textAlignment w:val="baseline"/>
              <w:rPr>
                <w:b/>
              </w:rPr>
            </w:pPr>
            <w:r>
              <w:rPr>
                <w:b/>
              </w:rPr>
              <w:t>Pranešėjas</w:t>
            </w:r>
          </w:p>
        </w:tc>
        <w:tc>
          <w:tcPr>
            <w:tcW w:w="3910" w:type="pct"/>
          </w:tcPr>
          <w:p w:rsidRPr="00DC121F" w:rsidR="00DC121F" w:rsidP="00DC121F" w:rsidRDefault="00DC121F" w14:paraId="4ED4B842" w14:textId="7EEA168C">
            <w:pPr>
              <w:tabs>
                <w:tab w:val="center" w:pos="0"/>
              </w:tabs>
              <w:overflowPunct w:val="0"/>
              <w:autoSpaceDE w:val="0"/>
              <w:autoSpaceDN w:val="0"/>
              <w:adjustRightInd w:val="0"/>
              <w:ind w:left="266" w:hanging="266"/>
              <w:textAlignment w:val="baseline"/>
            </w:pPr>
            <w:proofErr w:type="spellStart"/>
            <w:r>
              <w:t>José</w:t>
            </w:r>
            <w:proofErr w:type="spellEnd"/>
            <w:r>
              <w:t xml:space="preserve"> </w:t>
            </w:r>
            <w:proofErr w:type="spellStart"/>
            <w:r>
              <w:t>Antonio</w:t>
            </w:r>
            <w:proofErr w:type="spellEnd"/>
            <w:r>
              <w:t xml:space="preserve"> </w:t>
            </w:r>
            <w:proofErr w:type="spellStart"/>
            <w:r>
              <w:t>Moreno</w:t>
            </w:r>
            <w:proofErr w:type="spellEnd"/>
            <w:r>
              <w:t xml:space="preserve"> </w:t>
            </w:r>
            <w:proofErr w:type="spellStart"/>
            <w:r>
              <w:t>Díaz</w:t>
            </w:r>
            <w:proofErr w:type="spellEnd"/>
            <w:r>
              <w:t xml:space="preserve"> (Darbuotojų grupė, ES)</w:t>
            </w:r>
          </w:p>
        </w:tc>
      </w:tr>
      <w:tr w:rsidRPr="00DC121F" w:rsidR="00DC121F" w:rsidTr="00C83487" w14:paraId="5A1848FF" w14:textId="77777777">
        <w:tc>
          <w:tcPr>
            <w:tcW w:w="1090" w:type="pct"/>
          </w:tcPr>
          <w:p w:rsidRPr="00DC121F" w:rsidR="00DC121F" w:rsidP="00DC121F" w:rsidRDefault="00DC121F" w14:paraId="0BCF1F4C" w14:textId="77777777">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3910" w:type="pct"/>
          </w:tcPr>
          <w:p w:rsidRPr="00DC121F" w:rsidR="00DC121F" w:rsidP="00DC121F" w:rsidRDefault="00DC121F" w14:paraId="23F0707E" w14:textId="60F82BE9">
            <w:pPr>
              <w:tabs>
                <w:tab w:val="center" w:pos="284"/>
              </w:tabs>
              <w:overflowPunct w:val="0"/>
              <w:autoSpaceDE w:val="0"/>
              <w:autoSpaceDN w:val="0"/>
              <w:adjustRightInd w:val="0"/>
              <w:ind w:left="266" w:hanging="266"/>
              <w:textAlignment w:val="baseline"/>
            </w:pPr>
            <w:proofErr w:type="spellStart"/>
            <w:r>
              <w:t>Cristian</w:t>
            </w:r>
            <w:proofErr w:type="spellEnd"/>
            <w:r>
              <w:t xml:space="preserve"> </w:t>
            </w:r>
            <w:proofErr w:type="spellStart"/>
            <w:r>
              <w:t>Pîrvulescu</w:t>
            </w:r>
            <w:proofErr w:type="spellEnd"/>
            <w:r>
              <w:t xml:space="preserve"> (Pilietinės visuomenės organizacijų grupė, RO)</w:t>
            </w:r>
          </w:p>
        </w:tc>
      </w:tr>
      <w:tr w:rsidRPr="00DC121F" w:rsidR="00DC121F" w:rsidTr="00C83487" w14:paraId="7283DAA7" w14:textId="77777777">
        <w:tc>
          <w:tcPr>
            <w:tcW w:w="5000" w:type="pct"/>
            <w:gridSpan w:val="2"/>
          </w:tcPr>
          <w:p w:rsidRPr="00DC121F"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pPr>
          </w:p>
        </w:tc>
      </w:tr>
      <w:tr w:rsidRPr="00DC121F" w:rsidR="00DC121F" w:rsidTr="00C83487" w14:paraId="7C716C56" w14:textId="77777777">
        <w:tc>
          <w:tcPr>
            <w:tcW w:w="1090" w:type="pct"/>
            <w:vMerge w:val="restart"/>
          </w:tcPr>
          <w:p w:rsidRPr="00DC121F" w:rsidR="00DC121F" w:rsidP="00DC121F" w:rsidRDefault="00DC121F" w14:paraId="47684010" w14:textId="011503C6">
            <w:pPr>
              <w:tabs>
                <w:tab w:val="center" w:pos="284"/>
              </w:tabs>
              <w:overflowPunct w:val="0"/>
              <w:autoSpaceDE w:val="0"/>
              <w:autoSpaceDN w:val="0"/>
              <w:adjustRightInd w:val="0"/>
              <w:ind w:left="266" w:hanging="266"/>
              <w:textAlignment w:val="baseline"/>
              <w:rPr>
                <w:b/>
              </w:rPr>
            </w:pPr>
            <w:r>
              <w:rPr>
                <w:b/>
              </w:rPr>
              <w:t>Nuorodos</w:t>
            </w:r>
          </w:p>
        </w:tc>
        <w:tc>
          <w:tcPr>
            <w:tcW w:w="3910" w:type="pct"/>
          </w:tcPr>
          <w:p w:rsidRPr="00DC121F" w:rsidR="00DC121F" w:rsidP="00DC121F" w:rsidRDefault="00DC121F" w14:paraId="056E8859" w14:textId="77777777">
            <w:pPr>
              <w:tabs>
                <w:tab w:val="center" w:pos="284"/>
              </w:tabs>
              <w:overflowPunct w:val="0"/>
              <w:autoSpaceDE w:val="0"/>
              <w:autoSpaceDN w:val="0"/>
              <w:adjustRightInd w:val="0"/>
              <w:ind w:left="266" w:hanging="266"/>
              <w:textAlignment w:val="baseline"/>
            </w:pPr>
            <w:r>
              <w:t>Nuomonė savo iniciatyva</w:t>
            </w:r>
          </w:p>
        </w:tc>
      </w:tr>
      <w:tr w:rsidRPr="00DC121F" w:rsidR="00DC121F" w:rsidTr="00C83487" w14:paraId="762B2DB5" w14:textId="77777777">
        <w:tc>
          <w:tcPr>
            <w:tcW w:w="1090" w:type="pct"/>
            <w:vMerge/>
          </w:tcPr>
          <w:p w:rsidRPr="00DC121F" w:rsidR="00DC121F" w:rsidP="00DC121F" w:rsidRDefault="00DC121F" w14:paraId="26560D50" w14:textId="77777777">
            <w:pPr>
              <w:tabs>
                <w:tab w:val="center" w:pos="284"/>
              </w:tabs>
              <w:overflowPunct w:val="0"/>
              <w:autoSpaceDE w:val="0"/>
              <w:autoSpaceDN w:val="0"/>
              <w:adjustRightInd w:val="0"/>
              <w:ind w:left="266" w:hanging="266"/>
              <w:textAlignment w:val="baseline"/>
              <w:rPr>
                <w:b/>
              </w:rPr>
            </w:pPr>
          </w:p>
        </w:tc>
        <w:tc>
          <w:tcPr>
            <w:tcW w:w="3910" w:type="pct"/>
          </w:tcPr>
          <w:p w:rsidRPr="00DC121F" w:rsidR="00DC121F" w:rsidP="00DC121F" w:rsidRDefault="00DC121F" w14:paraId="4E498975" w14:textId="2BB96715">
            <w:pPr>
              <w:tabs>
                <w:tab w:val="center" w:pos="284"/>
              </w:tabs>
              <w:overflowPunct w:val="0"/>
              <w:autoSpaceDE w:val="0"/>
              <w:autoSpaceDN w:val="0"/>
              <w:adjustRightInd w:val="0"/>
              <w:ind w:left="266" w:hanging="266"/>
              <w:textAlignment w:val="baseline"/>
            </w:pPr>
            <w:r>
              <w:t>EESC-2023-01711-00-00-AC</w:t>
            </w:r>
          </w:p>
        </w:tc>
      </w:tr>
    </w:tbl>
    <w:p w:rsidRPr="00DC121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DC121F" w:rsidR="00DC121F" w:rsidP="000E5EDB" w:rsidRDefault="00DC121F" w14:paraId="29CB91C0" w14:textId="77777777">
      <w:pPr>
        <w:keepNext/>
        <w:keepLines/>
        <w:overflowPunct w:val="0"/>
        <w:autoSpaceDE w:val="0"/>
        <w:autoSpaceDN w:val="0"/>
        <w:adjustRightInd w:val="0"/>
        <w:textAlignment w:val="baseline"/>
        <w:rPr>
          <w:b/>
        </w:rPr>
      </w:pPr>
      <w:r>
        <w:rPr>
          <w:b/>
        </w:rPr>
        <w:t>Dokumento esmė</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r>
        <w:t>EESRK</w:t>
      </w:r>
    </w:p>
    <w:p w:rsidRPr="00DC121F" w:rsidR="008D47DD" w:rsidP="000E5EDB" w:rsidRDefault="008D47DD" w14:paraId="29BA8237" w14:textId="77777777">
      <w:pPr>
        <w:overflowPunct w:val="0"/>
        <w:autoSpaceDE w:val="0"/>
        <w:autoSpaceDN w:val="0"/>
        <w:adjustRightInd w:val="0"/>
        <w:ind w:firstLine="142"/>
        <w:textAlignment w:val="baseline"/>
        <w:rPr>
          <w:bCs/>
          <w:iCs/>
        </w:rPr>
      </w:pPr>
    </w:p>
    <w:p w:rsidRPr="00DC121F" w:rsidR="00DC121F" w:rsidP="000E5EDB"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mano, kad Komisija turi vėl pradėti rengti ES kovos su korupcija ataskaitą;</w:t>
      </w:r>
    </w:p>
    <w:p w:rsidRPr="00DC121F" w:rsidR="00DC121F" w:rsidP="000E5EDB"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pabrėžia, kad ES turi teikti pirmenybę viešųjų pirkimų sąžiningumo teisės aktų sistemos ir jos praktinio įgyvendinimo vertinimui, kad patikrintų, ar ši sistema atitinka kovos su korupcija poreikius;</w:t>
      </w:r>
    </w:p>
    <w:p w:rsidRPr="00DC121F" w:rsidR="00DC121F" w:rsidP="000E5EDB"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pritaria Europos Parlamento pasiūlymui, kuriuo Komisijos prašoma parengti visuotinę ES kovos su korupcija strategiją;</w:t>
      </w:r>
    </w:p>
    <w:p w:rsidRPr="00DC121F" w:rsidR="00DC121F" w:rsidP="000E5EDB"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 xml:space="preserve">mano, kad pastangos kovoti su korupcija turėtų būti geriau suderintos su pastangomis apsaugoti ir plėtoti demokratiją ES, nes korupciniais veiksmais politiniai veikėjai gali gauti neteisėtos naudos ir išteklių, kad galėtų propaguoti ir išlaikyti savo </w:t>
      </w:r>
      <w:proofErr w:type="spellStart"/>
      <w:r>
        <w:t>klientelizmu</w:t>
      </w:r>
      <w:proofErr w:type="spellEnd"/>
      <w:r>
        <w:t xml:space="preserve"> pagrįstą paramos sistemą;</w:t>
      </w:r>
    </w:p>
    <w:p w:rsidRPr="00DC121F" w:rsidR="00DC121F" w:rsidP="000E5EDB"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 xml:space="preserve">yra įsitikinęs, kad Europos viešųjų pirkimų rinka turėtų būti labiau pažengusi </w:t>
      </w:r>
      <w:proofErr w:type="spellStart"/>
      <w:r>
        <w:t>skaitmenizacijos</w:t>
      </w:r>
      <w:proofErr w:type="spellEnd"/>
      <w:r>
        <w:t xml:space="preserve"> srityje. Todėl labai svarbu, kad šio sudėtingo proceso metu Komisija nacionalinėms valdžios institucijoms ir toliau teiktų techninę paramą;</w:t>
      </w:r>
    </w:p>
    <w:p w:rsidRPr="00DC121F" w:rsidR="00DC121F" w:rsidP="000E5EDB"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mano, kad Komisija galėtų skirti daugiau dėmesio sąžiningumo paktams;</w:t>
      </w:r>
    </w:p>
    <w:p w:rsidRPr="00DC121F" w:rsidR="00DC121F" w:rsidP="000E5EDB"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mano, kad tarpvalstybinė draudimo dalyvauti tam tikrose procedūrose sistema (Europos institucijų ir (arba), nacionalinių institucijų ir (arba) privačių bankų) galėtų būti naudinga apsaugant vidaus rinką nuo netinkamo viešųjų išteklių, skirtų konkursams, panaudojimo;</w:t>
      </w:r>
    </w:p>
    <w:p w:rsidRPr="00DC121F" w:rsidR="00DC121F" w:rsidP="000E5EDB"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ragina Komisiją ir kitas ES bei nacionalines institucijas darbuotojų atstovavimą, kolektyvines derybas ir socialinį dialogą laikyti pagrindinėmis priemonėmis siekiant, kad kova su korupcija būtų veiksminga visais lygmenimis;</w:t>
      </w:r>
    </w:p>
    <w:p w:rsidRPr="00DC121F" w:rsidR="00DC121F" w:rsidP="000E5EDB"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ragina visas įmones ir (arba) darbdavių asociacijas ir socialinius partnerius aktyviai siekti sąžiningumo kultūros ir laikytis geriausių nacionalinio ir tarptautinio lygmens standartų;</w:t>
      </w:r>
    </w:p>
    <w:p w:rsidRPr="00DC121F" w:rsidR="00DC121F" w:rsidP="000E5EDB"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r>
        <w:t>tikisi, kad ES kovos su korupcija tinklas bus oficialiai įtvirtintas ir plėtojamas, ir yra pasirengęs dalyvauti jo veikloje.</w:t>
      </w:r>
    </w:p>
    <w:p w:rsidRPr="00DC121F" w:rsidR="00DC121F" w:rsidP="00DC121F" w:rsidRDefault="00DC121F" w14:paraId="657DE2A3" w14:textId="77777777">
      <w:pPr>
        <w:widowControl w:val="0"/>
        <w:overflowPunct w:val="0"/>
        <w:autoSpaceDE w:val="0"/>
        <w:autoSpaceDN w:val="0"/>
        <w:adjustRightInd w:val="0"/>
        <w:ind w:left="709"/>
        <w:textAlignment w:val="baseline"/>
        <w:rPr>
          <w:szCs w:val="20"/>
        </w:rPr>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C121F" w:rsidR="00DC121F" w:rsidTr="00F655B8" w14:paraId="2DF0CC51" w14:textId="77777777">
        <w:tc>
          <w:tcPr>
            <w:tcW w:w="1556" w:type="pct"/>
          </w:tcPr>
          <w:p w:rsidRPr="00DC121F" w:rsidR="00DC121F" w:rsidP="00DC121F" w:rsidRDefault="00DC121F" w14:paraId="296C78BC"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DC121F" w:rsidR="00DC121F" w:rsidP="00DC121F" w:rsidRDefault="00DC121F" w14:paraId="41607EE4"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DC121F" w:rsidR="00DC121F" w:rsidTr="00F655B8" w14:paraId="31B6AD67" w14:textId="77777777">
        <w:tc>
          <w:tcPr>
            <w:tcW w:w="1556" w:type="pct"/>
          </w:tcPr>
          <w:p w:rsidRPr="00DC121F" w:rsidR="00DC121F" w:rsidP="00DC121F" w:rsidRDefault="00DC121F" w14:paraId="09DB10F4" w14:textId="77777777">
            <w:pPr>
              <w:overflowPunct w:val="0"/>
              <w:autoSpaceDE w:val="0"/>
              <w:autoSpaceDN w:val="0"/>
              <w:adjustRightInd w:val="0"/>
              <w:spacing w:line="240" w:lineRule="auto"/>
              <w:textAlignment w:val="baseline"/>
              <w:rPr>
                <w:i/>
              </w:rPr>
            </w:pPr>
            <w:r>
              <w:rPr>
                <w:i/>
              </w:rPr>
              <w:t>Tel.</w:t>
            </w:r>
          </w:p>
        </w:tc>
        <w:tc>
          <w:tcPr>
            <w:tcW w:w="3444" w:type="pct"/>
          </w:tcPr>
          <w:p w:rsidRPr="00DC121F" w:rsidR="00DC121F" w:rsidP="00DC121F" w:rsidRDefault="00DC121F" w14:paraId="342605BB" w14:textId="77777777">
            <w:pPr>
              <w:overflowPunct w:val="0"/>
              <w:autoSpaceDE w:val="0"/>
              <w:autoSpaceDN w:val="0"/>
              <w:adjustRightInd w:val="0"/>
              <w:spacing w:line="240" w:lineRule="auto"/>
              <w:textAlignment w:val="baseline"/>
              <w:rPr>
                <w:i/>
              </w:rPr>
            </w:pPr>
            <w:r>
              <w:rPr>
                <w:i/>
              </w:rPr>
              <w:t>+32 25468188</w:t>
            </w:r>
          </w:p>
        </w:tc>
      </w:tr>
      <w:tr w:rsidRPr="00DC121F" w:rsidR="00DC121F" w:rsidTr="00F655B8" w14:paraId="6FA14657" w14:textId="77777777">
        <w:tc>
          <w:tcPr>
            <w:tcW w:w="1556" w:type="pct"/>
          </w:tcPr>
          <w:p w:rsidRPr="00DC121F" w:rsidR="00DC121F" w:rsidP="00DC121F" w:rsidRDefault="00DC121F" w14:paraId="4827136C" w14:textId="77777777">
            <w:pPr>
              <w:overflowPunct w:val="0"/>
              <w:autoSpaceDE w:val="0"/>
              <w:autoSpaceDN w:val="0"/>
              <w:adjustRightInd w:val="0"/>
              <w:spacing w:line="240" w:lineRule="auto"/>
              <w:textAlignment w:val="baseline"/>
              <w:rPr>
                <w:i/>
              </w:rPr>
            </w:pPr>
            <w:r>
              <w:rPr>
                <w:i/>
              </w:rPr>
              <w:t>E. paštas</w:t>
            </w:r>
          </w:p>
        </w:tc>
        <w:tc>
          <w:tcPr>
            <w:tcW w:w="3444" w:type="pct"/>
          </w:tcPr>
          <w:p w:rsidRPr="00DC121F" w:rsidR="00DC121F" w:rsidP="00DC121F" w:rsidRDefault="002B6F40" w14:paraId="1E20E942" w14:textId="77777777">
            <w:pPr>
              <w:overflowPunct w:val="0"/>
              <w:autoSpaceDE w:val="0"/>
              <w:autoSpaceDN w:val="0"/>
              <w:adjustRightInd w:val="0"/>
              <w:spacing w:line="240" w:lineRule="auto"/>
              <w:textAlignment w:val="baseline"/>
              <w:rPr>
                <w:i/>
              </w:rPr>
            </w:pPr>
            <w:hyperlink w:history="1" r:id="rId26">
              <w:r w:rsidR="00356E7D">
                <w:rPr>
                  <w:i/>
                  <w:color w:val="0000FF"/>
                  <w:u w:val="single"/>
                </w:rPr>
                <w:t>Radoslava.Stefankova@eesc.europa.eu</w:t>
              </w:r>
            </w:hyperlink>
          </w:p>
        </w:tc>
      </w:tr>
    </w:tbl>
    <w:p w:rsidR="00DC121F" w:rsidRDefault="00DC121F" w14:paraId="6771E726" w14:textId="77777777">
      <w:pPr>
        <w:spacing w:after="160" w:line="259" w:lineRule="auto"/>
        <w:jc w:val="left"/>
        <w:rPr>
          <w:sz w:val="16"/>
          <w:szCs w:val="16"/>
        </w:rPr>
      </w:pPr>
    </w:p>
    <w:p w:rsidR="00DC121F" w:rsidRDefault="00DC121F" w14:paraId="5D51C906" w14:textId="77777777">
      <w:pPr>
        <w:spacing w:after="160" w:line="259" w:lineRule="auto"/>
        <w:jc w:val="left"/>
        <w:rPr>
          <w:sz w:val="16"/>
          <w:szCs w:val="16"/>
        </w:rPr>
      </w:pPr>
      <w:r>
        <w:br w:type="page"/>
      </w:r>
    </w:p>
    <w:p w:rsidRPr="002D31E3" w:rsidR="001B6246" w:rsidP="000E5EDB" w:rsidRDefault="002B6F40" w14:paraId="05EC8D79" w14:textId="2DF322C2">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7">
        <w:r w:rsidR="00356E7D">
          <w:rPr>
            <w:b/>
            <w:i/>
            <w:color w:val="0000FF"/>
            <w:sz w:val="28"/>
            <w:u w:val="single"/>
          </w:rPr>
          <w:t>Kova su skurdu ir socialine atskirtimi išnaudojant socialinės ekonomikos galią ir socialines bei ekonomines inovacijas</w:t>
        </w:r>
      </w:hyperlink>
    </w:p>
    <w:p w:rsidRPr="001B6246"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6"/>
        <w:gridCol w:w="7355"/>
      </w:tblGrid>
      <w:tr w:rsidRPr="001B6246" w:rsidR="001B6246" w:rsidTr="000E5EDB" w14:paraId="6F5A37B1" w14:textId="77777777">
        <w:trPr>
          <w:trHeight w:val="265"/>
        </w:trPr>
        <w:tc>
          <w:tcPr>
            <w:tcW w:w="1668" w:type="dxa"/>
          </w:tcPr>
          <w:p w:rsidRPr="001B6246" w:rsidR="001B6246" w:rsidP="001B6246" w:rsidRDefault="001B6246" w14:paraId="05A5F6CE" w14:textId="77777777">
            <w:pPr>
              <w:tabs>
                <w:tab w:val="center" w:pos="284"/>
              </w:tabs>
              <w:overflowPunct w:val="0"/>
              <w:autoSpaceDE w:val="0"/>
              <w:autoSpaceDN w:val="0"/>
              <w:adjustRightInd w:val="0"/>
              <w:ind w:left="266" w:hanging="266"/>
              <w:textAlignment w:val="baseline"/>
              <w:rPr>
                <w:b/>
              </w:rPr>
            </w:pPr>
            <w:r>
              <w:rPr>
                <w:b/>
              </w:rPr>
              <w:t>Pranešėjas</w:t>
            </w:r>
          </w:p>
        </w:tc>
        <w:tc>
          <w:tcPr>
            <w:tcW w:w="7403" w:type="dxa"/>
          </w:tcPr>
          <w:p w:rsidRPr="001B6246" w:rsidR="001B6246" w:rsidP="001B6246" w:rsidRDefault="001B6246" w14:paraId="4AF9E1DA" w14:textId="63894304">
            <w:pPr>
              <w:tabs>
                <w:tab w:val="center" w:pos="284"/>
              </w:tabs>
              <w:overflowPunct w:val="0"/>
              <w:autoSpaceDE w:val="0"/>
              <w:autoSpaceDN w:val="0"/>
              <w:adjustRightInd w:val="0"/>
              <w:ind w:left="266" w:hanging="266"/>
              <w:textAlignment w:val="baseline"/>
            </w:pPr>
            <w:proofErr w:type="spellStart"/>
            <w:r>
              <w:t>Alain</w:t>
            </w:r>
            <w:proofErr w:type="spellEnd"/>
            <w:r>
              <w:t xml:space="preserve"> </w:t>
            </w:r>
            <w:proofErr w:type="spellStart"/>
            <w:r>
              <w:t>Coheur</w:t>
            </w:r>
            <w:proofErr w:type="spellEnd"/>
            <w:r>
              <w:t xml:space="preserve"> (Pilietinės visuomenės organizacijų grupė, BE)</w:t>
            </w:r>
          </w:p>
        </w:tc>
      </w:tr>
      <w:tr w:rsidRPr="001B6246" w:rsidR="001B6246" w:rsidTr="000E5EDB" w14:paraId="64849DFE" w14:textId="77777777">
        <w:trPr>
          <w:trHeight w:val="265"/>
        </w:trPr>
        <w:tc>
          <w:tcPr>
            <w:tcW w:w="1668" w:type="dxa"/>
          </w:tcPr>
          <w:p w:rsidRPr="001B6246" w:rsidR="001B6246" w:rsidP="000E5EDB" w:rsidRDefault="001B6246" w14:paraId="731776C9" w14:textId="23DCE8CA">
            <w:pPr>
              <w:tabs>
                <w:tab w:val="center" w:pos="457"/>
              </w:tabs>
              <w:overflowPunct w:val="0"/>
              <w:autoSpaceDE w:val="0"/>
              <w:autoSpaceDN w:val="0"/>
              <w:adjustRightInd w:val="0"/>
              <w:ind w:left="266" w:hanging="266"/>
              <w:textAlignment w:val="baseline"/>
              <w:rPr>
                <w:b/>
              </w:rPr>
            </w:pPr>
            <w:proofErr w:type="spellStart"/>
            <w:r>
              <w:rPr>
                <w:b/>
              </w:rPr>
              <w:t>Bendrapranešėjis</w:t>
            </w:r>
            <w:proofErr w:type="spellEnd"/>
          </w:p>
        </w:tc>
        <w:tc>
          <w:tcPr>
            <w:tcW w:w="7403" w:type="dxa"/>
          </w:tcPr>
          <w:p w:rsidRPr="001B6246" w:rsidR="001B6246" w:rsidP="001B6246" w:rsidRDefault="001B6246" w14:paraId="18CF51DF" w14:textId="6CDB5C48">
            <w:pPr>
              <w:tabs>
                <w:tab w:val="center" w:pos="284"/>
              </w:tabs>
              <w:overflowPunct w:val="0"/>
              <w:autoSpaceDE w:val="0"/>
              <w:autoSpaceDN w:val="0"/>
              <w:adjustRightInd w:val="0"/>
              <w:ind w:left="266" w:hanging="266"/>
              <w:textAlignment w:val="baseline"/>
            </w:pPr>
            <w:proofErr w:type="spellStart"/>
            <w:r>
              <w:t>Ferre</w:t>
            </w:r>
            <w:proofErr w:type="spellEnd"/>
            <w:r>
              <w:t xml:space="preserve"> </w:t>
            </w:r>
            <w:proofErr w:type="spellStart"/>
            <w:r>
              <w:t>Wyckmans</w:t>
            </w:r>
            <w:proofErr w:type="spellEnd"/>
            <w:r>
              <w:t xml:space="preserve"> (Darbuotojų grupė, BE)</w:t>
            </w:r>
          </w:p>
        </w:tc>
      </w:tr>
      <w:tr w:rsidRPr="001B6246" w:rsidR="001B6246" w:rsidTr="000E5EDB" w14:paraId="5C65FF20" w14:textId="77777777">
        <w:trPr>
          <w:trHeight w:val="289"/>
        </w:trPr>
        <w:tc>
          <w:tcPr>
            <w:tcW w:w="1668" w:type="dxa"/>
            <w:vMerge w:val="restart"/>
          </w:tcPr>
          <w:p w:rsidRPr="001B6246" w:rsidR="001B6246" w:rsidP="001B6246" w:rsidRDefault="001B6246" w14:paraId="4EAE0C23" w14:textId="77777777">
            <w:pPr>
              <w:tabs>
                <w:tab w:val="center" w:pos="284"/>
              </w:tabs>
              <w:overflowPunct w:val="0"/>
              <w:autoSpaceDE w:val="0"/>
              <w:autoSpaceDN w:val="0"/>
              <w:adjustRightInd w:val="0"/>
              <w:ind w:left="266" w:hanging="266"/>
              <w:textAlignment w:val="baseline"/>
              <w:rPr>
                <w:b/>
              </w:rPr>
            </w:pPr>
            <w:r>
              <w:rPr>
                <w:b/>
              </w:rPr>
              <w:t>Nuorodos</w:t>
            </w:r>
          </w:p>
        </w:tc>
        <w:tc>
          <w:tcPr>
            <w:tcW w:w="7403" w:type="dxa"/>
          </w:tcPr>
          <w:p w:rsidRPr="001B6246" w:rsidR="001B6246" w:rsidP="001B6246" w:rsidRDefault="001B6246" w14:paraId="06148604" w14:textId="7286F780">
            <w:pPr>
              <w:tabs>
                <w:tab w:val="center" w:pos="284"/>
              </w:tabs>
              <w:overflowPunct w:val="0"/>
              <w:autoSpaceDE w:val="0"/>
              <w:autoSpaceDN w:val="0"/>
              <w:adjustRightInd w:val="0"/>
              <w:ind w:left="266" w:hanging="266"/>
              <w:textAlignment w:val="baseline"/>
            </w:pPr>
            <w:r>
              <w:t>Tiriamoji nuomonė ES Tarybai pirmininkaujančios Belgijos prašymu</w:t>
            </w:r>
          </w:p>
        </w:tc>
      </w:tr>
      <w:tr w:rsidRPr="001B6246" w:rsidR="001B6246" w:rsidTr="000E5EDB" w14:paraId="03109D9C" w14:textId="77777777">
        <w:trPr>
          <w:trHeight w:val="289"/>
        </w:trPr>
        <w:tc>
          <w:tcPr>
            <w:tcW w:w="1668" w:type="dxa"/>
            <w:vMerge/>
          </w:tcPr>
          <w:p w:rsidRPr="001B6246" w:rsidR="001B6246" w:rsidP="001B6246" w:rsidRDefault="001B6246" w14:paraId="4FF946E4" w14:textId="77777777">
            <w:pPr>
              <w:tabs>
                <w:tab w:val="center" w:pos="284"/>
              </w:tabs>
              <w:overflowPunct w:val="0"/>
              <w:autoSpaceDE w:val="0"/>
              <w:autoSpaceDN w:val="0"/>
              <w:adjustRightInd w:val="0"/>
              <w:ind w:left="266" w:hanging="266"/>
              <w:textAlignment w:val="baseline"/>
              <w:rPr>
                <w:b/>
              </w:rPr>
            </w:pPr>
          </w:p>
        </w:tc>
        <w:tc>
          <w:tcPr>
            <w:tcW w:w="7403" w:type="dxa"/>
          </w:tcPr>
          <w:p w:rsidRPr="001B6246" w:rsidR="001B6246" w:rsidP="001B6246" w:rsidRDefault="001B6246" w14:paraId="2921719F" w14:textId="77777777">
            <w:pPr>
              <w:tabs>
                <w:tab w:val="center" w:pos="284"/>
              </w:tabs>
              <w:overflowPunct w:val="0"/>
              <w:autoSpaceDE w:val="0"/>
              <w:autoSpaceDN w:val="0"/>
              <w:adjustRightInd w:val="0"/>
              <w:ind w:left="266" w:hanging="266"/>
              <w:textAlignment w:val="baseline"/>
            </w:pPr>
            <w:r>
              <w:t>EESC-2023-04016-00-00-AC</w:t>
            </w:r>
          </w:p>
        </w:tc>
      </w:tr>
    </w:tbl>
    <w:p w:rsidRPr="001B6246"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Pr>
          <w:b/>
        </w:rPr>
        <w:t>Dokumento esmė</w:t>
      </w:r>
    </w:p>
    <w:p w:rsidRPr="001B6246"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6A9D80EB" w14:textId="77777777">
      <w:pPr>
        <w:overflowPunct w:val="0"/>
        <w:autoSpaceDE w:val="0"/>
        <w:autoSpaceDN w:val="0"/>
        <w:adjustRightInd w:val="0"/>
        <w:textAlignment w:val="baseline"/>
        <w:rPr>
          <w:bCs/>
          <w:iCs/>
        </w:rPr>
      </w:pPr>
      <w:r>
        <w:t>EESRK</w:t>
      </w:r>
    </w:p>
    <w:p w:rsidRPr="001B6246" w:rsidR="001B6246" w:rsidP="001B6246" w:rsidRDefault="001B6246" w14:paraId="3767A54B" w14:textId="77777777">
      <w:pPr>
        <w:overflowPunct w:val="0"/>
        <w:autoSpaceDE w:val="0"/>
        <w:autoSpaceDN w:val="0"/>
        <w:adjustRightInd w:val="0"/>
        <w:textAlignment w:val="baseline"/>
        <w:rPr>
          <w:bCs/>
          <w:iCs/>
        </w:rPr>
      </w:pPr>
    </w:p>
    <w:p w:rsidRPr="001B6246" w:rsidR="001B6246" w:rsidP="000E5EDB"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r>
        <w:t>ragina Europos Komisiją toliau įgyvendinti savo socialinės ekonomikos veiksmų planą, 2025 m. jį įvertinti, kad būtų galima parengti naują veiksmų planą, aktyviai padėti valstybėms narėms įgyvendinti rekomendaciją ir aiškiai integruoti socialinę ekonomiką ir socialinių inovacijų politiką į kitą Komisijos darbo programą;</w:t>
      </w:r>
    </w:p>
    <w:p w:rsidRPr="001B6246" w:rsidR="001B6246" w:rsidP="000E5EDB"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pasisako už tvirtą teritorinį požiūrį, kuris apimtų regionus ir savivaldybes, įtraukiant įvairius suinteresuotuosius subjektus į socialinės ekonomikos plėtojimo politiką. Valdžios institucijų paskatomis galima stiprinti vietos plėtrą, perkelti gamybos priemones, kurti darbo vietas, kurių negalima perkelti, skatinti ekonominės veiklos vykdytojų bendradarbiavimą ir sukurti motyvuojančią ekosistemą, kurioje kartu veiktų asociacijos, savitarpio pagalbos draugijos, kooperatyvai, tradicinės įmonės, bankų sektoriaus investuotojai, pilietinė visuomenė, akademinė bendruomenė ir kt.;</w:t>
      </w:r>
    </w:p>
    <w:p w:rsidRPr="001B6246" w:rsidR="001B6246" w:rsidP="000E5EDB"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ragina Europos Komisiją užtikrinti, kad jos socialinių inovacijų iniciatyvose būtų laikomasi kompleksinio požiūrio ir būtų įtraukti įvairūs tradicinių ir socialinės ekonomikos įmonių dalyviai, taip pat apimtų aplinkos ir socialines perspektyvas;</w:t>
      </w:r>
    </w:p>
    <w:p w:rsidRPr="001B6246" w:rsidR="001B6246" w:rsidP="000E5EDB"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r>
        <w:t>ragina Komisiją įtraukti socialinę ekonomiką ir socialines inovacijas į iniciatyvų, kurių ji imsis rengdama savo prognozavimo ataskaitoje numatytas veiksmų kryptis, programą, kad padidintų visų pirma moterų dalyvavimą darbo rinkoje. Tebėra iššūkis padidinti ir kitų pažeidžiamų gyventojų grupių dalyvavimą: neįgaliųjų, jaunimo, kitų nepakankamai atstovaujamų ar atskirtį patiriančių grupių, kurioms priklausantys asmenys nedirba, nedalyvauja švietimo ir mokymo programose arba gyvena itin skurdžiai.</w:t>
      </w:r>
      <w:r>
        <w:noBreakHyphen/>
      </w:r>
    </w:p>
    <w:p w:rsidRPr="001B6246" w:rsidR="001B6246" w:rsidP="001B6246" w:rsidRDefault="001B6246" w14:paraId="0DB34D8E"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B6246" w:rsidR="001B6246" w:rsidTr="00F655B8" w14:paraId="4815605B" w14:textId="77777777">
        <w:tc>
          <w:tcPr>
            <w:tcW w:w="1418" w:type="dxa"/>
          </w:tcPr>
          <w:p w:rsidRPr="001B6246" w:rsidR="001B6246" w:rsidP="001B6246" w:rsidRDefault="001B6246" w14:paraId="32B2F0B1"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1B6246" w:rsidR="001B6246" w:rsidP="001B6246" w:rsidRDefault="001B6246" w14:paraId="15C8814F" w14:textId="6E5DC0F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1B6246" w:rsidR="001B6246" w:rsidTr="00F655B8" w14:paraId="7129E52D" w14:textId="77777777">
        <w:tc>
          <w:tcPr>
            <w:tcW w:w="1418" w:type="dxa"/>
          </w:tcPr>
          <w:p w:rsidRPr="001B6246" w:rsidR="001B6246" w:rsidP="001B6246" w:rsidRDefault="001B6246" w14:paraId="771E66C9" w14:textId="77777777">
            <w:pPr>
              <w:overflowPunct w:val="0"/>
              <w:autoSpaceDE w:val="0"/>
              <w:autoSpaceDN w:val="0"/>
              <w:adjustRightInd w:val="0"/>
              <w:spacing w:line="240" w:lineRule="auto"/>
              <w:textAlignment w:val="baseline"/>
              <w:rPr>
                <w:i/>
              </w:rPr>
            </w:pPr>
            <w:r>
              <w:rPr>
                <w:i/>
              </w:rPr>
              <w:t>Tel.</w:t>
            </w:r>
          </w:p>
        </w:tc>
        <w:tc>
          <w:tcPr>
            <w:tcW w:w="5670" w:type="dxa"/>
          </w:tcPr>
          <w:p w:rsidRPr="001B6246" w:rsidR="001B6246" w:rsidP="001B6246" w:rsidRDefault="001B6246" w14:paraId="645A2427" w14:textId="77777777">
            <w:pPr>
              <w:overflowPunct w:val="0"/>
              <w:autoSpaceDE w:val="0"/>
              <w:autoSpaceDN w:val="0"/>
              <w:adjustRightInd w:val="0"/>
              <w:spacing w:line="240" w:lineRule="auto"/>
              <w:textAlignment w:val="baseline"/>
              <w:rPr>
                <w:i/>
              </w:rPr>
            </w:pPr>
            <w:r>
              <w:rPr>
                <w:i/>
              </w:rPr>
              <w:t>+32 25469732</w:t>
            </w:r>
          </w:p>
        </w:tc>
      </w:tr>
      <w:tr w:rsidRPr="001B6246" w:rsidR="001B6246" w:rsidTr="00F655B8" w14:paraId="565DBDCE" w14:textId="77777777">
        <w:tc>
          <w:tcPr>
            <w:tcW w:w="1418" w:type="dxa"/>
          </w:tcPr>
          <w:p w:rsidRPr="001B6246" w:rsidR="001B6246" w:rsidP="001B6246" w:rsidRDefault="001B6246" w14:paraId="6F49D699" w14:textId="77777777">
            <w:pPr>
              <w:overflowPunct w:val="0"/>
              <w:autoSpaceDE w:val="0"/>
              <w:autoSpaceDN w:val="0"/>
              <w:adjustRightInd w:val="0"/>
              <w:spacing w:line="240" w:lineRule="auto"/>
              <w:textAlignment w:val="baseline"/>
              <w:rPr>
                <w:i/>
              </w:rPr>
            </w:pPr>
            <w:r>
              <w:rPr>
                <w:i/>
              </w:rPr>
              <w:t>E. paštas</w:t>
            </w:r>
          </w:p>
        </w:tc>
        <w:tc>
          <w:tcPr>
            <w:tcW w:w="5670" w:type="dxa"/>
          </w:tcPr>
          <w:p w:rsidRPr="001B6246" w:rsidR="001B6246" w:rsidP="001B6246" w:rsidRDefault="002B6F40" w14:paraId="7EBA911B" w14:textId="77777777">
            <w:pPr>
              <w:overflowPunct w:val="0"/>
              <w:autoSpaceDE w:val="0"/>
              <w:autoSpaceDN w:val="0"/>
              <w:adjustRightInd w:val="0"/>
              <w:spacing w:line="240" w:lineRule="auto"/>
              <w:textAlignment w:val="baseline"/>
              <w:rPr>
                <w:i/>
                <w:iCs/>
              </w:rPr>
            </w:pPr>
            <w:hyperlink w:history="1" r:id="rId28">
              <w:r w:rsidR="00356E7D">
                <w:rPr>
                  <w:i/>
                  <w:color w:val="0000FF"/>
                  <w:u w:val="single"/>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br w:type="page"/>
      </w:r>
    </w:p>
    <w:p w:rsidRPr="00235E61" w:rsidR="00235E61" w:rsidP="00235E61" w:rsidRDefault="002B6F40" w14:paraId="363F7C4B" w14:textId="3D900A1C">
      <w:pPr>
        <w:widowControl w:val="0"/>
        <w:numPr>
          <w:ilvl w:val="0"/>
          <w:numId w:val="2"/>
        </w:numPr>
        <w:overflowPunct w:val="0"/>
        <w:autoSpaceDE w:val="0"/>
        <w:autoSpaceDN w:val="0"/>
        <w:adjustRightInd w:val="0"/>
        <w:ind w:hanging="567"/>
        <w:textAlignment w:val="baseline"/>
        <w:rPr>
          <w:sz w:val="20"/>
          <w:szCs w:val="20"/>
        </w:rPr>
      </w:pPr>
      <w:hyperlink w:tgtFrame="_blank" w:history="1" r:id="rId29">
        <w:r w:rsidR="00356E7D">
          <w:rPr>
            <w:b/>
            <w:i/>
            <w:color w:val="0000FF"/>
            <w:sz w:val="28"/>
            <w:u w:val="single"/>
          </w:rPr>
          <w:t>Europos inovacijų testavimas nepalankiausiomis sąlygomis</w:t>
        </w:r>
      </w:hyperlink>
      <w:r w:rsidR="00356E7D">
        <w:rPr>
          <w:b/>
          <w:i/>
          <w:sz w:val="28"/>
        </w:rPr>
        <w:t xml:space="preserve"> </w:t>
      </w:r>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7"/>
      </w:tblGrid>
      <w:tr w:rsidRPr="00235E61" w:rsidR="00235E61" w:rsidTr="006221F1" w14:paraId="2A9F4C74" w14:textId="77777777">
        <w:tc>
          <w:tcPr>
            <w:tcW w:w="1107" w:type="pct"/>
          </w:tcPr>
          <w:p w:rsidRPr="00235E61" w:rsidR="00235E61" w:rsidP="00235E61" w:rsidRDefault="00235E61" w14:paraId="00B2F3C3" w14:textId="77777777">
            <w:pPr>
              <w:tabs>
                <w:tab w:val="center" w:pos="284"/>
              </w:tabs>
              <w:overflowPunct w:val="0"/>
              <w:autoSpaceDE w:val="0"/>
              <w:autoSpaceDN w:val="0"/>
              <w:adjustRightInd w:val="0"/>
              <w:ind w:left="266" w:hanging="266"/>
              <w:textAlignment w:val="baseline"/>
              <w:rPr>
                <w:b/>
              </w:rPr>
            </w:pPr>
            <w:r>
              <w:rPr>
                <w:b/>
              </w:rPr>
              <w:t>Pranešėjas</w:t>
            </w:r>
          </w:p>
        </w:tc>
        <w:tc>
          <w:tcPr>
            <w:tcW w:w="3893" w:type="pct"/>
          </w:tcPr>
          <w:p w:rsidRPr="00235E61" w:rsidR="00235E61" w:rsidP="00235E61" w:rsidRDefault="00235E61" w14:paraId="6C3E3C61" w14:textId="77777777">
            <w:pPr>
              <w:tabs>
                <w:tab w:val="center" w:pos="0"/>
              </w:tabs>
              <w:overflowPunct w:val="0"/>
              <w:autoSpaceDE w:val="0"/>
              <w:autoSpaceDN w:val="0"/>
              <w:adjustRightInd w:val="0"/>
              <w:ind w:left="266" w:hanging="266"/>
              <w:textAlignment w:val="baseline"/>
            </w:pPr>
            <w:proofErr w:type="spellStart"/>
            <w:r>
              <w:t>Olivier</w:t>
            </w:r>
            <w:proofErr w:type="spellEnd"/>
            <w:r>
              <w:t xml:space="preserve"> Joris (Darbdavių </w:t>
            </w:r>
            <w:proofErr w:type="spellStart"/>
            <w:r>
              <w:t>gr</w:t>
            </w:r>
            <w:proofErr w:type="spellEnd"/>
            <w:r>
              <w:t>., BE)</w:t>
            </w:r>
          </w:p>
        </w:tc>
      </w:tr>
      <w:tr w:rsidRPr="00235E61" w:rsidR="00235E61" w:rsidTr="006221F1" w14:paraId="340DF8AC" w14:textId="77777777">
        <w:tc>
          <w:tcPr>
            <w:tcW w:w="5000" w:type="pct"/>
            <w:gridSpan w:val="2"/>
          </w:tcPr>
          <w:p w:rsidRPr="00235E61"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pPr>
          </w:p>
        </w:tc>
      </w:tr>
      <w:tr w:rsidRPr="00235E61" w:rsidR="00235E61" w:rsidTr="006221F1" w14:paraId="5EB3A03E" w14:textId="77777777">
        <w:tc>
          <w:tcPr>
            <w:tcW w:w="1107" w:type="pct"/>
            <w:vMerge w:val="restart"/>
          </w:tcPr>
          <w:p w:rsidRPr="00235E61" w:rsidR="00235E61" w:rsidP="00235E61" w:rsidRDefault="00235E61" w14:paraId="1709B388" w14:textId="77777777">
            <w:pPr>
              <w:tabs>
                <w:tab w:val="center" w:pos="284"/>
              </w:tabs>
              <w:overflowPunct w:val="0"/>
              <w:autoSpaceDE w:val="0"/>
              <w:autoSpaceDN w:val="0"/>
              <w:adjustRightInd w:val="0"/>
              <w:ind w:left="266" w:hanging="266"/>
              <w:textAlignment w:val="baseline"/>
              <w:rPr>
                <w:b/>
              </w:rPr>
            </w:pPr>
            <w:r>
              <w:rPr>
                <w:b/>
              </w:rPr>
              <w:t>Nuoroda</w:t>
            </w:r>
          </w:p>
        </w:tc>
        <w:tc>
          <w:tcPr>
            <w:tcW w:w="3893" w:type="pct"/>
          </w:tcPr>
          <w:p w:rsidRPr="00235E61" w:rsidR="00235E61" w:rsidP="00C83487" w:rsidRDefault="00235E61" w14:paraId="2CDE140A" w14:textId="59E0AF5C">
            <w:pPr>
              <w:tabs>
                <w:tab w:val="center" w:pos="284"/>
              </w:tabs>
              <w:overflowPunct w:val="0"/>
              <w:autoSpaceDE w:val="0"/>
              <w:autoSpaceDN w:val="0"/>
              <w:adjustRightInd w:val="0"/>
              <w:ind w:left="266" w:right="-107" w:hanging="266"/>
              <w:textAlignment w:val="baseline"/>
            </w:pPr>
            <w:r>
              <w:t>Tiriamoji nuomonė ES Tarybai pirmininkaujančios Belgijos prašymu</w:t>
            </w:r>
          </w:p>
        </w:tc>
      </w:tr>
      <w:tr w:rsidRPr="00235E61" w:rsidR="00235E61" w:rsidTr="006221F1" w14:paraId="73786E77" w14:textId="77777777">
        <w:tc>
          <w:tcPr>
            <w:tcW w:w="1107" w:type="pct"/>
            <w:vMerge/>
          </w:tcPr>
          <w:p w:rsidRPr="00235E61" w:rsidR="00235E61" w:rsidP="00235E61" w:rsidRDefault="00235E61" w14:paraId="2C1757D8" w14:textId="77777777">
            <w:pPr>
              <w:tabs>
                <w:tab w:val="center" w:pos="284"/>
              </w:tabs>
              <w:overflowPunct w:val="0"/>
              <w:autoSpaceDE w:val="0"/>
              <w:autoSpaceDN w:val="0"/>
              <w:adjustRightInd w:val="0"/>
              <w:ind w:left="266" w:hanging="266"/>
              <w:textAlignment w:val="baseline"/>
              <w:rPr>
                <w:b/>
              </w:rPr>
            </w:pPr>
          </w:p>
        </w:tc>
        <w:tc>
          <w:tcPr>
            <w:tcW w:w="3893" w:type="pct"/>
          </w:tcPr>
          <w:p w:rsidRPr="00235E61" w:rsidR="00235E61" w:rsidP="00235E61" w:rsidRDefault="00C83487" w14:paraId="1691D3D6" w14:textId="0C090076">
            <w:pPr>
              <w:tabs>
                <w:tab w:val="center" w:pos="284"/>
              </w:tabs>
              <w:overflowPunct w:val="0"/>
              <w:autoSpaceDE w:val="0"/>
              <w:autoSpaceDN w:val="0"/>
              <w:adjustRightInd w:val="0"/>
              <w:ind w:left="266" w:hanging="266"/>
              <w:textAlignment w:val="baseline"/>
            </w:pPr>
            <w:r>
              <w:t>EESC-2023-03692-00-00-AC</w:t>
            </w:r>
          </w:p>
        </w:tc>
      </w:tr>
    </w:tbl>
    <w:p w:rsidRPr="00235E61" w:rsidR="00235E61" w:rsidP="000E5EDB" w:rsidRDefault="00235E61" w14:paraId="6E32AE22" w14:textId="77777777">
      <w:pPr>
        <w:keepNext/>
        <w:keepLines/>
        <w:overflowPunct w:val="0"/>
        <w:autoSpaceDE w:val="0"/>
        <w:autoSpaceDN w:val="0"/>
        <w:adjustRightInd w:val="0"/>
        <w:textAlignment w:val="baseline"/>
        <w:rPr>
          <w:b/>
        </w:rPr>
      </w:pPr>
      <w:r>
        <w:rPr>
          <w:b/>
        </w:rPr>
        <w:t>Dokumento esmė</w:t>
      </w:r>
    </w:p>
    <w:p w:rsidRPr="00235E61"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sz w:val="20"/>
          <w:szCs w:val="20"/>
        </w:rPr>
      </w:pPr>
    </w:p>
    <w:p w:rsidRPr="00235E61" w:rsidR="00235E61" w:rsidRDefault="00235E61" w14:paraId="612C7EDA" w14:textId="77777777">
      <w:pPr>
        <w:overflowPunct w:val="0"/>
        <w:autoSpaceDE w:val="0"/>
        <w:autoSpaceDN w:val="0"/>
        <w:adjustRightInd w:val="0"/>
        <w:textAlignment w:val="baseline"/>
        <w:rPr>
          <w:bCs/>
          <w:iCs/>
        </w:rPr>
      </w:pPr>
      <w:r>
        <w:t>EESRK</w:t>
      </w:r>
    </w:p>
    <w:p w:rsidRPr="00235E61" w:rsidR="00235E61" w:rsidP="00235E61" w:rsidRDefault="00235E61" w14:paraId="030B4D5C" w14:textId="77777777">
      <w:pPr>
        <w:overflowPunct w:val="0"/>
        <w:autoSpaceDE w:val="0"/>
        <w:autoSpaceDN w:val="0"/>
        <w:adjustRightInd w:val="0"/>
        <w:textAlignment w:val="baseline"/>
        <w:rPr>
          <w:bCs/>
          <w:iCs/>
          <w:sz w:val="20"/>
          <w:szCs w:val="20"/>
        </w:rPr>
      </w:pPr>
    </w:p>
    <w:p w:rsidRPr="00235E61" w:rsidR="00235E61" w:rsidP="000E5EDB" w:rsidRDefault="00235E61" w14:paraId="63A385EE" w14:textId="77777777">
      <w:pPr>
        <w:numPr>
          <w:ilvl w:val="0"/>
          <w:numId w:val="37"/>
        </w:numPr>
        <w:overflowPunct w:val="0"/>
        <w:autoSpaceDE w:val="0"/>
        <w:autoSpaceDN w:val="0"/>
        <w:adjustRightInd w:val="0"/>
        <w:ind w:left="567" w:hanging="567"/>
        <w:textAlignment w:val="baseline"/>
        <w:rPr>
          <w:iCs/>
        </w:rPr>
      </w:pPr>
      <w:r>
        <w:t xml:space="preserve">Rekomenduoja dabartinei ir būsimai Europos Komisijai </w:t>
      </w:r>
      <w:r>
        <w:rPr>
          <w:b/>
        </w:rPr>
        <w:t>vertinant kiekvieną naują teisės aktą ir politikos iniciatyvą atlikti naują inovacijų testavimą nepalankiausiomis sąlygomis</w:t>
      </w:r>
      <w: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r>
        <w:t>siūlo į inovacijų testavimą nepalankiausiomis sąlygomis įtraukti toliau nurodytus dešimt pagrindinių reikalavimų.</w:t>
      </w:r>
    </w:p>
    <w:p w:rsidRPr="00235E61" w:rsidR="00235E61" w:rsidP="006221F1" w:rsidRDefault="00235E61" w14:paraId="1355EE8E" w14:textId="4CAE8943">
      <w:pPr>
        <w:overflowPunct w:val="0"/>
        <w:autoSpaceDE w:val="0"/>
        <w:autoSpaceDN w:val="0"/>
        <w:adjustRightInd w:val="0"/>
        <w:ind w:left="567"/>
        <w:textAlignment w:val="baseline"/>
        <w:rPr>
          <w:iCs/>
        </w:rPr>
      </w:pPr>
      <w:r>
        <w:t>Ar nauju teisės aktu ir (arba) politikos iniciatyva:</w:t>
      </w:r>
    </w:p>
    <w:p w:rsidRPr="00235E61" w:rsidR="00235E61" w:rsidP="000E5EDB" w:rsidRDefault="00235E61" w14:paraId="62AD8810" w14:textId="77777777">
      <w:pPr>
        <w:numPr>
          <w:ilvl w:val="0"/>
          <w:numId w:val="29"/>
        </w:numPr>
        <w:overflowPunct w:val="0"/>
        <w:autoSpaceDE w:val="0"/>
        <w:autoSpaceDN w:val="0"/>
        <w:adjustRightInd w:val="0"/>
        <w:ind w:left="993" w:hanging="426"/>
        <w:textAlignment w:val="baseline"/>
      </w:pPr>
      <w:r>
        <w:t>apsaugomi vartotojai ir aplinka, taip pat ar pripažįstamas inovacijų poreikis, kad būtų sudarytos sąlygos ES žaliajai ir skaitmeninei pertvarkai siekiant tvarumo, ar padedama kurti daugiau ir geresnių darbo vietų ir skatinti ekonomiką? (Taip)</w:t>
      </w:r>
    </w:p>
    <w:p w:rsidRPr="00235E61" w:rsidR="00235E61" w:rsidP="000E5EDB" w:rsidRDefault="00235E61" w14:paraId="3649BCC8" w14:textId="77777777">
      <w:pPr>
        <w:numPr>
          <w:ilvl w:val="0"/>
          <w:numId w:val="29"/>
        </w:numPr>
        <w:overflowPunct w:val="0"/>
        <w:autoSpaceDE w:val="0"/>
        <w:autoSpaceDN w:val="0"/>
        <w:adjustRightInd w:val="0"/>
        <w:ind w:left="993" w:hanging="426"/>
        <w:textAlignment w:val="baseline"/>
      </w:pPr>
      <w:r>
        <w:t>užtikrinamas bendras politikos formavimas, kad esama ir būsima politika būtų įgyvendinama taip, kad būtų kuriamas investuotojų pasitikėjimas ir skatinamos inovacijos, tačiau nebūtų sudaromos kliūtys tolesnėms ir naujoms investicijoms į inovacijas ES? (Taip)</w:t>
      </w:r>
    </w:p>
    <w:p w:rsidRPr="00235E61" w:rsidR="00235E61" w:rsidP="000E5EDB" w:rsidRDefault="00235E61" w14:paraId="45DC1EDF" w14:textId="77777777">
      <w:pPr>
        <w:numPr>
          <w:ilvl w:val="0"/>
          <w:numId w:val="29"/>
        </w:numPr>
        <w:overflowPunct w:val="0"/>
        <w:autoSpaceDE w:val="0"/>
        <w:autoSpaceDN w:val="0"/>
        <w:adjustRightInd w:val="0"/>
        <w:ind w:left="993" w:hanging="426"/>
        <w:textAlignment w:val="baseline"/>
      </w:pPr>
      <w:r>
        <w:t>užtikrinamas aiškus novatorių ir investuotojų supratimas? (Taip)</w:t>
      </w:r>
    </w:p>
    <w:p w:rsidRPr="00235E61" w:rsidR="00235E61" w:rsidP="000E5EDB" w:rsidRDefault="00235E61" w14:paraId="28991F2A" w14:textId="77777777">
      <w:pPr>
        <w:numPr>
          <w:ilvl w:val="0"/>
          <w:numId w:val="29"/>
        </w:numPr>
        <w:overflowPunct w:val="0"/>
        <w:autoSpaceDE w:val="0"/>
        <w:autoSpaceDN w:val="0"/>
        <w:adjustRightInd w:val="0"/>
        <w:ind w:left="993" w:hanging="426"/>
        <w:textAlignment w:val="baseline"/>
      </w:pPr>
      <w:r>
        <w:t>laikomasi Europos Komisijos geresnio reglamentavimo priemonių rinkinio reikalavimų? (Taip)</w:t>
      </w:r>
    </w:p>
    <w:p w:rsidRPr="00235E61" w:rsidR="00235E61" w:rsidP="000E5EDB" w:rsidRDefault="00235E61" w14:paraId="154D530B" w14:textId="77777777">
      <w:pPr>
        <w:numPr>
          <w:ilvl w:val="0"/>
          <w:numId w:val="29"/>
        </w:numPr>
        <w:overflowPunct w:val="0"/>
        <w:autoSpaceDE w:val="0"/>
        <w:autoSpaceDN w:val="0"/>
        <w:adjustRightInd w:val="0"/>
        <w:ind w:left="993" w:hanging="426"/>
        <w:textAlignment w:val="baseline"/>
      </w:pPr>
      <w:r>
        <w:t xml:space="preserve">aktyviai konsultuojamasi su visais </w:t>
      </w:r>
      <w:proofErr w:type="spellStart"/>
      <w:r>
        <w:t>inovatoriais</w:t>
      </w:r>
      <w:proofErr w:type="spellEnd"/>
      <w:r>
        <w:t xml:space="preserve"> ir investuotojais ir ar jie įtraukiami – pradedant </w:t>
      </w:r>
      <w:proofErr w:type="spellStart"/>
      <w:r>
        <w:t>startuoliais</w:t>
      </w:r>
      <w:proofErr w:type="spellEnd"/>
      <w:r>
        <w:t xml:space="preserve"> ir baigiant tarptautinėmis organizacijomis, siekiant užtikrinti, kad politika netyčia dabar ar ateityje nesumažintų investuotojų pasitikėjimo investuoti ar toliau investuoti į ES inovacijas? (Taip)</w:t>
      </w:r>
    </w:p>
    <w:p w:rsidRPr="00235E61" w:rsidR="00235E61" w:rsidP="000E5EDB" w:rsidRDefault="00235E61" w14:paraId="52779D18" w14:textId="77777777">
      <w:pPr>
        <w:numPr>
          <w:ilvl w:val="0"/>
          <w:numId w:val="29"/>
        </w:numPr>
        <w:overflowPunct w:val="0"/>
        <w:autoSpaceDE w:val="0"/>
        <w:autoSpaceDN w:val="0"/>
        <w:adjustRightInd w:val="0"/>
        <w:ind w:left="993" w:hanging="426"/>
        <w:textAlignment w:val="baseline"/>
      </w:pPr>
      <w:r>
        <w:t>pripažįstamas teisėtas susirūpinimas dėl galimų interesų konfliktų ir užtikrinamas skaidrumas šiais klausimais visiems proceso dalyviams, įskaitant politikos formuotojus, viešąjį ir privatųjį sektorius bei pilietinę visuomenę? (Taip)</w:t>
      </w:r>
    </w:p>
    <w:p w:rsidRPr="00235E61" w:rsidR="00235E61" w:rsidP="000E5EDB" w:rsidRDefault="00235E61" w14:paraId="51D2823A" w14:textId="77777777">
      <w:pPr>
        <w:numPr>
          <w:ilvl w:val="0"/>
          <w:numId w:val="29"/>
        </w:numPr>
        <w:overflowPunct w:val="0"/>
        <w:autoSpaceDE w:val="0"/>
        <w:autoSpaceDN w:val="0"/>
        <w:adjustRightInd w:val="0"/>
        <w:ind w:left="993" w:hanging="426"/>
        <w:textAlignment w:val="baseline"/>
      </w:pPr>
      <w:r>
        <w:t>atsižvelgiama į geriausius turimus ir naujausius mokslinius įrodymus? (Taip)</w:t>
      </w:r>
    </w:p>
    <w:p w:rsidRPr="00235E61" w:rsidR="00235E61" w:rsidP="000E5EDB" w:rsidRDefault="00235E61" w14:paraId="13DAC31D" w14:textId="77777777">
      <w:pPr>
        <w:numPr>
          <w:ilvl w:val="0"/>
          <w:numId w:val="29"/>
        </w:numPr>
        <w:overflowPunct w:val="0"/>
        <w:autoSpaceDE w:val="0"/>
        <w:autoSpaceDN w:val="0"/>
        <w:adjustRightInd w:val="0"/>
        <w:ind w:left="993" w:hanging="426"/>
        <w:textAlignment w:val="baseline"/>
      </w:pPr>
      <w:r>
        <w:t>nebūtų neigiamai paveiktas inovacijoms, moksliniams tyrimams ir plėtrai reikalingų įgūdžių, žmogiškojo kapitalo ir švietimo prieinamumas? (Ne)</w:t>
      </w:r>
    </w:p>
    <w:p w:rsidRPr="00235E61" w:rsidR="00235E61" w:rsidP="000E5EDB" w:rsidRDefault="00235E61" w14:paraId="4A7BF36B" w14:textId="77777777">
      <w:pPr>
        <w:numPr>
          <w:ilvl w:val="0"/>
          <w:numId w:val="29"/>
        </w:numPr>
        <w:overflowPunct w:val="0"/>
        <w:autoSpaceDE w:val="0"/>
        <w:autoSpaceDN w:val="0"/>
        <w:adjustRightInd w:val="0"/>
        <w:ind w:left="993" w:hanging="426"/>
        <w:textAlignment w:val="baseline"/>
      </w:pPr>
      <w:r>
        <w:t>būtų imamasi veiksmų, dėl kurių būtų nesilaikoma lyčių pusiausvyros? (Ne)</w:t>
      </w:r>
    </w:p>
    <w:p w:rsidRPr="00235E61" w:rsidR="00235E61" w:rsidP="000E5EDB" w:rsidRDefault="00235E61" w14:paraId="10363F71" w14:textId="77777777">
      <w:pPr>
        <w:numPr>
          <w:ilvl w:val="0"/>
          <w:numId w:val="29"/>
        </w:numPr>
        <w:overflowPunct w:val="0"/>
        <w:autoSpaceDE w:val="0"/>
        <w:autoSpaceDN w:val="0"/>
        <w:adjustRightInd w:val="0"/>
        <w:ind w:left="993" w:hanging="426"/>
        <w:textAlignment w:val="baseline"/>
      </w:pPr>
      <w:r>
        <w:t>prieštaraujama esamoms ar būsimoms mokesčių paskatoms inovacijoms arba moksliniams tyrimams ir plėtrai Europoje? (Ne)</w:t>
      </w:r>
    </w:p>
    <w:p w:rsidRPr="00235E61" w:rsidR="00235E61" w:rsidP="00235E61" w:rsidRDefault="00235E61" w14:paraId="0C2C974A" w14:textId="77777777">
      <w:pPr>
        <w:widowControl w:val="0"/>
        <w:overflowPunct w:val="0"/>
        <w:autoSpaceDE w:val="0"/>
        <w:autoSpaceDN w:val="0"/>
        <w:adjustRightInd w:val="0"/>
        <w:ind w:left="709"/>
        <w:textAlignment w:val="baseline"/>
        <w:rPr>
          <w:sz w:val="20"/>
          <w:szCs w:val="18"/>
        </w:rPr>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5E61" w:rsidR="00235E61" w:rsidTr="00F655B8" w14:paraId="4B488F4B" w14:textId="77777777">
        <w:tc>
          <w:tcPr>
            <w:tcW w:w="1556" w:type="pct"/>
          </w:tcPr>
          <w:p w:rsidRPr="00235E61" w:rsidR="00235E61" w:rsidP="00235E61" w:rsidRDefault="00235E61" w14:paraId="25B49F11"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235E61" w:rsidR="00235E61" w:rsidP="00235E61" w:rsidRDefault="00235E61" w14:paraId="1D4716F6" w14:textId="4D842A4B">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235E61" w:rsidR="00235E61" w:rsidTr="00F655B8" w14:paraId="6E02A708" w14:textId="77777777">
        <w:tc>
          <w:tcPr>
            <w:tcW w:w="1556" w:type="pct"/>
          </w:tcPr>
          <w:p w:rsidRPr="00235E61" w:rsidR="00235E61" w:rsidP="00235E61" w:rsidRDefault="00235E61" w14:paraId="39AE055E" w14:textId="77777777">
            <w:pPr>
              <w:overflowPunct w:val="0"/>
              <w:autoSpaceDE w:val="0"/>
              <w:autoSpaceDN w:val="0"/>
              <w:adjustRightInd w:val="0"/>
              <w:spacing w:line="240" w:lineRule="auto"/>
              <w:textAlignment w:val="baseline"/>
              <w:rPr>
                <w:i/>
              </w:rPr>
            </w:pPr>
            <w:r>
              <w:rPr>
                <w:i/>
              </w:rPr>
              <w:t>Tel.</w:t>
            </w:r>
          </w:p>
        </w:tc>
        <w:tc>
          <w:tcPr>
            <w:tcW w:w="3444" w:type="pct"/>
          </w:tcPr>
          <w:p w:rsidRPr="00235E61" w:rsidR="00235E61" w:rsidP="00235E61" w:rsidRDefault="00235E61" w14:paraId="6410A7CF" w14:textId="77777777">
            <w:pPr>
              <w:overflowPunct w:val="0"/>
              <w:autoSpaceDE w:val="0"/>
              <w:autoSpaceDN w:val="0"/>
              <w:adjustRightInd w:val="0"/>
              <w:spacing w:line="240" w:lineRule="auto"/>
              <w:textAlignment w:val="baseline"/>
              <w:rPr>
                <w:i/>
              </w:rPr>
            </w:pPr>
            <w:r>
              <w:rPr>
                <w:i/>
              </w:rPr>
              <w:t>+32 25469140</w:t>
            </w:r>
          </w:p>
        </w:tc>
      </w:tr>
      <w:tr w:rsidRPr="00235E61" w:rsidR="00235E61" w:rsidTr="00F655B8" w14:paraId="1F9FE480" w14:textId="77777777">
        <w:tc>
          <w:tcPr>
            <w:tcW w:w="1556" w:type="pct"/>
          </w:tcPr>
          <w:p w:rsidRPr="00235E61" w:rsidR="00235E61" w:rsidP="00235E61" w:rsidRDefault="00C94208" w14:paraId="76CEE141" w14:textId="1BB43870">
            <w:pPr>
              <w:overflowPunct w:val="0"/>
              <w:autoSpaceDE w:val="0"/>
              <w:autoSpaceDN w:val="0"/>
              <w:adjustRightInd w:val="0"/>
              <w:spacing w:line="240" w:lineRule="auto"/>
              <w:textAlignment w:val="baseline"/>
              <w:rPr>
                <w:i/>
              </w:rPr>
            </w:pPr>
            <w:r>
              <w:rPr>
                <w:i/>
              </w:rPr>
              <w:t>E. paštas</w:t>
            </w:r>
          </w:p>
        </w:tc>
        <w:tc>
          <w:tcPr>
            <w:tcW w:w="3444" w:type="pct"/>
          </w:tcPr>
          <w:p w:rsidRPr="00235E61" w:rsidR="00235E61" w:rsidP="00235E61" w:rsidRDefault="002B6F40" w14:paraId="32AFDC36" w14:textId="64AA67A0">
            <w:pPr>
              <w:overflowPunct w:val="0"/>
              <w:autoSpaceDE w:val="0"/>
              <w:autoSpaceDN w:val="0"/>
              <w:adjustRightInd w:val="0"/>
              <w:spacing w:line="240" w:lineRule="auto"/>
              <w:textAlignment w:val="baseline"/>
              <w:rPr>
                <w:i/>
              </w:rPr>
            </w:pPr>
            <w:hyperlink w:history="1" r:id="rId30">
              <w:r w:rsidR="00356E7D">
                <w:rPr>
                  <w:i/>
                  <w:color w:val="0000FF"/>
                  <w:u w:val="single"/>
                </w:rPr>
                <w:t>Marco.Manfroni@eesc.europa.eu</w:t>
              </w:r>
            </w:hyperlink>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br w:type="page"/>
      </w:r>
    </w:p>
    <w:p w:rsidRPr="00DE6659" w:rsidR="00DE6659" w:rsidP="00DE6659" w:rsidRDefault="002B6F40" w14:paraId="1283701A" w14:textId="67F4B8F0">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356E7D">
          <w:rPr>
            <w:b/>
            <w:i/>
            <w:color w:val="0000FF"/>
            <w:sz w:val="28"/>
            <w:u w:val="single"/>
          </w:rPr>
          <w:t>Europos tarpvalstybinės asociacijos</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DE6659" w:rsidR="00DE6659" w:rsidTr="00F655B8" w14:paraId="34929BB7" w14:textId="77777777">
        <w:tc>
          <w:tcPr>
            <w:tcW w:w="1148" w:type="pct"/>
          </w:tcPr>
          <w:p w:rsidRPr="00DE6659" w:rsidR="00DE6659" w:rsidP="00DE6659" w:rsidRDefault="00DE6659" w14:paraId="0C847690" w14:textId="77777777">
            <w:pPr>
              <w:tabs>
                <w:tab w:val="center" w:pos="284"/>
              </w:tabs>
              <w:overflowPunct w:val="0"/>
              <w:autoSpaceDE w:val="0"/>
              <w:autoSpaceDN w:val="0"/>
              <w:adjustRightInd w:val="0"/>
              <w:ind w:left="266" w:hanging="266"/>
              <w:textAlignment w:val="baseline"/>
              <w:rPr>
                <w:b/>
              </w:rPr>
            </w:pPr>
            <w:r>
              <w:rPr>
                <w:b/>
              </w:rPr>
              <w:t>Pranešėjas</w:t>
            </w:r>
          </w:p>
        </w:tc>
        <w:tc>
          <w:tcPr>
            <w:tcW w:w="3852" w:type="pct"/>
          </w:tcPr>
          <w:p w:rsidRPr="00DE6659" w:rsidR="00DE6659" w:rsidP="00DE6659" w:rsidRDefault="00DE6659" w14:paraId="50C51A66" w14:textId="77777777">
            <w:pPr>
              <w:tabs>
                <w:tab w:val="center" w:pos="0"/>
              </w:tabs>
              <w:overflowPunct w:val="0"/>
              <w:autoSpaceDE w:val="0"/>
              <w:autoSpaceDN w:val="0"/>
              <w:adjustRightInd w:val="0"/>
              <w:ind w:left="266" w:hanging="266"/>
              <w:textAlignment w:val="baseline"/>
            </w:pPr>
            <w:proofErr w:type="spellStart"/>
            <w:r>
              <w:t>Giuseppe</w:t>
            </w:r>
            <w:proofErr w:type="spellEnd"/>
            <w:r>
              <w:t xml:space="preserve"> </w:t>
            </w:r>
            <w:proofErr w:type="spellStart"/>
            <w:r>
              <w:t>Guerini</w:t>
            </w:r>
            <w:proofErr w:type="spellEnd"/>
            <w:r>
              <w:t xml:space="preserve"> (Pilietinės visuomenės organizacijų grupė, IT)</w:t>
            </w:r>
          </w:p>
        </w:tc>
      </w:tr>
      <w:tr w:rsidRPr="00DE6659" w:rsidR="00DE6659" w:rsidTr="00F655B8" w14:paraId="17BB29BA" w14:textId="77777777">
        <w:tc>
          <w:tcPr>
            <w:tcW w:w="5000" w:type="pct"/>
            <w:gridSpan w:val="2"/>
          </w:tcPr>
          <w:p w:rsidRPr="00DE6659"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pPr>
          </w:p>
        </w:tc>
      </w:tr>
      <w:tr w:rsidRPr="00DE6659" w:rsidR="00DE6659" w:rsidTr="00F655B8" w14:paraId="7E7707AA" w14:textId="77777777">
        <w:tc>
          <w:tcPr>
            <w:tcW w:w="1148" w:type="pct"/>
            <w:vMerge w:val="restart"/>
          </w:tcPr>
          <w:p w:rsidRPr="00DE6659" w:rsidR="00DE6659" w:rsidP="00DE6659" w:rsidRDefault="00DE6659" w14:paraId="023C8E87" w14:textId="77777777">
            <w:pPr>
              <w:tabs>
                <w:tab w:val="center" w:pos="284"/>
              </w:tabs>
              <w:overflowPunct w:val="0"/>
              <w:autoSpaceDE w:val="0"/>
              <w:autoSpaceDN w:val="0"/>
              <w:adjustRightInd w:val="0"/>
              <w:ind w:left="266" w:hanging="266"/>
              <w:textAlignment w:val="baseline"/>
              <w:rPr>
                <w:b/>
              </w:rPr>
            </w:pPr>
            <w:r>
              <w:rPr>
                <w:b/>
              </w:rPr>
              <w:t>Nuorodos</w:t>
            </w:r>
          </w:p>
        </w:tc>
        <w:tc>
          <w:tcPr>
            <w:tcW w:w="3852" w:type="pct"/>
          </w:tcPr>
          <w:p w:rsidRPr="00DE6659" w:rsidR="00DE6659" w:rsidP="00DE6659" w:rsidRDefault="00DE6659" w14:paraId="68348F3B" w14:textId="3267B5EA">
            <w:pPr>
              <w:tabs>
                <w:tab w:val="center" w:pos="284"/>
              </w:tabs>
              <w:overflowPunct w:val="0"/>
              <w:autoSpaceDE w:val="0"/>
              <w:autoSpaceDN w:val="0"/>
              <w:adjustRightInd w:val="0"/>
              <w:ind w:left="266" w:hanging="266"/>
              <w:textAlignment w:val="baseline"/>
            </w:pPr>
            <w:r>
              <w:t xml:space="preserve">COM(2023) 515 </w:t>
            </w:r>
            <w:proofErr w:type="spellStart"/>
            <w:r>
              <w:t>final</w:t>
            </w:r>
            <w:proofErr w:type="spellEnd"/>
          </w:p>
          <w:p w:rsidRPr="00DE6659" w:rsidR="00DE6659" w:rsidP="00DE6659" w:rsidRDefault="00DE6659" w14:paraId="4367C17F" w14:textId="4FBAACF8">
            <w:pPr>
              <w:tabs>
                <w:tab w:val="center" w:pos="284"/>
              </w:tabs>
              <w:overflowPunct w:val="0"/>
              <w:autoSpaceDE w:val="0"/>
              <w:autoSpaceDN w:val="0"/>
              <w:adjustRightInd w:val="0"/>
              <w:ind w:left="266" w:hanging="266"/>
              <w:textAlignment w:val="baseline"/>
            </w:pPr>
            <w:r>
              <w:t xml:space="preserve">COM(2023) 516 </w:t>
            </w:r>
            <w:proofErr w:type="spellStart"/>
            <w:r>
              <w:t>final</w:t>
            </w:r>
            <w:proofErr w:type="spellEnd"/>
          </w:p>
        </w:tc>
      </w:tr>
      <w:tr w:rsidRPr="00DE6659" w:rsidR="00DE6659" w:rsidTr="00F655B8" w14:paraId="245B9DBF" w14:textId="77777777">
        <w:tc>
          <w:tcPr>
            <w:tcW w:w="1148" w:type="pct"/>
            <w:vMerge/>
          </w:tcPr>
          <w:p w:rsidRPr="00DE6659" w:rsidR="00DE6659" w:rsidP="00DE6659" w:rsidRDefault="00DE6659" w14:paraId="376DFF7E" w14:textId="77777777">
            <w:pPr>
              <w:tabs>
                <w:tab w:val="center" w:pos="284"/>
              </w:tabs>
              <w:overflowPunct w:val="0"/>
              <w:autoSpaceDE w:val="0"/>
              <w:autoSpaceDN w:val="0"/>
              <w:adjustRightInd w:val="0"/>
              <w:ind w:left="266" w:hanging="266"/>
              <w:textAlignment w:val="baseline"/>
              <w:rPr>
                <w:b/>
              </w:rPr>
            </w:pPr>
          </w:p>
        </w:tc>
        <w:tc>
          <w:tcPr>
            <w:tcW w:w="3852" w:type="pct"/>
          </w:tcPr>
          <w:p w:rsidRPr="00DE6659" w:rsidR="00DE6659" w:rsidP="00DE6659" w:rsidRDefault="00DE6659" w14:paraId="11EF4CA2" w14:textId="478A9390">
            <w:pPr>
              <w:tabs>
                <w:tab w:val="center" w:pos="284"/>
              </w:tabs>
              <w:overflowPunct w:val="0"/>
              <w:autoSpaceDE w:val="0"/>
              <w:autoSpaceDN w:val="0"/>
              <w:adjustRightInd w:val="0"/>
              <w:ind w:left="266" w:hanging="266"/>
              <w:textAlignment w:val="baseline"/>
            </w:pPr>
            <w:r>
              <w:t>EESC-2023-04411-00-00-AC</w:t>
            </w:r>
          </w:p>
        </w:tc>
      </w:tr>
    </w:tbl>
    <w:p w:rsidRPr="00DE6659"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DE6659"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r>
        <w:t>EESRK</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0E5EDB"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palankiai vertina Europos Komisijos pasiūlymą palengvinti ne pelno asociacijų tarpvalstybinę veiklą ES sukuriant naują teisinę formą „Europos tarpvalstybinė asociacija; siūlo teisės aktų leidėjams kuo greičiau ją priimti;</w:t>
      </w:r>
    </w:p>
    <w:p w:rsidRPr="00DE6659" w:rsidR="00DE6659" w:rsidP="000E5EDB"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pripažįsta sunkumus, su kuriais susiduria ne pelno asociacijos ir ne pelno organizacijos, dalyvaudamos vidaus rinkoje, ir rekomenduoja Komisijai ir valstybėms narėms pašalinti teisines ir administracines kliūtis, taip skatinant šių asociacijų vaidmenį ES kuriant ekonominę ir socialinę vertę;</w:t>
      </w:r>
    </w:p>
    <w:p w:rsidRPr="00DE6659" w:rsidR="00DE6659" w:rsidP="000E5EDB"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pripažįsta ne pelno organizacijų potencialą bendrosios rinkos kontekste ir primena, kad reikia skatinti kurti Europos ne pelno organizacijų ekosistemą, kad bendroji rinka taptų socialiniu požiūriu stipresnė;</w:t>
      </w:r>
    </w:p>
    <w:p w:rsidRPr="00DE6659" w:rsidR="00DE6659" w:rsidP="000E5EDB"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palankiai vertina Komisijos pasiūlymą į valstybių narių nacionalines teisines sistemas įtraukti papildomą Europos tarpvalstybinės asociacijos teisinę formą, kad būtų sumažinta teisinė ir administracinė našta, susijusi su ne pelno asociacijų, vykdančių veiklą kitoje valstybėje narėje, pripažinimu ir steigimu;</w:t>
      </w:r>
    </w:p>
    <w:p w:rsidRPr="00DE6659" w:rsidR="00DE6659" w:rsidP="000E5EDB"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siūlo, kad visos organizacijos, kurios atitinka Europos tarpvalstybinės asociacijos kriterijus ir kurių registruota buveinė yra Europos Sąjungoje, galėtų įgyti Europos tarpvalstybinės asociacijos statusą. Tai apima organizacijas, kurių vykdomojo organo nariai yra fiziniai asmenys, gyvenantys ES nepriklausančiose šalyse ir ypač Europos ekonominės erdvės šalyse;</w:t>
      </w:r>
    </w:p>
    <w:p w:rsidRPr="00DE6659" w:rsidR="00DE6659" w:rsidP="000E5EDB"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rekomenduoja, laikantis demokratijos ir asociacijų laisvės principų, palikti laisvę pačioms asociacijoms ir jų nariams savo įstatuose nustatyti narystės asociacijose tipus ir balsavimo teisės išraišką;</w:t>
      </w:r>
    </w:p>
    <w:p w:rsidRPr="00DE6659" w:rsidR="00DE6659" w:rsidP="000E5EDB"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t>remia ir palankiai vertina Europos tarpvalstybinės asociacijos pažymėjimo sukūrimą, kuris leis pripažinti šią naują teisinę formą visoje Sąjungoje, kai tokia asociacija bus užregistruota valstybėje narėje, tačiau rekomenduoja tobulinti klasifikavimo ir registravimo sistemas sukuriant palyginamas duomenų bazes.</w:t>
      </w:r>
    </w:p>
    <w:p w:rsidRPr="00DE6659" w:rsidR="00DE6659" w:rsidP="00C83487" w:rsidRDefault="00DE6659" w14:paraId="06A72892" w14:textId="77777777">
      <w:pPr>
        <w:widowControl w:val="0"/>
        <w:overflowPunct w:val="0"/>
        <w:autoSpaceDE w:val="0"/>
        <w:autoSpaceDN w:val="0"/>
        <w:adjustRightInd w:val="0"/>
        <w:ind w:left="567" w:hanging="567"/>
        <w:textAlignment w:val="baseline"/>
        <w:rPr>
          <w:szCs w:val="20"/>
        </w:rPr>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E6659" w:rsidR="00DE6659" w:rsidTr="00F655B8" w14:paraId="1391A80B" w14:textId="77777777">
        <w:tc>
          <w:tcPr>
            <w:tcW w:w="1556" w:type="pct"/>
          </w:tcPr>
          <w:p w:rsidRPr="00DE6659" w:rsidR="00DE6659" w:rsidP="00DE6659" w:rsidRDefault="00DE6659" w14:paraId="55CC11E0"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DE6659" w:rsidR="00DE6659" w:rsidP="00DE6659" w:rsidRDefault="00DE6659" w14:paraId="10D697FE" w14:textId="77777777">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Pr="00DE6659" w:rsidR="00DE6659" w:rsidTr="00F655B8" w14:paraId="6D422E7E" w14:textId="77777777">
        <w:tc>
          <w:tcPr>
            <w:tcW w:w="1556" w:type="pct"/>
          </w:tcPr>
          <w:p w:rsidRPr="00DE6659" w:rsidR="00DE6659" w:rsidP="00DE6659" w:rsidRDefault="00DE6659" w14:paraId="55E86D62" w14:textId="77777777">
            <w:pPr>
              <w:overflowPunct w:val="0"/>
              <w:autoSpaceDE w:val="0"/>
              <w:autoSpaceDN w:val="0"/>
              <w:adjustRightInd w:val="0"/>
              <w:spacing w:line="240" w:lineRule="auto"/>
              <w:textAlignment w:val="baseline"/>
              <w:rPr>
                <w:i/>
              </w:rPr>
            </w:pPr>
            <w:r>
              <w:rPr>
                <w:i/>
              </w:rPr>
              <w:t>Tel.</w:t>
            </w:r>
          </w:p>
        </w:tc>
        <w:tc>
          <w:tcPr>
            <w:tcW w:w="3444" w:type="pct"/>
          </w:tcPr>
          <w:p w:rsidRPr="00DE6659" w:rsidR="00DE6659" w:rsidP="00DE6659" w:rsidRDefault="00DE6659" w14:paraId="50B93C11" w14:textId="77777777">
            <w:pPr>
              <w:overflowPunct w:val="0"/>
              <w:autoSpaceDE w:val="0"/>
              <w:autoSpaceDN w:val="0"/>
              <w:adjustRightInd w:val="0"/>
              <w:spacing w:line="240" w:lineRule="auto"/>
              <w:textAlignment w:val="baseline"/>
              <w:rPr>
                <w:i/>
              </w:rPr>
            </w:pPr>
            <w:r>
              <w:rPr>
                <w:i/>
              </w:rPr>
              <w:t>+32 25469732</w:t>
            </w:r>
          </w:p>
        </w:tc>
      </w:tr>
      <w:tr w:rsidRPr="00DE6659" w:rsidR="00DE6659" w:rsidTr="00F655B8" w14:paraId="7DD77C04" w14:textId="77777777">
        <w:tc>
          <w:tcPr>
            <w:tcW w:w="1556" w:type="pct"/>
          </w:tcPr>
          <w:p w:rsidRPr="00DE6659" w:rsidR="00DE6659" w:rsidP="00DE6659" w:rsidRDefault="00DE6659" w14:paraId="1EFE7B35" w14:textId="77777777">
            <w:pPr>
              <w:overflowPunct w:val="0"/>
              <w:autoSpaceDE w:val="0"/>
              <w:autoSpaceDN w:val="0"/>
              <w:adjustRightInd w:val="0"/>
              <w:spacing w:line="240" w:lineRule="auto"/>
              <w:textAlignment w:val="baseline"/>
              <w:rPr>
                <w:i/>
              </w:rPr>
            </w:pPr>
            <w:r>
              <w:rPr>
                <w:i/>
              </w:rPr>
              <w:t>E. paštas</w:t>
            </w:r>
          </w:p>
        </w:tc>
        <w:tc>
          <w:tcPr>
            <w:tcW w:w="3444" w:type="pct"/>
          </w:tcPr>
          <w:p w:rsidRPr="00DE6659" w:rsidR="00DE6659" w:rsidP="00DE6659" w:rsidRDefault="002B6F40" w14:paraId="23C9553B" w14:textId="77777777">
            <w:pPr>
              <w:overflowPunct w:val="0"/>
              <w:autoSpaceDE w:val="0"/>
              <w:autoSpaceDN w:val="0"/>
              <w:adjustRightInd w:val="0"/>
              <w:spacing w:line="240" w:lineRule="auto"/>
              <w:textAlignment w:val="baseline"/>
              <w:rPr>
                <w:i/>
              </w:rPr>
            </w:pPr>
            <w:hyperlink w:history="1" r:id="rId32">
              <w:r w:rsidR="00356E7D">
                <w:rPr>
                  <w:i/>
                  <w:color w:val="0000FF"/>
                  <w:u w:val="single"/>
                </w:rPr>
                <w:t>Annalisa.Tessarolo@eesc.europa.eu</w:t>
              </w:r>
            </w:hyperlink>
          </w:p>
        </w:tc>
      </w:tr>
    </w:tbl>
    <w:p w:rsidR="009E6551" w:rsidRDefault="009E6551" w14:paraId="6FBA7EA9" w14:textId="77777777">
      <w:pPr>
        <w:spacing w:after="160" w:line="259" w:lineRule="auto"/>
        <w:jc w:val="left"/>
        <w:rPr>
          <w:sz w:val="16"/>
          <w:szCs w:val="16"/>
        </w:rPr>
      </w:pPr>
    </w:p>
    <w:p w:rsidR="009E6551" w:rsidRDefault="009E6551" w14:paraId="10DDCAE4" w14:textId="77777777">
      <w:pPr>
        <w:spacing w:after="160" w:line="259" w:lineRule="auto"/>
        <w:jc w:val="left"/>
        <w:rPr>
          <w:sz w:val="16"/>
          <w:szCs w:val="16"/>
        </w:rPr>
      </w:pPr>
      <w:r>
        <w:br w:type="page"/>
      </w:r>
    </w:p>
    <w:p w:rsidRPr="009E6551" w:rsidR="009E6551" w:rsidP="009E6551" w:rsidRDefault="002B6F40" w14:paraId="4DE066CB" w14:textId="75EB8864">
      <w:pPr>
        <w:widowControl w:val="0"/>
        <w:numPr>
          <w:ilvl w:val="0"/>
          <w:numId w:val="2"/>
        </w:numPr>
        <w:overflowPunct w:val="0"/>
        <w:autoSpaceDE w:val="0"/>
        <w:autoSpaceDN w:val="0"/>
        <w:adjustRightInd w:val="0"/>
        <w:ind w:hanging="567"/>
        <w:textAlignment w:val="baseline"/>
        <w:rPr>
          <w:b/>
          <w:bCs/>
          <w:i/>
          <w:iCs/>
          <w:sz w:val="28"/>
          <w:szCs w:val="28"/>
        </w:rPr>
      </w:pPr>
      <w:hyperlink w:history="1" r:id="rId33">
        <w:r w:rsidR="00356E7D">
          <w:rPr>
            <w:b/>
            <w:i/>
            <w:color w:val="0000FF"/>
            <w:sz w:val="28"/>
            <w:u w:val="single"/>
          </w:rPr>
          <w:t>Nauja Europos vidaus rinkos strategija</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9E6551" w:rsidR="009E6551" w:rsidTr="000E5EDB" w14:paraId="4D686838" w14:textId="77777777">
        <w:tc>
          <w:tcPr>
            <w:tcW w:w="1129" w:type="pct"/>
          </w:tcPr>
          <w:p w:rsidRPr="009E6551" w:rsidR="009E6551" w:rsidP="009E6551" w:rsidRDefault="009E6551" w14:paraId="4E868AF6" w14:textId="77777777">
            <w:pPr>
              <w:tabs>
                <w:tab w:val="center" w:pos="284"/>
              </w:tabs>
              <w:overflowPunct w:val="0"/>
              <w:autoSpaceDE w:val="0"/>
              <w:autoSpaceDN w:val="0"/>
              <w:adjustRightInd w:val="0"/>
              <w:ind w:left="266" w:hanging="266"/>
              <w:textAlignment w:val="baseline"/>
              <w:rPr>
                <w:b/>
              </w:rPr>
            </w:pPr>
            <w:r>
              <w:rPr>
                <w:b/>
              </w:rPr>
              <w:t>Pranešėja</w:t>
            </w:r>
          </w:p>
        </w:tc>
        <w:tc>
          <w:tcPr>
            <w:tcW w:w="3871" w:type="pct"/>
          </w:tcPr>
          <w:p w:rsidRPr="009E6551" w:rsidR="009E6551" w:rsidP="009E6551" w:rsidRDefault="009E6551" w14:paraId="1A8DCFC5" w14:textId="0AA262D5">
            <w:pPr>
              <w:tabs>
                <w:tab w:val="center" w:pos="0"/>
              </w:tabs>
              <w:overflowPunct w:val="0"/>
              <w:autoSpaceDE w:val="0"/>
              <w:autoSpaceDN w:val="0"/>
              <w:adjustRightInd w:val="0"/>
              <w:ind w:left="266" w:hanging="266"/>
              <w:textAlignment w:val="baseline"/>
            </w:pPr>
            <w:r>
              <w:t xml:space="preserve">Sandra </w:t>
            </w:r>
            <w:proofErr w:type="spellStart"/>
            <w:r>
              <w:t>Parthie</w:t>
            </w:r>
            <w:proofErr w:type="spellEnd"/>
            <w:r>
              <w:t xml:space="preserve"> (Darbdavių </w:t>
            </w:r>
            <w:proofErr w:type="spellStart"/>
            <w:r>
              <w:t>gr</w:t>
            </w:r>
            <w:proofErr w:type="spellEnd"/>
            <w:r>
              <w:t>., DE)</w:t>
            </w:r>
          </w:p>
        </w:tc>
      </w:tr>
      <w:tr w:rsidRPr="009E6551" w:rsidR="009E6551" w:rsidTr="000E5EDB" w14:paraId="567CF579" w14:textId="77777777">
        <w:tc>
          <w:tcPr>
            <w:tcW w:w="1129" w:type="pct"/>
          </w:tcPr>
          <w:p w:rsidRPr="009E6551" w:rsidR="009E6551" w:rsidP="009E6551" w:rsidRDefault="009E6551" w14:paraId="39731A44" w14:textId="77777777">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3871" w:type="pct"/>
          </w:tcPr>
          <w:p w:rsidRPr="009E6551" w:rsidR="009E6551" w:rsidP="009E6551" w:rsidRDefault="009E6551" w14:paraId="0FC36817" w14:textId="7498D0C1">
            <w:pPr>
              <w:tabs>
                <w:tab w:val="center" w:pos="284"/>
              </w:tabs>
              <w:overflowPunct w:val="0"/>
              <w:autoSpaceDE w:val="0"/>
              <w:autoSpaceDN w:val="0"/>
              <w:adjustRightInd w:val="0"/>
              <w:ind w:left="266" w:hanging="266"/>
              <w:textAlignment w:val="baseline"/>
            </w:pPr>
            <w:proofErr w:type="spellStart"/>
            <w:r>
              <w:t>Alain</w:t>
            </w:r>
            <w:proofErr w:type="spellEnd"/>
            <w:r>
              <w:t xml:space="preserve"> </w:t>
            </w:r>
            <w:proofErr w:type="spellStart"/>
            <w:r>
              <w:t>Coheur</w:t>
            </w:r>
            <w:proofErr w:type="spellEnd"/>
            <w:r>
              <w:t xml:space="preserve"> (Pilietinės visuomenės organizacijų grupė, BE)</w:t>
            </w:r>
          </w:p>
        </w:tc>
      </w:tr>
      <w:tr w:rsidRPr="009E6551" w:rsidR="009E6551" w:rsidTr="000E5EDB" w14:paraId="047ABAF7" w14:textId="77777777">
        <w:tc>
          <w:tcPr>
            <w:tcW w:w="5000" w:type="pct"/>
            <w:gridSpan w:val="2"/>
          </w:tcPr>
          <w:p w:rsidRPr="009E6551"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pPr>
          </w:p>
        </w:tc>
      </w:tr>
      <w:tr w:rsidRPr="009E6551" w:rsidR="009E6551" w:rsidTr="000E5EDB" w14:paraId="423137BA" w14:textId="77777777">
        <w:tc>
          <w:tcPr>
            <w:tcW w:w="1129" w:type="pct"/>
            <w:vMerge w:val="restart"/>
          </w:tcPr>
          <w:p w:rsidRPr="009E6551" w:rsidR="009E6551" w:rsidP="009E6551" w:rsidRDefault="009E6551" w14:paraId="73633D71" w14:textId="77777777">
            <w:pPr>
              <w:tabs>
                <w:tab w:val="center" w:pos="284"/>
              </w:tabs>
              <w:overflowPunct w:val="0"/>
              <w:autoSpaceDE w:val="0"/>
              <w:autoSpaceDN w:val="0"/>
              <w:adjustRightInd w:val="0"/>
              <w:ind w:left="266" w:hanging="266"/>
              <w:textAlignment w:val="baseline"/>
              <w:rPr>
                <w:b/>
              </w:rPr>
            </w:pPr>
            <w:r>
              <w:rPr>
                <w:b/>
              </w:rPr>
              <w:t>Nuorodos</w:t>
            </w:r>
          </w:p>
        </w:tc>
        <w:tc>
          <w:tcPr>
            <w:tcW w:w="3871" w:type="pct"/>
          </w:tcPr>
          <w:p w:rsidRPr="009E6551" w:rsidR="009E6551" w:rsidP="009E6551" w:rsidRDefault="009E6551" w14:paraId="4138FC3B" w14:textId="000349E9">
            <w:pPr>
              <w:tabs>
                <w:tab w:val="center" w:pos="284"/>
              </w:tabs>
              <w:overflowPunct w:val="0"/>
              <w:autoSpaceDE w:val="0"/>
              <w:autoSpaceDN w:val="0"/>
              <w:adjustRightInd w:val="0"/>
              <w:ind w:left="266" w:hanging="266"/>
              <w:textAlignment w:val="baseline"/>
            </w:pPr>
            <w:r>
              <w:t>Tiriamoji nuomonė ES Tarybai pirmininkaujančios Belgijos prašymu</w:t>
            </w:r>
          </w:p>
        </w:tc>
      </w:tr>
      <w:tr w:rsidRPr="009E6551" w:rsidR="009E6551" w:rsidTr="000E5EDB" w14:paraId="6DA4EF09" w14:textId="77777777">
        <w:tc>
          <w:tcPr>
            <w:tcW w:w="1129" w:type="pct"/>
            <w:vMerge/>
          </w:tcPr>
          <w:p w:rsidRPr="009E6551" w:rsidR="009E6551" w:rsidP="009E6551" w:rsidRDefault="009E6551" w14:paraId="7533C1AB" w14:textId="77777777">
            <w:pPr>
              <w:tabs>
                <w:tab w:val="center" w:pos="284"/>
              </w:tabs>
              <w:overflowPunct w:val="0"/>
              <w:autoSpaceDE w:val="0"/>
              <w:autoSpaceDN w:val="0"/>
              <w:adjustRightInd w:val="0"/>
              <w:ind w:left="266" w:hanging="266"/>
              <w:textAlignment w:val="baseline"/>
              <w:rPr>
                <w:b/>
              </w:rPr>
            </w:pPr>
          </w:p>
        </w:tc>
        <w:tc>
          <w:tcPr>
            <w:tcW w:w="3871" w:type="pct"/>
          </w:tcPr>
          <w:p w:rsidRPr="009E6551" w:rsidR="009E6551" w:rsidP="009E6551" w:rsidRDefault="009E6551" w14:paraId="5D99BAED" w14:textId="258D60F8">
            <w:pPr>
              <w:tabs>
                <w:tab w:val="center" w:pos="284"/>
              </w:tabs>
              <w:overflowPunct w:val="0"/>
              <w:autoSpaceDE w:val="0"/>
              <w:autoSpaceDN w:val="0"/>
              <w:adjustRightInd w:val="0"/>
              <w:ind w:left="266" w:hanging="266"/>
              <w:textAlignment w:val="baseline"/>
            </w:pPr>
            <w:r>
              <w:t>EESC-2023-03693-00-00-AC</w:t>
            </w:r>
          </w:p>
        </w:tc>
      </w:tr>
    </w:tbl>
    <w:p w:rsidRPr="009E6551"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9E6551" w:rsidR="009E6551" w:rsidP="000E5EDB" w:rsidRDefault="009E6551" w14:paraId="3A3C29C6" w14:textId="77777777">
      <w:pPr>
        <w:keepNext/>
        <w:keepLines/>
        <w:overflowPunct w:val="0"/>
        <w:autoSpaceDE w:val="0"/>
        <w:autoSpaceDN w:val="0"/>
        <w:adjustRightInd w:val="0"/>
        <w:textAlignment w:val="baseline"/>
        <w:rPr>
          <w:b/>
        </w:rPr>
      </w:pPr>
      <w:r>
        <w:rPr>
          <w:b/>
        </w:rPr>
        <w:t>Dokumento esmė</w:t>
      </w:r>
    </w:p>
    <w:p w:rsidRPr="009E6551"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r>
        <w:t>EESRK</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0E5EDB"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mano, kad </w:t>
      </w:r>
      <w:r>
        <w:rPr>
          <w:b/>
        </w:rPr>
        <w:t>vidaus rinkos ateities</w:t>
      </w:r>
      <w:r>
        <w:t xml:space="preserve"> strategija turėtų remtis keletu aspektų: </w:t>
      </w:r>
      <w:r>
        <w:rPr>
          <w:b/>
        </w:rPr>
        <w:t>Europos pramonės politika</w:t>
      </w:r>
      <w:r>
        <w:t xml:space="preserve">, palankiomis </w:t>
      </w:r>
      <w:r>
        <w:rPr>
          <w:b/>
        </w:rPr>
        <w:t>sąlygomis įmonėms ir MVĮ, socialinės ekonomikos įmonėmis</w:t>
      </w:r>
      <w:r>
        <w:t xml:space="preserve">, visuomenės parama </w:t>
      </w:r>
      <w:r>
        <w:rPr>
          <w:b/>
        </w:rPr>
        <w:t>Europos projektui</w:t>
      </w:r>
      <w:r>
        <w:t xml:space="preserve">, tinkamai organizuotomis ir veiksmingomis </w:t>
      </w:r>
      <w:r>
        <w:rPr>
          <w:b/>
        </w:rPr>
        <w:t>bendro intereso paslaugomis</w:t>
      </w:r>
      <w:r>
        <w:t xml:space="preserve"> ir žingsniais, kuriais siekiama apsaugoti ir plėtoti mūsų </w:t>
      </w:r>
      <w:r>
        <w:rPr>
          <w:b/>
        </w:rPr>
        <w:t>socialinį modelį</w:t>
      </w:r>
      <w:r>
        <w:t>;</w:t>
      </w:r>
    </w:p>
    <w:p w:rsidRPr="009E6551" w:rsidR="009E6551" w:rsidP="000E5EDB"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ragina sukurti</w:t>
      </w:r>
      <w:r>
        <w:rPr>
          <w:b/>
        </w:rPr>
        <w:t xml:space="preserve"> naują analitinę sistemą, kuria būtų vadovaujamasi priimant politinius sprendimus</w:t>
      </w:r>
      <w:r>
        <w:t xml:space="preserve">, atsižvelgiant į kintantį pasaulį, kuriame kyla naujų geopolitinių iššūkių. Yra keletas vienas kitam prieštaraujančių tikslų: subsidijų prašymai ir raginimai apriboti valstybės pagalbą; vietos gamybos reikalavimai ir rinkų atvėrimas; galimybė gauti būtinų žaliavų ir tiekimo sąlygos. Reikia </w:t>
      </w:r>
      <w:r>
        <w:rPr>
          <w:b/>
        </w:rPr>
        <w:t>naujos bendradarbiavimo sistemos</w:t>
      </w:r>
      <w:r>
        <w:t xml:space="preserve">, kuri padėtų surasti geriausius sprendimus, o norint sukurti </w:t>
      </w:r>
      <w:r>
        <w:rPr>
          <w:b/>
        </w:rPr>
        <w:t>tikrą Europos tapatybę</w:t>
      </w:r>
      <w:r>
        <w:t xml:space="preserve"> reikia naujos valstybių narių bendradarbiavimo;</w:t>
      </w:r>
    </w:p>
    <w:p w:rsidRPr="009E6551" w:rsidR="009E6551" w:rsidP="000E5EDB"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ragina </w:t>
      </w:r>
      <w:r>
        <w:rPr>
          <w:b/>
        </w:rPr>
        <w:t>įvertinti visuotinės ekonominės svarbos paslaugų liberalizavimo</w:t>
      </w:r>
      <w:r>
        <w:t xml:space="preserve"> </w:t>
      </w:r>
      <w:r>
        <w:rPr>
          <w:b/>
        </w:rPr>
        <w:t>poveikį</w:t>
      </w:r>
      <w:r>
        <w:t xml:space="preserve"> ekonominei, socialinei ir teritorinei sanglaudai, atlikti tyrimą dėl galimo poreikio sukurti </w:t>
      </w:r>
      <w:r>
        <w:rPr>
          <w:b/>
        </w:rPr>
        <w:t>Europos viešosios intervencijos į visuotinės ekonominės svarbos paslaugų sektorius priemones</w:t>
      </w:r>
      <w:r>
        <w:t>.</w:t>
      </w:r>
    </w:p>
    <w:p w:rsidRPr="009E6551" w:rsidR="009E6551" w:rsidP="009E6551" w:rsidRDefault="009E6551" w14:paraId="21DD2801" w14:textId="77777777">
      <w:pPr>
        <w:widowControl w:val="0"/>
        <w:overflowPunct w:val="0"/>
        <w:autoSpaceDE w:val="0"/>
        <w:autoSpaceDN w:val="0"/>
        <w:adjustRightInd w:val="0"/>
        <w:ind w:left="709"/>
        <w:textAlignment w:val="baseline"/>
        <w:rPr>
          <w:szCs w:val="20"/>
        </w:rPr>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E6551" w:rsidR="009E6551" w:rsidTr="00F655B8" w14:paraId="41B2FFFB" w14:textId="77777777">
        <w:tc>
          <w:tcPr>
            <w:tcW w:w="1556" w:type="pct"/>
          </w:tcPr>
          <w:p w:rsidRPr="009E6551" w:rsidR="009E6551" w:rsidP="009E6551" w:rsidRDefault="009E6551" w14:paraId="3C548129"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9E6551" w:rsidR="009E6551" w:rsidP="009E6551" w:rsidRDefault="009E6551" w14:paraId="10EBD0B9" w14:textId="77777777">
            <w:pPr>
              <w:overflowPunct w:val="0"/>
              <w:autoSpaceDE w:val="0"/>
              <w:autoSpaceDN w:val="0"/>
              <w:adjustRightInd w:val="0"/>
              <w:spacing w:line="240"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Pr="009E6551" w:rsidR="009E6551" w:rsidTr="00F655B8" w14:paraId="7D6FABF0" w14:textId="77777777">
        <w:tc>
          <w:tcPr>
            <w:tcW w:w="1556" w:type="pct"/>
          </w:tcPr>
          <w:p w:rsidRPr="009E6551" w:rsidR="009E6551" w:rsidP="009E6551" w:rsidRDefault="009E6551" w14:paraId="0B13118F" w14:textId="77777777">
            <w:pPr>
              <w:overflowPunct w:val="0"/>
              <w:autoSpaceDE w:val="0"/>
              <w:autoSpaceDN w:val="0"/>
              <w:adjustRightInd w:val="0"/>
              <w:spacing w:line="240" w:lineRule="auto"/>
              <w:textAlignment w:val="baseline"/>
              <w:rPr>
                <w:i/>
              </w:rPr>
            </w:pPr>
            <w:r>
              <w:rPr>
                <w:i/>
              </w:rPr>
              <w:t>Tel.</w:t>
            </w:r>
          </w:p>
        </w:tc>
        <w:tc>
          <w:tcPr>
            <w:tcW w:w="3444" w:type="pct"/>
          </w:tcPr>
          <w:p w:rsidRPr="009E6551" w:rsidR="009E6551" w:rsidP="009E6551" w:rsidRDefault="009E6551" w14:paraId="75955876" w14:textId="77777777">
            <w:pPr>
              <w:overflowPunct w:val="0"/>
              <w:autoSpaceDE w:val="0"/>
              <w:autoSpaceDN w:val="0"/>
              <w:adjustRightInd w:val="0"/>
              <w:spacing w:line="240" w:lineRule="auto"/>
              <w:textAlignment w:val="baseline"/>
              <w:rPr>
                <w:i/>
              </w:rPr>
            </w:pPr>
            <w:r>
              <w:rPr>
                <w:i/>
              </w:rPr>
              <w:t>+32 25468378</w:t>
            </w:r>
          </w:p>
        </w:tc>
      </w:tr>
      <w:tr w:rsidRPr="009E6551" w:rsidR="009E6551" w:rsidTr="00F655B8" w14:paraId="661ACC00" w14:textId="77777777">
        <w:tc>
          <w:tcPr>
            <w:tcW w:w="1556" w:type="pct"/>
          </w:tcPr>
          <w:p w:rsidRPr="009E6551" w:rsidR="009E6551" w:rsidP="009E6551" w:rsidRDefault="009E6551" w14:paraId="402406CE" w14:textId="77777777">
            <w:pPr>
              <w:overflowPunct w:val="0"/>
              <w:autoSpaceDE w:val="0"/>
              <w:autoSpaceDN w:val="0"/>
              <w:adjustRightInd w:val="0"/>
              <w:spacing w:line="240" w:lineRule="auto"/>
              <w:textAlignment w:val="baseline"/>
              <w:rPr>
                <w:i/>
              </w:rPr>
            </w:pPr>
            <w:r>
              <w:rPr>
                <w:i/>
              </w:rPr>
              <w:t>E. paštas</w:t>
            </w:r>
          </w:p>
        </w:tc>
        <w:tc>
          <w:tcPr>
            <w:tcW w:w="3444" w:type="pct"/>
          </w:tcPr>
          <w:p w:rsidRPr="009E6551" w:rsidR="009E6551" w:rsidP="009E6551" w:rsidRDefault="002B6F40" w14:paraId="4125E6FA" w14:textId="77777777">
            <w:pPr>
              <w:overflowPunct w:val="0"/>
              <w:autoSpaceDE w:val="0"/>
              <w:autoSpaceDN w:val="0"/>
              <w:adjustRightInd w:val="0"/>
              <w:spacing w:line="240" w:lineRule="auto"/>
              <w:textAlignment w:val="baseline"/>
              <w:rPr>
                <w:iCs/>
              </w:rPr>
            </w:pPr>
            <w:hyperlink w:history="1" r:id="rId34">
              <w:r w:rsidR="00356E7D">
                <w:rPr>
                  <w:i/>
                  <w:color w:val="0000FF"/>
                  <w:u w:val="single"/>
                </w:rPr>
                <w:t>Silvia.Staffa@eesc.europa.eu</w:t>
              </w:r>
            </w:hyperlink>
          </w:p>
        </w:tc>
      </w:tr>
    </w:tbl>
    <w:p w:rsidR="009E6551" w:rsidRDefault="009E6551" w14:paraId="4327C300" w14:textId="77777777">
      <w:pPr>
        <w:spacing w:after="160" w:line="259" w:lineRule="auto"/>
        <w:jc w:val="left"/>
        <w:rPr>
          <w:sz w:val="16"/>
          <w:szCs w:val="16"/>
        </w:rPr>
      </w:pPr>
    </w:p>
    <w:p w:rsidR="009E6551" w:rsidRDefault="009E6551" w14:paraId="66AAB764" w14:textId="77777777">
      <w:pPr>
        <w:spacing w:after="160" w:line="259" w:lineRule="auto"/>
        <w:jc w:val="left"/>
        <w:rPr>
          <w:sz w:val="16"/>
          <w:szCs w:val="16"/>
        </w:rPr>
      </w:pPr>
      <w:r>
        <w:br w:type="page"/>
      </w:r>
    </w:p>
    <w:p w:rsidRPr="00C41F06" w:rsidR="00C41F06" w:rsidP="00C41F06" w:rsidRDefault="002B6F40" w14:paraId="4105E430" w14:textId="06916AF5">
      <w:pPr>
        <w:widowControl w:val="0"/>
        <w:numPr>
          <w:ilvl w:val="0"/>
          <w:numId w:val="2"/>
        </w:numPr>
        <w:overflowPunct w:val="0"/>
        <w:autoSpaceDE w:val="0"/>
        <w:autoSpaceDN w:val="0"/>
        <w:adjustRightInd w:val="0"/>
        <w:ind w:hanging="567"/>
        <w:textAlignment w:val="baseline"/>
        <w:rPr>
          <w:sz w:val="20"/>
          <w:szCs w:val="20"/>
        </w:rPr>
      </w:pPr>
      <w:hyperlink w:history="1" r:id="rId35">
        <w:r w:rsidR="00356E7D">
          <w:rPr>
            <w:b/>
            <w:i/>
            <w:color w:val="0000FF"/>
            <w:sz w:val="28"/>
            <w:u w:val="single"/>
          </w:rPr>
          <w:t>Pavėluotų mokėjimų direktyvos peržiūra</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63"/>
      </w:tblGrid>
      <w:tr w:rsidRPr="00C41F06" w:rsidR="00C41F06" w:rsidTr="00F655B8" w14:paraId="17FC1AAE" w14:textId="77777777">
        <w:trPr>
          <w:trHeight w:val="406"/>
        </w:trPr>
        <w:tc>
          <w:tcPr>
            <w:tcW w:w="1142" w:type="pct"/>
          </w:tcPr>
          <w:p w:rsidRPr="00C41F06" w:rsidR="00C41F06" w:rsidP="00C41F06" w:rsidRDefault="00C41F06" w14:paraId="6D5A3F72" w14:textId="77777777">
            <w:pPr>
              <w:tabs>
                <w:tab w:val="center" w:pos="284"/>
              </w:tabs>
              <w:overflowPunct w:val="0"/>
              <w:autoSpaceDE w:val="0"/>
              <w:autoSpaceDN w:val="0"/>
              <w:adjustRightInd w:val="0"/>
              <w:ind w:left="266" w:hanging="266"/>
              <w:textAlignment w:val="baseline"/>
              <w:rPr>
                <w:b/>
              </w:rPr>
            </w:pPr>
            <w:r>
              <w:rPr>
                <w:b/>
              </w:rPr>
              <w:t>Pranešėjai</w:t>
            </w:r>
          </w:p>
        </w:tc>
        <w:tc>
          <w:tcPr>
            <w:tcW w:w="3858" w:type="pct"/>
          </w:tcPr>
          <w:p w:rsidRPr="00C41F06" w:rsidR="00C41F06" w:rsidP="00C41F06" w:rsidRDefault="00C41F06" w14:paraId="3A40F086" w14:textId="77777777">
            <w:pPr>
              <w:tabs>
                <w:tab w:val="center" w:pos="0"/>
              </w:tabs>
              <w:overflowPunct w:val="0"/>
              <w:autoSpaceDE w:val="0"/>
              <w:autoSpaceDN w:val="0"/>
              <w:adjustRightInd w:val="0"/>
              <w:ind w:left="266" w:hanging="266"/>
              <w:textAlignment w:val="baseline"/>
            </w:pPr>
            <w:proofErr w:type="spellStart"/>
            <w:r>
              <w:t>Panagiotis</w:t>
            </w:r>
            <w:proofErr w:type="spellEnd"/>
            <w:r>
              <w:t xml:space="preserve"> </w:t>
            </w:r>
            <w:proofErr w:type="spellStart"/>
            <w:r>
              <w:t>Gkofas</w:t>
            </w:r>
            <w:proofErr w:type="spellEnd"/>
            <w:r>
              <w:t xml:space="preserve"> (Pilietinės visuomenės organizacijų grupė, EL)</w:t>
            </w:r>
          </w:p>
          <w:p w:rsidRPr="00C41F06" w:rsidR="00C41F06" w:rsidP="00C41F06" w:rsidRDefault="00C41F06" w14:paraId="6858251C" w14:textId="77777777">
            <w:pPr>
              <w:tabs>
                <w:tab w:val="center" w:pos="0"/>
              </w:tabs>
              <w:overflowPunct w:val="0"/>
              <w:autoSpaceDE w:val="0"/>
              <w:autoSpaceDN w:val="0"/>
              <w:adjustRightInd w:val="0"/>
              <w:ind w:left="266" w:hanging="266"/>
              <w:textAlignment w:val="baseline"/>
            </w:pPr>
            <w:proofErr w:type="spellStart"/>
            <w:r>
              <w:t>Alena</w:t>
            </w:r>
            <w:proofErr w:type="spellEnd"/>
            <w:r>
              <w:t xml:space="preserve"> </w:t>
            </w:r>
            <w:proofErr w:type="spellStart"/>
            <w:r>
              <w:t>Mastantuono</w:t>
            </w:r>
            <w:proofErr w:type="spellEnd"/>
            <w:r>
              <w:t xml:space="preserve"> (Darbdavių </w:t>
            </w:r>
            <w:proofErr w:type="spellStart"/>
            <w:r>
              <w:t>gr</w:t>
            </w:r>
            <w:proofErr w:type="spellEnd"/>
            <w:r>
              <w:t>., CZ)</w:t>
            </w:r>
          </w:p>
          <w:p w:rsidRPr="00C83487" w:rsidR="008C0662" w:rsidP="00C41F06" w:rsidRDefault="00C41F06" w14:paraId="18949A9C" w14:textId="698C1239">
            <w:pPr>
              <w:tabs>
                <w:tab w:val="center" w:pos="0"/>
              </w:tabs>
              <w:overflowPunct w:val="0"/>
              <w:autoSpaceDE w:val="0"/>
              <w:autoSpaceDN w:val="0"/>
              <w:adjustRightInd w:val="0"/>
              <w:ind w:left="266" w:hanging="266"/>
              <w:textAlignment w:val="baseline"/>
            </w:pPr>
            <w:r>
              <w:t xml:space="preserve">Angelo </w:t>
            </w:r>
            <w:proofErr w:type="spellStart"/>
            <w:r>
              <w:t>Pagliara</w:t>
            </w:r>
            <w:proofErr w:type="spellEnd"/>
            <w:r>
              <w:t xml:space="preserve"> (Darbuotojų grupė, IT)</w:t>
            </w:r>
          </w:p>
        </w:tc>
      </w:tr>
      <w:tr w:rsidRPr="00C41F06" w:rsidR="00C41F06" w:rsidTr="00F655B8" w14:paraId="13E6E1E7" w14:textId="77777777">
        <w:tc>
          <w:tcPr>
            <w:tcW w:w="1142" w:type="pct"/>
            <w:vMerge w:val="restart"/>
          </w:tcPr>
          <w:p w:rsidRPr="00C41F06" w:rsidR="00C41F06" w:rsidP="00C41F06" w:rsidRDefault="00C41F06" w14:paraId="3D984E0B" w14:textId="77777777">
            <w:pPr>
              <w:tabs>
                <w:tab w:val="center" w:pos="284"/>
              </w:tabs>
              <w:overflowPunct w:val="0"/>
              <w:autoSpaceDE w:val="0"/>
              <w:autoSpaceDN w:val="0"/>
              <w:adjustRightInd w:val="0"/>
              <w:ind w:left="266" w:hanging="266"/>
              <w:textAlignment w:val="baseline"/>
              <w:rPr>
                <w:b/>
              </w:rPr>
            </w:pPr>
            <w:r>
              <w:rPr>
                <w:b/>
              </w:rPr>
              <w:t>Nuorodos</w:t>
            </w:r>
          </w:p>
        </w:tc>
        <w:tc>
          <w:tcPr>
            <w:tcW w:w="3858" w:type="pct"/>
          </w:tcPr>
          <w:p w:rsidRPr="00C41F06" w:rsidR="00C41F06" w:rsidP="00C41F06" w:rsidRDefault="00C41F06" w14:paraId="16F6C4C1" w14:textId="13C0F28D">
            <w:pPr>
              <w:tabs>
                <w:tab w:val="center" w:pos="284"/>
              </w:tabs>
              <w:overflowPunct w:val="0"/>
              <w:autoSpaceDE w:val="0"/>
              <w:autoSpaceDN w:val="0"/>
              <w:adjustRightInd w:val="0"/>
              <w:ind w:left="266" w:hanging="266"/>
              <w:textAlignment w:val="baseline"/>
            </w:pPr>
            <w:r>
              <w:t xml:space="preserve">COM(2023) 533 </w:t>
            </w:r>
            <w:proofErr w:type="spellStart"/>
            <w:r>
              <w:t>final</w:t>
            </w:r>
            <w:proofErr w:type="spellEnd"/>
          </w:p>
        </w:tc>
      </w:tr>
      <w:tr w:rsidRPr="00C41F06" w:rsidR="00C41F06" w:rsidTr="00F655B8" w14:paraId="7E622C46" w14:textId="77777777">
        <w:tc>
          <w:tcPr>
            <w:tcW w:w="1142" w:type="pct"/>
            <w:vMerge/>
          </w:tcPr>
          <w:p w:rsidRPr="00C41F06" w:rsidR="00C41F06" w:rsidP="00C41F06" w:rsidRDefault="00C41F06" w14:paraId="1B7520D4" w14:textId="77777777">
            <w:pPr>
              <w:tabs>
                <w:tab w:val="center" w:pos="284"/>
              </w:tabs>
              <w:overflowPunct w:val="0"/>
              <w:autoSpaceDE w:val="0"/>
              <w:autoSpaceDN w:val="0"/>
              <w:adjustRightInd w:val="0"/>
              <w:ind w:left="266" w:hanging="266"/>
              <w:textAlignment w:val="baseline"/>
              <w:rPr>
                <w:b/>
              </w:rPr>
            </w:pPr>
          </w:p>
        </w:tc>
        <w:tc>
          <w:tcPr>
            <w:tcW w:w="3858" w:type="pct"/>
          </w:tcPr>
          <w:p w:rsidRPr="00C41F06" w:rsidR="00C41F06" w:rsidP="00C41F06" w:rsidRDefault="00C41F06" w14:paraId="77792A8C" w14:textId="6C25D1E1">
            <w:pPr>
              <w:tabs>
                <w:tab w:val="center" w:pos="284"/>
              </w:tabs>
              <w:overflowPunct w:val="0"/>
              <w:autoSpaceDE w:val="0"/>
              <w:autoSpaceDN w:val="0"/>
              <w:adjustRightInd w:val="0"/>
              <w:ind w:left="266" w:hanging="266"/>
              <w:textAlignment w:val="baseline"/>
            </w:pPr>
            <w:r>
              <w:t>EESC-2023-03705-00-00-AC</w:t>
            </w:r>
          </w:p>
        </w:tc>
      </w:tr>
    </w:tbl>
    <w:p w:rsidRPr="00C41F06"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C41F06" w:rsidR="00C41F06" w:rsidP="000E5EDB" w:rsidRDefault="00C41F06" w14:paraId="796186DF" w14:textId="77777777">
      <w:pPr>
        <w:keepNext/>
        <w:keepLines/>
        <w:overflowPunct w:val="0"/>
        <w:autoSpaceDE w:val="0"/>
        <w:autoSpaceDN w:val="0"/>
        <w:adjustRightInd w:val="0"/>
        <w:ind w:left="266" w:hanging="266"/>
        <w:textAlignment w:val="baseline"/>
        <w:rPr>
          <w:b/>
        </w:rPr>
      </w:pPr>
      <w:r>
        <w:rPr>
          <w:b/>
        </w:rPr>
        <w:t>Dokumento esmė</w:t>
      </w:r>
    </w:p>
    <w:p w:rsidRPr="00C41F06"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sz w:val="16"/>
          <w:szCs w:val="16"/>
        </w:rPr>
      </w:pPr>
    </w:p>
    <w:p w:rsidRPr="00C41F06" w:rsidR="00C41F06" w:rsidRDefault="00C41F06" w14:paraId="23EFE05A" w14:textId="77777777">
      <w:pPr>
        <w:overflowPunct w:val="0"/>
        <w:autoSpaceDE w:val="0"/>
        <w:autoSpaceDN w:val="0"/>
        <w:adjustRightInd w:val="0"/>
        <w:textAlignment w:val="baseline"/>
        <w:rPr>
          <w:bCs/>
          <w:iCs/>
        </w:rPr>
      </w:pPr>
      <w:r>
        <w:t>EESRK</w:t>
      </w:r>
    </w:p>
    <w:p w:rsidRPr="00C41F06" w:rsidR="00C41F06" w:rsidP="000E5EDB"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palankiai vertina Komisijos komunikatą dėl pagalbos MVĮ dokumentų rinkinio ir Komisijos ketinimą toliau kovoti su pavėluotu mokėjimu. Kartu nerimauja, kad </w:t>
      </w:r>
      <w:r>
        <w:rPr>
          <w:b/>
        </w:rPr>
        <w:t>dabartinės direktyvos pakeitimas reglamentu gali apriboti valstybių narių</w:t>
      </w:r>
      <w:r>
        <w:t xml:space="preserve"> ir verslo aplinkos </w:t>
      </w:r>
      <w:r>
        <w:rPr>
          <w:b/>
        </w:rPr>
        <w:t>lankstumą</w:t>
      </w:r>
      <w:r>
        <w:t xml:space="preserve"> tuo metu, kai ES susiduriama su įvairiais sunkumais;</w:t>
      </w:r>
    </w:p>
    <w:p w:rsidRPr="00C41F06" w:rsidR="00C41F06" w:rsidP="000E5EDB"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mano, kad </w:t>
      </w:r>
      <w:r>
        <w:rPr>
          <w:b/>
        </w:rPr>
        <w:t xml:space="preserve">pavėluoti mokėjimai </w:t>
      </w:r>
      <w:r>
        <w:t>kenkia mažųjų įmonių savininkams, jų šeimoms ir darbuotojams ir turi</w:t>
      </w:r>
      <w:r>
        <w:rPr>
          <w:b/>
        </w:rPr>
        <w:t xml:space="preserve"> rimtų pasekmių mokėjimui už komunalines paslaugas, nuomą ir paskolų grąžinimui</w:t>
      </w:r>
      <w:r>
        <w:t>, taip pat jų</w:t>
      </w:r>
      <w:r>
        <w:rPr>
          <w:b/>
        </w:rPr>
        <w:t xml:space="preserve"> motyvacijai ir našumui</w:t>
      </w:r>
      <w:r>
        <w:t>;</w:t>
      </w:r>
    </w:p>
    <w:p w:rsidRPr="00C41F06" w:rsidR="00C41F06" w:rsidP="000E5EDB"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mano, kad Komisija savo pasiūlymu bando spręsti ne pavėluoto mokėjimo, o ilgų mokėjimų terminų problemą, </w:t>
      </w:r>
      <w:r>
        <w:rPr>
          <w:b/>
        </w:rPr>
        <w:t>numatydama pernelyg griežtas priemones, užuot patobulinusi dabartinę vykdymo užtikrinimo sistemą</w:t>
      </w:r>
      <w:r>
        <w:t xml:space="preserve"> veiksmingesnėmis taisyklėmis;</w:t>
      </w:r>
    </w:p>
    <w:p w:rsidRPr="00C41F06" w:rsidR="00C41F06" w:rsidP="000E5EDB"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pabrėžia lanksčių derybų svarbą nustatant mokėjimo terminus ir reiškia didelį susirūpinimą dėl Komisijos pasiūlymo. Iš tiesų </w:t>
      </w:r>
      <w:r>
        <w:rPr>
          <w:b/>
        </w:rPr>
        <w:t>siūlomu termino apribojimu iki 30 dienų panaikinama įmonių laisvė sudaryti sutartis</w:t>
      </w:r>
      <w:r>
        <w:t>;</w:t>
      </w:r>
    </w:p>
    <w:p w:rsidRPr="00C41F06" w:rsidR="00C41F06" w:rsidP="000E5EDB"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palankiai vertina siūlomą 30 dienų mokėjimo terminą G2B sandoriams. </w:t>
      </w:r>
      <w:r>
        <w:rPr>
          <w:b/>
        </w:rPr>
        <w:t>Valdžios institucijos turėtų rodyti pavyzdį, nes jos yra svarbios įmonių partnerės</w:t>
      </w:r>
      <w:r>
        <w:t>;</w:t>
      </w:r>
    </w:p>
    <w:p w:rsidRPr="00C41F06" w:rsidR="00C41F06" w:rsidP="000E5EDB"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mano, kad gali būti naudinga įsteigti </w:t>
      </w:r>
      <w:r>
        <w:rPr>
          <w:b/>
        </w:rPr>
        <w:t>nacionalines vykdymo užtikrinimo institucijas</w:t>
      </w:r>
      <w:r>
        <w:t xml:space="preserve">. Tačiau pabrėžia, kad tokios institucijos </w:t>
      </w:r>
      <w:r>
        <w:rPr>
          <w:b/>
        </w:rPr>
        <w:t>turės veikti objektyviai ir užtikrinti kuo didesnį konfidencialumą</w:t>
      </w:r>
      <w:r>
        <w:t xml:space="preserve"> tvarkydamos tiek įmonių, tiek valdžios institucijų neskelbtiną komercinę informaciją, nenustatydamos papildomų ataskaitų teikimo prievolių;</w:t>
      </w:r>
    </w:p>
    <w:p w:rsidRPr="00C41F06" w:rsidR="00C41F06" w:rsidP="000E5EDB"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r>
        <w:t xml:space="preserve">mano, kad </w:t>
      </w:r>
      <w:r>
        <w:rPr>
          <w:b/>
        </w:rPr>
        <w:t>griežtos mokėjimo terminų sąlygos</w:t>
      </w:r>
      <w:r>
        <w:t xml:space="preserve"> galbūt galėtų turėti įtakos komerciniams sandoriams bendrojoje rinkoje ir paskatinti verslo veiklą už ES ribų. Būtų lengviau bendradarbiauti su trečiųjų šalių tiekėjais, kuriems leidžiama sutikti su ilgesniais mokėjimo terminais. Tai galėtų </w:t>
      </w:r>
      <w:r>
        <w:rPr>
          <w:b/>
        </w:rPr>
        <w:t>kelti realią grėsmę Europos konkurencingumui ir to reikėtų vengti</w:t>
      </w:r>
      <w:r>
        <w:t>.</w:t>
      </w:r>
    </w:p>
    <w:p w:rsidRPr="00C41F06" w:rsidR="00C41F06" w:rsidP="000E5EDB" w:rsidRDefault="00C41F06" w14:paraId="69A5CAA5" w14:textId="77777777">
      <w:pPr>
        <w:overflowPunct w:val="0"/>
        <w:autoSpaceDE w:val="0"/>
        <w:autoSpaceDN w:val="0"/>
        <w:adjustRightInd w:val="0"/>
        <w:ind w:left="426" w:hanging="284"/>
        <w:jc w:val="center"/>
        <w:textAlignment w:val="baseline"/>
        <w:rPr>
          <w:sz w:val="16"/>
          <w:szCs w:val="16"/>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5289"/>
      </w:tblGrid>
      <w:tr w:rsidRPr="00C41F06" w:rsidR="00C41F06" w:rsidTr="006221F1" w14:paraId="6F31166D" w14:textId="77777777">
        <w:tc>
          <w:tcPr>
            <w:tcW w:w="951" w:type="pct"/>
          </w:tcPr>
          <w:p w:rsidRPr="00C41F06" w:rsidR="00C41F06" w:rsidP="00C41F06" w:rsidRDefault="00C41F06" w14:paraId="185C0272" w14:textId="77777777">
            <w:pPr>
              <w:overflowPunct w:val="0"/>
              <w:autoSpaceDE w:val="0"/>
              <w:autoSpaceDN w:val="0"/>
              <w:adjustRightInd w:val="0"/>
              <w:spacing w:line="240" w:lineRule="auto"/>
              <w:textAlignment w:val="baseline"/>
              <w:rPr>
                <w:i/>
              </w:rPr>
            </w:pPr>
            <w:r>
              <w:rPr>
                <w:b/>
                <w:i/>
              </w:rPr>
              <w:t>Kontaktinis asmuo</w:t>
            </w:r>
          </w:p>
        </w:tc>
        <w:tc>
          <w:tcPr>
            <w:tcW w:w="4049" w:type="pct"/>
          </w:tcPr>
          <w:p w:rsidRPr="00C41F06" w:rsidR="00C41F06" w:rsidP="00C41F06" w:rsidRDefault="00C41F06" w14:paraId="1CD69579" w14:textId="77777777">
            <w:pPr>
              <w:overflowPunct w:val="0"/>
              <w:autoSpaceDE w:val="0"/>
              <w:autoSpaceDN w:val="0"/>
              <w:adjustRightInd w:val="0"/>
              <w:spacing w:line="240" w:lineRule="auto"/>
              <w:textAlignment w:val="baseline"/>
              <w:rPr>
                <w:i/>
              </w:rPr>
            </w:pPr>
            <w:proofErr w:type="spellStart"/>
            <w:r>
              <w:rPr>
                <w:i/>
              </w:rPr>
              <w:t>Dalila</w:t>
            </w:r>
            <w:proofErr w:type="spellEnd"/>
            <w:r>
              <w:rPr>
                <w:i/>
              </w:rPr>
              <w:t xml:space="preserve"> </w:t>
            </w:r>
            <w:proofErr w:type="spellStart"/>
            <w:r>
              <w:rPr>
                <w:i/>
              </w:rPr>
              <w:t>Bernard</w:t>
            </w:r>
            <w:proofErr w:type="spellEnd"/>
          </w:p>
        </w:tc>
      </w:tr>
      <w:tr w:rsidRPr="00C41F06" w:rsidR="00C41F06" w:rsidTr="006221F1" w14:paraId="14726A39" w14:textId="77777777">
        <w:tc>
          <w:tcPr>
            <w:tcW w:w="951" w:type="pct"/>
          </w:tcPr>
          <w:p w:rsidRPr="00C41F06" w:rsidR="00C41F06" w:rsidP="00C41F06" w:rsidRDefault="00C41F06" w14:paraId="49363AC6" w14:textId="77777777">
            <w:pPr>
              <w:overflowPunct w:val="0"/>
              <w:autoSpaceDE w:val="0"/>
              <w:autoSpaceDN w:val="0"/>
              <w:adjustRightInd w:val="0"/>
              <w:spacing w:line="240" w:lineRule="auto"/>
              <w:textAlignment w:val="baseline"/>
              <w:rPr>
                <w:i/>
              </w:rPr>
            </w:pPr>
            <w:r>
              <w:rPr>
                <w:i/>
              </w:rPr>
              <w:t>Tel.</w:t>
            </w:r>
          </w:p>
        </w:tc>
        <w:tc>
          <w:tcPr>
            <w:tcW w:w="4049" w:type="pct"/>
          </w:tcPr>
          <w:p w:rsidRPr="00C41F06" w:rsidR="00C41F06" w:rsidP="00C41F06" w:rsidRDefault="00C41F06" w14:paraId="40799C6A" w14:textId="77777777">
            <w:pPr>
              <w:overflowPunct w:val="0"/>
              <w:autoSpaceDE w:val="0"/>
              <w:autoSpaceDN w:val="0"/>
              <w:adjustRightInd w:val="0"/>
              <w:spacing w:line="240" w:lineRule="auto"/>
              <w:textAlignment w:val="baseline"/>
              <w:rPr>
                <w:i/>
              </w:rPr>
            </w:pPr>
            <w:r>
              <w:rPr>
                <w:i/>
              </w:rPr>
              <w:t>+32 25468438</w:t>
            </w:r>
          </w:p>
        </w:tc>
      </w:tr>
      <w:tr w:rsidRPr="00C41F06" w:rsidR="00C41F06" w:rsidTr="006221F1" w14:paraId="1DBDA269" w14:textId="77777777">
        <w:tc>
          <w:tcPr>
            <w:tcW w:w="951" w:type="pct"/>
          </w:tcPr>
          <w:p w:rsidRPr="00C41F06" w:rsidR="00C41F06" w:rsidP="00C41F06" w:rsidRDefault="00C41F06" w14:paraId="0461CCC6" w14:textId="77777777">
            <w:pPr>
              <w:overflowPunct w:val="0"/>
              <w:autoSpaceDE w:val="0"/>
              <w:autoSpaceDN w:val="0"/>
              <w:adjustRightInd w:val="0"/>
              <w:spacing w:line="240" w:lineRule="auto"/>
              <w:textAlignment w:val="baseline"/>
              <w:rPr>
                <w:i/>
              </w:rPr>
            </w:pPr>
            <w:r>
              <w:rPr>
                <w:i/>
              </w:rPr>
              <w:t>E. paštas</w:t>
            </w:r>
          </w:p>
        </w:tc>
        <w:tc>
          <w:tcPr>
            <w:tcW w:w="4049" w:type="pct"/>
          </w:tcPr>
          <w:p w:rsidRPr="00C41F06" w:rsidR="00C41F06" w:rsidP="00C41F06" w:rsidRDefault="002B6F40" w14:paraId="36F98705" w14:textId="77777777">
            <w:pPr>
              <w:overflowPunct w:val="0"/>
              <w:autoSpaceDE w:val="0"/>
              <w:autoSpaceDN w:val="0"/>
              <w:adjustRightInd w:val="0"/>
              <w:spacing w:line="240" w:lineRule="auto"/>
              <w:textAlignment w:val="baseline"/>
              <w:rPr>
                <w:i/>
              </w:rPr>
            </w:pPr>
            <w:hyperlink w:history="1" r:id="rId36">
              <w:r w:rsidR="00356E7D">
                <w:rPr>
                  <w:i/>
                  <w:color w:val="0000FF"/>
                  <w:u w:val="single"/>
                </w:rPr>
                <w:t>Dalila.Bernard@eesc.europa.eu</w:t>
              </w:r>
            </w:hyperlink>
          </w:p>
        </w:tc>
      </w:tr>
    </w:tbl>
    <w:p w:rsidR="004B5B45" w:rsidRDefault="004B5B45" w14:paraId="7518CDBD" w14:textId="77777777">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18"/>
      <w:bookmarkStart w:name="_Toc157781926" w:id="19"/>
      <w:r>
        <w:rPr>
          <w:b/>
        </w:rPr>
        <w:lastRenderedPageBreak/>
        <w:t>ŽEMĖS ŪKIS, KAIMO PLĖTRA IR APLINKA</w:t>
      </w:r>
      <w:bookmarkEnd w:id="18"/>
      <w:bookmarkEnd w:id="19"/>
    </w:p>
    <w:p w:rsidRPr="00094B6B" w:rsidR="002C016E" w:rsidP="00DE43CE" w:rsidRDefault="002C016E" w14:paraId="0E7342A4" w14:textId="73254B30">
      <w:pPr>
        <w:keepNext/>
        <w:keepLines/>
        <w:jc w:val="left"/>
        <w:rPr>
          <w:bCs/>
          <w:iCs/>
        </w:rPr>
      </w:pPr>
    </w:p>
    <w:p w:rsidRPr="001546A6" w:rsidR="001546A6" w:rsidP="000E5EDB" w:rsidRDefault="002B6F40" w14:paraId="039C06E4" w14:textId="01F18999">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7">
        <w:r w:rsidR="00356E7D">
          <w:rPr>
            <w:b/>
            <w:i/>
            <w:color w:val="0000FF"/>
            <w:sz w:val="28"/>
            <w:u w:val="single"/>
          </w:rPr>
          <w:t>Tikslai, susiję su žvejybos galimybių nustatymu</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546A6" w:rsidR="001546A6" w:rsidTr="006221F1" w14:paraId="0E83ACAC" w14:textId="77777777">
        <w:tc>
          <w:tcPr>
            <w:tcW w:w="1701" w:type="dxa"/>
          </w:tcPr>
          <w:p w:rsidRPr="001D1D1C" w:rsidR="001546A6" w:rsidP="001546A6" w:rsidRDefault="001546A6" w14:paraId="13C11586" w14:textId="77777777">
            <w:pPr>
              <w:tabs>
                <w:tab w:val="center" w:pos="284"/>
              </w:tabs>
              <w:overflowPunct w:val="0"/>
              <w:autoSpaceDE w:val="0"/>
              <w:autoSpaceDN w:val="0"/>
              <w:adjustRightInd w:val="0"/>
              <w:ind w:left="266" w:hanging="266"/>
              <w:textAlignment w:val="baseline"/>
              <w:rPr>
                <w:b/>
              </w:rPr>
            </w:pPr>
            <w:r>
              <w:rPr>
                <w:b/>
              </w:rPr>
              <w:t>Pranešėjas</w:t>
            </w:r>
          </w:p>
        </w:tc>
        <w:tc>
          <w:tcPr>
            <w:tcW w:w="7479" w:type="dxa"/>
          </w:tcPr>
          <w:p w:rsidRPr="001D1D1C" w:rsidR="001546A6" w:rsidP="001546A6" w:rsidRDefault="001546A6" w14:paraId="71636E19" w14:textId="2A385294">
            <w:pPr>
              <w:tabs>
                <w:tab w:val="center" w:pos="284"/>
              </w:tabs>
              <w:overflowPunct w:val="0"/>
              <w:autoSpaceDE w:val="0"/>
              <w:autoSpaceDN w:val="0"/>
              <w:adjustRightInd w:val="0"/>
              <w:ind w:left="266" w:hanging="266"/>
              <w:textAlignment w:val="baseline"/>
            </w:pPr>
            <w:proofErr w:type="spellStart"/>
            <w:r>
              <w:t>Panagiotis</w:t>
            </w:r>
            <w:proofErr w:type="spellEnd"/>
            <w:r>
              <w:t xml:space="preserve"> </w:t>
            </w:r>
            <w:proofErr w:type="spellStart"/>
            <w:r>
              <w:t>Gkofas</w:t>
            </w:r>
            <w:proofErr w:type="spellEnd"/>
            <w:r>
              <w:t xml:space="preserve"> (Pilietinės visuomenės organizacijų grupė, EL) </w:t>
            </w:r>
          </w:p>
        </w:tc>
      </w:tr>
      <w:tr w:rsidRPr="001546A6" w:rsidR="001546A6" w:rsidTr="006221F1" w14:paraId="1CEA36C4" w14:textId="77777777">
        <w:tc>
          <w:tcPr>
            <w:tcW w:w="9180" w:type="dxa"/>
            <w:gridSpan w:val="2"/>
          </w:tcPr>
          <w:p w:rsidRPr="001D1D1C"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1546A6" w:rsidR="001546A6" w:rsidTr="006221F1" w14:paraId="1DA72B21" w14:textId="77777777">
        <w:tc>
          <w:tcPr>
            <w:tcW w:w="1701" w:type="dxa"/>
          </w:tcPr>
          <w:p w:rsidRPr="001D1D1C" w:rsidR="001546A6" w:rsidP="001546A6" w:rsidRDefault="001546A6" w14:paraId="6043C6DB" w14:textId="77777777">
            <w:pPr>
              <w:tabs>
                <w:tab w:val="center" w:pos="284"/>
              </w:tabs>
              <w:overflowPunct w:val="0"/>
              <w:autoSpaceDE w:val="0"/>
              <w:autoSpaceDN w:val="0"/>
              <w:adjustRightInd w:val="0"/>
              <w:ind w:left="266" w:hanging="266"/>
              <w:textAlignment w:val="baseline"/>
              <w:rPr>
                <w:b/>
              </w:rPr>
            </w:pPr>
            <w:r>
              <w:rPr>
                <w:b/>
              </w:rPr>
              <w:t>Nuorodos</w:t>
            </w:r>
          </w:p>
        </w:tc>
        <w:tc>
          <w:tcPr>
            <w:tcW w:w="7479" w:type="dxa"/>
          </w:tcPr>
          <w:p w:rsidRPr="001D1D1C" w:rsidR="008A0B2F" w:rsidP="001546A6" w:rsidRDefault="008A0B2F" w14:paraId="6820DD0F" w14:textId="4FCD64FC">
            <w:pPr>
              <w:tabs>
                <w:tab w:val="center" w:pos="284"/>
              </w:tabs>
              <w:overflowPunct w:val="0"/>
              <w:autoSpaceDE w:val="0"/>
              <w:autoSpaceDN w:val="0"/>
              <w:adjustRightInd w:val="0"/>
              <w:ind w:left="266" w:hanging="266"/>
              <w:textAlignment w:val="baseline"/>
            </w:pPr>
            <w:r>
              <w:t xml:space="preserve">COM(2023) 771 </w:t>
            </w:r>
            <w:proofErr w:type="spellStart"/>
            <w:r>
              <w:t>final</w:t>
            </w:r>
            <w:proofErr w:type="spellEnd"/>
          </w:p>
          <w:p w:rsidRPr="001D1D1C" w:rsidR="001546A6" w:rsidP="001546A6" w:rsidRDefault="001546A6" w14:paraId="2330AE9B" w14:textId="71E7E3F3">
            <w:pPr>
              <w:tabs>
                <w:tab w:val="center" w:pos="284"/>
              </w:tabs>
              <w:overflowPunct w:val="0"/>
              <w:autoSpaceDE w:val="0"/>
              <w:autoSpaceDN w:val="0"/>
              <w:adjustRightInd w:val="0"/>
              <w:ind w:left="266" w:hanging="266"/>
              <w:textAlignment w:val="baseline"/>
            </w:pPr>
            <w:r>
              <w:t>EESC-2024-00004-00-00-AC</w:t>
            </w:r>
          </w:p>
        </w:tc>
      </w:tr>
    </w:tbl>
    <w:p w:rsidRPr="001546A6"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1546A6"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1546A6" w:rsidR="001546A6" w:rsidP="001546A6" w:rsidRDefault="001546A6" w14:paraId="2C47AA66" w14:textId="77777777">
      <w:pPr>
        <w:overflowPunct w:val="0"/>
        <w:autoSpaceDE w:val="0"/>
        <w:autoSpaceDN w:val="0"/>
        <w:adjustRightInd w:val="0"/>
        <w:textAlignment w:val="baseline"/>
        <w:rPr>
          <w:bCs/>
          <w:iCs/>
          <w:lang w:val="fr-LU"/>
        </w:rPr>
      </w:pPr>
    </w:p>
    <w:p w:rsidRPr="001546A6" w:rsidR="001546A6" w:rsidP="001546A6" w:rsidRDefault="001546A6" w14:paraId="5460D6F5" w14:textId="77777777">
      <w:pPr>
        <w:overflowPunct w:val="0"/>
        <w:autoSpaceDE w:val="0"/>
        <w:autoSpaceDN w:val="0"/>
        <w:adjustRightInd w:val="0"/>
        <w:textAlignment w:val="baseline"/>
        <w:rPr>
          <w:szCs w:val="20"/>
        </w:rPr>
      </w:pPr>
      <w:r>
        <w:t>EESRK</w:t>
      </w:r>
    </w:p>
    <w:p w:rsidRPr="001546A6" w:rsidR="001546A6" w:rsidP="001546A6" w:rsidRDefault="001546A6" w14:paraId="22234EEC" w14:textId="77777777">
      <w:pPr>
        <w:overflowPunct w:val="0"/>
        <w:autoSpaceDE w:val="0"/>
        <w:autoSpaceDN w:val="0"/>
        <w:adjustRightInd w:val="0"/>
        <w:textAlignment w:val="baseline"/>
        <w:rPr>
          <w:szCs w:val="20"/>
        </w:rPr>
      </w:pPr>
    </w:p>
    <w:p w:rsidRPr="001546A6" w:rsidR="001546A6" w:rsidP="0038617F" w:rsidRDefault="001546A6" w14:paraId="3F976603" w14:textId="77777777">
      <w:pPr>
        <w:pStyle w:val="ListParagraph"/>
        <w:numPr>
          <w:ilvl w:val="0"/>
          <w:numId w:val="48"/>
        </w:numPr>
      </w:pPr>
      <w:r>
        <w:t>pripažįsta, kad pasiūlymo dėl teisėkūros procedūra priimamo akto tikslas – iš dalies pakeisti daugiamečius tam tikrų Baltijos jūroje, Šiaurės jūroje ir vakarų vandenyse žvejojamų išteklių ir tų išteklių žvejybos planus, siekiant užtikrinti taisyklių, reglamentuojančių tai, kaip Taryba nustato metines žvejybos galimybes, nuoseklumą;</w:t>
      </w:r>
    </w:p>
    <w:p w:rsidRPr="001546A6" w:rsidR="001546A6" w:rsidP="0038617F" w:rsidRDefault="001546A6" w14:paraId="35CAD606" w14:textId="77777777">
      <w:pPr>
        <w:pStyle w:val="ListParagraph"/>
        <w:numPr>
          <w:ilvl w:val="0"/>
          <w:numId w:val="48"/>
        </w:numPr>
      </w:pPr>
      <w:r>
        <w:t>pripažįsta, kad visuose trijuose daugiamečiuose planuose nustatyta vadinamoji „5 proc. taisyklė“, pagal kurią žvejybos galimybės nustatomos taip, kad būtų užtikrinta mažesnė nei 5 proc. tikimybė, jog neršiančių žuvų išteklių biomasė nukristų tiek, kad galėtų sumažėti jų reprodukcinis pajėgumas;</w:t>
      </w:r>
    </w:p>
    <w:p w:rsidRPr="001546A6" w:rsidR="001546A6" w:rsidP="0038617F" w:rsidRDefault="001546A6" w14:paraId="1D28D5E2" w14:textId="77777777">
      <w:pPr>
        <w:pStyle w:val="ListParagraph"/>
        <w:numPr>
          <w:ilvl w:val="0"/>
          <w:numId w:val="48"/>
        </w:numPr>
      </w:pPr>
      <w:r>
        <w:t>pripažįsta, kad tam tikromis aplinkybėmis, susijusiomis su tam tikrų žuvų išteklių būkle ir trumpalaike jų biomasės raidos prognoze, dėl 5 proc. taisyklės taikymo gali tapti neįmanoma nustatyti žvejybos galimybių ir gali prireikti sustabdyti tikslinę žvejybą, o tai gali turėti didelių socialinių ir ekonominių padarinių;</w:t>
      </w:r>
    </w:p>
    <w:p w:rsidRPr="001546A6" w:rsidR="001546A6" w:rsidP="0038617F" w:rsidRDefault="001546A6" w14:paraId="5B39FA0C" w14:textId="77777777">
      <w:pPr>
        <w:pStyle w:val="ListParagraph"/>
        <w:numPr>
          <w:ilvl w:val="0"/>
          <w:numId w:val="48"/>
        </w:numPr>
      </w:pPr>
      <w:r>
        <w:t>todėl pritaria pasiūlymui išbraukti 5 proc. taisyklę iš šių trijų daugiamečių planų.</w:t>
      </w:r>
    </w:p>
    <w:p w:rsidRPr="001546A6"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546A6" w:rsidR="001546A6" w:rsidTr="00F655B8" w14:paraId="70454B14" w14:textId="77777777">
        <w:tc>
          <w:tcPr>
            <w:tcW w:w="1418" w:type="dxa"/>
          </w:tcPr>
          <w:p w:rsidRPr="001546A6" w:rsidR="001546A6" w:rsidP="001546A6" w:rsidRDefault="001546A6" w14:paraId="40690270"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1546A6" w:rsidR="001546A6" w:rsidP="001546A6" w:rsidRDefault="001546A6" w14:paraId="178F51E4" w14:textId="77777777">
            <w:pPr>
              <w:overflowPunct w:val="0"/>
              <w:autoSpaceDE w:val="0"/>
              <w:autoSpaceDN w:val="0"/>
              <w:adjustRightInd w:val="0"/>
              <w:spacing w:line="240" w:lineRule="auto"/>
              <w:textAlignment w:val="baseline"/>
              <w:rPr>
                <w:i/>
              </w:rPr>
            </w:pPr>
            <w:r>
              <w:rPr>
                <w:i/>
              </w:rPr>
              <w:t xml:space="preserve">Arturo </w:t>
            </w:r>
            <w:proofErr w:type="spellStart"/>
            <w:r>
              <w:rPr>
                <w:i/>
              </w:rPr>
              <w:t>Iniguez</w:t>
            </w:r>
            <w:proofErr w:type="spellEnd"/>
          </w:p>
        </w:tc>
      </w:tr>
      <w:tr w:rsidRPr="001546A6" w:rsidR="001546A6" w:rsidTr="00F655B8" w14:paraId="59C49362" w14:textId="77777777">
        <w:tc>
          <w:tcPr>
            <w:tcW w:w="1418" w:type="dxa"/>
          </w:tcPr>
          <w:p w:rsidRPr="001546A6" w:rsidR="001546A6" w:rsidP="001546A6" w:rsidRDefault="001546A6" w14:paraId="2D5E2166" w14:textId="77777777">
            <w:pPr>
              <w:overflowPunct w:val="0"/>
              <w:autoSpaceDE w:val="0"/>
              <w:autoSpaceDN w:val="0"/>
              <w:adjustRightInd w:val="0"/>
              <w:spacing w:line="240" w:lineRule="auto"/>
              <w:textAlignment w:val="baseline"/>
              <w:rPr>
                <w:i/>
              </w:rPr>
            </w:pPr>
            <w:r>
              <w:rPr>
                <w:i/>
              </w:rPr>
              <w:t>Tel.</w:t>
            </w:r>
          </w:p>
        </w:tc>
        <w:tc>
          <w:tcPr>
            <w:tcW w:w="5670" w:type="dxa"/>
          </w:tcPr>
          <w:p w:rsidRPr="001546A6" w:rsidR="001546A6" w:rsidP="001546A6" w:rsidRDefault="001546A6" w14:paraId="0F340586" w14:textId="77777777">
            <w:pPr>
              <w:overflowPunct w:val="0"/>
              <w:autoSpaceDE w:val="0"/>
              <w:autoSpaceDN w:val="0"/>
              <w:adjustRightInd w:val="0"/>
              <w:spacing w:line="240" w:lineRule="auto"/>
              <w:textAlignment w:val="baseline"/>
              <w:rPr>
                <w:i/>
              </w:rPr>
            </w:pPr>
            <w:r>
              <w:rPr>
                <w:i/>
              </w:rPr>
              <w:t>+32 25468768</w:t>
            </w:r>
          </w:p>
        </w:tc>
      </w:tr>
      <w:tr w:rsidRPr="001546A6" w:rsidR="001546A6" w:rsidTr="00F655B8" w14:paraId="7E13A8F0" w14:textId="77777777">
        <w:tc>
          <w:tcPr>
            <w:tcW w:w="1418" w:type="dxa"/>
          </w:tcPr>
          <w:p w:rsidRPr="001546A6" w:rsidR="001546A6" w:rsidP="001546A6" w:rsidRDefault="001546A6" w14:paraId="65570F29" w14:textId="77777777">
            <w:pPr>
              <w:overflowPunct w:val="0"/>
              <w:autoSpaceDE w:val="0"/>
              <w:autoSpaceDN w:val="0"/>
              <w:adjustRightInd w:val="0"/>
              <w:spacing w:line="240" w:lineRule="auto"/>
              <w:textAlignment w:val="baseline"/>
              <w:rPr>
                <w:i/>
              </w:rPr>
            </w:pPr>
            <w:r>
              <w:rPr>
                <w:i/>
              </w:rPr>
              <w:t>E. paštas</w:t>
            </w:r>
          </w:p>
        </w:tc>
        <w:tc>
          <w:tcPr>
            <w:tcW w:w="5670" w:type="dxa"/>
          </w:tcPr>
          <w:p w:rsidRPr="00C83487" w:rsidR="001546A6" w:rsidP="001546A6" w:rsidRDefault="002B6F40" w14:paraId="4CAF59C5" w14:textId="663BE3D7">
            <w:pPr>
              <w:overflowPunct w:val="0"/>
              <w:autoSpaceDE w:val="0"/>
              <w:autoSpaceDN w:val="0"/>
              <w:adjustRightInd w:val="0"/>
              <w:spacing w:line="240" w:lineRule="auto"/>
              <w:textAlignment w:val="baseline"/>
              <w:rPr>
                <w:i/>
                <w:color w:val="0000FF"/>
                <w:u w:val="single"/>
              </w:rPr>
            </w:pPr>
            <w:hyperlink w:history="1" r:id="rId38">
              <w:r w:rsidR="00356E7D">
                <w:rPr>
                  <w:i/>
                  <w:color w:val="0000FF"/>
                  <w:u w:val="single"/>
                </w:rPr>
                <w:t>Arturo.Iniguez@eesc.europa.eu</w:t>
              </w:r>
            </w:hyperlink>
          </w:p>
        </w:tc>
      </w:tr>
    </w:tbl>
    <w:p w:rsidR="00E20508" w:rsidRDefault="00E20508" w14:paraId="4578CC15" w14:textId="77777777">
      <w:pPr>
        <w:spacing w:after="160" w:line="259" w:lineRule="auto"/>
        <w:jc w:val="left"/>
        <w:rPr>
          <w:b/>
          <w:bCs/>
        </w:rPr>
      </w:pPr>
      <w:r>
        <w:br w:type="page"/>
      </w:r>
    </w:p>
    <w:p w:rsidRPr="0048644C" w:rsidR="0048644C" w:rsidP="0048644C" w:rsidRDefault="002B6F40" w14:paraId="3853AC6D" w14:textId="3550F579">
      <w:pPr>
        <w:widowControl w:val="0"/>
        <w:numPr>
          <w:ilvl w:val="0"/>
          <w:numId w:val="2"/>
        </w:numPr>
        <w:overflowPunct w:val="0"/>
        <w:autoSpaceDE w:val="0"/>
        <w:autoSpaceDN w:val="0"/>
        <w:adjustRightInd w:val="0"/>
        <w:ind w:hanging="567"/>
        <w:textAlignment w:val="baseline"/>
        <w:rPr>
          <w:sz w:val="20"/>
          <w:szCs w:val="20"/>
        </w:rPr>
      </w:pPr>
      <w:hyperlink w:history="1" r:id="rId39">
        <w:r w:rsidR="00356E7D">
          <w:rPr>
            <w:b/>
            <w:i/>
            <w:color w:val="0000FF"/>
            <w:sz w:val="28"/>
            <w:u w:val="single"/>
          </w:rPr>
          <w:t>Bendros žemės ūkio politikos (BŽŪP) po 2027 m. kūrimas</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61"/>
        <w:gridCol w:w="7926"/>
      </w:tblGrid>
      <w:tr w:rsidRPr="0048644C" w:rsidR="0048644C" w:rsidTr="00C83487" w14:paraId="104552E9" w14:textId="77777777">
        <w:trPr>
          <w:trHeight w:val="297"/>
        </w:trPr>
        <w:tc>
          <w:tcPr>
            <w:tcW w:w="733" w:type="pct"/>
          </w:tcPr>
          <w:p w:rsidRPr="0048644C" w:rsidR="0048644C" w:rsidP="0048644C" w:rsidRDefault="0048644C" w14:paraId="1D48BA65" w14:textId="77777777">
            <w:pPr>
              <w:tabs>
                <w:tab w:val="center" w:pos="284"/>
              </w:tabs>
              <w:overflowPunct w:val="0"/>
              <w:autoSpaceDE w:val="0"/>
              <w:autoSpaceDN w:val="0"/>
              <w:adjustRightInd w:val="0"/>
              <w:ind w:left="266" w:hanging="266"/>
              <w:textAlignment w:val="baseline"/>
              <w:rPr>
                <w:b/>
              </w:rPr>
            </w:pPr>
            <w:r>
              <w:rPr>
                <w:b/>
              </w:rPr>
              <w:t>Pranešėjas</w:t>
            </w:r>
          </w:p>
        </w:tc>
        <w:tc>
          <w:tcPr>
            <w:tcW w:w="4267" w:type="pct"/>
          </w:tcPr>
          <w:p w:rsidRPr="0048644C" w:rsidR="0048644C" w:rsidP="0048644C" w:rsidRDefault="0048644C" w14:paraId="0A2388D7" w14:textId="7DE5EA6F">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w:t>
            </w:r>
            <w:proofErr w:type="spellStart"/>
            <w:r>
              <w:t>Tchoukanov</w:t>
            </w:r>
            <w:proofErr w:type="spellEnd"/>
            <w:r>
              <w:t xml:space="preserve"> (Pilietinės visuomenės organizacijų grupė, BG)</w:t>
            </w:r>
          </w:p>
        </w:tc>
      </w:tr>
      <w:tr w:rsidRPr="0048644C" w:rsidR="0048644C" w:rsidTr="00F655B8" w14:paraId="4706EC05" w14:textId="77777777">
        <w:trPr>
          <w:trHeight w:val="285"/>
        </w:trPr>
        <w:tc>
          <w:tcPr>
            <w:tcW w:w="733" w:type="pct"/>
            <w:vMerge w:val="restart"/>
          </w:tcPr>
          <w:p w:rsidRPr="0048644C" w:rsidR="0048644C" w:rsidP="0048644C" w:rsidRDefault="0048644C" w14:paraId="4E8A6DF7" w14:textId="77777777">
            <w:pPr>
              <w:tabs>
                <w:tab w:val="center" w:pos="284"/>
              </w:tabs>
              <w:overflowPunct w:val="0"/>
              <w:autoSpaceDE w:val="0"/>
              <w:autoSpaceDN w:val="0"/>
              <w:adjustRightInd w:val="0"/>
              <w:ind w:left="266" w:hanging="266"/>
              <w:textAlignment w:val="baseline"/>
              <w:rPr>
                <w:b/>
              </w:rPr>
            </w:pPr>
            <w:r>
              <w:rPr>
                <w:b/>
              </w:rPr>
              <w:t>Nuorodos</w:t>
            </w:r>
          </w:p>
        </w:tc>
        <w:tc>
          <w:tcPr>
            <w:tcW w:w="4267" w:type="pct"/>
          </w:tcPr>
          <w:p w:rsidRPr="0048644C" w:rsidR="0048644C" w:rsidP="0048644C" w:rsidRDefault="0048644C" w14:paraId="12F473B0" w14:textId="785FAF77">
            <w:pPr>
              <w:tabs>
                <w:tab w:val="center" w:pos="284"/>
              </w:tabs>
              <w:overflowPunct w:val="0"/>
              <w:autoSpaceDE w:val="0"/>
              <w:autoSpaceDN w:val="0"/>
              <w:adjustRightInd w:val="0"/>
              <w:ind w:left="266" w:hanging="266"/>
              <w:textAlignment w:val="baseline"/>
            </w:pPr>
            <w:r>
              <w:t>Tiriamoji nuomonė ES Tarybai pirmininkaujančios Belgijos prašymu</w:t>
            </w:r>
          </w:p>
        </w:tc>
      </w:tr>
      <w:tr w:rsidRPr="0048644C" w:rsidR="0048644C" w:rsidTr="00F655B8" w14:paraId="185DEF53" w14:textId="77777777">
        <w:trPr>
          <w:trHeight w:val="293"/>
        </w:trPr>
        <w:tc>
          <w:tcPr>
            <w:tcW w:w="733" w:type="pct"/>
            <w:vMerge/>
          </w:tcPr>
          <w:p w:rsidRPr="0048644C" w:rsidR="0048644C" w:rsidP="0048644C" w:rsidRDefault="0048644C" w14:paraId="6F9967C9" w14:textId="77777777">
            <w:pPr>
              <w:tabs>
                <w:tab w:val="center" w:pos="284"/>
              </w:tabs>
              <w:overflowPunct w:val="0"/>
              <w:autoSpaceDE w:val="0"/>
              <w:autoSpaceDN w:val="0"/>
              <w:adjustRightInd w:val="0"/>
              <w:ind w:left="266" w:hanging="266"/>
              <w:textAlignment w:val="baseline"/>
              <w:rPr>
                <w:b/>
              </w:rPr>
            </w:pPr>
          </w:p>
        </w:tc>
        <w:tc>
          <w:tcPr>
            <w:tcW w:w="4267" w:type="pct"/>
          </w:tcPr>
          <w:p w:rsidRPr="0048644C" w:rsidR="0048644C" w:rsidP="0048644C" w:rsidRDefault="00C83487" w14:paraId="6B2F8067" w14:textId="194D3C80">
            <w:pPr>
              <w:tabs>
                <w:tab w:val="center" w:pos="284"/>
              </w:tabs>
              <w:overflowPunct w:val="0"/>
              <w:autoSpaceDE w:val="0"/>
              <w:autoSpaceDN w:val="0"/>
              <w:adjustRightInd w:val="0"/>
              <w:ind w:left="266" w:hanging="266"/>
              <w:textAlignment w:val="baseline"/>
            </w:pPr>
            <w:r>
              <w:t>EESC-2023-03963-00-00-AC</w:t>
            </w:r>
          </w:p>
        </w:tc>
      </w:tr>
    </w:tbl>
    <w:p w:rsidR="007F6026" w:rsidP="007F6026" w:rsidRDefault="007F6026" w14:paraId="31AE2072" w14:textId="77777777">
      <w:pPr>
        <w:keepNext/>
        <w:keepLines/>
        <w:overflowPunct w:val="0"/>
        <w:autoSpaceDE w:val="0"/>
        <w:autoSpaceDN w:val="0"/>
        <w:adjustRightInd w:val="0"/>
        <w:textAlignment w:val="baseline"/>
        <w:rPr>
          <w:b/>
        </w:rPr>
      </w:pPr>
    </w:p>
    <w:p w:rsidRPr="0048644C" w:rsidR="0048644C" w:rsidP="000E5EDB" w:rsidRDefault="0048644C" w14:paraId="66B2F906" w14:textId="5A6361DC">
      <w:pPr>
        <w:keepNext/>
        <w:keepLines/>
        <w:overflowPunct w:val="0"/>
        <w:autoSpaceDE w:val="0"/>
        <w:autoSpaceDN w:val="0"/>
        <w:adjustRightInd w:val="0"/>
        <w:textAlignment w:val="baseline"/>
        <w:rPr>
          <w:b/>
        </w:rPr>
      </w:pPr>
      <w:r>
        <w:rPr>
          <w:b/>
        </w:rPr>
        <w:t>Dokumento esmė</w:t>
      </w:r>
    </w:p>
    <w:p w:rsidRPr="007F6026" w:rsidR="007F6026" w:rsidP="0048644C" w:rsidRDefault="007F6026" w14:paraId="53CAB92D" w14:textId="77777777">
      <w:pPr>
        <w:keepNext/>
        <w:keepLines/>
        <w:tabs>
          <w:tab w:val="center" w:pos="284"/>
        </w:tabs>
        <w:overflowPunct w:val="0"/>
        <w:autoSpaceDE w:val="0"/>
        <w:autoSpaceDN w:val="0"/>
        <w:adjustRightInd w:val="0"/>
        <w:ind w:left="266" w:hanging="266"/>
        <w:textAlignment w:val="baseline"/>
      </w:pPr>
    </w:p>
    <w:p w:rsidRPr="0048644C" w:rsidR="0048644C" w:rsidRDefault="0048644C" w14:paraId="08594ACA" w14:textId="77777777">
      <w:pPr>
        <w:overflowPunct w:val="0"/>
        <w:autoSpaceDE w:val="0"/>
        <w:autoSpaceDN w:val="0"/>
        <w:adjustRightInd w:val="0"/>
        <w:textAlignment w:val="baseline"/>
        <w:rPr>
          <w:bCs/>
          <w:iCs/>
        </w:rPr>
      </w:pPr>
      <w:r>
        <w:t>mano, kad bendra žemės ūkio politika po 2027 m.:</w:t>
      </w:r>
    </w:p>
    <w:p w:rsidRPr="0038617F" w:rsidR="0048644C" w:rsidP="0038617F" w:rsidRDefault="0048644C" w14:paraId="6496DB4E" w14:textId="77777777">
      <w:pPr>
        <w:pStyle w:val="ListParagraph"/>
        <w:numPr>
          <w:ilvl w:val="0"/>
          <w:numId w:val="49"/>
        </w:numPr>
        <w:rPr>
          <w:szCs w:val="20"/>
        </w:rPr>
      </w:pPr>
      <w:r>
        <w:t xml:space="preserve">turi užtikrinti </w:t>
      </w:r>
      <w:r w:rsidRPr="0038617F">
        <w:rPr>
          <w:b/>
        </w:rPr>
        <w:t>stabilią ilgalaikę politikos sistemą</w:t>
      </w:r>
      <w:r>
        <w:t>, orientuotą į tvarią maisto gamybą ir atvirą strateginį Europos Sąjungos savarankiškumą, taip pat apsaugoti ūkininkavimo tipų įvairovę ES ir tenkinti visuomenės ir aplinkos poreikius („viešosios lėšos viešosioms gėrybėms“), kartu užtikrinant kaimo plėtrą;</w:t>
      </w:r>
    </w:p>
    <w:p w:rsidRPr="0038617F" w:rsidR="0048644C" w:rsidP="0038617F" w:rsidRDefault="0048644C" w14:paraId="0A683AD2" w14:textId="77777777">
      <w:pPr>
        <w:pStyle w:val="ListParagraph"/>
        <w:numPr>
          <w:ilvl w:val="0"/>
          <w:numId w:val="49"/>
        </w:numPr>
        <w:rPr>
          <w:szCs w:val="20"/>
        </w:rPr>
      </w:pPr>
      <w:r>
        <w:t xml:space="preserve">turi būti </w:t>
      </w:r>
      <w:r w:rsidRPr="0038617F">
        <w:rPr>
          <w:b/>
        </w:rPr>
        <w:t>įspėjamasis signalas</w:t>
      </w:r>
      <w:r>
        <w:t xml:space="preserve"> ir atkreipti dėmesį į būtinybę tinkamai remti ūkininkus pereinamuoju laikotarpiu; </w:t>
      </w:r>
    </w:p>
    <w:p w:rsidRPr="0038617F" w:rsidR="0048644C" w:rsidP="0038617F" w:rsidRDefault="0048644C" w14:paraId="5BA54AF3" w14:textId="77777777">
      <w:pPr>
        <w:pStyle w:val="ListParagraph"/>
        <w:numPr>
          <w:ilvl w:val="0"/>
          <w:numId w:val="49"/>
        </w:numPr>
        <w:rPr>
          <w:szCs w:val="20"/>
        </w:rPr>
      </w:pPr>
      <w:r>
        <w:t xml:space="preserve">nepaisant to, kad per pastaruosius 40 metų BŽŪP skiriama ES biudžeto dalis nuolat mažėjo (iki mažiau nei 25 proc. 2021 m.), BŽŪP </w:t>
      </w:r>
      <w:r w:rsidRPr="0038617F">
        <w:rPr>
          <w:b/>
        </w:rPr>
        <w:t>finansavimas</w:t>
      </w:r>
      <w:r>
        <w:t xml:space="preserve"> turi atitikti jos siekį – remti teisingą pertvarką, o plotu paremta bazinė pajamų parama turėtų būti laipsniškai pakeista finansinėmis paskatomis ūkininkams už aplinkai ir visuomenei naudingas paslaugas nustatant pagrįstą pereinamąjį laikotarpį, kuris gali viršyti vienos bendros daugiametės finansinės programos (DFP) taikymo laikotarpį; </w:t>
      </w:r>
    </w:p>
    <w:p w:rsidRPr="0038617F" w:rsidR="0048644C" w:rsidP="0038617F" w:rsidRDefault="0048644C" w14:paraId="6F39431C" w14:textId="77777777">
      <w:pPr>
        <w:pStyle w:val="ListParagraph"/>
        <w:numPr>
          <w:ilvl w:val="0"/>
          <w:numId w:val="49"/>
        </w:numPr>
        <w:rPr>
          <w:szCs w:val="20"/>
        </w:rPr>
      </w:pPr>
      <w:r>
        <w:t xml:space="preserve">kartu su kitomis politikos sritimis ir siekiant sustabdyti tolesnį ūkių skaičiaus mažėjimą ES, turi </w:t>
      </w:r>
      <w:r w:rsidRPr="0038617F">
        <w:rPr>
          <w:b/>
        </w:rPr>
        <w:t>skatinti kartų kaitą</w:t>
      </w:r>
      <w:r>
        <w:t xml:space="preserve"> užtikrinant galimybę naudotis žeme, didinant vidutines ūkininkavimo pajamas, sudarant palankias investavimo sąlygas, užtikrinant moterų įgalėjimą, geras darbo sąlygas, skatinant apleistos ar nederlingos žemės naudojimą ir ekstensyviąją gyvulininkystę;</w:t>
      </w:r>
    </w:p>
    <w:p w:rsidRPr="0038617F" w:rsidR="0048644C" w:rsidP="0038617F" w:rsidRDefault="0048644C" w14:paraId="02D08C86" w14:textId="77777777">
      <w:pPr>
        <w:pStyle w:val="ListParagraph"/>
        <w:numPr>
          <w:ilvl w:val="0"/>
          <w:numId w:val="49"/>
        </w:numPr>
        <w:rPr>
          <w:szCs w:val="20"/>
        </w:rPr>
      </w:pPr>
      <w:r>
        <w:t xml:space="preserve">turi išsaugoti tvarią žemės ūkio gamybą visoje ES ir padėti skatinti ES sveikesnės ir tvaresnės mitybos </w:t>
      </w:r>
      <w:r w:rsidRPr="0038617F">
        <w:rPr>
          <w:b/>
        </w:rPr>
        <w:t>vartotojų paklausą</w:t>
      </w:r>
      <w:r>
        <w:t>, mažinti maisto švaistymą ir reguliuoti maisto rinkas, kad būtų sprendžiamas maisto sektoriaus susaistymo su finansų sektoriumi klausimas;</w:t>
      </w:r>
    </w:p>
    <w:p w:rsidRPr="0038617F" w:rsidR="0048644C" w:rsidP="0038617F" w:rsidRDefault="0048644C" w14:paraId="15ABB431" w14:textId="77777777">
      <w:pPr>
        <w:pStyle w:val="ListParagraph"/>
        <w:numPr>
          <w:ilvl w:val="0"/>
          <w:numId w:val="49"/>
        </w:numPr>
        <w:rPr>
          <w:szCs w:val="20"/>
        </w:rPr>
      </w:pPr>
      <w:r>
        <w:t xml:space="preserve">turėtų apsvarstyti galimybę įtraukti </w:t>
      </w:r>
      <w:r w:rsidRPr="0038617F">
        <w:rPr>
          <w:b/>
        </w:rPr>
        <w:t>anticiklinius komponentus</w:t>
      </w:r>
      <w:r>
        <w:t xml:space="preserve"> ir numatyti investicijų paramos schemas, skirtas atsinaujinančiųjų išteklių energijos gamybai ūkių ir vietos lygmeniu kaimo vietovėse;</w:t>
      </w:r>
    </w:p>
    <w:p w:rsidRPr="0038617F" w:rsidR="0048644C" w:rsidP="0038617F" w:rsidRDefault="0048644C" w14:paraId="772C8887" w14:textId="77777777">
      <w:pPr>
        <w:pStyle w:val="ListParagraph"/>
        <w:numPr>
          <w:ilvl w:val="0"/>
          <w:numId w:val="49"/>
        </w:numPr>
        <w:rPr>
          <w:szCs w:val="20"/>
        </w:rPr>
      </w:pPr>
      <w:r>
        <w:t xml:space="preserve">turėtų būti grindžiama tvirtesnių viešojo ir privačiojo sektorių partnerysčių </w:t>
      </w:r>
      <w:r w:rsidRPr="0038617F">
        <w:rPr>
          <w:b/>
        </w:rPr>
        <w:t>draudimo sistemomis</w:t>
      </w:r>
      <w:r>
        <w:t>, skirtomis reaguoti į ekstremalių klimato sąlygų padarinius;</w:t>
      </w:r>
    </w:p>
    <w:p w:rsidRPr="0038617F" w:rsidR="0048644C" w:rsidP="0038617F" w:rsidRDefault="0048644C" w14:paraId="027E93E4" w14:textId="77777777">
      <w:pPr>
        <w:pStyle w:val="ListParagraph"/>
        <w:numPr>
          <w:ilvl w:val="0"/>
          <w:numId w:val="49"/>
        </w:numPr>
        <w:rPr>
          <w:szCs w:val="20"/>
        </w:rPr>
      </w:pPr>
      <w:r>
        <w:t xml:space="preserve">turėtų būti remiamos </w:t>
      </w:r>
      <w:r w:rsidRPr="0038617F">
        <w:rPr>
          <w:b/>
        </w:rPr>
        <w:t>skaitmeninės technologijos</w:t>
      </w:r>
      <w:r>
        <w:t>, kuriomis akivaizdžiai prisidedama prie poveikio gamtai ir aplinkai mažinimo, gyvūnų gerovės ar darbo sąlygų gerinimo;</w:t>
      </w:r>
    </w:p>
    <w:p w:rsidRPr="0038617F" w:rsidR="0048644C" w:rsidP="0038617F" w:rsidRDefault="0048644C" w14:paraId="4CFC3438" w14:textId="77777777">
      <w:pPr>
        <w:pStyle w:val="ListParagraph"/>
        <w:numPr>
          <w:ilvl w:val="0"/>
          <w:numId w:val="49"/>
        </w:numPr>
        <w:rPr>
          <w:szCs w:val="20"/>
        </w:rPr>
      </w:pPr>
      <w:r>
        <w:t xml:space="preserve">turėtų numatyti </w:t>
      </w:r>
      <w:r w:rsidRPr="0038617F">
        <w:rPr>
          <w:b/>
        </w:rPr>
        <w:t>peržiūrėti</w:t>
      </w:r>
      <w:r>
        <w:t xml:space="preserve"> strateginių planų rengimo ir pritaikymo </w:t>
      </w:r>
      <w:r w:rsidRPr="0038617F">
        <w:rPr>
          <w:b/>
        </w:rPr>
        <w:t>procesą</w:t>
      </w:r>
      <w:r>
        <w:t>, kad į jį būtų galima įtraukti suinteresuotuosius subjektus, suteikti daugiau lankstumo valstybėms narėms ir po jų pirminio patvirtinimo greičiau juos pritaikyti.</w:t>
      </w:r>
    </w:p>
    <w:p w:rsidRPr="0048644C" w:rsidR="0048644C" w:rsidP="0048644C" w:rsidRDefault="0048644C" w14:paraId="026C3080" w14:textId="77777777">
      <w:pPr>
        <w:widowControl w:val="0"/>
        <w:overflowPunct w:val="0"/>
        <w:autoSpaceDE w:val="0"/>
        <w:autoSpaceDN w:val="0"/>
        <w:adjustRightInd w:val="0"/>
        <w:ind w:left="709"/>
        <w:textAlignment w:val="baseline"/>
        <w:rPr>
          <w:sz w:val="10"/>
          <w:szCs w:val="10"/>
        </w:rPr>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48644C" w:rsidR="0048644C" w:rsidTr="00F655B8" w14:paraId="721C88AC" w14:textId="77777777">
        <w:tc>
          <w:tcPr>
            <w:tcW w:w="1556" w:type="pct"/>
          </w:tcPr>
          <w:p w:rsidRPr="0048644C" w:rsidR="0048644C" w:rsidP="0048644C" w:rsidRDefault="0048644C" w14:paraId="0B8D550D"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48644C" w:rsidR="0048644C" w:rsidP="0048644C" w:rsidRDefault="0048644C" w14:paraId="48049031" w14:textId="77777777">
            <w:pPr>
              <w:overflowPunct w:val="0"/>
              <w:autoSpaceDE w:val="0"/>
              <w:autoSpaceDN w:val="0"/>
              <w:adjustRightInd w:val="0"/>
              <w:spacing w:line="240" w:lineRule="auto"/>
              <w:textAlignment w:val="baseline"/>
              <w:rPr>
                <w:i/>
                <w:iCs/>
              </w:rPr>
            </w:pPr>
            <w:r>
              <w:rPr>
                <w:i/>
              </w:rPr>
              <w:t xml:space="preserve">Martine </w:t>
            </w:r>
            <w:proofErr w:type="spellStart"/>
            <w:r>
              <w:rPr>
                <w:i/>
              </w:rPr>
              <w:t>Delanoy</w:t>
            </w:r>
            <w:proofErr w:type="spellEnd"/>
          </w:p>
        </w:tc>
      </w:tr>
      <w:tr w:rsidRPr="0048644C" w:rsidR="0048644C" w:rsidTr="00F655B8" w14:paraId="1C716522" w14:textId="77777777">
        <w:tc>
          <w:tcPr>
            <w:tcW w:w="1556" w:type="pct"/>
          </w:tcPr>
          <w:p w:rsidRPr="0048644C" w:rsidR="0048644C" w:rsidP="0048644C" w:rsidRDefault="0048644C" w14:paraId="4BB41A15" w14:textId="77777777">
            <w:pPr>
              <w:overflowPunct w:val="0"/>
              <w:autoSpaceDE w:val="0"/>
              <w:autoSpaceDN w:val="0"/>
              <w:adjustRightInd w:val="0"/>
              <w:spacing w:line="240" w:lineRule="auto"/>
              <w:textAlignment w:val="baseline"/>
              <w:rPr>
                <w:i/>
              </w:rPr>
            </w:pPr>
            <w:r>
              <w:rPr>
                <w:i/>
              </w:rPr>
              <w:t>Tel.</w:t>
            </w:r>
          </w:p>
        </w:tc>
        <w:tc>
          <w:tcPr>
            <w:tcW w:w="3444" w:type="pct"/>
          </w:tcPr>
          <w:p w:rsidRPr="0048644C" w:rsidR="0048644C" w:rsidP="0048644C" w:rsidRDefault="0048644C" w14:paraId="57596B2C" w14:textId="77777777">
            <w:pPr>
              <w:overflowPunct w:val="0"/>
              <w:autoSpaceDE w:val="0"/>
              <w:autoSpaceDN w:val="0"/>
              <w:adjustRightInd w:val="0"/>
              <w:spacing w:line="240" w:lineRule="auto"/>
              <w:textAlignment w:val="baseline"/>
              <w:rPr>
                <w:i/>
              </w:rPr>
            </w:pPr>
            <w:r>
              <w:rPr>
                <w:i/>
              </w:rPr>
              <w:t>+32 25469802</w:t>
            </w:r>
          </w:p>
        </w:tc>
      </w:tr>
      <w:tr w:rsidRPr="0048644C" w:rsidR="0048644C" w:rsidTr="00F655B8" w14:paraId="6B3A8EAB" w14:textId="77777777">
        <w:tc>
          <w:tcPr>
            <w:tcW w:w="1556" w:type="pct"/>
          </w:tcPr>
          <w:p w:rsidRPr="0048644C" w:rsidR="0048644C" w:rsidP="0048644C" w:rsidRDefault="0048644C" w14:paraId="45417D47" w14:textId="77777777">
            <w:pPr>
              <w:overflowPunct w:val="0"/>
              <w:autoSpaceDE w:val="0"/>
              <w:autoSpaceDN w:val="0"/>
              <w:adjustRightInd w:val="0"/>
              <w:spacing w:line="240" w:lineRule="auto"/>
              <w:textAlignment w:val="baseline"/>
              <w:rPr>
                <w:i/>
              </w:rPr>
            </w:pPr>
            <w:r>
              <w:rPr>
                <w:i/>
              </w:rPr>
              <w:t>E. paštas</w:t>
            </w:r>
          </w:p>
        </w:tc>
        <w:tc>
          <w:tcPr>
            <w:tcW w:w="3444" w:type="pct"/>
          </w:tcPr>
          <w:p w:rsidRPr="0048644C" w:rsidR="0048644C" w:rsidP="0048644C" w:rsidRDefault="002B6F40" w14:paraId="7C6FE1E8" w14:textId="755735AE">
            <w:pPr>
              <w:overflowPunct w:val="0"/>
              <w:autoSpaceDE w:val="0"/>
              <w:autoSpaceDN w:val="0"/>
              <w:adjustRightInd w:val="0"/>
              <w:spacing w:line="240" w:lineRule="auto"/>
              <w:textAlignment w:val="baseline"/>
              <w:rPr>
                <w:i/>
              </w:rPr>
            </w:pPr>
            <w:hyperlink w:history="1" r:id="rId40">
              <w:r w:rsidR="00356E7D">
                <w:rPr>
                  <w:i/>
                  <w:color w:val="0000FF"/>
                  <w:u w:val="single"/>
                </w:rPr>
                <w:t>Martine.Delanoy@eesc.europa.eu</w:t>
              </w:r>
            </w:hyperlink>
          </w:p>
        </w:tc>
      </w:tr>
    </w:tbl>
    <w:p w:rsidR="006938FA" w:rsidRDefault="006938FA" w14:paraId="6AD61F9D" w14:textId="77777777">
      <w:pPr>
        <w:spacing w:after="160" w:line="259" w:lineRule="auto"/>
        <w:jc w:val="left"/>
        <w:rPr>
          <w:b/>
          <w:bCs/>
        </w:rPr>
      </w:pPr>
      <w:r>
        <w:br w:type="page"/>
      </w:r>
    </w:p>
    <w:p w:rsidRPr="00810736" w:rsidR="006B3316" w:rsidP="0074419C" w:rsidRDefault="005374D2" w14:paraId="4FE1ECEE" w14:textId="7B16969B">
      <w:pPr>
        <w:pStyle w:val="Heading1"/>
        <w:ind w:hanging="928"/>
        <w:rPr>
          <w:b/>
          <w:bCs/>
        </w:rPr>
      </w:pPr>
      <w:bookmarkStart w:name="_Toc153539702" w:id="20"/>
      <w:bookmarkStart w:name="_Toc157781927" w:id="21"/>
      <w:r>
        <w:rPr>
          <w:b/>
        </w:rPr>
        <w:lastRenderedPageBreak/>
        <w:t>IŠORĖS SANTYKIAI</w:t>
      </w:r>
      <w:bookmarkEnd w:id="20"/>
      <w:bookmarkEnd w:id="21"/>
    </w:p>
    <w:p w:rsidRPr="00BD0493" w:rsidR="00BD0493" w:rsidP="00BD0493" w:rsidRDefault="00BD0493" w14:paraId="10EC00FD" w14:textId="77777777"/>
    <w:p w:rsidRPr="005D0E3D" w:rsidR="005D0E3D" w:rsidP="005D0E3D" w:rsidRDefault="002B6F40" w14:paraId="523887E3" w14:textId="27A8F19B">
      <w:pPr>
        <w:widowControl w:val="0"/>
        <w:numPr>
          <w:ilvl w:val="0"/>
          <w:numId w:val="2"/>
        </w:numPr>
        <w:overflowPunct w:val="0"/>
        <w:autoSpaceDE w:val="0"/>
        <w:autoSpaceDN w:val="0"/>
        <w:adjustRightInd w:val="0"/>
        <w:ind w:hanging="567"/>
        <w:textAlignment w:val="baseline"/>
        <w:rPr>
          <w:sz w:val="20"/>
          <w:szCs w:val="20"/>
        </w:rPr>
      </w:pPr>
      <w:hyperlink w:history="1" r:id="rId41">
        <w:r w:rsidR="00356E7D">
          <w:rPr>
            <w:b/>
            <w:i/>
            <w:color w:val="0000FF"/>
            <w:sz w:val="28"/>
            <w:u w:val="single"/>
          </w:rPr>
          <w:t>Reagavimas į klimato kaitos ir aplinkos būklės blogėjimo poveikį taikai, saugumui ir gynybai</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053"/>
      </w:tblGrid>
      <w:tr w:rsidRPr="005D0E3D" w:rsidR="005D0E3D" w:rsidTr="006221F1" w14:paraId="2C6EB7F5" w14:textId="77777777">
        <w:tc>
          <w:tcPr>
            <w:tcW w:w="2127" w:type="dxa"/>
          </w:tcPr>
          <w:p w:rsidRPr="005D0E3D" w:rsidR="005D0E3D" w:rsidP="005D0E3D" w:rsidRDefault="005D0E3D" w14:paraId="668CF52A" w14:textId="77777777">
            <w:pPr>
              <w:tabs>
                <w:tab w:val="center" w:pos="284"/>
              </w:tabs>
              <w:overflowPunct w:val="0"/>
              <w:autoSpaceDE w:val="0"/>
              <w:autoSpaceDN w:val="0"/>
              <w:adjustRightInd w:val="0"/>
              <w:ind w:left="266" w:hanging="266"/>
              <w:textAlignment w:val="baseline"/>
              <w:rPr>
                <w:b/>
              </w:rPr>
            </w:pPr>
            <w:r>
              <w:rPr>
                <w:b/>
              </w:rPr>
              <w:t>Pranešėjas</w:t>
            </w:r>
          </w:p>
        </w:tc>
        <w:tc>
          <w:tcPr>
            <w:tcW w:w="7053" w:type="dxa"/>
          </w:tcPr>
          <w:p w:rsidRPr="005D0E3D" w:rsidR="005D0E3D" w:rsidP="005D0E3D" w:rsidRDefault="005D0E3D" w14:paraId="48A63C93" w14:textId="3A28DAAE">
            <w:pPr>
              <w:tabs>
                <w:tab w:val="center" w:pos="284"/>
              </w:tabs>
              <w:overflowPunct w:val="0"/>
              <w:autoSpaceDE w:val="0"/>
              <w:autoSpaceDN w:val="0"/>
              <w:adjustRightInd w:val="0"/>
              <w:ind w:left="266" w:hanging="266"/>
              <w:textAlignment w:val="baseline"/>
            </w:pPr>
            <w:proofErr w:type="spellStart"/>
            <w:r>
              <w:t>Ozlem</w:t>
            </w:r>
            <w:proofErr w:type="spellEnd"/>
            <w:r>
              <w:t xml:space="preserve"> </w:t>
            </w:r>
            <w:proofErr w:type="spellStart"/>
            <w:r>
              <w:t>Yildirim</w:t>
            </w:r>
            <w:proofErr w:type="spellEnd"/>
            <w:r>
              <w:t xml:space="preserve"> (Darbuotojų grupė, FR)</w:t>
            </w:r>
          </w:p>
        </w:tc>
      </w:tr>
      <w:tr w:rsidRPr="005D0E3D" w:rsidR="005D0E3D" w:rsidTr="006221F1" w14:paraId="7F387EEA" w14:textId="77777777">
        <w:tc>
          <w:tcPr>
            <w:tcW w:w="9180" w:type="dxa"/>
            <w:gridSpan w:val="2"/>
          </w:tcPr>
          <w:p w:rsidRPr="005D0E3D"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5D0E3D" w:rsidR="005D0E3D" w:rsidTr="006221F1" w14:paraId="36521EE5" w14:textId="77777777">
        <w:trPr>
          <w:trHeight w:val="369"/>
        </w:trPr>
        <w:tc>
          <w:tcPr>
            <w:tcW w:w="2127" w:type="dxa"/>
          </w:tcPr>
          <w:p w:rsidRPr="005D0E3D" w:rsidR="005D0E3D" w:rsidP="005D0E3D" w:rsidRDefault="005D0E3D" w14:paraId="3569DACF" w14:textId="79BBB9E5">
            <w:pPr>
              <w:tabs>
                <w:tab w:val="center" w:pos="284"/>
              </w:tabs>
              <w:overflowPunct w:val="0"/>
              <w:autoSpaceDE w:val="0"/>
              <w:autoSpaceDN w:val="0"/>
              <w:adjustRightInd w:val="0"/>
              <w:ind w:left="266" w:hanging="266"/>
              <w:textAlignment w:val="baseline"/>
              <w:rPr>
                <w:b/>
              </w:rPr>
            </w:pPr>
            <w:r>
              <w:rPr>
                <w:b/>
              </w:rPr>
              <w:t>Nuorodos</w:t>
            </w:r>
          </w:p>
        </w:tc>
        <w:tc>
          <w:tcPr>
            <w:tcW w:w="7053" w:type="dxa"/>
          </w:tcPr>
          <w:p w:rsidR="00595154" w:rsidP="005D0E3D" w:rsidRDefault="00595154" w14:paraId="6B1EDB82" w14:textId="2DC16540">
            <w:pPr>
              <w:tabs>
                <w:tab w:val="center" w:pos="284"/>
              </w:tabs>
              <w:overflowPunct w:val="0"/>
              <w:autoSpaceDE w:val="0"/>
              <w:autoSpaceDN w:val="0"/>
              <w:adjustRightInd w:val="0"/>
              <w:ind w:left="266" w:hanging="266"/>
              <w:textAlignment w:val="baseline"/>
            </w:pPr>
            <w:r>
              <w:t xml:space="preserve">JOIN(2023) 19 </w:t>
            </w:r>
            <w:proofErr w:type="spellStart"/>
            <w:r>
              <w:t>final</w:t>
            </w:r>
            <w:proofErr w:type="spellEnd"/>
          </w:p>
          <w:p w:rsidRPr="005D0E3D" w:rsidR="005D0E3D" w:rsidP="005D0E3D" w:rsidRDefault="005D0E3D" w14:paraId="38FBFE28" w14:textId="4D024506">
            <w:pPr>
              <w:tabs>
                <w:tab w:val="center" w:pos="284"/>
              </w:tabs>
              <w:overflowPunct w:val="0"/>
              <w:autoSpaceDE w:val="0"/>
              <w:autoSpaceDN w:val="0"/>
              <w:adjustRightInd w:val="0"/>
              <w:ind w:left="266" w:hanging="266"/>
              <w:textAlignment w:val="baseline"/>
            </w:pPr>
            <w:r>
              <w:t>EESC-2023-03725-00-00-AC</w:t>
            </w:r>
          </w:p>
        </w:tc>
      </w:tr>
    </w:tbl>
    <w:p w:rsidRPr="005D0E3D"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D0E3D" w:rsidR="005D0E3D" w:rsidP="000E5EDB" w:rsidRDefault="005D0E3D" w14:paraId="20E53CE1" w14:textId="77777777">
      <w:pPr>
        <w:keepNext/>
        <w:keepLines/>
        <w:overflowPunct w:val="0"/>
        <w:autoSpaceDE w:val="0"/>
        <w:autoSpaceDN w:val="0"/>
        <w:adjustRightInd w:val="0"/>
        <w:textAlignment w:val="baseline"/>
        <w:rPr>
          <w:b/>
        </w:rPr>
      </w:pPr>
      <w:r>
        <w:rPr>
          <w:b/>
        </w:rPr>
        <w:t>Dokumento esmė</w:t>
      </w:r>
    </w:p>
    <w:p w:rsidR="005D0E3D" w:rsidP="005D0E3D" w:rsidRDefault="005D0E3D" w14:paraId="6E4FDC2B" w14:textId="77777777">
      <w:pPr>
        <w:overflowPunct w:val="0"/>
        <w:autoSpaceDE w:val="0"/>
        <w:autoSpaceDN w:val="0"/>
        <w:adjustRightInd w:val="0"/>
        <w:textAlignment w:val="baseline"/>
        <w:rPr>
          <w:szCs w:val="20"/>
        </w:rPr>
      </w:pPr>
    </w:p>
    <w:p w:rsidRPr="005D0E3D" w:rsidR="005D0E3D" w:rsidRDefault="005D0E3D" w14:paraId="340DAB4D" w14:textId="79A29C37">
      <w:pPr>
        <w:overflowPunct w:val="0"/>
        <w:autoSpaceDE w:val="0"/>
        <w:autoSpaceDN w:val="0"/>
        <w:adjustRightInd w:val="0"/>
        <w:textAlignment w:val="baseline"/>
        <w:rPr>
          <w:bCs/>
          <w:iCs/>
        </w:rPr>
      </w:pPr>
      <w:r>
        <w:t>EESRK</w:t>
      </w:r>
    </w:p>
    <w:p w:rsidRPr="005D0E3D" w:rsidR="005D0E3D" w:rsidP="005D0E3D" w:rsidRDefault="005D0E3D" w14:paraId="0B71709C" w14:textId="77777777">
      <w:pPr>
        <w:overflowPunct w:val="0"/>
        <w:autoSpaceDE w:val="0"/>
        <w:autoSpaceDN w:val="0"/>
        <w:adjustRightInd w:val="0"/>
        <w:textAlignment w:val="baseline"/>
        <w:rPr>
          <w:bCs/>
          <w:iCs/>
        </w:rPr>
      </w:pPr>
    </w:p>
    <w:p w:rsidRPr="005D0E3D" w:rsidR="005D0E3D" w:rsidP="000E5EDB"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r>
        <w:t xml:space="preserve">mano, kad klimato kaitos ir aplinkos būklės blogėjimo poveikis didina riziką ir grėsmes taikai ir Europos bei tarptautiniam saugumui; </w:t>
      </w:r>
    </w:p>
    <w:p w:rsidRPr="005D0E3D" w:rsidR="005D0E3D" w:rsidP="000E5EDB"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r>
        <w:t>pritaria Europos Komisijos ketinimui atsižvelgti į klimato ir saugumo problemas, tačiau pažymi, kad reikia geriau apibrėžti geografines, politines ir karines ribas;</w:t>
      </w:r>
    </w:p>
    <w:p w:rsidRPr="005D0E3D" w:rsidR="005D0E3D" w:rsidP="000E5EDB"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t>pabrėžia, kad reikia skubiai investuoti į atsparių reagavimo priemonių kūrimą, įskaitant Europos sprendimų priėmimo procesų parengimą tokiems būsimiems sunkumams;</w:t>
      </w:r>
    </w:p>
    <w:p w:rsidRPr="005D0E3D" w:rsidR="005D0E3D" w:rsidP="000E5EDB"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t xml:space="preserve">rekomenduoja Europos institucijoms apsvarstyti galimybę rengiant Sąjungos politiką atsižvelgti į sparčiai kintančias </w:t>
      </w:r>
      <w:proofErr w:type="spellStart"/>
      <w:r>
        <w:t>biofizines</w:t>
      </w:r>
      <w:proofErr w:type="spellEnd"/>
      <w:r>
        <w:t xml:space="preserve"> realijas (nuo kurių priklauso žmonių gyvenimas ir gerovė) ir politinę sanglaudą (tiek valstybių narių, tiek ES kaimyninių šalių ir partnerių;</w:t>
      </w:r>
    </w:p>
    <w:p w:rsidRPr="005D0E3D" w:rsidR="005D0E3D" w:rsidP="000E5EDB"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t>primena pagrindinę Europos projekto misiją – taikos skatinimą ir palaikymą, ir pakartoja, kad ji yra itin svarbi. Kad šią misiją sėkmingai įvykdytų, Europa turi dėti daugiau pastangų stiprinti taiką. Šis taikos skatinimas neatsiejamas nuo pagrindinių teisių ir demokratijos išsaugojimo ir stiprinimo. Susitelkimu į klimato ir saugumo sąsają siekiama išsaugoti šias vertybes, nes tokio požiūrio tikslas – apsaugoti ir skatinti pagrindines teises, kai tenka spręsti klausimus dėl klimato kaitos sukelto nesaugumo, kurį gali patirti tiek pavieniai asmenys, tiek visuomenė;</w:t>
      </w:r>
    </w:p>
    <w:p w:rsidRPr="005D0E3D" w:rsidR="005D0E3D" w:rsidP="000E5EDB"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t xml:space="preserve">rekomenduoja labiau atsižvelgti į klimato ir saugumo sąsają sukuriant </w:t>
      </w:r>
      <w:proofErr w:type="spellStart"/>
      <w:r>
        <w:t>proaktyvią</w:t>
      </w:r>
      <w:proofErr w:type="spellEnd"/>
      <w:r>
        <w:t xml:space="preserve"> sąveiką tarp institucijų, atsakingų už išorės santykius, ES vidaus sanglaudą, valstybių narių saugumo ir gynybos tarnybas, ir į jas įtraukti į nuolatinį dialogą su mokslo bendruomene. Šie stiprinimo veiksmai turės būti papildyti su atsparumu susijusiais mokslinių tyrimų ir inovacijų rezultatais, nes taip bus galima pagerinti ir prognozavimą, ir ES veiksmų veiksmingumą.</w:t>
      </w:r>
    </w:p>
    <w:p w:rsidRPr="005D0E3D" w:rsidR="005D0E3D" w:rsidP="005D0E3D" w:rsidRDefault="005D0E3D" w14:paraId="72A424E0" w14:textId="77777777">
      <w:pPr>
        <w:widowControl w:val="0"/>
        <w:overflowPunct w:val="0"/>
        <w:autoSpaceDE w:val="0"/>
        <w:autoSpaceDN w:val="0"/>
        <w:adjustRightInd w:val="0"/>
        <w:textAlignment w:val="baseline"/>
        <w:rPr>
          <w:szCs w:val="20"/>
        </w:rPr>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5D0E3D" w:rsidR="005D0E3D" w:rsidTr="00F655B8" w14:paraId="6314C6E9" w14:textId="77777777">
        <w:tc>
          <w:tcPr>
            <w:tcW w:w="2127" w:type="dxa"/>
          </w:tcPr>
          <w:p w:rsidRPr="005D0E3D" w:rsidR="005D0E3D" w:rsidP="005D0E3D" w:rsidRDefault="005D0E3D" w14:paraId="1E279F70" w14:textId="77777777">
            <w:pPr>
              <w:overflowPunct w:val="0"/>
              <w:autoSpaceDE w:val="0"/>
              <w:autoSpaceDN w:val="0"/>
              <w:adjustRightInd w:val="0"/>
              <w:spacing w:line="240" w:lineRule="auto"/>
              <w:textAlignment w:val="baseline"/>
              <w:rPr>
                <w:i/>
              </w:rPr>
            </w:pPr>
            <w:r>
              <w:rPr>
                <w:b/>
                <w:i/>
              </w:rPr>
              <w:t>Kontaktinis asmuo</w:t>
            </w:r>
          </w:p>
        </w:tc>
        <w:tc>
          <w:tcPr>
            <w:tcW w:w="4252" w:type="dxa"/>
          </w:tcPr>
          <w:p w:rsidRPr="005D0E3D" w:rsidR="005D0E3D" w:rsidP="005D0E3D" w:rsidRDefault="005D0E3D" w14:paraId="711C3B1D" w14:textId="3E6C932F">
            <w:pPr>
              <w:overflowPunct w:val="0"/>
              <w:autoSpaceDE w:val="0"/>
              <w:autoSpaceDN w:val="0"/>
              <w:adjustRightInd w:val="0"/>
              <w:spacing w:line="240" w:lineRule="auto"/>
              <w:textAlignment w:val="baseline"/>
              <w:rPr>
                <w:i/>
              </w:rPr>
            </w:pPr>
            <w:r>
              <w:rPr>
                <w:i/>
              </w:rPr>
              <w:t xml:space="preserve">Ana </w:t>
            </w:r>
            <w:proofErr w:type="spellStart"/>
            <w:r>
              <w:rPr>
                <w:i/>
              </w:rPr>
              <w:t>Dujmovic</w:t>
            </w:r>
            <w:proofErr w:type="spellEnd"/>
          </w:p>
        </w:tc>
      </w:tr>
      <w:tr w:rsidRPr="005D0E3D" w:rsidR="005D0E3D" w:rsidTr="00F655B8" w14:paraId="5A20580F" w14:textId="77777777">
        <w:tc>
          <w:tcPr>
            <w:tcW w:w="2127" w:type="dxa"/>
          </w:tcPr>
          <w:p w:rsidRPr="005D0E3D" w:rsidR="005D0E3D" w:rsidP="005D0E3D" w:rsidRDefault="005D0E3D" w14:paraId="2F1FD0C2" w14:textId="77777777">
            <w:pPr>
              <w:overflowPunct w:val="0"/>
              <w:autoSpaceDE w:val="0"/>
              <w:autoSpaceDN w:val="0"/>
              <w:adjustRightInd w:val="0"/>
              <w:spacing w:line="240" w:lineRule="auto"/>
              <w:textAlignment w:val="baseline"/>
              <w:rPr>
                <w:i/>
              </w:rPr>
            </w:pPr>
            <w:r>
              <w:rPr>
                <w:i/>
              </w:rPr>
              <w:t>Tel.</w:t>
            </w:r>
          </w:p>
        </w:tc>
        <w:tc>
          <w:tcPr>
            <w:tcW w:w="4252" w:type="dxa"/>
          </w:tcPr>
          <w:p w:rsidRPr="005D0E3D" w:rsidR="005D0E3D" w:rsidP="005D0E3D" w:rsidRDefault="005D0E3D" w14:paraId="72985C78" w14:textId="77777777">
            <w:pPr>
              <w:overflowPunct w:val="0"/>
              <w:autoSpaceDE w:val="0"/>
              <w:autoSpaceDN w:val="0"/>
              <w:adjustRightInd w:val="0"/>
              <w:spacing w:line="240" w:lineRule="auto"/>
              <w:textAlignment w:val="baseline"/>
              <w:rPr>
                <w:i/>
              </w:rPr>
            </w:pPr>
            <w:r>
              <w:rPr>
                <w:i/>
              </w:rPr>
              <w:t>+32 25468290</w:t>
            </w:r>
          </w:p>
        </w:tc>
      </w:tr>
      <w:tr w:rsidRPr="005D0E3D" w:rsidR="005D0E3D" w:rsidTr="00F655B8" w14:paraId="40B741E5" w14:textId="77777777">
        <w:tc>
          <w:tcPr>
            <w:tcW w:w="2127" w:type="dxa"/>
          </w:tcPr>
          <w:p w:rsidRPr="005D0E3D" w:rsidR="005D0E3D" w:rsidP="005D0E3D" w:rsidRDefault="005D0E3D" w14:paraId="25DF2A04" w14:textId="77777777">
            <w:pPr>
              <w:overflowPunct w:val="0"/>
              <w:autoSpaceDE w:val="0"/>
              <w:autoSpaceDN w:val="0"/>
              <w:adjustRightInd w:val="0"/>
              <w:spacing w:line="240" w:lineRule="auto"/>
              <w:textAlignment w:val="baseline"/>
              <w:rPr>
                <w:i/>
              </w:rPr>
            </w:pPr>
            <w:r>
              <w:rPr>
                <w:i/>
              </w:rPr>
              <w:t>E. paštas</w:t>
            </w:r>
          </w:p>
        </w:tc>
        <w:tc>
          <w:tcPr>
            <w:tcW w:w="4252" w:type="dxa"/>
          </w:tcPr>
          <w:p w:rsidRPr="005D0E3D" w:rsidR="005D0E3D" w:rsidP="005D0E3D" w:rsidRDefault="002B6F40" w14:paraId="7D5BAAE0" w14:textId="69E0C0B9">
            <w:pPr>
              <w:overflowPunct w:val="0"/>
              <w:autoSpaceDE w:val="0"/>
              <w:autoSpaceDN w:val="0"/>
              <w:adjustRightInd w:val="0"/>
              <w:spacing w:line="240" w:lineRule="auto"/>
              <w:textAlignment w:val="baseline"/>
              <w:rPr>
                <w:i/>
              </w:rPr>
            </w:pPr>
            <w:hyperlink w:history="1" r:id="rId42">
              <w:r w:rsidR="00356E7D">
                <w:rPr>
                  <w:i/>
                  <w:color w:val="0000FF"/>
                  <w:u w:val="single"/>
                </w:rPr>
                <w:t>Ana.Dujmovic@eesc.europa.eu</w:t>
              </w:r>
            </w:hyperlink>
          </w:p>
        </w:tc>
      </w:tr>
    </w:tbl>
    <w:p w:rsidR="00FF485C" w:rsidRDefault="00FF485C" w14:paraId="005CB271" w14:textId="77777777">
      <w:pPr>
        <w:spacing w:after="160" w:line="259" w:lineRule="auto"/>
        <w:jc w:val="left"/>
      </w:pPr>
      <w:r>
        <w:br w:type="page"/>
      </w:r>
    </w:p>
    <w:p w:rsidRPr="000B1C30" w:rsidR="00E110D0" w:rsidP="005B4680" w:rsidRDefault="00E110D0" w14:paraId="268D0B18" w14:textId="5CCAA924">
      <w:pPr>
        <w:pStyle w:val="Heading1"/>
        <w:ind w:hanging="928"/>
        <w:rPr>
          <w:b/>
          <w:bCs/>
        </w:rPr>
      </w:pPr>
      <w:bookmarkStart w:name="_Toc153539712" w:id="22"/>
      <w:bookmarkStart w:name="_Toc157781928" w:id="23"/>
      <w:r>
        <w:rPr>
          <w:b/>
        </w:rPr>
        <w:lastRenderedPageBreak/>
        <w:t>TRANSPORTAS, ENERGETIKA, INFRASTRUKTŪRA IR INFORMACINĖ VISUOMENĖ</w:t>
      </w:r>
      <w:bookmarkEnd w:id="22"/>
      <w:bookmarkEnd w:id="23"/>
    </w:p>
    <w:p w:rsidR="0092772D" w:rsidP="00775FC4" w:rsidRDefault="0092772D" w14:paraId="764F554F" w14:textId="3DB1B15F">
      <w:pPr>
        <w:keepNext/>
        <w:keepLines/>
      </w:pPr>
    </w:p>
    <w:p w:rsidRPr="00AE6861" w:rsidR="00AE6861" w:rsidP="00AE6861" w:rsidRDefault="002B6F40" w14:paraId="6D10EE41" w14:textId="5ACEE1FE">
      <w:pPr>
        <w:widowControl w:val="0"/>
        <w:numPr>
          <w:ilvl w:val="0"/>
          <w:numId w:val="2"/>
        </w:numPr>
        <w:overflowPunct w:val="0"/>
        <w:autoSpaceDE w:val="0"/>
        <w:autoSpaceDN w:val="0"/>
        <w:adjustRightInd w:val="0"/>
        <w:ind w:hanging="567"/>
        <w:textAlignment w:val="baseline"/>
        <w:rPr>
          <w:sz w:val="20"/>
          <w:szCs w:val="20"/>
        </w:rPr>
      </w:pPr>
      <w:hyperlink w:history="1" r:id="rId43">
        <w:r w:rsidR="00356E7D">
          <w:rPr>
            <w:b/>
            <w:i/>
            <w:color w:val="0000FF"/>
            <w:sz w:val="28"/>
            <w:u w:val="single"/>
          </w:rPr>
          <w:t>Tarpvalstybinės energetikos infrastruktūros planavimas</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E6861" w:rsidR="00AE6861" w:rsidTr="00F655B8" w14:paraId="611E13EB" w14:textId="77777777">
        <w:tc>
          <w:tcPr>
            <w:tcW w:w="2235" w:type="dxa"/>
          </w:tcPr>
          <w:p w:rsidRPr="00AE6861" w:rsidR="00AE6861" w:rsidP="00AE6861" w:rsidRDefault="00AE6861" w14:paraId="03786D8A" w14:textId="77777777">
            <w:pPr>
              <w:tabs>
                <w:tab w:val="center" w:pos="284"/>
              </w:tabs>
              <w:overflowPunct w:val="0"/>
              <w:autoSpaceDE w:val="0"/>
              <w:autoSpaceDN w:val="0"/>
              <w:adjustRightInd w:val="0"/>
              <w:ind w:left="266" w:hanging="266"/>
              <w:textAlignment w:val="baseline"/>
              <w:rPr>
                <w:b/>
              </w:rPr>
            </w:pPr>
            <w:r>
              <w:rPr>
                <w:b/>
              </w:rPr>
              <w:t xml:space="preserve">Pranešėjas </w:t>
            </w:r>
          </w:p>
        </w:tc>
        <w:tc>
          <w:tcPr>
            <w:tcW w:w="6838" w:type="dxa"/>
          </w:tcPr>
          <w:p w:rsidRPr="00AE6861" w:rsidR="00AE6861" w:rsidP="00AE6861" w:rsidRDefault="00AE6861" w14:paraId="3E0F0420" w14:textId="4DC0B14D">
            <w:pPr>
              <w:tabs>
                <w:tab w:val="center" w:pos="284"/>
              </w:tabs>
              <w:overflowPunct w:val="0"/>
              <w:autoSpaceDE w:val="0"/>
              <w:autoSpaceDN w:val="0"/>
              <w:adjustRightInd w:val="0"/>
              <w:ind w:left="266" w:hanging="266"/>
              <w:textAlignment w:val="baseline"/>
            </w:pPr>
            <w:proofErr w:type="spellStart"/>
            <w:r>
              <w:t>Thomas</w:t>
            </w:r>
            <w:proofErr w:type="spellEnd"/>
            <w:r>
              <w:t xml:space="preserve"> </w:t>
            </w:r>
            <w:proofErr w:type="spellStart"/>
            <w:r>
              <w:t>Kattnig</w:t>
            </w:r>
            <w:proofErr w:type="spellEnd"/>
            <w:r>
              <w:t xml:space="preserve"> (Darbuotojų </w:t>
            </w:r>
            <w:proofErr w:type="spellStart"/>
            <w:r>
              <w:t>gr</w:t>
            </w:r>
            <w:proofErr w:type="spellEnd"/>
            <w:r>
              <w:t>., AT)</w:t>
            </w:r>
          </w:p>
        </w:tc>
      </w:tr>
      <w:tr w:rsidRPr="00AE6861" w:rsidR="00AE6861" w:rsidTr="00F655B8" w14:paraId="41B1CA66" w14:textId="77777777">
        <w:tc>
          <w:tcPr>
            <w:tcW w:w="9073" w:type="dxa"/>
            <w:gridSpan w:val="2"/>
          </w:tcPr>
          <w:p w:rsidRPr="00AE6861"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pPr>
          </w:p>
        </w:tc>
      </w:tr>
      <w:tr w:rsidRPr="00AE6861" w:rsidR="00AE6861" w:rsidTr="00F655B8" w14:paraId="1747A971" w14:textId="77777777">
        <w:tc>
          <w:tcPr>
            <w:tcW w:w="2235" w:type="dxa"/>
          </w:tcPr>
          <w:p w:rsidRPr="00AE6861" w:rsidR="00AE6861" w:rsidP="00AE6861" w:rsidRDefault="00AE6861" w14:paraId="5CAE83EB" w14:textId="77777777">
            <w:pPr>
              <w:tabs>
                <w:tab w:val="center" w:pos="284"/>
              </w:tabs>
              <w:overflowPunct w:val="0"/>
              <w:autoSpaceDE w:val="0"/>
              <w:autoSpaceDN w:val="0"/>
              <w:adjustRightInd w:val="0"/>
              <w:ind w:left="266" w:hanging="266"/>
              <w:textAlignment w:val="baseline"/>
              <w:rPr>
                <w:b/>
              </w:rPr>
            </w:pPr>
            <w:r>
              <w:rPr>
                <w:b/>
              </w:rPr>
              <w:t>Nuorodos</w:t>
            </w:r>
          </w:p>
        </w:tc>
        <w:tc>
          <w:tcPr>
            <w:tcW w:w="6838" w:type="dxa"/>
          </w:tcPr>
          <w:p w:rsidRPr="00AE6861" w:rsidR="00AE6861" w:rsidP="00AE6861" w:rsidRDefault="00AE6861" w14:paraId="2E07B88C" w14:textId="77777777">
            <w:pPr>
              <w:tabs>
                <w:tab w:val="center" w:pos="0"/>
              </w:tabs>
              <w:overflowPunct w:val="0"/>
              <w:autoSpaceDE w:val="0"/>
              <w:autoSpaceDN w:val="0"/>
              <w:adjustRightInd w:val="0"/>
              <w:textAlignment w:val="baseline"/>
            </w:pPr>
            <w:r>
              <w:t>Tiriamoji nuomonė ES Tarybai pirmininkaujančios Belgijos prašymu</w:t>
            </w:r>
          </w:p>
          <w:p w:rsidRPr="00AE6861" w:rsidR="00AE6861" w:rsidP="00AE6861" w:rsidRDefault="00AE6861" w14:paraId="793F9518" w14:textId="745EC39E">
            <w:pPr>
              <w:tabs>
                <w:tab w:val="center" w:pos="284"/>
              </w:tabs>
              <w:overflowPunct w:val="0"/>
              <w:autoSpaceDE w:val="0"/>
              <w:autoSpaceDN w:val="0"/>
              <w:adjustRightInd w:val="0"/>
              <w:ind w:left="266" w:hanging="266"/>
              <w:textAlignment w:val="baseline"/>
            </w:pPr>
            <w:r>
              <w:t>EESC-2023-03641-00-00-AC</w:t>
            </w:r>
          </w:p>
        </w:tc>
      </w:tr>
    </w:tbl>
    <w:p w:rsidRPr="00AE6861"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Pr>
          <w:b/>
        </w:rPr>
        <w:t>Dokumento esmė</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r>
        <w:t>EESRK</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0E5EDB"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pabrėžia, kad energetikos infrastruktūra, kaip ir energijos transportavimo ir paskirstymo infrastruktūra, skiriasi nuo visų kitų prekių ir turi būti laikoma visuotinės svarbos paslauga ekonomikai ir gyventojams;</w:t>
      </w:r>
    </w:p>
    <w:p w:rsidRPr="00AE6861" w:rsidR="00AE6861" w:rsidP="000E5EDB"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prašo ypatingą dėmesį skirti tinklo plėtros, įskaitant tarpvalstybines jungtis sausumoje ir jūroje, priskyrimui ypatingos svarbos infrastruktūros objektams, susijusiems su svarbiausiais viešaisiais interesais, klimato apsaugos įtraukimui į reguliavimo tikslus ir apskritai geresniam atsinaujinančiųjų išteklių energijos ir elektros energijos tinklo planavimo koordinavimui;</w:t>
      </w:r>
    </w:p>
    <w:p w:rsidRPr="00AE6861" w:rsidR="00AE6861" w:rsidP="000E5EDB"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pabrėžia, kad, pripažįstant didėjančią paklausą, ypač svarbios investicijos į elektros energijos tinklus siekiant paskatinti Europos ekonomiką ir kurti kokybiškas (ekologiškas) darbo vietas;</w:t>
      </w:r>
    </w:p>
    <w:p w:rsidRPr="00AE6861" w:rsidR="00AE6861" w:rsidP="000E5EDB"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ragina nustatyti daugiau privalomų priemonių ne tik Perdavimo sistemos operatoriams (PSO), Skirstymo sistemos operatoriams (SSO), bet ir energijos gamintojus įtraukti į tinklo stabilizavimo priemones, siekiant geriau koordinuoti jų veiksmus ir sudaryti sąlygas tinklui gauti naudos iš skaitmeninimo;</w:t>
      </w:r>
    </w:p>
    <w:p w:rsidRPr="00AE6861" w:rsidR="00AE6861" w:rsidP="000E5EDB"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pabrėžia, kad energetikos infrastruktūrai, pavyzdžiui, dideliems energetikos įrenginiams, reikia skirti ypatingą dėmesį kalbant apie saugumo priemones. Saugumo (kibernetinio) klausimas turėtų tapti dar svarbesniu prioritetu.</w:t>
      </w:r>
    </w:p>
    <w:p w:rsidRPr="00AE6861" w:rsidR="00AE6861" w:rsidP="00AE6861" w:rsidRDefault="00AE6861" w14:paraId="5AE8EDAA" w14:textId="77777777">
      <w:pPr>
        <w:widowControl w:val="0"/>
        <w:overflowPunct w:val="0"/>
        <w:autoSpaceDE w:val="0"/>
        <w:autoSpaceDN w:val="0"/>
        <w:adjustRightInd w:val="0"/>
        <w:ind w:left="709"/>
        <w:textAlignment w:val="baseline"/>
        <w:rPr>
          <w:szCs w:val="20"/>
        </w:rPr>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E6861" w:rsidR="00AE6861" w:rsidTr="00F655B8" w14:paraId="5AE54BB8" w14:textId="77777777">
        <w:tc>
          <w:tcPr>
            <w:tcW w:w="1418" w:type="dxa"/>
          </w:tcPr>
          <w:p w:rsidRPr="00AE6861" w:rsidR="00AE6861" w:rsidP="00AE6861" w:rsidRDefault="00AE6861" w14:paraId="34F28AF2"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AE6861" w:rsidR="00AE6861" w:rsidP="00AE6861" w:rsidRDefault="00AE6861" w14:paraId="57C926E0" w14:textId="40273CCB">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AE6861" w:rsidR="00AE6861" w:rsidTr="00F655B8" w14:paraId="1C50B3C3" w14:textId="77777777">
        <w:tc>
          <w:tcPr>
            <w:tcW w:w="1418" w:type="dxa"/>
          </w:tcPr>
          <w:p w:rsidRPr="00AE6861" w:rsidR="00AE6861" w:rsidP="00AE6861" w:rsidRDefault="00AE6861" w14:paraId="2996C4B6" w14:textId="77777777">
            <w:pPr>
              <w:overflowPunct w:val="0"/>
              <w:autoSpaceDE w:val="0"/>
              <w:autoSpaceDN w:val="0"/>
              <w:adjustRightInd w:val="0"/>
              <w:spacing w:line="240" w:lineRule="auto"/>
              <w:textAlignment w:val="baseline"/>
              <w:rPr>
                <w:i/>
              </w:rPr>
            </w:pPr>
            <w:r>
              <w:rPr>
                <w:i/>
              </w:rPr>
              <w:t>Tel.</w:t>
            </w:r>
          </w:p>
        </w:tc>
        <w:tc>
          <w:tcPr>
            <w:tcW w:w="5670" w:type="dxa"/>
          </w:tcPr>
          <w:p w:rsidRPr="00AE6861" w:rsidR="00AE6861" w:rsidP="00AE6861" w:rsidRDefault="00AE6861" w14:paraId="18053F0E" w14:textId="77777777">
            <w:pPr>
              <w:overflowPunct w:val="0"/>
              <w:autoSpaceDE w:val="0"/>
              <w:autoSpaceDN w:val="0"/>
              <w:adjustRightInd w:val="0"/>
              <w:spacing w:line="240" w:lineRule="auto"/>
              <w:textAlignment w:val="baseline"/>
              <w:rPr>
                <w:i/>
              </w:rPr>
            </w:pPr>
            <w:r>
              <w:rPr>
                <w:i/>
              </w:rPr>
              <w:t>+ 32 25468535</w:t>
            </w:r>
          </w:p>
        </w:tc>
      </w:tr>
      <w:tr w:rsidRPr="00AE6861" w:rsidR="00AE6861" w:rsidTr="00F655B8" w14:paraId="194AB4C5" w14:textId="77777777">
        <w:tc>
          <w:tcPr>
            <w:tcW w:w="1418" w:type="dxa"/>
          </w:tcPr>
          <w:p w:rsidRPr="00AE6861" w:rsidR="00AE6861" w:rsidP="00AE6861" w:rsidRDefault="006B1A4D" w14:paraId="5F0CF1BE" w14:textId="72836CC5">
            <w:pPr>
              <w:overflowPunct w:val="0"/>
              <w:autoSpaceDE w:val="0"/>
              <w:autoSpaceDN w:val="0"/>
              <w:adjustRightInd w:val="0"/>
              <w:spacing w:line="240" w:lineRule="auto"/>
              <w:textAlignment w:val="baseline"/>
              <w:rPr>
                <w:i/>
              </w:rPr>
            </w:pPr>
            <w:r>
              <w:rPr>
                <w:i/>
              </w:rPr>
              <w:t>E. paštas</w:t>
            </w:r>
          </w:p>
        </w:tc>
        <w:tc>
          <w:tcPr>
            <w:tcW w:w="5670" w:type="dxa"/>
          </w:tcPr>
          <w:p w:rsidRPr="00AE6861" w:rsidR="00AE6861" w:rsidP="00AE6861" w:rsidRDefault="002B6F40" w14:paraId="0EA2DED1" w14:textId="77777777">
            <w:pPr>
              <w:overflowPunct w:val="0"/>
              <w:autoSpaceDE w:val="0"/>
              <w:autoSpaceDN w:val="0"/>
              <w:adjustRightInd w:val="0"/>
              <w:spacing w:line="240" w:lineRule="auto"/>
              <w:textAlignment w:val="baseline"/>
              <w:rPr>
                <w:i/>
                <w:iCs/>
              </w:rPr>
            </w:pPr>
            <w:hyperlink w:history="1" r:id="rId44">
              <w:r w:rsidR="00356E7D">
                <w:rPr>
                  <w:i/>
                  <w:color w:val="0000FF"/>
                  <w:u w:val="single"/>
                </w:rPr>
                <w:t>GiorgiaAndrea.Bordignon@eesc.europa.eu</w:t>
              </w:r>
            </w:hyperlink>
          </w:p>
        </w:tc>
      </w:tr>
    </w:tbl>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8778F4">
      <w:headerReference w:type="even" r:id="rId45"/>
      <w:headerReference w:type="default" r:id="rId46"/>
      <w:footerReference w:type="even" r:id="rId47"/>
      <w:footerReference w:type="default" r:id="rId48"/>
      <w:headerReference w:type="first" r:id="rId49"/>
      <w:footerReference w:type="first" r:id="rId5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3BDF" w14:textId="77777777" w:rsidR="00215B75" w:rsidRDefault="00215B75" w:rsidP="003B0516">
      <w:pPr>
        <w:spacing w:line="240" w:lineRule="auto"/>
      </w:pPr>
      <w:r>
        <w:separator/>
      </w:r>
    </w:p>
  </w:endnote>
  <w:endnote w:type="continuationSeparator" w:id="0">
    <w:p w14:paraId="0CF7AA27" w14:textId="77777777" w:rsidR="00215B75" w:rsidRDefault="00215B75"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DCAB" w14:textId="77777777" w:rsidR="00134B23" w:rsidRPr="008778F4" w:rsidRDefault="00134B23" w:rsidP="00877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644EC15" w:rsidR="00765C4F" w:rsidRPr="008778F4" w:rsidRDefault="008778F4" w:rsidP="008778F4">
    <w:pPr>
      <w:pStyle w:val="Footer"/>
    </w:pPr>
    <w:r>
      <w:t xml:space="preserve">EESC-2023-05816-00-01-TCD-TRA (EN) </w:t>
    </w:r>
    <w:r>
      <w:fldChar w:fldCharType="begin"/>
    </w:r>
    <w:r>
      <w:instrText xml:space="preserve"> PAGE  \* Arabic  \* MERGEFORMAT </w:instrText>
    </w:r>
    <w:r>
      <w:fldChar w:fldCharType="separate"/>
    </w:r>
    <w:r w:rsidR="00CD621A">
      <w:t>1</w:t>
    </w:r>
    <w:r>
      <w:fldChar w:fldCharType="end"/>
    </w:r>
    <w:r>
      <w:t>/</w:t>
    </w:r>
    <w:fldSimple w:instr=" NUMPAGES ">
      <w:r w:rsidR="00CD621A">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B4D2" w14:textId="77777777" w:rsidR="00134B23" w:rsidRPr="008778F4" w:rsidRDefault="00134B23" w:rsidP="00877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8778F4" w:rsidRDefault="00E4258F" w:rsidP="008778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72A4C58" w:rsidR="00E4258F" w:rsidRPr="008778F4" w:rsidRDefault="008778F4" w:rsidP="008778F4">
    <w:pPr>
      <w:pStyle w:val="Footer"/>
    </w:pPr>
    <w:r>
      <w:t xml:space="preserve">EESC-2023-05816-00-01-TCD-TRA (EN) </w:t>
    </w:r>
    <w:r>
      <w:fldChar w:fldCharType="begin"/>
    </w:r>
    <w:r>
      <w:instrText xml:space="preserve"> PAGE  \* Arabic  \* MERGEFORMAT </w:instrText>
    </w:r>
    <w:r>
      <w:fldChar w:fldCharType="separate"/>
    </w:r>
    <w:r>
      <w:t>2</w:t>
    </w:r>
    <w:r>
      <w:fldChar w:fldCharType="end"/>
    </w:r>
    <w:r>
      <w:t>/</w:t>
    </w:r>
    <w:fldSimple w:instr=" NUMPAGES ">
      <w:r>
        <w:t>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8778F4" w:rsidRDefault="00E4258F" w:rsidP="0087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55E4" w14:textId="77777777" w:rsidR="00215B75" w:rsidRDefault="00215B75" w:rsidP="003B0516">
      <w:pPr>
        <w:spacing w:line="240" w:lineRule="auto"/>
      </w:pPr>
      <w:r>
        <w:separator/>
      </w:r>
    </w:p>
  </w:footnote>
  <w:footnote w:type="continuationSeparator" w:id="0">
    <w:p w14:paraId="6B7B7113" w14:textId="77777777" w:rsidR="00215B75" w:rsidRDefault="00215B75"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2419" w14:textId="77777777" w:rsidR="00134B23" w:rsidRPr="008778F4" w:rsidRDefault="00134B23" w:rsidP="00877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AC7F" w14:textId="0AAABE86" w:rsidR="00134B23" w:rsidRPr="008778F4" w:rsidRDefault="00134B23" w:rsidP="00877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E922" w14:textId="77777777" w:rsidR="00134B23" w:rsidRPr="008778F4" w:rsidRDefault="00134B23" w:rsidP="008778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8778F4" w:rsidRDefault="00E4258F" w:rsidP="008778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02BEB4B1" w:rsidR="00E4258F" w:rsidRPr="008778F4" w:rsidRDefault="00E4258F" w:rsidP="008778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8778F4" w:rsidRDefault="00E4258F" w:rsidP="00877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C83901"/>
    <w:multiLevelType w:val="hybridMultilevel"/>
    <w:tmpl w:val="2240489E"/>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28D2357E"/>
    <w:multiLevelType w:val="hybridMultilevel"/>
    <w:tmpl w:val="A17CB92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2A1D4B17"/>
    <w:multiLevelType w:val="hybridMultilevel"/>
    <w:tmpl w:val="EA56923A"/>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24D5D"/>
    <w:multiLevelType w:val="hybridMultilevel"/>
    <w:tmpl w:val="3D52BD3A"/>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21"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5"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7"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32"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3"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4"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5"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6"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1"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2"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80764DB"/>
    <w:multiLevelType w:val="hybridMultilevel"/>
    <w:tmpl w:val="FD64A58C"/>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7"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8"/>
  </w:num>
  <w:num w:numId="4">
    <w:abstractNumId w:val="20"/>
  </w:num>
  <w:num w:numId="5">
    <w:abstractNumId w:val="12"/>
  </w:num>
  <w:num w:numId="6">
    <w:abstractNumId w:val="3"/>
  </w:num>
  <w:num w:numId="7">
    <w:abstractNumId w:val="5"/>
  </w:num>
  <w:num w:numId="8">
    <w:abstractNumId w:val="22"/>
  </w:num>
  <w:num w:numId="9">
    <w:abstractNumId w:val="33"/>
  </w:num>
  <w:num w:numId="10">
    <w:abstractNumId w:val="7"/>
  </w:num>
  <w:num w:numId="11">
    <w:abstractNumId w:val="30"/>
  </w:num>
  <w:num w:numId="12">
    <w:abstractNumId w:val="8"/>
  </w:num>
  <w:num w:numId="13">
    <w:abstractNumId w:val="16"/>
  </w:num>
  <w:num w:numId="14">
    <w:abstractNumId w:val="32"/>
  </w:num>
  <w:num w:numId="15">
    <w:abstractNumId w:val="35"/>
  </w:num>
  <w:num w:numId="16">
    <w:abstractNumId w:val="2"/>
  </w:num>
  <w:num w:numId="17">
    <w:abstractNumId w:val="11"/>
  </w:num>
  <w:num w:numId="18">
    <w:abstractNumId w:val="21"/>
  </w:num>
  <w:num w:numId="19">
    <w:abstractNumId w:val="23"/>
  </w:num>
  <w:num w:numId="20">
    <w:abstractNumId w:val="41"/>
  </w:num>
  <w:num w:numId="21">
    <w:abstractNumId w:val="17"/>
  </w:num>
  <w:num w:numId="22">
    <w:abstractNumId w:val="44"/>
  </w:num>
  <w:num w:numId="23">
    <w:abstractNumId w:val="6"/>
  </w:num>
  <w:num w:numId="24">
    <w:abstractNumId w:val="31"/>
  </w:num>
  <w:num w:numId="25">
    <w:abstractNumId w:val="24"/>
  </w:num>
  <w:num w:numId="26">
    <w:abstractNumId w:val="47"/>
  </w:num>
  <w:num w:numId="27">
    <w:abstractNumId w:val="48"/>
  </w:num>
  <w:num w:numId="28">
    <w:abstractNumId w:val="27"/>
  </w:num>
  <w:num w:numId="29">
    <w:abstractNumId w:val="4"/>
  </w:num>
  <w:num w:numId="30">
    <w:abstractNumId w:val="29"/>
  </w:num>
  <w:num w:numId="31">
    <w:abstractNumId w:val="40"/>
  </w:num>
  <w:num w:numId="32">
    <w:abstractNumId w:val="46"/>
  </w:num>
  <w:num w:numId="33">
    <w:abstractNumId w:val="26"/>
  </w:num>
  <w:num w:numId="34">
    <w:abstractNumId w:val="43"/>
  </w:num>
  <w:num w:numId="35">
    <w:abstractNumId w:val="25"/>
  </w:num>
  <w:num w:numId="36">
    <w:abstractNumId w:val="36"/>
  </w:num>
  <w:num w:numId="37">
    <w:abstractNumId w:val="42"/>
  </w:num>
  <w:num w:numId="38">
    <w:abstractNumId w:val="38"/>
  </w:num>
  <w:num w:numId="39">
    <w:abstractNumId w:val="39"/>
  </w:num>
  <w:num w:numId="40">
    <w:abstractNumId w:val="9"/>
  </w:num>
  <w:num w:numId="41">
    <w:abstractNumId w:val="37"/>
  </w:num>
  <w:num w:numId="42">
    <w:abstractNumId w:val="14"/>
  </w:num>
  <w:num w:numId="43">
    <w:abstractNumId w:val="34"/>
  </w:num>
  <w:num w:numId="44">
    <w:abstractNumId w:val="1"/>
  </w:num>
  <w:num w:numId="45">
    <w:abstractNumId w:val="19"/>
  </w:num>
  <w:num w:numId="46">
    <w:abstractNumId w:val="45"/>
  </w:num>
  <w:num w:numId="47">
    <w:abstractNumId w:val="15"/>
  </w:num>
  <w:num w:numId="48">
    <w:abstractNumId w:val="18"/>
  </w:num>
  <w:num w:numId="49">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290A"/>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4B23"/>
    <w:rsid w:val="00135610"/>
    <w:rsid w:val="00135769"/>
    <w:rsid w:val="00137BCC"/>
    <w:rsid w:val="001400C7"/>
    <w:rsid w:val="00142115"/>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B75"/>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6F40"/>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4F33"/>
    <w:rsid w:val="003550F7"/>
    <w:rsid w:val="00356BAD"/>
    <w:rsid w:val="00356CCD"/>
    <w:rsid w:val="00356E7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17F"/>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BE1"/>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4EB9"/>
    <w:rsid w:val="00585857"/>
    <w:rsid w:val="0058593B"/>
    <w:rsid w:val="0058593F"/>
    <w:rsid w:val="00586967"/>
    <w:rsid w:val="00586B4B"/>
    <w:rsid w:val="00586D86"/>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AB1"/>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8F4"/>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198"/>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2B3A"/>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5565"/>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C7E"/>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97DD9"/>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21A"/>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B7399"/>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570D"/>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67D"/>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lt-L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Radoslava.Stefankova@eesc.europa.eu" TargetMode="External"/><Relationship Id="rId39" Type="http://schemas.openxmlformats.org/officeDocument/2006/relationships/hyperlink" Target="https://www.eesc.europa.eu/lt/our-work/opinions-information-reports/opinions/promoting-autonomous-and-sustainable-food-production-strategies-common-agricultural-policy-post-2027" TargetMode="External"/><Relationship Id="rId21" Type="http://schemas.openxmlformats.org/officeDocument/2006/relationships/hyperlink" Target="mailto:Juri.Soosaar@eesc.europa.eu" TargetMode="External"/><Relationship Id="rId34" Type="http://schemas.openxmlformats.org/officeDocument/2006/relationships/hyperlink" Target="mailto:Silvia.Staffa@eesc.europa.eu" TargetMode="External"/><Relationship Id="rId42" Type="http://schemas.openxmlformats.org/officeDocument/2006/relationships/hyperlink" Target="mailto:Ana.Dujmovic@eesc.europa.eu" TargetMode="Externa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lt/our-work/opinions-information-reports/opinions/introducing-european-innovation-stress-test" TargetMode="External"/><Relationship Id="rId11" Type="http://schemas.openxmlformats.org/officeDocument/2006/relationships/image" Target="media/image1.jpeg"/><Relationship Id="rId24" Type="http://schemas.openxmlformats.org/officeDocument/2006/relationships/hyperlink" Target="mailto:Alice.Tetu@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https://www.eesc.europa.eu/lt/our-work/opinions-information-reports/opinions/targets-fixing-fishing-opportunities" TargetMode="External"/><Relationship Id="rId40" Type="http://schemas.openxmlformats.org/officeDocument/2006/relationships/hyperlink" Target="mailto:Martine.Delanoy@eesc.europa.eu" TargetMode="External"/><Relationship Id="rId45" Type="http://schemas.openxmlformats.org/officeDocument/2006/relationships/header" Target="header4.xml"/><Relationship Id="rId53"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mailto:Annalisa.Tessarolo@eesc.europa.eu" TargetMode="External"/><Relationship Id="rId36" Type="http://schemas.openxmlformats.org/officeDocument/2006/relationships/hyperlink" Target="mailto:Dalila.Bernard@eesc.europa.eu"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lt/our-work/opinions-information-reports/opinions/european-cross-border-associations" TargetMode="External"/><Relationship Id="rId44" Type="http://schemas.openxmlformats.org/officeDocument/2006/relationships/hyperlink" Target="mailto:GiorgiaAndrea.Bordignon@eesc.europa.eu" TargetMode="External"/><Relationship Id="rId5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lt/our-work/opinions-information-reports/opinions/euro-area-economic-policy-2024" TargetMode="External"/><Relationship Id="rId27" Type="http://schemas.openxmlformats.org/officeDocument/2006/relationships/hyperlink" Target="https://www.eesc.europa.eu/lt/our-work/opinions-information-reports/opinions/combatting-poverty-and-social-exclusion-harnessing-power-social-economy-and-socio-economic-innovations" TargetMode="External"/><Relationship Id="rId30" Type="http://schemas.openxmlformats.org/officeDocument/2006/relationships/hyperlink" Target="mailto:Marco.Manfroni@eesc.europa.eu" TargetMode="External"/><Relationship Id="rId35" Type="http://schemas.openxmlformats.org/officeDocument/2006/relationships/hyperlink" Target="https://www.eesc.europa.eu/lt/our-work/opinions-information-reports/opinions/revision-late-payments-directive" TargetMode="External"/><Relationship Id="rId43" Type="http://schemas.openxmlformats.org/officeDocument/2006/relationships/hyperlink" Target="https://www.eesc.europa.eu/fr/our-work/opinions-information-reports/opinions/planification-des-infrastructures-energetiques-transfrontalieres" TargetMode="External"/><Relationship Id="rId48" Type="http://schemas.openxmlformats.org/officeDocument/2006/relationships/footer" Target="footer5.xml"/><Relationship Id="rId56"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fontTable" Target="fontTable.xml"/><Relationship Id="rId12" Type="http://schemas.openxmlformats.org/officeDocument/2006/relationships/hyperlink" Target="https://www.eesc.europa.eu/l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n/our-work/opinions-information-reports/opinions/corruption-public-procurement-and-its-impact-internal-market" TargetMode="External"/><Relationship Id="rId33" Type="http://schemas.openxmlformats.org/officeDocument/2006/relationships/hyperlink" Target="https://www.eesc.europa.eu/lt/our-work/opinions-information-reports/opinions/developing-new-european-strategy-internal-market-helping-our-businesses-meet-technological-social-environmental-and" TargetMode="External"/><Relationship Id="rId38" Type="http://schemas.openxmlformats.org/officeDocument/2006/relationships/hyperlink" Target="mailto:Arturo.Iniguez@eesc.europa.eu" TargetMode="External"/><Relationship Id="rId46" Type="http://schemas.openxmlformats.org/officeDocument/2006/relationships/header" Target="header5.xml"/><Relationship Id="rId20" Type="http://schemas.openxmlformats.org/officeDocument/2006/relationships/hyperlink" Target="https://www.eesc.europa.eu/lt/our-work/opinions-information-reports/opinions/establishing-head-office-tax-system-smes-hot" TargetMode="External"/><Relationship Id="rId41" Type="http://schemas.openxmlformats.org/officeDocument/2006/relationships/hyperlink" Target="https://www.eesc.europa.eu/lt/our-work/opinions-information-reports/opinions/addressing-impact-climate-change-and-environmental-degradation-peace-security-and-defence" TargetMode="External"/><Relationship Id="rId54" Type="http://schemas.openxmlformats.org/officeDocument/2006/relationships/customXml" Target="../customXml/item2.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XMKEDVFMMJCW-1998863520-5452</_dlc_DocId>
    <_dlc_DocIdUrl xmlns="56a5413d-c261-4a00-870c-a20d3379ae6d">
      <Url>http://dm/eesc/2023/_layouts/15/DocIdRedir.aspx?ID=XMKEDVFMMJCW-1998863520-5452</Url>
      <Description>XMKEDVFMMJCW-1998863520-5452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Acaite Ugne</DisplayName>
        <AccountId>1625</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E3C51-7045-47EA-937B-591E0DA990FD}"/>
</file>

<file path=customXml/itemProps2.xml><?xml version="1.0" encoding="utf-8"?>
<ds:datastoreItem xmlns:ds="http://schemas.openxmlformats.org/officeDocument/2006/customXml" ds:itemID="{A00A6500-B05B-44A9-A44D-AA6AF89862DD}"/>
</file>

<file path=customXml/itemProps3.xml><?xml version="1.0" encoding="utf-8"?>
<ds:datastoreItem xmlns:ds="http://schemas.openxmlformats.org/officeDocument/2006/customXml" ds:itemID="{10C935BE-F7C2-4AD0-8EAE-AB7069D5A4A3}"/>
</file>

<file path=customXml/itemProps4.xml><?xml version="1.0" encoding="utf-8"?>
<ds:datastoreItem xmlns:ds="http://schemas.openxmlformats.org/officeDocument/2006/customXml" ds:itemID="{3B3D9D36-4D7E-4B0A-BB6C-3C271BDF1706}"/>
</file>

<file path=docProps/app.xml><?xml version="1.0" encoding="utf-8"?>
<Properties xmlns="http://schemas.openxmlformats.org/officeDocument/2006/extended-properties" xmlns:vt="http://schemas.openxmlformats.org/officeDocument/2006/docPropsVTypes">
  <Template>Normal.dotm</Template>
  <TotalTime>0</TotalTime>
  <Pages>15</Pages>
  <Words>4351</Words>
  <Characters>24806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PRIIMTŲ NUOMONIŲ SANTRAUKA - 2024 m. 584-oji plenarinė sesija</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Acaite Ugne</cp:lastModifiedBy>
  <cp:revision>16</cp:revision>
  <cp:lastPrinted>2023-06-15T08:00:00Z</cp:lastPrinted>
  <dcterms:created xsi:type="dcterms:W3CDTF">2024-02-02T10:46:00Z</dcterms:created>
  <dcterms:modified xsi:type="dcterms:W3CDTF">2024-02-02T15:01:00Z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02/02/2024, 29/01/2024, 03/01/2024, 13/11/2023, 25/09/2023, 25/07/2023, 30/06/2023, 23/06/2023, 26/05/2023, 07/03/2023, 11/01/2023, 10/01/2023, 29/03/2022, 04/03/2022, 15/12/2021, 13/09/2021, 03/09/2021, 28/06/2021</vt:lpwstr>
  </property>
  <property fmtid="{D5CDD505-2E9C-101B-9397-08002B2CF9AE}" pid="4" name="Pref_Time">
    <vt:lpwstr>11:41:45, 17:07:09, 15:02:18, 17:01:12, 16:07:19, 11:58:41, 14:00:08, 12:39:02, 15:12:50, 10:27:54, 10:12:15, 11:41:25, 14:21:50, 16:54:06, 17:56:36, 14:13:00, 10:08:10, 08:41:48</vt:lpwstr>
  </property>
  <property fmtid="{D5CDD505-2E9C-101B-9397-08002B2CF9AE}" pid="5" name="Pref_User">
    <vt:lpwstr>pacup, amett, enied, amett, amett, jhvi, pacup, jhvi, pacup, enied, pacup, enied, jhvi, enied, hnic, amett, enied, enied</vt:lpwstr>
  </property>
  <property fmtid="{D5CDD505-2E9C-101B-9397-08002B2CF9AE}" pid="6" name="Pref_FileName">
    <vt:lpwstr>EESC-2023-05816-00-01-TCD-TRA.docx, EESC-2023-05816-00-00-TCD-ORI.docx,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0x010100EA97B91038054C99906057A708A1480A00D801061BA64D4F4583C66427878D4C9A</vt:lpwstr>
  </property>
  <property fmtid="{D5CDD505-2E9C-101B-9397-08002B2CF9AE}" pid="8" name="_dlc_DocIdItemGuid">
    <vt:lpwstr>0ad7e72c-15ef-4119-bc2b-81c99b926799</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DE|f6b31e5a-26fa-4935-b661-318e46daf27e;SL|98a412ae-eb01-49e9-ae3d-585a81724cfc;SV|c2ed69e7-a339-43d7-8f22-d93680a92aa0;ES|e7a6b05b-ae16-40c8-add9-68b64b03aeba;LV|46f7e311-5d9f-4663-b433-18aeccb7ace7;HR|2f555653-ed1a-4fe6-8362-9082d95989e5;PT|50ccc04a-eadd-42ae-a0cb-acaf45f812ba;FI|87606a43-d45f-42d6-b8c9-e1a3457db5b7;SK|46d9fce0-ef79-4f71-b89b-cd6aa82426b8;DA|5d49c027-8956-412b-aa16-e85a0f96ad0e;RO|feb747a2-64cd-4299-af12-4833ddc30497;NL|55c6556c-b4f4-441d-9acf-c498d4f838bd;PL|1e03da61-4678-4e07-b136-b5024ca9197b;IT|0774613c-01ed-4e5d-a25d-11d2388de825;CS|72f9705b-0217-4fd3-bea2-cbc7ed80e26e;ET|ff6c3f4c-b02c-4c3c-ab07-2c37995a7a0a;HU|6b229040-c589-4408-b4c1-4285663d20a8;EL|6d4f4d51-af9b-4650-94b4-4276bee85c91;EN|f2175f21-25d7-44a3-96da-d6a61b075e1b;BG|1a1b3951-7821-4e6a-85f5-5673fc08bd2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34;#SK|46d9fce0-ef79-4f71-b89b-cd6aa82426b8;#33;#LV|46f7e311-5d9f-4663-b433-18aeccb7ace7;#32;#PT|50ccc04a-eadd-42ae-a0cb-acaf45f812ba;#31;#NL|55c6556c-b4f4-441d-9acf-c498d4f838bd;#40;#RO|feb747a2-64cd-4299-af12-4833ddc30497;#25;#ES|e7a6b05b-ae16-40c8-add9-68b64b03aeba;#24;#PL|1e03da61-4678-4e07-b136-b5024ca9197b;#37;#CS|72f9705b-0217-4fd3-bea2-cbc7ed80e26e;#59;#SPL-CES|32d8cb1f-c9ec-4365-95c7-8385a18618ac;#21;#SV|c2ed69e7-a339-43d7-8f22-d93680a92aa0;#45;#ET|ff6c3f4c-b02c-4c3c-ab07-2c37995a7a0a;#16;#DE|f6b31e5a-26fa-4935-b661-318e46daf27e;#44;#BG|1a1b3951-7821-4e6a-85f5-5673fc08bd2c;#46;#HR|2f555653-ed1a-4fe6-8362-9082d95989e5;#38;#EL|6d4f4d51-af9b-4650-94b4-4276bee85c91;#9;#Unrestricted|826e22d7-d029-4ec0-a450-0c28ff673572;#8;#TCD|cd9d6eb6-3f4f-424a-b2d1-57c9d450eaaf;#7;#Final|ea5e6674-7b27-4bac-b091-73adbb394efe;#43;#DA|5d49c027-8956-412b-aa16-e85a0f96ad0e;#5;#EN|f2175f21-25d7-44a3-96da-d6a61b075e1b;#41;#HU|6b229040-c589-4408-b4c1-4285663d20a8;#3;#TRA|150d2a88-1431-44e6-a8ca-0bb753ab8672;#1;#EESC|422833ec-8d7e-4e65-8e4e-8bed07ffb729;#30;#IT|0774613c-01ed-4e5d-a25d-11d2388de825</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39;#LT|a7ff5ce7-6123-4f68-865a-a57c31810414</vt:lpwstr>
  </property>
</Properties>
</file>