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39233F" w14:paraId="785AE44C" w14:textId="021F289A">
      <w:pPr>
        <w:jc w:val="center"/>
      </w:pPr>
      <w:bookmarkStart w:name="_Hlk141173132" w:id="0"/>
      <w:r>
        <w:rPr>
          <w:noProof/>
        </w:rPr>
        <w:drawing>
          <wp:inline distT="0" distB="0" distL="0" distR="0" wp14:anchorId="16665065" wp14:editId="5E65CABA">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Picture 2"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0065460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Bryssel 2. helmikuuta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A1F9E62">
            <w:pPr>
              <w:snapToGrid w:val="0"/>
              <w:jc w:val="center"/>
              <w:rPr>
                <w:b/>
                <w:sz w:val="32"/>
              </w:rPr>
            </w:pPr>
            <w:r>
              <w:rPr>
                <w:b/>
                <w:sz w:val="32"/>
              </w:rPr>
              <w:t>58</w:t>
            </w:r>
            <w:r w:rsidR="006316AD">
              <w:rPr>
                <w:b/>
                <w:sz w:val="32"/>
              </w:rPr>
              <w:t>4</w:t>
            </w:r>
            <w:r>
              <w:rPr>
                <w:b/>
                <w:sz w:val="32"/>
              </w:rPr>
              <w:t>. TÄYSISTUNTO</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ja 18. tammikuuta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ANNETUT LAUSUNNOT JA PÄÄTÖSLAUSELMAT SEKÄ TIEDONANNOT JA ARVIOINTIKERTOMUKSET</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Tämä asiakirja on saatavana unionin virallisilla kielillä komitean internetsivuilla osoitteessa</w:t>
            </w:r>
          </w:p>
          <w:p w:rsidRPr="00094B6B" w:rsidR="00B16284" w:rsidP="00775FC4" w:rsidRDefault="00B16284" w14:paraId="4F26A4CE" w14:textId="77777777">
            <w:pPr>
              <w:snapToGrid w:val="0"/>
              <w:jc w:val="center"/>
            </w:pPr>
          </w:p>
          <w:p w:rsidRPr="00094B6B" w:rsidR="004D7AC0" w:rsidP="00775FC4" w:rsidRDefault="00B25A8C" w14:paraId="2A9352A2" w14:textId="6AC77E38">
            <w:pPr>
              <w:snapToGrid w:val="0"/>
              <w:jc w:val="center"/>
            </w:pPr>
            <w:hyperlink w:history="1" r:id="rId12">
              <w:r w:rsidR="00426017">
                <w:rPr>
                  <w:rStyle w:val="Hyperlink"/>
                  <w:highlight w:val="yellow"/>
                </w:rPr>
                <w:t>https://www.eesc.europa.eu/fi/our-work/opinions-information-reports/plenary-session-summaries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Mainitut lausunnot ovat haettavissa sähköisessä muodossa komitean hakukoneella</w:t>
            </w:r>
          </w:p>
          <w:p w:rsidRPr="00094B6B" w:rsidR="00B16284" w:rsidP="00775FC4" w:rsidRDefault="00B16284" w14:paraId="7A5411A5" w14:textId="77777777">
            <w:pPr>
              <w:snapToGrid w:val="0"/>
              <w:jc w:val="center"/>
            </w:pPr>
          </w:p>
          <w:p w:rsidRPr="00094B6B" w:rsidR="004D7AC0" w:rsidP="00775FC4" w:rsidRDefault="00B25A8C" w14:paraId="441AC4DD" w14:textId="1194D751">
            <w:pPr>
              <w:snapToGrid w:val="0"/>
              <w:jc w:val="center"/>
            </w:pPr>
            <w:hyperlink w:history="1" r:id="rId13">
              <w:r w:rsidR="00426017">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Sisällysluettelo</w:t>
          </w:r>
        </w:p>
        <w:p w:rsidR="001032D7" w:rsidRDefault="00544D95" w14:paraId="0ACB6AE6" w14:textId="0F7B6D7E">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7509929">
            <w:r w:rsidRPr="00703900" w:rsidR="001032D7">
              <w:rPr>
                <w:rStyle w:val="Hyperlink"/>
                <w14:scene3d>
                  <w14:camera w14:prst="orthographicFront"/>
                  <w14:lightRig w14:rig="threePt" w14:dir="t">
                    <w14:rot w14:lat="0" w14:lon="0" w14:rev="0"/>
                  </w14:lightRig>
                </w14:scene3d>
              </w:rPr>
              <w:t>1.</w:t>
            </w:r>
            <w:r w:rsidR="001032D7">
              <w:rPr>
                <w:rFonts w:asciiTheme="minorHAnsi" w:hAnsiTheme="minorHAnsi" w:eastAsiaTheme="minorEastAsia" w:cstheme="minorBidi"/>
                <w:bCs w:val="0"/>
                <w:sz w:val="22"/>
                <w:szCs w:val="22"/>
                <w:lang w:val="fr-BE" w:eastAsia="fr-BE"/>
              </w:rPr>
              <w:tab/>
            </w:r>
            <w:r w:rsidRPr="00703900" w:rsidR="001032D7">
              <w:rPr>
                <w:rStyle w:val="Hyperlink"/>
                <w:b/>
              </w:rPr>
              <w:t>TALOUS- JA RAHALIITTO, TALOUDELLINEN JA SOSIAALINEN YHTEENKUULUVUUS</w:t>
            </w:r>
            <w:r w:rsidR="001032D7">
              <w:rPr>
                <w:webHidden/>
              </w:rPr>
              <w:tab/>
            </w:r>
            <w:r w:rsidR="001032D7">
              <w:rPr>
                <w:webHidden/>
              </w:rPr>
              <w:fldChar w:fldCharType="begin"/>
            </w:r>
            <w:r w:rsidR="001032D7">
              <w:rPr>
                <w:webHidden/>
              </w:rPr>
              <w:instrText xml:space="preserve"> PAGEREF _Toc157509929 \h </w:instrText>
            </w:r>
            <w:r w:rsidR="001032D7">
              <w:rPr>
                <w:webHidden/>
              </w:rPr>
            </w:r>
            <w:r w:rsidR="001032D7">
              <w:rPr>
                <w:webHidden/>
              </w:rPr>
              <w:fldChar w:fldCharType="separate"/>
            </w:r>
            <w:r w:rsidR="00E90557">
              <w:rPr>
                <w:webHidden/>
              </w:rPr>
              <w:t>3</w:t>
            </w:r>
            <w:r w:rsidR="001032D7">
              <w:rPr>
                <w:webHidden/>
              </w:rPr>
              <w:fldChar w:fldCharType="end"/>
            </w:r>
          </w:hyperlink>
        </w:p>
        <w:p w:rsidR="001032D7" w:rsidRDefault="00B25A8C" w14:paraId="4563B871" w14:textId="3E2954C7">
          <w:pPr>
            <w:pStyle w:val="TOC1"/>
            <w:rPr>
              <w:rFonts w:asciiTheme="minorHAnsi" w:hAnsiTheme="minorHAnsi" w:eastAsiaTheme="minorEastAsia" w:cstheme="minorBidi"/>
              <w:bCs w:val="0"/>
              <w:sz w:val="22"/>
              <w:szCs w:val="22"/>
              <w:lang w:val="fr-BE" w:eastAsia="fr-BE"/>
            </w:rPr>
          </w:pPr>
          <w:hyperlink w:history="1" w:anchor="_Toc157509944">
            <w:r w:rsidRPr="00703900" w:rsidR="001032D7">
              <w:rPr>
                <w:rStyle w:val="Hyperlink"/>
                <w14:scene3d>
                  <w14:camera w14:prst="orthographicFront"/>
                  <w14:lightRig w14:rig="threePt" w14:dir="t">
                    <w14:rot w14:lat="0" w14:lon="0" w14:rev="0"/>
                  </w14:lightRig>
                </w14:scene3d>
              </w:rPr>
              <w:t>2.</w:t>
            </w:r>
            <w:r w:rsidR="001032D7">
              <w:rPr>
                <w:rFonts w:asciiTheme="minorHAnsi" w:hAnsiTheme="minorHAnsi" w:eastAsiaTheme="minorEastAsia" w:cstheme="minorBidi"/>
                <w:bCs w:val="0"/>
                <w:sz w:val="22"/>
                <w:szCs w:val="22"/>
                <w:lang w:val="fr-BE" w:eastAsia="fr-BE"/>
              </w:rPr>
              <w:tab/>
            </w:r>
            <w:r w:rsidRPr="00703900" w:rsidR="001032D7">
              <w:rPr>
                <w:rStyle w:val="Hyperlink"/>
                <w:b/>
              </w:rPr>
              <w:t>SISÄMARKKINAT, TUOTANTO JA KULUTUS</w:t>
            </w:r>
            <w:r w:rsidR="001032D7">
              <w:rPr>
                <w:webHidden/>
              </w:rPr>
              <w:tab/>
            </w:r>
            <w:r w:rsidR="001032D7">
              <w:rPr>
                <w:webHidden/>
              </w:rPr>
              <w:fldChar w:fldCharType="begin"/>
            </w:r>
            <w:r w:rsidR="001032D7">
              <w:rPr>
                <w:webHidden/>
              </w:rPr>
              <w:instrText xml:space="preserve"> PAGEREF _Toc157509944 \h </w:instrText>
            </w:r>
            <w:r w:rsidR="001032D7">
              <w:rPr>
                <w:webHidden/>
              </w:rPr>
            </w:r>
            <w:r w:rsidR="001032D7">
              <w:rPr>
                <w:webHidden/>
              </w:rPr>
              <w:fldChar w:fldCharType="separate"/>
            </w:r>
            <w:r w:rsidR="00E90557">
              <w:rPr>
                <w:webHidden/>
              </w:rPr>
              <w:t>5</w:t>
            </w:r>
            <w:r w:rsidR="001032D7">
              <w:rPr>
                <w:webHidden/>
              </w:rPr>
              <w:fldChar w:fldCharType="end"/>
            </w:r>
          </w:hyperlink>
        </w:p>
        <w:p w:rsidRPr="001032D7" w:rsidR="001032D7" w:rsidP="001032D7" w:rsidRDefault="00B25A8C" w14:paraId="18BA75E9" w14:textId="4D633095">
          <w:pPr>
            <w:pStyle w:val="TOC1"/>
            <w:rPr>
              <w:rFonts w:asciiTheme="minorHAnsi" w:hAnsiTheme="minorHAnsi" w:eastAsiaTheme="minorEastAsia" w:cstheme="minorBidi"/>
              <w:bCs w:val="0"/>
              <w:sz w:val="22"/>
              <w:szCs w:val="22"/>
              <w:lang w:val="fr-BE" w:eastAsia="fr-BE"/>
            </w:rPr>
          </w:pPr>
          <w:hyperlink w:history="1" w:anchor="_Toc157509945">
            <w:r w:rsidRPr="00703900" w:rsidR="001032D7">
              <w:rPr>
                <w:rStyle w:val="Hyperlink"/>
                <w14:scene3d>
                  <w14:camera w14:prst="orthographicFront"/>
                  <w14:lightRig w14:rig="threePt" w14:dir="t">
                    <w14:rot w14:lat="0" w14:lon="0" w14:rev="0"/>
                  </w14:lightRig>
                </w14:scene3d>
              </w:rPr>
              <w:t>3.</w:t>
            </w:r>
            <w:r w:rsidR="001032D7">
              <w:rPr>
                <w:rFonts w:asciiTheme="minorHAnsi" w:hAnsiTheme="minorHAnsi" w:eastAsiaTheme="minorEastAsia" w:cstheme="minorBidi"/>
                <w:bCs w:val="0"/>
                <w:sz w:val="22"/>
                <w:szCs w:val="22"/>
                <w:lang w:val="fr-BE" w:eastAsia="fr-BE"/>
              </w:rPr>
              <w:tab/>
            </w:r>
            <w:r w:rsidRPr="00703900" w:rsidR="001032D7">
              <w:rPr>
                <w:rStyle w:val="Hyperlink"/>
                <w:b/>
              </w:rPr>
              <w:t>MAATALOUS, MAASEUDUN KEHITTÄMINEN JA YMPÄRISTÖ</w:t>
            </w:r>
            <w:r w:rsidR="001032D7">
              <w:rPr>
                <w:webHidden/>
              </w:rPr>
              <w:tab/>
            </w:r>
            <w:r w:rsidR="001032D7">
              <w:rPr>
                <w:webHidden/>
              </w:rPr>
              <w:fldChar w:fldCharType="begin"/>
            </w:r>
            <w:r w:rsidR="001032D7">
              <w:rPr>
                <w:webHidden/>
              </w:rPr>
              <w:instrText xml:space="preserve"> PAGEREF _Toc157509945 \h </w:instrText>
            </w:r>
            <w:r w:rsidR="001032D7">
              <w:rPr>
                <w:webHidden/>
              </w:rPr>
            </w:r>
            <w:r w:rsidR="001032D7">
              <w:rPr>
                <w:webHidden/>
              </w:rPr>
              <w:fldChar w:fldCharType="separate"/>
            </w:r>
            <w:r w:rsidR="00E90557">
              <w:rPr>
                <w:webHidden/>
              </w:rPr>
              <w:t>12</w:t>
            </w:r>
            <w:r w:rsidR="001032D7">
              <w:rPr>
                <w:webHidden/>
              </w:rPr>
              <w:fldChar w:fldCharType="end"/>
            </w:r>
          </w:hyperlink>
        </w:p>
        <w:p w:rsidR="001032D7" w:rsidRDefault="00B25A8C" w14:paraId="444A1887" w14:textId="7DCF9B10">
          <w:pPr>
            <w:pStyle w:val="TOC1"/>
            <w:rPr>
              <w:rFonts w:asciiTheme="minorHAnsi" w:hAnsiTheme="minorHAnsi" w:eastAsiaTheme="minorEastAsia" w:cstheme="minorBidi"/>
              <w:bCs w:val="0"/>
              <w:sz w:val="22"/>
              <w:szCs w:val="22"/>
              <w:lang w:val="fr-BE" w:eastAsia="fr-BE"/>
            </w:rPr>
          </w:pPr>
          <w:hyperlink w:history="1" w:anchor="_Toc157509955">
            <w:r w:rsidRPr="00703900" w:rsidR="001032D7">
              <w:rPr>
                <w:rStyle w:val="Hyperlink"/>
                <w14:scene3d>
                  <w14:camera w14:prst="orthographicFront"/>
                  <w14:lightRig w14:rig="threePt" w14:dir="t">
                    <w14:rot w14:lat="0" w14:lon="0" w14:rev="0"/>
                  </w14:lightRig>
                </w14:scene3d>
              </w:rPr>
              <w:t>4.</w:t>
            </w:r>
            <w:r w:rsidR="001032D7">
              <w:rPr>
                <w:rFonts w:asciiTheme="minorHAnsi" w:hAnsiTheme="minorHAnsi" w:eastAsiaTheme="minorEastAsia" w:cstheme="minorBidi"/>
                <w:bCs w:val="0"/>
                <w:sz w:val="22"/>
                <w:szCs w:val="22"/>
                <w:lang w:val="fr-BE" w:eastAsia="fr-BE"/>
              </w:rPr>
              <w:tab/>
            </w:r>
            <w:r w:rsidRPr="00703900" w:rsidR="001032D7">
              <w:rPr>
                <w:rStyle w:val="Hyperlink"/>
                <w:b/>
              </w:rPr>
              <w:t>ULKOSUHTEET</w:t>
            </w:r>
            <w:r w:rsidR="001032D7">
              <w:rPr>
                <w:webHidden/>
              </w:rPr>
              <w:tab/>
            </w:r>
            <w:r w:rsidR="001032D7">
              <w:rPr>
                <w:webHidden/>
              </w:rPr>
              <w:fldChar w:fldCharType="begin"/>
            </w:r>
            <w:r w:rsidR="001032D7">
              <w:rPr>
                <w:webHidden/>
              </w:rPr>
              <w:instrText xml:space="preserve"> PAGEREF _Toc157509955 \h </w:instrText>
            </w:r>
            <w:r w:rsidR="001032D7">
              <w:rPr>
                <w:webHidden/>
              </w:rPr>
            </w:r>
            <w:r w:rsidR="001032D7">
              <w:rPr>
                <w:webHidden/>
              </w:rPr>
              <w:fldChar w:fldCharType="separate"/>
            </w:r>
            <w:r w:rsidR="00E90557">
              <w:rPr>
                <w:webHidden/>
              </w:rPr>
              <w:t>14</w:t>
            </w:r>
            <w:r w:rsidR="001032D7">
              <w:rPr>
                <w:webHidden/>
              </w:rPr>
              <w:fldChar w:fldCharType="end"/>
            </w:r>
          </w:hyperlink>
        </w:p>
        <w:p w:rsidR="001032D7" w:rsidRDefault="00B25A8C" w14:paraId="699BC550" w14:textId="6AD77098">
          <w:pPr>
            <w:pStyle w:val="TOC1"/>
            <w:rPr>
              <w:rFonts w:asciiTheme="minorHAnsi" w:hAnsiTheme="minorHAnsi" w:eastAsiaTheme="minorEastAsia" w:cstheme="minorBidi"/>
              <w:bCs w:val="0"/>
              <w:sz w:val="22"/>
              <w:szCs w:val="22"/>
              <w:lang w:val="fr-BE" w:eastAsia="fr-BE"/>
            </w:rPr>
          </w:pPr>
          <w:hyperlink w:history="1" w:anchor="_Toc157509956">
            <w:r w:rsidRPr="00703900" w:rsidR="001032D7">
              <w:rPr>
                <w:rStyle w:val="Hyperlink"/>
                <w14:scene3d>
                  <w14:camera w14:prst="orthographicFront"/>
                  <w14:lightRig w14:rig="threePt" w14:dir="t">
                    <w14:rot w14:lat="0" w14:lon="0" w14:rev="0"/>
                  </w14:lightRig>
                </w14:scene3d>
              </w:rPr>
              <w:t>5.</w:t>
            </w:r>
            <w:r w:rsidR="001032D7">
              <w:rPr>
                <w:rFonts w:asciiTheme="minorHAnsi" w:hAnsiTheme="minorHAnsi" w:eastAsiaTheme="minorEastAsia" w:cstheme="minorBidi"/>
                <w:bCs w:val="0"/>
                <w:sz w:val="22"/>
                <w:szCs w:val="22"/>
                <w:lang w:val="fr-BE" w:eastAsia="fr-BE"/>
              </w:rPr>
              <w:tab/>
            </w:r>
            <w:r w:rsidRPr="00703900" w:rsidR="001032D7">
              <w:rPr>
                <w:rStyle w:val="Hyperlink"/>
                <w:b/>
              </w:rPr>
              <w:t>LIIKENNE, ENERGIA, PERUSRAKENTEET, TIETOYHTEISKUNTA</w:t>
            </w:r>
            <w:r w:rsidR="001032D7">
              <w:rPr>
                <w:webHidden/>
              </w:rPr>
              <w:tab/>
            </w:r>
            <w:r w:rsidR="001032D7">
              <w:rPr>
                <w:webHidden/>
              </w:rPr>
              <w:fldChar w:fldCharType="begin"/>
            </w:r>
            <w:r w:rsidR="001032D7">
              <w:rPr>
                <w:webHidden/>
              </w:rPr>
              <w:instrText xml:space="preserve"> PAGEREF _Toc157509956 \h </w:instrText>
            </w:r>
            <w:r w:rsidR="001032D7">
              <w:rPr>
                <w:webHidden/>
              </w:rPr>
            </w:r>
            <w:r w:rsidR="001032D7">
              <w:rPr>
                <w:webHidden/>
              </w:rPr>
              <w:fldChar w:fldCharType="separate"/>
            </w:r>
            <w:r w:rsidR="00E90557">
              <w:rPr>
                <w:webHidden/>
              </w:rPr>
              <w:t>15</w:t>
            </w:r>
            <w:r w:rsidR="001032D7">
              <w:rPr>
                <w:webHidden/>
              </w:rPr>
              <w:fldChar w:fldCharType="end"/>
            </w:r>
          </w:hyperlink>
        </w:p>
        <w:p w:rsidRPr="00544D95" w:rsidR="00544D95" w:rsidP="00544D95" w:rsidRDefault="00544D95" w14:paraId="589C47D7" w14:textId="17ED78D7">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E51DD8" w:rsidRDefault="0038273B" w14:paraId="62CE6920" w14:textId="77777777">
      <w:pPr>
        <w:pStyle w:val="Heading1"/>
        <w:spacing w:before="0"/>
        <w:ind w:left="0" w:firstLine="0"/>
        <w:rPr>
          <w:b/>
          <w:bCs/>
        </w:rPr>
      </w:pPr>
      <w:bookmarkStart w:name="_Toc157509929" w:id="1"/>
      <w:r>
        <w:rPr>
          <w:b/>
        </w:rPr>
        <w:lastRenderedPageBreak/>
        <w:t>TALOUS- JA RAHALIITTO, TALOUDELLINEN JA SOSIAALINEN YHTEENKUULUVUUS</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2048E0" w:rsidRDefault="00B25A8C" w14:paraId="232120CA" w14:textId="2C19EBED">
      <w:pPr>
        <w:widowControl w:val="0"/>
        <w:numPr>
          <w:ilvl w:val="0"/>
          <w:numId w:val="2"/>
        </w:numPr>
        <w:overflowPunct w:val="0"/>
        <w:autoSpaceDE w:val="0"/>
        <w:autoSpaceDN w:val="0"/>
        <w:adjustRightInd w:val="0"/>
        <w:ind w:hanging="425"/>
        <w:textAlignment w:val="baseline"/>
        <w:rPr>
          <w:sz w:val="20"/>
          <w:szCs w:val="20"/>
        </w:rPr>
      </w:pPr>
      <w:hyperlink w:history="1" r:id="rId15">
        <w:r w:rsidR="00426017">
          <w:rPr>
            <w:b/>
            <w:i/>
            <w:color w:val="0000FF"/>
            <w:sz w:val="28"/>
            <w:u w:val="single"/>
          </w:rPr>
          <w:t>Pk-yrityksiä koskevan päätoimipaikkaverotukseen perustuvan järjestelmän perustaminen</w:t>
        </w:r>
      </w:hyperlink>
      <w:r w:rsidR="00426017">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375"/>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Esittelijä</w:t>
            </w:r>
          </w:p>
        </w:tc>
        <w:tc>
          <w:tcPr>
            <w:tcW w:w="7479" w:type="dxa"/>
          </w:tcPr>
          <w:p w:rsidRPr="00126CEB" w:rsidR="00126CEB" w:rsidP="00126CEB" w:rsidRDefault="00126CEB" w14:paraId="54D0AAF8" w14:textId="797CAA0D">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(työnantajat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Viiteasiakirja</w:t>
            </w:r>
          </w:p>
        </w:tc>
        <w:tc>
          <w:tcPr>
            <w:tcW w:w="7479" w:type="dxa"/>
          </w:tcPr>
          <w:p w:rsidRPr="00126CEB" w:rsidR="00126CEB" w:rsidP="00126CEB" w:rsidRDefault="00126CEB" w14:paraId="55EDF860" w14:textId="6A01D903">
            <w:pPr>
              <w:tabs>
                <w:tab w:val="center" w:pos="284"/>
              </w:tabs>
              <w:overflowPunct w:val="0"/>
              <w:autoSpaceDE w:val="0"/>
              <w:autoSpaceDN w:val="0"/>
              <w:adjustRightInd w:val="0"/>
              <w:ind w:left="266" w:hanging="266"/>
              <w:textAlignment w:val="baseline"/>
            </w:pPr>
            <w:r>
              <w:t xml:space="preserve">COM(2023) 528 </w:t>
            </w:r>
            <w:proofErr w:type="spellStart"/>
            <w:r>
              <w:t>final</w:t>
            </w:r>
            <w:proofErr w:type="spellEnd"/>
          </w:p>
          <w:p w:rsidRPr="00126CEB" w:rsidR="00126CEB" w:rsidP="00126CEB" w:rsidRDefault="00126CEB" w14:paraId="255E70E4" w14:textId="63EF38EE">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ETSK</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2048E0"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2"/>
      <w:bookmarkStart w:name="_Toc157509930" w:id="3"/>
      <w:r>
        <w:t>kannattaa Euroopan komission ehdotusta perustaa mikro- ja pk-yrityksiä koskeva päätoimipaikkaverotukseen perustuva järjestelmä sekä ehdotuksen tavoitteita, sillä ne ovat omiaan edistämään mikro- ja pk-yritysten toimintaa, yksinkertaistamaan niiden toimimista rajojen ylitse, vähentämään hallinnollisia ja taloudellisia esteitä ja parantamaan siten mikro- ja pk-yritysten yleistä kilpailukykyä.</w:t>
      </w:r>
      <w:bookmarkEnd w:id="2"/>
      <w:bookmarkEnd w:id="3"/>
    </w:p>
    <w:p w:rsidRPr="00126CEB"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rPr>
          <w:szCs w:val="20"/>
        </w:rPr>
      </w:pPr>
      <w:bookmarkStart w:name="_Toc157076137" w:id="4"/>
      <w:bookmarkStart w:name="_Toc157509931" w:id="5"/>
      <w:r>
        <w:t>toteaa, että ehdotetun päätoimipaikkaverotukseen perustuvan järjestelmän hyväksyminen tuottaisi suurta lisäarvoa yrityksille, työntekijöille ja jäsenvaltioille. Mikro- ja pk-yritysten hallinnollisen taakan keventäminen tuo lisää kilpailuetuja niiden päivittäiseen toimintaan.</w:t>
      </w:r>
      <w:bookmarkEnd w:id="4"/>
      <w:bookmarkEnd w:id="5"/>
    </w:p>
    <w:p w:rsidRPr="00126CEB"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rPr>
          <w:szCs w:val="20"/>
        </w:rPr>
      </w:pPr>
      <w:bookmarkStart w:name="_Toc157076138" w:id="6"/>
      <w:bookmarkStart w:name="_Toc157509932" w:id="7"/>
      <w:r>
        <w:t xml:space="preserve">kehottaa hyväksymään komission ehdotuksen päätoimipaikkaverotukseen perustuvasta järjestelmästä viipymättä, jotta voidaan tukea mikro- ja pk-yritysten kasvua sekä sitä, että </w:t>
      </w:r>
      <w:proofErr w:type="spellStart"/>
      <w:r>
        <w:t>rajatylittävää</w:t>
      </w:r>
      <w:proofErr w:type="spellEnd"/>
      <w:r>
        <w:t xml:space="preserve"> toimintaa harjoittavat mikro- ja pk-yritykset saavat tasapuoliset edellytykset osallistua sisämarkkinoille, mikä edistäisi BKT:n ja työllisyyden kasvua pitkällä aikavälillä.</w:t>
      </w:r>
      <w:bookmarkEnd w:id="6"/>
      <w:bookmarkEnd w:id="7"/>
    </w:p>
    <w:p w:rsidRPr="00126CEB"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rPr>
          <w:szCs w:val="20"/>
        </w:rPr>
      </w:pPr>
      <w:bookmarkStart w:name="_Toc157076139" w:id="8"/>
      <w:bookmarkStart w:name="_Toc157509933" w:id="9"/>
      <w:r>
        <w:t>uskoo, että päätoimipaikkaverotukseen perustuva järjestelmä lisää ja parantaa jäsenvaltioiden veroviranomaisten välistä yhteistyötä. Niiden keskinäinen yhteistyö on olennaisen tärkeää ehdotetun järjestelmän onnistuneen ja merkityksellisen täytäntöönpanon sekä asetettujen tavoitteiden saavuttamisen kannalta.</w:t>
      </w:r>
      <w:bookmarkEnd w:id="8"/>
      <w:bookmarkEnd w:id="9"/>
    </w:p>
    <w:p w:rsidRPr="00126CEB"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rPr>
          <w:szCs w:val="20"/>
        </w:rPr>
      </w:pPr>
      <w:bookmarkStart w:name="_Toc157076140" w:id="10"/>
      <w:bookmarkStart w:name="_Toc157509934" w:id="11"/>
      <w:r>
        <w:t xml:space="preserve">kehottaa komissiota tekemään ehdotuksen hyväksymisen jälkeen tiivistä yhteistyötä jäsenvaltioiden ja mikro- ja pk-yrityksiä edustavien organisaatioiden kanssa, jotta mikro- ja pk-yritykset saataisiin tietoisiksi niiden käytettävissä olevasta päätoimipaikkaverotukseen perustuvasta menettelystä. Näin voidaan paremmin saavuttaa tavoitteet, jotka koskevat sääntelytaakan vähentämistä, </w:t>
      </w:r>
      <w:proofErr w:type="spellStart"/>
      <w:r>
        <w:t>rajatylittävän</w:t>
      </w:r>
      <w:proofErr w:type="spellEnd"/>
      <w:r>
        <w:t xml:space="preserve"> toiminnan lisäämistä ja sisämarkkinoiden tarjoamien etujen hyödyntämistä kaikilta osin.</w:t>
      </w:r>
      <w:bookmarkEnd w:id="10"/>
      <w:bookmarkEnd w:id="11"/>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Yhteydenotot</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P.</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F655B8" w14:paraId="6A7E9917" w14:textId="77777777">
        <w:tc>
          <w:tcPr>
            <w:tcW w:w="1418" w:type="dxa"/>
          </w:tcPr>
          <w:p w:rsidRPr="00126CEB" w:rsidR="00126CEB" w:rsidP="00126CEB" w:rsidRDefault="001F11A4" w14:paraId="6FBCCB68" w14:textId="6DF0C0C9">
            <w:pPr>
              <w:overflowPunct w:val="0"/>
              <w:autoSpaceDE w:val="0"/>
              <w:autoSpaceDN w:val="0"/>
              <w:adjustRightInd w:val="0"/>
              <w:spacing w:line="240" w:lineRule="auto"/>
              <w:textAlignment w:val="baseline"/>
              <w:rPr>
                <w:i/>
              </w:rPr>
            </w:pPr>
            <w:r>
              <w:rPr>
                <w:i/>
              </w:rPr>
              <w:t>Sähköposti</w:t>
            </w:r>
          </w:p>
        </w:tc>
        <w:tc>
          <w:tcPr>
            <w:tcW w:w="5670" w:type="dxa"/>
          </w:tcPr>
          <w:p w:rsidRPr="00C83487" w:rsidR="00126CEB" w:rsidP="00126CEB" w:rsidRDefault="00B25A8C" w14:paraId="40D946D1" w14:textId="201B9EAD">
            <w:pPr>
              <w:overflowPunct w:val="0"/>
              <w:autoSpaceDE w:val="0"/>
              <w:autoSpaceDN w:val="0"/>
              <w:adjustRightInd w:val="0"/>
              <w:spacing w:line="240" w:lineRule="auto"/>
              <w:textAlignment w:val="baseline"/>
              <w:rPr>
                <w:i/>
                <w:iCs/>
              </w:rPr>
            </w:pPr>
            <w:hyperlink w:history="1" r:id="rId16">
              <w:r w:rsidR="00426017">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B25A8C"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17">
        <w:r w:rsidR="00426017">
          <w:rPr>
            <w:b/>
            <w:i/>
            <w:color w:val="0000FF"/>
            <w:sz w:val="28"/>
            <w:u w:val="single"/>
          </w:rPr>
          <w:t>Euroalueen talouspolitiikka 2024</w:t>
        </w:r>
      </w:hyperlink>
    </w:p>
    <w:p w:rsidRPr="00E51DD8" w:rsidR="002435FB" w:rsidP="002435FB" w:rsidRDefault="002435FB" w14:paraId="2BB1B4C7" w14:textId="77777777">
      <w:pPr>
        <w:widowControl w:val="0"/>
        <w:overflowPunct w:val="0"/>
        <w:autoSpaceDE w:val="0"/>
        <w:autoSpaceDN w:val="0"/>
        <w:adjustRightInd w:val="0"/>
        <w:ind w:left="266"/>
        <w:textAlignment w:val="baseline"/>
        <w:rPr>
          <w:b/>
          <w:sz w:val="16"/>
          <w:szCs w:val="16"/>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5"/>
        <w:gridCol w:w="7376"/>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Esittelijä</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proofErr w:type="spellStart"/>
            <w:r>
              <w:t>Konstantinos</w:t>
            </w:r>
            <w:proofErr w:type="spellEnd"/>
            <w:r>
              <w:t xml:space="preserve"> Diamantouros (työnantajat –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Viiteasiakirja</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COM(2023) 903 </w:t>
            </w:r>
            <w:proofErr w:type="spellStart"/>
            <w:r>
              <w:t>final</w:t>
            </w:r>
            <w:proofErr w:type="spellEnd"/>
            <w:r>
              <w:t>.</w:t>
            </w:r>
          </w:p>
          <w:p w:rsidRPr="002435FB" w:rsidR="002435FB" w:rsidP="002435FB" w:rsidRDefault="002435FB" w14:paraId="4D3CD881" w14:textId="0EDD4C8E">
            <w:pPr>
              <w:tabs>
                <w:tab w:val="center" w:pos="284"/>
              </w:tabs>
              <w:overflowPunct w:val="0"/>
              <w:autoSpaceDE w:val="0"/>
              <w:autoSpaceDN w:val="0"/>
              <w:adjustRightInd w:val="0"/>
              <w:textAlignment w:val="baseline"/>
            </w:pPr>
            <w:r>
              <w:t>EESC-2023-04821-00-00-AC</w:t>
            </w:r>
          </w:p>
        </w:tc>
      </w:tr>
    </w:tbl>
    <w:p w:rsidRPr="00E51DD8"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sz w:val="16"/>
          <w:szCs w:val="16"/>
        </w:rPr>
      </w:pPr>
    </w:p>
    <w:p w:rsidRPr="002435FB" w:rsidR="002435FB" w:rsidP="002048E0"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Keskeiset kohdat</w:t>
      </w:r>
    </w:p>
    <w:p w:rsidRPr="00E51DD8"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sz w:val="16"/>
          <w:szCs w:val="16"/>
        </w:rPr>
      </w:pPr>
    </w:p>
    <w:p w:rsidRPr="002435FB" w:rsidR="002435FB" w:rsidP="002048E0" w:rsidRDefault="002435FB" w14:paraId="41A4E45B" w14:textId="77777777">
      <w:pPr>
        <w:overflowPunct w:val="0"/>
        <w:autoSpaceDE w:val="0"/>
        <w:autoSpaceDN w:val="0"/>
        <w:adjustRightInd w:val="0"/>
        <w:ind w:left="425" w:hanging="283"/>
        <w:textAlignment w:val="baseline"/>
        <w:rPr>
          <w:bCs/>
          <w:iCs/>
          <w:highlight w:val="yellow"/>
        </w:rPr>
      </w:pPr>
      <w:r>
        <w:t>ETSK</w:t>
      </w:r>
    </w:p>
    <w:p w:rsidRPr="002435FB" w:rsidR="002435FB" w:rsidP="002048E0"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12"/>
      <w:bookmarkStart w:name="_Toc157509935" w:id="13"/>
      <w:r>
        <w:t>suhtautuu myönteisesti euroaluetta koskeviin Euroopan komission suosituksiin ja yhtyy pitkälti niihin ja sen arvioon nykyisestä taloustilanteesta.</w:t>
      </w:r>
      <w:bookmarkEnd w:id="12"/>
      <w:bookmarkEnd w:id="13"/>
      <w:r>
        <w:t xml:space="preserve"> </w:t>
      </w:r>
    </w:p>
    <w:p w:rsidRPr="002435FB" w:rsidR="002435FB" w:rsidP="002048E0" w:rsidRDefault="002435FB" w14:paraId="79D8B48A" w14:textId="77777777">
      <w:pPr>
        <w:numPr>
          <w:ilvl w:val="0"/>
          <w:numId w:val="34"/>
        </w:numPr>
        <w:overflowPunct w:val="0"/>
        <w:autoSpaceDE w:val="0"/>
        <w:autoSpaceDN w:val="0"/>
        <w:adjustRightInd w:val="0"/>
        <w:ind w:left="567" w:hanging="567"/>
        <w:textAlignment w:val="baseline"/>
        <w:outlineLvl w:val="1"/>
        <w:rPr>
          <w:szCs w:val="20"/>
        </w:rPr>
      </w:pPr>
      <w:bookmarkStart w:name="_Toc157076142" w:id="14"/>
      <w:bookmarkStart w:name="_Toc157509936" w:id="15"/>
      <w:r>
        <w:t>kehottaa Euroopan keskuspankkia (EKP) omaksumaan dynaamiseen ja datavetoiseen rahapolitiikkaan perustuvan varovaisen lähestymistavan, jotta inflaatiota saataisiin laskettua takaisin lähemmäs sille asetettua tavoitetta, ja ilmaisee tukensa sille, että jäsenvaltioiden finanssipolitiikkaa koordinoidaan jatkossakin EKP:n rahapolitiikan kanssa.</w:t>
      </w:r>
      <w:bookmarkEnd w:id="14"/>
      <w:bookmarkEnd w:id="15"/>
    </w:p>
    <w:p w:rsidRPr="002435FB" w:rsidR="002435FB" w:rsidP="002048E0" w:rsidRDefault="002435FB" w14:paraId="0992FDE2" w14:textId="77777777">
      <w:pPr>
        <w:numPr>
          <w:ilvl w:val="0"/>
          <w:numId w:val="34"/>
        </w:numPr>
        <w:overflowPunct w:val="0"/>
        <w:autoSpaceDE w:val="0"/>
        <w:autoSpaceDN w:val="0"/>
        <w:adjustRightInd w:val="0"/>
        <w:ind w:left="567" w:hanging="567"/>
        <w:textAlignment w:val="baseline"/>
        <w:outlineLvl w:val="1"/>
        <w:rPr>
          <w:szCs w:val="20"/>
        </w:rPr>
      </w:pPr>
      <w:bookmarkStart w:name="_Toc157076143" w:id="16"/>
      <w:bookmarkStart w:name="_Toc157509937" w:id="17"/>
      <w:r>
        <w:t>kannattaa komission kehotusta julkisen talouden vakauttamiseen ja kehottaa jäsenvaltioita pääsemään ennen vuoden loppua yhteisymmärrykseen vakaus- ja kasvusopimuksen uudistamisesta.</w:t>
      </w:r>
      <w:bookmarkEnd w:id="16"/>
      <w:bookmarkEnd w:id="17"/>
    </w:p>
    <w:p w:rsidRPr="002435FB" w:rsidR="002435FB" w:rsidP="002048E0" w:rsidRDefault="002435FB" w14:paraId="6722825E" w14:textId="77777777">
      <w:pPr>
        <w:numPr>
          <w:ilvl w:val="0"/>
          <w:numId w:val="34"/>
        </w:numPr>
        <w:overflowPunct w:val="0"/>
        <w:autoSpaceDE w:val="0"/>
        <w:autoSpaceDN w:val="0"/>
        <w:adjustRightInd w:val="0"/>
        <w:ind w:left="567" w:hanging="567"/>
        <w:textAlignment w:val="baseline"/>
        <w:outlineLvl w:val="1"/>
        <w:rPr>
          <w:szCs w:val="20"/>
        </w:rPr>
      </w:pPr>
      <w:bookmarkStart w:name="_Toc157076144" w:id="18"/>
      <w:bookmarkStart w:name="_Toc157509938" w:id="19"/>
      <w:r>
        <w:t>suhtautuu myönteisesti Euroopan komission suositukseen, jonka mukaan jäsenvaltioiden olisi kansallisia käytäntöjä noudattaen ja työmarkkinaosapuolten roolia kunnioittaen tuettava palkkakehitystä, jolla jarrutetaan erityisesti pienituloisten palkansaajien ostovoiman heikkenemistä, kiinnittäen asianmukaista huomiota kilpailukykykehitykseen ja välttäen pysyväisluonteisia eroja euroalueella.</w:t>
      </w:r>
      <w:bookmarkEnd w:id="18"/>
      <w:bookmarkEnd w:id="19"/>
    </w:p>
    <w:p w:rsidRPr="002435FB" w:rsidR="002435FB" w:rsidP="002048E0" w:rsidRDefault="002435FB" w14:paraId="31F043FD" w14:textId="77777777">
      <w:pPr>
        <w:numPr>
          <w:ilvl w:val="0"/>
          <w:numId w:val="34"/>
        </w:numPr>
        <w:overflowPunct w:val="0"/>
        <w:autoSpaceDE w:val="0"/>
        <w:autoSpaceDN w:val="0"/>
        <w:adjustRightInd w:val="0"/>
        <w:ind w:left="567" w:hanging="567"/>
        <w:textAlignment w:val="baseline"/>
        <w:outlineLvl w:val="1"/>
        <w:rPr>
          <w:i/>
          <w:iCs/>
          <w:szCs w:val="20"/>
        </w:rPr>
      </w:pPr>
      <w:bookmarkStart w:name="_Toc157076145" w:id="20"/>
      <w:bookmarkStart w:name="_Toc157509939" w:id="21"/>
      <w:r>
        <w:t>suhtautuu myönteisesti EU:n osaamisreservin perustamiseen ja toteaa jälleen, että on tärkeää panna täytäntöön suositukset, jotka esitetään Euroopan työllisyyttä ja sosiaalista kehitystä ja erityisesti työvoimapulan ja osaamisvajeiden poistamista koskevassa raportissa (</w:t>
      </w:r>
      <w:proofErr w:type="spellStart"/>
      <w:r>
        <w:rPr>
          <w:i/>
        </w:rPr>
        <w:t>Employment</w:t>
      </w:r>
      <w:proofErr w:type="spellEnd"/>
      <w:r>
        <w:rPr>
          <w:i/>
        </w:rPr>
        <w:t xml:space="preserve"> and </w:t>
      </w:r>
      <w:proofErr w:type="spellStart"/>
      <w:r>
        <w:rPr>
          <w:i/>
        </w:rPr>
        <w:t>Social</w:t>
      </w:r>
      <w:proofErr w:type="spellEnd"/>
      <w:r>
        <w:rPr>
          <w:i/>
        </w:rPr>
        <w:t xml:space="preserve"> </w:t>
      </w:r>
      <w:proofErr w:type="spellStart"/>
      <w:r>
        <w:rPr>
          <w:i/>
        </w:rPr>
        <w:t>Developments</w:t>
      </w:r>
      <w:proofErr w:type="spellEnd"/>
      <w:r>
        <w:rPr>
          <w:i/>
        </w:rPr>
        <w:t xml:space="preserve"> in Europe Report: </w:t>
      </w:r>
      <w:proofErr w:type="spellStart"/>
      <w:r>
        <w:rPr>
          <w:i/>
        </w:rPr>
        <w:t>Addressing</w:t>
      </w:r>
      <w:proofErr w:type="spellEnd"/>
      <w:r>
        <w:rPr>
          <w:i/>
        </w:rPr>
        <w:t xml:space="preserve"> labour </w:t>
      </w:r>
      <w:proofErr w:type="spellStart"/>
      <w:r>
        <w:rPr>
          <w:i/>
        </w:rPr>
        <w:t>shortages</w:t>
      </w:r>
      <w:proofErr w:type="spellEnd"/>
      <w:r>
        <w:rPr>
          <w:i/>
        </w:rPr>
        <w:t xml:space="preserve"> and </w:t>
      </w:r>
      <w:proofErr w:type="spellStart"/>
      <w:r>
        <w:rPr>
          <w:i/>
        </w:rPr>
        <w:t>skills</w:t>
      </w:r>
      <w:proofErr w:type="spellEnd"/>
      <w:r>
        <w:rPr>
          <w:i/>
        </w:rPr>
        <w:t xml:space="preserve"> </w:t>
      </w:r>
      <w:proofErr w:type="spellStart"/>
      <w:r>
        <w:rPr>
          <w:i/>
        </w:rPr>
        <w:t>gaps</w:t>
      </w:r>
      <w:proofErr w:type="spellEnd"/>
      <w:r>
        <w:rPr>
          <w:i/>
        </w:rPr>
        <w:t xml:space="preserve"> in </w:t>
      </w:r>
      <w:proofErr w:type="spellStart"/>
      <w:r>
        <w:rPr>
          <w:i/>
        </w:rPr>
        <w:t>the</w:t>
      </w:r>
      <w:proofErr w:type="spellEnd"/>
      <w:r>
        <w:rPr>
          <w:i/>
        </w:rPr>
        <w:t xml:space="preserve"> EU</w:t>
      </w:r>
      <w:r>
        <w:t>).</w:t>
      </w:r>
      <w:bookmarkEnd w:id="20"/>
      <w:bookmarkEnd w:id="21"/>
    </w:p>
    <w:p w:rsidRPr="002435FB" w:rsidR="002435FB" w:rsidP="002048E0" w:rsidRDefault="002435FB" w14:paraId="696D13B4" w14:textId="77777777">
      <w:pPr>
        <w:numPr>
          <w:ilvl w:val="0"/>
          <w:numId w:val="34"/>
        </w:numPr>
        <w:overflowPunct w:val="0"/>
        <w:autoSpaceDE w:val="0"/>
        <w:autoSpaceDN w:val="0"/>
        <w:adjustRightInd w:val="0"/>
        <w:ind w:left="567" w:hanging="567"/>
        <w:textAlignment w:val="baseline"/>
        <w:outlineLvl w:val="1"/>
        <w:rPr>
          <w:szCs w:val="20"/>
        </w:rPr>
      </w:pPr>
      <w:bookmarkStart w:name="_Toc157076146" w:id="22"/>
      <w:bookmarkStart w:name="_Toc157509940" w:id="23"/>
      <w:r>
        <w:t>kehottaa saattamaan pääomamarkkinaunionin valmiiksi, jotta voidaan poistaa olemassa olevat esteet oikeudenmukaisen ja osallistavan vihreän ja digitaalisen siirtymän investointitarpeisiin vastaamiseksi.</w:t>
      </w:r>
      <w:bookmarkEnd w:id="22"/>
      <w:bookmarkEnd w:id="23"/>
    </w:p>
    <w:p w:rsidRPr="002435FB" w:rsidR="002435FB" w:rsidP="002048E0" w:rsidRDefault="002435FB" w14:paraId="1899D595" w14:textId="77777777">
      <w:pPr>
        <w:numPr>
          <w:ilvl w:val="0"/>
          <w:numId w:val="34"/>
        </w:numPr>
        <w:overflowPunct w:val="0"/>
        <w:autoSpaceDE w:val="0"/>
        <w:autoSpaceDN w:val="0"/>
        <w:adjustRightInd w:val="0"/>
        <w:ind w:left="567" w:hanging="567"/>
        <w:textAlignment w:val="baseline"/>
        <w:outlineLvl w:val="1"/>
        <w:rPr>
          <w:szCs w:val="20"/>
        </w:rPr>
      </w:pPr>
      <w:bookmarkStart w:name="_Toc157076147" w:id="24"/>
      <w:bookmarkStart w:name="_Toc157509941" w:id="25"/>
      <w:r>
        <w:t>painottaa, että on tärkeää saattaa pankkiunioni valmiiksi ja perustaa puuttuva kolmas pilari eli eurooppalainen talletussuojajärjestelmä.</w:t>
      </w:r>
      <w:bookmarkEnd w:id="24"/>
      <w:bookmarkEnd w:id="25"/>
    </w:p>
    <w:p w:rsidRPr="002435FB" w:rsidR="002435FB" w:rsidP="002048E0" w:rsidRDefault="002435FB" w14:paraId="60A36BE6" w14:textId="77777777">
      <w:pPr>
        <w:numPr>
          <w:ilvl w:val="0"/>
          <w:numId w:val="34"/>
        </w:numPr>
        <w:overflowPunct w:val="0"/>
        <w:autoSpaceDE w:val="0"/>
        <w:autoSpaceDN w:val="0"/>
        <w:adjustRightInd w:val="0"/>
        <w:ind w:left="567" w:hanging="567"/>
        <w:textAlignment w:val="baseline"/>
        <w:outlineLvl w:val="1"/>
        <w:rPr>
          <w:szCs w:val="20"/>
        </w:rPr>
      </w:pPr>
      <w:bookmarkStart w:name="_Toc157076148" w:id="26"/>
      <w:bookmarkStart w:name="_Toc157509942" w:id="27"/>
      <w:r>
        <w:t xml:space="preserve">kehottaa edistämään sähkömarkkinoiden uudistusta ja energiaunionia lainsäädännön avulla sekä energiainfrastruktuuriin ja </w:t>
      </w:r>
      <w:proofErr w:type="spellStart"/>
      <w:r>
        <w:t>yhteenliitäntöihin</w:t>
      </w:r>
      <w:proofErr w:type="spellEnd"/>
      <w:r>
        <w:t xml:space="preserve"> tehtävin investoinnein. Nämä ovat välttämättömiä toimia pyrittäessä alentamaan kotitalouksien energiakustannuksia ja samalla parantamaan eurooppalaisten yritysten kilpailukykyä.</w:t>
      </w:r>
      <w:bookmarkEnd w:id="26"/>
      <w:bookmarkEnd w:id="27"/>
      <w:r>
        <w:t xml:space="preserve"> </w:t>
      </w:r>
    </w:p>
    <w:p w:rsidRPr="002435FB" w:rsidR="002435FB" w:rsidP="002048E0" w:rsidRDefault="002435FB" w14:paraId="786F4E49" w14:textId="77777777">
      <w:pPr>
        <w:numPr>
          <w:ilvl w:val="0"/>
          <w:numId w:val="34"/>
        </w:numPr>
        <w:overflowPunct w:val="0"/>
        <w:autoSpaceDE w:val="0"/>
        <w:autoSpaceDN w:val="0"/>
        <w:adjustRightInd w:val="0"/>
        <w:ind w:left="567" w:hanging="567"/>
        <w:textAlignment w:val="baseline"/>
        <w:outlineLvl w:val="1"/>
        <w:rPr>
          <w:szCs w:val="20"/>
        </w:rPr>
      </w:pPr>
      <w:bookmarkStart w:name="_Toc157076149" w:id="28"/>
      <w:bookmarkStart w:name="_Toc157509943" w:id="29"/>
      <w:r>
        <w:t>pitää ratkaisevan tärkeänä eurooppalaista ratkaisua, jossa tähdätään eurooppalaisten yritysten pitkän aikavälin kilpailukyvyn vahvistamiseen heikentämättä sisämarkkinoita. ETSK toteaakin jälleen kannattavansa Euroopan strategisten teknologioiden kehysvälinettä ja toistaa komissiolle osoittamansa kehotuksen luoda yhteisiä tukivälineitä tätä tarkoitusta varten.</w:t>
      </w:r>
      <w:bookmarkEnd w:id="28"/>
      <w:bookmarkEnd w:id="29"/>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Yhteydenotot</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P.</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Sähköposti</w:t>
            </w:r>
          </w:p>
        </w:tc>
        <w:tc>
          <w:tcPr>
            <w:tcW w:w="5670" w:type="dxa"/>
          </w:tcPr>
          <w:p w:rsidRPr="00C83487" w:rsidR="002435FB" w:rsidP="002435FB" w:rsidRDefault="00B25A8C" w14:paraId="6D8AA2A8" w14:textId="3DD28C1F">
            <w:pPr>
              <w:keepNext/>
              <w:keepLines/>
              <w:overflowPunct w:val="0"/>
              <w:autoSpaceDE w:val="0"/>
              <w:autoSpaceDN w:val="0"/>
              <w:adjustRightInd w:val="0"/>
              <w:spacing w:line="240" w:lineRule="auto"/>
              <w:textAlignment w:val="baseline"/>
              <w:rPr>
                <w:i/>
                <w:iCs/>
              </w:rPr>
            </w:pPr>
            <w:hyperlink w:history="1" r:id="rId18">
              <w:r w:rsidR="00426017">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30"/>
      <w:bookmarkStart w:name="_Toc153539680" w:id="31"/>
      <w:bookmarkStart w:name="_Toc157509944" w:id="32"/>
      <w:bookmarkEnd w:id="30"/>
      <w:r>
        <w:rPr>
          <w:b/>
        </w:rPr>
        <w:lastRenderedPageBreak/>
        <w:t>SISÄMARKKINAT, TUOTANTO JA KULUTUS</w:t>
      </w:r>
      <w:bookmarkEnd w:id="31"/>
      <w:bookmarkEnd w:id="32"/>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Verkossa tapahtuvan lasten seksuaalisen hyväksikäytön torjuminen</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4"/>
        <w:gridCol w:w="7377"/>
      </w:tblGrid>
      <w:tr w:rsidRPr="00DC121F" w:rsidR="00DC121F" w:rsidTr="00C83487" w14:paraId="0EE803D3" w14:textId="77777777">
        <w:tc>
          <w:tcPr>
            <w:tcW w:w="1701" w:type="dxa"/>
            <w:vMerge w:val="restart"/>
          </w:tcPr>
          <w:p w:rsidRPr="00DC121F"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Viiteasiakirja</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Ryhmään C kuuluva lausunto</w:t>
            </w:r>
          </w:p>
          <w:p w:rsidRPr="00DC121F" w:rsidR="00DC121F" w:rsidP="002048E0" w:rsidRDefault="00DC121F" w14:paraId="373F352E" w14:textId="495EFA22">
            <w:pPr>
              <w:tabs>
                <w:tab w:val="center" w:pos="284"/>
              </w:tabs>
              <w:overflowPunct w:val="0"/>
              <w:autoSpaceDE w:val="0"/>
              <w:autoSpaceDN w:val="0"/>
              <w:adjustRightInd w:val="0"/>
              <w:ind w:left="266" w:hanging="376"/>
              <w:textAlignment w:val="baseline"/>
            </w:pPr>
            <w:r>
              <w:t xml:space="preserve">COM(2023) 777 </w:t>
            </w:r>
            <w:proofErr w:type="spellStart"/>
            <w:r>
              <w:t>final</w:t>
            </w:r>
            <w:proofErr w:type="spellEnd"/>
          </w:p>
        </w:tc>
      </w:tr>
      <w:tr w:rsidRPr="00DC121F" w:rsidR="00DC121F" w:rsidTr="00C83487" w14:paraId="59903D0F" w14:textId="77777777">
        <w:tc>
          <w:tcPr>
            <w:tcW w:w="1701" w:type="dxa"/>
            <w:vMerge/>
          </w:tcPr>
          <w:p w:rsidRPr="00DC121F" w:rsidR="00DC121F" w:rsidP="002048E0"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2048E0"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ETSK päätti antaa esitetystä asiakirjasta myönteisen lausunnon.</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2048E0" w:rsidRDefault="00DC121F" w14:paraId="08A41DF2" w14:textId="77777777">
            <w:pPr>
              <w:overflowPunct w:val="0"/>
              <w:autoSpaceDE w:val="0"/>
              <w:autoSpaceDN w:val="0"/>
              <w:adjustRightInd w:val="0"/>
              <w:spacing w:line="240" w:lineRule="auto"/>
              <w:ind w:hanging="110"/>
              <w:textAlignment w:val="baseline"/>
              <w:rPr>
                <w:i/>
              </w:rPr>
            </w:pPr>
            <w:r>
              <w:rPr>
                <w:b/>
                <w:i/>
              </w:rPr>
              <w:t>Yhteydenotot</w:t>
            </w:r>
          </w:p>
        </w:tc>
        <w:tc>
          <w:tcPr>
            <w:tcW w:w="5670" w:type="dxa"/>
          </w:tcPr>
          <w:p w:rsidRPr="00DC121F" w:rsidR="00DC121F" w:rsidP="002048E0" w:rsidRDefault="00DC121F" w14:paraId="1B1D7048" w14:textId="77777777">
            <w:pPr>
              <w:overflowPunct w:val="0"/>
              <w:autoSpaceDE w:val="0"/>
              <w:autoSpaceDN w:val="0"/>
              <w:adjustRightInd w:val="0"/>
              <w:spacing w:line="240" w:lineRule="auto"/>
              <w:ind w:hanging="110"/>
              <w:textAlignment w:val="baseline"/>
              <w:rPr>
                <w:i/>
              </w:rPr>
            </w:pPr>
            <w:r>
              <w:rPr>
                <w:i/>
              </w:rPr>
              <w:t xml:space="preserve">Alice </w:t>
            </w:r>
            <w:proofErr w:type="spellStart"/>
            <w:r>
              <w:rPr>
                <w:i/>
              </w:rPr>
              <w:t>Tétu</w:t>
            </w:r>
            <w:proofErr w:type="spellEnd"/>
          </w:p>
        </w:tc>
      </w:tr>
      <w:tr w:rsidRPr="00DC121F" w:rsidR="00DC121F" w:rsidTr="00F655B8" w14:paraId="2F7D7C01" w14:textId="77777777">
        <w:tc>
          <w:tcPr>
            <w:tcW w:w="1418" w:type="dxa"/>
          </w:tcPr>
          <w:p w:rsidRPr="00DC121F" w:rsidR="00DC121F" w:rsidP="002048E0" w:rsidRDefault="00DC121F" w14:paraId="094140E7" w14:textId="77777777">
            <w:pPr>
              <w:overflowPunct w:val="0"/>
              <w:autoSpaceDE w:val="0"/>
              <w:autoSpaceDN w:val="0"/>
              <w:adjustRightInd w:val="0"/>
              <w:spacing w:line="240" w:lineRule="auto"/>
              <w:ind w:hanging="110"/>
              <w:textAlignment w:val="baseline"/>
              <w:rPr>
                <w:i/>
              </w:rPr>
            </w:pPr>
            <w:r>
              <w:rPr>
                <w:i/>
              </w:rPr>
              <w:t>P.</w:t>
            </w:r>
          </w:p>
        </w:tc>
        <w:tc>
          <w:tcPr>
            <w:tcW w:w="5670" w:type="dxa"/>
          </w:tcPr>
          <w:p w:rsidRPr="00DC121F" w:rsidR="00DC121F" w:rsidP="002048E0"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F655B8" w14:paraId="59D0574A" w14:textId="77777777">
        <w:tc>
          <w:tcPr>
            <w:tcW w:w="1418" w:type="dxa"/>
          </w:tcPr>
          <w:p w:rsidRPr="00DC121F" w:rsidR="00DC121F" w:rsidP="002048E0" w:rsidRDefault="00DC121F" w14:paraId="7C0B10B2" w14:textId="77777777">
            <w:pPr>
              <w:overflowPunct w:val="0"/>
              <w:autoSpaceDE w:val="0"/>
              <w:autoSpaceDN w:val="0"/>
              <w:adjustRightInd w:val="0"/>
              <w:spacing w:line="240" w:lineRule="auto"/>
              <w:ind w:hanging="110"/>
              <w:textAlignment w:val="baseline"/>
              <w:rPr>
                <w:i/>
              </w:rPr>
            </w:pPr>
            <w:r>
              <w:rPr>
                <w:i/>
              </w:rPr>
              <w:t>Sähköposti</w:t>
            </w:r>
          </w:p>
        </w:tc>
        <w:tc>
          <w:tcPr>
            <w:tcW w:w="5670" w:type="dxa"/>
          </w:tcPr>
          <w:p w:rsidRPr="00DC121F" w:rsidR="00DC121F" w:rsidP="002048E0" w:rsidRDefault="00B25A8C" w14:paraId="4F8C70CD" w14:textId="77777777">
            <w:pPr>
              <w:overflowPunct w:val="0"/>
              <w:autoSpaceDE w:val="0"/>
              <w:autoSpaceDN w:val="0"/>
              <w:adjustRightInd w:val="0"/>
              <w:spacing w:line="240" w:lineRule="auto"/>
              <w:ind w:hanging="110"/>
              <w:textAlignment w:val="baseline"/>
              <w:rPr>
                <w:i/>
              </w:rPr>
            </w:pPr>
            <w:hyperlink w:history="1" r:id="rId19">
              <w:r w:rsidR="00426017">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B25A8C"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0">
        <w:r w:rsidR="00426017">
          <w:rPr>
            <w:b/>
            <w:i/>
            <w:color w:val="0000FF"/>
            <w:sz w:val="28"/>
            <w:u w:val="single"/>
          </w:rPr>
          <w:t>Korruptio julkisissa hankinnoissa – sisämarkkinat</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7094"/>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Esittelijä</w:t>
            </w:r>
          </w:p>
        </w:tc>
        <w:tc>
          <w:tcPr>
            <w:tcW w:w="3910" w:type="pct"/>
          </w:tcPr>
          <w:p w:rsidRPr="00DC121F" w:rsidR="00DC121F" w:rsidP="00DC121F" w:rsidRDefault="00DC121F" w14:paraId="4ED4B842" w14:textId="61265AC4">
            <w:pPr>
              <w:tabs>
                <w:tab w:val="center" w:pos="0"/>
              </w:tabs>
              <w:overflowPunct w:val="0"/>
              <w:autoSpaceDE w:val="0"/>
              <w:autoSpaceDN w:val="0"/>
              <w:adjustRightInd w:val="0"/>
              <w:ind w:left="266" w:hanging="266"/>
              <w:textAlignment w:val="baseline"/>
            </w:pPr>
            <w:r>
              <w:t xml:space="preserve">José Antonio </w:t>
            </w:r>
            <w:proofErr w:type="spellStart"/>
            <w:r>
              <w:t>Moreno</w:t>
            </w:r>
            <w:proofErr w:type="spellEnd"/>
            <w:r>
              <w:t xml:space="preserve"> </w:t>
            </w:r>
            <w:proofErr w:type="spellStart"/>
            <w:r>
              <w:t>Díaz</w:t>
            </w:r>
            <w:proofErr w:type="spellEnd"/>
            <w:r>
              <w:t xml:space="preserve"> (työntekijät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Yhteisesittelijä</w:t>
            </w:r>
          </w:p>
        </w:tc>
        <w:tc>
          <w:tcPr>
            <w:tcW w:w="3910" w:type="pct"/>
          </w:tcPr>
          <w:p w:rsidRPr="00DC121F" w:rsidR="00DC121F" w:rsidP="00DC121F" w:rsidRDefault="00DC121F" w14:paraId="23F0707E" w14:textId="0026E019">
            <w:pPr>
              <w:tabs>
                <w:tab w:val="center" w:pos="284"/>
              </w:tabs>
              <w:overflowPunct w:val="0"/>
              <w:autoSpaceDE w:val="0"/>
              <w:autoSpaceDN w:val="0"/>
              <w:adjustRightInd w:val="0"/>
              <w:ind w:left="266" w:hanging="266"/>
              <w:textAlignment w:val="baseline"/>
            </w:pPr>
            <w:proofErr w:type="spellStart"/>
            <w:r>
              <w:t>Cristian</w:t>
            </w:r>
            <w:proofErr w:type="spellEnd"/>
            <w:r>
              <w:t xml:space="preserve"> </w:t>
            </w:r>
            <w:proofErr w:type="spellStart"/>
            <w:r>
              <w:t>Pîrvulescu</w:t>
            </w:r>
            <w:proofErr w:type="spellEnd"/>
            <w:r>
              <w:t xml:space="preserve"> (kansalaisyhteiskunnan organisaatiot –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Viiteasiakirja</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oma-aloitteinen lausunto</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6E6FC55E">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2048E0" w:rsidRDefault="00DC121F" w14:paraId="29CB91C0" w14:textId="77777777">
      <w:pPr>
        <w:keepNext/>
        <w:keepLines/>
        <w:overflowPunct w:val="0"/>
        <w:autoSpaceDE w:val="0"/>
        <w:autoSpaceDN w:val="0"/>
        <w:adjustRightInd w:val="0"/>
        <w:textAlignment w:val="baseline"/>
        <w:rPr>
          <w:b/>
        </w:rPr>
      </w:pPr>
      <w:r>
        <w:rPr>
          <w:b/>
        </w:rPr>
        <w:t>Keskeiset kohdat</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ETSK</w:t>
      </w:r>
    </w:p>
    <w:p w:rsidRPr="00DC121F" w:rsidR="008D47DD" w:rsidP="002048E0" w:rsidRDefault="008D47DD" w14:paraId="29BA8237" w14:textId="77777777">
      <w:pPr>
        <w:overflowPunct w:val="0"/>
        <w:autoSpaceDE w:val="0"/>
        <w:autoSpaceDN w:val="0"/>
        <w:adjustRightInd w:val="0"/>
        <w:ind w:firstLine="142"/>
        <w:textAlignment w:val="baseline"/>
        <w:rPr>
          <w:bCs/>
          <w:iCs/>
        </w:rPr>
      </w:pPr>
    </w:p>
    <w:p w:rsidRPr="00DC121F"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katsoo, että komission on ryhdyttävä jälleen laatimaan EU:n korruptiontorjuntakertomuksia.</w:t>
      </w:r>
    </w:p>
    <w:p w:rsidRPr="00DC121F"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korostaa, että EU:n on ensisijaisesti arvioitava julkisten hankintojen nuhteetonta hoitamista koskevaa lainsäädäntökehystä ja sen käytännön täytäntöönpanoa, jotta saadaan selvitettyä, vastaako kehys korruption torjunnan tarpeita.</w:t>
      </w:r>
    </w:p>
    <w:p w:rsidRPr="00DC121F"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kannattaa Euroopan parlamentin ehdotusta siitä, että komissio laatisi EU:lle globaalin korruptiontorjuntastrategian.</w:t>
      </w:r>
    </w:p>
    <w:p w:rsidRPr="00DC121F"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 xml:space="preserve">katsoo, että korruptiontorjuntatoimet olisi sovitettava paremmin yhteen sellaisten toimien kanssa, joilla pyritään turvaamaan demokratia EU:ssa ja kehittämään sitä, sillä poliittiset toimijat voivat korruptoituneiden käytäntöjen avulla saada laitonta hyötyä ja laittomia resursseja </w:t>
      </w:r>
      <w:proofErr w:type="spellStart"/>
      <w:r>
        <w:t>klientelismiin</w:t>
      </w:r>
      <w:proofErr w:type="spellEnd"/>
      <w:r>
        <w:t xml:space="preserve"> perustuvan tukijärjestelmänsä pönkittämiseen ja ylläpitämiseen.</w:t>
      </w:r>
    </w:p>
    <w:p w:rsidRPr="00DC121F"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on vankasti sitä mieltä, että EU julkisten hankintojen markkinoiden digitalisaatio ei ole edennyt tarpeeksi pitkälle. Siksi on olennaisen tärkeää, että komissio antaa kansallisille viranomaisille jatkossakin teknistä tukea koko tämän vaikean prosessin ajan.</w:t>
      </w:r>
    </w:p>
    <w:p w:rsidRPr="00DC121F"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katsoo, että komissio voisi panna enemmän painoarvoa rehellisyyssopimuksille.</w:t>
      </w:r>
    </w:p>
    <w:p w:rsidRPr="00DC121F"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uskoo, että (EU:n viranomaisten, kansallisten tahojen ja yksityisten pankkien välinen) ristikkäinen poissulkemisjärjestelmä voisi olla hyödyllinen sisämarkkinoiden suojelemiseksi tarjouskilpailuihin tarkoitettujen julkisten varojen väärinkäytöltä.</w:t>
      </w:r>
    </w:p>
    <w:p w:rsidRPr="00DC121F"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kehottaa komissiota ja muita EU:n ja jäsenvaltioiden toimielimiä pitämään työntekijöiden edustusta, työehtosopimusneuvotteluja ja työmarkkinaosapuolten vuoropuhelua keskeisinä keinoina huolehtia korruption torjunnan tehokkuudesta kaikilla tasoilla.</w:t>
      </w:r>
    </w:p>
    <w:p w:rsidRPr="00DC121F"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kannustaa kaikkia yrityksiä tai työnantajajärjestöjä ja työmarkkinaosapuolia vaalimaan aktiivisesti lahjomattomuuden kulttuuria ja noudattamaan parhaita kansallisella ja kansainvälisellä tasolla käytössä olevia asiaan liittyviä standardeja.</w:t>
      </w:r>
    </w:p>
    <w:p w:rsidRPr="00DC121F"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odottaa kiinnostuneena EU:n korruptionvastaisen verkoston aseman vakiinnuttamista ja verkoston kehittämistä ja on valmis osallistumaan sen toimintaan.</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Yhteydenotot</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P.</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Sähköposti</w:t>
            </w:r>
          </w:p>
        </w:tc>
        <w:tc>
          <w:tcPr>
            <w:tcW w:w="3444" w:type="pct"/>
          </w:tcPr>
          <w:p w:rsidRPr="00DC121F" w:rsidR="00DC121F" w:rsidP="00DC121F" w:rsidRDefault="00B25A8C" w14:paraId="1E20E942" w14:textId="77777777">
            <w:pPr>
              <w:overflowPunct w:val="0"/>
              <w:autoSpaceDE w:val="0"/>
              <w:autoSpaceDN w:val="0"/>
              <w:adjustRightInd w:val="0"/>
              <w:spacing w:line="240" w:lineRule="auto"/>
              <w:textAlignment w:val="baseline"/>
              <w:rPr>
                <w:i/>
              </w:rPr>
            </w:pPr>
            <w:hyperlink w:history="1" r:id="rId21">
              <w:r w:rsidR="00426017">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2048E0" w:rsidRDefault="00B25A8C" w14:paraId="05EC8D79" w14:textId="58A30ECA">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2"/>
      <w:r w:rsidR="00426017">
        <w:rPr>
          <w:b/>
          <w:i/>
          <w:color w:val="0000FF"/>
          <w:sz w:val="28"/>
          <w:u w:val="single"/>
        </w:rPr>
        <w:t>Yhteisötalous ja köyhyyden ja sosiaalisen syrjäytymisen torjuminen</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1B6246" w:rsidR="001B6246" w:rsidTr="002048E0"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Esittelijä</w:t>
            </w:r>
          </w:p>
        </w:tc>
        <w:tc>
          <w:tcPr>
            <w:tcW w:w="7403" w:type="dxa"/>
          </w:tcPr>
          <w:p w:rsidRPr="001B6246" w:rsidR="001B6246" w:rsidP="001B6246" w:rsidRDefault="001B6246" w14:paraId="4AF9E1DA" w14:textId="027B3407">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(kansalaisyhteiskunnan organisaatiot – BE)</w:t>
            </w:r>
          </w:p>
        </w:tc>
      </w:tr>
      <w:tr w:rsidRPr="001B6246" w:rsidR="001B6246" w:rsidTr="002048E0" w14:paraId="64849DFE" w14:textId="77777777">
        <w:trPr>
          <w:trHeight w:val="265"/>
        </w:trPr>
        <w:tc>
          <w:tcPr>
            <w:tcW w:w="1668" w:type="dxa"/>
          </w:tcPr>
          <w:p w:rsidRPr="001B6246" w:rsidR="001B6246" w:rsidP="002048E0" w:rsidRDefault="001B6246" w14:paraId="731776C9" w14:textId="4B879F73">
            <w:pPr>
              <w:tabs>
                <w:tab w:val="center" w:pos="457"/>
              </w:tabs>
              <w:overflowPunct w:val="0"/>
              <w:autoSpaceDE w:val="0"/>
              <w:autoSpaceDN w:val="0"/>
              <w:adjustRightInd w:val="0"/>
              <w:ind w:left="266" w:hanging="266"/>
              <w:textAlignment w:val="baseline"/>
              <w:rPr>
                <w:b/>
              </w:rPr>
            </w:pPr>
            <w:r>
              <w:rPr>
                <w:b/>
              </w:rPr>
              <w:t>Yhteisesittelijä</w:t>
            </w:r>
          </w:p>
        </w:tc>
        <w:tc>
          <w:tcPr>
            <w:tcW w:w="7403" w:type="dxa"/>
          </w:tcPr>
          <w:p w:rsidRPr="001B6246" w:rsidR="001B6246" w:rsidP="001B6246" w:rsidRDefault="001B6246" w14:paraId="18CF51DF" w14:textId="2CFCCD62">
            <w:pPr>
              <w:tabs>
                <w:tab w:val="center" w:pos="284"/>
              </w:tabs>
              <w:overflowPunct w:val="0"/>
              <w:autoSpaceDE w:val="0"/>
              <w:autoSpaceDN w:val="0"/>
              <w:adjustRightInd w:val="0"/>
              <w:ind w:left="266" w:hanging="266"/>
              <w:textAlignment w:val="baseline"/>
            </w:pPr>
            <w:proofErr w:type="spellStart"/>
            <w:r>
              <w:t>Ferre</w:t>
            </w:r>
            <w:proofErr w:type="spellEnd"/>
            <w:r>
              <w:t xml:space="preserve"> </w:t>
            </w:r>
            <w:proofErr w:type="spellStart"/>
            <w:r>
              <w:t>Wyckmans</w:t>
            </w:r>
            <w:proofErr w:type="spellEnd"/>
            <w:r>
              <w:t xml:space="preserve"> (työntekijät – BE)</w:t>
            </w:r>
          </w:p>
        </w:tc>
      </w:tr>
      <w:tr w:rsidRPr="001B6246" w:rsidR="001B6246" w:rsidTr="002048E0"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Viiteasiakirja</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EU:n neuvoston puheenjohtajavaltion Belgian pyytämä valmisteleva lausunto</w:t>
            </w:r>
          </w:p>
        </w:tc>
      </w:tr>
      <w:tr w:rsidRPr="001B6246" w:rsidR="001B6246" w:rsidTr="002048E0"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Keskeiset kohdat</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ETSK</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kehottaa Euroopan komissiota jatkamaan yhteisötalouden toimintasuunnitelman toteuttamista ja tekemään siitä vuonna 2025 arvioinnin uuden toimintasuunnitelman pohjustamiseksi. Komission olisi myös seurattava aktiivisesti suosituksen täytäntöönpanoa jäsenvaltioissa ja käsiteltävä yhteisötaloutta ja sosiaalisen innovoinnin politiikkaa omana aiheenaan seuraavassa työohjelmassaan.</w:t>
      </w:r>
    </w:p>
    <w:p w:rsidRPr="001B6246"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kannattaa vahvaa alueellista lähestymistapaa, jossa alueet ja kunnat osallistuvat yhteisötalouden toteuttamiseen monien muiden toimijoiden kanssa. Viranomaiset voivat omalla panoksellaan antaa vauhtia paikalliselle kehitykselle, tuotantovälineiden palauttamiselle paikkakunnalle, sellaisten kunnollisten työpaikkojen luomiselle, joita ei voida siirtää muualle, talouden toimijoiden väliselle yhteistyölle ja yhdistyksistä, osuuskunnista, keskinäisistä yhtiöistä, perinteisistä yrityksistä, pankkialan sijoittajista, kansalaisyhteiskunnasta, työmarkkinaosapuolista, tiedeyhteisöstä ja muista toimijoista muodostuvan innostavan ekosysteemin luomiselle.</w:t>
      </w:r>
    </w:p>
    <w:p w:rsidRPr="001B6246"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pyytää komissiota soveltamaan sosiaaliseen innovointiin liittyvissä aloitteissaan monialaista lähestymistapaa, johon osallistuu monia erilaisia perinteisten yritysten ja yhteisötalouden yritysten sidosryhmiä ja jossa käsitellään ympäristöön liittyviä ja yhteiskunnallisia näkökohtia.</w:t>
      </w:r>
    </w:p>
    <w:p w:rsidRPr="001B6246"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kehottaa Euroopan komissiota ottamaan yhteisötalouden ja sosiaalisen innovoinnin yhdeksi ennakointiraporttinsa toimintalohkojen kehittämistoimien kohdealaksi, jotta saataisiin ennen kaikkea lisättyä naisten osallistumista työmarkkinoille. Haasteena on myös lisätä muiden haavoittuvien väestönosien eli vammaisten henkilöiden, nuorten ja muiden aliedustettujen tai syrjäytyneiden, työelämän ja koulutuksen ulkopuolella olevien ryhmien ja äärimmäisessä köyhyydessä elävien henkilöiden osallistumista työmarkkinoille.</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Yhteydenotot</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P.</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Sähköposti</w:t>
            </w:r>
          </w:p>
        </w:tc>
        <w:tc>
          <w:tcPr>
            <w:tcW w:w="5670" w:type="dxa"/>
          </w:tcPr>
          <w:p w:rsidRPr="001B6246" w:rsidR="001B6246" w:rsidP="001B6246" w:rsidRDefault="00B25A8C" w14:paraId="7EBA911B" w14:textId="77777777">
            <w:pPr>
              <w:overflowPunct w:val="0"/>
              <w:autoSpaceDE w:val="0"/>
              <w:autoSpaceDN w:val="0"/>
              <w:adjustRightInd w:val="0"/>
              <w:spacing w:line="240" w:lineRule="auto"/>
              <w:textAlignment w:val="baseline"/>
              <w:rPr>
                <w:i/>
                <w:iCs/>
              </w:rPr>
            </w:pPr>
            <w:hyperlink w:history="1" r:id="rId23">
              <w:r w:rsidR="00426017">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B25A8C"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4">
        <w:r w:rsidR="00426017">
          <w:rPr>
            <w:b/>
            <w:i/>
            <w:color w:val="0000FF"/>
            <w:sz w:val="28"/>
            <w:u w:val="single"/>
          </w:rPr>
          <w:t>Innovointia koskeva eurooppalainen stressitesti</w:t>
        </w:r>
      </w:hyperlink>
      <w:r w:rsidR="00426017">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Esittelijä</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 xml:space="preserve">Olivier </w:t>
            </w:r>
            <w:proofErr w:type="spellStart"/>
            <w:r>
              <w:t>Joris</w:t>
            </w:r>
            <w:proofErr w:type="spellEnd"/>
            <w:r>
              <w:t xml:space="preserve"> (työnantajat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Viiteasiakirja</w:t>
            </w:r>
          </w:p>
        </w:tc>
        <w:tc>
          <w:tcPr>
            <w:tcW w:w="3893" w:type="pct"/>
          </w:tcPr>
          <w:p w:rsidRPr="00235E61" w:rsidR="00235E61" w:rsidP="00C83487" w:rsidRDefault="00235E61" w14:paraId="2CDE140A" w14:textId="5AF47668">
            <w:pPr>
              <w:tabs>
                <w:tab w:val="center" w:pos="284"/>
              </w:tabs>
              <w:overflowPunct w:val="0"/>
              <w:autoSpaceDE w:val="0"/>
              <w:autoSpaceDN w:val="0"/>
              <w:adjustRightInd w:val="0"/>
              <w:ind w:left="266" w:right="-107" w:hanging="266"/>
              <w:textAlignment w:val="baseline"/>
            </w:pPr>
            <w:r>
              <w:t>EU:n neuvoston puheenjohtajavaltion Belgian pyytämä valmisteleva lausunto</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2048E0" w:rsidRDefault="00235E61" w14:paraId="6E32AE22" w14:textId="77777777">
      <w:pPr>
        <w:keepNext/>
        <w:keepLines/>
        <w:overflowPunct w:val="0"/>
        <w:autoSpaceDE w:val="0"/>
        <w:autoSpaceDN w:val="0"/>
        <w:adjustRightInd w:val="0"/>
        <w:textAlignment w:val="baseline"/>
        <w:rPr>
          <w:b/>
        </w:rPr>
      </w:pPr>
      <w:r>
        <w:rPr>
          <w:b/>
        </w:rPr>
        <w:t>Keskeiset kohdat</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ETSK</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suosittaa nykyiselle ja seuraavalle Euroopan komissiolle </w:t>
      </w:r>
      <w:r>
        <w:rPr>
          <w:b/>
        </w:rPr>
        <w:t>uuden innovointia koskevan stressitestin käyttöönottoa kaiken uuden lainsäädännön ja kunkin uuden toimintapoliittisen aloitteen arvioimiseksi</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ehdottaa, että innovointia koskevaan stressitestiin sisällytetään seuraavat kymmenen keskeistä vaatimusta uudelle lainsäädännölle tai toimintapoliittiselle aloitteelle:</w:t>
      </w:r>
    </w:p>
    <w:p w:rsidRPr="00235E61" w:rsidR="00235E61" w:rsidP="006221F1" w:rsidRDefault="00235E61" w14:paraId="1355EE8E" w14:textId="4CAE8943">
      <w:pPr>
        <w:overflowPunct w:val="0"/>
        <w:autoSpaceDE w:val="0"/>
        <w:autoSpaceDN w:val="0"/>
        <w:adjustRightInd w:val="0"/>
        <w:ind w:left="567"/>
        <w:textAlignment w:val="baseline"/>
        <w:rPr>
          <w:iCs/>
        </w:rPr>
      </w:pPr>
    </w:p>
    <w:p w:rsidRPr="00235E61" w:rsidR="00235E61" w:rsidP="002048E0" w:rsidRDefault="00235E61" w14:paraId="62AD8810" w14:textId="77777777">
      <w:pPr>
        <w:numPr>
          <w:ilvl w:val="0"/>
          <w:numId w:val="29"/>
        </w:numPr>
        <w:overflowPunct w:val="0"/>
        <w:autoSpaceDE w:val="0"/>
        <w:autoSpaceDN w:val="0"/>
        <w:adjustRightInd w:val="0"/>
        <w:ind w:left="993" w:hanging="426"/>
        <w:textAlignment w:val="baseline"/>
      </w:pPr>
      <w:r>
        <w:t>Suojeleeko se kuluttajia ja ympäristöä, tunnustetaanko siinä innovoinnin tarve kestävyyteen tähtäävän EU:n vihreän ja digitaalisen siirtymän mahdollistamiseksi ja auttaako se luomaan lisää ja parempia työpaikkoja yhteiskunnan hyväksi ja piristämään taloutta? (Kyllä)</w:t>
      </w:r>
    </w:p>
    <w:p w:rsidRPr="00235E61" w:rsidR="00235E61" w:rsidP="002048E0" w:rsidRDefault="00235E61" w14:paraId="3649BCC8" w14:textId="77777777">
      <w:pPr>
        <w:numPr>
          <w:ilvl w:val="0"/>
          <w:numId w:val="29"/>
        </w:numPr>
        <w:overflowPunct w:val="0"/>
        <w:autoSpaceDE w:val="0"/>
        <w:autoSpaceDN w:val="0"/>
        <w:adjustRightInd w:val="0"/>
        <w:ind w:left="993" w:hanging="426"/>
        <w:textAlignment w:val="baseline"/>
      </w:pPr>
      <w:r>
        <w:t>Takaako se yhteisen poliittisen toiminnan niin, että nykyisiä ja tulevia toimintapolitiikkoja käytetään tavalla, joka herättää sijoittajissa luottamusta ja edistää innovointia muttei luo esteitä jatkuville ja uusille innovointi-investoinneille EU:ssa? (Kyllä)</w:t>
      </w:r>
    </w:p>
    <w:p w:rsidRPr="00235E61" w:rsidR="00235E61" w:rsidP="002048E0" w:rsidRDefault="00235E61" w14:paraId="45DC1EDF" w14:textId="77777777">
      <w:pPr>
        <w:numPr>
          <w:ilvl w:val="0"/>
          <w:numId w:val="29"/>
        </w:numPr>
        <w:overflowPunct w:val="0"/>
        <w:autoSpaceDE w:val="0"/>
        <w:autoSpaceDN w:val="0"/>
        <w:adjustRightInd w:val="0"/>
        <w:ind w:left="993" w:hanging="426"/>
        <w:textAlignment w:val="baseline"/>
      </w:pPr>
      <w:r>
        <w:t>Onko siinä varmistettu, että innovoijat ja sijoittajat ymmärtävät sen selkeästi? (Kyllä)</w:t>
      </w:r>
    </w:p>
    <w:p w:rsidRPr="00235E61" w:rsidR="00235E61" w:rsidP="002048E0" w:rsidRDefault="00235E61" w14:paraId="28991F2A" w14:textId="77777777">
      <w:pPr>
        <w:numPr>
          <w:ilvl w:val="0"/>
          <w:numId w:val="29"/>
        </w:numPr>
        <w:overflowPunct w:val="0"/>
        <w:autoSpaceDE w:val="0"/>
        <w:autoSpaceDN w:val="0"/>
        <w:adjustRightInd w:val="0"/>
        <w:ind w:left="993" w:hanging="426"/>
        <w:textAlignment w:val="baseline"/>
      </w:pPr>
      <w:r>
        <w:t>Käytetäänkö siinä Euroopan komission paremman sääntelyn välineistöä? (Kyllä)</w:t>
      </w:r>
    </w:p>
    <w:p w:rsidRPr="00235E61" w:rsidR="00235E61" w:rsidP="002048E0" w:rsidRDefault="00235E61" w14:paraId="154D530B" w14:textId="77777777">
      <w:pPr>
        <w:numPr>
          <w:ilvl w:val="0"/>
          <w:numId w:val="29"/>
        </w:numPr>
        <w:overflowPunct w:val="0"/>
        <w:autoSpaceDE w:val="0"/>
        <w:autoSpaceDN w:val="0"/>
        <w:adjustRightInd w:val="0"/>
        <w:ind w:left="993" w:hanging="426"/>
        <w:textAlignment w:val="baseline"/>
      </w:pPr>
      <w:r>
        <w:t>Onko siihen sisällytetty aktiivisesti kaikkien innovoijien ja sijoittajien – startup-yrityksistä kansainvälisiin järjestöihin – kuuleminen ja osallistuminen sen takaamiseksi, etteivät toimintapolitiikat heikennä heti eivätkä jatkossa tahattomasti sijoittajien luottamusta innovointi-investointien tekemiseen tai investointien jatkamiseen EU:ssa? (Kyllä)</w:t>
      </w:r>
    </w:p>
    <w:p w:rsidRPr="00235E61" w:rsidR="00235E61" w:rsidP="002048E0" w:rsidRDefault="00235E61" w14:paraId="52779D18" w14:textId="77777777">
      <w:pPr>
        <w:numPr>
          <w:ilvl w:val="0"/>
          <w:numId w:val="29"/>
        </w:numPr>
        <w:overflowPunct w:val="0"/>
        <w:autoSpaceDE w:val="0"/>
        <w:autoSpaceDN w:val="0"/>
        <w:adjustRightInd w:val="0"/>
        <w:ind w:left="993" w:hanging="426"/>
        <w:textAlignment w:val="baseline"/>
      </w:pPr>
      <w:r>
        <w:t>Otetaanko siinä huomioon mahdollisia eturistiriitoja koskevat oikeutetut huolet ja varmistetaanko siinä avoimuus näistä asioista kaikille prosessiin osallistuville, myös poliittisille päätöksentekijöille, julkiselle ja yksityiselle sektorille sekä kansalaisyhteiskunnalle? (Kyllä)</w:t>
      </w:r>
    </w:p>
    <w:p w:rsidRPr="00235E61" w:rsidR="00235E61" w:rsidP="002048E0" w:rsidRDefault="00235E61" w14:paraId="51D2823A" w14:textId="77777777">
      <w:pPr>
        <w:numPr>
          <w:ilvl w:val="0"/>
          <w:numId w:val="29"/>
        </w:numPr>
        <w:overflowPunct w:val="0"/>
        <w:autoSpaceDE w:val="0"/>
        <w:autoSpaceDN w:val="0"/>
        <w:adjustRightInd w:val="0"/>
        <w:ind w:left="993" w:hanging="426"/>
        <w:textAlignment w:val="baseline"/>
      </w:pPr>
      <w:r>
        <w:t>Huomioidaanko siinä paras saatavilla oleva ja ajantasaisin tieteellinen näyttö? (Kyllä)</w:t>
      </w:r>
    </w:p>
    <w:p w:rsidRPr="00235E61" w:rsidR="00235E61" w:rsidP="002048E0" w:rsidRDefault="00235E61" w14:paraId="13DAC31D" w14:textId="77777777">
      <w:pPr>
        <w:numPr>
          <w:ilvl w:val="0"/>
          <w:numId w:val="29"/>
        </w:numPr>
        <w:overflowPunct w:val="0"/>
        <w:autoSpaceDE w:val="0"/>
        <w:autoSpaceDN w:val="0"/>
        <w:adjustRightInd w:val="0"/>
        <w:ind w:left="993" w:hanging="426"/>
        <w:textAlignment w:val="baseline"/>
      </w:pPr>
      <w:r>
        <w:t>Vaikuttaako se kielteisesti innovointiin, tutkimukseen ja kehittämiseen tarvittavan osaamisen, henkilöpääoman ja koulutuksen saatavuuteen? (Ei)</w:t>
      </w:r>
    </w:p>
    <w:p w:rsidRPr="00235E61" w:rsidR="00235E61" w:rsidP="002048E0" w:rsidRDefault="00235E61" w14:paraId="4A7BF36B" w14:textId="77777777">
      <w:pPr>
        <w:numPr>
          <w:ilvl w:val="0"/>
          <w:numId w:val="29"/>
        </w:numPr>
        <w:overflowPunct w:val="0"/>
        <w:autoSpaceDE w:val="0"/>
        <w:autoSpaceDN w:val="0"/>
        <w:adjustRightInd w:val="0"/>
        <w:ind w:left="993" w:hanging="426"/>
        <w:textAlignment w:val="baseline"/>
      </w:pPr>
      <w:r>
        <w:t>Johtaako se toimiin, jotka saattavat aiheuttaa epätasapainoa sukupuolten välillä? (Ei)</w:t>
      </w:r>
    </w:p>
    <w:p w:rsidRPr="00235E61" w:rsidR="00235E61" w:rsidP="002048E0" w:rsidRDefault="00235E61" w14:paraId="10363F71" w14:textId="77777777">
      <w:pPr>
        <w:numPr>
          <w:ilvl w:val="0"/>
          <w:numId w:val="29"/>
        </w:numPr>
        <w:overflowPunct w:val="0"/>
        <w:autoSpaceDE w:val="0"/>
        <w:autoSpaceDN w:val="0"/>
        <w:adjustRightInd w:val="0"/>
        <w:ind w:left="993" w:hanging="426"/>
        <w:textAlignment w:val="baseline"/>
      </w:pPr>
      <w:r>
        <w:t>Onko se ristiriidassa innovointiin, tutkimukseen ja kehittämiseen tarkoitettujen unionin nykyisten tai tulevien verokannustimien kanssa? (Ei)</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Yhteydenotot</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P.</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C94208" w14:paraId="76CEE141" w14:textId="6F6F4D3F">
            <w:pPr>
              <w:overflowPunct w:val="0"/>
              <w:autoSpaceDE w:val="0"/>
              <w:autoSpaceDN w:val="0"/>
              <w:adjustRightInd w:val="0"/>
              <w:spacing w:line="240" w:lineRule="auto"/>
              <w:textAlignment w:val="baseline"/>
              <w:rPr>
                <w:i/>
              </w:rPr>
            </w:pPr>
            <w:r>
              <w:rPr>
                <w:i/>
              </w:rPr>
              <w:t>Sähköposti</w:t>
            </w:r>
          </w:p>
        </w:tc>
        <w:tc>
          <w:tcPr>
            <w:tcW w:w="3444" w:type="pct"/>
          </w:tcPr>
          <w:p w:rsidRPr="00235E61" w:rsidR="00235E61" w:rsidP="00235E61" w:rsidRDefault="00B25A8C" w14:paraId="32AFDC36" w14:textId="64AA67A0">
            <w:pPr>
              <w:overflowPunct w:val="0"/>
              <w:autoSpaceDE w:val="0"/>
              <w:autoSpaceDN w:val="0"/>
              <w:adjustRightInd w:val="0"/>
              <w:spacing w:line="240" w:lineRule="auto"/>
              <w:textAlignment w:val="baseline"/>
              <w:rPr>
                <w:i/>
              </w:rPr>
            </w:pPr>
            <w:hyperlink w:history="1" r:id="rId25">
              <w:r w:rsidR="00426017">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B25A8C"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26">
        <w:r w:rsidR="00426017">
          <w:rPr>
            <w:b/>
            <w:i/>
            <w:color w:val="0000FF"/>
            <w:sz w:val="28"/>
            <w:u w:val="single"/>
          </w:rPr>
          <w:t>Eurooppalaiset rajat ylittävät yhdistykset</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Esittelijä</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 xml:space="preserve">Giuseppe </w:t>
            </w:r>
            <w:proofErr w:type="spellStart"/>
            <w:r>
              <w:t>Guerini</w:t>
            </w:r>
            <w:proofErr w:type="spellEnd"/>
            <w:r>
              <w:t xml:space="preserve"> (kansalaisyhteiskunnan organisaatiot </w:t>
            </w:r>
            <w:r>
              <w:noBreakHyphen/>
              <w:t>ryhmä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Viiteasiakirjat</w:t>
            </w:r>
          </w:p>
        </w:tc>
        <w:tc>
          <w:tcPr>
            <w:tcW w:w="3852" w:type="pct"/>
          </w:tcPr>
          <w:p w:rsidRPr="00DE6659" w:rsidR="00DE6659" w:rsidP="00DE6659" w:rsidRDefault="00DE6659" w14:paraId="68348F3B" w14:textId="212D9FEA">
            <w:pPr>
              <w:tabs>
                <w:tab w:val="center" w:pos="284"/>
              </w:tabs>
              <w:overflowPunct w:val="0"/>
              <w:autoSpaceDE w:val="0"/>
              <w:autoSpaceDN w:val="0"/>
              <w:adjustRightInd w:val="0"/>
              <w:ind w:left="266" w:hanging="266"/>
              <w:textAlignment w:val="baseline"/>
            </w:pPr>
            <w:r>
              <w:t xml:space="preserve">COM(2023) 515 </w:t>
            </w:r>
            <w:proofErr w:type="spellStart"/>
            <w:r>
              <w:t>final</w:t>
            </w:r>
            <w:proofErr w:type="spellEnd"/>
          </w:p>
          <w:p w:rsidRPr="00DE6659" w:rsidR="00DE6659" w:rsidP="00DE6659" w:rsidRDefault="00DE6659" w14:paraId="4367C17F" w14:textId="6E5C8CF3">
            <w:pPr>
              <w:tabs>
                <w:tab w:val="center" w:pos="284"/>
              </w:tabs>
              <w:overflowPunct w:val="0"/>
              <w:autoSpaceDE w:val="0"/>
              <w:autoSpaceDN w:val="0"/>
              <w:adjustRightInd w:val="0"/>
              <w:ind w:left="266" w:hanging="266"/>
              <w:textAlignment w:val="baseline"/>
            </w:pPr>
            <w:r>
              <w:t xml:space="preserve">COM(2023) 516 </w:t>
            </w:r>
            <w:proofErr w:type="spellStart"/>
            <w:r>
              <w:t>final</w:t>
            </w:r>
            <w:proofErr w:type="spellEnd"/>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6F984846">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ETSK</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 xml:space="preserve">suhtautuu myönteisesti Euroopan komission ehdotukseen, jonka tarkoituksena on helpottaa voittoa tavoittelemattomien yhdistysten </w:t>
      </w:r>
      <w:proofErr w:type="spellStart"/>
      <w:r>
        <w:t>rajatylittävää</w:t>
      </w:r>
      <w:proofErr w:type="spellEnd"/>
      <w:r>
        <w:t xml:space="preserve"> toimintaa EU:ssa luomalla uusi ”eurooppalaisen rajat ylittävän yhdistyksen” (ECBA) oikeudellinen muoto ja ehdottaa, että lainsäätäjät hyväksyisivät sen nopeasti.</w:t>
      </w:r>
    </w:p>
    <w:p w:rsidRPr="00DE6659" w:rsidR="00DE6659" w:rsidP="002048E0"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toteaa, että voittoa tavoittelemilla yhdistyksillä ja yhteisöillä on vaikeuksia osallistua sisämarkkinoille, ja suosittaa, että komissio ja jäsenvaltiot poistaisivat oikeudelliset ja hallinnolliset esteet ja edistäisivät siten näiden yhdistysten roolia taloudellisen ja sosiaalisen arvon luomisessa EU:ssa.</w:t>
      </w:r>
    </w:p>
    <w:p w:rsidRPr="00DE6659"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tunnustaa voittoa tavoittelemattomien organisaatioiden mahdollisuudet sisämarkkinoilla ja muistuttaa tarpeesta edistää eurooppalaisen ekosysteemin luomista niille, jotta sisämarkkinoista voitaisiin tehdä entistä ”sosiaalisemmat”.</w:t>
      </w:r>
    </w:p>
    <w:p w:rsidRPr="00DE6659"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suhtautuu myönteisesti komission ehdotukseen eurooppalaisen rajat ylittävän yhdistyksen oikeudellisen muodon lisäämisestä kansallisiin oikeusjärjestelmiin, jotta voidaan vähentää toisessa jäsenvaltiossa toimivien voittoa tavoittelemattomien yhdistysten tunnustamisesta ja perustamisesta aiheutuvaa oikeudellisia ja hallinnollisia rasitteita.</w:t>
      </w:r>
    </w:p>
    <w:p w:rsidRPr="00DE6659"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ehdottaa, että kaikkien sellaisten vaatimukset täyttävien organisaatioiden, joiden sääntömääräinen kotipaikka on Euroopan unionissa, olisi oltava mahdollista saada eurooppalaisen rajat ylittävän yhdistyksen asema, vaikka sen toimeenpanevan elimen jäseninä olisi luonnollisia henkilöitä, jotka asuvat EU:n ulkopuolisissa maissa, ja erityisesti silloin, kun he asuvat Euroopan talousalueen maissa.</w:t>
      </w:r>
    </w:p>
    <w:p w:rsidRPr="00DE6659"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suosittaa, että demokratian ja yhdistymisvapauden periaatteiden mukaisesti yhdistysten erilaiset jäsenyystyypit ja äänioikeuden käyttötapa voidaan edelleen määritellä vapaasti itse yhdistyksiä ja niiden jäseniä koskevissa säännöissä.</w:t>
      </w:r>
    </w:p>
    <w:p w:rsidRPr="00DE6659"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katsoo, että on kannatettavaa ja järkevää luoda eurooppalaisen rajat ylittävän yhdistyksen todistus (ECBA-todistus), joka mahdollistaa tämän uuden oikeudellisen muodon tunnustamisen kaikkialla unionissa sen jälkeen, kun yhdistys on rekisteröity jossakin jäsenvaltiossa. Komitea suosittaa kuitenkin, että luokittelu- ja rekisteröintijärjestelmiä parannetaan luomalla vertailukelpoiset tietokannat.</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Yhteydenotot</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P.</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Sähköposti</w:t>
            </w:r>
          </w:p>
        </w:tc>
        <w:tc>
          <w:tcPr>
            <w:tcW w:w="3444" w:type="pct"/>
          </w:tcPr>
          <w:p w:rsidRPr="00DE6659" w:rsidR="00DE6659" w:rsidP="00DE6659" w:rsidRDefault="00B25A8C" w14:paraId="23C9553B" w14:textId="77777777">
            <w:pPr>
              <w:overflowPunct w:val="0"/>
              <w:autoSpaceDE w:val="0"/>
              <w:autoSpaceDN w:val="0"/>
              <w:adjustRightInd w:val="0"/>
              <w:spacing w:line="240" w:lineRule="auto"/>
              <w:textAlignment w:val="baseline"/>
              <w:rPr>
                <w:i/>
              </w:rPr>
            </w:pPr>
            <w:hyperlink w:history="1" r:id="rId27">
              <w:r w:rsidR="00426017">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B25A8C"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28">
        <w:r w:rsidR="00426017">
          <w:rPr>
            <w:b/>
            <w:i/>
            <w:color w:val="0000FF"/>
            <w:sz w:val="28"/>
            <w:u w:val="single"/>
          </w:rPr>
          <w:t>Uusi eurooppalainen sisämarkkinastrategia</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5"/>
      </w:tblGrid>
      <w:tr w:rsidRPr="00E51DD8" w:rsidR="009E6551" w:rsidTr="002048E0" w14:paraId="4D686838" w14:textId="77777777">
        <w:tc>
          <w:tcPr>
            <w:tcW w:w="1129" w:type="pct"/>
          </w:tcPr>
          <w:p w:rsidRPr="00E51DD8" w:rsidR="009E6551" w:rsidP="009E6551" w:rsidRDefault="009E6551" w14:paraId="4E868AF6"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Esittelijä</w:t>
            </w:r>
          </w:p>
        </w:tc>
        <w:tc>
          <w:tcPr>
            <w:tcW w:w="3871" w:type="pct"/>
          </w:tcPr>
          <w:p w:rsidRPr="00E51DD8" w:rsidR="009E6551" w:rsidP="009E6551" w:rsidRDefault="009E6551" w14:paraId="1A8DCFC5" w14:textId="7734F633">
            <w:pPr>
              <w:tabs>
                <w:tab w:val="center" w:pos="0"/>
              </w:tabs>
              <w:overflowPunct w:val="0"/>
              <w:autoSpaceDE w:val="0"/>
              <w:autoSpaceDN w:val="0"/>
              <w:adjustRightInd w:val="0"/>
              <w:ind w:left="266" w:hanging="266"/>
              <w:textAlignment w:val="baseline"/>
              <w:rPr>
                <w:sz w:val="22"/>
                <w:szCs w:val="22"/>
              </w:rPr>
            </w:pPr>
            <w:r w:rsidRPr="00E51DD8">
              <w:rPr>
                <w:sz w:val="22"/>
                <w:szCs w:val="22"/>
              </w:rPr>
              <w:t xml:space="preserve">Sandra </w:t>
            </w:r>
            <w:proofErr w:type="spellStart"/>
            <w:r w:rsidRPr="00E51DD8">
              <w:rPr>
                <w:sz w:val="22"/>
                <w:szCs w:val="22"/>
              </w:rPr>
              <w:t>Parthie</w:t>
            </w:r>
            <w:proofErr w:type="spellEnd"/>
            <w:r w:rsidRPr="00E51DD8">
              <w:rPr>
                <w:sz w:val="22"/>
                <w:szCs w:val="22"/>
              </w:rPr>
              <w:t xml:space="preserve"> (työnantajat – DE)</w:t>
            </w:r>
          </w:p>
        </w:tc>
      </w:tr>
      <w:tr w:rsidRPr="00E51DD8" w:rsidR="009E6551" w:rsidTr="002048E0" w14:paraId="567CF579" w14:textId="77777777">
        <w:tc>
          <w:tcPr>
            <w:tcW w:w="1129" w:type="pct"/>
          </w:tcPr>
          <w:p w:rsidRPr="00E51DD8" w:rsidR="009E6551" w:rsidP="009E6551" w:rsidRDefault="009E6551" w14:paraId="39731A44"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Yhteisesittelijä</w:t>
            </w:r>
          </w:p>
        </w:tc>
        <w:tc>
          <w:tcPr>
            <w:tcW w:w="3871" w:type="pct"/>
          </w:tcPr>
          <w:p w:rsidRPr="00E51DD8" w:rsidR="009E6551" w:rsidP="009E6551" w:rsidRDefault="009E6551" w14:paraId="0FC36817" w14:textId="3CA123C9">
            <w:pPr>
              <w:tabs>
                <w:tab w:val="center" w:pos="284"/>
              </w:tabs>
              <w:overflowPunct w:val="0"/>
              <w:autoSpaceDE w:val="0"/>
              <w:autoSpaceDN w:val="0"/>
              <w:adjustRightInd w:val="0"/>
              <w:ind w:left="266" w:hanging="266"/>
              <w:textAlignment w:val="baseline"/>
              <w:rPr>
                <w:sz w:val="22"/>
                <w:szCs w:val="22"/>
              </w:rPr>
            </w:pPr>
            <w:r w:rsidRPr="00E51DD8">
              <w:rPr>
                <w:sz w:val="22"/>
                <w:szCs w:val="22"/>
              </w:rPr>
              <w:t xml:space="preserve">Alain </w:t>
            </w:r>
            <w:proofErr w:type="spellStart"/>
            <w:r w:rsidRPr="00E51DD8">
              <w:rPr>
                <w:sz w:val="22"/>
                <w:szCs w:val="22"/>
              </w:rPr>
              <w:t>Coheur</w:t>
            </w:r>
            <w:proofErr w:type="spellEnd"/>
            <w:r w:rsidRPr="00E51DD8">
              <w:rPr>
                <w:sz w:val="22"/>
                <w:szCs w:val="22"/>
              </w:rPr>
              <w:t xml:space="preserve"> (kansalaisyhteiskunnan organisaatiot – BE)</w:t>
            </w:r>
          </w:p>
        </w:tc>
      </w:tr>
      <w:tr w:rsidRPr="00E51DD8" w:rsidR="009E6551" w:rsidTr="002048E0" w14:paraId="047ABAF7" w14:textId="77777777">
        <w:tc>
          <w:tcPr>
            <w:tcW w:w="5000" w:type="pct"/>
            <w:gridSpan w:val="2"/>
          </w:tcPr>
          <w:p w:rsidRPr="00E51DD8"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E51DD8" w:rsidR="009E6551" w:rsidTr="002048E0" w14:paraId="423137BA" w14:textId="77777777">
        <w:tc>
          <w:tcPr>
            <w:tcW w:w="1129" w:type="pct"/>
            <w:vMerge w:val="restart"/>
          </w:tcPr>
          <w:p w:rsidRPr="00E51DD8" w:rsidR="009E6551" w:rsidP="009E6551" w:rsidRDefault="009E6551" w14:paraId="73633D71"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Viiteasiakirja</w:t>
            </w:r>
          </w:p>
        </w:tc>
        <w:tc>
          <w:tcPr>
            <w:tcW w:w="3871" w:type="pct"/>
          </w:tcPr>
          <w:p w:rsidRPr="00E51DD8" w:rsidR="009E6551" w:rsidP="009E6551" w:rsidRDefault="009E6551" w14:paraId="4138FC3B" w14:textId="000349E9">
            <w:pPr>
              <w:tabs>
                <w:tab w:val="center" w:pos="284"/>
              </w:tabs>
              <w:overflowPunct w:val="0"/>
              <w:autoSpaceDE w:val="0"/>
              <w:autoSpaceDN w:val="0"/>
              <w:adjustRightInd w:val="0"/>
              <w:ind w:left="266" w:hanging="266"/>
              <w:textAlignment w:val="baseline"/>
              <w:rPr>
                <w:sz w:val="22"/>
                <w:szCs w:val="22"/>
              </w:rPr>
            </w:pPr>
            <w:r w:rsidRPr="00E51DD8">
              <w:rPr>
                <w:sz w:val="22"/>
                <w:szCs w:val="22"/>
              </w:rPr>
              <w:t>EU:n neuvoston puheenjohtajavaltion Belgian pyytämä valmisteleva lausunto</w:t>
            </w:r>
          </w:p>
        </w:tc>
      </w:tr>
      <w:tr w:rsidRPr="00E51DD8" w:rsidR="009E6551" w:rsidTr="002048E0" w14:paraId="6DA4EF09" w14:textId="77777777">
        <w:tc>
          <w:tcPr>
            <w:tcW w:w="1129" w:type="pct"/>
            <w:vMerge/>
          </w:tcPr>
          <w:p w:rsidRPr="00E51DD8" w:rsidR="009E6551" w:rsidP="009E6551" w:rsidRDefault="009E6551" w14:paraId="7533C1AB" w14:textId="77777777">
            <w:pPr>
              <w:tabs>
                <w:tab w:val="center" w:pos="284"/>
              </w:tabs>
              <w:overflowPunct w:val="0"/>
              <w:autoSpaceDE w:val="0"/>
              <w:autoSpaceDN w:val="0"/>
              <w:adjustRightInd w:val="0"/>
              <w:ind w:left="266" w:hanging="266"/>
              <w:textAlignment w:val="baseline"/>
              <w:rPr>
                <w:b/>
                <w:sz w:val="22"/>
                <w:szCs w:val="22"/>
              </w:rPr>
            </w:pPr>
          </w:p>
        </w:tc>
        <w:tc>
          <w:tcPr>
            <w:tcW w:w="3871" w:type="pct"/>
          </w:tcPr>
          <w:p w:rsidRPr="00E51DD8" w:rsidR="009E6551" w:rsidP="009E6551" w:rsidRDefault="009E6551" w14:paraId="5D99BAED" w14:textId="0CE6B7E1">
            <w:pPr>
              <w:tabs>
                <w:tab w:val="center" w:pos="284"/>
              </w:tabs>
              <w:overflowPunct w:val="0"/>
              <w:autoSpaceDE w:val="0"/>
              <w:autoSpaceDN w:val="0"/>
              <w:adjustRightInd w:val="0"/>
              <w:ind w:left="266" w:hanging="266"/>
              <w:textAlignment w:val="baseline"/>
              <w:rPr>
                <w:sz w:val="22"/>
                <w:szCs w:val="22"/>
              </w:rPr>
            </w:pPr>
            <w:r w:rsidRPr="00E51DD8">
              <w:rPr>
                <w:sz w:val="22"/>
                <w:szCs w:val="22"/>
              </w:rP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2048E0" w:rsidRDefault="009E6551" w14:paraId="3A3C29C6" w14:textId="77777777">
      <w:pPr>
        <w:keepNext/>
        <w:keepLines/>
        <w:overflowPunct w:val="0"/>
        <w:autoSpaceDE w:val="0"/>
        <w:autoSpaceDN w:val="0"/>
        <w:adjustRightInd w:val="0"/>
        <w:textAlignment w:val="baseline"/>
        <w:rPr>
          <w:b/>
        </w:rPr>
      </w:pPr>
      <w:r>
        <w:rPr>
          <w:b/>
        </w:rPr>
        <w:t>Keskeiset kohdat</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ETSK</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katsoo, että </w:t>
      </w:r>
      <w:r>
        <w:rPr>
          <w:b/>
        </w:rPr>
        <w:t>sisämarkkinoiden tulevaisuutta</w:t>
      </w:r>
      <w:r>
        <w:t xml:space="preserve"> koskevassa strategiassa olisi keskityttävä seuraaviin näkökohtiin: </w:t>
      </w:r>
      <w:r>
        <w:rPr>
          <w:b/>
        </w:rPr>
        <w:t>eurooppalainen teollisuuspolitiikka</w:t>
      </w:r>
      <w:r>
        <w:t xml:space="preserve">, </w:t>
      </w:r>
      <w:r>
        <w:rPr>
          <w:b/>
        </w:rPr>
        <w:t>yritystoimintaa ja pk-yrityksiä suosivat toimintaedellytykset, yhteisötalouden yritykset</w:t>
      </w:r>
      <w:r>
        <w:t xml:space="preserve">, suuren yleisön tuki </w:t>
      </w:r>
      <w:r>
        <w:rPr>
          <w:b/>
        </w:rPr>
        <w:t>EU:n yhdentymishankkeelle</w:t>
      </w:r>
      <w:r>
        <w:t xml:space="preserve">, hyvin järjestetyt ja tehokkaat </w:t>
      </w:r>
      <w:r>
        <w:rPr>
          <w:b/>
        </w:rPr>
        <w:t>yleishyödylliset palvelut</w:t>
      </w:r>
      <w:r>
        <w:t xml:space="preserve"> sekä toimet Euroopan </w:t>
      </w:r>
      <w:r>
        <w:rPr>
          <w:b/>
        </w:rPr>
        <w:t>sosiaalisen mallin</w:t>
      </w:r>
      <w:r>
        <w:t xml:space="preserve"> suojelemiseksi ja kehittämiseksi.</w:t>
      </w:r>
    </w:p>
    <w:p w:rsidRPr="009E6551"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kehottaa laatimaan </w:t>
      </w:r>
      <w:r>
        <w:rPr>
          <w:b/>
        </w:rPr>
        <w:t>uuden analyysikehyksen, jolla ohjataan poliittista päätöksentekoa</w:t>
      </w:r>
      <w:r>
        <w:t xml:space="preserve"> muuttuneessa, uudenlaisten geopoliittisten haasteiden maailmassa. Tietyt tavoitteet ovat keskenään ristiriitaisia: tukivaatimukset ja kehotukset rajoittaa valtiontukea, lähituotannon edistäminen ja pyrkimykset avata markkinoita, välttämättömien raaka-aineiden saanti ja hankintaehdot. Tarvitaan </w:t>
      </w:r>
      <w:r>
        <w:rPr>
          <w:b/>
        </w:rPr>
        <w:t>uusi yhteistyöjärjestelmä</w:t>
      </w:r>
      <w:r>
        <w:t xml:space="preserve"> parhaiden ratkaisujen löytämiseksi, ja on olennaisen tärkeää luoda uutta yhteistyöhenkeä jäsenvaltioiden välille, jotta syntyisi </w:t>
      </w:r>
      <w:r>
        <w:rPr>
          <w:b/>
        </w:rPr>
        <w:t>todellinen tunne eurooppalaisesta identiteetistä</w:t>
      </w:r>
      <w:r>
        <w:t>.</w:t>
      </w:r>
    </w:p>
    <w:p w:rsidRPr="009E6551"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katsoo, että olisi laadittava </w:t>
      </w:r>
      <w:r>
        <w:rPr>
          <w:b/>
        </w:rPr>
        <w:t>arvio yleishyödyllisten taloudellisten palvelujen vapauttamisen vaikutuksista</w:t>
      </w:r>
      <w:r>
        <w:t xml:space="preserve"> taloudelliseen, sosiaaliseen ja alueelliseen yhteenkuuluvuuteen ja tehtävä tutkimus mahdollisesta tarpeesta luoda </w:t>
      </w:r>
      <w:r>
        <w:rPr>
          <w:b/>
        </w:rPr>
        <w:t>eurooppalaisia julkisia tukivälineitä yleishyödyllisten taloudellisten palvelujen aloille</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Yhteydenotot</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P.</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Sähköposti</w:t>
            </w:r>
          </w:p>
        </w:tc>
        <w:tc>
          <w:tcPr>
            <w:tcW w:w="3444" w:type="pct"/>
          </w:tcPr>
          <w:p w:rsidRPr="009E6551" w:rsidR="009E6551" w:rsidP="009E6551" w:rsidRDefault="00B25A8C" w14:paraId="4125E6FA" w14:textId="77777777">
            <w:pPr>
              <w:overflowPunct w:val="0"/>
              <w:autoSpaceDE w:val="0"/>
              <w:autoSpaceDN w:val="0"/>
              <w:adjustRightInd w:val="0"/>
              <w:spacing w:line="240" w:lineRule="auto"/>
              <w:textAlignment w:val="baseline"/>
              <w:rPr>
                <w:iCs/>
              </w:rPr>
            </w:pPr>
            <w:hyperlink w:history="1" r:id="rId29">
              <w:r w:rsidR="00426017">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B25A8C"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0">
        <w:r w:rsidR="00426017">
          <w:rPr>
            <w:b/>
            <w:i/>
            <w:color w:val="0000FF"/>
            <w:sz w:val="28"/>
            <w:u w:val="single"/>
          </w:rPr>
          <w:t>Maksuviivästysdirektiivin tarkistaminen</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704"/>
      </w:tblGrid>
      <w:tr w:rsidRPr="00E51DD8" w:rsidR="00C41F06" w:rsidTr="00F655B8" w14:paraId="17FC1AAE" w14:textId="77777777">
        <w:trPr>
          <w:trHeight w:val="406"/>
        </w:trPr>
        <w:tc>
          <w:tcPr>
            <w:tcW w:w="1142" w:type="pct"/>
          </w:tcPr>
          <w:p w:rsidRPr="00E51DD8" w:rsidR="00C41F06" w:rsidP="00C41F06" w:rsidRDefault="00C41F06" w14:paraId="6D5A3F72"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Esittelijät</w:t>
            </w:r>
          </w:p>
        </w:tc>
        <w:tc>
          <w:tcPr>
            <w:tcW w:w="3858" w:type="pct"/>
          </w:tcPr>
          <w:p w:rsidRPr="00E51DD8" w:rsidR="00C41F06" w:rsidP="00C41F06" w:rsidRDefault="00C41F06" w14:paraId="3A40F086" w14:textId="77777777">
            <w:pPr>
              <w:tabs>
                <w:tab w:val="center" w:pos="0"/>
              </w:tabs>
              <w:overflowPunct w:val="0"/>
              <w:autoSpaceDE w:val="0"/>
              <w:autoSpaceDN w:val="0"/>
              <w:adjustRightInd w:val="0"/>
              <w:ind w:left="266" w:hanging="266"/>
              <w:textAlignment w:val="baseline"/>
              <w:rPr>
                <w:sz w:val="22"/>
                <w:szCs w:val="22"/>
              </w:rPr>
            </w:pPr>
            <w:proofErr w:type="spellStart"/>
            <w:r w:rsidRPr="00E51DD8">
              <w:rPr>
                <w:sz w:val="22"/>
                <w:szCs w:val="22"/>
              </w:rPr>
              <w:t>Panagiotis</w:t>
            </w:r>
            <w:proofErr w:type="spellEnd"/>
            <w:r w:rsidRPr="00E51DD8">
              <w:rPr>
                <w:sz w:val="22"/>
                <w:szCs w:val="22"/>
              </w:rPr>
              <w:t xml:space="preserve"> </w:t>
            </w:r>
            <w:proofErr w:type="spellStart"/>
            <w:r w:rsidRPr="00E51DD8">
              <w:rPr>
                <w:sz w:val="22"/>
                <w:szCs w:val="22"/>
              </w:rPr>
              <w:t>Gkofas</w:t>
            </w:r>
            <w:proofErr w:type="spellEnd"/>
            <w:r w:rsidRPr="00E51DD8">
              <w:rPr>
                <w:sz w:val="22"/>
                <w:szCs w:val="22"/>
              </w:rPr>
              <w:t xml:space="preserve"> (kansalaisyhteiskunnan organisaatiot </w:t>
            </w:r>
            <w:r w:rsidRPr="00E51DD8">
              <w:rPr>
                <w:sz w:val="22"/>
                <w:szCs w:val="22"/>
              </w:rPr>
              <w:noBreakHyphen/>
              <w:t>ryhmä – EL)</w:t>
            </w:r>
          </w:p>
          <w:p w:rsidRPr="00E51DD8" w:rsidR="00C41F06" w:rsidP="00C41F06" w:rsidRDefault="00C41F06" w14:paraId="6858251C" w14:textId="77777777">
            <w:pPr>
              <w:tabs>
                <w:tab w:val="center" w:pos="0"/>
              </w:tabs>
              <w:overflowPunct w:val="0"/>
              <w:autoSpaceDE w:val="0"/>
              <w:autoSpaceDN w:val="0"/>
              <w:adjustRightInd w:val="0"/>
              <w:ind w:left="266" w:hanging="266"/>
              <w:textAlignment w:val="baseline"/>
              <w:rPr>
                <w:sz w:val="22"/>
                <w:szCs w:val="22"/>
              </w:rPr>
            </w:pPr>
            <w:r w:rsidRPr="00E51DD8">
              <w:rPr>
                <w:sz w:val="22"/>
                <w:szCs w:val="22"/>
              </w:rPr>
              <w:t xml:space="preserve">Alena </w:t>
            </w:r>
            <w:proofErr w:type="spellStart"/>
            <w:r w:rsidRPr="00E51DD8">
              <w:rPr>
                <w:sz w:val="22"/>
                <w:szCs w:val="22"/>
              </w:rPr>
              <w:t>Mastantuono</w:t>
            </w:r>
            <w:proofErr w:type="spellEnd"/>
            <w:r w:rsidRPr="00E51DD8">
              <w:rPr>
                <w:sz w:val="22"/>
                <w:szCs w:val="22"/>
              </w:rPr>
              <w:t xml:space="preserve"> (työnantajat – CZ)</w:t>
            </w:r>
          </w:p>
          <w:p w:rsidRPr="00E51DD8" w:rsidR="008C0662" w:rsidP="00C41F06" w:rsidRDefault="00C41F06" w14:paraId="18949A9C" w14:textId="698C1239">
            <w:pPr>
              <w:tabs>
                <w:tab w:val="center" w:pos="0"/>
              </w:tabs>
              <w:overflowPunct w:val="0"/>
              <w:autoSpaceDE w:val="0"/>
              <w:autoSpaceDN w:val="0"/>
              <w:adjustRightInd w:val="0"/>
              <w:ind w:left="266" w:hanging="266"/>
              <w:textAlignment w:val="baseline"/>
              <w:rPr>
                <w:sz w:val="22"/>
                <w:szCs w:val="22"/>
              </w:rPr>
            </w:pPr>
            <w:r w:rsidRPr="00E51DD8">
              <w:rPr>
                <w:sz w:val="22"/>
                <w:szCs w:val="22"/>
              </w:rPr>
              <w:t xml:space="preserve">Angelo </w:t>
            </w:r>
            <w:proofErr w:type="spellStart"/>
            <w:r w:rsidRPr="00E51DD8">
              <w:rPr>
                <w:sz w:val="22"/>
                <w:szCs w:val="22"/>
              </w:rPr>
              <w:t>Pagliara</w:t>
            </w:r>
            <w:proofErr w:type="spellEnd"/>
            <w:r w:rsidRPr="00E51DD8">
              <w:rPr>
                <w:sz w:val="22"/>
                <w:szCs w:val="22"/>
              </w:rPr>
              <w:t xml:space="preserve"> (työntekijät – IT)</w:t>
            </w:r>
          </w:p>
        </w:tc>
      </w:tr>
      <w:tr w:rsidRPr="00E51DD8" w:rsidR="00C41F06" w:rsidTr="00F655B8" w14:paraId="13E6E1E7" w14:textId="77777777">
        <w:tc>
          <w:tcPr>
            <w:tcW w:w="1142" w:type="pct"/>
            <w:vMerge w:val="restart"/>
          </w:tcPr>
          <w:p w:rsidRPr="00E51DD8" w:rsidR="00C41F06" w:rsidP="00C41F06" w:rsidRDefault="00C41F06" w14:paraId="3D984E0B"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Viiteasiakirjat</w:t>
            </w:r>
          </w:p>
        </w:tc>
        <w:tc>
          <w:tcPr>
            <w:tcW w:w="3858" w:type="pct"/>
          </w:tcPr>
          <w:p w:rsidRPr="00E51DD8" w:rsidR="00C41F06" w:rsidP="00C41F06" w:rsidRDefault="00C41F06" w14:paraId="16F6C4C1" w14:textId="482569CA">
            <w:pPr>
              <w:tabs>
                <w:tab w:val="center" w:pos="284"/>
              </w:tabs>
              <w:overflowPunct w:val="0"/>
              <w:autoSpaceDE w:val="0"/>
              <w:autoSpaceDN w:val="0"/>
              <w:adjustRightInd w:val="0"/>
              <w:ind w:left="266" w:hanging="266"/>
              <w:textAlignment w:val="baseline"/>
              <w:rPr>
                <w:sz w:val="22"/>
                <w:szCs w:val="22"/>
              </w:rPr>
            </w:pPr>
            <w:r w:rsidRPr="00E51DD8">
              <w:rPr>
                <w:sz w:val="22"/>
                <w:szCs w:val="22"/>
              </w:rPr>
              <w:t xml:space="preserve">COM(2023) 533 </w:t>
            </w:r>
            <w:proofErr w:type="spellStart"/>
            <w:r w:rsidRPr="00E51DD8">
              <w:rPr>
                <w:sz w:val="22"/>
                <w:szCs w:val="22"/>
              </w:rPr>
              <w:t>final</w:t>
            </w:r>
            <w:proofErr w:type="spellEnd"/>
          </w:p>
        </w:tc>
      </w:tr>
      <w:tr w:rsidRPr="00E51DD8" w:rsidR="00C41F06" w:rsidTr="00F655B8" w14:paraId="7E622C46" w14:textId="77777777">
        <w:tc>
          <w:tcPr>
            <w:tcW w:w="1142" w:type="pct"/>
            <w:vMerge/>
          </w:tcPr>
          <w:p w:rsidRPr="00E51DD8" w:rsidR="00C41F06" w:rsidP="00C41F06" w:rsidRDefault="00C41F06" w14:paraId="1B7520D4" w14:textId="77777777">
            <w:pPr>
              <w:tabs>
                <w:tab w:val="center" w:pos="284"/>
              </w:tabs>
              <w:overflowPunct w:val="0"/>
              <w:autoSpaceDE w:val="0"/>
              <w:autoSpaceDN w:val="0"/>
              <w:adjustRightInd w:val="0"/>
              <w:ind w:left="266" w:hanging="266"/>
              <w:textAlignment w:val="baseline"/>
              <w:rPr>
                <w:b/>
                <w:sz w:val="22"/>
                <w:szCs w:val="22"/>
              </w:rPr>
            </w:pPr>
          </w:p>
        </w:tc>
        <w:tc>
          <w:tcPr>
            <w:tcW w:w="3858" w:type="pct"/>
          </w:tcPr>
          <w:p w:rsidRPr="00E51DD8" w:rsidR="00C41F06" w:rsidP="00C41F06" w:rsidRDefault="00C41F06" w14:paraId="77792A8C" w14:textId="5E584AD0">
            <w:pPr>
              <w:tabs>
                <w:tab w:val="center" w:pos="284"/>
              </w:tabs>
              <w:overflowPunct w:val="0"/>
              <w:autoSpaceDE w:val="0"/>
              <w:autoSpaceDN w:val="0"/>
              <w:adjustRightInd w:val="0"/>
              <w:ind w:left="266" w:hanging="266"/>
              <w:textAlignment w:val="baseline"/>
              <w:rPr>
                <w:sz w:val="22"/>
                <w:szCs w:val="22"/>
              </w:rPr>
            </w:pPr>
            <w:r w:rsidRPr="00E51DD8">
              <w:rPr>
                <w:sz w:val="22"/>
                <w:szCs w:val="22"/>
              </w:rP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2048E0" w:rsidRDefault="00C41F06" w14:paraId="796186DF" w14:textId="77777777">
      <w:pPr>
        <w:keepNext/>
        <w:keepLines/>
        <w:overflowPunct w:val="0"/>
        <w:autoSpaceDE w:val="0"/>
        <w:autoSpaceDN w:val="0"/>
        <w:adjustRightInd w:val="0"/>
        <w:ind w:left="266" w:hanging="266"/>
        <w:textAlignment w:val="baseline"/>
        <w:rPr>
          <w:b/>
        </w:rPr>
      </w:pPr>
      <w:r>
        <w:rPr>
          <w:b/>
        </w:rPr>
        <w:t>Keskeiset kohdat</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ETSK</w:t>
      </w:r>
    </w:p>
    <w:p w:rsidRPr="00C41F06"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on tyytyväinen komission tiedonantoon pk-yritysten apupaketista ja komission aikomukseen jatkaa maksuviivästysten torjumista. Komitea on kuitenkin </w:t>
      </w:r>
      <w:r>
        <w:rPr>
          <w:b/>
        </w:rPr>
        <w:t>huolissaan siitä, että nykyisen direktiivin muuttaminen asetukseksi saattaa rajoittaa jäsenvaltioiden</w:t>
      </w:r>
      <w:r>
        <w:t xml:space="preserve"> ja liiketoimintaympäristön </w:t>
      </w:r>
      <w:r>
        <w:rPr>
          <w:b/>
        </w:rPr>
        <w:t>joustavuutta</w:t>
      </w:r>
      <w:r>
        <w:t xml:space="preserve"> aikana, jolloin EU:ssa puhaltaa vastatuulia eri suunnilta.</w:t>
      </w:r>
    </w:p>
    <w:p w:rsidRPr="00C41F06"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katsoo, että </w:t>
      </w:r>
      <w:r>
        <w:rPr>
          <w:b/>
        </w:rPr>
        <w:t>maksuviivästykset</w:t>
      </w:r>
      <w:r>
        <w:t xml:space="preserve"> ovat haitallisia pienyrittäjille, heidän perheilleen ja työntekijöilleen, millä on </w:t>
      </w:r>
      <w:r>
        <w:rPr>
          <w:b/>
        </w:rPr>
        <w:t>vakavia seurauksia palvelujen, vuokrien ja lainojen maksun sekä moraalin ja tuottavuuden kannalta</w:t>
      </w:r>
      <w:r>
        <w:t>.</w:t>
      </w:r>
    </w:p>
    <w:p w:rsidRPr="00C41F06"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katsoo, että komissio pyrkii ehdotuksellaan puuttumaan maksuviivästysten sijasta pitkiin maksuaikoihin </w:t>
      </w:r>
      <w:r>
        <w:rPr>
          <w:b/>
        </w:rPr>
        <w:t>ottamalla käyttöön liian rajoittavia toimenpiteitä sen sijaan, että parannettaisiin nykyistä täytäntöönpanokehystä</w:t>
      </w:r>
      <w:r>
        <w:t xml:space="preserve"> tehokkaammilla säännöillä.</w:t>
      </w:r>
    </w:p>
    <w:p w:rsidRPr="00C41F06"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korostaa joustavien neuvottelujen merkitystä maksuehtoja vahvistettaessa ja esittää vakavia huolia komission ehdotukseen liittyen. </w:t>
      </w:r>
      <w:r>
        <w:rPr>
          <w:b/>
        </w:rPr>
        <w:t>Ehdotettu 30 päivän yläraja poistaa käytännössä yritysten välisen sopimusvapauden.</w:t>
      </w:r>
    </w:p>
    <w:p w:rsidRPr="00C41F06"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suhtautuu myönteisesti ehdotettuun 30 päivän maksuaikaan viranomaisten ja yritysten välisissä liiketoimissa. </w:t>
      </w:r>
      <w:r>
        <w:rPr>
          <w:b/>
        </w:rPr>
        <w:t>Viranomaisten olisi näytettävä esimerkkiä yritysten keskeisinä kumppaneina.</w:t>
      </w:r>
    </w:p>
    <w:p w:rsidRPr="00C41F06"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katsoo, että </w:t>
      </w:r>
      <w:r>
        <w:rPr>
          <w:b/>
        </w:rPr>
        <w:t>kansallisten täytäntöönpanoelinten</w:t>
      </w:r>
      <w:r>
        <w:t xml:space="preserve"> perustamisesta voi olla hyötyä, mutta korostaa, että niiden </w:t>
      </w:r>
      <w:r>
        <w:rPr>
          <w:b/>
        </w:rPr>
        <w:t>on toimittava puolueettomasti ja taattava mahdollisimman suuri luottamuksellisuus</w:t>
      </w:r>
      <w:r>
        <w:t xml:space="preserve"> käsitellessään sekä yritysten että viranomaisten kaupallisesti arkaluonteisia tietoja, eikä muita raportointivelvoitteita tule asettaa.</w:t>
      </w:r>
    </w:p>
    <w:p w:rsidRPr="00C41F06" w:rsidR="00C41F06" w:rsidP="002048E0"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katsoo, että </w:t>
      </w:r>
      <w:r>
        <w:rPr>
          <w:b/>
        </w:rPr>
        <w:t>maksuehtoja koskevat tiukat vaatimukset</w:t>
      </w:r>
      <w:r>
        <w:t xml:space="preserve"> voivat vaikuttaa liiketoimiin sisämarkkinoilla ja siirtää liiketoimintaa EU:n ulkopuolelle, koska on houkuttelevampaa käyttää kolmansien maiden toimittajia, jotka voivat hyväksyä pidempiä maksuaikoja. Tämä voi olla </w:t>
      </w:r>
      <w:r>
        <w:rPr>
          <w:b/>
        </w:rPr>
        <w:t>mahdollinen uhka Euroopan kilpailukyvylle</w:t>
      </w:r>
      <w:r>
        <w:t>, ja sitä olisi vältettävä.</w:t>
      </w:r>
    </w:p>
    <w:p w:rsidRPr="00C41F06" w:rsidR="00C41F06" w:rsidP="002048E0"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94"/>
        <w:gridCol w:w="5085"/>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Yhteydenotot</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P.</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Sähköposti</w:t>
            </w:r>
          </w:p>
        </w:tc>
        <w:tc>
          <w:tcPr>
            <w:tcW w:w="4049" w:type="pct"/>
          </w:tcPr>
          <w:p w:rsidRPr="00C41F06" w:rsidR="00C41F06" w:rsidP="00C41F06" w:rsidRDefault="00B25A8C" w14:paraId="36F98705" w14:textId="77777777">
            <w:pPr>
              <w:overflowPunct w:val="0"/>
              <w:autoSpaceDE w:val="0"/>
              <w:autoSpaceDN w:val="0"/>
              <w:adjustRightInd w:val="0"/>
              <w:spacing w:line="240" w:lineRule="auto"/>
              <w:textAlignment w:val="baseline"/>
              <w:rPr>
                <w:i/>
              </w:rPr>
            </w:pPr>
            <w:hyperlink w:history="1" r:id="rId31">
              <w:r w:rsidR="00426017">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33"/>
      <w:bookmarkStart w:name="_Toc157509945" w:id="34"/>
      <w:r>
        <w:rPr>
          <w:b/>
        </w:rPr>
        <w:lastRenderedPageBreak/>
        <w:t>MAATALOUS, MAASEUDUN KEHITTÄMINEN JA YMPÄRISTÖ</w:t>
      </w:r>
      <w:bookmarkStart w:name="_Hlk145944317" w:id="35"/>
      <w:bookmarkEnd w:id="33"/>
      <w:bookmarkEnd w:id="34"/>
    </w:p>
    <w:bookmarkEnd w:id="35"/>
    <w:p w:rsidRPr="00094B6B" w:rsidR="002C016E" w:rsidP="00DE43CE" w:rsidRDefault="002C016E" w14:paraId="0E7342A4" w14:textId="73254B30">
      <w:pPr>
        <w:keepNext/>
        <w:keepLines/>
        <w:jc w:val="left"/>
        <w:rPr>
          <w:bCs/>
          <w:iCs/>
        </w:rPr>
      </w:pPr>
    </w:p>
    <w:p w:rsidRPr="001546A6" w:rsidR="001546A6" w:rsidP="002048E0" w:rsidRDefault="00B25A8C"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2">
        <w:r w:rsidR="00426017">
          <w:rPr>
            <w:b/>
            <w:i/>
            <w:color w:val="0000FF"/>
            <w:sz w:val="28"/>
            <w:u w:val="single"/>
          </w:rPr>
          <w:t>Kalastusmahdollisuuksien vahvistamiseen liittyvät tavoitteet</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7"/>
        <w:gridCol w:w="7374"/>
      </w:tblGrid>
      <w:tr w:rsidRPr="00E51DD8" w:rsidR="001546A6" w:rsidTr="006221F1" w14:paraId="0E83ACAC" w14:textId="77777777">
        <w:tc>
          <w:tcPr>
            <w:tcW w:w="1701" w:type="dxa"/>
          </w:tcPr>
          <w:p w:rsidRPr="00E51DD8" w:rsidR="001546A6" w:rsidP="001546A6" w:rsidRDefault="001546A6" w14:paraId="13C11586"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Esittelijä</w:t>
            </w:r>
          </w:p>
        </w:tc>
        <w:tc>
          <w:tcPr>
            <w:tcW w:w="7479" w:type="dxa"/>
          </w:tcPr>
          <w:p w:rsidRPr="00E51DD8" w:rsidR="001546A6" w:rsidP="001546A6" w:rsidRDefault="001546A6" w14:paraId="71636E19" w14:textId="7F3B9901">
            <w:pPr>
              <w:tabs>
                <w:tab w:val="center" w:pos="284"/>
              </w:tabs>
              <w:overflowPunct w:val="0"/>
              <w:autoSpaceDE w:val="0"/>
              <w:autoSpaceDN w:val="0"/>
              <w:adjustRightInd w:val="0"/>
              <w:ind w:left="266" w:hanging="266"/>
              <w:textAlignment w:val="baseline"/>
              <w:rPr>
                <w:sz w:val="22"/>
                <w:szCs w:val="22"/>
              </w:rPr>
            </w:pPr>
            <w:proofErr w:type="spellStart"/>
            <w:r w:rsidRPr="00E51DD8">
              <w:rPr>
                <w:sz w:val="22"/>
                <w:szCs w:val="22"/>
              </w:rPr>
              <w:t>Panagiotis</w:t>
            </w:r>
            <w:proofErr w:type="spellEnd"/>
            <w:r w:rsidRPr="00E51DD8">
              <w:rPr>
                <w:sz w:val="22"/>
                <w:szCs w:val="22"/>
              </w:rPr>
              <w:t xml:space="preserve"> </w:t>
            </w:r>
            <w:proofErr w:type="spellStart"/>
            <w:r w:rsidRPr="00E51DD8">
              <w:rPr>
                <w:sz w:val="22"/>
                <w:szCs w:val="22"/>
              </w:rPr>
              <w:t>Gkofas</w:t>
            </w:r>
            <w:proofErr w:type="spellEnd"/>
            <w:r w:rsidRPr="00E51DD8">
              <w:rPr>
                <w:sz w:val="22"/>
                <w:szCs w:val="22"/>
              </w:rPr>
              <w:t xml:space="preserve"> (kansalaisyhteiskunnan organisaatiot ‑ryhmä – EL) </w:t>
            </w:r>
          </w:p>
        </w:tc>
      </w:tr>
      <w:tr w:rsidRPr="00E51DD8" w:rsidR="001546A6" w:rsidTr="006221F1" w14:paraId="1CEA36C4" w14:textId="77777777">
        <w:tc>
          <w:tcPr>
            <w:tcW w:w="9180" w:type="dxa"/>
            <w:gridSpan w:val="2"/>
          </w:tcPr>
          <w:p w:rsidRPr="00E51DD8"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E51DD8" w:rsidR="001546A6" w:rsidTr="006221F1" w14:paraId="1DA72B21" w14:textId="77777777">
        <w:tc>
          <w:tcPr>
            <w:tcW w:w="1701" w:type="dxa"/>
          </w:tcPr>
          <w:p w:rsidRPr="00E51DD8" w:rsidR="001546A6" w:rsidP="001546A6" w:rsidRDefault="001546A6" w14:paraId="6043C6DB"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Viiteasiakirja</w:t>
            </w:r>
          </w:p>
        </w:tc>
        <w:tc>
          <w:tcPr>
            <w:tcW w:w="7479" w:type="dxa"/>
          </w:tcPr>
          <w:p w:rsidRPr="00E51DD8" w:rsidR="008A0B2F" w:rsidP="001546A6" w:rsidRDefault="008A0B2F" w14:paraId="6820DD0F" w14:textId="4FCD64FC">
            <w:pPr>
              <w:tabs>
                <w:tab w:val="center" w:pos="284"/>
              </w:tabs>
              <w:overflowPunct w:val="0"/>
              <w:autoSpaceDE w:val="0"/>
              <w:autoSpaceDN w:val="0"/>
              <w:adjustRightInd w:val="0"/>
              <w:ind w:left="266" w:hanging="266"/>
              <w:textAlignment w:val="baseline"/>
              <w:rPr>
                <w:sz w:val="22"/>
                <w:szCs w:val="22"/>
              </w:rPr>
            </w:pPr>
            <w:r w:rsidRPr="00E51DD8">
              <w:rPr>
                <w:sz w:val="22"/>
                <w:szCs w:val="22"/>
              </w:rPr>
              <w:t xml:space="preserve">COM(2023) 771 </w:t>
            </w:r>
            <w:proofErr w:type="spellStart"/>
            <w:r w:rsidRPr="00E51DD8">
              <w:rPr>
                <w:sz w:val="22"/>
                <w:szCs w:val="22"/>
              </w:rPr>
              <w:t>final</w:t>
            </w:r>
            <w:proofErr w:type="spellEnd"/>
          </w:p>
          <w:p w:rsidRPr="00E51DD8" w:rsidR="001546A6" w:rsidP="001546A6" w:rsidRDefault="001546A6" w14:paraId="2330AE9B" w14:textId="71E7E3F3">
            <w:pPr>
              <w:tabs>
                <w:tab w:val="center" w:pos="284"/>
              </w:tabs>
              <w:overflowPunct w:val="0"/>
              <w:autoSpaceDE w:val="0"/>
              <w:autoSpaceDN w:val="0"/>
              <w:adjustRightInd w:val="0"/>
              <w:ind w:left="266" w:hanging="266"/>
              <w:textAlignment w:val="baseline"/>
              <w:rPr>
                <w:sz w:val="22"/>
                <w:szCs w:val="22"/>
              </w:rPr>
            </w:pPr>
            <w:r w:rsidRPr="00E51DD8">
              <w:rPr>
                <w:sz w:val="22"/>
                <w:szCs w:val="22"/>
              </w:rP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ETSK</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toteaa, että lainsäädäntöehdotuksen tavoitteena on muuttaa Itämerellä, Pohjanmerellä ja läntisillä vesialueilla kalastettuja kantoja ja näitä kantoja hyödyntäviä kalastuksia koskevia monivuotisia suunnitelmia neuvoston vahvistamien vuotuisia kalastusmahdollisuuksia koskevien sääntöjen johdonmukaisuuden varmistamiseksi.</w:t>
      </w:r>
    </w:p>
    <w:p w:rsidRPr="001546A6"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panee merkille, että kaikkiin kolmeen monivuotiseen suunnitelmaan sisältyy nk. viiden prosentin sääntö, jonka mukaan kalastusmahdollisuudet on määriteltävä siten, että varmistetaan, että todennäköisyys kutukannan biomassan vähentymiseen alle arvon, jonka alittuessa lisääntymiskyky saattaa alentua, on alle viisi prosenttia.</w:t>
      </w:r>
    </w:p>
    <w:p w:rsidRPr="001546A6"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katsoo, että viiden prosentin säännön soveltaminen voi kuitenkin tietyissä tietyn kalakannan tilaan ja sen biomassan kehittymisen lyhyen aikavälin ennusteeseen liittyvissä olosuhteissa tarkoittaa, että kalastusmahdollisuuksia ei voida vahvistaa ja että kohdennettu kalastus on keskeytettävä. Tästä voi seurata vakavia sosioekonomisia vaikutuksia.</w:t>
      </w:r>
    </w:p>
    <w:p w:rsidRPr="001546A6"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kannattaakin ehdotusta poistaa viiden prosentin sääntö näistä kolmesta monivuotisesta suunnitelmasta.</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Yhteydenotot</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P.</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Sähköposti</w:t>
            </w:r>
          </w:p>
        </w:tc>
        <w:tc>
          <w:tcPr>
            <w:tcW w:w="5670" w:type="dxa"/>
          </w:tcPr>
          <w:p w:rsidRPr="00C83487" w:rsidR="001546A6" w:rsidP="001546A6" w:rsidRDefault="00B25A8C" w14:paraId="4CAF59C5" w14:textId="663BE3D7">
            <w:pPr>
              <w:overflowPunct w:val="0"/>
              <w:autoSpaceDE w:val="0"/>
              <w:autoSpaceDN w:val="0"/>
              <w:adjustRightInd w:val="0"/>
              <w:spacing w:line="240" w:lineRule="auto"/>
              <w:textAlignment w:val="baseline"/>
              <w:rPr>
                <w:i/>
                <w:color w:val="0000FF"/>
                <w:u w:val="single"/>
              </w:rPr>
            </w:pPr>
            <w:hyperlink w:history="1" r:id="rId33">
              <w:r w:rsidR="00426017">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B25A8C"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4">
        <w:r w:rsidR="00426017">
          <w:rPr>
            <w:b/>
            <w:i/>
            <w:color w:val="0000FF"/>
            <w:sz w:val="28"/>
            <w:u w:val="single"/>
          </w:rPr>
          <w:t>Kohti vuoden 2027 jälkeistä yhteistä maatalouspolitiikkaa (YMP)</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7571"/>
      </w:tblGrid>
      <w:tr w:rsidRPr="00E51DD8" w:rsidR="0048644C" w:rsidTr="00C83487" w14:paraId="104552E9" w14:textId="77777777">
        <w:trPr>
          <w:trHeight w:val="297"/>
        </w:trPr>
        <w:tc>
          <w:tcPr>
            <w:tcW w:w="733" w:type="pct"/>
          </w:tcPr>
          <w:p w:rsidRPr="00E51DD8" w:rsidR="0048644C" w:rsidP="0048644C" w:rsidRDefault="0048644C" w14:paraId="1D48BA65"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Esittelijä</w:t>
            </w:r>
          </w:p>
        </w:tc>
        <w:tc>
          <w:tcPr>
            <w:tcW w:w="4267" w:type="pct"/>
          </w:tcPr>
          <w:p w:rsidRPr="00E51DD8" w:rsidR="0048644C" w:rsidP="0048644C" w:rsidRDefault="0048644C" w14:paraId="0A2388D7" w14:textId="3831C980">
            <w:pPr>
              <w:tabs>
                <w:tab w:val="center" w:pos="284"/>
              </w:tabs>
              <w:overflowPunct w:val="0"/>
              <w:autoSpaceDE w:val="0"/>
              <w:autoSpaceDN w:val="0"/>
              <w:adjustRightInd w:val="0"/>
              <w:ind w:left="266" w:hanging="266"/>
              <w:textAlignment w:val="baseline"/>
              <w:rPr>
                <w:bCs/>
                <w:sz w:val="22"/>
                <w:szCs w:val="22"/>
              </w:rPr>
            </w:pPr>
            <w:proofErr w:type="spellStart"/>
            <w:r w:rsidRPr="00E51DD8">
              <w:rPr>
                <w:sz w:val="22"/>
                <w:szCs w:val="22"/>
              </w:rPr>
              <w:t>Stoyan</w:t>
            </w:r>
            <w:proofErr w:type="spellEnd"/>
            <w:r w:rsidRPr="00E51DD8">
              <w:rPr>
                <w:sz w:val="22"/>
                <w:szCs w:val="22"/>
              </w:rPr>
              <w:t xml:space="preserve"> </w:t>
            </w:r>
            <w:proofErr w:type="spellStart"/>
            <w:r w:rsidRPr="00E51DD8">
              <w:rPr>
                <w:sz w:val="22"/>
                <w:szCs w:val="22"/>
              </w:rPr>
              <w:t>Tchoukanov</w:t>
            </w:r>
            <w:proofErr w:type="spellEnd"/>
            <w:r w:rsidRPr="00E51DD8">
              <w:rPr>
                <w:sz w:val="22"/>
                <w:szCs w:val="22"/>
              </w:rPr>
              <w:t xml:space="preserve"> (kansalaisyhteiskunnan organisaatiot – BG)</w:t>
            </w:r>
          </w:p>
        </w:tc>
      </w:tr>
      <w:tr w:rsidRPr="00E51DD8" w:rsidR="0048644C" w:rsidTr="00F655B8" w14:paraId="4706EC05" w14:textId="77777777">
        <w:trPr>
          <w:trHeight w:val="285"/>
        </w:trPr>
        <w:tc>
          <w:tcPr>
            <w:tcW w:w="733" w:type="pct"/>
            <w:vMerge w:val="restart"/>
          </w:tcPr>
          <w:p w:rsidRPr="00E51DD8" w:rsidR="0048644C" w:rsidP="0048644C" w:rsidRDefault="0048644C" w14:paraId="4E8A6DF7" w14:textId="77777777">
            <w:pPr>
              <w:tabs>
                <w:tab w:val="center" w:pos="284"/>
              </w:tabs>
              <w:overflowPunct w:val="0"/>
              <w:autoSpaceDE w:val="0"/>
              <w:autoSpaceDN w:val="0"/>
              <w:adjustRightInd w:val="0"/>
              <w:ind w:left="266" w:hanging="266"/>
              <w:textAlignment w:val="baseline"/>
              <w:rPr>
                <w:b/>
                <w:sz w:val="22"/>
                <w:szCs w:val="22"/>
              </w:rPr>
            </w:pPr>
            <w:r w:rsidRPr="00E51DD8">
              <w:rPr>
                <w:b/>
                <w:sz w:val="22"/>
                <w:szCs w:val="22"/>
              </w:rPr>
              <w:t>Viiteasiakirja</w:t>
            </w:r>
          </w:p>
        </w:tc>
        <w:tc>
          <w:tcPr>
            <w:tcW w:w="4267" w:type="pct"/>
          </w:tcPr>
          <w:p w:rsidRPr="00E51DD8" w:rsidR="0048644C" w:rsidP="0048644C" w:rsidRDefault="0048644C" w14:paraId="12F473B0" w14:textId="690BF5E2">
            <w:pPr>
              <w:tabs>
                <w:tab w:val="center" w:pos="284"/>
              </w:tabs>
              <w:overflowPunct w:val="0"/>
              <w:autoSpaceDE w:val="0"/>
              <w:autoSpaceDN w:val="0"/>
              <w:adjustRightInd w:val="0"/>
              <w:ind w:left="266" w:hanging="266"/>
              <w:textAlignment w:val="baseline"/>
              <w:rPr>
                <w:sz w:val="22"/>
                <w:szCs w:val="22"/>
              </w:rPr>
            </w:pPr>
            <w:r w:rsidRPr="00E51DD8">
              <w:rPr>
                <w:sz w:val="22"/>
                <w:szCs w:val="22"/>
              </w:rPr>
              <w:t>EU:n neuvoston puheenjohtajavaltion Belgian pyytämä valmisteleva lausunto</w:t>
            </w:r>
          </w:p>
        </w:tc>
      </w:tr>
      <w:tr w:rsidRPr="00E51DD8" w:rsidR="0048644C" w:rsidTr="00F655B8" w14:paraId="185DEF53" w14:textId="77777777">
        <w:trPr>
          <w:trHeight w:val="293"/>
        </w:trPr>
        <w:tc>
          <w:tcPr>
            <w:tcW w:w="733" w:type="pct"/>
            <w:vMerge/>
          </w:tcPr>
          <w:p w:rsidRPr="00E51DD8" w:rsidR="0048644C" w:rsidP="0048644C" w:rsidRDefault="0048644C" w14:paraId="6F9967C9" w14:textId="77777777">
            <w:pPr>
              <w:tabs>
                <w:tab w:val="center" w:pos="284"/>
              </w:tabs>
              <w:overflowPunct w:val="0"/>
              <w:autoSpaceDE w:val="0"/>
              <w:autoSpaceDN w:val="0"/>
              <w:adjustRightInd w:val="0"/>
              <w:ind w:left="266" w:hanging="266"/>
              <w:textAlignment w:val="baseline"/>
              <w:rPr>
                <w:b/>
                <w:sz w:val="22"/>
                <w:szCs w:val="22"/>
              </w:rPr>
            </w:pPr>
          </w:p>
        </w:tc>
        <w:tc>
          <w:tcPr>
            <w:tcW w:w="4267" w:type="pct"/>
          </w:tcPr>
          <w:p w:rsidRPr="00E51DD8" w:rsidR="0048644C" w:rsidP="0048644C" w:rsidRDefault="00C83487" w14:paraId="6B2F8067" w14:textId="194D3C80">
            <w:pPr>
              <w:tabs>
                <w:tab w:val="center" w:pos="284"/>
              </w:tabs>
              <w:overflowPunct w:val="0"/>
              <w:autoSpaceDE w:val="0"/>
              <w:autoSpaceDN w:val="0"/>
              <w:adjustRightInd w:val="0"/>
              <w:ind w:left="266" w:hanging="266"/>
              <w:textAlignment w:val="baseline"/>
              <w:rPr>
                <w:sz w:val="22"/>
                <w:szCs w:val="22"/>
              </w:rPr>
            </w:pPr>
            <w:r w:rsidRPr="00E51DD8">
              <w:rPr>
                <w:sz w:val="22"/>
                <w:szCs w:val="22"/>
              </w:rPr>
              <w:t>EESC-2023-03963-00-00-AC</w:t>
            </w:r>
          </w:p>
        </w:tc>
      </w:tr>
    </w:tbl>
    <w:p w:rsidRPr="00E51DD8" w:rsidR="007F6026" w:rsidP="007F6026" w:rsidRDefault="007F6026" w14:paraId="31AE2072" w14:textId="77777777">
      <w:pPr>
        <w:keepNext/>
        <w:keepLines/>
        <w:overflowPunct w:val="0"/>
        <w:autoSpaceDE w:val="0"/>
        <w:autoSpaceDN w:val="0"/>
        <w:adjustRightInd w:val="0"/>
        <w:textAlignment w:val="baseline"/>
        <w:rPr>
          <w:b/>
          <w:sz w:val="12"/>
          <w:szCs w:val="12"/>
        </w:rPr>
      </w:pPr>
    </w:p>
    <w:p w:rsidRPr="00E51DD8" w:rsidR="007F6026" w:rsidP="00E51DD8" w:rsidRDefault="0048644C" w14:paraId="53CAB92D" w14:textId="5E67AF44">
      <w:pPr>
        <w:keepNext/>
        <w:keepLines/>
        <w:overflowPunct w:val="0"/>
        <w:autoSpaceDE w:val="0"/>
        <w:autoSpaceDN w:val="0"/>
        <w:adjustRightInd w:val="0"/>
        <w:textAlignment w:val="baseline"/>
        <w:rPr>
          <w:b/>
        </w:rPr>
      </w:pPr>
      <w:r>
        <w:rPr>
          <w:b/>
        </w:rPr>
        <w:t>Keskeiset kohdat</w:t>
      </w:r>
    </w:p>
    <w:p w:rsidRPr="0048644C" w:rsidR="0048644C" w:rsidRDefault="0048644C" w14:paraId="08594ACA" w14:textId="77777777">
      <w:pPr>
        <w:overflowPunct w:val="0"/>
        <w:autoSpaceDE w:val="0"/>
        <w:autoSpaceDN w:val="0"/>
        <w:adjustRightInd w:val="0"/>
        <w:textAlignment w:val="baseline"/>
        <w:rPr>
          <w:bCs/>
          <w:iCs/>
        </w:rPr>
      </w:pPr>
      <w:r>
        <w:t>ETSK näkemyksiä vuoden 2027 jälkeisestä yhteisestä maatalouspolitiikasta (YMP):</w:t>
      </w:r>
    </w:p>
    <w:p w:rsidRPr="002048E0"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46" w:id="36"/>
      <w:r>
        <w:t xml:space="preserve">YMP:n on tarjottava </w:t>
      </w:r>
      <w:r>
        <w:rPr>
          <w:b/>
        </w:rPr>
        <w:t>vakaa pitkän aikavälin politiikkakehys</w:t>
      </w:r>
      <w:r>
        <w:t>, jonka avulla edistetään kestävää elintarviketuotantoa ja Euroopan unionin avointa strategista riippumattomuutta sekä suojellaan EU:n maatalouden monimuotoisuutta, vastataan yhteiskunnallisiin ja ekologisiin tarpeisiin (tuetaan julkisilla varoilla julkishyödykkeitä) ja kehitetään maaseutua.</w:t>
      </w:r>
      <w:bookmarkEnd w:id="36"/>
    </w:p>
    <w:p w:rsidRPr="002048E0" w:rsidR="0048644C" w:rsidP="002048E0"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47" w:id="37"/>
      <w:r>
        <w:t xml:space="preserve">YMP:ssä on </w:t>
      </w:r>
      <w:r>
        <w:rPr>
          <w:b/>
        </w:rPr>
        <w:t>nostettava huomion keskipisteeseen</w:t>
      </w:r>
      <w:r>
        <w:t xml:space="preserve"> tarve antaa viljelijöille riittävästi tukea meneillään olevassa siirtymässä.</w:t>
      </w:r>
      <w:bookmarkEnd w:id="37"/>
      <w:r>
        <w:t xml:space="preserve"> </w:t>
      </w:r>
    </w:p>
    <w:p w:rsidRPr="002048E0" w:rsidR="0048644C" w:rsidP="002048E0"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48" w:id="38"/>
      <w:r>
        <w:t xml:space="preserve">EU:n talousarviosta YMP:hen kuluva osuus on supistunut 40 viime vuoden aikana jatkuvasti ja oli vuonna 2021 alle 25 prosenttia. YMP:n </w:t>
      </w:r>
      <w:r>
        <w:rPr>
          <w:b/>
        </w:rPr>
        <w:t>rahoituksen</w:t>
      </w:r>
      <w:r>
        <w:t xml:space="preserve"> on joka tapauksessa oltava oikeassa suhteessa tälle politiikalle asetettuun tavoitteeseen tukea oikeudenmukaista siirtymää, ja nykyinen pinta-alaperusteinen perustulotuki on korvattava asteittain viljelijöille suunnatuilla taloudellisilla kannustimilla tuottaa ympäristöä ja yhteiskuntaa hyödyttäviä palveluja. Tämä tulee toteuttaa kohtuullisen siirtymäajan kuluessa, joka voi olla pidempi kuin yhden monivuotisen rahoituskehyksen kattama kausi.</w:t>
      </w:r>
      <w:bookmarkEnd w:id="38"/>
      <w:r>
        <w:t xml:space="preserve"> </w:t>
      </w:r>
    </w:p>
    <w:p w:rsidRPr="002048E0" w:rsidR="0048644C" w:rsidP="002048E0"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49" w:id="39"/>
      <w:r>
        <w:t xml:space="preserve">Jotta maatilojen määrä EU:ssa ei pienenisi entisestään, YMP:n avulla on edistettävä muiden politiikkojen myötävaikutuksella </w:t>
      </w:r>
      <w:r>
        <w:rPr>
          <w:b/>
        </w:rPr>
        <w:t>sukupolvenvaihdoksia</w:t>
      </w:r>
      <w:r>
        <w:t xml:space="preserve"> varmistamalla mahdollisuudet hankkia maata, nostamalla maataloustoiminnasta saatavia keskituloja, luomalla suotuisat investointiedellytykset, parantamalla naisten vaikutusmahdollisuuksia, varmistamalla asianmukaiset työolot ja -ehdot, kohentamalla viljelijöiden pitkän aikavälin näkymiä ja edistämällä hylätyn tai heikkotuottoisen maan kestävää hyödyntämistä sekä laajaperäistä karjankasvatusta.</w:t>
      </w:r>
      <w:bookmarkEnd w:id="39"/>
    </w:p>
    <w:p w:rsidRPr="002048E0"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50" w:id="40"/>
      <w:r>
        <w:t xml:space="preserve">YMP:n avulla on säilytettävä kestävä maataloustuotanto kaikkialla EU:ssa ja edistettävä terveellisempien ja kestäväpohjaisempien elintarvikkeiden </w:t>
      </w:r>
      <w:r>
        <w:rPr>
          <w:b/>
        </w:rPr>
        <w:t>kulutuskysyntää</w:t>
      </w:r>
      <w:r>
        <w:t xml:space="preserve"> EU:ssa, vähennettävä ruoan haaskausta ja säänneltävä elintarvikemarkkinoita, jotta voidaan puuttua elintarvikealan </w:t>
      </w:r>
      <w:proofErr w:type="spellStart"/>
      <w:r>
        <w:t>finansialisaatioon</w:t>
      </w:r>
      <w:proofErr w:type="spellEnd"/>
      <w:r>
        <w:t>.</w:t>
      </w:r>
      <w:bookmarkEnd w:id="40"/>
    </w:p>
    <w:p w:rsidRPr="002048E0"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51" w:id="41"/>
      <w:r>
        <w:t xml:space="preserve">Olisi harkittava </w:t>
      </w:r>
      <w:r>
        <w:rPr>
          <w:b/>
        </w:rPr>
        <w:t>suhdanteita tasoittavien osatekijöiden</w:t>
      </w:r>
      <w:r>
        <w:t xml:space="preserve"> sisällyttämistä YMP:hen ja tarjottava sen puitteissa investointitukijärjestelyjä, joiden avulla edistetään maaseutualueiden uusiutuvan energian tuotantoa ja jakelua tila- ja paikallistasolla.</w:t>
      </w:r>
      <w:bookmarkEnd w:id="41"/>
    </w:p>
    <w:p w:rsidRPr="002048E0"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52" w:id="42"/>
      <w:r>
        <w:t xml:space="preserve">YMP:n puitteissa pitäisi vahvistaa julkisen ja yksityisen sektorin kumppanuuteen perustuvia </w:t>
      </w:r>
      <w:r>
        <w:rPr>
          <w:b/>
        </w:rPr>
        <w:t>vakuutusjärjestelyjä</w:t>
      </w:r>
      <w:r>
        <w:t>, jotta voidaan vastata äärimmäisten ilmasto-olosuhteiden seurauksiin.</w:t>
      </w:r>
      <w:bookmarkEnd w:id="42"/>
    </w:p>
    <w:p w:rsidRPr="002048E0"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9953" w:id="43"/>
      <w:r>
        <w:t xml:space="preserve">YMP:stä olisi tuettava </w:t>
      </w:r>
      <w:r>
        <w:rPr>
          <w:b/>
        </w:rPr>
        <w:t>digitaaliteknologioita</w:t>
      </w:r>
      <w:r>
        <w:t>, joiden on osoitettu auttavan vähentämään luonnon ja ympäristön kuormitusta tai parantamaan eläinten hyvinvointia taikka työoloja ja -ehtoja.</w:t>
      </w:r>
      <w:bookmarkEnd w:id="43"/>
    </w:p>
    <w:p w:rsidRPr="00E51DD8" w:rsidR="0048644C" w:rsidP="00E51DD8" w:rsidRDefault="0048644C" w14:paraId="026C3080" w14:textId="77777777">
      <w:pPr>
        <w:pStyle w:val="ListParagraph"/>
        <w:numPr>
          <w:ilvl w:val="0"/>
          <w:numId w:val="41"/>
        </w:numPr>
        <w:overflowPunct w:val="0"/>
        <w:autoSpaceDE w:val="0"/>
        <w:autoSpaceDN w:val="0"/>
        <w:adjustRightInd w:val="0"/>
        <w:spacing w:after="60"/>
        <w:ind w:left="567" w:hanging="567"/>
        <w:textAlignment w:val="baseline"/>
        <w:outlineLvl w:val="1"/>
        <w:rPr>
          <w:szCs w:val="20"/>
        </w:rPr>
      </w:pPr>
      <w:bookmarkStart w:name="_Toc157509954" w:id="44"/>
      <w:r>
        <w:t>YMP:n strategiasuunnitelmien suunnittelu- ja mukauttamis</w:t>
      </w:r>
      <w:r>
        <w:rPr>
          <w:b/>
        </w:rPr>
        <w:t>prosessia olisi tarkistettava</w:t>
      </w:r>
      <w:r>
        <w:t xml:space="preserve"> siten, että mahdollistetaan sidosryhmien osallistuminen, lisätään joustoa jäsenvaltiotasolla ja nopeutetaan mukautusten tekemistä alun perin hyväksyttyihin suunnitelmiin.</w:t>
      </w:r>
      <w:bookmarkEnd w:id="44"/>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Yhteydenotot</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proofErr w:type="spellStart"/>
            <w:r>
              <w:rPr>
                <w:i/>
              </w:rPr>
              <w:t>Martine</w:t>
            </w:r>
            <w:proofErr w:type="spellEnd"/>
            <w:r>
              <w:rPr>
                <w:i/>
              </w:rPr>
              <w:t xml:space="preserv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P.</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Sähköposti</w:t>
            </w:r>
          </w:p>
        </w:tc>
        <w:tc>
          <w:tcPr>
            <w:tcW w:w="3444" w:type="pct"/>
          </w:tcPr>
          <w:p w:rsidRPr="0048644C" w:rsidR="0048644C" w:rsidP="0048644C" w:rsidRDefault="00426017" w14:paraId="7C6FE1E8" w14:textId="755735AE">
            <w:pPr>
              <w:overflowPunct w:val="0"/>
              <w:autoSpaceDE w:val="0"/>
              <w:autoSpaceDN w:val="0"/>
              <w:adjustRightInd w:val="0"/>
              <w:spacing w:line="240" w:lineRule="auto"/>
              <w:textAlignment w:val="baseline"/>
              <w:rPr>
                <w:i/>
              </w:rPr>
            </w:pPr>
            <w:r>
              <w:t>Martine.Delanoy@eesc.europa.eu</w:t>
            </w:r>
          </w:p>
        </w:tc>
      </w:tr>
    </w:tbl>
    <w:p w:rsidRPr="00E51DD8" w:rsidR="006938FA" w:rsidRDefault="006938FA" w14:paraId="6AD61F9D" w14:textId="77777777">
      <w:pPr>
        <w:spacing w:after="160" w:line="259" w:lineRule="auto"/>
        <w:jc w:val="left"/>
        <w:rPr>
          <w:b/>
          <w:bCs/>
          <w:sz w:val="6"/>
          <w:szCs w:val="6"/>
        </w:rPr>
      </w:pPr>
      <w:r w:rsidRPr="00E51DD8">
        <w:rPr>
          <w:sz w:val="6"/>
          <w:szCs w:val="6"/>
        </w:rPr>
        <w:br w:type="page"/>
      </w:r>
    </w:p>
    <w:p w:rsidRPr="00810736" w:rsidR="006B3316" w:rsidP="0074419C" w:rsidRDefault="005374D2" w14:paraId="4FE1ECEE" w14:textId="7B16969B">
      <w:pPr>
        <w:pStyle w:val="Heading1"/>
        <w:ind w:hanging="928"/>
        <w:rPr>
          <w:b/>
          <w:bCs/>
        </w:rPr>
      </w:pPr>
      <w:bookmarkStart w:name="_Toc153539702" w:id="45"/>
      <w:bookmarkStart w:name="_Toc157509955" w:id="46"/>
      <w:r>
        <w:rPr>
          <w:b/>
        </w:rPr>
        <w:lastRenderedPageBreak/>
        <w:t>ULKOSUHTEET</w:t>
      </w:r>
      <w:bookmarkEnd w:id="45"/>
      <w:bookmarkEnd w:id="46"/>
    </w:p>
    <w:p w:rsidRPr="00BD0493" w:rsidR="00BD0493" w:rsidP="00BD0493" w:rsidRDefault="00BD0493" w14:paraId="10EC00FD" w14:textId="77777777"/>
    <w:p w:rsidRPr="005D0E3D" w:rsidR="005D0E3D" w:rsidP="005D0E3D" w:rsidRDefault="00B25A8C"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35">
        <w:r w:rsidR="00426017">
          <w:rPr>
            <w:b/>
            <w:i/>
            <w:color w:val="0000FF"/>
            <w:sz w:val="28"/>
            <w:u w:val="single"/>
          </w:rPr>
          <w:t>Ilmastonmuutoksen ja ympäristön tilan heikentymisen rauhaan, turvallisuuteen ja puolustukseen kohdistuvien vaikutusten torjuminen</w:t>
        </w:r>
      </w:hyperlink>
    </w:p>
    <w:p w:rsidRPr="007A5C6C"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7A5C6C" w:rsidR="005D0E3D" w:rsidTr="006221F1" w14:paraId="2C6EB7F5" w14:textId="77777777">
        <w:tc>
          <w:tcPr>
            <w:tcW w:w="2127" w:type="dxa"/>
          </w:tcPr>
          <w:p w:rsidRPr="007A5C6C" w:rsidR="005D0E3D" w:rsidP="005D0E3D" w:rsidRDefault="005D0E3D" w14:paraId="668CF52A" w14:textId="77777777">
            <w:pPr>
              <w:tabs>
                <w:tab w:val="center" w:pos="284"/>
              </w:tabs>
              <w:overflowPunct w:val="0"/>
              <w:autoSpaceDE w:val="0"/>
              <w:autoSpaceDN w:val="0"/>
              <w:adjustRightInd w:val="0"/>
              <w:ind w:left="266" w:hanging="266"/>
              <w:textAlignment w:val="baseline"/>
              <w:rPr>
                <w:b/>
                <w:sz w:val="22"/>
                <w:szCs w:val="22"/>
              </w:rPr>
            </w:pPr>
            <w:r w:rsidRPr="007A5C6C">
              <w:rPr>
                <w:b/>
                <w:sz w:val="22"/>
                <w:szCs w:val="22"/>
              </w:rPr>
              <w:t>Esittelijä</w:t>
            </w:r>
          </w:p>
        </w:tc>
        <w:tc>
          <w:tcPr>
            <w:tcW w:w="7053" w:type="dxa"/>
          </w:tcPr>
          <w:p w:rsidRPr="007A5C6C" w:rsidR="005D0E3D" w:rsidP="005D0E3D" w:rsidRDefault="005D0E3D" w14:paraId="48A63C93" w14:textId="3A28DAAE">
            <w:pPr>
              <w:tabs>
                <w:tab w:val="center" w:pos="284"/>
              </w:tabs>
              <w:overflowPunct w:val="0"/>
              <w:autoSpaceDE w:val="0"/>
              <w:autoSpaceDN w:val="0"/>
              <w:adjustRightInd w:val="0"/>
              <w:ind w:left="266" w:hanging="266"/>
              <w:textAlignment w:val="baseline"/>
              <w:rPr>
                <w:sz w:val="22"/>
                <w:szCs w:val="22"/>
              </w:rPr>
            </w:pPr>
            <w:proofErr w:type="spellStart"/>
            <w:r w:rsidRPr="007A5C6C">
              <w:rPr>
                <w:sz w:val="22"/>
                <w:szCs w:val="22"/>
              </w:rPr>
              <w:t>Özlem</w:t>
            </w:r>
            <w:proofErr w:type="spellEnd"/>
            <w:r w:rsidRPr="007A5C6C">
              <w:rPr>
                <w:sz w:val="22"/>
                <w:szCs w:val="22"/>
              </w:rPr>
              <w:t xml:space="preserve"> </w:t>
            </w:r>
            <w:proofErr w:type="spellStart"/>
            <w:r w:rsidRPr="007A5C6C">
              <w:rPr>
                <w:sz w:val="22"/>
                <w:szCs w:val="22"/>
              </w:rPr>
              <w:t>Yildirim</w:t>
            </w:r>
            <w:proofErr w:type="spellEnd"/>
            <w:r w:rsidRPr="007A5C6C">
              <w:rPr>
                <w:sz w:val="22"/>
                <w:szCs w:val="22"/>
              </w:rPr>
              <w:t xml:space="preserve"> (työntekijät – FR)</w:t>
            </w:r>
          </w:p>
        </w:tc>
      </w:tr>
      <w:tr w:rsidRPr="007A5C6C" w:rsidR="005D0E3D" w:rsidTr="006221F1" w14:paraId="7F387EEA" w14:textId="77777777">
        <w:tc>
          <w:tcPr>
            <w:tcW w:w="9180" w:type="dxa"/>
            <w:gridSpan w:val="2"/>
          </w:tcPr>
          <w:p w:rsidRPr="007A5C6C"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7A5C6C" w:rsidR="005D0E3D" w:rsidTr="006221F1" w14:paraId="36521EE5" w14:textId="77777777">
        <w:trPr>
          <w:trHeight w:val="369"/>
        </w:trPr>
        <w:tc>
          <w:tcPr>
            <w:tcW w:w="2127" w:type="dxa"/>
          </w:tcPr>
          <w:p w:rsidRPr="007A5C6C" w:rsidR="005D0E3D" w:rsidP="005D0E3D" w:rsidRDefault="005D0E3D" w14:paraId="3569DACF" w14:textId="1A6A64D6">
            <w:pPr>
              <w:tabs>
                <w:tab w:val="center" w:pos="284"/>
              </w:tabs>
              <w:overflowPunct w:val="0"/>
              <w:autoSpaceDE w:val="0"/>
              <w:autoSpaceDN w:val="0"/>
              <w:adjustRightInd w:val="0"/>
              <w:ind w:left="266" w:hanging="266"/>
              <w:textAlignment w:val="baseline"/>
              <w:rPr>
                <w:b/>
                <w:sz w:val="22"/>
                <w:szCs w:val="22"/>
              </w:rPr>
            </w:pPr>
            <w:r w:rsidRPr="007A5C6C">
              <w:rPr>
                <w:b/>
                <w:sz w:val="22"/>
                <w:szCs w:val="22"/>
              </w:rPr>
              <w:t>Viiteasiakirja</w:t>
            </w:r>
          </w:p>
        </w:tc>
        <w:tc>
          <w:tcPr>
            <w:tcW w:w="7053" w:type="dxa"/>
          </w:tcPr>
          <w:p w:rsidRPr="007A5C6C" w:rsidR="00595154" w:rsidP="005D0E3D" w:rsidRDefault="00595154" w14:paraId="6B1EDB82" w14:textId="2DC16540">
            <w:pPr>
              <w:tabs>
                <w:tab w:val="center" w:pos="284"/>
              </w:tabs>
              <w:overflowPunct w:val="0"/>
              <w:autoSpaceDE w:val="0"/>
              <w:autoSpaceDN w:val="0"/>
              <w:adjustRightInd w:val="0"/>
              <w:ind w:left="266" w:hanging="266"/>
              <w:textAlignment w:val="baseline"/>
              <w:rPr>
                <w:sz w:val="22"/>
                <w:szCs w:val="22"/>
              </w:rPr>
            </w:pPr>
            <w:r w:rsidRPr="007A5C6C">
              <w:rPr>
                <w:sz w:val="22"/>
                <w:szCs w:val="22"/>
              </w:rPr>
              <w:t xml:space="preserve">JOIN(2023) 19 </w:t>
            </w:r>
            <w:proofErr w:type="spellStart"/>
            <w:r w:rsidRPr="007A5C6C">
              <w:rPr>
                <w:sz w:val="22"/>
                <w:szCs w:val="22"/>
              </w:rPr>
              <w:t>final</w:t>
            </w:r>
            <w:proofErr w:type="spellEnd"/>
          </w:p>
          <w:p w:rsidRPr="007A5C6C" w:rsidR="005D0E3D" w:rsidP="005D0E3D" w:rsidRDefault="005D0E3D" w14:paraId="38FBFE28" w14:textId="4D024506">
            <w:pPr>
              <w:tabs>
                <w:tab w:val="center" w:pos="284"/>
              </w:tabs>
              <w:overflowPunct w:val="0"/>
              <w:autoSpaceDE w:val="0"/>
              <w:autoSpaceDN w:val="0"/>
              <w:adjustRightInd w:val="0"/>
              <w:ind w:left="266" w:hanging="266"/>
              <w:textAlignment w:val="baseline"/>
              <w:rPr>
                <w:sz w:val="22"/>
                <w:szCs w:val="22"/>
              </w:rPr>
            </w:pPr>
            <w:r w:rsidRPr="007A5C6C">
              <w:rPr>
                <w:sz w:val="22"/>
                <w:szCs w:val="22"/>
              </w:rP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2048E0" w:rsidRDefault="005D0E3D" w14:paraId="20E53CE1" w14:textId="77777777">
      <w:pPr>
        <w:keepNext/>
        <w:keepLines/>
        <w:overflowPunct w:val="0"/>
        <w:autoSpaceDE w:val="0"/>
        <w:autoSpaceDN w:val="0"/>
        <w:adjustRightInd w:val="0"/>
        <w:textAlignment w:val="baseline"/>
        <w:rPr>
          <w:b/>
        </w:rPr>
      </w:pPr>
      <w:r>
        <w:rPr>
          <w:b/>
        </w:rPr>
        <w:t>Keskeiset kohdat</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ETSK</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2048E0"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katsoo, että ilmastonmuutoksen vaikutukset kärjistävät rauhaan sekä Euroopan ja kansainväliseen turvallisuuteen kohdistuvia riskejä ja uhkia. </w:t>
      </w:r>
    </w:p>
    <w:p w:rsidRPr="005D0E3D" w:rsidR="005D0E3D" w:rsidP="002048E0"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tukee Euroopan komission tavoitetta ottaa huomioon ilmaston ja turvallisuuden väliseen yhteyteen liittyvät ongelmat, mutta huomauttaa, että niiden maantieteellinen, poliittinen ja sotilaallinen laajuus on määritettävä paremmin.</w:t>
      </w:r>
    </w:p>
    <w:p w:rsidRPr="005D0E3D"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korostaa, että on kiireesti investoitava kriisinkestävien ratkaisujen kehittämiseen muun muassa valmistelemalla EU:n päätöksentekoprosesseja vastaavia tulevaisuuden jännitteitä varten.</w:t>
      </w:r>
    </w:p>
    <w:p w:rsidRPr="005D0E3D"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suosittaa, että EU:n toimielimet pyrkivät ottamaan päätöksenteossaan huomioon biofysikaalisten olosuhteiden (joista ihmisten elämä ja hyvinvointi riippuvat) nopean muuttumisen sekä (niin EU:n jäsenvaltioiden kuin naapuri- ja kumppanimaiden) poliittisen yhteenkuuluvuuden.</w:t>
      </w:r>
    </w:p>
    <w:p w:rsidRPr="005D0E3D"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muistuttaa, että Euroopan yhdentymishankkeen perustehtävänä on rauhan edistäminen ja ylläpitäminen, ja vahvistaa pitävänsä sitä äärimmäisen tärkeänä. Tehtävästä suoriutuminen edellyttää EU:lta rauhanrakentamistoimien tehostamista. Rauhan edistäminen liittyy erottamattomasti perusoikeuksien ja demokratian suojaamiseen ja edistämiseen, johon ilmaston ja turvallisuuden välisen yhteyden huomioon ottamisella tähdätään, sillä tarkoituksena on nimenomaan ylläpitää ja edistää perusoikeuksia niiden haasteiden edessä, joita ilmastonmuutoksesta johtuvan epävarmuuden vaikutukset voivat aiheuttaa sekä yksilöille että yhteiskunnille.</w:t>
      </w:r>
    </w:p>
    <w:p w:rsidRPr="005D0E3D"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katsoo, että ilmaston ja turvallisuuden välisen yhteyden huomioon ottamista olisi vahvistettava luomalla ennakoivia yhteyksiä ulkosuhteista, unionin sisäisestä yhteenkuuluvuudesta sekä jäsenvaltioiden turvallisuus- ja puolustuspalveluista vastaavien elinten välille ja sisällyttämällä tähän yhteydenpitoon jatkuva vuoropuhelu tiedeyhteisön kanssa. Näihin vahvistamistoimiin tulee sisällyttää selviytymiskykyä koskevan tutkimuksen ja innovoinnin panos, mikä parantaa sekä EU:n toimien ennakointia että niiden tehokkuutta.</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Yhteydenotot</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Dujmovic</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P.</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Sähköposti</w:t>
            </w:r>
          </w:p>
        </w:tc>
        <w:tc>
          <w:tcPr>
            <w:tcW w:w="4252" w:type="dxa"/>
          </w:tcPr>
          <w:p w:rsidRPr="005D0E3D" w:rsidR="005D0E3D" w:rsidP="005D0E3D" w:rsidRDefault="00B25A8C" w14:paraId="7D5BAAE0" w14:textId="69E0C0B9">
            <w:pPr>
              <w:overflowPunct w:val="0"/>
              <w:autoSpaceDE w:val="0"/>
              <w:autoSpaceDN w:val="0"/>
              <w:adjustRightInd w:val="0"/>
              <w:spacing w:line="240" w:lineRule="auto"/>
              <w:textAlignment w:val="baseline"/>
              <w:rPr>
                <w:i/>
              </w:rPr>
            </w:pPr>
            <w:hyperlink w:history="1" r:id="rId36">
              <w:r w:rsidR="00426017">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0D072EE0">
      <w:pPr>
        <w:pStyle w:val="Heading1"/>
        <w:ind w:hanging="928"/>
        <w:rPr>
          <w:b/>
          <w:bCs/>
        </w:rPr>
      </w:pPr>
      <w:bookmarkStart w:name="_Toc153539712" w:id="47"/>
      <w:bookmarkStart w:name="_Toc157509956" w:id="48"/>
      <w:r>
        <w:rPr>
          <w:b/>
        </w:rPr>
        <w:lastRenderedPageBreak/>
        <w:t>LIIKENNE, ENERGIA, PERUSRAKENTEET, TIETOYHTEISKUNTA</w:t>
      </w:r>
      <w:bookmarkEnd w:id="47"/>
      <w:bookmarkEnd w:id="48"/>
    </w:p>
    <w:p w:rsidR="0092772D" w:rsidP="00775FC4" w:rsidRDefault="0092772D" w14:paraId="764F554F" w14:textId="3DB1B15F">
      <w:pPr>
        <w:keepNext/>
        <w:keepLines/>
      </w:pPr>
    </w:p>
    <w:p w:rsidRPr="00AE6861" w:rsidR="00AE6861" w:rsidP="00AE6861" w:rsidRDefault="00B25A8C"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37">
        <w:proofErr w:type="spellStart"/>
        <w:r w:rsidR="00426017">
          <w:rPr>
            <w:b/>
            <w:i/>
            <w:color w:val="0000FF"/>
            <w:sz w:val="28"/>
            <w:u w:val="single"/>
          </w:rPr>
          <w:t>Rajatylittävän</w:t>
        </w:r>
        <w:proofErr w:type="spellEnd"/>
        <w:r w:rsidR="00426017">
          <w:rPr>
            <w:b/>
            <w:i/>
            <w:color w:val="0000FF"/>
            <w:sz w:val="28"/>
            <w:u w:val="single"/>
          </w:rPr>
          <w:t xml:space="preserve"> energiainfrastruktuurin suunnittelu</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7A5C6C" w:rsidR="00AE6861" w:rsidTr="00F655B8" w14:paraId="611E13EB" w14:textId="77777777">
        <w:tc>
          <w:tcPr>
            <w:tcW w:w="2235" w:type="dxa"/>
          </w:tcPr>
          <w:p w:rsidRPr="007A5C6C" w:rsidR="00AE6861" w:rsidP="00AE6861" w:rsidRDefault="00AE6861" w14:paraId="03786D8A" w14:textId="77777777">
            <w:pPr>
              <w:tabs>
                <w:tab w:val="center" w:pos="284"/>
              </w:tabs>
              <w:overflowPunct w:val="0"/>
              <w:autoSpaceDE w:val="0"/>
              <w:autoSpaceDN w:val="0"/>
              <w:adjustRightInd w:val="0"/>
              <w:ind w:left="266" w:hanging="266"/>
              <w:textAlignment w:val="baseline"/>
              <w:rPr>
                <w:b/>
                <w:sz w:val="22"/>
                <w:szCs w:val="22"/>
              </w:rPr>
            </w:pPr>
            <w:r w:rsidRPr="007A5C6C">
              <w:rPr>
                <w:b/>
                <w:sz w:val="22"/>
                <w:szCs w:val="22"/>
              </w:rPr>
              <w:t xml:space="preserve">Esittelijä </w:t>
            </w:r>
          </w:p>
        </w:tc>
        <w:tc>
          <w:tcPr>
            <w:tcW w:w="6838" w:type="dxa"/>
          </w:tcPr>
          <w:p w:rsidRPr="007A5C6C" w:rsidR="00AE6861" w:rsidP="00AE6861" w:rsidRDefault="00AE6861" w14:paraId="3E0F0420" w14:textId="73086536">
            <w:pPr>
              <w:tabs>
                <w:tab w:val="center" w:pos="284"/>
              </w:tabs>
              <w:overflowPunct w:val="0"/>
              <w:autoSpaceDE w:val="0"/>
              <w:autoSpaceDN w:val="0"/>
              <w:adjustRightInd w:val="0"/>
              <w:ind w:left="266" w:hanging="266"/>
              <w:textAlignment w:val="baseline"/>
              <w:rPr>
                <w:sz w:val="22"/>
                <w:szCs w:val="22"/>
              </w:rPr>
            </w:pPr>
            <w:r w:rsidRPr="007A5C6C">
              <w:rPr>
                <w:sz w:val="22"/>
                <w:szCs w:val="22"/>
              </w:rPr>
              <w:t xml:space="preserve">Thomas </w:t>
            </w:r>
            <w:proofErr w:type="spellStart"/>
            <w:r w:rsidRPr="007A5C6C">
              <w:rPr>
                <w:sz w:val="22"/>
                <w:szCs w:val="22"/>
              </w:rPr>
              <w:t>Kattnig</w:t>
            </w:r>
            <w:proofErr w:type="spellEnd"/>
            <w:r w:rsidRPr="007A5C6C">
              <w:rPr>
                <w:sz w:val="22"/>
                <w:szCs w:val="22"/>
              </w:rPr>
              <w:t xml:space="preserve"> (työntekijät – AT)</w:t>
            </w:r>
          </w:p>
        </w:tc>
      </w:tr>
      <w:tr w:rsidRPr="007A5C6C" w:rsidR="00AE6861" w:rsidTr="00F655B8" w14:paraId="41B1CA66" w14:textId="77777777">
        <w:tc>
          <w:tcPr>
            <w:tcW w:w="9073" w:type="dxa"/>
            <w:gridSpan w:val="2"/>
          </w:tcPr>
          <w:p w:rsidRPr="007A5C6C"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7A5C6C" w:rsidR="00AE6861" w:rsidTr="00F655B8" w14:paraId="1747A971" w14:textId="77777777">
        <w:tc>
          <w:tcPr>
            <w:tcW w:w="2235" w:type="dxa"/>
          </w:tcPr>
          <w:p w:rsidRPr="007A5C6C" w:rsidR="00AE6861" w:rsidP="00AE6861" w:rsidRDefault="00AE6861" w14:paraId="5CAE83EB" w14:textId="77777777">
            <w:pPr>
              <w:tabs>
                <w:tab w:val="center" w:pos="284"/>
              </w:tabs>
              <w:overflowPunct w:val="0"/>
              <w:autoSpaceDE w:val="0"/>
              <w:autoSpaceDN w:val="0"/>
              <w:adjustRightInd w:val="0"/>
              <w:ind w:left="266" w:hanging="266"/>
              <w:textAlignment w:val="baseline"/>
              <w:rPr>
                <w:b/>
                <w:sz w:val="22"/>
                <w:szCs w:val="22"/>
              </w:rPr>
            </w:pPr>
            <w:r w:rsidRPr="007A5C6C">
              <w:rPr>
                <w:b/>
                <w:sz w:val="22"/>
                <w:szCs w:val="22"/>
              </w:rPr>
              <w:t>Viiteasiakirja</w:t>
            </w:r>
          </w:p>
        </w:tc>
        <w:tc>
          <w:tcPr>
            <w:tcW w:w="6838" w:type="dxa"/>
          </w:tcPr>
          <w:p w:rsidRPr="007A5C6C" w:rsidR="00AE6861" w:rsidP="00AE6861" w:rsidRDefault="00AE6861" w14:paraId="2E07B88C" w14:textId="77777777">
            <w:pPr>
              <w:tabs>
                <w:tab w:val="center" w:pos="0"/>
              </w:tabs>
              <w:overflowPunct w:val="0"/>
              <w:autoSpaceDE w:val="0"/>
              <w:autoSpaceDN w:val="0"/>
              <w:adjustRightInd w:val="0"/>
              <w:textAlignment w:val="baseline"/>
              <w:rPr>
                <w:sz w:val="22"/>
                <w:szCs w:val="22"/>
              </w:rPr>
            </w:pPr>
            <w:r w:rsidRPr="007A5C6C">
              <w:rPr>
                <w:sz w:val="22"/>
                <w:szCs w:val="22"/>
              </w:rPr>
              <w:t>EU:n neuvoston puheenjohtajavaltion Belgian pyytämä valmisteleva lausunto</w:t>
            </w:r>
          </w:p>
          <w:p w:rsidRPr="007A5C6C" w:rsidR="00AE6861" w:rsidP="00AE6861" w:rsidRDefault="00AE6861" w14:paraId="793F9518" w14:textId="241FC048">
            <w:pPr>
              <w:tabs>
                <w:tab w:val="center" w:pos="284"/>
              </w:tabs>
              <w:overflowPunct w:val="0"/>
              <w:autoSpaceDE w:val="0"/>
              <w:autoSpaceDN w:val="0"/>
              <w:adjustRightInd w:val="0"/>
              <w:ind w:left="266" w:hanging="266"/>
              <w:textAlignment w:val="baseline"/>
              <w:rPr>
                <w:sz w:val="22"/>
                <w:szCs w:val="22"/>
              </w:rPr>
            </w:pPr>
            <w:r w:rsidRPr="007A5C6C">
              <w:rPr>
                <w:sz w:val="22"/>
                <w:szCs w:val="22"/>
              </w:rP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Keskeiset kohdat</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ETSK</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painottaa, että energiainfrastruktuuria, kuten energian siirto- ja jakeluinfrastruktuuria, ei voida käsitellä niin kuin mitä tahansa hyödykettä, vaan se on sen sijaan luokiteltava yleishyödylliseksi palveluksi talouden ja väestön kannalta.</w:t>
      </w:r>
    </w:p>
    <w:p w:rsidRPr="00AE6861"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 xml:space="preserve">kehottaa kiinnittämään erityistä huomiota siihen, että verkkojen kehittäminen, mukaan lukien </w:t>
      </w:r>
      <w:proofErr w:type="spellStart"/>
      <w:r>
        <w:t>rajatylittävät</w:t>
      </w:r>
      <w:proofErr w:type="spellEnd"/>
      <w:r>
        <w:t xml:space="preserve"> </w:t>
      </w:r>
      <w:proofErr w:type="spellStart"/>
      <w:r>
        <w:t>yhteenliitännät</w:t>
      </w:r>
      <w:proofErr w:type="spellEnd"/>
      <w:r>
        <w:t xml:space="preserve"> sekä maalla että merellä, määritellään erittäin tärkeän yleisen edun mukaiseksi kriittiseksi infrastruktuuriksi, ilmastonmuutoksen hillitseminen asetetaan sääntelytavoitteeksi ja uusiutuvien energiamuotojen ja sähköverkon suunnittelu sovitetaan yleisesti paremmin yhteen.</w:t>
      </w:r>
    </w:p>
    <w:p w:rsidRPr="00AE6861"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korostaa, että kasvavan kysynnän johdosta on erityisen tärkeää tehdä huomattavia investointeja sähköverkkoihin, jotta vauhditetaan Euroopan taloutta ja luodaan laadukkaita (vihreitä) työpaikkoja.</w:t>
      </w:r>
    </w:p>
    <w:p w:rsidRPr="00AE6861"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peräänkuuluttaa nykyistä sitovampia toimenpiteitä siirtoverkonhaltijoita ja jakeluverkonhaltijoita varten mutta myös energiantuottajien sisällyttämistä verkon vakauttamistoimenpiteiden piiriin, jotta niiden toimia voidaan koordinoida entistä paremmin ja jotta verkko voisi hyötyä digitalisaatiosta.</w:t>
      </w:r>
    </w:p>
    <w:p w:rsidRPr="00AE6861"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huomauttaa, että energiainfrastruktuuriin, kuten suuriin energian tuotantolaitoksiin, on kiinnitettävä erityistä huomiota turvatoimien osalta. Erityisesti (</w:t>
      </w:r>
      <w:proofErr w:type="spellStart"/>
      <w:r>
        <w:t>kyber</w:t>
      </w:r>
      <w:proofErr w:type="spellEnd"/>
      <w:r>
        <w:t>)turvallisuus olisi asetettava entistäkin tärkeämmälle sijalle.</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Yhteydenotot</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P.</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25468535</w:t>
            </w:r>
          </w:p>
        </w:tc>
      </w:tr>
      <w:tr w:rsidRPr="00AE6861" w:rsidR="00AE6861" w:rsidTr="00F655B8" w14:paraId="194AB4C5" w14:textId="77777777">
        <w:tc>
          <w:tcPr>
            <w:tcW w:w="1418" w:type="dxa"/>
          </w:tcPr>
          <w:p w:rsidRPr="00AE6861" w:rsidR="00AE6861" w:rsidP="00AE6861" w:rsidRDefault="006B1A4D" w14:paraId="5F0CF1BE" w14:textId="712040C7">
            <w:pPr>
              <w:overflowPunct w:val="0"/>
              <w:autoSpaceDE w:val="0"/>
              <w:autoSpaceDN w:val="0"/>
              <w:adjustRightInd w:val="0"/>
              <w:spacing w:line="240" w:lineRule="auto"/>
              <w:textAlignment w:val="baseline"/>
              <w:rPr>
                <w:i/>
              </w:rPr>
            </w:pPr>
            <w:r>
              <w:rPr>
                <w:i/>
              </w:rPr>
              <w:t>Sähköposti</w:t>
            </w:r>
          </w:p>
        </w:tc>
        <w:tc>
          <w:tcPr>
            <w:tcW w:w="5670" w:type="dxa"/>
          </w:tcPr>
          <w:p w:rsidRPr="00AE6861" w:rsidR="00AE6861" w:rsidP="00AE6861" w:rsidRDefault="00B25A8C" w14:paraId="0EA2DED1" w14:textId="77777777">
            <w:pPr>
              <w:overflowPunct w:val="0"/>
              <w:autoSpaceDE w:val="0"/>
              <w:autoSpaceDN w:val="0"/>
              <w:adjustRightInd w:val="0"/>
              <w:spacing w:line="240" w:lineRule="auto"/>
              <w:textAlignment w:val="baseline"/>
              <w:rPr>
                <w:i/>
                <w:iCs/>
              </w:rPr>
            </w:pPr>
            <w:hyperlink w:history="1" r:id="rId38">
              <w:r w:rsidR="00426017">
                <w:rPr>
                  <w:i/>
                  <w:color w:val="0000FF"/>
                  <w:u w:val="single"/>
                </w:rPr>
                <w:t>GiorgiaAndrea.Bordignon@eesc.europa.eu</w:t>
              </w:r>
            </w:hyperlink>
          </w:p>
        </w:tc>
      </w:tr>
    </w:tbl>
    <w:bookmarkEnd w:id="0"/>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headerReference w:type="even" r:id="rId39"/>
      <w:headerReference w:type="default" r:id="rId40"/>
      <w:footerReference w:type="even" r:id="rId41"/>
      <w:footerReference w:type="default" r:id="rId42"/>
      <w:headerReference w:type="first" r:id="rId43"/>
      <w:footerReference w:type="first" r:id="rId44"/>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EFF9543" w:rsidR="00765C4F" w:rsidRPr="00521B5A" w:rsidRDefault="00521B5A" w:rsidP="00521B5A">
    <w:pPr>
      <w:pStyle w:val="Footer"/>
    </w:pPr>
    <w:r>
      <w:t>EESC-2023-04915-00-0</w:t>
    </w:r>
    <w:r w:rsidR="006316AD">
      <w:t>1</w:t>
    </w:r>
    <w:r>
      <w:t xml:space="preserve">-TCD-TRA (EN) </w:t>
    </w:r>
    <w:r>
      <w:fldChar w:fldCharType="begin"/>
    </w:r>
    <w:r>
      <w:instrText xml:space="preserve"> PAGE  \* Arabic  \* MERGEFORMAT </w:instrText>
    </w:r>
    <w:r>
      <w:fldChar w:fldCharType="separate"/>
    </w:r>
    <w:r w:rsidR="002048E0">
      <w:t>1</w:t>
    </w:r>
    <w:r>
      <w:fldChar w:fldCharType="end"/>
    </w:r>
    <w:r>
      <w:t>/</w:t>
    </w:r>
    <w:fldSimple w:instr=" NUMPAGES ">
      <w:r w:rsidR="002048E0">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19D9A2C" w:rsidR="00E4258F" w:rsidRPr="00521B5A" w:rsidRDefault="00521B5A" w:rsidP="00521B5A">
    <w:pPr>
      <w:pStyle w:val="Footer"/>
    </w:pPr>
    <w:r>
      <w:t>EESC-2023-05816-00-0</w:t>
    </w:r>
    <w:r w:rsidR="006316AD">
      <w:t>1</w:t>
    </w:r>
    <w:r>
      <w:t xml:space="preserve">-TCD-TRA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382"/>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32D7"/>
    <w:rsid w:val="00103454"/>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0B19"/>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239"/>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A5"/>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233F"/>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0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18AD"/>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30D1"/>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4F46"/>
    <w:rsid w:val="00625885"/>
    <w:rsid w:val="006262F2"/>
    <w:rsid w:val="006263FF"/>
    <w:rsid w:val="00626B92"/>
    <w:rsid w:val="006270FF"/>
    <w:rsid w:val="00627B8F"/>
    <w:rsid w:val="00627D71"/>
    <w:rsid w:val="00630047"/>
    <w:rsid w:val="0063079B"/>
    <w:rsid w:val="00630928"/>
    <w:rsid w:val="00631509"/>
    <w:rsid w:val="006316AD"/>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09B"/>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C6C"/>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6AB"/>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4B66"/>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C7B7C"/>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5A8C"/>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B63"/>
    <w:rsid w:val="00CB7CB5"/>
    <w:rsid w:val="00CB7F99"/>
    <w:rsid w:val="00CC1E5F"/>
    <w:rsid w:val="00CC25F9"/>
    <w:rsid w:val="00CC31B2"/>
    <w:rsid w:val="00CC38F0"/>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178"/>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1DD8"/>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557"/>
    <w:rsid w:val="00E90E50"/>
    <w:rsid w:val="00E90FBA"/>
    <w:rsid w:val="00E91000"/>
    <w:rsid w:val="00E91550"/>
    <w:rsid w:val="00E926A5"/>
    <w:rsid w:val="00E94AE8"/>
    <w:rsid w:val="00E94F65"/>
    <w:rsid w:val="00E96E30"/>
    <w:rsid w:val="00E97332"/>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26" Type="http://schemas.openxmlformats.org/officeDocument/2006/relationships/hyperlink" Target="https://www.eesc.europa.eu/fi/our-work/opinions-information-reports/opinions/european-cross-border-associations" TargetMode="External"/><Relationship Id="rId39" Type="http://schemas.openxmlformats.org/officeDocument/2006/relationships/header" Target="header1.xml"/><Relationship Id="rId21" Type="http://schemas.openxmlformats.org/officeDocument/2006/relationships/hyperlink" Target="mailto:Radoslava.Stefankova@eesc.europa.eu" TargetMode="External"/><Relationship Id="rId34" Type="http://schemas.openxmlformats.org/officeDocument/2006/relationships/hyperlink" Target="https://www.eesc.europa.eu/fi/our-work/opinions-information-reports/opinions/promoting-autonomous-and-sustainable-food-production-strategies-common-agricultural-policy-post-2027" TargetMode="External"/><Relationship Id="rId42" Type="http://schemas.openxmlformats.org/officeDocument/2006/relationships/footer" Target="footer3.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fi/our-work/opinions-information-reports/opinions/introducing-european-innovation-stress-test" TargetMode="External"/><Relationship Id="rId32" Type="http://schemas.openxmlformats.org/officeDocument/2006/relationships/hyperlink" Target="https://www.eesc.europa.eu/fi/our-work/opinions-information-reports/opinions/targets-fixing-fishing-opportunities" TargetMode="External"/><Relationship Id="rId37" Type="http://schemas.openxmlformats.org/officeDocument/2006/relationships/hyperlink" Target="https://www.eesc.europa.eu/fi/our-work/opinions-information-reports/opinions/cross-border-energy-infrastructure-plannin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fi/our-work/opinions-information-reports/opinions/establishing-head-office-tax-system-smes-hot" TargetMode="External"/><Relationship Id="rId23" Type="http://schemas.openxmlformats.org/officeDocument/2006/relationships/hyperlink" Target="mailto:Annalisa.Tessarolo@eesc.europa.eu" TargetMode="External"/><Relationship Id="rId28" Type="http://schemas.openxmlformats.org/officeDocument/2006/relationships/hyperlink" Target="https://www.eesc.europa.eu/fi/our-work/opinions-information-reports/opinions/developing-new-european-strategy-internal-market-helping-our-businesses-meet-technological-social-environmental-and" TargetMode="External"/><Relationship Id="rId36" Type="http://schemas.openxmlformats.org/officeDocument/2006/relationships/hyperlink" Target="mailto:Ana.Dujmovic@eesc.europa.eu" TargetMode="External"/><Relationship Id="rId49"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mailto:Alice.Tetu@eesc.europa.eu" TargetMode="External"/><Relationship Id="rId31" Type="http://schemas.openxmlformats.org/officeDocument/2006/relationships/hyperlink" Target="mailto:Dalila.Bernard@eesc.europa.eu" TargetMode="External"/><Relationship Id="rId44"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fi/our-work/opinions-information-reports/opinions/combatting-poverty-and-social-exclusion-harnessing-power-social-economy-and-socio-economic-innovations" TargetMode="External"/><Relationship Id="rId27" Type="http://schemas.openxmlformats.org/officeDocument/2006/relationships/hyperlink" Target="mailto:Annalisa.Tessarolo@eesc.europa.eu" TargetMode="External"/><Relationship Id="rId30" Type="http://schemas.openxmlformats.org/officeDocument/2006/relationships/hyperlink" Target="https://www.eesc.europa.eu/fi/our-work/opinions-information-reports/opinions/revision-late-payments-directive" TargetMode="External"/><Relationship Id="rId35" Type="http://schemas.openxmlformats.org/officeDocument/2006/relationships/hyperlink" Target="https://www.eesc.europa.eu/fi/our-work/opinions-information-reports/opinions/addressing-impact-climate-change-and-environmental-degradation-peace-security-and-defence"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webSettings" Target="webSettings.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https://www.eesc.europa.eu/fi/our-work/opinions-information-reports/opinions/euro-area-economic-policy-2024" TargetMode="External"/><Relationship Id="rId25" Type="http://schemas.openxmlformats.org/officeDocument/2006/relationships/hyperlink" Target="mailto:Marco.Manfron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GiorgiaAndrea.Bordignon@eesc.europa.eu" TargetMode="External"/><Relationship Id="rId46" Type="http://schemas.openxmlformats.org/officeDocument/2006/relationships/theme" Target="theme/theme1.xml"/><Relationship Id="rId20" Type="http://schemas.openxmlformats.org/officeDocument/2006/relationships/hyperlink" Target="https://www.eesc.europa.eu/fi/our-work/opinions-information-reports/opinions/corruption-public-procurement-and-its-impact-internal-market"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XMKEDVFMMJCW-1998863520-5413</_dlc_DocId>
    <_dlc_DocIdUrl xmlns="56a5413d-c261-4a00-870c-a20d3379ae6d">
      <Url>http://dm/eesc/2023/_layouts/15/DocIdRedir.aspx?ID=XMKEDVFMMJCW-1998863520-5413</Url>
      <Description>XMKEDVFMMJCW-1998863520-5413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Venalainen Eeva</DisplayName>
        <AccountId>1612</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266A8-CB61-4A97-8791-7C74FACF8643}"/>
</file>

<file path=customXml/itemProps2.xml><?xml version="1.0" encoding="utf-8"?>
<ds:datastoreItem xmlns:ds="http://schemas.openxmlformats.org/officeDocument/2006/customXml" ds:itemID="{254461FE-05DE-4DB8-B873-74C2B9065E92}"/>
</file>

<file path=customXml/itemProps3.xml><?xml version="1.0" encoding="utf-8"?>
<ds:datastoreItem xmlns:ds="http://schemas.openxmlformats.org/officeDocument/2006/customXml" ds:itemID="{D8913636-7940-4D09-A48B-DAAF997528C0}"/>
</file>

<file path=customXml/itemProps4.xml><?xml version="1.0" encoding="utf-8"?>
<ds:datastoreItem xmlns:ds="http://schemas.openxmlformats.org/officeDocument/2006/customXml" ds:itemID="{D00FC09C-530E-41AA-B7A3-2EE5FA71A0C0}"/>
</file>

<file path=docProps/app.xml><?xml version="1.0" encoding="utf-8"?>
<Properties xmlns="http://schemas.openxmlformats.org/officeDocument/2006/extended-properties" xmlns:vt="http://schemas.openxmlformats.org/officeDocument/2006/docPropsVTypes">
  <Template>Normal.dotm</Template>
  <TotalTime>0</TotalTime>
  <Pages>15</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Yhteenveto hyväksytyistä lausunnoista - 584.täysistunto - tammikuu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Venalainen Eeva</cp:lastModifiedBy>
  <cp:revision>14</cp:revision>
  <cp:lastPrinted>2023-06-15T08:00:00Z</cp:lastPrinted>
  <dcterms:created xsi:type="dcterms:W3CDTF">2024-02-02T10:59:00Z</dcterms:created>
  <dcterms:modified xsi:type="dcterms:W3CDTF">2024-02-02T11:05:00Z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fb2dddb9-d587-4354-b533-8e780892448a</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SL|98a412ae-eb01-49e9-ae3d-585a81724cfc;#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42;#FI|87606a43-d45f-42d6-b8c9-e1a3457db5b7</vt:lpwstr>
  </property>
  <property fmtid="{D5CDD505-2E9C-101B-9397-08002B2CF9AE}" pid="38" name="_docset_NoMedatataSyncRequired">
    <vt:lpwstr>False</vt:lpwstr>
  </property>
</Properties>
</file>