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400E95" w14:paraId="785AE44C" w14:textId="5EF3F043">
      <w:pPr>
        <w:jc w:val="center"/>
      </w:pPr>
      <w:bookmarkStart w:name="_Hlk141173132" w:id="0"/>
      <w:r>
        <w:rPr>
          <w:noProof/>
        </w:rPr>
        <w:drawing>
          <wp:inline distT="0" distB="0" distL="0" distR="0" wp14:anchorId="6A65C366" wp14:editId="73E2CD89">
            <wp:extent cx="1792605" cy="1239520"/>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Picture 2"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F551EF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Bruselas, 2 de febrero de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DBF2E36">
            <w:pPr>
              <w:snapToGrid w:val="0"/>
              <w:jc w:val="center"/>
              <w:rPr>
                <w:b/>
                <w:sz w:val="32"/>
              </w:rPr>
            </w:pPr>
            <w:r>
              <w:rPr>
                <w:b/>
                <w:sz w:val="32"/>
              </w:rPr>
              <w:t>58</w:t>
            </w:r>
            <w:r w:rsidR="00E63104">
              <w:rPr>
                <w:b/>
                <w:sz w:val="32"/>
              </w:rPr>
              <w:t>4</w:t>
            </w:r>
            <w:r>
              <w:rPr>
                <w:b/>
                <w:sz w:val="32"/>
              </w:rPr>
              <w:t>.º PLENO</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y 18 de enero de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SÍNTESIS DE LOS DICTÁMENES Y RESOLUCIONES APROBADOS Y DE LOS INFORMES DE EVALUACIÓN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Este documento puede consultarse en todas las lenguas oficiales en el sitio internet del CESE en la siguiente dirección:</w:t>
            </w:r>
          </w:p>
          <w:p w:rsidRPr="00094B6B" w:rsidR="00B16284" w:rsidP="00775FC4" w:rsidRDefault="00B16284" w14:paraId="4F26A4CE" w14:textId="77777777">
            <w:pPr>
              <w:snapToGrid w:val="0"/>
              <w:jc w:val="center"/>
            </w:pPr>
          </w:p>
          <w:p w:rsidRPr="00094B6B" w:rsidR="004D7AC0" w:rsidP="00775FC4" w:rsidRDefault="00EA0332" w14:paraId="2A9352A2" w14:textId="0680ADB6">
            <w:pPr>
              <w:snapToGrid w:val="0"/>
              <w:jc w:val="center"/>
            </w:pPr>
            <w:hyperlink w:history="1" r:id="rId12">
              <w:r w:rsidRPr="00E63104" w:rsidR="00400E95">
                <w:rPr>
                  <w:rStyle w:val="Hyperlink"/>
                </w:rPr>
                <w:t>https://www.eesc.europa.eu/es/our-work/opinions-information-reports/plenary-session-summaries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Los Dictámenes mencionados pueden consultarse en línea a partir del motor de búsqueda del CESE:</w:t>
            </w:r>
          </w:p>
          <w:p w:rsidRPr="00094B6B" w:rsidR="00B16284" w:rsidP="00775FC4" w:rsidRDefault="00B16284" w14:paraId="7A5411A5" w14:textId="77777777">
            <w:pPr>
              <w:snapToGrid w:val="0"/>
              <w:jc w:val="center"/>
            </w:pPr>
          </w:p>
          <w:p w:rsidRPr="00094B6B" w:rsidR="004D7AC0" w:rsidP="00775FC4" w:rsidRDefault="00EA0332" w14:paraId="441AC4DD" w14:textId="1194D751">
            <w:pPr>
              <w:snapToGrid w:val="0"/>
              <w:jc w:val="center"/>
            </w:pPr>
            <w:hyperlink w:history="1" r:id="rId13">
              <w:r w:rsidR="00400E95">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Índice:</w:t>
          </w:r>
        </w:p>
        <w:p w:rsidR="00493E7F" w:rsidP="00493E7F" w:rsidRDefault="00544D95" w14:paraId="23689813" w14:textId="466ED489">
          <w:pPr>
            <w:pStyle w:val="TOC1"/>
            <w:rPr>
              <w:rFonts w:asciiTheme="minorHAnsi" w:hAnsiTheme="minorHAnsi" w:eastAsiaTheme="minorEastAsia" w:cstheme="minorBidi"/>
              <w:sz w:val="22"/>
              <w:szCs w:val="22"/>
              <w:lang w:val="en-US"/>
            </w:rPr>
          </w:pPr>
          <w:r w:rsidRPr="00544D95">
            <w:fldChar w:fldCharType="begin"/>
          </w:r>
          <w:r w:rsidRPr="00544D95">
            <w:instrText xml:space="preserve"> TOC \o "1-3" \h \z \u </w:instrText>
          </w:r>
          <w:r w:rsidRPr="00544D95">
            <w:fldChar w:fldCharType="separate"/>
          </w:r>
          <w:hyperlink w:history="1" w:anchor="_Toc157503182">
            <w:r w:rsidRPr="006E04FC" w:rsidR="00493E7F">
              <w:rPr>
                <w:rStyle w:val="Hyperlink"/>
                <w14:scene3d>
                  <w14:camera w14:prst="orthographicFront"/>
                  <w14:lightRig w14:rig="threePt" w14:dir="t">
                    <w14:rot w14:lat="0" w14:lon="0" w14:rev="0"/>
                  </w14:lightRig>
                </w14:scene3d>
              </w:rPr>
              <w:t>1.</w:t>
            </w:r>
            <w:r w:rsidR="00493E7F">
              <w:rPr>
                <w:rFonts w:asciiTheme="minorHAnsi" w:hAnsiTheme="minorHAnsi" w:eastAsiaTheme="minorEastAsia" w:cstheme="minorBidi"/>
                <w:sz w:val="22"/>
                <w:szCs w:val="22"/>
                <w:lang w:val="en-US"/>
              </w:rPr>
              <w:tab/>
            </w:r>
            <w:r w:rsidRPr="006E04FC" w:rsidR="00493E7F">
              <w:rPr>
                <w:rStyle w:val="Hyperlink"/>
                <w:b/>
              </w:rPr>
              <w:t>UNIÓN ECONÓMICA Y MONETARIA Y COHESIÓN ECONÓMICA Y SOCIAL</w:t>
            </w:r>
            <w:r w:rsidR="00493E7F">
              <w:rPr>
                <w:webHidden/>
              </w:rPr>
              <w:tab/>
            </w:r>
            <w:r w:rsidR="00493E7F">
              <w:rPr>
                <w:webHidden/>
              </w:rPr>
              <w:fldChar w:fldCharType="begin"/>
            </w:r>
            <w:r w:rsidR="00493E7F">
              <w:rPr>
                <w:webHidden/>
              </w:rPr>
              <w:instrText xml:space="preserve"> PAGEREF _Toc157503182 \h </w:instrText>
            </w:r>
            <w:r w:rsidR="00493E7F">
              <w:rPr>
                <w:webHidden/>
              </w:rPr>
            </w:r>
            <w:r w:rsidR="00493E7F">
              <w:rPr>
                <w:webHidden/>
              </w:rPr>
              <w:fldChar w:fldCharType="separate"/>
            </w:r>
            <w:r w:rsidR="008E7F6E">
              <w:rPr>
                <w:webHidden/>
              </w:rPr>
              <w:t>3</w:t>
            </w:r>
            <w:r w:rsidR="00493E7F">
              <w:rPr>
                <w:webHidden/>
              </w:rPr>
              <w:fldChar w:fldCharType="end"/>
            </w:r>
          </w:hyperlink>
        </w:p>
        <w:p w:rsidR="00493E7F" w:rsidP="00493E7F" w:rsidRDefault="00EA0332" w14:paraId="14628E82" w14:textId="6ECFDE98">
          <w:pPr>
            <w:pStyle w:val="TOC1"/>
            <w:rPr>
              <w:rFonts w:asciiTheme="minorHAnsi" w:hAnsiTheme="minorHAnsi" w:eastAsiaTheme="minorEastAsia" w:cstheme="minorBidi"/>
              <w:sz w:val="22"/>
              <w:szCs w:val="22"/>
              <w:lang w:val="en-US"/>
            </w:rPr>
          </w:pPr>
          <w:hyperlink w:history="1" w:anchor="_Toc157503197">
            <w:r w:rsidRPr="006E04FC" w:rsidR="00493E7F">
              <w:rPr>
                <w:rStyle w:val="Hyperlink"/>
                <w14:scene3d>
                  <w14:camera w14:prst="orthographicFront"/>
                  <w14:lightRig w14:rig="threePt" w14:dir="t">
                    <w14:rot w14:lat="0" w14:lon="0" w14:rev="0"/>
                  </w14:lightRig>
                </w14:scene3d>
              </w:rPr>
              <w:t>2.</w:t>
            </w:r>
            <w:r w:rsidR="00493E7F">
              <w:rPr>
                <w:rFonts w:asciiTheme="minorHAnsi" w:hAnsiTheme="minorHAnsi" w:eastAsiaTheme="minorEastAsia" w:cstheme="minorBidi"/>
                <w:sz w:val="22"/>
                <w:szCs w:val="22"/>
                <w:lang w:val="en-US"/>
              </w:rPr>
              <w:tab/>
            </w:r>
            <w:r w:rsidRPr="006E04FC" w:rsidR="00493E7F">
              <w:rPr>
                <w:rStyle w:val="Hyperlink"/>
                <w:b/>
              </w:rPr>
              <w:t>MERCADO ÚNICO, PRODUCCIÓN Y CONSUMO</w:t>
            </w:r>
            <w:r w:rsidR="00493E7F">
              <w:rPr>
                <w:webHidden/>
              </w:rPr>
              <w:tab/>
            </w:r>
            <w:r w:rsidR="00493E7F">
              <w:rPr>
                <w:webHidden/>
              </w:rPr>
              <w:fldChar w:fldCharType="begin"/>
            </w:r>
            <w:r w:rsidR="00493E7F">
              <w:rPr>
                <w:webHidden/>
              </w:rPr>
              <w:instrText xml:space="preserve"> PAGEREF _Toc157503197 \h </w:instrText>
            </w:r>
            <w:r w:rsidR="00493E7F">
              <w:rPr>
                <w:webHidden/>
              </w:rPr>
            </w:r>
            <w:r w:rsidR="00493E7F">
              <w:rPr>
                <w:webHidden/>
              </w:rPr>
              <w:fldChar w:fldCharType="separate"/>
            </w:r>
            <w:r w:rsidR="008E7F6E">
              <w:rPr>
                <w:webHidden/>
              </w:rPr>
              <w:t>5</w:t>
            </w:r>
            <w:r w:rsidR="00493E7F">
              <w:rPr>
                <w:webHidden/>
              </w:rPr>
              <w:fldChar w:fldCharType="end"/>
            </w:r>
          </w:hyperlink>
        </w:p>
        <w:p w:rsidR="00493E7F" w:rsidP="00493E7F" w:rsidRDefault="00EA0332" w14:paraId="2401C41B" w14:textId="186C04A8">
          <w:pPr>
            <w:pStyle w:val="TOC1"/>
            <w:rPr>
              <w:rFonts w:asciiTheme="minorHAnsi" w:hAnsiTheme="minorHAnsi" w:eastAsiaTheme="minorEastAsia" w:cstheme="minorBidi"/>
              <w:sz w:val="22"/>
              <w:szCs w:val="22"/>
              <w:lang w:val="en-US"/>
            </w:rPr>
          </w:pPr>
          <w:hyperlink w:history="1" w:anchor="_Toc157503198">
            <w:r w:rsidRPr="006E04FC" w:rsidR="00493E7F">
              <w:rPr>
                <w:rStyle w:val="Hyperlink"/>
                <w14:scene3d>
                  <w14:camera w14:prst="orthographicFront"/>
                  <w14:lightRig w14:rig="threePt" w14:dir="t">
                    <w14:rot w14:lat="0" w14:lon="0" w14:rev="0"/>
                  </w14:lightRig>
                </w14:scene3d>
              </w:rPr>
              <w:t>3.</w:t>
            </w:r>
            <w:r w:rsidR="00493E7F">
              <w:rPr>
                <w:rFonts w:asciiTheme="minorHAnsi" w:hAnsiTheme="minorHAnsi" w:eastAsiaTheme="minorEastAsia" w:cstheme="minorBidi"/>
                <w:sz w:val="22"/>
                <w:szCs w:val="22"/>
                <w:lang w:val="en-US"/>
              </w:rPr>
              <w:tab/>
            </w:r>
            <w:r w:rsidRPr="006E04FC" w:rsidR="00493E7F">
              <w:rPr>
                <w:rStyle w:val="Hyperlink"/>
                <w:b/>
              </w:rPr>
              <w:t>AGRICULTURA, DESARROLLO RURAL Y MEDIO AMBIENTE</w:t>
            </w:r>
            <w:r w:rsidR="00493E7F">
              <w:rPr>
                <w:webHidden/>
              </w:rPr>
              <w:tab/>
            </w:r>
            <w:r w:rsidR="00493E7F">
              <w:rPr>
                <w:webHidden/>
              </w:rPr>
              <w:fldChar w:fldCharType="begin"/>
            </w:r>
            <w:r w:rsidR="00493E7F">
              <w:rPr>
                <w:webHidden/>
              </w:rPr>
              <w:instrText xml:space="preserve"> PAGEREF _Toc157503198 \h </w:instrText>
            </w:r>
            <w:r w:rsidR="00493E7F">
              <w:rPr>
                <w:webHidden/>
              </w:rPr>
            </w:r>
            <w:r w:rsidR="00493E7F">
              <w:rPr>
                <w:webHidden/>
              </w:rPr>
              <w:fldChar w:fldCharType="separate"/>
            </w:r>
            <w:r w:rsidR="008E7F6E">
              <w:rPr>
                <w:webHidden/>
              </w:rPr>
              <w:t>12</w:t>
            </w:r>
            <w:r w:rsidR="00493E7F">
              <w:rPr>
                <w:webHidden/>
              </w:rPr>
              <w:fldChar w:fldCharType="end"/>
            </w:r>
          </w:hyperlink>
        </w:p>
        <w:p w:rsidR="00493E7F" w:rsidP="00493E7F" w:rsidRDefault="00EA0332" w14:paraId="45AF236E" w14:textId="1202DE8E">
          <w:pPr>
            <w:pStyle w:val="TOC1"/>
            <w:rPr>
              <w:rFonts w:asciiTheme="minorHAnsi" w:hAnsiTheme="minorHAnsi" w:eastAsiaTheme="minorEastAsia" w:cstheme="minorBidi"/>
              <w:sz w:val="22"/>
              <w:szCs w:val="22"/>
              <w:lang w:val="en-US"/>
            </w:rPr>
          </w:pPr>
          <w:hyperlink w:history="1" w:anchor="_Toc157503208">
            <w:r w:rsidRPr="006E04FC" w:rsidR="00493E7F">
              <w:rPr>
                <w:rStyle w:val="Hyperlink"/>
                <w14:scene3d>
                  <w14:camera w14:prst="orthographicFront"/>
                  <w14:lightRig w14:rig="threePt" w14:dir="t">
                    <w14:rot w14:lat="0" w14:lon="0" w14:rev="0"/>
                  </w14:lightRig>
                </w14:scene3d>
              </w:rPr>
              <w:t>4.</w:t>
            </w:r>
            <w:r w:rsidR="00493E7F">
              <w:rPr>
                <w:rFonts w:asciiTheme="minorHAnsi" w:hAnsiTheme="minorHAnsi" w:eastAsiaTheme="minorEastAsia" w:cstheme="minorBidi"/>
                <w:sz w:val="22"/>
                <w:szCs w:val="22"/>
                <w:lang w:val="en-US"/>
              </w:rPr>
              <w:tab/>
            </w:r>
            <w:r w:rsidRPr="006E04FC" w:rsidR="00493E7F">
              <w:rPr>
                <w:rStyle w:val="Hyperlink"/>
                <w:b/>
              </w:rPr>
              <w:t>RELACIONES EXTERIORES</w:t>
            </w:r>
            <w:r w:rsidR="00493E7F">
              <w:rPr>
                <w:webHidden/>
              </w:rPr>
              <w:tab/>
            </w:r>
            <w:r w:rsidR="00493E7F">
              <w:rPr>
                <w:webHidden/>
              </w:rPr>
              <w:fldChar w:fldCharType="begin"/>
            </w:r>
            <w:r w:rsidR="00493E7F">
              <w:rPr>
                <w:webHidden/>
              </w:rPr>
              <w:instrText xml:space="preserve"> PAGEREF _Toc157503208 \h </w:instrText>
            </w:r>
            <w:r w:rsidR="00493E7F">
              <w:rPr>
                <w:webHidden/>
              </w:rPr>
            </w:r>
            <w:r w:rsidR="00493E7F">
              <w:rPr>
                <w:webHidden/>
              </w:rPr>
              <w:fldChar w:fldCharType="separate"/>
            </w:r>
            <w:r w:rsidR="008E7F6E">
              <w:rPr>
                <w:webHidden/>
              </w:rPr>
              <w:t>14</w:t>
            </w:r>
            <w:r w:rsidR="00493E7F">
              <w:rPr>
                <w:webHidden/>
              </w:rPr>
              <w:fldChar w:fldCharType="end"/>
            </w:r>
          </w:hyperlink>
        </w:p>
        <w:p w:rsidR="00493E7F" w:rsidP="00493E7F" w:rsidRDefault="00EA0332" w14:paraId="6AEF08D4" w14:textId="7B0E1527">
          <w:pPr>
            <w:pStyle w:val="TOC1"/>
            <w:rPr>
              <w:rFonts w:asciiTheme="minorHAnsi" w:hAnsiTheme="minorHAnsi" w:eastAsiaTheme="minorEastAsia" w:cstheme="minorBidi"/>
              <w:sz w:val="22"/>
              <w:szCs w:val="22"/>
              <w:lang w:val="en-US"/>
            </w:rPr>
          </w:pPr>
          <w:hyperlink w:history="1" w:anchor="_Toc157503209">
            <w:r w:rsidRPr="006E04FC" w:rsidR="00493E7F">
              <w:rPr>
                <w:rStyle w:val="Hyperlink"/>
                <w14:scene3d>
                  <w14:camera w14:prst="orthographicFront"/>
                  <w14:lightRig w14:rig="threePt" w14:dir="t">
                    <w14:rot w14:lat="0" w14:lon="0" w14:rev="0"/>
                  </w14:lightRig>
                </w14:scene3d>
              </w:rPr>
              <w:t>5.</w:t>
            </w:r>
            <w:r w:rsidR="00493E7F">
              <w:rPr>
                <w:rFonts w:asciiTheme="minorHAnsi" w:hAnsiTheme="minorHAnsi" w:eastAsiaTheme="minorEastAsia" w:cstheme="minorBidi"/>
                <w:sz w:val="22"/>
                <w:szCs w:val="22"/>
                <w:lang w:val="en-US"/>
              </w:rPr>
              <w:tab/>
            </w:r>
            <w:r w:rsidRPr="006E04FC" w:rsidR="00493E7F">
              <w:rPr>
                <w:rStyle w:val="Hyperlink"/>
                <w:b/>
              </w:rPr>
              <w:t>SECCIÓN DE TRANSPORTES, ENERGÍA, INFRAESTRUCTURAS Y SOCIEDAD DE LA INFORMACIÓN</w:t>
            </w:r>
            <w:r w:rsidR="00493E7F">
              <w:rPr>
                <w:webHidden/>
              </w:rPr>
              <w:tab/>
            </w:r>
            <w:r w:rsidR="00493E7F">
              <w:rPr>
                <w:webHidden/>
              </w:rPr>
              <w:fldChar w:fldCharType="begin"/>
            </w:r>
            <w:r w:rsidR="00493E7F">
              <w:rPr>
                <w:webHidden/>
              </w:rPr>
              <w:instrText xml:space="preserve"> PAGEREF _Toc157503209 \h </w:instrText>
            </w:r>
            <w:r w:rsidR="00493E7F">
              <w:rPr>
                <w:webHidden/>
              </w:rPr>
            </w:r>
            <w:r w:rsidR="00493E7F">
              <w:rPr>
                <w:webHidden/>
              </w:rPr>
              <w:fldChar w:fldCharType="separate"/>
            </w:r>
            <w:r w:rsidR="008E7F6E">
              <w:rPr>
                <w:webHidden/>
              </w:rPr>
              <w:t>15</w:t>
            </w:r>
            <w:r w:rsidR="00493E7F">
              <w:rPr>
                <w:webHidden/>
              </w:rPr>
              <w:fldChar w:fldCharType="end"/>
            </w:r>
          </w:hyperlink>
        </w:p>
        <w:p w:rsidRPr="00544D95" w:rsidR="00544D95" w:rsidP="00544D95" w:rsidRDefault="00544D95" w14:paraId="589C47D7" w14:textId="0ADCAB1B">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503182" w:id="1"/>
      <w:r>
        <w:rPr>
          <w:b/>
        </w:rPr>
        <w:lastRenderedPageBreak/>
        <w:t>UNIÓN ECONÓMICA Y MONETARIA Y COHESIÓN ECONÓMICA Y SOCIAL</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2048E0" w:rsidRDefault="00EA0332" w14:paraId="232120CA" w14:textId="2C19EBED">
      <w:pPr>
        <w:widowControl w:val="0"/>
        <w:numPr>
          <w:ilvl w:val="0"/>
          <w:numId w:val="2"/>
        </w:numPr>
        <w:overflowPunct w:val="0"/>
        <w:autoSpaceDE w:val="0"/>
        <w:autoSpaceDN w:val="0"/>
        <w:adjustRightInd w:val="0"/>
        <w:ind w:hanging="425"/>
        <w:textAlignment w:val="baseline"/>
        <w:rPr>
          <w:sz w:val="20"/>
          <w:szCs w:val="20"/>
        </w:rPr>
      </w:pPr>
      <w:hyperlink w:history="1" r:id="rId15">
        <w:r w:rsidR="00126CEB">
          <w:rPr>
            <w:b/>
            <w:i/>
            <w:color w:val="0000FF"/>
            <w:sz w:val="28"/>
            <w:u w:val="single"/>
          </w:rPr>
          <w:t>Fiscalidad basada en el Estado de la sede principal de las pymes</w:t>
        </w:r>
      </w:hyperlink>
      <w:r w:rsidR="00126CEB">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bCs/>
              </w:rPr>
              <w:t>Ponente</w:t>
            </w:r>
          </w:p>
        </w:tc>
        <w:tc>
          <w:tcPr>
            <w:tcW w:w="7479" w:type="dxa"/>
          </w:tcPr>
          <w:p w:rsidRPr="00126CEB" w:rsidR="00126CEB" w:rsidP="00126CEB" w:rsidRDefault="00126CEB" w14:paraId="54D0AAF8" w14:textId="797CAA0D">
            <w:pPr>
              <w:tabs>
                <w:tab w:val="center" w:pos="284"/>
              </w:tabs>
              <w:overflowPunct w:val="0"/>
              <w:autoSpaceDE w:val="0"/>
              <w:autoSpaceDN w:val="0"/>
              <w:adjustRightInd w:val="0"/>
              <w:ind w:left="266" w:hanging="266"/>
              <w:textAlignment w:val="baseline"/>
            </w:pPr>
            <w:r>
              <w:t>Katrīna ZARIŅA (Grupo de Empresarios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Referencias</w:t>
            </w:r>
          </w:p>
        </w:tc>
        <w:tc>
          <w:tcPr>
            <w:tcW w:w="7479" w:type="dxa"/>
          </w:tcPr>
          <w:p w:rsidRPr="00126CEB" w:rsidR="00126CEB" w:rsidP="00126CEB" w:rsidRDefault="00126CEB" w14:paraId="55EDF860" w14:textId="6A01D903">
            <w:pPr>
              <w:tabs>
                <w:tab w:val="center" w:pos="284"/>
              </w:tabs>
              <w:overflowPunct w:val="0"/>
              <w:autoSpaceDE w:val="0"/>
              <w:autoSpaceDN w:val="0"/>
              <w:adjustRightInd w:val="0"/>
              <w:ind w:left="266" w:hanging="266"/>
              <w:textAlignment w:val="baseline"/>
            </w:pPr>
            <w:r>
              <w:t>COM(2023) 528 final</w:t>
            </w:r>
          </w:p>
          <w:p w:rsidRPr="00126CEB" w:rsidR="00126CEB" w:rsidP="00126CEB" w:rsidRDefault="00126CEB" w14:paraId="255E70E4" w14:textId="63EF38EE">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El CESE:</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2048E0"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2"/>
      <w:bookmarkStart w:name="_Toc157503183" w:id="3"/>
      <w:r>
        <w:t>apoya la propuesta de la Comisión Europea de establecer un sistema de imposición en la sede destinado a las microempresas y a las pequeñas y medianas empresas (pymes), así como sus objetivos, puesto que están en consonancia con el refuerzo de las microempresas y las pymes, la simplificación de sus actividades transfronterizas y la reducción de los obstáculos administrativos y financieros, lo que aumentará la competitividad global de las microempresas y las pymes;</w:t>
      </w:r>
      <w:bookmarkEnd w:id="2"/>
      <w:bookmarkEnd w:id="3"/>
    </w:p>
    <w:p w:rsidRPr="00126CEB"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rPr>
          <w:szCs w:val="20"/>
        </w:rPr>
      </w:pPr>
      <w:bookmarkStart w:name="_Toc157076137" w:id="4"/>
      <w:bookmarkStart w:name="_Toc157503184" w:id="5"/>
      <w:r>
        <w:t>señala que la adopción de la propuesta del sistema de imposición en la sede aportará un alto valor añadido a las empresas, los trabajadores y los Estados miembros. La reducción de la carga administrativa para las microempresas y las pymes redundará en el incremento de las ventajas competitivas de sus operaciones cotidianas;</w:t>
      </w:r>
      <w:bookmarkEnd w:id="4"/>
      <w:bookmarkEnd w:id="5"/>
    </w:p>
    <w:p w:rsidRPr="00126CEB"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rPr>
          <w:szCs w:val="20"/>
        </w:rPr>
      </w:pPr>
      <w:bookmarkStart w:name="_Toc157076138" w:id="6"/>
      <w:bookmarkStart w:name="_Toc157503185" w:id="7"/>
      <w:r>
        <w:t>insta a evitar retrasos en la adopción de la propuesta de la Comisión relativa al sistema de imposición en la sede a fin de mejorar el crecimiento de las microempresas y las pymes y fomentar unas condiciones de competencia equitativas para la participación de este tipo de empresas con actividades transfronterizas en el mercado interior, contribuyendo de este modo al crecimiento del empleo y del PIB a largo plazo;</w:t>
      </w:r>
      <w:bookmarkEnd w:id="6"/>
      <w:bookmarkEnd w:id="7"/>
    </w:p>
    <w:p w:rsidRPr="00126CEB"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rPr>
          <w:szCs w:val="20"/>
        </w:rPr>
      </w:pPr>
      <w:bookmarkStart w:name="_Toc157076139" w:id="8"/>
      <w:bookmarkStart w:name="_Toc157503186" w:id="9"/>
      <w:r>
        <w:t>considera que el sistema de imposición en la sede aumentará y mejorará la cooperación entre las autoridades tributarias de los Estados miembros, un aspecto esencial para que se aplique de manera satisfactoria y significativa el sistema propuesto de imposición en la sede, así como para que se cumplan los objetivos fijados;</w:t>
      </w:r>
      <w:bookmarkEnd w:id="8"/>
      <w:bookmarkEnd w:id="9"/>
    </w:p>
    <w:p w:rsidRPr="00126CEB"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rPr>
          <w:szCs w:val="20"/>
        </w:rPr>
      </w:pPr>
      <w:bookmarkStart w:name="_Toc157076140" w:id="10"/>
      <w:bookmarkStart w:name="_Toc157503187" w:id="11"/>
      <w:r>
        <w:t>insta a la Comisión a que colabore estrechamente con los Estados miembros y las organizaciones que representan a las microempresas y las pymes una vez adoptada la propuesta, a fin de concienciarlas sobre el mecanismo disponible de imposición en la sede, con el que se persigue cumplir mejor los objetivos de reducir las cargas normativas, aumentar la actividad transfronteriza y aprovechar plenamente las ventajas del mercado único.</w:t>
      </w:r>
      <w:bookmarkEnd w:id="10"/>
      <w:bookmarkEnd w:id="11"/>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126CEB" w:rsidR="00126CEB" w:rsidTr="000A6913" w14:paraId="6F0A6D34" w14:textId="77777777">
        <w:tc>
          <w:tcPr>
            <w:tcW w:w="2235"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Contacto:</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r>
              <w:rPr>
                <w:i/>
              </w:rPr>
              <w:t xml:space="preserve">Jüri Soosaar </w:t>
            </w:r>
          </w:p>
        </w:tc>
      </w:tr>
      <w:tr w:rsidRPr="00126CEB" w:rsidR="00126CEB" w:rsidTr="000A6913" w14:paraId="701BA604" w14:textId="77777777">
        <w:tc>
          <w:tcPr>
            <w:tcW w:w="2235"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Teléfono:</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0A6913" w14:paraId="6A7E9917" w14:textId="77777777">
        <w:tc>
          <w:tcPr>
            <w:tcW w:w="2235" w:type="dxa"/>
          </w:tcPr>
          <w:p w:rsidRPr="00126CEB" w:rsidR="00126CEB" w:rsidP="00126CEB" w:rsidRDefault="001F11A4" w14:paraId="6FBCCB68" w14:textId="6DF0C0C9">
            <w:pPr>
              <w:overflowPunct w:val="0"/>
              <w:autoSpaceDE w:val="0"/>
              <w:autoSpaceDN w:val="0"/>
              <w:adjustRightInd w:val="0"/>
              <w:spacing w:line="240" w:lineRule="auto"/>
              <w:textAlignment w:val="baseline"/>
              <w:rPr>
                <w:i/>
              </w:rPr>
            </w:pPr>
            <w:r>
              <w:rPr>
                <w:i/>
              </w:rPr>
              <w:t>Correo electrónico:</w:t>
            </w:r>
          </w:p>
        </w:tc>
        <w:tc>
          <w:tcPr>
            <w:tcW w:w="5670" w:type="dxa"/>
          </w:tcPr>
          <w:p w:rsidRPr="00C83487" w:rsidR="00126CEB" w:rsidP="00126CEB" w:rsidRDefault="00EA0332" w14:paraId="40D946D1" w14:textId="201B9EAD">
            <w:pPr>
              <w:overflowPunct w:val="0"/>
              <w:autoSpaceDE w:val="0"/>
              <w:autoSpaceDN w:val="0"/>
              <w:adjustRightInd w:val="0"/>
              <w:spacing w:line="240" w:lineRule="auto"/>
              <w:textAlignment w:val="baseline"/>
              <w:rPr>
                <w:i/>
                <w:iCs/>
              </w:rPr>
            </w:pPr>
            <w:hyperlink w:history="1" r:id="rId16">
              <w:r w:rsidR="00400E95">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EA0332"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17">
        <w:r w:rsidR="002435FB">
          <w:rPr>
            <w:b/>
            <w:i/>
            <w:color w:val="0000FF"/>
            <w:sz w:val="28"/>
            <w:u w:val="single"/>
          </w:rPr>
          <w:t>Política económica de la zona del euro en 2024</w:t>
        </w:r>
      </w:hyperlink>
    </w:p>
    <w:p w:rsidRPr="002435FB" w:rsidR="002435FB" w:rsidP="00B118E1" w:rsidRDefault="002435FB" w14:paraId="2BB1B4C7" w14:textId="77777777">
      <w:pPr>
        <w:widowControl w:val="0"/>
        <w:overflowPunct w:val="0"/>
        <w:autoSpaceDE w:val="0"/>
        <w:autoSpaceDN w:val="0"/>
        <w:adjustRightInd w:val="0"/>
        <w:spacing w:line="276" w:lineRule="auto"/>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2435FB" w:rsidR="002435FB" w:rsidTr="00C83487" w14:paraId="05716C64" w14:textId="77777777">
        <w:tc>
          <w:tcPr>
            <w:tcW w:w="1701" w:type="dxa"/>
          </w:tcPr>
          <w:p w:rsidRPr="002435FB" w:rsidR="002435FB" w:rsidP="00B118E1" w:rsidRDefault="002435FB" w14:paraId="5B70FF1F" w14:textId="77777777">
            <w:pPr>
              <w:tabs>
                <w:tab w:val="center" w:pos="284"/>
              </w:tabs>
              <w:overflowPunct w:val="0"/>
              <w:autoSpaceDE w:val="0"/>
              <w:autoSpaceDN w:val="0"/>
              <w:adjustRightInd w:val="0"/>
              <w:spacing w:line="276" w:lineRule="auto"/>
              <w:ind w:left="266" w:hanging="266"/>
              <w:textAlignment w:val="baseline"/>
              <w:rPr>
                <w:b/>
              </w:rPr>
            </w:pPr>
            <w:r>
              <w:rPr>
                <w:b/>
                <w:bCs/>
              </w:rPr>
              <w:t>Ponente</w:t>
            </w:r>
          </w:p>
        </w:tc>
        <w:tc>
          <w:tcPr>
            <w:tcW w:w="7479" w:type="dxa"/>
          </w:tcPr>
          <w:p w:rsidRPr="002435FB" w:rsidR="002435FB" w:rsidP="00B118E1" w:rsidRDefault="002435FB" w14:paraId="18F83762" w14:textId="77777777">
            <w:pPr>
              <w:tabs>
                <w:tab w:val="center" w:pos="284"/>
              </w:tabs>
              <w:overflowPunct w:val="0"/>
              <w:autoSpaceDE w:val="0"/>
              <w:autoSpaceDN w:val="0"/>
              <w:adjustRightInd w:val="0"/>
              <w:spacing w:line="276" w:lineRule="auto"/>
              <w:ind w:left="266" w:hanging="266"/>
              <w:textAlignment w:val="baseline"/>
            </w:pPr>
            <w:r>
              <w:t>Konstantinos DIAMANTOUROS (Grupo de Empresarios – EL)</w:t>
            </w:r>
          </w:p>
        </w:tc>
      </w:tr>
      <w:tr w:rsidRPr="002435FB" w:rsidR="002435FB" w:rsidTr="00C83487" w14:paraId="29C12FB2" w14:textId="77777777">
        <w:tc>
          <w:tcPr>
            <w:tcW w:w="9180" w:type="dxa"/>
            <w:gridSpan w:val="2"/>
          </w:tcPr>
          <w:p w:rsidRPr="002435FB" w:rsidR="002435FB" w:rsidP="00B118E1" w:rsidRDefault="002435FB" w14:paraId="6B57FE3C" w14:textId="77777777">
            <w:pPr>
              <w:tabs>
                <w:tab w:val="center" w:pos="284"/>
              </w:tabs>
              <w:overflowPunct w:val="0"/>
              <w:autoSpaceDE w:val="0"/>
              <w:autoSpaceDN w:val="0"/>
              <w:adjustRightInd w:val="0"/>
              <w:spacing w:line="276" w:lineRule="auto"/>
              <w:ind w:left="266" w:hanging="266"/>
              <w:textAlignment w:val="baseline"/>
            </w:pPr>
          </w:p>
        </w:tc>
      </w:tr>
      <w:tr w:rsidRPr="002435FB" w:rsidR="002435FB" w:rsidTr="00C83487" w14:paraId="324AA8CD" w14:textId="77777777">
        <w:tc>
          <w:tcPr>
            <w:tcW w:w="1701" w:type="dxa"/>
          </w:tcPr>
          <w:p w:rsidRPr="002435FB" w:rsidR="002435FB" w:rsidP="00B118E1" w:rsidRDefault="002435FB" w14:paraId="734F88B7" w14:textId="5A6F762A">
            <w:pPr>
              <w:tabs>
                <w:tab w:val="center" w:pos="284"/>
              </w:tabs>
              <w:overflowPunct w:val="0"/>
              <w:autoSpaceDE w:val="0"/>
              <w:autoSpaceDN w:val="0"/>
              <w:adjustRightInd w:val="0"/>
              <w:spacing w:line="276" w:lineRule="auto"/>
              <w:ind w:left="266" w:hanging="266"/>
              <w:textAlignment w:val="baseline"/>
              <w:rPr>
                <w:b/>
              </w:rPr>
            </w:pPr>
            <w:r>
              <w:rPr>
                <w:b/>
              </w:rPr>
              <w:t>Referencias</w:t>
            </w:r>
          </w:p>
        </w:tc>
        <w:tc>
          <w:tcPr>
            <w:tcW w:w="7479" w:type="dxa"/>
          </w:tcPr>
          <w:p w:rsidR="000B3917" w:rsidP="00B118E1" w:rsidRDefault="002435FB" w14:paraId="222638D0" w14:textId="77777777">
            <w:pPr>
              <w:tabs>
                <w:tab w:val="center" w:pos="284"/>
              </w:tabs>
              <w:overflowPunct w:val="0"/>
              <w:autoSpaceDE w:val="0"/>
              <w:autoSpaceDN w:val="0"/>
              <w:adjustRightInd w:val="0"/>
              <w:spacing w:line="276" w:lineRule="auto"/>
              <w:textAlignment w:val="baseline"/>
            </w:pPr>
            <w:r>
              <w:t>COM(2023) 903 final</w:t>
            </w:r>
          </w:p>
          <w:p w:rsidRPr="002435FB" w:rsidR="002435FB" w:rsidP="00B118E1" w:rsidRDefault="002435FB" w14:paraId="4D3CD881" w14:textId="0EDD4C8E">
            <w:pPr>
              <w:tabs>
                <w:tab w:val="center" w:pos="284"/>
              </w:tabs>
              <w:overflowPunct w:val="0"/>
              <w:autoSpaceDE w:val="0"/>
              <w:autoSpaceDN w:val="0"/>
              <w:adjustRightInd w:val="0"/>
              <w:spacing w:line="276" w:lineRule="auto"/>
              <w:textAlignment w:val="baseline"/>
            </w:pPr>
            <w:r>
              <w:t>EESC-2023-04821-00-00-AC</w:t>
            </w:r>
          </w:p>
        </w:tc>
      </w:tr>
    </w:tbl>
    <w:p w:rsidR="006221F1" w:rsidP="00B118E1" w:rsidRDefault="006221F1" w14:paraId="53931BB8"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2435FB" w:rsidR="002435FB" w:rsidP="00B118E1" w:rsidRDefault="002435FB" w14:paraId="027341DC" w14:textId="24AE7389">
      <w:pPr>
        <w:keepNext/>
        <w:keepLines/>
        <w:tabs>
          <w:tab w:val="center" w:pos="284"/>
        </w:tabs>
        <w:overflowPunct w:val="0"/>
        <w:autoSpaceDE w:val="0"/>
        <w:autoSpaceDN w:val="0"/>
        <w:adjustRightInd w:val="0"/>
        <w:spacing w:line="276" w:lineRule="auto"/>
        <w:ind w:left="266" w:hanging="124"/>
        <w:textAlignment w:val="baseline"/>
        <w:rPr>
          <w:b/>
        </w:rPr>
      </w:pPr>
      <w:r>
        <w:rPr>
          <w:b/>
        </w:rPr>
        <w:t>Puntos clave</w:t>
      </w:r>
    </w:p>
    <w:p w:rsidRPr="002435FB" w:rsidR="002435FB" w:rsidP="00B118E1" w:rsidRDefault="002435FB" w14:paraId="1AB234EB"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2435FB" w:rsidR="002435FB" w:rsidP="00B118E1" w:rsidRDefault="002435FB" w14:paraId="41A4E45B" w14:textId="77777777">
      <w:pPr>
        <w:overflowPunct w:val="0"/>
        <w:autoSpaceDE w:val="0"/>
        <w:autoSpaceDN w:val="0"/>
        <w:adjustRightInd w:val="0"/>
        <w:spacing w:line="276" w:lineRule="auto"/>
        <w:ind w:left="425" w:hanging="283"/>
        <w:textAlignment w:val="baseline"/>
        <w:rPr>
          <w:bCs/>
          <w:iCs/>
          <w:highlight w:val="yellow"/>
        </w:rPr>
      </w:pPr>
      <w:r>
        <w:t>El CESE:</w:t>
      </w:r>
    </w:p>
    <w:p w:rsidRPr="002435FB" w:rsidR="002435FB" w:rsidP="00B118E1" w:rsidRDefault="002435FB" w14:paraId="6DD93E63" w14:textId="77777777">
      <w:pPr>
        <w:overflowPunct w:val="0"/>
        <w:autoSpaceDE w:val="0"/>
        <w:autoSpaceDN w:val="0"/>
        <w:adjustRightInd w:val="0"/>
        <w:spacing w:line="276" w:lineRule="auto"/>
        <w:ind w:left="709" w:hanging="425"/>
        <w:textAlignment w:val="baseline"/>
        <w:outlineLvl w:val="1"/>
        <w:rPr>
          <w:szCs w:val="20"/>
          <w:highlight w:val="yellow"/>
        </w:rPr>
      </w:pPr>
    </w:p>
    <w:p w:rsidRPr="002435FB" w:rsidR="002435FB" w:rsidP="00B118E1" w:rsidRDefault="002435FB" w14:paraId="423B592C"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1" w:id="12"/>
      <w:bookmarkStart w:name="_Toc157503188" w:id="13"/>
      <w:r>
        <w:t>valora positivamente las recomendaciones de la Comisión Europea para la zona del euro y las comparte en líneas generales, así como su evaluación de la situación económica actual;</w:t>
      </w:r>
      <w:bookmarkEnd w:id="12"/>
      <w:bookmarkEnd w:id="13"/>
      <w:r>
        <w:t xml:space="preserve"> </w:t>
      </w:r>
    </w:p>
    <w:p w:rsidRPr="002435FB" w:rsidR="002435FB" w:rsidP="00B118E1" w:rsidRDefault="002435FB" w14:paraId="79D8B48A"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2" w:id="14"/>
      <w:bookmarkStart w:name="_Toc157503189" w:id="15"/>
      <w:r>
        <w:t>insta al Banco Central Europeo (BCE) a que adopte un enfoque prudencial centrado en una política monetaria dinámica y basada en los datos para seguir reduciendo la inflación hasta el objetivo fijado, y expresa su apoyo a la coordinación permanente de la política presupuestaria de los Estados miembros con la política monetaria del BCE;</w:t>
      </w:r>
      <w:bookmarkEnd w:id="14"/>
      <w:bookmarkEnd w:id="15"/>
    </w:p>
    <w:p w:rsidRPr="002435FB" w:rsidR="002435FB" w:rsidP="00B118E1" w:rsidRDefault="002435FB" w14:paraId="0992FDE2"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3" w:id="16"/>
      <w:bookmarkStart w:name="_Toc157503190" w:id="17"/>
      <w:r>
        <w:t>apoya el llamamiento de la Comisión en favor del saneamiento presupuestario e insta a los Estados miembros a que alcancen un acuerdo sobre la reforma del Pacto de Estabilidad y Crecimiento antes de que finalice el año;</w:t>
      </w:r>
      <w:bookmarkEnd w:id="16"/>
      <w:bookmarkEnd w:id="17"/>
    </w:p>
    <w:p w:rsidRPr="002435FB" w:rsidR="002435FB" w:rsidP="00B118E1" w:rsidRDefault="002435FB" w14:paraId="6722825E"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4" w:id="18"/>
      <w:bookmarkStart w:name="_Toc157503191" w:id="19"/>
      <w:r>
        <w:t>se congratula de que la Comisión Europea recomiende a los Estados miembros que, de conformidad con las prácticas nacionales y dentro del respeto del papel de los interlocutores sociales, presten apoyo a una evolución salarial que mitigue las pérdidas de poder adquisitivo, en particular el de los trabajadores con bajos ingresos, tengan debidamente en cuenta la dinámica de la competitividad y eviten que las divergencias persistan dentro de la zona del euro;</w:t>
      </w:r>
      <w:bookmarkEnd w:id="18"/>
      <w:bookmarkEnd w:id="19"/>
    </w:p>
    <w:p w:rsidRPr="002435FB" w:rsidR="002435FB" w:rsidP="00B118E1" w:rsidRDefault="002435FB" w14:paraId="31F043FD" w14:textId="77777777">
      <w:pPr>
        <w:numPr>
          <w:ilvl w:val="0"/>
          <w:numId w:val="34"/>
        </w:numPr>
        <w:overflowPunct w:val="0"/>
        <w:autoSpaceDE w:val="0"/>
        <w:autoSpaceDN w:val="0"/>
        <w:adjustRightInd w:val="0"/>
        <w:spacing w:line="276" w:lineRule="auto"/>
        <w:ind w:left="567" w:hanging="567"/>
        <w:textAlignment w:val="baseline"/>
        <w:outlineLvl w:val="1"/>
        <w:rPr>
          <w:i/>
          <w:iCs/>
          <w:szCs w:val="20"/>
        </w:rPr>
      </w:pPr>
      <w:bookmarkStart w:name="_Toc157076145" w:id="20"/>
      <w:bookmarkStart w:name="_Toc157503192" w:id="21"/>
      <w:r>
        <w:t>acoge con satisfacción la puesta en marcha de la reserva de talentos de la UE y reitera la importancia de ejecutar las recomendaciones formuladas en el estudio «Evolución social y del empleo en Europa: abordar la escasez de mano de obra y las carencias de capacidades en la UE»;</w:t>
      </w:r>
      <w:bookmarkEnd w:id="20"/>
      <w:bookmarkEnd w:id="21"/>
    </w:p>
    <w:p w:rsidRPr="002435FB" w:rsidR="002435FB" w:rsidP="00B118E1" w:rsidRDefault="002435FB" w14:paraId="696D13B4"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6" w:id="22"/>
      <w:bookmarkStart w:name="_Toc157503193" w:id="23"/>
      <w:r>
        <w:t>pide que se culmine la unión de los mercados de capitales con el fin de eliminar los obstáculos existentes y satisfacer las necesidades de inversión al objeto de lograr unas transiciones ecológica y digital justas e inclusivas;</w:t>
      </w:r>
      <w:bookmarkEnd w:id="22"/>
      <w:bookmarkEnd w:id="23"/>
    </w:p>
    <w:p w:rsidRPr="002435FB" w:rsidR="002435FB" w:rsidP="00B118E1" w:rsidRDefault="002435FB" w14:paraId="1899D595"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7" w:id="24"/>
      <w:bookmarkStart w:name="_Toc157503194" w:id="25"/>
      <w:r>
        <w:t>subraya la importancia de completar la unión bancaria y establecer el tercer pilar que falta, a saber, el Sistema Europeo de Seguro de Depósitos (SESD);</w:t>
      </w:r>
      <w:bookmarkEnd w:id="24"/>
      <w:bookmarkEnd w:id="25"/>
    </w:p>
    <w:p w:rsidRPr="002435FB" w:rsidR="002435FB" w:rsidP="00B118E1" w:rsidRDefault="002435FB" w14:paraId="60A36BE6"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8" w:id="26"/>
      <w:bookmarkStart w:name="_Toc157503195" w:id="27"/>
      <w:r>
        <w:t>pide que se siga avanzando en la reforma del mercado de la electricidad y la Unión de la Energía recurriendo a actos legislativos e invirtiendo en infraestructuras e interconexiones energéticas, pasos fundamentales para reducir los costes de la energía para los hogares y mejorar al mismo tiempo la competitividad de las empresas europeas;</w:t>
      </w:r>
      <w:bookmarkEnd w:id="26"/>
      <w:bookmarkEnd w:id="27"/>
      <w:r>
        <w:t xml:space="preserve"> </w:t>
      </w:r>
    </w:p>
    <w:p w:rsidRPr="002435FB" w:rsidR="002435FB" w:rsidP="00B118E1" w:rsidRDefault="002435FB" w14:paraId="786F4E49" w14:textId="77777777">
      <w:pPr>
        <w:numPr>
          <w:ilvl w:val="0"/>
          <w:numId w:val="34"/>
        </w:numPr>
        <w:overflowPunct w:val="0"/>
        <w:autoSpaceDE w:val="0"/>
        <w:autoSpaceDN w:val="0"/>
        <w:adjustRightInd w:val="0"/>
        <w:spacing w:line="276" w:lineRule="auto"/>
        <w:ind w:left="567" w:hanging="567"/>
        <w:textAlignment w:val="baseline"/>
        <w:outlineLvl w:val="1"/>
        <w:rPr>
          <w:szCs w:val="20"/>
        </w:rPr>
      </w:pPr>
      <w:bookmarkStart w:name="_Toc157076149" w:id="28"/>
      <w:bookmarkStart w:name="_Toc157503196" w:id="29"/>
      <w:r>
        <w:t>considera fundamental hallar una solución a escala de la Unión que refuerce la competitividad a largo plazo de las empresas europeas y no menoscabe el mercado único. Por lo tanto, reitera su apoyo a la Plataforma de Tecnologías Estratégicas para Europa y su llamamiento a la Comisión para que cree instrumentos comunes a tal fin.</w:t>
      </w:r>
      <w:bookmarkEnd w:id="28"/>
      <w:bookmarkEnd w:id="29"/>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7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2435FB" w:rsidR="002435FB" w:rsidTr="00B118E1" w14:paraId="29A98A47" w14:textId="77777777">
        <w:tc>
          <w:tcPr>
            <w:tcW w:w="2093"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Contacto:</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r>
              <w:rPr>
                <w:i/>
              </w:rPr>
              <w:t xml:space="preserve">Krisztina Perlaky-Tóth </w:t>
            </w:r>
          </w:p>
        </w:tc>
      </w:tr>
      <w:tr w:rsidRPr="002435FB" w:rsidR="002435FB" w:rsidTr="00B118E1" w14:paraId="305317EB" w14:textId="77777777">
        <w:tc>
          <w:tcPr>
            <w:tcW w:w="2093"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Teléfono:</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B118E1" w14:paraId="7A8F0AC0" w14:textId="77777777">
        <w:tc>
          <w:tcPr>
            <w:tcW w:w="2093"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Correo electrónico:</w:t>
            </w:r>
          </w:p>
        </w:tc>
        <w:tc>
          <w:tcPr>
            <w:tcW w:w="5670" w:type="dxa"/>
          </w:tcPr>
          <w:p w:rsidRPr="00C83487" w:rsidR="002435FB" w:rsidP="002435FB" w:rsidRDefault="00EA0332" w14:paraId="6D8AA2A8" w14:textId="3DD28C1F">
            <w:pPr>
              <w:keepNext/>
              <w:keepLines/>
              <w:overflowPunct w:val="0"/>
              <w:autoSpaceDE w:val="0"/>
              <w:autoSpaceDN w:val="0"/>
              <w:adjustRightInd w:val="0"/>
              <w:spacing w:line="240" w:lineRule="auto"/>
              <w:textAlignment w:val="baseline"/>
              <w:rPr>
                <w:i/>
                <w:iCs/>
              </w:rPr>
            </w:pPr>
            <w:hyperlink w:history="1" r:id="rId18">
              <w:r w:rsidR="00400E95">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30"/>
      <w:bookmarkStart w:name="_Toc153539680" w:id="31"/>
      <w:bookmarkStart w:name="_Toc157503197" w:id="32"/>
      <w:bookmarkEnd w:id="30"/>
      <w:r>
        <w:rPr>
          <w:b/>
        </w:rPr>
        <w:lastRenderedPageBreak/>
        <w:t>MERCADO ÚNICO, PRODUCCIÓN Y CONSUMO</w:t>
      </w:r>
      <w:bookmarkEnd w:id="31"/>
      <w:bookmarkEnd w:id="32"/>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Lucha contra los abusos sexuales de menores en línea</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Referencias</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Dictamen de categoría C</w:t>
            </w:r>
          </w:p>
          <w:p w:rsidRPr="00DC121F" w:rsidR="00DC121F" w:rsidP="002048E0" w:rsidRDefault="00DC121F" w14:paraId="373F352E" w14:textId="495EFA22">
            <w:pPr>
              <w:tabs>
                <w:tab w:val="center" w:pos="284"/>
              </w:tabs>
              <w:overflowPunct w:val="0"/>
              <w:autoSpaceDE w:val="0"/>
              <w:autoSpaceDN w:val="0"/>
              <w:adjustRightInd w:val="0"/>
              <w:ind w:left="266" w:hanging="376"/>
              <w:textAlignment w:val="baseline"/>
            </w:pPr>
            <w:r>
              <w:t>COM(2023) 777 final</w:t>
            </w:r>
          </w:p>
        </w:tc>
      </w:tr>
      <w:tr w:rsidRPr="00DC121F" w:rsidR="00DC121F" w:rsidTr="00C83487" w14:paraId="59903D0F" w14:textId="77777777">
        <w:tc>
          <w:tcPr>
            <w:tcW w:w="1701" w:type="dxa"/>
            <w:vMerge/>
          </w:tcPr>
          <w:p w:rsidRPr="00DC121F" w:rsidR="00DC121F" w:rsidP="002048E0"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2048E0"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El CESE decidió emitir un dictamen favorable sobre la propuesta.</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DC121F" w:rsidR="00DC121F" w:rsidTr="00B118E1" w14:paraId="536949CE" w14:textId="77777777">
        <w:tc>
          <w:tcPr>
            <w:tcW w:w="2093" w:type="dxa"/>
          </w:tcPr>
          <w:p w:rsidRPr="00DC121F" w:rsidR="00DC121F" w:rsidP="002048E0" w:rsidRDefault="00DC121F" w14:paraId="08A41DF2" w14:textId="77777777">
            <w:pPr>
              <w:overflowPunct w:val="0"/>
              <w:autoSpaceDE w:val="0"/>
              <w:autoSpaceDN w:val="0"/>
              <w:adjustRightInd w:val="0"/>
              <w:spacing w:line="240" w:lineRule="auto"/>
              <w:ind w:hanging="110"/>
              <w:textAlignment w:val="baseline"/>
              <w:rPr>
                <w:i/>
              </w:rPr>
            </w:pPr>
            <w:r>
              <w:rPr>
                <w:b/>
                <w:i/>
              </w:rPr>
              <w:t>Contacto:</w:t>
            </w:r>
          </w:p>
        </w:tc>
        <w:tc>
          <w:tcPr>
            <w:tcW w:w="5670" w:type="dxa"/>
          </w:tcPr>
          <w:p w:rsidRPr="00DC121F" w:rsidR="00DC121F" w:rsidP="002048E0" w:rsidRDefault="00DC121F" w14:paraId="1B1D7048" w14:textId="77777777">
            <w:pPr>
              <w:overflowPunct w:val="0"/>
              <w:autoSpaceDE w:val="0"/>
              <w:autoSpaceDN w:val="0"/>
              <w:adjustRightInd w:val="0"/>
              <w:spacing w:line="240" w:lineRule="auto"/>
              <w:ind w:hanging="110"/>
              <w:textAlignment w:val="baseline"/>
              <w:rPr>
                <w:i/>
              </w:rPr>
            </w:pPr>
            <w:r>
              <w:rPr>
                <w:i/>
              </w:rPr>
              <w:t>Alice Tétu</w:t>
            </w:r>
          </w:p>
        </w:tc>
      </w:tr>
      <w:tr w:rsidRPr="00DC121F" w:rsidR="00DC121F" w:rsidTr="00B118E1" w14:paraId="2F7D7C01" w14:textId="77777777">
        <w:tc>
          <w:tcPr>
            <w:tcW w:w="2093" w:type="dxa"/>
          </w:tcPr>
          <w:p w:rsidRPr="00DC121F" w:rsidR="00DC121F" w:rsidP="002048E0" w:rsidRDefault="00DC121F" w14:paraId="094140E7" w14:textId="77777777">
            <w:pPr>
              <w:overflowPunct w:val="0"/>
              <w:autoSpaceDE w:val="0"/>
              <w:autoSpaceDN w:val="0"/>
              <w:adjustRightInd w:val="0"/>
              <w:spacing w:line="240" w:lineRule="auto"/>
              <w:ind w:hanging="110"/>
              <w:textAlignment w:val="baseline"/>
              <w:rPr>
                <w:i/>
              </w:rPr>
            </w:pPr>
            <w:r>
              <w:rPr>
                <w:i/>
              </w:rPr>
              <w:t>Teléfono:</w:t>
            </w:r>
          </w:p>
        </w:tc>
        <w:tc>
          <w:tcPr>
            <w:tcW w:w="5670" w:type="dxa"/>
          </w:tcPr>
          <w:p w:rsidRPr="00DC121F" w:rsidR="00DC121F" w:rsidP="002048E0"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B118E1" w14:paraId="59D0574A" w14:textId="77777777">
        <w:tc>
          <w:tcPr>
            <w:tcW w:w="2093" w:type="dxa"/>
          </w:tcPr>
          <w:p w:rsidRPr="00DC121F" w:rsidR="00DC121F" w:rsidP="002048E0" w:rsidRDefault="00DC121F" w14:paraId="7C0B10B2" w14:textId="77777777">
            <w:pPr>
              <w:overflowPunct w:val="0"/>
              <w:autoSpaceDE w:val="0"/>
              <w:autoSpaceDN w:val="0"/>
              <w:adjustRightInd w:val="0"/>
              <w:spacing w:line="240" w:lineRule="auto"/>
              <w:ind w:hanging="110"/>
              <w:textAlignment w:val="baseline"/>
              <w:rPr>
                <w:i/>
              </w:rPr>
            </w:pPr>
            <w:r>
              <w:rPr>
                <w:i/>
              </w:rPr>
              <w:t>Correo electrónico:</w:t>
            </w:r>
          </w:p>
        </w:tc>
        <w:tc>
          <w:tcPr>
            <w:tcW w:w="5670" w:type="dxa"/>
          </w:tcPr>
          <w:p w:rsidRPr="00DC121F" w:rsidR="00DC121F" w:rsidP="002048E0" w:rsidRDefault="00EA0332" w14:paraId="4F8C70CD" w14:textId="77777777">
            <w:pPr>
              <w:overflowPunct w:val="0"/>
              <w:autoSpaceDE w:val="0"/>
              <w:autoSpaceDN w:val="0"/>
              <w:adjustRightInd w:val="0"/>
              <w:spacing w:line="240" w:lineRule="auto"/>
              <w:ind w:hanging="110"/>
              <w:textAlignment w:val="baseline"/>
              <w:rPr>
                <w:i/>
              </w:rPr>
            </w:pPr>
            <w:hyperlink w:history="1" r:id="rId19">
              <w:r w:rsidR="00DC121F">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EA0332"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0">
        <w:r w:rsidR="00400E95">
          <w:rPr>
            <w:b/>
            <w:i/>
            <w:color w:val="0000FF"/>
            <w:sz w:val="28"/>
            <w:u w:val="single"/>
          </w:rPr>
          <w:t>Corrupción en la contratación pública y el mercado interior</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bCs/>
              </w:rPr>
              <w:t>Ponente</w:t>
            </w:r>
          </w:p>
        </w:tc>
        <w:tc>
          <w:tcPr>
            <w:tcW w:w="3910" w:type="pct"/>
          </w:tcPr>
          <w:p w:rsidRPr="00DC121F" w:rsidR="00DC121F" w:rsidP="00DC121F" w:rsidRDefault="00DC121F" w14:paraId="4ED4B842" w14:textId="61265AC4">
            <w:pPr>
              <w:tabs>
                <w:tab w:val="center" w:pos="0"/>
              </w:tabs>
              <w:overflowPunct w:val="0"/>
              <w:autoSpaceDE w:val="0"/>
              <w:autoSpaceDN w:val="0"/>
              <w:adjustRightInd w:val="0"/>
              <w:ind w:left="266" w:hanging="266"/>
              <w:textAlignment w:val="baseline"/>
            </w:pPr>
            <w:r>
              <w:t>José Antonio MORENO DÍAZ (Grupo de Trabajadores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bCs/>
              </w:rPr>
              <w:t>Coponente</w:t>
            </w:r>
          </w:p>
        </w:tc>
        <w:tc>
          <w:tcPr>
            <w:tcW w:w="3910" w:type="pct"/>
          </w:tcPr>
          <w:p w:rsidRPr="00DC121F" w:rsidR="00DC121F" w:rsidP="00DC121F" w:rsidRDefault="00DC121F" w14:paraId="23F0707E" w14:textId="0026E019">
            <w:pPr>
              <w:tabs>
                <w:tab w:val="center" w:pos="284"/>
              </w:tabs>
              <w:overflowPunct w:val="0"/>
              <w:autoSpaceDE w:val="0"/>
              <w:autoSpaceDN w:val="0"/>
              <w:adjustRightInd w:val="0"/>
              <w:ind w:left="266" w:hanging="266"/>
              <w:textAlignment w:val="baseline"/>
            </w:pPr>
            <w:r>
              <w:t>Cristian PÎRVULESCU (Grupo de Organizaciones de la Sociedad Civil –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Referencias</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Dictamen de iniciativa</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6E6FC55E">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2048E0" w:rsidRDefault="00DC121F" w14:paraId="29CB91C0" w14:textId="77777777">
      <w:pPr>
        <w:keepNext/>
        <w:keepLines/>
        <w:overflowPunct w:val="0"/>
        <w:autoSpaceDE w:val="0"/>
        <w:autoSpaceDN w:val="0"/>
        <w:adjustRightInd w:val="0"/>
        <w:textAlignment w:val="baseline"/>
        <w:rPr>
          <w:b/>
        </w:rPr>
      </w:pPr>
      <w:r>
        <w:rPr>
          <w:b/>
        </w:rPr>
        <w:t>Puntos clave</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El CESE:</w:t>
      </w:r>
    </w:p>
    <w:p w:rsidRPr="00DC121F" w:rsidR="008D47DD" w:rsidP="002048E0" w:rsidRDefault="008D47DD" w14:paraId="29BA8237" w14:textId="77777777">
      <w:pPr>
        <w:overflowPunct w:val="0"/>
        <w:autoSpaceDE w:val="0"/>
        <w:autoSpaceDN w:val="0"/>
        <w:adjustRightInd w:val="0"/>
        <w:ind w:firstLine="142"/>
        <w:textAlignment w:val="baseline"/>
        <w:rPr>
          <w:bCs/>
          <w:iCs/>
        </w:rPr>
      </w:pPr>
    </w:p>
    <w:p w:rsidRPr="00DC121F"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considera que la Comisión debe retomar la publicación del Informe Anticorrupción de la UE;</w:t>
      </w:r>
    </w:p>
    <w:p w:rsidRPr="00DC121F"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subraya que la UE debe dar prioridad a la evaluación del marco legislativo relativo a la integridad de la contratación pública y su aplicación en la práctica, con el fin de comprobar si es coherente con las necesidades en materia de lucha contra la corrupción;</w:t>
      </w:r>
    </w:p>
    <w:p w:rsidRPr="00DC121F"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apoya la propuesta del Parlamento Europeo en la que pide a la Comisión que elabore una estrategia global de la Unión de lucha contra la corrupción;</w:t>
      </w:r>
    </w:p>
    <w:p w:rsidRPr="00DC121F"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cree que es necesario ajustar en mayor medida los esfuerzos de lucha contra la corrupción con los esfuerzos por salvaguardar y desarrollar la democracia en la UE, ya que las prácticas corruptas pueden ofrecer a los agentes políticos beneficios y recursos ilegales para hacer campaña y mantener sus sistemas de clientelismo;</w:t>
      </w:r>
    </w:p>
    <w:p w:rsidRPr="00DC121F"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expresa su convencimiento de que el proceso de digitalización del mercado europeo de contratación pública debería estar más avanzado, por lo que resulta fundamental que la Comisión siga prestando apoyo técnico a las autoridades nacionales a lo largo de todo este complejo proceso;</w:t>
      </w:r>
    </w:p>
    <w:p w:rsidRPr="00DC121F"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estima que la Comisión podría conceder más importancia a los pactos de integridad;</w:t>
      </w:r>
    </w:p>
    <w:p w:rsidRPr="00DC121F"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considera que el sistema de inhabilitación interconectado (entre las autoridades europeas, las instituciones nacionales y los bancos privados) podría servir para proteger el mercado interior del uso indebido de los recursos públicos destinados a los procedimientos de contratación pública;</w:t>
      </w:r>
    </w:p>
    <w:p w:rsidRPr="00DC121F"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insta a la Comisión Europea y a otras instituciones nacionales y de la UE a que consideren la representación de los trabajadores, la negociación colectiva y el diálogo social como instrumentos críticos para garantizar la eficacia de la lucha contra la corrupción en todos los niveles;</w:t>
      </w:r>
    </w:p>
    <w:p w:rsidRPr="00DC121F"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anima a todas las empresas y asociaciones de empresarios, así como a los interlocutores sociales, a procurar activamente una cultura de la integridad y a respetar las mejores normas disponibles a escala nacional e internacional;</w:t>
      </w:r>
    </w:p>
    <w:p w:rsidRPr="00DC121F"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espera con interés la institucionalización y el desarrollo de la red de la UE contra la corrupción y está dispuesto a participar en su labor.</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Contacto:</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r>
              <w:rPr>
                <w:i/>
              </w:rPr>
              <w:t>Radoslava Stefankova</w:t>
            </w:r>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Teléfono:</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DC121F" w:rsidR="00DC121F" w:rsidP="00DC121F" w:rsidRDefault="00EA0332" w14:paraId="1E20E942" w14:textId="77777777">
            <w:pPr>
              <w:overflowPunct w:val="0"/>
              <w:autoSpaceDE w:val="0"/>
              <w:autoSpaceDN w:val="0"/>
              <w:adjustRightInd w:val="0"/>
              <w:spacing w:line="240" w:lineRule="auto"/>
              <w:textAlignment w:val="baseline"/>
              <w:rPr>
                <w:i/>
              </w:rPr>
            </w:pPr>
            <w:hyperlink w:history="1" r:id="rId21">
              <w:r w:rsidR="00400E95">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B118E1" w:rsidR="001B6246" w:rsidP="00966E39" w:rsidRDefault="00EA0332" w14:paraId="5EFC0703" w14:textId="550AF3B9">
      <w:pPr>
        <w:widowControl w:val="0"/>
        <w:numPr>
          <w:ilvl w:val="0"/>
          <w:numId w:val="4"/>
        </w:numPr>
        <w:overflowPunct w:val="0"/>
        <w:autoSpaceDE w:val="0"/>
        <w:autoSpaceDN w:val="0"/>
        <w:adjustRightInd w:val="0"/>
        <w:ind w:left="567" w:right="-143" w:hanging="425"/>
        <w:jc w:val="left"/>
        <w:textAlignment w:val="baseline"/>
        <w:rPr>
          <w:b/>
        </w:rPr>
      </w:pPr>
      <w:hyperlink w:tgtFrame="_blank" w:history="1" r:id="rId22">
        <w:r w:rsidRPr="00B118E1" w:rsidR="001B6246">
          <w:rPr>
            <w:b/>
            <w:i/>
            <w:color w:val="0000FF"/>
            <w:sz w:val="28"/>
            <w:u w:val="single"/>
          </w:rPr>
          <w:t>La economía social y la lucha contra la pobreza y la exclusión social</w:t>
        </w:r>
        <w:r w:rsidRPr="00B118E1" w:rsidR="001B6246">
          <w:rPr>
            <w:b/>
            <w:i/>
            <w:color w:val="0000FF"/>
            <w:sz w:val="28"/>
            <w:u w:val="single"/>
          </w:rPr>
          <w:cr/>
        </w:r>
      </w:hyperlink>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1B6246" w:rsidR="001B6246" w:rsidTr="002048E0"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bCs/>
              </w:rPr>
              <w:t>Ponente</w:t>
            </w:r>
          </w:p>
        </w:tc>
        <w:tc>
          <w:tcPr>
            <w:tcW w:w="7403" w:type="dxa"/>
          </w:tcPr>
          <w:p w:rsidRPr="001B6246" w:rsidR="001B6246" w:rsidP="001B6246" w:rsidRDefault="001B6246" w14:paraId="4AF9E1DA" w14:textId="027B3407">
            <w:pPr>
              <w:tabs>
                <w:tab w:val="center" w:pos="284"/>
              </w:tabs>
              <w:overflowPunct w:val="0"/>
              <w:autoSpaceDE w:val="0"/>
              <w:autoSpaceDN w:val="0"/>
              <w:adjustRightInd w:val="0"/>
              <w:ind w:left="266" w:hanging="266"/>
              <w:textAlignment w:val="baseline"/>
            </w:pPr>
            <w:r>
              <w:t>Alain COHEUR (Grupo de Organizaciones de la Sociedad Civil – BE)</w:t>
            </w:r>
          </w:p>
        </w:tc>
      </w:tr>
      <w:tr w:rsidRPr="001B6246" w:rsidR="001B6246" w:rsidTr="002048E0" w14:paraId="64849DFE" w14:textId="77777777">
        <w:trPr>
          <w:trHeight w:val="265"/>
        </w:trPr>
        <w:tc>
          <w:tcPr>
            <w:tcW w:w="1668" w:type="dxa"/>
          </w:tcPr>
          <w:p w:rsidRPr="001B6246" w:rsidR="001B6246" w:rsidP="002048E0" w:rsidRDefault="001B6246" w14:paraId="731776C9" w14:textId="4B879F73">
            <w:pPr>
              <w:tabs>
                <w:tab w:val="center" w:pos="457"/>
              </w:tabs>
              <w:overflowPunct w:val="0"/>
              <w:autoSpaceDE w:val="0"/>
              <w:autoSpaceDN w:val="0"/>
              <w:adjustRightInd w:val="0"/>
              <w:ind w:left="266" w:hanging="266"/>
              <w:textAlignment w:val="baseline"/>
              <w:rPr>
                <w:b/>
              </w:rPr>
            </w:pPr>
            <w:r>
              <w:rPr>
                <w:b/>
                <w:bCs/>
              </w:rPr>
              <w:t>Coponente</w:t>
            </w:r>
          </w:p>
        </w:tc>
        <w:tc>
          <w:tcPr>
            <w:tcW w:w="7403" w:type="dxa"/>
          </w:tcPr>
          <w:p w:rsidRPr="001B6246" w:rsidR="001B6246" w:rsidP="001B6246" w:rsidRDefault="001B6246" w14:paraId="18CF51DF" w14:textId="2CFCCD62">
            <w:pPr>
              <w:tabs>
                <w:tab w:val="center" w:pos="284"/>
              </w:tabs>
              <w:overflowPunct w:val="0"/>
              <w:autoSpaceDE w:val="0"/>
              <w:autoSpaceDN w:val="0"/>
              <w:adjustRightInd w:val="0"/>
              <w:ind w:left="266" w:hanging="266"/>
              <w:textAlignment w:val="baseline"/>
            </w:pPr>
            <w:r>
              <w:t>Ferre WYCKMANS (Grupo de Trabajadores – BE)</w:t>
            </w:r>
          </w:p>
        </w:tc>
      </w:tr>
      <w:tr w:rsidRPr="001B6246" w:rsidR="001B6246" w:rsidTr="002048E0" w14:paraId="5C65FF20" w14:textId="77777777">
        <w:trPr>
          <w:trHeight w:val="289"/>
        </w:trPr>
        <w:tc>
          <w:tcPr>
            <w:tcW w:w="1668" w:type="dxa"/>
            <w:vMerge w:val="restart"/>
          </w:tcPr>
          <w:p w:rsidRPr="001B6246" w:rsidR="001B6246" w:rsidP="001B6246" w:rsidRDefault="001B6246" w14:paraId="4EAE0C23" w14:textId="2034EAFB">
            <w:pPr>
              <w:tabs>
                <w:tab w:val="center" w:pos="284"/>
              </w:tabs>
              <w:overflowPunct w:val="0"/>
              <w:autoSpaceDE w:val="0"/>
              <w:autoSpaceDN w:val="0"/>
              <w:adjustRightInd w:val="0"/>
              <w:ind w:left="266" w:hanging="266"/>
              <w:textAlignment w:val="baseline"/>
              <w:rPr>
                <w:b/>
              </w:rPr>
            </w:pPr>
            <w:r>
              <w:rPr>
                <w:b/>
              </w:rPr>
              <w:t>Referencia</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Dictamen exploratorio solicitado por la Presidencia belga del Consejo de la UE</w:t>
            </w:r>
          </w:p>
        </w:tc>
      </w:tr>
      <w:tr w:rsidRPr="001B6246" w:rsidR="001B6246" w:rsidTr="002048E0"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Puntos clave</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El CESE:</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pide a la Comisión Europea que siga aplicando su plan de acción para la economía social, que lo evalúe en 2025 con miras a elaborar un nuevo plan de acción, que vele por que los Estados miembros participen de forma activa en la aplicación de la Recomendación y que integre de manera expresa la economía social y la política de innovación social en el próximo programa de trabajo de la Comisión;</w:t>
      </w:r>
    </w:p>
    <w:p w:rsidRPr="001B6246"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aboga por adoptar un enfoque territorial sólido que incluya a las regiones y los municipios y que reúna a diversos agentes en las políticas de implantación de la economía social. Gracias al impulso de los poderes públicos, es posible favorecer el desarrollo local, la relocalización de las herramientas de producción, la creación de puestos de trabajo dignos no deslocalizables, la promoción de colaboraciones entre agentes económicos y la creación de un ecosistema estimulante en el que se congreguen agentes asociativos, cooperativas, mutualidades, empresas tradicionales, inversores del sector bancario, la sociedad civil o el mundo académico, entre otros representantes;</w:t>
      </w:r>
    </w:p>
    <w:p w:rsidRPr="001B6246"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pide a la Comisión que, en sus iniciativas de innovación social, vele por la adopción de un enfoque transversal que reúna a múltiples agentes procedentes de las empresas tradicionales y de la economía social, y que abarque las perspectivas medioambientales y sociales;</w:t>
      </w:r>
    </w:p>
    <w:p w:rsidRPr="001B6246"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pide a la Comisión que incluya la economía social y la innovación social entre las iniciativas que llevará a cabo al desarrollar las líneas de acción de su informe sobre prospectiva estratégica para aumentar, ante todo, la participación de las mujeres en el mercado laboral. Esto sigue constituyendo un reto para los demás segmentos vulnerables de la población, como las personas con discapacidad, la juventud y otros grupos infrarrepresentados o excluidos, que ni participan en el mercado laboral ni reciben educación o formación, o que viven en condiciones de pobreza extrema.</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1B6246" w:rsidR="001B6246" w:rsidTr="00AE7D02" w14:paraId="4815605B" w14:textId="77777777">
        <w:tc>
          <w:tcPr>
            <w:tcW w:w="1951"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Contacto:</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r>
              <w:rPr>
                <w:i/>
              </w:rPr>
              <w:t>Annalisa Tessarolo</w:t>
            </w:r>
          </w:p>
        </w:tc>
      </w:tr>
      <w:tr w:rsidRPr="001B6246" w:rsidR="001B6246" w:rsidTr="00AE7D02" w14:paraId="7129E52D" w14:textId="77777777">
        <w:tc>
          <w:tcPr>
            <w:tcW w:w="1951"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Teléfono:</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AE7D02" w14:paraId="565DBDCE" w14:textId="77777777">
        <w:tc>
          <w:tcPr>
            <w:tcW w:w="1951"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Correo electrónico:</w:t>
            </w:r>
          </w:p>
        </w:tc>
        <w:tc>
          <w:tcPr>
            <w:tcW w:w="5670" w:type="dxa"/>
          </w:tcPr>
          <w:p w:rsidRPr="001B6246" w:rsidR="001B6246" w:rsidP="001B6246" w:rsidRDefault="00EA0332" w14:paraId="7EBA911B" w14:textId="77777777">
            <w:pPr>
              <w:overflowPunct w:val="0"/>
              <w:autoSpaceDE w:val="0"/>
              <w:autoSpaceDN w:val="0"/>
              <w:adjustRightInd w:val="0"/>
              <w:spacing w:line="240" w:lineRule="auto"/>
              <w:textAlignment w:val="baseline"/>
              <w:rPr>
                <w:i/>
                <w:iCs/>
              </w:rPr>
            </w:pPr>
            <w:hyperlink w:history="1" r:id="rId23">
              <w:r w:rsidR="00400E95">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EA0332"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4">
        <w:r w:rsidR="00400E95">
          <w:rPr>
            <w:b/>
            <w:i/>
            <w:color w:val="0000FF"/>
            <w:sz w:val="28"/>
            <w:u w:val="single"/>
          </w:rPr>
          <w:t>Introducir una evaluación europea de la resistencia a la innovación</w:t>
        </w:r>
      </w:hyperlink>
      <w:r w:rsidR="00400E95">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bCs/>
              </w:rPr>
              <w:t>Ponente</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Olivier JORIS (Grupo de Empresarios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614C1716">
            <w:pPr>
              <w:tabs>
                <w:tab w:val="center" w:pos="284"/>
              </w:tabs>
              <w:overflowPunct w:val="0"/>
              <w:autoSpaceDE w:val="0"/>
              <w:autoSpaceDN w:val="0"/>
              <w:adjustRightInd w:val="0"/>
              <w:ind w:left="266" w:hanging="266"/>
              <w:textAlignment w:val="baseline"/>
              <w:rPr>
                <w:b/>
              </w:rPr>
            </w:pPr>
            <w:r>
              <w:rPr>
                <w:b/>
              </w:rPr>
              <w:t>Referencia</w:t>
            </w:r>
          </w:p>
        </w:tc>
        <w:tc>
          <w:tcPr>
            <w:tcW w:w="3893" w:type="pct"/>
          </w:tcPr>
          <w:p w:rsidRPr="00235E61" w:rsidR="00235E61" w:rsidP="00C83487" w:rsidRDefault="00235E61" w14:paraId="2CDE140A" w14:textId="5AF47668">
            <w:pPr>
              <w:tabs>
                <w:tab w:val="center" w:pos="284"/>
              </w:tabs>
              <w:overflowPunct w:val="0"/>
              <w:autoSpaceDE w:val="0"/>
              <w:autoSpaceDN w:val="0"/>
              <w:adjustRightInd w:val="0"/>
              <w:ind w:left="266" w:right="-107" w:hanging="266"/>
              <w:textAlignment w:val="baseline"/>
            </w:pPr>
            <w:r>
              <w:t>Dictamen exploratorio solicitado por la Presidencia belga del Consejo de la UE</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2048E0" w:rsidRDefault="00235E61" w14:paraId="6E32AE22" w14:textId="77777777">
      <w:pPr>
        <w:keepNext/>
        <w:keepLines/>
        <w:overflowPunct w:val="0"/>
        <w:autoSpaceDE w:val="0"/>
        <w:autoSpaceDN w:val="0"/>
        <w:adjustRightInd w:val="0"/>
        <w:textAlignment w:val="baseline"/>
        <w:rPr>
          <w:b/>
        </w:rPr>
      </w:pPr>
      <w:r>
        <w:rPr>
          <w:b/>
        </w:rPr>
        <w:t>Puntos clave</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El CESE:</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recomienda que la actual y la próxima Comisión Europea </w:t>
      </w:r>
      <w:r>
        <w:rPr>
          <w:b/>
        </w:rPr>
        <w:t>introduzcan una nueva evaluación de la resistencia a la innovación para evaluar cada nueva ley e iniciativa estratégica</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propone que la evaluación de la resistencia a la innovación incluya los diez requisitos esenciales siguientes.</w:t>
      </w:r>
    </w:p>
    <w:p w:rsidRPr="00235E61" w:rsidR="00235E61" w:rsidP="006221F1" w:rsidRDefault="00235E61" w14:paraId="1355EE8E" w14:textId="4CAE8943">
      <w:pPr>
        <w:overflowPunct w:val="0"/>
        <w:autoSpaceDE w:val="0"/>
        <w:autoSpaceDN w:val="0"/>
        <w:adjustRightInd w:val="0"/>
        <w:ind w:left="567"/>
        <w:textAlignment w:val="baseline"/>
        <w:rPr>
          <w:iCs/>
        </w:rPr>
      </w:pPr>
      <w:r>
        <w:t>La nueva ley o iniciativa estratégica:</w:t>
      </w:r>
    </w:p>
    <w:p w:rsidRPr="00235E61" w:rsidR="00235E61" w:rsidP="002048E0" w:rsidRDefault="00235E61" w14:paraId="62AD8810" w14:textId="77777777">
      <w:pPr>
        <w:numPr>
          <w:ilvl w:val="0"/>
          <w:numId w:val="29"/>
        </w:numPr>
        <w:overflowPunct w:val="0"/>
        <w:autoSpaceDE w:val="0"/>
        <w:autoSpaceDN w:val="0"/>
        <w:adjustRightInd w:val="0"/>
        <w:ind w:left="993" w:hanging="426"/>
        <w:textAlignment w:val="baseline"/>
      </w:pPr>
      <w:r>
        <w:t>¿protege a los consumidores y al medio ambiente, y reconoce la necesidad de innovar para propiciar la doble transición ecológica y digital de la UE hacia la sostenibilidad, contribuir a la creación de más y mejores empleos en beneficio de la sociedad y estimular la economía? (Sí)</w:t>
      </w:r>
    </w:p>
    <w:p w:rsidRPr="00235E61" w:rsidR="00235E61" w:rsidP="002048E0" w:rsidRDefault="00235E61" w14:paraId="3649BCC8" w14:textId="77777777">
      <w:pPr>
        <w:numPr>
          <w:ilvl w:val="0"/>
          <w:numId w:val="29"/>
        </w:numPr>
        <w:overflowPunct w:val="0"/>
        <w:autoSpaceDE w:val="0"/>
        <w:autoSpaceDN w:val="0"/>
        <w:adjustRightInd w:val="0"/>
        <w:ind w:left="993" w:hanging="426"/>
        <w:textAlignment w:val="baseline"/>
      </w:pPr>
      <w:r>
        <w:t>¿garantiza una formulación conjunta de políticas para que las políticas presentes y futuras se utilicen de manera que se genere confianza entre los inversores y se fomente la innovación, pero no se creen obstáculos para una inversión continuada y nueva en innovación en la UE? (Sí)</w:t>
      </w:r>
    </w:p>
    <w:p w:rsidRPr="00235E61" w:rsidR="00235E61" w:rsidP="002048E0" w:rsidRDefault="00235E61" w14:paraId="45DC1EDF" w14:textId="77777777">
      <w:pPr>
        <w:numPr>
          <w:ilvl w:val="0"/>
          <w:numId w:val="29"/>
        </w:numPr>
        <w:overflowPunct w:val="0"/>
        <w:autoSpaceDE w:val="0"/>
        <w:autoSpaceDN w:val="0"/>
        <w:adjustRightInd w:val="0"/>
        <w:ind w:left="993" w:hanging="426"/>
        <w:textAlignment w:val="baseline"/>
      </w:pPr>
      <w:r>
        <w:t>¿garantiza una comprensión clara por parte de los innovadores y los inversores? (Sí)</w:t>
      </w:r>
    </w:p>
    <w:p w:rsidRPr="00235E61" w:rsidR="00235E61" w:rsidP="002048E0" w:rsidRDefault="00235E61" w14:paraId="28991F2A" w14:textId="77777777">
      <w:pPr>
        <w:numPr>
          <w:ilvl w:val="0"/>
          <w:numId w:val="29"/>
        </w:numPr>
        <w:overflowPunct w:val="0"/>
        <w:autoSpaceDE w:val="0"/>
        <w:autoSpaceDN w:val="0"/>
        <w:adjustRightInd w:val="0"/>
        <w:ind w:left="993" w:hanging="426"/>
        <w:textAlignment w:val="baseline"/>
      </w:pPr>
      <w:r>
        <w:t>¿es conforme con el uso del conjunto de herramientas de la Comisión Europea para la mejora de la legislación? (Sí)</w:t>
      </w:r>
    </w:p>
    <w:p w:rsidRPr="00235E61" w:rsidR="00235E61" w:rsidP="002048E0" w:rsidRDefault="00235E61" w14:paraId="154D530B" w14:textId="77777777">
      <w:pPr>
        <w:numPr>
          <w:ilvl w:val="0"/>
          <w:numId w:val="29"/>
        </w:numPr>
        <w:overflowPunct w:val="0"/>
        <w:autoSpaceDE w:val="0"/>
        <w:autoSpaceDN w:val="0"/>
        <w:adjustRightInd w:val="0"/>
        <w:ind w:left="993" w:hanging="426"/>
        <w:textAlignment w:val="baseline"/>
      </w:pPr>
      <w:r>
        <w:t>¿comprende activamente la consulta y la participación de innovadores e inversores de todo tipo, desde las empresas emergentes hasta las organizaciones internacionales, para garantizar que las políticas no socaven involuntariamente la confianza de los inversores a la hora de invertir o de seguir invirtiendo en innovación en la UE? (Sí)</w:t>
      </w:r>
    </w:p>
    <w:p w:rsidRPr="00235E61" w:rsidR="00235E61" w:rsidP="002048E0" w:rsidRDefault="00235E61" w14:paraId="52779D18" w14:textId="77777777">
      <w:pPr>
        <w:numPr>
          <w:ilvl w:val="0"/>
          <w:numId w:val="29"/>
        </w:numPr>
        <w:overflowPunct w:val="0"/>
        <w:autoSpaceDE w:val="0"/>
        <w:autoSpaceDN w:val="0"/>
        <w:adjustRightInd w:val="0"/>
        <w:ind w:left="993" w:hanging="426"/>
        <w:textAlignment w:val="baseline"/>
      </w:pPr>
      <w:r>
        <w:t>¿reconoce las inquietudes legítimas respecto a potenciales conflictos de intereses y proporciona transparencia sobre estas cuestiones a todas las partes implicadas en el proceso, incluidos los responsables de la formulación de políticas, los sectores público y privado y la sociedad civil? (Sí)</w:t>
      </w:r>
    </w:p>
    <w:p w:rsidRPr="00235E61" w:rsidR="00235E61" w:rsidP="002048E0" w:rsidRDefault="00235E61" w14:paraId="51D2823A" w14:textId="77777777">
      <w:pPr>
        <w:numPr>
          <w:ilvl w:val="0"/>
          <w:numId w:val="29"/>
        </w:numPr>
        <w:overflowPunct w:val="0"/>
        <w:autoSpaceDE w:val="0"/>
        <w:autoSpaceDN w:val="0"/>
        <w:adjustRightInd w:val="0"/>
        <w:ind w:left="993" w:hanging="426"/>
        <w:textAlignment w:val="baseline"/>
      </w:pPr>
      <w:r>
        <w:t>¿tiene en cuenta la mejor y más actualizada ponderación disponible de las pruebas científicas? (Sí)</w:t>
      </w:r>
    </w:p>
    <w:p w:rsidRPr="00235E61" w:rsidR="00235E61" w:rsidP="002048E0" w:rsidRDefault="00235E61" w14:paraId="13DAC31D" w14:textId="77777777">
      <w:pPr>
        <w:numPr>
          <w:ilvl w:val="0"/>
          <w:numId w:val="29"/>
        </w:numPr>
        <w:overflowPunct w:val="0"/>
        <w:autoSpaceDE w:val="0"/>
        <w:autoSpaceDN w:val="0"/>
        <w:adjustRightInd w:val="0"/>
        <w:ind w:left="993" w:hanging="426"/>
        <w:textAlignment w:val="baseline"/>
      </w:pPr>
      <w:r>
        <w:t>¿repercute negativamente en la disponibilidad de las capacidades, el capital humano y la educación necesarios para la innovación, la investigación y el desarrollo? (No)</w:t>
      </w:r>
    </w:p>
    <w:p w:rsidRPr="00235E61" w:rsidR="00235E61" w:rsidP="002048E0" w:rsidRDefault="00235E61" w14:paraId="4A7BF36B" w14:textId="77777777">
      <w:pPr>
        <w:numPr>
          <w:ilvl w:val="0"/>
          <w:numId w:val="29"/>
        </w:numPr>
        <w:overflowPunct w:val="0"/>
        <w:autoSpaceDE w:val="0"/>
        <w:autoSpaceDN w:val="0"/>
        <w:adjustRightInd w:val="0"/>
        <w:ind w:left="993" w:hanging="426"/>
        <w:textAlignment w:val="baseline"/>
      </w:pPr>
      <w:r>
        <w:t>¿da lugar a acciones que podrían generar un desequilibrio de género? (No)</w:t>
      </w:r>
    </w:p>
    <w:p w:rsidRPr="00235E61" w:rsidR="00235E61" w:rsidP="002048E0" w:rsidRDefault="00235E61" w14:paraId="10363F71" w14:textId="77777777">
      <w:pPr>
        <w:numPr>
          <w:ilvl w:val="0"/>
          <w:numId w:val="29"/>
        </w:numPr>
        <w:overflowPunct w:val="0"/>
        <w:autoSpaceDE w:val="0"/>
        <w:autoSpaceDN w:val="0"/>
        <w:adjustRightInd w:val="0"/>
        <w:ind w:left="993" w:hanging="426"/>
        <w:textAlignment w:val="baseline"/>
      </w:pPr>
      <w:r>
        <w:t>¿entra en conflicto con los incentivos fiscales presentes o futuros para la innovación o la investigación y el desarrollo en Europa? (No)</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Contacto:</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Marco Manfroni</w:t>
            </w:r>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Teléfono:</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C94208" w14:paraId="76CEE141" w14:textId="6F6F4D3F">
            <w:pPr>
              <w:overflowPunct w:val="0"/>
              <w:autoSpaceDE w:val="0"/>
              <w:autoSpaceDN w:val="0"/>
              <w:adjustRightInd w:val="0"/>
              <w:spacing w:line="240" w:lineRule="auto"/>
              <w:textAlignment w:val="baseline"/>
              <w:rPr>
                <w:i/>
              </w:rPr>
            </w:pPr>
            <w:r>
              <w:rPr>
                <w:i/>
              </w:rPr>
              <w:t>Correo electrónico:</w:t>
            </w:r>
          </w:p>
        </w:tc>
        <w:tc>
          <w:tcPr>
            <w:tcW w:w="3444" w:type="pct"/>
          </w:tcPr>
          <w:p w:rsidRPr="00235E61" w:rsidR="00235E61" w:rsidP="00235E61" w:rsidRDefault="00EA0332" w14:paraId="32AFDC36" w14:textId="64AA67A0">
            <w:pPr>
              <w:overflowPunct w:val="0"/>
              <w:autoSpaceDE w:val="0"/>
              <w:autoSpaceDN w:val="0"/>
              <w:adjustRightInd w:val="0"/>
              <w:spacing w:line="240" w:lineRule="auto"/>
              <w:textAlignment w:val="baseline"/>
              <w:rPr>
                <w:i/>
              </w:rPr>
            </w:pPr>
            <w:hyperlink w:history="1" r:id="rId25">
              <w:r w:rsidR="00400E95">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EA0332"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26">
        <w:r w:rsidR="00400E95">
          <w:rPr>
            <w:b/>
            <w:i/>
            <w:color w:val="0000FF"/>
            <w:sz w:val="28"/>
            <w:u w:val="single"/>
          </w:rPr>
          <w:t>Asociaciones transfronterizas europeas</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bCs/>
              </w:rPr>
              <w:t>Ponente</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Giuseppe GUERINI (Grupo de Organizaciones de la Sociedad Civil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Referencias</w:t>
            </w:r>
          </w:p>
        </w:tc>
        <w:tc>
          <w:tcPr>
            <w:tcW w:w="3852" w:type="pct"/>
          </w:tcPr>
          <w:p w:rsidRPr="00DE6659" w:rsidR="00DE6659" w:rsidP="00DE6659" w:rsidRDefault="00DE6659" w14:paraId="68348F3B" w14:textId="212D9FEA">
            <w:pPr>
              <w:tabs>
                <w:tab w:val="center" w:pos="284"/>
              </w:tabs>
              <w:overflowPunct w:val="0"/>
              <w:autoSpaceDE w:val="0"/>
              <w:autoSpaceDN w:val="0"/>
              <w:adjustRightInd w:val="0"/>
              <w:ind w:left="266" w:hanging="266"/>
              <w:textAlignment w:val="baseline"/>
            </w:pPr>
            <w:r>
              <w:t>COM(2023) 515 final</w:t>
            </w:r>
          </w:p>
          <w:p w:rsidRPr="00DE6659" w:rsidR="00DE6659" w:rsidP="00DE6659" w:rsidRDefault="00DE6659" w14:paraId="4367C17F" w14:textId="6E5C8CF3">
            <w:pPr>
              <w:tabs>
                <w:tab w:val="center" w:pos="284"/>
              </w:tabs>
              <w:overflowPunct w:val="0"/>
              <w:autoSpaceDE w:val="0"/>
              <w:autoSpaceDN w:val="0"/>
              <w:adjustRightInd w:val="0"/>
              <w:ind w:left="266" w:hanging="266"/>
              <w:textAlignment w:val="baseline"/>
            </w:pPr>
            <w:r>
              <w:t>COM(2023) 516 final</w:t>
            </w:r>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6F984846">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El CESE:</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acoge favorablemente la propuesta de la Comisión Europea de facilitar las actividades transfronterizas de las asociaciones sin ánimo de lucro en la UE mediante la creación de una nueva forma jurídica de «asociación transfronteriza europea» y pide a los colegisladores que procedan rápidamente a su aprobación;</w:t>
      </w:r>
    </w:p>
    <w:p w:rsidRPr="00DE6659" w:rsidR="00DE6659" w:rsidP="002048E0"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reconoce las dificultades que afrontan las asociaciones y las entidades sin ánimo de lucro para participar en el mercado interior, y recomienda a la Comisión y a los Estados miembros que eliminen los obstáculos jurídicos y administrativos, lo que promovería el papel que desempeñan dichas asociaciones en la UE al generar valor económico y social;</w:t>
      </w:r>
    </w:p>
    <w:p w:rsidRPr="00DE6659"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reconoce el potencial de las asociaciones sin ánimo de lucro en el contexto del mercado único y recuerda la necesidad de promover la creación de un ecosistema europeo para este tipo de entidades a fin de que el mercado único sea más «social»;</w:t>
      </w:r>
    </w:p>
    <w:p w:rsidRPr="00DE6659"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acoge favorablemente la propuesta de la Comisión de crear en los ordenamientos jurídicos nacionales de los Estados miembros una nueva forma jurídica de asociación transfronteriza europea (ECBA, por sus siglas en inglés), con el fin de reducir la carga jurídica y administrativa respecto del reconocimiento y la constitución de asociaciones sin ánimo de lucro que desarrollan actividades en otro Estado miembro;</w:t>
      </w:r>
    </w:p>
    <w:p w:rsidRPr="00DE6659"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propone que todas las organizaciones con domicilio social en la Unión Europea que reúnan los requisitos necesarios puedan adquirir la condición de ECBA, aun cuando algunos socios del órgano ejecutivo sean personas físicas residentes en países terceros y, en particular, en países del Espacio Económico Europeo;</w:t>
      </w:r>
    </w:p>
    <w:p w:rsidRPr="00DE6659"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recomienda dejar la regulación de todos los tipos de socios de las asociaciones y la expresión del derecho de voto al ejercicio de la autonomía de las propias asociaciones y de sus socios para aprobar sus estatutos, sin conculcar los principios de democracia interna y de libertad de asociación:</w:t>
      </w:r>
    </w:p>
    <w:p w:rsidRPr="00DE6659"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apoya y valora positivamente la creación del «certificado de ECBA», que permitirá el reconocimiento de esta nueva forma jurídica en toda la UE toda vez que se haya efectuado la inscripción en el registro en un Estado miembro, pero también recomienda mejorar los sistemas de clasificación y registro mediante la creación de bases de datos comparables.</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Contacto:</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r>
              <w:rPr>
                <w:i/>
              </w:rPr>
              <w:t>Annalisa Tessarolo</w:t>
            </w:r>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Teléfono:</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DE6659" w:rsidR="00DE6659" w:rsidP="00DE6659" w:rsidRDefault="00EA0332" w14:paraId="23C9553B" w14:textId="77777777">
            <w:pPr>
              <w:overflowPunct w:val="0"/>
              <w:autoSpaceDE w:val="0"/>
              <w:autoSpaceDN w:val="0"/>
              <w:adjustRightInd w:val="0"/>
              <w:spacing w:line="240" w:lineRule="auto"/>
              <w:textAlignment w:val="baseline"/>
              <w:rPr>
                <w:i/>
              </w:rPr>
            </w:pPr>
            <w:hyperlink w:history="1" r:id="rId27">
              <w:r w:rsidR="00400E95">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EA0332"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28">
        <w:r w:rsidR="00400E95">
          <w:rPr>
            <w:b/>
            <w:i/>
            <w:color w:val="0000FF"/>
            <w:sz w:val="28"/>
            <w:u w:val="single"/>
          </w:rPr>
          <w:t>Nueva estrategia europea en pro del mercado interior</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2048E0"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bCs/>
              </w:rPr>
              <w:t>Ponente</w:t>
            </w:r>
          </w:p>
        </w:tc>
        <w:tc>
          <w:tcPr>
            <w:tcW w:w="3871" w:type="pct"/>
          </w:tcPr>
          <w:p w:rsidRPr="009E6551" w:rsidR="009E6551" w:rsidP="009E6551" w:rsidRDefault="009E6551" w14:paraId="1A8DCFC5" w14:textId="7734F633">
            <w:pPr>
              <w:tabs>
                <w:tab w:val="center" w:pos="0"/>
              </w:tabs>
              <w:overflowPunct w:val="0"/>
              <w:autoSpaceDE w:val="0"/>
              <w:autoSpaceDN w:val="0"/>
              <w:adjustRightInd w:val="0"/>
              <w:ind w:left="266" w:hanging="266"/>
              <w:textAlignment w:val="baseline"/>
            </w:pPr>
            <w:r>
              <w:t>Sandra PARTHIE (Grupo de Empresarios – DE)</w:t>
            </w:r>
          </w:p>
        </w:tc>
      </w:tr>
      <w:tr w:rsidRPr="009E6551" w:rsidR="009E6551" w:rsidTr="002048E0"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Coponente</w:t>
            </w:r>
          </w:p>
        </w:tc>
        <w:tc>
          <w:tcPr>
            <w:tcW w:w="3871" w:type="pct"/>
          </w:tcPr>
          <w:p w:rsidRPr="009E6551" w:rsidR="009E6551" w:rsidP="009E6551" w:rsidRDefault="009E6551" w14:paraId="0FC36817" w14:textId="3CA123C9">
            <w:pPr>
              <w:tabs>
                <w:tab w:val="center" w:pos="284"/>
              </w:tabs>
              <w:overflowPunct w:val="0"/>
              <w:autoSpaceDE w:val="0"/>
              <w:autoSpaceDN w:val="0"/>
              <w:adjustRightInd w:val="0"/>
              <w:ind w:left="266" w:hanging="266"/>
              <w:textAlignment w:val="baseline"/>
            </w:pPr>
            <w:r>
              <w:t>Alain COHEUR (Grupo de Organizaciones de la Sociedad Civil – BE)</w:t>
            </w:r>
          </w:p>
        </w:tc>
      </w:tr>
      <w:tr w:rsidRPr="009E6551" w:rsidR="009E6551" w:rsidTr="002048E0"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2048E0" w14:paraId="423137BA" w14:textId="77777777">
        <w:tc>
          <w:tcPr>
            <w:tcW w:w="1129" w:type="pct"/>
            <w:vMerge w:val="restart"/>
          </w:tcPr>
          <w:p w:rsidRPr="009E6551" w:rsidR="009E6551" w:rsidP="009E6551" w:rsidRDefault="009E6551" w14:paraId="73633D71" w14:textId="7B72BA08">
            <w:pPr>
              <w:tabs>
                <w:tab w:val="center" w:pos="284"/>
              </w:tabs>
              <w:overflowPunct w:val="0"/>
              <w:autoSpaceDE w:val="0"/>
              <w:autoSpaceDN w:val="0"/>
              <w:adjustRightInd w:val="0"/>
              <w:ind w:left="266" w:hanging="266"/>
              <w:textAlignment w:val="baseline"/>
              <w:rPr>
                <w:b/>
              </w:rPr>
            </w:pPr>
            <w:r>
              <w:rPr>
                <w:b/>
              </w:rPr>
              <w:t>Referencia</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Dictamen exploratorio solicitado por la Presidencia belga del Consejo de la UE</w:t>
            </w:r>
          </w:p>
        </w:tc>
      </w:tr>
      <w:tr w:rsidRPr="009E6551" w:rsidR="009E6551" w:rsidTr="002048E0"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0CE6B7E1">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2048E0" w:rsidRDefault="009E6551" w14:paraId="3A3C29C6" w14:textId="77777777">
      <w:pPr>
        <w:keepNext/>
        <w:keepLines/>
        <w:overflowPunct w:val="0"/>
        <w:autoSpaceDE w:val="0"/>
        <w:autoSpaceDN w:val="0"/>
        <w:adjustRightInd w:val="0"/>
        <w:textAlignment w:val="baseline"/>
        <w:rPr>
          <w:b/>
        </w:rPr>
      </w:pPr>
      <w:r>
        <w:rPr>
          <w:b/>
        </w:rPr>
        <w:t>Puntos clave</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El CESE:</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considera que una estrategia en pro del </w:t>
      </w:r>
      <w:r>
        <w:rPr>
          <w:b/>
        </w:rPr>
        <w:t>futuro del mercado interior</w:t>
      </w:r>
      <w:r>
        <w:t xml:space="preserve"> debe centrarse en varios aspectos, como impulsar una </w:t>
      </w:r>
      <w:r>
        <w:rPr>
          <w:b/>
        </w:rPr>
        <w:t>política industrial europea</w:t>
      </w:r>
      <w:r>
        <w:t xml:space="preserve">, establecer un </w:t>
      </w:r>
      <w:r>
        <w:rPr>
          <w:b/>
        </w:rPr>
        <w:t>marco favorable para las empresas y las pymes</w:t>
      </w:r>
      <w:r>
        <w:t xml:space="preserve">, fomentar las </w:t>
      </w:r>
      <w:r>
        <w:rPr>
          <w:b/>
        </w:rPr>
        <w:t>empresas de economía social</w:t>
      </w:r>
      <w:r>
        <w:t xml:space="preserve">, prestar apoyo público al </w:t>
      </w:r>
      <w:r>
        <w:rPr>
          <w:b/>
        </w:rPr>
        <w:t>proyecto europeo</w:t>
      </w:r>
      <w:r>
        <w:t xml:space="preserve">, implantar </w:t>
      </w:r>
      <w:r>
        <w:rPr>
          <w:b/>
        </w:rPr>
        <w:t>servicios de interés general</w:t>
      </w:r>
      <w:r>
        <w:t xml:space="preserve"> eficientes y debidamente organizados y avanzar hacia la protección y el desarrollo de nuestro </w:t>
      </w:r>
      <w:r>
        <w:rPr>
          <w:b/>
        </w:rPr>
        <w:t>modelo social</w:t>
      </w:r>
      <w:r>
        <w:t>;</w:t>
      </w:r>
    </w:p>
    <w:p w:rsidRPr="009E6551"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pide establecer un </w:t>
      </w:r>
      <w:r>
        <w:rPr>
          <w:b/>
        </w:rPr>
        <w:t>nuevo marco analítico que guíe la toma de decisiones políticas</w:t>
      </w:r>
      <w:r>
        <w:t xml:space="preserve"> en un mundo cambiante con nuevos retos geopolíticos. Hay varios objetivos contradictorios: las solicitudes de subvención frente a las de limitación de las ayudas estatales; las necesidades de producción local frente a los movimientos en favor de la apertura de los mercados; el acceso a las materias primas fundamentales frente a la consideración de las condiciones de la oferta. Es necesario establecer un </w:t>
      </w:r>
      <w:r>
        <w:rPr>
          <w:b/>
        </w:rPr>
        <w:t>nuevo sistema de cooperación</w:t>
      </w:r>
      <w:r>
        <w:t xml:space="preserve"> con el que hallar las soluciones más idóneas: un nuevo espíritu de colaboración entre los Estados miembros para crear </w:t>
      </w:r>
      <w:r>
        <w:rPr>
          <w:b/>
        </w:rPr>
        <w:t>un verdadero sentimiento de identidad europea</w:t>
      </w:r>
      <w:r>
        <w:t xml:space="preserve"> se antoja imprescindible;</w:t>
      </w:r>
    </w:p>
    <w:p w:rsidRPr="009E6551"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pide </w:t>
      </w:r>
      <w:r>
        <w:rPr>
          <w:b/>
        </w:rPr>
        <w:t>evaluar las consecuencias</w:t>
      </w:r>
      <w:r>
        <w:t xml:space="preserve"> de </w:t>
      </w:r>
      <w:r>
        <w:rPr>
          <w:b/>
        </w:rPr>
        <w:t>liberalizar</w:t>
      </w:r>
      <w:r>
        <w:t xml:space="preserve"> los </w:t>
      </w:r>
      <w:r>
        <w:rPr>
          <w:b/>
        </w:rPr>
        <w:t>servicios de interés económico general</w:t>
      </w:r>
      <w:r>
        <w:t xml:space="preserve"> para la cohesión económica, social y territorial, y estudiar la posible pertinencia de crear </w:t>
      </w:r>
      <w:r>
        <w:rPr>
          <w:b/>
        </w:rPr>
        <w:t>instrumentos europeos de intervención pública en los sectores de los servicios de interés económico general</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Contacto:</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Silvia Staffa</w:t>
            </w:r>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Teléfono:</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9E6551" w:rsidR="009E6551" w:rsidP="009E6551" w:rsidRDefault="00EA0332" w14:paraId="4125E6FA" w14:textId="77777777">
            <w:pPr>
              <w:overflowPunct w:val="0"/>
              <w:autoSpaceDE w:val="0"/>
              <w:autoSpaceDN w:val="0"/>
              <w:adjustRightInd w:val="0"/>
              <w:spacing w:line="240" w:lineRule="auto"/>
              <w:textAlignment w:val="baseline"/>
              <w:rPr>
                <w:iCs/>
              </w:rPr>
            </w:pPr>
            <w:hyperlink w:history="1" r:id="rId29">
              <w:r w:rsidR="00400E95">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EA0332"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0">
        <w:r w:rsidR="00400E95">
          <w:rPr>
            <w:b/>
            <w:i/>
            <w:color w:val="0000FF"/>
            <w:sz w:val="28"/>
            <w:u w:val="single"/>
          </w:rPr>
          <w:t>Revisión de la Directiva sobre morosidad</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Ponentes</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r>
              <w:t>Panagiotis GKOFAS (Grupo de Organizaciones de la Sociedad Civil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r>
              <w:t>Alena MASTANTUONO (Grupo de Empresarios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r>
              <w:t>Angelo PAGLIARA (Grupo de Trabajadores –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Referencias</w:t>
            </w:r>
          </w:p>
        </w:tc>
        <w:tc>
          <w:tcPr>
            <w:tcW w:w="3858" w:type="pct"/>
          </w:tcPr>
          <w:p w:rsidRPr="00C41F06" w:rsidR="00C41F06" w:rsidP="00C41F06" w:rsidRDefault="00C41F06" w14:paraId="16F6C4C1" w14:textId="482569CA">
            <w:pPr>
              <w:tabs>
                <w:tab w:val="center" w:pos="284"/>
              </w:tabs>
              <w:overflowPunct w:val="0"/>
              <w:autoSpaceDE w:val="0"/>
              <w:autoSpaceDN w:val="0"/>
              <w:adjustRightInd w:val="0"/>
              <w:ind w:left="266" w:hanging="266"/>
              <w:textAlignment w:val="baseline"/>
            </w:pPr>
            <w:r>
              <w:t>COM(2023) 533 final</w:t>
            </w:r>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5E584AD0">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2048E0" w:rsidRDefault="00C41F06" w14:paraId="796186DF" w14:textId="77777777">
      <w:pPr>
        <w:keepNext/>
        <w:keepLines/>
        <w:overflowPunct w:val="0"/>
        <w:autoSpaceDE w:val="0"/>
        <w:autoSpaceDN w:val="0"/>
        <w:adjustRightInd w:val="0"/>
        <w:ind w:left="266" w:hanging="266"/>
        <w:textAlignment w:val="baseline"/>
        <w:rPr>
          <w:b/>
        </w:rPr>
      </w:pPr>
      <w:r>
        <w:rPr>
          <w:b/>
        </w:rPr>
        <w:t>Puntos clave</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00C41F06" w:rsidRDefault="00C41F06" w14:paraId="23EFE05A" w14:textId="3C924908">
      <w:pPr>
        <w:overflowPunct w:val="0"/>
        <w:autoSpaceDE w:val="0"/>
        <w:autoSpaceDN w:val="0"/>
        <w:adjustRightInd w:val="0"/>
        <w:textAlignment w:val="baseline"/>
      </w:pPr>
      <w:r>
        <w:t>El CESE:</w:t>
      </w:r>
    </w:p>
    <w:p w:rsidRPr="00C41F06" w:rsidR="004B2BD8" w:rsidRDefault="004B2BD8" w14:paraId="53088023" w14:textId="77777777">
      <w:pPr>
        <w:overflowPunct w:val="0"/>
        <w:autoSpaceDE w:val="0"/>
        <w:autoSpaceDN w:val="0"/>
        <w:adjustRightInd w:val="0"/>
        <w:textAlignment w:val="baseline"/>
        <w:rPr>
          <w:bCs/>
          <w:iCs/>
        </w:rPr>
      </w:pPr>
    </w:p>
    <w:p w:rsidRPr="00C41F06"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acoge favorablemente la Comunicación de la Comisión sobre el paquete de ayuda a las pymes y su intención de seguir luchando contra la morosidad. Al mismo tiempo, el Comité expresa su </w:t>
      </w:r>
      <w:r>
        <w:rPr>
          <w:b/>
        </w:rPr>
        <w:t>preocupación por que la transformación de la actual Directiva en un Reglamento pueda limitar la flexibilidad de los Estados miembros</w:t>
      </w:r>
      <w:r>
        <w:t xml:space="preserve"> y del entorno empresarial en un momento de múltiples dificultades en toda la UE;</w:t>
      </w:r>
    </w:p>
    <w:p w:rsidRPr="00C41F06"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considera que la </w:t>
      </w:r>
      <w:r>
        <w:rPr>
          <w:b/>
        </w:rPr>
        <w:t>morosidad</w:t>
      </w:r>
      <w:r>
        <w:t xml:space="preserve"> es perjudicial para los propietarios de pequeñas empresas, sus familias y sus trabajadores, ya que tiene </w:t>
      </w:r>
      <w:r>
        <w:rPr>
          <w:b/>
        </w:rPr>
        <w:t>graves consecuencias en el pago de suministros públicos, alquileres y préstamos</w:t>
      </w:r>
      <w:r>
        <w:t xml:space="preserve">, así como en su </w:t>
      </w:r>
      <w:r>
        <w:rPr>
          <w:b/>
        </w:rPr>
        <w:t>moral y productividad</w:t>
      </w:r>
      <w:r>
        <w:t>;</w:t>
      </w:r>
    </w:p>
    <w:p w:rsidRPr="00C41F06"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considera que la Comisión, con su propuesta, intenta abordar la cuestión de los pagos dilatados y no tanto la de la morosidad mediante la </w:t>
      </w:r>
      <w:r>
        <w:rPr>
          <w:b/>
        </w:rPr>
        <w:t>introducción de medidas excesivamente restrictivas, en lugar de mejorar el actual marco de aplicación</w:t>
      </w:r>
      <w:r>
        <w:t xml:space="preserve"> con normas más eficaces;</w:t>
      </w:r>
    </w:p>
    <w:p w:rsidRPr="00C41F06"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subraya la importancia de unas negociaciones flexibles a la hora de fijar las condiciones de pago, y pone de manifiesto su profunda preocupación por la propuesta de la Comisión. En efecto, </w:t>
      </w:r>
      <w:r>
        <w:rPr>
          <w:b/>
        </w:rPr>
        <w:t>el límite de treinta días propuesto elimina la libertad contractual entre empresas</w:t>
      </w:r>
      <w:r>
        <w:t>;</w:t>
      </w:r>
    </w:p>
    <w:p w:rsidRPr="00C41F06"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acoge con satisfacción el plazo de pago propuesto, fijado en treinta días para las operaciones entre la Administración y las empresas. </w:t>
      </w:r>
      <w:r>
        <w:rPr>
          <w:b/>
        </w:rPr>
        <w:t>Las autoridades públicas deben predicar con el ejemplo, ya que constituyen un socio esencial para las empresas</w:t>
      </w:r>
      <w:r>
        <w:t>;</w:t>
      </w:r>
    </w:p>
    <w:p w:rsidRPr="00C41F06"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considera que la creación de </w:t>
      </w:r>
      <w:r>
        <w:rPr>
          <w:b/>
        </w:rPr>
        <w:t>organismos nacionales de ejecución</w:t>
      </w:r>
      <w:r>
        <w:t xml:space="preserve"> puede resultar beneficiosa. No obstante, subraya que estas autoridades </w:t>
      </w:r>
      <w:r>
        <w:rPr>
          <w:b/>
        </w:rPr>
        <w:t>tendrán que actuar de manera objetiva y garantizar la máxima confidencialidad</w:t>
      </w:r>
      <w:r>
        <w:t xml:space="preserve"> al tratar información comercialmente sensible tanto de las empresas como de las autoridades públicas, sin imponer obligaciones adicionales en materia de notificación;</w:t>
      </w:r>
    </w:p>
    <w:p w:rsidRPr="00C41F06" w:rsidR="00C41F06" w:rsidP="002048E0"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considera que unas </w:t>
      </w:r>
      <w:r>
        <w:rPr>
          <w:b/>
        </w:rPr>
        <w:t>condiciones estrictas sobre las condiciones de pago</w:t>
      </w:r>
      <w:r>
        <w:t xml:space="preserve"> podrían potencialmente repercutir en las transacciones comerciales dentro del mercado único e impulsar las operaciones empresariales fuera de la UE. Sería más fácil colaborar con proveedores de terceros países a los que se permite aceptar plazos de pago más largos. Esto podría suponer una </w:t>
      </w:r>
      <w:r>
        <w:rPr>
          <w:b/>
        </w:rPr>
        <w:t>amenaza para la competitividad de Europa</w:t>
      </w:r>
      <w:r>
        <w:t xml:space="preserve"> y debe evitarse.</w:t>
      </w:r>
    </w:p>
    <w:p w:rsidRPr="00C41F06" w:rsidR="00C41F06" w:rsidP="002048E0"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89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0"/>
        <w:gridCol w:w="5290"/>
      </w:tblGrid>
      <w:tr w:rsidRPr="00C41F06" w:rsidR="00C41F06" w:rsidTr="00B95087" w14:paraId="6F31166D" w14:textId="77777777">
        <w:tc>
          <w:tcPr>
            <w:tcW w:w="1347"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Contacto:</w:t>
            </w:r>
          </w:p>
        </w:tc>
        <w:tc>
          <w:tcPr>
            <w:tcW w:w="3653"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r>
              <w:rPr>
                <w:i/>
              </w:rPr>
              <w:t>Dalila Bernard</w:t>
            </w:r>
          </w:p>
        </w:tc>
      </w:tr>
      <w:tr w:rsidRPr="00C41F06" w:rsidR="00C41F06" w:rsidTr="00B95087" w14:paraId="14726A39" w14:textId="77777777">
        <w:tc>
          <w:tcPr>
            <w:tcW w:w="1347"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Teléfono:</w:t>
            </w:r>
          </w:p>
        </w:tc>
        <w:tc>
          <w:tcPr>
            <w:tcW w:w="3653"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B95087" w14:paraId="1DBDA269" w14:textId="77777777">
        <w:tc>
          <w:tcPr>
            <w:tcW w:w="1347"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Correo electrónico:</w:t>
            </w:r>
          </w:p>
        </w:tc>
        <w:tc>
          <w:tcPr>
            <w:tcW w:w="3653" w:type="pct"/>
          </w:tcPr>
          <w:p w:rsidRPr="00C41F06" w:rsidR="00C41F06" w:rsidP="00C41F06" w:rsidRDefault="00EA0332" w14:paraId="36F98705" w14:textId="77777777">
            <w:pPr>
              <w:overflowPunct w:val="0"/>
              <w:autoSpaceDE w:val="0"/>
              <w:autoSpaceDN w:val="0"/>
              <w:adjustRightInd w:val="0"/>
              <w:spacing w:line="240" w:lineRule="auto"/>
              <w:textAlignment w:val="baseline"/>
              <w:rPr>
                <w:i/>
              </w:rPr>
            </w:pPr>
            <w:hyperlink w:history="1" r:id="rId31">
              <w:r w:rsidR="00400E95">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33"/>
      <w:bookmarkStart w:name="_Toc157503198" w:id="34"/>
      <w:r>
        <w:rPr>
          <w:b/>
        </w:rPr>
        <w:lastRenderedPageBreak/>
        <w:t>AGRICULTURA, DESARROLLO RURAL Y MEDIO AMBIENTE</w:t>
      </w:r>
      <w:bookmarkStart w:name="_Hlk145944317" w:id="35"/>
      <w:bookmarkEnd w:id="33"/>
      <w:bookmarkEnd w:id="34"/>
    </w:p>
    <w:bookmarkEnd w:id="35"/>
    <w:p w:rsidRPr="00094B6B" w:rsidR="002C016E" w:rsidP="00DE43CE" w:rsidRDefault="002C016E" w14:paraId="0E7342A4" w14:textId="73254B30">
      <w:pPr>
        <w:keepNext/>
        <w:keepLines/>
        <w:jc w:val="left"/>
        <w:rPr>
          <w:bCs/>
          <w:iCs/>
        </w:rPr>
      </w:pPr>
    </w:p>
    <w:p w:rsidRPr="001546A6" w:rsidR="001546A6" w:rsidP="002048E0" w:rsidRDefault="00EA0332"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2">
        <w:r w:rsidR="001546A6">
          <w:rPr>
            <w:b/>
            <w:i/>
            <w:color w:val="0000FF"/>
            <w:sz w:val="28"/>
            <w:u w:val="single"/>
          </w:rPr>
          <w:t>Objetivos para fijar las posibilidades de pesca</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bCs/>
              </w:rPr>
              <w:t>Ponente</w:t>
            </w:r>
          </w:p>
        </w:tc>
        <w:tc>
          <w:tcPr>
            <w:tcW w:w="7479" w:type="dxa"/>
          </w:tcPr>
          <w:p w:rsidRPr="001D1D1C" w:rsidR="001546A6" w:rsidP="001546A6" w:rsidRDefault="001546A6" w14:paraId="71636E19" w14:textId="7F3B9901">
            <w:pPr>
              <w:tabs>
                <w:tab w:val="center" w:pos="284"/>
              </w:tabs>
              <w:overflowPunct w:val="0"/>
              <w:autoSpaceDE w:val="0"/>
              <w:autoSpaceDN w:val="0"/>
              <w:adjustRightInd w:val="0"/>
              <w:ind w:left="266" w:hanging="266"/>
              <w:textAlignment w:val="baseline"/>
            </w:pPr>
            <w:r>
              <w:t xml:space="preserve">Panagiotis GKOFAS (Grupo de Organizaciones de la Sociedad Civil –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Referencias</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COM(2023) 771 final</w:t>
            </w:r>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El CESE:</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reconoce que el objetivo de la propuesta legislativa es modificar los planes plurianuales para determinadas poblaciones pescadas en el mar Báltico, el mar del Norte y las aguas occidentales, así como para las pesquerías que explotan estas poblaciones, a fin de garantizar la coherencia de las normas que regulan la fijación de las posibilidades de pesca anuales por el Consejo;</w:t>
      </w:r>
    </w:p>
    <w:p w:rsidRPr="001546A6"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reconoce que los tres planes plurianuales contienen la denominada «norma del 5 %», que establece que las posibilidades de pesca se fijarán de manera que se garantice que existe menos de un 5 % de probabilidad de que la biomasa de la población reproductora caiga hasta el punto por debajo del cual puede haber una capacidad reproductora reducida;</w:t>
      </w:r>
    </w:p>
    <w:p w:rsidRPr="001546A6"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admite que, en determinadas circunstancias relativas al estado de una cierta población de peces y a las previsiones a corto plazo para el desarrollo de su biomasa, la aplicación de la norma del 5 % puede implicar que no puedan fijarse posibilidades de pesca y que deba suspenderse la pesca dirigida, con las graves consecuencias socioeconómicas que ello podría conllevar;</w:t>
      </w:r>
    </w:p>
    <w:p w:rsidRPr="001546A6"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y, por lo tanto, está de acuerdo con la propuesta de suprimir la norma del 5 % en estos tres planes plurianuales.</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1546A6" w:rsidR="001546A6" w:rsidTr="00B95087" w14:paraId="70454B14" w14:textId="77777777">
        <w:tc>
          <w:tcPr>
            <w:tcW w:w="1951"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Contacto:</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Pr>
                <w:i/>
              </w:rPr>
              <w:t>Arturo Íñiguez</w:t>
            </w:r>
          </w:p>
        </w:tc>
      </w:tr>
      <w:tr w:rsidRPr="001546A6" w:rsidR="001546A6" w:rsidTr="00B95087" w14:paraId="59C49362" w14:textId="77777777">
        <w:tc>
          <w:tcPr>
            <w:tcW w:w="1951"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Teléfono:</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B95087" w14:paraId="7E13A8F0" w14:textId="77777777">
        <w:tc>
          <w:tcPr>
            <w:tcW w:w="1951"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Correo electrónico:</w:t>
            </w:r>
          </w:p>
        </w:tc>
        <w:tc>
          <w:tcPr>
            <w:tcW w:w="5670" w:type="dxa"/>
          </w:tcPr>
          <w:p w:rsidRPr="00C83487" w:rsidR="001546A6" w:rsidP="001546A6" w:rsidRDefault="00EA0332" w14:paraId="4CAF59C5" w14:textId="663BE3D7">
            <w:pPr>
              <w:overflowPunct w:val="0"/>
              <w:autoSpaceDE w:val="0"/>
              <w:autoSpaceDN w:val="0"/>
              <w:adjustRightInd w:val="0"/>
              <w:spacing w:line="240" w:lineRule="auto"/>
              <w:textAlignment w:val="baseline"/>
              <w:rPr>
                <w:i/>
                <w:color w:val="0000FF"/>
                <w:u w:val="single"/>
              </w:rPr>
            </w:pPr>
            <w:hyperlink w:history="1" r:id="rId33">
              <w:r w:rsidR="00400E95">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EA0332"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4">
        <w:r w:rsidR="00400E95">
          <w:rPr>
            <w:b/>
            <w:i/>
            <w:color w:val="0000FF"/>
            <w:sz w:val="28"/>
            <w:u w:val="single"/>
          </w:rPr>
          <w:t>Hacia la política agrícola común (PAC) después de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7926"/>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bCs/>
              </w:rPr>
              <w:t>Ponente</w:t>
            </w:r>
          </w:p>
        </w:tc>
        <w:tc>
          <w:tcPr>
            <w:tcW w:w="4267" w:type="pct"/>
          </w:tcPr>
          <w:p w:rsidRPr="0048644C" w:rsidR="0048644C" w:rsidP="0048644C" w:rsidRDefault="0048644C" w14:paraId="0A2388D7" w14:textId="3831C980">
            <w:pPr>
              <w:tabs>
                <w:tab w:val="center" w:pos="284"/>
              </w:tabs>
              <w:overflowPunct w:val="0"/>
              <w:autoSpaceDE w:val="0"/>
              <w:autoSpaceDN w:val="0"/>
              <w:adjustRightInd w:val="0"/>
              <w:ind w:left="266" w:hanging="266"/>
              <w:textAlignment w:val="baseline"/>
              <w:rPr>
                <w:bCs/>
              </w:rPr>
            </w:pPr>
            <w:r>
              <w:t>Stoyan TCHOUKANOV (Grupo de Organizaciones de la Sociedad Civil –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Referencias</w:t>
            </w:r>
          </w:p>
        </w:tc>
        <w:tc>
          <w:tcPr>
            <w:tcW w:w="4267" w:type="pct"/>
          </w:tcPr>
          <w:p w:rsidRPr="0048644C" w:rsidR="0048644C" w:rsidP="0048644C" w:rsidRDefault="0048644C" w14:paraId="12F473B0" w14:textId="690BF5E2">
            <w:pPr>
              <w:tabs>
                <w:tab w:val="center" w:pos="284"/>
              </w:tabs>
              <w:overflowPunct w:val="0"/>
              <w:autoSpaceDE w:val="0"/>
              <w:autoSpaceDN w:val="0"/>
              <w:adjustRightInd w:val="0"/>
              <w:ind w:left="266" w:hanging="266"/>
              <w:textAlignment w:val="baseline"/>
            </w:pPr>
            <w:r>
              <w:t>Dictamen exploratorio solicitado por la Presidencia belga del Consejo de la UE</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2048E0" w:rsidRDefault="0048644C" w14:paraId="66B2F906" w14:textId="5A6361DC">
      <w:pPr>
        <w:keepNext/>
        <w:keepLines/>
        <w:overflowPunct w:val="0"/>
        <w:autoSpaceDE w:val="0"/>
        <w:autoSpaceDN w:val="0"/>
        <w:adjustRightInd w:val="0"/>
        <w:textAlignment w:val="baseline"/>
        <w:rPr>
          <w:b/>
        </w:rPr>
      </w:pPr>
      <w:r>
        <w:rPr>
          <w:b/>
        </w:rPr>
        <w:t>Puntos clave</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0048644C" w:rsidRDefault="0048644C" w14:paraId="08594ACA" w14:textId="29EC958C">
      <w:pPr>
        <w:overflowPunct w:val="0"/>
        <w:autoSpaceDE w:val="0"/>
        <w:autoSpaceDN w:val="0"/>
        <w:adjustRightInd w:val="0"/>
        <w:textAlignment w:val="baseline"/>
      </w:pPr>
      <w:r>
        <w:t>El CESE considera que la política agrícola común (PAC) posterior a 2027:</w:t>
      </w:r>
    </w:p>
    <w:p w:rsidRPr="0048644C" w:rsidR="00B95087" w:rsidRDefault="00B95087" w14:paraId="7431E4E9" w14:textId="77777777">
      <w:pPr>
        <w:overflowPunct w:val="0"/>
        <w:autoSpaceDE w:val="0"/>
        <w:autoSpaceDN w:val="0"/>
        <w:adjustRightInd w:val="0"/>
        <w:textAlignment w:val="baseline"/>
        <w:rPr>
          <w:bCs/>
          <w:iCs/>
        </w:rPr>
      </w:pPr>
    </w:p>
    <w:p w:rsidRPr="002048E0"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199" w:id="36"/>
      <w:r>
        <w:t xml:space="preserve">debe aportar un </w:t>
      </w:r>
      <w:r>
        <w:rPr>
          <w:b/>
        </w:rPr>
        <w:t>marco político estable a largo plazo</w:t>
      </w:r>
      <w:r>
        <w:t xml:space="preserve"> orientado a una producción sostenible de alimentos y a una autonomía estratégica abierta de la Unión Europea, que proteja la diversidad de tipos de agricultura de la UE y a la vez responda a las necesidades de la sociedad («dinero público para bienes públicos») y garantice el desarrollo rural;</w:t>
      </w:r>
      <w:bookmarkEnd w:id="36"/>
    </w:p>
    <w:p w:rsidRPr="002048E0" w:rsidR="0048644C" w:rsidP="002048E0"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0" w:id="37"/>
      <w:r>
        <w:t xml:space="preserve">debe ser una </w:t>
      </w:r>
      <w:r>
        <w:rPr>
          <w:b/>
        </w:rPr>
        <w:t>llamada de atención</w:t>
      </w:r>
      <w:r>
        <w:t xml:space="preserve"> que ponga de relieve la necesidad de apoyar adecuadamente a los agricultores y ganaderos a lo largo de la transición;</w:t>
      </w:r>
      <w:bookmarkEnd w:id="37"/>
      <w:r>
        <w:t xml:space="preserve"> </w:t>
      </w:r>
    </w:p>
    <w:p w:rsidRPr="002048E0" w:rsidR="0048644C" w:rsidP="002048E0"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1" w:id="38"/>
      <w:r>
        <w:t xml:space="preserve">a pesar de que la parte del presupuesto de la UE destinada a la PAC ha disminuido constantemente en los últimos cuarenta años, pasando a ser algo menos del 25 % en 2021, la </w:t>
      </w:r>
      <w:r>
        <w:rPr>
          <w:b/>
        </w:rPr>
        <w:t>financiación</w:t>
      </w:r>
      <w:r>
        <w:t xml:space="preserve"> debe ser acorde con su ambición de apoyar una transición justa, y la ayuda básica a la renta basada en la superficie debe sustituirse gradualmente por incentivos financieros a los agricultores y ganaderos por sus servicios al medio ambiente y a la sociedad, con un período de transición razonable que pueda ir más allá de un único marco financiero plurianual;</w:t>
      </w:r>
      <w:bookmarkEnd w:id="38"/>
      <w:r>
        <w:t xml:space="preserve"> </w:t>
      </w:r>
    </w:p>
    <w:p w:rsidRPr="002048E0" w:rsidR="0048644C" w:rsidP="002048E0"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2" w:id="39"/>
      <w:r>
        <w:t xml:space="preserve">junto con otras políticas y para evitar una nueva caída del número de explotaciones agrícolas y ganaderas en la UE, debe promoverse el </w:t>
      </w:r>
      <w:r>
        <w:rPr>
          <w:b/>
        </w:rPr>
        <w:t>relevo generacional</w:t>
      </w:r>
      <w:r>
        <w:t xml:space="preserve"> a través del acceso a las tierras, el aumento de la renta media en el sector, las condiciones favorables de inversión, la capacitación de las mujeres, unas mejores condiciones laborales, la mejora de las perspectivas a largo plazo de los profesionales del sector, la promoción de la explotación sostenible de los terrenos abandonados o marginales y la ganadería extensiva;</w:t>
      </w:r>
      <w:bookmarkEnd w:id="39"/>
    </w:p>
    <w:p w:rsidRPr="002048E0"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3" w:id="40"/>
      <w:r>
        <w:t xml:space="preserve">debe preservar una producción agrícola sostenible en toda la UE y contribuir a estimular la </w:t>
      </w:r>
      <w:r>
        <w:rPr>
          <w:b/>
        </w:rPr>
        <w:t>demanda de los consumidores</w:t>
      </w:r>
      <w:r>
        <w:t xml:space="preserve"> de la UE de dietas más saludables y sostenibles, reducir el desperdicio de alimentos y regular los mercados de alimentos al objeto de abordar una financierización del sector alimentario;</w:t>
      </w:r>
      <w:bookmarkEnd w:id="40"/>
    </w:p>
    <w:p w:rsidRPr="002048E0"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4" w:id="41"/>
      <w:r>
        <w:t xml:space="preserve">debe considerar la posibilidad de incluir </w:t>
      </w:r>
      <w:r>
        <w:rPr>
          <w:b/>
        </w:rPr>
        <w:t>elementos anticíclicos</w:t>
      </w:r>
      <w:r>
        <w:t xml:space="preserve"> y establecer regímenes de apoyo a la inversión destinados a la producción de energía renovable a escala local y a nivel de explotación en las zonas rurales;</w:t>
      </w:r>
      <w:bookmarkEnd w:id="41"/>
    </w:p>
    <w:p w:rsidRPr="002048E0"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5" w:id="42"/>
      <w:r>
        <w:t xml:space="preserve">debería apoyarse en unas asociaciones público-privadas reforzadas para el establecimiento de </w:t>
      </w:r>
      <w:r>
        <w:rPr>
          <w:b/>
          <w:bCs/>
        </w:rPr>
        <w:t>regímenes de seguros</w:t>
      </w:r>
      <w:r>
        <w:t xml:space="preserve"> en respuesta a los efectos de las condiciones climáticas extremas;</w:t>
      </w:r>
      <w:bookmarkEnd w:id="42"/>
    </w:p>
    <w:p w:rsidRPr="002048E0"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6" w:id="43"/>
      <w:r>
        <w:t xml:space="preserve">debe apoyar las </w:t>
      </w:r>
      <w:r>
        <w:rPr>
          <w:b/>
        </w:rPr>
        <w:t>tecnologías digitales</w:t>
      </w:r>
      <w:r>
        <w:t xml:space="preserve"> que contribuyen con eficacia probada a reducir las presiones ejercidas sobre el medio ambiente y la naturaleza y a mejorar el bienestar animal o las condiciones laborales;</w:t>
      </w:r>
      <w:bookmarkEnd w:id="43"/>
    </w:p>
    <w:p w:rsidRPr="002048E0" w:rsidR="0048644C" w:rsidP="002048E0"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503207" w:id="44"/>
      <w:r>
        <w:t xml:space="preserve">debe prever la </w:t>
      </w:r>
      <w:r>
        <w:rPr>
          <w:b/>
        </w:rPr>
        <w:t>revisión de los procesos</w:t>
      </w:r>
      <w:r>
        <w:t xml:space="preserve"> de diseño y adaptación de los planes estratégicos para permitir la participación de las partes interesadas, una mayor flexibilidad para los Estados miembros y adaptaciones más ágiles tras su aprobación inicial.</w:t>
      </w:r>
      <w:bookmarkEnd w:id="44"/>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Contacto:</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Pr>
                <w:i/>
              </w:rPr>
              <w:t>Martine Delanoy</w:t>
            </w:r>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Teléfono:</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48644C" w:rsidR="0048644C" w:rsidP="0048644C" w:rsidRDefault="00EA0332" w14:paraId="7C6FE1E8" w14:textId="755735AE">
            <w:pPr>
              <w:overflowPunct w:val="0"/>
              <w:autoSpaceDE w:val="0"/>
              <w:autoSpaceDN w:val="0"/>
              <w:adjustRightInd w:val="0"/>
              <w:spacing w:line="240" w:lineRule="auto"/>
              <w:textAlignment w:val="baseline"/>
              <w:rPr>
                <w:i/>
              </w:rPr>
            </w:pPr>
            <w:hyperlink w:history="1" r:id="rId35">
              <w:r w:rsidR="00400E95">
                <w:rPr>
                  <w:i/>
                  <w:color w:val="0000FF"/>
                  <w:u w:val="single"/>
                </w:rPr>
                <w:t>Martine.Delanoy@eesc.europa.eu</w:t>
              </w:r>
            </w:hyperlink>
          </w:p>
        </w:tc>
      </w:tr>
    </w:tbl>
    <w:p w:rsidRPr="00810736" w:rsidR="006B3316" w:rsidP="0074419C" w:rsidRDefault="005374D2" w14:paraId="4FE1ECEE" w14:textId="7B16969B">
      <w:pPr>
        <w:pStyle w:val="Heading1"/>
        <w:ind w:hanging="928"/>
        <w:rPr>
          <w:b/>
          <w:bCs/>
        </w:rPr>
      </w:pPr>
      <w:bookmarkStart w:name="_Toc153539702" w:id="45"/>
      <w:bookmarkStart w:name="_Toc157503208" w:id="46"/>
      <w:r>
        <w:rPr>
          <w:b/>
        </w:rPr>
        <w:lastRenderedPageBreak/>
        <w:t>RELACIONES EXTERIORES</w:t>
      </w:r>
      <w:bookmarkEnd w:id="45"/>
      <w:bookmarkEnd w:id="46"/>
    </w:p>
    <w:p w:rsidRPr="00BD0493" w:rsidR="00BD0493" w:rsidP="00BD0493" w:rsidRDefault="00BD0493" w14:paraId="10EC00FD" w14:textId="77777777"/>
    <w:p w:rsidRPr="005D0E3D" w:rsidR="005D0E3D" w:rsidP="005D0E3D" w:rsidRDefault="00EA0332"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36">
        <w:r w:rsidR="00400E95">
          <w:rPr>
            <w:b/>
            <w:i/>
            <w:color w:val="0000FF"/>
            <w:sz w:val="28"/>
            <w:u w:val="single"/>
          </w:rPr>
          <w:t>Abordar los efectos del cambio climático y la degradación del medio ambiente en la paz, la seguridad y la defensa</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bCs/>
              </w:rPr>
              <w:t>Ponente</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r>
              <w:t>Özlem YILDIRIM (Grupo de Trabajadores –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1A6A64D6">
            <w:pPr>
              <w:tabs>
                <w:tab w:val="center" w:pos="284"/>
              </w:tabs>
              <w:overflowPunct w:val="0"/>
              <w:autoSpaceDE w:val="0"/>
              <w:autoSpaceDN w:val="0"/>
              <w:adjustRightInd w:val="0"/>
              <w:ind w:left="266" w:hanging="266"/>
              <w:textAlignment w:val="baseline"/>
              <w:rPr>
                <w:b/>
              </w:rPr>
            </w:pPr>
            <w:r>
              <w:rPr>
                <w:b/>
              </w:rPr>
              <w:t>Referencias</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JOIN(2023) 19 final</w:t>
            </w:r>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2048E0" w:rsidRDefault="005D0E3D" w14:paraId="20E53CE1" w14:textId="77777777">
      <w:pPr>
        <w:keepNext/>
        <w:keepLines/>
        <w:overflowPunct w:val="0"/>
        <w:autoSpaceDE w:val="0"/>
        <w:autoSpaceDN w:val="0"/>
        <w:adjustRightInd w:val="0"/>
        <w:textAlignment w:val="baseline"/>
        <w:rPr>
          <w:b/>
        </w:rPr>
      </w:pPr>
      <w:r>
        <w:rPr>
          <w:b/>
        </w:rPr>
        <w:t>Puntos clave</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El CESE:</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2048E0"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considera que los efectos del cambio climático agravan los riesgos y amenazas para la paz y la seguridad europea e internacional; </w:t>
      </w:r>
    </w:p>
    <w:p w:rsidRPr="005D0E3D" w:rsidR="005D0E3D" w:rsidP="002048E0"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poya la intención de la Comisión Europea de tener en cuenta la problemática del nexo entre clima y seguridad, pero señala no obstante que deberían definirse mejor los límites geográficos, políticos y militares de esta cuestión;</w:t>
      </w:r>
    </w:p>
    <w:p w:rsidRPr="005D0E3D"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considera urgente invertir en el despliegue de respuestas resilientes y en concreto preparar los procesos decisorios europeos para poder hacer frente a este tipo de tensiones futuras;</w:t>
      </w:r>
    </w:p>
    <w:p w:rsidRPr="005D0E3D"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recomienda que las instituciones europeas consideren la posibilidad de integrar en dichos procesos de formulación de políticas europeas la consideración de la rápida evolución de las realidades biofísicas (de las que dependen la vida y el bienestar de la población) y la cohesión política (tanto de los Estados miembros como de los países de la vecindad y socios de la UE);</w:t>
      </w:r>
    </w:p>
    <w:p w:rsidRPr="005D0E3D"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recuerda la misión fundamental del proyecto europeo, que consiste en promover y mantener la paz, y reafirma que tal misión es de suma importancia. Para su consecución, Europa debe redoblar sus esfuerzos por consolidar la paz. La promoción de la paz es indisociable de la preservación y promoción de los derechos fundamentales y de la democracia. La consideración del nexo entre clima y seguridad tiene por finalidad salvaguardar estos derechos, en la medida en que el objetivo de este enfoque es mantener y promover los derechos fundamentales frente a los retos que las repercusiones de la inseguridad generada por el cambio climático pueden suponer para las personas y las sociedades;</w:t>
      </w:r>
    </w:p>
    <w:p w:rsidRPr="005D0E3D"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recomienda que se tenga más en cuenta el nexo entre clima y seguridad creando interfaces proactivas entre las instituciones responsables de las relaciones exteriores, de la cohesión interna de la Unión, de los servicios de seguridad y de la defensa de los Estados miembros, e incorporando el diálogo permanente con la comunidad científica. Son refuerzos que deberán integrar las aportaciones de la investigación y la innovación en materia de resiliencia, lo que mejorará la prospectiva y la eficacia de las acciones de la UE.</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Contacto:</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Ana Dujmovic</w:t>
            </w:r>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Teléfono:</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Correo electrónico:</w:t>
            </w:r>
          </w:p>
        </w:tc>
        <w:tc>
          <w:tcPr>
            <w:tcW w:w="4252" w:type="dxa"/>
          </w:tcPr>
          <w:p w:rsidRPr="005D0E3D" w:rsidR="005D0E3D" w:rsidP="005D0E3D" w:rsidRDefault="00EA0332" w14:paraId="7D5BAAE0" w14:textId="69E0C0B9">
            <w:pPr>
              <w:overflowPunct w:val="0"/>
              <w:autoSpaceDE w:val="0"/>
              <w:autoSpaceDN w:val="0"/>
              <w:adjustRightInd w:val="0"/>
              <w:spacing w:line="240" w:lineRule="auto"/>
              <w:textAlignment w:val="baseline"/>
              <w:rPr>
                <w:i/>
              </w:rPr>
            </w:pPr>
            <w:hyperlink w:history="1" r:id="rId37">
              <w:r w:rsidR="00400E95">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7065DF" w:rsidRDefault="00E110D0" w14:paraId="268D0B18" w14:textId="0D072EE0">
      <w:pPr>
        <w:pStyle w:val="Heading1"/>
        <w:tabs>
          <w:tab w:val="clear" w:pos="440"/>
          <w:tab w:val="left" w:pos="709"/>
        </w:tabs>
        <w:ind w:left="709" w:hanging="709"/>
        <w:rPr>
          <w:b/>
          <w:bCs/>
        </w:rPr>
      </w:pPr>
      <w:bookmarkStart w:name="_Toc153539712" w:id="47"/>
      <w:bookmarkStart w:name="_Toc157503209" w:id="48"/>
      <w:r>
        <w:rPr>
          <w:b/>
        </w:rPr>
        <w:lastRenderedPageBreak/>
        <w:t>SECCIÓN DE TRANSPORTES, ENERGÍA, INFRAESTRUCTURAS Y SOCIEDAD DE LA INFORMACIÓN</w:t>
      </w:r>
      <w:bookmarkEnd w:id="47"/>
      <w:bookmarkEnd w:id="48"/>
    </w:p>
    <w:p w:rsidR="0092772D" w:rsidP="00775FC4" w:rsidRDefault="0092772D" w14:paraId="764F554F" w14:textId="3DB1B15F">
      <w:pPr>
        <w:keepNext/>
        <w:keepLines/>
      </w:pPr>
    </w:p>
    <w:p w:rsidRPr="00AE6861" w:rsidR="00AE6861" w:rsidP="00AE6861" w:rsidRDefault="00EA0332"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38">
        <w:r w:rsidR="00AE6861">
          <w:rPr>
            <w:b/>
            <w:i/>
            <w:color w:val="0000FF"/>
            <w:sz w:val="28"/>
            <w:u w:val="single"/>
          </w:rPr>
          <w:t>Planificación de infraestructuras energéticas transfronterizas</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bCs/>
              </w:rPr>
              <w:t>Ponente</w:t>
            </w:r>
            <w:r>
              <w:rPr>
                <w:b/>
              </w:rPr>
              <w:t xml:space="preserve"> </w:t>
            </w:r>
          </w:p>
        </w:tc>
        <w:tc>
          <w:tcPr>
            <w:tcW w:w="6838" w:type="dxa"/>
          </w:tcPr>
          <w:p w:rsidRPr="00AE6861" w:rsidR="00AE6861" w:rsidP="00AE6861" w:rsidRDefault="00AE6861" w14:paraId="3E0F0420" w14:textId="73086536">
            <w:pPr>
              <w:tabs>
                <w:tab w:val="center" w:pos="284"/>
              </w:tabs>
              <w:overflowPunct w:val="0"/>
              <w:autoSpaceDE w:val="0"/>
              <w:autoSpaceDN w:val="0"/>
              <w:adjustRightInd w:val="0"/>
              <w:ind w:left="266" w:hanging="266"/>
              <w:textAlignment w:val="baseline"/>
            </w:pPr>
            <w:r>
              <w:t>Thomas KATTNIG (Grupo de Trabajadores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Referencias</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Dictamen exploratorio solicitado por la Presidencia belga del Consejo de la UE</w:t>
            </w:r>
          </w:p>
          <w:p w:rsidRPr="00AE6861" w:rsidR="00AE6861" w:rsidP="00AE6861" w:rsidRDefault="00AE6861" w14:paraId="793F9518" w14:textId="241FC048">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Puntos clave</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El CESE:</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destaca que las infraestructuras energéticas, como las infraestructuras de transporte y distribución de energía, no pueden tratarse como cualquier otro producto, sino que deben clasificarse como un servicio de interés general para la economía y la población;</w:t>
      </w:r>
    </w:p>
    <w:p w:rsidRPr="00AE6861"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pide que se haga especial hincapié en definir el desarrollo de las redes y las interconexiones transfronterizas, tanto terrestres como marítimas, como infraestructuras críticas de interés público primordial, incluir la protección del clima como objetivo de la normativa y, de manera más general, sincronizar con mayor eficacia la planificación de las energías renovables y la red eléctrica;</w:t>
      </w:r>
    </w:p>
    <w:p w:rsidRPr="00AE6861"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subraya que, reconociendo el aumento de la demanda, es especialmente importante realizar inversiones sustanciales en las redes eléctricas con el fin de estimular la economía europea y crear puestos de trabajo (ecológicos) de alta calidad;</w:t>
      </w:r>
    </w:p>
    <w:p w:rsidRPr="00AE6861"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pide medidas más vinculantes para los gestores de redes de transporte (GRT) y los gestores de redes de distribución (GRD), pero también incluir a los productores de energía en las medidas de estabilización de la red, a fin de coordinar mejor sus acciones y propiciar que la red se beneficie de la digitalización;</w:t>
      </w:r>
    </w:p>
    <w:p w:rsidRPr="00AE6861"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señala que las infraestructuras energéticas, como las instalaciones a gran escala, requieren una atención especial en lo que se refiere a medidas de seguridad. En particular, la cuestión de la (ciber)seguridad debe convertirse en una prioridad aún mayor.</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AE6861" w:rsidR="00AE6861" w:rsidTr="007065DF" w14:paraId="5AE54BB8" w14:textId="77777777">
        <w:tc>
          <w:tcPr>
            <w:tcW w:w="1951"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Contacto:</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r>
              <w:rPr>
                <w:i/>
              </w:rPr>
              <w:t>Giorgia Bordignon</w:t>
            </w:r>
          </w:p>
        </w:tc>
      </w:tr>
      <w:tr w:rsidRPr="00AE6861" w:rsidR="00AE6861" w:rsidTr="007065DF" w14:paraId="1C50B3C3" w14:textId="77777777">
        <w:tc>
          <w:tcPr>
            <w:tcW w:w="1951"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Teléfono:</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25468535</w:t>
            </w:r>
          </w:p>
        </w:tc>
      </w:tr>
      <w:tr w:rsidRPr="00AE6861" w:rsidR="00AE6861" w:rsidTr="007065DF" w14:paraId="194AB4C5" w14:textId="77777777">
        <w:tc>
          <w:tcPr>
            <w:tcW w:w="1951" w:type="dxa"/>
          </w:tcPr>
          <w:p w:rsidRPr="00AE6861" w:rsidR="00AE6861" w:rsidP="00AE6861" w:rsidRDefault="006B1A4D" w14:paraId="5F0CF1BE" w14:textId="712040C7">
            <w:pPr>
              <w:overflowPunct w:val="0"/>
              <w:autoSpaceDE w:val="0"/>
              <w:autoSpaceDN w:val="0"/>
              <w:adjustRightInd w:val="0"/>
              <w:spacing w:line="240" w:lineRule="auto"/>
              <w:textAlignment w:val="baseline"/>
              <w:rPr>
                <w:i/>
              </w:rPr>
            </w:pPr>
            <w:r>
              <w:rPr>
                <w:i/>
              </w:rPr>
              <w:t>Correo electrónico:</w:t>
            </w:r>
          </w:p>
        </w:tc>
        <w:tc>
          <w:tcPr>
            <w:tcW w:w="5670" w:type="dxa"/>
          </w:tcPr>
          <w:p w:rsidRPr="00AE6861" w:rsidR="00AE6861" w:rsidP="00AE6861" w:rsidRDefault="00EA0332" w14:paraId="0EA2DED1" w14:textId="77777777">
            <w:pPr>
              <w:overflowPunct w:val="0"/>
              <w:autoSpaceDE w:val="0"/>
              <w:autoSpaceDN w:val="0"/>
              <w:adjustRightInd w:val="0"/>
              <w:spacing w:line="240" w:lineRule="auto"/>
              <w:textAlignment w:val="baseline"/>
              <w:rPr>
                <w:i/>
                <w:iCs/>
              </w:rPr>
            </w:pPr>
            <w:hyperlink w:history="1" r:id="rId39">
              <w:r w:rsidR="00400E95">
                <w:rPr>
                  <w:i/>
                  <w:color w:val="0000FF"/>
                  <w:u w:val="single"/>
                </w:rPr>
                <w:t>GiorgiaAndrea.Bordignon@eesc.europa.eu</w:t>
              </w:r>
            </w:hyperlink>
          </w:p>
        </w:tc>
      </w:tr>
    </w:tbl>
    <w:bookmarkEnd w:id="0"/>
    <w:p w:rsidRPr="006C7863" w:rsidR="0092772D" w:rsidP="00322019" w:rsidRDefault="00556EDF" w14:paraId="7379A588" w14:textId="68000811">
      <w:pPr>
        <w:overflowPunct w:val="0"/>
        <w:autoSpaceDE w:val="0"/>
        <w:autoSpaceDN w:val="0"/>
        <w:adjustRightInd w:val="0"/>
        <w:spacing w:before="240"/>
        <w:jc w:val="center"/>
        <w:textAlignment w:val="baseline"/>
      </w:pPr>
      <w:r>
        <w:t>_____________</w:t>
      </w:r>
    </w:p>
    <w:sectPr w:rsidRPr="006C7863" w:rsidR="0092772D" w:rsidSect="00521B5A">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8924C71" w:rsidR="00765C4F" w:rsidRPr="00521B5A" w:rsidRDefault="00521B5A" w:rsidP="00521B5A">
    <w:pPr>
      <w:pStyle w:val="Footer"/>
    </w:pPr>
    <w:r>
      <w:t>EESC-2023-04915-00-0</w:t>
    </w:r>
    <w:r w:rsidR="00E63104">
      <w:t>1</w:t>
    </w:r>
    <w:r>
      <w:t xml:space="preserve">-TCD-TRA (EN) </w:t>
    </w:r>
    <w:r>
      <w:fldChar w:fldCharType="begin"/>
    </w:r>
    <w:r>
      <w:instrText xml:space="preserve"> PAGE  \* Arabic  \* MERGEFORMAT </w:instrText>
    </w:r>
    <w:r>
      <w:fldChar w:fldCharType="separate"/>
    </w:r>
    <w:r w:rsidR="002048E0">
      <w:t>1</w:t>
    </w:r>
    <w:r>
      <w:fldChar w:fldCharType="end"/>
    </w:r>
    <w:r>
      <w:t>/</w:t>
    </w:r>
    <w:fldSimple w:instr=" NUMPAGES ">
      <w:r w:rsidR="002048E0">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5ADF3EBE" w:rsidR="00E4258F" w:rsidRPr="00521B5A" w:rsidRDefault="00521B5A" w:rsidP="00521B5A">
    <w:pPr>
      <w:pStyle w:val="Footer"/>
    </w:pPr>
    <w:r>
      <w:t>EESC-2023-05816-00-0</w:t>
    </w:r>
    <w:r w:rsidR="00E63104">
      <w:t>1</w:t>
    </w:r>
    <w:r>
      <w:t xml:space="preserve">-TCD-TRA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6913"/>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4F6"/>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019"/>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0E95"/>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3E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2BD8"/>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3A34"/>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5DF"/>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E7F6E"/>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E7400"/>
    <w:rsid w:val="00AE7D02"/>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8E1"/>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087"/>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059"/>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49"/>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18B"/>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104"/>
    <w:rsid w:val="00E63571"/>
    <w:rsid w:val="00E63AC7"/>
    <w:rsid w:val="00E642C0"/>
    <w:rsid w:val="00E64300"/>
    <w:rsid w:val="00E653B3"/>
    <w:rsid w:val="00E65C6F"/>
    <w:rsid w:val="00E65D01"/>
    <w:rsid w:val="00E65DF1"/>
    <w:rsid w:val="00E66A9B"/>
    <w:rsid w:val="00E66BE0"/>
    <w:rsid w:val="00E671EB"/>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0332"/>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93E7F"/>
    <w:pPr>
      <w:tabs>
        <w:tab w:val="left" w:pos="440"/>
        <w:tab w:val="right" w:leader="dot" w:pos="9063"/>
      </w:tabs>
      <w:spacing w:before="240"/>
      <w:ind w:left="426" w:right="-284" w:hanging="426"/>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s-ES"/>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26" Type="http://schemas.openxmlformats.org/officeDocument/2006/relationships/hyperlink" Target="https://www.eesc.europa.eu/es/our-work/opinions-information-reports/opinions/european-cross-border-associations" TargetMode="External"/><Relationship Id="rId39" Type="http://schemas.openxmlformats.org/officeDocument/2006/relationships/hyperlink" Target="mailto:GiorgiaAndrea.Bordignon@eesc.europa.eu" TargetMode="External"/><Relationship Id="rId21" Type="http://schemas.openxmlformats.org/officeDocument/2006/relationships/hyperlink" Target="mailto:Radoslava.Stefankova@eesc.europa.eu" TargetMode="External"/><Relationship Id="rId34" Type="http://schemas.openxmlformats.org/officeDocument/2006/relationships/hyperlink" Target="https://www.eesc.europa.eu/es/our-work/opinions-information-reports/opinions/promoting-autonomous-and-sustainable-food-production-strategies-common-agricultural-policy-post-2027" TargetMode="External"/><Relationship Id="rId42" Type="http://schemas.openxmlformats.org/officeDocument/2006/relationships/footer" Target="footer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s/our-work/opinions-information-reports/opinions/introducing-european-innovation-stress-test" TargetMode="External"/><Relationship Id="rId32" Type="http://schemas.openxmlformats.org/officeDocument/2006/relationships/hyperlink" Target="https://www.eesc.europa.eu/es/our-work/opinions-information-reports/opinions/targets-fixing-fishing-opportunities" TargetMode="External"/><Relationship Id="rId37" Type="http://schemas.openxmlformats.org/officeDocument/2006/relationships/hyperlink" Target="mailto:Ana.Dujmovic@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esc.europa.eu/es/our-work/opinions-information-reports/opinions/establishing-head-office-tax-system-smes-hot" TargetMode="External"/><Relationship Id="rId23" Type="http://schemas.openxmlformats.org/officeDocument/2006/relationships/hyperlink" Target="mailto:Annalisa.Tessarolo@eesc.europa.eu" TargetMode="External"/><Relationship Id="rId28" Type="http://schemas.openxmlformats.org/officeDocument/2006/relationships/hyperlink" Target="https://www.eesc.europa.eu/es/our-work/opinions-information-reports/opinions/developing-new-european-strategy-internal-market-helping-our-businesses-meet-technological-social-environmental-and" TargetMode="External"/><Relationship Id="rId36" Type="http://schemas.openxmlformats.org/officeDocument/2006/relationships/hyperlink" Target="https://www.eesc.europa.eu/es/our-work/opinions-information-reports/opinions/addressing-impact-climate-change-and-environmental-degradation-peace-security-and-defence"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mailto:Alice.Tetu@eesc.europa.eu" TargetMode="External"/><Relationship Id="rId31" Type="http://schemas.openxmlformats.org/officeDocument/2006/relationships/hyperlink" Target="mailto:Dalila.Bernard@eesc.europa.eu" TargetMode="External"/><Relationship Id="rId44"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s/our-work/opinions-information-reports/opinions/combatting-poverty-and-social-exclusion-harnessing-power-social-economy-and-socio-economic-innovations" TargetMode="External"/><Relationship Id="rId27" Type="http://schemas.openxmlformats.org/officeDocument/2006/relationships/hyperlink" Target="mailto:Annalisa.Tessarolo@eesc.europa.eu" TargetMode="External"/><Relationship Id="rId30" Type="http://schemas.openxmlformats.org/officeDocument/2006/relationships/hyperlink" Target="https://www.eesc.europa.eu/es/our-work/opinions-information-reports/opinions/revision-late-payments-directive" TargetMode="External"/><Relationship Id="rId35" Type="http://schemas.openxmlformats.org/officeDocument/2006/relationships/hyperlink" Target="mailto:Martine.Delanoy@eesc.europa.eu" TargetMode="External"/><Relationship Id="rId43" Type="http://schemas.openxmlformats.org/officeDocument/2006/relationships/footer" Target="footer3.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hyperlink" Target="https://www.eesc.europa.eu/es/our-work/opinions-information-reports/opinions/euro-area-economic-policy-2024" TargetMode="External"/><Relationship Id="rId25" Type="http://schemas.openxmlformats.org/officeDocument/2006/relationships/hyperlink" Target="mailto:Marco.Manfron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s/our-work/opinions-information-reports/opinions/cross-border-energy-infrastructure-planning" TargetMode="External"/><Relationship Id="rId46" Type="http://schemas.openxmlformats.org/officeDocument/2006/relationships/fontTable" Target="fontTable.xml"/><Relationship Id="rId20" Type="http://schemas.openxmlformats.org/officeDocument/2006/relationships/hyperlink" Target="https://www.eesc.europa.eu/es/our-work/opinions-information-reports/opinions/corruption-public-procurement-and-its-impact-internal-market"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XMKEDVFMMJCW-1998863520-5414</_dlc_DocId>
    <_dlc_DocIdUrl xmlns="56a5413d-c261-4a00-870c-a20d3379ae6d">
      <Url>http://dm/eesc/2023/_layouts/15/DocIdRedir.aspx?ID=XMKEDVFMMJCW-1998863520-5414</Url>
      <Description>XMKEDVFMMJCW-1998863520-5414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Dumitrescu Mihai</DisplayName>
        <AccountId>1627</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AAA2-84E9-43EB-B67B-68962B90D647}"/>
</file>

<file path=customXml/itemProps2.xml><?xml version="1.0" encoding="utf-8"?>
<ds:datastoreItem xmlns:ds="http://schemas.openxmlformats.org/officeDocument/2006/customXml" ds:itemID="{97642433-3154-4F8A-8FAD-0FE14F27F807}"/>
</file>

<file path=customXml/itemProps3.xml><?xml version="1.0" encoding="utf-8"?>
<ds:datastoreItem xmlns:ds="http://schemas.openxmlformats.org/officeDocument/2006/customXml" ds:itemID="{977D5DC8-C0C2-4F80-A37D-98055C01C35A}"/>
</file>

<file path=customXml/itemProps4.xml><?xml version="1.0" encoding="utf-8"?>
<ds:datastoreItem xmlns:ds="http://schemas.openxmlformats.org/officeDocument/2006/customXml" ds:itemID="{A73AF670-5DD6-4CCA-A118-F9A1FC059123}"/>
</file>

<file path=docProps/app.xml><?xml version="1.0" encoding="utf-8"?>
<Properties xmlns="http://schemas.openxmlformats.org/officeDocument/2006/extended-properties" xmlns:vt="http://schemas.openxmlformats.org/officeDocument/2006/docPropsVTypes">
  <Template>Normal.dotm</Template>
  <TotalTime>0</TotalTime>
  <Pages>15</Pages>
  <Words>5118</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- 584º Pleno - enero de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Dumitrescu Mihai</cp:lastModifiedBy>
  <cp:revision>23</cp:revision>
  <cp:lastPrinted>2023-06-15T08:00:00Z</cp:lastPrinted>
  <dcterms:created xsi:type="dcterms:W3CDTF">2024-01-29T16:21:00Z</dcterms:created>
  <dcterms:modified xsi:type="dcterms:W3CDTF">2024-02-02T11:06:00Z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596e9ba9-ffa8-484a-94a2-361a8000cdb5</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SL|98a412ae-eb01-49e9-ae3d-585a81724cfc;#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25;#ES|e7a6b05b-ae16-40c8-add9-68b64b03aeba</vt:lpwstr>
  </property>
  <property fmtid="{D5CDD505-2E9C-101B-9397-08002B2CF9AE}" pid="38" name="_docset_NoMedatataSyncRequired">
    <vt:lpwstr>False</vt:lpwstr>
  </property>
</Properties>
</file>