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F2403D" w14:paraId="785AE44C" w14:textId="70B514E2">
      <w:pPr>
        <w:jc w:val="center"/>
      </w:pPr>
      <w:r>
        <w:rPr>
          <w:noProof/>
        </w:rPr>
        <w:drawing>
          <wp:inline distT="0" distB="0" distL="0" distR="0" wp14:anchorId="18869DB5" wp14:editId="09E9FDAA">
            <wp:extent cx="1792605" cy="1239520"/>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Picture 2"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6DEF0FCB"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A0A0940">
      <w:pPr>
        <w:jc w:val="right"/>
      </w:pPr>
      <w:r>
        <w:t>Brüssel, den 2. Februar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BFCADBB">
            <w:pPr>
              <w:snapToGrid w:val="0"/>
              <w:jc w:val="center"/>
              <w:rPr>
                <w:b/>
                <w:sz w:val="32"/>
              </w:rPr>
            </w:pPr>
            <w:r>
              <w:rPr>
                <w:b/>
                <w:sz w:val="32"/>
              </w:rPr>
              <w:t>584. PLENARTAGUNG</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05A5CBA3">
            <w:pPr>
              <w:snapToGrid w:val="0"/>
              <w:jc w:val="center"/>
              <w:rPr>
                <w:b/>
                <w:sz w:val="32"/>
              </w:rPr>
            </w:pPr>
            <w:r>
              <w:rPr>
                <w:b/>
                <w:sz w:val="32"/>
              </w:rPr>
              <w:t>17./18. Januar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ZUSAMMENFASSUNG DER VERABSCHIEDETEN STELLUNGNAHMEN, ENTSCHLIEẞUNGEN UND INFORMATIONS-/BEWERTUNGSBERICHTE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Dieses Dokument kann in den Amtssprachen auf den Internetseiten des EWSA unter folgender Adresse abgerufen werden:</w:t>
            </w:r>
          </w:p>
          <w:p w:rsidRPr="00094B6B" w:rsidR="00B16284" w:rsidP="00775FC4" w:rsidRDefault="00B16284" w14:paraId="4F26A4CE" w14:textId="77777777">
            <w:pPr>
              <w:snapToGrid w:val="0"/>
              <w:jc w:val="center"/>
            </w:pPr>
          </w:p>
          <w:p w:rsidRPr="00094B6B" w:rsidR="004D7AC0" w:rsidP="00775FC4" w:rsidRDefault="00FF5F8E" w14:paraId="2A9352A2" w14:textId="0680ADB6">
            <w:pPr>
              <w:snapToGrid w:val="0"/>
              <w:jc w:val="center"/>
            </w:pPr>
            <w:hyperlink w:history="1" r:id="rId12">
              <w:r w:rsidR="008778F4">
                <w:rPr>
                  <w:rStyle w:val="Hyperlink"/>
                </w:rPr>
                <w:t>https://www.eesc.europa.eu/de/our-work/opinions-information-reports/plenary-session-summaries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Die aufgeführten Stellungnahmen können online über die Suchmaschine des EWSA abgerufen werden:</w:t>
            </w:r>
          </w:p>
          <w:p w:rsidRPr="00094B6B" w:rsidR="00B16284" w:rsidP="00775FC4" w:rsidRDefault="00B16284" w14:paraId="7A5411A5" w14:textId="77777777">
            <w:pPr>
              <w:snapToGrid w:val="0"/>
              <w:jc w:val="center"/>
            </w:pPr>
          </w:p>
          <w:p w:rsidRPr="00094B6B" w:rsidR="004D7AC0" w:rsidP="00775FC4" w:rsidRDefault="00FF5F8E" w14:paraId="441AC4DD" w14:textId="1194D751">
            <w:pPr>
              <w:snapToGrid w:val="0"/>
              <w:jc w:val="center"/>
            </w:pPr>
            <w:hyperlink w:history="1" r:id="rId13">
              <w:r w:rsidR="00F2403D">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8778F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Inhalt</w:t>
          </w:r>
        </w:p>
        <w:p w:rsidRPr="00F32610" w:rsidR="00D96E67" w:rsidP="00F32610" w:rsidRDefault="00544D95" w14:paraId="5E96606E" w14:textId="708FA4DA">
          <w:pPr>
            <w:pStyle w:val="TOC1"/>
            <w:rPr>
              <w:rFonts w:asciiTheme="minorHAnsi" w:hAnsiTheme="minorHAnsi" w:eastAsiaTheme="minorEastAsia" w:cstheme="minorBidi"/>
              <w:sz w:val="22"/>
              <w:szCs w:val="22"/>
              <w:lang w:val="en-US"/>
            </w:rPr>
          </w:pPr>
          <w:r w:rsidRPr="00544D95">
            <w:fldChar w:fldCharType="begin"/>
          </w:r>
          <w:r w:rsidRPr="00544D95">
            <w:instrText xml:space="preserve"> TOC \o "1-3" \h \z \u </w:instrText>
          </w:r>
          <w:r w:rsidRPr="00544D95">
            <w:fldChar w:fldCharType="separate"/>
          </w:r>
          <w:hyperlink w:history="1" w:anchor="_Toc157777194">
            <w:r w:rsidRPr="00770799" w:rsidR="00D96E67">
              <w:rPr>
                <w:rStyle w:val="Hyperlink"/>
                <w14:scene3d>
                  <w14:camera w14:prst="orthographicFront"/>
                  <w14:lightRig w14:rig="threePt" w14:dir="t">
                    <w14:rot w14:lat="0" w14:lon="0" w14:rev="0"/>
                  </w14:lightRig>
                </w14:scene3d>
              </w:rPr>
              <w:t>1.</w:t>
            </w:r>
            <w:r w:rsidR="00D96E67">
              <w:rPr>
                <w:rFonts w:asciiTheme="minorHAnsi" w:hAnsiTheme="minorHAnsi" w:eastAsiaTheme="minorEastAsia" w:cstheme="minorBidi"/>
                <w:sz w:val="22"/>
                <w:szCs w:val="22"/>
                <w:lang w:val="en-US"/>
              </w:rPr>
              <w:tab/>
            </w:r>
            <w:r w:rsidRPr="00770799" w:rsidR="00D96E67">
              <w:rPr>
                <w:rStyle w:val="Hyperlink"/>
                <w:b/>
              </w:rPr>
              <w:t>WIRTSCHAFTS- UND WÄHRUNGSUNION, WIRTSCHAFTLICHER UND SOZIALER ZUSAMMENHALT</w:t>
            </w:r>
            <w:r w:rsidR="00D96E67">
              <w:rPr>
                <w:webHidden/>
              </w:rPr>
              <w:tab/>
            </w:r>
            <w:r w:rsidR="00D96E67">
              <w:rPr>
                <w:webHidden/>
              </w:rPr>
              <w:fldChar w:fldCharType="begin"/>
            </w:r>
            <w:r w:rsidR="00D96E67">
              <w:rPr>
                <w:webHidden/>
              </w:rPr>
              <w:instrText xml:space="preserve"> PAGEREF _Toc157777194 \h </w:instrText>
            </w:r>
            <w:r w:rsidR="00D96E67">
              <w:rPr>
                <w:webHidden/>
              </w:rPr>
            </w:r>
            <w:r w:rsidR="00D96E67">
              <w:rPr>
                <w:webHidden/>
              </w:rPr>
              <w:fldChar w:fldCharType="separate"/>
            </w:r>
            <w:r w:rsidR="00D94095">
              <w:rPr>
                <w:webHidden/>
              </w:rPr>
              <w:t>3</w:t>
            </w:r>
            <w:r w:rsidR="00D96E67">
              <w:rPr>
                <w:webHidden/>
              </w:rPr>
              <w:fldChar w:fldCharType="end"/>
            </w:r>
          </w:hyperlink>
        </w:p>
        <w:p w:rsidR="00D96E67" w:rsidP="00F32610" w:rsidRDefault="00FF5F8E" w14:paraId="49FE3D98" w14:textId="08087F3A">
          <w:pPr>
            <w:pStyle w:val="TOC1"/>
            <w:rPr>
              <w:rFonts w:asciiTheme="minorHAnsi" w:hAnsiTheme="minorHAnsi" w:eastAsiaTheme="minorEastAsia" w:cstheme="minorBidi"/>
              <w:sz w:val="22"/>
              <w:szCs w:val="22"/>
              <w:lang w:val="en-US"/>
            </w:rPr>
          </w:pPr>
          <w:hyperlink w:history="1" w:anchor="_Toc157777209">
            <w:r w:rsidRPr="00770799" w:rsidR="00D96E67">
              <w:rPr>
                <w:rStyle w:val="Hyperlink"/>
                <w14:scene3d>
                  <w14:camera w14:prst="orthographicFront"/>
                  <w14:lightRig w14:rig="threePt" w14:dir="t">
                    <w14:rot w14:lat="0" w14:lon="0" w14:rev="0"/>
                  </w14:lightRig>
                </w14:scene3d>
              </w:rPr>
              <w:t>2.</w:t>
            </w:r>
            <w:r w:rsidR="00D96E67">
              <w:rPr>
                <w:rFonts w:asciiTheme="minorHAnsi" w:hAnsiTheme="minorHAnsi" w:eastAsiaTheme="minorEastAsia" w:cstheme="minorBidi"/>
                <w:sz w:val="22"/>
                <w:szCs w:val="22"/>
                <w:lang w:val="en-US"/>
              </w:rPr>
              <w:tab/>
            </w:r>
            <w:r w:rsidRPr="00770799" w:rsidR="00D96E67">
              <w:rPr>
                <w:rStyle w:val="Hyperlink"/>
                <w:b/>
              </w:rPr>
              <w:t>BINNENMARKT, PRODUKTION, VERBRAUCH</w:t>
            </w:r>
            <w:r w:rsidR="00D96E67">
              <w:rPr>
                <w:webHidden/>
              </w:rPr>
              <w:tab/>
            </w:r>
            <w:r w:rsidR="00D96E67">
              <w:rPr>
                <w:webHidden/>
              </w:rPr>
              <w:fldChar w:fldCharType="begin"/>
            </w:r>
            <w:r w:rsidR="00D96E67">
              <w:rPr>
                <w:webHidden/>
              </w:rPr>
              <w:instrText xml:space="preserve"> PAGEREF _Toc157777209 \h </w:instrText>
            </w:r>
            <w:r w:rsidR="00D96E67">
              <w:rPr>
                <w:webHidden/>
              </w:rPr>
            </w:r>
            <w:r w:rsidR="00D96E67">
              <w:rPr>
                <w:webHidden/>
              </w:rPr>
              <w:fldChar w:fldCharType="separate"/>
            </w:r>
            <w:r w:rsidR="00D94095">
              <w:rPr>
                <w:webHidden/>
              </w:rPr>
              <w:t>5</w:t>
            </w:r>
            <w:r w:rsidR="00D96E67">
              <w:rPr>
                <w:webHidden/>
              </w:rPr>
              <w:fldChar w:fldCharType="end"/>
            </w:r>
          </w:hyperlink>
        </w:p>
        <w:p w:rsidR="00D96E67" w:rsidP="00F32610" w:rsidRDefault="00FF5F8E" w14:paraId="398DBDB2" w14:textId="73170413">
          <w:pPr>
            <w:pStyle w:val="TOC1"/>
            <w:rPr>
              <w:rFonts w:asciiTheme="minorHAnsi" w:hAnsiTheme="minorHAnsi" w:eastAsiaTheme="minorEastAsia" w:cstheme="minorBidi"/>
              <w:sz w:val="22"/>
              <w:szCs w:val="22"/>
              <w:lang w:val="en-US"/>
            </w:rPr>
          </w:pPr>
          <w:hyperlink w:history="1" w:anchor="_Toc157777210">
            <w:r w:rsidRPr="00770799" w:rsidR="00D96E67">
              <w:rPr>
                <w:rStyle w:val="Hyperlink"/>
                <w14:scene3d>
                  <w14:camera w14:prst="orthographicFront"/>
                  <w14:lightRig w14:rig="threePt" w14:dir="t">
                    <w14:rot w14:lat="0" w14:lon="0" w14:rev="0"/>
                  </w14:lightRig>
                </w14:scene3d>
              </w:rPr>
              <w:t>3.</w:t>
            </w:r>
            <w:r w:rsidR="00D96E67">
              <w:rPr>
                <w:rFonts w:asciiTheme="minorHAnsi" w:hAnsiTheme="minorHAnsi" w:eastAsiaTheme="minorEastAsia" w:cstheme="minorBidi"/>
                <w:sz w:val="22"/>
                <w:szCs w:val="22"/>
                <w:lang w:val="en-US"/>
              </w:rPr>
              <w:tab/>
            </w:r>
            <w:r w:rsidRPr="00770799" w:rsidR="00D96E67">
              <w:rPr>
                <w:rStyle w:val="Hyperlink"/>
                <w:b/>
              </w:rPr>
              <w:t>LANDWIRTSCHAFT, LÄNDLICHE ENTWICKLUNG, UMWELT</w:t>
            </w:r>
            <w:r w:rsidR="00D96E67">
              <w:rPr>
                <w:webHidden/>
              </w:rPr>
              <w:tab/>
            </w:r>
            <w:r w:rsidR="00D96E67">
              <w:rPr>
                <w:webHidden/>
              </w:rPr>
              <w:fldChar w:fldCharType="begin"/>
            </w:r>
            <w:r w:rsidR="00D96E67">
              <w:rPr>
                <w:webHidden/>
              </w:rPr>
              <w:instrText xml:space="preserve"> PAGEREF _Toc157777210 \h </w:instrText>
            </w:r>
            <w:r w:rsidR="00D96E67">
              <w:rPr>
                <w:webHidden/>
              </w:rPr>
            </w:r>
            <w:r w:rsidR="00D96E67">
              <w:rPr>
                <w:webHidden/>
              </w:rPr>
              <w:fldChar w:fldCharType="separate"/>
            </w:r>
            <w:r w:rsidR="00D94095">
              <w:rPr>
                <w:webHidden/>
              </w:rPr>
              <w:t>12</w:t>
            </w:r>
            <w:r w:rsidR="00D96E67">
              <w:rPr>
                <w:webHidden/>
              </w:rPr>
              <w:fldChar w:fldCharType="end"/>
            </w:r>
          </w:hyperlink>
        </w:p>
        <w:p w:rsidR="00D96E67" w:rsidP="00F32610" w:rsidRDefault="00FF5F8E" w14:paraId="7C6709F9" w14:textId="1DA7DDAB">
          <w:pPr>
            <w:pStyle w:val="TOC1"/>
            <w:rPr>
              <w:rFonts w:asciiTheme="minorHAnsi" w:hAnsiTheme="minorHAnsi" w:eastAsiaTheme="minorEastAsia" w:cstheme="minorBidi"/>
              <w:sz w:val="22"/>
              <w:szCs w:val="22"/>
              <w:lang w:val="en-US"/>
            </w:rPr>
          </w:pPr>
          <w:hyperlink w:history="1" w:anchor="_Toc157777220">
            <w:r w:rsidRPr="00770799" w:rsidR="00D96E67">
              <w:rPr>
                <w:rStyle w:val="Hyperlink"/>
                <w14:scene3d>
                  <w14:camera w14:prst="orthographicFront"/>
                  <w14:lightRig w14:rig="threePt" w14:dir="t">
                    <w14:rot w14:lat="0" w14:lon="0" w14:rev="0"/>
                  </w14:lightRig>
                </w14:scene3d>
              </w:rPr>
              <w:t>4.</w:t>
            </w:r>
            <w:r w:rsidR="00D96E67">
              <w:rPr>
                <w:rFonts w:asciiTheme="minorHAnsi" w:hAnsiTheme="minorHAnsi" w:eastAsiaTheme="minorEastAsia" w:cstheme="minorBidi"/>
                <w:sz w:val="22"/>
                <w:szCs w:val="22"/>
                <w:lang w:val="en-US"/>
              </w:rPr>
              <w:tab/>
            </w:r>
            <w:r w:rsidRPr="00770799" w:rsidR="00D96E67">
              <w:rPr>
                <w:rStyle w:val="Hyperlink"/>
                <w:b/>
              </w:rPr>
              <w:t>AUẞENBEZIEHUNGEN</w:t>
            </w:r>
            <w:r w:rsidR="00D96E67">
              <w:rPr>
                <w:webHidden/>
              </w:rPr>
              <w:tab/>
            </w:r>
            <w:r w:rsidR="00D96E67">
              <w:rPr>
                <w:webHidden/>
              </w:rPr>
              <w:fldChar w:fldCharType="begin"/>
            </w:r>
            <w:r w:rsidR="00D96E67">
              <w:rPr>
                <w:webHidden/>
              </w:rPr>
              <w:instrText xml:space="preserve"> PAGEREF _Toc157777220 \h </w:instrText>
            </w:r>
            <w:r w:rsidR="00D96E67">
              <w:rPr>
                <w:webHidden/>
              </w:rPr>
            </w:r>
            <w:r w:rsidR="00D96E67">
              <w:rPr>
                <w:webHidden/>
              </w:rPr>
              <w:fldChar w:fldCharType="separate"/>
            </w:r>
            <w:r w:rsidR="00D94095">
              <w:rPr>
                <w:webHidden/>
              </w:rPr>
              <w:t>14</w:t>
            </w:r>
            <w:r w:rsidR="00D96E67">
              <w:rPr>
                <w:webHidden/>
              </w:rPr>
              <w:fldChar w:fldCharType="end"/>
            </w:r>
          </w:hyperlink>
        </w:p>
        <w:p w:rsidR="00D96E67" w:rsidP="00F32610" w:rsidRDefault="00FF5F8E" w14:paraId="17F68B2C" w14:textId="456DE7B0">
          <w:pPr>
            <w:pStyle w:val="TOC1"/>
            <w:rPr>
              <w:rFonts w:asciiTheme="minorHAnsi" w:hAnsiTheme="minorHAnsi" w:eastAsiaTheme="minorEastAsia" w:cstheme="minorBidi"/>
              <w:sz w:val="22"/>
              <w:szCs w:val="22"/>
              <w:lang w:val="en-US"/>
            </w:rPr>
          </w:pPr>
          <w:hyperlink w:history="1" w:anchor="_Toc157777221">
            <w:r w:rsidRPr="00770799" w:rsidR="00D96E67">
              <w:rPr>
                <w:rStyle w:val="Hyperlink"/>
                <w14:scene3d>
                  <w14:camera w14:prst="orthographicFront"/>
                  <w14:lightRig w14:rig="threePt" w14:dir="t">
                    <w14:rot w14:lat="0" w14:lon="0" w14:rev="0"/>
                  </w14:lightRig>
                </w14:scene3d>
              </w:rPr>
              <w:t>5.</w:t>
            </w:r>
            <w:r w:rsidR="00D96E67">
              <w:rPr>
                <w:rFonts w:asciiTheme="minorHAnsi" w:hAnsiTheme="minorHAnsi" w:eastAsiaTheme="minorEastAsia" w:cstheme="minorBidi"/>
                <w:sz w:val="22"/>
                <w:szCs w:val="22"/>
                <w:lang w:val="en-US"/>
              </w:rPr>
              <w:tab/>
            </w:r>
            <w:r w:rsidRPr="00770799" w:rsidR="00D96E67">
              <w:rPr>
                <w:rStyle w:val="Hyperlink"/>
                <w:b/>
              </w:rPr>
              <w:t>VERKEHR, ENERGIE, INFRASTRUKTUREN, INFORMATIONSGESELLSCHAFT</w:t>
            </w:r>
            <w:r w:rsidR="00D96E67">
              <w:rPr>
                <w:webHidden/>
              </w:rPr>
              <w:tab/>
            </w:r>
            <w:r w:rsidR="00D96E67">
              <w:rPr>
                <w:webHidden/>
              </w:rPr>
              <w:fldChar w:fldCharType="begin"/>
            </w:r>
            <w:r w:rsidR="00D96E67">
              <w:rPr>
                <w:webHidden/>
              </w:rPr>
              <w:instrText xml:space="preserve"> PAGEREF _Toc157777221 \h </w:instrText>
            </w:r>
            <w:r w:rsidR="00D96E67">
              <w:rPr>
                <w:webHidden/>
              </w:rPr>
            </w:r>
            <w:r w:rsidR="00D96E67">
              <w:rPr>
                <w:webHidden/>
              </w:rPr>
              <w:fldChar w:fldCharType="separate"/>
            </w:r>
            <w:r w:rsidR="00D94095">
              <w:rPr>
                <w:webHidden/>
              </w:rPr>
              <w:t>15</w:t>
            </w:r>
            <w:r w:rsidR="00D96E67">
              <w:rPr>
                <w:webHidden/>
              </w:rPr>
              <w:fldChar w:fldCharType="end"/>
            </w:r>
          </w:hyperlink>
        </w:p>
        <w:p w:rsidRPr="00544D95" w:rsidR="00544D95" w:rsidP="00544D95" w:rsidRDefault="00544D95" w14:paraId="589C47D7" w14:textId="6845D83F">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F32610" w:rsidRDefault="0038273B" w14:paraId="62CE6920" w14:textId="77777777">
      <w:pPr>
        <w:pStyle w:val="Heading1"/>
        <w:tabs>
          <w:tab w:val="clear" w:pos="440"/>
        </w:tabs>
        <w:spacing w:before="0"/>
        <w:ind w:left="567" w:hanging="567"/>
        <w:rPr>
          <w:b/>
          <w:bCs/>
        </w:rPr>
      </w:pPr>
      <w:bookmarkStart w:name="_Toc157777194" w:id="0"/>
      <w:r>
        <w:rPr>
          <w:b/>
        </w:rPr>
        <w:lastRenderedPageBreak/>
        <w:t>WIRTSCHAFTS- UND WÄHRUNGSUNION, WIRTSCHAFTLICHER UND SOZIALER ZUSAMMENHALT</w:t>
      </w:r>
      <w:bookmarkEnd w:id="0"/>
    </w:p>
    <w:p w:rsidRPr="00EE2FBD" w:rsidR="00B807B4" w:rsidP="00C83487" w:rsidRDefault="00B807B4" w14:paraId="3CAC710B" w14:textId="11524E6A">
      <w:pPr>
        <w:pStyle w:val="Heading1"/>
        <w:numPr>
          <w:ilvl w:val="0"/>
          <w:numId w:val="0"/>
        </w:numPr>
        <w:spacing w:before="0"/>
        <w:ind w:left="930"/>
        <w:rPr>
          <w:b/>
          <w:bCs/>
        </w:rPr>
      </w:pPr>
    </w:p>
    <w:p w:rsidRPr="00126CEB" w:rsidR="00126CEB" w:rsidP="00F32610" w:rsidRDefault="00FF5F8E" w14:paraId="232120CA" w14:textId="1F75D8F0">
      <w:pPr>
        <w:widowControl w:val="0"/>
        <w:numPr>
          <w:ilvl w:val="0"/>
          <w:numId w:val="2"/>
        </w:numPr>
        <w:overflowPunct w:val="0"/>
        <w:autoSpaceDE w:val="0"/>
        <w:autoSpaceDN w:val="0"/>
        <w:adjustRightInd w:val="0"/>
        <w:ind w:left="425" w:hanging="425"/>
        <w:textAlignment w:val="baseline"/>
        <w:rPr>
          <w:sz w:val="20"/>
          <w:szCs w:val="20"/>
        </w:rPr>
      </w:pPr>
      <w:hyperlink w:history="1" r:id="rId20">
        <w:r w:rsidR="00F2403D">
          <w:rPr>
            <w:b/>
            <w:i/>
            <w:color w:val="0000FF"/>
            <w:sz w:val="28"/>
            <w:u w:val="single"/>
          </w:rPr>
          <w:t>Einführung eines hauptsitzbasierten Steuersystems für KMU</w:t>
        </w:r>
      </w:hyperlink>
      <w:r w:rsidR="00F2403D">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177"/>
      </w:tblGrid>
      <w:tr w:rsidRPr="00F32610" w:rsidR="00126CEB" w:rsidTr="00C83487" w14:paraId="643BD7EA" w14:textId="77777777">
        <w:tc>
          <w:tcPr>
            <w:tcW w:w="1701" w:type="dxa"/>
          </w:tcPr>
          <w:p w:rsidRPr="00F32610" w:rsidR="00126CEB" w:rsidP="00126CEB" w:rsidRDefault="00126CEB" w14:paraId="451F1761"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Berichterstatterin</w:t>
            </w:r>
          </w:p>
        </w:tc>
        <w:tc>
          <w:tcPr>
            <w:tcW w:w="7479" w:type="dxa"/>
          </w:tcPr>
          <w:p w:rsidRPr="00F32610" w:rsidR="00126CEB" w:rsidP="00126CEB" w:rsidRDefault="00126CEB" w14:paraId="54D0AAF8" w14:textId="0710242A">
            <w:pPr>
              <w:tabs>
                <w:tab w:val="center" w:pos="284"/>
              </w:tabs>
              <w:overflowPunct w:val="0"/>
              <w:autoSpaceDE w:val="0"/>
              <w:autoSpaceDN w:val="0"/>
              <w:adjustRightInd w:val="0"/>
              <w:ind w:left="266" w:hanging="266"/>
              <w:textAlignment w:val="baseline"/>
              <w:rPr>
                <w:sz w:val="22"/>
                <w:szCs w:val="22"/>
              </w:rPr>
            </w:pPr>
            <w:proofErr w:type="spellStart"/>
            <w:r w:rsidRPr="00F32610">
              <w:rPr>
                <w:sz w:val="22"/>
                <w:szCs w:val="22"/>
              </w:rPr>
              <w:t>Katrīna</w:t>
            </w:r>
            <w:proofErr w:type="spellEnd"/>
            <w:r w:rsidRPr="00F32610">
              <w:rPr>
                <w:sz w:val="22"/>
                <w:szCs w:val="22"/>
              </w:rPr>
              <w:t xml:space="preserve"> ZARIŅA (Gruppe Arbeitgeber – LV)</w:t>
            </w:r>
          </w:p>
        </w:tc>
      </w:tr>
      <w:tr w:rsidRPr="00F32610" w:rsidR="00126CEB" w:rsidTr="00C83487" w14:paraId="6438AE49" w14:textId="77777777">
        <w:tc>
          <w:tcPr>
            <w:tcW w:w="9180" w:type="dxa"/>
            <w:gridSpan w:val="2"/>
          </w:tcPr>
          <w:p w:rsidRPr="00F32610"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32610" w:rsidR="00126CEB" w:rsidTr="00C83487" w14:paraId="331D9187" w14:textId="77777777">
        <w:tc>
          <w:tcPr>
            <w:tcW w:w="1701" w:type="dxa"/>
          </w:tcPr>
          <w:p w:rsidRPr="00F32610" w:rsidR="00126CEB" w:rsidP="00126CEB" w:rsidRDefault="00126CEB" w14:paraId="6D8301EE"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Referenzdokumente</w:t>
            </w:r>
          </w:p>
        </w:tc>
        <w:tc>
          <w:tcPr>
            <w:tcW w:w="7479" w:type="dxa"/>
          </w:tcPr>
          <w:p w:rsidRPr="00F32610" w:rsidR="00126CEB" w:rsidP="00126CEB" w:rsidRDefault="00126CEB" w14:paraId="55EDF860" w14:textId="176D8C2B">
            <w:pPr>
              <w:tabs>
                <w:tab w:val="center" w:pos="284"/>
              </w:tabs>
              <w:overflowPunct w:val="0"/>
              <w:autoSpaceDE w:val="0"/>
              <w:autoSpaceDN w:val="0"/>
              <w:adjustRightInd w:val="0"/>
              <w:ind w:left="266" w:hanging="266"/>
              <w:textAlignment w:val="baseline"/>
              <w:rPr>
                <w:sz w:val="22"/>
                <w:szCs w:val="22"/>
              </w:rPr>
            </w:pPr>
            <w:r w:rsidRPr="00F32610">
              <w:rPr>
                <w:sz w:val="22"/>
                <w:szCs w:val="22"/>
              </w:rPr>
              <w:t>COM(2023) 528 final</w:t>
            </w:r>
          </w:p>
          <w:p w:rsidRPr="00F32610" w:rsidR="00126CEB" w:rsidP="00126CEB" w:rsidRDefault="00126CEB" w14:paraId="255E70E4" w14:textId="60A6FCF9">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EESC-2023-04262-00-AC</w:t>
            </w:r>
          </w:p>
        </w:tc>
      </w:tr>
    </w:tbl>
    <w:p w:rsidR="00A42699" w:rsidP="00A42699" w:rsidRDefault="00A42699" w14:paraId="63AE7117" w14:textId="77777777">
      <w:pPr>
        <w:tabs>
          <w:tab w:val="center" w:pos="284"/>
        </w:tabs>
        <w:overflowPunct w:val="0"/>
        <w:autoSpaceDE w:val="0"/>
        <w:autoSpaceDN w:val="0"/>
        <w:adjustRightInd w:val="0"/>
        <w:ind w:left="266" w:hanging="266"/>
        <w:textAlignment w:val="baseline"/>
        <w:rPr>
          <w:b/>
        </w:rPr>
      </w:pPr>
    </w:p>
    <w:p w:rsidRPr="00126CEB" w:rsidR="00126CEB" w:rsidP="00A42699" w:rsidRDefault="00126CEB" w14:paraId="6D096BD7" w14:textId="4BF3D13A">
      <w:pPr>
        <w:tabs>
          <w:tab w:val="center" w:pos="284"/>
        </w:tabs>
        <w:overflowPunct w:val="0"/>
        <w:autoSpaceDE w:val="0"/>
        <w:autoSpaceDN w:val="0"/>
        <w:adjustRightInd w:val="0"/>
        <w:ind w:left="266" w:hanging="266"/>
        <w:textAlignment w:val="baseline"/>
        <w:rPr>
          <w:b/>
        </w:rPr>
      </w:pPr>
      <w:r>
        <w:rPr>
          <w:b/>
        </w:rPr>
        <w:t>Kernaussagen</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Der EWSA</w:t>
      </w:r>
    </w:p>
    <w:p w:rsidR="00126CEB" w:rsidP="00126CEB" w:rsidRDefault="00126CEB" w14:paraId="73CCECAB" w14:textId="4B57FFF7">
      <w:pPr>
        <w:overflowPunct w:val="0"/>
        <w:autoSpaceDE w:val="0"/>
        <w:autoSpaceDN w:val="0"/>
        <w:adjustRightInd w:val="0"/>
        <w:textAlignment w:val="baseline"/>
        <w:rPr>
          <w:bCs/>
          <w:iCs/>
        </w:rPr>
      </w:pPr>
    </w:p>
    <w:p w:rsidRPr="00126CEB" w:rsidR="00A42699" w:rsidP="00A42699" w:rsidRDefault="00A42699" w14:paraId="3D4C2A98"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1"/>
      <w:bookmarkStart w:name="_Toc157777195" w:id="2"/>
      <w:r w:rsidRPr="00D96E67">
        <w:t>unterstützt das von der Europäischen Kommission vorgeschlagene hauptsitzbasierte Steuersystem (HOT) für Kleinst-, kleine und mittlere Unternehmen (KKMU) und dessen Ziele: Es geht darum, die KKMU zu stärken, ihre grenzüberschreitenden Geschäfte zu vereinfachen, administrative und finanzielle Hindernisse abzubauen und die Wettbewerbsfähigkeit der KKMU insgesamt zu verbessern</w:t>
      </w:r>
      <w:r>
        <w:t>;</w:t>
      </w:r>
      <w:bookmarkEnd w:id="1"/>
      <w:bookmarkEnd w:id="2"/>
    </w:p>
    <w:p w:rsidRPr="00D96E67" w:rsidR="00A42699" w:rsidP="00A42699" w:rsidRDefault="00A42699" w14:paraId="2E0AEEE6" w14:textId="77777777">
      <w:pPr>
        <w:numPr>
          <w:ilvl w:val="0"/>
          <w:numId w:val="33"/>
        </w:numPr>
        <w:overflowPunct w:val="0"/>
        <w:autoSpaceDE w:val="0"/>
        <w:autoSpaceDN w:val="0"/>
        <w:adjustRightInd w:val="0"/>
        <w:ind w:left="567" w:hanging="567"/>
        <w:textAlignment w:val="baseline"/>
        <w:outlineLvl w:val="1"/>
      </w:pPr>
      <w:bookmarkStart w:name="_Toc157076137" w:id="3"/>
      <w:bookmarkStart w:name="_Toc157777196" w:id="4"/>
      <w:r w:rsidRPr="00D96E67">
        <w:t>stellt fest, dass die Annahme des vorgeschlagenen hauptsitzbasierten Steuersystems einen hohen Mehrwert für Unternehmen, Arbeitnehmer und Mitgliedstaaten bieten wird. Die Verringerung des Verwaltungsaufwands für KKMU wird sie im Geschäftsalltag wettbewerbsfähiger machen;</w:t>
      </w:r>
      <w:bookmarkEnd w:id="3"/>
      <w:bookmarkEnd w:id="4"/>
    </w:p>
    <w:p w:rsidRPr="00D96E67" w:rsidR="00A42699" w:rsidP="00A42699" w:rsidRDefault="00A42699" w14:paraId="747BB3AF" w14:textId="77777777">
      <w:pPr>
        <w:numPr>
          <w:ilvl w:val="0"/>
          <w:numId w:val="33"/>
        </w:numPr>
        <w:overflowPunct w:val="0"/>
        <w:autoSpaceDE w:val="0"/>
        <w:autoSpaceDN w:val="0"/>
        <w:adjustRightInd w:val="0"/>
        <w:ind w:left="567" w:hanging="567"/>
        <w:textAlignment w:val="baseline"/>
        <w:outlineLvl w:val="1"/>
      </w:pPr>
      <w:bookmarkStart w:name="_Toc157076138" w:id="5"/>
      <w:bookmarkStart w:name="_Toc157777197" w:id="6"/>
      <w:r w:rsidRPr="00D96E67">
        <w:t>fordert, den Vorschlag der Kommission bezüglich des hauptsitzbasierten Steuersystems zeitnah anzunehmen, um das Wachstum von KKMU sowie gleiche Wettbewerbsbedingungen für die Teilnahme von grenzüberschreitend tätigen KKMU am Binnenmarkt zu fördern und dadurch zum langfristigen BIP- und Beschäftigungswachstum beizutragen;</w:t>
      </w:r>
      <w:bookmarkEnd w:id="5"/>
      <w:bookmarkEnd w:id="6"/>
    </w:p>
    <w:p w:rsidRPr="00D96E67" w:rsidR="00A42699" w:rsidP="00A42699" w:rsidRDefault="00A42699" w14:paraId="48A94160" w14:textId="77777777">
      <w:pPr>
        <w:numPr>
          <w:ilvl w:val="0"/>
          <w:numId w:val="33"/>
        </w:numPr>
        <w:overflowPunct w:val="0"/>
        <w:autoSpaceDE w:val="0"/>
        <w:autoSpaceDN w:val="0"/>
        <w:adjustRightInd w:val="0"/>
        <w:ind w:left="567" w:hanging="567"/>
        <w:textAlignment w:val="baseline"/>
        <w:outlineLvl w:val="1"/>
      </w:pPr>
      <w:bookmarkStart w:name="_Toc157076139" w:id="7"/>
      <w:bookmarkStart w:name="_Toc157777198" w:id="8"/>
      <w:r w:rsidRPr="00D96E67">
        <w:t>ist der Auffassung, dass das hauptsitzbasierte Steuersystem die Zusammenarbeit zwischen den Steuerbehörden der Mitgliedstaaten verstärken und verbessern wird. Die Zusammenarbeit zwischen ihnen ist für die erfolgreiche und sinnvolle Umsetzung des vorgeschlagenen hauptsitzbasierten Steuersystems und die Erreichung der gesetzten Ziele entscheidend;</w:t>
      </w:r>
      <w:bookmarkEnd w:id="7"/>
      <w:bookmarkEnd w:id="8"/>
    </w:p>
    <w:p w:rsidRPr="00D96E67" w:rsidR="00A42699" w:rsidP="00A42699" w:rsidRDefault="00A42699" w14:paraId="203DE302" w14:textId="77777777">
      <w:pPr>
        <w:numPr>
          <w:ilvl w:val="0"/>
          <w:numId w:val="33"/>
        </w:numPr>
        <w:overflowPunct w:val="0"/>
        <w:autoSpaceDE w:val="0"/>
        <w:autoSpaceDN w:val="0"/>
        <w:adjustRightInd w:val="0"/>
        <w:ind w:left="567" w:hanging="567"/>
        <w:textAlignment w:val="baseline"/>
        <w:outlineLvl w:val="1"/>
      </w:pPr>
      <w:bookmarkStart w:name="_Toc157076140" w:id="9"/>
      <w:bookmarkStart w:name="_Toc157777199" w:id="10"/>
      <w:r w:rsidRPr="00D96E67">
        <w:t>fordert die Kommission auf, nach der Annahme des Vorschlags eng mit den Mitgliedstaaten und den Verbänden der KKMU zusammenzuarbeiten, um bei den KKMU für den nun bereitstehenden HOT-Mechanismus zu werben. Ziel ist es, die angestrebte Verringerung des Verwaltungsaufwands, die Steigerung der grenzüberschreitenden Tätigkeit und die volle Nutzung der Vorteile des Binnenmarkts besser zu erreichen.</w:t>
      </w:r>
      <w:bookmarkEnd w:id="9"/>
      <w:bookmarkEnd w:id="10"/>
    </w:p>
    <w:p w:rsidRPr="00126CEB" w:rsidR="00A42699" w:rsidP="00A42699" w:rsidRDefault="00A42699" w14:paraId="0A03951A" w14:textId="77777777"/>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2610" w:rsidR="00126CEB" w:rsidTr="00F655B8" w14:paraId="6F0A6D34" w14:textId="77777777">
        <w:tc>
          <w:tcPr>
            <w:tcW w:w="1418" w:type="dxa"/>
          </w:tcPr>
          <w:p w:rsidRPr="00F32610" w:rsidR="00126CEB" w:rsidP="00126CEB" w:rsidRDefault="00126CEB" w14:paraId="4D3C62D4"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5670" w:type="dxa"/>
          </w:tcPr>
          <w:p w:rsidRPr="00F32610" w:rsidR="00126CEB" w:rsidP="00126CEB" w:rsidRDefault="00126CEB" w14:paraId="20A82E71" w14:textId="77777777">
            <w:pPr>
              <w:overflowPunct w:val="0"/>
              <w:autoSpaceDE w:val="0"/>
              <w:autoSpaceDN w:val="0"/>
              <w:adjustRightInd w:val="0"/>
              <w:spacing w:line="240" w:lineRule="auto"/>
              <w:textAlignment w:val="baseline"/>
              <w:rPr>
                <w:i/>
                <w:sz w:val="22"/>
                <w:szCs w:val="22"/>
              </w:rPr>
            </w:pPr>
            <w:proofErr w:type="spellStart"/>
            <w:r w:rsidRPr="00F32610">
              <w:rPr>
                <w:i/>
                <w:sz w:val="22"/>
                <w:szCs w:val="22"/>
              </w:rPr>
              <w:t>Jüri</w:t>
            </w:r>
            <w:proofErr w:type="spellEnd"/>
            <w:r w:rsidRPr="00F32610">
              <w:rPr>
                <w:i/>
                <w:sz w:val="22"/>
                <w:szCs w:val="22"/>
              </w:rPr>
              <w:t xml:space="preserve"> </w:t>
            </w:r>
            <w:proofErr w:type="spellStart"/>
            <w:r w:rsidRPr="00F32610">
              <w:rPr>
                <w:i/>
                <w:sz w:val="22"/>
                <w:szCs w:val="22"/>
              </w:rPr>
              <w:t>Soosaar</w:t>
            </w:r>
            <w:proofErr w:type="spellEnd"/>
            <w:r w:rsidRPr="00F32610">
              <w:rPr>
                <w:i/>
                <w:sz w:val="22"/>
                <w:szCs w:val="22"/>
              </w:rPr>
              <w:t xml:space="preserve"> </w:t>
            </w:r>
          </w:p>
        </w:tc>
      </w:tr>
      <w:tr w:rsidRPr="00F32610" w:rsidR="00126CEB" w:rsidTr="00F655B8" w14:paraId="701BA604" w14:textId="77777777">
        <w:tc>
          <w:tcPr>
            <w:tcW w:w="1418" w:type="dxa"/>
          </w:tcPr>
          <w:p w:rsidRPr="00F32610" w:rsidR="00126CEB" w:rsidP="00126CEB" w:rsidRDefault="00126CEB" w14:paraId="7E0C6104"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5670" w:type="dxa"/>
          </w:tcPr>
          <w:p w:rsidRPr="00F32610" w:rsidR="00126CEB" w:rsidP="00126CEB" w:rsidRDefault="00126CEB" w14:paraId="3BF2E3D8" w14:textId="77777777">
            <w:pPr>
              <w:overflowPunct w:val="0"/>
              <w:autoSpaceDE w:val="0"/>
              <w:autoSpaceDN w:val="0"/>
              <w:adjustRightInd w:val="0"/>
              <w:spacing w:line="240" w:lineRule="auto"/>
              <w:textAlignment w:val="baseline"/>
              <w:rPr>
                <w:i/>
                <w:sz w:val="22"/>
                <w:szCs w:val="22"/>
              </w:rPr>
            </w:pPr>
            <w:r w:rsidRPr="00F32610">
              <w:rPr>
                <w:i/>
                <w:sz w:val="22"/>
                <w:szCs w:val="22"/>
              </w:rPr>
              <w:t>+32 25469628</w:t>
            </w:r>
          </w:p>
        </w:tc>
      </w:tr>
      <w:tr w:rsidRPr="00F32610" w:rsidR="00126CEB" w:rsidTr="00F655B8" w14:paraId="6A7E9917" w14:textId="77777777">
        <w:tc>
          <w:tcPr>
            <w:tcW w:w="1418" w:type="dxa"/>
          </w:tcPr>
          <w:p w:rsidRPr="00F32610" w:rsidR="00126CEB" w:rsidP="00126CEB" w:rsidRDefault="001F11A4" w14:paraId="6FBCCB68" w14:textId="3B0D3232">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5670" w:type="dxa"/>
          </w:tcPr>
          <w:p w:rsidRPr="00F32610" w:rsidR="00126CEB" w:rsidP="00126CEB" w:rsidRDefault="00FF5F8E" w14:paraId="40D946D1" w14:textId="201B9EAD">
            <w:pPr>
              <w:overflowPunct w:val="0"/>
              <w:autoSpaceDE w:val="0"/>
              <w:autoSpaceDN w:val="0"/>
              <w:adjustRightInd w:val="0"/>
              <w:spacing w:line="240" w:lineRule="auto"/>
              <w:textAlignment w:val="baseline"/>
              <w:rPr>
                <w:i/>
                <w:iCs/>
                <w:sz w:val="22"/>
                <w:szCs w:val="22"/>
              </w:rPr>
            </w:pPr>
            <w:hyperlink w:history="1" r:id="rId21">
              <w:r w:rsidRPr="00F32610" w:rsidR="00F2403D">
                <w:rPr>
                  <w:i/>
                  <w:color w:val="0000FF"/>
                  <w:sz w:val="22"/>
                  <w:szCs w:val="22"/>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0E5EDB" w:rsidRDefault="00FF5F8E" w14:paraId="4661A989" w14:textId="044B8228">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00F2403D">
          <w:rPr>
            <w:b/>
            <w:i/>
            <w:color w:val="0000FF"/>
            <w:sz w:val="28"/>
            <w:u w:val="single"/>
          </w:rPr>
          <w:t>Wirtschaftspolitik des Euro-Währungsgebiets 2024</w:t>
        </w:r>
      </w:hyperlink>
    </w:p>
    <w:p w:rsidRPr="002435FB" w:rsidR="002435FB" w:rsidP="00F32610" w:rsidRDefault="002435FB" w14:paraId="2BB1B4C7" w14:textId="77777777">
      <w:pPr>
        <w:widowControl w:val="0"/>
        <w:overflowPunct w:val="0"/>
        <w:autoSpaceDE w:val="0"/>
        <w:autoSpaceDN w:val="0"/>
        <w:adjustRightInd w:val="0"/>
        <w:spacing w:line="240" w:lineRule="auto"/>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177"/>
      </w:tblGrid>
      <w:tr w:rsidRPr="00F32610" w:rsidR="002435FB" w:rsidTr="00C83487" w14:paraId="05716C64" w14:textId="77777777">
        <w:tc>
          <w:tcPr>
            <w:tcW w:w="1701" w:type="dxa"/>
          </w:tcPr>
          <w:p w:rsidRPr="00F32610" w:rsidR="002435FB" w:rsidP="002435FB" w:rsidRDefault="002435FB" w14:paraId="5B70FF1F"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7479" w:type="dxa"/>
          </w:tcPr>
          <w:p w:rsidRPr="00F32610" w:rsidR="002435FB" w:rsidP="002435FB" w:rsidRDefault="002435FB" w14:paraId="18F83762" w14:textId="77777777">
            <w:pPr>
              <w:tabs>
                <w:tab w:val="center" w:pos="284"/>
              </w:tabs>
              <w:overflowPunct w:val="0"/>
              <w:autoSpaceDE w:val="0"/>
              <w:autoSpaceDN w:val="0"/>
              <w:adjustRightInd w:val="0"/>
              <w:ind w:left="266" w:hanging="266"/>
              <w:textAlignment w:val="baseline"/>
              <w:rPr>
                <w:sz w:val="22"/>
                <w:szCs w:val="22"/>
              </w:rPr>
            </w:pPr>
            <w:r w:rsidRPr="00F32610">
              <w:rPr>
                <w:sz w:val="22"/>
                <w:szCs w:val="22"/>
              </w:rPr>
              <w:t>Konstantinos DIAMANTOUROS (Gruppe Arbeitgeber – EL)</w:t>
            </w:r>
          </w:p>
        </w:tc>
      </w:tr>
      <w:tr w:rsidRPr="00F32610" w:rsidR="002435FB" w:rsidTr="00C83487" w14:paraId="29C12FB2" w14:textId="77777777">
        <w:tc>
          <w:tcPr>
            <w:tcW w:w="9180" w:type="dxa"/>
            <w:gridSpan w:val="2"/>
          </w:tcPr>
          <w:p w:rsidRPr="00F32610"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32610" w:rsidR="002435FB" w:rsidTr="00C83487" w14:paraId="324AA8CD" w14:textId="77777777">
        <w:tc>
          <w:tcPr>
            <w:tcW w:w="1701" w:type="dxa"/>
          </w:tcPr>
          <w:p w:rsidRPr="00F32610" w:rsidR="002435FB" w:rsidP="002435FB" w:rsidRDefault="002435FB" w14:paraId="734F88B7" w14:textId="5A6F762A">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Referenzdokumente</w:t>
            </w:r>
          </w:p>
        </w:tc>
        <w:tc>
          <w:tcPr>
            <w:tcW w:w="7479" w:type="dxa"/>
          </w:tcPr>
          <w:p w:rsidRPr="00F32610" w:rsidR="000B3917" w:rsidP="002435FB" w:rsidRDefault="002435FB" w14:paraId="222638D0" w14:textId="77777777">
            <w:pPr>
              <w:tabs>
                <w:tab w:val="center" w:pos="284"/>
              </w:tabs>
              <w:overflowPunct w:val="0"/>
              <w:autoSpaceDE w:val="0"/>
              <w:autoSpaceDN w:val="0"/>
              <w:adjustRightInd w:val="0"/>
              <w:textAlignment w:val="baseline"/>
              <w:rPr>
                <w:sz w:val="22"/>
                <w:szCs w:val="22"/>
              </w:rPr>
            </w:pPr>
            <w:r w:rsidRPr="00F32610">
              <w:rPr>
                <w:sz w:val="22"/>
                <w:szCs w:val="22"/>
              </w:rPr>
              <w:t>COM(2023) 903 final</w:t>
            </w:r>
          </w:p>
          <w:p w:rsidRPr="00F32610" w:rsidR="002435FB" w:rsidP="002435FB" w:rsidRDefault="002435FB" w14:paraId="4D3CD881" w14:textId="54643070">
            <w:pPr>
              <w:tabs>
                <w:tab w:val="center" w:pos="284"/>
              </w:tabs>
              <w:overflowPunct w:val="0"/>
              <w:autoSpaceDE w:val="0"/>
              <w:autoSpaceDN w:val="0"/>
              <w:adjustRightInd w:val="0"/>
              <w:textAlignment w:val="baseline"/>
              <w:rPr>
                <w:sz w:val="22"/>
                <w:szCs w:val="22"/>
              </w:rPr>
            </w:pPr>
            <w:r w:rsidRPr="00F32610">
              <w:rPr>
                <w:sz w:val="22"/>
                <w:szCs w:val="22"/>
              </w:rPr>
              <w:t>EESC-2023-04821-00-00-AC</w:t>
            </w:r>
          </w:p>
        </w:tc>
      </w:tr>
    </w:tbl>
    <w:p w:rsidR="006221F1" w:rsidP="00F32610" w:rsidRDefault="006221F1" w14:paraId="53931BB8" w14:textId="77777777">
      <w:pPr>
        <w:tabs>
          <w:tab w:val="center" w:pos="284"/>
        </w:tabs>
        <w:overflowPunct w:val="0"/>
        <w:autoSpaceDE w:val="0"/>
        <w:autoSpaceDN w:val="0"/>
        <w:adjustRightInd w:val="0"/>
        <w:spacing w:line="240" w:lineRule="auto"/>
        <w:ind w:left="266" w:hanging="124"/>
        <w:textAlignment w:val="baseline"/>
        <w:rPr>
          <w:b/>
        </w:rPr>
      </w:pPr>
    </w:p>
    <w:p w:rsidRPr="002435FB" w:rsidR="002435FB" w:rsidP="00D9440D" w:rsidRDefault="002435FB" w14:paraId="027341DC" w14:textId="24AE7389">
      <w:pPr>
        <w:tabs>
          <w:tab w:val="center" w:pos="284"/>
        </w:tabs>
        <w:overflowPunct w:val="0"/>
        <w:autoSpaceDE w:val="0"/>
        <w:autoSpaceDN w:val="0"/>
        <w:adjustRightInd w:val="0"/>
        <w:ind w:left="266" w:hanging="124"/>
        <w:textAlignment w:val="baseline"/>
        <w:rPr>
          <w:b/>
        </w:rPr>
      </w:pPr>
      <w:r>
        <w:rPr>
          <w:b/>
        </w:rPr>
        <w:t>Kernaussagen</w:t>
      </w:r>
    </w:p>
    <w:p w:rsidRPr="002435FB" w:rsidR="002435FB" w:rsidP="00F32610" w:rsidRDefault="002435FB" w14:paraId="1AB234EB" w14:textId="77777777">
      <w:pPr>
        <w:tabs>
          <w:tab w:val="center" w:pos="284"/>
        </w:tabs>
        <w:overflowPunct w:val="0"/>
        <w:autoSpaceDE w:val="0"/>
        <w:autoSpaceDN w:val="0"/>
        <w:adjustRightInd w:val="0"/>
        <w:spacing w:line="240" w:lineRule="auto"/>
        <w:ind w:left="266" w:hanging="266"/>
        <w:textAlignment w:val="baseline"/>
        <w:rPr>
          <w:b/>
        </w:rPr>
      </w:pPr>
    </w:p>
    <w:p w:rsidRPr="002435FB" w:rsidR="002435FB" w:rsidP="00D9440D" w:rsidRDefault="002435FB" w14:paraId="41A4E45B" w14:textId="77777777">
      <w:pPr>
        <w:overflowPunct w:val="0"/>
        <w:autoSpaceDE w:val="0"/>
        <w:autoSpaceDN w:val="0"/>
        <w:adjustRightInd w:val="0"/>
        <w:ind w:left="425" w:hanging="283"/>
        <w:textAlignment w:val="baseline"/>
        <w:rPr>
          <w:bCs/>
          <w:iCs/>
          <w:highlight w:val="yellow"/>
        </w:rPr>
      </w:pPr>
      <w:r>
        <w:t>Der EWSA</w:t>
      </w:r>
    </w:p>
    <w:p w:rsidRPr="002435FB" w:rsidR="002435FB" w:rsidP="00F32610" w:rsidRDefault="002435FB" w14:paraId="6DD93E63" w14:textId="77777777">
      <w:pPr>
        <w:overflowPunct w:val="0"/>
        <w:autoSpaceDE w:val="0"/>
        <w:autoSpaceDN w:val="0"/>
        <w:adjustRightInd w:val="0"/>
        <w:spacing w:line="240" w:lineRule="auto"/>
        <w:ind w:left="709" w:hanging="425"/>
        <w:textAlignment w:val="baseline"/>
        <w:outlineLvl w:val="1"/>
        <w:rPr>
          <w:szCs w:val="20"/>
          <w:highlight w:val="yellow"/>
        </w:rPr>
      </w:pPr>
    </w:p>
    <w:p w:rsidRPr="002435FB" w:rsidR="002435FB" w:rsidP="00D9440D"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11"/>
      <w:bookmarkStart w:name="_Toc157777200" w:id="12"/>
      <w:r>
        <w:t>begrüßt die Empfehlungen der Europäischen Kommission für das Euro-Währungsgebiet und stimmt ihnen – wie auch der Einschätzung der aktuellen Wirtschaftslage durch die Kommission – weitgehend zu;</w:t>
      </w:r>
      <w:bookmarkEnd w:id="11"/>
      <w:bookmarkEnd w:id="12"/>
      <w:r>
        <w:t xml:space="preserve"> </w:t>
      </w:r>
    </w:p>
    <w:p w:rsidRPr="002435FB" w:rsidR="002435FB" w:rsidP="000E5EDB" w:rsidRDefault="002435FB" w14:paraId="79D8B48A" w14:textId="70E02FC7">
      <w:pPr>
        <w:numPr>
          <w:ilvl w:val="0"/>
          <w:numId w:val="34"/>
        </w:numPr>
        <w:overflowPunct w:val="0"/>
        <w:autoSpaceDE w:val="0"/>
        <w:autoSpaceDN w:val="0"/>
        <w:adjustRightInd w:val="0"/>
        <w:ind w:left="567" w:hanging="567"/>
        <w:textAlignment w:val="baseline"/>
        <w:outlineLvl w:val="1"/>
        <w:rPr>
          <w:szCs w:val="20"/>
        </w:rPr>
      </w:pPr>
      <w:bookmarkStart w:name="_Toc157076142" w:id="13"/>
      <w:bookmarkStart w:name="_Toc157777201" w:id="14"/>
      <w:r>
        <w:t>fordert die Europäische Zentralbank (EZB) auf, einen umsichtigen Ansatz zu verfolgen, der auf einer dynamischen und datenbasierten Geldpolitik beruht, um die Inflation weiter an das Zielniveau heranzuführen. Die Haushaltspolitik der Mitgliedstaaten sollte kontinuierlich mit der Geldpolitik der EZB koordiniert werden;</w:t>
      </w:r>
      <w:bookmarkEnd w:id="13"/>
      <w:bookmarkEnd w:id="14"/>
    </w:p>
    <w:p w:rsidRPr="002435FB" w:rsidR="002435FB" w:rsidP="000E5EDB" w:rsidRDefault="002435FB" w14:paraId="0992FDE2" w14:textId="444BEB88">
      <w:pPr>
        <w:numPr>
          <w:ilvl w:val="0"/>
          <w:numId w:val="34"/>
        </w:numPr>
        <w:overflowPunct w:val="0"/>
        <w:autoSpaceDE w:val="0"/>
        <w:autoSpaceDN w:val="0"/>
        <w:adjustRightInd w:val="0"/>
        <w:ind w:left="567" w:hanging="567"/>
        <w:textAlignment w:val="baseline"/>
        <w:outlineLvl w:val="1"/>
        <w:rPr>
          <w:szCs w:val="20"/>
        </w:rPr>
      </w:pPr>
      <w:bookmarkStart w:name="_Toc157076143" w:id="15"/>
      <w:bookmarkStart w:name="_Toc157777202" w:id="16"/>
      <w:r>
        <w:t>unterstützt die Forderung der Kommission nach Haushaltskonsolidierung und fordert die Mitgliedstaaten auf, noch vor Jahresende eine Einigung über die Reform des Stabilitäts- und Wachstumspakts zu erzielen;</w:t>
      </w:r>
      <w:bookmarkEnd w:id="15"/>
      <w:bookmarkEnd w:id="16"/>
    </w:p>
    <w:p w:rsidRPr="002435FB" w:rsidR="002435FB" w:rsidP="000E5EDB" w:rsidRDefault="002435FB" w14:paraId="6722825E" w14:textId="7AE01381">
      <w:pPr>
        <w:numPr>
          <w:ilvl w:val="0"/>
          <w:numId w:val="34"/>
        </w:numPr>
        <w:overflowPunct w:val="0"/>
        <w:autoSpaceDE w:val="0"/>
        <w:autoSpaceDN w:val="0"/>
        <w:adjustRightInd w:val="0"/>
        <w:ind w:left="567" w:hanging="567"/>
        <w:textAlignment w:val="baseline"/>
        <w:outlineLvl w:val="1"/>
        <w:rPr>
          <w:szCs w:val="20"/>
        </w:rPr>
      </w:pPr>
      <w:bookmarkStart w:name="_Toc157076144" w:id="17"/>
      <w:bookmarkStart w:name="_Toc157777203" w:id="18"/>
      <w:r>
        <w:t>begrüßt die Empfehlung der Europäischen Kommission an die Mitgliedstaaten, im Einklang mit den nationalen Gepflogenheiten und unter Achtung der Rolle der Sozialpartner Lohnentwicklungen zu unterstützen, mit denen die Kaufkraftverluste insbesondere für Geringverdiener abgemildert werden. Dabei ist der Wettbewerbsdynamik gebührend Rechnung zu tragen, und dauerhafte Divergenzen innerhalb des Euro-Währungsgebiets sind zu vermeiden;</w:t>
      </w:r>
      <w:bookmarkEnd w:id="17"/>
      <w:bookmarkEnd w:id="18"/>
    </w:p>
    <w:p w:rsidRPr="002435FB" w:rsidR="002435FB" w:rsidP="000E5EDB" w:rsidRDefault="002435FB" w14:paraId="31F043FD" w14:textId="5F4A8B7F">
      <w:pPr>
        <w:numPr>
          <w:ilvl w:val="0"/>
          <w:numId w:val="34"/>
        </w:numPr>
        <w:overflowPunct w:val="0"/>
        <w:autoSpaceDE w:val="0"/>
        <w:autoSpaceDN w:val="0"/>
        <w:adjustRightInd w:val="0"/>
        <w:ind w:left="567" w:hanging="567"/>
        <w:textAlignment w:val="baseline"/>
        <w:outlineLvl w:val="1"/>
        <w:rPr>
          <w:i/>
          <w:iCs/>
          <w:szCs w:val="20"/>
        </w:rPr>
      </w:pPr>
      <w:bookmarkStart w:name="_Toc157076145" w:id="19"/>
      <w:bookmarkStart w:name="_Toc157777204" w:id="20"/>
      <w:r>
        <w:t>begrüßt die Einrichtung des EU-Talentpools und betont erneut, wie wichtig es ist, die im „Bericht über die Beschäftigung und die soziale Lage in Europa“ enthaltenen Empfehlungen zur „Bekämpfung des Arbeitskräftemangels und des Qualifikationsdefizits in der EU“ rasch umzusetzen;</w:t>
      </w:r>
      <w:bookmarkEnd w:id="19"/>
      <w:bookmarkEnd w:id="20"/>
    </w:p>
    <w:p w:rsidRPr="002435FB" w:rsidR="002435FB" w:rsidP="000E5EDB" w:rsidRDefault="002435FB" w14:paraId="696D13B4" w14:textId="28F1227C">
      <w:pPr>
        <w:numPr>
          <w:ilvl w:val="0"/>
          <w:numId w:val="34"/>
        </w:numPr>
        <w:overflowPunct w:val="0"/>
        <w:autoSpaceDE w:val="0"/>
        <w:autoSpaceDN w:val="0"/>
        <w:adjustRightInd w:val="0"/>
        <w:ind w:left="567" w:hanging="567"/>
        <w:textAlignment w:val="baseline"/>
        <w:outlineLvl w:val="1"/>
        <w:rPr>
          <w:szCs w:val="20"/>
        </w:rPr>
      </w:pPr>
      <w:bookmarkStart w:name="_Toc157076146" w:id="21"/>
      <w:bookmarkStart w:name="_Toc157777205" w:id="22"/>
      <w:r>
        <w:t>fordert die Vollendung der Kapitalmarktunion, um die bestehenden Hindernisse für die Deckung des Investitionsbedarfs für einen gerechten und inklusiven grünen und digitalen Wandel zu beseitigen;</w:t>
      </w:r>
      <w:bookmarkEnd w:id="21"/>
      <w:bookmarkEnd w:id="22"/>
    </w:p>
    <w:p w:rsidRPr="002435FB" w:rsidR="002435FB" w:rsidP="000E5EDB" w:rsidRDefault="002435FB" w14:paraId="1899D595" w14:textId="3600A846">
      <w:pPr>
        <w:numPr>
          <w:ilvl w:val="0"/>
          <w:numId w:val="34"/>
        </w:numPr>
        <w:overflowPunct w:val="0"/>
        <w:autoSpaceDE w:val="0"/>
        <w:autoSpaceDN w:val="0"/>
        <w:adjustRightInd w:val="0"/>
        <w:ind w:left="567" w:hanging="567"/>
        <w:textAlignment w:val="baseline"/>
        <w:outlineLvl w:val="1"/>
        <w:rPr>
          <w:szCs w:val="20"/>
        </w:rPr>
      </w:pPr>
      <w:bookmarkStart w:name="_Toc157076147" w:id="23"/>
      <w:bookmarkStart w:name="_Toc157777206" w:id="24"/>
      <w:r>
        <w:t>betont, wie wichtig es ist, die Bankenunion zu vollenden und die noch fehlende dritte Säule, das Europäische Einlagenversicherungssystem (EDIS), zu schaffen;</w:t>
      </w:r>
      <w:bookmarkEnd w:id="23"/>
      <w:bookmarkEnd w:id="24"/>
    </w:p>
    <w:p w:rsidRPr="002435FB" w:rsidR="002435FB" w:rsidP="000E5EDB" w:rsidRDefault="002435FB" w14:paraId="60A36BE6" w14:textId="5186E800">
      <w:pPr>
        <w:numPr>
          <w:ilvl w:val="0"/>
          <w:numId w:val="34"/>
        </w:numPr>
        <w:overflowPunct w:val="0"/>
        <w:autoSpaceDE w:val="0"/>
        <w:autoSpaceDN w:val="0"/>
        <w:adjustRightInd w:val="0"/>
        <w:ind w:left="567" w:hanging="567"/>
        <w:textAlignment w:val="baseline"/>
        <w:outlineLvl w:val="1"/>
        <w:rPr>
          <w:szCs w:val="20"/>
        </w:rPr>
      </w:pPr>
      <w:bookmarkStart w:name="_Toc157076148" w:id="25"/>
      <w:bookmarkStart w:name="_Toc157777207" w:id="26"/>
      <w:r>
        <w:t>fordert, durch entsprechende Rechtsvorschriften und Investitionen in Energieinfrastruktur und Verbindungsleitungen die Reform des Strommarkts und der Energieunion voranzubringen. Dies sind wichtige Schritte zur Senkung der Energiekosten für die Haushalte, gleichzeitig wird so die Wettbewerbsfähigkeit der europäischen Unternehmen gestärkt;</w:t>
      </w:r>
      <w:bookmarkEnd w:id="25"/>
      <w:bookmarkEnd w:id="26"/>
      <w:r>
        <w:t xml:space="preserve"> </w:t>
      </w:r>
    </w:p>
    <w:p w:rsidRPr="002435FB" w:rsidR="002435FB" w:rsidP="000E5EDB" w:rsidRDefault="002435FB" w14:paraId="786F4E49" w14:textId="692AD56E">
      <w:pPr>
        <w:numPr>
          <w:ilvl w:val="0"/>
          <w:numId w:val="34"/>
        </w:numPr>
        <w:overflowPunct w:val="0"/>
        <w:autoSpaceDE w:val="0"/>
        <w:autoSpaceDN w:val="0"/>
        <w:adjustRightInd w:val="0"/>
        <w:ind w:left="567" w:hanging="567"/>
        <w:textAlignment w:val="baseline"/>
        <w:outlineLvl w:val="1"/>
        <w:rPr>
          <w:szCs w:val="20"/>
        </w:rPr>
      </w:pPr>
      <w:bookmarkStart w:name="_Toc157076149" w:id="27"/>
      <w:bookmarkStart w:name="_Toc157777208" w:id="28"/>
      <w:r>
        <w:t>hält eine europäische Lösung, die die langfristige Wettbewerbsfähigkeit der Unternehmen in Europa stärkt, ohne den Binnenmarkt zu untergraben, für entscheidend. Daher bekräftigt der EWSA seine Unterstützung für die Plattform „Strategische Technologien für Europa“ und fordert die Kommission erneut auf, zu diesem Zweck gemeinsame Instrumente zu schaffen.</w:t>
      </w:r>
      <w:bookmarkEnd w:id="27"/>
      <w:bookmarkEnd w:id="28"/>
      <w:r>
        <w:t xml:space="preserve"> </w:t>
      </w:r>
    </w:p>
    <w:p w:rsidRPr="002435FB" w:rsidR="002435FB" w:rsidP="00F32610" w:rsidRDefault="002435FB" w14:paraId="611B50C3" w14:textId="77777777">
      <w:pPr>
        <w:keepNext/>
        <w:keepLines/>
        <w:overflowPunct w:val="0"/>
        <w:autoSpaceDE w:val="0"/>
        <w:autoSpaceDN w:val="0"/>
        <w:adjustRightInd w:val="0"/>
        <w:spacing w:line="240" w:lineRule="auto"/>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435FB" w:rsidR="002435FB" w:rsidTr="00F655B8" w14:paraId="29A98A47" w14:textId="77777777">
        <w:tc>
          <w:tcPr>
            <w:tcW w:w="1418" w:type="dxa"/>
          </w:tcPr>
          <w:p w:rsidRPr="00F32610" w:rsidR="002435FB" w:rsidP="002435FB" w:rsidRDefault="002435FB" w14:paraId="6FF6279F" w14:textId="77777777">
            <w:pPr>
              <w:keepNext/>
              <w:keepLines/>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5670" w:type="dxa"/>
          </w:tcPr>
          <w:p w:rsidRPr="00F32610" w:rsidR="002435FB" w:rsidP="002435FB" w:rsidRDefault="002435FB" w14:paraId="515AF659" w14:textId="77777777">
            <w:pPr>
              <w:keepNext/>
              <w:keepLines/>
              <w:overflowPunct w:val="0"/>
              <w:autoSpaceDE w:val="0"/>
              <w:autoSpaceDN w:val="0"/>
              <w:adjustRightInd w:val="0"/>
              <w:spacing w:line="240" w:lineRule="auto"/>
              <w:textAlignment w:val="baseline"/>
              <w:rPr>
                <w:i/>
                <w:sz w:val="22"/>
                <w:szCs w:val="22"/>
              </w:rPr>
            </w:pPr>
            <w:r w:rsidRPr="00F32610">
              <w:rPr>
                <w:i/>
                <w:sz w:val="22"/>
                <w:szCs w:val="22"/>
              </w:rPr>
              <w:t xml:space="preserve">Krisztina </w:t>
            </w:r>
            <w:proofErr w:type="spellStart"/>
            <w:r w:rsidRPr="00F32610">
              <w:rPr>
                <w:i/>
                <w:sz w:val="22"/>
                <w:szCs w:val="22"/>
              </w:rPr>
              <w:t>Perlaky</w:t>
            </w:r>
            <w:proofErr w:type="spellEnd"/>
            <w:r w:rsidRPr="00F32610">
              <w:rPr>
                <w:i/>
                <w:sz w:val="22"/>
                <w:szCs w:val="22"/>
              </w:rPr>
              <w:t xml:space="preserve">-Tóth </w:t>
            </w:r>
          </w:p>
        </w:tc>
      </w:tr>
      <w:tr w:rsidRPr="002435FB" w:rsidR="002435FB" w:rsidTr="00F655B8" w14:paraId="305317EB" w14:textId="77777777">
        <w:tc>
          <w:tcPr>
            <w:tcW w:w="1418" w:type="dxa"/>
          </w:tcPr>
          <w:p w:rsidRPr="00F32610" w:rsidR="002435FB" w:rsidP="002435FB" w:rsidRDefault="002435FB" w14:paraId="682A8661" w14:textId="77777777">
            <w:pPr>
              <w:keepNext/>
              <w:keepLines/>
              <w:overflowPunct w:val="0"/>
              <w:autoSpaceDE w:val="0"/>
              <w:autoSpaceDN w:val="0"/>
              <w:adjustRightInd w:val="0"/>
              <w:spacing w:line="240" w:lineRule="auto"/>
              <w:textAlignment w:val="baseline"/>
              <w:rPr>
                <w:i/>
                <w:sz w:val="22"/>
                <w:szCs w:val="22"/>
              </w:rPr>
            </w:pPr>
            <w:r w:rsidRPr="00F32610">
              <w:rPr>
                <w:i/>
                <w:sz w:val="22"/>
                <w:szCs w:val="22"/>
              </w:rPr>
              <w:t>Tel.</w:t>
            </w:r>
          </w:p>
        </w:tc>
        <w:tc>
          <w:tcPr>
            <w:tcW w:w="5670" w:type="dxa"/>
          </w:tcPr>
          <w:p w:rsidRPr="00F32610" w:rsidR="002435FB" w:rsidP="002435FB" w:rsidRDefault="002435FB" w14:paraId="4272271B" w14:textId="77777777">
            <w:pPr>
              <w:keepNext/>
              <w:keepLines/>
              <w:overflowPunct w:val="0"/>
              <w:autoSpaceDE w:val="0"/>
              <w:autoSpaceDN w:val="0"/>
              <w:adjustRightInd w:val="0"/>
              <w:spacing w:line="240" w:lineRule="auto"/>
              <w:textAlignment w:val="baseline"/>
              <w:rPr>
                <w:i/>
                <w:sz w:val="22"/>
                <w:szCs w:val="22"/>
              </w:rPr>
            </w:pPr>
            <w:r w:rsidRPr="00F32610">
              <w:rPr>
                <w:i/>
                <w:sz w:val="22"/>
                <w:szCs w:val="22"/>
              </w:rPr>
              <w:t>+32 25469740</w:t>
            </w:r>
          </w:p>
        </w:tc>
      </w:tr>
      <w:tr w:rsidRPr="002435FB" w:rsidR="002435FB" w:rsidTr="00F655B8" w14:paraId="7A8F0AC0" w14:textId="77777777">
        <w:tc>
          <w:tcPr>
            <w:tcW w:w="1418" w:type="dxa"/>
          </w:tcPr>
          <w:p w:rsidRPr="00F32610" w:rsidR="002435FB" w:rsidP="002435FB" w:rsidRDefault="002435FB" w14:paraId="7EC9556E" w14:textId="77777777">
            <w:pPr>
              <w:keepNext/>
              <w:keepLines/>
              <w:overflowPunct w:val="0"/>
              <w:autoSpaceDE w:val="0"/>
              <w:autoSpaceDN w:val="0"/>
              <w:adjustRightInd w:val="0"/>
              <w:spacing w:line="240" w:lineRule="auto"/>
              <w:textAlignment w:val="baseline"/>
              <w:rPr>
                <w:i/>
                <w:sz w:val="22"/>
                <w:szCs w:val="22"/>
              </w:rPr>
            </w:pPr>
            <w:r w:rsidRPr="00F32610">
              <w:rPr>
                <w:i/>
                <w:sz w:val="22"/>
                <w:szCs w:val="22"/>
              </w:rPr>
              <w:t>E-Mail</w:t>
            </w:r>
          </w:p>
        </w:tc>
        <w:tc>
          <w:tcPr>
            <w:tcW w:w="5670" w:type="dxa"/>
          </w:tcPr>
          <w:p w:rsidRPr="00F32610" w:rsidR="002435FB" w:rsidP="002435FB" w:rsidRDefault="00FF5F8E" w14:paraId="6D8AA2A8" w14:textId="3DD28C1F">
            <w:pPr>
              <w:keepNext/>
              <w:keepLines/>
              <w:overflowPunct w:val="0"/>
              <w:autoSpaceDE w:val="0"/>
              <w:autoSpaceDN w:val="0"/>
              <w:adjustRightInd w:val="0"/>
              <w:spacing w:line="240" w:lineRule="auto"/>
              <w:textAlignment w:val="baseline"/>
              <w:rPr>
                <w:i/>
                <w:iCs/>
                <w:sz w:val="22"/>
                <w:szCs w:val="22"/>
              </w:rPr>
            </w:pPr>
            <w:hyperlink w:history="1" r:id="rId23">
              <w:r w:rsidRPr="00F32610" w:rsidR="00F2403D">
                <w:rPr>
                  <w:i/>
                  <w:color w:val="0000FF"/>
                  <w:sz w:val="22"/>
                  <w:szCs w:val="22"/>
                  <w:u w:val="single"/>
                </w:rPr>
                <w:t>Krisztina.PerlakyToth@eesc.europa.eu</w:t>
              </w:r>
            </w:hyperlink>
          </w:p>
        </w:tc>
      </w:tr>
    </w:tbl>
    <w:p w:rsidRPr="00F32610" w:rsidR="005B4EE6" w:rsidRDefault="005B4EE6" w14:paraId="0843A720" w14:textId="2B5851B7">
      <w:pPr>
        <w:spacing w:after="160" w:line="259" w:lineRule="auto"/>
        <w:jc w:val="left"/>
        <w:rPr>
          <w:sz w:val="2"/>
          <w:szCs w:val="2"/>
        </w:rPr>
      </w:pPr>
      <w:r w:rsidRPr="00F32610">
        <w:rPr>
          <w:sz w:val="2"/>
          <w:szCs w:val="2"/>
        </w:rPr>
        <w:br w:type="page"/>
      </w:r>
    </w:p>
    <w:p w:rsidRPr="00D6423D" w:rsidR="005A67F3" w:rsidP="00F32610" w:rsidRDefault="004C3902" w14:paraId="3792A077" w14:textId="6319EBD1">
      <w:pPr>
        <w:pStyle w:val="Heading1"/>
        <w:tabs>
          <w:tab w:val="clear" w:pos="440"/>
        </w:tabs>
        <w:ind w:left="567" w:hanging="567"/>
        <w:rPr>
          <w:b/>
          <w:bCs/>
        </w:rPr>
      </w:pPr>
      <w:bookmarkStart w:name="_Toc150179063" w:id="29"/>
      <w:bookmarkStart w:name="_Toc153539680" w:id="30"/>
      <w:bookmarkStart w:name="_Toc157777209" w:id="31"/>
      <w:bookmarkEnd w:id="29"/>
      <w:r>
        <w:rPr>
          <w:b/>
        </w:rPr>
        <w:lastRenderedPageBreak/>
        <w:t>BINNENMARKT, PRODUKTION, VERBRAUCH</w:t>
      </w:r>
      <w:bookmarkEnd w:id="30"/>
      <w:bookmarkEnd w:id="31"/>
    </w:p>
    <w:p w:rsidRPr="00094B6B" w:rsidR="004C3902" w:rsidP="00775FC4" w:rsidRDefault="004C3902" w14:paraId="51590E30" w14:textId="7D4E8C1F">
      <w:pPr>
        <w:keepNext/>
        <w:keepLines/>
        <w:jc w:val="left"/>
        <w:rPr>
          <w:b/>
          <w:iCs/>
        </w:rPr>
      </w:pPr>
    </w:p>
    <w:p w:rsidRPr="00C83487" w:rsidR="00DC121F" w:rsidP="00235E61" w:rsidRDefault="00DC121F" w14:paraId="7C0332D6" w14:textId="782DE997">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Bekämpfung des sexuellen Missbrauchs von Kindern im Internet</w:t>
      </w:r>
    </w:p>
    <w:p w:rsidRPr="000E5EDB"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945"/>
      </w:tblGrid>
      <w:tr w:rsidRPr="00DC121F" w:rsidR="00DC121F" w:rsidTr="00F32610" w14:paraId="0EE803D3" w14:textId="77777777">
        <w:tc>
          <w:tcPr>
            <w:tcW w:w="2235" w:type="dxa"/>
            <w:vMerge w:val="restart"/>
          </w:tcPr>
          <w:p w:rsidRPr="00F32610" w:rsidR="00DC121F" w:rsidP="000E5EDB" w:rsidRDefault="00DC121F" w14:paraId="3EB4C03A" w14:textId="77777777">
            <w:pPr>
              <w:tabs>
                <w:tab w:val="center" w:pos="284"/>
              </w:tabs>
              <w:overflowPunct w:val="0"/>
              <w:autoSpaceDE w:val="0"/>
              <w:autoSpaceDN w:val="0"/>
              <w:adjustRightInd w:val="0"/>
              <w:ind w:left="266" w:right="-5356" w:hanging="376"/>
              <w:textAlignment w:val="baseline"/>
              <w:rPr>
                <w:b/>
                <w:sz w:val="22"/>
                <w:szCs w:val="22"/>
              </w:rPr>
            </w:pPr>
            <w:r w:rsidRPr="00F32610">
              <w:rPr>
                <w:b/>
                <w:sz w:val="22"/>
                <w:szCs w:val="22"/>
              </w:rPr>
              <w:t>Referenzdokumente</w:t>
            </w:r>
          </w:p>
        </w:tc>
        <w:tc>
          <w:tcPr>
            <w:tcW w:w="6945" w:type="dxa"/>
          </w:tcPr>
          <w:p w:rsidRPr="00F32610" w:rsidR="0057638B" w:rsidP="00B65EA6" w:rsidRDefault="0057638B" w14:paraId="5BAEC5EA" w14:textId="5156636B">
            <w:pPr>
              <w:tabs>
                <w:tab w:val="center" w:pos="284"/>
              </w:tabs>
              <w:overflowPunct w:val="0"/>
              <w:autoSpaceDE w:val="0"/>
              <w:autoSpaceDN w:val="0"/>
              <w:adjustRightInd w:val="0"/>
              <w:ind w:left="266" w:hanging="376"/>
              <w:textAlignment w:val="baseline"/>
              <w:rPr>
                <w:sz w:val="22"/>
                <w:szCs w:val="22"/>
              </w:rPr>
            </w:pPr>
            <w:r w:rsidRPr="00F32610">
              <w:rPr>
                <w:b/>
                <w:sz w:val="22"/>
                <w:szCs w:val="22"/>
              </w:rPr>
              <w:t>Stellungnahme der Kategorie C</w:t>
            </w:r>
          </w:p>
          <w:p w:rsidRPr="00F32610" w:rsidR="00DC121F" w:rsidP="000E5EDB" w:rsidRDefault="00DC121F" w14:paraId="373F352E" w14:textId="495EFA22">
            <w:pPr>
              <w:tabs>
                <w:tab w:val="center" w:pos="284"/>
              </w:tabs>
              <w:overflowPunct w:val="0"/>
              <w:autoSpaceDE w:val="0"/>
              <w:autoSpaceDN w:val="0"/>
              <w:adjustRightInd w:val="0"/>
              <w:ind w:left="266" w:hanging="376"/>
              <w:textAlignment w:val="baseline"/>
              <w:rPr>
                <w:sz w:val="22"/>
                <w:szCs w:val="22"/>
              </w:rPr>
            </w:pPr>
            <w:r w:rsidRPr="00F32610">
              <w:rPr>
                <w:sz w:val="22"/>
                <w:szCs w:val="22"/>
              </w:rPr>
              <w:t>COM(2023) 777 final</w:t>
            </w:r>
          </w:p>
        </w:tc>
      </w:tr>
      <w:tr w:rsidRPr="00DC121F" w:rsidR="00DC121F" w:rsidTr="00F32610" w14:paraId="59903D0F" w14:textId="77777777">
        <w:tc>
          <w:tcPr>
            <w:tcW w:w="2235" w:type="dxa"/>
            <w:vMerge/>
          </w:tcPr>
          <w:p w:rsidRPr="00F32610" w:rsidR="00DC121F" w:rsidP="000E5EDB" w:rsidRDefault="00DC121F" w14:paraId="75E76E85" w14:textId="77777777">
            <w:pPr>
              <w:tabs>
                <w:tab w:val="center" w:pos="284"/>
              </w:tabs>
              <w:overflowPunct w:val="0"/>
              <w:autoSpaceDE w:val="0"/>
              <w:autoSpaceDN w:val="0"/>
              <w:adjustRightInd w:val="0"/>
              <w:ind w:left="266" w:hanging="376"/>
              <w:textAlignment w:val="baseline"/>
              <w:rPr>
                <w:b/>
                <w:sz w:val="22"/>
                <w:szCs w:val="22"/>
              </w:rPr>
            </w:pPr>
          </w:p>
        </w:tc>
        <w:tc>
          <w:tcPr>
            <w:tcW w:w="6945" w:type="dxa"/>
          </w:tcPr>
          <w:p w:rsidRPr="00F32610" w:rsidR="00DC121F" w:rsidP="000E5EDB" w:rsidRDefault="00DC121F" w14:paraId="4A87DF59" w14:textId="77777777">
            <w:pPr>
              <w:tabs>
                <w:tab w:val="center" w:pos="284"/>
              </w:tabs>
              <w:overflowPunct w:val="0"/>
              <w:autoSpaceDE w:val="0"/>
              <w:autoSpaceDN w:val="0"/>
              <w:adjustRightInd w:val="0"/>
              <w:ind w:left="266" w:hanging="376"/>
              <w:textAlignment w:val="baseline"/>
              <w:rPr>
                <w:sz w:val="22"/>
                <w:szCs w:val="22"/>
              </w:rPr>
            </w:pPr>
            <w:r w:rsidRPr="00F32610">
              <w:rPr>
                <w:sz w:val="22"/>
                <w:szCs w:val="22"/>
              </w:rP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Der EWSA beschloss, eine befürwortende Stellungnahme zu diesem Vorschlag abzugeben.</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2610" w:rsidR="00DC121F" w:rsidTr="00F655B8" w14:paraId="536949CE" w14:textId="77777777">
        <w:tc>
          <w:tcPr>
            <w:tcW w:w="1418" w:type="dxa"/>
          </w:tcPr>
          <w:p w:rsidRPr="00F32610" w:rsidR="00DC121F" w:rsidP="000E5EDB" w:rsidRDefault="00DC121F" w14:paraId="08A41DF2" w14:textId="77777777">
            <w:pPr>
              <w:overflowPunct w:val="0"/>
              <w:autoSpaceDE w:val="0"/>
              <w:autoSpaceDN w:val="0"/>
              <w:adjustRightInd w:val="0"/>
              <w:spacing w:line="240" w:lineRule="auto"/>
              <w:ind w:hanging="110"/>
              <w:textAlignment w:val="baseline"/>
              <w:rPr>
                <w:i/>
                <w:sz w:val="22"/>
                <w:szCs w:val="22"/>
              </w:rPr>
            </w:pPr>
            <w:r w:rsidRPr="00F32610">
              <w:rPr>
                <w:b/>
                <w:i/>
                <w:sz w:val="22"/>
                <w:szCs w:val="22"/>
              </w:rPr>
              <w:t>Kontakt</w:t>
            </w:r>
          </w:p>
        </w:tc>
        <w:tc>
          <w:tcPr>
            <w:tcW w:w="5670" w:type="dxa"/>
          </w:tcPr>
          <w:p w:rsidRPr="00F32610" w:rsidR="00DC121F" w:rsidP="000E5EDB" w:rsidRDefault="00DC121F" w14:paraId="1B1D7048" w14:textId="77777777">
            <w:pPr>
              <w:overflowPunct w:val="0"/>
              <w:autoSpaceDE w:val="0"/>
              <w:autoSpaceDN w:val="0"/>
              <w:adjustRightInd w:val="0"/>
              <w:spacing w:line="240" w:lineRule="auto"/>
              <w:ind w:hanging="110"/>
              <w:textAlignment w:val="baseline"/>
              <w:rPr>
                <w:i/>
                <w:sz w:val="22"/>
                <w:szCs w:val="22"/>
              </w:rPr>
            </w:pPr>
            <w:r w:rsidRPr="00F32610">
              <w:rPr>
                <w:i/>
                <w:sz w:val="22"/>
                <w:szCs w:val="22"/>
              </w:rPr>
              <w:t xml:space="preserve">Alice </w:t>
            </w:r>
            <w:proofErr w:type="spellStart"/>
            <w:r w:rsidRPr="00F32610">
              <w:rPr>
                <w:i/>
                <w:sz w:val="22"/>
                <w:szCs w:val="22"/>
              </w:rPr>
              <w:t>Tétu</w:t>
            </w:r>
            <w:proofErr w:type="spellEnd"/>
          </w:p>
        </w:tc>
      </w:tr>
      <w:tr w:rsidRPr="00F32610" w:rsidR="00DC121F" w:rsidTr="00F655B8" w14:paraId="2F7D7C01" w14:textId="77777777">
        <w:tc>
          <w:tcPr>
            <w:tcW w:w="1418" w:type="dxa"/>
          </w:tcPr>
          <w:p w:rsidRPr="00F32610" w:rsidR="00DC121F" w:rsidP="000E5EDB" w:rsidRDefault="00DC121F" w14:paraId="094140E7" w14:textId="77777777">
            <w:pPr>
              <w:overflowPunct w:val="0"/>
              <w:autoSpaceDE w:val="0"/>
              <w:autoSpaceDN w:val="0"/>
              <w:adjustRightInd w:val="0"/>
              <w:spacing w:line="240" w:lineRule="auto"/>
              <w:ind w:hanging="110"/>
              <w:textAlignment w:val="baseline"/>
              <w:rPr>
                <w:i/>
                <w:sz w:val="22"/>
                <w:szCs w:val="22"/>
              </w:rPr>
            </w:pPr>
            <w:r w:rsidRPr="00F32610">
              <w:rPr>
                <w:i/>
                <w:sz w:val="22"/>
                <w:szCs w:val="22"/>
              </w:rPr>
              <w:t>Tel.</w:t>
            </w:r>
          </w:p>
        </w:tc>
        <w:tc>
          <w:tcPr>
            <w:tcW w:w="5670" w:type="dxa"/>
          </w:tcPr>
          <w:p w:rsidRPr="00F32610" w:rsidR="00DC121F" w:rsidP="000E5EDB" w:rsidRDefault="00DC121F" w14:paraId="276381F6" w14:textId="77777777">
            <w:pPr>
              <w:overflowPunct w:val="0"/>
              <w:autoSpaceDE w:val="0"/>
              <w:autoSpaceDN w:val="0"/>
              <w:adjustRightInd w:val="0"/>
              <w:spacing w:line="240" w:lineRule="auto"/>
              <w:ind w:hanging="110"/>
              <w:textAlignment w:val="baseline"/>
              <w:rPr>
                <w:i/>
                <w:sz w:val="22"/>
                <w:szCs w:val="22"/>
              </w:rPr>
            </w:pPr>
            <w:r w:rsidRPr="00F32610">
              <w:rPr>
                <w:i/>
                <w:sz w:val="22"/>
                <w:szCs w:val="22"/>
              </w:rPr>
              <w:t>+32 25468286</w:t>
            </w:r>
          </w:p>
        </w:tc>
      </w:tr>
      <w:tr w:rsidRPr="00F32610" w:rsidR="00DC121F" w:rsidTr="00F655B8" w14:paraId="59D0574A" w14:textId="77777777">
        <w:tc>
          <w:tcPr>
            <w:tcW w:w="1418" w:type="dxa"/>
          </w:tcPr>
          <w:p w:rsidRPr="00F32610" w:rsidR="00DC121F" w:rsidP="000E5EDB" w:rsidRDefault="00DC121F" w14:paraId="7C0B10B2" w14:textId="77777777">
            <w:pPr>
              <w:overflowPunct w:val="0"/>
              <w:autoSpaceDE w:val="0"/>
              <w:autoSpaceDN w:val="0"/>
              <w:adjustRightInd w:val="0"/>
              <w:spacing w:line="240" w:lineRule="auto"/>
              <w:ind w:hanging="110"/>
              <w:textAlignment w:val="baseline"/>
              <w:rPr>
                <w:i/>
                <w:sz w:val="22"/>
                <w:szCs w:val="22"/>
              </w:rPr>
            </w:pPr>
            <w:r w:rsidRPr="00F32610">
              <w:rPr>
                <w:i/>
                <w:sz w:val="22"/>
                <w:szCs w:val="22"/>
              </w:rPr>
              <w:t>E-Mail</w:t>
            </w:r>
          </w:p>
        </w:tc>
        <w:tc>
          <w:tcPr>
            <w:tcW w:w="5670" w:type="dxa"/>
          </w:tcPr>
          <w:p w:rsidRPr="00F32610" w:rsidR="00DC121F" w:rsidP="000E5EDB" w:rsidRDefault="00FF5F8E" w14:paraId="4F8C70CD" w14:textId="77777777">
            <w:pPr>
              <w:overflowPunct w:val="0"/>
              <w:autoSpaceDE w:val="0"/>
              <w:autoSpaceDN w:val="0"/>
              <w:adjustRightInd w:val="0"/>
              <w:spacing w:line="240" w:lineRule="auto"/>
              <w:ind w:hanging="110"/>
              <w:textAlignment w:val="baseline"/>
              <w:rPr>
                <w:i/>
                <w:sz w:val="22"/>
                <w:szCs w:val="22"/>
              </w:rPr>
            </w:pPr>
            <w:hyperlink w:history="1" r:id="rId24">
              <w:r w:rsidRPr="00F32610" w:rsidR="00F2403D">
                <w:rPr>
                  <w:i/>
                  <w:color w:val="0000FF"/>
                  <w:sz w:val="22"/>
                  <w:szCs w:val="22"/>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FF5F8E" w14:paraId="063ADD0E" w14:textId="14674FF4">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00F2403D">
          <w:rPr>
            <w:b/>
            <w:i/>
            <w:color w:val="0000FF"/>
            <w:sz w:val="28"/>
            <w:u w:val="single"/>
          </w:rPr>
          <w:t>Korruption im öffentlichen Auftragswesen/Binnenmarkt</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4"/>
        <w:gridCol w:w="7053"/>
      </w:tblGrid>
      <w:tr w:rsidRPr="00F32610" w:rsidR="00DC121F" w:rsidTr="00F32610" w14:paraId="51AD98E3" w14:textId="77777777">
        <w:tc>
          <w:tcPr>
            <w:tcW w:w="1203" w:type="pct"/>
          </w:tcPr>
          <w:p w:rsidRPr="00F32610" w:rsidR="00DC121F" w:rsidP="00DC121F" w:rsidRDefault="00DC121F" w14:paraId="60E8676D"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3797" w:type="pct"/>
          </w:tcPr>
          <w:p w:rsidRPr="00F32610" w:rsidR="00DC121F" w:rsidP="00DC121F" w:rsidRDefault="00DC121F" w14:paraId="4ED4B842" w14:textId="7EEA168C">
            <w:pPr>
              <w:tabs>
                <w:tab w:val="center" w:pos="0"/>
              </w:tabs>
              <w:overflowPunct w:val="0"/>
              <w:autoSpaceDE w:val="0"/>
              <w:autoSpaceDN w:val="0"/>
              <w:adjustRightInd w:val="0"/>
              <w:ind w:left="266" w:hanging="266"/>
              <w:textAlignment w:val="baseline"/>
              <w:rPr>
                <w:sz w:val="22"/>
                <w:szCs w:val="22"/>
              </w:rPr>
            </w:pPr>
            <w:r w:rsidRPr="00F32610">
              <w:rPr>
                <w:sz w:val="22"/>
                <w:szCs w:val="22"/>
              </w:rPr>
              <w:t>José Antonio MORENO DÍAZ (Gruppe Arbeitnehmer – ES)</w:t>
            </w:r>
          </w:p>
        </w:tc>
      </w:tr>
      <w:tr w:rsidRPr="00F32610" w:rsidR="00DC121F" w:rsidTr="00F32610" w14:paraId="5A1848FF" w14:textId="77777777">
        <w:tc>
          <w:tcPr>
            <w:tcW w:w="1203" w:type="pct"/>
          </w:tcPr>
          <w:p w:rsidRPr="00F32610" w:rsidR="00DC121F" w:rsidP="00DC121F" w:rsidRDefault="00DC121F" w14:paraId="0BCF1F4C"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Ko-Berichterstatter</w:t>
            </w:r>
          </w:p>
        </w:tc>
        <w:tc>
          <w:tcPr>
            <w:tcW w:w="3797" w:type="pct"/>
          </w:tcPr>
          <w:p w:rsidRPr="00F32610" w:rsidR="00DC121F" w:rsidP="00DC121F" w:rsidRDefault="00DC121F" w14:paraId="23F0707E" w14:textId="60F82BE9">
            <w:pPr>
              <w:tabs>
                <w:tab w:val="center" w:pos="284"/>
              </w:tabs>
              <w:overflowPunct w:val="0"/>
              <w:autoSpaceDE w:val="0"/>
              <w:autoSpaceDN w:val="0"/>
              <w:adjustRightInd w:val="0"/>
              <w:ind w:left="266" w:hanging="266"/>
              <w:textAlignment w:val="baseline"/>
              <w:rPr>
                <w:sz w:val="22"/>
                <w:szCs w:val="22"/>
              </w:rPr>
            </w:pPr>
            <w:r w:rsidRPr="00F32610">
              <w:rPr>
                <w:sz w:val="22"/>
                <w:szCs w:val="22"/>
              </w:rPr>
              <w:t>Cristian PÎRVULESCU (Gruppe Organisationen der Zivilgesellschaft – RO)</w:t>
            </w:r>
          </w:p>
        </w:tc>
      </w:tr>
      <w:tr w:rsidRPr="00F32610" w:rsidR="00DC121F" w:rsidTr="00C83487" w14:paraId="7283DAA7" w14:textId="77777777">
        <w:tc>
          <w:tcPr>
            <w:tcW w:w="5000" w:type="pct"/>
            <w:gridSpan w:val="2"/>
          </w:tcPr>
          <w:p w:rsidRPr="00F32610"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32610" w:rsidR="00DC121F" w:rsidTr="00F32610" w14:paraId="7C716C56" w14:textId="77777777">
        <w:tc>
          <w:tcPr>
            <w:tcW w:w="1203" w:type="pct"/>
            <w:vMerge w:val="restart"/>
          </w:tcPr>
          <w:p w:rsidRPr="00F32610" w:rsidR="00DC121F" w:rsidP="00DC121F" w:rsidRDefault="00DC121F" w14:paraId="47684010" w14:textId="011503C6">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w:t>
            </w:r>
          </w:p>
        </w:tc>
        <w:tc>
          <w:tcPr>
            <w:tcW w:w="3797" w:type="pct"/>
          </w:tcPr>
          <w:p w:rsidRPr="00F32610" w:rsidR="00DC121F" w:rsidP="00DC121F" w:rsidRDefault="00DC121F" w14:paraId="056E8859" w14:textId="77777777">
            <w:pPr>
              <w:tabs>
                <w:tab w:val="center" w:pos="284"/>
              </w:tabs>
              <w:overflowPunct w:val="0"/>
              <w:autoSpaceDE w:val="0"/>
              <w:autoSpaceDN w:val="0"/>
              <w:adjustRightInd w:val="0"/>
              <w:ind w:left="266" w:hanging="266"/>
              <w:textAlignment w:val="baseline"/>
              <w:rPr>
                <w:sz w:val="22"/>
                <w:szCs w:val="22"/>
              </w:rPr>
            </w:pPr>
            <w:r w:rsidRPr="00F32610">
              <w:rPr>
                <w:sz w:val="22"/>
                <w:szCs w:val="22"/>
              </w:rPr>
              <w:t>Initiativstellungnahme</w:t>
            </w:r>
          </w:p>
        </w:tc>
      </w:tr>
      <w:tr w:rsidRPr="00F32610" w:rsidR="00DC121F" w:rsidTr="00F32610" w14:paraId="762B2DB5" w14:textId="77777777">
        <w:tc>
          <w:tcPr>
            <w:tcW w:w="1203" w:type="pct"/>
            <w:vMerge/>
          </w:tcPr>
          <w:p w:rsidRPr="00F32610" w:rsidR="00DC121F" w:rsidP="00DC121F" w:rsidRDefault="00DC121F" w14:paraId="26560D50" w14:textId="77777777">
            <w:pPr>
              <w:tabs>
                <w:tab w:val="center" w:pos="284"/>
              </w:tabs>
              <w:overflowPunct w:val="0"/>
              <w:autoSpaceDE w:val="0"/>
              <w:autoSpaceDN w:val="0"/>
              <w:adjustRightInd w:val="0"/>
              <w:ind w:left="266" w:hanging="266"/>
              <w:textAlignment w:val="baseline"/>
              <w:rPr>
                <w:b/>
                <w:sz w:val="22"/>
                <w:szCs w:val="22"/>
              </w:rPr>
            </w:pPr>
          </w:p>
        </w:tc>
        <w:tc>
          <w:tcPr>
            <w:tcW w:w="3797" w:type="pct"/>
          </w:tcPr>
          <w:p w:rsidRPr="00F32610" w:rsidR="00DC121F" w:rsidP="00DC121F" w:rsidRDefault="00DC121F" w14:paraId="4E498975" w14:textId="2BB96715">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0E5EDB" w:rsidRDefault="00DC121F" w14:paraId="29CB91C0" w14:textId="77777777">
      <w:pPr>
        <w:keepNext/>
        <w:keepLines/>
        <w:overflowPunct w:val="0"/>
        <w:autoSpaceDE w:val="0"/>
        <w:autoSpaceDN w:val="0"/>
        <w:adjustRightInd w:val="0"/>
        <w:textAlignment w:val="baseline"/>
        <w:rPr>
          <w:b/>
        </w:rPr>
      </w:pPr>
      <w:r>
        <w:rPr>
          <w:b/>
        </w:rPr>
        <w:t>Kernaussagen</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Der EWSA</w:t>
      </w:r>
    </w:p>
    <w:p w:rsidRPr="00DC121F" w:rsidR="008D47DD" w:rsidP="000E5EDB" w:rsidRDefault="008D47DD" w14:paraId="29BA8237" w14:textId="77777777">
      <w:pPr>
        <w:overflowPunct w:val="0"/>
        <w:autoSpaceDE w:val="0"/>
        <w:autoSpaceDN w:val="0"/>
        <w:adjustRightInd w:val="0"/>
        <w:ind w:firstLine="142"/>
        <w:textAlignment w:val="baseline"/>
        <w:rPr>
          <w:bCs/>
          <w:iCs/>
        </w:rPr>
      </w:pPr>
    </w:p>
    <w:p w:rsidRPr="00DC121F" w:rsidR="00DC121F" w:rsidP="000E5EDB"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ist der Auffassung, dass die Kommission die Veröffentlichung des Berichts über die Korruptionsbekämpfung wieder aufnehmen muss;</w:t>
      </w:r>
    </w:p>
    <w:p w:rsidRPr="00DC121F" w:rsidR="00DC121F" w:rsidP="000E5EDB"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betont, dass die EU jetzt in erster Linie prüfen muss, ob der Rechtsrahmen zur Integrität des öffentlichen Auftragswesens und seine Umsetzung in der Praxis mit den Erfordernissen der Korruptionsbekämpfung vereinbar sind;</w:t>
      </w:r>
    </w:p>
    <w:p w:rsidRPr="00DC121F" w:rsidR="00DC121F" w:rsidP="000E5EDB"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unterstützt den Vorschlag des Europäischen Parlaments, wonach die Kommission eine umfassende EU-Strategie zur Korruptionsbekämpfung ausarbeiten sollte;</w:t>
      </w:r>
    </w:p>
    <w:p w:rsidRPr="00DC121F" w:rsidR="00DC121F" w:rsidP="000E5EDB"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ist der Ansicht, dass die Strategien zur Korruptionsbekämpfung besser auf jene zum Schutz und zur Entwicklung von Demokratie in der EU abgestimmt werden sollten, da sich politische Akteure mit Korruptionspraktiken unrechtmäßige Gewinne und Ressourcen beschaffen können, um ihr auf Klientelismus basierendes Unterstützungssystem zu propagieren und zu betreiben;</w:t>
      </w:r>
    </w:p>
    <w:p w:rsidRPr="00DC121F" w:rsidR="00DC121F" w:rsidP="000E5EDB"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ist davon überzeugt, dass die Digitalisierung des europäischen Beschaffungswesen weiter fortgeschritten sein sollte. Deshalb muss die Kommission den nationalen Behörden während dieses schwierigen Prozesses weiterhin technische Unterstützung leisten;</w:t>
      </w:r>
    </w:p>
    <w:p w:rsidRPr="00DC121F" w:rsidR="00DC121F" w:rsidP="000E5EDB"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ist der Auffassung, dass die Kommission den Integritätspakten größere Bedeutung beimessen könnte;</w:t>
      </w:r>
    </w:p>
    <w:p w:rsidRPr="00DC121F" w:rsidR="00DC121F" w:rsidP="000E5EDB"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stellt fest, dass das System gegenseitiger Vergabesperren (gemeinsame Listen von Unternehmen, die europäische Behörden, nationale Institutionen und private Banken von Vergabeverfahren ausschließen) nützlich sein könnte, um den Binnenmarkt vor Missbrauch öffentlicher Mittel für Ausschreibungen zu schützen;</w:t>
      </w:r>
    </w:p>
    <w:p w:rsidRPr="00DC121F" w:rsidR="00DC121F" w:rsidP="000E5EDB"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fordert die Kommission und andere EU-Organe und nationale Institutionen auf, die Arbeitnehmervertretung, Tarifverhandlungen und den sozialen Dialog als Schlüsselinstrumente für eine wirksame Korruptionsbekämpfung auf allen Ebenen zu berücksichtigen;</w:t>
      </w:r>
    </w:p>
    <w:p w:rsidRPr="00DC121F" w:rsidR="00DC121F" w:rsidP="000E5EDB"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fordert alle Unternehmen/Arbeitgeberverbände und Sozialpartner auf, aktiv eine Integritätskultur zu verfolgen und die besten auf nationaler und internationaler Ebene vorhandenen Standards einzuhalten;</w:t>
      </w:r>
    </w:p>
    <w:p w:rsidRPr="00DC121F" w:rsidR="00DC121F" w:rsidP="000E5EDB"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sieht der Institutionalisierung und Entwicklung des EU-Netzes zur Korruptionsbekämpfung erwartungsvoll entgegen und ist bereit, an seinen Arbeiten mitzuwirken.</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F32610" w:rsidR="00DC121F" w:rsidTr="00F655B8" w14:paraId="2DF0CC51" w14:textId="77777777">
        <w:tc>
          <w:tcPr>
            <w:tcW w:w="1556" w:type="pct"/>
          </w:tcPr>
          <w:p w:rsidRPr="00F32610" w:rsidR="00DC121F" w:rsidP="00DC121F" w:rsidRDefault="00DC121F" w14:paraId="296C78BC"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3444" w:type="pct"/>
          </w:tcPr>
          <w:p w:rsidRPr="00F32610" w:rsidR="00DC121F" w:rsidP="00DC121F" w:rsidRDefault="00DC121F" w14:paraId="41607EE4" w14:textId="77777777">
            <w:pPr>
              <w:overflowPunct w:val="0"/>
              <w:autoSpaceDE w:val="0"/>
              <w:autoSpaceDN w:val="0"/>
              <w:adjustRightInd w:val="0"/>
              <w:spacing w:line="240" w:lineRule="auto"/>
              <w:textAlignment w:val="baseline"/>
              <w:rPr>
                <w:i/>
                <w:sz w:val="22"/>
                <w:szCs w:val="22"/>
              </w:rPr>
            </w:pPr>
            <w:proofErr w:type="spellStart"/>
            <w:r w:rsidRPr="00F32610">
              <w:rPr>
                <w:i/>
                <w:sz w:val="22"/>
                <w:szCs w:val="22"/>
              </w:rPr>
              <w:t>Radoslava</w:t>
            </w:r>
            <w:proofErr w:type="spellEnd"/>
            <w:r w:rsidRPr="00F32610">
              <w:rPr>
                <w:i/>
                <w:sz w:val="22"/>
                <w:szCs w:val="22"/>
              </w:rPr>
              <w:t xml:space="preserve"> </w:t>
            </w:r>
            <w:proofErr w:type="spellStart"/>
            <w:r w:rsidRPr="00F32610">
              <w:rPr>
                <w:i/>
                <w:sz w:val="22"/>
                <w:szCs w:val="22"/>
              </w:rPr>
              <w:t>Stefankova</w:t>
            </w:r>
            <w:proofErr w:type="spellEnd"/>
          </w:p>
        </w:tc>
      </w:tr>
      <w:tr w:rsidRPr="00F32610" w:rsidR="00DC121F" w:rsidTr="00F655B8" w14:paraId="31B6AD67" w14:textId="77777777">
        <w:tc>
          <w:tcPr>
            <w:tcW w:w="1556" w:type="pct"/>
          </w:tcPr>
          <w:p w:rsidRPr="00F32610" w:rsidR="00DC121F" w:rsidP="00DC121F" w:rsidRDefault="00DC121F" w14:paraId="09DB10F4"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3444" w:type="pct"/>
          </w:tcPr>
          <w:p w:rsidRPr="00F32610" w:rsidR="00DC121F" w:rsidP="00DC121F" w:rsidRDefault="00DC121F" w14:paraId="342605BB" w14:textId="77777777">
            <w:pPr>
              <w:overflowPunct w:val="0"/>
              <w:autoSpaceDE w:val="0"/>
              <w:autoSpaceDN w:val="0"/>
              <w:adjustRightInd w:val="0"/>
              <w:spacing w:line="240" w:lineRule="auto"/>
              <w:textAlignment w:val="baseline"/>
              <w:rPr>
                <w:i/>
                <w:sz w:val="22"/>
                <w:szCs w:val="22"/>
              </w:rPr>
            </w:pPr>
            <w:r w:rsidRPr="00F32610">
              <w:rPr>
                <w:i/>
                <w:sz w:val="22"/>
                <w:szCs w:val="22"/>
              </w:rPr>
              <w:t>+32 25468188</w:t>
            </w:r>
          </w:p>
        </w:tc>
      </w:tr>
      <w:tr w:rsidRPr="00F32610" w:rsidR="00DC121F" w:rsidTr="00F655B8" w14:paraId="6FA14657" w14:textId="77777777">
        <w:tc>
          <w:tcPr>
            <w:tcW w:w="1556" w:type="pct"/>
          </w:tcPr>
          <w:p w:rsidRPr="00F32610" w:rsidR="00DC121F" w:rsidP="00DC121F" w:rsidRDefault="00DC121F" w14:paraId="4827136C"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3444" w:type="pct"/>
          </w:tcPr>
          <w:p w:rsidRPr="00F32610" w:rsidR="00DC121F" w:rsidP="00DC121F" w:rsidRDefault="00FF5F8E" w14:paraId="1E20E942" w14:textId="77777777">
            <w:pPr>
              <w:overflowPunct w:val="0"/>
              <w:autoSpaceDE w:val="0"/>
              <w:autoSpaceDN w:val="0"/>
              <w:adjustRightInd w:val="0"/>
              <w:spacing w:line="240" w:lineRule="auto"/>
              <w:textAlignment w:val="baseline"/>
              <w:rPr>
                <w:i/>
                <w:sz w:val="22"/>
                <w:szCs w:val="22"/>
              </w:rPr>
            </w:pPr>
            <w:hyperlink w:history="1" r:id="rId26">
              <w:r w:rsidRPr="00F32610" w:rsidR="00F2403D">
                <w:rPr>
                  <w:i/>
                  <w:color w:val="0000FF"/>
                  <w:sz w:val="22"/>
                  <w:szCs w:val="22"/>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2D31E3" w:rsidR="001B6246" w:rsidP="000E5EDB" w:rsidRDefault="00FF5F8E" w14:paraId="05EC8D79" w14:textId="2DF322C2">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00F2403D">
          <w:rPr>
            <w:b/>
            <w:i/>
            <w:color w:val="0000FF"/>
            <w:sz w:val="28"/>
            <w:u w:val="single"/>
          </w:rPr>
          <w:t>Sozialwirtschaft und sozioökonomische Innovationen als Instrumente zur Bekämpfung von Armut und sozialer Ausgrenzung</w:t>
        </w:r>
      </w:hyperlink>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978"/>
      </w:tblGrid>
      <w:tr w:rsidRPr="00F32610" w:rsidR="001B6246" w:rsidTr="00F32610" w14:paraId="6F5A37B1" w14:textId="77777777">
        <w:trPr>
          <w:trHeight w:val="265"/>
        </w:trPr>
        <w:tc>
          <w:tcPr>
            <w:tcW w:w="2093" w:type="dxa"/>
          </w:tcPr>
          <w:p w:rsidRPr="00F32610" w:rsidR="001B6246" w:rsidP="001B6246" w:rsidRDefault="001B6246" w14:paraId="05A5F6CE"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6978" w:type="dxa"/>
          </w:tcPr>
          <w:p w:rsidRPr="00F32610" w:rsidR="001B6246" w:rsidP="001B6246" w:rsidRDefault="001B6246" w14:paraId="4AF9E1DA" w14:textId="63894304">
            <w:pPr>
              <w:tabs>
                <w:tab w:val="center" w:pos="284"/>
              </w:tabs>
              <w:overflowPunct w:val="0"/>
              <w:autoSpaceDE w:val="0"/>
              <w:autoSpaceDN w:val="0"/>
              <w:adjustRightInd w:val="0"/>
              <w:ind w:left="266" w:hanging="266"/>
              <w:textAlignment w:val="baseline"/>
              <w:rPr>
                <w:sz w:val="22"/>
                <w:szCs w:val="22"/>
              </w:rPr>
            </w:pPr>
            <w:r w:rsidRPr="00F32610">
              <w:rPr>
                <w:sz w:val="22"/>
                <w:szCs w:val="22"/>
              </w:rPr>
              <w:t>Alain COHEUR (Gruppe Organisationen der Zivilgesellschaft – BE)</w:t>
            </w:r>
          </w:p>
        </w:tc>
      </w:tr>
      <w:tr w:rsidRPr="00F32610" w:rsidR="001B6246" w:rsidTr="00F32610" w14:paraId="64849DFE" w14:textId="77777777">
        <w:trPr>
          <w:trHeight w:val="265"/>
        </w:trPr>
        <w:tc>
          <w:tcPr>
            <w:tcW w:w="2093" w:type="dxa"/>
          </w:tcPr>
          <w:p w:rsidRPr="00F32610" w:rsidR="001B6246" w:rsidP="000E5EDB" w:rsidRDefault="001B6246" w14:paraId="731776C9" w14:textId="23DCE8CA">
            <w:pPr>
              <w:tabs>
                <w:tab w:val="center" w:pos="457"/>
              </w:tabs>
              <w:overflowPunct w:val="0"/>
              <w:autoSpaceDE w:val="0"/>
              <w:autoSpaceDN w:val="0"/>
              <w:adjustRightInd w:val="0"/>
              <w:ind w:left="266" w:hanging="266"/>
              <w:textAlignment w:val="baseline"/>
              <w:rPr>
                <w:b/>
                <w:sz w:val="22"/>
                <w:szCs w:val="22"/>
              </w:rPr>
            </w:pPr>
            <w:r w:rsidRPr="00F32610">
              <w:rPr>
                <w:b/>
                <w:sz w:val="22"/>
                <w:szCs w:val="22"/>
              </w:rPr>
              <w:t>Ko-Berichterstatter</w:t>
            </w:r>
          </w:p>
        </w:tc>
        <w:tc>
          <w:tcPr>
            <w:tcW w:w="6978" w:type="dxa"/>
          </w:tcPr>
          <w:p w:rsidRPr="00F32610" w:rsidR="001B6246" w:rsidP="001B6246" w:rsidRDefault="001B6246" w14:paraId="18CF51DF" w14:textId="6CDB5C48">
            <w:pPr>
              <w:tabs>
                <w:tab w:val="center" w:pos="284"/>
              </w:tabs>
              <w:overflowPunct w:val="0"/>
              <w:autoSpaceDE w:val="0"/>
              <w:autoSpaceDN w:val="0"/>
              <w:adjustRightInd w:val="0"/>
              <w:ind w:left="266" w:hanging="266"/>
              <w:textAlignment w:val="baseline"/>
              <w:rPr>
                <w:sz w:val="22"/>
                <w:szCs w:val="22"/>
              </w:rPr>
            </w:pPr>
            <w:r w:rsidRPr="00F32610">
              <w:rPr>
                <w:sz w:val="22"/>
                <w:szCs w:val="22"/>
              </w:rPr>
              <w:t>Ferdinand WYCKMANS (Gruppe Arbeitnehmer – BE)</w:t>
            </w:r>
          </w:p>
        </w:tc>
      </w:tr>
      <w:tr w:rsidRPr="00F32610" w:rsidR="00F32610" w:rsidTr="00F32610" w14:paraId="7A49ABC8" w14:textId="77777777">
        <w:trPr>
          <w:trHeight w:val="70"/>
        </w:trPr>
        <w:tc>
          <w:tcPr>
            <w:tcW w:w="2093" w:type="dxa"/>
          </w:tcPr>
          <w:p w:rsidRPr="00F32610" w:rsidR="00F32610" w:rsidP="000E5EDB" w:rsidRDefault="00F32610" w14:paraId="4468779D" w14:textId="77777777">
            <w:pPr>
              <w:tabs>
                <w:tab w:val="center" w:pos="457"/>
              </w:tabs>
              <w:overflowPunct w:val="0"/>
              <w:autoSpaceDE w:val="0"/>
              <w:autoSpaceDN w:val="0"/>
              <w:adjustRightInd w:val="0"/>
              <w:ind w:left="266" w:hanging="266"/>
              <w:textAlignment w:val="baseline"/>
              <w:rPr>
                <w:b/>
                <w:sz w:val="10"/>
                <w:szCs w:val="10"/>
              </w:rPr>
            </w:pPr>
          </w:p>
        </w:tc>
        <w:tc>
          <w:tcPr>
            <w:tcW w:w="6978" w:type="dxa"/>
          </w:tcPr>
          <w:p w:rsidRPr="00F32610" w:rsidR="00F32610" w:rsidP="001B6246" w:rsidRDefault="00F32610" w14:paraId="76C18CF6" w14:textId="77777777">
            <w:pPr>
              <w:tabs>
                <w:tab w:val="center" w:pos="284"/>
              </w:tabs>
              <w:overflowPunct w:val="0"/>
              <w:autoSpaceDE w:val="0"/>
              <w:autoSpaceDN w:val="0"/>
              <w:adjustRightInd w:val="0"/>
              <w:ind w:left="266" w:hanging="266"/>
              <w:textAlignment w:val="baseline"/>
              <w:rPr>
                <w:sz w:val="10"/>
                <w:szCs w:val="10"/>
              </w:rPr>
            </w:pPr>
          </w:p>
        </w:tc>
      </w:tr>
      <w:tr w:rsidRPr="00F32610" w:rsidR="001B6246" w:rsidTr="00F32610" w14:paraId="5C65FF20" w14:textId="77777777">
        <w:trPr>
          <w:trHeight w:val="289"/>
        </w:trPr>
        <w:tc>
          <w:tcPr>
            <w:tcW w:w="2093" w:type="dxa"/>
            <w:vMerge w:val="restart"/>
          </w:tcPr>
          <w:p w:rsidRPr="00F32610" w:rsidR="001B6246" w:rsidP="001B6246" w:rsidRDefault="001B6246" w14:paraId="4EAE0C23"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w:t>
            </w:r>
          </w:p>
        </w:tc>
        <w:tc>
          <w:tcPr>
            <w:tcW w:w="6978" w:type="dxa"/>
          </w:tcPr>
          <w:p w:rsidRPr="00F32610" w:rsidR="001B6246" w:rsidP="001B6246" w:rsidRDefault="001B6246" w14:paraId="06148604" w14:textId="7286F780">
            <w:pPr>
              <w:tabs>
                <w:tab w:val="center" w:pos="284"/>
              </w:tabs>
              <w:overflowPunct w:val="0"/>
              <w:autoSpaceDE w:val="0"/>
              <w:autoSpaceDN w:val="0"/>
              <w:adjustRightInd w:val="0"/>
              <w:ind w:left="266" w:hanging="266"/>
              <w:textAlignment w:val="baseline"/>
              <w:rPr>
                <w:sz w:val="22"/>
                <w:szCs w:val="22"/>
              </w:rPr>
            </w:pPr>
            <w:r w:rsidRPr="00F32610">
              <w:rPr>
                <w:sz w:val="22"/>
                <w:szCs w:val="22"/>
              </w:rPr>
              <w:t>Sondierungsstellungnahme auf Ersuchen des belgischen EU-Ratsvorsitzes</w:t>
            </w:r>
          </w:p>
        </w:tc>
      </w:tr>
      <w:tr w:rsidRPr="00F32610" w:rsidR="001B6246" w:rsidTr="00F32610" w14:paraId="03109D9C" w14:textId="77777777">
        <w:trPr>
          <w:trHeight w:val="289"/>
        </w:trPr>
        <w:tc>
          <w:tcPr>
            <w:tcW w:w="2093" w:type="dxa"/>
            <w:vMerge/>
          </w:tcPr>
          <w:p w:rsidRPr="00F32610" w:rsidR="001B6246" w:rsidP="001B6246" w:rsidRDefault="001B6246" w14:paraId="4FF946E4" w14:textId="77777777">
            <w:pPr>
              <w:tabs>
                <w:tab w:val="center" w:pos="284"/>
              </w:tabs>
              <w:overflowPunct w:val="0"/>
              <w:autoSpaceDE w:val="0"/>
              <w:autoSpaceDN w:val="0"/>
              <w:adjustRightInd w:val="0"/>
              <w:ind w:left="266" w:hanging="266"/>
              <w:textAlignment w:val="baseline"/>
              <w:rPr>
                <w:b/>
                <w:sz w:val="22"/>
                <w:szCs w:val="22"/>
              </w:rPr>
            </w:pPr>
          </w:p>
        </w:tc>
        <w:tc>
          <w:tcPr>
            <w:tcW w:w="6978" w:type="dxa"/>
          </w:tcPr>
          <w:p w:rsidRPr="00F32610" w:rsidR="001B6246" w:rsidP="001B6246" w:rsidRDefault="001B6246" w14:paraId="2921719F" w14:textId="77777777">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Kernaussagen</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Der EWSA</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0E5EDB"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fordert die Europäische Kommission auf, ihren Aktionsplan für die Sozialwirtschaft weiter umzusetzen, ihn 2025 als Grundlage für einen neuen Aktionsplan zu bewerten, die Umsetzung der Empfehlung durch die Mitgliedstaaten aktiv zu begleiten sowie die Sozialwirtschaft und die Politik der sozialen Innovation in ihrem nächsten Arbeitsprogramm ausdrücklich zu berücksichtigen;</w:t>
      </w:r>
    </w:p>
    <w:p w:rsidRPr="001B6246" w:rsidR="001B6246" w:rsidP="000E5EDB"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 xml:space="preserve">spricht sich für einen starken territorialen Ansatz aus, der die Regionen und Gemeinden einbezieht und eine Vielzahl von Akteuren bei der Umsetzung der Sozialwirtschaft zusammenbringt. Auf Betreiben der Behörden lassen sich die lokale Entwicklung, die Rückverlagerung von Produktionsanlagen, die Schaffung guter, nicht </w:t>
      </w:r>
      <w:proofErr w:type="spellStart"/>
      <w:r>
        <w:t>verlagerbarer</w:t>
      </w:r>
      <w:proofErr w:type="spellEnd"/>
      <w:r>
        <w:t xml:space="preserve"> Arbeitsplätze sowie die Zusammenarbeit zwischen den Wirtschaftsakteuren fördern und ein stimulierendes Ökosystem schaffen, in dem Verbände, Genossenschaften, Gesellschaften auf Gegenseitigkeit, herkömmliche Unternehmen, Investoren aus dem Bankensektor, die Zivilgesellschaft, die Sozialpartner, Wissenschaft und Forschung usw. koexistieren können;</w:t>
      </w:r>
    </w:p>
    <w:p w:rsidRPr="001B6246" w:rsidR="001B6246" w:rsidP="000E5EDB"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fordert die Europäische Kommission auf, bei ihren Initiativen im Bereich der sozialen Innovation einen bereichsübergreifenden Ansatz zu verfolgen, der eine Vielzahl von Akteuren aus klassischen Unternehmen und der Sozialwirtschaft zusammenbringt und auch ökologischen und sozialen Aspekten Rechnung trägt;</w:t>
      </w:r>
    </w:p>
    <w:p w:rsidRPr="001B6246" w:rsidR="001B6246" w:rsidP="000E5EDB"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fordert die Kommission zudem auf, die Sozialwirtschaft und die soziale Innovation bei ihren Initiativen zur Umsetzung der Schwerpunkte ihrer strategischen Vorausschau zu berücksichtigen, um vor allem die Erwerbsbeteiligung von Frauen zu erhöhen. Auch in Bezug auf weitere vulnerable Bevölkerungsgruppen wie Menschen mit Behinderungen, junge Menschen sowie andere unterrepräsentierte oder ausgegrenzte Personen, die weder arbeiten noch eine Schule besuchen bzw. eine Ausbildung absolvieren oder in extremer Armut leben, stellt dies nach wie vor eine Herausforderung dar.</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2610" w:rsidR="001B6246" w:rsidTr="00F655B8" w14:paraId="4815605B" w14:textId="77777777">
        <w:tc>
          <w:tcPr>
            <w:tcW w:w="1418" w:type="dxa"/>
          </w:tcPr>
          <w:p w:rsidRPr="00F32610" w:rsidR="001B6246" w:rsidP="001B6246" w:rsidRDefault="001B6246" w14:paraId="32B2F0B1"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5670" w:type="dxa"/>
          </w:tcPr>
          <w:p w:rsidRPr="00F32610" w:rsidR="001B6246" w:rsidP="001B6246" w:rsidRDefault="001B6246" w14:paraId="15C8814F" w14:textId="6E5DC0F7">
            <w:pPr>
              <w:overflowPunct w:val="0"/>
              <w:autoSpaceDE w:val="0"/>
              <w:autoSpaceDN w:val="0"/>
              <w:adjustRightInd w:val="0"/>
              <w:spacing w:line="240" w:lineRule="auto"/>
              <w:textAlignment w:val="baseline"/>
              <w:rPr>
                <w:i/>
                <w:sz w:val="22"/>
                <w:szCs w:val="22"/>
              </w:rPr>
            </w:pPr>
            <w:r w:rsidRPr="00F32610">
              <w:rPr>
                <w:i/>
                <w:sz w:val="22"/>
                <w:szCs w:val="22"/>
              </w:rPr>
              <w:t xml:space="preserve">Annalisa </w:t>
            </w:r>
            <w:proofErr w:type="spellStart"/>
            <w:r w:rsidRPr="00F32610">
              <w:rPr>
                <w:i/>
                <w:sz w:val="22"/>
                <w:szCs w:val="22"/>
              </w:rPr>
              <w:t>Tessarolo</w:t>
            </w:r>
            <w:proofErr w:type="spellEnd"/>
          </w:p>
        </w:tc>
      </w:tr>
      <w:tr w:rsidRPr="00F32610" w:rsidR="001B6246" w:rsidTr="00F655B8" w14:paraId="7129E52D" w14:textId="77777777">
        <w:tc>
          <w:tcPr>
            <w:tcW w:w="1418" w:type="dxa"/>
          </w:tcPr>
          <w:p w:rsidRPr="00F32610" w:rsidR="001B6246" w:rsidP="001B6246" w:rsidRDefault="001B6246" w14:paraId="771E66C9"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5670" w:type="dxa"/>
          </w:tcPr>
          <w:p w:rsidRPr="00F32610" w:rsidR="001B6246" w:rsidP="001B6246" w:rsidRDefault="001B6246" w14:paraId="645A2427" w14:textId="77777777">
            <w:pPr>
              <w:overflowPunct w:val="0"/>
              <w:autoSpaceDE w:val="0"/>
              <w:autoSpaceDN w:val="0"/>
              <w:adjustRightInd w:val="0"/>
              <w:spacing w:line="240" w:lineRule="auto"/>
              <w:textAlignment w:val="baseline"/>
              <w:rPr>
                <w:i/>
                <w:sz w:val="22"/>
                <w:szCs w:val="22"/>
              </w:rPr>
            </w:pPr>
            <w:r w:rsidRPr="00F32610">
              <w:rPr>
                <w:i/>
                <w:sz w:val="22"/>
                <w:szCs w:val="22"/>
              </w:rPr>
              <w:t>+32 25469732</w:t>
            </w:r>
          </w:p>
        </w:tc>
      </w:tr>
      <w:tr w:rsidRPr="00F32610" w:rsidR="001B6246" w:rsidTr="00F655B8" w14:paraId="565DBDCE" w14:textId="77777777">
        <w:tc>
          <w:tcPr>
            <w:tcW w:w="1418" w:type="dxa"/>
          </w:tcPr>
          <w:p w:rsidRPr="00F32610" w:rsidR="001B6246" w:rsidP="001B6246" w:rsidRDefault="001B6246" w14:paraId="6F49D699"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5670" w:type="dxa"/>
          </w:tcPr>
          <w:p w:rsidRPr="00F32610" w:rsidR="001B6246" w:rsidP="001B6246" w:rsidRDefault="00FF5F8E" w14:paraId="7EBA911B" w14:textId="77777777">
            <w:pPr>
              <w:overflowPunct w:val="0"/>
              <w:autoSpaceDE w:val="0"/>
              <w:autoSpaceDN w:val="0"/>
              <w:adjustRightInd w:val="0"/>
              <w:spacing w:line="240" w:lineRule="auto"/>
              <w:textAlignment w:val="baseline"/>
              <w:rPr>
                <w:i/>
                <w:iCs/>
                <w:sz w:val="22"/>
                <w:szCs w:val="22"/>
              </w:rPr>
            </w:pPr>
            <w:hyperlink w:history="1" r:id="rId28">
              <w:r w:rsidRPr="00F32610" w:rsidR="00F2403D">
                <w:rPr>
                  <w:i/>
                  <w:color w:val="0000FF"/>
                  <w:sz w:val="22"/>
                  <w:szCs w:val="22"/>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FF5F8E" w14:paraId="363F7C4B" w14:textId="3D900A1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00F2403D">
          <w:rPr>
            <w:b/>
            <w:i/>
            <w:color w:val="0000FF"/>
            <w:sz w:val="28"/>
            <w:u w:val="single"/>
          </w:rPr>
          <w:t>Europäischer Stresstest für Innovation</w:t>
        </w:r>
      </w:hyperlink>
      <w:r w:rsidR="00F2403D">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F32610" w:rsidR="00235E61" w:rsidTr="006221F1" w14:paraId="2A9F4C74" w14:textId="77777777">
        <w:tc>
          <w:tcPr>
            <w:tcW w:w="1107" w:type="pct"/>
          </w:tcPr>
          <w:p w:rsidRPr="00F32610" w:rsidR="00235E61" w:rsidP="00235E61" w:rsidRDefault="00235E61" w14:paraId="00B2F3C3"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3893" w:type="pct"/>
          </w:tcPr>
          <w:p w:rsidRPr="00F32610" w:rsidR="00235E61" w:rsidP="00235E61" w:rsidRDefault="00235E61" w14:paraId="6C3E3C61" w14:textId="77777777">
            <w:pPr>
              <w:tabs>
                <w:tab w:val="center" w:pos="0"/>
              </w:tabs>
              <w:overflowPunct w:val="0"/>
              <w:autoSpaceDE w:val="0"/>
              <w:autoSpaceDN w:val="0"/>
              <w:adjustRightInd w:val="0"/>
              <w:ind w:left="266" w:hanging="266"/>
              <w:textAlignment w:val="baseline"/>
              <w:rPr>
                <w:sz w:val="22"/>
                <w:szCs w:val="22"/>
              </w:rPr>
            </w:pPr>
            <w:r w:rsidRPr="00F32610">
              <w:rPr>
                <w:sz w:val="22"/>
                <w:szCs w:val="22"/>
              </w:rPr>
              <w:t>Olivier JORIS (Gruppe Arbeitgeber – BE)</w:t>
            </w:r>
          </w:p>
        </w:tc>
      </w:tr>
      <w:tr w:rsidRPr="00F32610" w:rsidR="00235E61" w:rsidTr="006221F1" w14:paraId="340DF8AC" w14:textId="77777777">
        <w:tc>
          <w:tcPr>
            <w:tcW w:w="5000" w:type="pct"/>
            <w:gridSpan w:val="2"/>
          </w:tcPr>
          <w:p w:rsidRPr="00F32610"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32610" w:rsidR="00235E61" w:rsidTr="006221F1" w14:paraId="5EB3A03E" w14:textId="77777777">
        <w:tc>
          <w:tcPr>
            <w:tcW w:w="1107" w:type="pct"/>
            <w:vMerge w:val="restart"/>
          </w:tcPr>
          <w:p w:rsidRPr="00F32610" w:rsidR="00235E61" w:rsidP="00235E61" w:rsidRDefault="00235E61" w14:paraId="1709B388"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w:t>
            </w:r>
          </w:p>
        </w:tc>
        <w:tc>
          <w:tcPr>
            <w:tcW w:w="3893" w:type="pct"/>
          </w:tcPr>
          <w:p w:rsidRPr="00F32610" w:rsidR="00235E61" w:rsidP="00C83487" w:rsidRDefault="00235E61" w14:paraId="2CDE140A" w14:textId="59E0AF5C">
            <w:pPr>
              <w:tabs>
                <w:tab w:val="center" w:pos="284"/>
              </w:tabs>
              <w:overflowPunct w:val="0"/>
              <w:autoSpaceDE w:val="0"/>
              <w:autoSpaceDN w:val="0"/>
              <w:adjustRightInd w:val="0"/>
              <w:ind w:left="266" w:right="-107" w:hanging="266"/>
              <w:textAlignment w:val="baseline"/>
              <w:rPr>
                <w:sz w:val="22"/>
                <w:szCs w:val="22"/>
              </w:rPr>
            </w:pPr>
            <w:r w:rsidRPr="00F32610">
              <w:rPr>
                <w:sz w:val="22"/>
                <w:szCs w:val="22"/>
              </w:rPr>
              <w:t>Sondierungsstellungnahme auf Ersuchen des belgischen EU-Ratsvorsitzes</w:t>
            </w:r>
          </w:p>
        </w:tc>
      </w:tr>
      <w:tr w:rsidRPr="00F32610" w:rsidR="00235E61" w:rsidTr="006221F1" w14:paraId="73786E77" w14:textId="77777777">
        <w:tc>
          <w:tcPr>
            <w:tcW w:w="1107" w:type="pct"/>
            <w:vMerge/>
          </w:tcPr>
          <w:p w:rsidRPr="00F32610" w:rsidR="00235E61" w:rsidP="00235E61" w:rsidRDefault="00235E61" w14:paraId="2C1757D8" w14:textId="77777777">
            <w:pPr>
              <w:tabs>
                <w:tab w:val="center" w:pos="284"/>
              </w:tabs>
              <w:overflowPunct w:val="0"/>
              <w:autoSpaceDE w:val="0"/>
              <w:autoSpaceDN w:val="0"/>
              <w:adjustRightInd w:val="0"/>
              <w:ind w:left="266" w:hanging="266"/>
              <w:textAlignment w:val="baseline"/>
              <w:rPr>
                <w:b/>
                <w:sz w:val="22"/>
                <w:szCs w:val="22"/>
              </w:rPr>
            </w:pPr>
          </w:p>
        </w:tc>
        <w:tc>
          <w:tcPr>
            <w:tcW w:w="3893" w:type="pct"/>
          </w:tcPr>
          <w:p w:rsidRPr="00F32610" w:rsidR="00235E61" w:rsidP="00235E61" w:rsidRDefault="00C83487" w14:paraId="1691D3D6" w14:textId="0C090076">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EESC-2023-03692-00-00-AC</w:t>
            </w:r>
          </w:p>
        </w:tc>
      </w:tr>
    </w:tbl>
    <w:p w:rsidRPr="00235E61" w:rsidR="00235E61" w:rsidP="000E5EDB" w:rsidRDefault="00235E61" w14:paraId="6E32AE22" w14:textId="77777777">
      <w:pPr>
        <w:keepNext/>
        <w:keepLines/>
        <w:overflowPunct w:val="0"/>
        <w:autoSpaceDE w:val="0"/>
        <w:autoSpaceDN w:val="0"/>
        <w:adjustRightInd w:val="0"/>
        <w:textAlignment w:val="baseline"/>
        <w:rPr>
          <w:b/>
        </w:rPr>
      </w:pPr>
      <w:r>
        <w:rPr>
          <w:b/>
        </w:rPr>
        <w:t>Kernaussagen</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Der EWSA</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0E5EDB"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empfiehlt der derzeitigen und der künftigen Europäischen Kommission, einen </w:t>
      </w:r>
      <w:r>
        <w:rPr>
          <w:b/>
        </w:rPr>
        <w:t>neuen Innovationsstresstest für die Bewertung aller neuen Rechtsvorschriften und politischen Initiativen einzuführen</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schlägt vor, dass der Innovationsstresstest die folgenden zehn Kernfragen umfassen sollte:</w:t>
      </w:r>
    </w:p>
    <w:p w:rsidRPr="00235E61" w:rsidR="00235E61" w:rsidP="006221F1" w:rsidRDefault="00235E61" w14:paraId="1355EE8E" w14:textId="4CAE8943">
      <w:pPr>
        <w:overflowPunct w:val="0"/>
        <w:autoSpaceDE w:val="0"/>
        <w:autoSpaceDN w:val="0"/>
        <w:adjustRightInd w:val="0"/>
        <w:ind w:left="567"/>
        <w:textAlignment w:val="baseline"/>
        <w:rPr>
          <w:iCs/>
        </w:rPr>
      </w:pPr>
      <w:r>
        <w:t>Die Rechtsvorschrift/politische Initiative</w:t>
      </w:r>
    </w:p>
    <w:p w:rsidRPr="00235E61" w:rsidR="00235E61" w:rsidP="000E5EDB" w:rsidRDefault="00235E61" w14:paraId="62AD8810" w14:textId="77777777">
      <w:pPr>
        <w:numPr>
          <w:ilvl w:val="0"/>
          <w:numId w:val="29"/>
        </w:numPr>
        <w:overflowPunct w:val="0"/>
        <w:autoSpaceDE w:val="0"/>
        <w:autoSpaceDN w:val="0"/>
        <w:adjustRightInd w:val="0"/>
        <w:ind w:left="993" w:hanging="426"/>
        <w:textAlignment w:val="baseline"/>
      </w:pPr>
      <w:r>
        <w:t>schützt Verbraucher und Umwelt und anerkennt die Notwendigkeit von Innovation, um die grüne und die digitale Nachhaltigkeitswende der EU zu ermöglichen, zur Schaffung von mehr und besseren Arbeitsplätzen zum Wohl der Gesellschaft beizutragen und die Wirtschaft anzukurbeln? (Ja)</w:t>
      </w:r>
    </w:p>
    <w:p w:rsidRPr="00235E61" w:rsidR="00235E61" w:rsidP="000E5EDB" w:rsidRDefault="00235E61" w14:paraId="3649BCC8" w14:textId="77777777">
      <w:pPr>
        <w:numPr>
          <w:ilvl w:val="0"/>
          <w:numId w:val="29"/>
        </w:numPr>
        <w:overflowPunct w:val="0"/>
        <w:autoSpaceDE w:val="0"/>
        <w:autoSpaceDN w:val="0"/>
        <w:adjustRightInd w:val="0"/>
        <w:ind w:left="993" w:hanging="426"/>
        <w:textAlignment w:val="baseline"/>
      </w:pPr>
      <w:r>
        <w:t>gewährleistet eine gemeinsame Politikgestaltung, damit bestehende und künftige politische Maßnahmen dergestalt umgesetzt werden, dass sie das Vertrauen der Investoren erhalten und Innovationen anregen, aber keine Hindernisse für kontinuierliche und neue Investitionen in Innovation in der EU entstehen? (Ja)</w:t>
      </w:r>
    </w:p>
    <w:p w:rsidRPr="00235E61" w:rsidR="00235E61" w:rsidP="000E5EDB" w:rsidRDefault="00235E61" w14:paraId="45DC1EDF" w14:textId="77777777">
      <w:pPr>
        <w:numPr>
          <w:ilvl w:val="0"/>
          <w:numId w:val="29"/>
        </w:numPr>
        <w:overflowPunct w:val="0"/>
        <w:autoSpaceDE w:val="0"/>
        <w:autoSpaceDN w:val="0"/>
        <w:adjustRightInd w:val="0"/>
        <w:ind w:left="993" w:hanging="426"/>
        <w:textAlignment w:val="baseline"/>
      </w:pPr>
      <w:r>
        <w:t>ist für Innovatoren und Investoren klar verständlich? (Ja)</w:t>
      </w:r>
    </w:p>
    <w:p w:rsidRPr="00235E61" w:rsidR="00235E61" w:rsidP="000E5EDB" w:rsidRDefault="00235E61" w14:paraId="28991F2A" w14:textId="77777777">
      <w:pPr>
        <w:numPr>
          <w:ilvl w:val="0"/>
          <w:numId w:val="29"/>
        </w:numPr>
        <w:overflowPunct w:val="0"/>
        <w:autoSpaceDE w:val="0"/>
        <w:autoSpaceDN w:val="0"/>
        <w:adjustRightInd w:val="0"/>
        <w:ind w:left="993" w:hanging="426"/>
        <w:textAlignment w:val="baseline"/>
      </w:pPr>
      <w:r>
        <w:t>entspricht der Anwendung des Instrumentariums für eine bessere Rechtsetzung durch die Europäische Kommission? (Ja)</w:t>
      </w:r>
    </w:p>
    <w:p w:rsidRPr="00235E61" w:rsidR="00235E61" w:rsidP="000E5EDB" w:rsidRDefault="00235E61" w14:paraId="154D530B" w14:textId="77777777">
      <w:pPr>
        <w:numPr>
          <w:ilvl w:val="0"/>
          <w:numId w:val="29"/>
        </w:numPr>
        <w:overflowPunct w:val="0"/>
        <w:autoSpaceDE w:val="0"/>
        <w:autoSpaceDN w:val="0"/>
        <w:adjustRightInd w:val="0"/>
        <w:ind w:left="993" w:hanging="426"/>
        <w:textAlignment w:val="baseline"/>
      </w:pPr>
      <w:r>
        <w:t>sieht die aktive Konsultation und Einbeziehung von Innovatoren und Investoren des gesamten Spektrums – von Start-ups bis hin zu internationalen Organisationen – vor, um sicherzustellen, dass nicht unbeabsichtigt das Vertrauen der Investoren untergräbt bzw. untergraben wird und diese von Investitionen in Innovationen in der EU abgehalten werden? (Ja)</w:t>
      </w:r>
    </w:p>
    <w:p w:rsidRPr="00235E61" w:rsidR="00235E61" w:rsidP="000E5EDB" w:rsidRDefault="00235E61" w14:paraId="52779D18" w14:textId="77777777">
      <w:pPr>
        <w:numPr>
          <w:ilvl w:val="0"/>
          <w:numId w:val="29"/>
        </w:numPr>
        <w:overflowPunct w:val="0"/>
        <w:autoSpaceDE w:val="0"/>
        <w:autoSpaceDN w:val="0"/>
        <w:adjustRightInd w:val="0"/>
        <w:ind w:left="993" w:hanging="426"/>
        <w:textAlignment w:val="baseline"/>
      </w:pPr>
      <w:r>
        <w:t>trägt berechtigten Bedenken in Bezug auf potenzielle Interessenkonflikte Rechnung und sorgt bei allen Beteiligten – politischen Entscheidungsträger, öffentlichem und privatem Sektor, Zivilgesellschaft – für Transparenz in diesen Fragen? (Ja)</w:t>
      </w:r>
    </w:p>
    <w:p w:rsidRPr="00235E61" w:rsidR="00235E61" w:rsidP="000E5EDB" w:rsidRDefault="00235E61" w14:paraId="51D2823A" w14:textId="77777777">
      <w:pPr>
        <w:numPr>
          <w:ilvl w:val="0"/>
          <w:numId w:val="29"/>
        </w:numPr>
        <w:overflowPunct w:val="0"/>
        <w:autoSpaceDE w:val="0"/>
        <w:autoSpaceDN w:val="0"/>
        <w:adjustRightInd w:val="0"/>
        <w:ind w:left="993" w:hanging="426"/>
        <w:textAlignment w:val="baseline"/>
      </w:pPr>
      <w:r>
        <w:t>berücksichtigt aktuellste wissenschaftliche Erkenntnisse möglichst ausgewogen? (Ja)</w:t>
      </w:r>
    </w:p>
    <w:p w:rsidRPr="00235E61" w:rsidR="00235E61" w:rsidP="000E5EDB" w:rsidRDefault="00235E61" w14:paraId="13DAC31D" w14:textId="77777777">
      <w:pPr>
        <w:numPr>
          <w:ilvl w:val="0"/>
          <w:numId w:val="29"/>
        </w:numPr>
        <w:overflowPunct w:val="0"/>
        <w:autoSpaceDE w:val="0"/>
        <w:autoSpaceDN w:val="0"/>
        <w:adjustRightInd w:val="0"/>
        <w:ind w:left="993" w:hanging="426"/>
        <w:textAlignment w:val="baseline"/>
      </w:pPr>
      <w:r>
        <w:t>beeinträchtigt die Verfügbarkeit von Kompetenzen, Humankapital und Bildung, die für Innovation, Forschung und Entwicklung benötigt werden? (Nein)</w:t>
      </w:r>
    </w:p>
    <w:p w:rsidRPr="00235E61" w:rsidR="00235E61" w:rsidP="000E5EDB" w:rsidRDefault="00235E61" w14:paraId="4A7BF36B" w14:textId="77777777">
      <w:pPr>
        <w:numPr>
          <w:ilvl w:val="0"/>
          <w:numId w:val="29"/>
        </w:numPr>
        <w:overflowPunct w:val="0"/>
        <w:autoSpaceDE w:val="0"/>
        <w:autoSpaceDN w:val="0"/>
        <w:adjustRightInd w:val="0"/>
        <w:ind w:left="993" w:hanging="426"/>
        <w:textAlignment w:val="baseline"/>
      </w:pPr>
      <w:r>
        <w:t>könnte zu einem unausgewogenen Geschlechterverhältnis führen? (Nein)</w:t>
      </w:r>
    </w:p>
    <w:p w:rsidRPr="00235E61" w:rsidR="00235E61" w:rsidP="000E5EDB" w:rsidRDefault="00235E61" w14:paraId="10363F71" w14:textId="77777777">
      <w:pPr>
        <w:numPr>
          <w:ilvl w:val="0"/>
          <w:numId w:val="29"/>
        </w:numPr>
        <w:overflowPunct w:val="0"/>
        <w:autoSpaceDE w:val="0"/>
        <w:autoSpaceDN w:val="0"/>
        <w:adjustRightInd w:val="0"/>
        <w:ind w:left="993" w:hanging="426"/>
        <w:textAlignment w:val="baseline"/>
      </w:pPr>
      <w:r>
        <w:t>kollidiert mit bestehenden oder künftigen steuerlichen Anreizen für Innovation oder Forschung und Entwicklung in Europa? (Nein)</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F32610" w:rsidR="00235E61" w:rsidTr="00F655B8" w14:paraId="4B488F4B" w14:textId="77777777">
        <w:tc>
          <w:tcPr>
            <w:tcW w:w="1556" w:type="pct"/>
          </w:tcPr>
          <w:p w:rsidRPr="00F32610" w:rsidR="00235E61" w:rsidP="00235E61" w:rsidRDefault="00235E61" w14:paraId="25B49F11"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3444" w:type="pct"/>
          </w:tcPr>
          <w:p w:rsidRPr="00F32610" w:rsidR="00235E61" w:rsidP="00235E61" w:rsidRDefault="00235E61" w14:paraId="1D4716F6" w14:textId="4D842A4B">
            <w:pPr>
              <w:overflowPunct w:val="0"/>
              <w:autoSpaceDE w:val="0"/>
              <w:autoSpaceDN w:val="0"/>
              <w:adjustRightInd w:val="0"/>
              <w:spacing w:line="240" w:lineRule="auto"/>
              <w:textAlignment w:val="baseline"/>
              <w:rPr>
                <w:i/>
                <w:sz w:val="22"/>
                <w:szCs w:val="22"/>
              </w:rPr>
            </w:pPr>
            <w:r w:rsidRPr="00F32610">
              <w:rPr>
                <w:i/>
                <w:sz w:val="22"/>
                <w:szCs w:val="22"/>
              </w:rPr>
              <w:t xml:space="preserve">Marco </w:t>
            </w:r>
            <w:proofErr w:type="spellStart"/>
            <w:r w:rsidRPr="00F32610">
              <w:rPr>
                <w:i/>
                <w:sz w:val="22"/>
                <w:szCs w:val="22"/>
              </w:rPr>
              <w:t>Manfroni</w:t>
            </w:r>
            <w:proofErr w:type="spellEnd"/>
          </w:p>
        </w:tc>
      </w:tr>
      <w:tr w:rsidRPr="00F32610" w:rsidR="00235E61" w:rsidTr="00F655B8" w14:paraId="6E02A708" w14:textId="77777777">
        <w:tc>
          <w:tcPr>
            <w:tcW w:w="1556" w:type="pct"/>
          </w:tcPr>
          <w:p w:rsidRPr="00F32610" w:rsidR="00235E61" w:rsidP="00235E61" w:rsidRDefault="00235E61" w14:paraId="39AE055E"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3444" w:type="pct"/>
          </w:tcPr>
          <w:p w:rsidRPr="00F32610" w:rsidR="00235E61" w:rsidP="00235E61" w:rsidRDefault="00235E61" w14:paraId="6410A7CF" w14:textId="77777777">
            <w:pPr>
              <w:overflowPunct w:val="0"/>
              <w:autoSpaceDE w:val="0"/>
              <w:autoSpaceDN w:val="0"/>
              <w:adjustRightInd w:val="0"/>
              <w:spacing w:line="240" w:lineRule="auto"/>
              <w:textAlignment w:val="baseline"/>
              <w:rPr>
                <w:i/>
                <w:sz w:val="22"/>
                <w:szCs w:val="22"/>
              </w:rPr>
            </w:pPr>
            <w:r w:rsidRPr="00F32610">
              <w:rPr>
                <w:i/>
                <w:sz w:val="22"/>
                <w:szCs w:val="22"/>
              </w:rPr>
              <w:t>+32 25469140</w:t>
            </w:r>
          </w:p>
        </w:tc>
      </w:tr>
      <w:tr w:rsidRPr="00F32610" w:rsidR="00235E61" w:rsidTr="00F655B8" w14:paraId="1F9FE480" w14:textId="77777777">
        <w:tc>
          <w:tcPr>
            <w:tcW w:w="1556" w:type="pct"/>
          </w:tcPr>
          <w:p w:rsidRPr="00F32610" w:rsidR="00235E61" w:rsidP="00235E61" w:rsidRDefault="00C94208" w14:paraId="76CEE141" w14:textId="1BB43870">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3444" w:type="pct"/>
          </w:tcPr>
          <w:p w:rsidRPr="00F32610" w:rsidR="00235E61" w:rsidP="00235E61" w:rsidRDefault="00FF5F8E" w14:paraId="32AFDC36" w14:textId="64AA67A0">
            <w:pPr>
              <w:overflowPunct w:val="0"/>
              <w:autoSpaceDE w:val="0"/>
              <w:autoSpaceDN w:val="0"/>
              <w:adjustRightInd w:val="0"/>
              <w:spacing w:line="240" w:lineRule="auto"/>
              <w:textAlignment w:val="baseline"/>
              <w:rPr>
                <w:i/>
                <w:sz w:val="22"/>
                <w:szCs w:val="22"/>
              </w:rPr>
            </w:pPr>
            <w:hyperlink w:history="1" r:id="rId30">
              <w:r w:rsidRPr="00F32610" w:rsidR="00F2403D">
                <w:rPr>
                  <w:i/>
                  <w:color w:val="0000FF"/>
                  <w:sz w:val="22"/>
                  <w:szCs w:val="22"/>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FF5F8E" w14:paraId="1283701A" w14:textId="67F4B8F0">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F2403D">
          <w:rPr>
            <w:b/>
            <w:i/>
            <w:color w:val="0000FF"/>
            <w:sz w:val="28"/>
            <w:u w:val="single"/>
          </w:rPr>
          <w:t>Europäische grenzübergreifende Vereine</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742"/>
      </w:tblGrid>
      <w:tr w:rsidRPr="00F32610" w:rsidR="00DE6659" w:rsidTr="00F655B8" w14:paraId="34929BB7" w14:textId="77777777">
        <w:tc>
          <w:tcPr>
            <w:tcW w:w="1148" w:type="pct"/>
          </w:tcPr>
          <w:p w:rsidRPr="00F32610" w:rsidR="00DE6659" w:rsidP="00DE6659" w:rsidRDefault="00DE6659" w14:paraId="0C847690"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3852" w:type="pct"/>
          </w:tcPr>
          <w:p w:rsidRPr="00F32610" w:rsidR="00DE6659" w:rsidP="00DE6659" w:rsidRDefault="00DE6659" w14:paraId="50C51A66" w14:textId="77777777">
            <w:pPr>
              <w:tabs>
                <w:tab w:val="center" w:pos="0"/>
              </w:tabs>
              <w:overflowPunct w:val="0"/>
              <w:autoSpaceDE w:val="0"/>
              <w:autoSpaceDN w:val="0"/>
              <w:adjustRightInd w:val="0"/>
              <w:ind w:left="266" w:hanging="266"/>
              <w:textAlignment w:val="baseline"/>
              <w:rPr>
                <w:sz w:val="22"/>
                <w:szCs w:val="22"/>
              </w:rPr>
            </w:pPr>
            <w:r w:rsidRPr="00F32610">
              <w:rPr>
                <w:sz w:val="22"/>
                <w:szCs w:val="22"/>
              </w:rPr>
              <w:t>Giuseppe GUERINI (Gruppe Organisationen der Zivilgesellschaft – IT)</w:t>
            </w:r>
          </w:p>
        </w:tc>
      </w:tr>
      <w:tr w:rsidRPr="00F32610" w:rsidR="00DE6659" w:rsidTr="00F655B8" w14:paraId="17BB29BA" w14:textId="77777777">
        <w:tc>
          <w:tcPr>
            <w:tcW w:w="5000" w:type="pct"/>
            <w:gridSpan w:val="2"/>
          </w:tcPr>
          <w:p w:rsidRPr="00F32610"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32610" w:rsidR="00DE6659" w:rsidTr="00F655B8" w14:paraId="7E7707AA" w14:textId="77777777">
        <w:tc>
          <w:tcPr>
            <w:tcW w:w="1148" w:type="pct"/>
            <w:vMerge w:val="restart"/>
          </w:tcPr>
          <w:p w:rsidRPr="00F32610" w:rsidR="00DE6659" w:rsidP="00DE6659" w:rsidRDefault="00DE6659" w14:paraId="023C8E87"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Referenzdokumente</w:t>
            </w:r>
          </w:p>
        </w:tc>
        <w:tc>
          <w:tcPr>
            <w:tcW w:w="3852" w:type="pct"/>
          </w:tcPr>
          <w:p w:rsidRPr="00F32610" w:rsidR="00DE6659" w:rsidP="00DE6659" w:rsidRDefault="00DE6659" w14:paraId="68348F3B" w14:textId="3267B5EA">
            <w:pPr>
              <w:tabs>
                <w:tab w:val="center" w:pos="284"/>
              </w:tabs>
              <w:overflowPunct w:val="0"/>
              <w:autoSpaceDE w:val="0"/>
              <w:autoSpaceDN w:val="0"/>
              <w:adjustRightInd w:val="0"/>
              <w:ind w:left="266" w:hanging="266"/>
              <w:textAlignment w:val="baseline"/>
              <w:rPr>
                <w:sz w:val="22"/>
                <w:szCs w:val="22"/>
              </w:rPr>
            </w:pPr>
            <w:r w:rsidRPr="00F32610">
              <w:rPr>
                <w:sz w:val="22"/>
                <w:szCs w:val="22"/>
              </w:rPr>
              <w:t>COM(2023) 515 final</w:t>
            </w:r>
          </w:p>
          <w:p w:rsidRPr="00F32610" w:rsidR="00DE6659" w:rsidP="00DE6659" w:rsidRDefault="00DE6659" w14:paraId="4367C17F" w14:textId="4FBAACF8">
            <w:pPr>
              <w:tabs>
                <w:tab w:val="center" w:pos="284"/>
              </w:tabs>
              <w:overflowPunct w:val="0"/>
              <w:autoSpaceDE w:val="0"/>
              <w:autoSpaceDN w:val="0"/>
              <w:adjustRightInd w:val="0"/>
              <w:ind w:left="266" w:hanging="266"/>
              <w:textAlignment w:val="baseline"/>
              <w:rPr>
                <w:sz w:val="22"/>
                <w:szCs w:val="22"/>
              </w:rPr>
            </w:pPr>
            <w:r w:rsidRPr="00F32610">
              <w:rPr>
                <w:sz w:val="22"/>
                <w:szCs w:val="22"/>
              </w:rPr>
              <w:t>COM(2023) 516 final</w:t>
            </w:r>
          </w:p>
        </w:tc>
      </w:tr>
      <w:tr w:rsidRPr="00F32610" w:rsidR="00DE6659" w:rsidTr="00F655B8" w14:paraId="245B9DBF" w14:textId="77777777">
        <w:tc>
          <w:tcPr>
            <w:tcW w:w="1148" w:type="pct"/>
            <w:vMerge/>
          </w:tcPr>
          <w:p w:rsidRPr="00F32610" w:rsidR="00DE6659" w:rsidP="00DE6659" w:rsidRDefault="00DE6659" w14:paraId="376DFF7E"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F32610" w:rsidR="00DE6659" w:rsidP="00DE6659" w:rsidRDefault="00DE6659" w14:paraId="11EF4CA2" w14:textId="478A9390">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Der EWSA</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0E5EDB"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begrüßt den Vorschlag der Europäischen Kommission, die grenzübergreifende Tätigkeit von Vereinen ohne Erwerbszweck in der EU durch die neue Rechtsform eines „Europäischen grenzübergreifenden Vereins“ zu erleichtern und schlägt den beiden gesetzgebenden EU-Organen vor, diesen rasch anzunehmen;</w:t>
      </w:r>
    </w:p>
    <w:p w:rsidRPr="00DE6659" w:rsidR="00DE6659" w:rsidP="000E5EDB"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weist auf die Schwierigkeiten hin, mit denen Vereine und Körperschaften ohne Erwerbszweck bei ihrer Tätigkeit auf dem Binnenmarkt konfrontiert sind, und empfiehlt der Kommission und den Mitgliedstaaten, diese rechtlichen und administrativen Hindernisse zu beseitigen und so die Rolle zu stärken, die Vereine in der EU bei der wirtschaftlichen und sozialen Wertschöpfung spielen können;</w:t>
      </w:r>
    </w:p>
    <w:p w:rsidRPr="00DE6659" w:rsidR="00DE6659" w:rsidP="000E5EDB"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erkennt das Potenzial gemeinnütziger Organisationen für den Binnenmarkt an und betont, dass die Schaffung eines europäischen Ökosystems für diese Art von Körperschaften gefördert werden muss, um den Binnenmarkt „sozialer“ zu machen;</w:t>
      </w:r>
    </w:p>
    <w:p w:rsidRPr="00DE6659" w:rsidR="00DE6659" w:rsidP="000E5EDB"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 xml:space="preserve">begrüßt den Vorschlag der Kommission, wonach die Mitgliedstaaten eine weitere Rechtsform – den Europäischen grenzübergreifenden Verein (European </w:t>
      </w:r>
      <w:proofErr w:type="spellStart"/>
      <w:r>
        <w:t>cross-border</w:t>
      </w:r>
      <w:proofErr w:type="spellEnd"/>
      <w:r>
        <w:t xml:space="preserve"> </w:t>
      </w:r>
      <w:proofErr w:type="spellStart"/>
      <w:r>
        <w:t>association</w:t>
      </w:r>
      <w:proofErr w:type="spellEnd"/>
      <w:r>
        <w:t xml:space="preserve"> (ECBA)) – in ihre nationalen Rechtsordnungen aufnehmen sollen, um den rechtlichen und administrativen Aufwand für die Anerkennung und Gründung von in einem anderen Mitgliedstaat tätigen Vereinen ohne Erwerbszweck zu verringern;</w:t>
      </w:r>
    </w:p>
    <w:p w:rsidRPr="00DE6659" w:rsidR="00DE6659" w:rsidP="000E5EDB"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schlägt vor, dass alle Organisationen, die die Anforderungen erfüllen und ihren Sitz in der EU haben, den Status eines ECBA erlangen können, und zwar selbst dann, wenn dem Exekutivorgan natürliche Personen angehören, die in Drittstaaten oder insbesondere in Ländern des Europäischen Wirtschaftsraums ansässig sind;</w:t>
      </w:r>
    </w:p>
    <w:p w:rsidRPr="00DE6659" w:rsidR="00DE6659" w:rsidP="000E5EDB"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ist der Auffassung, dass es unter Wahrung der Grundsätze der Demokratie und der Vereinigungsfreiheit den Vereinen selbst sowie ihren Mitgliedern überlassen werden sollte, die Art der Vereinsmitgliedschaft und der Stimmrechte nach eigenem Ermessen in ihrer Satzung festzulegen;</w:t>
      </w:r>
    </w:p>
    <w:p w:rsidRPr="00DE6659" w:rsidR="00DE6659" w:rsidP="000E5EDB"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unterstützt und begrüßt die Einführung der „ECBA-Bescheinigung“, die die Anerkennung dieser neuen Rechtsform in der gesamten EU ermöglichen wird, sobald ein ECBA in einem der Mitgliedstaaten registriert ist, empfiehlt jedoch, die Einstufungs- und Registrierungssysteme durch die Einrichtung vergleichbarer Datenbanken zu verbessern.</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F32610" w:rsidR="00DE6659" w:rsidTr="00F655B8" w14:paraId="1391A80B" w14:textId="77777777">
        <w:tc>
          <w:tcPr>
            <w:tcW w:w="1556" w:type="pct"/>
          </w:tcPr>
          <w:p w:rsidRPr="00F32610" w:rsidR="00DE6659" w:rsidP="00DE6659" w:rsidRDefault="00DE6659" w14:paraId="55CC11E0"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3444" w:type="pct"/>
          </w:tcPr>
          <w:p w:rsidRPr="00F32610" w:rsidR="00DE6659" w:rsidP="00DE6659" w:rsidRDefault="00DE6659" w14:paraId="10D697FE" w14:textId="77777777">
            <w:pPr>
              <w:overflowPunct w:val="0"/>
              <w:autoSpaceDE w:val="0"/>
              <w:autoSpaceDN w:val="0"/>
              <w:adjustRightInd w:val="0"/>
              <w:spacing w:line="240" w:lineRule="auto"/>
              <w:textAlignment w:val="baseline"/>
              <w:rPr>
                <w:i/>
                <w:sz w:val="22"/>
                <w:szCs w:val="22"/>
              </w:rPr>
            </w:pPr>
            <w:r w:rsidRPr="00F32610">
              <w:rPr>
                <w:i/>
                <w:sz w:val="22"/>
                <w:szCs w:val="22"/>
              </w:rPr>
              <w:t xml:space="preserve">Annalisa </w:t>
            </w:r>
            <w:proofErr w:type="spellStart"/>
            <w:r w:rsidRPr="00F32610">
              <w:rPr>
                <w:i/>
                <w:sz w:val="22"/>
                <w:szCs w:val="22"/>
              </w:rPr>
              <w:t>Tessarolo</w:t>
            </w:r>
            <w:proofErr w:type="spellEnd"/>
          </w:p>
        </w:tc>
      </w:tr>
      <w:tr w:rsidRPr="00F32610" w:rsidR="00DE6659" w:rsidTr="00F655B8" w14:paraId="6D422E7E" w14:textId="77777777">
        <w:tc>
          <w:tcPr>
            <w:tcW w:w="1556" w:type="pct"/>
          </w:tcPr>
          <w:p w:rsidRPr="00F32610" w:rsidR="00DE6659" w:rsidP="00DE6659" w:rsidRDefault="00DE6659" w14:paraId="55E86D62"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3444" w:type="pct"/>
          </w:tcPr>
          <w:p w:rsidRPr="00F32610" w:rsidR="00DE6659" w:rsidP="00DE6659" w:rsidRDefault="00DE6659" w14:paraId="50B93C11" w14:textId="77777777">
            <w:pPr>
              <w:overflowPunct w:val="0"/>
              <w:autoSpaceDE w:val="0"/>
              <w:autoSpaceDN w:val="0"/>
              <w:adjustRightInd w:val="0"/>
              <w:spacing w:line="240" w:lineRule="auto"/>
              <w:textAlignment w:val="baseline"/>
              <w:rPr>
                <w:i/>
                <w:sz w:val="22"/>
                <w:szCs w:val="22"/>
              </w:rPr>
            </w:pPr>
            <w:r w:rsidRPr="00F32610">
              <w:rPr>
                <w:i/>
                <w:sz w:val="22"/>
                <w:szCs w:val="22"/>
              </w:rPr>
              <w:t>+32 25469732</w:t>
            </w:r>
          </w:p>
        </w:tc>
      </w:tr>
      <w:tr w:rsidRPr="00F32610" w:rsidR="00DE6659" w:rsidTr="00F655B8" w14:paraId="7DD77C04" w14:textId="77777777">
        <w:tc>
          <w:tcPr>
            <w:tcW w:w="1556" w:type="pct"/>
          </w:tcPr>
          <w:p w:rsidRPr="00F32610" w:rsidR="00DE6659" w:rsidP="00DE6659" w:rsidRDefault="00DE6659" w14:paraId="1EFE7B35"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3444" w:type="pct"/>
          </w:tcPr>
          <w:p w:rsidRPr="00F32610" w:rsidR="00DE6659" w:rsidP="00DE6659" w:rsidRDefault="00FF5F8E" w14:paraId="23C9553B" w14:textId="77777777">
            <w:pPr>
              <w:overflowPunct w:val="0"/>
              <w:autoSpaceDE w:val="0"/>
              <w:autoSpaceDN w:val="0"/>
              <w:adjustRightInd w:val="0"/>
              <w:spacing w:line="240" w:lineRule="auto"/>
              <w:textAlignment w:val="baseline"/>
              <w:rPr>
                <w:i/>
                <w:sz w:val="22"/>
                <w:szCs w:val="22"/>
              </w:rPr>
            </w:pPr>
            <w:hyperlink w:history="1" r:id="rId32">
              <w:r w:rsidRPr="00F32610" w:rsidR="00F2403D">
                <w:rPr>
                  <w:i/>
                  <w:color w:val="0000FF"/>
                  <w:sz w:val="22"/>
                  <w:szCs w:val="22"/>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F32610" w:rsidR="009E6551" w:rsidP="009E6551" w:rsidRDefault="00FF5F8E" w14:paraId="4DE066CB" w14:textId="75EB8864">
      <w:pPr>
        <w:widowControl w:val="0"/>
        <w:numPr>
          <w:ilvl w:val="0"/>
          <w:numId w:val="2"/>
        </w:numPr>
        <w:overflowPunct w:val="0"/>
        <w:autoSpaceDE w:val="0"/>
        <w:autoSpaceDN w:val="0"/>
        <w:adjustRightInd w:val="0"/>
        <w:ind w:hanging="567"/>
        <w:textAlignment w:val="baseline"/>
        <w:rPr>
          <w:b/>
          <w:i/>
          <w:color w:val="0000FF"/>
          <w:sz w:val="28"/>
          <w:u w:val="single"/>
        </w:rPr>
      </w:pPr>
      <w:hyperlink w:history="1" r:id="rId33">
        <w:r w:rsidR="00F2403D">
          <w:rPr>
            <w:b/>
            <w:i/>
            <w:color w:val="0000FF"/>
            <w:sz w:val="28"/>
            <w:u w:val="single"/>
          </w:rPr>
          <w:t>Eine neue EU-Strategie für den Binnenmarkt</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889"/>
      </w:tblGrid>
      <w:tr w:rsidRPr="00F32610" w:rsidR="009E6551" w:rsidTr="000E5EDB" w14:paraId="4D686838" w14:textId="77777777">
        <w:tc>
          <w:tcPr>
            <w:tcW w:w="1129" w:type="pct"/>
          </w:tcPr>
          <w:p w:rsidRPr="00F32610" w:rsidR="009E6551" w:rsidP="009E6551" w:rsidRDefault="009E6551" w14:paraId="4E868AF6"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Berichterstatterin</w:t>
            </w:r>
          </w:p>
        </w:tc>
        <w:tc>
          <w:tcPr>
            <w:tcW w:w="3871" w:type="pct"/>
          </w:tcPr>
          <w:p w:rsidRPr="00F32610" w:rsidR="009E6551" w:rsidP="009E6551" w:rsidRDefault="009E6551" w14:paraId="1A8DCFC5" w14:textId="0AA262D5">
            <w:pPr>
              <w:tabs>
                <w:tab w:val="center" w:pos="0"/>
              </w:tabs>
              <w:overflowPunct w:val="0"/>
              <w:autoSpaceDE w:val="0"/>
              <w:autoSpaceDN w:val="0"/>
              <w:adjustRightInd w:val="0"/>
              <w:ind w:left="266" w:hanging="266"/>
              <w:textAlignment w:val="baseline"/>
              <w:rPr>
                <w:sz w:val="22"/>
                <w:szCs w:val="22"/>
              </w:rPr>
            </w:pPr>
            <w:r w:rsidRPr="00F32610">
              <w:rPr>
                <w:sz w:val="22"/>
                <w:szCs w:val="22"/>
              </w:rPr>
              <w:t>Sandra PARTHIE (Gruppe Arbeitgeber – DE)</w:t>
            </w:r>
          </w:p>
        </w:tc>
      </w:tr>
      <w:tr w:rsidRPr="00F32610" w:rsidR="009E6551" w:rsidTr="000E5EDB" w14:paraId="567CF579" w14:textId="77777777">
        <w:tc>
          <w:tcPr>
            <w:tcW w:w="1129" w:type="pct"/>
          </w:tcPr>
          <w:p w:rsidRPr="00F32610" w:rsidR="009E6551" w:rsidP="009E6551" w:rsidRDefault="009E6551" w14:paraId="39731A44"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Ko-Berichterstatter</w:t>
            </w:r>
          </w:p>
        </w:tc>
        <w:tc>
          <w:tcPr>
            <w:tcW w:w="3871" w:type="pct"/>
          </w:tcPr>
          <w:p w:rsidRPr="00F32610" w:rsidR="009E6551" w:rsidP="009E6551" w:rsidRDefault="009E6551" w14:paraId="0FC36817" w14:textId="7498D0C1">
            <w:pPr>
              <w:tabs>
                <w:tab w:val="center" w:pos="284"/>
              </w:tabs>
              <w:overflowPunct w:val="0"/>
              <w:autoSpaceDE w:val="0"/>
              <w:autoSpaceDN w:val="0"/>
              <w:adjustRightInd w:val="0"/>
              <w:ind w:left="266" w:hanging="266"/>
              <w:textAlignment w:val="baseline"/>
              <w:rPr>
                <w:sz w:val="22"/>
                <w:szCs w:val="22"/>
              </w:rPr>
            </w:pPr>
            <w:r w:rsidRPr="00F32610">
              <w:rPr>
                <w:sz w:val="22"/>
                <w:szCs w:val="22"/>
              </w:rPr>
              <w:t>Alain COHEUR (Gruppe Organisationen der Zivilgesellschaft – BE)</w:t>
            </w:r>
          </w:p>
        </w:tc>
      </w:tr>
      <w:tr w:rsidRPr="00F32610" w:rsidR="009E6551" w:rsidTr="000E5EDB" w14:paraId="047ABAF7" w14:textId="77777777">
        <w:tc>
          <w:tcPr>
            <w:tcW w:w="5000" w:type="pct"/>
            <w:gridSpan w:val="2"/>
          </w:tcPr>
          <w:p w:rsidRPr="00F32610"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32610" w:rsidR="009E6551" w:rsidTr="000E5EDB" w14:paraId="423137BA" w14:textId="77777777">
        <w:tc>
          <w:tcPr>
            <w:tcW w:w="1129" w:type="pct"/>
            <w:vMerge w:val="restart"/>
          </w:tcPr>
          <w:p w:rsidRPr="00F32610" w:rsidR="009E6551" w:rsidP="009E6551" w:rsidRDefault="009E6551" w14:paraId="73633D71"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Referenzdokumente</w:t>
            </w:r>
          </w:p>
        </w:tc>
        <w:tc>
          <w:tcPr>
            <w:tcW w:w="3871" w:type="pct"/>
          </w:tcPr>
          <w:p w:rsidRPr="00F32610" w:rsidR="009E6551" w:rsidP="009E6551" w:rsidRDefault="009E6551" w14:paraId="4138FC3B" w14:textId="000349E9">
            <w:pPr>
              <w:tabs>
                <w:tab w:val="center" w:pos="284"/>
              </w:tabs>
              <w:overflowPunct w:val="0"/>
              <w:autoSpaceDE w:val="0"/>
              <w:autoSpaceDN w:val="0"/>
              <w:adjustRightInd w:val="0"/>
              <w:ind w:left="266" w:hanging="266"/>
              <w:textAlignment w:val="baseline"/>
              <w:rPr>
                <w:sz w:val="22"/>
                <w:szCs w:val="22"/>
              </w:rPr>
            </w:pPr>
            <w:r w:rsidRPr="00F32610">
              <w:rPr>
                <w:sz w:val="22"/>
                <w:szCs w:val="22"/>
              </w:rPr>
              <w:t>Sondierungsstellungnahme auf Ersuchen des belgischen EU-Ratsvorsitzes</w:t>
            </w:r>
          </w:p>
        </w:tc>
      </w:tr>
      <w:tr w:rsidRPr="00F32610" w:rsidR="009E6551" w:rsidTr="000E5EDB" w14:paraId="6DA4EF09" w14:textId="77777777">
        <w:tc>
          <w:tcPr>
            <w:tcW w:w="1129" w:type="pct"/>
            <w:vMerge/>
          </w:tcPr>
          <w:p w:rsidRPr="00F32610" w:rsidR="009E6551" w:rsidP="009E6551" w:rsidRDefault="009E6551" w14:paraId="7533C1AB" w14:textId="77777777">
            <w:pPr>
              <w:tabs>
                <w:tab w:val="center" w:pos="284"/>
              </w:tabs>
              <w:overflowPunct w:val="0"/>
              <w:autoSpaceDE w:val="0"/>
              <w:autoSpaceDN w:val="0"/>
              <w:adjustRightInd w:val="0"/>
              <w:ind w:left="266" w:hanging="266"/>
              <w:textAlignment w:val="baseline"/>
              <w:rPr>
                <w:b/>
                <w:sz w:val="22"/>
                <w:szCs w:val="22"/>
              </w:rPr>
            </w:pPr>
          </w:p>
        </w:tc>
        <w:tc>
          <w:tcPr>
            <w:tcW w:w="3871" w:type="pct"/>
          </w:tcPr>
          <w:p w:rsidRPr="00F32610" w:rsidR="009E6551" w:rsidP="009E6551" w:rsidRDefault="009E6551" w14:paraId="5D99BAED" w14:textId="258D60F8">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0E5EDB" w:rsidRDefault="009E6551" w14:paraId="3A3C29C6" w14:textId="77777777">
      <w:pPr>
        <w:keepNext/>
        <w:keepLines/>
        <w:overflowPunct w:val="0"/>
        <w:autoSpaceDE w:val="0"/>
        <w:autoSpaceDN w:val="0"/>
        <w:adjustRightInd w:val="0"/>
        <w:textAlignment w:val="baseline"/>
        <w:rPr>
          <w:b/>
        </w:rPr>
      </w:pPr>
      <w:r>
        <w:rPr>
          <w:b/>
        </w:rPr>
        <w:t>Kernaussagen</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Der EWSA</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0E5EDB"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proofErr w:type="spellStart"/>
      <w:r>
        <w:t>st</w:t>
      </w:r>
      <w:proofErr w:type="spellEnd"/>
      <w:r>
        <w:t xml:space="preserve"> der Ansicht, dass eine Strategie für die </w:t>
      </w:r>
      <w:r>
        <w:rPr>
          <w:b/>
        </w:rPr>
        <w:t>Zukunft des Binnenmarkts</w:t>
      </w:r>
      <w:r>
        <w:t xml:space="preserve"> auf mehrere Aspekte ausgerichtet sein sollte: eine </w:t>
      </w:r>
      <w:r>
        <w:rPr>
          <w:b/>
        </w:rPr>
        <w:t>europäische Industriepolitik</w:t>
      </w:r>
      <w:r>
        <w:t xml:space="preserve">, ein förderliches </w:t>
      </w:r>
      <w:r>
        <w:rPr>
          <w:b/>
        </w:rPr>
        <w:t>Umfeld für Unternehmen und KMU</w:t>
      </w:r>
      <w:r>
        <w:t xml:space="preserve">, </w:t>
      </w:r>
      <w:r>
        <w:rPr>
          <w:b/>
        </w:rPr>
        <w:t>sozialwirtschaftliche Unternehmen</w:t>
      </w:r>
      <w:r>
        <w:t xml:space="preserve">, Unterstützung der Öffentlichkeit für das </w:t>
      </w:r>
      <w:r>
        <w:rPr>
          <w:b/>
        </w:rPr>
        <w:t>europäische Projekt</w:t>
      </w:r>
      <w:r>
        <w:t xml:space="preserve">, angemessen organisierte und leistungsfähige </w:t>
      </w:r>
      <w:r>
        <w:rPr>
          <w:b/>
        </w:rPr>
        <w:t>Dienstleistungen von allgemeinem Interesse</w:t>
      </w:r>
      <w:r>
        <w:t xml:space="preserve"> sowie Vorkehrungen zur Wahrung und Weiterentwicklung des europäisches Sozialmodells;</w:t>
      </w:r>
    </w:p>
    <w:p w:rsidRPr="009E6551" w:rsidR="009E6551" w:rsidP="000E5EDB"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fordert einen </w:t>
      </w:r>
      <w:r>
        <w:rPr>
          <w:b/>
        </w:rPr>
        <w:t>neuen Bewertungsrahmen als Richtschnur für die politische Entscheidungsfindung</w:t>
      </w:r>
      <w:r>
        <w:t xml:space="preserve"> in einer veränderten Welt mit neuen geopolitischen Herausforderungen. Zielkonflikte werden deutlich, wenn Forderungen nach Subventionen Forderungen nach Beschränkung staatlicher Beihilfen, Auflagen für lokale Produktion einer Öffnung der Märkte und der Zugang zu unverzichtbaren Rohstoffen Bedingungen für die Lieferung gegenüberstehen. Gebraucht werden ein </w:t>
      </w:r>
      <w:r>
        <w:rPr>
          <w:b/>
        </w:rPr>
        <w:t>neues System der Zusammenarbeit</w:t>
      </w:r>
      <w:r>
        <w:t xml:space="preserve">, um die besten Lösungen zu finden, sowie ein neuer Geist der Zusammenarbeit zwischen den Mitgliedstaaten, um ein </w:t>
      </w:r>
      <w:r>
        <w:rPr>
          <w:b/>
        </w:rPr>
        <w:t>Gefühl wahrer europäischer Identität</w:t>
      </w:r>
      <w:r>
        <w:t xml:space="preserve"> zu schaffen;</w:t>
      </w:r>
    </w:p>
    <w:p w:rsidRPr="009E6551" w:rsidR="009E6551" w:rsidP="000E5EDB"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fordert, die </w:t>
      </w:r>
      <w:r>
        <w:rPr>
          <w:b/>
        </w:rPr>
        <w:t>Folgen der Liberalisierung der Dienstleistungen von allgemeinem wirtschaftlichem Interesse (DAWI)</w:t>
      </w:r>
      <w:r>
        <w:t xml:space="preserve"> für den wirtschaftlichen, sozialen und territorialen Zusammenhalt zu </w:t>
      </w:r>
      <w:r>
        <w:rPr>
          <w:b/>
        </w:rPr>
        <w:t>bewerten</w:t>
      </w:r>
      <w:r>
        <w:t xml:space="preserve"> und den möglichen Bedarf an </w:t>
      </w:r>
      <w:r>
        <w:rPr>
          <w:b/>
        </w:rPr>
        <w:t>europäischen Instrumenten der öffentlichen Interventionen in Bereichen der DAWI</w:t>
      </w:r>
      <w:r>
        <w:t xml:space="preserve"> zu prüfen.</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F32610" w:rsidR="009E6551" w:rsidTr="00F655B8" w14:paraId="41B2FFFB" w14:textId="77777777">
        <w:tc>
          <w:tcPr>
            <w:tcW w:w="1556" w:type="pct"/>
          </w:tcPr>
          <w:p w:rsidRPr="00F32610" w:rsidR="009E6551" w:rsidP="009E6551" w:rsidRDefault="009E6551" w14:paraId="3C548129"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3444" w:type="pct"/>
          </w:tcPr>
          <w:p w:rsidRPr="00F32610" w:rsidR="009E6551" w:rsidP="009E6551" w:rsidRDefault="009E6551" w14:paraId="10EBD0B9" w14:textId="77777777">
            <w:pPr>
              <w:overflowPunct w:val="0"/>
              <w:autoSpaceDE w:val="0"/>
              <w:autoSpaceDN w:val="0"/>
              <w:adjustRightInd w:val="0"/>
              <w:spacing w:line="240" w:lineRule="auto"/>
              <w:textAlignment w:val="baseline"/>
              <w:rPr>
                <w:i/>
                <w:sz w:val="22"/>
                <w:szCs w:val="22"/>
              </w:rPr>
            </w:pPr>
            <w:r w:rsidRPr="00F32610">
              <w:rPr>
                <w:i/>
                <w:sz w:val="22"/>
                <w:szCs w:val="22"/>
              </w:rPr>
              <w:t xml:space="preserve">Silvia </w:t>
            </w:r>
            <w:proofErr w:type="spellStart"/>
            <w:r w:rsidRPr="00F32610">
              <w:rPr>
                <w:i/>
                <w:sz w:val="22"/>
                <w:szCs w:val="22"/>
              </w:rPr>
              <w:t>Staffa</w:t>
            </w:r>
            <w:proofErr w:type="spellEnd"/>
          </w:p>
        </w:tc>
      </w:tr>
      <w:tr w:rsidRPr="00F32610" w:rsidR="009E6551" w:rsidTr="00F655B8" w14:paraId="7D6FABF0" w14:textId="77777777">
        <w:tc>
          <w:tcPr>
            <w:tcW w:w="1556" w:type="pct"/>
          </w:tcPr>
          <w:p w:rsidRPr="00F32610" w:rsidR="009E6551" w:rsidP="009E6551" w:rsidRDefault="009E6551" w14:paraId="0B13118F"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3444" w:type="pct"/>
          </w:tcPr>
          <w:p w:rsidRPr="00F32610" w:rsidR="009E6551" w:rsidP="009E6551" w:rsidRDefault="009E6551" w14:paraId="75955876" w14:textId="77777777">
            <w:pPr>
              <w:overflowPunct w:val="0"/>
              <w:autoSpaceDE w:val="0"/>
              <w:autoSpaceDN w:val="0"/>
              <w:adjustRightInd w:val="0"/>
              <w:spacing w:line="240" w:lineRule="auto"/>
              <w:textAlignment w:val="baseline"/>
              <w:rPr>
                <w:i/>
                <w:sz w:val="22"/>
                <w:szCs w:val="22"/>
              </w:rPr>
            </w:pPr>
            <w:r w:rsidRPr="00F32610">
              <w:rPr>
                <w:i/>
                <w:sz w:val="22"/>
                <w:szCs w:val="22"/>
              </w:rPr>
              <w:t>+32 25468378</w:t>
            </w:r>
          </w:p>
        </w:tc>
      </w:tr>
      <w:tr w:rsidRPr="00F32610" w:rsidR="009E6551" w:rsidTr="00F655B8" w14:paraId="661ACC00" w14:textId="77777777">
        <w:tc>
          <w:tcPr>
            <w:tcW w:w="1556" w:type="pct"/>
          </w:tcPr>
          <w:p w:rsidRPr="00F32610" w:rsidR="009E6551" w:rsidP="009E6551" w:rsidRDefault="009E6551" w14:paraId="402406CE"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3444" w:type="pct"/>
          </w:tcPr>
          <w:p w:rsidRPr="00F32610" w:rsidR="009E6551" w:rsidP="009E6551" w:rsidRDefault="00FF5F8E" w14:paraId="4125E6FA" w14:textId="77777777">
            <w:pPr>
              <w:overflowPunct w:val="0"/>
              <w:autoSpaceDE w:val="0"/>
              <w:autoSpaceDN w:val="0"/>
              <w:adjustRightInd w:val="0"/>
              <w:spacing w:line="240" w:lineRule="auto"/>
              <w:textAlignment w:val="baseline"/>
              <w:rPr>
                <w:iCs/>
                <w:sz w:val="22"/>
                <w:szCs w:val="22"/>
              </w:rPr>
            </w:pPr>
            <w:hyperlink w:history="1" r:id="rId34">
              <w:r w:rsidRPr="00F32610" w:rsidR="00F2403D">
                <w:rPr>
                  <w:i/>
                  <w:color w:val="0000FF"/>
                  <w:sz w:val="22"/>
                  <w:szCs w:val="22"/>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FF5F8E" w14:paraId="4105E430" w14:textId="06916AF5">
      <w:pPr>
        <w:widowControl w:val="0"/>
        <w:numPr>
          <w:ilvl w:val="0"/>
          <w:numId w:val="2"/>
        </w:numPr>
        <w:overflowPunct w:val="0"/>
        <w:autoSpaceDE w:val="0"/>
        <w:autoSpaceDN w:val="0"/>
        <w:adjustRightInd w:val="0"/>
        <w:ind w:hanging="567"/>
        <w:textAlignment w:val="baseline"/>
        <w:rPr>
          <w:sz w:val="20"/>
          <w:szCs w:val="20"/>
        </w:rPr>
      </w:pPr>
      <w:hyperlink w:history="1" r:id="rId35">
        <w:r w:rsidR="00F2403D">
          <w:rPr>
            <w:b/>
            <w:i/>
            <w:color w:val="0000FF"/>
            <w:sz w:val="28"/>
            <w:u w:val="single"/>
          </w:rPr>
          <w:t>Überarbeitung der Zahlungsverzugsrichtlinie</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785"/>
      </w:tblGrid>
      <w:tr w:rsidRPr="00F32610" w:rsidR="00C41F06" w:rsidTr="00F655B8" w14:paraId="17FC1AAE" w14:textId="77777777">
        <w:trPr>
          <w:trHeight w:val="406"/>
        </w:trPr>
        <w:tc>
          <w:tcPr>
            <w:tcW w:w="1142" w:type="pct"/>
          </w:tcPr>
          <w:p w:rsidRPr="00F32610" w:rsidR="00C41F06" w:rsidP="00C41F06" w:rsidRDefault="00C41F06" w14:paraId="6D5A3F72"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3858" w:type="pct"/>
          </w:tcPr>
          <w:p w:rsidRPr="00F32610" w:rsidR="00C41F06" w:rsidP="00C41F06" w:rsidRDefault="00C41F06" w14:paraId="3A40F086" w14:textId="77777777">
            <w:pPr>
              <w:tabs>
                <w:tab w:val="center" w:pos="0"/>
              </w:tabs>
              <w:overflowPunct w:val="0"/>
              <w:autoSpaceDE w:val="0"/>
              <w:autoSpaceDN w:val="0"/>
              <w:adjustRightInd w:val="0"/>
              <w:ind w:left="266" w:hanging="266"/>
              <w:textAlignment w:val="baseline"/>
              <w:rPr>
                <w:sz w:val="22"/>
                <w:szCs w:val="22"/>
              </w:rPr>
            </w:pPr>
            <w:r w:rsidRPr="00F32610">
              <w:rPr>
                <w:sz w:val="22"/>
                <w:szCs w:val="22"/>
              </w:rPr>
              <w:t>Panagiotis GKOFAS (Gruppe Organisationen der Zivilgesellschaft – EL)</w:t>
            </w:r>
          </w:p>
          <w:p w:rsidRPr="00F32610" w:rsidR="00C41F06" w:rsidP="00C41F06" w:rsidRDefault="00C41F06" w14:paraId="6858251C" w14:textId="77777777">
            <w:pPr>
              <w:tabs>
                <w:tab w:val="center" w:pos="0"/>
              </w:tabs>
              <w:overflowPunct w:val="0"/>
              <w:autoSpaceDE w:val="0"/>
              <w:autoSpaceDN w:val="0"/>
              <w:adjustRightInd w:val="0"/>
              <w:ind w:left="266" w:hanging="266"/>
              <w:textAlignment w:val="baseline"/>
              <w:rPr>
                <w:sz w:val="22"/>
                <w:szCs w:val="22"/>
              </w:rPr>
            </w:pPr>
            <w:r w:rsidRPr="00F32610">
              <w:rPr>
                <w:sz w:val="22"/>
                <w:szCs w:val="22"/>
              </w:rPr>
              <w:t>Alena MASTANTUONO (Gruppe Arbeitgeber – CZ)</w:t>
            </w:r>
          </w:p>
          <w:p w:rsidRPr="00F32610" w:rsidR="008C0662" w:rsidP="00C41F06" w:rsidRDefault="00C41F06" w14:paraId="18949A9C" w14:textId="698C1239">
            <w:pPr>
              <w:tabs>
                <w:tab w:val="center" w:pos="0"/>
              </w:tabs>
              <w:overflowPunct w:val="0"/>
              <w:autoSpaceDE w:val="0"/>
              <w:autoSpaceDN w:val="0"/>
              <w:adjustRightInd w:val="0"/>
              <w:ind w:left="266" w:hanging="266"/>
              <w:textAlignment w:val="baseline"/>
              <w:rPr>
                <w:sz w:val="22"/>
                <w:szCs w:val="22"/>
              </w:rPr>
            </w:pPr>
            <w:r w:rsidRPr="00F32610">
              <w:rPr>
                <w:sz w:val="22"/>
                <w:szCs w:val="22"/>
              </w:rPr>
              <w:t>Angelo PAGLIARA (Gruppe Arbeitnehmer – IT)</w:t>
            </w:r>
          </w:p>
        </w:tc>
      </w:tr>
      <w:tr w:rsidRPr="00F32610" w:rsidR="00F32610" w:rsidTr="00F32610" w14:paraId="6EE54C91" w14:textId="77777777">
        <w:trPr>
          <w:trHeight w:val="101"/>
        </w:trPr>
        <w:tc>
          <w:tcPr>
            <w:tcW w:w="1142" w:type="pct"/>
          </w:tcPr>
          <w:p w:rsidRPr="00F32610" w:rsidR="00F32610" w:rsidP="00C41F06" w:rsidRDefault="00F32610" w14:paraId="241AE4D5" w14:textId="77777777">
            <w:pPr>
              <w:tabs>
                <w:tab w:val="center" w:pos="284"/>
              </w:tabs>
              <w:overflowPunct w:val="0"/>
              <w:autoSpaceDE w:val="0"/>
              <w:autoSpaceDN w:val="0"/>
              <w:adjustRightInd w:val="0"/>
              <w:ind w:left="266" w:hanging="266"/>
              <w:textAlignment w:val="baseline"/>
              <w:rPr>
                <w:b/>
                <w:sz w:val="10"/>
                <w:szCs w:val="10"/>
              </w:rPr>
            </w:pPr>
          </w:p>
        </w:tc>
        <w:tc>
          <w:tcPr>
            <w:tcW w:w="3858" w:type="pct"/>
          </w:tcPr>
          <w:p w:rsidRPr="00F32610" w:rsidR="00F32610" w:rsidP="00C41F06" w:rsidRDefault="00F32610" w14:paraId="36C99852" w14:textId="77777777">
            <w:pPr>
              <w:tabs>
                <w:tab w:val="center" w:pos="0"/>
              </w:tabs>
              <w:overflowPunct w:val="0"/>
              <w:autoSpaceDE w:val="0"/>
              <w:autoSpaceDN w:val="0"/>
              <w:adjustRightInd w:val="0"/>
              <w:ind w:left="266" w:hanging="266"/>
              <w:textAlignment w:val="baseline"/>
              <w:rPr>
                <w:sz w:val="10"/>
                <w:szCs w:val="10"/>
              </w:rPr>
            </w:pPr>
          </w:p>
        </w:tc>
      </w:tr>
      <w:tr w:rsidRPr="00F32610" w:rsidR="00C41F06" w:rsidTr="00F655B8" w14:paraId="13E6E1E7" w14:textId="77777777">
        <w:tc>
          <w:tcPr>
            <w:tcW w:w="1142" w:type="pct"/>
            <w:vMerge w:val="restart"/>
          </w:tcPr>
          <w:p w:rsidRPr="00F32610" w:rsidR="00C41F06" w:rsidP="00C41F06" w:rsidRDefault="00C41F06" w14:paraId="3D984E0B"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Referenzdokumente</w:t>
            </w:r>
          </w:p>
        </w:tc>
        <w:tc>
          <w:tcPr>
            <w:tcW w:w="3858" w:type="pct"/>
          </w:tcPr>
          <w:p w:rsidRPr="00F32610" w:rsidR="00C41F06" w:rsidP="00C41F06" w:rsidRDefault="00C41F06" w14:paraId="16F6C4C1" w14:textId="13C0F28D">
            <w:pPr>
              <w:tabs>
                <w:tab w:val="center" w:pos="284"/>
              </w:tabs>
              <w:overflowPunct w:val="0"/>
              <w:autoSpaceDE w:val="0"/>
              <w:autoSpaceDN w:val="0"/>
              <w:adjustRightInd w:val="0"/>
              <w:ind w:left="266" w:hanging="266"/>
              <w:textAlignment w:val="baseline"/>
              <w:rPr>
                <w:sz w:val="22"/>
                <w:szCs w:val="22"/>
              </w:rPr>
            </w:pPr>
            <w:r w:rsidRPr="00F32610">
              <w:rPr>
                <w:sz w:val="22"/>
                <w:szCs w:val="22"/>
              </w:rPr>
              <w:t>COM(2023) 533 final</w:t>
            </w:r>
          </w:p>
        </w:tc>
      </w:tr>
      <w:tr w:rsidRPr="00F32610" w:rsidR="00C41F06" w:rsidTr="00F655B8" w14:paraId="7E622C46" w14:textId="77777777">
        <w:tc>
          <w:tcPr>
            <w:tcW w:w="1142" w:type="pct"/>
            <w:vMerge/>
          </w:tcPr>
          <w:p w:rsidRPr="00F32610" w:rsidR="00C41F06" w:rsidP="00C41F06" w:rsidRDefault="00C41F06" w14:paraId="1B7520D4" w14:textId="77777777">
            <w:pPr>
              <w:tabs>
                <w:tab w:val="center" w:pos="284"/>
              </w:tabs>
              <w:overflowPunct w:val="0"/>
              <w:autoSpaceDE w:val="0"/>
              <w:autoSpaceDN w:val="0"/>
              <w:adjustRightInd w:val="0"/>
              <w:ind w:left="266" w:hanging="266"/>
              <w:textAlignment w:val="baseline"/>
              <w:rPr>
                <w:b/>
                <w:sz w:val="22"/>
                <w:szCs w:val="22"/>
              </w:rPr>
            </w:pPr>
          </w:p>
        </w:tc>
        <w:tc>
          <w:tcPr>
            <w:tcW w:w="3858" w:type="pct"/>
          </w:tcPr>
          <w:p w:rsidRPr="00F32610" w:rsidR="00C41F06" w:rsidP="00C41F06" w:rsidRDefault="00C41F06" w14:paraId="77792A8C" w14:textId="6C25D1E1">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0E5EDB" w:rsidRDefault="00C41F06" w14:paraId="796186DF" w14:textId="77777777">
      <w:pPr>
        <w:keepNext/>
        <w:keepLines/>
        <w:overflowPunct w:val="0"/>
        <w:autoSpaceDE w:val="0"/>
        <w:autoSpaceDN w:val="0"/>
        <w:adjustRightInd w:val="0"/>
        <w:ind w:left="266" w:hanging="266"/>
        <w:textAlignment w:val="baseline"/>
        <w:rPr>
          <w:b/>
        </w:rPr>
      </w:pPr>
      <w:r>
        <w:rPr>
          <w:b/>
        </w:rPr>
        <w:t>Kernaussagen</w:t>
      </w:r>
    </w:p>
    <w:p w:rsidRPr="00F32610"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rPr>
      </w:pPr>
    </w:p>
    <w:p w:rsidRPr="00C41F06" w:rsidR="00C41F06" w:rsidRDefault="00C41F06" w14:paraId="23EFE05A" w14:textId="77777777">
      <w:pPr>
        <w:overflowPunct w:val="0"/>
        <w:autoSpaceDE w:val="0"/>
        <w:autoSpaceDN w:val="0"/>
        <w:adjustRightInd w:val="0"/>
        <w:textAlignment w:val="baseline"/>
        <w:rPr>
          <w:bCs/>
          <w:iCs/>
        </w:rPr>
      </w:pPr>
      <w:r>
        <w:t>Der EWSA</w:t>
      </w:r>
    </w:p>
    <w:p w:rsidRPr="00C41F06" w:rsidR="00C41F06" w:rsidP="000E5EDB"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begrüßt die Mitteilung der Kommission zum KMU-Entlastungspaket und die Absicht der Kommission, Zahlungsverzug stärker zu bekämpfen. Zugleich ist der Ausschuss jedoch </w:t>
      </w:r>
      <w:r>
        <w:rPr>
          <w:b/>
        </w:rPr>
        <w:t>besorgt, dass die Ersetzung der geltenden Richtlinie durch eine Verordnung den Mitgliedstaaten Flexibilität nehmen könnte</w:t>
      </w:r>
      <w:r>
        <w:t xml:space="preserve"> und die Rahmenbedingungen für Unternehmen beeinträchtigen könnte, zumal derzeit in der ganzen EU bereits Gegenwind herrscht;</w:t>
      </w:r>
    </w:p>
    <w:p w:rsidRPr="00C41F06" w:rsidR="00C41F06" w:rsidP="000E5EDB"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ist der Ansicht, dass </w:t>
      </w:r>
      <w:r>
        <w:rPr>
          <w:b/>
        </w:rPr>
        <w:t>Zahlungsverzug</w:t>
      </w:r>
      <w:r>
        <w:t xml:space="preserve"> Kleinunternehmern und ihren Familien und Beschäftigten schadet, </w:t>
      </w:r>
      <w:r>
        <w:rPr>
          <w:b/>
        </w:rPr>
        <w:t>mit gravierenden Folgen für die Bezahlung von Rechnungen für Versorgungsleistungen, Miete und Darlehen</w:t>
      </w:r>
      <w:r>
        <w:t xml:space="preserve"> sowie </w:t>
      </w:r>
      <w:r>
        <w:rPr>
          <w:b/>
        </w:rPr>
        <w:t>für die Arbeitsmoral und die Produktivität</w:t>
      </w:r>
      <w:r>
        <w:t>;</w:t>
      </w:r>
    </w:p>
    <w:p w:rsidRPr="00C41F06" w:rsidR="00C41F06" w:rsidP="000E5EDB"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ist der Auffassung, dass die Kommission mit ihrem Vorschlag das Problem langer Zahlungsfristen und nicht das von Zahlungsverzug anzugehen versucht, und dazu </w:t>
      </w:r>
      <w:r>
        <w:rPr>
          <w:b/>
        </w:rPr>
        <w:t>übermäßig restriktive Maßnahmen einführt, statt den derzeitigen Durchsetzungsrahmen durch wirksamere Vorschriften zu verbessern</w:t>
      </w:r>
      <w:r>
        <w:t>;</w:t>
      </w:r>
    </w:p>
    <w:p w:rsidRPr="00C41F06" w:rsidR="00C41F06" w:rsidP="000E5EDB"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betont, wie wichtig Flexibilität bei der Aushandlung der Zahlungsbedingungen ist, und hegt daher große Bedenken in Bezug auf den Kommissionsvorschlag. Die </w:t>
      </w:r>
      <w:r>
        <w:rPr>
          <w:b/>
        </w:rPr>
        <w:t>vorgeschlagene Höchstfrist von 30 Tagen führt nämlich dazu, dass keine Vertragsfreiheit mehr zwischen den Unternehmen herrscht</w:t>
      </w:r>
      <w:r>
        <w:t>;</w:t>
      </w:r>
    </w:p>
    <w:p w:rsidRPr="00C41F06" w:rsidR="00C41F06" w:rsidP="000E5EDB"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begrüßt die vorgeschlagene Zahlungsfrist von 30 Tagen bei Transaktionen zwischen Behörden und Unternehmen (G2B). </w:t>
      </w:r>
      <w:r>
        <w:rPr>
          <w:b/>
        </w:rPr>
        <w:t>Die Behörden sollten mit gutem Beispiel vorangehen, da sie ein wichtiger Partner für die Unternehmen sind</w:t>
      </w:r>
      <w:r>
        <w:t>;</w:t>
      </w:r>
    </w:p>
    <w:p w:rsidRPr="00C41F06" w:rsidR="00C41F06" w:rsidP="000E5EDB"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sieht den potenziellen Nutzen der Einführung </w:t>
      </w:r>
      <w:r>
        <w:rPr>
          <w:b/>
        </w:rPr>
        <w:t>nationaler Durchsetzungsstellen</w:t>
      </w:r>
      <w:r>
        <w:t xml:space="preserve">. Er merkt jedoch an, dass diese Behörden </w:t>
      </w:r>
      <w:r>
        <w:rPr>
          <w:b/>
        </w:rPr>
        <w:t>unparteiisch vorgehen und</w:t>
      </w:r>
      <w:r>
        <w:t xml:space="preserve"> bei der Verarbeitung sensibler Geschäftsinformationen der Unternehmen und behördlichen Stellen </w:t>
      </w:r>
      <w:r>
        <w:rPr>
          <w:b/>
        </w:rPr>
        <w:t>ein Höchstmaß an Vertraulichkeit wahren müssen</w:t>
      </w:r>
      <w:r>
        <w:t>, ohne zusätzliche Berichtspflichten einzuführen;</w:t>
      </w:r>
    </w:p>
    <w:p w:rsidRPr="00C41F06" w:rsidR="00C41F06" w:rsidP="000E5EDB"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t xml:space="preserve">ist der Ansicht, dass </w:t>
      </w:r>
      <w:r>
        <w:rPr>
          <w:b/>
        </w:rPr>
        <w:t>strikte Bestimmungen über Zahlungsfristen</w:t>
      </w:r>
      <w:r>
        <w:t xml:space="preserve"> den Geschäftsverkehr im Binnenmarkt zugunsten von Geschäftstätigkeiten außerhalb der EU beeinträchtigen könnten. Es wäre einfacher, mit Lieferanten aus Drittländern zusammenzuarbeiten, die längere Zahlungsfristen akzeptieren dürfen. Dies könnte zu einer </w:t>
      </w:r>
      <w:r>
        <w:rPr>
          <w:b/>
        </w:rPr>
        <w:t>potenziellen Bedrohung für Europas Wettbewerbsfähigkeit</w:t>
      </w:r>
      <w:r>
        <w:t xml:space="preserve"> werden und muss vermieden werden.</w:t>
      </w:r>
    </w:p>
    <w:p w:rsidRPr="00C41F06" w:rsidR="00C41F06" w:rsidP="000E5EDB"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5289"/>
      </w:tblGrid>
      <w:tr w:rsidRPr="00F32610" w:rsidR="00C41F06" w:rsidTr="006221F1" w14:paraId="6F31166D" w14:textId="77777777">
        <w:tc>
          <w:tcPr>
            <w:tcW w:w="951" w:type="pct"/>
          </w:tcPr>
          <w:p w:rsidRPr="00F32610" w:rsidR="00C41F06" w:rsidP="00C41F06" w:rsidRDefault="00C41F06" w14:paraId="185C0272"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4049" w:type="pct"/>
          </w:tcPr>
          <w:p w:rsidRPr="00F32610" w:rsidR="00C41F06" w:rsidP="00C41F06" w:rsidRDefault="00C41F06" w14:paraId="1CD69579" w14:textId="77777777">
            <w:pPr>
              <w:overflowPunct w:val="0"/>
              <w:autoSpaceDE w:val="0"/>
              <w:autoSpaceDN w:val="0"/>
              <w:adjustRightInd w:val="0"/>
              <w:spacing w:line="240" w:lineRule="auto"/>
              <w:textAlignment w:val="baseline"/>
              <w:rPr>
                <w:i/>
                <w:sz w:val="22"/>
                <w:szCs w:val="22"/>
              </w:rPr>
            </w:pPr>
            <w:r w:rsidRPr="00F32610">
              <w:rPr>
                <w:i/>
                <w:sz w:val="22"/>
                <w:szCs w:val="22"/>
              </w:rPr>
              <w:t>Dalila Bernard</w:t>
            </w:r>
          </w:p>
        </w:tc>
      </w:tr>
      <w:tr w:rsidRPr="00F32610" w:rsidR="00C41F06" w:rsidTr="006221F1" w14:paraId="14726A39" w14:textId="77777777">
        <w:tc>
          <w:tcPr>
            <w:tcW w:w="951" w:type="pct"/>
          </w:tcPr>
          <w:p w:rsidRPr="00F32610" w:rsidR="00C41F06" w:rsidP="00C41F06" w:rsidRDefault="00C41F06" w14:paraId="49363AC6"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4049" w:type="pct"/>
          </w:tcPr>
          <w:p w:rsidRPr="00F32610" w:rsidR="00C41F06" w:rsidP="00C41F06" w:rsidRDefault="00C41F06" w14:paraId="40799C6A" w14:textId="77777777">
            <w:pPr>
              <w:overflowPunct w:val="0"/>
              <w:autoSpaceDE w:val="0"/>
              <w:autoSpaceDN w:val="0"/>
              <w:adjustRightInd w:val="0"/>
              <w:spacing w:line="240" w:lineRule="auto"/>
              <w:textAlignment w:val="baseline"/>
              <w:rPr>
                <w:i/>
                <w:sz w:val="22"/>
                <w:szCs w:val="22"/>
              </w:rPr>
            </w:pPr>
            <w:r w:rsidRPr="00F32610">
              <w:rPr>
                <w:i/>
                <w:sz w:val="22"/>
                <w:szCs w:val="22"/>
              </w:rPr>
              <w:t>+32 25468438</w:t>
            </w:r>
          </w:p>
        </w:tc>
      </w:tr>
      <w:tr w:rsidRPr="00F32610" w:rsidR="00C41F06" w:rsidTr="006221F1" w14:paraId="1DBDA269" w14:textId="77777777">
        <w:tc>
          <w:tcPr>
            <w:tcW w:w="951" w:type="pct"/>
          </w:tcPr>
          <w:p w:rsidRPr="00F32610" w:rsidR="00C41F06" w:rsidP="00C41F06" w:rsidRDefault="00C41F06" w14:paraId="0461CCC6"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4049" w:type="pct"/>
          </w:tcPr>
          <w:p w:rsidRPr="00F32610" w:rsidR="00C41F06" w:rsidP="00C41F06" w:rsidRDefault="00FF5F8E" w14:paraId="36F98705" w14:textId="77777777">
            <w:pPr>
              <w:overflowPunct w:val="0"/>
              <w:autoSpaceDE w:val="0"/>
              <w:autoSpaceDN w:val="0"/>
              <w:adjustRightInd w:val="0"/>
              <w:spacing w:line="240" w:lineRule="auto"/>
              <w:textAlignment w:val="baseline"/>
              <w:rPr>
                <w:i/>
                <w:sz w:val="22"/>
                <w:szCs w:val="22"/>
              </w:rPr>
            </w:pPr>
            <w:hyperlink w:history="1" r:id="rId36">
              <w:r w:rsidRPr="00F32610" w:rsidR="00F2403D">
                <w:rPr>
                  <w:i/>
                  <w:color w:val="0000FF"/>
                  <w:sz w:val="22"/>
                  <w:szCs w:val="22"/>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F32610" w:rsidRDefault="008E2A59" w14:paraId="7AD922B6" w14:textId="2BABB602">
      <w:pPr>
        <w:pStyle w:val="Heading1"/>
        <w:tabs>
          <w:tab w:val="clear" w:pos="440"/>
        </w:tabs>
        <w:ind w:left="567" w:hanging="567"/>
        <w:rPr>
          <w:b/>
          <w:bCs/>
        </w:rPr>
      </w:pPr>
      <w:bookmarkStart w:name="_Toc153539681" w:id="32"/>
      <w:bookmarkStart w:name="_Toc157777210" w:id="33"/>
      <w:r>
        <w:rPr>
          <w:b/>
        </w:rPr>
        <w:lastRenderedPageBreak/>
        <w:t>LANDWIRTSCHAFT, LÄNDLICHE ENTWICKLUNG, UMWELT</w:t>
      </w:r>
      <w:bookmarkEnd w:id="32"/>
      <w:bookmarkEnd w:id="33"/>
    </w:p>
    <w:p w:rsidRPr="00094B6B" w:rsidR="002C016E" w:rsidP="00DE43CE" w:rsidRDefault="002C016E" w14:paraId="0E7342A4" w14:textId="73254B30">
      <w:pPr>
        <w:keepNext/>
        <w:keepLines/>
        <w:jc w:val="left"/>
        <w:rPr>
          <w:bCs/>
          <w:iCs/>
        </w:rPr>
      </w:pPr>
    </w:p>
    <w:p w:rsidRPr="001546A6" w:rsidR="001546A6" w:rsidP="000E5EDB" w:rsidRDefault="00FF5F8E" w14:paraId="039C06E4" w14:textId="01F18999">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7">
        <w:r w:rsidR="00F2403D">
          <w:rPr>
            <w:b/>
            <w:i/>
            <w:color w:val="0000FF"/>
            <w:sz w:val="28"/>
            <w:u w:val="single"/>
          </w:rPr>
          <w:t>Ziele für die Festsetzung der Fangmöglichkeiten</w:t>
        </w:r>
      </w:hyperlink>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177"/>
      </w:tblGrid>
      <w:tr w:rsidRPr="00F32610" w:rsidR="001546A6" w:rsidTr="006221F1" w14:paraId="0E83ACAC" w14:textId="77777777">
        <w:tc>
          <w:tcPr>
            <w:tcW w:w="1701" w:type="dxa"/>
          </w:tcPr>
          <w:p w:rsidRPr="00F32610" w:rsidR="001546A6" w:rsidP="001546A6" w:rsidRDefault="001546A6" w14:paraId="13C11586"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7479" w:type="dxa"/>
          </w:tcPr>
          <w:p w:rsidRPr="00F32610" w:rsidR="001546A6" w:rsidP="001546A6" w:rsidRDefault="001546A6" w14:paraId="71636E19" w14:textId="2A385294">
            <w:pPr>
              <w:tabs>
                <w:tab w:val="center" w:pos="284"/>
              </w:tabs>
              <w:overflowPunct w:val="0"/>
              <w:autoSpaceDE w:val="0"/>
              <w:autoSpaceDN w:val="0"/>
              <w:adjustRightInd w:val="0"/>
              <w:ind w:left="266" w:hanging="266"/>
              <w:textAlignment w:val="baseline"/>
              <w:rPr>
                <w:sz w:val="22"/>
                <w:szCs w:val="22"/>
              </w:rPr>
            </w:pPr>
            <w:r w:rsidRPr="00F32610">
              <w:rPr>
                <w:sz w:val="22"/>
                <w:szCs w:val="22"/>
              </w:rPr>
              <w:t xml:space="preserve">Panagiotis GKOFAS (Gruppe Organisationen der Zivilgesellschaft – EL) </w:t>
            </w:r>
          </w:p>
        </w:tc>
      </w:tr>
      <w:tr w:rsidRPr="00F32610" w:rsidR="001546A6" w:rsidTr="006221F1" w14:paraId="1CEA36C4" w14:textId="77777777">
        <w:tc>
          <w:tcPr>
            <w:tcW w:w="9180" w:type="dxa"/>
            <w:gridSpan w:val="2"/>
          </w:tcPr>
          <w:p w:rsidRPr="00F32610"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sz w:val="22"/>
                <w:szCs w:val="22"/>
                <w:lang w:val="fr-LU"/>
              </w:rPr>
            </w:pPr>
          </w:p>
        </w:tc>
      </w:tr>
      <w:tr w:rsidRPr="00F32610" w:rsidR="001546A6" w:rsidTr="006221F1" w14:paraId="1DA72B21" w14:textId="77777777">
        <w:tc>
          <w:tcPr>
            <w:tcW w:w="1701" w:type="dxa"/>
          </w:tcPr>
          <w:p w:rsidRPr="00F32610" w:rsidR="001546A6" w:rsidP="001546A6" w:rsidRDefault="001546A6" w14:paraId="6043C6DB"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Referenzdokumente</w:t>
            </w:r>
          </w:p>
        </w:tc>
        <w:tc>
          <w:tcPr>
            <w:tcW w:w="7479" w:type="dxa"/>
          </w:tcPr>
          <w:p w:rsidRPr="00F32610" w:rsidR="008A0B2F" w:rsidP="001546A6" w:rsidRDefault="008A0B2F" w14:paraId="6820DD0F" w14:textId="4FCD64FC">
            <w:pPr>
              <w:tabs>
                <w:tab w:val="center" w:pos="284"/>
              </w:tabs>
              <w:overflowPunct w:val="0"/>
              <w:autoSpaceDE w:val="0"/>
              <w:autoSpaceDN w:val="0"/>
              <w:adjustRightInd w:val="0"/>
              <w:ind w:left="266" w:hanging="266"/>
              <w:textAlignment w:val="baseline"/>
              <w:rPr>
                <w:sz w:val="22"/>
                <w:szCs w:val="22"/>
              </w:rPr>
            </w:pPr>
            <w:r w:rsidRPr="00F32610">
              <w:rPr>
                <w:sz w:val="22"/>
                <w:szCs w:val="22"/>
              </w:rPr>
              <w:t>COM(2023) 771 final</w:t>
            </w:r>
          </w:p>
          <w:p w:rsidRPr="00F32610" w:rsidR="001546A6" w:rsidP="001546A6" w:rsidRDefault="001546A6" w14:paraId="2330AE9B" w14:textId="71E7E3F3">
            <w:pPr>
              <w:tabs>
                <w:tab w:val="center" w:pos="284"/>
              </w:tabs>
              <w:overflowPunct w:val="0"/>
              <w:autoSpaceDE w:val="0"/>
              <w:autoSpaceDN w:val="0"/>
              <w:adjustRightInd w:val="0"/>
              <w:ind w:left="266" w:hanging="266"/>
              <w:textAlignment w:val="baseline"/>
              <w:rPr>
                <w:sz w:val="22"/>
                <w:szCs w:val="22"/>
              </w:rPr>
            </w:pPr>
            <w:r w:rsidRPr="00F32610">
              <w:rPr>
                <w:sz w:val="22"/>
                <w:szCs w:val="22"/>
              </w:rP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Der EWSA</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0E5EDB"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t>nimmt das Ziel des Legislativvorschlags zur Kenntnis, das darin besteht, die Mehrjahrespläne für bestimmte Fischbestände in der Ostsee, der Nordsee und den westlichen Gewässern sowie für Fischereien, die diese Bestände befischen, zu ändern, um die Kohärenz der Vorschriften für die Festsetzung der jährlichen Fangmöglichkeiten durch den Rat zu gewährleisten;</w:t>
      </w:r>
    </w:p>
    <w:p w:rsidRPr="001546A6" w:rsidR="001546A6" w:rsidP="000E5EDB"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 xml:space="preserve">nimmt zur Kenntnis, das alle drei Mehrjahrespläne eine so genannte „5 %-Regel“ enthalten, nach der die Fangmöglichkeiten so festgelegt werden, dass eine Wahrscheinlichkeit von weniger als 5 % besteht, dass die Biomasse der </w:t>
      </w:r>
      <w:proofErr w:type="spellStart"/>
      <w:r>
        <w:t>Laicherbestände</w:t>
      </w:r>
      <w:proofErr w:type="spellEnd"/>
      <w:r>
        <w:t xml:space="preserve"> unter den Wert sinkt, unterhalb dessen die Fähigkeit zur Reproduktion vermindert sein kann;</w:t>
      </w:r>
    </w:p>
    <w:p w:rsidRPr="001546A6" w:rsidR="001546A6" w:rsidP="000E5EDB"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stellt fest, dass die Anwendung der 5 %-Regel unter bestimmten Umständen im Zusammenhang mit dem Zustand eines bestimmten Fischbestands und der kurzfristigen Prognose seiner Biomasseentwicklung jedoch dazu führen kann, dass Fangmöglichkeiten nicht festgesetzt werden können und die gezielte Fischerei ausgesetzt werden müsste, was möglicherweise schwerwiegende sozioökonomische Auswirkungen haben könnte;</w:t>
      </w:r>
    </w:p>
    <w:p w:rsidRPr="001546A6" w:rsidR="001546A6" w:rsidP="000E5EDB"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und stimmt daher dem Vorschlag zu, die 5 %-Regel in diesen drei Mehrjahresplänen zu streichen.</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2610" w:rsidR="001546A6" w:rsidTr="00F655B8" w14:paraId="70454B14" w14:textId="77777777">
        <w:tc>
          <w:tcPr>
            <w:tcW w:w="1418" w:type="dxa"/>
          </w:tcPr>
          <w:p w:rsidRPr="00F32610" w:rsidR="001546A6" w:rsidP="001546A6" w:rsidRDefault="001546A6" w14:paraId="40690270"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5670" w:type="dxa"/>
          </w:tcPr>
          <w:p w:rsidRPr="00F32610" w:rsidR="001546A6" w:rsidP="001546A6" w:rsidRDefault="001546A6" w14:paraId="178F51E4" w14:textId="77777777">
            <w:pPr>
              <w:overflowPunct w:val="0"/>
              <w:autoSpaceDE w:val="0"/>
              <w:autoSpaceDN w:val="0"/>
              <w:adjustRightInd w:val="0"/>
              <w:spacing w:line="240" w:lineRule="auto"/>
              <w:textAlignment w:val="baseline"/>
              <w:rPr>
                <w:i/>
                <w:sz w:val="22"/>
                <w:szCs w:val="22"/>
              </w:rPr>
            </w:pPr>
            <w:r w:rsidRPr="00F32610">
              <w:rPr>
                <w:i/>
                <w:sz w:val="22"/>
                <w:szCs w:val="22"/>
              </w:rPr>
              <w:t xml:space="preserve">Arturo </w:t>
            </w:r>
            <w:proofErr w:type="spellStart"/>
            <w:r w:rsidRPr="00F32610">
              <w:rPr>
                <w:i/>
                <w:sz w:val="22"/>
                <w:szCs w:val="22"/>
              </w:rPr>
              <w:t>Iniguez</w:t>
            </w:r>
            <w:proofErr w:type="spellEnd"/>
          </w:p>
        </w:tc>
      </w:tr>
      <w:tr w:rsidRPr="00F32610" w:rsidR="001546A6" w:rsidTr="00F655B8" w14:paraId="59C49362" w14:textId="77777777">
        <w:tc>
          <w:tcPr>
            <w:tcW w:w="1418" w:type="dxa"/>
          </w:tcPr>
          <w:p w:rsidRPr="00F32610" w:rsidR="001546A6" w:rsidP="001546A6" w:rsidRDefault="001546A6" w14:paraId="2D5E2166"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5670" w:type="dxa"/>
          </w:tcPr>
          <w:p w:rsidRPr="00F32610" w:rsidR="001546A6" w:rsidP="001546A6" w:rsidRDefault="001546A6" w14:paraId="0F340586" w14:textId="77777777">
            <w:pPr>
              <w:overflowPunct w:val="0"/>
              <w:autoSpaceDE w:val="0"/>
              <w:autoSpaceDN w:val="0"/>
              <w:adjustRightInd w:val="0"/>
              <w:spacing w:line="240" w:lineRule="auto"/>
              <w:textAlignment w:val="baseline"/>
              <w:rPr>
                <w:i/>
                <w:sz w:val="22"/>
                <w:szCs w:val="22"/>
              </w:rPr>
            </w:pPr>
            <w:r w:rsidRPr="00F32610">
              <w:rPr>
                <w:i/>
                <w:sz w:val="22"/>
                <w:szCs w:val="22"/>
              </w:rPr>
              <w:t>+32 25468768</w:t>
            </w:r>
          </w:p>
        </w:tc>
      </w:tr>
      <w:tr w:rsidRPr="00F32610" w:rsidR="001546A6" w:rsidTr="00F655B8" w14:paraId="7E13A8F0" w14:textId="77777777">
        <w:tc>
          <w:tcPr>
            <w:tcW w:w="1418" w:type="dxa"/>
          </w:tcPr>
          <w:p w:rsidRPr="00F32610" w:rsidR="001546A6" w:rsidP="001546A6" w:rsidRDefault="001546A6" w14:paraId="65570F29"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5670" w:type="dxa"/>
          </w:tcPr>
          <w:p w:rsidRPr="00F32610" w:rsidR="001546A6" w:rsidP="001546A6" w:rsidRDefault="00FF5F8E" w14:paraId="4CAF59C5" w14:textId="663BE3D7">
            <w:pPr>
              <w:overflowPunct w:val="0"/>
              <w:autoSpaceDE w:val="0"/>
              <w:autoSpaceDN w:val="0"/>
              <w:adjustRightInd w:val="0"/>
              <w:spacing w:line="240" w:lineRule="auto"/>
              <w:textAlignment w:val="baseline"/>
              <w:rPr>
                <w:i/>
                <w:color w:val="0000FF"/>
                <w:sz w:val="22"/>
                <w:szCs w:val="22"/>
                <w:u w:val="single"/>
              </w:rPr>
            </w:pPr>
            <w:hyperlink w:history="1" r:id="rId38">
              <w:r w:rsidRPr="00F32610" w:rsidR="00F2403D">
                <w:rPr>
                  <w:i/>
                  <w:color w:val="0000FF"/>
                  <w:sz w:val="22"/>
                  <w:szCs w:val="22"/>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194985" w:rsidRDefault="00FF5F8E" w14:paraId="3853AC6D" w14:textId="3550F579">
      <w:pPr>
        <w:widowControl w:val="0"/>
        <w:numPr>
          <w:ilvl w:val="0"/>
          <w:numId w:val="2"/>
        </w:numPr>
        <w:overflowPunct w:val="0"/>
        <w:autoSpaceDE w:val="0"/>
        <w:autoSpaceDN w:val="0"/>
        <w:adjustRightInd w:val="0"/>
        <w:spacing w:line="240" w:lineRule="auto"/>
        <w:ind w:hanging="567"/>
        <w:textAlignment w:val="baseline"/>
        <w:rPr>
          <w:sz w:val="20"/>
          <w:szCs w:val="20"/>
        </w:rPr>
      </w:pPr>
      <w:hyperlink w:history="1" r:id="rId39">
        <w:r w:rsidR="00F2403D">
          <w:rPr>
            <w:b/>
            <w:i/>
            <w:color w:val="0000FF"/>
            <w:sz w:val="28"/>
            <w:u w:val="single"/>
          </w:rPr>
          <w:t>Die GAP nach 2027</w:t>
        </w:r>
      </w:hyperlink>
    </w:p>
    <w:p w:rsidRPr="00194985" w:rsidR="0048644C" w:rsidP="00194985" w:rsidRDefault="0048644C" w14:paraId="7D0AAAD5" w14:textId="77777777">
      <w:pPr>
        <w:tabs>
          <w:tab w:val="center" w:pos="284"/>
        </w:tabs>
        <w:overflowPunct w:val="0"/>
        <w:autoSpaceDE w:val="0"/>
        <w:autoSpaceDN w:val="0"/>
        <w:adjustRightInd w:val="0"/>
        <w:spacing w:line="240" w:lineRule="auto"/>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3"/>
        <w:gridCol w:w="7274"/>
      </w:tblGrid>
      <w:tr w:rsidRPr="0048644C" w:rsidR="0048644C" w:rsidTr="00C83487" w14:paraId="104552E9" w14:textId="77777777">
        <w:trPr>
          <w:trHeight w:val="297"/>
        </w:trPr>
        <w:tc>
          <w:tcPr>
            <w:tcW w:w="733" w:type="pct"/>
          </w:tcPr>
          <w:p w:rsidRPr="00F32610" w:rsidR="0048644C" w:rsidP="0048644C" w:rsidRDefault="0048644C" w14:paraId="1D48BA65"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w:t>
            </w:r>
          </w:p>
        </w:tc>
        <w:tc>
          <w:tcPr>
            <w:tcW w:w="4267" w:type="pct"/>
          </w:tcPr>
          <w:p w:rsidRPr="00F32610" w:rsidR="0048644C" w:rsidP="0048644C" w:rsidRDefault="0048644C" w14:paraId="0A2388D7" w14:textId="7DE5EA6F">
            <w:pPr>
              <w:tabs>
                <w:tab w:val="center" w:pos="284"/>
              </w:tabs>
              <w:overflowPunct w:val="0"/>
              <w:autoSpaceDE w:val="0"/>
              <w:autoSpaceDN w:val="0"/>
              <w:adjustRightInd w:val="0"/>
              <w:ind w:left="266" w:hanging="266"/>
              <w:textAlignment w:val="baseline"/>
              <w:rPr>
                <w:bCs/>
                <w:sz w:val="22"/>
                <w:szCs w:val="22"/>
              </w:rPr>
            </w:pPr>
            <w:r w:rsidRPr="00F32610">
              <w:rPr>
                <w:sz w:val="22"/>
                <w:szCs w:val="22"/>
              </w:rPr>
              <w:t>Stoyan TCHOUKANOV (Gruppe Organisationen der Zivilgesellschaft – BG)</w:t>
            </w:r>
          </w:p>
        </w:tc>
      </w:tr>
      <w:tr w:rsidRPr="00F32610" w:rsidR="00F32610" w:rsidTr="00F32610" w14:paraId="00663916" w14:textId="77777777">
        <w:trPr>
          <w:trHeight w:val="107"/>
        </w:trPr>
        <w:tc>
          <w:tcPr>
            <w:tcW w:w="733" w:type="pct"/>
          </w:tcPr>
          <w:p w:rsidRPr="00F32610" w:rsidR="00F32610" w:rsidP="0048644C" w:rsidRDefault="00F32610" w14:paraId="68B65607" w14:textId="77777777">
            <w:pPr>
              <w:tabs>
                <w:tab w:val="center" w:pos="284"/>
              </w:tabs>
              <w:overflowPunct w:val="0"/>
              <w:autoSpaceDE w:val="0"/>
              <w:autoSpaceDN w:val="0"/>
              <w:adjustRightInd w:val="0"/>
              <w:ind w:left="266" w:hanging="266"/>
              <w:textAlignment w:val="baseline"/>
              <w:rPr>
                <w:b/>
                <w:sz w:val="10"/>
                <w:szCs w:val="10"/>
              </w:rPr>
            </w:pPr>
          </w:p>
        </w:tc>
        <w:tc>
          <w:tcPr>
            <w:tcW w:w="4267" w:type="pct"/>
          </w:tcPr>
          <w:p w:rsidRPr="00F32610" w:rsidR="00F32610" w:rsidP="0048644C" w:rsidRDefault="00F32610" w14:paraId="360F34B8" w14:textId="77777777">
            <w:pPr>
              <w:tabs>
                <w:tab w:val="center" w:pos="284"/>
              </w:tabs>
              <w:overflowPunct w:val="0"/>
              <w:autoSpaceDE w:val="0"/>
              <w:autoSpaceDN w:val="0"/>
              <w:adjustRightInd w:val="0"/>
              <w:ind w:left="266" w:hanging="266"/>
              <w:textAlignment w:val="baseline"/>
              <w:rPr>
                <w:sz w:val="10"/>
                <w:szCs w:val="10"/>
              </w:rPr>
            </w:pPr>
          </w:p>
        </w:tc>
      </w:tr>
      <w:tr w:rsidRPr="0048644C" w:rsidR="0048644C" w:rsidTr="00F655B8" w14:paraId="4706EC05" w14:textId="77777777">
        <w:trPr>
          <w:trHeight w:val="285"/>
        </w:trPr>
        <w:tc>
          <w:tcPr>
            <w:tcW w:w="733" w:type="pct"/>
            <w:vMerge w:val="restart"/>
          </w:tcPr>
          <w:p w:rsidRPr="00F32610" w:rsidR="0048644C" w:rsidP="0048644C" w:rsidRDefault="0048644C" w14:paraId="4E8A6DF7"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w:t>
            </w:r>
          </w:p>
        </w:tc>
        <w:tc>
          <w:tcPr>
            <w:tcW w:w="4267" w:type="pct"/>
          </w:tcPr>
          <w:p w:rsidRPr="00F32610" w:rsidR="0048644C" w:rsidP="0048644C" w:rsidRDefault="0048644C" w14:paraId="12F473B0" w14:textId="785FAF77">
            <w:pPr>
              <w:tabs>
                <w:tab w:val="center" w:pos="284"/>
              </w:tabs>
              <w:overflowPunct w:val="0"/>
              <w:autoSpaceDE w:val="0"/>
              <w:autoSpaceDN w:val="0"/>
              <w:adjustRightInd w:val="0"/>
              <w:ind w:left="266" w:hanging="266"/>
              <w:textAlignment w:val="baseline"/>
              <w:rPr>
                <w:sz w:val="22"/>
                <w:szCs w:val="22"/>
              </w:rPr>
            </w:pPr>
            <w:r w:rsidRPr="00F32610">
              <w:rPr>
                <w:sz w:val="22"/>
                <w:szCs w:val="22"/>
              </w:rPr>
              <w:t>Sondierungsstellungnahme auf Ersuchen des belgischen EU-Ratsvorsitzes</w:t>
            </w:r>
          </w:p>
        </w:tc>
      </w:tr>
      <w:tr w:rsidRPr="0048644C" w:rsidR="0048644C" w:rsidTr="00F655B8" w14:paraId="185DEF53" w14:textId="77777777">
        <w:trPr>
          <w:trHeight w:val="293"/>
        </w:trPr>
        <w:tc>
          <w:tcPr>
            <w:tcW w:w="733" w:type="pct"/>
            <w:vMerge/>
          </w:tcPr>
          <w:p w:rsidRPr="00F32610" w:rsidR="0048644C" w:rsidP="0048644C" w:rsidRDefault="0048644C" w14:paraId="6F9967C9" w14:textId="77777777">
            <w:pPr>
              <w:tabs>
                <w:tab w:val="center" w:pos="284"/>
              </w:tabs>
              <w:overflowPunct w:val="0"/>
              <w:autoSpaceDE w:val="0"/>
              <w:autoSpaceDN w:val="0"/>
              <w:adjustRightInd w:val="0"/>
              <w:ind w:left="266" w:hanging="266"/>
              <w:textAlignment w:val="baseline"/>
              <w:rPr>
                <w:b/>
                <w:sz w:val="22"/>
                <w:szCs w:val="22"/>
              </w:rPr>
            </w:pPr>
          </w:p>
        </w:tc>
        <w:tc>
          <w:tcPr>
            <w:tcW w:w="4267" w:type="pct"/>
          </w:tcPr>
          <w:p w:rsidRPr="00F32610" w:rsidR="0048644C" w:rsidP="0048644C" w:rsidRDefault="00C83487" w14:paraId="6B2F8067" w14:textId="194D3C80">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EESC-2023-03963-00-00-AC</w:t>
            </w:r>
          </w:p>
        </w:tc>
      </w:tr>
    </w:tbl>
    <w:p w:rsidRPr="00194985" w:rsidR="007F6026" w:rsidP="00194985" w:rsidRDefault="007F6026" w14:paraId="31AE2072" w14:textId="77777777">
      <w:pPr>
        <w:keepNext/>
        <w:keepLines/>
        <w:overflowPunct w:val="0"/>
        <w:autoSpaceDE w:val="0"/>
        <w:autoSpaceDN w:val="0"/>
        <w:adjustRightInd w:val="0"/>
        <w:spacing w:line="240" w:lineRule="auto"/>
        <w:textAlignment w:val="baseline"/>
        <w:rPr>
          <w:b/>
          <w:sz w:val="14"/>
          <w:szCs w:val="14"/>
        </w:rPr>
      </w:pPr>
    </w:p>
    <w:p w:rsidRPr="00F32610" w:rsidR="0048644C" w:rsidP="00194985" w:rsidRDefault="0048644C" w14:paraId="66B2F906" w14:textId="5A6361DC">
      <w:pPr>
        <w:keepNext/>
        <w:keepLines/>
        <w:overflowPunct w:val="0"/>
        <w:autoSpaceDE w:val="0"/>
        <w:autoSpaceDN w:val="0"/>
        <w:adjustRightInd w:val="0"/>
        <w:spacing w:line="276" w:lineRule="auto"/>
        <w:textAlignment w:val="baseline"/>
        <w:rPr>
          <w:b/>
        </w:rPr>
      </w:pPr>
      <w:r w:rsidRPr="00F32610">
        <w:rPr>
          <w:b/>
        </w:rPr>
        <w:t>Kernaussagen</w:t>
      </w:r>
    </w:p>
    <w:p w:rsidRPr="00194985" w:rsidR="007F6026" w:rsidP="00194985" w:rsidRDefault="007F6026" w14:paraId="53CAB92D" w14:textId="77777777">
      <w:pPr>
        <w:keepNext/>
        <w:keepLines/>
        <w:tabs>
          <w:tab w:val="center" w:pos="284"/>
        </w:tabs>
        <w:overflowPunct w:val="0"/>
        <w:autoSpaceDE w:val="0"/>
        <w:autoSpaceDN w:val="0"/>
        <w:adjustRightInd w:val="0"/>
        <w:spacing w:line="240" w:lineRule="auto"/>
        <w:ind w:left="266" w:hanging="266"/>
        <w:textAlignment w:val="baseline"/>
        <w:rPr>
          <w:sz w:val="14"/>
          <w:szCs w:val="14"/>
        </w:rPr>
      </w:pPr>
    </w:p>
    <w:p w:rsidRPr="00F32610" w:rsidR="0048644C" w:rsidP="00194985" w:rsidRDefault="0048644C" w14:paraId="08594ACA" w14:textId="77777777">
      <w:pPr>
        <w:overflowPunct w:val="0"/>
        <w:autoSpaceDE w:val="0"/>
        <w:autoSpaceDN w:val="0"/>
        <w:adjustRightInd w:val="0"/>
        <w:spacing w:line="276" w:lineRule="auto"/>
        <w:textAlignment w:val="baseline"/>
        <w:rPr>
          <w:bCs/>
          <w:iCs/>
        </w:rPr>
      </w:pPr>
      <w:r w:rsidRPr="00F32610">
        <w:t>Der EWSA vertritt in Bezug auf die Gemeinsame Agrarpolitik (GAP) nach 2027 Folgendes:</w:t>
      </w:r>
    </w:p>
    <w:p w:rsidRPr="00F32610" w:rsidR="0048644C" w:rsidP="00194985" w:rsidRDefault="0048644C" w14:paraId="6496DB4E"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1" w:id="34"/>
      <w:r w:rsidRPr="00F32610">
        <w:t xml:space="preserve">Die GAP muss einen </w:t>
      </w:r>
      <w:r w:rsidRPr="00F32610">
        <w:rPr>
          <w:b/>
        </w:rPr>
        <w:t>stabilen langfristigen politischen Rahmen</w:t>
      </w:r>
      <w:r w:rsidRPr="00F32610">
        <w:t xml:space="preserve"> für die nachhaltige Nahrungsmittelerzeugung und eine offene strategische Autonomie der Europäischen Union bieten. Gleichzeitig muss sie die Vielfalt der Landwirtschaftsformen in der EU schützen, den gesellschaftlichen und umweltbezogenen Bedürfnissen gerecht werden („öffentliche Gelder für öffentliche Güter“) und die ländliche Entwicklung voranbringen.</w:t>
      </w:r>
      <w:bookmarkEnd w:id="34"/>
    </w:p>
    <w:p w:rsidRPr="00F32610" w:rsidR="0048644C" w:rsidP="00194985" w:rsidRDefault="0048644C" w14:paraId="0A683AD2"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2" w:id="35"/>
      <w:r w:rsidRPr="00F32610">
        <w:t xml:space="preserve">Von ihr muss ein </w:t>
      </w:r>
      <w:r w:rsidRPr="00F32610">
        <w:rPr>
          <w:b/>
        </w:rPr>
        <w:t>Weckruf</w:t>
      </w:r>
      <w:r w:rsidRPr="00F32610">
        <w:t xml:space="preserve"> ausgehen, der die Notwendigkeit einer angemessenen Unterstützung der Landwirte im Übergang verdeutlicht.</w:t>
      </w:r>
      <w:bookmarkEnd w:id="35"/>
      <w:r w:rsidRPr="00F32610">
        <w:t xml:space="preserve"> </w:t>
      </w:r>
    </w:p>
    <w:p w:rsidRPr="00F32610" w:rsidR="0048644C" w:rsidP="00194985" w:rsidRDefault="0048644C" w14:paraId="5BA54AF3"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3" w:id="36"/>
      <w:r w:rsidRPr="00F32610">
        <w:t xml:space="preserve">Der Anteil der GAP am Haushalt der EU ist in den letzten 40 Jahren stetig auf unter 25 % im Jahr 2021 gesunken. Die </w:t>
      </w:r>
      <w:r w:rsidRPr="00F32610">
        <w:rPr>
          <w:b/>
        </w:rPr>
        <w:t>Finanzausstattung der GAP</w:t>
      </w:r>
      <w:r w:rsidRPr="00F32610">
        <w:t xml:space="preserve"> muss aber ihrem Anspruch, einen gerechten Übergang zu unterstützen, angemessen sein. Die derzeitige, flächenbezogene Einkommensgrundstützung sollte auf Anreize für Leistungen zum Wohl der Umwelt und der Gesellschaft umgestellt werden. Dafür sollte es einen angemessenen Übergangszeitraum geben, der über den Geltungszeitraum eines einzigen mehrjährigen Finanzrahmens (MFR) hinausreichen kann.</w:t>
      </w:r>
      <w:bookmarkEnd w:id="36"/>
      <w:r w:rsidRPr="00F32610">
        <w:t xml:space="preserve"> </w:t>
      </w:r>
    </w:p>
    <w:p w:rsidRPr="00F32610" w:rsidR="0048644C" w:rsidP="00194985" w:rsidRDefault="0048644C" w14:paraId="6F39431C"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4" w:id="37"/>
      <w:r w:rsidRPr="00F32610">
        <w:t xml:space="preserve">Neben anderen politischen Maßnahmen muss der weitere Rückgang der Anzahl der landwirtschaftlichen Betriebe in der EU dadurch gestoppt werden, dass der </w:t>
      </w:r>
      <w:r w:rsidRPr="00F32610">
        <w:rPr>
          <w:b/>
        </w:rPr>
        <w:t>Generationswechsel</w:t>
      </w:r>
      <w:r w:rsidRPr="00F32610">
        <w:t>, der Zugang zu Agrarflächen und das Durchschnittseinkommen der Landwirte verbessert werden. Außerdem muss für günstige Investitionsbedingungen gesorgt werden, und es muss etwas für die bessere Stellung der Frauen, gute Arbeitsbedingungen, bessere langfristige Perspektiven für Landwirte, die nachhaltige Nutzung von Brachflächen oder Grenzertragsflächen und die extensive Viehzucht unternommen werden.</w:t>
      </w:r>
      <w:bookmarkEnd w:id="37"/>
    </w:p>
    <w:p w:rsidRPr="00F32610" w:rsidR="0048644C" w:rsidP="00194985" w:rsidRDefault="0048644C" w14:paraId="02D08C86"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5" w:id="38"/>
      <w:r w:rsidRPr="00F32610">
        <w:t xml:space="preserve">Die GAP muss dafür sorgen, dass landwirtschaftliche Flächen in der gesamten EU erhalten bleiben und die </w:t>
      </w:r>
      <w:r w:rsidRPr="00F32610">
        <w:rPr>
          <w:b/>
        </w:rPr>
        <w:t>Verbrauchernachfrage</w:t>
      </w:r>
      <w:r w:rsidRPr="00F32610">
        <w:t xml:space="preserve"> nach gesünderen und nachhaltigeren Lebensmitteln EU-weit stimuliert wird. Die Lebensmittelverschwendung muss eingedämmt und Lebensmittelmärkte müssen reguliert werden, damit die </w:t>
      </w:r>
      <w:proofErr w:type="spellStart"/>
      <w:r w:rsidRPr="00F32610">
        <w:t>Finanzialisierung</w:t>
      </w:r>
      <w:proofErr w:type="spellEnd"/>
      <w:r w:rsidRPr="00F32610">
        <w:t xml:space="preserve"> des Lebensmittelsektors nicht aus dem Ruder läuft.</w:t>
      </w:r>
      <w:bookmarkEnd w:id="38"/>
    </w:p>
    <w:p w:rsidRPr="00F32610" w:rsidR="0048644C" w:rsidP="00194985" w:rsidRDefault="0048644C" w14:paraId="15ABB431"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6" w:id="39"/>
      <w:r w:rsidRPr="00F32610">
        <w:t xml:space="preserve">Die Aufnahme </w:t>
      </w:r>
      <w:r w:rsidRPr="00F32610">
        <w:rPr>
          <w:b/>
        </w:rPr>
        <w:t>antizyklischer Elemente</w:t>
      </w:r>
      <w:r w:rsidRPr="00F32610">
        <w:t xml:space="preserve"> in die GAP sollte erwogen werden, und es sollten spezifische Investitionsbeihilfen für die Erzeugung von Energie aus erneuerbaren Trägern auf betrieblicher und lokaler Ebene in ländlichen Gebieten vorgesehen werden.</w:t>
      </w:r>
      <w:bookmarkEnd w:id="39"/>
    </w:p>
    <w:p w:rsidRPr="00F32610" w:rsidR="0048644C" w:rsidP="00194985" w:rsidRDefault="0048644C" w14:paraId="772C8887"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7" w:id="40"/>
      <w:r w:rsidRPr="00F32610">
        <w:t xml:space="preserve">Als Reaktion auf die Folgen extremer Klimabedingungen sind die </w:t>
      </w:r>
      <w:r w:rsidRPr="00F32610">
        <w:rPr>
          <w:b/>
        </w:rPr>
        <w:t>Versicherungssysteme</w:t>
      </w:r>
      <w:r w:rsidRPr="00F32610">
        <w:t xml:space="preserve"> im Rahmen öffentlich-privater Partnerschaften in den GAP zu stärken.</w:t>
      </w:r>
      <w:bookmarkEnd w:id="40"/>
    </w:p>
    <w:p w:rsidRPr="00F32610" w:rsidR="0048644C" w:rsidP="00194985" w:rsidRDefault="0048644C" w14:paraId="027E93E4"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8" w:id="41"/>
      <w:r w:rsidRPr="00F32610">
        <w:rPr>
          <w:b/>
        </w:rPr>
        <w:t>Digitale Technologien</w:t>
      </w:r>
      <w:r w:rsidRPr="00F32610">
        <w:t>, die nachweislich zur Reduzierung von Natur - und Umweltbelastungen, verbessertem Tierwohl oder besseren Arbeitsbedingungen beitragen, sollten unterstützt werden.</w:t>
      </w:r>
      <w:bookmarkEnd w:id="41"/>
    </w:p>
    <w:p w:rsidRPr="00F32610" w:rsidR="0048644C" w:rsidP="00194985" w:rsidRDefault="0048644C" w14:paraId="4CFC3438" w14:textId="77777777">
      <w:pPr>
        <w:pStyle w:val="ListParagraph"/>
        <w:numPr>
          <w:ilvl w:val="0"/>
          <w:numId w:val="41"/>
        </w:numPr>
        <w:overflowPunct w:val="0"/>
        <w:autoSpaceDE w:val="0"/>
        <w:autoSpaceDN w:val="0"/>
        <w:adjustRightInd w:val="0"/>
        <w:spacing w:line="276" w:lineRule="auto"/>
        <w:ind w:left="567" w:hanging="567"/>
        <w:textAlignment w:val="baseline"/>
        <w:outlineLvl w:val="1"/>
      </w:pPr>
      <w:bookmarkStart w:name="_Toc157777219" w:id="42"/>
      <w:r w:rsidRPr="00F32610">
        <w:t xml:space="preserve">Bei der </w:t>
      </w:r>
      <w:r w:rsidRPr="00F32610">
        <w:rPr>
          <w:b/>
        </w:rPr>
        <w:t>Gestaltung und Anpassung</w:t>
      </w:r>
      <w:r w:rsidRPr="00F32610">
        <w:t xml:space="preserve"> der Strategiepläne ist auf die Einbeziehung der Interessenträger, mehr Flexibilität für die Mitgliedstaaten und die Fähigkeit zu schnelleren Anpassungen nach der anfänglichen Annahme zu achten.</w:t>
      </w:r>
      <w:bookmarkEnd w:id="42"/>
    </w:p>
    <w:p w:rsidRPr="00194985" w:rsidR="0048644C" w:rsidP="00194985" w:rsidRDefault="0048644C" w14:paraId="026C3080" w14:textId="77777777">
      <w:pPr>
        <w:widowControl w:val="0"/>
        <w:overflowPunct w:val="0"/>
        <w:autoSpaceDE w:val="0"/>
        <w:autoSpaceDN w:val="0"/>
        <w:adjustRightInd w:val="0"/>
        <w:spacing w:line="240" w:lineRule="auto"/>
        <w:ind w:left="709"/>
        <w:textAlignment w:val="baseline"/>
        <w:rPr>
          <w:sz w:val="14"/>
          <w:szCs w:val="14"/>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F32610" w:rsidR="0048644C" w:rsidTr="00F655B8" w14:paraId="721C88AC" w14:textId="77777777">
        <w:tc>
          <w:tcPr>
            <w:tcW w:w="1556" w:type="pct"/>
          </w:tcPr>
          <w:p w:rsidRPr="00F32610" w:rsidR="0048644C" w:rsidP="0048644C" w:rsidRDefault="0048644C" w14:paraId="0B8D550D"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3444" w:type="pct"/>
          </w:tcPr>
          <w:p w:rsidRPr="00F32610" w:rsidR="0048644C" w:rsidP="0048644C" w:rsidRDefault="0048644C" w14:paraId="48049031" w14:textId="77777777">
            <w:pPr>
              <w:overflowPunct w:val="0"/>
              <w:autoSpaceDE w:val="0"/>
              <w:autoSpaceDN w:val="0"/>
              <w:adjustRightInd w:val="0"/>
              <w:spacing w:line="240" w:lineRule="auto"/>
              <w:textAlignment w:val="baseline"/>
              <w:rPr>
                <w:i/>
                <w:iCs/>
                <w:sz w:val="22"/>
                <w:szCs w:val="22"/>
              </w:rPr>
            </w:pPr>
            <w:r w:rsidRPr="00F32610">
              <w:rPr>
                <w:i/>
                <w:sz w:val="22"/>
                <w:szCs w:val="22"/>
              </w:rPr>
              <w:t xml:space="preserve">Martine </w:t>
            </w:r>
            <w:proofErr w:type="spellStart"/>
            <w:r w:rsidRPr="00F32610">
              <w:rPr>
                <w:i/>
                <w:sz w:val="22"/>
                <w:szCs w:val="22"/>
              </w:rPr>
              <w:t>Delanoy</w:t>
            </w:r>
            <w:proofErr w:type="spellEnd"/>
          </w:p>
        </w:tc>
      </w:tr>
      <w:tr w:rsidRPr="00F32610" w:rsidR="0048644C" w:rsidTr="00F655B8" w14:paraId="1C716522" w14:textId="77777777">
        <w:tc>
          <w:tcPr>
            <w:tcW w:w="1556" w:type="pct"/>
          </w:tcPr>
          <w:p w:rsidRPr="00F32610" w:rsidR="0048644C" w:rsidP="0048644C" w:rsidRDefault="0048644C" w14:paraId="4BB41A15"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3444" w:type="pct"/>
          </w:tcPr>
          <w:p w:rsidRPr="00F32610" w:rsidR="0048644C" w:rsidP="0048644C" w:rsidRDefault="0048644C" w14:paraId="57596B2C" w14:textId="77777777">
            <w:pPr>
              <w:overflowPunct w:val="0"/>
              <w:autoSpaceDE w:val="0"/>
              <w:autoSpaceDN w:val="0"/>
              <w:adjustRightInd w:val="0"/>
              <w:spacing w:line="240" w:lineRule="auto"/>
              <w:textAlignment w:val="baseline"/>
              <w:rPr>
                <w:i/>
                <w:sz w:val="22"/>
                <w:szCs w:val="22"/>
              </w:rPr>
            </w:pPr>
            <w:r w:rsidRPr="00F32610">
              <w:rPr>
                <w:i/>
                <w:sz w:val="22"/>
                <w:szCs w:val="22"/>
              </w:rPr>
              <w:t>+32 25469802</w:t>
            </w:r>
          </w:p>
        </w:tc>
      </w:tr>
      <w:tr w:rsidRPr="00F32610" w:rsidR="0048644C" w:rsidTr="00F655B8" w14:paraId="6B3A8EAB" w14:textId="77777777">
        <w:tc>
          <w:tcPr>
            <w:tcW w:w="1556" w:type="pct"/>
          </w:tcPr>
          <w:p w:rsidRPr="00F32610" w:rsidR="0048644C" w:rsidP="0048644C" w:rsidRDefault="0048644C" w14:paraId="45417D47"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3444" w:type="pct"/>
          </w:tcPr>
          <w:p w:rsidRPr="00F32610" w:rsidR="0048644C" w:rsidP="0048644C" w:rsidRDefault="00FF5F8E" w14:paraId="7C6FE1E8" w14:textId="755735AE">
            <w:pPr>
              <w:overflowPunct w:val="0"/>
              <w:autoSpaceDE w:val="0"/>
              <w:autoSpaceDN w:val="0"/>
              <w:adjustRightInd w:val="0"/>
              <w:spacing w:line="240" w:lineRule="auto"/>
              <w:textAlignment w:val="baseline"/>
              <w:rPr>
                <w:i/>
                <w:sz w:val="22"/>
                <w:szCs w:val="22"/>
              </w:rPr>
            </w:pPr>
            <w:hyperlink w:history="1" r:id="rId40">
              <w:r w:rsidRPr="00F32610" w:rsidR="00F2403D">
                <w:rPr>
                  <w:i/>
                  <w:color w:val="0000FF"/>
                  <w:sz w:val="22"/>
                  <w:szCs w:val="22"/>
                  <w:u w:val="single"/>
                </w:rPr>
                <w:t>Martine.Delanoy@eesc.europa.eu</w:t>
              </w:r>
            </w:hyperlink>
          </w:p>
        </w:tc>
      </w:tr>
    </w:tbl>
    <w:p w:rsidRPr="00F32610" w:rsidR="006938FA" w:rsidRDefault="006938FA" w14:paraId="6AD61F9D" w14:textId="77777777">
      <w:pPr>
        <w:spacing w:after="160" w:line="259" w:lineRule="auto"/>
        <w:jc w:val="left"/>
        <w:rPr>
          <w:b/>
          <w:bCs/>
          <w:sz w:val="2"/>
          <w:szCs w:val="2"/>
        </w:rPr>
      </w:pPr>
      <w:r w:rsidRPr="00F32610">
        <w:rPr>
          <w:sz w:val="2"/>
          <w:szCs w:val="2"/>
        </w:rPr>
        <w:br w:type="page"/>
      </w:r>
    </w:p>
    <w:p w:rsidRPr="00810736" w:rsidR="006B3316" w:rsidP="00F32610" w:rsidRDefault="005374D2" w14:paraId="4FE1ECEE" w14:textId="7B16969B">
      <w:pPr>
        <w:pStyle w:val="Heading1"/>
        <w:tabs>
          <w:tab w:val="clear" w:pos="440"/>
        </w:tabs>
        <w:ind w:left="567" w:hanging="567"/>
        <w:rPr>
          <w:b/>
          <w:bCs/>
        </w:rPr>
      </w:pPr>
      <w:bookmarkStart w:name="_Toc153539702" w:id="43"/>
      <w:bookmarkStart w:name="_Toc157777220" w:id="44"/>
      <w:r>
        <w:rPr>
          <w:b/>
        </w:rPr>
        <w:lastRenderedPageBreak/>
        <w:t>AUẞENBEZIEHUNGEN</w:t>
      </w:r>
      <w:bookmarkEnd w:id="43"/>
      <w:bookmarkEnd w:id="44"/>
    </w:p>
    <w:p w:rsidRPr="00BD0493" w:rsidR="00BD0493" w:rsidP="00BD0493" w:rsidRDefault="00BD0493" w14:paraId="10EC00FD" w14:textId="77777777"/>
    <w:p w:rsidRPr="005D0E3D" w:rsidR="005D0E3D" w:rsidP="005D0E3D" w:rsidRDefault="00FF5F8E" w14:paraId="523887E3" w14:textId="27A8F19B">
      <w:pPr>
        <w:widowControl w:val="0"/>
        <w:numPr>
          <w:ilvl w:val="0"/>
          <w:numId w:val="2"/>
        </w:numPr>
        <w:overflowPunct w:val="0"/>
        <w:autoSpaceDE w:val="0"/>
        <w:autoSpaceDN w:val="0"/>
        <w:adjustRightInd w:val="0"/>
        <w:ind w:hanging="567"/>
        <w:textAlignment w:val="baseline"/>
        <w:rPr>
          <w:sz w:val="20"/>
          <w:szCs w:val="20"/>
        </w:rPr>
      </w:pPr>
      <w:hyperlink w:history="1" r:id="rId41">
        <w:r w:rsidR="00F2403D">
          <w:rPr>
            <w:b/>
            <w:i/>
            <w:color w:val="0000FF"/>
            <w:sz w:val="28"/>
            <w:u w:val="single"/>
          </w:rPr>
          <w:t>Bewältigung der Auswirkungen von Klimawandel und Umweltzerstörung auf Frieden, Sicherheit und Verteidigung</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F32610" w:rsidR="005D0E3D" w:rsidTr="006221F1" w14:paraId="2C6EB7F5" w14:textId="77777777">
        <w:tc>
          <w:tcPr>
            <w:tcW w:w="2127" w:type="dxa"/>
          </w:tcPr>
          <w:p w:rsidRPr="00F32610" w:rsidR="005D0E3D" w:rsidP="005D0E3D" w:rsidRDefault="005D0E3D" w14:paraId="668CF52A"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Berichterstatterin</w:t>
            </w:r>
          </w:p>
        </w:tc>
        <w:tc>
          <w:tcPr>
            <w:tcW w:w="7053" w:type="dxa"/>
          </w:tcPr>
          <w:p w:rsidRPr="00F32610" w:rsidR="005D0E3D" w:rsidP="005D0E3D" w:rsidRDefault="005D0E3D" w14:paraId="48A63C93" w14:textId="3A28DAAE">
            <w:pPr>
              <w:tabs>
                <w:tab w:val="center" w:pos="284"/>
              </w:tabs>
              <w:overflowPunct w:val="0"/>
              <w:autoSpaceDE w:val="0"/>
              <w:autoSpaceDN w:val="0"/>
              <w:adjustRightInd w:val="0"/>
              <w:ind w:left="266" w:hanging="266"/>
              <w:textAlignment w:val="baseline"/>
              <w:rPr>
                <w:sz w:val="22"/>
                <w:szCs w:val="22"/>
              </w:rPr>
            </w:pPr>
            <w:proofErr w:type="spellStart"/>
            <w:r w:rsidRPr="00F32610">
              <w:rPr>
                <w:sz w:val="22"/>
                <w:szCs w:val="22"/>
              </w:rPr>
              <w:t>Ozlem</w:t>
            </w:r>
            <w:proofErr w:type="spellEnd"/>
            <w:r w:rsidRPr="00F32610">
              <w:rPr>
                <w:sz w:val="22"/>
                <w:szCs w:val="22"/>
              </w:rPr>
              <w:t xml:space="preserve"> YILDIRIM (Gruppe Arbeitnehmer – FR)</w:t>
            </w:r>
          </w:p>
        </w:tc>
      </w:tr>
      <w:tr w:rsidRPr="00F32610" w:rsidR="005D0E3D" w:rsidTr="006221F1" w14:paraId="7F387EEA" w14:textId="77777777">
        <w:tc>
          <w:tcPr>
            <w:tcW w:w="9180" w:type="dxa"/>
            <w:gridSpan w:val="2"/>
          </w:tcPr>
          <w:p w:rsidRPr="00F32610"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sz w:val="22"/>
                <w:szCs w:val="22"/>
                <w:lang w:val="en-US"/>
              </w:rPr>
            </w:pPr>
          </w:p>
        </w:tc>
      </w:tr>
      <w:tr w:rsidRPr="00F32610" w:rsidR="005D0E3D" w:rsidTr="006221F1" w14:paraId="36521EE5" w14:textId="77777777">
        <w:trPr>
          <w:trHeight w:val="369"/>
        </w:trPr>
        <w:tc>
          <w:tcPr>
            <w:tcW w:w="2127" w:type="dxa"/>
          </w:tcPr>
          <w:p w:rsidRPr="00F32610" w:rsidR="005D0E3D" w:rsidP="005D0E3D" w:rsidRDefault="005D0E3D" w14:paraId="3569DACF" w14:textId="79BBB9E5">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Referenzdokumente</w:t>
            </w:r>
          </w:p>
        </w:tc>
        <w:tc>
          <w:tcPr>
            <w:tcW w:w="7053" w:type="dxa"/>
          </w:tcPr>
          <w:p w:rsidRPr="00F32610" w:rsidR="00595154" w:rsidP="005D0E3D" w:rsidRDefault="00595154" w14:paraId="6B1EDB82" w14:textId="2DC16540">
            <w:pPr>
              <w:tabs>
                <w:tab w:val="center" w:pos="284"/>
              </w:tabs>
              <w:overflowPunct w:val="0"/>
              <w:autoSpaceDE w:val="0"/>
              <w:autoSpaceDN w:val="0"/>
              <w:adjustRightInd w:val="0"/>
              <w:ind w:left="266" w:hanging="266"/>
              <w:textAlignment w:val="baseline"/>
              <w:rPr>
                <w:sz w:val="22"/>
                <w:szCs w:val="22"/>
              </w:rPr>
            </w:pPr>
            <w:r w:rsidRPr="00F32610">
              <w:rPr>
                <w:sz w:val="22"/>
                <w:szCs w:val="22"/>
              </w:rPr>
              <w:t>JOIN(2023) 19 final</w:t>
            </w:r>
          </w:p>
          <w:p w:rsidRPr="00F32610" w:rsidR="005D0E3D" w:rsidP="005D0E3D" w:rsidRDefault="005D0E3D" w14:paraId="38FBFE28" w14:textId="4D024506">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0E5EDB" w:rsidRDefault="005D0E3D" w14:paraId="20E53CE1" w14:textId="77777777">
      <w:pPr>
        <w:keepNext/>
        <w:keepLines/>
        <w:overflowPunct w:val="0"/>
        <w:autoSpaceDE w:val="0"/>
        <w:autoSpaceDN w:val="0"/>
        <w:adjustRightInd w:val="0"/>
        <w:textAlignment w:val="baseline"/>
        <w:rPr>
          <w:b/>
        </w:rPr>
      </w:pPr>
      <w:r>
        <w:rPr>
          <w:b/>
        </w:rPr>
        <w:t>Kernaussagen</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Der EWSA</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0E5EDB"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t xml:space="preserve">ist der Ansicht, dass sich die Risiken und Bedrohungen für den Frieden und die europäische und internationale Sicherheit durch die Auswirkungen des Klimawandels verstärken; </w:t>
      </w:r>
    </w:p>
    <w:p w:rsidRPr="005D0E3D" w:rsidR="005D0E3D" w:rsidP="000E5EDB"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t>unterstützt die Absicht der Europäischen Kommission, die Problematik „Klima und Sicherheit“ zu berücksichtigen, stellt allerdings fest, dass der geografische, politische und militärische Rahmen dieser Problematik besser abgesteckt werden muss;</w:t>
      </w:r>
    </w:p>
    <w:p w:rsidRPr="005D0E3D" w:rsidR="005D0E3D" w:rsidP="000E5EDB"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betont, dass dringend in die Entwicklung resilienter Lösungen investiert werden muss – vor allem, indem die Entscheidungsprozesse auf europäischer Ebene auf potenzielle künftige Spannungen dieser Art vorbereitet werden;</w:t>
      </w:r>
    </w:p>
    <w:p w:rsidRPr="005D0E3D" w:rsidR="005D0E3D" w:rsidP="000E5EDB"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empfiehlt den EU-Organen, bei der Gestaltung der Gemeinschaftspolitik den sich rasch verändernden biophysikalischen Gegebenheiten (von denen das Leben und das Wohlergehen der Menschen abhängen) und dem politischen Zusammenhalt (sowohl der Mitgliedstaaten als auch der Nachbarländer und der Partner der EU) Rechnung zu tragen;</w:t>
      </w:r>
    </w:p>
    <w:p w:rsidRPr="005D0E3D" w:rsidR="005D0E3D" w:rsidP="000E5EDB"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erinnert daran, dass der zentrale Auftrag des europäischen Projekts die Förderung und Erhaltung des Friedens ist, und bekräftigt, dass dies größte Bedeutung hat. Um diesen Auftrag erfüllen zu können, muss Europa seine Bemühungen um Friedenskonsolidierung verstärken. Die Förderung des Friedens ist untrennbar mit der Wahrung und Förderung der Grundrechte sowie der Demokratie verbunden. Durch die Berücksichtigung des Klima-Sicherheits-Nexus sollen diese Rechte geschützt werden, da der Zweck dieses Ansatzes darin besteht, die Grundrechte angesichts der Herausforderungen, die sich durch klimawandelbedingte Unsicherheiten für den Einzelnen und die Gesellschaft ergeben, zu wahren und zu fördern;</w:t>
      </w:r>
    </w:p>
    <w:p w:rsidRPr="005D0E3D" w:rsidR="005D0E3D" w:rsidP="000E5EDB"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t xml:space="preserve">spricht sich dafür aus, den Klima-Sicherheits-Nexus stärker zu berücksichtigen, indem proaktive Schnittstellen zwischen den Einrichtungen, die für die Außenbeziehungen, den inneren Zusammenhalt der EU und die Sicherheits- und Verteidigungsdienste der Mitgliedstaaten zuständig sind, geschaffen werden und ein ständiger Dialog mit der Wissenschaft in diesem Rahmen stattfindet. Durch diesen umfassenderen Ansatz sollen die Beiträge der Forschung und Innovation zur Resilienz miteinbezogen werden, wodurch ein </w:t>
      </w:r>
      <w:proofErr w:type="spellStart"/>
      <w:r>
        <w:t>vorausschauenderes</w:t>
      </w:r>
      <w:proofErr w:type="spellEnd"/>
      <w:r>
        <w:t xml:space="preserve"> und wirksameres Handeln der EU ermöglicht wird.</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F32610" w:rsidR="005D0E3D" w:rsidTr="00F655B8" w14:paraId="6314C6E9" w14:textId="77777777">
        <w:tc>
          <w:tcPr>
            <w:tcW w:w="2127" w:type="dxa"/>
          </w:tcPr>
          <w:p w:rsidRPr="00F32610" w:rsidR="005D0E3D" w:rsidP="005D0E3D" w:rsidRDefault="005D0E3D" w14:paraId="1E279F70"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4252" w:type="dxa"/>
          </w:tcPr>
          <w:p w:rsidRPr="00F32610" w:rsidR="005D0E3D" w:rsidP="005D0E3D" w:rsidRDefault="005D0E3D" w14:paraId="711C3B1D" w14:textId="3E6C932F">
            <w:pPr>
              <w:overflowPunct w:val="0"/>
              <w:autoSpaceDE w:val="0"/>
              <w:autoSpaceDN w:val="0"/>
              <w:adjustRightInd w:val="0"/>
              <w:spacing w:line="240" w:lineRule="auto"/>
              <w:textAlignment w:val="baseline"/>
              <w:rPr>
                <w:i/>
                <w:sz w:val="22"/>
                <w:szCs w:val="22"/>
              </w:rPr>
            </w:pPr>
            <w:r w:rsidRPr="00F32610">
              <w:rPr>
                <w:i/>
                <w:sz w:val="22"/>
                <w:szCs w:val="22"/>
              </w:rPr>
              <w:t xml:space="preserve">Ana </w:t>
            </w:r>
            <w:proofErr w:type="spellStart"/>
            <w:r w:rsidRPr="00F32610">
              <w:rPr>
                <w:i/>
                <w:sz w:val="22"/>
                <w:szCs w:val="22"/>
              </w:rPr>
              <w:t>Dujmovic</w:t>
            </w:r>
            <w:proofErr w:type="spellEnd"/>
          </w:p>
        </w:tc>
      </w:tr>
      <w:tr w:rsidRPr="00F32610" w:rsidR="005D0E3D" w:rsidTr="00F655B8" w14:paraId="5A20580F" w14:textId="77777777">
        <w:tc>
          <w:tcPr>
            <w:tcW w:w="2127" w:type="dxa"/>
          </w:tcPr>
          <w:p w:rsidRPr="00F32610" w:rsidR="005D0E3D" w:rsidP="005D0E3D" w:rsidRDefault="005D0E3D" w14:paraId="2F1FD0C2"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4252" w:type="dxa"/>
          </w:tcPr>
          <w:p w:rsidRPr="00F32610" w:rsidR="005D0E3D" w:rsidP="005D0E3D" w:rsidRDefault="005D0E3D" w14:paraId="72985C78" w14:textId="77777777">
            <w:pPr>
              <w:overflowPunct w:val="0"/>
              <w:autoSpaceDE w:val="0"/>
              <w:autoSpaceDN w:val="0"/>
              <w:adjustRightInd w:val="0"/>
              <w:spacing w:line="240" w:lineRule="auto"/>
              <w:textAlignment w:val="baseline"/>
              <w:rPr>
                <w:i/>
                <w:sz w:val="22"/>
                <w:szCs w:val="22"/>
              </w:rPr>
            </w:pPr>
            <w:r w:rsidRPr="00F32610">
              <w:rPr>
                <w:i/>
                <w:sz w:val="22"/>
                <w:szCs w:val="22"/>
              </w:rPr>
              <w:t>+32 25468290</w:t>
            </w:r>
          </w:p>
        </w:tc>
      </w:tr>
      <w:tr w:rsidRPr="00F32610" w:rsidR="005D0E3D" w:rsidTr="00F655B8" w14:paraId="40B741E5" w14:textId="77777777">
        <w:tc>
          <w:tcPr>
            <w:tcW w:w="2127" w:type="dxa"/>
          </w:tcPr>
          <w:p w:rsidRPr="00F32610" w:rsidR="005D0E3D" w:rsidP="005D0E3D" w:rsidRDefault="005D0E3D" w14:paraId="25DF2A04" w14:textId="77777777">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4252" w:type="dxa"/>
          </w:tcPr>
          <w:p w:rsidRPr="00F32610" w:rsidR="005D0E3D" w:rsidP="005D0E3D" w:rsidRDefault="00FF5F8E" w14:paraId="7D5BAAE0" w14:textId="69E0C0B9">
            <w:pPr>
              <w:overflowPunct w:val="0"/>
              <w:autoSpaceDE w:val="0"/>
              <w:autoSpaceDN w:val="0"/>
              <w:adjustRightInd w:val="0"/>
              <w:spacing w:line="240" w:lineRule="auto"/>
              <w:textAlignment w:val="baseline"/>
              <w:rPr>
                <w:i/>
                <w:sz w:val="22"/>
                <w:szCs w:val="22"/>
              </w:rPr>
            </w:pPr>
            <w:hyperlink w:history="1" r:id="rId42">
              <w:r w:rsidRPr="00F32610" w:rsidR="00F2403D">
                <w:rPr>
                  <w:i/>
                  <w:color w:val="0000FF"/>
                  <w:sz w:val="22"/>
                  <w:szCs w:val="22"/>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F32610" w:rsidRDefault="00E110D0" w14:paraId="268D0B18" w14:textId="5CCAA924">
      <w:pPr>
        <w:pStyle w:val="Heading1"/>
        <w:tabs>
          <w:tab w:val="clear" w:pos="440"/>
        </w:tabs>
        <w:ind w:left="567" w:hanging="567"/>
        <w:rPr>
          <w:b/>
          <w:bCs/>
        </w:rPr>
      </w:pPr>
      <w:bookmarkStart w:name="_Toc153539712" w:id="45"/>
      <w:bookmarkStart w:name="_Toc157777221" w:id="46"/>
      <w:r>
        <w:rPr>
          <w:b/>
        </w:rPr>
        <w:lastRenderedPageBreak/>
        <w:t>VERKEHR, ENERGIE, INFRASTRUKTUREN, INFORMATIONSGESELLSCHAFT</w:t>
      </w:r>
      <w:bookmarkEnd w:id="45"/>
      <w:bookmarkEnd w:id="46"/>
    </w:p>
    <w:p w:rsidR="0092772D" w:rsidP="00775FC4" w:rsidRDefault="0092772D" w14:paraId="764F554F" w14:textId="3DB1B15F">
      <w:pPr>
        <w:keepNext/>
        <w:keepLines/>
      </w:pPr>
    </w:p>
    <w:p w:rsidRPr="00AE6861" w:rsidR="00AE6861" w:rsidP="00AE6861" w:rsidRDefault="00FF5F8E" w14:paraId="6D10EE41" w14:textId="5ACEE1FE">
      <w:pPr>
        <w:widowControl w:val="0"/>
        <w:numPr>
          <w:ilvl w:val="0"/>
          <w:numId w:val="2"/>
        </w:numPr>
        <w:overflowPunct w:val="0"/>
        <w:autoSpaceDE w:val="0"/>
        <w:autoSpaceDN w:val="0"/>
        <w:adjustRightInd w:val="0"/>
        <w:ind w:hanging="567"/>
        <w:textAlignment w:val="baseline"/>
        <w:rPr>
          <w:sz w:val="20"/>
          <w:szCs w:val="20"/>
        </w:rPr>
      </w:pPr>
      <w:hyperlink w:history="1" r:id="rId43">
        <w:r w:rsidR="00F2403D">
          <w:rPr>
            <w:b/>
            <w:i/>
            <w:color w:val="0000FF"/>
            <w:sz w:val="28"/>
            <w:u w:val="single"/>
          </w:rPr>
          <w:t>Grenzübergreifende Energieinfrastrukturplanung</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F32610" w:rsidR="00AE6861" w:rsidTr="00F655B8" w14:paraId="611E13EB" w14:textId="77777777">
        <w:tc>
          <w:tcPr>
            <w:tcW w:w="2235" w:type="dxa"/>
          </w:tcPr>
          <w:p w:rsidRPr="00F32610" w:rsidR="00AE6861" w:rsidP="00AE6861" w:rsidRDefault="00AE6861" w14:paraId="03786D8A"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 xml:space="preserve">Berichterstatter </w:t>
            </w:r>
          </w:p>
        </w:tc>
        <w:tc>
          <w:tcPr>
            <w:tcW w:w="6838" w:type="dxa"/>
          </w:tcPr>
          <w:p w:rsidRPr="00F32610" w:rsidR="00AE6861" w:rsidP="00AE6861" w:rsidRDefault="00AE6861" w14:paraId="3E0F0420" w14:textId="4DC0B14D">
            <w:pPr>
              <w:tabs>
                <w:tab w:val="center" w:pos="284"/>
              </w:tabs>
              <w:overflowPunct w:val="0"/>
              <w:autoSpaceDE w:val="0"/>
              <w:autoSpaceDN w:val="0"/>
              <w:adjustRightInd w:val="0"/>
              <w:ind w:left="266" w:hanging="266"/>
              <w:textAlignment w:val="baseline"/>
              <w:rPr>
                <w:sz w:val="22"/>
                <w:szCs w:val="22"/>
              </w:rPr>
            </w:pPr>
            <w:r w:rsidRPr="00F32610">
              <w:rPr>
                <w:sz w:val="22"/>
                <w:szCs w:val="22"/>
              </w:rPr>
              <w:t>Thomas KATTNIG (Gruppe Arbeitnehmer – AT)</w:t>
            </w:r>
          </w:p>
        </w:tc>
      </w:tr>
      <w:tr w:rsidRPr="00F32610" w:rsidR="00AE6861" w:rsidTr="00F655B8" w14:paraId="41B1CA66" w14:textId="77777777">
        <w:tc>
          <w:tcPr>
            <w:tcW w:w="9073" w:type="dxa"/>
            <w:gridSpan w:val="2"/>
          </w:tcPr>
          <w:p w:rsidRPr="00F32610"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32610" w:rsidR="00AE6861" w:rsidTr="00F655B8" w14:paraId="1747A971" w14:textId="77777777">
        <w:tc>
          <w:tcPr>
            <w:tcW w:w="2235" w:type="dxa"/>
          </w:tcPr>
          <w:p w:rsidRPr="00F32610" w:rsidR="00AE6861" w:rsidP="00AE6861" w:rsidRDefault="00AE6861" w14:paraId="5CAE83EB" w14:textId="77777777">
            <w:pPr>
              <w:tabs>
                <w:tab w:val="center" w:pos="284"/>
              </w:tabs>
              <w:overflowPunct w:val="0"/>
              <w:autoSpaceDE w:val="0"/>
              <w:autoSpaceDN w:val="0"/>
              <w:adjustRightInd w:val="0"/>
              <w:ind w:left="266" w:hanging="266"/>
              <w:textAlignment w:val="baseline"/>
              <w:rPr>
                <w:b/>
                <w:sz w:val="22"/>
                <w:szCs w:val="22"/>
              </w:rPr>
            </w:pPr>
            <w:r w:rsidRPr="00F32610">
              <w:rPr>
                <w:b/>
                <w:sz w:val="22"/>
                <w:szCs w:val="22"/>
              </w:rPr>
              <w:t>Referenzdokument</w:t>
            </w:r>
          </w:p>
        </w:tc>
        <w:tc>
          <w:tcPr>
            <w:tcW w:w="6838" w:type="dxa"/>
          </w:tcPr>
          <w:p w:rsidRPr="00F32610" w:rsidR="00AE6861" w:rsidP="00AE6861" w:rsidRDefault="00AE6861" w14:paraId="2E07B88C" w14:textId="77777777">
            <w:pPr>
              <w:tabs>
                <w:tab w:val="center" w:pos="0"/>
              </w:tabs>
              <w:overflowPunct w:val="0"/>
              <w:autoSpaceDE w:val="0"/>
              <w:autoSpaceDN w:val="0"/>
              <w:adjustRightInd w:val="0"/>
              <w:textAlignment w:val="baseline"/>
              <w:rPr>
                <w:sz w:val="22"/>
                <w:szCs w:val="22"/>
              </w:rPr>
            </w:pPr>
            <w:r w:rsidRPr="00F32610">
              <w:rPr>
                <w:sz w:val="22"/>
                <w:szCs w:val="22"/>
              </w:rPr>
              <w:t>Sondierungsstellungnahme auf Ersuchen des belgischen EU-Ratsvorsitzes</w:t>
            </w:r>
          </w:p>
          <w:p w:rsidRPr="00F32610" w:rsidR="00AE6861" w:rsidP="00AE6861" w:rsidRDefault="00AE6861" w14:paraId="793F9518" w14:textId="745EC39E">
            <w:pPr>
              <w:tabs>
                <w:tab w:val="center" w:pos="284"/>
              </w:tabs>
              <w:overflowPunct w:val="0"/>
              <w:autoSpaceDE w:val="0"/>
              <w:autoSpaceDN w:val="0"/>
              <w:adjustRightInd w:val="0"/>
              <w:ind w:left="266" w:hanging="266"/>
              <w:textAlignment w:val="baseline"/>
              <w:rPr>
                <w:sz w:val="22"/>
                <w:szCs w:val="22"/>
              </w:rPr>
            </w:pPr>
            <w:r w:rsidRPr="00F32610">
              <w:rPr>
                <w:sz w:val="22"/>
                <w:szCs w:val="22"/>
              </w:rP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Kernaussagen</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Der EWSA</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0E5EDB"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betont, dass die Energieinfrastruktur ebenso wie die Infrastruktur für den Transport und die Verteilung von Energie nicht wie eine gewöhnliche Ware behandelt werden darf und stattdessen als Dienstleistung von allgemeinem Interesse für die Wirtschaft und die Bevölkerung einzustufen ist;</w:t>
      </w:r>
    </w:p>
    <w:p w:rsidRPr="00AE6861" w:rsidR="00AE6861" w:rsidP="000E5EDB"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 xml:space="preserve">fordert, dass die Einstufung des Netzausbaus, einschließlich grenzübergreifender Verbindungen sowohl </w:t>
      </w:r>
      <w:proofErr w:type="spellStart"/>
      <w:r>
        <w:t>onshore</w:t>
      </w:r>
      <w:proofErr w:type="spellEnd"/>
      <w:r>
        <w:t xml:space="preserve"> als auch offshore, als kritische Infrastruktur von überragendem öffentlichen Interesse, die Aufnahme des Klimaschutzes als Regulierungsziel und allgemein eine bessere Abstimmung bei der Planung von erneuerbaren Energien und Stromnetz besonderes Augenmerk erhalten;</w:t>
      </w:r>
    </w:p>
    <w:p w:rsidRPr="00AE6861" w:rsidR="00AE6861" w:rsidP="000E5EDB"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betont, dass es in Anbetracht der steigenden Nachfrage besonders wichtig ist, umfangreiche Investitionen in die Stromnetze zu tätigen, um die europäische Wirtschaft anzukurbeln und hochwertige (grüne) Arbeitsplätze zu schaffen;</w:t>
      </w:r>
    </w:p>
    <w:p w:rsidRPr="00AE6861" w:rsidR="00AE6861" w:rsidP="000E5EDB"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fordert verbindlichere Regelungen für Übertragungsnetzbetreiber und Verteilernetzbetreiber sowie die Einbindung von Energieerzeugern in Maßnahmen zur Netzstabilisierung, damit ihre Maßnahmen besser koordiniert werden und das Netz von der Digitalisierung profitieren kann;</w:t>
      </w:r>
    </w:p>
    <w:p w:rsidRPr="00AE6861" w:rsidR="00AE6861" w:rsidP="000E5EDB"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weist darauf hin, dass die Energieinfrastruktur wie große Energieanlagen besonderen Sicherheitsmaßnahmen unterliegen und die Frage der (</w:t>
      </w:r>
      <w:proofErr w:type="spellStart"/>
      <w:r>
        <w:t>Cyber-</w:t>
      </w:r>
      <w:proofErr w:type="spellEnd"/>
      <w:r>
        <w:t>)Sicherheit noch mehr Priorität erhalten sollte.</w:t>
      </w:r>
    </w:p>
    <w:p w:rsidRPr="00F32610" w:rsidR="00AE6861" w:rsidP="00AE6861" w:rsidRDefault="00AE6861" w14:paraId="5AE8EDAA" w14:textId="77777777">
      <w:pPr>
        <w:widowControl w:val="0"/>
        <w:overflowPunct w:val="0"/>
        <w:autoSpaceDE w:val="0"/>
        <w:autoSpaceDN w:val="0"/>
        <w:adjustRightInd w:val="0"/>
        <w:ind w:left="709"/>
        <w:textAlignment w:val="baseline"/>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2610" w:rsidR="00AE6861" w:rsidTr="00F655B8" w14:paraId="5AE54BB8" w14:textId="77777777">
        <w:tc>
          <w:tcPr>
            <w:tcW w:w="1418" w:type="dxa"/>
          </w:tcPr>
          <w:p w:rsidRPr="00F32610" w:rsidR="00AE6861" w:rsidP="00AE6861" w:rsidRDefault="00AE6861" w14:paraId="34F28AF2" w14:textId="77777777">
            <w:pPr>
              <w:overflowPunct w:val="0"/>
              <w:autoSpaceDE w:val="0"/>
              <w:autoSpaceDN w:val="0"/>
              <w:adjustRightInd w:val="0"/>
              <w:spacing w:line="240" w:lineRule="auto"/>
              <w:textAlignment w:val="baseline"/>
              <w:rPr>
                <w:i/>
                <w:sz w:val="22"/>
                <w:szCs w:val="22"/>
              </w:rPr>
            </w:pPr>
            <w:r w:rsidRPr="00F32610">
              <w:rPr>
                <w:b/>
                <w:i/>
                <w:sz w:val="22"/>
                <w:szCs w:val="22"/>
              </w:rPr>
              <w:t>Kontakt</w:t>
            </w:r>
          </w:p>
        </w:tc>
        <w:tc>
          <w:tcPr>
            <w:tcW w:w="5670" w:type="dxa"/>
          </w:tcPr>
          <w:p w:rsidRPr="00F32610" w:rsidR="00AE6861" w:rsidP="00AE6861" w:rsidRDefault="00AE6861" w14:paraId="57C926E0" w14:textId="40273CCB">
            <w:pPr>
              <w:overflowPunct w:val="0"/>
              <w:autoSpaceDE w:val="0"/>
              <w:autoSpaceDN w:val="0"/>
              <w:adjustRightInd w:val="0"/>
              <w:spacing w:line="240" w:lineRule="auto"/>
              <w:textAlignment w:val="baseline"/>
              <w:rPr>
                <w:i/>
                <w:sz w:val="22"/>
                <w:szCs w:val="22"/>
              </w:rPr>
            </w:pPr>
            <w:r w:rsidRPr="00F32610">
              <w:rPr>
                <w:i/>
                <w:sz w:val="22"/>
                <w:szCs w:val="22"/>
              </w:rPr>
              <w:t>Giorgia Bordignon</w:t>
            </w:r>
          </w:p>
        </w:tc>
      </w:tr>
      <w:tr w:rsidRPr="00F32610" w:rsidR="00AE6861" w:rsidTr="00F655B8" w14:paraId="1C50B3C3" w14:textId="77777777">
        <w:tc>
          <w:tcPr>
            <w:tcW w:w="1418" w:type="dxa"/>
          </w:tcPr>
          <w:p w:rsidRPr="00F32610" w:rsidR="00AE6861" w:rsidP="00AE6861" w:rsidRDefault="00AE6861" w14:paraId="2996C4B6" w14:textId="77777777">
            <w:pPr>
              <w:overflowPunct w:val="0"/>
              <w:autoSpaceDE w:val="0"/>
              <w:autoSpaceDN w:val="0"/>
              <w:adjustRightInd w:val="0"/>
              <w:spacing w:line="240" w:lineRule="auto"/>
              <w:textAlignment w:val="baseline"/>
              <w:rPr>
                <w:i/>
                <w:sz w:val="22"/>
                <w:szCs w:val="22"/>
              </w:rPr>
            </w:pPr>
            <w:r w:rsidRPr="00F32610">
              <w:rPr>
                <w:i/>
                <w:sz w:val="22"/>
                <w:szCs w:val="22"/>
              </w:rPr>
              <w:t>Tel.</w:t>
            </w:r>
          </w:p>
        </w:tc>
        <w:tc>
          <w:tcPr>
            <w:tcW w:w="5670" w:type="dxa"/>
          </w:tcPr>
          <w:p w:rsidRPr="00F32610" w:rsidR="00AE6861" w:rsidP="00AE6861" w:rsidRDefault="00AE6861" w14:paraId="18053F0E" w14:textId="77777777">
            <w:pPr>
              <w:overflowPunct w:val="0"/>
              <w:autoSpaceDE w:val="0"/>
              <w:autoSpaceDN w:val="0"/>
              <w:adjustRightInd w:val="0"/>
              <w:spacing w:line="240" w:lineRule="auto"/>
              <w:textAlignment w:val="baseline"/>
              <w:rPr>
                <w:i/>
                <w:sz w:val="22"/>
                <w:szCs w:val="22"/>
              </w:rPr>
            </w:pPr>
            <w:r w:rsidRPr="00F32610">
              <w:rPr>
                <w:i/>
                <w:sz w:val="22"/>
                <w:szCs w:val="22"/>
              </w:rPr>
              <w:t>+ 32 25468535</w:t>
            </w:r>
          </w:p>
        </w:tc>
      </w:tr>
      <w:tr w:rsidRPr="00F32610" w:rsidR="00AE6861" w:rsidTr="00F655B8" w14:paraId="194AB4C5" w14:textId="77777777">
        <w:tc>
          <w:tcPr>
            <w:tcW w:w="1418" w:type="dxa"/>
          </w:tcPr>
          <w:p w:rsidRPr="00F32610" w:rsidR="00AE6861" w:rsidP="00AE6861" w:rsidRDefault="006B1A4D" w14:paraId="5F0CF1BE" w14:textId="72836CC5">
            <w:pPr>
              <w:overflowPunct w:val="0"/>
              <w:autoSpaceDE w:val="0"/>
              <w:autoSpaceDN w:val="0"/>
              <w:adjustRightInd w:val="0"/>
              <w:spacing w:line="240" w:lineRule="auto"/>
              <w:textAlignment w:val="baseline"/>
              <w:rPr>
                <w:i/>
                <w:sz w:val="22"/>
                <w:szCs w:val="22"/>
              </w:rPr>
            </w:pPr>
            <w:r w:rsidRPr="00F32610">
              <w:rPr>
                <w:i/>
                <w:sz w:val="22"/>
                <w:szCs w:val="22"/>
              </w:rPr>
              <w:t>E-Mail</w:t>
            </w:r>
          </w:p>
        </w:tc>
        <w:tc>
          <w:tcPr>
            <w:tcW w:w="5670" w:type="dxa"/>
          </w:tcPr>
          <w:p w:rsidRPr="00F32610" w:rsidR="00AE6861" w:rsidP="00AE6861" w:rsidRDefault="00FF5F8E" w14:paraId="0EA2DED1" w14:textId="77777777">
            <w:pPr>
              <w:overflowPunct w:val="0"/>
              <w:autoSpaceDE w:val="0"/>
              <w:autoSpaceDN w:val="0"/>
              <w:adjustRightInd w:val="0"/>
              <w:spacing w:line="240" w:lineRule="auto"/>
              <w:textAlignment w:val="baseline"/>
              <w:rPr>
                <w:i/>
                <w:iCs/>
                <w:sz w:val="22"/>
                <w:szCs w:val="22"/>
              </w:rPr>
            </w:pPr>
            <w:hyperlink w:history="1" r:id="rId44">
              <w:r w:rsidRPr="00F32610" w:rsidR="00F2403D">
                <w:rPr>
                  <w:i/>
                  <w:color w:val="0000FF"/>
                  <w:sz w:val="22"/>
                  <w:szCs w:val="22"/>
                  <w:u w:val="single"/>
                </w:rPr>
                <w:t>GiorgiaAndrea.Bordignon@eesc.europa.eu</w:t>
              </w:r>
            </w:hyperlink>
          </w:p>
        </w:tc>
      </w:tr>
    </w:tbl>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8778F4">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3BDF" w14:textId="77777777" w:rsidR="00215B75" w:rsidRDefault="00215B75" w:rsidP="003B0516">
      <w:pPr>
        <w:spacing w:line="240" w:lineRule="auto"/>
      </w:pPr>
      <w:r>
        <w:separator/>
      </w:r>
    </w:p>
  </w:endnote>
  <w:endnote w:type="continuationSeparator" w:id="0">
    <w:p w14:paraId="0CF7AA27" w14:textId="77777777" w:rsidR="00215B75" w:rsidRDefault="00215B7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DCAB" w14:textId="77777777" w:rsidR="00134B23" w:rsidRPr="008778F4" w:rsidRDefault="00134B23" w:rsidP="0087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644EC15" w:rsidR="00765C4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rsidR="00CD621A">
      <w:t>1</w:t>
    </w:r>
    <w:r>
      <w:fldChar w:fldCharType="end"/>
    </w:r>
    <w:r>
      <w:t>/</w:t>
    </w:r>
    <w:r w:rsidR="00FF5F8E">
      <w:fldChar w:fldCharType="begin"/>
    </w:r>
    <w:r w:rsidR="00FF5F8E">
      <w:instrText xml:space="preserve"> NUMPAGES </w:instrText>
    </w:r>
    <w:r w:rsidR="00FF5F8E">
      <w:fldChar w:fldCharType="separate"/>
    </w:r>
    <w:r w:rsidR="00CD621A">
      <w:t>1</w:t>
    </w:r>
    <w:r w:rsidR="00FF5F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B4D2" w14:textId="77777777" w:rsidR="00134B23" w:rsidRPr="008778F4" w:rsidRDefault="00134B23" w:rsidP="00877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8778F4" w:rsidRDefault="00E4258F" w:rsidP="008778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72A4C58" w:rsidR="00E4258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t>2</w:t>
    </w:r>
    <w:r>
      <w:fldChar w:fldCharType="end"/>
    </w:r>
    <w:r>
      <w:t>/</w:t>
    </w:r>
    <w:r w:rsidR="00FF5F8E">
      <w:fldChar w:fldCharType="begin"/>
    </w:r>
    <w:r w:rsidR="00FF5F8E">
      <w:instrText xml:space="preserve"> NUMPAGES </w:instrText>
    </w:r>
    <w:r w:rsidR="00FF5F8E">
      <w:fldChar w:fldCharType="separate"/>
    </w:r>
    <w:r>
      <w:t>8</w:t>
    </w:r>
    <w:r w:rsidR="00FF5F8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8778F4" w:rsidRDefault="00E4258F" w:rsidP="0087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55E4" w14:textId="77777777" w:rsidR="00215B75" w:rsidRDefault="00215B75" w:rsidP="003B0516">
      <w:pPr>
        <w:spacing w:line="240" w:lineRule="auto"/>
      </w:pPr>
      <w:r>
        <w:separator/>
      </w:r>
    </w:p>
  </w:footnote>
  <w:footnote w:type="continuationSeparator" w:id="0">
    <w:p w14:paraId="6B7B7113" w14:textId="77777777" w:rsidR="00215B75" w:rsidRDefault="00215B75"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2419" w14:textId="77777777" w:rsidR="00134B23" w:rsidRPr="008778F4" w:rsidRDefault="00134B23" w:rsidP="0087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AC7F" w14:textId="0AAABE86" w:rsidR="00134B23" w:rsidRPr="008778F4" w:rsidRDefault="00134B23" w:rsidP="00877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E922" w14:textId="77777777" w:rsidR="00134B23" w:rsidRPr="008778F4" w:rsidRDefault="00134B23" w:rsidP="00877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8778F4" w:rsidRDefault="00E4258F" w:rsidP="008778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02BEB4B1" w:rsidR="00E4258F" w:rsidRPr="008778F4" w:rsidRDefault="00E4258F" w:rsidP="008778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8778F4" w:rsidRDefault="00E4258F" w:rsidP="00877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6C0836A"/>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2"/>
          <w:szCs w:val="18"/>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4B23"/>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4985"/>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B75"/>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4EB9"/>
    <w:rsid w:val="00585857"/>
    <w:rsid w:val="0058593B"/>
    <w:rsid w:val="0058593F"/>
    <w:rsid w:val="00586967"/>
    <w:rsid w:val="00586B4B"/>
    <w:rsid w:val="00586D86"/>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95E"/>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AB1"/>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8F4"/>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699"/>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C7E"/>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B47"/>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21A"/>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9D"/>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A87"/>
    <w:rsid w:val="00D84FBD"/>
    <w:rsid w:val="00D85838"/>
    <w:rsid w:val="00D85D67"/>
    <w:rsid w:val="00D86432"/>
    <w:rsid w:val="00D86E5D"/>
    <w:rsid w:val="00D91EA9"/>
    <w:rsid w:val="00D92EBC"/>
    <w:rsid w:val="00D93D43"/>
    <w:rsid w:val="00D94095"/>
    <w:rsid w:val="00D9440D"/>
    <w:rsid w:val="00D944B2"/>
    <w:rsid w:val="00D94C7B"/>
    <w:rsid w:val="00D9545B"/>
    <w:rsid w:val="00D95CCF"/>
    <w:rsid w:val="00D9691F"/>
    <w:rsid w:val="00D96DF6"/>
    <w:rsid w:val="00D96E67"/>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B7399"/>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03D"/>
    <w:rsid w:val="00F24CA0"/>
    <w:rsid w:val="00F25B83"/>
    <w:rsid w:val="00F25F17"/>
    <w:rsid w:val="00F27A84"/>
    <w:rsid w:val="00F3172E"/>
    <w:rsid w:val="00F3200A"/>
    <w:rsid w:val="00F324AC"/>
    <w:rsid w:val="00F32577"/>
    <w:rsid w:val="00F32610"/>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67D"/>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5F8E"/>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F32610"/>
    <w:pPr>
      <w:tabs>
        <w:tab w:val="left" w:pos="440"/>
        <w:tab w:val="right" w:leader="dot" w:pos="9063"/>
      </w:tabs>
      <w:spacing w:before="240"/>
      <w:ind w:left="440" w:right="-1" w:hanging="440"/>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e-D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de/our-work/opinions-information-reports/opinions/promoting-autonomous-and-sustainable-food-production-strategies-common-agricultural-policy-post-2027"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na.Dujmovic@eesc.europa.eu"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de/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de/our-work/opinions-information-reports/opinions/targets-fixing-fishing-opportunities" TargetMode="External"/><Relationship Id="rId40" Type="http://schemas.openxmlformats.org/officeDocument/2006/relationships/hyperlink" Target="mailto:Martine.Delanoy@eesc.europa.eu" TargetMode="External"/><Relationship Id="rId45" Type="http://schemas.openxmlformats.org/officeDocument/2006/relationships/header" Target="header4.xm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Dalila.Bernard@eesc.europa.eu"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de/our-work/opinions-information-reports/opinions/european-cross-border-associations" TargetMode="External"/><Relationship Id="rId44" Type="http://schemas.openxmlformats.org/officeDocument/2006/relationships/hyperlink" Target="mailto:GiorgiaAndrea.Bordignon@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de/our-work/opinions-information-reports/opinions/euro-area-economic-policy-2024" TargetMode="External"/><Relationship Id="rId27" Type="http://schemas.openxmlformats.org/officeDocument/2006/relationships/hyperlink" Target="https://www.eesc.europa.eu/de/our-work/opinions-information-reports/opinions/combatting-poverty-and-social-exclusion-harnessing-power-social-economy-and-socio-economic-innovations" TargetMode="External"/><Relationship Id="rId30" Type="http://schemas.openxmlformats.org/officeDocument/2006/relationships/hyperlink" Target="mailto:Marco.Manfroni@eesc.europa.eu" TargetMode="External"/><Relationship Id="rId35" Type="http://schemas.openxmlformats.org/officeDocument/2006/relationships/hyperlink" Target="https://www.eesc.europa.eu/de/our-work/opinions-information-reports/opinions/revision-late-payments-directive" TargetMode="External"/><Relationship Id="rId43" Type="http://schemas.openxmlformats.org/officeDocument/2006/relationships/hyperlink" Target="https://www.eesc.europa.eu/de/our-work/opinions-information-reports/opinions/cross-border-energy-infrastructure-planning"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de/our-work/opinions-information-reports/opinions/corruption-public-procurement-and-its-impact-internal-market" TargetMode="External"/><Relationship Id="rId33" Type="http://schemas.openxmlformats.org/officeDocument/2006/relationships/hyperlink" Target="https://www.eesc.europa.eu/de/our-work/opinions-information-reports/opinions/developing-new-european-strategy-internal-market-helping-our-businesses-meet-technological-social-environmental-and"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0" Type="http://schemas.openxmlformats.org/officeDocument/2006/relationships/hyperlink" Target="https://www.eesc.europa.eu/de/our-work/opinions-information-reports/opinions/establishing-head-office-tax-system-smes-hot" TargetMode="External"/><Relationship Id="rId41" Type="http://schemas.openxmlformats.org/officeDocument/2006/relationships/hyperlink" Target="https://www.eesc.europa.eu/de/our-work/opinions-information-reports/opinions/addressing-impact-climate-change-and-environmental-degradation-peace-security-and-defence"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XMKEDVFMMJCW-1998863520-5440</_dlc_DocId>
    <_dlc_DocIdUrl xmlns="56a5413d-c261-4a00-870c-a20d3379ae6d">
      <Url>http://dm/eesc/2023/_layouts/15/DocIdRedir.aspx?ID=XMKEDVFMMJCW-1998863520-5440</Url>
      <Description>XMKEDVFMMJCW-1998863520-5440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Jonnek Holger</DisplayName>
        <AccountId>1582</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7F3D8-ABCF-4253-86B7-2C3B1F428801}"/>
</file>

<file path=customXml/itemProps2.xml><?xml version="1.0" encoding="utf-8"?>
<ds:datastoreItem xmlns:ds="http://schemas.openxmlformats.org/officeDocument/2006/customXml" ds:itemID="{B9C3F88C-16E4-42A2-9BFB-E0021C5A7740}"/>
</file>

<file path=customXml/itemProps3.xml><?xml version="1.0" encoding="utf-8"?>
<ds:datastoreItem xmlns:ds="http://schemas.openxmlformats.org/officeDocument/2006/customXml" ds:itemID="{C3C28946-932F-4935-AD9A-8829A81A1073}"/>
</file>

<file path=customXml/itemProps4.xml><?xml version="1.0" encoding="utf-8"?>
<ds:datastoreItem xmlns:ds="http://schemas.openxmlformats.org/officeDocument/2006/customXml" ds:itemID="{2C199C2E-B654-4CC3-AAC3-16F96459640E}"/>
</file>

<file path=docProps/app.xml><?xml version="1.0" encoding="utf-8"?>
<Properties xmlns="http://schemas.openxmlformats.org/officeDocument/2006/extended-properties" xmlns:vt="http://schemas.openxmlformats.org/officeDocument/2006/docPropsVTypes">
  <Template>Normal.dotm</Template>
  <TotalTime>0</TotalTime>
  <Pages>15</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- 584. Plenartagung Januar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Jonnek Holger</cp:lastModifiedBy>
  <cp:revision>15</cp:revision>
  <cp:lastPrinted>2023-06-15T08:00:00Z</cp:lastPrinted>
  <dcterms:created xsi:type="dcterms:W3CDTF">2024-02-02T10:46:00Z</dcterms:created>
  <dcterms:modified xsi:type="dcterms:W3CDTF">2024-02-02T13:54:00Z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02/02/2024, 29/01/2024, 03/01/2024, 13/11/2023, 25/09/2023, 25/07/2023, 30/06/2023, 23/06/2023, 26/05/2023, 07/03/2023, 11/01/2023, 10/01/2023, 29/03/2022, 04/03/2022, 15/12/2021, 13/09/2021, 03/09/2021, 28/06/2021</vt:lpwstr>
  </property>
  <property fmtid="{D5CDD505-2E9C-101B-9397-08002B2CF9AE}" pid="4" name="Pref_Time">
    <vt:lpwstr>11:41:45, 17:07:09, 15:02:18, 17:01:12, 16:07:19, 11:58:41, 14:00:08, 12:39:02, 15:12:50, 10:27:54, 10:12:15, 11:41:25, 14:21:50, 16:54:06, 17:56:36, 14:13:00, 10:08:10, 08:41:48</vt:lpwstr>
  </property>
  <property fmtid="{D5CDD505-2E9C-101B-9397-08002B2CF9AE}" pid="5" name="Pref_User">
    <vt:lpwstr>pacup, amett, enied, amett, amett, jhvi, pacup, jhvi, pacup, enied, pacup, enied, jhvi, enied, hnic, amett, enied, enied</vt:lpwstr>
  </property>
  <property fmtid="{D5CDD505-2E9C-101B-9397-08002B2CF9AE}" pid="6" name="Pref_FileName">
    <vt:lpwstr>EESC-2023-05816-00-01-TCD-TRA.docx,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0x010100EA97B91038054C99906057A708A1480A00D801061BA64D4F4583C66427878D4C9A</vt:lpwstr>
  </property>
  <property fmtid="{D5CDD505-2E9C-101B-9397-08002B2CF9AE}" pid="8" name="_dlc_DocIdItemGuid">
    <vt:lpwstr>cd2b9d1d-640a-4a04-b5aa-1286d2a9b5ce</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SV|c2ed69e7-a339-43d7-8f22-d93680a92aa0;ES|e7a6b05b-ae16-40c8-add9-68b64b03aeba;LV|46f7e311-5d9f-4663-b433-18aeccb7ace7;HR|2f555653-ed1a-4fe6-8362-9082d95989e5;PT|50ccc04a-eadd-42ae-a0cb-acaf45f812ba;FI|87606a43-d45f-42d6-b8c9-e1a3457db5b7;SK|46d9fce0-ef79-4f71-b89b-cd6aa82426b8;DA|5d49c027-8956-412b-aa16-e85a0f96ad0e;RO|feb747a2-64cd-4299-af12-4833ddc30497;NL|55c6556c-b4f4-441d-9acf-c498d4f838bd;IT|0774613c-01ed-4e5d-a25d-11d2388de825;CS|72f9705b-0217-4fd3-bea2-cbc7ed80e26e;ET|ff6c3f4c-b02c-4c3c-ab07-2c37995a7a0a;HU|6b229040-c589-4408-b4c1-4285663d20a8;EL|6d4f4d51-af9b-4650-94b4-4276bee85c91;EN|f2175f21-25d7-44a3-96da-d6a61b075e1b;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33;#LV|46f7e311-5d9f-4663-b433-18aeccb7ace7;#32;#PT|50ccc04a-eadd-42ae-a0cb-acaf45f812ba;#31;#NL|55c6556c-b4f4-441d-9acf-c498d4f838bd;#40;#RO|feb747a2-64cd-4299-af12-4833ddc30497;#25;#ES|e7a6b05b-ae16-40c8-add9-68b64b03aeba;#38;#EL|6d4f4d51-af9b-4650-94b4-4276bee85c91;#37;#CS|72f9705b-0217-4fd3-bea2-cbc7ed80e26e;#59;#SPL-CES|32d8cb1f-c9ec-4365-95c7-8385a18618ac;#21;#SV|c2ed69e7-a339-43d7-8f22-d93680a92aa0;#45;#ET|ff6c3f4c-b02c-4c3c-ab07-2c37995a7a0a;#44;#BG|1a1b3951-7821-4e6a-85f5-5673fc08bd2c;#46;#HR|2f555653-ed1a-4fe6-8362-9082d95989e5;#9;#Unrestricted|826e22d7-d029-4ec0-a450-0c28ff673572;#8;#TCD|cd9d6eb6-3f4f-424a-b2d1-57c9d450eaaf;#7;#Final|ea5e6674-7b27-4bac-b091-73adbb394efe;#43;#DA|5d49c027-8956-412b-aa16-e85a0f96ad0e;#5;#EN|f2175f21-25d7-44a3-96da-d6a61b075e1b;#41;#HU|6b229040-c589-4408-b4c1-4285663d20a8;#3;#TRA|150d2a88-1431-44e6-a8ca-0bb753ab8672;#1;#EESC|422833ec-8d7e-4e65-8e4e-8bed07ffb729;#30;#IT|0774613c-01ed-4e5d-a25d-11d2388de825</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16;#DE|f6b31e5a-26fa-4935-b661-318e46daf27e</vt:lpwstr>
  </property>
</Properties>
</file>