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47F99" w14:paraId="785AE44C" w14:textId="6BD0B0E3">
      <w:pPr>
        <w:jc w:val="center"/>
      </w:pPr>
      <w:bookmarkStart w:name="_Hlk141173132" w:id="0"/>
      <w:r>
        <w:rPr>
          <w:noProof/>
        </w:rPr>
        <w:drawing>
          <wp:inline distT="0" distB="0" distL="0" distR="0" wp14:anchorId="411EB50C" wp14:editId="5EFEB0C7">
            <wp:extent cx="1792605" cy="1239520"/>
            <wp:effectExtent l="0" t="0" r="0" b="0"/>
            <wp:docPr id="2" name="Picture 2" title="EESCLogo_BG"/>
            <wp:cNvGraphicFramePr/>
            <a:graphic xmlns:a="http://schemas.openxmlformats.org/drawingml/2006/main">
              <a:graphicData uri="http://schemas.openxmlformats.org/drawingml/2006/picture">
                <pic:pic xmlns:pic="http://schemas.openxmlformats.org/drawingml/2006/picture">
                  <pic:nvPicPr>
                    <pic:cNvPr id="2" name="Picture 2"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401ED233"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Брюксел, 2 февруари 2024 г.</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2351233">
            <w:pPr>
              <w:snapToGrid w:val="0"/>
              <w:jc w:val="center"/>
              <w:rPr>
                <w:b/>
                <w:sz w:val="32"/>
              </w:rPr>
            </w:pPr>
            <w:r>
              <w:rPr>
                <w:b/>
                <w:sz w:val="32"/>
              </w:rPr>
              <w:t>58</w:t>
            </w:r>
            <w:r w:rsidR="000159FB">
              <w:rPr>
                <w:b/>
                <w:sz w:val="32"/>
                <w:lang w:val="en-US"/>
              </w:rPr>
              <w:t>4</w:t>
            </w:r>
            <w:r>
              <w:rPr>
                <w:b/>
                <w:sz w:val="32"/>
              </w:rPr>
              <w:t>-та ПЛЕНАРНА СЕСИЯ</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17 и 18 януари 2024 г.</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Настоящият документ е достъпен на официалните езици на уебсайта на ЕИСК на следния адрес:</w:t>
            </w:r>
          </w:p>
          <w:p w:rsidRPr="00094B6B" w:rsidR="00B16284" w:rsidP="00775FC4" w:rsidRDefault="00B16284" w14:paraId="4F26A4CE" w14:textId="77777777">
            <w:pPr>
              <w:snapToGrid w:val="0"/>
              <w:jc w:val="center"/>
            </w:pPr>
          </w:p>
          <w:p w:rsidRPr="00094B6B" w:rsidR="004D7AC0" w:rsidP="00775FC4" w:rsidRDefault="000159FB" w14:paraId="2A9352A2" w14:textId="3B91AFC4">
            <w:pPr>
              <w:snapToGrid w:val="0"/>
              <w:jc w:val="center"/>
            </w:pPr>
            <w:hyperlink w:history="1" r:id="rId12">
              <w:r w:rsidRPr="00210737">
                <w:rPr>
                  <w:rStyle w:val="Hyperlink"/>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Изброените становища могат да бъдат намерени онлайн чрез търсачката на ЕИСК:</w:t>
            </w:r>
          </w:p>
          <w:p w:rsidRPr="00094B6B" w:rsidR="00B16284" w:rsidP="00775FC4" w:rsidRDefault="00B16284" w14:paraId="7A5411A5" w14:textId="77777777">
            <w:pPr>
              <w:snapToGrid w:val="0"/>
              <w:jc w:val="center"/>
            </w:pPr>
          </w:p>
          <w:p w:rsidRPr="00094B6B" w:rsidR="004D7AC0" w:rsidP="00775FC4" w:rsidRDefault="00371636" w14:paraId="441AC4DD" w14:textId="1194D751">
            <w:pPr>
              <w:snapToGrid w:val="0"/>
              <w:jc w:val="center"/>
            </w:pPr>
            <w:hyperlink w:history="1" r:id="rId13">
              <w:r w:rsidR="00847F99">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Съдържание</w:t>
          </w:r>
        </w:p>
        <w:p w:rsidR="00F42CEC" w:rsidRDefault="00544D95" w14:paraId="4FE8B496" w14:textId="598D0BEE">
          <w:pPr>
            <w:pStyle w:val="TOC1"/>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57760935">
            <w:r w:rsidRPr="00A260A6" w:rsidR="00F42CEC">
              <w:rPr>
                <w:rStyle w:val="Hyperlink"/>
                <w14:scene3d>
                  <w14:camera w14:prst="orthographicFront"/>
                  <w14:lightRig w14:rig="threePt" w14:dir="t">
                    <w14:rot w14:lat="0" w14:lon="0" w14:rev="0"/>
                  </w14:lightRig>
                </w14:scene3d>
              </w:rPr>
              <w:t>1.</w:t>
            </w:r>
            <w:r w:rsidR="00F42CEC">
              <w:rPr>
                <w:rFonts w:asciiTheme="minorHAnsi" w:hAnsiTheme="minorHAnsi" w:eastAsiaTheme="minorEastAsia" w:cstheme="minorBidi"/>
                <w:bCs w:val="0"/>
                <w:sz w:val="22"/>
                <w:szCs w:val="22"/>
                <w:lang w:val="fr-BE" w:eastAsia="fr-BE"/>
              </w:rPr>
              <w:tab/>
            </w:r>
            <w:r w:rsidRPr="00A260A6" w:rsidR="00F42CEC">
              <w:rPr>
                <w:rStyle w:val="Hyperlink"/>
                <w:b/>
              </w:rPr>
              <w:t>ИКОНОМИЧЕСКИ И ПАРИЧЕН СЪЮЗ, ИКОНОМИЧЕСКО И СОЦИАЛНО СБЛИЖАВАНЕ</w:t>
            </w:r>
            <w:r w:rsidR="00F42CEC">
              <w:rPr>
                <w:webHidden/>
              </w:rPr>
              <w:fldChar w:fldCharType="begin"/>
            </w:r>
            <w:r w:rsidR="00F42CEC">
              <w:rPr>
                <w:webHidden/>
              </w:rPr>
              <w:instrText xml:space="preserve"> PAGEREF _Toc157760935 \h </w:instrText>
            </w:r>
            <w:r w:rsidR="00F42CEC">
              <w:rPr>
                <w:webHidden/>
              </w:rPr>
            </w:r>
            <w:r w:rsidR="00F42CEC">
              <w:rPr>
                <w:webHidden/>
              </w:rPr>
              <w:fldChar w:fldCharType="separate"/>
            </w:r>
            <w:r w:rsidR="00F42CEC">
              <w:rPr>
                <w:webHidden/>
              </w:rPr>
              <w:t>5</w:t>
            </w:r>
            <w:r w:rsidR="00F42CEC">
              <w:rPr>
                <w:webHidden/>
              </w:rPr>
              <w:fldChar w:fldCharType="end"/>
            </w:r>
          </w:hyperlink>
        </w:p>
        <w:p w:rsidR="00F42CEC" w:rsidRDefault="00371636" w14:paraId="166EEF99" w14:textId="181846F0">
          <w:pPr>
            <w:pStyle w:val="TOC1"/>
            <w:rPr>
              <w:rFonts w:asciiTheme="minorHAnsi" w:hAnsiTheme="minorHAnsi" w:eastAsiaTheme="minorEastAsia" w:cstheme="minorBidi"/>
              <w:bCs w:val="0"/>
              <w:sz w:val="22"/>
              <w:szCs w:val="22"/>
              <w:lang w:val="fr-BE" w:eastAsia="fr-BE"/>
            </w:rPr>
          </w:pPr>
          <w:hyperlink w:history="1" w:anchor="_Toc157760950">
            <w:r w:rsidRPr="00A260A6" w:rsidR="00F42CEC">
              <w:rPr>
                <w:rStyle w:val="Hyperlink"/>
                <w14:scene3d>
                  <w14:camera w14:prst="orthographicFront"/>
                  <w14:lightRig w14:rig="threePt" w14:dir="t">
                    <w14:rot w14:lat="0" w14:lon="0" w14:rev="0"/>
                  </w14:lightRig>
                </w14:scene3d>
              </w:rPr>
              <w:t>2.</w:t>
            </w:r>
            <w:r w:rsidR="00F42CEC">
              <w:rPr>
                <w:rFonts w:asciiTheme="minorHAnsi" w:hAnsiTheme="minorHAnsi" w:eastAsiaTheme="minorEastAsia" w:cstheme="minorBidi"/>
                <w:bCs w:val="0"/>
                <w:sz w:val="22"/>
                <w:szCs w:val="22"/>
                <w:lang w:val="fr-BE" w:eastAsia="fr-BE"/>
              </w:rPr>
              <w:tab/>
            </w:r>
            <w:r w:rsidRPr="00A260A6" w:rsidR="00F42CEC">
              <w:rPr>
                <w:rStyle w:val="Hyperlink"/>
                <w:b/>
              </w:rPr>
              <w:t>ЕДИНЕН ПАЗАР, ПРОИЗВОДСТВО И ПОТРЕБЛЕНИЕ</w:t>
            </w:r>
            <w:r w:rsidR="00F42CEC">
              <w:rPr>
                <w:webHidden/>
              </w:rPr>
              <w:tab/>
            </w:r>
            <w:r w:rsidR="00F42CEC">
              <w:rPr>
                <w:webHidden/>
              </w:rPr>
              <w:fldChar w:fldCharType="begin"/>
            </w:r>
            <w:r w:rsidR="00F42CEC">
              <w:rPr>
                <w:webHidden/>
              </w:rPr>
              <w:instrText xml:space="preserve"> PAGEREF _Toc157760950 \h </w:instrText>
            </w:r>
            <w:r w:rsidR="00F42CEC">
              <w:rPr>
                <w:webHidden/>
              </w:rPr>
            </w:r>
            <w:r w:rsidR="00F42CEC">
              <w:rPr>
                <w:webHidden/>
              </w:rPr>
              <w:fldChar w:fldCharType="separate"/>
            </w:r>
            <w:r w:rsidR="00F42CEC">
              <w:rPr>
                <w:webHidden/>
              </w:rPr>
              <w:t>9</w:t>
            </w:r>
            <w:r w:rsidR="00F42CEC">
              <w:rPr>
                <w:webHidden/>
              </w:rPr>
              <w:fldChar w:fldCharType="end"/>
            </w:r>
          </w:hyperlink>
        </w:p>
        <w:p w:rsidR="00F42CEC" w:rsidRDefault="00371636" w14:paraId="38EA7E06" w14:textId="2B741C91">
          <w:pPr>
            <w:pStyle w:val="TOC1"/>
            <w:rPr>
              <w:rFonts w:asciiTheme="minorHAnsi" w:hAnsiTheme="minorHAnsi" w:eastAsiaTheme="minorEastAsia" w:cstheme="minorBidi"/>
              <w:bCs w:val="0"/>
              <w:sz w:val="22"/>
              <w:szCs w:val="22"/>
              <w:lang w:val="fr-BE" w:eastAsia="fr-BE"/>
            </w:rPr>
          </w:pPr>
          <w:hyperlink w:history="1" w:anchor="_Toc157760951">
            <w:r w:rsidRPr="00A260A6" w:rsidR="00F42CEC">
              <w:rPr>
                <w:rStyle w:val="Hyperlink"/>
                <w14:scene3d>
                  <w14:camera w14:prst="orthographicFront"/>
                  <w14:lightRig w14:rig="threePt" w14:dir="t">
                    <w14:rot w14:lat="0" w14:lon="0" w14:rev="0"/>
                  </w14:lightRig>
                </w14:scene3d>
              </w:rPr>
              <w:t>3.</w:t>
            </w:r>
            <w:r w:rsidR="00F42CEC">
              <w:rPr>
                <w:rFonts w:asciiTheme="minorHAnsi" w:hAnsiTheme="minorHAnsi" w:eastAsiaTheme="minorEastAsia" w:cstheme="minorBidi"/>
                <w:bCs w:val="0"/>
                <w:sz w:val="22"/>
                <w:szCs w:val="22"/>
                <w:lang w:val="fr-BE" w:eastAsia="fr-BE"/>
              </w:rPr>
              <w:tab/>
            </w:r>
            <w:r w:rsidRPr="00A260A6" w:rsidR="00F42CEC">
              <w:rPr>
                <w:rStyle w:val="Hyperlink"/>
                <w:b/>
              </w:rPr>
              <w:t>ЗЕМЕДЕЛИЕ, РАЗВИТИЕ НА СЕЛСКИТЕ РАЙОНИ, ОКОЛНА СРЕДА</w:t>
            </w:r>
            <w:r w:rsidR="00F42CEC">
              <w:rPr>
                <w:webHidden/>
              </w:rPr>
              <w:tab/>
            </w:r>
            <w:r w:rsidR="00F42CEC">
              <w:rPr>
                <w:webHidden/>
              </w:rPr>
              <w:fldChar w:fldCharType="begin"/>
            </w:r>
            <w:r w:rsidR="00F42CEC">
              <w:rPr>
                <w:webHidden/>
              </w:rPr>
              <w:instrText xml:space="preserve"> PAGEREF _Toc157760951 \h </w:instrText>
            </w:r>
            <w:r w:rsidR="00F42CEC">
              <w:rPr>
                <w:webHidden/>
              </w:rPr>
            </w:r>
            <w:r w:rsidR="00F42CEC">
              <w:rPr>
                <w:webHidden/>
              </w:rPr>
              <w:fldChar w:fldCharType="separate"/>
            </w:r>
            <w:r w:rsidR="00F42CEC">
              <w:rPr>
                <w:webHidden/>
              </w:rPr>
              <w:t>21</w:t>
            </w:r>
            <w:r w:rsidR="00F42CEC">
              <w:rPr>
                <w:webHidden/>
              </w:rPr>
              <w:fldChar w:fldCharType="end"/>
            </w:r>
          </w:hyperlink>
        </w:p>
        <w:p w:rsidR="00F42CEC" w:rsidRDefault="00371636" w14:paraId="408C5FCE" w14:textId="319287D2">
          <w:pPr>
            <w:pStyle w:val="TOC1"/>
            <w:rPr>
              <w:rFonts w:asciiTheme="minorHAnsi" w:hAnsiTheme="minorHAnsi" w:eastAsiaTheme="minorEastAsia" w:cstheme="minorBidi"/>
              <w:bCs w:val="0"/>
              <w:sz w:val="22"/>
              <w:szCs w:val="22"/>
              <w:lang w:val="fr-BE" w:eastAsia="fr-BE"/>
            </w:rPr>
          </w:pPr>
          <w:hyperlink w:history="1" w:anchor="_Toc157760961">
            <w:r w:rsidRPr="00A260A6" w:rsidR="00F42CEC">
              <w:rPr>
                <w:rStyle w:val="Hyperlink"/>
                <w14:scene3d>
                  <w14:camera w14:prst="orthographicFront"/>
                  <w14:lightRig w14:rig="threePt" w14:dir="t">
                    <w14:rot w14:lat="0" w14:lon="0" w14:rev="0"/>
                  </w14:lightRig>
                </w14:scene3d>
              </w:rPr>
              <w:t>4.</w:t>
            </w:r>
            <w:r w:rsidR="00F42CEC">
              <w:rPr>
                <w:rFonts w:asciiTheme="minorHAnsi" w:hAnsiTheme="minorHAnsi" w:eastAsiaTheme="minorEastAsia" w:cstheme="minorBidi"/>
                <w:bCs w:val="0"/>
                <w:sz w:val="22"/>
                <w:szCs w:val="22"/>
                <w:lang w:val="fr-BE" w:eastAsia="fr-BE"/>
              </w:rPr>
              <w:tab/>
            </w:r>
            <w:r w:rsidRPr="00A260A6" w:rsidR="00F42CEC">
              <w:rPr>
                <w:rStyle w:val="Hyperlink"/>
                <w:b/>
              </w:rPr>
              <w:t>ВЪНШНИ ОТНОШЕНИЯ</w:t>
            </w:r>
            <w:r w:rsidR="00F42CEC">
              <w:rPr>
                <w:webHidden/>
              </w:rPr>
              <w:tab/>
            </w:r>
            <w:r w:rsidR="00F42CEC">
              <w:rPr>
                <w:webHidden/>
              </w:rPr>
              <w:fldChar w:fldCharType="begin"/>
            </w:r>
            <w:r w:rsidR="00F42CEC">
              <w:rPr>
                <w:webHidden/>
              </w:rPr>
              <w:instrText xml:space="preserve"> PAGEREF _Toc157760961 \h </w:instrText>
            </w:r>
            <w:r w:rsidR="00F42CEC">
              <w:rPr>
                <w:webHidden/>
              </w:rPr>
            </w:r>
            <w:r w:rsidR="00F42CEC">
              <w:rPr>
                <w:webHidden/>
              </w:rPr>
              <w:fldChar w:fldCharType="separate"/>
            </w:r>
            <w:r w:rsidR="00F42CEC">
              <w:rPr>
                <w:webHidden/>
              </w:rPr>
              <w:t>24</w:t>
            </w:r>
            <w:r w:rsidR="00F42CEC">
              <w:rPr>
                <w:webHidden/>
              </w:rPr>
              <w:fldChar w:fldCharType="end"/>
            </w:r>
          </w:hyperlink>
        </w:p>
        <w:p w:rsidR="00F42CEC" w:rsidRDefault="00371636" w14:paraId="644445B7" w14:textId="122C7785">
          <w:pPr>
            <w:pStyle w:val="TOC1"/>
            <w:rPr>
              <w:rFonts w:asciiTheme="minorHAnsi" w:hAnsiTheme="minorHAnsi" w:eastAsiaTheme="minorEastAsia" w:cstheme="minorBidi"/>
              <w:bCs w:val="0"/>
              <w:sz w:val="22"/>
              <w:szCs w:val="22"/>
              <w:lang w:val="fr-BE" w:eastAsia="fr-BE"/>
            </w:rPr>
          </w:pPr>
          <w:hyperlink w:history="1" w:anchor="_Toc157760962">
            <w:r w:rsidRPr="00A260A6" w:rsidR="00F42CEC">
              <w:rPr>
                <w:rStyle w:val="Hyperlink"/>
                <w14:scene3d>
                  <w14:camera w14:prst="orthographicFront"/>
                  <w14:lightRig w14:rig="threePt" w14:dir="t">
                    <w14:rot w14:lat="0" w14:lon="0" w14:rev="0"/>
                  </w14:lightRig>
                </w14:scene3d>
              </w:rPr>
              <w:t>5.</w:t>
            </w:r>
            <w:r w:rsidR="00F42CEC">
              <w:rPr>
                <w:rFonts w:asciiTheme="minorHAnsi" w:hAnsiTheme="minorHAnsi" w:eastAsiaTheme="minorEastAsia" w:cstheme="minorBidi"/>
                <w:bCs w:val="0"/>
                <w:sz w:val="22"/>
                <w:szCs w:val="22"/>
                <w:lang w:val="fr-BE" w:eastAsia="fr-BE"/>
              </w:rPr>
              <w:tab/>
            </w:r>
            <w:r w:rsidRPr="00A260A6" w:rsidR="00F42CEC">
              <w:rPr>
                <w:rStyle w:val="Hyperlink"/>
                <w:b/>
              </w:rPr>
              <w:t>ТРАНСПОРТ, ЕНЕРГЕТИКА, ИНФРАСТРУКТУРИ, ИНФОРМАЦИОННО ОБЩЕСТВО</w:t>
            </w:r>
            <w:r w:rsidR="00F42CEC">
              <w:rPr>
                <w:webHidden/>
              </w:rPr>
              <w:tab/>
            </w:r>
            <w:r w:rsidR="00F42CEC">
              <w:rPr>
                <w:webHidden/>
              </w:rPr>
              <w:fldChar w:fldCharType="begin"/>
            </w:r>
            <w:r w:rsidR="00F42CEC">
              <w:rPr>
                <w:webHidden/>
              </w:rPr>
              <w:instrText xml:space="preserve"> PAGEREF _Toc157760962 \h </w:instrText>
            </w:r>
            <w:r w:rsidR="00F42CEC">
              <w:rPr>
                <w:webHidden/>
              </w:rPr>
            </w:r>
            <w:r w:rsidR="00F42CEC">
              <w:rPr>
                <w:webHidden/>
              </w:rPr>
              <w:fldChar w:fldCharType="separate"/>
            </w:r>
            <w:r w:rsidR="00F42CEC">
              <w:rPr>
                <w:webHidden/>
              </w:rPr>
              <w:t>26</w:t>
            </w:r>
            <w:r w:rsidR="00F42CEC">
              <w:rPr>
                <w:webHidden/>
              </w:rPr>
              <w:fldChar w:fldCharType="end"/>
            </w:r>
          </w:hyperlink>
        </w:p>
        <w:p w:rsidRPr="00544D95" w:rsidR="00544D95" w:rsidP="00544D95" w:rsidRDefault="00544D95" w14:paraId="589C47D7" w14:textId="2A335C31">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760935" w:id="1"/>
      <w:r>
        <w:rPr>
          <w:b/>
        </w:rPr>
        <w:lastRenderedPageBreak/>
        <w:t>ИКОНОМИЧЕСКИ И ПАРИЧЕН СЪЮЗ, ИКОНОМИЧЕСКО И СОЦИАЛНО СБЛИЖАВАНЕ</w:t>
      </w:r>
      <w:bookmarkEnd w:id="1"/>
    </w:p>
    <w:p w:rsidRPr="00EE2FBD" w:rsidR="00B807B4" w:rsidP="00C83487" w:rsidRDefault="00B807B4" w14:paraId="3CAC710B" w14:textId="11524E6A">
      <w:pPr>
        <w:pStyle w:val="Heading1"/>
        <w:numPr>
          <w:ilvl w:val="0"/>
          <w:numId w:val="0"/>
        </w:numPr>
        <w:spacing w:before="0"/>
        <w:ind w:left="930"/>
        <w:rPr>
          <w:b/>
          <w:bCs/>
        </w:rPr>
      </w:pPr>
    </w:p>
    <w:p w:rsidR="00431C35" w:rsidP="002048E0" w:rsidRDefault="00371636" w14:paraId="45DADAC7" w14:textId="77777777">
      <w:pPr>
        <w:widowControl w:val="0"/>
        <w:numPr>
          <w:ilvl w:val="0"/>
          <w:numId w:val="2"/>
        </w:numPr>
        <w:overflowPunct w:val="0"/>
        <w:autoSpaceDE w:val="0"/>
        <w:autoSpaceDN w:val="0"/>
        <w:adjustRightInd w:val="0"/>
        <w:ind w:hanging="425"/>
        <w:textAlignment w:val="baseline"/>
      </w:pPr>
      <w:hyperlink w:history="1" r:id="rId15">
        <w:r w:rsidR="00126CEB">
          <w:rPr>
            <w:b/>
            <w:i/>
            <w:color w:val="0000FF"/>
            <w:sz w:val="28"/>
            <w:u w:val="single"/>
          </w:rPr>
          <w:t>Създаване на система за данъчно облагане по главно управление за МСП</w:t>
        </w:r>
      </w:hyperlink>
    </w:p>
    <w:p w:rsidR="00C83487" w:rsidP="00126CEB" w:rsidRDefault="00C83487" w14:paraId="4F67DFBB" w14:textId="5908E8E1">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4240"/>
      </w:tblGrid>
      <w:tr w:rsidRPr="00126CEB" w:rsidR="00126CEB" w:rsidTr="00431C35" w14:paraId="643BD7EA" w14:textId="77777777">
        <w:tc>
          <w:tcPr>
            <w:tcW w:w="0" w:type="auto"/>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126CEB" w:rsidR="00126CEB" w:rsidP="00126CEB" w:rsidRDefault="00126CEB" w14:paraId="54D0AAF8" w14:textId="797CAA0D">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(група „Работодатели“ — LV)</w:t>
            </w:r>
          </w:p>
        </w:tc>
      </w:tr>
      <w:tr w:rsidRPr="00126CEB" w:rsidR="00126CEB" w:rsidTr="00431C35" w14:paraId="6438AE49" w14:textId="77777777">
        <w:tc>
          <w:tcPr>
            <w:tcW w:w="0" w:type="auto"/>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431C35" w14:paraId="331D9187" w14:textId="77777777">
        <w:tc>
          <w:tcPr>
            <w:tcW w:w="0" w:type="auto"/>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126CEB" w:rsidR="00126CEB" w:rsidP="00126CEB" w:rsidRDefault="00126CEB" w14:paraId="55EDF860" w14:textId="6A01D903">
            <w:pPr>
              <w:tabs>
                <w:tab w:val="center" w:pos="284"/>
              </w:tabs>
              <w:overflowPunct w:val="0"/>
              <w:autoSpaceDE w:val="0"/>
              <w:autoSpaceDN w:val="0"/>
              <w:adjustRightInd w:val="0"/>
              <w:ind w:left="266" w:hanging="266"/>
              <w:textAlignment w:val="baseline"/>
            </w:pPr>
            <w:r>
              <w:t xml:space="preserve">COM(2023) 528 </w:t>
            </w:r>
            <w:proofErr w:type="spellStart"/>
            <w:r>
              <w:t>final</w:t>
            </w:r>
            <w:proofErr w:type="spellEnd"/>
          </w:p>
          <w:p w:rsidRPr="00126CEB" w:rsidR="00126CEB" w:rsidP="00126CEB" w:rsidRDefault="00126CEB" w14:paraId="255E70E4" w14:textId="63EF38EE">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ЕИСК:</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2048E0" w:rsidRDefault="00126CEB" w14:paraId="17A05DD3" w14:textId="7C1AD24C">
      <w:pPr>
        <w:numPr>
          <w:ilvl w:val="0"/>
          <w:numId w:val="33"/>
        </w:numPr>
        <w:overflowPunct w:val="0"/>
        <w:autoSpaceDE w:val="0"/>
        <w:autoSpaceDN w:val="0"/>
        <w:adjustRightInd w:val="0"/>
        <w:ind w:left="567" w:hanging="567"/>
        <w:textAlignment w:val="baseline"/>
        <w:outlineLvl w:val="1"/>
        <w:rPr>
          <w:szCs w:val="20"/>
        </w:rPr>
      </w:pPr>
      <w:bookmarkStart w:name="_Toc157076136" w:id="2"/>
      <w:bookmarkStart w:name="_Toc157760936" w:id="3"/>
      <w:r>
        <w:t>подкрепя предложението на ЕК за създаване на система за данъчно облагане по главно управление за микро-, малките и средните предприятия (ММСП) и нейните цели, тъй</w:t>
      </w:r>
      <w:r w:rsidR="00431C35">
        <w:t> </w:t>
      </w:r>
      <w:r>
        <w:t>като те съответстват на стремежа за укрепване на ММСП, опростяване на техните трансгранични дейности и намаляване на административните и финансовите пречки, при което се повишава цялостната конкурентоспособност на тези предприятия;</w:t>
      </w:r>
      <w:bookmarkEnd w:id="2"/>
      <w:bookmarkEnd w:id="3"/>
    </w:p>
    <w:p w:rsidRPr="00126CEB" w:rsidR="00126CEB" w:rsidP="002048E0" w:rsidRDefault="00126CEB" w14:paraId="7E3C2B4F" w14:textId="77777777">
      <w:pPr>
        <w:numPr>
          <w:ilvl w:val="0"/>
          <w:numId w:val="33"/>
        </w:numPr>
        <w:overflowPunct w:val="0"/>
        <w:autoSpaceDE w:val="0"/>
        <w:autoSpaceDN w:val="0"/>
        <w:adjustRightInd w:val="0"/>
        <w:ind w:left="567" w:hanging="567"/>
        <w:textAlignment w:val="baseline"/>
        <w:outlineLvl w:val="1"/>
        <w:rPr>
          <w:szCs w:val="20"/>
        </w:rPr>
      </w:pPr>
      <w:bookmarkStart w:name="_Toc157076137" w:id="4"/>
      <w:bookmarkStart w:name="_Toc157760937" w:id="5"/>
      <w:r>
        <w:t>отбелязва, че приемането на предложението за създаване на система за данъчно облагане по главно управление ще донесе висока добавена стойност за предприятията, служителите и държавите членки. Намаляването на административната тежест за ММСП ще донесе повече конкурентни предимства на ежедневните им дейности;</w:t>
      </w:r>
      <w:bookmarkEnd w:id="4"/>
      <w:bookmarkEnd w:id="5"/>
    </w:p>
    <w:p w:rsidRPr="00126CEB" w:rsidR="00126CEB" w:rsidP="002048E0" w:rsidRDefault="00126CEB" w14:paraId="655676B9" w14:textId="77777777">
      <w:pPr>
        <w:numPr>
          <w:ilvl w:val="0"/>
          <w:numId w:val="33"/>
        </w:numPr>
        <w:overflowPunct w:val="0"/>
        <w:autoSpaceDE w:val="0"/>
        <w:autoSpaceDN w:val="0"/>
        <w:adjustRightInd w:val="0"/>
        <w:ind w:left="567" w:hanging="567"/>
        <w:textAlignment w:val="baseline"/>
        <w:outlineLvl w:val="1"/>
        <w:rPr>
          <w:szCs w:val="20"/>
        </w:rPr>
      </w:pPr>
      <w:bookmarkStart w:name="_Toc157076138" w:id="6"/>
      <w:bookmarkStart w:name="_Toc157760938" w:id="7"/>
      <w:r>
        <w:t>настоятелно призовава да не се забавя приемането на предложението на ЕК за създаване на система за данъчно облагане по главно управление, която да засили растежа на ММСП и да насърчи еднакви условия на конкуренция за участието на ММСП с трансгранични операции на вътрешния пазар, като по този начин допринесе за дългосрочния растеж на БВП и заетостта;</w:t>
      </w:r>
      <w:bookmarkEnd w:id="6"/>
      <w:bookmarkEnd w:id="7"/>
    </w:p>
    <w:p w:rsidRPr="00126CEB" w:rsidR="00126CEB" w:rsidP="002048E0" w:rsidRDefault="00126CEB" w14:paraId="41158F51" w14:textId="77777777">
      <w:pPr>
        <w:numPr>
          <w:ilvl w:val="0"/>
          <w:numId w:val="33"/>
        </w:numPr>
        <w:overflowPunct w:val="0"/>
        <w:autoSpaceDE w:val="0"/>
        <w:autoSpaceDN w:val="0"/>
        <w:adjustRightInd w:val="0"/>
        <w:ind w:left="567" w:hanging="567"/>
        <w:textAlignment w:val="baseline"/>
        <w:outlineLvl w:val="1"/>
        <w:rPr>
          <w:szCs w:val="20"/>
        </w:rPr>
      </w:pPr>
      <w:bookmarkStart w:name="_Toc157076139" w:id="8"/>
      <w:bookmarkStart w:name="_Toc157760939" w:id="9"/>
      <w:r>
        <w:t>счита, че системата за данъчно облагане по главно управление ще засили и подобри сътрудничеството между данъчните органи в държавите членки. То е от ключово значение за успешното и съдържателно прилагане на тази система и за постигането на поставените цели;</w:t>
      </w:r>
      <w:bookmarkEnd w:id="8"/>
      <w:bookmarkEnd w:id="9"/>
    </w:p>
    <w:p w:rsidRPr="00126CEB" w:rsidR="00126CEB" w:rsidP="002048E0" w:rsidRDefault="00126CEB" w14:paraId="7327F6C8" w14:textId="4728BAB5">
      <w:pPr>
        <w:numPr>
          <w:ilvl w:val="0"/>
          <w:numId w:val="33"/>
        </w:numPr>
        <w:overflowPunct w:val="0"/>
        <w:autoSpaceDE w:val="0"/>
        <w:autoSpaceDN w:val="0"/>
        <w:adjustRightInd w:val="0"/>
        <w:ind w:left="567" w:hanging="567"/>
        <w:textAlignment w:val="baseline"/>
        <w:outlineLvl w:val="1"/>
        <w:rPr>
          <w:szCs w:val="20"/>
        </w:rPr>
      </w:pPr>
      <w:bookmarkStart w:name="_Toc157076140" w:id="10"/>
      <w:bookmarkStart w:name="_Toc157760940" w:id="11"/>
      <w:r>
        <w:t>настоятелно призовава ЕК да работи в тясно сътрудничество с държавите членки и организациите, представляващи ММСП, след приемането на предложението с цел повишаване на осведомеността относно наличния механизъм за данъчно облагане по главно управление между ММСП, за да се постигнат по-добре целите за намаляване на регулаторната тежест, увеличаване на трансграничната дейност и пълноценно използване на предимствата на единния пазар.</w:t>
      </w:r>
      <w:bookmarkEnd w:id="10"/>
      <w:bookmarkEnd w:id="11"/>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628"/>
      </w:tblGrid>
      <w:tr w:rsidRPr="00126CEB" w:rsidR="00126CEB" w:rsidTr="00431C35" w14:paraId="6F0A6D34" w14:textId="77777777">
        <w:tc>
          <w:tcPr>
            <w:tcW w:w="0" w:type="auto"/>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За контакт</w:t>
            </w:r>
          </w:p>
        </w:tc>
        <w:tc>
          <w:tcPr>
            <w:tcW w:w="0" w:type="auto"/>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126CEB" w:rsidR="00126CEB" w:rsidTr="00431C35" w14:paraId="701BA604" w14:textId="77777777">
        <w:tc>
          <w:tcPr>
            <w:tcW w:w="0" w:type="auto"/>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Тел.</w:t>
            </w:r>
          </w:p>
        </w:tc>
        <w:tc>
          <w:tcPr>
            <w:tcW w:w="0" w:type="auto"/>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+32 25469628</w:t>
            </w:r>
          </w:p>
        </w:tc>
      </w:tr>
      <w:tr w:rsidRPr="00126CEB" w:rsidR="00126CEB" w:rsidTr="00431C35" w14:paraId="6A7E9917" w14:textId="77777777">
        <w:tc>
          <w:tcPr>
            <w:tcW w:w="0" w:type="auto"/>
          </w:tcPr>
          <w:p w:rsidRPr="00126CEB" w:rsidR="00126CEB" w:rsidP="00126CEB" w:rsidRDefault="001F11A4" w14:paraId="6FBCCB68" w14:textId="6DF0C0C9">
            <w:pPr>
              <w:overflowPunct w:val="0"/>
              <w:autoSpaceDE w:val="0"/>
              <w:autoSpaceDN w:val="0"/>
              <w:adjustRightInd w:val="0"/>
              <w:spacing w:line="240" w:lineRule="auto"/>
              <w:textAlignment w:val="baseline"/>
              <w:rPr>
                <w:i/>
              </w:rPr>
            </w:pPr>
            <w:r>
              <w:rPr>
                <w:i/>
              </w:rPr>
              <w:t>Електронен адрес</w:t>
            </w:r>
          </w:p>
        </w:tc>
        <w:tc>
          <w:tcPr>
            <w:tcW w:w="0" w:type="auto"/>
          </w:tcPr>
          <w:p w:rsidRPr="00C83487" w:rsidR="00126CEB" w:rsidP="00126CEB" w:rsidRDefault="00371636" w14:paraId="40D946D1" w14:textId="201B9EAD">
            <w:pPr>
              <w:overflowPunct w:val="0"/>
              <w:autoSpaceDE w:val="0"/>
              <w:autoSpaceDN w:val="0"/>
              <w:adjustRightInd w:val="0"/>
              <w:spacing w:line="240" w:lineRule="auto"/>
              <w:textAlignment w:val="baseline"/>
              <w:rPr>
                <w:i/>
                <w:iCs/>
              </w:rPr>
            </w:pPr>
            <w:hyperlink w:history="1" r:id="rId16">
              <w:r w:rsidR="00847F99">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2048E0" w:rsidRDefault="00371636"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17">
        <w:r w:rsidR="002435FB">
          <w:rPr>
            <w:b/>
            <w:i/>
            <w:color w:val="0000FF"/>
            <w:sz w:val="28"/>
            <w:u w:val="single"/>
          </w:rPr>
          <w:t>Икономическата политика на еврозоната (2024 г.)</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5540"/>
      </w:tblGrid>
      <w:tr w:rsidRPr="002435FB" w:rsidR="002435FB" w:rsidTr="00431C35" w14:paraId="05716C64" w14:textId="77777777">
        <w:tc>
          <w:tcPr>
            <w:tcW w:w="0" w:type="auto"/>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proofErr w:type="spellStart"/>
            <w:r>
              <w:t>Konstantinos</w:t>
            </w:r>
            <w:proofErr w:type="spellEnd"/>
            <w:r>
              <w:t xml:space="preserve"> DIAMANTOUROS (група „Работодатели“ — EL)</w:t>
            </w:r>
          </w:p>
        </w:tc>
      </w:tr>
      <w:tr w:rsidRPr="002435FB" w:rsidR="002435FB" w:rsidTr="00431C35" w14:paraId="29C12FB2" w14:textId="77777777">
        <w:tc>
          <w:tcPr>
            <w:tcW w:w="0" w:type="auto"/>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431C35" w14:paraId="324AA8CD" w14:textId="77777777">
        <w:tc>
          <w:tcPr>
            <w:tcW w:w="0" w:type="auto"/>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000B3917" w:rsidP="002435FB" w:rsidRDefault="002435FB" w14:paraId="222638D0" w14:textId="77777777">
            <w:pPr>
              <w:tabs>
                <w:tab w:val="center" w:pos="284"/>
              </w:tabs>
              <w:overflowPunct w:val="0"/>
              <w:autoSpaceDE w:val="0"/>
              <w:autoSpaceDN w:val="0"/>
              <w:adjustRightInd w:val="0"/>
              <w:textAlignment w:val="baseline"/>
            </w:pPr>
            <w:r>
              <w:t xml:space="preserve">COM(2023) 903 </w:t>
            </w:r>
            <w:proofErr w:type="spellStart"/>
            <w:r>
              <w:t>final</w:t>
            </w:r>
            <w:proofErr w:type="spellEnd"/>
          </w:p>
          <w:p w:rsidRPr="002435FB" w:rsidR="002435FB" w:rsidP="002435FB" w:rsidRDefault="002435FB" w14:paraId="4D3CD881" w14:textId="0EDD4C8E">
            <w:pPr>
              <w:tabs>
                <w:tab w:val="center" w:pos="284"/>
              </w:tabs>
              <w:overflowPunct w:val="0"/>
              <w:autoSpaceDE w:val="0"/>
              <w:autoSpaceDN w:val="0"/>
              <w:adjustRightInd w:val="0"/>
              <w:textAlignment w:val="baseline"/>
            </w:pPr>
            <w:r>
              <w:t>EESC-2023-04821-00-00-AC</w:t>
            </w:r>
          </w:p>
        </w:tc>
      </w:tr>
    </w:tbl>
    <w:p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2048E0"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Основни аспекти</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2048E0" w:rsidRDefault="002435FB" w14:paraId="41A4E45B" w14:textId="77777777">
      <w:pPr>
        <w:overflowPunct w:val="0"/>
        <w:autoSpaceDE w:val="0"/>
        <w:autoSpaceDN w:val="0"/>
        <w:adjustRightInd w:val="0"/>
        <w:ind w:left="425" w:hanging="283"/>
        <w:textAlignment w:val="baseline"/>
        <w:rPr>
          <w:bCs/>
          <w:iCs/>
          <w:highlight w:val="yellow"/>
        </w:rPr>
      </w:pPr>
      <w:r>
        <w:t>ЕИСК:</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00F42CEC" w:rsidP="002048E0" w:rsidRDefault="002435FB" w14:paraId="7BCD18BB" w14:textId="77777777">
      <w:pPr>
        <w:numPr>
          <w:ilvl w:val="0"/>
          <w:numId w:val="34"/>
        </w:numPr>
        <w:overflowPunct w:val="0"/>
        <w:autoSpaceDE w:val="0"/>
        <w:autoSpaceDN w:val="0"/>
        <w:adjustRightInd w:val="0"/>
        <w:ind w:left="567" w:hanging="567"/>
        <w:textAlignment w:val="baseline"/>
        <w:outlineLvl w:val="1"/>
      </w:pPr>
      <w:bookmarkStart w:name="_Toc157076141" w:id="12"/>
      <w:bookmarkStart w:name="_Toc157760941" w:id="13"/>
      <w:r>
        <w:t>приветства препоръките за еврозоната на Европейската комисия и като цяло ги споделя, както и нейната оценка на настоящата икономическа ситуация;</w:t>
      </w:r>
      <w:bookmarkEnd w:id="12"/>
      <w:bookmarkEnd w:id="13"/>
    </w:p>
    <w:p w:rsidRPr="002435FB" w:rsidR="002435FB" w:rsidP="002048E0" w:rsidRDefault="002435FB" w14:paraId="79D8B48A" w14:textId="188685F0">
      <w:pPr>
        <w:numPr>
          <w:ilvl w:val="0"/>
          <w:numId w:val="34"/>
        </w:numPr>
        <w:overflowPunct w:val="0"/>
        <w:autoSpaceDE w:val="0"/>
        <w:autoSpaceDN w:val="0"/>
        <w:adjustRightInd w:val="0"/>
        <w:ind w:left="567" w:hanging="567"/>
        <w:textAlignment w:val="baseline"/>
        <w:outlineLvl w:val="1"/>
        <w:rPr>
          <w:szCs w:val="20"/>
        </w:rPr>
      </w:pPr>
      <w:bookmarkStart w:name="_Toc157076142" w:id="14"/>
      <w:bookmarkStart w:name="_Toc157760942" w:id="15"/>
      <w:r>
        <w:t xml:space="preserve">настоятелно призовава Европейската централна банка (ЕЦБ) да възприеме </w:t>
      </w:r>
      <w:proofErr w:type="spellStart"/>
      <w:r>
        <w:t>пруденциален</w:t>
      </w:r>
      <w:proofErr w:type="spellEnd"/>
      <w:r>
        <w:t xml:space="preserve"> подход, въз основа на динамична и основана на данни парична политика, за да се намали допълнително инфлацията до достигането на целта, и изразява подкрепата си за постоянна координация на фискалната политика на държавите членки с паричната политика на ЕЦБ;</w:t>
      </w:r>
      <w:bookmarkEnd w:id="14"/>
      <w:bookmarkEnd w:id="15"/>
    </w:p>
    <w:p w:rsidRPr="002435FB" w:rsidR="002435FB" w:rsidP="002048E0" w:rsidRDefault="002435FB" w14:paraId="0992FDE2" w14:textId="77777777">
      <w:pPr>
        <w:numPr>
          <w:ilvl w:val="0"/>
          <w:numId w:val="34"/>
        </w:numPr>
        <w:overflowPunct w:val="0"/>
        <w:autoSpaceDE w:val="0"/>
        <w:autoSpaceDN w:val="0"/>
        <w:adjustRightInd w:val="0"/>
        <w:ind w:left="567" w:hanging="567"/>
        <w:textAlignment w:val="baseline"/>
        <w:outlineLvl w:val="1"/>
        <w:rPr>
          <w:szCs w:val="20"/>
        </w:rPr>
      </w:pPr>
      <w:bookmarkStart w:name="_Toc157076143" w:id="16"/>
      <w:bookmarkStart w:name="_Toc157760943" w:id="17"/>
      <w:r>
        <w:t>подкрепя призива на Комисията за фискална консолидация и настоятелно приканва държавите членки да постигнат споразумение относно реформата на Пакта за стабилност и растеж преди края на годината;</w:t>
      </w:r>
      <w:bookmarkEnd w:id="16"/>
      <w:bookmarkEnd w:id="17"/>
    </w:p>
    <w:p w:rsidRPr="002435FB" w:rsidR="002435FB" w:rsidP="002048E0" w:rsidRDefault="002435FB" w14:paraId="6722825E" w14:textId="77777777">
      <w:pPr>
        <w:numPr>
          <w:ilvl w:val="0"/>
          <w:numId w:val="34"/>
        </w:numPr>
        <w:overflowPunct w:val="0"/>
        <w:autoSpaceDE w:val="0"/>
        <w:autoSpaceDN w:val="0"/>
        <w:adjustRightInd w:val="0"/>
        <w:ind w:left="567" w:hanging="567"/>
        <w:textAlignment w:val="baseline"/>
        <w:outlineLvl w:val="1"/>
        <w:rPr>
          <w:szCs w:val="20"/>
        </w:rPr>
      </w:pPr>
      <w:bookmarkStart w:name="_Toc157076144" w:id="18"/>
      <w:bookmarkStart w:name="_Toc157760944" w:id="19"/>
      <w:r>
        <w:t>приветства препоръката на Европейската комисия към държавите членки, в съответствие с националните практики и при зачитане на ролята на социалните партньори, да подкрепят промените в заплатите, които смекчават загубите на покупателна способност, особено за лицата с ниски доходи, като надлежно отчитат динамиката на конкурентоспособността и избягват трайни различия в рамките на еврозоната;</w:t>
      </w:r>
      <w:bookmarkEnd w:id="18"/>
      <w:bookmarkEnd w:id="19"/>
    </w:p>
    <w:p w:rsidRPr="002435FB" w:rsidR="002435FB" w:rsidP="002048E0" w:rsidRDefault="002435FB" w14:paraId="31F043FD" w14:textId="77777777">
      <w:pPr>
        <w:numPr>
          <w:ilvl w:val="0"/>
          <w:numId w:val="34"/>
        </w:numPr>
        <w:overflowPunct w:val="0"/>
        <w:autoSpaceDE w:val="0"/>
        <w:autoSpaceDN w:val="0"/>
        <w:adjustRightInd w:val="0"/>
        <w:ind w:left="567" w:hanging="567"/>
        <w:textAlignment w:val="baseline"/>
        <w:outlineLvl w:val="1"/>
        <w:rPr>
          <w:i/>
          <w:iCs/>
          <w:szCs w:val="20"/>
        </w:rPr>
      </w:pPr>
      <w:bookmarkStart w:name="_Toc157076145" w:id="20"/>
      <w:bookmarkStart w:name="_Toc157760945" w:id="21"/>
      <w:r>
        <w:t>приветства създаването на резерв от таланти в ЕС и отново изтъква значението на изпълнението на препоръките, съдържащи се в Доклада за заетостта и социалното развитие в Европа: преодоляване на недостига на работна ръка и недостига на умения в ЕС;</w:t>
      </w:r>
      <w:bookmarkEnd w:id="20"/>
      <w:bookmarkEnd w:id="21"/>
    </w:p>
    <w:p w:rsidRPr="002435FB" w:rsidR="002435FB" w:rsidP="002048E0" w:rsidRDefault="002435FB" w14:paraId="696D13B4" w14:textId="77777777">
      <w:pPr>
        <w:numPr>
          <w:ilvl w:val="0"/>
          <w:numId w:val="34"/>
        </w:numPr>
        <w:overflowPunct w:val="0"/>
        <w:autoSpaceDE w:val="0"/>
        <w:autoSpaceDN w:val="0"/>
        <w:adjustRightInd w:val="0"/>
        <w:ind w:left="567" w:hanging="567"/>
        <w:textAlignment w:val="baseline"/>
        <w:outlineLvl w:val="1"/>
        <w:rPr>
          <w:szCs w:val="20"/>
        </w:rPr>
      </w:pPr>
      <w:bookmarkStart w:name="_Toc157076146" w:id="22"/>
      <w:bookmarkStart w:name="_Toc157760946" w:id="23"/>
      <w:r>
        <w:t>призовава за завършването на съюза на капиталовите пазари, за да се премахнат съществуващите пречки за посрещане на нуждите от инвестиции за справедлив и приобщаващ екологичен и цифров преход;</w:t>
      </w:r>
      <w:bookmarkEnd w:id="22"/>
      <w:bookmarkEnd w:id="23"/>
    </w:p>
    <w:p w:rsidRPr="002435FB" w:rsidR="002435FB" w:rsidP="002048E0" w:rsidRDefault="002435FB" w14:paraId="1899D595" w14:textId="77777777">
      <w:pPr>
        <w:numPr>
          <w:ilvl w:val="0"/>
          <w:numId w:val="34"/>
        </w:numPr>
        <w:overflowPunct w:val="0"/>
        <w:autoSpaceDE w:val="0"/>
        <w:autoSpaceDN w:val="0"/>
        <w:adjustRightInd w:val="0"/>
        <w:ind w:left="567" w:hanging="567"/>
        <w:textAlignment w:val="baseline"/>
        <w:outlineLvl w:val="1"/>
        <w:rPr>
          <w:szCs w:val="20"/>
        </w:rPr>
      </w:pPr>
      <w:bookmarkStart w:name="_Toc157076147" w:id="24"/>
      <w:bookmarkStart w:name="_Toc157760947" w:id="25"/>
      <w:r>
        <w:t>подчертава значението на завършването на банковия съюз и създаването на липсващия трети стълб — европейската схема за застраховане на депозитите (ЕСЗД);</w:t>
      </w:r>
      <w:bookmarkEnd w:id="24"/>
      <w:bookmarkEnd w:id="25"/>
    </w:p>
    <w:p w:rsidR="00F42CEC" w:rsidP="002048E0" w:rsidRDefault="002435FB" w14:paraId="1F58A684" w14:textId="77777777">
      <w:pPr>
        <w:numPr>
          <w:ilvl w:val="0"/>
          <w:numId w:val="34"/>
        </w:numPr>
        <w:overflowPunct w:val="0"/>
        <w:autoSpaceDE w:val="0"/>
        <w:autoSpaceDN w:val="0"/>
        <w:adjustRightInd w:val="0"/>
        <w:ind w:left="567" w:hanging="567"/>
        <w:textAlignment w:val="baseline"/>
        <w:outlineLvl w:val="1"/>
      </w:pPr>
      <w:bookmarkStart w:name="_Toc157076148" w:id="26"/>
      <w:bookmarkStart w:name="_Toc157760948" w:id="27"/>
      <w:r>
        <w:t>призовава за напредък в реформата на пазара на електроенергия и енергийния съюз чрез законодателство и инвестиции в енергийна инфраструктура и междусистемни връзки. Това са жизненоважни стъпки към намаляване на разходите за енергия за домакинствата, паралелно с подобряване на конкурентоспособността на европейските предприятия;</w:t>
      </w:r>
      <w:bookmarkEnd w:id="26"/>
      <w:bookmarkEnd w:id="27"/>
    </w:p>
    <w:p w:rsidR="00F42CEC" w:rsidP="002048E0" w:rsidRDefault="002435FB" w14:paraId="4C2D4E29" w14:textId="77777777">
      <w:pPr>
        <w:numPr>
          <w:ilvl w:val="0"/>
          <w:numId w:val="34"/>
        </w:numPr>
        <w:overflowPunct w:val="0"/>
        <w:autoSpaceDE w:val="0"/>
        <w:autoSpaceDN w:val="0"/>
        <w:adjustRightInd w:val="0"/>
        <w:ind w:left="567" w:hanging="567"/>
        <w:textAlignment w:val="baseline"/>
        <w:outlineLvl w:val="1"/>
      </w:pPr>
      <w:bookmarkStart w:name="_Toc157076149" w:id="28"/>
      <w:bookmarkStart w:name="_Toc157760949" w:id="29"/>
      <w:r>
        <w:t>счита, че от решаващо значение е да има европейско решение за укрепване на дългосрочната конкурентоспособност на европейските предприятия, което не подкопава единния пазар. Поради това отново изразява подкрепата си за платформата за стратегически технологии за Европа и отново призовава Комисията да създаде общи инструменти за тази цел.</w:t>
      </w:r>
      <w:bookmarkEnd w:id="28"/>
      <w:bookmarkEnd w:id="29"/>
    </w:p>
    <w:p w:rsidRPr="002435FB" w:rsidR="002435FB" w:rsidP="002435FB" w:rsidRDefault="002435FB" w14:paraId="611B50C3" w14:textId="116AE058">
      <w:pPr>
        <w:keepNext/>
        <w:keepLines/>
        <w:overflowPunct w:val="0"/>
        <w:autoSpaceDE w:val="0"/>
        <w:autoSpaceDN w:val="0"/>
        <w:adjustRightInd w:val="0"/>
        <w:textAlignment w:val="baseline"/>
        <w:rPr>
          <w:bCs/>
          <w:iCs/>
          <w:szCs w:val="20"/>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3372"/>
      </w:tblGrid>
      <w:tr w:rsidRPr="002435FB" w:rsidR="002435FB" w:rsidTr="00431C35" w14:paraId="29A98A47" w14:textId="77777777">
        <w:tc>
          <w:tcPr>
            <w:tcW w:w="0" w:type="auto"/>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За контакт</w:t>
            </w:r>
          </w:p>
        </w:tc>
        <w:tc>
          <w:tcPr>
            <w:tcW w:w="0" w:type="auto"/>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2435FB" w:rsidR="002435FB" w:rsidTr="00431C35" w14:paraId="305317EB" w14:textId="77777777">
        <w:tc>
          <w:tcPr>
            <w:tcW w:w="0" w:type="auto"/>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Тел.</w:t>
            </w:r>
          </w:p>
        </w:tc>
        <w:tc>
          <w:tcPr>
            <w:tcW w:w="0" w:type="auto"/>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+32 25469740</w:t>
            </w:r>
          </w:p>
        </w:tc>
      </w:tr>
      <w:tr w:rsidRPr="002435FB" w:rsidR="002435FB" w:rsidTr="00431C35" w14:paraId="7A8F0AC0" w14:textId="77777777">
        <w:tc>
          <w:tcPr>
            <w:tcW w:w="0" w:type="auto"/>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Електронен адрес</w:t>
            </w:r>
          </w:p>
        </w:tc>
        <w:tc>
          <w:tcPr>
            <w:tcW w:w="0" w:type="auto"/>
          </w:tcPr>
          <w:p w:rsidRPr="00C83487" w:rsidR="002435FB" w:rsidP="002435FB" w:rsidRDefault="00371636" w14:paraId="6D8AA2A8" w14:textId="3DD28C1F">
            <w:pPr>
              <w:keepNext/>
              <w:keepLines/>
              <w:overflowPunct w:val="0"/>
              <w:autoSpaceDE w:val="0"/>
              <w:autoSpaceDN w:val="0"/>
              <w:adjustRightInd w:val="0"/>
              <w:spacing w:line="240" w:lineRule="auto"/>
              <w:textAlignment w:val="baseline"/>
              <w:rPr>
                <w:i/>
                <w:iCs/>
              </w:rPr>
            </w:pPr>
            <w:hyperlink w:history="1" r:id="rId18">
              <w:r w:rsidR="00847F99">
                <w:rPr>
                  <w:i/>
                  <w:color w:val="0000FF"/>
                  <w:u w:val="single"/>
                </w:rPr>
                <w:t>Krisztina.PerlakyToth@eesc.europa.eu</w:t>
              </w:r>
            </w:hyperlink>
          </w:p>
        </w:tc>
      </w:tr>
    </w:tbl>
    <w:p w:rsidR="005B4EE6" w:rsidRDefault="005B4EE6" w14:paraId="0843A720" w14:textId="2C02AB6A">
      <w:pPr>
        <w:spacing w:after="160" w:line="259" w:lineRule="auto"/>
        <w:jc w:val="left"/>
      </w:pPr>
    </w:p>
    <w:p w:rsidRPr="00D6423D" w:rsidR="005A67F3" w:rsidP="00234EA0" w:rsidRDefault="004C3902" w14:paraId="3792A077" w14:textId="6319EBD1">
      <w:pPr>
        <w:pStyle w:val="Heading1"/>
        <w:ind w:hanging="928"/>
        <w:rPr>
          <w:b/>
          <w:bCs/>
        </w:rPr>
      </w:pPr>
      <w:bookmarkStart w:name="_Toc150179063" w:id="30"/>
      <w:bookmarkStart w:name="_Toc153539680" w:id="31"/>
      <w:bookmarkStart w:name="_Toc157760950" w:id="32"/>
      <w:bookmarkEnd w:id="30"/>
      <w:r>
        <w:rPr>
          <w:b/>
        </w:rPr>
        <w:t>ЕДИНЕН ПАЗАР, ПРОИЗВОДСТВО И ПОТРЕБЛЕНИЕ</w:t>
      </w:r>
      <w:bookmarkEnd w:id="31"/>
      <w:bookmarkEnd w:id="32"/>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Борба с онлайн сексуалното насилие над деца</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2048E0"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Отправни документи</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Становище от категория В</w:t>
            </w:r>
          </w:p>
          <w:p w:rsidRPr="00DC121F" w:rsidR="00DC121F" w:rsidP="002048E0" w:rsidRDefault="00DC121F" w14:paraId="373F352E" w14:textId="495EFA22">
            <w:pPr>
              <w:tabs>
                <w:tab w:val="center" w:pos="284"/>
              </w:tabs>
              <w:overflowPunct w:val="0"/>
              <w:autoSpaceDE w:val="0"/>
              <w:autoSpaceDN w:val="0"/>
              <w:adjustRightInd w:val="0"/>
              <w:ind w:left="266" w:hanging="376"/>
              <w:textAlignment w:val="baseline"/>
            </w:pPr>
            <w:r>
              <w:t xml:space="preserve">COM(2023) 777 </w:t>
            </w:r>
            <w:proofErr w:type="spellStart"/>
            <w:r>
              <w:t>final</w:t>
            </w:r>
            <w:proofErr w:type="spellEnd"/>
          </w:p>
        </w:tc>
      </w:tr>
      <w:tr w:rsidRPr="00DC121F" w:rsidR="00DC121F" w:rsidTr="00C83487" w14:paraId="59903D0F" w14:textId="77777777">
        <w:tc>
          <w:tcPr>
            <w:tcW w:w="1701" w:type="dxa"/>
            <w:vMerge/>
          </w:tcPr>
          <w:p w:rsidRPr="00DC121F" w:rsidR="00DC121F" w:rsidP="002048E0"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2048E0"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ЕИСК реши да приеме положително становище по предложения текст.</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9"/>
        <w:gridCol w:w="2306"/>
      </w:tblGrid>
      <w:tr w:rsidRPr="00DC121F" w:rsidR="00DC121F" w:rsidTr="00431C35" w14:paraId="536949CE" w14:textId="77777777">
        <w:tc>
          <w:tcPr>
            <w:tcW w:w="0" w:type="auto"/>
          </w:tcPr>
          <w:p w:rsidRPr="00DC121F" w:rsidR="00DC121F" w:rsidP="002048E0" w:rsidRDefault="00DC121F" w14:paraId="08A41DF2" w14:textId="77777777">
            <w:pPr>
              <w:overflowPunct w:val="0"/>
              <w:autoSpaceDE w:val="0"/>
              <w:autoSpaceDN w:val="0"/>
              <w:adjustRightInd w:val="0"/>
              <w:spacing w:line="240" w:lineRule="auto"/>
              <w:ind w:hanging="110"/>
              <w:textAlignment w:val="baseline"/>
              <w:rPr>
                <w:i/>
              </w:rPr>
            </w:pPr>
            <w:r>
              <w:rPr>
                <w:b/>
                <w:i/>
              </w:rPr>
              <w:t>За контакт</w:t>
            </w:r>
          </w:p>
        </w:tc>
        <w:tc>
          <w:tcPr>
            <w:tcW w:w="0" w:type="auto"/>
          </w:tcPr>
          <w:p w:rsidRPr="00DC121F" w:rsidR="00DC121F" w:rsidP="002048E0" w:rsidRDefault="00DC121F" w14:paraId="1B1D7048" w14:textId="77777777">
            <w:pPr>
              <w:overflowPunct w:val="0"/>
              <w:autoSpaceDE w:val="0"/>
              <w:autoSpaceDN w:val="0"/>
              <w:adjustRightInd w:val="0"/>
              <w:spacing w:line="240" w:lineRule="auto"/>
              <w:ind w:hanging="110"/>
              <w:textAlignment w:val="baseline"/>
              <w:rPr>
                <w:i/>
              </w:rPr>
            </w:pPr>
            <w:proofErr w:type="spellStart"/>
            <w:r>
              <w:rPr>
                <w:i/>
              </w:rPr>
              <w:t>Alice</w:t>
            </w:r>
            <w:proofErr w:type="spellEnd"/>
            <w:r>
              <w:rPr>
                <w:i/>
              </w:rPr>
              <w:t xml:space="preserve"> </w:t>
            </w:r>
            <w:proofErr w:type="spellStart"/>
            <w:r>
              <w:rPr>
                <w:i/>
              </w:rPr>
              <w:t>Tétu</w:t>
            </w:r>
            <w:proofErr w:type="spellEnd"/>
          </w:p>
        </w:tc>
      </w:tr>
      <w:tr w:rsidRPr="00DC121F" w:rsidR="00DC121F" w:rsidTr="00431C35" w14:paraId="2F7D7C01" w14:textId="77777777">
        <w:tc>
          <w:tcPr>
            <w:tcW w:w="0" w:type="auto"/>
          </w:tcPr>
          <w:p w:rsidRPr="00DC121F" w:rsidR="00DC121F" w:rsidP="002048E0" w:rsidRDefault="00DC121F" w14:paraId="094140E7" w14:textId="77777777">
            <w:pPr>
              <w:overflowPunct w:val="0"/>
              <w:autoSpaceDE w:val="0"/>
              <w:autoSpaceDN w:val="0"/>
              <w:adjustRightInd w:val="0"/>
              <w:spacing w:line="240" w:lineRule="auto"/>
              <w:ind w:hanging="110"/>
              <w:textAlignment w:val="baseline"/>
              <w:rPr>
                <w:i/>
              </w:rPr>
            </w:pPr>
            <w:r>
              <w:rPr>
                <w:i/>
              </w:rPr>
              <w:t>Тел.</w:t>
            </w:r>
          </w:p>
        </w:tc>
        <w:tc>
          <w:tcPr>
            <w:tcW w:w="0" w:type="auto"/>
          </w:tcPr>
          <w:p w:rsidRPr="00DC121F" w:rsidR="00DC121F" w:rsidP="002048E0" w:rsidRDefault="00DC121F" w14:paraId="276381F6" w14:textId="77777777">
            <w:pPr>
              <w:overflowPunct w:val="0"/>
              <w:autoSpaceDE w:val="0"/>
              <w:autoSpaceDN w:val="0"/>
              <w:adjustRightInd w:val="0"/>
              <w:spacing w:line="240" w:lineRule="auto"/>
              <w:ind w:hanging="110"/>
              <w:textAlignment w:val="baseline"/>
              <w:rPr>
                <w:i/>
              </w:rPr>
            </w:pPr>
            <w:r>
              <w:rPr>
                <w:i/>
              </w:rPr>
              <w:t>+32 25468286</w:t>
            </w:r>
          </w:p>
        </w:tc>
      </w:tr>
      <w:tr w:rsidRPr="00DC121F" w:rsidR="00DC121F" w:rsidTr="00431C35" w14:paraId="59D0574A" w14:textId="77777777">
        <w:tc>
          <w:tcPr>
            <w:tcW w:w="0" w:type="auto"/>
          </w:tcPr>
          <w:p w:rsidRPr="00DC121F" w:rsidR="00DC121F" w:rsidP="002048E0" w:rsidRDefault="00DC121F" w14:paraId="7C0B10B2" w14:textId="77777777">
            <w:pPr>
              <w:overflowPunct w:val="0"/>
              <w:autoSpaceDE w:val="0"/>
              <w:autoSpaceDN w:val="0"/>
              <w:adjustRightInd w:val="0"/>
              <w:spacing w:line="240" w:lineRule="auto"/>
              <w:ind w:hanging="110"/>
              <w:textAlignment w:val="baseline"/>
              <w:rPr>
                <w:i/>
              </w:rPr>
            </w:pPr>
            <w:r>
              <w:rPr>
                <w:i/>
              </w:rPr>
              <w:t>Електронен адрес</w:t>
            </w:r>
          </w:p>
        </w:tc>
        <w:tc>
          <w:tcPr>
            <w:tcW w:w="0" w:type="auto"/>
          </w:tcPr>
          <w:p w:rsidRPr="00DC121F" w:rsidR="00DC121F" w:rsidP="002048E0" w:rsidRDefault="00371636" w14:paraId="4F8C70CD" w14:textId="77777777">
            <w:pPr>
              <w:overflowPunct w:val="0"/>
              <w:autoSpaceDE w:val="0"/>
              <w:autoSpaceDN w:val="0"/>
              <w:adjustRightInd w:val="0"/>
              <w:spacing w:line="240" w:lineRule="auto"/>
              <w:ind w:hanging="110"/>
              <w:textAlignment w:val="baseline"/>
              <w:rPr>
                <w:i/>
              </w:rPr>
            </w:pPr>
            <w:hyperlink w:history="1" r:id="rId19">
              <w:r w:rsidR="00DC121F">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Pr="00DC121F" w:rsidR="00DC121F" w:rsidP="00235E61" w:rsidRDefault="00371636"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0">
        <w:r w:rsidR="00847F99">
          <w:rPr>
            <w:b/>
            <w:i/>
            <w:color w:val="0000FF"/>
            <w:sz w:val="28"/>
            <w:u w:val="single"/>
          </w:rPr>
          <w:t>Корупцията при обществените поръчки и нейното въздействие върху вътрешния пазар</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059"/>
      </w:tblGrid>
      <w:tr w:rsidRPr="00DC121F" w:rsidR="00DC121F" w:rsidTr="00431C35" w14:paraId="51AD98E3" w14:textId="77777777">
        <w:tc>
          <w:tcPr>
            <w:tcW w:w="0" w:type="auto"/>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DC121F" w:rsidR="00DC121F" w:rsidP="00DC121F" w:rsidRDefault="00DC121F" w14:paraId="4ED4B842" w14:textId="61265AC4">
            <w:pPr>
              <w:tabs>
                <w:tab w:val="center" w:pos="0"/>
              </w:tabs>
              <w:overflowPunct w:val="0"/>
              <w:autoSpaceDE w:val="0"/>
              <w:autoSpaceDN w:val="0"/>
              <w:adjustRightInd w:val="0"/>
              <w:ind w:left="266" w:hanging="266"/>
              <w:textAlignment w:val="baseline"/>
            </w:pPr>
            <w:proofErr w:type="spellStart"/>
            <w:r>
              <w:t>José</w:t>
            </w:r>
            <w:proofErr w:type="spellEnd"/>
            <w:r>
              <w:t xml:space="preserve"> </w:t>
            </w:r>
            <w:proofErr w:type="spellStart"/>
            <w:r>
              <w:t>Antonio</w:t>
            </w:r>
            <w:proofErr w:type="spellEnd"/>
            <w:r>
              <w:t xml:space="preserve"> MORENO DÍAZ (група „Работници“ — ES)</w:t>
            </w:r>
          </w:p>
        </w:tc>
      </w:tr>
      <w:tr w:rsidRPr="00DC121F" w:rsidR="00DC121F" w:rsidTr="00431C35" w14:paraId="5A1848FF" w14:textId="77777777">
        <w:tc>
          <w:tcPr>
            <w:tcW w:w="0" w:type="auto"/>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0" w:type="auto"/>
          </w:tcPr>
          <w:p w:rsidRPr="00DC121F" w:rsidR="00DC121F" w:rsidP="00DC121F" w:rsidRDefault="00DC121F" w14:paraId="23F0707E" w14:textId="0026E019">
            <w:pPr>
              <w:tabs>
                <w:tab w:val="center" w:pos="284"/>
              </w:tabs>
              <w:overflowPunct w:val="0"/>
              <w:autoSpaceDE w:val="0"/>
              <w:autoSpaceDN w:val="0"/>
              <w:adjustRightInd w:val="0"/>
              <w:ind w:left="266" w:hanging="266"/>
              <w:textAlignment w:val="baseline"/>
            </w:pPr>
            <w:proofErr w:type="spellStart"/>
            <w:r>
              <w:t>Cristian</w:t>
            </w:r>
            <w:proofErr w:type="spellEnd"/>
            <w:r>
              <w:t xml:space="preserve"> PÎRVULESCU (група „Организации на гражданското общество“ — RO)</w:t>
            </w:r>
          </w:p>
        </w:tc>
      </w:tr>
      <w:tr w:rsidRPr="00DC121F" w:rsidR="00DC121F" w:rsidTr="00431C35" w14:paraId="7283DAA7" w14:textId="77777777">
        <w:tc>
          <w:tcPr>
            <w:tcW w:w="0" w:type="auto"/>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431C35" w14:paraId="7C716C56" w14:textId="77777777">
        <w:tc>
          <w:tcPr>
            <w:tcW w:w="0" w:type="auto"/>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DC121F" w:rsidR="00DC121F" w:rsidTr="00431C35" w14:paraId="762B2DB5" w14:textId="77777777">
        <w:tc>
          <w:tcPr>
            <w:tcW w:w="0" w:type="auto"/>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0" w:type="auto"/>
          </w:tcPr>
          <w:p w:rsidRPr="00DC121F" w:rsidR="00DC121F" w:rsidP="00DC121F" w:rsidRDefault="00DC121F" w14:paraId="4E498975" w14:textId="6E6FC55E">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2048E0" w:rsidRDefault="00DC121F" w14:paraId="29CB91C0" w14:textId="77777777">
      <w:pPr>
        <w:keepNext/>
        <w:keepLines/>
        <w:overflowPunct w:val="0"/>
        <w:autoSpaceDE w:val="0"/>
        <w:autoSpaceDN w:val="0"/>
        <w:adjustRightInd w:val="0"/>
        <w:textAlignment w:val="baseline"/>
        <w:rPr>
          <w:b/>
        </w:rPr>
      </w:pPr>
      <w:r>
        <w:rPr>
          <w:b/>
        </w:rPr>
        <w:t>Основни аспекти</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ЕИСК:</w:t>
      </w:r>
    </w:p>
    <w:p w:rsidRPr="00DC121F" w:rsidR="008D47DD" w:rsidP="002048E0" w:rsidRDefault="008D47DD" w14:paraId="29BA8237" w14:textId="77777777">
      <w:pPr>
        <w:overflowPunct w:val="0"/>
        <w:autoSpaceDE w:val="0"/>
        <w:autoSpaceDN w:val="0"/>
        <w:adjustRightInd w:val="0"/>
        <w:ind w:firstLine="142"/>
        <w:textAlignment w:val="baseline"/>
        <w:rPr>
          <w:bCs/>
          <w:iCs/>
        </w:rPr>
      </w:pPr>
    </w:p>
    <w:p w:rsidRPr="00DC121F" w:rsidR="00DC121F" w:rsidP="002048E0"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счита, че Комисията трябва да възстанови доклада на ЕС за борбата с корупцията;</w:t>
      </w:r>
    </w:p>
    <w:p w:rsidRPr="00DC121F" w:rsidR="00DC121F" w:rsidP="002048E0"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подчертава, че ЕС трябва да даде приоритет на оценката на законодателната рамка относно интегритета на процедурите за възлагане на обществени поръчки и прилагането ѝ на практика, за да провери дали тази рамка съответства на нуждите на борбата с корупцията;</w:t>
      </w:r>
    </w:p>
    <w:p w:rsidRPr="00DC121F" w:rsidR="00DC121F" w:rsidP="002048E0"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подкрепя предложението на Европейския парламент, в което се отправя искане към Комисията да изготви глобална стратегия на ЕС за борба с корупцията;</w:t>
      </w:r>
    </w:p>
    <w:p w:rsidRPr="00DC121F" w:rsidR="00DC121F" w:rsidP="002048E0"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счита, че усилията за борба с корупцията следва да бъдат по-добре съгласувани с усилията за защита и развитие на демокрацията в ЕС, тъй като корупционните практики могат да предложат на политическите участници незаконни печалби и ресурси за провеждане на кампании и поддържане на тяхната система за подкрепа, основана на клиентелизъм;</w:t>
      </w:r>
    </w:p>
    <w:p w:rsidRPr="00DC121F" w:rsidR="00DC121F" w:rsidP="002048E0"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lastRenderedPageBreak/>
        <w:t>изразява убеждение, че европейският пазар на обществени поръчки трябваше да е постигнал по-голям напредък в цифровизацията. Поради това е от ключово значение Комисията да продължи да предоставя на националните органи техническа подкрепа по време на този труден процес;</w:t>
      </w:r>
    </w:p>
    <w:p w:rsidRPr="00DC121F" w:rsidR="00DC121F" w:rsidP="002048E0"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счита, че Комисията би могла да отдаде по-голямо значение на пактовете за почтеност;</w:t>
      </w:r>
    </w:p>
    <w:p w:rsidRPr="00DC121F" w:rsidR="00DC121F" w:rsidP="002048E0"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смята, че системата за кръстосано изключване (между европейски органи/национални институции/частни банки) би могла да бъде от полза за защитата на вътрешния пазар от злоупотреба с публични ресурси, предназначени за търгове;</w:t>
      </w:r>
    </w:p>
    <w:p w:rsidRPr="00DC121F" w:rsidR="00DC121F" w:rsidP="002048E0"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насърчава Комисията и другите европейски и национални институции да разглеждат представителството на работниците, колективното договаряне и социалния диалог като ключови инструменти за постигане на ефективност на борбата с корупцията на всички равнища;</w:t>
      </w:r>
    </w:p>
    <w:p w:rsidRPr="00DC121F" w:rsidR="00DC121F" w:rsidP="002048E0"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насърчава всички предприятия, сдружения на работодателите и социални партньори да се стремят активно към култура на почтеност и да се придържат към най-добрите стандарти, налични на национално и международно равнище;</w:t>
      </w:r>
    </w:p>
    <w:p w:rsidRPr="00DC121F" w:rsidR="00DC121F" w:rsidP="002048E0"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очаква институционализирането и развитието на мрежата на ЕС за борба с корупцията и изразява желание да участва в нейната работа.</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Тел.</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DC121F" w:rsidR="00DC121F" w:rsidP="00DC121F" w:rsidRDefault="00371636" w14:paraId="1E20E942" w14:textId="77777777">
            <w:pPr>
              <w:overflowPunct w:val="0"/>
              <w:autoSpaceDE w:val="0"/>
              <w:autoSpaceDN w:val="0"/>
              <w:adjustRightInd w:val="0"/>
              <w:spacing w:line="240" w:lineRule="auto"/>
              <w:textAlignment w:val="baseline"/>
              <w:rPr>
                <w:i/>
              </w:rPr>
            </w:pPr>
            <w:hyperlink w:history="1" r:id="rId21">
              <w:r w:rsidR="00847F99">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Pr="002D31E3" w:rsidR="001B6246" w:rsidP="002048E0" w:rsidRDefault="00371636" w14:paraId="05EC8D79" w14:textId="58A30ECA">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2">
        <w:r w:rsidR="001B6246">
          <w:rPr>
            <w:b/>
            <w:i/>
            <w:color w:val="0000FF"/>
            <w:sz w:val="28"/>
            <w:u w:val="single"/>
          </w:rPr>
          <w:t>Борба с бедността и социалното изключване</w:t>
        </w:r>
      </w:hyperlink>
      <w:r w:rsidR="001B6246">
        <w:rPr>
          <w:b/>
          <w:i/>
          <w:color w:val="0000FF"/>
          <w:sz w:val="28"/>
          <w:u w:val="single"/>
        </w:rPr>
        <w:t>: оползотворяване на силата на социалната икономика и социално-икономическите иновации</w:t>
      </w:r>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2"/>
        <w:gridCol w:w="7175"/>
      </w:tblGrid>
      <w:tr w:rsidRPr="001B6246" w:rsidR="001B6246" w:rsidTr="00431C35" w14:paraId="6F5A37B1" w14:textId="77777777">
        <w:trPr>
          <w:trHeight w:val="265"/>
        </w:trPr>
        <w:tc>
          <w:tcPr>
            <w:tcW w:w="0" w:type="auto"/>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1B6246" w:rsidR="001B6246" w:rsidP="001B6246" w:rsidRDefault="001B6246" w14:paraId="4AF9E1DA" w14:textId="027B3407">
            <w:pPr>
              <w:tabs>
                <w:tab w:val="center" w:pos="284"/>
              </w:tabs>
              <w:overflowPunct w:val="0"/>
              <w:autoSpaceDE w:val="0"/>
              <w:autoSpaceDN w:val="0"/>
              <w:adjustRightInd w:val="0"/>
              <w:ind w:left="266" w:hanging="266"/>
              <w:textAlignment w:val="baseline"/>
            </w:pPr>
            <w:proofErr w:type="spellStart"/>
            <w:r>
              <w:t>Alain</w:t>
            </w:r>
            <w:proofErr w:type="spellEnd"/>
            <w:r>
              <w:t xml:space="preserve"> COHEUR (група „Организации на гражданското общество“ — BE)</w:t>
            </w:r>
          </w:p>
        </w:tc>
      </w:tr>
      <w:tr w:rsidRPr="001B6246" w:rsidR="001B6246" w:rsidTr="00431C35" w14:paraId="64849DFE" w14:textId="77777777">
        <w:trPr>
          <w:trHeight w:val="265"/>
        </w:trPr>
        <w:tc>
          <w:tcPr>
            <w:tcW w:w="0" w:type="auto"/>
          </w:tcPr>
          <w:p w:rsidRPr="001B6246" w:rsidR="001B6246" w:rsidP="002048E0" w:rsidRDefault="001B6246" w14:paraId="731776C9" w14:textId="4B879F73">
            <w:pPr>
              <w:tabs>
                <w:tab w:val="center" w:pos="457"/>
              </w:tabs>
              <w:overflowPunct w:val="0"/>
              <w:autoSpaceDE w:val="0"/>
              <w:autoSpaceDN w:val="0"/>
              <w:adjustRightInd w:val="0"/>
              <w:ind w:left="266" w:hanging="266"/>
              <w:textAlignment w:val="baseline"/>
              <w:rPr>
                <w:b/>
              </w:rPr>
            </w:pPr>
            <w:r>
              <w:rPr>
                <w:b/>
              </w:rPr>
              <w:t>Съдокладчик</w:t>
            </w:r>
          </w:p>
        </w:tc>
        <w:tc>
          <w:tcPr>
            <w:tcW w:w="0" w:type="auto"/>
          </w:tcPr>
          <w:p w:rsidRPr="001B6246" w:rsidR="001B6246" w:rsidP="001B6246" w:rsidRDefault="001B6246" w14:paraId="18CF51DF" w14:textId="2CFCCD62">
            <w:pPr>
              <w:tabs>
                <w:tab w:val="center" w:pos="284"/>
              </w:tabs>
              <w:overflowPunct w:val="0"/>
              <w:autoSpaceDE w:val="0"/>
              <w:autoSpaceDN w:val="0"/>
              <w:adjustRightInd w:val="0"/>
              <w:ind w:left="266" w:hanging="266"/>
              <w:textAlignment w:val="baseline"/>
            </w:pPr>
            <w:proofErr w:type="spellStart"/>
            <w:r>
              <w:t>Ferre</w:t>
            </w:r>
            <w:proofErr w:type="spellEnd"/>
            <w:r>
              <w:t xml:space="preserve"> WYCKMANS (група „Работници“ — BE)</w:t>
            </w:r>
          </w:p>
        </w:tc>
      </w:tr>
      <w:tr w:rsidRPr="001B6246" w:rsidR="001B6246" w:rsidTr="00431C35" w14:paraId="5C65FF20" w14:textId="77777777">
        <w:trPr>
          <w:trHeight w:val="289"/>
        </w:trPr>
        <w:tc>
          <w:tcPr>
            <w:tcW w:w="0" w:type="auto"/>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Проучвателно становище по искане на белгийското председателство на Съвета на ЕС</w:t>
            </w:r>
          </w:p>
        </w:tc>
      </w:tr>
      <w:tr w:rsidRPr="001B6246" w:rsidR="001B6246" w:rsidTr="00431C35" w14:paraId="03109D9C" w14:textId="77777777">
        <w:trPr>
          <w:trHeight w:val="289"/>
        </w:trPr>
        <w:tc>
          <w:tcPr>
            <w:tcW w:w="0" w:type="auto"/>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0" w:type="auto"/>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ЕИСК:</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2048E0"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призовава Европейската комисия да даде тласък на своя план за действие за социалната икономика, да го оцени през 2025 г., с цел да се даде информация за нов план за действие, да подкрепя активно изпълнението на препоръката от държавите членки и изрично да включи социалната икономика и политиката за социални иновации в следващата работна програма на Комисията;</w:t>
      </w:r>
    </w:p>
    <w:p w:rsidRPr="001B6246" w:rsidR="001B6246" w:rsidP="002048E0"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 xml:space="preserve">препоръчва прилагането на силен териториален подход, който да включва регионите и общините, като обединява множество участници в политиките за разгръщане на социалната икономика. По инициатива на публичните власти е възможно да се насърчи местното развитие, да се преместят производствените мощности, да се създадат достойни работни места, които не могат да бъдат премествани, да се насърчи сътрудничеството между икономическите участници и да се създаде стимулираща екосистема, в която, </w:t>
      </w:r>
      <w:r>
        <w:lastRenderedPageBreak/>
        <w:t>наред с другите, рамо до рамо да работят сдружения, кооперации, взаимоспомагателни дружества, традиционни предприятия, инвеститори от банковия сектор, гражданското общество, социалните партньори и академичните среди;</w:t>
      </w:r>
    </w:p>
    <w:p w:rsidRPr="001B6246" w:rsidR="001B6246" w:rsidP="002048E0"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призовава ЕК в своите инициативи в областта на социалните иновации да ползва междусекторен подход, който да обединява множество участници от традиционните предприятия и от социалната икономика, като обхваща както екологични, така и социални перспективи;</w:t>
      </w:r>
    </w:p>
    <w:p w:rsidRPr="001B6246" w:rsidR="001B6246" w:rsidP="002048E0"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призовава ЕК да включи европейския семестър и социалните иновации като една от инициативите, които ще предприеме при разработването на насоките за действие в своя прогнозен доклад, да увеличи, на първо място, участието на жените на пазара на труда. Това продължава да бъде предизвикателство за други уязвими групи от населението: хората с увреждания, младите хора и другите недостатъчно представени или изключени групи, които не са заети с работа, учене или обучение или живеят в крайна бедност.</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t>За контакт</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Тел.</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+32 25469732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Електронен адрес</w:t>
            </w:r>
          </w:p>
        </w:tc>
        <w:tc>
          <w:tcPr>
            <w:tcW w:w="5670" w:type="dxa"/>
          </w:tcPr>
          <w:p w:rsidRPr="001B6246" w:rsidR="001B6246" w:rsidP="001B6246" w:rsidRDefault="00371636" w14:paraId="7EBA911B" w14:textId="77777777">
            <w:pPr>
              <w:overflowPunct w:val="0"/>
              <w:autoSpaceDE w:val="0"/>
              <w:autoSpaceDN w:val="0"/>
              <w:adjustRightInd w:val="0"/>
              <w:spacing w:line="240" w:lineRule="auto"/>
              <w:textAlignment w:val="baseline"/>
              <w:rPr>
                <w:i/>
                <w:iCs/>
              </w:rPr>
            </w:pPr>
            <w:hyperlink w:history="1" r:id="rId23">
              <w:r w:rsidR="00847F99">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431C35" w:rsidP="00235E61" w:rsidRDefault="00371636" w14:paraId="5F1E4453" w14:textId="77777777">
      <w:pPr>
        <w:widowControl w:val="0"/>
        <w:numPr>
          <w:ilvl w:val="0"/>
          <w:numId w:val="2"/>
        </w:numPr>
        <w:overflowPunct w:val="0"/>
        <w:autoSpaceDE w:val="0"/>
        <w:autoSpaceDN w:val="0"/>
        <w:adjustRightInd w:val="0"/>
        <w:ind w:hanging="567"/>
        <w:textAlignment w:val="baseline"/>
        <w:rPr>
          <w:b/>
          <w:i/>
          <w:sz w:val="28"/>
        </w:rPr>
      </w:pPr>
      <w:hyperlink w:tgtFrame="_blank" w:history="1" r:id="rId24">
        <w:r w:rsidR="00847F99">
          <w:rPr>
            <w:b/>
            <w:i/>
            <w:color w:val="0000FF"/>
            <w:sz w:val="28"/>
            <w:u w:val="single"/>
          </w:rPr>
          <w:t>Европейски стрес тест за иновации</w:t>
        </w:r>
      </w:hyperlink>
    </w:p>
    <w:p w:rsidRPr="00235E61" w:rsidR="00235E61" w:rsidP="00235E61" w:rsidRDefault="00235E61" w14:paraId="3C90239C" w14:textId="7807D25D">
      <w:pPr>
        <w:tabs>
          <w:tab w:val="center" w:pos="284"/>
        </w:tabs>
        <w:overflowPunct w:val="0"/>
        <w:autoSpaceDE w:val="0"/>
        <w:autoSpaceDN w:val="0"/>
        <w:adjustRightInd w:val="0"/>
        <w:ind w:left="266" w:hanging="266"/>
        <w:textAlignment w:val="baseline"/>
        <w:rPr>
          <w:b/>
          <w:sz w:val="20"/>
          <w:szCs w:val="20"/>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4"/>
        <w:gridCol w:w="7173"/>
      </w:tblGrid>
      <w:tr w:rsidRPr="00235E61" w:rsidR="00235E61" w:rsidTr="00431C35" w14:paraId="2A9F4C74" w14:textId="77777777">
        <w:tc>
          <w:tcPr>
            <w:tcW w:w="0" w:type="auto"/>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t>Olivier JORIS (група „Работодатели“ — BE)</w:t>
            </w:r>
          </w:p>
        </w:tc>
      </w:tr>
      <w:tr w:rsidRPr="00235E61" w:rsidR="00235E61" w:rsidTr="00431C35" w14:paraId="340DF8AC" w14:textId="77777777">
        <w:tc>
          <w:tcPr>
            <w:tcW w:w="0" w:type="auto"/>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431C35" w14:paraId="5EB3A03E" w14:textId="77777777">
        <w:tc>
          <w:tcPr>
            <w:tcW w:w="0" w:type="auto"/>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235E61" w:rsidR="00235E61" w:rsidP="00C83487" w:rsidRDefault="00235E61" w14:paraId="2CDE140A" w14:textId="5AF47668">
            <w:pPr>
              <w:tabs>
                <w:tab w:val="center" w:pos="284"/>
              </w:tabs>
              <w:overflowPunct w:val="0"/>
              <w:autoSpaceDE w:val="0"/>
              <w:autoSpaceDN w:val="0"/>
              <w:adjustRightInd w:val="0"/>
              <w:ind w:left="266" w:right="-107" w:hanging="266"/>
              <w:textAlignment w:val="baseline"/>
            </w:pPr>
            <w:r>
              <w:t>Проучвателно становище по искане на белгийското председателство на Съвета на ЕС</w:t>
            </w:r>
          </w:p>
        </w:tc>
      </w:tr>
      <w:tr w:rsidRPr="00235E61" w:rsidR="00235E61" w:rsidTr="00431C35" w14:paraId="73786E77" w14:textId="77777777">
        <w:tc>
          <w:tcPr>
            <w:tcW w:w="0" w:type="auto"/>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0" w:type="auto"/>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2048E0" w:rsidRDefault="00235E61" w14:paraId="6E32AE22" w14:textId="77777777">
      <w:pPr>
        <w:keepNext/>
        <w:keepLines/>
        <w:overflowPunct w:val="0"/>
        <w:autoSpaceDE w:val="0"/>
        <w:autoSpaceDN w:val="0"/>
        <w:adjustRightInd w:val="0"/>
        <w:textAlignment w:val="baseline"/>
        <w:rPr>
          <w:b/>
        </w:rPr>
      </w:pPr>
      <w:r>
        <w:rPr>
          <w:b/>
        </w:rPr>
        <w:t>Основни аспекти</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ЕИСК:</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2048E0"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препоръчва настоящата и следващата Европейска комисия да </w:t>
      </w:r>
      <w:r>
        <w:rPr>
          <w:b/>
        </w:rPr>
        <w:t>въведат нов стрес тест за иновации за оценка на всяко ново законодателство и политическа инициатива</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предлага стрес тестът за иновации да включва следните десет ключови изисквания.</w:t>
      </w:r>
    </w:p>
    <w:p w:rsidRPr="00235E61" w:rsidR="00235E61" w:rsidP="006221F1" w:rsidRDefault="00235E61" w14:paraId="1355EE8E" w14:textId="4CAE8943">
      <w:pPr>
        <w:overflowPunct w:val="0"/>
        <w:autoSpaceDE w:val="0"/>
        <w:autoSpaceDN w:val="0"/>
        <w:adjustRightInd w:val="0"/>
        <w:ind w:left="567"/>
        <w:textAlignment w:val="baseline"/>
        <w:rPr>
          <w:iCs/>
        </w:rPr>
      </w:pPr>
      <w:r>
        <w:t>Новото законодателство/новата политическа инициатива:</w:t>
      </w:r>
    </w:p>
    <w:p w:rsidRPr="00235E61" w:rsidR="00235E61" w:rsidP="002048E0" w:rsidRDefault="00235E61" w14:paraId="62AD8810" w14:textId="77777777">
      <w:pPr>
        <w:numPr>
          <w:ilvl w:val="0"/>
          <w:numId w:val="29"/>
        </w:numPr>
        <w:overflowPunct w:val="0"/>
        <w:autoSpaceDE w:val="0"/>
        <w:autoSpaceDN w:val="0"/>
        <w:adjustRightInd w:val="0"/>
        <w:ind w:left="993" w:hanging="426"/>
        <w:textAlignment w:val="baseline"/>
      </w:pPr>
      <w:r>
        <w:t>защитава ли потребителите и околната среда и признава ли необходимостта от иновации, за да са възможни екологичният и цифровият преход на ЕС към устойчивост, за да се спомогне за създаването на повече и по-добри работни места в полза на обществото и да се стимулира икономиката? (Да)</w:t>
      </w:r>
    </w:p>
    <w:p w:rsidRPr="00235E61" w:rsidR="00235E61" w:rsidP="002048E0" w:rsidRDefault="00235E61" w14:paraId="3649BCC8" w14:textId="77777777">
      <w:pPr>
        <w:numPr>
          <w:ilvl w:val="0"/>
          <w:numId w:val="29"/>
        </w:numPr>
        <w:overflowPunct w:val="0"/>
        <w:autoSpaceDE w:val="0"/>
        <w:autoSpaceDN w:val="0"/>
        <w:adjustRightInd w:val="0"/>
        <w:ind w:left="993" w:hanging="426"/>
        <w:textAlignment w:val="baseline"/>
      </w:pPr>
      <w:r>
        <w:t>осигурява ли съгласувано разработване на политики, така че настоящите и бъдещите политики да бъдат използвани по начини, които изграждат доверие у инвеститорите и стимулират иновациите, но не създават пречки за продължаващите и новите инвестиции в иновации в ЕС? (Да)</w:t>
      </w:r>
    </w:p>
    <w:p w:rsidRPr="00235E61" w:rsidR="00235E61" w:rsidP="002048E0" w:rsidRDefault="00235E61" w14:paraId="45DC1EDF" w14:textId="77777777">
      <w:pPr>
        <w:numPr>
          <w:ilvl w:val="0"/>
          <w:numId w:val="29"/>
        </w:numPr>
        <w:overflowPunct w:val="0"/>
        <w:autoSpaceDE w:val="0"/>
        <w:autoSpaceDN w:val="0"/>
        <w:adjustRightInd w:val="0"/>
        <w:ind w:left="993" w:hanging="426"/>
        <w:textAlignment w:val="baseline"/>
      </w:pPr>
      <w:r>
        <w:t>осигурява ли ясно разбиране от страна на новаторите и инвеститорите? (Да)</w:t>
      </w:r>
    </w:p>
    <w:p w:rsidRPr="00235E61" w:rsidR="00235E61" w:rsidP="002048E0" w:rsidRDefault="00235E61" w14:paraId="28991F2A" w14:textId="77777777">
      <w:pPr>
        <w:numPr>
          <w:ilvl w:val="0"/>
          <w:numId w:val="29"/>
        </w:numPr>
        <w:overflowPunct w:val="0"/>
        <w:autoSpaceDE w:val="0"/>
        <w:autoSpaceDN w:val="0"/>
        <w:adjustRightInd w:val="0"/>
        <w:ind w:left="993" w:hanging="426"/>
        <w:textAlignment w:val="baseline"/>
      </w:pPr>
      <w:r>
        <w:t>отговаря ли на изискванията за използване на инструментариума на Европейската комисия за по-добро регулиране? (Да)</w:t>
      </w:r>
    </w:p>
    <w:p w:rsidRPr="00235E61" w:rsidR="00235E61" w:rsidP="002048E0" w:rsidRDefault="00235E61" w14:paraId="154D530B" w14:textId="77777777">
      <w:pPr>
        <w:numPr>
          <w:ilvl w:val="0"/>
          <w:numId w:val="29"/>
        </w:numPr>
        <w:overflowPunct w:val="0"/>
        <w:autoSpaceDE w:val="0"/>
        <w:autoSpaceDN w:val="0"/>
        <w:adjustRightInd w:val="0"/>
        <w:ind w:left="993" w:hanging="426"/>
        <w:textAlignment w:val="baseline"/>
      </w:pPr>
      <w:r>
        <w:t xml:space="preserve">включва ли активно консултации и участие на новатори и инвеститори от целия спектър — от стартиращи предприятия до международни организации, за да се гарантира, че политиките не подкопават или няма да подкопаят неволно доверието </w:t>
      </w:r>
      <w:r>
        <w:lastRenderedPageBreak/>
        <w:t>на инвеститорите да инвестират или да продължат да инвестират в иновации в ЕС? (Да)</w:t>
      </w:r>
    </w:p>
    <w:p w:rsidRPr="00235E61" w:rsidR="00235E61" w:rsidP="002048E0" w:rsidRDefault="00235E61" w14:paraId="52779D18" w14:textId="77777777">
      <w:pPr>
        <w:numPr>
          <w:ilvl w:val="0"/>
          <w:numId w:val="29"/>
        </w:numPr>
        <w:overflowPunct w:val="0"/>
        <w:autoSpaceDE w:val="0"/>
        <w:autoSpaceDN w:val="0"/>
        <w:adjustRightInd w:val="0"/>
        <w:ind w:left="993" w:hanging="426"/>
        <w:textAlignment w:val="baseline"/>
      </w:pPr>
      <w:r>
        <w:t>признава ли основателните опасения във връзка с потенциални конфликти на интереси и осигурява ли прозрачност по тези въпроси за всички участници в процеса, включително създателите на политики, публичния и частния сектор и гражданското общество? (Да)</w:t>
      </w:r>
    </w:p>
    <w:p w:rsidRPr="00235E61" w:rsidR="00235E61" w:rsidP="002048E0" w:rsidRDefault="00235E61" w14:paraId="51D2823A" w14:textId="77777777">
      <w:pPr>
        <w:numPr>
          <w:ilvl w:val="0"/>
          <w:numId w:val="29"/>
        </w:numPr>
        <w:overflowPunct w:val="0"/>
        <w:autoSpaceDE w:val="0"/>
        <w:autoSpaceDN w:val="0"/>
        <w:adjustRightInd w:val="0"/>
        <w:ind w:left="993" w:hanging="426"/>
        <w:textAlignment w:val="baseline"/>
      </w:pPr>
      <w:r>
        <w:t>взема ли предвид най-добрите налични и най-нови научни доказателства? (Да)</w:t>
      </w:r>
    </w:p>
    <w:p w:rsidRPr="00235E61" w:rsidR="00235E61" w:rsidP="002048E0" w:rsidRDefault="00235E61" w14:paraId="13DAC31D" w14:textId="77777777">
      <w:pPr>
        <w:numPr>
          <w:ilvl w:val="0"/>
          <w:numId w:val="29"/>
        </w:numPr>
        <w:overflowPunct w:val="0"/>
        <w:autoSpaceDE w:val="0"/>
        <w:autoSpaceDN w:val="0"/>
        <w:adjustRightInd w:val="0"/>
        <w:ind w:left="993" w:hanging="426"/>
        <w:textAlignment w:val="baseline"/>
      </w:pPr>
      <w:r>
        <w:t>оказва ли отрицателно въздействие върху наличието на умения, човешки капитал и образование, които са необходими за иновациите, научноизследователската и развойната дейност? (Не)</w:t>
      </w:r>
    </w:p>
    <w:p w:rsidRPr="00235E61" w:rsidR="00235E61" w:rsidP="002048E0" w:rsidRDefault="00235E61" w14:paraId="4A7BF36B" w14:textId="77777777">
      <w:pPr>
        <w:numPr>
          <w:ilvl w:val="0"/>
          <w:numId w:val="29"/>
        </w:numPr>
        <w:overflowPunct w:val="0"/>
        <w:autoSpaceDE w:val="0"/>
        <w:autoSpaceDN w:val="0"/>
        <w:adjustRightInd w:val="0"/>
        <w:ind w:left="993" w:hanging="426"/>
        <w:textAlignment w:val="baseline"/>
      </w:pPr>
      <w:r>
        <w:t>води ли до действия, които биха могли да доведат до дисбаланс между половете? (Не)</w:t>
      </w:r>
    </w:p>
    <w:p w:rsidRPr="00235E61" w:rsidR="00235E61" w:rsidP="002048E0" w:rsidRDefault="00235E61" w14:paraId="10363F71" w14:textId="77777777">
      <w:pPr>
        <w:numPr>
          <w:ilvl w:val="0"/>
          <w:numId w:val="29"/>
        </w:numPr>
        <w:overflowPunct w:val="0"/>
        <w:autoSpaceDE w:val="0"/>
        <w:autoSpaceDN w:val="0"/>
        <w:adjustRightInd w:val="0"/>
        <w:ind w:left="993" w:hanging="426"/>
        <w:textAlignment w:val="baseline"/>
      </w:pPr>
      <w:r>
        <w:t>противоречи ли на настоящи или бъдещи данъчни стимули за иновации или научноизследователска и развойна дейност в Европа? (Не)</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Тел.</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+32 25469140</w:t>
            </w:r>
          </w:p>
        </w:tc>
      </w:tr>
      <w:tr w:rsidRPr="00235E61" w:rsidR="00235E61" w:rsidTr="00F655B8" w14:paraId="1F9FE480" w14:textId="77777777">
        <w:tc>
          <w:tcPr>
            <w:tcW w:w="1556" w:type="pct"/>
          </w:tcPr>
          <w:p w:rsidRPr="00235E61" w:rsidR="00235E61" w:rsidP="00235E61" w:rsidRDefault="00C94208" w14:paraId="76CEE141" w14:textId="6F6F4D3F">
            <w:pPr>
              <w:overflowPunct w:val="0"/>
              <w:autoSpaceDE w:val="0"/>
              <w:autoSpaceDN w:val="0"/>
              <w:adjustRightInd w:val="0"/>
              <w:spacing w:line="240" w:lineRule="auto"/>
              <w:textAlignment w:val="baseline"/>
              <w:rPr>
                <w:i/>
              </w:rPr>
            </w:pPr>
            <w:r>
              <w:rPr>
                <w:i/>
              </w:rPr>
              <w:t>Електронен адрес</w:t>
            </w:r>
          </w:p>
        </w:tc>
        <w:tc>
          <w:tcPr>
            <w:tcW w:w="3444" w:type="pct"/>
          </w:tcPr>
          <w:p w:rsidRPr="00235E61" w:rsidR="00235E61" w:rsidP="00235E61" w:rsidRDefault="00371636" w14:paraId="32AFDC36" w14:textId="64AA67A0">
            <w:pPr>
              <w:overflowPunct w:val="0"/>
              <w:autoSpaceDE w:val="0"/>
              <w:autoSpaceDN w:val="0"/>
              <w:adjustRightInd w:val="0"/>
              <w:spacing w:line="240" w:lineRule="auto"/>
              <w:textAlignment w:val="baseline"/>
              <w:rPr>
                <w:i/>
              </w:rPr>
            </w:pPr>
            <w:hyperlink w:history="1" r:id="rId25">
              <w:r w:rsidR="00847F99">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Pr="00DE6659" w:rsidR="00DE6659" w:rsidP="00DE6659" w:rsidRDefault="00371636"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26">
        <w:r w:rsidR="00847F99">
          <w:rPr>
            <w:b/>
            <w:i/>
            <w:color w:val="0000FF"/>
            <w:sz w:val="28"/>
            <w:u w:val="single"/>
          </w:rPr>
          <w:t>Европейски трансгранични сдружения</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6680"/>
      </w:tblGrid>
      <w:tr w:rsidRPr="00DE6659" w:rsidR="00DE6659" w:rsidTr="00431C35" w14:paraId="34929BB7" w14:textId="77777777">
        <w:tc>
          <w:tcPr>
            <w:tcW w:w="0" w:type="auto"/>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proofErr w:type="spellStart"/>
            <w:r>
              <w:t>Giuseppe</w:t>
            </w:r>
            <w:proofErr w:type="spellEnd"/>
            <w:r>
              <w:t xml:space="preserve"> GUERINI (група „Организации на гражданското общество“ — IT)</w:t>
            </w:r>
          </w:p>
        </w:tc>
      </w:tr>
      <w:tr w:rsidRPr="00DE6659" w:rsidR="00DE6659" w:rsidTr="00431C35" w14:paraId="17BB29BA" w14:textId="77777777">
        <w:tc>
          <w:tcPr>
            <w:tcW w:w="0" w:type="auto"/>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431C35" w14:paraId="7E7707AA" w14:textId="77777777">
        <w:tc>
          <w:tcPr>
            <w:tcW w:w="0" w:type="auto"/>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DE6659" w:rsidR="00DE6659" w:rsidP="00DE6659" w:rsidRDefault="00DE6659" w14:paraId="68348F3B" w14:textId="212D9FEA">
            <w:pPr>
              <w:tabs>
                <w:tab w:val="center" w:pos="284"/>
              </w:tabs>
              <w:overflowPunct w:val="0"/>
              <w:autoSpaceDE w:val="0"/>
              <w:autoSpaceDN w:val="0"/>
              <w:adjustRightInd w:val="0"/>
              <w:ind w:left="266" w:hanging="266"/>
              <w:textAlignment w:val="baseline"/>
            </w:pPr>
            <w:r>
              <w:t xml:space="preserve">COM(2023) 515 </w:t>
            </w:r>
            <w:proofErr w:type="spellStart"/>
            <w:r>
              <w:t>final</w:t>
            </w:r>
            <w:proofErr w:type="spellEnd"/>
          </w:p>
          <w:p w:rsidRPr="00DE6659" w:rsidR="00DE6659" w:rsidP="00DE6659" w:rsidRDefault="00DE6659" w14:paraId="4367C17F" w14:textId="6E5C8CF3">
            <w:pPr>
              <w:tabs>
                <w:tab w:val="center" w:pos="284"/>
              </w:tabs>
              <w:overflowPunct w:val="0"/>
              <w:autoSpaceDE w:val="0"/>
              <w:autoSpaceDN w:val="0"/>
              <w:adjustRightInd w:val="0"/>
              <w:ind w:left="266" w:hanging="266"/>
              <w:textAlignment w:val="baseline"/>
            </w:pPr>
            <w:r>
              <w:t xml:space="preserve">COM(2023) 516 </w:t>
            </w:r>
            <w:proofErr w:type="spellStart"/>
            <w:r>
              <w:t>final</w:t>
            </w:r>
            <w:proofErr w:type="spellEnd"/>
          </w:p>
        </w:tc>
      </w:tr>
      <w:tr w:rsidRPr="00DE6659" w:rsidR="00DE6659" w:rsidTr="00431C35" w14:paraId="245B9DBF" w14:textId="77777777">
        <w:tc>
          <w:tcPr>
            <w:tcW w:w="0" w:type="auto"/>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0" w:type="auto"/>
          </w:tcPr>
          <w:p w:rsidRPr="00DE6659" w:rsidR="00DE6659" w:rsidP="00DE6659" w:rsidRDefault="00DE6659" w14:paraId="11EF4CA2" w14:textId="6F984846">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ЕИСК:</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2048E0"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 xml:space="preserve">приветства предложението на Европейската комисия за улесняване на трансграничните дейности на сдруженията с нестопанска цел в ЕС чрез създаване на нова правна форма на „европейско трансгранично сдружение“. Съветва </w:t>
      </w:r>
      <w:proofErr w:type="spellStart"/>
      <w:r>
        <w:t>съзаконодателите</w:t>
      </w:r>
      <w:proofErr w:type="spellEnd"/>
      <w:r>
        <w:t xml:space="preserve"> да преминат бързо към приемането му;</w:t>
      </w:r>
    </w:p>
    <w:p w:rsidRPr="00DE6659" w:rsidR="00DE6659" w:rsidP="002048E0" w:rsidRDefault="00DE6659" w14:paraId="49329061" w14:textId="3E414408">
      <w:pPr>
        <w:numPr>
          <w:ilvl w:val="0"/>
          <w:numId w:val="44"/>
        </w:numPr>
        <w:overflowPunct w:val="0"/>
        <w:autoSpaceDE w:val="0"/>
        <w:autoSpaceDN w:val="0"/>
        <w:adjustRightInd w:val="0"/>
        <w:spacing w:after="200" w:line="276" w:lineRule="auto"/>
        <w:ind w:left="567" w:hanging="567"/>
        <w:contextualSpacing/>
        <w:textAlignment w:val="baseline"/>
        <w:rPr>
          <w:bCs/>
          <w:iCs/>
        </w:rPr>
      </w:pPr>
      <w:r>
        <w:t>признава трудностите, с които се сблъскват сдруженията и организациите с нестопанска цел при участието си на вътрешния пазар, и препоръчва на Комисията и на държавите</w:t>
      </w:r>
      <w:r w:rsidR="00431C35">
        <w:t> </w:t>
      </w:r>
      <w:r>
        <w:t>членки да премахнат правните и административните пречки, като по този начин популяризират ролята, която тези сдружения играят в ЕС за създаване на икономическа и социална стойност;</w:t>
      </w:r>
    </w:p>
    <w:p w:rsidRPr="00DE6659" w:rsidR="00DE6659" w:rsidP="002048E0"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осъзнава възможностите, които организациите с нестопанска цел могат да имат в контекста на единния пазар, и припомня необходимостта да се насърчи създаването на европейска екосистема за този вид субекти с цел подобряване на „социалното“ измерение на единния пазар;</w:t>
      </w:r>
    </w:p>
    <w:p w:rsidRPr="00DE6659" w:rsidR="00DE6659" w:rsidP="002048E0"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 xml:space="preserve">приветства предложението на Комисията за въвеждане на допълнителна правна форма европейско трансгранично сдружение (ЕПГС) в националните правни системи на държавите членки с цел намаляване на правната и административната тежест по </w:t>
      </w:r>
      <w:r>
        <w:lastRenderedPageBreak/>
        <w:t>отношение на признаването и учредяването на сдружения с нестопанска цел, които извършват дейност в друга държава членка;</w:t>
      </w:r>
    </w:p>
    <w:p w:rsidRPr="00DE6659" w:rsidR="00DE6659" w:rsidP="002048E0"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предлага всички организации, които отговарят на критериите на ЕПГС и имат седалище в Европейския съюз, да могат да получат статут на ЕПГС, дори ако сред членовете на изпълнителния орган има физически лица, пребиваващи в страни извън ЕС, и по специално в страни от Европейското икономическо пространство;</w:t>
      </w:r>
    </w:p>
    <w:p w:rsidRPr="00DE6659" w:rsidR="00DE6659" w:rsidP="002048E0"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препоръчва, като се зачитат демократичният принцип и принципът на свободно сдружаване, многообразието на видовете членство в сдруженията и изразяването на правото на глас да бъдат оставени да се определят свободно от уставите на самите сдружения и от техните членове;</w:t>
      </w:r>
    </w:p>
    <w:p w:rsidRPr="00DE6659" w:rsidR="00DE6659" w:rsidP="002048E0"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подкрепя и оценява създаването на удостоверение за ЕПГС, което ще позволи признаването на тази нова правна форма в целия Съюз след регистрирането на ЕПГС в една държава членка, но препоръчва системите за класификация и регистрация да бъдат подобрени чрез създаването на сравними бази данни.</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Тел.</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DE6659" w:rsidR="00DE6659" w:rsidP="00DE6659" w:rsidRDefault="00371636" w14:paraId="23C9553B" w14:textId="77777777">
            <w:pPr>
              <w:overflowPunct w:val="0"/>
              <w:autoSpaceDE w:val="0"/>
              <w:autoSpaceDN w:val="0"/>
              <w:adjustRightInd w:val="0"/>
              <w:spacing w:line="240" w:lineRule="auto"/>
              <w:textAlignment w:val="baseline"/>
              <w:rPr>
                <w:i/>
              </w:rPr>
            </w:pPr>
            <w:hyperlink w:history="1" r:id="rId27">
              <w:r w:rsidR="00847F99">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Pr="009E6551" w:rsidR="009E6551" w:rsidP="009E6551" w:rsidRDefault="00371636" w14:paraId="4DE066CB" w14:textId="140882A2">
      <w:pPr>
        <w:widowControl w:val="0"/>
        <w:numPr>
          <w:ilvl w:val="0"/>
          <w:numId w:val="2"/>
        </w:numPr>
        <w:overflowPunct w:val="0"/>
        <w:autoSpaceDE w:val="0"/>
        <w:autoSpaceDN w:val="0"/>
        <w:adjustRightInd w:val="0"/>
        <w:ind w:hanging="567"/>
        <w:textAlignment w:val="baseline"/>
        <w:rPr>
          <w:b/>
          <w:bCs/>
          <w:i/>
          <w:iCs/>
          <w:sz w:val="28"/>
          <w:szCs w:val="28"/>
        </w:rPr>
      </w:pPr>
      <w:hyperlink w:history="1" r:id="rId28">
        <w:r w:rsidR="00847F99">
          <w:rPr>
            <w:b/>
            <w:i/>
            <w:color w:val="0000FF"/>
            <w:sz w:val="28"/>
            <w:u w:val="single"/>
          </w:rPr>
          <w:t>Нова европейска стратегия за вътрешния пазар</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2"/>
        <w:gridCol w:w="7175"/>
      </w:tblGrid>
      <w:tr w:rsidRPr="009E6551" w:rsidR="009E6551" w:rsidTr="00431C35" w14:paraId="4D686838" w14:textId="77777777">
        <w:tc>
          <w:tcPr>
            <w:tcW w:w="0" w:type="auto"/>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9E6551" w:rsidR="009E6551" w:rsidP="009E6551" w:rsidRDefault="009E6551" w14:paraId="1A8DCFC5" w14:textId="7734F633">
            <w:pPr>
              <w:tabs>
                <w:tab w:val="center" w:pos="0"/>
              </w:tabs>
              <w:overflowPunct w:val="0"/>
              <w:autoSpaceDE w:val="0"/>
              <w:autoSpaceDN w:val="0"/>
              <w:adjustRightInd w:val="0"/>
              <w:ind w:left="266" w:hanging="266"/>
              <w:textAlignment w:val="baseline"/>
            </w:pPr>
            <w:proofErr w:type="spellStart"/>
            <w:r>
              <w:t>Sandra</w:t>
            </w:r>
            <w:proofErr w:type="spellEnd"/>
            <w:r>
              <w:t xml:space="preserve"> PARTHIE (група „Работодатели“ — DE)</w:t>
            </w:r>
          </w:p>
        </w:tc>
      </w:tr>
      <w:tr w:rsidRPr="009E6551" w:rsidR="009E6551" w:rsidTr="00431C35" w14:paraId="567CF579" w14:textId="77777777">
        <w:tc>
          <w:tcPr>
            <w:tcW w:w="0" w:type="auto"/>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0" w:type="auto"/>
          </w:tcPr>
          <w:p w:rsidRPr="009E6551" w:rsidR="009E6551" w:rsidP="009E6551" w:rsidRDefault="009E6551" w14:paraId="0FC36817" w14:textId="3CA123C9">
            <w:pPr>
              <w:tabs>
                <w:tab w:val="center" w:pos="284"/>
              </w:tabs>
              <w:overflowPunct w:val="0"/>
              <w:autoSpaceDE w:val="0"/>
              <w:autoSpaceDN w:val="0"/>
              <w:adjustRightInd w:val="0"/>
              <w:ind w:left="266" w:hanging="266"/>
              <w:textAlignment w:val="baseline"/>
            </w:pPr>
            <w:proofErr w:type="spellStart"/>
            <w:r>
              <w:t>Alain</w:t>
            </w:r>
            <w:proofErr w:type="spellEnd"/>
            <w:r>
              <w:t xml:space="preserve"> COHEUR (група „Организации на гражданското общество“ — BE)</w:t>
            </w:r>
          </w:p>
        </w:tc>
      </w:tr>
      <w:tr w:rsidRPr="009E6551" w:rsidR="009E6551" w:rsidTr="00431C35" w14:paraId="047ABAF7" w14:textId="77777777">
        <w:tc>
          <w:tcPr>
            <w:tcW w:w="0" w:type="auto"/>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431C35" w14:paraId="423137BA" w14:textId="77777777">
        <w:tc>
          <w:tcPr>
            <w:tcW w:w="0" w:type="auto"/>
            <w:vMerge w:val="restart"/>
          </w:tcPr>
          <w:p w:rsidRPr="009E6551" w:rsidR="009E6551" w:rsidP="009E6551" w:rsidRDefault="009E6551" w14:paraId="73633D71"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Проучвателно становище по искане на белгийското председателство на Съвета на ЕС</w:t>
            </w:r>
          </w:p>
        </w:tc>
      </w:tr>
      <w:tr w:rsidRPr="009E6551" w:rsidR="009E6551" w:rsidTr="00431C35" w14:paraId="6DA4EF09" w14:textId="77777777">
        <w:tc>
          <w:tcPr>
            <w:tcW w:w="0" w:type="auto"/>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0" w:type="auto"/>
          </w:tcPr>
          <w:p w:rsidRPr="009E6551" w:rsidR="009E6551" w:rsidP="009E6551" w:rsidRDefault="009E6551" w14:paraId="5D99BAED" w14:textId="0CE6B7E1">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2048E0" w:rsidRDefault="009E6551" w14:paraId="3A3C29C6" w14:textId="77777777">
      <w:pPr>
        <w:keepNext/>
        <w:keepLines/>
        <w:overflowPunct w:val="0"/>
        <w:autoSpaceDE w:val="0"/>
        <w:autoSpaceDN w:val="0"/>
        <w:adjustRightInd w:val="0"/>
        <w:textAlignment w:val="baseline"/>
        <w:rPr>
          <w:b/>
        </w:rPr>
      </w:pPr>
      <w:r>
        <w:rPr>
          <w:b/>
        </w:rPr>
        <w:t>Основни аспекти</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ЕИСК:</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2048E0"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счита, че стратегията за </w:t>
      </w:r>
      <w:r>
        <w:rPr>
          <w:b/>
        </w:rPr>
        <w:t>бъдещето на вътрешния пазар</w:t>
      </w:r>
      <w:r>
        <w:t xml:space="preserve"> би трябвало да се съсредоточи върху няколко аспекта: </w:t>
      </w:r>
      <w:r>
        <w:rPr>
          <w:b/>
        </w:rPr>
        <w:t>европейска промишлена политика</w:t>
      </w:r>
      <w:r>
        <w:t>, благоприятна</w:t>
      </w:r>
      <w:r>
        <w:rPr>
          <w:b/>
        </w:rPr>
        <w:t xml:space="preserve"> рамка за предприятията и МСП</w:t>
      </w:r>
      <w:r>
        <w:t xml:space="preserve">, </w:t>
      </w:r>
      <w:r>
        <w:rPr>
          <w:b/>
        </w:rPr>
        <w:t>предприятията от социалната икономика</w:t>
      </w:r>
      <w:r>
        <w:t xml:space="preserve">, публична подкрепа за </w:t>
      </w:r>
      <w:r>
        <w:rPr>
          <w:b/>
        </w:rPr>
        <w:t>европейския проект</w:t>
      </w:r>
      <w:r>
        <w:t>, добре организирани и ефикасни</w:t>
      </w:r>
      <w:r>
        <w:rPr>
          <w:b/>
        </w:rPr>
        <w:t xml:space="preserve"> услуги от общ интерес</w:t>
      </w:r>
      <w:r>
        <w:t xml:space="preserve"> и стъпки за запазване и развитие на нашия</w:t>
      </w:r>
      <w:r>
        <w:rPr>
          <w:b/>
        </w:rPr>
        <w:t xml:space="preserve"> социален модел</w:t>
      </w:r>
      <w:r>
        <w:t>;</w:t>
      </w:r>
    </w:p>
    <w:p w:rsidRPr="009E6551" w:rsidR="009E6551" w:rsidP="002048E0"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призовава за </w:t>
      </w:r>
      <w:r>
        <w:rPr>
          <w:b/>
        </w:rPr>
        <w:t>нова аналитична рамка, която да направлява вземането на политически решения</w:t>
      </w:r>
      <w:r>
        <w:t xml:space="preserve"> в един променен свят с нови геополитически предизвикателства. Съществуват редица противоречащи си цели: искания за субсидии срещу искания за ограничаване на държавната помощ; изисквания към местното производство срещу преминаване към отваряне на пазарите; достъп до суровини с основно значение срещу условия на доставка. Необходима е </w:t>
      </w:r>
      <w:r>
        <w:rPr>
          <w:b/>
        </w:rPr>
        <w:t>нова система на сътрудничество</w:t>
      </w:r>
      <w:r>
        <w:t xml:space="preserve"> за намиране на най-добрите решения, както и нов дух на сътрудничество между държавите членки за създаването на </w:t>
      </w:r>
      <w:r>
        <w:rPr>
          <w:b/>
        </w:rPr>
        <w:t>истинско чувство за европейска идентичност</w:t>
      </w:r>
      <w:r>
        <w:t>;</w:t>
      </w:r>
    </w:p>
    <w:p w:rsidRPr="009E6551" w:rsidR="009E6551" w:rsidP="002048E0"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призовава за </w:t>
      </w:r>
      <w:r>
        <w:rPr>
          <w:b/>
        </w:rPr>
        <w:t>оценка на последиците</w:t>
      </w:r>
      <w:r>
        <w:t xml:space="preserve"> за икономическото, социалното и териториалното сближаване от </w:t>
      </w:r>
      <w:r>
        <w:rPr>
          <w:b/>
        </w:rPr>
        <w:t>либерализирането на услугите от общ икономически интерес (УОИИ)</w:t>
      </w:r>
      <w:r>
        <w:t xml:space="preserve"> </w:t>
      </w:r>
      <w:r>
        <w:lastRenderedPageBreak/>
        <w:t xml:space="preserve">и проучване на евентуалната необходимост от създаване на </w:t>
      </w:r>
      <w:r>
        <w:rPr>
          <w:b/>
        </w:rPr>
        <w:t>европейски инструменти за публична намеса в секторите на УОИИ</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Тел.</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9E6551" w:rsidR="009E6551" w:rsidP="009E6551" w:rsidRDefault="00371636" w14:paraId="4125E6FA" w14:textId="77777777">
            <w:pPr>
              <w:overflowPunct w:val="0"/>
              <w:autoSpaceDE w:val="0"/>
              <w:autoSpaceDN w:val="0"/>
              <w:adjustRightInd w:val="0"/>
              <w:spacing w:line="240" w:lineRule="auto"/>
              <w:textAlignment w:val="baseline"/>
              <w:rPr>
                <w:iCs/>
              </w:rPr>
            </w:pPr>
            <w:hyperlink w:history="1" r:id="rId29">
              <w:r w:rsidR="00847F99">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Pr="00C41F06" w:rsidR="00C41F06" w:rsidP="00C41F06" w:rsidRDefault="00371636"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0">
        <w:r w:rsidR="00847F99">
          <w:rPr>
            <w:b/>
            <w:i/>
            <w:color w:val="0000FF"/>
            <w:sz w:val="28"/>
            <w:u w:val="single"/>
          </w:rPr>
          <w:t>Преразглеждане на Директивата относно забавянето на плащанията</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6792"/>
      </w:tblGrid>
      <w:tr w:rsidRPr="00C41F06" w:rsidR="00C41F06" w:rsidTr="00431C35" w14:paraId="17FC1AAE" w14:textId="77777777">
        <w:trPr>
          <w:trHeight w:val="406"/>
        </w:trPr>
        <w:tc>
          <w:tcPr>
            <w:tcW w:w="0" w:type="auto"/>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Докладчици</w:t>
            </w:r>
          </w:p>
        </w:tc>
        <w:tc>
          <w:tcPr>
            <w:tcW w:w="0" w:type="auto"/>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proofErr w:type="spellStart"/>
            <w:r>
              <w:t>Panagiotis</w:t>
            </w:r>
            <w:proofErr w:type="spellEnd"/>
            <w:r>
              <w:t xml:space="preserve"> GKOFAS (група „Организации на гражданското общество“ —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proofErr w:type="spellStart"/>
            <w:r>
              <w:t>Alena</w:t>
            </w:r>
            <w:proofErr w:type="spellEnd"/>
            <w:r>
              <w:t xml:space="preserve"> MASTANTUONO (група „Работодатели“ —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proofErr w:type="spellStart"/>
            <w:r>
              <w:t>Angelo</w:t>
            </w:r>
            <w:proofErr w:type="spellEnd"/>
            <w:r>
              <w:t xml:space="preserve"> PAGLIARA (група „Работници“ — IT)</w:t>
            </w:r>
          </w:p>
        </w:tc>
      </w:tr>
      <w:tr w:rsidRPr="00C41F06" w:rsidR="00C41F06" w:rsidTr="00431C35" w14:paraId="13E6E1E7" w14:textId="77777777">
        <w:tc>
          <w:tcPr>
            <w:tcW w:w="0" w:type="auto"/>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C41F06" w:rsidR="00C41F06" w:rsidP="00C41F06" w:rsidRDefault="00C41F06" w14:paraId="16F6C4C1" w14:textId="482569CA">
            <w:pPr>
              <w:tabs>
                <w:tab w:val="center" w:pos="284"/>
              </w:tabs>
              <w:overflowPunct w:val="0"/>
              <w:autoSpaceDE w:val="0"/>
              <w:autoSpaceDN w:val="0"/>
              <w:adjustRightInd w:val="0"/>
              <w:ind w:left="266" w:hanging="266"/>
              <w:textAlignment w:val="baseline"/>
            </w:pPr>
            <w:r>
              <w:t xml:space="preserve">COM(2023) 533 </w:t>
            </w:r>
            <w:proofErr w:type="spellStart"/>
            <w:r>
              <w:t>final</w:t>
            </w:r>
            <w:proofErr w:type="spellEnd"/>
          </w:p>
        </w:tc>
      </w:tr>
      <w:tr w:rsidRPr="00C41F06" w:rsidR="00C41F06" w:rsidTr="00431C35" w14:paraId="7E622C46" w14:textId="77777777">
        <w:tc>
          <w:tcPr>
            <w:tcW w:w="0" w:type="auto"/>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0" w:type="auto"/>
          </w:tcPr>
          <w:p w:rsidRPr="00C41F06" w:rsidR="00C41F06" w:rsidP="00C41F06" w:rsidRDefault="00C41F06" w14:paraId="77792A8C" w14:textId="5E584AD0">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2048E0" w:rsidRDefault="00C41F06" w14:paraId="796186DF" w14:textId="77777777">
      <w:pPr>
        <w:keepNext/>
        <w:keepLines/>
        <w:overflowPunct w:val="0"/>
        <w:autoSpaceDE w:val="0"/>
        <w:autoSpaceDN w:val="0"/>
        <w:adjustRightInd w:val="0"/>
        <w:ind w:left="266" w:hanging="266"/>
        <w:textAlignment w:val="baseline"/>
        <w:rPr>
          <w:b/>
        </w:rPr>
      </w:pPr>
      <w:r>
        <w:rPr>
          <w:b/>
        </w:rPr>
        <w:t>Основни аспекти</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t>ЕИСК:</w:t>
      </w:r>
    </w:p>
    <w:p w:rsidRPr="00C41F06" w:rsidR="00C41F06" w:rsidP="002048E0"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приветства съобщението на Комисията за пакет от мерки за подпомагане на МСП и намерението на Комисията да продължи борбата със забавените плащания. Същевременно Комитетът </w:t>
      </w:r>
      <w:r>
        <w:rPr>
          <w:b/>
        </w:rPr>
        <w:t>изразява загриженост по повод това, че преобразуването на настоящата директива в регламент може да ограничи гъвкавостта на държавите членки</w:t>
      </w:r>
      <w:r>
        <w:t xml:space="preserve"> и на бизнес средата във времена на многобройни турбуленции в целия ЕС;</w:t>
      </w:r>
    </w:p>
    <w:p w:rsidRPr="00C41F06" w:rsidR="00C41F06" w:rsidP="002048E0"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смята, че </w:t>
      </w:r>
      <w:r>
        <w:rPr>
          <w:b/>
        </w:rPr>
        <w:t>забавените плащания</w:t>
      </w:r>
      <w:r>
        <w:t xml:space="preserve"> са в ущърб както на собствениците на малки предприятия, така и на техните служители и оказват </w:t>
      </w:r>
      <w:r>
        <w:rPr>
          <w:b/>
        </w:rPr>
        <w:t>сериозно отражение върху плащанията на комунални услуги, наеми и заеми</w:t>
      </w:r>
      <w:r>
        <w:t xml:space="preserve">, както и върху </w:t>
      </w:r>
      <w:r>
        <w:rPr>
          <w:b/>
        </w:rPr>
        <w:t>душевното равновесие на хората и тяхната производителност</w:t>
      </w:r>
      <w:r>
        <w:t>;</w:t>
      </w:r>
    </w:p>
    <w:p w:rsidRPr="00C41F06" w:rsidR="00C41F06" w:rsidP="002048E0"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е на мнение, че с това предложение Комисията се опитва да се справи с проблема с дългите срокове на плащане, а не със забавата на плащанията, като</w:t>
      </w:r>
      <w:r>
        <w:rPr>
          <w:b/>
        </w:rPr>
        <w:t xml:space="preserve"> въвежда прекомерно ограничителни мерки, вместо да подобри настоящата рамка за правоприлагане</w:t>
      </w:r>
      <w:r>
        <w:t xml:space="preserve"> с по-ефективни правила;</w:t>
      </w:r>
    </w:p>
    <w:p w:rsidRPr="00C41F06" w:rsidR="00C41F06" w:rsidP="002048E0"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подчертава значението на гъвкавите преговори при определянето на условията за плащане и изтъква силната си загриженост във връзка с предложението на Комисията. По същество </w:t>
      </w:r>
      <w:r>
        <w:rPr>
          <w:b/>
        </w:rPr>
        <w:t>предложението за 30-дневна горна граница премахва свободата на договаряне между дружествата</w:t>
      </w:r>
      <w:r>
        <w:t>;</w:t>
      </w:r>
    </w:p>
    <w:p w:rsidRPr="00C41F06" w:rsidR="00C41F06" w:rsidP="002048E0"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приветства предложението срокът за плащане за сделките между правителства и предприятия (G2B) да бъде определен на 30 дни. </w:t>
      </w:r>
      <w:r>
        <w:rPr>
          <w:b/>
        </w:rPr>
        <w:t>Публичните власти следва да дават пример, тъй като те представляват основен партньор за дружествата</w:t>
      </w:r>
      <w:r>
        <w:t>;</w:t>
      </w:r>
    </w:p>
    <w:p w:rsidRPr="00C41F06" w:rsidR="00C41F06" w:rsidP="002048E0"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разглежда като потенциално полезно въвеждането на </w:t>
      </w:r>
      <w:r>
        <w:rPr>
          <w:b/>
        </w:rPr>
        <w:t>национални правоприлагащи органи</w:t>
      </w:r>
      <w:r>
        <w:t>. Подчертава обаче, че тези органи</w:t>
      </w:r>
      <w:r>
        <w:rPr>
          <w:b/>
        </w:rPr>
        <w:t xml:space="preserve"> трябва да действат обективно и да гарантират максимална поверителност</w:t>
      </w:r>
      <w:r>
        <w:t xml:space="preserve"> при обработването на търговска информация с чувствителен характер както на предприятията, така и на публичните власти, без да налагат допълнителни задължения за представяне на отчети;</w:t>
      </w:r>
    </w:p>
    <w:p w:rsidRPr="00C41F06" w:rsidR="00C41F06" w:rsidP="002048E0" w:rsidRDefault="00C41F06" w14:paraId="5ED9EEAA" w14:textId="7824C045">
      <w:pPr>
        <w:numPr>
          <w:ilvl w:val="0"/>
          <w:numId w:val="39"/>
        </w:numPr>
        <w:overflowPunct w:val="0"/>
        <w:autoSpaceDE w:val="0"/>
        <w:autoSpaceDN w:val="0"/>
        <w:adjustRightInd w:val="0"/>
        <w:spacing w:line="276" w:lineRule="auto"/>
        <w:ind w:left="567" w:hanging="567"/>
        <w:contextualSpacing/>
        <w:textAlignment w:val="baseline"/>
        <w:rPr>
          <w:bCs/>
          <w:iCs/>
        </w:rPr>
      </w:pPr>
      <w:r>
        <w:t xml:space="preserve">смята, че </w:t>
      </w:r>
      <w:r>
        <w:rPr>
          <w:b/>
        </w:rPr>
        <w:t>строгите условия относно сроковете за плащане</w:t>
      </w:r>
      <w:r>
        <w:t xml:space="preserve"> могат евентуално да окажат въздействие върху търговските сделки в рамките на единния пазар и да дадат тласък на стопанските операции извън ЕС. По-лесно би било да се работи с доставчици от </w:t>
      </w:r>
      <w:r>
        <w:lastRenderedPageBreak/>
        <w:t>трети</w:t>
      </w:r>
      <w:r w:rsidR="00431C35">
        <w:t> </w:t>
      </w:r>
      <w:r>
        <w:t xml:space="preserve">държави, на които е разрешено да приемат по-дълги срокове на плащане. Това би могло да представлява </w:t>
      </w:r>
      <w:r>
        <w:rPr>
          <w:b/>
        </w:rPr>
        <w:t>потенциална заплаха за конкурентоспособността на Европа</w:t>
      </w:r>
      <w:r>
        <w:t xml:space="preserve"> и следва да се избягва.</w:t>
      </w:r>
    </w:p>
    <w:p w:rsidRPr="00C41F06" w:rsidR="00C41F06" w:rsidP="002048E0"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За контакт</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w:t>
            </w:r>
            <w:proofErr w:type="spellStart"/>
            <w:r>
              <w:rPr>
                <w:i/>
              </w:rPr>
              <w:t>Bernard</w:t>
            </w:r>
            <w:proofErr w:type="spellEnd"/>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Тел.</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Електронен адрес</w:t>
            </w:r>
          </w:p>
        </w:tc>
        <w:tc>
          <w:tcPr>
            <w:tcW w:w="4049" w:type="pct"/>
          </w:tcPr>
          <w:p w:rsidRPr="00C41F06" w:rsidR="00C41F06" w:rsidP="00C41F06" w:rsidRDefault="00371636" w14:paraId="36F98705" w14:textId="77777777">
            <w:pPr>
              <w:overflowPunct w:val="0"/>
              <w:autoSpaceDE w:val="0"/>
              <w:autoSpaceDN w:val="0"/>
              <w:adjustRightInd w:val="0"/>
              <w:spacing w:line="240" w:lineRule="auto"/>
              <w:textAlignment w:val="baseline"/>
              <w:rPr>
                <w:i/>
              </w:rPr>
            </w:pPr>
            <w:hyperlink w:history="1" r:id="rId31">
              <w:r w:rsidR="00847F99">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Pr="00EE2FBD" w:rsidR="004C3902" w:rsidP="00234EA0" w:rsidRDefault="008E2A59" w14:paraId="7AD922B6" w14:textId="2BABB602">
      <w:pPr>
        <w:pStyle w:val="Heading1"/>
        <w:ind w:hanging="928"/>
        <w:rPr>
          <w:b/>
          <w:bCs/>
        </w:rPr>
      </w:pPr>
      <w:bookmarkStart w:name="_Toc153539681" w:id="33"/>
      <w:bookmarkStart w:name="_Toc157760951" w:id="34"/>
      <w:r>
        <w:rPr>
          <w:b/>
        </w:rPr>
        <w:t>ЗЕМЕДЕЛИЕ, РАЗВИТИЕ НА СЕЛСКИТЕ РАЙОНИ, ОКОЛНА СРЕДА</w:t>
      </w:r>
      <w:bookmarkStart w:name="_Hlk145944317" w:id="35"/>
      <w:bookmarkEnd w:id="33"/>
      <w:bookmarkEnd w:id="34"/>
    </w:p>
    <w:bookmarkEnd w:id="35"/>
    <w:p w:rsidRPr="00094B6B" w:rsidR="002C016E" w:rsidP="00DE43CE" w:rsidRDefault="002C016E" w14:paraId="0E7342A4" w14:textId="73254B30">
      <w:pPr>
        <w:keepNext/>
        <w:keepLines/>
        <w:jc w:val="left"/>
        <w:rPr>
          <w:bCs/>
          <w:iCs/>
        </w:rPr>
      </w:pPr>
    </w:p>
    <w:p w:rsidRPr="001546A6" w:rsidR="001546A6" w:rsidP="002048E0" w:rsidRDefault="00371636"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2">
        <w:r w:rsidR="001546A6">
          <w:rPr>
            <w:b/>
            <w:i/>
            <w:color w:val="0000FF"/>
            <w:sz w:val="28"/>
            <w:u w:val="single"/>
          </w:rPr>
          <w:t>Цели за определяне на възможностите за риболов</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6792"/>
      </w:tblGrid>
      <w:tr w:rsidRPr="001546A6" w:rsidR="001546A6" w:rsidTr="00431C35" w14:paraId="0E83ACAC" w14:textId="77777777">
        <w:tc>
          <w:tcPr>
            <w:tcW w:w="0" w:type="auto"/>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1D1D1C" w:rsidR="001546A6" w:rsidP="001546A6" w:rsidRDefault="001546A6" w14:paraId="71636E19" w14:textId="7F3B9901">
            <w:pPr>
              <w:tabs>
                <w:tab w:val="center" w:pos="284"/>
              </w:tabs>
              <w:overflowPunct w:val="0"/>
              <w:autoSpaceDE w:val="0"/>
              <w:autoSpaceDN w:val="0"/>
              <w:adjustRightInd w:val="0"/>
              <w:ind w:left="266" w:hanging="266"/>
              <w:textAlignment w:val="baseline"/>
            </w:pPr>
            <w:proofErr w:type="spellStart"/>
            <w:r>
              <w:t>Panagiotis</w:t>
            </w:r>
            <w:proofErr w:type="spellEnd"/>
            <w:r>
              <w:t xml:space="preserve"> GKOFAS (група „Организации на гражданското общество“ — EL) </w:t>
            </w:r>
          </w:p>
        </w:tc>
      </w:tr>
      <w:tr w:rsidRPr="001546A6" w:rsidR="001546A6" w:rsidTr="00431C35" w14:paraId="1CEA36C4" w14:textId="77777777">
        <w:tc>
          <w:tcPr>
            <w:tcW w:w="0" w:type="auto"/>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431C35" w14:paraId="1DA72B21" w14:textId="77777777">
        <w:tc>
          <w:tcPr>
            <w:tcW w:w="0" w:type="auto"/>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 xml:space="preserve">COM(2023) 771 </w:t>
            </w:r>
            <w:proofErr w:type="spellStart"/>
            <w:r>
              <w:t>final</w:t>
            </w:r>
            <w:proofErr w:type="spellEnd"/>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ЕИСК:</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2048E0"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потвърждава, че целта на законодателното предложение е да се изменят многогодишните планове за някои запаси, обект на риболов в Балтийско море, Северно море и Западните води, както и за видовете риболов, които експлоатират тези запаси, за да се осигури съгласуваност на правилата, уреждащи определянето от Съвета на годишните възможности за риболов;</w:t>
      </w:r>
    </w:p>
    <w:p w:rsidRPr="001546A6" w:rsidR="001546A6" w:rsidP="002048E0"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потвърждава, че и в трите многогодишни плана фигурира т.нар. „правило за 5 %“, според което възможностите за риболов се определят по такъв начин, че да се гарантира, че има по-малко от 5 % вероятност биомасата на репродуктивния запас да спадне до точката, под която възпроизводителната способност може да бъде намалена;</w:t>
      </w:r>
    </w:p>
    <w:p w:rsidRPr="001546A6" w:rsidR="001546A6" w:rsidP="002048E0"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признава, че при определени обстоятелства, свързани със състоянието на даден рибен запас и краткосрочната прогноза за развитието на биомасата, прилагането на правилото за 5 % обаче може да означава, че възможностите за риболов не могат да бъдат определени и целевият риболов трябва да бъде преустановен, с потенциално сериозни социално-икономически последици;</w:t>
      </w:r>
    </w:p>
    <w:p w:rsidRPr="001546A6" w:rsidR="001546A6" w:rsidP="002048E0"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и поради това изразява съгласие с предложението за заличаване на правилото за 5 % в тези три многогодишни плана.</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За контакт</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Тел.</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Електронен адрес</w:t>
            </w:r>
          </w:p>
        </w:tc>
        <w:tc>
          <w:tcPr>
            <w:tcW w:w="5670" w:type="dxa"/>
          </w:tcPr>
          <w:p w:rsidRPr="00C83487" w:rsidR="001546A6" w:rsidP="001546A6" w:rsidRDefault="00371636" w14:paraId="4CAF59C5" w14:textId="663BE3D7">
            <w:pPr>
              <w:overflowPunct w:val="0"/>
              <w:autoSpaceDE w:val="0"/>
              <w:autoSpaceDN w:val="0"/>
              <w:adjustRightInd w:val="0"/>
              <w:spacing w:line="240" w:lineRule="auto"/>
              <w:textAlignment w:val="baseline"/>
              <w:rPr>
                <w:i/>
                <w:color w:val="0000FF"/>
                <w:u w:val="single"/>
              </w:rPr>
            </w:pPr>
            <w:hyperlink w:history="1" r:id="rId33">
              <w:r w:rsidR="00847F99">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371636"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4">
        <w:r w:rsidR="00847F99">
          <w:rPr>
            <w:b/>
            <w:i/>
            <w:color w:val="0000FF"/>
            <w:sz w:val="28"/>
            <w:u w:val="single"/>
          </w:rPr>
          <w:t>Към общата селскостопанска политика (ОСП) след 2027 г.</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00"/>
        <w:gridCol w:w="7187"/>
      </w:tblGrid>
      <w:tr w:rsidRPr="0048644C" w:rsidR="0048644C" w:rsidTr="00431C35" w14:paraId="104552E9" w14:textId="77777777">
        <w:trPr>
          <w:trHeight w:val="297"/>
        </w:trPr>
        <w:tc>
          <w:tcPr>
            <w:tcW w:w="0" w:type="auto"/>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48644C" w:rsidR="0048644C" w:rsidP="0048644C" w:rsidRDefault="0048644C" w14:paraId="0A2388D7" w14:textId="3831C980">
            <w:pPr>
              <w:tabs>
                <w:tab w:val="center" w:pos="284"/>
              </w:tabs>
              <w:overflowPunct w:val="0"/>
              <w:autoSpaceDE w:val="0"/>
              <w:autoSpaceDN w:val="0"/>
              <w:adjustRightInd w:val="0"/>
              <w:ind w:left="266" w:hanging="266"/>
              <w:textAlignment w:val="baseline"/>
              <w:rPr>
                <w:bCs/>
              </w:rPr>
            </w:pPr>
            <w:r>
              <w:t>Стоян ЧУКАНОВ (група „Организации на гражданското общество“ — BG)</w:t>
            </w:r>
          </w:p>
        </w:tc>
      </w:tr>
      <w:tr w:rsidRPr="0048644C" w:rsidR="0048644C" w:rsidTr="00431C35" w14:paraId="4706EC05" w14:textId="77777777">
        <w:trPr>
          <w:trHeight w:val="285"/>
        </w:trPr>
        <w:tc>
          <w:tcPr>
            <w:tcW w:w="0" w:type="auto"/>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Pr="0048644C" w:rsidR="0048644C" w:rsidP="0048644C" w:rsidRDefault="0048644C" w14:paraId="12F473B0" w14:textId="690BF5E2">
            <w:pPr>
              <w:tabs>
                <w:tab w:val="center" w:pos="284"/>
              </w:tabs>
              <w:overflowPunct w:val="0"/>
              <w:autoSpaceDE w:val="0"/>
              <w:autoSpaceDN w:val="0"/>
              <w:adjustRightInd w:val="0"/>
              <w:ind w:left="266" w:hanging="266"/>
              <w:textAlignment w:val="baseline"/>
            </w:pPr>
            <w:r>
              <w:t>Проучвателно становище по искане на белгийското председателство на Съвета на ЕС</w:t>
            </w:r>
          </w:p>
        </w:tc>
      </w:tr>
      <w:tr w:rsidRPr="0048644C" w:rsidR="0048644C" w:rsidTr="00431C35" w14:paraId="185DEF53" w14:textId="77777777">
        <w:trPr>
          <w:trHeight w:val="293"/>
        </w:trPr>
        <w:tc>
          <w:tcPr>
            <w:tcW w:w="0" w:type="auto"/>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0" w:type="auto"/>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2048E0" w:rsidRDefault="0048644C" w14:paraId="66B2F906" w14:textId="5A6361DC">
      <w:pPr>
        <w:keepNext/>
        <w:keepLines/>
        <w:overflowPunct w:val="0"/>
        <w:autoSpaceDE w:val="0"/>
        <w:autoSpaceDN w:val="0"/>
        <w:adjustRightInd w:val="0"/>
        <w:textAlignment w:val="baseline"/>
        <w:rPr>
          <w:b/>
        </w:rPr>
      </w:pPr>
      <w:r>
        <w:rPr>
          <w:b/>
        </w:rPr>
        <w:t>Основни аспекти</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t>ЕИСК счита, че общата селскостопанска политика (ОСП) след 2027 г.:</w:t>
      </w:r>
    </w:p>
    <w:p w:rsidRPr="002048E0" w:rsidR="0048644C" w:rsidP="002048E0"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52" w:id="36"/>
      <w:r>
        <w:t xml:space="preserve">трябва да осигури </w:t>
      </w:r>
      <w:r>
        <w:rPr>
          <w:b/>
        </w:rPr>
        <w:t>стабилна дългосрочна политическа рамка</w:t>
      </w:r>
      <w:r>
        <w:t>, насочена към устойчиво производство на храни и отворена стратегическа автономност за Европейския съюз, като същевременно защитава разнообразието от видове селско стопанство в ЕС, отговаря на обществените и екологичните потребности („публични средства за обществени блага“) и гарантира развитието на селските райони;</w:t>
      </w:r>
      <w:bookmarkEnd w:id="36"/>
    </w:p>
    <w:p w:rsidR="00F42CEC" w:rsidP="002048E0" w:rsidRDefault="0048644C" w14:paraId="358CD1BF" w14:textId="77777777">
      <w:pPr>
        <w:pStyle w:val="ListParagraph"/>
        <w:numPr>
          <w:ilvl w:val="0"/>
          <w:numId w:val="41"/>
        </w:numPr>
        <w:overflowPunct w:val="0"/>
        <w:autoSpaceDE w:val="0"/>
        <w:autoSpaceDN w:val="0"/>
        <w:adjustRightInd w:val="0"/>
        <w:ind w:left="567" w:hanging="567"/>
        <w:textAlignment w:val="baseline"/>
        <w:outlineLvl w:val="1"/>
      </w:pPr>
      <w:bookmarkStart w:name="_Toc157760953" w:id="37"/>
      <w:r>
        <w:t xml:space="preserve">трябва да бъде </w:t>
      </w:r>
      <w:r>
        <w:rPr>
          <w:b/>
        </w:rPr>
        <w:t>предупредителен сигнал</w:t>
      </w:r>
      <w:r>
        <w:t>, който да насочи вниманието към необходимостта от подходящо подпомагане на земеделските стопани по време на прехода;</w:t>
      </w:r>
      <w:bookmarkEnd w:id="37"/>
    </w:p>
    <w:p w:rsidR="00F42CEC" w:rsidP="002048E0" w:rsidRDefault="0048644C" w14:paraId="12839600" w14:textId="77777777">
      <w:pPr>
        <w:pStyle w:val="ListParagraph"/>
        <w:numPr>
          <w:ilvl w:val="0"/>
          <w:numId w:val="41"/>
        </w:numPr>
        <w:overflowPunct w:val="0"/>
        <w:autoSpaceDE w:val="0"/>
        <w:autoSpaceDN w:val="0"/>
        <w:adjustRightInd w:val="0"/>
        <w:ind w:left="567" w:hanging="567"/>
        <w:textAlignment w:val="baseline"/>
        <w:outlineLvl w:val="1"/>
      </w:pPr>
      <w:bookmarkStart w:name="_Toc157760954" w:id="38"/>
      <w:r>
        <w:t xml:space="preserve">въпреки факта, че делът от бюджета на ЕС, предназначен за ОСП, непрекъснато намалява през последните 40 години, като през 2021 г. е под 25 %, </w:t>
      </w:r>
      <w:r>
        <w:rPr>
          <w:b/>
        </w:rPr>
        <w:t>финансирането</w:t>
      </w:r>
      <w:r>
        <w:t xml:space="preserve"> трябва да бъде съизмеримо с амбицията ѝ да подкрепя устойчивия преход и че основното подпомагане на доходите въз основа на площта следва постепенно да бъде заменено от финансови стимули за земеделските стопани за екологични и социални услуги, с разумен преходен период, който може да надхвърли обхвата на една-единствена многогодишна финансова рамка (МФР);</w:t>
      </w:r>
      <w:bookmarkEnd w:id="38"/>
    </w:p>
    <w:p w:rsidRPr="002048E0" w:rsidR="0048644C" w:rsidP="002048E0" w:rsidRDefault="0048644C" w14:paraId="6F39431C" w14:textId="765769D2">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55" w:id="39"/>
      <w:r>
        <w:t xml:space="preserve">следва, наред с други политики и с цел спиране на по-нататъшния спад в броя на земеделските стопанства в ЕС, да насърчава </w:t>
      </w:r>
      <w:r>
        <w:rPr>
          <w:b/>
        </w:rPr>
        <w:t>приемствеността между поколенията</w:t>
      </w:r>
      <w:r>
        <w:t xml:space="preserve"> чрез достъпа до земя, увеличаването на средните доходи от селскостопанска дейност, благоприятните условия за инвестиции, овластяването на жените, добрите условия на труд, подобряването на дългосрочните перспективи за земеделските стопани, насърчаването на устойчивото използване на изоставена или маргинална земя и екстензивното животновъдство;</w:t>
      </w:r>
      <w:bookmarkEnd w:id="39"/>
    </w:p>
    <w:p w:rsidRPr="002048E0" w:rsidR="0048644C" w:rsidP="002048E0"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56" w:id="40"/>
      <w:r>
        <w:t xml:space="preserve">трябва да запази устойчивото селскостопанско производство в целия ЕС и да допринесе за насърчаване на </w:t>
      </w:r>
      <w:r>
        <w:rPr>
          <w:b/>
        </w:rPr>
        <w:t>потребителското търсене</w:t>
      </w:r>
      <w:r>
        <w:t xml:space="preserve"> в ЕС на по-здравословни и по-устойчиви хранителни режими, да намали разхищението на храни и да регулира пазарите на храни с цел преодоляване на </w:t>
      </w:r>
      <w:proofErr w:type="spellStart"/>
      <w:r>
        <w:t>финансиализацията</w:t>
      </w:r>
      <w:proofErr w:type="spellEnd"/>
      <w:r>
        <w:t xml:space="preserve"> на хранително-вкусовия сектор;</w:t>
      </w:r>
      <w:bookmarkEnd w:id="40"/>
    </w:p>
    <w:p w:rsidRPr="002048E0" w:rsidR="0048644C" w:rsidP="002048E0"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57" w:id="41"/>
      <w:r>
        <w:t xml:space="preserve">следва да обмисли включването на </w:t>
      </w:r>
      <w:r>
        <w:rPr>
          <w:b/>
        </w:rPr>
        <w:t>антициклични компоненти</w:t>
      </w:r>
      <w:r>
        <w:t xml:space="preserve"> и да предостави схеми за подпомагане на инвестициите, предназначени за производството на енергия от възобновяеми източници в земеделските стопанства и на местно равнище в селските райони;</w:t>
      </w:r>
      <w:bookmarkEnd w:id="41"/>
    </w:p>
    <w:p w:rsidRPr="002048E0" w:rsidR="0048644C" w:rsidP="002048E0"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58" w:id="42"/>
      <w:r>
        <w:t xml:space="preserve">следва да се основава на засилени публично-частни партньорства за </w:t>
      </w:r>
      <w:r>
        <w:rPr>
          <w:b/>
        </w:rPr>
        <w:t>схемите за застраховане</w:t>
      </w:r>
      <w:r>
        <w:t xml:space="preserve"> в отговор на последиците от екстремни климатични условия;</w:t>
      </w:r>
      <w:bookmarkEnd w:id="42"/>
    </w:p>
    <w:p w:rsidRPr="002048E0" w:rsidR="0048644C" w:rsidP="002048E0"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59" w:id="43"/>
      <w:r>
        <w:t xml:space="preserve">следва да подкрепя </w:t>
      </w:r>
      <w:r>
        <w:rPr>
          <w:b/>
        </w:rPr>
        <w:t>цифровите технологии</w:t>
      </w:r>
      <w:r>
        <w:t>, които са доказали, че допринасят за намаляване на въздействието върху природата и околната среда, и за подобряване на хуманното отношение към животните или условията на труд;</w:t>
      </w:r>
      <w:bookmarkEnd w:id="43"/>
    </w:p>
    <w:p w:rsidRPr="002048E0" w:rsidR="0048644C" w:rsidP="002048E0"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0960" w:id="44"/>
      <w:r>
        <w:lastRenderedPageBreak/>
        <w:t xml:space="preserve">следва да предвиди </w:t>
      </w:r>
      <w:r>
        <w:rPr>
          <w:b/>
        </w:rPr>
        <w:t>преразглеждане на процесите</w:t>
      </w:r>
      <w:r>
        <w:t xml:space="preserve"> на изготвяне и адаптиране на стратегическите планове, за да се даде възможност за участие на заинтересованите страни, по-голяма гъвкавост за държавите членки и по-бързо адаптиране след първоначалното им одобрение.</w:t>
      </w:r>
      <w:bookmarkEnd w:id="44"/>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proofErr w:type="spellStart"/>
            <w:r>
              <w:rPr>
                <w:i/>
              </w:rPr>
              <w:t>Martine</w:t>
            </w:r>
            <w:proofErr w:type="spellEnd"/>
            <w:r>
              <w:rPr>
                <w:i/>
              </w:rPr>
              <w:t xml:space="preserv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Тел.</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48644C" w:rsidR="0048644C" w:rsidP="0048644C" w:rsidRDefault="00371636" w14:paraId="7C6FE1E8" w14:textId="755735AE">
            <w:pPr>
              <w:overflowPunct w:val="0"/>
              <w:autoSpaceDE w:val="0"/>
              <w:autoSpaceDN w:val="0"/>
              <w:adjustRightInd w:val="0"/>
              <w:spacing w:line="240" w:lineRule="auto"/>
              <w:textAlignment w:val="baseline"/>
              <w:rPr>
                <w:i/>
              </w:rPr>
            </w:pPr>
            <w:hyperlink w:history="1" r:id="rId35">
              <w:r w:rsidR="00847F99">
                <w:rPr>
                  <w:i/>
                  <w:color w:val="0000FF"/>
                  <w:u w:val="single"/>
                </w:rPr>
                <w:t>Martine.Delanoy@eesc.europa.eu</w:t>
              </w:r>
            </w:hyperlink>
          </w:p>
        </w:tc>
      </w:tr>
    </w:tbl>
    <w:p w:rsidR="006938FA" w:rsidRDefault="006938FA" w14:paraId="6AD61F9D" w14:textId="1C50AF45">
      <w:pPr>
        <w:spacing w:after="160" w:line="259" w:lineRule="auto"/>
        <w:jc w:val="left"/>
        <w:rPr>
          <w:b/>
          <w:bCs/>
        </w:rPr>
      </w:pPr>
    </w:p>
    <w:p w:rsidRPr="00810736" w:rsidR="006B3316" w:rsidP="0074419C" w:rsidRDefault="005374D2" w14:paraId="4FE1ECEE" w14:textId="7B16969B">
      <w:pPr>
        <w:pStyle w:val="Heading1"/>
        <w:ind w:hanging="928"/>
        <w:rPr>
          <w:b/>
          <w:bCs/>
        </w:rPr>
      </w:pPr>
      <w:bookmarkStart w:name="_Toc153539702" w:id="45"/>
      <w:bookmarkStart w:name="_Toc157760961" w:id="46"/>
      <w:r>
        <w:rPr>
          <w:b/>
        </w:rPr>
        <w:t>ВЪНШНИ ОТНОШЕНИЯ</w:t>
      </w:r>
      <w:bookmarkEnd w:id="45"/>
      <w:bookmarkEnd w:id="46"/>
    </w:p>
    <w:p w:rsidRPr="00BD0493" w:rsidR="00BD0493" w:rsidP="00BD0493" w:rsidRDefault="00BD0493" w14:paraId="10EC00FD" w14:textId="77777777"/>
    <w:p w:rsidRPr="005D0E3D" w:rsidR="005D0E3D" w:rsidP="005D0E3D" w:rsidRDefault="00371636"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36">
        <w:r w:rsidR="00847F99">
          <w:rPr>
            <w:b/>
            <w:i/>
            <w:color w:val="0000FF"/>
            <w:sz w:val="28"/>
            <w:u w:val="single"/>
          </w:rPr>
          <w:t>Справяне с въздействието на изменението на климата и влошаването на състоянието на околната среда върху мира, сигурността и отбраната</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4072"/>
      </w:tblGrid>
      <w:tr w:rsidRPr="005D0E3D" w:rsidR="005D0E3D" w:rsidTr="00431C35" w14:paraId="2C6EB7F5" w14:textId="77777777">
        <w:tc>
          <w:tcPr>
            <w:tcW w:w="0" w:type="auto"/>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proofErr w:type="spellStart"/>
            <w:r>
              <w:t>Özlem</w:t>
            </w:r>
            <w:proofErr w:type="spellEnd"/>
            <w:r>
              <w:t xml:space="preserve"> YILDIRIM (група „Работници“ — FR)</w:t>
            </w:r>
          </w:p>
        </w:tc>
      </w:tr>
      <w:tr w:rsidRPr="005D0E3D" w:rsidR="005D0E3D" w:rsidTr="00431C35" w14:paraId="7F387EEA" w14:textId="77777777">
        <w:tc>
          <w:tcPr>
            <w:tcW w:w="0" w:type="auto"/>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431C35" w14:paraId="36521EE5" w14:textId="77777777">
        <w:trPr>
          <w:trHeight w:val="369"/>
        </w:trPr>
        <w:tc>
          <w:tcPr>
            <w:tcW w:w="0" w:type="auto"/>
          </w:tcPr>
          <w:p w:rsidRPr="005D0E3D" w:rsidR="005D0E3D" w:rsidP="005D0E3D" w:rsidRDefault="005D0E3D" w14:paraId="3569DACF" w14:textId="1A6A64D6">
            <w:pPr>
              <w:tabs>
                <w:tab w:val="center" w:pos="284"/>
              </w:tabs>
              <w:overflowPunct w:val="0"/>
              <w:autoSpaceDE w:val="0"/>
              <w:autoSpaceDN w:val="0"/>
              <w:adjustRightInd w:val="0"/>
              <w:ind w:left="266" w:hanging="266"/>
              <w:textAlignment w:val="baseline"/>
              <w:rPr>
                <w:b/>
              </w:rPr>
            </w:pPr>
            <w:r>
              <w:rPr>
                <w:b/>
              </w:rPr>
              <w:t>Отправни документи</w:t>
            </w:r>
          </w:p>
        </w:tc>
        <w:tc>
          <w:tcPr>
            <w:tcW w:w="0" w:type="auto"/>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 xml:space="preserve">JOIN(2023) 19 </w:t>
            </w:r>
            <w:proofErr w:type="spellStart"/>
            <w:r>
              <w:t>final</w:t>
            </w:r>
            <w:proofErr w:type="spellEnd"/>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2048E0" w:rsidRDefault="005D0E3D" w14:paraId="20E53CE1" w14:textId="77777777">
      <w:pPr>
        <w:keepNext/>
        <w:keepLines/>
        <w:overflowPunct w:val="0"/>
        <w:autoSpaceDE w:val="0"/>
        <w:autoSpaceDN w:val="0"/>
        <w:adjustRightInd w:val="0"/>
        <w:textAlignment w:val="baseline"/>
        <w:rPr>
          <w:b/>
        </w:rPr>
      </w:pPr>
      <w:r>
        <w:rPr>
          <w:b/>
        </w:rPr>
        <w:t>Основни аспекти</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ЕИСК:</w:t>
      </w:r>
    </w:p>
    <w:p w:rsidRPr="005D0E3D" w:rsidR="005D0E3D" w:rsidP="005D0E3D" w:rsidRDefault="005D0E3D" w14:paraId="0B71709C" w14:textId="77777777">
      <w:pPr>
        <w:overflowPunct w:val="0"/>
        <w:autoSpaceDE w:val="0"/>
        <w:autoSpaceDN w:val="0"/>
        <w:adjustRightInd w:val="0"/>
        <w:textAlignment w:val="baseline"/>
        <w:rPr>
          <w:bCs/>
          <w:iCs/>
        </w:rPr>
      </w:pPr>
    </w:p>
    <w:p w:rsidR="00F42CEC" w:rsidP="002048E0" w:rsidRDefault="005D0E3D" w14:paraId="6DF4BD9B" w14:textId="77777777">
      <w:pPr>
        <w:widowControl w:val="0"/>
        <w:numPr>
          <w:ilvl w:val="0"/>
          <w:numId w:val="42"/>
        </w:numPr>
        <w:overflowPunct w:val="0"/>
        <w:autoSpaceDE w:val="0"/>
        <w:autoSpaceDN w:val="0"/>
        <w:adjustRightInd w:val="0"/>
        <w:ind w:left="567" w:hanging="567"/>
        <w:textAlignment w:val="baseline"/>
      </w:pPr>
      <w:r>
        <w:t>счита, че последиците от изменението на климата и влошаването на състоянието на околната среда увеличават рисковете и заплахите за мира и за европейската и международната сигурност;</w:t>
      </w:r>
    </w:p>
    <w:p w:rsidRPr="005D0E3D" w:rsidR="005D0E3D" w:rsidP="002048E0" w:rsidRDefault="005D0E3D" w14:paraId="2D972864" w14:textId="5D1E4974">
      <w:pPr>
        <w:widowControl w:val="0"/>
        <w:numPr>
          <w:ilvl w:val="0"/>
          <w:numId w:val="42"/>
        </w:numPr>
        <w:overflowPunct w:val="0"/>
        <w:autoSpaceDE w:val="0"/>
        <w:autoSpaceDN w:val="0"/>
        <w:adjustRightInd w:val="0"/>
        <w:ind w:left="567" w:hanging="567"/>
        <w:textAlignment w:val="baseline"/>
        <w:rPr>
          <w:bCs/>
          <w:iCs/>
        </w:rPr>
      </w:pPr>
      <w:r>
        <w:t>подкрепя намерението на Европейската комисия да вземе предвид въпросите, свързани с климата и сигурността, но отбелязва, че географските, политическите и военните ѝ периметри трябва да бъдат по-добре определени;</w:t>
      </w:r>
    </w:p>
    <w:p w:rsidRPr="005D0E3D" w:rsidR="005D0E3D" w:rsidP="002048E0"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набляга на спешната необходимост да се инвестира в разработването на устойчиви отговори, по-специално като се подготвят европейските процеси на вземане на решения за този вид бъдещи напрежения;</w:t>
      </w:r>
    </w:p>
    <w:p w:rsidRPr="005D0E3D" w:rsidR="005D0E3D" w:rsidP="002048E0"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препоръчва на европейските институции да обмислят при изготвянето на общностните политики да се отчита бързата промяна на биофизичните реалности (от които зависят животът и благосъстоянието на населението) и политическото сближаване (както на държавите членки, така и на съседите и партньорите на ЕС);</w:t>
      </w:r>
    </w:p>
    <w:p w:rsidRPr="005D0E3D" w:rsidR="005D0E3D" w:rsidP="002048E0"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припомня основната мисия на европейския проект, а именно насърчаването и поддържането на мира, и отново потвърждава нейната изключителна важност. За да постигне това, Европа трябва да увеличи усилията си за укрепване на мира. Това насърчаване на мира е неразривно свързано със запазването и насърчаването на основните права и на демокрацията. Вземането под внимание на причинно-следствената връзка между климата и сигурността има за цел да ги запази, тъй като целта на този подход е да се запазят и насърчат основните права при съмненията, които последиците от несигурността, породени от изменението на климата, биха могли да създадат както за хората, така и за обществата;</w:t>
      </w:r>
    </w:p>
    <w:p w:rsidRPr="005D0E3D" w:rsidR="005D0E3D" w:rsidP="002048E0"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lastRenderedPageBreak/>
        <w:t>припомня да се отчита в по-голяма степен причинно-следствената връзка между климата и сигурността, като се създадат проактивни интерфейси между институциите, отговарящи за външните отношения, вътрешното единство на Съюза и службите за сигурност и отбрана на държавите членки, като се включи постоянен диалог с научната общност. Тези подобрения ще трябва да включват приноса на научните изследвания и иновациите в областта на устойчивостта, което ще даде възможност да се усъвършенства както прогнозирането, така и ефективността на действията на ЕС.</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За контакт</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Dujmovic</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Тел.</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Електронен адрес</w:t>
            </w:r>
          </w:p>
        </w:tc>
        <w:tc>
          <w:tcPr>
            <w:tcW w:w="4252" w:type="dxa"/>
          </w:tcPr>
          <w:p w:rsidRPr="005D0E3D" w:rsidR="005D0E3D" w:rsidP="005D0E3D" w:rsidRDefault="00371636" w14:paraId="7D5BAAE0" w14:textId="69E0C0B9">
            <w:pPr>
              <w:overflowPunct w:val="0"/>
              <w:autoSpaceDE w:val="0"/>
              <w:autoSpaceDN w:val="0"/>
              <w:adjustRightInd w:val="0"/>
              <w:spacing w:line="240" w:lineRule="auto"/>
              <w:textAlignment w:val="baseline"/>
              <w:rPr>
                <w:i/>
              </w:rPr>
            </w:pPr>
            <w:hyperlink w:history="1" r:id="rId37">
              <w:r w:rsidR="00847F99">
                <w:rPr>
                  <w:i/>
                  <w:color w:val="0000FF"/>
                  <w:u w:val="single"/>
                </w:rPr>
                <w:t>Ana.Dujmovic@eesc.europa.eu</w:t>
              </w:r>
            </w:hyperlink>
          </w:p>
        </w:tc>
      </w:tr>
    </w:tbl>
    <w:p w:rsidR="00FF485C" w:rsidRDefault="00FF485C" w14:paraId="005CB271" w14:textId="5E60A7A8">
      <w:pPr>
        <w:spacing w:after="160" w:line="259" w:lineRule="auto"/>
        <w:jc w:val="left"/>
      </w:pPr>
    </w:p>
    <w:p w:rsidRPr="000B1C30" w:rsidR="00E110D0" w:rsidP="005B4680" w:rsidRDefault="00E110D0" w14:paraId="268D0B18" w14:textId="0D072EE0">
      <w:pPr>
        <w:pStyle w:val="Heading1"/>
        <w:ind w:hanging="928"/>
        <w:rPr>
          <w:b/>
          <w:bCs/>
        </w:rPr>
      </w:pPr>
      <w:bookmarkStart w:name="_Toc153539712" w:id="47"/>
      <w:bookmarkStart w:name="_Toc157760962" w:id="48"/>
      <w:r>
        <w:rPr>
          <w:b/>
        </w:rPr>
        <w:t>ТРАНСПОРТ, ЕНЕРГЕТИКА, ИНФРАСТРУКТУРИ, ИНФОРМАЦИОННО ОБЩЕСТВО</w:t>
      </w:r>
      <w:bookmarkEnd w:id="47"/>
      <w:bookmarkEnd w:id="48"/>
    </w:p>
    <w:p w:rsidR="0092772D" w:rsidP="00775FC4" w:rsidRDefault="0092772D" w14:paraId="764F554F" w14:textId="3DB1B15F">
      <w:pPr>
        <w:keepNext/>
        <w:keepLines/>
      </w:pPr>
    </w:p>
    <w:p w:rsidRPr="00AE6861" w:rsidR="00AE6861" w:rsidP="00AE6861" w:rsidRDefault="00371636" w14:paraId="6D10EE41" w14:textId="4A9C8E35">
      <w:pPr>
        <w:widowControl w:val="0"/>
        <w:numPr>
          <w:ilvl w:val="0"/>
          <w:numId w:val="2"/>
        </w:numPr>
        <w:overflowPunct w:val="0"/>
        <w:autoSpaceDE w:val="0"/>
        <w:autoSpaceDN w:val="0"/>
        <w:adjustRightInd w:val="0"/>
        <w:ind w:hanging="567"/>
        <w:textAlignment w:val="baseline"/>
        <w:rPr>
          <w:sz w:val="20"/>
          <w:szCs w:val="20"/>
        </w:rPr>
      </w:pPr>
      <w:hyperlink w:history="1" r:id="rId38">
        <w:r w:rsidR="00AE6861">
          <w:rPr>
            <w:b/>
            <w:i/>
            <w:color w:val="0000FF"/>
            <w:sz w:val="28"/>
            <w:u w:val="single"/>
          </w:rPr>
          <w:t>Планиране на трансевропейската енергийна инфраструктура</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rPr>
              <w:t xml:space="preserve">Докладчик </w:t>
            </w:r>
          </w:p>
        </w:tc>
        <w:tc>
          <w:tcPr>
            <w:tcW w:w="6838" w:type="dxa"/>
          </w:tcPr>
          <w:p w:rsidRPr="00AE6861" w:rsidR="00AE6861" w:rsidP="00AE6861" w:rsidRDefault="00AE6861" w14:paraId="3E0F0420" w14:textId="73086536">
            <w:pPr>
              <w:tabs>
                <w:tab w:val="center" w:pos="284"/>
              </w:tabs>
              <w:overflowPunct w:val="0"/>
              <w:autoSpaceDE w:val="0"/>
              <w:autoSpaceDN w:val="0"/>
              <w:adjustRightInd w:val="0"/>
              <w:ind w:left="266" w:hanging="266"/>
              <w:textAlignment w:val="baseline"/>
            </w:pPr>
            <w:proofErr w:type="spellStart"/>
            <w:r>
              <w:t>Thomas</w:t>
            </w:r>
            <w:proofErr w:type="spellEnd"/>
            <w:r>
              <w:t xml:space="preserve"> KATTNIG (група „Работници“ —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Проучвателно становище по искане на белгийското председателство на Съвета на ЕС</w:t>
            </w:r>
          </w:p>
          <w:p w:rsidRPr="00AE6861" w:rsidR="00AE6861" w:rsidP="00AE6861" w:rsidRDefault="00AE6861" w14:paraId="793F9518" w14:textId="241FC048">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Основни аспекти</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ЕИСК:</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2048E0"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подчертава, че енергийната инфраструктура, подобно на инфраструктурата за пренос и разпределение на енергия, не може да се третира като всяка друга стока и вместо това трябва да бъде класифицирана като услуга от общ интерес за икономиката и населението;</w:t>
      </w:r>
    </w:p>
    <w:p w:rsidRPr="00AE6861" w:rsidR="00AE6861" w:rsidP="002048E0"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изисква да се обърне специално внимание на това разширяването на мрежите, трансграничните междусистемни връзки, както на сушата, така и в морето, да бъдат включени като критична инфраструктура от първостепенен обществен интерес, смекчаването на изменението на климата да бъде определено като регулаторна цел, както и като цяло на по-ефективната синхронизация по отношение на планирането на енергията от възобновяеми източници и електроенергийната мрежа;</w:t>
      </w:r>
    </w:p>
    <w:p w:rsidRPr="00AE6861" w:rsidR="00AE6861" w:rsidP="002048E0"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подчертава, че като се отчита нарастващото търсене, е особено важно да се направят значителни инвестиции в електроенергийни мрежи, за да се стимулира европейската икономика и да се създадат висококачествени (екологични) работни места;</w:t>
      </w:r>
    </w:p>
    <w:p w:rsidRPr="00AE6861" w:rsidR="00AE6861" w:rsidP="002048E0"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призовава за повече обвързващи мерки за операторите на преносни системи (ОПС), операторите на разпределителни мрежи (ОРМ), но също и за включването на производителите на енергия в мерките за стабилизиране на мрежата, за да координират по-добре действията си и да може мрежата да се възползва от цифровизацията;</w:t>
      </w:r>
    </w:p>
    <w:p w:rsidRPr="00AE6861" w:rsidR="00AE6861" w:rsidP="002048E0"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изтъква, че енергийната инфраструктура, като например големите инсталации за енергия, се нуждае от специално внимание по отношение на мерките за сигурност. По-специално въпросът за (</w:t>
      </w:r>
      <w:proofErr w:type="spellStart"/>
      <w:r>
        <w:t>кибер</w:t>
      </w:r>
      <w:proofErr w:type="spellEnd"/>
      <w:r>
        <w:t>-)сигурността следва да се превърне в още по-голям приоритет.</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lastRenderedPageBreak/>
              <w:t>За контакт</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Тел.</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+ 32 25468535</w:t>
            </w:r>
          </w:p>
        </w:tc>
      </w:tr>
      <w:tr w:rsidRPr="00AE6861" w:rsidR="00AE6861" w:rsidTr="00F655B8" w14:paraId="194AB4C5" w14:textId="77777777">
        <w:tc>
          <w:tcPr>
            <w:tcW w:w="1418" w:type="dxa"/>
          </w:tcPr>
          <w:p w:rsidRPr="00AE6861" w:rsidR="00AE6861" w:rsidP="00AE6861" w:rsidRDefault="006B1A4D" w14:paraId="5F0CF1BE" w14:textId="712040C7">
            <w:pPr>
              <w:overflowPunct w:val="0"/>
              <w:autoSpaceDE w:val="0"/>
              <w:autoSpaceDN w:val="0"/>
              <w:adjustRightInd w:val="0"/>
              <w:spacing w:line="240" w:lineRule="auto"/>
              <w:textAlignment w:val="baseline"/>
              <w:rPr>
                <w:i/>
              </w:rPr>
            </w:pPr>
            <w:r>
              <w:rPr>
                <w:i/>
              </w:rPr>
              <w:t>Електронен адрес</w:t>
            </w:r>
          </w:p>
        </w:tc>
        <w:tc>
          <w:tcPr>
            <w:tcW w:w="5670" w:type="dxa"/>
          </w:tcPr>
          <w:p w:rsidRPr="00AE6861" w:rsidR="00AE6861" w:rsidP="00AE6861" w:rsidRDefault="00371636" w14:paraId="0EA2DED1" w14:textId="77777777">
            <w:pPr>
              <w:overflowPunct w:val="0"/>
              <w:autoSpaceDE w:val="0"/>
              <w:autoSpaceDN w:val="0"/>
              <w:adjustRightInd w:val="0"/>
              <w:spacing w:line="240" w:lineRule="auto"/>
              <w:textAlignment w:val="baseline"/>
              <w:rPr>
                <w:i/>
                <w:iCs/>
              </w:rPr>
            </w:pPr>
            <w:hyperlink w:history="1" r:id="rId39">
              <w:r w:rsidR="00847F99">
                <w:rPr>
                  <w:i/>
                  <w:color w:val="0000FF"/>
                  <w:u w:val="single"/>
                </w:rPr>
                <w:t>GiorgiaAndrea.Bordignon@eesc.europa.eu</w:t>
              </w:r>
            </w:hyperlink>
          </w:p>
        </w:tc>
      </w:tr>
    </w:tbl>
    <w:bookmarkEnd w:id="0"/>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521B5A">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5F07BE8" w:rsidR="00765C4F" w:rsidRPr="00521B5A" w:rsidRDefault="00521B5A" w:rsidP="00521B5A">
    <w:pPr>
      <w:pStyle w:val="Footer"/>
    </w:pPr>
    <w:r>
      <w:t>EESC-2023-04915-00-0</w:t>
    </w:r>
    <w:r w:rsidR="000159FB">
      <w:rPr>
        <w:lang w:val="en-US"/>
      </w:rPr>
      <w:t>1</w:t>
    </w:r>
    <w:r>
      <w:t xml:space="preserve">-TCD-TRA (EN) </w:t>
    </w:r>
    <w:r>
      <w:fldChar w:fldCharType="begin"/>
    </w:r>
    <w:r>
      <w:instrText xml:space="preserve"> PAGE  \* Arabic  \* MERGEFORMAT </w:instrText>
    </w:r>
    <w:r>
      <w:fldChar w:fldCharType="separate"/>
    </w:r>
    <w:r w:rsidR="002048E0">
      <w:t>1</w:t>
    </w:r>
    <w:r>
      <w:fldChar w:fldCharType="end"/>
    </w:r>
    <w:r>
      <w:t>/</w:t>
    </w:r>
    <w:fldSimple w:instr=" NUMPAGES ">
      <w:r w:rsidR="002048E0">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134114AA" w:rsidR="00E4258F" w:rsidRPr="00521B5A" w:rsidRDefault="00521B5A" w:rsidP="00521B5A">
    <w:pPr>
      <w:pStyle w:val="Footer"/>
    </w:pPr>
    <w:r>
      <w:t>EESC-2023-05816-00-0</w:t>
    </w:r>
    <w:r w:rsidR="000159FB">
      <w:rPr>
        <w:lang w:val="en-US"/>
      </w:rPr>
      <w:t>1</w:t>
    </w:r>
    <w:r>
      <w:t xml:space="preserve">-TCD-TRA (EN) </w:t>
    </w:r>
    <w:r>
      <w:fldChar w:fldCharType="begin"/>
    </w:r>
    <w:r>
      <w:instrText xml:space="preserve"> PAGE  \* Arabic  \* MERGEFORMAT </w:instrText>
    </w:r>
    <w:r>
      <w:fldChar w:fldCharType="separate"/>
    </w:r>
    <w:r>
      <w:t>2</w:t>
    </w:r>
    <w:r>
      <w:fldChar w:fldCharType="end"/>
    </w:r>
    <w:r>
      <w:t>/</w:t>
    </w:r>
    <w:fldSimple w:instr=" NUMPAGES ">
      <w: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1638B37A"/>
    <w:lvl w:ilvl="0" w:tplc="EB84E3CC">
      <w:start w:val="1"/>
      <mc:AlternateContent>
        <mc:Choice Requires="w14">
          <w:numFmt w:val="custom" w:format="а, й, к, ..."/>
        </mc:Choice>
        <mc:Fallback>
          <w:numFmt w:val="decimal"/>
        </mc:Fallback>
      </mc:AlternateContent>
      <w:lvlText w:val="%1)"/>
      <w:lvlJc w:val="left"/>
      <w:pPr>
        <w:ind w:left="927" w:hanging="360"/>
      </w:pPr>
      <w:rPr>
        <w:rFonts w:ascii="Times New Roman"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9FB"/>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1636"/>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C35"/>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673"/>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4573"/>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6F43"/>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47F9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00E"/>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1EED"/>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CEC"/>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bg-BG"/>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26" Type="http://schemas.openxmlformats.org/officeDocument/2006/relationships/hyperlink" Target="https://www.eesc.europa.eu/bg/our-work/opinions-information-reports/opinions/european-cross-border-associations" TargetMode="External"/><Relationship Id="rId39" Type="http://schemas.openxmlformats.org/officeDocument/2006/relationships/hyperlink" Target="mailto:GiorgiaAndrea.Bordignon@eesc.europa.eu" TargetMode="External"/><Relationship Id="rId21" Type="http://schemas.openxmlformats.org/officeDocument/2006/relationships/hyperlink" Target="mailto:Radoslava.Stefankova@eesc.europa.eu" TargetMode="External"/><Relationship Id="rId34" Type="http://schemas.openxmlformats.org/officeDocument/2006/relationships/hyperlink" Target="https://www.eesc.europa.eu/bg/our-work/opinions-information-reports/opinions/promoting-autonomous-and-sustainable-food-production-strategies-common-agricultural-policy-post-2027" TargetMode="External"/><Relationship Id="rId42" Type="http://schemas.openxmlformats.org/officeDocument/2006/relationships/footer" Target="footer2.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Silvia.Staffa@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bg/our-work/opinions-information-reports/opinions/introducing-european-innovation-stress-test" TargetMode="External"/><Relationship Id="rId32" Type="http://schemas.openxmlformats.org/officeDocument/2006/relationships/hyperlink" Target="https://www.eesc.europa.eu/bg/our-work/opinions-information-reports/opinions/targets-fixing-fishing-opportunities" TargetMode="External"/><Relationship Id="rId37" Type="http://schemas.openxmlformats.org/officeDocument/2006/relationships/hyperlink" Target="mailto:Ana.Dujmovic@eesc.europa.eu"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esc.europa.eu/bg/our-work/opinions-information-reports/opinions/establishing-head-office-tax-system-smes-hot" TargetMode="External"/><Relationship Id="rId23" Type="http://schemas.openxmlformats.org/officeDocument/2006/relationships/hyperlink" Target="mailto:Annalisa.Tessarolo@eesc.europa.eu" TargetMode="External"/><Relationship Id="rId28" Type="http://schemas.openxmlformats.org/officeDocument/2006/relationships/hyperlink" Target="https://www.eesc.europa.eu//bg/our-work/opinions-information-reports/opinions/developing-new-european-strategy-internal-market-helping-our-businesses-meet-technological-social-environmental-and" TargetMode="External"/><Relationship Id="rId36" Type="http://schemas.openxmlformats.org/officeDocument/2006/relationships/hyperlink" Target="https://www.eesc.europa.eu/bg/our-work/opinions-information-reports/opinions/addressing-impact-climate-change-and-environmental-degradation-peace-security-and-defence"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mailto:Alice.Tetu@eesc.europa.eu" TargetMode="External"/><Relationship Id="rId31" Type="http://schemas.openxmlformats.org/officeDocument/2006/relationships/hyperlink" Target="mailto:Dalila.Bernard@eesc.europa.eu" TargetMode="External"/><Relationship Id="rId44"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bg/our-work/opinions-information-reports/opinions/combatting-poverty-and-social-exclusion-harnessing-power-social-economy-and-socio-economic-innovations" TargetMode="External"/><Relationship Id="rId27" Type="http://schemas.openxmlformats.org/officeDocument/2006/relationships/hyperlink" Target="mailto:Annalisa.Tessarolo@eesc.europa.eu" TargetMode="External"/><Relationship Id="rId30" Type="http://schemas.openxmlformats.org/officeDocument/2006/relationships/hyperlink" Target="https://www.eesc.europa.eu/bg/our-work/opinions-information-reports/opinions/revision-late-payments-directive" TargetMode="External"/><Relationship Id="rId35" Type="http://schemas.openxmlformats.org/officeDocument/2006/relationships/hyperlink" Target="mailto:Martine.Delanoy@eesc.europa.eu" TargetMode="External"/><Relationship Id="rId43" Type="http://schemas.openxmlformats.org/officeDocument/2006/relationships/footer" Target="footer3.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hyperlink" Target="https://www.eesc.europa.eu/bg/our-work/opinions-information-reports/opinions/euro-area-economic-policy-2024" TargetMode="External"/><Relationship Id="rId25" Type="http://schemas.openxmlformats.org/officeDocument/2006/relationships/hyperlink" Target="mailto:Marco.Manfron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bg/our-work/opinions-information-reports/opinions/cross-border-energy-infrastructure-planning" TargetMode="External"/><Relationship Id="rId46" Type="http://schemas.openxmlformats.org/officeDocument/2006/relationships/fontTable" Target="fontTable.xml"/><Relationship Id="rId20" Type="http://schemas.openxmlformats.org/officeDocument/2006/relationships/hyperlink" Target="https://www.eesc.europa.eu/bg/our-work/opinions-information-reports/opinions/corruption-public-procurement-and-its-impact-internal-market"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XMKEDVFMMJCW-1998863520-5425</_dlc_DocId>
    <_dlc_DocIdUrl xmlns="56a5413d-c261-4a00-870c-a20d3379ae6d">
      <Url>http://dm/eesc/2023/_layouts/15/DocIdRedir.aspx?ID=XMKEDVFMMJCW-1998863520-5425</Url>
      <Description>XMKEDVFMMJCW-1998863520-5425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Petrov Yulian</DisplayName>
        <AccountId>1790</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0BEAE-B83E-4BF5-B991-1448DF3935A9}"/>
</file>

<file path=customXml/itemProps2.xml><?xml version="1.0" encoding="utf-8"?>
<ds:datastoreItem xmlns:ds="http://schemas.openxmlformats.org/officeDocument/2006/customXml" ds:itemID="{C8FC5CF4-6C5F-47DB-98CD-E2CE48BE47B5}"/>
</file>

<file path=customXml/itemProps3.xml><?xml version="1.0" encoding="utf-8"?>
<ds:datastoreItem xmlns:ds="http://schemas.openxmlformats.org/officeDocument/2006/customXml" ds:itemID="{7A6A852B-6B7B-46D1-AEC6-015FD73EE6BD}"/>
</file>

<file path=customXml/itemProps4.xml><?xml version="1.0" encoding="utf-8"?>
<ds:datastoreItem xmlns:ds="http://schemas.openxmlformats.org/officeDocument/2006/customXml" ds:itemID="{9E0EF9DB-F47E-4A45-BF5D-CFEBB0AFEF17}"/>
</file>

<file path=docProps/app.xml><?xml version="1.0" encoding="utf-8"?>
<Properties xmlns="http://schemas.openxmlformats.org/officeDocument/2006/extended-properties" xmlns:vt="http://schemas.openxmlformats.org/officeDocument/2006/docPropsVTypes">
  <Template>Normal</Template>
  <TotalTime>32</TotalTime>
  <Pages>15</Pages>
  <Words>4931</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- 584-та пленарна сесия, януари 2024 г.</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Petrov Yulian</cp:lastModifiedBy>
  <cp:revision>14</cp:revision>
  <cp:lastPrinted>2023-06-15T08:00:00Z</cp:lastPrinted>
  <dcterms:created xsi:type="dcterms:W3CDTF">2024-01-29T16:21:00Z</dcterms:created>
  <dcterms:modified xsi:type="dcterms:W3CDTF">2024-02-02T11:39:00Z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50535a1a-f0f7-4907-92c3-eec13064d61c</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SV|c2ed69e7-a339-43d7-8f22-d93680a92aa0;ES|e7a6b05b-ae16-40c8-add9-68b64b03aeba;HR|2f555653-ed1a-4fe6-8362-9082d95989e5;PT|50ccc04a-eadd-42ae-a0cb-acaf45f812ba;FI|87606a43-d45f-42d6-b8c9-e1a3457db5b7;NL|55c6556c-b4f4-441d-9acf-c498d4f838bd;IT|0774613c-01ed-4e5d-a25d-11d2388de825;HU|6b229040-c589-4408-b4c1-4285663d20a8;EL|6d4f4d51-af9b-4650-94b4-4276bee85c91;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32;#PT|50ccc04a-eadd-42ae-a0cb-acaf45f812ba;#31;#NL|55c6556c-b4f4-441d-9acf-c498d4f838bd;#30;#IT|0774613c-01ed-4e5d-a25d-11d2388de825;#25;#ES|e7a6b05b-ae16-40c8-add9-68b64b03aeba;#38;#EL|6d4f4d51-af9b-4650-94b4-4276bee85c91;#59;#SPL-CES|32d8cb1f-c9ec-4365-95c7-8385a18618ac;#21;#SV|c2ed69e7-a339-43d7-8f22-d93680a92aa0;#46;#HR|2f555653-ed1a-4fe6-8362-9082d95989e5;#9;#Unrestricted|826e22d7-d029-4ec0-a450-0c28ff673572;#8;#TCD|cd9d6eb6-3f4f-424a-b2d1-57c9d450eaaf;#7;#Final|ea5e6674-7b27-4bac-b091-73adbb394efe;#5;#EN|f2175f21-25d7-44a3-96da-d6a61b075e1b;#41;#HU|6b229040-c589-4408-b4c1-4285663d20a8;#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44;#BG|1a1b3951-7821-4e6a-85f5-5673fc08bd2c</vt:lpwstr>
  </property>
</Properties>
</file>