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3E58" w:rsidR="002E7636" w:rsidP="00BB254A" w:rsidRDefault="002E7636" w14:paraId="1E847C28" w14:textId="77777777">
      <w:pPr>
        <w:pStyle w:val="PlainText"/>
        <w:spacing w:line="360" w:lineRule="auto"/>
        <w:rPr>
          <w:rFonts w:ascii="Calibri" w:hAnsi="Calibri" w:cs="Calibri"/>
          <w:sz w:val="32"/>
          <w:szCs w:val="32"/>
          <w:lang w:val="sr-Latn-RS"/>
        </w:rPr>
      </w:pPr>
    </w:p>
    <w:p w:rsidRPr="007C3E58" w:rsidR="002E7636" w:rsidP="00BB254A" w:rsidRDefault="002E7636" w14:paraId="04E89575" w14:textId="05600D6E">
      <w:pPr>
        <w:pStyle w:val="PlainText"/>
        <w:jc w:val="center"/>
        <w:rPr>
          <w:rFonts w:ascii="Calibri" w:hAnsi="Calibri" w:cs="Calibri"/>
          <w:b/>
          <w:sz w:val="32"/>
          <w:szCs w:val="32"/>
        </w:rPr>
      </w:pPr>
      <w:r w:rsidRPr="007C3E58">
        <w:rPr>
          <w:rFonts w:ascii="Calibri" w:hAnsi="Calibri"/>
          <w:b/>
          <w:sz w:val="32"/>
        </w:rPr>
        <w:t>17th Meeting</w:t>
      </w:r>
    </w:p>
    <w:p w:rsidRPr="007C3E58" w:rsidR="002E7636" w:rsidP="00BB254A" w:rsidRDefault="002E7636" w14:paraId="6A6302BF" w14:textId="779DCC45">
      <w:pPr>
        <w:pStyle w:val="PlainText"/>
        <w:jc w:val="center"/>
        <w:rPr>
          <w:rFonts w:ascii="Calibri" w:hAnsi="Calibri" w:cs="Calibri"/>
          <w:b/>
          <w:sz w:val="32"/>
          <w:szCs w:val="32"/>
        </w:rPr>
      </w:pPr>
      <w:r w:rsidRPr="007C3E58">
        <w:rPr>
          <w:rFonts w:ascii="Calibri" w:hAnsi="Calibri"/>
          <w:b/>
          <w:sz w:val="32"/>
        </w:rPr>
        <w:t>7 December 2023, Brussels</w:t>
      </w:r>
    </w:p>
    <w:p w:rsidRPr="007C3E58" w:rsidR="002852C2" w:rsidP="00BB254A" w:rsidRDefault="002852C2" w14:paraId="7BB276DD" w14:textId="77777777">
      <w:pPr>
        <w:pStyle w:val="PlainText"/>
        <w:jc w:val="center"/>
        <w:rPr>
          <w:rFonts w:ascii="Calibri" w:hAnsi="Calibri" w:cs="Calibri"/>
          <w:b/>
          <w:sz w:val="32"/>
          <w:szCs w:val="32"/>
          <w:lang w:val="sr-Latn-RS"/>
        </w:rPr>
      </w:pPr>
    </w:p>
    <w:p w:rsidRPr="007C3E58" w:rsidR="00181DBD" w:rsidP="00BB254A" w:rsidRDefault="002E7636" w14:paraId="1D7C8D72" w14:textId="638EEB56">
      <w:pPr>
        <w:pStyle w:val="PlainText"/>
        <w:jc w:val="center"/>
        <w:rPr>
          <w:rFonts w:ascii="Calibri" w:hAnsi="Calibri" w:cs="Calibri"/>
          <w:b/>
          <w:sz w:val="36"/>
          <w:szCs w:val="36"/>
        </w:rPr>
      </w:pPr>
      <w:r w:rsidRPr="007C3E58">
        <w:rPr>
          <w:rFonts w:ascii="Calibri" w:hAnsi="Calibri"/>
          <w:b/>
          <w:sz w:val="36"/>
        </w:rPr>
        <w:t>Report on the state of the social dialogue in Montenegro</w:t>
      </w:r>
    </w:p>
    <w:p w:rsidRPr="007C3E58" w:rsidR="00386248" w:rsidP="00BB254A" w:rsidRDefault="00386248" w14:paraId="4A7D742B" w14:textId="6A3815DD">
      <w:pPr>
        <w:pStyle w:val="PlainText"/>
        <w:jc w:val="center"/>
        <w:rPr>
          <w:rFonts w:ascii="Calibri" w:hAnsi="Calibri" w:cs="Calibri"/>
          <w:b/>
          <w:sz w:val="36"/>
          <w:szCs w:val="36"/>
        </w:rPr>
      </w:pPr>
      <w:r w:rsidRPr="007C3E58">
        <w:rPr>
          <w:rFonts w:ascii="Calibri" w:hAnsi="Calibri"/>
          <w:b/>
          <w:sz w:val="36"/>
        </w:rPr>
        <w:t>from the point of view of trade unions</w:t>
      </w:r>
    </w:p>
    <w:p w:rsidRPr="007C3E58" w:rsidR="00594FC7" w:rsidP="00BB254A" w:rsidRDefault="00594FC7" w14:paraId="04AB9EE6" w14:textId="77777777">
      <w:pPr>
        <w:pStyle w:val="PlainText"/>
        <w:jc w:val="center"/>
        <w:rPr>
          <w:rFonts w:ascii="Calibri" w:hAnsi="Calibri" w:cs="Calibri"/>
          <w:b/>
          <w:sz w:val="36"/>
          <w:szCs w:val="36"/>
          <w:lang w:val="sr-Latn-RS"/>
        </w:rPr>
      </w:pPr>
    </w:p>
    <w:p w:rsidRPr="007C3E58" w:rsidR="00594FC7" w:rsidP="00BB254A" w:rsidRDefault="00594FC7" w14:paraId="4D781ECC" w14:textId="594999CA">
      <w:pPr>
        <w:pStyle w:val="PlainText"/>
        <w:jc w:val="center"/>
        <w:rPr>
          <w:rFonts w:ascii="Calibri" w:hAnsi="Calibri" w:cs="Calibri"/>
          <w:b/>
          <w:sz w:val="28"/>
          <w:szCs w:val="28"/>
        </w:rPr>
      </w:pPr>
      <w:r w:rsidRPr="007C3E58">
        <w:rPr>
          <w:rFonts w:ascii="Calibri" w:hAnsi="Calibri"/>
          <w:b/>
          <w:sz w:val="28"/>
        </w:rPr>
        <w:t xml:space="preserve">Rapporteur: Tatjana </w:t>
      </w:r>
      <w:proofErr w:type="spellStart"/>
      <w:r w:rsidRPr="007C3E58">
        <w:rPr>
          <w:rFonts w:ascii="Calibri" w:hAnsi="Calibri"/>
          <w:b/>
          <w:sz w:val="28"/>
        </w:rPr>
        <w:t>Džudović</w:t>
      </w:r>
      <w:proofErr w:type="spellEnd"/>
      <w:r w:rsidRPr="007C3E58">
        <w:rPr>
          <w:rFonts w:ascii="Calibri" w:hAnsi="Calibri"/>
          <w:b/>
          <w:sz w:val="28"/>
        </w:rPr>
        <w:t>, member of the Joint Consultancy Committee (JCC)</w:t>
      </w:r>
    </w:p>
    <w:p w:rsidRPr="007C3E58" w:rsidR="00BB254A" w:rsidP="00BB254A" w:rsidRDefault="00BB254A" w14:paraId="7BFD2E35" w14:textId="20F7EC3C">
      <w:pPr>
        <w:pStyle w:val="PlainText"/>
        <w:jc w:val="center"/>
        <w:rPr>
          <w:b/>
          <w:sz w:val="24"/>
          <w:szCs w:val="24"/>
        </w:rPr>
      </w:pPr>
    </w:p>
    <w:p w:rsidRPr="007C3E58" w:rsidR="00FA4EB1" w:rsidP="00386248" w:rsidRDefault="00386248" w14:paraId="2E26E55C" w14:textId="3C899055">
      <w:pPr>
        <w:pStyle w:val="PlainText"/>
        <w:jc w:val="both"/>
        <w:rPr>
          <w:sz w:val="24"/>
          <w:szCs w:val="24"/>
        </w:rPr>
      </w:pPr>
      <w:r w:rsidRPr="007C3E58">
        <w:rPr>
          <w:sz w:val="24"/>
        </w:rPr>
        <w:t>The conclusion of the General Collective Agreement and its entry into force in early 2023 also completed the exhausting negotiations of the social partners regarding this issue. Bearing in mind that in the course of 2023, a significant number of branch-specific collective agreements, i.e. amendments to branch-specific collective agreements were signed (for employees in housing and utility services, administration and justice, for employees in social services, etc.), it can be concluded that the social dialogue regarding this issue was at a satisfactory level. However, the General Collective Agreement itself defined the obligation for branch-specific collective agreements to comply with this general collective agreement within one year of its entry into force, so it can be said that it was a legal obligation, not exclusively a product of effective social dialogue. Also, the parliamentary elections and the time period that passed between them and the constitution of the new Government also slowed down further activities regarding this issue.</w:t>
      </w:r>
    </w:p>
    <w:p w:rsidRPr="007C3E58" w:rsidR="00594FC7" w:rsidP="00386248" w:rsidRDefault="00594FC7" w14:paraId="1FDCC844" w14:textId="77777777">
      <w:pPr>
        <w:pStyle w:val="PlainText"/>
        <w:jc w:val="both"/>
        <w:rPr>
          <w:sz w:val="24"/>
          <w:szCs w:val="24"/>
          <w:lang w:val="sr-Latn-RS"/>
        </w:rPr>
      </w:pPr>
    </w:p>
    <w:p w:rsidRPr="007C3E58" w:rsidR="00BB6BEB" w:rsidP="00386248" w:rsidRDefault="003D1963" w14:paraId="03001D50" w14:textId="1A902E33">
      <w:pPr>
        <w:pStyle w:val="PlainText"/>
        <w:jc w:val="both"/>
        <w:rPr>
          <w:sz w:val="24"/>
          <w:szCs w:val="24"/>
        </w:rPr>
      </w:pPr>
      <w:r w:rsidRPr="007C3E58">
        <w:rPr>
          <w:sz w:val="24"/>
        </w:rPr>
        <w:t>In the previous period, during the technical mandate of the Government, the social dialogue practically stagnated, there being almost no significant negotiations and activities with social partners.</w:t>
      </w:r>
    </w:p>
    <w:p w:rsidRPr="007C3E58" w:rsidR="00594FC7" w:rsidP="00386248" w:rsidRDefault="00594FC7" w14:paraId="173A2FFC" w14:textId="77777777">
      <w:pPr>
        <w:pStyle w:val="PlainText"/>
        <w:jc w:val="both"/>
        <w:rPr>
          <w:sz w:val="24"/>
          <w:szCs w:val="24"/>
          <w:lang w:val="sr-Latn-RS"/>
        </w:rPr>
      </w:pPr>
    </w:p>
    <w:p w:rsidRPr="007C3E58" w:rsidR="003068AD" w:rsidP="00386248" w:rsidRDefault="003068AD" w14:paraId="55D7B156" w14:textId="2BED35B9">
      <w:pPr>
        <w:pStyle w:val="PlainText"/>
        <w:jc w:val="both"/>
        <w:rPr>
          <w:sz w:val="24"/>
          <w:szCs w:val="24"/>
        </w:rPr>
      </w:pPr>
      <w:r w:rsidRPr="007C3E58">
        <w:rPr>
          <w:sz w:val="24"/>
        </w:rPr>
        <w:t>Turning to the issue of the Labour Law, it is important to note that, in accordance with the EU Accession Programme of Montenegro 2021-2023, 2021 saw the start of work of a Working Group formed by the social partners to draft amendments to the law in question i.e. to transpose the EU legal framework related to Directive 2019/1158 of the European Parliament and the Council on work-life balance for parents and carers, Directive 2019/1152 on transparent and predictable working conditions in the European Union and Directive 2017/1132 on certain aspects of company law as well as the Framework Agreement on Telework. Although this Working Group started its work in late December 2021, in July 2022, all its activities regarding this issue stopped, so it can be said that the work of the Working Group has been suspended.</w:t>
      </w:r>
    </w:p>
    <w:p w:rsidRPr="007C3E58" w:rsidR="00594FC7" w:rsidP="00386248" w:rsidRDefault="00594FC7" w14:paraId="3ED03E6F" w14:textId="77777777">
      <w:pPr>
        <w:pStyle w:val="PlainText"/>
        <w:jc w:val="both"/>
        <w:rPr>
          <w:sz w:val="24"/>
          <w:szCs w:val="24"/>
          <w:lang w:val="sr-Latn-RS"/>
        </w:rPr>
      </w:pPr>
    </w:p>
    <w:p w:rsidRPr="007C3E58" w:rsidR="005452CB" w:rsidP="00386248" w:rsidRDefault="005452CB" w14:paraId="238BCED5" w14:textId="7E6178F8">
      <w:pPr>
        <w:pStyle w:val="PlainText"/>
        <w:jc w:val="both"/>
        <w:rPr>
          <w:sz w:val="24"/>
          <w:szCs w:val="24"/>
        </w:rPr>
      </w:pPr>
      <w:r w:rsidRPr="007C3E58">
        <w:rPr>
          <w:sz w:val="24"/>
        </w:rPr>
        <w:t>However, it is encouraging that following the constitution of the new Government, an invitation has already been sent to the social partners for the delegation of representatives and the continuation of the work of the Working Group on amendments to the Labour Law, and there is hope that the new Government, as a social partner, will pay more attention to its obligations on the path of Montenegro to the EU, which need to be realised as soon as possible and as intensively as possible, through an efficient and unhindered social dialogue.</w:t>
      </w:r>
    </w:p>
    <w:p w:rsidRPr="007C3E58" w:rsidR="00594FC7" w:rsidP="00386248" w:rsidRDefault="00594FC7" w14:paraId="711E8CB9" w14:textId="77777777">
      <w:pPr>
        <w:pStyle w:val="PlainText"/>
        <w:jc w:val="both"/>
        <w:rPr>
          <w:sz w:val="24"/>
          <w:szCs w:val="24"/>
          <w:lang w:val="sr-Latn-RS"/>
        </w:rPr>
      </w:pPr>
    </w:p>
    <w:p w:rsidRPr="007C3E58" w:rsidR="003371D8" w:rsidP="003371D8" w:rsidRDefault="009944E1" w14:paraId="4E200DFC" w14:textId="0F864C6D">
      <w:pPr>
        <w:spacing w:after="0" w:line="240" w:lineRule="auto"/>
        <w:jc w:val="both"/>
        <w:rPr>
          <w:rFonts w:ascii="Times New Roman" w:hAnsi="Times New Roman" w:cs="Times New Roman"/>
          <w:sz w:val="24"/>
          <w:szCs w:val="24"/>
        </w:rPr>
      </w:pPr>
      <w:r w:rsidRPr="007C3E58">
        <w:rPr>
          <w:rFonts w:ascii="Times New Roman" w:hAnsi="Times New Roman"/>
          <w:sz w:val="24"/>
        </w:rPr>
        <w:t>Also, when it comes to the Law on Pension and Disability Insurance of Montenegro, it is quite evident that the Law on Pension and Disability Insurance was very often an instrument for solving certain societal, social and political issues, as evidenced by its numerous amendments since 2004.</w:t>
      </w:r>
    </w:p>
    <w:p w:rsidRPr="007C3E58" w:rsidR="00D73BAB" w:rsidP="002164F5" w:rsidRDefault="00886750" w14:paraId="6AFD6F65" w14:textId="38EFB28E">
      <w:pPr>
        <w:spacing w:after="0" w:line="240" w:lineRule="auto"/>
        <w:jc w:val="both"/>
        <w:rPr>
          <w:rFonts w:ascii="Times New Roman" w:hAnsi="Times New Roman" w:cs="Times New Roman"/>
          <w:sz w:val="24"/>
          <w:szCs w:val="24"/>
        </w:rPr>
      </w:pPr>
      <w:r w:rsidRPr="007C3E58">
        <w:rPr>
          <w:rFonts w:ascii="Times New Roman" w:hAnsi="Times New Roman"/>
          <w:sz w:val="24"/>
        </w:rPr>
        <w:t>The October 2023 decision of the Constitutional Court to repeal the provision of the Law on Pension and Disability Insurance of Montenegro, which defines the condition for acquiring the right to old-age pension for both men and women, called into question further and clear application of this law.</w:t>
      </w:r>
    </w:p>
    <w:p w:rsidRPr="007C3E58" w:rsidR="00594FC7" w:rsidP="002164F5" w:rsidRDefault="00594FC7" w14:paraId="78D64D62" w14:textId="77777777">
      <w:pPr>
        <w:spacing w:after="0" w:line="240" w:lineRule="auto"/>
        <w:jc w:val="both"/>
        <w:rPr>
          <w:rFonts w:ascii="Times New Roman" w:hAnsi="Times New Roman" w:cs="Times New Roman"/>
          <w:sz w:val="24"/>
          <w:szCs w:val="24"/>
          <w:lang w:val="sr-Latn-RS"/>
        </w:rPr>
      </w:pPr>
    </w:p>
    <w:p w:rsidRPr="007C3E58" w:rsidR="00412279" w:rsidP="00412279" w:rsidRDefault="00584D86" w14:paraId="576C2567" w14:textId="5CA584EE">
      <w:pPr>
        <w:spacing w:after="0" w:line="240" w:lineRule="auto"/>
        <w:jc w:val="both"/>
        <w:rPr>
          <w:rFonts w:ascii="Times New Roman" w:hAnsi="Times New Roman" w:cs="Times New Roman"/>
          <w:sz w:val="24"/>
          <w:szCs w:val="24"/>
        </w:rPr>
      </w:pPr>
      <w:r w:rsidRPr="007C3E58">
        <w:rPr>
          <w:rFonts w:ascii="Times New Roman" w:hAnsi="Times New Roman"/>
          <w:sz w:val="24"/>
        </w:rPr>
        <w:t>If we take into account the announcement of the Government regarding the promise about the implementation of the “Europe Now 2” project, which should increase the minimum wage and minimum pensions, and to which certain reforms of the Law on Pension and Disability Insurance are linked, about which social partners have no information for now, it is clear that further amendments to this law are ahead.</w:t>
      </w:r>
    </w:p>
    <w:p w:rsidRPr="007C3E58" w:rsidR="00594FC7" w:rsidP="00412279" w:rsidRDefault="00594FC7" w14:paraId="19EDFCFC" w14:textId="77777777">
      <w:pPr>
        <w:spacing w:after="0" w:line="240" w:lineRule="auto"/>
        <w:jc w:val="both"/>
        <w:rPr>
          <w:rFonts w:ascii="Times New Roman" w:hAnsi="Times New Roman" w:cs="Times New Roman"/>
          <w:sz w:val="24"/>
          <w:szCs w:val="24"/>
          <w:lang w:val="sr-Latn-RS"/>
        </w:rPr>
      </w:pPr>
    </w:p>
    <w:p w:rsidRPr="007C3E58" w:rsidR="00EB4754" w:rsidP="00412279" w:rsidRDefault="00443381" w14:paraId="0AABC255" w14:textId="2268A020">
      <w:pPr>
        <w:spacing w:after="0" w:line="240" w:lineRule="auto"/>
        <w:jc w:val="both"/>
        <w:rPr>
          <w:rFonts w:ascii="Times New Roman" w:hAnsi="Times New Roman" w:cs="Times New Roman"/>
          <w:sz w:val="24"/>
          <w:szCs w:val="24"/>
        </w:rPr>
      </w:pPr>
      <w:r w:rsidRPr="007C3E58">
        <w:rPr>
          <w:rFonts w:ascii="Times New Roman" w:hAnsi="Times New Roman"/>
          <w:sz w:val="24"/>
        </w:rPr>
        <w:t>The announced increase in wages and pensions is certainly supported, but it is also expected that all future legal solutions of interest to employees will be passed through an efficient social dialogue, with full respect and appreciation of all social partners. The stability of the pension system of Montenegro must be preserved, so we expect that we, as social partners, will be promptly informed about the essence of the “Europe Now 2” project, as well as whether its implementation would have an impact on the pension system of Montenegro, i.e. whether it would lead to its radical change.</w:t>
      </w:r>
    </w:p>
    <w:p w:rsidRPr="007C3E58" w:rsidR="00594FC7" w:rsidP="00412279" w:rsidRDefault="00594FC7" w14:paraId="0BEE3AA0" w14:textId="77777777">
      <w:pPr>
        <w:spacing w:after="0" w:line="240" w:lineRule="auto"/>
        <w:jc w:val="both"/>
        <w:rPr>
          <w:rFonts w:ascii="Times New Roman" w:hAnsi="Times New Roman" w:cs="Times New Roman"/>
          <w:sz w:val="24"/>
          <w:szCs w:val="24"/>
          <w:lang w:val="sr-Latn-RS"/>
        </w:rPr>
      </w:pPr>
    </w:p>
    <w:p w:rsidRPr="007C3E58" w:rsidR="001B00C0" w:rsidP="00B85F5D" w:rsidRDefault="00CB134F" w14:paraId="101916B8" w14:textId="327A37ED">
      <w:pPr>
        <w:spacing w:after="0" w:line="240" w:lineRule="auto"/>
        <w:jc w:val="both"/>
        <w:rPr>
          <w:rFonts w:ascii="Calibri" w:hAnsi="Calibri" w:cs="Calibri"/>
          <w:b/>
          <w:sz w:val="28"/>
          <w:szCs w:val="28"/>
        </w:rPr>
      </w:pPr>
      <w:r w:rsidRPr="007C3E58">
        <w:rPr>
          <w:rFonts w:ascii="Times New Roman" w:hAnsi="Times New Roman"/>
          <w:sz w:val="24"/>
        </w:rPr>
        <w:t>It is also expected that in the future period the social dialogue in Montenegro revives and improves again, in order to solve the numerous challenges we face through a high-quality, efficient and intensive social dialogue.</w:t>
      </w:r>
    </w:p>
    <w:sectPr w:rsidRPr="007C3E58" w:rsidR="001B00C0" w:rsidSect="00181DBD">
      <w:headerReference w:type="default" r:id="rId7"/>
      <w:footerReference w:type="even" r:id="rId8"/>
      <w:footerReference w:type="default" r:id="rId9"/>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F03E" w14:textId="77777777" w:rsidR="00197CAF" w:rsidRPr="007C3E58" w:rsidRDefault="00197CAF" w:rsidP="00DD2E6E">
      <w:pPr>
        <w:spacing w:after="0" w:line="240" w:lineRule="auto"/>
      </w:pPr>
      <w:r w:rsidRPr="007C3E58">
        <w:separator/>
      </w:r>
    </w:p>
  </w:endnote>
  <w:endnote w:type="continuationSeparator" w:id="0">
    <w:p w14:paraId="772E390A" w14:textId="77777777" w:rsidR="00197CAF" w:rsidRPr="007C3E58" w:rsidRDefault="00197CAF" w:rsidP="00DD2E6E">
      <w:pPr>
        <w:spacing w:after="0" w:line="240" w:lineRule="auto"/>
      </w:pPr>
      <w:r w:rsidRPr="007C3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C9A1" w14:textId="6EF5F85A" w:rsidR="005B68FC" w:rsidRPr="007C3E58" w:rsidRDefault="006C1F4C" w:rsidP="00B6546E">
    <w:pPr>
      <w:pStyle w:val="Style2"/>
    </w:pPr>
    <w:r w:rsidRPr="007C3E58">
      <w:t>REX/368 – EESC-2023-05404-00-00-TCD-TRA (</w:t>
    </w:r>
    <w:r w:rsidR="007C3E58">
      <w:t>EN</w:t>
    </w:r>
    <w:r w:rsidRPr="007C3E58">
      <w:t xml:space="preserve">) </w:t>
    </w:r>
    <w:r w:rsidRPr="007C3E58">
      <w:fldChar w:fldCharType="begin"/>
    </w:r>
    <w:r w:rsidRPr="007C3E58">
      <w:instrText xml:space="preserve"> PAGE  \* Arabic  \* MERGEFORMAT </w:instrText>
    </w:r>
    <w:r w:rsidRPr="007C3E58">
      <w:fldChar w:fldCharType="separate"/>
    </w:r>
    <w:r w:rsidRPr="007C3E58">
      <w:t>1</w:t>
    </w:r>
    <w:r w:rsidRPr="007C3E58">
      <w:fldChar w:fldCharType="end"/>
    </w:r>
    <w:r w:rsidRPr="007C3E58">
      <w:t>/</w:t>
    </w:r>
    <w:r w:rsidR="00812705">
      <w:fldChar w:fldCharType="begin"/>
    </w:r>
    <w:r w:rsidR="00812705">
      <w:instrText xml:space="preserve"> NUMPAGES </w:instrText>
    </w:r>
    <w:r w:rsidR="00812705">
      <w:fldChar w:fldCharType="separate"/>
    </w:r>
    <w:r w:rsidRPr="007C3E58">
      <w:t>2</w:t>
    </w:r>
    <w:r w:rsidR="008127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C384" w14:textId="173944C2" w:rsidR="005B68FC" w:rsidRPr="007C3E58" w:rsidRDefault="006C1F4C" w:rsidP="00B6546E">
    <w:pPr>
      <w:pStyle w:val="Style1"/>
    </w:pPr>
    <w:r w:rsidRPr="007C3E58">
      <w:t>REX/368 – EESC-2023-05404-00-00-TCD-TRA (</w:t>
    </w:r>
    <w:r w:rsidR="007C3E58">
      <w:t>EN</w:t>
    </w:r>
    <w:r w:rsidRPr="007C3E58">
      <w:t xml:space="preserve">) </w:t>
    </w:r>
    <w:r w:rsidRPr="007C3E58">
      <w:fldChar w:fldCharType="begin"/>
    </w:r>
    <w:r w:rsidRPr="007C3E58">
      <w:instrText xml:space="preserve"> PAGE  \* Arabic  \* MERGEFORMAT </w:instrText>
    </w:r>
    <w:r w:rsidRPr="007C3E58">
      <w:fldChar w:fldCharType="separate"/>
    </w:r>
    <w:r w:rsidRPr="007C3E58">
      <w:t>1</w:t>
    </w:r>
    <w:r w:rsidRPr="007C3E58">
      <w:fldChar w:fldCharType="end"/>
    </w:r>
    <w:r w:rsidRPr="007C3E58">
      <w:t>/</w:t>
    </w:r>
    <w:r w:rsidR="00812705">
      <w:fldChar w:fldCharType="begin"/>
    </w:r>
    <w:r w:rsidR="00812705">
      <w:instrText xml:space="preserve"> NUMPAGES </w:instrText>
    </w:r>
    <w:r w:rsidR="00812705">
      <w:fldChar w:fldCharType="separate"/>
    </w:r>
    <w:r w:rsidRPr="007C3E58">
      <w:t>2</w:t>
    </w:r>
    <w:r w:rsidR="008127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38AB" w14:textId="77777777" w:rsidR="00197CAF" w:rsidRPr="007C3E58" w:rsidRDefault="00197CAF" w:rsidP="00DD2E6E">
      <w:pPr>
        <w:spacing w:after="0" w:line="240" w:lineRule="auto"/>
      </w:pPr>
      <w:r w:rsidRPr="007C3E58">
        <w:separator/>
      </w:r>
    </w:p>
  </w:footnote>
  <w:footnote w:type="continuationSeparator" w:id="0">
    <w:p w14:paraId="376D525B" w14:textId="77777777" w:rsidR="00197CAF" w:rsidRPr="007C3E58" w:rsidRDefault="00197CAF" w:rsidP="00DD2E6E">
      <w:pPr>
        <w:spacing w:after="0" w:line="240" w:lineRule="auto"/>
      </w:pPr>
      <w:r w:rsidRPr="007C3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94A1" w14:textId="77777777" w:rsidR="00DD2E6E" w:rsidRPr="007C3E58" w:rsidRDefault="00DD2E6E">
    <w:pPr>
      <w:pStyle w:val="Header"/>
    </w:pPr>
    <w:r w:rsidRPr="007C3E58">
      <w:rPr>
        <w:rFonts w:ascii="Times New Roman" w:hAnsi="Times New Roman"/>
        <w:noProof/>
        <w:sz w:val="24"/>
      </w:rPr>
      <w:drawing>
        <wp:inline distT="0" distB="0" distL="0" distR="0" wp14:anchorId="19FEE2B7" wp14:editId="624C408C">
          <wp:extent cx="5724525" cy="1495425"/>
          <wp:effectExtent l="0" t="0" r="0" b="0"/>
          <wp:docPr id="27" name="Picture 27" descr="12_281 Header Mont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_281 Header Mont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945"/>
    <w:multiLevelType w:val="hybridMultilevel"/>
    <w:tmpl w:val="3F7AA8A0"/>
    <w:lvl w:ilvl="0" w:tplc="75825E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79"/>
    <w:rsid w:val="00002052"/>
    <w:rsid w:val="00056728"/>
    <w:rsid w:val="0007254D"/>
    <w:rsid w:val="000C0118"/>
    <w:rsid w:val="000F46BB"/>
    <w:rsid w:val="001225B0"/>
    <w:rsid w:val="00180DDE"/>
    <w:rsid w:val="00181DBD"/>
    <w:rsid w:val="0019327D"/>
    <w:rsid w:val="00197CAF"/>
    <w:rsid w:val="001A6AB7"/>
    <w:rsid w:val="001B00C0"/>
    <w:rsid w:val="001E5C50"/>
    <w:rsid w:val="002164F5"/>
    <w:rsid w:val="002367FE"/>
    <w:rsid w:val="002852C2"/>
    <w:rsid w:val="002A273B"/>
    <w:rsid w:val="002E7636"/>
    <w:rsid w:val="003068AD"/>
    <w:rsid w:val="00336202"/>
    <w:rsid w:val="003371D8"/>
    <w:rsid w:val="003560DD"/>
    <w:rsid w:val="003561A5"/>
    <w:rsid w:val="00367FAE"/>
    <w:rsid w:val="00386248"/>
    <w:rsid w:val="003D1963"/>
    <w:rsid w:val="00412279"/>
    <w:rsid w:val="004327DB"/>
    <w:rsid w:val="004350F4"/>
    <w:rsid w:val="00443381"/>
    <w:rsid w:val="00470523"/>
    <w:rsid w:val="00483926"/>
    <w:rsid w:val="004D28E2"/>
    <w:rsid w:val="004F71F6"/>
    <w:rsid w:val="004F7C3F"/>
    <w:rsid w:val="00512312"/>
    <w:rsid w:val="005452CB"/>
    <w:rsid w:val="00573900"/>
    <w:rsid w:val="00584D86"/>
    <w:rsid w:val="00594FC7"/>
    <w:rsid w:val="00596EBA"/>
    <w:rsid w:val="005B4A0B"/>
    <w:rsid w:val="005B68FC"/>
    <w:rsid w:val="005C15CE"/>
    <w:rsid w:val="005D51A2"/>
    <w:rsid w:val="00644479"/>
    <w:rsid w:val="006821EA"/>
    <w:rsid w:val="006C1F4C"/>
    <w:rsid w:val="006F2A2D"/>
    <w:rsid w:val="0070005B"/>
    <w:rsid w:val="00750671"/>
    <w:rsid w:val="00765E6B"/>
    <w:rsid w:val="007969BD"/>
    <w:rsid w:val="007A7C9B"/>
    <w:rsid w:val="007C3E58"/>
    <w:rsid w:val="007D1013"/>
    <w:rsid w:val="00803FC1"/>
    <w:rsid w:val="008078A8"/>
    <w:rsid w:val="00812705"/>
    <w:rsid w:val="0088588D"/>
    <w:rsid w:val="00886750"/>
    <w:rsid w:val="008E2000"/>
    <w:rsid w:val="008F1EF9"/>
    <w:rsid w:val="00923896"/>
    <w:rsid w:val="009944E1"/>
    <w:rsid w:val="009A11C1"/>
    <w:rsid w:val="009B1FC9"/>
    <w:rsid w:val="00A25B90"/>
    <w:rsid w:val="00A676BB"/>
    <w:rsid w:val="00A86542"/>
    <w:rsid w:val="00AB22C0"/>
    <w:rsid w:val="00AF057D"/>
    <w:rsid w:val="00B31A3D"/>
    <w:rsid w:val="00B33D2B"/>
    <w:rsid w:val="00B6546E"/>
    <w:rsid w:val="00B8254B"/>
    <w:rsid w:val="00B85F5D"/>
    <w:rsid w:val="00BB254A"/>
    <w:rsid w:val="00BB6BEB"/>
    <w:rsid w:val="00C55071"/>
    <w:rsid w:val="00C81B9A"/>
    <w:rsid w:val="00CB134F"/>
    <w:rsid w:val="00D25082"/>
    <w:rsid w:val="00D32DE2"/>
    <w:rsid w:val="00D73BAB"/>
    <w:rsid w:val="00D76E01"/>
    <w:rsid w:val="00D91790"/>
    <w:rsid w:val="00DA78D2"/>
    <w:rsid w:val="00DB2072"/>
    <w:rsid w:val="00DD2E6E"/>
    <w:rsid w:val="00DF50D5"/>
    <w:rsid w:val="00E952D4"/>
    <w:rsid w:val="00EB0F01"/>
    <w:rsid w:val="00EB4754"/>
    <w:rsid w:val="00EC0BA1"/>
    <w:rsid w:val="00EE4FCB"/>
    <w:rsid w:val="00F17697"/>
    <w:rsid w:val="00F727C8"/>
    <w:rsid w:val="00F81291"/>
    <w:rsid w:val="00FA4EB1"/>
    <w:rsid w:val="00FA5AAC"/>
    <w:rsid w:val="00FB2AE0"/>
    <w:rsid w:val="00FD2C01"/>
    <w:rsid w:val="00FE78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77559E"/>
  <w15:chartTrackingRefBased/>
  <w15:docId w15:val="{EC228475-CAE5-4A29-9B17-5E6E816F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4479"/>
    <w:pPr>
      <w:spacing w:after="0" w:line="240" w:lineRule="auto"/>
    </w:pPr>
    <w:rPr>
      <w:rFonts w:ascii="Times New Roman" w:hAnsi="Times New Roman" w:cs="Times New Roman"/>
      <w:kern w:val="2"/>
    </w:rPr>
  </w:style>
  <w:style w:type="character" w:customStyle="1" w:styleId="PlainTextChar">
    <w:name w:val="Plain Text Char"/>
    <w:basedOn w:val="DefaultParagraphFont"/>
    <w:link w:val="PlainText"/>
    <w:uiPriority w:val="99"/>
    <w:rsid w:val="00644479"/>
    <w:rPr>
      <w:rFonts w:ascii="Times New Roman" w:hAnsi="Times New Roman" w:cs="Times New Roman"/>
      <w:kern w:val="2"/>
    </w:rPr>
  </w:style>
  <w:style w:type="character" w:styleId="Strong">
    <w:name w:val="Strong"/>
    <w:basedOn w:val="DefaultParagraphFont"/>
    <w:uiPriority w:val="22"/>
    <w:qFormat/>
    <w:rsid w:val="00644479"/>
    <w:rPr>
      <w:b/>
      <w:bCs/>
    </w:rPr>
  </w:style>
  <w:style w:type="paragraph" w:styleId="Header">
    <w:name w:val="header"/>
    <w:basedOn w:val="Normal"/>
    <w:link w:val="HeaderChar"/>
    <w:uiPriority w:val="99"/>
    <w:unhideWhenUsed/>
    <w:rsid w:val="00DD2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6E"/>
  </w:style>
  <w:style w:type="paragraph" w:styleId="Footer">
    <w:name w:val="footer"/>
    <w:basedOn w:val="Normal"/>
    <w:link w:val="FooterChar"/>
    <w:uiPriority w:val="99"/>
    <w:unhideWhenUsed/>
    <w:rsid w:val="00DD2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6E"/>
  </w:style>
  <w:style w:type="character" w:styleId="Hyperlink">
    <w:name w:val="Hyperlink"/>
    <w:uiPriority w:val="99"/>
    <w:rsid w:val="00D25082"/>
    <w:rPr>
      <w:rFonts w:cs="Times New Roman"/>
      <w:color w:val="0000FF"/>
      <w:u w:val="single"/>
    </w:rPr>
  </w:style>
  <w:style w:type="character" w:customStyle="1" w:styleId="UnresolvedMention1">
    <w:name w:val="Unresolved Mention1"/>
    <w:basedOn w:val="DefaultParagraphFont"/>
    <w:uiPriority w:val="99"/>
    <w:semiHidden/>
    <w:unhideWhenUsed/>
    <w:rsid w:val="00D25082"/>
    <w:rPr>
      <w:color w:val="605E5C"/>
      <w:shd w:val="clear" w:color="auto" w:fill="E1DFDD"/>
    </w:rPr>
  </w:style>
  <w:style w:type="paragraph" w:styleId="BalloonText">
    <w:name w:val="Balloon Text"/>
    <w:basedOn w:val="Normal"/>
    <w:link w:val="BalloonTextChar"/>
    <w:uiPriority w:val="99"/>
    <w:semiHidden/>
    <w:unhideWhenUsed/>
    <w:rsid w:val="00470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523"/>
    <w:rPr>
      <w:rFonts w:ascii="Segoe UI" w:hAnsi="Segoe UI" w:cs="Segoe UI"/>
      <w:sz w:val="18"/>
      <w:szCs w:val="18"/>
    </w:rPr>
  </w:style>
  <w:style w:type="paragraph" w:customStyle="1" w:styleId="Style1">
    <w:name w:val="Style1"/>
    <w:basedOn w:val="Footer"/>
    <w:qFormat/>
    <w:rsid w:val="00B6546E"/>
    <w:rPr>
      <w:rFonts w:ascii="Times New Roman" w:hAnsi="Times New Roman" w:cs="Times New Roman"/>
    </w:rPr>
  </w:style>
  <w:style w:type="paragraph" w:customStyle="1" w:styleId="Style2">
    <w:name w:val="Style2"/>
    <w:basedOn w:val="Footer"/>
    <w:qFormat/>
    <w:rsid w:val="00B654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XMKEDVFMMJCW-1998863520-1139</_dlc_DocId>
    <_dlc_DocIdUrl xmlns="56a5413d-c261-4a00-870c-a20d3379ae6d">
      <Url>http://dm/eesc/2023/_layouts/15/DocIdRedir.aspx?ID=XMKEDVFMMJCW-1998863520-1139</Url>
      <Description>XMKEDVFMMJCW-1998863520-1139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2023-12-04T12:00:00+00:00</ProductionDate>
    <DocumentNumber xmlns="987be9aa-249f-4798-9f17-aa191cb2cf76">5404</DocumentNumber>
    <FicheYear xmlns="56a5413d-c261-4a00-870c-a20d3379ae6d" xsi:nil="true"/>
    <DossierNumber xmlns="56a5413d-c261-4a00-870c-a20d3379ae6d">368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2023-12-06T12:00:00+00:00</MeetingDate>
    <TaxCatchAll xmlns="56a5413d-c261-4a00-870c-a20d3379ae6d">
      <Value>116</Value>
      <Value>7</Value>
      <Value>9</Value>
      <Value>8</Value>
      <Value>109</Value>
      <Value>5</Value>
      <Value>361</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13601</FicheNumber>
    <OriginalSender xmlns="56a5413d-c261-4a00-870c-a20d3379ae6d">
      <UserInfo>
        <DisplayName>Nieddu Emma</DisplayName>
        <AccountId>41</AccountId>
        <AccountType/>
      </UserInfo>
    </OriginalSender>
    <DocumentPart xmlns="56a5413d-c261-4a00-870c-a20d3379ae6d">0</DocumentPart>
    <AdoptionDate xmlns="56a5413d-c261-4a00-870c-a20d3379ae6d" xsi:nil="true"/>
    <RequestingService xmlns="56a5413d-c261-4a00-870c-a20d3379ae6d">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REX/368</TermName>
          <TermId xmlns="http://schemas.microsoft.com/office/infopath/2007/PartnerControls">7362df2d-b27f-4aab-94cd-e8f3abbf9cee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ME</TermName>
          <TermId xmlns="http://schemas.microsoft.com/office/infopath/2007/PartnerControls">925b3da5-5ac0-4b3c-928c-6ef66a5c9b3c</TermId>
        </TermInfo>
      </Terms>
    </OriginalLanguage_0>
    <MeetingNumber xmlns="987be9aa-249f-4798-9f17-aa191cb2cf7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56a5413d-c261-4a00-870c-a20d3379ae6d">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07EB0-8A97-4739-83BE-6C7C4885A0AE}"/>
</file>

<file path=customXml/itemProps2.xml><?xml version="1.0" encoding="utf-8"?>
<ds:datastoreItem xmlns:ds="http://schemas.openxmlformats.org/officeDocument/2006/customXml" ds:itemID="{6B51B76F-C5A5-4426-97E1-5AD31214D654}"/>
</file>

<file path=customXml/itemProps3.xml><?xml version="1.0" encoding="utf-8"?>
<ds:datastoreItem xmlns:ds="http://schemas.openxmlformats.org/officeDocument/2006/customXml" ds:itemID="{CF49F4D8-1931-4BAD-8E71-97A794347A71}"/>
</file>

<file path=customXml/itemProps4.xml><?xml version="1.0" encoding="utf-8"?>
<ds:datastoreItem xmlns:ds="http://schemas.openxmlformats.org/officeDocument/2006/customXml" ds:itemID="{C141699D-85B9-4A0C-9C4E-E8E4037599B6}"/>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Tatjana Dzudovic</dc:title>
  <dc:subject>TCD</dc:subject>
  <dc:creator>CDT</dc:creator>
  <cp:keywords>EESC-2023-05404-00-00-TCD-TRA-ME</cp:keywords>
  <dc:description>Rapporteur:  - Original language: ME - Date of document: 04/12/2023 - Date of meeting: 30/06/2023 14:30 - External documents:  - Administrator: M. HOIC David</dc:description>
  <cp:lastModifiedBy>Nieddu Emma</cp:lastModifiedBy>
  <cp:revision>11</cp:revision>
  <cp:lastPrinted>2023-11-23T08:36:00Z</cp:lastPrinted>
  <dcterms:created xsi:type="dcterms:W3CDTF">2023-12-04T14:17:00Z</dcterms:created>
  <dcterms:modified xsi:type="dcterms:W3CDTF">2023-12-04T14:19:00Z</dcterms:modified>
  <cp:category>REX/368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27/11/2023</vt:lpwstr>
  </property>
  <property fmtid="{D5CDD505-2E9C-101B-9397-08002B2CF9AE}" pid="4" name="Pref_Time">
    <vt:lpwstr>15:40:58</vt:lpwstr>
  </property>
  <property fmtid="{D5CDD505-2E9C-101B-9397-08002B2CF9AE}" pid="5" name="Pref_User">
    <vt:lpwstr>jhvi</vt:lpwstr>
  </property>
  <property fmtid="{D5CDD505-2E9C-101B-9397-08002B2CF9AE}" pid="6" name="Pref_FileName">
    <vt:lpwstr>EESC-2023-05404-00-00-TCD-ORI.docx</vt:lpwstr>
  </property>
  <property fmtid="{D5CDD505-2E9C-101B-9397-08002B2CF9AE}" pid="7" name="ContentTypeId">
    <vt:lpwstr>0x010100EA97B91038054C99906057A708A1480A00D801061BA64D4F4583C66427878D4C9A</vt:lpwstr>
  </property>
  <property fmtid="{D5CDD505-2E9C-101B-9397-08002B2CF9AE}" pid="8" name="_dlc_DocIdItemGuid">
    <vt:lpwstr>7b4194a1-24f1-4542-a213-0b0fae31566f</vt:lpwstr>
  </property>
  <property fmtid="{D5CDD505-2E9C-101B-9397-08002B2CF9AE}" pid="9" name="AvailableTranslations">
    <vt:lpwstr>5;#EN|f2175f21-25d7-44a3-96da-d6a61b075e1b</vt:lpwstr>
  </property>
  <property fmtid="{D5CDD505-2E9C-101B-9397-08002B2CF9AE}" pid="10" name="DocumentType_0">
    <vt:lpwstr>TCD|cd9d6eb6-3f4f-424a-b2d1-57c9d450eaaf</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5404</vt:i4>
  </property>
  <property fmtid="{D5CDD505-2E9C-101B-9397-08002B2CF9AE}" pid="14" name="DocumentVersion">
    <vt:i4>0</vt:i4>
  </property>
  <property fmtid="{D5CDD505-2E9C-101B-9397-08002B2CF9AE}" pid="15" name="DossierNumber">
    <vt:i4>368</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109;#REX|6820eaf5-116e-436b-ad9c-156f8a94c2a1</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Relations extérieures</vt:lpwstr>
  </property>
  <property fmtid="{D5CDD505-2E9C-101B-9397-08002B2CF9AE}" pid="23" name="Confidentiality">
    <vt:lpwstr>9;#Unrestricted|826e22d7-d029-4ec0-a450-0c28ff673572</vt:lpwstr>
  </property>
  <property fmtid="{D5CDD505-2E9C-101B-9397-08002B2CF9AE}" pid="24" name="MeetingName_0">
    <vt:lpwstr>REX/368|7362df2d-b27f-4aab-94cd-e8f3abbf9cee</vt:lpwstr>
  </property>
  <property fmtid="{D5CDD505-2E9C-101B-9397-08002B2CF9AE}" pid="25" name="Confidentiality_0">
    <vt:lpwstr>Unrestricted|826e22d7-d029-4ec0-a450-0c28ff673572</vt:lpwstr>
  </property>
  <property fmtid="{D5CDD505-2E9C-101B-9397-08002B2CF9AE}" pid="26" name="OriginalLanguage">
    <vt:lpwstr>361;#ME|925b3da5-5ac0-4b3c-928c-6ef66a5c9b3c</vt:lpwstr>
  </property>
  <property fmtid="{D5CDD505-2E9C-101B-9397-08002B2CF9AE}" pid="27" name="MeetingName">
    <vt:lpwstr>116;#REX/368|7362df2d-b27f-4aab-94cd-e8f3abbf9cee</vt:lpwstr>
  </property>
  <property fmtid="{D5CDD505-2E9C-101B-9397-08002B2CF9AE}" pid="28" name="MeetingDate">
    <vt:filetime>2023-12-06T12:00:00Z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ME|925b3da5-5ac0-4b3c-928c-6ef66a5c9b3c</vt:lpwstr>
  </property>
  <property fmtid="{D5CDD505-2E9C-101B-9397-08002B2CF9AE}" pid="32" name="TaxCatchAll">
    <vt:lpwstr>116;#REX/368|7362df2d-b27f-4aab-94cd-e8f3abbf9cee;#7;#Final|ea5e6674-7b27-4bac-b091-73adbb394efe;#9;#Unrestricted|826e22d7-d029-4ec0-a450-0c28ff673572;#8;#TCD|cd9d6eb6-3f4f-424a-b2d1-57c9d450eaaf;#109;#REX|6820eaf5-116e-436b-ad9c-156f8a94c2a1;#361;#ME|925b3da5-5ac0-4b3c-928c-6ef66a5c9b3c;#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13601</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