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C9ECE4" w14:textId="77777777" w:rsidR="00160087" w:rsidRPr="00553453" w:rsidRDefault="0080629D" w:rsidP="0080629D">
      <w:pPr>
        <w:pStyle w:val="Caption"/>
        <w:jc w:val="center"/>
        <w:rPr>
          <w:lang w:val="en-GB"/>
        </w:rPr>
      </w:pPr>
      <w:r w:rsidRPr="00553453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D5B01D" wp14:editId="6ED1FDCF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3011" w14:textId="77777777" w:rsidR="0080629D" w:rsidRPr="0066085F" w:rsidRDefault="0080629D" w:rsidP="008062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5B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14:paraId="0D653011" w14:textId="77777777" w:rsidR="0080629D" w:rsidRPr="0066085F" w:rsidRDefault="0080629D" w:rsidP="0080629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МК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3453">
        <w:rPr>
          <w:noProof/>
          <w:lang w:val="en-GB" w:eastAsia="en-GB" w:bidi="ar-SA"/>
        </w:rPr>
        <w:drawing>
          <wp:inline distT="0" distB="0" distL="0" distR="0" wp14:anchorId="0902CDA9" wp14:editId="4B988FC1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CB4E" w14:textId="77777777" w:rsidR="00160087" w:rsidRPr="00553453" w:rsidRDefault="00184BDB" w:rsidP="00675728">
      <w:pPr>
        <w:jc w:val="center"/>
        <w:rPr>
          <w:rFonts w:ascii="Arial" w:hAnsi="Arial" w:cs="Arial"/>
          <w:b/>
          <w:i/>
          <w:sz w:val="20"/>
          <w:lang w:val="en-GB"/>
        </w:rPr>
      </w:pPr>
      <w:r w:rsidRPr="00553453">
        <w:rPr>
          <w:rFonts w:ascii="Arial" w:hAnsi="Arial"/>
          <w:b/>
          <w:i/>
          <w:sz w:val="20"/>
          <w:lang w:val="en-GB"/>
        </w:rPr>
        <w:t>Европска економска и социјална комисија</w:t>
      </w:r>
    </w:p>
    <w:p w14:paraId="10315F6F" w14:textId="77777777" w:rsidR="00160087" w:rsidRPr="00553453" w:rsidRDefault="00160087" w:rsidP="00675728">
      <w:pPr>
        <w:jc w:val="center"/>
        <w:rPr>
          <w:lang w:val="en-GB"/>
        </w:rPr>
      </w:pPr>
    </w:p>
    <w:p w14:paraId="5126CE9C" w14:textId="77777777" w:rsidR="00160087" w:rsidRPr="00553453" w:rsidRDefault="00160087" w:rsidP="0080629D">
      <w:pPr>
        <w:jc w:val="center"/>
        <w:rPr>
          <w:lang w:val="en-GB"/>
        </w:rPr>
      </w:pPr>
    </w:p>
    <w:p w14:paraId="4FA36FB6" w14:textId="77777777" w:rsidR="000531E5" w:rsidRPr="00553453" w:rsidRDefault="00AA2484" w:rsidP="00675728">
      <w:pPr>
        <w:jc w:val="center"/>
        <w:rPr>
          <w:b/>
          <w:sz w:val="28"/>
          <w:lang w:val="en-GB"/>
        </w:rPr>
      </w:pPr>
      <w:r w:rsidRPr="00553453">
        <w:rPr>
          <w:b/>
          <w:sz w:val="28"/>
          <w:lang w:val="en-GB"/>
        </w:rPr>
        <w:t xml:space="preserve">ШЕСТИ ФОРУМ НА ГРАЃАНСКОТО ОПШТЕСТВО </w:t>
      </w:r>
    </w:p>
    <w:p w14:paraId="58D113BB" w14:textId="6FC6459C" w:rsidR="00160087" w:rsidRPr="00553453" w:rsidRDefault="00AA2484" w:rsidP="00675728">
      <w:pPr>
        <w:jc w:val="center"/>
        <w:rPr>
          <w:b/>
          <w:sz w:val="28"/>
          <w:lang w:val="en-GB"/>
        </w:rPr>
      </w:pPr>
      <w:r w:rsidRPr="00553453">
        <w:rPr>
          <w:b/>
          <w:sz w:val="28"/>
          <w:lang w:val="en-GB"/>
        </w:rPr>
        <w:t xml:space="preserve">НА </w:t>
      </w:r>
      <w:r w:rsidR="000531E5" w:rsidRPr="00553453">
        <w:rPr>
          <w:b/>
          <w:sz w:val="28"/>
          <w:lang w:val="en-GB"/>
        </w:rPr>
        <w:t xml:space="preserve">ЗЕМЈИТЕ НА </w:t>
      </w:r>
      <w:r w:rsidRPr="00553453">
        <w:rPr>
          <w:b/>
          <w:sz w:val="28"/>
          <w:lang w:val="en-GB"/>
        </w:rPr>
        <w:t>ЗАПАДЕН БАЛКАН</w:t>
      </w:r>
    </w:p>
    <w:p w14:paraId="67EEDDB3" w14:textId="77777777" w:rsidR="00160087" w:rsidRPr="00553453" w:rsidRDefault="00160087" w:rsidP="00675728">
      <w:pPr>
        <w:jc w:val="center"/>
        <w:rPr>
          <w:sz w:val="28"/>
          <w:lang w:val="en-GB"/>
        </w:rPr>
      </w:pPr>
    </w:p>
    <w:p w14:paraId="51BC0407" w14:textId="18EFFF4E" w:rsidR="00160087" w:rsidRPr="00553453" w:rsidRDefault="00AA2484" w:rsidP="00675728">
      <w:pPr>
        <w:jc w:val="center"/>
        <w:rPr>
          <w:lang w:val="en-GB"/>
        </w:rPr>
      </w:pPr>
      <w:r w:rsidRPr="00553453">
        <w:rPr>
          <w:lang w:val="en-GB"/>
        </w:rPr>
        <w:t>Сараево, 10 и 11 јули 2017 година</w:t>
      </w:r>
    </w:p>
    <w:p w14:paraId="34F35EE1" w14:textId="77777777" w:rsidR="00160087" w:rsidRPr="00553453" w:rsidRDefault="00160087" w:rsidP="00675728">
      <w:pPr>
        <w:jc w:val="center"/>
        <w:rPr>
          <w:lang w:val="en-GB"/>
        </w:rPr>
      </w:pPr>
    </w:p>
    <w:p w14:paraId="778BAB83" w14:textId="168C019C" w:rsidR="00160087" w:rsidRPr="00553453" w:rsidRDefault="00F34D44" w:rsidP="00F34D44">
      <w:pPr>
        <w:tabs>
          <w:tab w:val="center" w:pos="4536"/>
          <w:tab w:val="left" w:pos="7110"/>
        </w:tabs>
        <w:jc w:val="left"/>
        <w:rPr>
          <w:b/>
          <w:u w:val="single"/>
          <w:lang w:val="en-GB"/>
        </w:rPr>
      </w:pPr>
      <w:r w:rsidRPr="00553453">
        <w:rPr>
          <w:b/>
          <w:lang w:val="en-GB"/>
        </w:rPr>
        <w:tab/>
      </w:r>
      <w:r w:rsidR="004C63C4" w:rsidRPr="00553453">
        <w:rPr>
          <w:b/>
          <w:u w:val="single"/>
          <w:lang w:val="en-GB"/>
        </w:rPr>
        <w:t>ЗАВРШНА ДЕКЛАРАЦИЈА</w:t>
      </w:r>
    </w:p>
    <w:p w14:paraId="443FAF42" w14:textId="77777777" w:rsidR="00160087" w:rsidRPr="00553453" w:rsidRDefault="00160087" w:rsidP="00675728">
      <w:pPr>
        <w:jc w:val="center"/>
        <w:rPr>
          <w:b/>
          <w:lang w:val="en-GB"/>
        </w:rPr>
      </w:pPr>
    </w:p>
    <w:p w14:paraId="5A335BC1" w14:textId="2739C756" w:rsidR="00160087" w:rsidRPr="00553453" w:rsidRDefault="00675728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>Европската економска и социјална комисија (ЕЕСК) која ги претставува економските и социјалните к</w:t>
      </w:r>
      <w:r w:rsidR="00A631F9" w:rsidRPr="00553453">
        <w:rPr>
          <w:lang w:val="en-GB"/>
        </w:rPr>
        <w:t>омпоненти на организираното граѓ</w:t>
      </w:r>
      <w:r w:rsidRPr="00553453">
        <w:rPr>
          <w:lang w:val="en-GB"/>
        </w:rPr>
        <w:t>анско општество во Европската Унија (ЕУ)</w:t>
      </w:r>
      <w:r w:rsidRPr="00553453">
        <w:rPr>
          <w:rStyle w:val="FootnoteReference"/>
          <w:lang w:val="en-GB"/>
        </w:rPr>
        <w:footnoteReference w:id="2"/>
      </w:r>
      <w:r w:rsidRPr="00553453">
        <w:rPr>
          <w:lang w:val="en-GB"/>
        </w:rPr>
        <w:t xml:space="preserve">, го одржа својот Шести форум на граѓанското општество на </w:t>
      </w:r>
      <w:r w:rsidR="00A631F9" w:rsidRPr="00553453">
        <w:rPr>
          <w:lang w:val="en-GB"/>
        </w:rPr>
        <w:t xml:space="preserve">земјите на </w:t>
      </w:r>
      <w:r w:rsidRPr="00553453">
        <w:rPr>
          <w:lang w:val="en-GB"/>
        </w:rPr>
        <w:t>Западен Ба</w:t>
      </w:r>
      <w:r w:rsidR="002D48C1" w:rsidRPr="00553453">
        <w:rPr>
          <w:lang w:val="en-GB"/>
        </w:rPr>
        <w:t>лкан со поддршка на Европската к</w:t>
      </w:r>
      <w:r w:rsidRPr="00553453">
        <w:rPr>
          <w:lang w:val="en-GB"/>
        </w:rPr>
        <w:t xml:space="preserve">омисија. Форумот ги собра на едно место претставниците на работничките синдикати од Западен Балкан, работодавците и други организации </w:t>
      </w:r>
      <w:r w:rsidR="00C75D26" w:rsidRPr="00553453">
        <w:rPr>
          <w:lang w:val="en-GB"/>
        </w:rPr>
        <w:t>на</w:t>
      </w:r>
      <w:r w:rsidRPr="00553453">
        <w:rPr>
          <w:lang w:val="en-GB"/>
        </w:rPr>
        <w:t xml:space="preserve"> граѓанското општество (ОГО), членови на ЕЕСК, претставници на владите на Западен Балкан и ЕУ, како и меѓународни институции.</w:t>
      </w:r>
    </w:p>
    <w:p w14:paraId="7F53E0B6" w14:textId="77777777" w:rsidR="00160087" w:rsidRPr="00553453" w:rsidRDefault="00160087" w:rsidP="00675728">
      <w:pPr>
        <w:rPr>
          <w:lang w:val="en-GB"/>
        </w:rPr>
      </w:pPr>
    </w:p>
    <w:p w14:paraId="4FE0B202" w14:textId="160F51B8" w:rsidR="00F72AE3" w:rsidRPr="00553453" w:rsidRDefault="00F72AE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Оваа година форумот се одржа во симболичниот град, Сараево, на денот на сеќавање на трагичните настани од пред дваесет и две години во Сребреница. Имаше едноминутно молчење во знак на почитување на жртвите.</w:t>
      </w:r>
    </w:p>
    <w:p w14:paraId="7A19D55C" w14:textId="77777777" w:rsidR="00F72AE3" w:rsidRPr="00553453" w:rsidRDefault="00F72AE3" w:rsidP="00F72AE3">
      <w:pPr>
        <w:ind w:left="720"/>
        <w:rPr>
          <w:lang w:val="en-GB"/>
        </w:rPr>
      </w:pPr>
    </w:p>
    <w:p w14:paraId="4C1B1412" w14:textId="5F4103A0" w:rsidR="00160087" w:rsidRPr="00553453" w:rsidRDefault="00675728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На форумот се дискутираше на следниве поголеми теми: процена и перспективи на односите </w:t>
      </w:r>
      <w:r w:rsidR="00FC5D37" w:rsidRPr="00553453">
        <w:rPr>
          <w:lang w:val="en-GB"/>
        </w:rPr>
        <w:t>по</w:t>
      </w:r>
      <w:r w:rsidRPr="00553453">
        <w:rPr>
          <w:lang w:val="en-GB"/>
        </w:rPr>
        <w:t xml:space="preserve">меѓу ЕУ и Западен Балкан; улогата на организациите </w:t>
      </w:r>
      <w:r w:rsidR="00C75D26" w:rsidRPr="00553453">
        <w:rPr>
          <w:lang w:val="en-GB"/>
        </w:rPr>
        <w:t>на</w:t>
      </w:r>
      <w:r w:rsidRPr="00553453">
        <w:rPr>
          <w:lang w:val="en-GB"/>
        </w:rPr>
        <w:t xml:space="preserve"> граѓанското општество (ОГО) во промовирањето на одржлив раст и вработување; миграцијата, </w:t>
      </w:r>
      <w:proofErr w:type="gramStart"/>
      <w:r w:rsidRPr="00553453">
        <w:rPr>
          <w:lang w:val="en-GB"/>
        </w:rPr>
        <w:t>слободата</w:t>
      </w:r>
      <w:proofErr w:type="gramEnd"/>
      <w:r w:rsidRPr="00553453">
        <w:rPr>
          <w:lang w:val="en-GB"/>
        </w:rPr>
        <w:t xml:space="preserve"> на изразување и на медиумите; и правата и овластувањето на жените во земјите на Западен Балкан. </w:t>
      </w:r>
    </w:p>
    <w:p w14:paraId="45DDD4B9" w14:textId="77777777" w:rsidR="00160087" w:rsidRPr="00553453" w:rsidRDefault="00160087" w:rsidP="00675728">
      <w:pPr>
        <w:rPr>
          <w:lang w:val="en-GB"/>
        </w:rPr>
      </w:pPr>
    </w:p>
    <w:p w14:paraId="6A36A368" w14:textId="1715175E" w:rsidR="00160087" w:rsidRPr="00553453" w:rsidRDefault="006C16CE" w:rsidP="00300E75">
      <w:pPr>
        <w:keepNext/>
        <w:rPr>
          <w:lang w:val="en-GB"/>
        </w:rPr>
      </w:pPr>
      <w:r w:rsidRPr="00553453">
        <w:rPr>
          <w:lang w:val="en-GB"/>
        </w:rPr>
        <w:t xml:space="preserve">Учесниците на форумот ја усвоија следнава </w:t>
      </w:r>
      <w:r w:rsidR="00AC652A" w:rsidRPr="00553453">
        <w:rPr>
          <w:lang w:val="en-GB"/>
        </w:rPr>
        <w:t>декларација</w:t>
      </w:r>
      <w:r w:rsidRPr="00553453">
        <w:rPr>
          <w:lang w:val="en-GB"/>
        </w:rPr>
        <w:t>:</w:t>
      </w:r>
    </w:p>
    <w:p w14:paraId="4D27C3B1" w14:textId="77777777" w:rsidR="00160087" w:rsidRPr="00553453" w:rsidRDefault="00160087" w:rsidP="00300E75">
      <w:pPr>
        <w:keepNext/>
        <w:rPr>
          <w:b/>
          <w:lang w:val="en-GB"/>
        </w:rPr>
      </w:pPr>
    </w:p>
    <w:p w14:paraId="098B4142" w14:textId="33B542A5" w:rsidR="00160087" w:rsidRPr="00553453" w:rsidRDefault="006C16CE" w:rsidP="00300E75">
      <w:pPr>
        <w:keepNext/>
        <w:rPr>
          <w:b/>
          <w:lang w:val="en-GB"/>
        </w:rPr>
      </w:pPr>
      <w:r w:rsidRPr="00553453">
        <w:rPr>
          <w:i/>
          <w:lang w:val="en-GB"/>
        </w:rPr>
        <w:t>Во врска со темата „Процена и перспективи на односите помеѓу ЕУ и Западен Балкан“:</w:t>
      </w:r>
    </w:p>
    <w:p w14:paraId="3E53404B" w14:textId="77777777" w:rsidR="00160087" w:rsidRPr="00553453" w:rsidRDefault="00160087" w:rsidP="00300E75">
      <w:pPr>
        <w:keepNext/>
        <w:rPr>
          <w:b/>
          <w:lang w:val="en-GB"/>
        </w:rPr>
      </w:pPr>
    </w:p>
    <w:p w14:paraId="1AD64362" w14:textId="77777777" w:rsidR="00160087" w:rsidRPr="00553453" w:rsidRDefault="006C16CE" w:rsidP="00300E75">
      <w:pPr>
        <w:keepNext/>
        <w:rPr>
          <w:lang w:val="en-GB"/>
        </w:rPr>
      </w:pPr>
      <w:r w:rsidRPr="00553453">
        <w:rPr>
          <w:lang w:val="en-GB"/>
        </w:rPr>
        <w:t>Учесниците:</w:t>
      </w:r>
    </w:p>
    <w:p w14:paraId="28E3BAAE" w14:textId="77777777" w:rsidR="00160087" w:rsidRPr="00553453" w:rsidRDefault="00160087" w:rsidP="00300E75">
      <w:pPr>
        <w:keepNext/>
        <w:rPr>
          <w:b/>
          <w:lang w:val="en-GB"/>
        </w:rPr>
      </w:pPr>
    </w:p>
    <w:p w14:paraId="437D61E7" w14:textId="37AE1C5E" w:rsidR="002950AE" w:rsidRPr="00553453" w:rsidRDefault="006C16CE" w:rsidP="00300E75">
      <w:pPr>
        <w:pStyle w:val="ListParagraph"/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позитивно го оценуваат напред</w:t>
      </w:r>
      <w:r w:rsidR="00FC5D37" w:rsidRPr="00553453">
        <w:rPr>
          <w:lang w:val="en-GB"/>
        </w:rPr>
        <w:t>увањето</w:t>
      </w:r>
      <w:r w:rsidRPr="00553453">
        <w:rPr>
          <w:lang w:val="en-GB"/>
        </w:rPr>
        <w:t xml:space="preserve"> на повеќето земји во регионот во</w:t>
      </w:r>
      <w:r w:rsidR="00FC5D37" w:rsidRPr="00553453">
        <w:rPr>
          <w:lang w:val="en-GB"/>
        </w:rPr>
        <w:t xml:space="preserve"> однос на</w:t>
      </w:r>
      <w:r w:rsidRPr="00553453">
        <w:rPr>
          <w:lang w:val="en-GB"/>
        </w:rPr>
        <w:t xml:space="preserve"> пристапу</w:t>
      </w:r>
      <w:r w:rsidR="005318AF" w:rsidRPr="00553453">
        <w:rPr>
          <w:lang w:val="en-GB"/>
        </w:rPr>
        <w:t>вањето кон ЕУ забележано</w:t>
      </w:r>
      <w:r w:rsidR="00FC5D37" w:rsidRPr="00553453">
        <w:rPr>
          <w:lang w:val="en-GB"/>
        </w:rPr>
        <w:t xml:space="preserve"> од посл</w:t>
      </w:r>
      <w:r w:rsidRPr="00553453">
        <w:rPr>
          <w:lang w:val="en-GB"/>
        </w:rPr>
        <w:t xml:space="preserve">едниот форум одржан во Белград во јуни 2015 година; Црна Гора и Србија отворија и условно затворија неколку нови поглавја; </w:t>
      </w:r>
      <w:r w:rsidRPr="00553453">
        <w:rPr>
          <w:lang w:val="en-GB"/>
        </w:rPr>
        <w:lastRenderedPageBreak/>
        <w:t>Албанија продолжи со реформите потребни за да ги почне преговорите за пристапување подоцна оваа година; Босна и Херцеговина продолжија да ги имплементираат реформите што би требало да ѝ овозможат на секоја земја да добие статус на кандидатска земја; и Косово почна со спроведувањето на Договорот за стабилизација и за асоцијација (ДСА);</w:t>
      </w:r>
    </w:p>
    <w:p w14:paraId="3C21B9B4" w14:textId="77777777" w:rsidR="002950AE" w:rsidRPr="00553453" w:rsidRDefault="002950AE" w:rsidP="002950AE">
      <w:pPr>
        <w:pStyle w:val="ListParagraph"/>
        <w:rPr>
          <w:lang w:val="en-GB"/>
        </w:rPr>
      </w:pPr>
    </w:p>
    <w:p w14:paraId="74DDFF9C" w14:textId="1764DC12" w:rsidR="00016BD5" w:rsidRPr="00553453" w:rsidRDefault="0057432E" w:rsidP="00300E75">
      <w:pPr>
        <w:pStyle w:val="ListParagraph"/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изразуваат задоволство </w:t>
      </w:r>
      <w:r w:rsidR="000F4628" w:rsidRPr="00553453">
        <w:rPr>
          <w:lang w:val="en-GB"/>
        </w:rPr>
        <w:t xml:space="preserve">бидејќи изгледа </w:t>
      </w:r>
      <w:r w:rsidRPr="00553453">
        <w:rPr>
          <w:lang w:val="en-GB"/>
        </w:rPr>
        <w:t>како да завршила до</w:t>
      </w:r>
      <w:r w:rsidR="00AF201D" w:rsidRPr="00553453">
        <w:rPr>
          <w:lang w:val="en-GB"/>
        </w:rPr>
        <w:t>л</w:t>
      </w:r>
      <w:r w:rsidR="00983FB0" w:rsidRPr="00553453">
        <w:rPr>
          <w:lang w:val="en-GB"/>
        </w:rPr>
        <w:t>горочната политичка криза во П</w:t>
      </w:r>
      <w:r w:rsidRPr="00553453">
        <w:rPr>
          <w:lang w:val="en-GB"/>
        </w:rPr>
        <w:t>оранешна Југословенска Република Македонија и побараа Советот да дејствува сп</w:t>
      </w:r>
      <w:r w:rsidR="00E746D7" w:rsidRPr="00553453">
        <w:rPr>
          <w:lang w:val="en-GB"/>
        </w:rPr>
        <w:t>оред препораката на Европската к</w:t>
      </w:r>
      <w:r w:rsidRPr="00553453">
        <w:rPr>
          <w:lang w:val="en-GB"/>
        </w:rPr>
        <w:t>омисија да отвори преговори за пристапување со земјата веднаш што</w:t>
      </w:r>
      <w:r w:rsidR="005939F4" w:rsidRPr="00553453">
        <w:rPr>
          <w:lang w:val="en-GB"/>
        </w:rPr>
        <w:t>м</w:t>
      </w:r>
      <w:r w:rsidRPr="00553453">
        <w:rPr>
          <w:lang w:val="en-GB"/>
        </w:rPr>
        <w:t xml:space="preserve"> се исполнат потребните услови; </w:t>
      </w:r>
    </w:p>
    <w:p w14:paraId="03A3FFFB" w14:textId="77777777" w:rsidR="00D405C9" w:rsidRPr="00553453" w:rsidRDefault="00D405C9" w:rsidP="0060731D">
      <w:pPr>
        <w:rPr>
          <w:lang w:val="en-GB"/>
        </w:rPr>
      </w:pPr>
    </w:p>
    <w:p w14:paraId="45A000D9" w14:textId="7DC358D0" w:rsidR="00F17E5E" w:rsidRPr="00553453" w:rsidRDefault="00016BD5" w:rsidP="00300E75">
      <w:pPr>
        <w:pStyle w:val="ListParagraph"/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се убедени дека јасна перспектива за пристапување</w:t>
      </w:r>
      <w:r w:rsidR="003503D4" w:rsidRPr="00553453">
        <w:rPr>
          <w:lang w:val="en-GB"/>
        </w:rPr>
        <w:t>то</w:t>
      </w:r>
      <w:r w:rsidRPr="00553453">
        <w:rPr>
          <w:lang w:val="en-GB"/>
        </w:rPr>
        <w:t xml:space="preserve"> е неопходна за стабилноста на регионот и изразија надеж дека проширувањето ќе остане еден од </w:t>
      </w:r>
      <w:r w:rsidR="00D14A47" w:rsidRPr="00553453">
        <w:rPr>
          <w:lang w:val="en-GB"/>
        </w:rPr>
        <w:t>приоритетите</w:t>
      </w:r>
      <w:r w:rsidRPr="00553453">
        <w:rPr>
          <w:lang w:val="en-GB"/>
        </w:rPr>
        <w:t xml:space="preserve"> на ЕУ и покрај многуте предизвици со кои </w:t>
      </w:r>
      <w:r w:rsidR="0012657B" w:rsidRPr="00553453">
        <w:rPr>
          <w:lang w:val="en-GB"/>
        </w:rPr>
        <w:t xml:space="preserve">таа </w:t>
      </w:r>
      <w:r w:rsidRPr="00553453">
        <w:rPr>
          <w:lang w:val="en-GB"/>
        </w:rPr>
        <w:t>сега се соочува;</w:t>
      </w:r>
    </w:p>
    <w:p w14:paraId="264D554F" w14:textId="77777777" w:rsidR="00016BD5" w:rsidRPr="00553453" w:rsidRDefault="00016BD5" w:rsidP="00016BD5">
      <w:pPr>
        <w:ind w:left="720"/>
        <w:rPr>
          <w:lang w:val="en-GB"/>
        </w:rPr>
      </w:pPr>
    </w:p>
    <w:p w14:paraId="7FCE6E52" w14:textId="528DEF24" w:rsidR="00016BD5" w:rsidRPr="00553453" w:rsidRDefault="00016BD5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изразија длабока загриженоста за намалувањето на просторот </w:t>
      </w:r>
      <w:r w:rsidR="001A4C2A" w:rsidRPr="00553453">
        <w:rPr>
          <w:lang w:val="en-GB"/>
        </w:rPr>
        <w:t>з</w:t>
      </w:r>
      <w:r w:rsidRPr="00553453">
        <w:rPr>
          <w:lang w:val="en-GB"/>
        </w:rPr>
        <w:t xml:space="preserve">а граѓанското општество во сè поголем број земји на Западен Балкан; забележуваат дека ЕУ и нејзините земји членки се посветени на промовирањето простор за граѓанското </w:t>
      </w:r>
      <w:r w:rsidR="00D14A47" w:rsidRPr="00553453">
        <w:rPr>
          <w:lang w:val="en-GB"/>
        </w:rPr>
        <w:t>општество</w:t>
      </w:r>
      <w:r w:rsidRPr="00553453">
        <w:rPr>
          <w:lang w:val="en-GB"/>
        </w:rPr>
        <w:t xml:space="preserve"> во засилувањето на поддршката за градење на капацитетите на ОГО за зајакнување на нивниот глас во развојниот процес и за напредувањето на политичкиот, социјалниот и економскиот дијалог;</w:t>
      </w:r>
    </w:p>
    <w:p w14:paraId="2D6B2997" w14:textId="77777777" w:rsidR="003320D8" w:rsidRPr="00553453" w:rsidRDefault="003320D8" w:rsidP="003320D8">
      <w:pPr>
        <w:ind w:left="720"/>
        <w:rPr>
          <w:lang w:val="en-GB"/>
        </w:rPr>
      </w:pPr>
    </w:p>
    <w:p w14:paraId="03274B9E" w14:textId="34F552F9" w:rsidR="003320D8" w:rsidRPr="00553453" w:rsidRDefault="003320D8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ја потенцираат потребата од политика за проширување на ЕУ фокусирана на демократизација, владеење на правото, внатререгионална соработка и градење на доверба, како и поструктуриран и посистематски пристап во смисла на учеството на граѓанското општество; ги повикуваат ЕУ и земјите членки да усвојат поостри и покохерентни пристапи и да преземат конкретни акции за заштита и </w:t>
      </w:r>
      <w:r w:rsidR="00B229FB" w:rsidRPr="00553453">
        <w:rPr>
          <w:lang w:val="en-GB"/>
        </w:rPr>
        <w:t xml:space="preserve">за </w:t>
      </w:r>
      <w:r w:rsidRPr="00553453">
        <w:rPr>
          <w:lang w:val="en-GB"/>
        </w:rPr>
        <w:t>проширување на просторот на граѓанското општество</w:t>
      </w:r>
      <w:r w:rsidR="00B229FB" w:rsidRPr="00553453">
        <w:rPr>
          <w:lang w:val="en-GB"/>
        </w:rPr>
        <w:t>, како</w:t>
      </w:r>
      <w:r w:rsidRPr="00553453">
        <w:rPr>
          <w:lang w:val="en-GB"/>
        </w:rPr>
        <w:t xml:space="preserve"> и да донесат конкретни придобивки за граѓаните на земјите од Западен Балкан;</w:t>
      </w:r>
    </w:p>
    <w:p w14:paraId="158CA400" w14:textId="77777777" w:rsidR="00016BD5" w:rsidRPr="00553453" w:rsidRDefault="00016BD5" w:rsidP="00016BD5">
      <w:pPr>
        <w:pStyle w:val="ListParagraph"/>
        <w:rPr>
          <w:lang w:val="en-GB"/>
        </w:rPr>
      </w:pPr>
    </w:p>
    <w:p w14:paraId="4F7C3EF0" w14:textId="62B2F159" w:rsidR="00016BD5" w:rsidRPr="00553453" w:rsidRDefault="001424C6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изразуваат жалење за сè поголемата улога на надворешни </w:t>
      </w:r>
      <w:r w:rsidR="009C01E0" w:rsidRPr="00553453">
        <w:rPr>
          <w:lang w:val="en-GB"/>
        </w:rPr>
        <w:t>актери</w:t>
      </w:r>
      <w:r w:rsidR="004C2921" w:rsidRPr="00553453">
        <w:rPr>
          <w:lang w:val="en-GB"/>
        </w:rPr>
        <w:t xml:space="preserve"> </w:t>
      </w:r>
      <w:r w:rsidRPr="00553453">
        <w:rPr>
          <w:lang w:val="en-GB"/>
        </w:rPr>
        <w:t>во овој геополитички стратешки регион;</w:t>
      </w:r>
    </w:p>
    <w:p w14:paraId="6C874ABC" w14:textId="77777777" w:rsidR="00680C22" w:rsidRPr="00553453" w:rsidRDefault="00680C22" w:rsidP="00675728">
      <w:pPr>
        <w:ind w:left="720"/>
        <w:rPr>
          <w:lang w:val="en-GB"/>
        </w:rPr>
      </w:pPr>
    </w:p>
    <w:p w14:paraId="1D4B0E6D" w14:textId="2EFB45A0" w:rsidR="00F172DC" w:rsidRPr="00553453" w:rsidRDefault="004F0F4B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>бараат</w:t>
      </w:r>
      <w:r w:rsidR="0057432E" w:rsidRPr="00553453">
        <w:rPr>
          <w:lang w:val="en-GB"/>
        </w:rPr>
        <w:t xml:space="preserve"> да се дадат повеќе финансиски средства за да се намалат социјалните проблеми </w:t>
      </w:r>
      <w:r w:rsidR="00F47610" w:rsidRPr="00553453">
        <w:rPr>
          <w:lang w:val="en-GB"/>
        </w:rPr>
        <w:t>поврзани</w:t>
      </w:r>
      <w:r w:rsidR="00642329" w:rsidRPr="00553453">
        <w:rPr>
          <w:lang w:val="en-GB"/>
        </w:rPr>
        <w:t xml:space="preserve"> со</w:t>
      </w:r>
      <w:r w:rsidR="0057432E" w:rsidRPr="00553453">
        <w:rPr>
          <w:lang w:val="en-GB"/>
        </w:rPr>
        <w:t xml:space="preserve"> трансформацијата на регионот;</w:t>
      </w:r>
    </w:p>
    <w:p w14:paraId="6375364D" w14:textId="77777777" w:rsidR="00F172DC" w:rsidRPr="00553453" w:rsidRDefault="00F172DC" w:rsidP="00D20A0A">
      <w:pPr>
        <w:pStyle w:val="ListParagraph"/>
        <w:rPr>
          <w:lang w:val="en-GB"/>
        </w:rPr>
      </w:pPr>
    </w:p>
    <w:p w14:paraId="22B1057C" w14:textId="50FA9624" w:rsidR="00D959A5" w:rsidRPr="00553453" w:rsidRDefault="00F172DC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proofErr w:type="gramStart"/>
      <w:r w:rsidRPr="00553453">
        <w:rPr>
          <w:lang w:val="en-GB"/>
        </w:rPr>
        <w:t>ги</w:t>
      </w:r>
      <w:proofErr w:type="gramEnd"/>
      <w:r w:rsidRPr="00553453">
        <w:rPr>
          <w:lang w:val="en-GB"/>
        </w:rPr>
        <w:t xml:space="preserve"> повикуваа</w:t>
      </w:r>
      <w:r w:rsidR="004F0F4B" w:rsidRPr="00553453">
        <w:rPr>
          <w:lang w:val="en-GB"/>
        </w:rPr>
        <w:t>т</w:t>
      </w:r>
      <w:r w:rsidRPr="00553453">
        <w:rPr>
          <w:lang w:val="en-GB"/>
        </w:rPr>
        <w:t xml:space="preserve"> институциите на ЕУ и земјите членки на ЕУ редовно да вклучуваат претставници од земјите на Западен Балкан на самитите на ЕУ како доказ дека ЕУ го смета регионот за дел од својата иднина.</w:t>
      </w:r>
    </w:p>
    <w:p w14:paraId="7C2C33E5" w14:textId="77777777" w:rsidR="004D7C85" w:rsidRPr="00553453" w:rsidRDefault="004D7C85" w:rsidP="0090360B">
      <w:pPr>
        <w:ind w:left="708"/>
        <w:rPr>
          <w:lang w:val="en-GB"/>
        </w:rPr>
      </w:pPr>
    </w:p>
    <w:p w14:paraId="46CFCDD4" w14:textId="27434725" w:rsidR="00160087" w:rsidRPr="00553453" w:rsidRDefault="006C16CE" w:rsidP="00300E75">
      <w:pPr>
        <w:keepNext/>
        <w:rPr>
          <w:lang w:val="en-GB"/>
        </w:rPr>
      </w:pPr>
      <w:r w:rsidRPr="00553453">
        <w:rPr>
          <w:i/>
          <w:lang w:val="en-GB"/>
        </w:rPr>
        <w:t xml:space="preserve">Во врска со темата „Улогата на општествените партнери и другите организации </w:t>
      </w:r>
      <w:r w:rsidR="00C4604D" w:rsidRPr="00553453">
        <w:rPr>
          <w:i/>
          <w:lang w:val="en-GB"/>
        </w:rPr>
        <w:t>на</w:t>
      </w:r>
      <w:r w:rsidRPr="00553453">
        <w:rPr>
          <w:i/>
          <w:lang w:val="en-GB"/>
        </w:rPr>
        <w:t xml:space="preserve"> граѓанското </w:t>
      </w:r>
      <w:r w:rsidR="00D14A47" w:rsidRPr="00553453">
        <w:rPr>
          <w:i/>
          <w:lang w:val="en-GB"/>
        </w:rPr>
        <w:t>општество во промовирањето на о</w:t>
      </w:r>
      <w:r w:rsidRPr="00553453">
        <w:rPr>
          <w:i/>
          <w:lang w:val="en-GB"/>
        </w:rPr>
        <w:t>држливиот развој и вработувањето:</w:t>
      </w:r>
    </w:p>
    <w:p w14:paraId="2D181E9A" w14:textId="77777777" w:rsidR="00BC4631" w:rsidRPr="00553453" w:rsidRDefault="00BC4631" w:rsidP="00300E75">
      <w:pPr>
        <w:keepNext/>
        <w:rPr>
          <w:lang w:val="en-GB"/>
        </w:rPr>
      </w:pPr>
    </w:p>
    <w:p w14:paraId="115AB298" w14:textId="77777777" w:rsidR="00BC4631" w:rsidRPr="00553453" w:rsidRDefault="00BC4631" w:rsidP="00300E75">
      <w:pPr>
        <w:keepNext/>
        <w:rPr>
          <w:lang w:val="en-GB"/>
        </w:rPr>
      </w:pPr>
      <w:r w:rsidRPr="00553453">
        <w:rPr>
          <w:lang w:val="en-GB"/>
        </w:rPr>
        <w:t>Учесниците:</w:t>
      </w:r>
    </w:p>
    <w:p w14:paraId="5F8230FB" w14:textId="77777777" w:rsidR="003B4D29" w:rsidRPr="00553453" w:rsidRDefault="003B4D29" w:rsidP="00300E75">
      <w:pPr>
        <w:keepNext/>
        <w:rPr>
          <w:lang w:val="en-GB"/>
        </w:rPr>
      </w:pPr>
    </w:p>
    <w:p w14:paraId="209DFD21" w14:textId="51C03E1C" w:rsidR="003B4D29" w:rsidRPr="00553453" w:rsidRDefault="0057432E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се задоволни што се гледаат знаци на економско подобрување во повеќето земји </w:t>
      </w:r>
      <w:r w:rsidR="00E67FBE" w:rsidRPr="00553453">
        <w:rPr>
          <w:lang w:val="en-GB"/>
        </w:rPr>
        <w:t>од</w:t>
      </w:r>
      <w:r w:rsidRPr="00553453">
        <w:rPr>
          <w:lang w:val="en-GB"/>
        </w:rPr>
        <w:t xml:space="preserve"> регионот; повторно ја потенцираат потребата политичките органи да се фокусираат </w:t>
      </w:r>
      <w:r w:rsidRPr="00553453">
        <w:rPr>
          <w:lang w:val="en-GB"/>
        </w:rPr>
        <w:lastRenderedPageBreak/>
        <w:t xml:space="preserve">повеќе на решавањето на фундаменталните реформи рано во процесот на </w:t>
      </w:r>
      <w:r w:rsidR="00E67FBE" w:rsidRPr="00553453">
        <w:rPr>
          <w:lang w:val="en-GB"/>
        </w:rPr>
        <w:t>проширување</w:t>
      </w:r>
      <w:r w:rsidRPr="00553453">
        <w:rPr>
          <w:lang w:val="en-GB"/>
        </w:rPr>
        <w:t>, во блиска соработка со економските и општествените партнери; ја потенцираат потребата земјите на Западен Балкан и на ЕУ да обезбедат ефективна употреба на ЕУ-програмите што поддржуваат конкурентност и што промовираат економски раст, како што се Хоризон 2020 и COSME за мали и средни претпријатија;</w:t>
      </w:r>
    </w:p>
    <w:p w14:paraId="68049CB3" w14:textId="77777777" w:rsidR="003B4D29" w:rsidRPr="00553453" w:rsidRDefault="003B4D29" w:rsidP="003B4D29">
      <w:pPr>
        <w:ind w:left="720"/>
        <w:rPr>
          <w:lang w:val="en-GB"/>
        </w:rPr>
      </w:pPr>
    </w:p>
    <w:p w14:paraId="13FC6455" w14:textId="37D199D9" w:rsidR="00245226" w:rsidRPr="00553453" w:rsidRDefault="0057432E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го охрабруваат економскиот и финансискиот дијалог помеѓу ЕУ и земјите на Западен Балкан и бараат поголема вклученост </w:t>
      </w:r>
      <w:r w:rsidR="00D80921" w:rsidRPr="00553453">
        <w:rPr>
          <w:lang w:val="en-GB"/>
        </w:rPr>
        <w:t>на</w:t>
      </w:r>
      <w:r w:rsidRPr="00553453">
        <w:rPr>
          <w:lang w:val="en-GB"/>
        </w:rPr>
        <w:t xml:space="preserve"> социјалните партнери и други ОГО во елаборирањето на програмите за економска реформа (ПЕР), како и заедничките заклучоци со конкретни препораки за секоја земја во регионот;</w:t>
      </w:r>
    </w:p>
    <w:p w14:paraId="54A1DA88" w14:textId="77777777" w:rsidR="000E5B1A" w:rsidRPr="00553453" w:rsidRDefault="000E5B1A" w:rsidP="000E5B1A">
      <w:pPr>
        <w:ind w:left="720"/>
        <w:rPr>
          <w:lang w:val="en-GB"/>
        </w:rPr>
      </w:pPr>
    </w:p>
    <w:p w14:paraId="60498273" w14:textId="4DD55423" w:rsidR="000E5B1A" w:rsidRPr="00553453" w:rsidRDefault="0057432E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ги повикуваат владите од регионот да инвестираат во комплементарни пристапи кон класичните економски политики </w:t>
      </w:r>
      <w:r w:rsidR="0024221F" w:rsidRPr="00553453">
        <w:rPr>
          <w:lang w:val="en-GB"/>
        </w:rPr>
        <w:t xml:space="preserve">- </w:t>
      </w:r>
      <w:r w:rsidRPr="00553453">
        <w:rPr>
          <w:lang w:val="en-GB"/>
        </w:rPr>
        <w:t>циркуларна економија, социјална економија, одржливи развојни цели (ОРЦ), вклучување</w:t>
      </w:r>
      <w:r w:rsidR="0024221F" w:rsidRPr="00553453">
        <w:rPr>
          <w:lang w:val="en-GB"/>
        </w:rPr>
        <w:t xml:space="preserve"> -</w:t>
      </w:r>
      <w:r w:rsidRPr="00553453">
        <w:rPr>
          <w:lang w:val="en-GB"/>
        </w:rPr>
        <w:t xml:space="preserve"> за да се зголем</w:t>
      </w:r>
      <w:r w:rsidR="00330AEE" w:rsidRPr="00553453">
        <w:rPr>
          <w:lang w:val="en-GB"/>
        </w:rPr>
        <w:t>ат</w:t>
      </w:r>
      <w:r w:rsidRPr="00553453">
        <w:rPr>
          <w:lang w:val="en-GB"/>
        </w:rPr>
        <w:t xml:space="preserve"> </w:t>
      </w:r>
      <w:r w:rsidR="008164D5" w:rsidRPr="00553453">
        <w:rPr>
          <w:lang w:val="en-GB"/>
        </w:rPr>
        <w:t>ц</w:t>
      </w:r>
      <w:r w:rsidR="00330AEE" w:rsidRPr="00553453">
        <w:rPr>
          <w:lang w:val="en-GB"/>
        </w:rPr>
        <w:t>елосни</w:t>
      </w:r>
      <w:r w:rsidR="00BD5FEC" w:rsidRPr="00553453">
        <w:rPr>
          <w:lang w:val="en-GB"/>
        </w:rPr>
        <w:t>от</w:t>
      </w:r>
      <w:r w:rsidRPr="00553453">
        <w:rPr>
          <w:lang w:val="en-GB"/>
        </w:rPr>
        <w:t xml:space="preserve"> пораст и вработување</w:t>
      </w:r>
      <w:r w:rsidR="00066545" w:rsidRPr="00553453">
        <w:rPr>
          <w:lang w:val="en-GB"/>
        </w:rPr>
        <w:t>то</w:t>
      </w:r>
      <w:r w:rsidRPr="00553453">
        <w:rPr>
          <w:lang w:val="en-GB"/>
        </w:rPr>
        <w:t>:</w:t>
      </w:r>
    </w:p>
    <w:p w14:paraId="7F1E56F5" w14:textId="77777777" w:rsidR="002D4004" w:rsidRPr="00553453" w:rsidRDefault="002D4004" w:rsidP="00675728">
      <w:pPr>
        <w:ind w:left="720"/>
        <w:rPr>
          <w:lang w:val="en-GB"/>
        </w:rPr>
      </w:pPr>
    </w:p>
    <w:p w14:paraId="49FAE565" w14:textId="101F2ACB" w:rsidR="00957A13" w:rsidRPr="00553453" w:rsidRDefault="00D76C8E" w:rsidP="00D76C8E">
      <w:pPr>
        <w:numPr>
          <w:ilvl w:val="0"/>
          <w:numId w:val="5"/>
        </w:numPr>
        <w:tabs>
          <w:tab w:val="clear" w:pos="720"/>
          <w:tab w:val="num" w:pos="851"/>
        </w:tabs>
        <w:ind w:left="567" w:hanging="578"/>
        <w:rPr>
          <w:lang w:val="en-GB"/>
        </w:rPr>
      </w:pPr>
      <w:r w:rsidRPr="00553453">
        <w:rPr>
          <w:lang w:val="en-GB"/>
        </w:rPr>
        <w:t>с</w:t>
      </w:r>
      <w:r w:rsidR="00E03EAD" w:rsidRPr="00553453">
        <w:rPr>
          <w:lang w:val="en-GB"/>
        </w:rPr>
        <w:t xml:space="preserve">метаат </w:t>
      </w:r>
      <w:r w:rsidRPr="00553453">
        <w:rPr>
          <w:lang w:val="en-GB"/>
        </w:rPr>
        <w:t xml:space="preserve">дека е </w:t>
      </w:r>
      <w:r w:rsidR="00E03EAD" w:rsidRPr="00553453">
        <w:rPr>
          <w:lang w:val="en-GB"/>
        </w:rPr>
        <w:t>многу важн</w:t>
      </w:r>
      <w:r w:rsidRPr="00553453">
        <w:rPr>
          <w:lang w:val="en-GB"/>
        </w:rPr>
        <w:t>о</w:t>
      </w:r>
      <w:r w:rsidR="00E03EAD" w:rsidRPr="00553453">
        <w:rPr>
          <w:lang w:val="en-GB"/>
        </w:rPr>
        <w:t xml:space="preserve"> засилувањето на социјалниот и граѓанскиот дијалог во земјите на Западен Балкан и ја охрабруваат Комисијата понатаму да</w:t>
      </w:r>
      <w:r w:rsidR="0025632C" w:rsidRPr="00553453">
        <w:rPr>
          <w:lang w:val="en-GB"/>
        </w:rPr>
        <w:t xml:space="preserve"> го</w:t>
      </w:r>
      <w:r w:rsidR="00E3452C" w:rsidRPr="00553453">
        <w:rPr>
          <w:lang w:val="en-GB"/>
        </w:rPr>
        <w:t xml:space="preserve"> олеснува</w:t>
      </w:r>
      <w:r w:rsidR="00E03EAD" w:rsidRPr="00553453">
        <w:rPr>
          <w:lang w:val="en-GB"/>
        </w:rPr>
        <w:t xml:space="preserve"> пристапот на социјалните партнери и другите организации на граѓанското општество до Инструментот за претпристапна помош (ИПА);</w:t>
      </w:r>
    </w:p>
    <w:p w14:paraId="393F3F37" w14:textId="77777777" w:rsidR="003B4D29" w:rsidRPr="00553453" w:rsidRDefault="003B4D29" w:rsidP="003B4D29">
      <w:pPr>
        <w:ind w:left="720"/>
        <w:rPr>
          <w:lang w:val="en-GB"/>
        </w:rPr>
      </w:pPr>
    </w:p>
    <w:p w14:paraId="4A68ED8F" w14:textId="0D91B514" w:rsidR="00506A5D" w:rsidRPr="00553453" w:rsidRDefault="003B4D29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се потсетија дека социјалниот и граѓанскиот дијалог се клучни за економскиот и социјалниот развој на земјите од Западен Балкан и на ЕУ; повикуваат на рано вклучување на социјалните партнери и другите ОГО во подготвувањето на нацрт-законите и во редовните консултации со економските и социјалните совети во врска со новите законски предлози;</w:t>
      </w:r>
    </w:p>
    <w:p w14:paraId="366E52DA" w14:textId="77777777" w:rsidR="00506A5D" w:rsidRPr="00553453" w:rsidRDefault="00506A5D" w:rsidP="00D20A0A">
      <w:pPr>
        <w:pStyle w:val="ListParagraph"/>
        <w:rPr>
          <w:lang w:val="en-GB"/>
        </w:rPr>
      </w:pPr>
    </w:p>
    <w:p w14:paraId="416D4F1C" w14:textId="3A5DEF8D" w:rsidR="003B4D29" w:rsidRPr="00553453" w:rsidRDefault="00506A5D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ги охрабруваат </w:t>
      </w:r>
      <w:r w:rsidR="00D14A47" w:rsidRPr="00553453">
        <w:rPr>
          <w:lang w:val="en-GB"/>
        </w:rPr>
        <w:t>општествените</w:t>
      </w:r>
      <w:r w:rsidRPr="00553453">
        <w:rPr>
          <w:lang w:val="en-GB"/>
        </w:rPr>
        <w:t xml:space="preserve"> </w:t>
      </w:r>
      <w:r w:rsidR="00D14A47" w:rsidRPr="00553453">
        <w:rPr>
          <w:lang w:val="en-GB"/>
        </w:rPr>
        <w:t>партнери</w:t>
      </w:r>
      <w:r w:rsidRPr="00553453">
        <w:rPr>
          <w:lang w:val="en-GB"/>
        </w:rPr>
        <w:t xml:space="preserve"> од земјите на Западен Балкан да ги продлабочат и своите односи на регионално ниво; </w:t>
      </w:r>
    </w:p>
    <w:p w14:paraId="1980BDD1" w14:textId="77777777" w:rsidR="003B4D29" w:rsidRPr="00553453" w:rsidRDefault="003B4D29" w:rsidP="003B4D29">
      <w:pPr>
        <w:ind w:left="720"/>
        <w:rPr>
          <w:lang w:val="en-GB"/>
        </w:rPr>
      </w:pPr>
    </w:p>
    <w:p w14:paraId="7AFEA9D4" w14:textId="0C66C3F8" w:rsidR="00AE6A6D" w:rsidRPr="00553453" w:rsidRDefault="00E03EAD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бараат владите да работат во согласност со законите за труд и да ја гарантираат нивната усогласеност, како и да го подобруваат трипартитниот </w:t>
      </w:r>
      <w:r w:rsidR="004059DD" w:rsidRPr="00553453">
        <w:rPr>
          <w:lang w:val="en-GB"/>
        </w:rPr>
        <w:t>општествен</w:t>
      </w:r>
      <w:r w:rsidRPr="00553453">
        <w:rPr>
          <w:lang w:val="en-GB"/>
        </w:rPr>
        <w:t xml:space="preserve"> дијалог; нагласуваат дека ефективноста на дијалогот е ослабена поради лошото финансиско работење и нискиот пораст, што ги стави партиите во дефанзивни позиции; нагласуваат дека за социјална кохезија се потребни економски политика и мерки што го помагаат вработувањето и ја </w:t>
      </w:r>
      <w:r w:rsidR="00D14A47" w:rsidRPr="00553453">
        <w:rPr>
          <w:lang w:val="en-GB"/>
        </w:rPr>
        <w:t>обезбедуваат</w:t>
      </w:r>
      <w:r w:rsidRPr="00553453">
        <w:rPr>
          <w:lang w:val="en-GB"/>
        </w:rPr>
        <w:t xml:space="preserve"> одржливоста на мрежите за социјална заштита.</w:t>
      </w:r>
    </w:p>
    <w:p w14:paraId="16C61EFB" w14:textId="77777777" w:rsidR="00431282" w:rsidRPr="00553453" w:rsidRDefault="00431282" w:rsidP="00BC4631">
      <w:pPr>
        <w:rPr>
          <w:i/>
          <w:lang w:val="en-GB"/>
        </w:rPr>
      </w:pPr>
    </w:p>
    <w:p w14:paraId="499F4B7D" w14:textId="09C8B193" w:rsidR="00BC4631" w:rsidRPr="00553453" w:rsidRDefault="002210F7" w:rsidP="00300E75">
      <w:pPr>
        <w:keepNext/>
        <w:rPr>
          <w:lang w:val="en-GB"/>
        </w:rPr>
      </w:pPr>
      <w:r w:rsidRPr="00553453">
        <w:rPr>
          <w:i/>
          <w:lang w:val="en-GB"/>
        </w:rPr>
        <w:t>Во врска</w:t>
      </w:r>
      <w:r w:rsidR="00BC4631" w:rsidRPr="00553453">
        <w:rPr>
          <w:i/>
          <w:lang w:val="en-GB"/>
        </w:rPr>
        <w:t xml:space="preserve"> со темата „Улогата на граѓанското општество за миграцијата во земјите на Западен Балкан:</w:t>
      </w:r>
    </w:p>
    <w:p w14:paraId="7F1FDF1C" w14:textId="77777777" w:rsidR="00BC4631" w:rsidRPr="00553453" w:rsidRDefault="00BC4631" w:rsidP="00300E75">
      <w:pPr>
        <w:keepNext/>
        <w:rPr>
          <w:lang w:val="en-GB"/>
        </w:rPr>
      </w:pPr>
    </w:p>
    <w:p w14:paraId="04BF3A2C" w14:textId="77777777" w:rsidR="00BC4631" w:rsidRPr="00553453" w:rsidRDefault="00BC4631" w:rsidP="00300E75">
      <w:pPr>
        <w:keepNext/>
        <w:rPr>
          <w:lang w:val="en-GB"/>
        </w:rPr>
      </w:pPr>
      <w:r w:rsidRPr="00553453">
        <w:rPr>
          <w:lang w:val="en-GB"/>
        </w:rPr>
        <w:t>Учесниците:</w:t>
      </w:r>
    </w:p>
    <w:p w14:paraId="37276D59" w14:textId="77777777" w:rsidR="00957A13" w:rsidRPr="00553453" w:rsidRDefault="00957A13" w:rsidP="00300E75">
      <w:pPr>
        <w:keepNext/>
        <w:rPr>
          <w:lang w:val="en-GB"/>
        </w:rPr>
      </w:pPr>
    </w:p>
    <w:p w14:paraId="7E9AAE1E" w14:textId="6BF4C91C" w:rsidR="003B4D29" w:rsidRPr="00553453" w:rsidRDefault="0057432E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 xml:space="preserve">ги одобруваат значителните напори и ресурси што некои земји од регионот ги вложиле за решавање на бегалската криза и за давање на потребната помош и заштита на илјадници бегалци што минуваат и/или остануваат на нивната територија, во согласност со Женевската конвенција; </w:t>
      </w:r>
    </w:p>
    <w:p w14:paraId="0F16BD59" w14:textId="77777777" w:rsidR="003B4D29" w:rsidRPr="00553453" w:rsidRDefault="003B4D29" w:rsidP="003B4D29">
      <w:pPr>
        <w:ind w:left="720"/>
        <w:rPr>
          <w:lang w:val="en-GB"/>
        </w:rPr>
      </w:pPr>
    </w:p>
    <w:p w14:paraId="766AA9F7" w14:textId="0ADBDA78" w:rsidR="003B4D29" w:rsidRPr="00553453" w:rsidRDefault="0057432E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lastRenderedPageBreak/>
        <w:t>нагласуваат дека земјите на Западен Балкан треба да усвојат законодавство и за азил и за миграција што ќе обезбедат одржлив систем</w:t>
      </w:r>
      <w:r w:rsidR="001644AF" w:rsidRPr="00553453">
        <w:rPr>
          <w:lang w:val="en-GB"/>
        </w:rPr>
        <w:t xml:space="preserve"> за азил</w:t>
      </w:r>
      <w:r w:rsidRPr="00553453">
        <w:rPr>
          <w:lang w:val="en-GB"/>
        </w:rPr>
        <w:t xml:space="preserve"> и ефикасни постапки за регистрирање, заштита, интегрирање и повторно примање на мигрантите;</w:t>
      </w:r>
    </w:p>
    <w:p w14:paraId="75075021" w14:textId="77777777" w:rsidR="003B4D29" w:rsidRPr="00553453" w:rsidRDefault="003B4D29" w:rsidP="003B4D29">
      <w:pPr>
        <w:ind w:left="720"/>
        <w:rPr>
          <w:lang w:val="en-GB"/>
        </w:rPr>
      </w:pPr>
    </w:p>
    <w:p w14:paraId="3499F54E" w14:textId="579F4276" w:rsidR="003B4D29" w:rsidRPr="00553453" w:rsidRDefault="0057432E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>ја ценат важната улога што ја има граѓанското општество во бегалската криза, особено кога станува збор за давање хуманитарна помош и психосоцијална поддршка; нагласуваат дека соработката и координацијата меѓу ОГО и со владите може уште да се подобри;</w:t>
      </w:r>
    </w:p>
    <w:p w14:paraId="116479CB" w14:textId="77777777" w:rsidR="000304AA" w:rsidRPr="00553453" w:rsidRDefault="000304AA" w:rsidP="000304AA">
      <w:pPr>
        <w:ind w:left="720"/>
        <w:rPr>
          <w:lang w:val="en-GB"/>
        </w:rPr>
      </w:pPr>
    </w:p>
    <w:p w14:paraId="56A12D06" w14:textId="68A3CCEC" w:rsidR="000304AA" w:rsidRPr="00553453" w:rsidRDefault="0057432E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 xml:space="preserve">ја нагласуваат важноста од регионална </w:t>
      </w:r>
      <w:r w:rsidR="00D14A47" w:rsidRPr="00553453">
        <w:rPr>
          <w:lang w:val="en-GB"/>
        </w:rPr>
        <w:t>соработка</w:t>
      </w:r>
      <w:r w:rsidRPr="00553453">
        <w:rPr>
          <w:lang w:val="en-GB"/>
        </w:rPr>
        <w:t xml:space="preserve"> помеѓу ОГО специјализирани за мигранти и бегалци за да разменуваат најдобри практики во нивните конкретни специјалистички области и за да се борат против ксенофобијата; потенцираат дека ОГО од земјите на Западен Балкан треба да се повикаат да учествуваат во дебатите за бегалците и миграцијата што се одржуваат на ЕУ-ниво;</w:t>
      </w:r>
    </w:p>
    <w:p w14:paraId="00491594" w14:textId="77777777" w:rsidR="003B4D29" w:rsidRPr="00553453" w:rsidRDefault="003B4D29" w:rsidP="003B4D29">
      <w:pPr>
        <w:ind w:left="720"/>
        <w:rPr>
          <w:lang w:val="en-GB"/>
        </w:rPr>
      </w:pPr>
    </w:p>
    <w:p w14:paraId="0ECD6C71" w14:textId="4D53D690" w:rsidR="00431282" w:rsidRPr="00553453" w:rsidRDefault="00310CC3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>ги охрабруваат политичките власти да ги вклучуваат ОГО, вклучувајќи ги и општествените партнери, во осмислувањето одржлива долгорочна политика за интегрирање, покривање на препознавањето и одобрувањето на вештините, образ</w:t>
      </w:r>
      <w:r w:rsidR="00617898" w:rsidRPr="00553453">
        <w:rPr>
          <w:lang w:val="en-GB"/>
        </w:rPr>
        <w:t>о</w:t>
      </w:r>
      <w:r w:rsidRPr="00553453">
        <w:rPr>
          <w:lang w:val="en-GB"/>
        </w:rPr>
        <w:t xml:space="preserve">вање и обучување, вклучувајќи граѓанско образование, јазични курсеви и пристап на пазарот на трудот, </w:t>
      </w:r>
      <w:r w:rsidR="003E4E41" w:rsidRPr="00553453">
        <w:rPr>
          <w:lang w:val="en-GB"/>
        </w:rPr>
        <w:t xml:space="preserve">како </w:t>
      </w:r>
      <w:r w:rsidRPr="00553453">
        <w:rPr>
          <w:lang w:val="en-GB"/>
        </w:rPr>
        <w:t xml:space="preserve">и да се започне со тоа што е можно порано, ако се очекува позитивен </w:t>
      </w:r>
      <w:r w:rsidR="00617898" w:rsidRPr="00553453">
        <w:rPr>
          <w:lang w:val="en-GB"/>
        </w:rPr>
        <w:t>исход</w:t>
      </w:r>
      <w:r w:rsidRPr="00553453">
        <w:rPr>
          <w:lang w:val="en-GB"/>
        </w:rPr>
        <w:t xml:space="preserve"> од постапката за азил;</w:t>
      </w:r>
    </w:p>
    <w:p w14:paraId="79C5DBD4" w14:textId="77777777" w:rsidR="0031750F" w:rsidRPr="00553453" w:rsidRDefault="0031750F" w:rsidP="0031750F">
      <w:pPr>
        <w:ind w:left="720"/>
        <w:rPr>
          <w:lang w:val="en-GB"/>
        </w:rPr>
      </w:pPr>
    </w:p>
    <w:p w14:paraId="368F45BD" w14:textId="0EBECCE5" w:rsidR="0031750F" w:rsidRPr="00553453" w:rsidRDefault="00310CC3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>потенцираат дека владите треба да развиваат стратегии за информирање наменети особено за младите луѓе, кои би им дале информации за миграционата политика на ЕУ и за последиците од непрописна миграција; ја нагласуваат потребата владите да направат договори за соработка со земјите членки на ЕУ во врска со можностите за сезонско вработување, како и од инвестирање во програмите за професионално образование и обуки по средното образование, особено за младите;</w:t>
      </w:r>
    </w:p>
    <w:p w14:paraId="31733AF4" w14:textId="77777777" w:rsidR="002D6D38" w:rsidRPr="00553453" w:rsidRDefault="002D6D38" w:rsidP="002D6D38">
      <w:pPr>
        <w:ind w:left="720"/>
        <w:rPr>
          <w:lang w:val="en-GB"/>
        </w:rPr>
      </w:pPr>
    </w:p>
    <w:p w14:paraId="2CA96D92" w14:textId="48C7241D" w:rsidR="002D6D38" w:rsidRPr="00553453" w:rsidRDefault="002D6D38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 xml:space="preserve">ја нагласуваат специфичноста на западнобалканскиот регион во смисла на депопулација како резултат на внатререгионална миграција и емиграција, особено на младите лица, во ЕУ, која има значително влијание врз демографијата и општеството на овие земји, како и на нивниот социоекономски релјеф и перспективи; </w:t>
      </w:r>
    </w:p>
    <w:p w14:paraId="7ADD4617" w14:textId="77777777" w:rsidR="002D6D38" w:rsidRPr="00553453" w:rsidRDefault="002D6D38" w:rsidP="002D6D38">
      <w:pPr>
        <w:ind w:left="720"/>
        <w:rPr>
          <w:lang w:val="en-GB"/>
        </w:rPr>
      </w:pPr>
    </w:p>
    <w:p w14:paraId="15D6C835" w14:textId="767D23DA" w:rsidR="003B4D29" w:rsidRPr="00553453" w:rsidRDefault="00310CC3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>особено го потенцираат значењето на руралната депопулација во земјите на Западен Балкан каде што сè повеќе луѓе се движат кон градовите за да најдат вработување и придобивки од посоодветни</w:t>
      </w:r>
      <w:r w:rsidR="00E5790A" w:rsidRPr="00553453">
        <w:rPr>
          <w:lang w:val="en-GB"/>
        </w:rPr>
        <w:t xml:space="preserve"> здравствени</w:t>
      </w:r>
      <w:r w:rsidRPr="00553453">
        <w:rPr>
          <w:lang w:val="en-GB"/>
        </w:rPr>
        <w:t xml:space="preserve"> и образовни институции; нагласуваат дека владите треба да му даваат приоритет на развојот на руралните средини и создавањето можности за вработување; особено за младите што живеат во овие области;</w:t>
      </w:r>
    </w:p>
    <w:p w14:paraId="6BCB69A6" w14:textId="77777777" w:rsidR="0032100A" w:rsidRPr="00553453" w:rsidRDefault="0032100A" w:rsidP="0032100A">
      <w:pPr>
        <w:ind w:left="720"/>
        <w:rPr>
          <w:lang w:val="en-GB"/>
        </w:rPr>
      </w:pPr>
    </w:p>
    <w:p w14:paraId="75A101AF" w14:textId="77777777" w:rsidR="0032100A" w:rsidRPr="00553453" w:rsidRDefault="00310CC3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>ја нагласуваат потребата од подобро собирање на релевантните статистички податоци во однос на миграцијата за да се подобри следењето и оценувањето на оваа област;</w:t>
      </w:r>
    </w:p>
    <w:p w14:paraId="3CCA847F" w14:textId="77777777" w:rsidR="003B4D29" w:rsidRPr="00553453" w:rsidRDefault="003B4D29" w:rsidP="003B4D29">
      <w:pPr>
        <w:ind w:left="720"/>
        <w:rPr>
          <w:lang w:val="en-GB"/>
        </w:rPr>
      </w:pPr>
    </w:p>
    <w:p w14:paraId="4049C198" w14:textId="4FCC654D" w:rsidR="00431282" w:rsidRPr="00553453" w:rsidRDefault="00E03EAD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proofErr w:type="gramStart"/>
      <w:r w:rsidRPr="00553453">
        <w:rPr>
          <w:lang w:val="en-GB"/>
        </w:rPr>
        <w:t>бараат</w:t>
      </w:r>
      <w:proofErr w:type="gramEnd"/>
      <w:r w:rsidRPr="00553453">
        <w:rPr>
          <w:lang w:val="en-GB"/>
        </w:rPr>
        <w:t xml:space="preserve"> Комисијата да </w:t>
      </w:r>
      <w:r w:rsidR="009C75C7" w:rsidRPr="00553453">
        <w:rPr>
          <w:lang w:val="en-GB"/>
        </w:rPr>
        <w:t xml:space="preserve">го </w:t>
      </w:r>
      <w:r w:rsidRPr="00553453">
        <w:rPr>
          <w:lang w:val="en-GB"/>
        </w:rPr>
        <w:t>поедностави пристапот до Претпристапниот инструмент за рурален развој (</w:t>
      </w:r>
      <w:r w:rsidR="00CF6BC9" w:rsidRPr="00553453">
        <w:rPr>
          <w:lang w:val="en-GB"/>
        </w:rPr>
        <w:t>ИПАРД</w:t>
      </w:r>
      <w:r w:rsidRPr="00553453">
        <w:rPr>
          <w:lang w:val="en-GB"/>
        </w:rPr>
        <w:t>) кој останува главен извор на финансиска помош за руралните делови на Западен Балкан.</w:t>
      </w:r>
    </w:p>
    <w:p w14:paraId="6894CCAB" w14:textId="77777777" w:rsidR="00431282" w:rsidRPr="00553453" w:rsidRDefault="00431282" w:rsidP="00431282">
      <w:pPr>
        <w:rPr>
          <w:i/>
          <w:lang w:val="en-GB"/>
        </w:rPr>
      </w:pPr>
    </w:p>
    <w:p w14:paraId="2F7C9DE7" w14:textId="77777777" w:rsidR="00431282" w:rsidRPr="00553453" w:rsidRDefault="00431282" w:rsidP="00300E75">
      <w:pPr>
        <w:keepNext/>
        <w:rPr>
          <w:lang w:val="en-GB"/>
        </w:rPr>
      </w:pPr>
      <w:r w:rsidRPr="00553453">
        <w:rPr>
          <w:i/>
          <w:lang w:val="en-GB"/>
        </w:rPr>
        <w:t>Во врска со темата „Слободата на изразување и на медиумите во земјите на Западен Балкан“:</w:t>
      </w:r>
    </w:p>
    <w:p w14:paraId="5AC28254" w14:textId="77777777" w:rsidR="00431282" w:rsidRPr="00553453" w:rsidRDefault="00431282" w:rsidP="00300E75">
      <w:pPr>
        <w:keepNext/>
        <w:rPr>
          <w:lang w:val="en-GB"/>
        </w:rPr>
      </w:pPr>
    </w:p>
    <w:p w14:paraId="730EC16E" w14:textId="77777777" w:rsidR="00431282" w:rsidRPr="00553453" w:rsidRDefault="00431282" w:rsidP="00300E75">
      <w:pPr>
        <w:keepNext/>
        <w:rPr>
          <w:lang w:val="en-GB"/>
        </w:rPr>
      </w:pPr>
      <w:r w:rsidRPr="00553453">
        <w:rPr>
          <w:lang w:val="en-GB"/>
        </w:rPr>
        <w:t>Учесниците:</w:t>
      </w:r>
    </w:p>
    <w:p w14:paraId="181F8EE7" w14:textId="77777777" w:rsidR="00431282" w:rsidRPr="00553453" w:rsidRDefault="00431282" w:rsidP="00300E75">
      <w:pPr>
        <w:keepNext/>
        <w:rPr>
          <w:lang w:val="en-GB"/>
        </w:rPr>
      </w:pPr>
    </w:p>
    <w:p w14:paraId="0DB9E3A7" w14:textId="05ED2E7B" w:rsidR="00957A13" w:rsidRPr="00553453" w:rsidRDefault="00C25A17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 xml:space="preserve">нагласуваат дека слободата на изразување и слободните медиуми се предуслови за воспоставување на </w:t>
      </w:r>
      <w:r w:rsidR="00617898" w:rsidRPr="00553453">
        <w:rPr>
          <w:lang w:val="en-GB"/>
        </w:rPr>
        <w:t>с</w:t>
      </w:r>
      <w:r w:rsidR="00ED2468" w:rsidRPr="00553453">
        <w:rPr>
          <w:lang w:val="en-GB"/>
        </w:rPr>
        <w:t>табилни</w:t>
      </w:r>
      <w:r w:rsidRPr="00553453">
        <w:rPr>
          <w:lang w:val="en-GB"/>
        </w:rPr>
        <w:t xml:space="preserve"> демократии и предуслов за развивање на живо граѓанско општество; потенцираат дека граѓанското општество мора да биде гласно и да биде прво во </w:t>
      </w:r>
      <w:r w:rsidR="00617898" w:rsidRPr="00553453">
        <w:rPr>
          <w:lang w:val="en-GB"/>
        </w:rPr>
        <w:t>разобличувањето</w:t>
      </w:r>
      <w:r w:rsidRPr="00553453">
        <w:rPr>
          <w:lang w:val="en-GB"/>
        </w:rPr>
        <w:t xml:space="preserve"> на негативните случувања во регионот во однос на слободата на изразување, како што е политичкиот притисок врз медиумите; </w:t>
      </w:r>
    </w:p>
    <w:p w14:paraId="2F5F25D5" w14:textId="77777777" w:rsidR="00BF19EB" w:rsidRPr="00553453" w:rsidRDefault="00BF19EB" w:rsidP="00BF19EB">
      <w:pPr>
        <w:ind w:left="720"/>
        <w:rPr>
          <w:lang w:val="en-GB"/>
        </w:rPr>
      </w:pPr>
    </w:p>
    <w:p w14:paraId="703B1DA4" w14:textId="50A1138D" w:rsidR="00BF19EB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предупредуваат дека се применува директен и индиректен притисок врз медиумите, вклучувајќи сè почести напади, кампањи за окалување, оцрнување на истражувачките медиуми, кривични дела од омраза и оклеветувачки процеси против новинарите; потенцираат дека владите треба да ги осудуваат и да реагираат на сите насилни напади;</w:t>
      </w:r>
    </w:p>
    <w:p w14:paraId="26ECFE70" w14:textId="77777777" w:rsidR="00826124" w:rsidRPr="00553453" w:rsidRDefault="00826124" w:rsidP="00826124">
      <w:pPr>
        <w:ind w:left="720"/>
        <w:rPr>
          <w:lang w:val="en-GB"/>
        </w:rPr>
      </w:pPr>
    </w:p>
    <w:p w14:paraId="6CE9CAB4" w14:textId="1FBD351C" w:rsidR="00511E00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нагласуваат дека независноста на јавните радиодифузери (Ј</w:t>
      </w:r>
      <w:r w:rsidR="001853D6" w:rsidRPr="00553453">
        <w:rPr>
          <w:lang w:val="en-GB"/>
        </w:rPr>
        <w:t>Р</w:t>
      </w:r>
      <w:r w:rsidRPr="00553453">
        <w:rPr>
          <w:lang w:val="en-GB"/>
        </w:rPr>
        <w:t>) треба да се зајакне, а да се сопрат нетранспарентните финансиска зависност и сопственост на медиумите, претераниот удел на државната помош и/или државното рекламирање во финансирањето на медиумите</w:t>
      </w:r>
      <w:r w:rsidR="007C49E5" w:rsidRPr="00553453">
        <w:rPr>
          <w:lang w:val="en-GB"/>
        </w:rPr>
        <w:t>, како</w:t>
      </w:r>
      <w:r w:rsidRPr="00553453">
        <w:rPr>
          <w:lang w:val="en-GB"/>
        </w:rPr>
        <w:t xml:space="preserve"> и нејзиното произволно дистрибуирање;</w:t>
      </w:r>
    </w:p>
    <w:p w14:paraId="6012482F" w14:textId="77777777" w:rsidR="00511E00" w:rsidRPr="00553453" w:rsidRDefault="00511E00" w:rsidP="00511E00">
      <w:pPr>
        <w:ind w:left="720"/>
        <w:rPr>
          <w:lang w:val="en-GB"/>
        </w:rPr>
      </w:pPr>
    </w:p>
    <w:p w14:paraId="38682963" w14:textId="4202BB35" w:rsidR="00031773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ја нагласуваат важната улога на медиумите во спречувањето и решавање</w:t>
      </w:r>
      <w:r w:rsidR="00F21E76" w:rsidRPr="00553453">
        <w:rPr>
          <w:lang w:val="en-GB"/>
        </w:rPr>
        <w:t>то</w:t>
      </w:r>
      <w:r w:rsidRPr="00553453">
        <w:rPr>
          <w:lang w:val="en-GB"/>
        </w:rPr>
        <w:t xml:space="preserve"> на конфликтите и акцентираат дека јавните радиодифузери треба да бидат први во промовирањето толеранција, разбирање и взаемно почитување, како и конструктивно помагање на мирот во општеството;</w:t>
      </w:r>
    </w:p>
    <w:p w14:paraId="0F088D8A" w14:textId="77777777" w:rsidR="00D405C9" w:rsidRPr="00553453" w:rsidRDefault="00D405C9" w:rsidP="00131BC0">
      <w:pPr>
        <w:pStyle w:val="ListParagraph"/>
        <w:rPr>
          <w:lang w:val="en-GB"/>
        </w:rPr>
      </w:pPr>
    </w:p>
    <w:p w14:paraId="562AA10D" w14:textId="211C8718" w:rsidR="00D405C9" w:rsidRPr="00553453" w:rsidRDefault="00D405C9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ја нагласуваат важната улога на истражувачкото новинарство во </w:t>
      </w:r>
      <w:r w:rsidR="00617898" w:rsidRPr="00553453">
        <w:rPr>
          <w:lang w:val="en-GB"/>
        </w:rPr>
        <w:t>борбата</w:t>
      </w:r>
      <w:r w:rsidRPr="00553453">
        <w:rPr>
          <w:lang w:val="en-GB"/>
        </w:rPr>
        <w:t xml:space="preserve"> против корупцијата;</w:t>
      </w:r>
    </w:p>
    <w:p w14:paraId="3C715939" w14:textId="77777777" w:rsidR="005510FA" w:rsidRPr="00553453" w:rsidRDefault="005510FA" w:rsidP="00D20A0A">
      <w:pPr>
        <w:pStyle w:val="ListParagraph"/>
        <w:rPr>
          <w:lang w:val="en-GB"/>
        </w:rPr>
      </w:pPr>
    </w:p>
    <w:p w14:paraId="6378AFF4" w14:textId="585CAE4A" w:rsidR="005510FA" w:rsidRPr="00553453" w:rsidRDefault="005510FA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сметаат дека сите новинари и уредници, како и сопственици на медиуми, треба да ги почитуваат постојните домашни и меѓународни стандарди и </w:t>
      </w:r>
      <w:r w:rsidR="00617898" w:rsidRPr="00553453">
        <w:rPr>
          <w:lang w:val="en-GB"/>
        </w:rPr>
        <w:t>новинарски</w:t>
      </w:r>
      <w:r w:rsidRPr="00553453">
        <w:rPr>
          <w:lang w:val="en-GB"/>
        </w:rPr>
        <w:t xml:space="preserve"> етички кодекси; </w:t>
      </w:r>
    </w:p>
    <w:p w14:paraId="28031216" w14:textId="77777777" w:rsidR="0004068D" w:rsidRPr="00553453" w:rsidRDefault="0004068D" w:rsidP="0004068D">
      <w:pPr>
        <w:ind w:left="720"/>
        <w:rPr>
          <w:lang w:val="en-GB"/>
        </w:rPr>
      </w:pPr>
    </w:p>
    <w:p w14:paraId="18D9A5CB" w14:textId="78EEE041" w:rsidR="0004068D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нагласуваат дека лошата социјална заштита и работните услови за новинарите претставуваат директна </w:t>
      </w:r>
      <w:r w:rsidR="00617898" w:rsidRPr="00553453">
        <w:rPr>
          <w:lang w:val="en-GB"/>
        </w:rPr>
        <w:t>ф</w:t>
      </w:r>
      <w:r w:rsidRPr="00553453">
        <w:rPr>
          <w:lang w:val="en-GB"/>
        </w:rPr>
        <w:t xml:space="preserve">орма на притисок која </w:t>
      </w:r>
      <w:r w:rsidR="00A23555" w:rsidRPr="00553453">
        <w:rPr>
          <w:lang w:val="en-GB"/>
        </w:rPr>
        <w:t>ја</w:t>
      </w:r>
      <w:r w:rsidRPr="00553453">
        <w:rPr>
          <w:lang w:val="en-GB"/>
        </w:rPr>
        <w:t xml:space="preserve"> засилува </w:t>
      </w:r>
      <w:r w:rsidR="00A23555" w:rsidRPr="00553453">
        <w:rPr>
          <w:lang w:val="en-GB"/>
        </w:rPr>
        <w:t>само</w:t>
      </w:r>
      <w:r w:rsidRPr="00553453">
        <w:rPr>
          <w:lang w:val="en-GB"/>
        </w:rPr>
        <w:t>ценз</w:t>
      </w:r>
      <w:r w:rsidR="00A23555" w:rsidRPr="00553453">
        <w:rPr>
          <w:lang w:val="en-GB"/>
        </w:rPr>
        <w:t>урата</w:t>
      </w:r>
      <w:r w:rsidRPr="00553453">
        <w:rPr>
          <w:lang w:val="en-GB"/>
        </w:rPr>
        <w:t>, спречува независно, квалитетно новинарство и наместо тоа фаворизира „таблоидизација“; инсистира дека новинарската унија и законите за труд се клучни во решавањето на овие проблеми; бараат од властите и од ЕУ-институциите да ги зајакнат капацитетите на здруженијата и синдикатите на професионал</w:t>
      </w:r>
      <w:r w:rsidR="00D1472E" w:rsidRPr="00553453">
        <w:rPr>
          <w:lang w:val="en-GB"/>
        </w:rPr>
        <w:t>н</w:t>
      </w:r>
      <w:r w:rsidRPr="00553453">
        <w:rPr>
          <w:lang w:val="en-GB"/>
        </w:rPr>
        <w:t>ите новинар</w:t>
      </w:r>
      <w:r w:rsidR="00D1472E" w:rsidRPr="00553453">
        <w:rPr>
          <w:lang w:val="en-GB"/>
        </w:rPr>
        <w:t>и</w:t>
      </w:r>
      <w:r w:rsidRPr="00553453">
        <w:rPr>
          <w:lang w:val="en-GB"/>
        </w:rPr>
        <w:t>, како и на саморегулаторните тела;</w:t>
      </w:r>
    </w:p>
    <w:p w14:paraId="70BA2161" w14:textId="77777777" w:rsidR="006F24FF" w:rsidRPr="00553453" w:rsidRDefault="006F24FF" w:rsidP="006F24FF">
      <w:pPr>
        <w:ind w:left="720"/>
        <w:rPr>
          <w:lang w:val="en-GB"/>
        </w:rPr>
      </w:pPr>
    </w:p>
    <w:p w14:paraId="2F9F6EC4" w14:textId="67C975C0" w:rsidR="006F24FF" w:rsidRPr="00553453" w:rsidRDefault="006F24FF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color w:val="000000"/>
          <w:lang w:val="en-GB"/>
        </w:rPr>
        <w:t>потенцираат дека народните правобранители може значително да придонесат ако работат на фундаменталните права, вклучувајќи ја слободата на изразување и на медиумите;</w:t>
      </w:r>
    </w:p>
    <w:p w14:paraId="126917AB" w14:textId="77777777" w:rsidR="009947B8" w:rsidRPr="00553453" w:rsidRDefault="009947B8" w:rsidP="009947B8">
      <w:pPr>
        <w:ind w:left="720"/>
        <w:rPr>
          <w:lang w:val="en-GB"/>
        </w:rPr>
      </w:pPr>
    </w:p>
    <w:p w14:paraId="64BDB304" w14:textId="65F41F11" w:rsidR="009947B8" w:rsidRPr="00553453" w:rsidRDefault="009947B8" w:rsidP="00300E75">
      <w:pPr>
        <w:numPr>
          <w:ilvl w:val="0"/>
          <w:numId w:val="5"/>
        </w:numPr>
        <w:ind w:left="567" w:hanging="567"/>
        <w:rPr>
          <w:lang w:val="en-GB"/>
        </w:rPr>
      </w:pPr>
      <w:proofErr w:type="gramStart"/>
      <w:r w:rsidRPr="00553453">
        <w:rPr>
          <w:lang w:val="en-GB"/>
        </w:rPr>
        <w:lastRenderedPageBreak/>
        <w:t>уште</w:t>
      </w:r>
      <w:proofErr w:type="gramEnd"/>
      <w:r w:rsidRPr="00553453">
        <w:rPr>
          <w:lang w:val="en-GB"/>
        </w:rPr>
        <w:t xml:space="preserve"> еднаш ја замолуваат Комисијата значително да ја зголеми финансиската поддршка, вклучувајќи проекти од Средствата за граѓанско општество со кои се подржува професионалноста и независноста на медиумите, како и активности</w:t>
      </w:r>
      <w:r w:rsidR="00C5397E" w:rsidRPr="00553453">
        <w:rPr>
          <w:lang w:val="en-GB"/>
        </w:rPr>
        <w:t>те за поврзување</w:t>
      </w:r>
      <w:r w:rsidRPr="00553453">
        <w:rPr>
          <w:lang w:val="en-GB"/>
        </w:rPr>
        <w:t>.</w:t>
      </w:r>
    </w:p>
    <w:p w14:paraId="5C898D9F" w14:textId="77777777" w:rsidR="00EF0079" w:rsidRPr="00553453" w:rsidRDefault="00EF0079" w:rsidP="00675728">
      <w:pPr>
        <w:ind w:left="720"/>
        <w:rPr>
          <w:lang w:val="en-GB"/>
        </w:rPr>
      </w:pPr>
    </w:p>
    <w:p w14:paraId="240AFF8E" w14:textId="77777777" w:rsidR="00160087" w:rsidRPr="00553453" w:rsidRDefault="006C16CE" w:rsidP="00300E75">
      <w:pPr>
        <w:keepNext/>
        <w:rPr>
          <w:i/>
          <w:lang w:val="en-GB"/>
        </w:rPr>
      </w:pPr>
      <w:r w:rsidRPr="00553453">
        <w:rPr>
          <w:i/>
          <w:lang w:val="en-GB"/>
        </w:rPr>
        <w:t>Во врска со темата „Права и овластување на жените во ЕУ и во земјите на Западен Балкан“:</w:t>
      </w:r>
    </w:p>
    <w:p w14:paraId="54FAA88D" w14:textId="77777777" w:rsidR="00160087" w:rsidRPr="00553453" w:rsidRDefault="00160087" w:rsidP="00300E75">
      <w:pPr>
        <w:keepNext/>
        <w:rPr>
          <w:b/>
          <w:lang w:val="en-GB"/>
        </w:rPr>
      </w:pPr>
    </w:p>
    <w:p w14:paraId="2F210B61" w14:textId="77777777" w:rsidR="00160087" w:rsidRPr="00553453" w:rsidRDefault="006C16CE" w:rsidP="00300E75">
      <w:pPr>
        <w:keepNext/>
        <w:rPr>
          <w:lang w:val="en-GB"/>
        </w:rPr>
      </w:pPr>
      <w:r w:rsidRPr="00553453">
        <w:rPr>
          <w:lang w:val="en-GB"/>
        </w:rPr>
        <w:t>Учесниците:</w:t>
      </w:r>
    </w:p>
    <w:p w14:paraId="21BE6022" w14:textId="77777777" w:rsidR="00160087" w:rsidRPr="00553453" w:rsidRDefault="00160087" w:rsidP="00300E75">
      <w:pPr>
        <w:keepNext/>
        <w:rPr>
          <w:lang w:val="en-GB"/>
        </w:rPr>
      </w:pPr>
    </w:p>
    <w:p w14:paraId="1F7AAE4D" w14:textId="6C445C61" w:rsidR="0012748C" w:rsidRPr="00553453" w:rsidRDefault="00F17E5E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ги потенцираат заедничките предизвици со кои се соочуваат ЕУ и земјите на Западен Балкан во однос на родовата нееднаквост: распространетото домашно насилство; ограничените можности на пазарот на трудот, малтретирањ</w:t>
      </w:r>
      <w:r w:rsidR="0003312E" w:rsidRPr="00553453">
        <w:rPr>
          <w:lang w:val="en-GB"/>
        </w:rPr>
        <w:t>е</w:t>
      </w:r>
      <w:r w:rsidRPr="00553453">
        <w:rPr>
          <w:lang w:val="en-GB"/>
        </w:rPr>
        <w:t>то и насилството на работното место, разликите во платите и пензиите на жените и мажите, репродуктивните и мајчинските права и нееднаквиот пристап до учеството во политиката на високо ниво (и покрај постојните определени цели);</w:t>
      </w:r>
    </w:p>
    <w:p w14:paraId="407D916C" w14:textId="77777777" w:rsidR="0012748C" w:rsidRPr="00553453" w:rsidRDefault="0012748C" w:rsidP="0012748C">
      <w:pPr>
        <w:ind w:left="720"/>
        <w:rPr>
          <w:lang w:val="en-GB"/>
        </w:rPr>
      </w:pPr>
    </w:p>
    <w:p w14:paraId="2C40A0B8" w14:textId="5B6C8A95" w:rsidR="00D671FD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нагласуваат дека трендовите на пазарите на трудот во регионот откриваат голем степен на неактивност кај жените; ги поттикнуваат владите да даваат поддршка за да обезбедат достигнување на повисоко ниво на вработеност кај жените во текот на процесот на проширување;</w:t>
      </w:r>
    </w:p>
    <w:p w14:paraId="46628D6F" w14:textId="77777777" w:rsidR="00D671FD" w:rsidRPr="00553453" w:rsidRDefault="00D671FD" w:rsidP="00675728">
      <w:pPr>
        <w:ind w:left="720"/>
        <w:rPr>
          <w:lang w:val="en-GB"/>
        </w:rPr>
      </w:pPr>
    </w:p>
    <w:p w14:paraId="4DD8A5F4" w14:textId="564258C0" w:rsidR="00957A13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бараат владите да спр</w:t>
      </w:r>
      <w:r w:rsidR="0003312E" w:rsidRPr="00553453">
        <w:rPr>
          <w:lang w:val="en-GB"/>
        </w:rPr>
        <w:t>о</w:t>
      </w:r>
      <w:r w:rsidRPr="00553453">
        <w:rPr>
          <w:lang w:val="en-GB"/>
        </w:rPr>
        <w:t>ведува</w:t>
      </w:r>
      <w:r w:rsidR="00130109" w:rsidRPr="00553453">
        <w:rPr>
          <w:lang w:val="en-GB"/>
        </w:rPr>
        <w:t>ат построго надгледување, поконз</w:t>
      </w:r>
      <w:r w:rsidRPr="00553453">
        <w:rPr>
          <w:lang w:val="en-GB"/>
        </w:rPr>
        <w:t>истентно спроведување на постојното законодавство за родова еднаквост и кампањи за зголемување на јавната свест; ја потенцираат важноста од воспоставување на одржливи механизми за финансирање за решавање и сузбивање на родов</w:t>
      </w:r>
      <w:r w:rsidR="00B30D2D" w:rsidRPr="00553453">
        <w:rPr>
          <w:lang w:val="en-GB"/>
        </w:rPr>
        <w:t>ата</w:t>
      </w:r>
      <w:r w:rsidRPr="00553453">
        <w:rPr>
          <w:lang w:val="en-GB"/>
        </w:rPr>
        <w:t xml:space="preserve"> нееднаквост во прак</w:t>
      </w:r>
      <w:r w:rsidR="00E5032D" w:rsidRPr="00553453">
        <w:rPr>
          <w:lang w:val="en-GB"/>
        </w:rPr>
        <w:t>тика</w:t>
      </w:r>
      <w:r w:rsidRPr="00553453">
        <w:rPr>
          <w:lang w:val="en-GB"/>
        </w:rPr>
        <w:t xml:space="preserve">; нагласуваат дека ОГО што работат на промовирање и заштита на женските права треба да се прифатат како важни партнери во спроведувањето на </w:t>
      </w:r>
      <w:r w:rsidR="006349A3" w:rsidRPr="00553453">
        <w:rPr>
          <w:lang w:val="en-GB"/>
        </w:rPr>
        <w:t>сеопфатни</w:t>
      </w:r>
      <w:r w:rsidRPr="00553453">
        <w:rPr>
          <w:lang w:val="en-GB"/>
        </w:rPr>
        <w:t xml:space="preserve"> и систематски реформи наменети за постигнување на родова еднаквост во п</w:t>
      </w:r>
      <w:r w:rsidR="005006EA" w:rsidRPr="00553453">
        <w:rPr>
          <w:lang w:val="en-GB"/>
        </w:rPr>
        <w:t>рактика</w:t>
      </w:r>
      <w:r w:rsidRPr="00553453">
        <w:rPr>
          <w:lang w:val="en-GB"/>
        </w:rPr>
        <w:t>;</w:t>
      </w:r>
    </w:p>
    <w:p w14:paraId="0B635830" w14:textId="77777777" w:rsidR="00A02EB7" w:rsidRPr="00553453" w:rsidRDefault="00A02EB7" w:rsidP="00675728">
      <w:pPr>
        <w:ind w:left="720"/>
        <w:rPr>
          <w:lang w:val="en-GB"/>
        </w:rPr>
      </w:pPr>
    </w:p>
    <w:p w14:paraId="7D3AD50B" w14:textId="65C967C7" w:rsidR="00A02EB7" w:rsidRPr="00553453" w:rsidRDefault="00310CC3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 xml:space="preserve">ја потенцираат потребата сите актери понатаму да ја промовираат и потенцираат улогата на жените и девојките како двигатели на промени за промовирање на мирни и </w:t>
      </w:r>
      <w:r w:rsidR="00DA47AD" w:rsidRPr="00553453">
        <w:rPr>
          <w:lang w:val="en-GB"/>
        </w:rPr>
        <w:t>инклузивни</w:t>
      </w:r>
      <w:r w:rsidRPr="00553453">
        <w:rPr>
          <w:lang w:val="en-GB"/>
        </w:rPr>
        <w:t xml:space="preserve"> општества, вклучувајќи спречување на конфликти, медијација, градење мир и оправување од конфликти;</w:t>
      </w:r>
    </w:p>
    <w:p w14:paraId="550BFC42" w14:textId="77777777" w:rsidR="00957A13" w:rsidRPr="00553453" w:rsidRDefault="00957A13" w:rsidP="00675728">
      <w:pPr>
        <w:ind w:left="720"/>
        <w:rPr>
          <w:lang w:val="en-GB"/>
        </w:rPr>
      </w:pPr>
    </w:p>
    <w:p w14:paraId="47D95428" w14:textId="3F7B5E15" w:rsidR="00957A13" w:rsidRPr="00553453" w:rsidRDefault="00310CC3" w:rsidP="00300E75">
      <w:pPr>
        <w:numPr>
          <w:ilvl w:val="0"/>
          <w:numId w:val="5"/>
        </w:numPr>
        <w:tabs>
          <w:tab w:val="clear" w:pos="720"/>
        </w:tabs>
        <w:ind w:left="567" w:hanging="567"/>
        <w:rPr>
          <w:lang w:val="en-GB"/>
        </w:rPr>
      </w:pPr>
      <w:r w:rsidRPr="00553453">
        <w:rPr>
          <w:lang w:val="en-GB"/>
        </w:rPr>
        <w:t>ја потенцира</w:t>
      </w:r>
      <w:r w:rsidR="00FC2612" w:rsidRPr="00553453">
        <w:rPr>
          <w:lang w:val="en-GB"/>
        </w:rPr>
        <w:t>а</w:t>
      </w:r>
      <w:r w:rsidRPr="00553453">
        <w:rPr>
          <w:lang w:val="en-GB"/>
        </w:rPr>
        <w:t>т важноста на родовата рамнотежа во одл</w:t>
      </w:r>
      <w:r w:rsidR="00C71269" w:rsidRPr="00553453">
        <w:rPr>
          <w:lang w:val="en-GB"/>
        </w:rPr>
        <w:t>у</w:t>
      </w:r>
      <w:r w:rsidRPr="00553453">
        <w:rPr>
          <w:lang w:val="en-GB"/>
        </w:rPr>
        <w:t xml:space="preserve">чувачките тела и </w:t>
      </w:r>
      <w:r w:rsidR="00FC2612" w:rsidRPr="00553453">
        <w:rPr>
          <w:lang w:val="en-GB"/>
        </w:rPr>
        <w:t>одборите на фирмите</w:t>
      </w:r>
      <w:r w:rsidRPr="00553453">
        <w:rPr>
          <w:lang w:val="en-GB"/>
        </w:rPr>
        <w:t xml:space="preserve">, како и потребата од </w:t>
      </w:r>
      <w:r w:rsidR="002F296C" w:rsidRPr="00553453">
        <w:rPr>
          <w:lang w:val="en-GB"/>
        </w:rPr>
        <w:t>зголемување</w:t>
      </w:r>
      <w:r w:rsidR="00D1389F" w:rsidRPr="00553453">
        <w:rPr>
          <w:lang w:val="en-GB"/>
        </w:rPr>
        <w:t xml:space="preserve"> на бројот </w:t>
      </w:r>
      <w:r w:rsidRPr="00553453">
        <w:rPr>
          <w:lang w:val="en-GB"/>
        </w:rPr>
        <w:t>претприемач</w:t>
      </w:r>
      <w:r w:rsidR="00D1389F" w:rsidRPr="00553453">
        <w:rPr>
          <w:lang w:val="en-GB"/>
        </w:rPr>
        <w:t>к</w:t>
      </w:r>
      <w:r w:rsidRPr="00553453">
        <w:rPr>
          <w:lang w:val="en-GB"/>
        </w:rPr>
        <w:t>и;</w:t>
      </w:r>
    </w:p>
    <w:p w14:paraId="777E56BF" w14:textId="77777777" w:rsidR="00957A13" w:rsidRPr="00553453" w:rsidRDefault="00957A13" w:rsidP="00300E75">
      <w:pPr>
        <w:ind w:left="567" w:hanging="567"/>
        <w:rPr>
          <w:lang w:val="en-GB"/>
        </w:rPr>
      </w:pPr>
    </w:p>
    <w:p w14:paraId="44D2E3E2" w14:textId="2B6ED640" w:rsidR="00081D18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ја нагласуваат важноста од адекватно собирање статистички податоци, оценување и одговорност, како и потребата од анализирање на </w:t>
      </w:r>
      <w:r w:rsidR="002F296C" w:rsidRPr="00553453">
        <w:rPr>
          <w:lang w:val="en-GB"/>
        </w:rPr>
        <w:t>целото</w:t>
      </w:r>
      <w:r w:rsidRPr="00553453">
        <w:rPr>
          <w:lang w:val="en-GB"/>
        </w:rPr>
        <w:t xml:space="preserve"> финансирање од родова перспектива;</w:t>
      </w:r>
    </w:p>
    <w:p w14:paraId="697D30BD" w14:textId="77777777" w:rsidR="00672460" w:rsidRPr="00553453" w:rsidRDefault="00672460" w:rsidP="00300E75">
      <w:pPr>
        <w:ind w:left="567" w:hanging="567"/>
        <w:rPr>
          <w:lang w:val="en-GB"/>
        </w:rPr>
      </w:pPr>
    </w:p>
    <w:p w14:paraId="02C3A21F" w14:textId="2DF076BE" w:rsidR="002E1C86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 xml:space="preserve">нагласуваат дека насилството кон жените обично не се прифаќа за тоа што е: често извршителите не се гонат и не добиваат </w:t>
      </w:r>
      <w:r w:rsidR="00301A0D" w:rsidRPr="00553453">
        <w:rPr>
          <w:lang w:val="en-GB"/>
        </w:rPr>
        <w:t>соодветни</w:t>
      </w:r>
      <w:r w:rsidRPr="00553453">
        <w:rPr>
          <w:lang w:val="en-GB"/>
        </w:rPr>
        <w:t xml:space="preserve"> казни, а и жртвите добиваат слаба поддршка; нагласуваат дека институциите што треба да дадат заштита често немаат разбирање или не одговараат</w:t>
      </w:r>
      <w:r w:rsidR="00565348" w:rsidRPr="00553453">
        <w:rPr>
          <w:lang w:val="en-GB"/>
        </w:rPr>
        <w:t>, како</w:t>
      </w:r>
      <w:r w:rsidRPr="00553453">
        <w:rPr>
          <w:lang w:val="en-GB"/>
        </w:rPr>
        <w:t xml:space="preserve"> и дека не е секогаш достапна бесплатна правна помош; </w:t>
      </w:r>
    </w:p>
    <w:p w14:paraId="262F4279" w14:textId="77777777" w:rsidR="002E1C86" w:rsidRPr="00553453" w:rsidRDefault="002E1C86" w:rsidP="00300E75">
      <w:pPr>
        <w:ind w:left="567" w:hanging="567"/>
        <w:rPr>
          <w:lang w:val="en-GB"/>
        </w:rPr>
      </w:pPr>
    </w:p>
    <w:p w14:paraId="7E15F32C" w14:textId="56BF18EC" w:rsidR="00672460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lastRenderedPageBreak/>
        <w:t xml:space="preserve">нагласуваат дека треба да се подигне свеста, да се засили спречувањето на насилство и дека треба да се спроведе Истанбулската конвенција, особено во однос на финансирањето на </w:t>
      </w:r>
      <w:r w:rsidR="00091119" w:rsidRPr="00553453">
        <w:rPr>
          <w:lang w:val="en-GB"/>
        </w:rPr>
        <w:t>сигурни</w:t>
      </w:r>
      <w:r w:rsidRPr="00553453">
        <w:rPr>
          <w:lang w:val="en-GB"/>
        </w:rPr>
        <w:t xml:space="preserve"> куќи што ги водат ОГО, која, меѓу другите, има цел да обезбеди доволно специјални служби за поддршка, вклучувајќи засолништа и телефонски линии за помош.</w:t>
      </w:r>
    </w:p>
    <w:p w14:paraId="2B1EE050" w14:textId="77777777" w:rsidR="0012748C" w:rsidRPr="00553453" w:rsidRDefault="0012748C" w:rsidP="0012748C">
      <w:pPr>
        <w:ind w:left="720"/>
        <w:rPr>
          <w:lang w:val="en-GB"/>
        </w:rPr>
      </w:pPr>
    </w:p>
    <w:p w14:paraId="5A90242B" w14:textId="77777777" w:rsidR="006555CB" w:rsidRPr="00553453" w:rsidRDefault="006B7C1F" w:rsidP="00300E75">
      <w:pPr>
        <w:numPr>
          <w:ilvl w:val="0"/>
          <w:numId w:val="5"/>
        </w:numPr>
        <w:ind w:left="567" w:hanging="567"/>
        <w:rPr>
          <w:lang w:val="en-GB"/>
        </w:rPr>
      </w:pPr>
      <w:r w:rsidRPr="00553453">
        <w:rPr>
          <w:lang w:val="en-GB"/>
        </w:rPr>
        <w:t>ја охрабруваат Комисијата да ја вклучи родовата рамноправност како еден од врвните приоритети во преговорите за пристапување кон ЕУ со земјите на Западен Балкан;</w:t>
      </w:r>
    </w:p>
    <w:p w14:paraId="66C86DEB" w14:textId="77777777" w:rsidR="006555CB" w:rsidRPr="00553453" w:rsidRDefault="006555CB" w:rsidP="00675728">
      <w:pPr>
        <w:rPr>
          <w:lang w:val="en-GB"/>
        </w:rPr>
      </w:pPr>
    </w:p>
    <w:p w14:paraId="322DCA95" w14:textId="4D235559" w:rsidR="00FD5EED" w:rsidRPr="00553453" w:rsidRDefault="00310CC3" w:rsidP="00300E75">
      <w:pPr>
        <w:numPr>
          <w:ilvl w:val="0"/>
          <w:numId w:val="5"/>
        </w:numPr>
        <w:ind w:left="567" w:hanging="567"/>
        <w:rPr>
          <w:lang w:val="en-GB"/>
        </w:rPr>
      </w:pPr>
      <w:proofErr w:type="gramStart"/>
      <w:r w:rsidRPr="00553453">
        <w:rPr>
          <w:color w:val="000000"/>
          <w:lang w:val="en-GB"/>
        </w:rPr>
        <w:t>ја</w:t>
      </w:r>
      <w:proofErr w:type="gramEnd"/>
      <w:r w:rsidRPr="00553453">
        <w:rPr>
          <w:color w:val="000000"/>
          <w:lang w:val="en-GB"/>
        </w:rPr>
        <w:t xml:space="preserve"> потенцираат потребата да се зголеми с</w:t>
      </w:r>
      <w:r w:rsidR="00BB0C92" w:rsidRPr="00553453">
        <w:rPr>
          <w:color w:val="000000"/>
          <w:lang w:val="en-GB"/>
        </w:rPr>
        <w:t>весноста преку медиумите, јавни</w:t>
      </w:r>
      <w:r w:rsidRPr="00553453">
        <w:rPr>
          <w:color w:val="000000"/>
          <w:lang w:val="en-GB"/>
        </w:rPr>
        <w:t xml:space="preserve"> кампањи и образовни програми за да се елиминираат родовите стереотипи и да се промовира активно учество на жените во сите животни области; нагласуваат дека јазикот на огласите за работни места треба да биде родово неутрален.</w:t>
      </w:r>
    </w:p>
    <w:p w14:paraId="21C1736C" w14:textId="77777777" w:rsidR="00FD5EED" w:rsidRPr="00553453" w:rsidRDefault="00FD5EED" w:rsidP="00675728">
      <w:pPr>
        <w:rPr>
          <w:lang w:val="en-GB"/>
        </w:rPr>
      </w:pPr>
    </w:p>
    <w:p w14:paraId="1575C00B" w14:textId="77777777" w:rsidR="00770E3D" w:rsidRPr="00553453" w:rsidRDefault="006C16CE" w:rsidP="00300E75">
      <w:pPr>
        <w:keepNext/>
        <w:rPr>
          <w:lang w:val="en-GB"/>
        </w:rPr>
      </w:pPr>
      <w:r w:rsidRPr="00553453">
        <w:rPr>
          <w:lang w:val="en-GB"/>
        </w:rPr>
        <w:t>Учесниците:</w:t>
      </w:r>
    </w:p>
    <w:p w14:paraId="61551640" w14:textId="77777777" w:rsidR="00FD5EED" w:rsidRPr="00553453" w:rsidRDefault="00FD5EED" w:rsidP="00300E75">
      <w:pPr>
        <w:keepNext/>
        <w:rPr>
          <w:lang w:val="en-GB"/>
        </w:rPr>
      </w:pPr>
    </w:p>
    <w:p w14:paraId="18436E31" w14:textId="12629EAB" w:rsidR="00FD5EED" w:rsidRPr="00553453" w:rsidRDefault="002C61FC" w:rsidP="00300E75">
      <w:pPr>
        <w:numPr>
          <w:ilvl w:val="0"/>
          <w:numId w:val="5"/>
        </w:numPr>
        <w:ind w:left="567" w:hanging="567"/>
        <w:rPr>
          <w:lang w:val="en-GB"/>
        </w:rPr>
      </w:pPr>
      <w:proofErr w:type="gramStart"/>
      <w:r w:rsidRPr="00553453">
        <w:rPr>
          <w:lang w:val="en-GB"/>
        </w:rPr>
        <w:t>бараат</w:t>
      </w:r>
      <w:proofErr w:type="gramEnd"/>
      <w:r w:rsidRPr="00553453">
        <w:rPr>
          <w:lang w:val="en-GB"/>
        </w:rPr>
        <w:t xml:space="preserve"> ЕЕСК да им ја прати </w:t>
      </w:r>
      <w:r w:rsidR="00025099" w:rsidRPr="00553453">
        <w:rPr>
          <w:lang w:val="en-GB"/>
        </w:rPr>
        <w:t>завршната декларација</w:t>
      </w:r>
      <w:r w:rsidRPr="00553453">
        <w:rPr>
          <w:lang w:val="en-GB"/>
        </w:rPr>
        <w:t xml:space="preserve"> на владите во </w:t>
      </w:r>
      <w:r w:rsidR="00176A27" w:rsidRPr="00553453">
        <w:rPr>
          <w:lang w:val="en-GB"/>
        </w:rPr>
        <w:t>регионот, на европските институц</w:t>
      </w:r>
      <w:r w:rsidRPr="00553453">
        <w:rPr>
          <w:lang w:val="en-GB"/>
        </w:rPr>
        <w:t>ии, Советот за регионална соработка, Меѓуна</w:t>
      </w:r>
      <w:r w:rsidR="00303E15" w:rsidRPr="00553453">
        <w:rPr>
          <w:lang w:val="en-GB"/>
        </w:rPr>
        <w:t>родната организација на</w:t>
      </w:r>
      <w:r w:rsidRPr="00553453">
        <w:rPr>
          <w:lang w:val="en-GB"/>
        </w:rPr>
        <w:t xml:space="preserve"> труд</w:t>
      </w:r>
      <w:r w:rsidR="00303E15" w:rsidRPr="00553453">
        <w:rPr>
          <w:lang w:val="en-GB"/>
        </w:rPr>
        <w:t>от</w:t>
      </w:r>
      <w:r w:rsidRPr="00553453">
        <w:rPr>
          <w:lang w:val="en-GB"/>
        </w:rPr>
        <w:t>, Советот на Европа.</w:t>
      </w:r>
    </w:p>
    <w:p w14:paraId="7AA99CB0" w14:textId="689D25A8" w:rsidR="008A3DE1" w:rsidRPr="00553453" w:rsidRDefault="006C16CE" w:rsidP="00300E75">
      <w:pPr>
        <w:jc w:val="center"/>
        <w:rPr>
          <w:lang w:val="en-GB"/>
        </w:rPr>
      </w:pPr>
      <w:r w:rsidRPr="00553453">
        <w:rPr>
          <w:lang w:val="en-GB"/>
        </w:rPr>
        <w:t>_____________</w:t>
      </w:r>
    </w:p>
    <w:p w14:paraId="63251F95" w14:textId="77777777" w:rsidR="001D1D53" w:rsidRPr="00553453" w:rsidRDefault="001D1D53" w:rsidP="00131BC0">
      <w:pPr>
        <w:jc w:val="left"/>
        <w:rPr>
          <w:lang w:val="en-GB"/>
        </w:rPr>
      </w:pPr>
    </w:p>
    <w:sectPr w:rsidR="001D1D53" w:rsidRPr="00553453" w:rsidSect="00735E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C2674" w14:textId="77777777" w:rsidR="00566D97" w:rsidRDefault="00566D97">
      <w:r>
        <w:separator/>
      </w:r>
    </w:p>
  </w:endnote>
  <w:endnote w:type="continuationSeparator" w:id="0">
    <w:p w14:paraId="23307053" w14:textId="77777777" w:rsidR="00566D97" w:rsidRDefault="00566D97">
      <w:r>
        <w:continuationSeparator/>
      </w:r>
    </w:p>
  </w:endnote>
  <w:endnote w:type="continuationNotice" w:id="1">
    <w:p w14:paraId="26C28487" w14:textId="77777777" w:rsidR="00566D97" w:rsidRDefault="00566D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E80B" w14:textId="77777777" w:rsidR="00735E2E" w:rsidRPr="00735E2E" w:rsidRDefault="00735E2E" w:rsidP="00735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97EA" w14:textId="594F5150" w:rsidR="003F50B2" w:rsidRPr="00735E2E" w:rsidRDefault="00735E2E" w:rsidP="00735E2E">
    <w:pPr>
      <w:pStyle w:val="Footer"/>
    </w:pPr>
    <w:r>
      <w:t xml:space="preserve">EESC-2017-03339-00-02-TCD-TRA (MK) </w:t>
    </w:r>
    <w:r>
      <w:fldChar w:fldCharType="begin"/>
    </w:r>
    <w:r>
      <w:instrText xml:space="preserve"> PAGE  \* Arabic  \* MERGEFORMAT </w:instrText>
    </w:r>
    <w:r>
      <w:fldChar w:fldCharType="separate"/>
    </w:r>
    <w:r w:rsidR="008836F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836F9">
      <w:fldChar w:fldCharType="begin"/>
    </w:r>
    <w:r w:rsidR="008836F9">
      <w:instrText xml:space="preserve"> NUMPAGES </w:instrText>
    </w:r>
    <w:r w:rsidR="008836F9">
      <w:fldChar w:fldCharType="separate"/>
    </w:r>
    <w:r w:rsidR="008836F9">
      <w:rPr>
        <w:noProof/>
      </w:rPr>
      <w:instrText>7</w:instrText>
    </w:r>
    <w:r w:rsidR="008836F9">
      <w:rPr>
        <w:noProof/>
      </w:rPr>
      <w:fldChar w:fldCharType="end"/>
    </w:r>
    <w:r>
      <w:instrText xml:space="preserve"> </w:instrText>
    </w:r>
    <w:r>
      <w:fldChar w:fldCharType="separate"/>
    </w:r>
    <w:r w:rsidR="008836F9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2EAC" w14:textId="77777777" w:rsidR="00735E2E" w:rsidRPr="00735E2E" w:rsidRDefault="00735E2E" w:rsidP="00735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86941" w14:textId="77777777" w:rsidR="00566D97" w:rsidRDefault="00566D97">
      <w:r>
        <w:separator/>
      </w:r>
    </w:p>
  </w:footnote>
  <w:footnote w:type="continuationSeparator" w:id="0">
    <w:p w14:paraId="64DAEDE5" w14:textId="77777777" w:rsidR="00566D97" w:rsidRDefault="00566D97">
      <w:r>
        <w:continuationSeparator/>
      </w:r>
    </w:p>
  </w:footnote>
  <w:footnote w:type="continuationNotice" w:id="1">
    <w:p w14:paraId="1FCE9450" w14:textId="77777777" w:rsidR="00566D97" w:rsidRDefault="00566D97">
      <w:pPr>
        <w:spacing w:line="240" w:lineRule="auto"/>
      </w:pPr>
    </w:p>
  </w:footnote>
  <w:footnote w:id="2">
    <w:p w14:paraId="22398739" w14:textId="033ED54A" w:rsidR="00F172DC" w:rsidRPr="00D20A0A" w:rsidRDefault="00F172DC" w:rsidP="00BA6A36">
      <w:pPr>
        <w:pStyle w:val="FootnoteText"/>
        <w:ind w:left="567" w:hanging="567"/>
        <w:jc w:val="lef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Во согласност со утврдената терминологија на ЕЕСК, концептите „граѓанско </w:t>
      </w:r>
      <w:r w:rsidR="006349A3">
        <w:t>општество</w:t>
      </w:r>
      <w:r>
        <w:t xml:space="preserve">“ и „организации на </w:t>
      </w:r>
      <w:r w:rsidR="00AC652A">
        <w:t>граѓанското општество“ во оваа декларација</w:t>
      </w:r>
      <w:r>
        <w:t xml:space="preserve"> ги вклучуваат општествените партнери (т.е. работодавците и работничките синдикати) и сите други недржавни актери.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CC75" w14:textId="77777777" w:rsidR="00735E2E" w:rsidRPr="00735E2E" w:rsidRDefault="00735E2E" w:rsidP="00735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CEE1" w14:textId="5A56EB60" w:rsidR="00735E2E" w:rsidRPr="00735E2E" w:rsidRDefault="00735E2E" w:rsidP="00735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539A" w14:textId="77777777" w:rsidR="00735E2E" w:rsidRPr="00735E2E" w:rsidRDefault="00735E2E" w:rsidP="00735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D646E93"/>
    <w:multiLevelType w:val="hybridMultilevel"/>
    <w:tmpl w:val="DDD6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8B5"/>
    <w:multiLevelType w:val="hybridMultilevel"/>
    <w:tmpl w:val="965E0C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210F4"/>
    <w:multiLevelType w:val="hybridMultilevel"/>
    <w:tmpl w:val="0280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7B72"/>
    <w:multiLevelType w:val="multilevel"/>
    <w:tmpl w:val="965E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96CCE"/>
    <w:multiLevelType w:val="hybridMultilevel"/>
    <w:tmpl w:val="EE3E75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333693"/>
    <w:multiLevelType w:val="singleLevel"/>
    <w:tmpl w:val="965E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7"/>
    <w:rsid w:val="00015017"/>
    <w:rsid w:val="00016BD5"/>
    <w:rsid w:val="000231B9"/>
    <w:rsid w:val="00025099"/>
    <w:rsid w:val="000303FB"/>
    <w:rsid w:val="000304AA"/>
    <w:rsid w:val="00031773"/>
    <w:rsid w:val="0003312E"/>
    <w:rsid w:val="0004068D"/>
    <w:rsid w:val="000438D5"/>
    <w:rsid w:val="00044582"/>
    <w:rsid w:val="00044DE9"/>
    <w:rsid w:val="0005072C"/>
    <w:rsid w:val="00052BB9"/>
    <w:rsid w:val="000531E5"/>
    <w:rsid w:val="000570D8"/>
    <w:rsid w:val="00060D60"/>
    <w:rsid w:val="000626CD"/>
    <w:rsid w:val="00064934"/>
    <w:rsid w:val="0006578B"/>
    <w:rsid w:val="00066545"/>
    <w:rsid w:val="00067221"/>
    <w:rsid w:val="00073F8F"/>
    <w:rsid w:val="00075C7B"/>
    <w:rsid w:val="00076E59"/>
    <w:rsid w:val="00077A4F"/>
    <w:rsid w:val="00081110"/>
    <w:rsid w:val="00081D18"/>
    <w:rsid w:val="000833C1"/>
    <w:rsid w:val="00084985"/>
    <w:rsid w:val="00084D49"/>
    <w:rsid w:val="00091119"/>
    <w:rsid w:val="00094174"/>
    <w:rsid w:val="00095830"/>
    <w:rsid w:val="00095898"/>
    <w:rsid w:val="000B480B"/>
    <w:rsid w:val="000C2F6F"/>
    <w:rsid w:val="000E3AE9"/>
    <w:rsid w:val="000E489A"/>
    <w:rsid w:val="000E5B1A"/>
    <w:rsid w:val="000F0F1F"/>
    <w:rsid w:val="000F4628"/>
    <w:rsid w:val="000F4AE7"/>
    <w:rsid w:val="000F4EE4"/>
    <w:rsid w:val="000F57EB"/>
    <w:rsid w:val="000F5F55"/>
    <w:rsid w:val="00114CE0"/>
    <w:rsid w:val="00120E74"/>
    <w:rsid w:val="00124104"/>
    <w:rsid w:val="00125643"/>
    <w:rsid w:val="00125DDC"/>
    <w:rsid w:val="0012657B"/>
    <w:rsid w:val="0012748C"/>
    <w:rsid w:val="00130109"/>
    <w:rsid w:val="00131BC0"/>
    <w:rsid w:val="00135BA6"/>
    <w:rsid w:val="00137731"/>
    <w:rsid w:val="001424C6"/>
    <w:rsid w:val="00142C36"/>
    <w:rsid w:val="0014500A"/>
    <w:rsid w:val="00146350"/>
    <w:rsid w:val="00147CA2"/>
    <w:rsid w:val="00151AFB"/>
    <w:rsid w:val="001523AF"/>
    <w:rsid w:val="00160087"/>
    <w:rsid w:val="001644AF"/>
    <w:rsid w:val="0017631D"/>
    <w:rsid w:val="00176A27"/>
    <w:rsid w:val="00184BDB"/>
    <w:rsid w:val="001853D6"/>
    <w:rsid w:val="001A2294"/>
    <w:rsid w:val="001A2DB9"/>
    <w:rsid w:val="001A4C2A"/>
    <w:rsid w:val="001A6ABE"/>
    <w:rsid w:val="001B3B91"/>
    <w:rsid w:val="001B57B9"/>
    <w:rsid w:val="001B7D55"/>
    <w:rsid w:val="001D1D17"/>
    <w:rsid w:val="001D1D53"/>
    <w:rsid w:val="001E25FB"/>
    <w:rsid w:val="001E2739"/>
    <w:rsid w:val="001E4231"/>
    <w:rsid w:val="001E44D7"/>
    <w:rsid w:val="001F0C59"/>
    <w:rsid w:val="001F25FA"/>
    <w:rsid w:val="001F77A7"/>
    <w:rsid w:val="00207D13"/>
    <w:rsid w:val="00212627"/>
    <w:rsid w:val="002134D4"/>
    <w:rsid w:val="00216AFE"/>
    <w:rsid w:val="002210F7"/>
    <w:rsid w:val="00221A6B"/>
    <w:rsid w:val="002355DF"/>
    <w:rsid w:val="002361D9"/>
    <w:rsid w:val="0024221F"/>
    <w:rsid w:val="00244823"/>
    <w:rsid w:val="00245226"/>
    <w:rsid w:val="00247992"/>
    <w:rsid w:val="00247C39"/>
    <w:rsid w:val="00247F9B"/>
    <w:rsid w:val="0025632C"/>
    <w:rsid w:val="00263652"/>
    <w:rsid w:val="00265639"/>
    <w:rsid w:val="002752DB"/>
    <w:rsid w:val="00277C15"/>
    <w:rsid w:val="00281C0F"/>
    <w:rsid w:val="0028654F"/>
    <w:rsid w:val="002950AE"/>
    <w:rsid w:val="002A251D"/>
    <w:rsid w:val="002B0ABB"/>
    <w:rsid w:val="002B204A"/>
    <w:rsid w:val="002C2505"/>
    <w:rsid w:val="002C5556"/>
    <w:rsid w:val="002C61FC"/>
    <w:rsid w:val="002D4004"/>
    <w:rsid w:val="002D467D"/>
    <w:rsid w:val="002D48C1"/>
    <w:rsid w:val="002D6D38"/>
    <w:rsid w:val="002D7480"/>
    <w:rsid w:val="002E1C86"/>
    <w:rsid w:val="002E4C6C"/>
    <w:rsid w:val="002F2476"/>
    <w:rsid w:val="002F296C"/>
    <w:rsid w:val="002F7B76"/>
    <w:rsid w:val="00300CB3"/>
    <w:rsid w:val="00300E75"/>
    <w:rsid w:val="00301A0D"/>
    <w:rsid w:val="00303E15"/>
    <w:rsid w:val="00310CC3"/>
    <w:rsid w:val="003128D4"/>
    <w:rsid w:val="00312EE6"/>
    <w:rsid w:val="00314F1E"/>
    <w:rsid w:val="0031750F"/>
    <w:rsid w:val="0032100A"/>
    <w:rsid w:val="00330AEE"/>
    <w:rsid w:val="00331E57"/>
    <w:rsid w:val="00331F78"/>
    <w:rsid w:val="003320D8"/>
    <w:rsid w:val="00342504"/>
    <w:rsid w:val="00345FE0"/>
    <w:rsid w:val="003503D4"/>
    <w:rsid w:val="00354C03"/>
    <w:rsid w:val="003600FA"/>
    <w:rsid w:val="00360AE2"/>
    <w:rsid w:val="00370F22"/>
    <w:rsid w:val="00371919"/>
    <w:rsid w:val="003764EC"/>
    <w:rsid w:val="00376C98"/>
    <w:rsid w:val="00380157"/>
    <w:rsid w:val="003931F9"/>
    <w:rsid w:val="00394C6D"/>
    <w:rsid w:val="003A0CCF"/>
    <w:rsid w:val="003A455C"/>
    <w:rsid w:val="003B4D29"/>
    <w:rsid w:val="003B62F3"/>
    <w:rsid w:val="003C1189"/>
    <w:rsid w:val="003C2A91"/>
    <w:rsid w:val="003C7658"/>
    <w:rsid w:val="003C7DEC"/>
    <w:rsid w:val="003D1796"/>
    <w:rsid w:val="003D4DA5"/>
    <w:rsid w:val="003E4E41"/>
    <w:rsid w:val="003F02ED"/>
    <w:rsid w:val="003F50B2"/>
    <w:rsid w:val="003F63D9"/>
    <w:rsid w:val="003F7FF3"/>
    <w:rsid w:val="00401F4A"/>
    <w:rsid w:val="004059DD"/>
    <w:rsid w:val="0041610C"/>
    <w:rsid w:val="004161B0"/>
    <w:rsid w:val="00421FCA"/>
    <w:rsid w:val="004276C4"/>
    <w:rsid w:val="00430617"/>
    <w:rsid w:val="00431282"/>
    <w:rsid w:val="0043250D"/>
    <w:rsid w:val="004443EA"/>
    <w:rsid w:val="00456C83"/>
    <w:rsid w:val="004607AE"/>
    <w:rsid w:val="00461417"/>
    <w:rsid w:val="00474E33"/>
    <w:rsid w:val="00481428"/>
    <w:rsid w:val="004860FB"/>
    <w:rsid w:val="004903E6"/>
    <w:rsid w:val="004950E7"/>
    <w:rsid w:val="00495ABC"/>
    <w:rsid w:val="004978F1"/>
    <w:rsid w:val="004A1DFC"/>
    <w:rsid w:val="004B6297"/>
    <w:rsid w:val="004B65C1"/>
    <w:rsid w:val="004C2921"/>
    <w:rsid w:val="004C552D"/>
    <w:rsid w:val="004C63C4"/>
    <w:rsid w:val="004C7BD4"/>
    <w:rsid w:val="004D2357"/>
    <w:rsid w:val="004D5589"/>
    <w:rsid w:val="004D67CA"/>
    <w:rsid w:val="004D7C85"/>
    <w:rsid w:val="004E4561"/>
    <w:rsid w:val="004E6E4F"/>
    <w:rsid w:val="004F0F4B"/>
    <w:rsid w:val="004F3D99"/>
    <w:rsid w:val="005006EA"/>
    <w:rsid w:val="00506A5D"/>
    <w:rsid w:val="00511E00"/>
    <w:rsid w:val="00512352"/>
    <w:rsid w:val="005158BB"/>
    <w:rsid w:val="00515BCD"/>
    <w:rsid w:val="0052339F"/>
    <w:rsid w:val="00525110"/>
    <w:rsid w:val="00530E05"/>
    <w:rsid w:val="005318AF"/>
    <w:rsid w:val="0054309E"/>
    <w:rsid w:val="0054403F"/>
    <w:rsid w:val="00545FFB"/>
    <w:rsid w:val="00546863"/>
    <w:rsid w:val="005471C6"/>
    <w:rsid w:val="00550F0C"/>
    <w:rsid w:val="005510FA"/>
    <w:rsid w:val="00551935"/>
    <w:rsid w:val="005521F3"/>
    <w:rsid w:val="00553453"/>
    <w:rsid w:val="00556335"/>
    <w:rsid w:val="0056023D"/>
    <w:rsid w:val="00560464"/>
    <w:rsid w:val="00562BF6"/>
    <w:rsid w:val="00564981"/>
    <w:rsid w:val="00565348"/>
    <w:rsid w:val="00566D97"/>
    <w:rsid w:val="0057432E"/>
    <w:rsid w:val="00591383"/>
    <w:rsid w:val="0059354A"/>
    <w:rsid w:val="005939F4"/>
    <w:rsid w:val="00597195"/>
    <w:rsid w:val="005A5995"/>
    <w:rsid w:val="005B02D8"/>
    <w:rsid w:val="005B456D"/>
    <w:rsid w:val="005B5B94"/>
    <w:rsid w:val="005C41B1"/>
    <w:rsid w:val="005C6690"/>
    <w:rsid w:val="005D14D5"/>
    <w:rsid w:val="005E4186"/>
    <w:rsid w:val="005F151C"/>
    <w:rsid w:val="005F72E8"/>
    <w:rsid w:val="006061EC"/>
    <w:rsid w:val="006066DC"/>
    <w:rsid w:val="0060731D"/>
    <w:rsid w:val="0061085B"/>
    <w:rsid w:val="00617898"/>
    <w:rsid w:val="00631B49"/>
    <w:rsid w:val="006349A3"/>
    <w:rsid w:val="00642329"/>
    <w:rsid w:val="00642848"/>
    <w:rsid w:val="00643255"/>
    <w:rsid w:val="00651AC3"/>
    <w:rsid w:val="006529BA"/>
    <w:rsid w:val="006555CB"/>
    <w:rsid w:val="00660292"/>
    <w:rsid w:val="0066085F"/>
    <w:rsid w:val="00661F00"/>
    <w:rsid w:val="00663A1F"/>
    <w:rsid w:val="00665138"/>
    <w:rsid w:val="00672460"/>
    <w:rsid w:val="00675728"/>
    <w:rsid w:val="00677493"/>
    <w:rsid w:val="00680C22"/>
    <w:rsid w:val="006815B3"/>
    <w:rsid w:val="006878D6"/>
    <w:rsid w:val="0069134B"/>
    <w:rsid w:val="00697863"/>
    <w:rsid w:val="006B326B"/>
    <w:rsid w:val="006B3E1E"/>
    <w:rsid w:val="006B4B79"/>
    <w:rsid w:val="006B73EC"/>
    <w:rsid w:val="006B771D"/>
    <w:rsid w:val="006B7C1F"/>
    <w:rsid w:val="006C16CE"/>
    <w:rsid w:val="006C6F31"/>
    <w:rsid w:val="006D5D70"/>
    <w:rsid w:val="006F24FF"/>
    <w:rsid w:val="006F365E"/>
    <w:rsid w:val="007016DD"/>
    <w:rsid w:val="0070799F"/>
    <w:rsid w:val="0071020E"/>
    <w:rsid w:val="00713C63"/>
    <w:rsid w:val="00716D46"/>
    <w:rsid w:val="00721619"/>
    <w:rsid w:val="00725D88"/>
    <w:rsid w:val="00731D51"/>
    <w:rsid w:val="007325F3"/>
    <w:rsid w:val="007348E4"/>
    <w:rsid w:val="00735E2E"/>
    <w:rsid w:val="007375C9"/>
    <w:rsid w:val="00750D72"/>
    <w:rsid w:val="00770E3D"/>
    <w:rsid w:val="007825C8"/>
    <w:rsid w:val="00786126"/>
    <w:rsid w:val="007871B7"/>
    <w:rsid w:val="0079717D"/>
    <w:rsid w:val="0079782A"/>
    <w:rsid w:val="007C3B63"/>
    <w:rsid w:val="007C49E5"/>
    <w:rsid w:val="007D5A5A"/>
    <w:rsid w:val="007D5B40"/>
    <w:rsid w:val="007D5B55"/>
    <w:rsid w:val="007D727D"/>
    <w:rsid w:val="007E0D96"/>
    <w:rsid w:val="007E5465"/>
    <w:rsid w:val="007F5E54"/>
    <w:rsid w:val="007F6EC8"/>
    <w:rsid w:val="00804BF0"/>
    <w:rsid w:val="0080629D"/>
    <w:rsid w:val="00812FFF"/>
    <w:rsid w:val="008164D5"/>
    <w:rsid w:val="00826124"/>
    <w:rsid w:val="00830D93"/>
    <w:rsid w:val="008329A0"/>
    <w:rsid w:val="00833BB4"/>
    <w:rsid w:val="00834D80"/>
    <w:rsid w:val="00835E77"/>
    <w:rsid w:val="00846C36"/>
    <w:rsid w:val="00847414"/>
    <w:rsid w:val="00865D7C"/>
    <w:rsid w:val="00867B0D"/>
    <w:rsid w:val="00877FFE"/>
    <w:rsid w:val="00880BBD"/>
    <w:rsid w:val="008836F9"/>
    <w:rsid w:val="00891DC0"/>
    <w:rsid w:val="00892403"/>
    <w:rsid w:val="00894B8E"/>
    <w:rsid w:val="008975C5"/>
    <w:rsid w:val="008A0AE5"/>
    <w:rsid w:val="008A38C2"/>
    <w:rsid w:val="008A3DE1"/>
    <w:rsid w:val="008B2610"/>
    <w:rsid w:val="008C46FD"/>
    <w:rsid w:val="008C4B8D"/>
    <w:rsid w:val="008D0037"/>
    <w:rsid w:val="008D6726"/>
    <w:rsid w:val="008E5074"/>
    <w:rsid w:val="008E62B2"/>
    <w:rsid w:val="008F2D3D"/>
    <w:rsid w:val="008F4C0A"/>
    <w:rsid w:val="008F5C39"/>
    <w:rsid w:val="0090187C"/>
    <w:rsid w:val="0090360B"/>
    <w:rsid w:val="00904BBA"/>
    <w:rsid w:val="00910784"/>
    <w:rsid w:val="00911616"/>
    <w:rsid w:val="009158A8"/>
    <w:rsid w:val="0091740C"/>
    <w:rsid w:val="009261A0"/>
    <w:rsid w:val="0094115F"/>
    <w:rsid w:val="00941AB2"/>
    <w:rsid w:val="00952399"/>
    <w:rsid w:val="00957A13"/>
    <w:rsid w:val="00963A85"/>
    <w:rsid w:val="00973663"/>
    <w:rsid w:val="00975B60"/>
    <w:rsid w:val="00980339"/>
    <w:rsid w:val="00983FB0"/>
    <w:rsid w:val="009947B8"/>
    <w:rsid w:val="009A3C79"/>
    <w:rsid w:val="009A45FE"/>
    <w:rsid w:val="009A6695"/>
    <w:rsid w:val="009A7468"/>
    <w:rsid w:val="009C01E0"/>
    <w:rsid w:val="009C75C7"/>
    <w:rsid w:val="009D2E19"/>
    <w:rsid w:val="009D55B1"/>
    <w:rsid w:val="009D5E17"/>
    <w:rsid w:val="009D7650"/>
    <w:rsid w:val="009D78F0"/>
    <w:rsid w:val="009E2B32"/>
    <w:rsid w:val="009F1355"/>
    <w:rsid w:val="00A025A7"/>
    <w:rsid w:val="00A02EB7"/>
    <w:rsid w:val="00A04F44"/>
    <w:rsid w:val="00A16273"/>
    <w:rsid w:val="00A23555"/>
    <w:rsid w:val="00A30587"/>
    <w:rsid w:val="00A319AD"/>
    <w:rsid w:val="00A470C5"/>
    <w:rsid w:val="00A510D2"/>
    <w:rsid w:val="00A51B2E"/>
    <w:rsid w:val="00A52BF5"/>
    <w:rsid w:val="00A55F60"/>
    <w:rsid w:val="00A6032A"/>
    <w:rsid w:val="00A60E6A"/>
    <w:rsid w:val="00A631F9"/>
    <w:rsid w:val="00A63B8A"/>
    <w:rsid w:val="00A73757"/>
    <w:rsid w:val="00A87973"/>
    <w:rsid w:val="00AA2484"/>
    <w:rsid w:val="00AA3D0C"/>
    <w:rsid w:val="00AB34F6"/>
    <w:rsid w:val="00AB5EDE"/>
    <w:rsid w:val="00AB6CED"/>
    <w:rsid w:val="00AB78D6"/>
    <w:rsid w:val="00AC038D"/>
    <w:rsid w:val="00AC652A"/>
    <w:rsid w:val="00AC764F"/>
    <w:rsid w:val="00AE6A6D"/>
    <w:rsid w:val="00AE7B20"/>
    <w:rsid w:val="00AF201D"/>
    <w:rsid w:val="00B020CE"/>
    <w:rsid w:val="00B229FB"/>
    <w:rsid w:val="00B30D2D"/>
    <w:rsid w:val="00B37344"/>
    <w:rsid w:val="00B42E02"/>
    <w:rsid w:val="00B46E5C"/>
    <w:rsid w:val="00B5340C"/>
    <w:rsid w:val="00B54A18"/>
    <w:rsid w:val="00B61678"/>
    <w:rsid w:val="00B7010A"/>
    <w:rsid w:val="00B707B8"/>
    <w:rsid w:val="00B978E1"/>
    <w:rsid w:val="00BA20EF"/>
    <w:rsid w:val="00BA5642"/>
    <w:rsid w:val="00BA6A36"/>
    <w:rsid w:val="00BB0C92"/>
    <w:rsid w:val="00BB2E02"/>
    <w:rsid w:val="00BB7747"/>
    <w:rsid w:val="00BC275B"/>
    <w:rsid w:val="00BC2864"/>
    <w:rsid w:val="00BC4631"/>
    <w:rsid w:val="00BC7D56"/>
    <w:rsid w:val="00BD33E2"/>
    <w:rsid w:val="00BD5FEC"/>
    <w:rsid w:val="00BE0891"/>
    <w:rsid w:val="00BE0D54"/>
    <w:rsid w:val="00BE2652"/>
    <w:rsid w:val="00BF19EB"/>
    <w:rsid w:val="00BF204A"/>
    <w:rsid w:val="00BF51C2"/>
    <w:rsid w:val="00C1122A"/>
    <w:rsid w:val="00C1134A"/>
    <w:rsid w:val="00C25A17"/>
    <w:rsid w:val="00C31E50"/>
    <w:rsid w:val="00C35340"/>
    <w:rsid w:val="00C3590E"/>
    <w:rsid w:val="00C4604D"/>
    <w:rsid w:val="00C46ABD"/>
    <w:rsid w:val="00C503A5"/>
    <w:rsid w:val="00C519F8"/>
    <w:rsid w:val="00C5397E"/>
    <w:rsid w:val="00C56A0B"/>
    <w:rsid w:val="00C624CB"/>
    <w:rsid w:val="00C71269"/>
    <w:rsid w:val="00C75D26"/>
    <w:rsid w:val="00C827BA"/>
    <w:rsid w:val="00C87559"/>
    <w:rsid w:val="00C92BCE"/>
    <w:rsid w:val="00C9711F"/>
    <w:rsid w:val="00CA225B"/>
    <w:rsid w:val="00CB5271"/>
    <w:rsid w:val="00CB763F"/>
    <w:rsid w:val="00CC6FAF"/>
    <w:rsid w:val="00CC7437"/>
    <w:rsid w:val="00CD3B8A"/>
    <w:rsid w:val="00CD3F43"/>
    <w:rsid w:val="00CE094F"/>
    <w:rsid w:val="00CE387F"/>
    <w:rsid w:val="00CF6BC9"/>
    <w:rsid w:val="00CF6D1D"/>
    <w:rsid w:val="00D00885"/>
    <w:rsid w:val="00D01AED"/>
    <w:rsid w:val="00D1389F"/>
    <w:rsid w:val="00D1472E"/>
    <w:rsid w:val="00D14A47"/>
    <w:rsid w:val="00D178AE"/>
    <w:rsid w:val="00D20A0A"/>
    <w:rsid w:val="00D31DA1"/>
    <w:rsid w:val="00D3422D"/>
    <w:rsid w:val="00D405C9"/>
    <w:rsid w:val="00D52450"/>
    <w:rsid w:val="00D52F32"/>
    <w:rsid w:val="00D602DA"/>
    <w:rsid w:val="00D63CB4"/>
    <w:rsid w:val="00D66464"/>
    <w:rsid w:val="00D671FD"/>
    <w:rsid w:val="00D7048C"/>
    <w:rsid w:val="00D76C8E"/>
    <w:rsid w:val="00D80921"/>
    <w:rsid w:val="00D959A5"/>
    <w:rsid w:val="00DA05DD"/>
    <w:rsid w:val="00DA47AD"/>
    <w:rsid w:val="00DA4CF5"/>
    <w:rsid w:val="00DA6CF1"/>
    <w:rsid w:val="00DB1CD2"/>
    <w:rsid w:val="00DB2240"/>
    <w:rsid w:val="00DB2680"/>
    <w:rsid w:val="00DB38C1"/>
    <w:rsid w:val="00DB782F"/>
    <w:rsid w:val="00DC0C8E"/>
    <w:rsid w:val="00DC24A4"/>
    <w:rsid w:val="00DC2D0A"/>
    <w:rsid w:val="00DC653B"/>
    <w:rsid w:val="00DC7460"/>
    <w:rsid w:val="00DD65B5"/>
    <w:rsid w:val="00DE3CAF"/>
    <w:rsid w:val="00DF4D77"/>
    <w:rsid w:val="00DF75C9"/>
    <w:rsid w:val="00E03EAD"/>
    <w:rsid w:val="00E06A1A"/>
    <w:rsid w:val="00E10D18"/>
    <w:rsid w:val="00E11BF4"/>
    <w:rsid w:val="00E1242C"/>
    <w:rsid w:val="00E12CA5"/>
    <w:rsid w:val="00E13857"/>
    <w:rsid w:val="00E214A6"/>
    <w:rsid w:val="00E24A74"/>
    <w:rsid w:val="00E3452C"/>
    <w:rsid w:val="00E373F9"/>
    <w:rsid w:val="00E46263"/>
    <w:rsid w:val="00E47759"/>
    <w:rsid w:val="00E5032D"/>
    <w:rsid w:val="00E53F5F"/>
    <w:rsid w:val="00E567F3"/>
    <w:rsid w:val="00E5790A"/>
    <w:rsid w:val="00E67FBE"/>
    <w:rsid w:val="00E746D7"/>
    <w:rsid w:val="00E82AD1"/>
    <w:rsid w:val="00E958A6"/>
    <w:rsid w:val="00EA218A"/>
    <w:rsid w:val="00EB2381"/>
    <w:rsid w:val="00EB4864"/>
    <w:rsid w:val="00ED1E0F"/>
    <w:rsid w:val="00ED1F31"/>
    <w:rsid w:val="00ED2468"/>
    <w:rsid w:val="00EF0079"/>
    <w:rsid w:val="00EF1355"/>
    <w:rsid w:val="00F0029F"/>
    <w:rsid w:val="00F07164"/>
    <w:rsid w:val="00F11645"/>
    <w:rsid w:val="00F1185C"/>
    <w:rsid w:val="00F172DC"/>
    <w:rsid w:val="00F17E5E"/>
    <w:rsid w:val="00F207FF"/>
    <w:rsid w:val="00F20ACB"/>
    <w:rsid w:val="00F21E76"/>
    <w:rsid w:val="00F232F4"/>
    <w:rsid w:val="00F34D44"/>
    <w:rsid w:val="00F35493"/>
    <w:rsid w:val="00F42A29"/>
    <w:rsid w:val="00F469DB"/>
    <w:rsid w:val="00F47610"/>
    <w:rsid w:val="00F65EAE"/>
    <w:rsid w:val="00F7152D"/>
    <w:rsid w:val="00F72899"/>
    <w:rsid w:val="00F72AE3"/>
    <w:rsid w:val="00F74833"/>
    <w:rsid w:val="00F803A0"/>
    <w:rsid w:val="00F86FDD"/>
    <w:rsid w:val="00F876A7"/>
    <w:rsid w:val="00F95896"/>
    <w:rsid w:val="00FA1D2C"/>
    <w:rsid w:val="00FA20C9"/>
    <w:rsid w:val="00FA5D40"/>
    <w:rsid w:val="00FA7118"/>
    <w:rsid w:val="00FB126E"/>
    <w:rsid w:val="00FB767E"/>
    <w:rsid w:val="00FC2612"/>
    <w:rsid w:val="00FC361C"/>
    <w:rsid w:val="00FC5D37"/>
    <w:rsid w:val="00FD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mk-M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E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0629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0629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80629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80629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80629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80629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80629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80629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80629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0629D"/>
  </w:style>
  <w:style w:type="paragraph" w:styleId="FootnoteText">
    <w:name w:val="footnote text"/>
    <w:basedOn w:val="Normal"/>
    <w:qFormat/>
    <w:rsid w:val="0080629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80629D"/>
  </w:style>
  <w:style w:type="character" w:styleId="FootnoteReference">
    <w:name w:val="footnote reference"/>
    <w:basedOn w:val="DefaultParagraphFont"/>
    <w:unhideWhenUsed/>
    <w:qFormat/>
    <w:rsid w:val="0080629D"/>
    <w:rPr>
      <w:sz w:val="24"/>
      <w:vertAlign w:val="superscript"/>
    </w:rPr>
  </w:style>
  <w:style w:type="character" w:customStyle="1" w:styleId="Heading2Char">
    <w:name w:val="Heading 2 Char"/>
    <w:link w:val="Heading2"/>
    <w:rsid w:val="00AC038D"/>
    <w:rPr>
      <w:sz w:val="22"/>
      <w:szCs w:val="22"/>
      <w:lang w:val="mk-MK" w:eastAsia="mk-MK"/>
    </w:rPr>
  </w:style>
  <w:style w:type="paragraph" w:customStyle="1" w:styleId="quotes">
    <w:name w:val="quotes"/>
    <w:basedOn w:val="Normal"/>
    <w:next w:val="Normal"/>
    <w:rsid w:val="0080629D"/>
    <w:pPr>
      <w:ind w:left="720"/>
    </w:pPr>
    <w:rPr>
      <w:i/>
    </w:rPr>
  </w:style>
  <w:style w:type="paragraph" w:styleId="Caption">
    <w:name w:val="caption"/>
    <w:basedOn w:val="Normal"/>
    <w:next w:val="Normal"/>
    <w:qFormat/>
    <w:rsid w:val="0080629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AA2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484"/>
    <w:rPr>
      <w:rFonts w:ascii="Tahoma" w:hAnsi="Tahoma" w:cs="Tahoma"/>
      <w:sz w:val="16"/>
      <w:szCs w:val="16"/>
      <w:lang w:val="mk-MK" w:eastAsia="mk-MK"/>
    </w:rPr>
  </w:style>
  <w:style w:type="paragraph" w:styleId="ListParagraph">
    <w:name w:val="List Paragraph"/>
    <w:basedOn w:val="Normal"/>
    <w:uiPriority w:val="34"/>
    <w:qFormat/>
    <w:rsid w:val="00F876A7"/>
    <w:pPr>
      <w:ind w:left="720"/>
      <w:contextualSpacing/>
    </w:pPr>
  </w:style>
  <w:style w:type="table" w:styleId="TableGrid">
    <w:name w:val="Table Grid"/>
    <w:basedOn w:val="TableNormal"/>
    <w:rsid w:val="008F4C0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827BA"/>
    <w:rPr>
      <w:sz w:val="22"/>
      <w:szCs w:val="22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mk-M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E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0629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0629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80629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80629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80629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80629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80629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80629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80629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0629D"/>
  </w:style>
  <w:style w:type="paragraph" w:styleId="FootnoteText">
    <w:name w:val="footnote text"/>
    <w:basedOn w:val="Normal"/>
    <w:qFormat/>
    <w:rsid w:val="0080629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80629D"/>
  </w:style>
  <w:style w:type="character" w:styleId="FootnoteReference">
    <w:name w:val="footnote reference"/>
    <w:basedOn w:val="DefaultParagraphFont"/>
    <w:unhideWhenUsed/>
    <w:qFormat/>
    <w:rsid w:val="0080629D"/>
    <w:rPr>
      <w:sz w:val="24"/>
      <w:vertAlign w:val="superscript"/>
    </w:rPr>
  </w:style>
  <w:style w:type="character" w:customStyle="1" w:styleId="Heading2Char">
    <w:name w:val="Heading 2 Char"/>
    <w:link w:val="Heading2"/>
    <w:rsid w:val="00AC038D"/>
    <w:rPr>
      <w:sz w:val="22"/>
      <w:szCs w:val="22"/>
      <w:lang w:val="mk-MK" w:eastAsia="mk-MK"/>
    </w:rPr>
  </w:style>
  <w:style w:type="paragraph" w:customStyle="1" w:styleId="quotes">
    <w:name w:val="quotes"/>
    <w:basedOn w:val="Normal"/>
    <w:next w:val="Normal"/>
    <w:rsid w:val="0080629D"/>
    <w:pPr>
      <w:ind w:left="720"/>
    </w:pPr>
    <w:rPr>
      <w:i/>
    </w:rPr>
  </w:style>
  <w:style w:type="paragraph" w:styleId="Caption">
    <w:name w:val="caption"/>
    <w:basedOn w:val="Normal"/>
    <w:next w:val="Normal"/>
    <w:qFormat/>
    <w:rsid w:val="0080629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AA2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484"/>
    <w:rPr>
      <w:rFonts w:ascii="Tahoma" w:hAnsi="Tahoma" w:cs="Tahoma"/>
      <w:sz w:val="16"/>
      <w:szCs w:val="16"/>
      <w:lang w:val="mk-MK" w:eastAsia="mk-MK"/>
    </w:rPr>
  </w:style>
  <w:style w:type="paragraph" w:styleId="ListParagraph">
    <w:name w:val="List Paragraph"/>
    <w:basedOn w:val="Normal"/>
    <w:uiPriority w:val="34"/>
    <w:qFormat/>
    <w:rsid w:val="00F876A7"/>
    <w:pPr>
      <w:ind w:left="720"/>
      <w:contextualSpacing/>
    </w:pPr>
  </w:style>
  <w:style w:type="table" w:styleId="TableGrid">
    <w:name w:val="Table Grid"/>
    <w:basedOn w:val="TableNormal"/>
    <w:rsid w:val="008F4C0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827BA"/>
    <w:rPr>
      <w:sz w:val="22"/>
      <w:szCs w:val="22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WTPCSN73YJ26-6-1815</_dlc_DocId>
    <_dlc_DocIdUrl xmlns="8a3471f6-0f36-4ccf-b5ee-1ca67ea797ef">
      <Url>http://dm/EESC/2017/_layouts/DocIdRedir.aspx?ID=WTPCSN73YJ26-6-1815</Url>
      <Description>WTPCSN73YJ26-6-1815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a69ddb54-d4ad-4195-8174-7b7c39303c90" xsi:nil="true"/>
    <Procedure xmlns="8a3471f6-0f36-4ccf-b5ee-1ca67ea797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2017-07-25T12:00:00+00:00</ProductionDate>
    <DossierName_0 xmlns="http://schemas.microsoft.com/sharepoint/v3/fields">
      <Terms xmlns="http://schemas.microsoft.com/office/infopath/2007/PartnerControls"/>
    </DossierName_0>
    <FicheYear xmlns="8a3471f6-0f36-4ccf-b5ee-1ca67ea797ef">2017</FicheYear>
    <DocumentNumber xmlns="a69ddb54-d4ad-4195-8174-7b7c39303c90">3339</DocumentNumber>
    <DocumentVersion xmlns="8a3471f6-0f36-4ccf-b5ee-1ca67ea797ef">2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</Terms>
    </DocumentLanguage_0>
    <TaxCatchAll xmlns="8a3471f6-0f36-4ccf-b5ee-1ca67ea797ef">
      <Value>219</Value>
      <Value>17</Value>
      <Value>38</Value>
      <Value>150</Value>
      <Value>218</Value>
      <Value>6</Value>
      <Value>5</Value>
      <Value>4</Value>
      <Value>2</Value>
      <Value>1</Value>
    </TaxCatchAll>
    <MeetingDate xmlns="8a3471f6-0f36-4ccf-b5ee-1ca67ea797ef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8347</FicheNumber>
    <DocumentYear xmlns="8a3471f6-0f36-4ccf-b5ee-1ca67ea797ef">2017</DocumentYear>
    <DocumentPart xmlns="8a3471f6-0f36-4ccf-b5ee-1ca67ea797ef">0</DocumentPart>
    <AdoptionDate xmlns="8a3471f6-0f36-4ccf-b5ee-1ca67ea797ef" xsi:nil="true"/>
    <RequestingService xmlns="8a3471f6-0f36-4ccf-b5ee-1ca67ea797ef">Relations extérieures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BS</TermName>
          <TermId xmlns="http://schemas.microsoft.com/office/infopath/2007/PartnerControls">d3e5df2b-38f7-46ad-9663-e5afafe9a302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B3EE-3EBA-48DF-81EC-794C6F0A120E}">
  <ds:schemaRefs>
    <ds:schemaRef ds:uri="http://purl.org/dc/dcmitype/"/>
    <ds:schemaRef ds:uri="http://schemas.microsoft.com/office/2006/metadata/properties"/>
    <ds:schemaRef ds:uri="8a3471f6-0f36-4ccf-b5ee-1ca67ea797ef"/>
    <ds:schemaRef ds:uri="http://www.w3.org/XML/1998/namespace"/>
    <ds:schemaRef ds:uri="http://schemas.microsoft.com/sharepoint/v3/field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69ddb54-d4ad-4195-8174-7b7c39303c90"/>
  </ds:schemaRefs>
</ds:datastoreItem>
</file>

<file path=customXml/itemProps2.xml><?xml version="1.0" encoding="utf-8"?>
<ds:datastoreItem xmlns:ds="http://schemas.openxmlformats.org/officeDocument/2006/customXml" ds:itemID="{694C512D-DA0D-47A9-A1AD-3082D1980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96E9D-F192-416B-8D9C-6BA29693D0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E5A6B0-E6ED-417D-9816-FC8D648F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69ddb54-d4ad-4195-8174-7b7c3930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D17D82-31E9-4DED-9D9A-019EB5E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2253</Words>
  <Characters>13133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Final declaration - 6 Wetern Balkans Civil Society Forum</vt:lpstr>
      <vt:lpstr/>
      <vt:lpstr> </vt:lpstr>
    </vt:vector>
  </TitlesOfParts>
  <Company>CESE-CdR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declaration - 6 Wetern Balkans Civil Society Forum</dc:title>
  <dc:subject>Travaux consultatifs divers</dc:subject>
  <dc:creator>Nadja Kacicnik</dc:creator>
  <cp:keywords>EESC-2017-03339-00-02-TCD-TRA-MK</cp:keywords>
  <dc:description>Rapporteur: -_x000d_
Original language: EN_x000d_
Date of document: 25/07/2017_x000d_
Date of meeting: _x000d_
External documents: -_x000d_
Administrator responsible: Hoic David, telephone: + 2 546 9069_x000d_
_x000d_
Abstract:</dc:description>
  <cp:lastModifiedBy>Nadja Kacicnik</cp:lastModifiedBy>
  <cp:revision>2</cp:revision>
  <cp:lastPrinted>2017-07-14T07:23:00Z</cp:lastPrinted>
  <dcterms:created xsi:type="dcterms:W3CDTF">2017-07-25T08:59:00Z</dcterms:created>
  <dcterms:modified xsi:type="dcterms:W3CDTF">2017-07-25T08:59:00Z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19/07/2017, 17/07/2017, 05/07/2017, 09/06/2015, 09/06/2015, 09/06/2015, 26/05/2015</vt:lpwstr>
  </property>
  <property fmtid="{D5CDD505-2E9C-101B-9397-08002B2CF9AE}" pid="4" name="Pref_Time">
    <vt:lpwstr>15:37:51, 15:24:28, 11:18:20, 12:16:46, 11:58:47, 11:52:23, 11:53:44</vt:lpwstr>
  </property>
  <property fmtid="{D5CDD505-2E9C-101B-9397-08002B2CF9AE}" pid="5" name="Pref_User">
    <vt:lpwstr>enied, amett, enied, jhvi, mkop, hnic, hnic</vt:lpwstr>
  </property>
  <property fmtid="{D5CDD505-2E9C-101B-9397-08002B2CF9AE}" pid="6" name="Pref_FileName">
    <vt:lpwstr>EESC-2017-03339-00-02-TCD-ORI.docx, EESC-2017-03339-00-01-TCD-ORI.docx, EESC-2017-03339-00-00-TCD-ORI.docx, EESC-2015-02770-00-03-TCD-ORI.docx, EESC-2015-02770-00-03-TCD-TRA-EN-CRR.docx, EESC-2015-02770-00-03-TCD-CRR-EN.docx, EESC-2015-02770-00-01-TCD-CRR</vt:lpwstr>
  </property>
  <property fmtid="{D5CDD505-2E9C-101B-9397-08002B2CF9AE}" pid="7" name="StyleCheckSum">
    <vt:lpwstr>32471_C19273_P154_L58</vt:lpwstr>
  </property>
  <property fmtid="{D5CDD505-2E9C-101B-9397-08002B2CF9AE}" pid="8" name="ContentTypeId">
    <vt:lpwstr>0x010100EA97B91038054C99906057A708A1480A000224593A4FB8494193408E2BE75730F3</vt:lpwstr>
  </property>
  <property fmtid="{D5CDD505-2E9C-101B-9397-08002B2CF9AE}" pid="9" name="_dlc_DocIdItemGuid">
    <vt:lpwstr>3fe0b41a-15b3-4f00-8893-3175e5c044a5</vt:lpwstr>
  </property>
  <property fmtid="{D5CDD505-2E9C-101B-9397-08002B2CF9AE}" pid="10" name="AvailableTranslations">
    <vt:lpwstr>218;#MK|34ce48bb-063e-4413-a932-50853dc71c5c;#150;#BS|d3e5df2b-38f7-46ad-9663-e5afafe9a302;#4;#EN|f2175f21-25d7-44a3-96da-d6a61b075e1b;#38;#HR|2f555653-ed1a-4fe6-8362-9082d95989e5;#219;#SQ|5ac17240-8d11-45ec-9893-659b209d7a00</vt:lpwstr>
  </property>
  <property fmtid="{D5CDD505-2E9C-101B-9397-08002B2CF9AE}" pid="11" name="DossierName">
    <vt:lpwstr/>
  </property>
  <property fmtid="{D5CDD505-2E9C-101B-9397-08002B2CF9AE}" pid="12" name="DocumentStatus">
    <vt:lpwstr>2;#TRA|150d2a88-1431-44e6-a8ca-0bb753ab8672</vt:lpwstr>
  </property>
  <property fmtid="{D5CDD505-2E9C-101B-9397-08002B2CF9AE}" pid="13" name="Confidentiality">
    <vt:lpwstr>5;#Unrestricted|826e22d7-d029-4ec0-a450-0c28ff673572</vt:lpwstr>
  </property>
  <property fmtid="{D5CDD505-2E9C-101B-9397-08002B2CF9AE}" pid="14" name="OriginalLanguage">
    <vt:lpwstr>4;#EN|f2175f21-25d7-44a3-96da-d6a61b075e1b</vt:lpwstr>
  </property>
  <property fmtid="{D5CDD505-2E9C-101B-9397-08002B2CF9AE}" pid="15" name="MeetingName">
    <vt:lpwstr/>
  </property>
  <property fmtid="{D5CDD505-2E9C-101B-9397-08002B2CF9AE}" pid="16" name="VersionStatus">
    <vt:lpwstr>6;#Final|ea5e6674-7b27-4bac-b091-73adbb394efe</vt:lpwstr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17;#TCD|cd9d6eb6-3f4f-424a-b2d1-57c9d450eaaf</vt:lpwstr>
  </property>
  <property fmtid="{D5CDD505-2E9C-101B-9397-08002B2CF9AE}" pid="19" name="DocumentLanguage">
    <vt:lpwstr>218;#MK|34ce48bb-063e-4413-a932-50853dc71c5c</vt:lpwstr>
  </property>
  <property fmtid="{D5CDD505-2E9C-101B-9397-08002B2CF9AE}" pid="20" name="DocumentType_0">
    <vt:lpwstr>TCD|cd9d6eb6-3f4f-424a-b2d1-57c9d450eaaf</vt:lpwstr>
  </property>
  <property fmtid="{D5CDD505-2E9C-101B-9397-08002B2CF9AE}" pid="21" name="DocumentSource_0">
    <vt:lpwstr>EESC|422833ec-8d7e-4e65-8e4e-8bed07ffb729</vt:lpwstr>
  </property>
  <property fmtid="{D5CDD505-2E9C-101B-9397-08002B2CF9AE}" pid="22" name="FicheYear">
    <vt:i4>2017</vt:i4>
  </property>
  <property fmtid="{D5CDD505-2E9C-101B-9397-08002B2CF9AE}" pid="23" name="DocumentNumber">
    <vt:i4>3339</vt:i4>
  </property>
  <property fmtid="{D5CDD505-2E9C-101B-9397-08002B2CF9AE}" pid="24" name="DocumentVersion">
    <vt:i4>2</vt:i4>
  </property>
  <property fmtid="{D5CDD505-2E9C-101B-9397-08002B2CF9AE}" pid="25" name="DocumentPart">
    <vt:i4>0</vt:i4>
  </property>
  <property fmtid="{D5CDD505-2E9C-101B-9397-08002B2CF9AE}" pid="26" name="RequestingService">
    <vt:lpwstr>Relations extérieures</vt:lpwstr>
  </property>
  <property fmtid="{D5CDD505-2E9C-101B-9397-08002B2CF9AE}" pid="27" name="Confidentiality_0">
    <vt:lpwstr>Unrestricted|826e22d7-d029-4ec0-a450-0c28ff673572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DocumentLanguage_0">
    <vt:lpwstr>EN|f2175f21-25d7-44a3-96da-d6a61b075e1b</vt:lpwstr>
  </property>
  <property fmtid="{D5CDD505-2E9C-101B-9397-08002B2CF9AE}" pid="31" name="TaxCatchAll">
    <vt:lpwstr>219;#SQ|5ac17240-8d11-45ec-9893-659b209d7a00;#17;#TCD|cd9d6eb6-3f4f-424a-b2d1-57c9d450eaaf;#38;#HR|2f555653-ed1a-4fe6-8362-9082d95989e5;#150;#BS|d3e5df2b-38f7-46ad-9663-e5afafe9a302;#6;#Final|ea5e6674-7b27-4bac-b091-73adbb394efe;#5;#Unrestricted|826e22d7-</vt:lpwstr>
  </property>
  <property fmtid="{D5CDD505-2E9C-101B-9397-08002B2CF9AE}" pid="32" name="AvailableTranslations_0">
    <vt:lpwstr>BS|d3e5df2b-38f7-46ad-9663-e5afafe9a302;EN|f2175f21-25d7-44a3-96da-d6a61b075e1b;HR|2f555653-ed1a-4fe6-8362-9082d95989e5;SQ|5ac17240-8d11-45ec-9893-659b209d7a00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8347</vt:i4>
  </property>
  <property fmtid="{D5CDD505-2E9C-101B-9397-08002B2CF9AE}" pid="35" name="DocumentYear">
    <vt:i4>2017</vt:i4>
  </property>
  <property fmtid="{D5CDD505-2E9C-101B-9397-08002B2CF9AE}" pid="36" name="ProductionDate">
    <vt:filetime>2017-07-14T12:00:00Z</vt:filetime>
  </property>
  <property fmtid="{D5CDD505-2E9C-101B-9397-08002B2CF9AE}" pid="37" name="_dlc_DocId">
    <vt:lpwstr>WTPCSN73YJ26-6-1342</vt:lpwstr>
  </property>
  <property fmtid="{D5CDD505-2E9C-101B-9397-08002B2CF9AE}" pid="38" name="_dlc_DocIdUrl">
    <vt:lpwstr>http://dm/EESC/2017/_layouts/DocIdRedir.aspx?ID=WTPCSN73YJ26-6-1342, WTPCSN73YJ26-6-1342</vt:lpwstr>
  </property>
  <property fmtid="{D5CDD505-2E9C-101B-9397-08002B2CF9AE}" pid="39" name="DossierName_0">
    <vt:lpwstr/>
  </property>
  <property fmtid="{D5CDD505-2E9C-101B-9397-08002B2CF9AE}" pid="40" name="MeetingName_0">
    <vt:lpwstr/>
  </property>
</Properties>
</file>