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D5C68" w:rsidRDefault="00AF6F3E" w:rsidP="00377A77">
      <w:pPr>
        <w:snapToGrid w:val="0"/>
        <w:jc w:val="center"/>
      </w:pPr>
      <w:r w:rsidRPr="009D5C68">
        <w:rPr>
          <w:sz w:val="20"/>
          <w:lang w:eastAsia="en-US" w:bidi="ar-SA"/>
        </w:rPr>
        <mc:AlternateContent>
          <mc:Choice Requires="wps">
            <w:drawing>
              <wp:anchor distT="0" distB="0" distL="114300" distR="114300" simplePos="0" relativeHeight="251659264" behindDoc="1" locked="0" layoutInCell="0" allowOverlap="1" wp14:anchorId="4013526C" wp14:editId="404DBFE4">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BF" w:rsidRPr="004C07BF" w:rsidRDefault="004C07BF" w:rsidP="00AF6F3E">
                            <w:pPr>
                              <w:jc w:val="center"/>
                              <w:rPr>
                                <w:rFonts w:ascii="Arial" w:hAnsi="Arial" w:cs="Arial"/>
                                <w:b/>
                                <w:bCs/>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4C07BF" w:rsidRPr="004C07BF" w:rsidRDefault="004C07BF" w:rsidP="00AF6F3E">
                      <w:pPr>
                        <w:jc w:val="center"/>
                        <w:rPr>
                          <w:rFonts w:ascii="Arial" w:hAnsi="Arial" w:cs="Arial"/>
                          <w:b/>
                          <w:bCs/>
                          <w:sz w:val="48"/>
                        </w:rPr>
                      </w:pPr>
                      <w:r>
                        <w:rPr>
                          <w:rFonts w:ascii="Arial" w:hAnsi="Arial"/>
                          <w:b/>
                          <w:sz w:val="48"/>
                        </w:rPr>
                        <w:t>SV</w:t>
                      </w:r>
                    </w:p>
                  </w:txbxContent>
                </v:textbox>
                <w10:wrap anchorx="page" anchory="page"/>
              </v:shape>
            </w:pict>
          </mc:Fallback>
        </mc:AlternateContent>
      </w:r>
      <w:r w:rsidRPr="009D5C68">
        <w:rPr>
          <w:lang w:eastAsia="en-US" w:bidi="ar-SA"/>
        </w:rPr>
        <w:drawing>
          <wp:inline distT="0" distB="0" distL="0" distR="0" wp14:anchorId="01C772B0" wp14:editId="5B8769C8">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D5C68" w:rsidRDefault="008405A0" w:rsidP="00377A77">
      <w:pPr>
        <w:snapToGrid w:val="0"/>
        <w:jc w:val="center"/>
        <w:rPr>
          <w:rFonts w:ascii="Arial" w:eastAsia="MS Mincho" w:hAnsi="Arial" w:cs="Arial"/>
          <w:b/>
          <w:i/>
          <w:sz w:val="20"/>
        </w:rPr>
      </w:pPr>
      <w:r w:rsidRPr="009D5C68">
        <w:rPr>
          <w:rFonts w:ascii="Arial" w:hAnsi="Arial"/>
          <w:b/>
          <w:i/>
          <w:sz w:val="20"/>
        </w:rPr>
        <w:t>Europeiska ekonomiska och sociala kommittén</w:t>
      </w:r>
    </w:p>
    <w:p w:rsidR="008405A0" w:rsidRPr="009D5C68" w:rsidRDefault="008405A0" w:rsidP="00377A77">
      <w:pPr>
        <w:snapToGrid w:val="0"/>
      </w:pPr>
    </w:p>
    <w:p w:rsidR="008405A0" w:rsidRPr="009D5C68" w:rsidRDefault="008405A0" w:rsidP="00377A77">
      <w:pPr>
        <w:snapToGrid w:val="0"/>
      </w:pPr>
    </w:p>
    <w:p w:rsidR="008405A0" w:rsidRPr="009D5C68" w:rsidRDefault="008405A0" w:rsidP="00377A77">
      <w:pPr>
        <w:snapToGrid w:val="0"/>
        <w:jc w:val="right"/>
        <w:rPr>
          <w:rFonts w:eastAsia="MS Mincho"/>
        </w:rPr>
      </w:pPr>
      <w:r w:rsidRPr="009D5C68">
        <w:t>Bryssel den 20 april 2017</w:t>
      </w:r>
    </w:p>
    <w:p w:rsidR="008405A0" w:rsidRPr="009D5C68" w:rsidRDefault="008405A0" w:rsidP="00377A77">
      <w:pPr>
        <w:snapToGrid w:val="0"/>
      </w:pPr>
    </w:p>
    <w:p w:rsidR="008405A0" w:rsidRPr="009D5C68" w:rsidRDefault="008405A0" w:rsidP="00377A77">
      <w:pPr>
        <w:snapToGrid w:val="0"/>
      </w:pPr>
    </w:p>
    <w:p w:rsidR="00AF6F3E" w:rsidRPr="009D5C68" w:rsidRDefault="00AF6F3E" w:rsidP="00377A77">
      <w:pPr>
        <w:snapToGrid w:val="0"/>
      </w:pPr>
    </w:p>
    <w:tbl>
      <w:tblPr>
        <w:tblW w:w="0" w:type="auto"/>
        <w:tblLayout w:type="fixed"/>
        <w:tblLook w:val="0000" w:firstRow="0" w:lastRow="0" w:firstColumn="0" w:lastColumn="0" w:noHBand="0" w:noVBand="0"/>
      </w:tblPr>
      <w:tblGrid>
        <w:gridCol w:w="9289"/>
      </w:tblGrid>
      <w:tr w:rsidR="008405A0" w:rsidRPr="009D5C68" w:rsidTr="00A72D7A">
        <w:tc>
          <w:tcPr>
            <w:tcW w:w="9289" w:type="dxa"/>
            <w:tcBorders>
              <w:top w:val="nil"/>
              <w:left w:val="nil"/>
              <w:bottom w:val="double" w:sz="4" w:space="0" w:color="auto"/>
              <w:right w:val="nil"/>
            </w:tcBorders>
          </w:tcPr>
          <w:p w:rsidR="008405A0" w:rsidRPr="009D5C68" w:rsidRDefault="0072400C" w:rsidP="00377A77">
            <w:pPr>
              <w:snapToGrid w:val="0"/>
              <w:jc w:val="center"/>
              <w:rPr>
                <w:rFonts w:eastAsia="MS Mincho"/>
                <w:b/>
                <w:sz w:val="32"/>
              </w:rPr>
            </w:pPr>
            <w:r w:rsidRPr="009D5C68">
              <w:rPr>
                <w:b/>
                <w:sz w:val="32"/>
              </w:rPr>
              <w:t xml:space="preserve">PLENARSESSIONEN </w:t>
            </w:r>
            <w:r w:rsidRPr="009D5C68">
              <w:rPr>
                <w:b/>
                <w:sz w:val="32"/>
              </w:rPr>
              <w:br/>
              <w:t xml:space="preserve"> </w:t>
            </w:r>
            <w:r w:rsidRPr="009D5C68">
              <w:rPr>
                <w:b/>
                <w:sz w:val="32"/>
              </w:rPr>
              <w:br/>
              <w:t xml:space="preserve">DEN 29–30 MARS 2017 </w:t>
            </w:r>
            <w:r w:rsidRPr="009D5C68">
              <w:rPr>
                <w:b/>
                <w:sz w:val="32"/>
              </w:rPr>
              <w:br/>
              <w:t xml:space="preserve"> </w:t>
            </w:r>
            <w:r w:rsidRPr="009D5C68">
              <w:rPr>
                <w:b/>
                <w:sz w:val="32"/>
              </w:rPr>
              <w:br/>
              <w:t>SAMMANFATTNING AV ANTAGNA YTTRANDEN</w:t>
            </w:r>
          </w:p>
          <w:p w:rsidR="008405A0" w:rsidRPr="009D5C68" w:rsidRDefault="008405A0" w:rsidP="00377A77"/>
          <w:p w:rsidR="008405A0" w:rsidRPr="009D5C68" w:rsidRDefault="008405A0" w:rsidP="00377A77"/>
        </w:tc>
      </w:tr>
      <w:tr w:rsidR="008405A0" w:rsidRPr="009D5C68" w:rsidTr="00A72D7A">
        <w:tc>
          <w:tcPr>
            <w:tcW w:w="9289" w:type="dxa"/>
            <w:tcBorders>
              <w:top w:val="double" w:sz="4" w:space="0" w:color="auto"/>
              <w:left w:val="double" w:sz="4" w:space="0" w:color="auto"/>
              <w:bottom w:val="double" w:sz="4" w:space="0" w:color="auto"/>
              <w:right w:val="double" w:sz="4" w:space="0" w:color="auto"/>
            </w:tcBorders>
          </w:tcPr>
          <w:p w:rsidR="008405A0" w:rsidRPr="009D5C68" w:rsidRDefault="00A31921" w:rsidP="00377A77">
            <w:pPr>
              <w:snapToGrid w:val="0"/>
              <w:jc w:val="center"/>
              <w:rPr>
                <w:rFonts w:eastAsia="MS Mincho"/>
                <w:b/>
              </w:rPr>
            </w:pPr>
            <w:r w:rsidRPr="009D5C68">
              <w:rPr>
                <w:b/>
              </w:rPr>
              <w:t>Detta dokument finns tillgängligt på de officiella språken på kommitténs webbplats på följande adress:</w:t>
            </w:r>
          </w:p>
          <w:p w:rsidR="008405A0" w:rsidRPr="009D5C68" w:rsidRDefault="008405A0" w:rsidP="00377A77">
            <w:pPr>
              <w:snapToGrid w:val="0"/>
              <w:jc w:val="center"/>
              <w:rPr>
                <w:b/>
              </w:rPr>
            </w:pPr>
          </w:p>
          <w:p w:rsidR="008405A0" w:rsidRPr="009D5C68" w:rsidRDefault="009D5C68" w:rsidP="00377A77">
            <w:pPr>
              <w:jc w:val="center"/>
              <w:rPr>
                <w:rFonts w:eastAsia="MS Mincho"/>
                <w:b/>
              </w:rPr>
            </w:pPr>
            <w:hyperlink r:id="rId14" w:anchor="/boxTab1-2">
              <w:r w:rsidR="00184B28" w:rsidRPr="009D5C68">
                <w:rPr>
                  <w:rStyle w:val="Hyperlink"/>
                  <w:b/>
                </w:rPr>
                <w:t>http://www.eesc.europa.eu/?i=portal.en.documents#/boxTab1-2</w:t>
              </w:r>
            </w:hyperlink>
          </w:p>
          <w:p w:rsidR="008405A0" w:rsidRPr="009D5C68" w:rsidRDefault="008405A0" w:rsidP="00377A77">
            <w:pPr>
              <w:snapToGrid w:val="0"/>
              <w:jc w:val="center"/>
            </w:pPr>
          </w:p>
          <w:p w:rsidR="008405A0" w:rsidRPr="009D5C68" w:rsidRDefault="008405A0" w:rsidP="00377A77">
            <w:pPr>
              <w:snapToGrid w:val="0"/>
              <w:jc w:val="center"/>
              <w:rPr>
                <w:rFonts w:eastAsia="SimSun"/>
                <w:b/>
              </w:rPr>
            </w:pPr>
          </w:p>
          <w:p w:rsidR="008405A0" w:rsidRPr="009D5C68" w:rsidRDefault="008405A0" w:rsidP="00377A77">
            <w:pPr>
              <w:snapToGrid w:val="0"/>
              <w:jc w:val="center"/>
              <w:rPr>
                <w:rFonts w:eastAsia="MS Mincho"/>
                <w:b/>
              </w:rPr>
            </w:pPr>
            <w:r w:rsidRPr="009D5C68">
              <w:rPr>
                <w:b/>
              </w:rPr>
              <w:t>De yttranden som tas upp finns tillgängliga på internet via kommitténs sökmotor:</w:t>
            </w:r>
          </w:p>
          <w:p w:rsidR="008405A0" w:rsidRPr="009D5C68" w:rsidRDefault="008405A0" w:rsidP="00377A77">
            <w:pPr>
              <w:snapToGrid w:val="0"/>
              <w:jc w:val="center"/>
              <w:rPr>
                <w:b/>
              </w:rPr>
            </w:pPr>
          </w:p>
          <w:p w:rsidR="008405A0" w:rsidRPr="009D5C68" w:rsidRDefault="009D5C68" w:rsidP="00377A77">
            <w:pPr>
              <w:jc w:val="center"/>
              <w:rPr>
                <w:rFonts w:eastAsia="MS Mincho"/>
                <w:b/>
              </w:rPr>
            </w:pPr>
            <w:hyperlink r:id="rId15">
              <w:r w:rsidR="00184B28" w:rsidRPr="009D5C68">
                <w:rPr>
                  <w:rStyle w:val="Hyperlink"/>
                  <w:b/>
                </w:rPr>
                <w:t>http://www.eesc.europa.eu/?i=portal.en.opinions-search</w:t>
              </w:r>
            </w:hyperlink>
          </w:p>
          <w:p w:rsidR="008405A0" w:rsidRPr="009D5C68" w:rsidRDefault="008405A0" w:rsidP="00377A77">
            <w:pPr>
              <w:snapToGrid w:val="0"/>
              <w:jc w:val="center"/>
              <w:rPr>
                <w:b/>
                <w:bCs/>
              </w:rPr>
            </w:pPr>
          </w:p>
        </w:tc>
      </w:tr>
    </w:tbl>
    <w:p w:rsidR="008405A0" w:rsidRPr="009D5C68" w:rsidRDefault="008405A0" w:rsidP="00377A77">
      <w:pPr>
        <w:snapToGrid w:val="0"/>
      </w:pPr>
    </w:p>
    <w:p w:rsidR="008F7791" w:rsidRPr="009D5C68" w:rsidRDefault="008F7791" w:rsidP="008F7791">
      <w:pPr>
        <w:rPr>
          <w:rFonts w:eastAsia="SimSun"/>
          <w:sz w:val="28"/>
        </w:rPr>
      </w:pPr>
    </w:p>
    <w:p w:rsidR="008F7791" w:rsidRPr="009D5C68" w:rsidRDefault="008F7791" w:rsidP="008F7791">
      <w:pPr>
        <w:rPr>
          <w:rFonts w:eastAsia="SimSun"/>
          <w:sz w:val="28"/>
        </w:rPr>
      </w:pPr>
    </w:p>
    <w:p w:rsidR="00A9340A" w:rsidRPr="009D5C68" w:rsidRDefault="00A9340A" w:rsidP="008F7791">
      <w:pPr>
        <w:rPr>
          <w:rFonts w:eastAsia="SimSun"/>
          <w:sz w:val="28"/>
        </w:rPr>
        <w:sectPr w:rsidR="00A9340A" w:rsidRPr="009D5C68" w:rsidSect="006867BE">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9D5C68" w:rsidRDefault="008405A0" w:rsidP="00377A77">
      <w:pPr>
        <w:snapToGrid w:val="0"/>
        <w:rPr>
          <w:rFonts w:eastAsia="MS Mincho"/>
          <w:b/>
          <w:sz w:val="28"/>
          <w:u w:val="single"/>
        </w:rPr>
      </w:pPr>
      <w:bookmarkStart w:id="0" w:name="_GoBack"/>
      <w:bookmarkEnd w:id="0"/>
      <w:r w:rsidRPr="009D5C68">
        <w:rPr>
          <w:b/>
        </w:rPr>
        <w:lastRenderedPageBreak/>
        <w:t>Sammanfattning:</w:t>
      </w:r>
    </w:p>
    <w:p w:rsidR="00D16D76" w:rsidRPr="009D5C68" w:rsidRDefault="00D16D76" w:rsidP="004C07BF"/>
    <w:p w:rsidR="00F114BF" w:rsidRPr="009D5C68" w:rsidRDefault="00FC45F0">
      <w:pPr>
        <w:pStyle w:val="TOC1"/>
        <w:rPr>
          <w:rFonts w:asciiTheme="minorHAnsi" w:eastAsiaTheme="minorEastAsia" w:hAnsiTheme="minorHAnsi" w:cstheme="minorBidi"/>
          <w:lang w:eastAsia="en-US" w:bidi="ar-SA"/>
        </w:rPr>
      </w:pPr>
      <w:r w:rsidRPr="009D5C68">
        <w:rPr>
          <w:b/>
        </w:rPr>
        <w:fldChar w:fldCharType="begin"/>
      </w:r>
      <w:r w:rsidRPr="009D5C68">
        <w:rPr>
          <w:b/>
        </w:rPr>
        <w:instrText xml:space="preserve"> TOC \o "1-1" \h \z \u </w:instrText>
      </w:r>
      <w:r w:rsidRPr="009D5C68">
        <w:rPr>
          <w:b/>
        </w:rPr>
        <w:fldChar w:fldCharType="separate"/>
      </w:r>
      <w:hyperlink w:anchor="_Toc480448236" w:history="1">
        <w:r w:rsidR="00F114BF" w:rsidRPr="009D5C68">
          <w:rPr>
            <w:rStyle w:val="Hyperlink"/>
            <w:b/>
          </w:rPr>
          <w:t>1.</w:t>
        </w:r>
        <w:r w:rsidR="00F114BF" w:rsidRPr="009D5C68">
          <w:rPr>
            <w:rFonts w:asciiTheme="minorHAnsi" w:eastAsiaTheme="minorEastAsia" w:hAnsiTheme="minorHAnsi" w:cstheme="minorBidi"/>
            <w:lang w:eastAsia="en-US" w:bidi="ar-SA"/>
          </w:rPr>
          <w:tab/>
        </w:r>
        <w:r w:rsidR="00F114BF" w:rsidRPr="009D5C68">
          <w:rPr>
            <w:rStyle w:val="Hyperlink"/>
            <w:b/>
          </w:rPr>
          <w:t>SOCIALA FRÅGOR</w:t>
        </w:r>
        <w:r w:rsidR="00F114BF" w:rsidRPr="009D5C68">
          <w:rPr>
            <w:webHidden/>
          </w:rPr>
          <w:tab/>
        </w:r>
        <w:r w:rsidR="00F114BF" w:rsidRPr="009D5C68">
          <w:rPr>
            <w:webHidden/>
          </w:rPr>
          <w:fldChar w:fldCharType="begin"/>
        </w:r>
        <w:r w:rsidR="00F114BF" w:rsidRPr="009D5C68">
          <w:rPr>
            <w:webHidden/>
          </w:rPr>
          <w:instrText xml:space="preserve"> PAGEREF _Toc480448236 \h </w:instrText>
        </w:r>
        <w:r w:rsidR="00F114BF" w:rsidRPr="009D5C68">
          <w:rPr>
            <w:webHidden/>
          </w:rPr>
        </w:r>
        <w:r w:rsidR="00F114BF" w:rsidRPr="009D5C68">
          <w:rPr>
            <w:webHidden/>
          </w:rPr>
          <w:fldChar w:fldCharType="separate"/>
        </w:r>
        <w:r w:rsidR="00F114BF" w:rsidRPr="009D5C68">
          <w:rPr>
            <w:webHidden/>
          </w:rPr>
          <w:t>3</w:t>
        </w:r>
        <w:r w:rsidR="00F114BF" w:rsidRPr="009D5C68">
          <w:rPr>
            <w:webHidden/>
          </w:rPr>
          <w:fldChar w:fldCharType="end"/>
        </w:r>
      </w:hyperlink>
    </w:p>
    <w:p w:rsidR="00F114BF" w:rsidRPr="009D5C68" w:rsidRDefault="009D5C68">
      <w:pPr>
        <w:pStyle w:val="TOC1"/>
        <w:rPr>
          <w:rFonts w:asciiTheme="minorHAnsi" w:eastAsiaTheme="minorEastAsia" w:hAnsiTheme="minorHAnsi" w:cstheme="minorBidi"/>
          <w:lang w:eastAsia="en-US" w:bidi="ar-SA"/>
        </w:rPr>
      </w:pPr>
      <w:hyperlink w:anchor="_Toc480448237" w:history="1">
        <w:r w:rsidR="00F114BF" w:rsidRPr="009D5C68">
          <w:rPr>
            <w:rStyle w:val="Hyperlink"/>
            <w:b/>
          </w:rPr>
          <w:t>2.</w:t>
        </w:r>
        <w:r w:rsidR="00F114BF" w:rsidRPr="009D5C68">
          <w:rPr>
            <w:rFonts w:asciiTheme="minorHAnsi" w:eastAsiaTheme="minorEastAsia" w:hAnsiTheme="minorHAnsi" w:cstheme="minorBidi"/>
            <w:lang w:eastAsia="en-US" w:bidi="ar-SA"/>
          </w:rPr>
          <w:tab/>
        </w:r>
        <w:r w:rsidR="00F114BF" w:rsidRPr="009D5C68">
          <w:rPr>
            <w:rStyle w:val="Hyperlink"/>
            <w:b/>
          </w:rPr>
          <w:t>KONSUMENTER/SOCIALPOLITIK</w:t>
        </w:r>
        <w:r w:rsidR="00F114BF" w:rsidRPr="009D5C68">
          <w:rPr>
            <w:webHidden/>
          </w:rPr>
          <w:tab/>
        </w:r>
        <w:r w:rsidR="00F114BF" w:rsidRPr="009D5C68">
          <w:rPr>
            <w:webHidden/>
          </w:rPr>
          <w:fldChar w:fldCharType="begin"/>
        </w:r>
        <w:r w:rsidR="00F114BF" w:rsidRPr="009D5C68">
          <w:rPr>
            <w:webHidden/>
          </w:rPr>
          <w:instrText xml:space="preserve"> PAGEREF _Toc480448237 \h </w:instrText>
        </w:r>
        <w:r w:rsidR="00F114BF" w:rsidRPr="009D5C68">
          <w:rPr>
            <w:webHidden/>
          </w:rPr>
        </w:r>
        <w:r w:rsidR="00F114BF" w:rsidRPr="009D5C68">
          <w:rPr>
            <w:webHidden/>
          </w:rPr>
          <w:fldChar w:fldCharType="separate"/>
        </w:r>
        <w:r w:rsidR="00F114BF" w:rsidRPr="009D5C68">
          <w:rPr>
            <w:webHidden/>
          </w:rPr>
          <w:t>4</w:t>
        </w:r>
        <w:r w:rsidR="00F114BF" w:rsidRPr="009D5C68">
          <w:rPr>
            <w:webHidden/>
          </w:rPr>
          <w:fldChar w:fldCharType="end"/>
        </w:r>
      </w:hyperlink>
    </w:p>
    <w:p w:rsidR="00F114BF" w:rsidRPr="009D5C68" w:rsidRDefault="009D5C68">
      <w:pPr>
        <w:pStyle w:val="TOC1"/>
        <w:rPr>
          <w:rFonts w:asciiTheme="minorHAnsi" w:eastAsiaTheme="minorEastAsia" w:hAnsiTheme="minorHAnsi" w:cstheme="minorBidi"/>
          <w:lang w:eastAsia="en-US" w:bidi="ar-SA"/>
        </w:rPr>
      </w:pPr>
      <w:hyperlink w:anchor="_Toc480448238" w:history="1">
        <w:r w:rsidR="00F114BF" w:rsidRPr="009D5C68">
          <w:rPr>
            <w:rStyle w:val="Hyperlink"/>
            <w:b/>
          </w:rPr>
          <w:t>3.</w:t>
        </w:r>
        <w:r w:rsidR="00F114BF" w:rsidRPr="009D5C68">
          <w:rPr>
            <w:rFonts w:asciiTheme="minorHAnsi" w:eastAsiaTheme="minorEastAsia" w:hAnsiTheme="minorHAnsi" w:cstheme="minorBidi"/>
            <w:lang w:eastAsia="en-US" w:bidi="ar-SA"/>
          </w:rPr>
          <w:tab/>
        </w:r>
        <w:r w:rsidR="00F114BF" w:rsidRPr="009D5C68">
          <w:rPr>
            <w:rStyle w:val="Hyperlink"/>
            <w:b/>
          </w:rPr>
          <w:t>TILLVÄXT OCH INNOVATION</w:t>
        </w:r>
        <w:r w:rsidR="00F114BF" w:rsidRPr="009D5C68">
          <w:rPr>
            <w:webHidden/>
          </w:rPr>
          <w:tab/>
        </w:r>
        <w:r w:rsidR="00F114BF" w:rsidRPr="009D5C68">
          <w:rPr>
            <w:webHidden/>
          </w:rPr>
          <w:fldChar w:fldCharType="begin"/>
        </w:r>
        <w:r w:rsidR="00F114BF" w:rsidRPr="009D5C68">
          <w:rPr>
            <w:webHidden/>
          </w:rPr>
          <w:instrText xml:space="preserve"> PAGEREF _Toc480448238 \h </w:instrText>
        </w:r>
        <w:r w:rsidR="00F114BF" w:rsidRPr="009D5C68">
          <w:rPr>
            <w:webHidden/>
          </w:rPr>
        </w:r>
        <w:r w:rsidR="00F114BF" w:rsidRPr="009D5C68">
          <w:rPr>
            <w:webHidden/>
          </w:rPr>
          <w:fldChar w:fldCharType="separate"/>
        </w:r>
        <w:r w:rsidR="00F114BF" w:rsidRPr="009D5C68">
          <w:rPr>
            <w:webHidden/>
          </w:rPr>
          <w:t>5</w:t>
        </w:r>
        <w:r w:rsidR="00F114BF" w:rsidRPr="009D5C68">
          <w:rPr>
            <w:webHidden/>
          </w:rPr>
          <w:fldChar w:fldCharType="end"/>
        </w:r>
      </w:hyperlink>
    </w:p>
    <w:p w:rsidR="00F114BF" w:rsidRPr="009D5C68" w:rsidRDefault="009D5C68">
      <w:pPr>
        <w:pStyle w:val="TOC1"/>
        <w:rPr>
          <w:rFonts w:asciiTheme="minorHAnsi" w:eastAsiaTheme="minorEastAsia" w:hAnsiTheme="minorHAnsi" w:cstheme="minorBidi"/>
          <w:lang w:eastAsia="en-US" w:bidi="ar-SA"/>
        </w:rPr>
      </w:pPr>
      <w:hyperlink w:anchor="_Toc480448239" w:history="1">
        <w:r w:rsidR="00F114BF" w:rsidRPr="009D5C68">
          <w:rPr>
            <w:rStyle w:val="Hyperlink"/>
            <w:b/>
          </w:rPr>
          <w:t>4.</w:t>
        </w:r>
        <w:r w:rsidR="00F114BF" w:rsidRPr="009D5C68">
          <w:rPr>
            <w:rFonts w:asciiTheme="minorHAnsi" w:eastAsiaTheme="minorEastAsia" w:hAnsiTheme="minorHAnsi" w:cstheme="minorBidi"/>
            <w:lang w:eastAsia="en-US" w:bidi="ar-SA"/>
          </w:rPr>
          <w:tab/>
        </w:r>
        <w:r w:rsidR="00F114BF" w:rsidRPr="009D5C68">
          <w:rPr>
            <w:rStyle w:val="Hyperlink"/>
            <w:b/>
          </w:rPr>
          <w:t>EKONOMISK STYRNING/FINANSIERINGSINSTRUMENT/BESKATTNING</w:t>
        </w:r>
        <w:r w:rsidR="00F114BF" w:rsidRPr="009D5C68">
          <w:rPr>
            <w:webHidden/>
          </w:rPr>
          <w:tab/>
        </w:r>
        <w:r w:rsidR="00F114BF" w:rsidRPr="009D5C68">
          <w:rPr>
            <w:webHidden/>
          </w:rPr>
          <w:fldChar w:fldCharType="begin"/>
        </w:r>
        <w:r w:rsidR="00F114BF" w:rsidRPr="009D5C68">
          <w:rPr>
            <w:webHidden/>
          </w:rPr>
          <w:instrText xml:space="preserve"> PAGEREF _Toc480448239 \h </w:instrText>
        </w:r>
        <w:r w:rsidR="00F114BF" w:rsidRPr="009D5C68">
          <w:rPr>
            <w:webHidden/>
          </w:rPr>
        </w:r>
        <w:r w:rsidR="00F114BF" w:rsidRPr="009D5C68">
          <w:rPr>
            <w:webHidden/>
          </w:rPr>
          <w:fldChar w:fldCharType="separate"/>
        </w:r>
        <w:r w:rsidR="00F114BF" w:rsidRPr="009D5C68">
          <w:rPr>
            <w:webHidden/>
          </w:rPr>
          <w:t>6</w:t>
        </w:r>
        <w:r w:rsidR="00F114BF" w:rsidRPr="009D5C68">
          <w:rPr>
            <w:webHidden/>
          </w:rPr>
          <w:fldChar w:fldCharType="end"/>
        </w:r>
      </w:hyperlink>
    </w:p>
    <w:p w:rsidR="00F114BF" w:rsidRPr="009D5C68" w:rsidRDefault="009D5C68">
      <w:pPr>
        <w:pStyle w:val="TOC1"/>
        <w:rPr>
          <w:rFonts w:asciiTheme="minorHAnsi" w:eastAsiaTheme="minorEastAsia" w:hAnsiTheme="minorHAnsi" w:cstheme="minorBidi"/>
          <w:lang w:eastAsia="en-US" w:bidi="ar-SA"/>
        </w:rPr>
      </w:pPr>
      <w:hyperlink w:anchor="_Toc480448240" w:history="1">
        <w:r w:rsidR="00F114BF" w:rsidRPr="009D5C68">
          <w:rPr>
            <w:rStyle w:val="Hyperlink"/>
            <w:b/>
          </w:rPr>
          <w:t>5.</w:t>
        </w:r>
        <w:r w:rsidR="00F114BF" w:rsidRPr="009D5C68">
          <w:rPr>
            <w:rFonts w:asciiTheme="minorHAnsi" w:eastAsiaTheme="minorEastAsia" w:hAnsiTheme="minorHAnsi" w:cstheme="minorBidi"/>
            <w:lang w:eastAsia="en-US" w:bidi="ar-SA"/>
          </w:rPr>
          <w:tab/>
        </w:r>
        <w:r w:rsidR="00F114BF" w:rsidRPr="009D5C68">
          <w:rPr>
            <w:rStyle w:val="Hyperlink"/>
            <w:b/>
          </w:rPr>
          <w:t>INDUSTRI/INNOVATION</w:t>
        </w:r>
        <w:r w:rsidR="00F114BF" w:rsidRPr="009D5C68">
          <w:rPr>
            <w:webHidden/>
          </w:rPr>
          <w:tab/>
        </w:r>
        <w:r w:rsidR="00F114BF" w:rsidRPr="009D5C68">
          <w:rPr>
            <w:webHidden/>
          </w:rPr>
          <w:fldChar w:fldCharType="begin"/>
        </w:r>
        <w:r w:rsidR="00F114BF" w:rsidRPr="009D5C68">
          <w:rPr>
            <w:webHidden/>
          </w:rPr>
          <w:instrText xml:space="preserve"> PAGEREF _Toc480448240 \h </w:instrText>
        </w:r>
        <w:r w:rsidR="00F114BF" w:rsidRPr="009D5C68">
          <w:rPr>
            <w:webHidden/>
          </w:rPr>
        </w:r>
        <w:r w:rsidR="00F114BF" w:rsidRPr="009D5C68">
          <w:rPr>
            <w:webHidden/>
          </w:rPr>
          <w:fldChar w:fldCharType="separate"/>
        </w:r>
        <w:r w:rsidR="00F114BF" w:rsidRPr="009D5C68">
          <w:rPr>
            <w:webHidden/>
          </w:rPr>
          <w:t>10</w:t>
        </w:r>
        <w:r w:rsidR="00F114BF" w:rsidRPr="009D5C68">
          <w:rPr>
            <w:webHidden/>
          </w:rPr>
          <w:fldChar w:fldCharType="end"/>
        </w:r>
      </w:hyperlink>
    </w:p>
    <w:p w:rsidR="00F114BF" w:rsidRPr="009D5C68" w:rsidRDefault="009D5C68">
      <w:pPr>
        <w:pStyle w:val="TOC1"/>
        <w:rPr>
          <w:rFonts w:asciiTheme="minorHAnsi" w:eastAsiaTheme="minorEastAsia" w:hAnsiTheme="minorHAnsi" w:cstheme="minorBidi"/>
          <w:lang w:eastAsia="en-US" w:bidi="ar-SA"/>
        </w:rPr>
      </w:pPr>
      <w:hyperlink w:anchor="_Toc480448241" w:history="1">
        <w:r w:rsidR="00F114BF" w:rsidRPr="009D5C68">
          <w:rPr>
            <w:rStyle w:val="Hyperlink"/>
            <w:b/>
            <w:iCs/>
          </w:rPr>
          <w:t>6.</w:t>
        </w:r>
        <w:r w:rsidR="00F114BF" w:rsidRPr="009D5C68">
          <w:rPr>
            <w:rFonts w:asciiTheme="minorHAnsi" w:eastAsiaTheme="minorEastAsia" w:hAnsiTheme="minorHAnsi" w:cstheme="minorBidi"/>
            <w:lang w:eastAsia="en-US" w:bidi="ar-SA"/>
          </w:rPr>
          <w:tab/>
        </w:r>
        <w:r w:rsidR="00F114BF" w:rsidRPr="009D5C68">
          <w:rPr>
            <w:rStyle w:val="Hyperlink"/>
            <w:b/>
          </w:rPr>
          <w:t>INRE MARKNADEN</w:t>
        </w:r>
        <w:r w:rsidR="00F114BF" w:rsidRPr="009D5C68">
          <w:rPr>
            <w:webHidden/>
          </w:rPr>
          <w:tab/>
        </w:r>
        <w:r w:rsidR="00F114BF" w:rsidRPr="009D5C68">
          <w:rPr>
            <w:webHidden/>
          </w:rPr>
          <w:fldChar w:fldCharType="begin"/>
        </w:r>
        <w:r w:rsidR="00F114BF" w:rsidRPr="009D5C68">
          <w:rPr>
            <w:webHidden/>
          </w:rPr>
          <w:instrText xml:space="preserve"> PAGEREF _Toc480448241 \h </w:instrText>
        </w:r>
        <w:r w:rsidR="00F114BF" w:rsidRPr="009D5C68">
          <w:rPr>
            <w:webHidden/>
          </w:rPr>
        </w:r>
        <w:r w:rsidR="00F114BF" w:rsidRPr="009D5C68">
          <w:rPr>
            <w:webHidden/>
          </w:rPr>
          <w:fldChar w:fldCharType="separate"/>
        </w:r>
        <w:r w:rsidR="00F114BF" w:rsidRPr="009D5C68">
          <w:rPr>
            <w:webHidden/>
          </w:rPr>
          <w:t>11</w:t>
        </w:r>
        <w:r w:rsidR="00F114BF" w:rsidRPr="009D5C68">
          <w:rPr>
            <w:webHidden/>
          </w:rPr>
          <w:fldChar w:fldCharType="end"/>
        </w:r>
      </w:hyperlink>
    </w:p>
    <w:p w:rsidR="00F114BF" w:rsidRPr="009D5C68" w:rsidRDefault="009D5C68">
      <w:pPr>
        <w:pStyle w:val="TOC1"/>
        <w:rPr>
          <w:rFonts w:asciiTheme="minorHAnsi" w:eastAsiaTheme="minorEastAsia" w:hAnsiTheme="minorHAnsi" w:cstheme="minorBidi"/>
          <w:lang w:eastAsia="en-US" w:bidi="ar-SA"/>
        </w:rPr>
      </w:pPr>
      <w:hyperlink w:anchor="_Toc480448242" w:history="1">
        <w:r w:rsidR="00F114BF" w:rsidRPr="009D5C68">
          <w:rPr>
            <w:rStyle w:val="Hyperlink"/>
            <w:b/>
            <w:iCs/>
          </w:rPr>
          <w:t>7.</w:t>
        </w:r>
        <w:r w:rsidR="00F114BF" w:rsidRPr="009D5C68">
          <w:rPr>
            <w:rFonts w:asciiTheme="minorHAnsi" w:eastAsiaTheme="minorEastAsia" w:hAnsiTheme="minorHAnsi" w:cstheme="minorBidi"/>
            <w:lang w:eastAsia="en-US" w:bidi="ar-SA"/>
          </w:rPr>
          <w:tab/>
        </w:r>
        <w:r w:rsidR="00F114BF" w:rsidRPr="009D5C68">
          <w:rPr>
            <w:rStyle w:val="Hyperlink"/>
            <w:b/>
          </w:rPr>
          <w:t>YTTRE FÖRBINDELSER</w:t>
        </w:r>
        <w:r w:rsidR="00F114BF" w:rsidRPr="009D5C68">
          <w:rPr>
            <w:webHidden/>
          </w:rPr>
          <w:tab/>
        </w:r>
        <w:r w:rsidR="00F114BF" w:rsidRPr="009D5C68">
          <w:rPr>
            <w:webHidden/>
          </w:rPr>
          <w:fldChar w:fldCharType="begin"/>
        </w:r>
        <w:r w:rsidR="00F114BF" w:rsidRPr="009D5C68">
          <w:rPr>
            <w:webHidden/>
          </w:rPr>
          <w:instrText xml:space="preserve"> PAGEREF _Toc480448242 \h </w:instrText>
        </w:r>
        <w:r w:rsidR="00F114BF" w:rsidRPr="009D5C68">
          <w:rPr>
            <w:webHidden/>
          </w:rPr>
        </w:r>
        <w:r w:rsidR="00F114BF" w:rsidRPr="009D5C68">
          <w:rPr>
            <w:webHidden/>
          </w:rPr>
          <w:fldChar w:fldCharType="separate"/>
        </w:r>
        <w:r w:rsidR="00F114BF" w:rsidRPr="009D5C68">
          <w:rPr>
            <w:webHidden/>
          </w:rPr>
          <w:t>12</w:t>
        </w:r>
        <w:r w:rsidR="00F114BF" w:rsidRPr="009D5C68">
          <w:rPr>
            <w:webHidden/>
          </w:rPr>
          <w:fldChar w:fldCharType="end"/>
        </w:r>
      </w:hyperlink>
    </w:p>
    <w:p w:rsidR="00F114BF" w:rsidRPr="009D5C68" w:rsidRDefault="009D5C68">
      <w:pPr>
        <w:pStyle w:val="TOC1"/>
        <w:rPr>
          <w:rFonts w:asciiTheme="minorHAnsi" w:eastAsiaTheme="minorEastAsia" w:hAnsiTheme="minorHAnsi" w:cstheme="minorBidi"/>
          <w:lang w:eastAsia="en-US" w:bidi="ar-SA"/>
        </w:rPr>
      </w:pPr>
      <w:hyperlink w:anchor="_Toc480448243" w:history="1">
        <w:r w:rsidR="00F114BF" w:rsidRPr="009D5C68">
          <w:rPr>
            <w:rStyle w:val="Hyperlink"/>
            <w:b/>
            <w:iCs/>
          </w:rPr>
          <w:t>8.</w:t>
        </w:r>
        <w:r w:rsidR="00F114BF" w:rsidRPr="009D5C68">
          <w:rPr>
            <w:rFonts w:asciiTheme="minorHAnsi" w:eastAsiaTheme="minorEastAsia" w:hAnsiTheme="minorHAnsi" w:cstheme="minorBidi"/>
            <w:lang w:eastAsia="en-US" w:bidi="ar-SA"/>
          </w:rPr>
          <w:tab/>
        </w:r>
        <w:r w:rsidR="00F114BF" w:rsidRPr="009D5C68">
          <w:rPr>
            <w:rStyle w:val="Hyperlink"/>
            <w:b/>
          </w:rPr>
          <w:t>TRANSPORTER</w:t>
        </w:r>
        <w:r w:rsidR="00F114BF" w:rsidRPr="009D5C68">
          <w:rPr>
            <w:webHidden/>
          </w:rPr>
          <w:tab/>
        </w:r>
        <w:r w:rsidR="00F114BF" w:rsidRPr="009D5C68">
          <w:rPr>
            <w:webHidden/>
          </w:rPr>
          <w:fldChar w:fldCharType="begin"/>
        </w:r>
        <w:r w:rsidR="00F114BF" w:rsidRPr="009D5C68">
          <w:rPr>
            <w:webHidden/>
          </w:rPr>
          <w:instrText xml:space="preserve"> PAGEREF _Toc480448243 \h </w:instrText>
        </w:r>
        <w:r w:rsidR="00F114BF" w:rsidRPr="009D5C68">
          <w:rPr>
            <w:webHidden/>
          </w:rPr>
        </w:r>
        <w:r w:rsidR="00F114BF" w:rsidRPr="009D5C68">
          <w:rPr>
            <w:webHidden/>
          </w:rPr>
          <w:fldChar w:fldCharType="separate"/>
        </w:r>
        <w:r w:rsidR="00F114BF" w:rsidRPr="009D5C68">
          <w:rPr>
            <w:webHidden/>
          </w:rPr>
          <w:t>15</w:t>
        </w:r>
        <w:r w:rsidR="00F114BF" w:rsidRPr="009D5C68">
          <w:rPr>
            <w:webHidden/>
          </w:rPr>
          <w:fldChar w:fldCharType="end"/>
        </w:r>
      </w:hyperlink>
    </w:p>
    <w:p w:rsidR="00D67A5D" w:rsidRPr="009D5C68" w:rsidRDefault="00FC45F0">
      <w:pPr>
        <w:pStyle w:val="TOC1"/>
        <w:rPr>
          <w:rFonts w:asciiTheme="minorHAnsi" w:eastAsiaTheme="minorEastAsia" w:hAnsiTheme="minorHAnsi" w:cstheme="minorBidi"/>
        </w:rPr>
      </w:pPr>
      <w:r w:rsidRPr="009D5C68">
        <w:rPr>
          <w:b/>
        </w:rPr>
        <w:fldChar w:fldCharType="end"/>
      </w:r>
    </w:p>
    <w:p w:rsidR="008405A0" w:rsidRPr="009D5C68" w:rsidRDefault="008405A0" w:rsidP="00377A77">
      <w:r w:rsidRPr="009D5C68">
        <w:br w:type="page"/>
      </w:r>
    </w:p>
    <w:p w:rsidR="00421682" w:rsidRPr="009D5C68" w:rsidRDefault="00421682" w:rsidP="00A3275A">
      <w:pPr>
        <w:spacing w:line="276" w:lineRule="auto"/>
      </w:pPr>
      <w:bookmarkStart w:id="1" w:name="_Toc477938708"/>
      <w:r w:rsidRPr="009D5C68">
        <w:lastRenderedPageBreak/>
        <w:t xml:space="preserve">Vid plenarsessionen den 29–30 mars 2017 deltog </w:t>
      </w:r>
      <w:r w:rsidRPr="009D5C68">
        <w:rPr>
          <w:b/>
        </w:rPr>
        <w:t>Cecilia Malmström</w:t>
      </w:r>
      <w:r w:rsidRPr="009D5C68">
        <w:t xml:space="preserve">, kommissionsledamot med ansvar för handel och </w:t>
      </w:r>
      <w:r w:rsidRPr="009D5C68">
        <w:rPr>
          <w:b/>
        </w:rPr>
        <w:t>Corina Crețu</w:t>
      </w:r>
      <w:r w:rsidRPr="009D5C68">
        <w:t>, kommissionsledamot med ansvar för regionalpolitik.</w:t>
      </w:r>
    </w:p>
    <w:p w:rsidR="00421682" w:rsidRPr="009D5C68" w:rsidRDefault="00421682" w:rsidP="00A3275A">
      <w:pPr>
        <w:spacing w:line="276" w:lineRule="auto"/>
      </w:pPr>
    </w:p>
    <w:p w:rsidR="00421682" w:rsidRPr="009D5C68" w:rsidRDefault="00421682" w:rsidP="00A3275A">
      <w:pPr>
        <w:spacing w:line="276" w:lineRule="auto"/>
      </w:pPr>
      <w:r w:rsidRPr="009D5C68">
        <w:t>Följande yttranden antogs vid plenarsessionen:</w:t>
      </w:r>
    </w:p>
    <w:p w:rsidR="00421682" w:rsidRPr="009D5C68" w:rsidRDefault="00421682" w:rsidP="00A3275A">
      <w:pPr>
        <w:spacing w:line="276" w:lineRule="auto"/>
      </w:pPr>
    </w:p>
    <w:p w:rsidR="003075E1" w:rsidRPr="009D5C68" w:rsidRDefault="004C07BF" w:rsidP="00A3275A">
      <w:pPr>
        <w:pStyle w:val="Heading1"/>
        <w:spacing w:line="276" w:lineRule="auto"/>
        <w:ind w:left="0" w:firstLine="0"/>
        <w:rPr>
          <w:b/>
        </w:rPr>
      </w:pPr>
      <w:r w:rsidRPr="009D5C68">
        <w:tab/>
      </w:r>
      <w:bookmarkStart w:id="2" w:name="_Toc480448236"/>
      <w:r w:rsidRPr="009D5C68">
        <w:rPr>
          <w:b/>
        </w:rPr>
        <w:t>SOCIALA FRÅGOR</w:t>
      </w:r>
      <w:bookmarkEnd w:id="2"/>
      <w:r w:rsidRPr="009D5C68">
        <w:tab/>
      </w:r>
      <w:bookmarkEnd w:id="1"/>
    </w:p>
    <w:p w:rsidR="008F6AB1" w:rsidRPr="009D5C68" w:rsidRDefault="008F6AB1" w:rsidP="00A3275A">
      <w:pPr>
        <w:rPr>
          <w:highlight w:val="yellow"/>
        </w:rPr>
      </w:pPr>
    </w:p>
    <w:p w:rsidR="00632738" w:rsidRPr="009D5C68" w:rsidRDefault="00632738" w:rsidP="00A3275A">
      <w:pPr>
        <w:widowControl w:val="0"/>
        <w:numPr>
          <w:ilvl w:val="0"/>
          <w:numId w:val="2"/>
        </w:numPr>
        <w:overflowPunct w:val="0"/>
        <w:autoSpaceDE w:val="0"/>
        <w:autoSpaceDN w:val="0"/>
        <w:adjustRightInd w:val="0"/>
        <w:spacing w:line="276" w:lineRule="auto"/>
        <w:textAlignment w:val="baseline"/>
        <w:rPr>
          <w:b/>
          <w:bCs/>
          <w:i/>
          <w:iCs/>
          <w:sz w:val="28"/>
          <w:szCs w:val="28"/>
        </w:rPr>
      </w:pPr>
      <w:r w:rsidRPr="009D5C68">
        <w:rPr>
          <w:b/>
          <w:i/>
          <w:sz w:val="28"/>
        </w:rPr>
        <w:t>Förordningarna om Eurofound, Cedefop och EU-Osha</w:t>
      </w:r>
    </w:p>
    <w:p w:rsidR="00632738" w:rsidRPr="009D5C68" w:rsidRDefault="00632738" w:rsidP="00A3275A">
      <w:pPr>
        <w:overflowPunct w:val="0"/>
        <w:autoSpaceDE w:val="0"/>
        <w:autoSpaceDN w:val="0"/>
        <w:adjustRightInd w:val="0"/>
        <w:spacing w:line="276" w:lineRule="auto"/>
        <w:ind w:left="-567" w:firstLine="17"/>
        <w:textAlignment w:val="baseline"/>
        <w:rPr>
          <w:szCs w:val="20"/>
          <w:highlight w:val="yellow"/>
        </w:rPr>
      </w:pPr>
    </w:p>
    <w:p w:rsidR="00632738" w:rsidRPr="009D5C68" w:rsidRDefault="00632738" w:rsidP="00A3275A">
      <w:pPr>
        <w:overflowPunct w:val="0"/>
        <w:autoSpaceDE w:val="0"/>
        <w:autoSpaceDN w:val="0"/>
        <w:adjustRightInd w:val="0"/>
        <w:spacing w:line="276" w:lineRule="auto"/>
        <w:textAlignment w:val="baseline"/>
      </w:pPr>
      <w:r w:rsidRPr="009D5C68">
        <w:rPr>
          <w:b/>
        </w:rPr>
        <w:t>Föredragande:</w:t>
      </w:r>
      <w:r w:rsidRPr="009D5C68">
        <w:t xml:space="preserve"> </w:t>
      </w:r>
      <w:r w:rsidRPr="009D5C68">
        <w:tab/>
      </w:r>
      <w:r w:rsidR="00F114BF" w:rsidRPr="009D5C68">
        <w:tab/>
      </w:r>
      <w:r w:rsidRPr="009D5C68">
        <w:t>Christa Schweng (Arbetsgivargruppen – AT)</w:t>
      </w:r>
    </w:p>
    <w:p w:rsidR="00632738" w:rsidRPr="009D5C68" w:rsidRDefault="00632738" w:rsidP="00A3275A">
      <w:pPr>
        <w:overflowPunct w:val="0"/>
        <w:autoSpaceDE w:val="0"/>
        <w:autoSpaceDN w:val="0"/>
        <w:adjustRightInd w:val="0"/>
        <w:spacing w:line="276" w:lineRule="auto"/>
        <w:ind w:left="-5"/>
        <w:textAlignment w:val="baseline"/>
        <w:rPr>
          <w:b/>
          <w:bCs/>
          <w:szCs w:val="20"/>
        </w:rPr>
      </w:pPr>
      <w:r w:rsidRPr="009D5C68">
        <w:rPr>
          <w:b/>
        </w:rPr>
        <w:t>Medföredragande:</w:t>
      </w:r>
      <w:r w:rsidRPr="009D5C68">
        <w:tab/>
        <w:t>Giulia Barbucci (IT–II)</w:t>
      </w:r>
    </w:p>
    <w:p w:rsidR="00632738" w:rsidRPr="009D5C68" w:rsidRDefault="00632738" w:rsidP="00A3275A">
      <w:pPr>
        <w:overflowPunct w:val="0"/>
        <w:autoSpaceDE w:val="0"/>
        <w:autoSpaceDN w:val="0"/>
        <w:adjustRightInd w:val="0"/>
        <w:spacing w:line="276" w:lineRule="auto"/>
        <w:ind w:left="-5"/>
        <w:textAlignment w:val="baseline"/>
        <w:rPr>
          <w:szCs w:val="20"/>
        </w:rPr>
      </w:pPr>
    </w:p>
    <w:p w:rsidR="00632738" w:rsidRPr="009D5C68" w:rsidRDefault="007E6D4A" w:rsidP="00A3275A">
      <w:pPr>
        <w:tabs>
          <w:tab w:val="left" w:pos="1701"/>
        </w:tabs>
        <w:overflowPunct w:val="0"/>
        <w:autoSpaceDE w:val="0"/>
        <w:autoSpaceDN w:val="0"/>
        <w:adjustRightInd w:val="0"/>
        <w:spacing w:line="276" w:lineRule="auto"/>
        <w:ind w:left="-5"/>
        <w:textAlignment w:val="baseline"/>
        <w:rPr>
          <w:szCs w:val="20"/>
        </w:rPr>
      </w:pPr>
      <w:r w:rsidRPr="009D5C68">
        <w:rPr>
          <w:b/>
        </w:rPr>
        <w:t>Referens:</w:t>
      </w:r>
      <w:r w:rsidRPr="009D5C68">
        <w:tab/>
        <w:t>EESC-2016-05685-00-00-AS-TRA</w:t>
      </w:r>
    </w:p>
    <w:p w:rsidR="00632738" w:rsidRPr="009D5C68" w:rsidRDefault="00632738" w:rsidP="00A3275A">
      <w:pPr>
        <w:tabs>
          <w:tab w:val="left" w:pos="0"/>
        </w:tabs>
        <w:overflowPunct w:val="0"/>
        <w:autoSpaceDE w:val="0"/>
        <w:autoSpaceDN w:val="0"/>
        <w:adjustRightInd w:val="0"/>
        <w:spacing w:line="276" w:lineRule="auto"/>
        <w:ind w:left="364" w:hanging="369"/>
        <w:textAlignment w:val="baseline"/>
        <w:rPr>
          <w:szCs w:val="20"/>
        </w:rPr>
      </w:pPr>
    </w:p>
    <w:p w:rsidR="00632738" w:rsidRPr="009D5C68" w:rsidRDefault="00632738" w:rsidP="00A3275A">
      <w:pPr>
        <w:overflowPunct w:val="0"/>
        <w:autoSpaceDE w:val="0"/>
        <w:autoSpaceDN w:val="0"/>
        <w:adjustRightInd w:val="0"/>
        <w:spacing w:line="276" w:lineRule="auto"/>
        <w:ind w:left="-5"/>
        <w:textAlignment w:val="baseline"/>
        <w:rPr>
          <w:b/>
          <w:szCs w:val="20"/>
        </w:rPr>
      </w:pPr>
      <w:r w:rsidRPr="009D5C68">
        <w:rPr>
          <w:b/>
        </w:rPr>
        <w:t>Huvudpunkter:</w:t>
      </w:r>
    </w:p>
    <w:p w:rsidR="00632738" w:rsidRPr="009D5C68" w:rsidRDefault="00632738" w:rsidP="00A3275A">
      <w:pPr>
        <w:overflowPunct w:val="0"/>
        <w:autoSpaceDE w:val="0"/>
        <w:autoSpaceDN w:val="0"/>
        <w:adjustRightInd w:val="0"/>
        <w:spacing w:line="276" w:lineRule="auto"/>
        <w:ind w:left="-5"/>
        <w:textAlignment w:val="baseline"/>
        <w:rPr>
          <w:b/>
          <w:szCs w:val="20"/>
        </w:rPr>
      </w:pPr>
    </w:p>
    <w:p w:rsidR="00C66947" w:rsidRPr="009D5C68" w:rsidRDefault="00C66947" w:rsidP="00A3275A">
      <w:pPr>
        <w:overflowPunct w:val="0"/>
        <w:autoSpaceDE w:val="0"/>
        <w:autoSpaceDN w:val="0"/>
        <w:adjustRightInd w:val="0"/>
        <w:spacing w:line="276" w:lineRule="auto"/>
        <w:ind w:left="-5"/>
        <w:textAlignment w:val="baseline"/>
      </w:pPr>
      <w:r w:rsidRPr="009D5C68">
        <w:t>I samband med översynen av förordningarna om inrättandet av de tre organen, Cedefop, Eurofound och Europeiska arbetsmiljöbyrån (EU-Osha) uttrycker EESK sin syn på de allmänna principer som styr dessa organ, och lägger fram särskilda kommentarer till varje organ.</w:t>
      </w:r>
    </w:p>
    <w:p w:rsidR="00C66947" w:rsidRPr="009D5C68" w:rsidRDefault="00C66947" w:rsidP="00A3275A">
      <w:pPr>
        <w:overflowPunct w:val="0"/>
        <w:autoSpaceDE w:val="0"/>
        <w:autoSpaceDN w:val="0"/>
        <w:adjustRightInd w:val="0"/>
        <w:spacing w:line="276" w:lineRule="auto"/>
        <w:ind w:left="-5"/>
        <w:textAlignment w:val="baseline"/>
      </w:pPr>
    </w:p>
    <w:p w:rsidR="00632738" w:rsidRPr="009D5C68"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9D5C68">
        <w:t>Kommittén välkomnar varmt det faktum att styrelsens väl avvägda trepartsstruktur ska bibehållas. Kommittén anser att trepartssystemet är ett uttryck för ett inkluderande arbetssätt, där man respekterar betydelsen av den roll som arbetsmarknadens parter spelar i sökandet efter gemensamma lösningar.</w:t>
      </w:r>
    </w:p>
    <w:p w:rsidR="00632738" w:rsidRPr="009D5C68" w:rsidRDefault="00632738" w:rsidP="00A3275A">
      <w:pPr>
        <w:overflowPunct w:val="0"/>
        <w:autoSpaceDE w:val="0"/>
        <w:autoSpaceDN w:val="0"/>
        <w:adjustRightInd w:val="0"/>
        <w:spacing w:line="276" w:lineRule="auto"/>
        <w:ind w:left="850"/>
        <w:textAlignment w:val="baseline"/>
        <w:outlineLvl w:val="1"/>
        <w:rPr>
          <w:szCs w:val="20"/>
        </w:rPr>
      </w:pPr>
    </w:p>
    <w:p w:rsidR="00632738" w:rsidRPr="009D5C68"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9D5C68">
        <w:t>EESK anser också att de övergripande målen för de tre organen bör på ett enhetligt och mer heltäckande sätt definieras som att "stödja behoven hos alla EU:s institutioner och organ, medlemsstaterna och arbetsmarknadens parter".</w:t>
      </w:r>
    </w:p>
    <w:p w:rsidR="00673A39" w:rsidRPr="009D5C68" w:rsidRDefault="00673A39" w:rsidP="00A3275A">
      <w:pPr>
        <w:overflowPunct w:val="0"/>
        <w:autoSpaceDE w:val="0"/>
        <w:autoSpaceDN w:val="0"/>
        <w:adjustRightInd w:val="0"/>
        <w:spacing w:line="276" w:lineRule="auto"/>
        <w:textAlignment w:val="baseline"/>
        <w:rPr>
          <w:b/>
          <w:szCs w:val="20"/>
        </w:rPr>
      </w:pPr>
    </w:p>
    <w:p w:rsidR="00632738" w:rsidRPr="009D5C68"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9D5C68">
        <w:t>EESK förespråkar att befogenheter som rör tillsättning av personal och ändring av den interna strukturen för respektive organ bör kvarstå hos den verkställande direktören för varje organ.</w:t>
      </w:r>
    </w:p>
    <w:p w:rsidR="00632738" w:rsidRPr="009D5C68" w:rsidRDefault="00632738" w:rsidP="00A3275A">
      <w:pPr>
        <w:overflowPunct w:val="0"/>
        <w:autoSpaceDE w:val="0"/>
        <w:autoSpaceDN w:val="0"/>
        <w:adjustRightInd w:val="0"/>
        <w:spacing w:line="276" w:lineRule="auto"/>
        <w:ind w:left="850"/>
        <w:textAlignment w:val="baseline"/>
        <w:outlineLvl w:val="1"/>
        <w:rPr>
          <w:szCs w:val="20"/>
        </w:rPr>
      </w:pPr>
    </w:p>
    <w:p w:rsidR="00632738" w:rsidRPr="009D5C68"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9D5C68">
        <w:t>EESK motsätter sig minskningen av antalet medlemmar i direktionen, eftersom detta kommer att vara till nackdel för den intressegrupp som för närvarande innehar posten som ordförande, då denna grupp inte kommer att ha någon annan talesperson i direktionen.</w:t>
      </w:r>
    </w:p>
    <w:p w:rsidR="00632738" w:rsidRPr="009D5C68" w:rsidRDefault="00632738" w:rsidP="00A3275A">
      <w:pPr>
        <w:overflowPunct w:val="0"/>
        <w:autoSpaceDE w:val="0"/>
        <w:autoSpaceDN w:val="0"/>
        <w:adjustRightInd w:val="0"/>
        <w:spacing w:line="276" w:lineRule="auto"/>
        <w:ind w:left="850"/>
        <w:textAlignment w:val="baseline"/>
        <w:outlineLvl w:val="1"/>
        <w:rPr>
          <w:szCs w:val="20"/>
        </w:rPr>
      </w:pPr>
    </w:p>
    <w:p w:rsidR="00632738" w:rsidRPr="009D5C68"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9D5C68">
        <w:t>EESK välkomnar det standardiserade förfarandet för utnämning av den verkställande direktören vilket ligger i linje med det förfarande som tillämpas för EU-Osha.</w:t>
      </w:r>
    </w:p>
    <w:p w:rsidR="00673A39" w:rsidRPr="009D5C68" w:rsidRDefault="00673A39" w:rsidP="00A3275A">
      <w:pPr>
        <w:overflowPunct w:val="0"/>
        <w:autoSpaceDE w:val="0"/>
        <w:autoSpaceDN w:val="0"/>
        <w:adjustRightInd w:val="0"/>
        <w:spacing w:line="276" w:lineRule="auto"/>
        <w:ind w:left="850"/>
        <w:textAlignment w:val="baseline"/>
        <w:outlineLvl w:val="1"/>
        <w:rPr>
          <w:szCs w:val="20"/>
        </w:rPr>
      </w:pPr>
    </w:p>
    <w:p w:rsidR="00632738" w:rsidRPr="009D5C68" w:rsidRDefault="00632738" w:rsidP="00A3275A">
      <w:pPr>
        <w:overflowPunct w:val="0"/>
        <w:autoSpaceDE w:val="0"/>
        <w:autoSpaceDN w:val="0"/>
        <w:adjustRightInd w:val="0"/>
        <w:spacing w:line="276" w:lineRule="auto"/>
        <w:ind w:left="-5"/>
        <w:textAlignment w:val="baseline"/>
        <w:rPr>
          <w:b/>
          <w:szCs w:val="20"/>
        </w:rPr>
      </w:pPr>
      <w:r w:rsidRPr="009D5C68">
        <w:t>Kommittén är övertygad om att tjänsten som vice verkställande direktör har visat sig vara till nytta och bör behållas där den finns. Mot bakgrund av att gällande praxis, som skiljer sig åt mellan organen, fungerar bra, kräver kommittén en viss flexibilitet för de tre organen.</w:t>
      </w:r>
    </w:p>
    <w:p w:rsidR="00632738" w:rsidRPr="009D5C68" w:rsidRDefault="00632738" w:rsidP="00A3275A">
      <w:pPr>
        <w:overflowPunct w:val="0"/>
        <w:autoSpaceDE w:val="0"/>
        <w:autoSpaceDN w:val="0"/>
        <w:adjustRightInd w:val="0"/>
        <w:spacing w:line="276" w:lineRule="auto"/>
        <w:ind w:left="-5"/>
        <w:textAlignment w:val="baseline"/>
        <w:rPr>
          <w:b/>
          <w:szCs w:val="20"/>
        </w:rPr>
      </w:pPr>
    </w:p>
    <w:p w:rsidR="00632738" w:rsidRPr="009D5C68" w:rsidRDefault="00632738" w:rsidP="00A3275A">
      <w:pPr>
        <w:tabs>
          <w:tab w:val="left" w:pos="770"/>
        </w:tabs>
        <w:overflowPunct w:val="0"/>
        <w:autoSpaceDE w:val="0"/>
        <w:autoSpaceDN w:val="0"/>
        <w:adjustRightInd w:val="0"/>
        <w:spacing w:line="276" w:lineRule="auto"/>
        <w:textAlignment w:val="baseline"/>
        <w:rPr>
          <w:i/>
          <w:iCs/>
        </w:rPr>
      </w:pPr>
      <w:r w:rsidRPr="009D5C68">
        <w:rPr>
          <w:b/>
          <w:i/>
        </w:rPr>
        <w:t>Kontaktperson:</w:t>
      </w:r>
      <w:r w:rsidRPr="009D5C68">
        <w:tab/>
      </w:r>
      <w:r w:rsidRPr="009D5C68">
        <w:rPr>
          <w:i/>
        </w:rPr>
        <w:t>Ana Dumitrache</w:t>
      </w:r>
    </w:p>
    <w:p w:rsidR="00C1115F" w:rsidRPr="009D5C68" w:rsidRDefault="00632738" w:rsidP="00A3275A">
      <w:pPr>
        <w:tabs>
          <w:tab w:val="left" w:pos="1134"/>
        </w:tabs>
        <w:overflowPunct w:val="0"/>
        <w:autoSpaceDE w:val="0"/>
        <w:autoSpaceDN w:val="0"/>
        <w:adjustRightInd w:val="0"/>
        <w:spacing w:line="276" w:lineRule="auto"/>
        <w:ind w:left="1134"/>
        <w:rPr>
          <w:iCs/>
        </w:rPr>
      </w:pPr>
      <w:r w:rsidRPr="009D5C68">
        <w:rPr>
          <w:i/>
        </w:rPr>
        <w:t xml:space="preserve">(Tfn +32 2 546 81 31 – e-post: </w:t>
      </w:r>
      <w:hyperlink r:id="rId22">
        <w:r w:rsidRPr="009D5C68">
          <w:rPr>
            <w:i/>
            <w:color w:val="0000FF"/>
            <w:u w:val="single"/>
          </w:rPr>
          <w:t>ana.dumitrache@eesc.europa.eu</w:t>
        </w:r>
      </w:hyperlink>
      <w:r w:rsidRPr="009D5C68">
        <w:rPr>
          <w:i/>
        </w:rPr>
        <w:t>)</w:t>
      </w:r>
    </w:p>
    <w:p w:rsidR="003A4AB8" w:rsidRPr="009D5C68" w:rsidRDefault="003A4AB8" w:rsidP="00A3275A">
      <w:pPr>
        <w:overflowPunct w:val="0"/>
        <w:autoSpaceDE w:val="0"/>
        <w:autoSpaceDN w:val="0"/>
        <w:adjustRightInd w:val="0"/>
        <w:spacing w:line="276" w:lineRule="auto"/>
        <w:rPr>
          <w:iCs/>
        </w:rPr>
      </w:pPr>
    </w:p>
    <w:p w:rsidR="00C1115F" w:rsidRPr="009D5C68" w:rsidRDefault="00C1115F" w:rsidP="004C07BF">
      <w:pPr>
        <w:spacing w:line="240" w:lineRule="auto"/>
        <w:rPr>
          <w:iCs/>
        </w:rPr>
      </w:pPr>
    </w:p>
    <w:p w:rsidR="00E6566F" w:rsidRPr="009D5C68" w:rsidRDefault="00E6566F" w:rsidP="00A3275A">
      <w:pPr>
        <w:pStyle w:val="Heading1"/>
        <w:spacing w:line="276" w:lineRule="auto"/>
        <w:rPr>
          <w:b/>
        </w:rPr>
      </w:pPr>
      <w:bookmarkStart w:id="3" w:name="_Toc477938709"/>
      <w:bookmarkStart w:id="4" w:name="_Toc480448237"/>
      <w:r w:rsidRPr="009D5C68">
        <w:rPr>
          <w:b/>
        </w:rPr>
        <w:lastRenderedPageBreak/>
        <w:t>KONSUMENTER/SOCIALPOLITIK</w:t>
      </w:r>
      <w:bookmarkEnd w:id="3"/>
      <w:bookmarkEnd w:id="4"/>
    </w:p>
    <w:p w:rsidR="008F6AB1" w:rsidRPr="009D5C68" w:rsidRDefault="008F6AB1" w:rsidP="00A3275A">
      <w:pPr>
        <w:spacing w:line="276" w:lineRule="auto"/>
      </w:pPr>
    </w:p>
    <w:p w:rsidR="00632738" w:rsidRPr="009D5C68" w:rsidRDefault="00632738" w:rsidP="00A3275A">
      <w:pPr>
        <w:numPr>
          <w:ilvl w:val="0"/>
          <w:numId w:val="2"/>
        </w:numPr>
        <w:spacing w:line="276" w:lineRule="auto"/>
        <w:contextualSpacing/>
        <w:rPr>
          <w:b/>
          <w:bCs/>
          <w:i/>
          <w:iCs/>
          <w:sz w:val="28"/>
          <w:szCs w:val="28"/>
        </w:rPr>
      </w:pPr>
      <w:r w:rsidRPr="009D5C68">
        <w:rPr>
          <w:b/>
          <w:i/>
          <w:sz w:val="28"/>
        </w:rPr>
        <w:t>Spritdrycker</w:t>
      </w:r>
    </w:p>
    <w:p w:rsidR="00632738" w:rsidRPr="009D5C68" w:rsidRDefault="00632738" w:rsidP="00A3275A">
      <w:pPr>
        <w:spacing w:line="276" w:lineRule="auto"/>
        <w:rPr>
          <w:b/>
          <w:bCs/>
          <w:i/>
          <w:iCs/>
        </w:rPr>
      </w:pPr>
    </w:p>
    <w:p w:rsidR="00632738" w:rsidRPr="009D5C68" w:rsidRDefault="00632738" w:rsidP="00A3275A">
      <w:pPr>
        <w:spacing w:line="276" w:lineRule="auto"/>
      </w:pPr>
      <w:r w:rsidRPr="009D5C68">
        <w:rPr>
          <w:b/>
        </w:rPr>
        <w:t>Föredragande:</w:t>
      </w:r>
      <w:r w:rsidRPr="009D5C68">
        <w:tab/>
        <w:t>Peter Schmidt (Arbetstagargruppen – DE)</w:t>
      </w:r>
    </w:p>
    <w:p w:rsidR="00632738" w:rsidRPr="009D5C68" w:rsidRDefault="00632738" w:rsidP="00A3275A">
      <w:pPr>
        <w:spacing w:line="276" w:lineRule="auto"/>
      </w:pPr>
    </w:p>
    <w:p w:rsidR="00632738" w:rsidRPr="009D5C68" w:rsidRDefault="007E6D4A" w:rsidP="00A3275A">
      <w:pPr>
        <w:tabs>
          <w:tab w:val="left" w:pos="1701"/>
        </w:tabs>
        <w:spacing w:line="276" w:lineRule="auto"/>
        <w:ind w:left="-5"/>
        <w:rPr>
          <w:bCs/>
        </w:rPr>
      </w:pPr>
      <w:r w:rsidRPr="009D5C68">
        <w:rPr>
          <w:b/>
        </w:rPr>
        <w:t>Referens:</w:t>
      </w:r>
      <w:r w:rsidRPr="009D5C68">
        <w:tab/>
        <w:t>COM(2016) 750 Final 2016-392-COD</w:t>
      </w:r>
    </w:p>
    <w:p w:rsidR="00632738" w:rsidRPr="009D5C68" w:rsidRDefault="00632738" w:rsidP="00A3275A">
      <w:pPr>
        <w:spacing w:line="276" w:lineRule="auto"/>
        <w:ind w:left="1701"/>
      </w:pPr>
      <w:r w:rsidRPr="009D5C68">
        <w:t>EESC-2017-00058-00-00-AS-TRA</w:t>
      </w:r>
    </w:p>
    <w:p w:rsidR="00632738" w:rsidRPr="009D5C68" w:rsidRDefault="00632738" w:rsidP="00A3275A">
      <w:pPr>
        <w:spacing w:line="276" w:lineRule="auto"/>
        <w:ind w:left="-5"/>
      </w:pPr>
    </w:p>
    <w:p w:rsidR="00632738" w:rsidRPr="009D5C68" w:rsidRDefault="00632738" w:rsidP="00A3275A">
      <w:pPr>
        <w:spacing w:line="276" w:lineRule="auto"/>
        <w:rPr>
          <w:b/>
          <w:iCs/>
          <w:highlight w:val="yellow"/>
          <w:u w:val="single"/>
        </w:rPr>
      </w:pPr>
      <w:r w:rsidRPr="009D5C68">
        <w:rPr>
          <w:b/>
        </w:rPr>
        <w:t>Huvudpunkter:</w:t>
      </w:r>
    </w:p>
    <w:p w:rsidR="00632738" w:rsidRPr="009D5C68" w:rsidRDefault="00632738" w:rsidP="00A3275A">
      <w:pPr>
        <w:spacing w:line="276" w:lineRule="auto"/>
        <w:ind w:left="-567"/>
        <w:rPr>
          <w:b/>
          <w:iCs/>
          <w:highlight w:val="yellow"/>
          <w:u w:val="single"/>
        </w:rPr>
      </w:pPr>
    </w:p>
    <w:p w:rsidR="00632738" w:rsidRPr="009D5C68" w:rsidRDefault="00632738" w:rsidP="00A3275A">
      <w:pPr>
        <w:spacing w:line="276" w:lineRule="auto"/>
        <w:outlineLvl w:val="1"/>
      </w:pPr>
      <w:r w:rsidRPr="009D5C68">
        <w:t>EESK välkomnar kommissionens initiativ om att anpassa den nuvarande rättsliga ramen för spritdrycker till fördraget om Europeiska unionens funktionssätt (EUF-fördraget) och göra lagstiftningen förenlig med nya EU-bestämmelser, nämligen när det gäller tillhandahållandet av livsmedelsinformation till konsumenterna och kvalitetsordningar för jordbruksprodukter och livsmedel. I synnerhet stöder EESK införandet av en starkare anknytning till jordbrukssektorn. Denna anknytning är väsentlig för kvaliteten och anseendet hos spritdrycker som framställs i EU.</w:t>
      </w:r>
    </w:p>
    <w:p w:rsidR="00632738" w:rsidRPr="009D5C68" w:rsidRDefault="00632738" w:rsidP="00A3275A">
      <w:pPr>
        <w:spacing w:line="276" w:lineRule="auto"/>
        <w:outlineLvl w:val="1"/>
      </w:pPr>
    </w:p>
    <w:p w:rsidR="00632738" w:rsidRPr="009D5C68" w:rsidRDefault="00632738" w:rsidP="00A3275A">
      <w:pPr>
        <w:spacing w:line="276" w:lineRule="auto"/>
        <w:outlineLvl w:val="1"/>
      </w:pPr>
      <w:r w:rsidRPr="009D5C68">
        <w:t>Kommittén är medveten om att denna anpassning är en komplicerad uppgift och välkomnar förtydliganden och förbättringar på områden såsom bestämmelser om märkning när det gäller sammansatta beteckningar, hänvisningar och blandningar av spritdrycker samt frivillig märkning av råvarornas ursprung. När det gäller geografiska beteckningar välkomnar EESK förtydligandet av reglerna och förfarandena för geografiska beteckningar och det värde som tillmäts traditioner och lokal/regional produktion.</w:t>
      </w:r>
    </w:p>
    <w:p w:rsidR="00632738" w:rsidRPr="009D5C68" w:rsidRDefault="00632738" w:rsidP="00A3275A">
      <w:pPr>
        <w:spacing w:line="276" w:lineRule="auto"/>
        <w:outlineLvl w:val="1"/>
      </w:pPr>
    </w:p>
    <w:p w:rsidR="00632738" w:rsidRPr="009D5C68" w:rsidRDefault="00632738" w:rsidP="00A3275A">
      <w:pPr>
        <w:spacing w:line="276" w:lineRule="auto"/>
        <w:outlineLvl w:val="1"/>
      </w:pPr>
      <w:r w:rsidRPr="009D5C68">
        <w:t>EESK betonar vikten av att behålla den nuvarande skyddsnivån i fråga</w:t>
      </w:r>
      <w:r w:rsidR="00F114BF" w:rsidRPr="009D5C68">
        <w:t xml:space="preserve"> om sektorn för spritdrycker, i </w:t>
      </w:r>
      <w:r w:rsidRPr="009D5C68">
        <w:t>syfte att säkerställa att mervärdet och sysselsättningen blir kvar i Europa. Det viktiga är den plats där produkten destilleras och tillverkas, och den ändring av terminologin som har införts bör inte innebära några större förändringar för sektorn. När det gäller presentation och märkning föreslår kommittén vissa förbättringar i det aktuella förslaget, nämligen i fråga om betydelsen av att undvika oriktiga framställningar eller missförstånd med anknytning till "imiterande smaker", vilket kan vara vilseledande för konsumenterna.</w:t>
      </w:r>
    </w:p>
    <w:p w:rsidR="00632738" w:rsidRPr="009D5C68" w:rsidRDefault="00632738" w:rsidP="00A3275A">
      <w:pPr>
        <w:spacing w:line="276" w:lineRule="auto"/>
        <w:outlineLvl w:val="1"/>
      </w:pPr>
    </w:p>
    <w:p w:rsidR="00632738" w:rsidRPr="009D5C68" w:rsidRDefault="00632738" w:rsidP="00A3275A">
      <w:pPr>
        <w:spacing w:line="276" w:lineRule="auto"/>
        <w:outlineLvl w:val="1"/>
      </w:pPr>
      <w:r w:rsidRPr="009D5C68">
        <w:t>Trots att detta inte ingår i det särskilda tillämpningsområdet för kommissionens förslag upprepar EESK sina tidigare rekommendationer om behovet av en samstämmig och omfattande politisk strategi som baseras på att förhindra skadlig alkoholkonsumtion, liksom på främjandet av ett ansvarsfullt drickande som innebär att man förhindrar hälsorisker och alkoholkonsumtion bland minderåriga – inte bara för spritsektorn utan även mer allmänt. Information, utbildning och medvetandehöjande åtgärder är avgörande i detta avseende, och EESK välkomnar de många initiativen inom offentlig och privat sektor i detta sammanhang.</w:t>
      </w:r>
    </w:p>
    <w:p w:rsidR="00632738" w:rsidRPr="009D5C68" w:rsidRDefault="00632738" w:rsidP="00A3275A">
      <w:pPr>
        <w:rPr>
          <w:highlight w:val="yellow"/>
        </w:rPr>
      </w:pPr>
    </w:p>
    <w:p w:rsidR="00632738" w:rsidRPr="009D5C68" w:rsidRDefault="00632738" w:rsidP="00A3275A">
      <w:pPr>
        <w:spacing w:line="276" w:lineRule="auto"/>
        <w:rPr>
          <w:i/>
          <w:iCs/>
        </w:rPr>
      </w:pPr>
      <w:r w:rsidRPr="009D5C68">
        <w:rPr>
          <w:b/>
          <w:i/>
        </w:rPr>
        <w:t>Kontaktperson:</w:t>
      </w:r>
      <w:r w:rsidRPr="009D5C68">
        <w:tab/>
      </w:r>
      <w:r w:rsidRPr="009D5C68">
        <w:rPr>
          <w:i/>
        </w:rPr>
        <w:t>Monica Guarinoni</w:t>
      </w:r>
    </w:p>
    <w:p w:rsidR="00610CDE" w:rsidRPr="009D5C68" w:rsidRDefault="00632738" w:rsidP="00A3275A">
      <w:pPr>
        <w:spacing w:line="276" w:lineRule="auto"/>
        <w:ind w:left="1134"/>
        <w:rPr>
          <w:i/>
          <w:iCs/>
        </w:rPr>
      </w:pPr>
      <w:r w:rsidRPr="009D5C68">
        <w:rPr>
          <w:i/>
        </w:rPr>
        <w:t>(Tfn +32 2 546 81 27 – e-post:</w:t>
      </w:r>
      <w:r w:rsidRPr="009D5C68">
        <w:t xml:space="preserve"> </w:t>
      </w:r>
      <w:hyperlink r:id="rId23">
        <w:r w:rsidRPr="009D5C68">
          <w:rPr>
            <w:i/>
            <w:color w:val="0000FF"/>
            <w:u w:val="single"/>
          </w:rPr>
          <w:t>Monica.Guarinoni@eesc.europa.eu</w:t>
        </w:r>
      </w:hyperlink>
      <w:r w:rsidRPr="009D5C68">
        <w:rPr>
          <w:i/>
        </w:rPr>
        <w:t>)</w:t>
      </w:r>
    </w:p>
    <w:p w:rsidR="004C07BF" w:rsidRPr="009D5C68" w:rsidRDefault="004C07BF" w:rsidP="00A3275A"/>
    <w:p w:rsidR="003A4AB8" w:rsidRPr="009D5C68" w:rsidRDefault="003A4AB8" w:rsidP="00A3275A"/>
    <w:p w:rsidR="003A4AB8" w:rsidRPr="009D5C68" w:rsidRDefault="003A4AB8" w:rsidP="00F114BF">
      <w:pPr>
        <w:pStyle w:val="Heading1"/>
        <w:keepNext/>
        <w:keepLines/>
        <w:rPr>
          <w:b/>
        </w:rPr>
      </w:pPr>
      <w:bookmarkStart w:id="5" w:name="_Toc480448238"/>
      <w:r w:rsidRPr="009D5C68">
        <w:rPr>
          <w:b/>
        </w:rPr>
        <w:t>TILLVÄXT OCH INNOVATION</w:t>
      </w:r>
      <w:bookmarkEnd w:id="5"/>
    </w:p>
    <w:p w:rsidR="003A4AB8" w:rsidRPr="009D5C68" w:rsidRDefault="003A4AB8" w:rsidP="00F114BF">
      <w:pPr>
        <w:keepNext/>
        <w:keepLines/>
        <w:spacing w:line="276" w:lineRule="auto"/>
        <w:ind w:left="-567"/>
        <w:rPr>
          <w:kern w:val="28"/>
        </w:rPr>
      </w:pPr>
    </w:p>
    <w:p w:rsidR="00BC5473" w:rsidRPr="009D5C68" w:rsidRDefault="00BC5473" w:rsidP="00F114BF">
      <w:pPr>
        <w:keepNext/>
        <w:keepLines/>
        <w:spacing w:line="276" w:lineRule="auto"/>
        <w:rPr>
          <w:rFonts w:eastAsia="Calibri"/>
          <w:b/>
          <w:iCs/>
          <w:sz w:val="16"/>
          <w:szCs w:val="16"/>
          <w:highlight w:val="yellow"/>
          <w:u w:val="single"/>
        </w:rPr>
      </w:pPr>
    </w:p>
    <w:p w:rsidR="006D7E2A" w:rsidRPr="009D5C68" w:rsidRDefault="006D7E2A" w:rsidP="00F114BF">
      <w:pPr>
        <w:keepNext/>
        <w:keepLines/>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9D5C68">
        <w:rPr>
          <w:b/>
          <w:i/>
          <w:sz w:val="28"/>
        </w:rPr>
        <w:t>Inkluderande öar</w:t>
      </w:r>
    </w:p>
    <w:p w:rsidR="006D7E2A" w:rsidRPr="009D5C68" w:rsidRDefault="006D7E2A" w:rsidP="00A3275A">
      <w:pPr>
        <w:keepNext/>
        <w:tabs>
          <w:tab w:val="center" w:pos="284"/>
        </w:tabs>
        <w:spacing w:line="276" w:lineRule="auto"/>
        <w:ind w:left="266" w:hanging="266"/>
        <w:rPr>
          <w:rFonts w:eastAsia="Calibri"/>
          <w:b/>
          <w:sz w:val="16"/>
          <w:szCs w:val="16"/>
        </w:rPr>
      </w:pPr>
    </w:p>
    <w:p w:rsidR="006D7E2A" w:rsidRPr="009D5C68" w:rsidRDefault="006D7E2A" w:rsidP="00A3275A">
      <w:pPr>
        <w:keepNext/>
        <w:tabs>
          <w:tab w:val="center" w:pos="284"/>
        </w:tabs>
        <w:spacing w:line="276" w:lineRule="auto"/>
        <w:ind w:left="266" w:hanging="266"/>
        <w:rPr>
          <w:rFonts w:eastAsia="Calibri"/>
        </w:rPr>
      </w:pPr>
      <w:r w:rsidRPr="009D5C68">
        <w:rPr>
          <w:b/>
        </w:rPr>
        <w:t>Föredragande:</w:t>
      </w:r>
      <w:r w:rsidRPr="009D5C68">
        <w:tab/>
        <w:t>Stefano Mallia (Arbetsgivargruppen – MT)</w:t>
      </w:r>
    </w:p>
    <w:p w:rsidR="006D7E2A" w:rsidRPr="009D5C68" w:rsidRDefault="006D7E2A" w:rsidP="00A3275A">
      <w:pPr>
        <w:keepNext/>
        <w:tabs>
          <w:tab w:val="center" w:pos="284"/>
        </w:tabs>
        <w:spacing w:line="276" w:lineRule="auto"/>
        <w:ind w:left="266" w:hanging="266"/>
        <w:rPr>
          <w:rFonts w:eastAsia="Calibri"/>
          <w:b/>
          <w:sz w:val="16"/>
          <w:szCs w:val="16"/>
        </w:rPr>
      </w:pPr>
    </w:p>
    <w:p w:rsidR="00BC7DE7" w:rsidRPr="009D5C68" w:rsidRDefault="006D7E2A" w:rsidP="00A3275A">
      <w:pPr>
        <w:keepNext/>
        <w:tabs>
          <w:tab w:val="center" w:pos="284"/>
          <w:tab w:val="left" w:pos="1701"/>
        </w:tabs>
        <w:spacing w:line="276" w:lineRule="auto"/>
        <w:ind w:left="266" w:hanging="266"/>
        <w:rPr>
          <w:rFonts w:eastAsia="Calibri"/>
        </w:rPr>
      </w:pPr>
      <w:r w:rsidRPr="009D5C68">
        <w:rPr>
          <w:b/>
        </w:rPr>
        <w:t>Referens:</w:t>
      </w:r>
      <w:r w:rsidRPr="009D5C68">
        <w:tab/>
        <w:t>Förberedande yttrande på begäran av det maltesiska ordförandeskapet</w:t>
      </w:r>
    </w:p>
    <w:p w:rsidR="006D7E2A" w:rsidRPr="009D5C68" w:rsidRDefault="006D7E2A" w:rsidP="00A3275A">
      <w:pPr>
        <w:keepNext/>
        <w:spacing w:line="276" w:lineRule="auto"/>
        <w:ind w:left="1701"/>
        <w:rPr>
          <w:rFonts w:eastAsia="Calibri"/>
        </w:rPr>
      </w:pPr>
      <w:r w:rsidRPr="009D5C68">
        <w:t>EESC-2016-05508-00-00-AC-TRA</w:t>
      </w:r>
    </w:p>
    <w:p w:rsidR="006D7E2A" w:rsidRPr="009D5C68" w:rsidRDefault="006D7E2A" w:rsidP="00A3275A">
      <w:pPr>
        <w:keepNext/>
        <w:keepLines/>
        <w:tabs>
          <w:tab w:val="center" w:pos="284"/>
        </w:tabs>
        <w:spacing w:line="276" w:lineRule="auto"/>
        <w:ind w:left="266" w:hanging="266"/>
        <w:rPr>
          <w:rFonts w:eastAsia="Calibri"/>
          <w:b/>
          <w:sz w:val="16"/>
          <w:szCs w:val="16"/>
        </w:rPr>
      </w:pPr>
    </w:p>
    <w:p w:rsidR="006D7E2A" w:rsidRPr="009D5C68" w:rsidRDefault="006D7E2A" w:rsidP="00A3275A">
      <w:pPr>
        <w:keepNext/>
        <w:spacing w:line="276" w:lineRule="auto"/>
        <w:ind w:left="-5"/>
        <w:rPr>
          <w:rFonts w:eastAsia="Calibri"/>
          <w:b/>
        </w:rPr>
      </w:pPr>
      <w:r w:rsidRPr="009D5C68">
        <w:rPr>
          <w:b/>
        </w:rPr>
        <w:t>Huvudpunkter:</w:t>
      </w:r>
    </w:p>
    <w:p w:rsidR="006D7E2A" w:rsidRPr="009D5C68" w:rsidRDefault="006D7E2A" w:rsidP="00E84F95">
      <w:pPr>
        <w:keepNext/>
        <w:tabs>
          <w:tab w:val="left" w:pos="770"/>
        </w:tabs>
        <w:spacing w:line="276" w:lineRule="auto"/>
        <w:ind w:left="1430" w:hanging="1430"/>
        <w:rPr>
          <w:rFonts w:eastAsia="Calibri"/>
          <w:bCs/>
          <w:iCs/>
          <w:sz w:val="16"/>
          <w:szCs w:val="16"/>
        </w:rPr>
      </w:pPr>
    </w:p>
    <w:p w:rsidR="006D7E2A" w:rsidRPr="009D5C68" w:rsidRDefault="006D7E2A" w:rsidP="00A3275A">
      <w:pPr>
        <w:spacing w:line="276" w:lineRule="auto"/>
        <w:rPr>
          <w:rFonts w:eastAsia="Calibri"/>
        </w:rPr>
      </w:pPr>
      <w:r w:rsidRPr="009D5C68">
        <w:t>EESK har följande kommentarer:</w:t>
      </w:r>
    </w:p>
    <w:p w:rsidR="006D7E2A" w:rsidRPr="009D5C68" w:rsidRDefault="006D7E2A" w:rsidP="00A3275A">
      <w:pPr>
        <w:spacing w:line="276" w:lineRule="auto"/>
        <w:rPr>
          <w:rFonts w:eastAsia="Calibri"/>
          <w:sz w:val="16"/>
          <w:szCs w:val="16"/>
        </w:rPr>
      </w:pPr>
    </w:p>
    <w:p w:rsidR="006D7E2A" w:rsidRPr="009D5C68" w:rsidRDefault="006D7E2A" w:rsidP="00A3275A">
      <w:pPr>
        <w:numPr>
          <w:ilvl w:val="0"/>
          <w:numId w:val="29"/>
        </w:numPr>
        <w:spacing w:line="276" w:lineRule="auto"/>
        <w:ind w:left="360"/>
        <w:contextualSpacing/>
      </w:pPr>
      <w:r w:rsidRPr="009D5C68">
        <w:t>EU måste göra en större ansträngning för att erkänna den unika karaktären hos de utmaningar som öar brottas med.</w:t>
      </w:r>
    </w:p>
    <w:p w:rsidR="006D7E2A" w:rsidRPr="009D5C68" w:rsidRDefault="006D7E2A" w:rsidP="00A3275A">
      <w:pPr>
        <w:numPr>
          <w:ilvl w:val="0"/>
          <w:numId w:val="29"/>
        </w:numPr>
        <w:spacing w:line="276" w:lineRule="auto"/>
        <w:ind w:left="360"/>
        <w:contextualSpacing/>
      </w:pPr>
      <w:r w:rsidRPr="009D5C68">
        <w:t>Politiken på sådana kärnområden som den inre marknaden, konkurrens, transporter, landsbygdsutveckling och fiske samt EU-initiativ och EU-program som främjar utbildnings-, ungdoms- och idrottspolitiken måste tillämpas på ett flexiblare sätt med hänsyn till ösamhällenas ekonomier.</w:t>
      </w:r>
    </w:p>
    <w:p w:rsidR="006D7E2A" w:rsidRPr="009D5C68" w:rsidRDefault="006D7E2A" w:rsidP="00A3275A">
      <w:pPr>
        <w:numPr>
          <w:ilvl w:val="0"/>
          <w:numId w:val="29"/>
        </w:numPr>
        <w:spacing w:line="276" w:lineRule="auto"/>
        <w:ind w:left="360"/>
        <w:contextualSpacing/>
      </w:pPr>
      <w:r w:rsidRPr="009D5C68">
        <w:t>Eurostats kriterier för att definiera öar bör omprövas.</w:t>
      </w:r>
    </w:p>
    <w:p w:rsidR="006D7E2A" w:rsidRPr="009D5C68" w:rsidRDefault="006D7E2A" w:rsidP="00A3275A">
      <w:pPr>
        <w:numPr>
          <w:ilvl w:val="0"/>
          <w:numId w:val="29"/>
        </w:numPr>
        <w:spacing w:line="276" w:lineRule="auto"/>
        <w:ind w:left="360"/>
        <w:contextualSpacing/>
      </w:pPr>
      <w:r w:rsidRPr="009D5C68">
        <w:t>Människor med funktionsnedsättning, och mer allmänt alla människor med sämre förutsättningar, måste särskilt uppmärksammas.</w:t>
      </w:r>
    </w:p>
    <w:p w:rsidR="006D7E2A" w:rsidRPr="009D5C68" w:rsidRDefault="006D7E2A" w:rsidP="00A3275A">
      <w:pPr>
        <w:numPr>
          <w:ilvl w:val="0"/>
          <w:numId w:val="29"/>
        </w:numPr>
        <w:spacing w:line="276" w:lineRule="auto"/>
        <w:ind w:left="360"/>
        <w:contextualSpacing/>
      </w:pPr>
      <w:r w:rsidRPr="009D5C68">
        <w:t>Man bör prioritera tillgången till offentliga tjänster och främja en hållbar tillväxt och full sysselsättning, konkurrenskraft och sammanhållning på EU:s öar.</w:t>
      </w:r>
    </w:p>
    <w:p w:rsidR="006D7E2A" w:rsidRPr="009D5C68" w:rsidRDefault="006D7E2A" w:rsidP="00A3275A">
      <w:pPr>
        <w:numPr>
          <w:ilvl w:val="0"/>
          <w:numId w:val="29"/>
        </w:numPr>
        <w:spacing w:line="276" w:lineRule="auto"/>
        <w:ind w:left="360"/>
        <w:contextualSpacing/>
      </w:pPr>
      <w:r w:rsidRPr="009D5C68">
        <w:t>Öar och öregioner erbjuder ofta unika möjligheter till lösningar för ren energi. Man bör stödja alla insatser från kommissionens sida i denna riktning och i synnerhet öarnas omställning till lösningar för 100 % ren energi.</w:t>
      </w:r>
    </w:p>
    <w:p w:rsidR="00B85972" w:rsidRPr="009D5C68" w:rsidRDefault="00B85972" w:rsidP="00A3275A">
      <w:pPr>
        <w:numPr>
          <w:ilvl w:val="0"/>
          <w:numId w:val="29"/>
        </w:numPr>
        <w:spacing w:line="276" w:lineRule="auto"/>
        <w:ind w:left="360"/>
        <w:contextualSpacing/>
      </w:pPr>
      <w:r w:rsidRPr="009D5C68">
        <w:t>Det bör inledas en djupgående studie om de extra kostnader som uppstår till följd av att ett område är en ö.</w:t>
      </w:r>
    </w:p>
    <w:p w:rsidR="006D7E2A" w:rsidRPr="009D5C68" w:rsidRDefault="006D7E2A" w:rsidP="00A3275A">
      <w:pPr>
        <w:numPr>
          <w:ilvl w:val="0"/>
          <w:numId w:val="29"/>
        </w:numPr>
        <w:spacing w:line="276" w:lineRule="auto"/>
        <w:ind w:left="360"/>
        <w:contextualSpacing/>
      </w:pPr>
      <w:r w:rsidRPr="009D5C68">
        <w:t>Alla regioner eller medlemsstater som är öar bör betraktas som berättigade till infrastrukturrelaterat stöd inom ramen för sammanhållningspolitiken för perioden efter 2020.</w:t>
      </w:r>
    </w:p>
    <w:p w:rsidR="006D7E2A" w:rsidRPr="009D5C68" w:rsidRDefault="006D7E2A" w:rsidP="00A3275A">
      <w:pPr>
        <w:numPr>
          <w:ilvl w:val="0"/>
          <w:numId w:val="29"/>
        </w:numPr>
        <w:spacing w:line="276" w:lineRule="auto"/>
        <w:ind w:left="360"/>
        <w:contextualSpacing/>
      </w:pPr>
      <w:r w:rsidRPr="009D5C68">
        <w:t>Kommissionen bör fastställa ett mer lämpligt regelverk med hänsyn till tillämpningen av reglerna för statligt stöd på öar och i öregioner.</w:t>
      </w:r>
    </w:p>
    <w:p w:rsidR="006D7E2A" w:rsidRPr="009D5C68" w:rsidRDefault="006D7E2A" w:rsidP="00A3275A">
      <w:pPr>
        <w:numPr>
          <w:ilvl w:val="0"/>
          <w:numId w:val="29"/>
        </w:numPr>
        <w:spacing w:line="276" w:lineRule="auto"/>
        <w:ind w:left="360"/>
        <w:contextualSpacing/>
      </w:pPr>
      <w:r w:rsidRPr="009D5C68">
        <w:t>Samordningen via kommissionens avdelningsövergripande arbetsgrupp för territoriell utveckling och stadsutveckling bör intensifieras.</w:t>
      </w:r>
    </w:p>
    <w:p w:rsidR="006D7E2A" w:rsidRPr="009D5C68" w:rsidRDefault="006D7E2A" w:rsidP="00A3275A">
      <w:pPr>
        <w:spacing w:line="276" w:lineRule="auto"/>
        <w:rPr>
          <w:rFonts w:eastAsia="Calibri"/>
          <w:b/>
          <w:i/>
          <w:sz w:val="16"/>
          <w:szCs w:val="16"/>
        </w:rPr>
      </w:pPr>
    </w:p>
    <w:p w:rsidR="006D7E2A" w:rsidRPr="009D5C68" w:rsidRDefault="006D7E2A" w:rsidP="00A3275A">
      <w:pPr>
        <w:tabs>
          <w:tab w:val="left" w:pos="770"/>
        </w:tabs>
        <w:spacing w:line="276" w:lineRule="auto"/>
        <w:rPr>
          <w:rFonts w:eastAsia="Calibri"/>
          <w:i/>
          <w:iCs/>
        </w:rPr>
      </w:pPr>
      <w:r w:rsidRPr="009D5C68">
        <w:rPr>
          <w:b/>
          <w:i/>
        </w:rPr>
        <w:t>Kontaktperson</w:t>
      </w:r>
      <w:r w:rsidRPr="009D5C68">
        <w:rPr>
          <w:i/>
        </w:rPr>
        <w:t>:</w:t>
      </w:r>
      <w:r w:rsidRPr="009D5C68">
        <w:tab/>
      </w:r>
      <w:r w:rsidRPr="009D5C68">
        <w:rPr>
          <w:i/>
        </w:rPr>
        <w:t>Helena Polomik</w:t>
      </w:r>
    </w:p>
    <w:p w:rsidR="00C1115F" w:rsidRPr="009D5C68" w:rsidRDefault="006D7E2A" w:rsidP="00A3275A">
      <w:pPr>
        <w:spacing w:line="276" w:lineRule="auto"/>
        <w:ind w:left="1134"/>
        <w:rPr>
          <w:rFonts w:eastAsia="Calibri"/>
          <w:iCs/>
        </w:rPr>
      </w:pPr>
      <w:r w:rsidRPr="009D5C68">
        <w:rPr>
          <w:i/>
        </w:rPr>
        <w:t xml:space="preserve">(Tfn + 32 2 546 90 63 – e-post: </w:t>
      </w:r>
      <w:hyperlink r:id="rId24">
        <w:r w:rsidRPr="009D5C68">
          <w:rPr>
            <w:rStyle w:val="Hyperlink"/>
            <w:i/>
          </w:rPr>
          <w:t>Helena.Polomik@eesc.europa.eu</w:t>
        </w:r>
      </w:hyperlink>
      <w:r w:rsidRPr="009D5C68">
        <w:rPr>
          <w:i/>
        </w:rPr>
        <w:t>)</w:t>
      </w:r>
    </w:p>
    <w:p w:rsidR="003A4AB8" w:rsidRPr="009D5C68" w:rsidRDefault="003A4AB8" w:rsidP="00A3275A">
      <w:pPr>
        <w:spacing w:line="276" w:lineRule="auto"/>
        <w:rPr>
          <w:rFonts w:eastAsia="Calibri"/>
          <w:iCs/>
          <w:sz w:val="16"/>
          <w:szCs w:val="16"/>
        </w:rPr>
      </w:pPr>
    </w:p>
    <w:p w:rsidR="00C1115F" w:rsidRPr="009D5C68" w:rsidRDefault="00C1115F" w:rsidP="004C07BF">
      <w:pPr>
        <w:spacing w:line="240" w:lineRule="auto"/>
        <w:rPr>
          <w:rFonts w:eastAsia="Calibri"/>
          <w:iCs/>
          <w:sz w:val="16"/>
          <w:szCs w:val="16"/>
        </w:rPr>
      </w:pPr>
    </w:p>
    <w:p w:rsidR="00E6566F" w:rsidRPr="009D5C68" w:rsidRDefault="00E6566F" w:rsidP="00A3275A">
      <w:pPr>
        <w:pStyle w:val="Heading1"/>
        <w:keepNext/>
        <w:spacing w:line="276" w:lineRule="auto"/>
        <w:rPr>
          <w:b/>
        </w:rPr>
      </w:pPr>
      <w:bookmarkStart w:id="6" w:name="_Toc477938711"/>
      <w:bookmarkStart w:id="7" w:name="_Toc480448239"/>
      <w:r w:rsidRPr="009D5C68">
        <w:rPr>
          <w:b/>
        </w:rPr>
        <w:t>EKONOMISK STYRNING/FINANSIERINGSINSTRUMENT/BESKATTNING</w:t>
      </w:r>
      <w:bookmarkEnd w:id="6"/>
      <w:bookmarkEnd w:id="7"/>
    </w:p>
    <w:p w:rsidR="00BC5473" w:rsidRPr="009D5C68" w:rsidRDefault="00BC5473" w:rsidP="00A3275A">
      <w:pPr>
        <w:keepNext/>
        <w:spacing w:line="276" w:lineRule="auto"/>
        <w:rPr>
          <w:sz w:val="16"/>
          <w:szCs w:val="16"/>
        </w:rPr>
      </w:pPr>
    </w:p>
    <w:p w:rsidR="006D7E2A" w:rsidRPr="009D5C68"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9D5C68">
        <w:rPr>
          <w:b/>
          <w:i/>
          <w:sz w:val="28"/>
        </w:rPr>
        <w:t>Återhämtning och resolution av centrala motparter</w:t>
      </w:r>
    </w:p>
    <w:p w:rsidR="006D7E2A" w:rsidRPr="009D5C68" w:rsidRDefault="006D7E2A" w:rsidP="00A3275A">
      <w:pPr>
        <w:keepNext/>
        <w:tabs>
          <w:tab w:val="center" w:pos="284"/>
        </w:tabs>
        <w:spacing w:line="276" w:lineRule="auto"/>
        <w:ind w:left="266" w:hanging="266"/>
        <w:rPr>
          <w:rFonts w:eastAsia="Calibri"/>
          <w:b/>
          <w:sz w:val="16"/>
          <w:szCs w:val="16"/>
        </w:rPr>
      </w:pPr>
    </w:p>
    <w:p w:rsidR="006D7E2A" w:rsidRPr="009D5C68" w:rsidRDefault="006D7E2A" w:rsidP="00A3275A">
      <w:pPr>
        <w:tabs>
          <w:tab w:val="center" w:pos="284"/>
        </w:tabs>
        <w:spacing w:line="276" w:lineRule="auto"/>
        <w:ind w:left="266" w:hanging="266"/>
        <w:rPr>
          <w:rFonts w:eastAsia="Calibri"/>
        </w:rPr>
      </w:pPr>
      <w:r w:rsidRPr="009D5C68">
        <w:rPr>
          <w:b/>
        </w:rPr>
        <w:t>Föredragande:</w:t>
      </w:r>
      <w:r w:rsidRPr="009D5C68">
        <w:tab/>
        <w:t>Antonio García del Riego (Arbetsgivargruppen – ES)</w:t>
      </w:r>
    </w:p>
    <w:p w:rsidR="006D7E2A" w:rsidRPr="009D5C68" w:rsidRDefault="006D7E2A" w:rsidP="00A3275A">
      <w:pPr>
        <w:tabs>
          <w:tab w:val="center" w:pos="284"/>
        </w:tabs>
        <w:spacing w:line="276" w:lineRule="auto"/>
        <w:ind w:left="266" w:hanging="266"/>
        <w:rPr>
          <w:rFonts w:eastAsia="Calibri"/>
          <w:sz w:val="16"/>
          <w:szCs w:val="16"/>
        </w:rPr>
      </w:pPr>
    </w:p>
    <w:p w:rsidR="00D81307" w:rsidRPr="009D5C68" w:rsidRDefault="006D7E2A" w:rsidP="00A3275A">
      <w:pPr>
        <w:tabs>
          <w:tab w:val="center" w:pos="284"/>
          <w:tab w:val="left" w:pos="1701"/>
        </w:tabs>
        <w:spacing w:line="276" w:lineRule="auto"/>
        <w:ind w:left="266" w:hanging="266"/>
        <w:rPr>
          <w:rFonts w:eastAsia="Calibri"/>
        </w:rPr>
      </w:pPr>
      <w:r w:rsidRPr="009D5C68">
        <w:rPr>
          <w:b/>
        </w:rPr>
        <w:t>Referens:</w:t>
      </w:r>
      <w:r w:rsidRPr="009D5C68">
        <w:tab/>
        <w:t>COM(2016) 856 final - 2016/0365 (COD)</w:t>
      </w:r>
    </w:p>
    <w:p w:rsidR="006D7E2A" w:rsidRPr="009D5C68" w:rsidRDefault="006D7E2A" w:rsidP="00A3275A">
      <w:pPr>
        <w:spacing w:line="276" w:lineRule="auto"/>
        <w:ind w:left="1701"/>
        <w:rPr>
          <w:rFonts w:eastAsia="Calibri"/>
        </w:rPr>
      </w:pPr>
      <w:r w:rsidRPr="009D5C68">
        <w:t>EESC-2016-06466-00-00-AC-TRA</w:t>
      </w:r>
    </w:p>
    <w:p w:rsidR="006D7E2A" w:rsidRPr="009D5C68" w:rsidRDefault="006D7E2A" w:rsidP="00A3275A">
      <w:pPr>
        <w:tabs>
          <w:tab w:val="center" w:pos="284"/>
        </w:tabs>
        <w:spacing w:line="276" w:lineRule="auto"/>
        <w:ind w:left="266" w:hanging="266"/>
        <w:rPr>
          <w:rFonts w:eastAsia="Calibri"/>
        </w:rPr>
      </w:pPr>
    </w:p>
    <w:p w:rsidR="006D7E2A" w:rsidRPr="009D5C68" w:rsidRDefault="006D7E2A" w:rsidP="00A3275A">
      <w:pPr>
        <w:keepNext/>
        <w:keepLines/>
        <w:tabs>
          <w:tab w:val="center" w:pos="284"/>
        </w:tabs>
        <w:spacing w:line="276" w:lineRule="auto"/>
        <w:ind w:left="266" w:hanging="266"/>
        <w:rPr>
          <w:rFonts w:eastAsia="Calibri"/>
          <w:b/>
        </w:rPr>
      </w:pPr>
      <w:r w:rsidRPr="009D5C68">
        <w:rPr>
          <w:b/>
        </w:rPr>
        <w:t>Huvudpunkter:</w:t>
      </w:r>
    </w:p>
    <w:p w:rsidR="00E84F95" w:rsidRPr="009D5C68" w:rsidRDefault="00E84F95" w:rsidP="00E84F95">
      <w:pPr>
        <w:rPr>
          <w:rFonts w:eastAsia="Calibri"/>
        </w:rPr>
      </w:pPr>
    </w:p>
    <w:p w:rsidR="006D7E2A" w:rsidRPr="009D5C68" w:rsidRDefault="006D7E2A">
      <w:pPr>
        <w:spacing w:line="276" w:lineRule="auto"/>
        <w:rPr>
          <w:rFonts w:eastAsia="Calibri"/>
        </w:rPr>
      </w:pPr>
      <w:r w:rsidRPr="009D5C68">
        <w:t>EESK:s ståndpunkt:</w:t>
      </w:r>
    </w:p>
    <w:p w:rsidR="006D7E2A" w:rsidRPr="009D5C68" w:rsidRDefault="006D7E2A" w:rsidP="00A3275A">
      <w:pPr>
        <w:rPr>
          <w:rFonts w:eastAsia="Calibri"/>
        </w:rPr>
      </w:pPr>
    </w:p>
    <w:p w:rsidR="006D7E2A" w:rsidRPr="009D5C68" w:rsidRDefault="006D7E2A" w:rsidP="00A3275A">
      <w:pPr>
        <w:numPr>
          <w:ilvl w:val="0"/>
          <w:numId w:val="28"/>
        </w:numPr>
        <w:spacing w:line="276" w:lineRule="auto"/>
        <w:ind w:left="360"/>
        <w:rPr>
          <w:rFonts w:eastAsia="Calibri"/>
        </w:rPr>
      </w:pPr>
      <w:r w:rsidRPr="009D5C68">
        <w:t>EESK välkomnar den föreslagna ramen för återhämtning och resolution av centrala motparter och betonar att det är ytterst viktigt att genomföra G20:s befintliga beslut om global styrning av centrala motparter liksom de specifika rekommendationerna från rå</w:t>
      </w:r>
      <w:r w:rsidR="00F114BF" w:rsidRPr="009D5C68">
        <w:t>det för finansiell stabilitet i </w:t>
      </w:r>
      <w:r w:rsidRPr="009D5C68">
        <w:t>harmoniserad, bindande lagstiftning, genom vilken sunda och säkra lika villkor garanteras på global nivå.</w:t>
      </w:r>
    </w:p>
    <w:p w:rsidR="006D7E2A" w:rsidRPr="009D5C68" w:rsidRDefault="006D7E2A">
      <w:pPr>
        <w:spacing w:line="276" w:lineRule="auto"/>
        <w:ind w:left="720"/>
        <w:rPr>
          <w:rFonts w:eastAsia="Calibri"/>
        </w:rPr>
      </w:pPr>
    </w:p>
    <w:p w:rsidR="006D7E2A" w:rsidRPr="009D5C68" w:rsidRDefault="006D7E2A" w:rsidP="00A3275A">
      <w:pPr>
        <w:numPr>
          <w:ilvl w:val="0"/>
          <w:numId w:val="28"/>
        </w:numPr>
        <w:spacing w:line="276" w:lineRule="auto"/>
        <w:ind w:left="360"/>
        <w:rPr>
          <w:rFonts w:eastAsia="Calibri"/>
        </w:rPr>
      </w:pPr>
      <w:r w:rsidRPr="009D5C68">
        <w:t>EESK skulle därför välkomna större flexibilitet vad gäller möjligheten att anpassa den föreslagna förordningen till den framtida utvecklingen av det internationella samförståndet avseende reglerna för centrala motparter, dvs. rekommendationerna från rådet för finansiell stabilitet (FSB).</w:t>
      </w:r>
    </w:p>
    <w:p w:rsidR="0089563A" w:rsidRPr="009D5C68" w:rsidRDefault="0089563A">
      <w:pPr>
        <w:spacing w:line="276" w:lineRule="auto"/>
        <w:ind w:left="720"/>
        <w:rPr>
          <w:rFonts w:eastAsia="Calibri"/>
        </w:rPr>
      </w:pPr>
    </w:p>
    <w:p w:rsidR="006D7E2A" w:rsidRPr="009D5C68" w:rsidRDefault="006D7E2A" w:rsidP="00A3275A">
      <w:pPr>
        <w:numPr>
          <w:ilvl w:val="0"/>
          <w:numId w:val="28"/>
        </w:numPr>
        <w:spacing w:line="276" w:lineRule="auto"/>
        <w:ind w:left="360"/>
        <w:rPr>
          <w:rFonts w:eastAsia="Calibri"/>
        </w:rPr>
      </w:pPr>
      <w:r w:rsidRPr="009D5C68">
        <w:t>En gemensam tillsynsmyndighet för centrala motparter och en gemensam europeisk resolutionsmyndighet skulle säkerställa att den nya förordningen genomförs effektivast på ett standardiserat sätt.</w:t>
      </w:r>
    </w:p>
    <w:p w:rsidR="006D7E2A" w:rsidRPr="009D5C68" w:rsidRDefault="006D7E2A">
      <w:pPr>
        <w:spacing w:line="276" w:lineRule="auto"/>
        <w:ind w:left="720"/>
        <w:rPr>
          <w:rFonts w:eastAsia="Calibri"/>
        </w:rPr>
      </w:pPr>
    </w:p>
    <w:p w:rsidR="006D7E2A" w:rsidRPr="009D5C68" w:rsidRDefault="006D7E2A" w:rsidP="00A3275A">
      <w:pPr>
        <w:numPr>
          <w:ilvl w:val="0"/>
          <w:numId w:val="28"/>
        </w:numPr>
        <w:spacing w:line="276" w:lineRule="auto"/>
        <w:ind w:left="360"/>
        <w:rPr>
          <w:rFonts w:eastAsia="Calibri"/>
        </w:rPr>
      </w:pPr>
      <w:r w:rsidRPr="009D5C68">
        <w:t>EESK rekommenderar starkt att man ska överväga att utnyttja eller utvidga ECB:s befogenheter så att ECB blir både central europeisk tillsynsmyndighet för centrala motparter inom ramen för den gemensamma tillsynsmekanismen och central resolutionsmyndighet inom ramen för ECB/eurosystemet.</w:t>
      </w:r>
    </w:p>
    <w:p w:rsidR="006D7E2A" w:rsidRPr="009D5C68" w:rsidRDefault="006D7E2A">
      <w:pPr>
        <w:spacing w:line="276" w:lineRule="auto"/>
        <w:ind w:left="720"/>
        <w:rPr>
          <w:rFonts w:eastAsia="Calibri"/>
        </w:rPr>
      </w:pPr>
    </w:p>
    <w:p w:rsidR="006D7E2A" w:rsidRPr="009D5C68" w:rsidRDefault="006D7E2A" w:rsidP="00A3275A">
      <w:pPr>
        <w:numPr>
          <w:ilvl w:val="0"/>
          <w:numId w:val="28"/>
        </w:numPr>
        <w:spacing w:line="276" w:lineRule="auto"/>
        <w:ind w:left="360"/>
        <w:rPr>
          <w:rFonts w:eastAsia="Calibri"/>
        </w:rPr>
      </w:pPr>
      <w:r w:rsidRPr="009D5C68">
        <w:t>Eventuella räddningsåtgärder gentemot centrala motparter med skattebetalarnas pengar måste uteslutas, särskilt vad gäller centrala motparter i tredjeländer. Den befintliga möjligheten till extraordinärt offentligt stöd på vissa villkor kan ge upphov till en moralisk risk.</w:t>
      </w:r>
    </w:p>
    <w:p w:rsidR="006D7E2A" w:rsidRPr="009D5C68" w:rsidRDefault="006D7E2A">
      <w:pPr>
        <w:spacing w:line="276" w:lineRule="auto"/>
        <w:ind w:left="720"/>
        <w:rPr>
          <w:rFonts w:eastAsia="Calibri"/>
        </w:rPr>
      </w:pPr>
    </w:p>
    <w:p w:rsidR="006D7E2A" w:rsidRPr="009D5C68" w:rsidRDefault="006D7E2A" w:rsidP="00A3275A">
      <w:pPr>
        <w:numPr>
          <w:ilvl w:val="0"/>
          <w:numId w:val="28"/>
        </w:numPr>
        <w:spacing w:line="276" w:lineRule="auto"/>
        <w:ind w:left="360"/>
      </w:pPr>
      <w:r w:rsidRPr="009D5C68">
        <w:t>Man bör vara mycket uppmärksam på hur icke-finansiella motparter och indirekta clearingdeltagares segregerade kundtillgångar kan komma att påverkas.</w:t>
      </w:r>
    </w:p>
    <w:p w:rsidR="006D7E2A" w:rsidRPr="009D5C68" w:rsidRDefault="006D7E2A" w:rsidP="00A3275A">
      <w:pPr>
        <w:spacing w:line="276" w:lineRule="auto"/>
        <w:rPr>
          <w:rFonts w:eastAsia="Calibri"/>
        </w:rPr>
      </w:pPr>
    </w:p>
    <w:p w:rsidR="006D7E2A" w:rsidRPr="009D5C68" w:rsidRDefault="006D7E2A" w:rsidP="00A3275A">
      <w:pPr>
        <w:spacing w:line="276" w:lineRule="auto"/>
        <w:rPr>
          <w:rFonts w:eastAsia="Calibri"/>
          <w:i/>
        </w:rPr>
      </w:pPr>
      <w:r w:rsidRPr="009D5C68">
        <w:rPr>
          <w:b/>
          <w:i/>
        </w:rPr>
        <w:t>Kontaktperson</w:t>
      </w:r>
      <w:r w:rsidRPr="009D5C68">
        <w:t>:</w:t>
      </w:r>
      <w:r w:rsidRPr="009D5C68">
        <w:rPr>
          <w:i/>
        </w:rPr>
        <w:t xml:space="preserve"> </w:t>
      </w:r>
      <w:r w:rsidRPr="009D5C68">
        <w:tab/>
      </w:r>
      <w:r w:rsidRPr="009D5C68">
        <w:rPr>
          <w:i/>
        </w:rPr>
        <w:t>Gerald Klec</w:t>
      </w:r>
    </w:p>
    <w:p w:rsidR="006D7E2A" w:rsidRPr="009D5C68" w:rsidRDefault="006D7E2A" w:rsidP="00A3275A">
      <w:pPr>
        <w:spacing w:line="276" w:lineRule="auto"/>
        <w:ind w:left="1134"/>
        <w:rPr>
          <w:rFonts w:eastAsia="Calibri"/>
          <w:i/>
        </w:rPr>
      </w:pPr>
      <w:r w:rsidRPr="009D5C68">
        <w:rPr>
          <w:i/>
        </w:rPr>
        <w:t xml:space="preserve">(Tfn +32 2 546 99 09 – e-post: </w:t>
      </w:r>
      <w:hyperlink r:id="rId25">
        <w:r w:rsidRPr="009D5C68">
          <w:rPr>
            <w:rStyle w:val="Hyperlink"/>
            <w:i/>
          </w:rPr>
          <w:t>gerald.klec@eesc.europa.eu</w:t>
        </w:r>
      </w:hyperlink>
      <w:r w:rsidRPr="009D5C68">
        <w:rPr>
          <w:i/>
        </w:rPr>
        <w:t>)</w:t>
      </w:r>
    </w:p>
    <w:p w:rsidR="006D7E2A" w:rsidRPr="009D5C68" w:rsidRDefault="006D7E2A" w:rsidP="00A3275A">
      <w:pPr>
        <w:spacing w:line="276" w:lineRule="auto"/>
        <w:rPr>
          <w:rFonts w:eastAsia="Calibri"/>
          <w:b/>
          <w:iCs/>
          <w:highlight w:val="yellow"/>
          <w:u w:val="single"/>
        </w:rPr>
      </w:pPr>
    </w:p>
    <w:p w:rsidR="006D7E2A" w:rsidRPr="009D5C68" w:rsidRDefault="006D7E2A" w:rsidP="00A3275A">
      <w:pPr>
        <w:widowControl w:val="0"/>
        <w:numPr>
          <w:ilvl w:val="0"/>
          <w:numId w:val="32"/>
        </w:numPr>
        <w:overflowPunct w:val="0"/>
        <w:autoSpaceDE w:val="0"/>
        <w:autoSpaceDN w:val="0"/>
        <w:adjustRightInd w:val="0"/>
        <w:spacing w:line="276" w:lineRule="auto"/>
        <w:ind w:left="567"/>
        <w:textAlignment w:val="baseline"/>
        <w:rPr>
          <w:rFonts w:eastAsia="Calibri"/>
          <w:b/>
          <w:bCs/>
          <w:i/>
          <w:iCs/>
          <w:sz w:val="28"/>
          <w:szCs w:val="28"/>
        </w:rPr>
      </w:pPr>
      <w:r w:rsidRPr="009D5C68">
        <w:rPr>
          <w:b/>
          <w:i/>
          <w:sz w:val="28"/>
        </w:rPr>
        <w:t>EU:s regelverk för finansiella tjänster</w:t>
      </w:r>
    </w:p>
    <w:p w:rsidR="006D7E2A" w:rsidRPr="009D5C68" w:rsidRDefault="006D7E2A" w:rsidP="00A3275A">
      <w:pPr>
        <w:spacing w:line="276" w:lineRule="auto"/>
        <w:ind w:firstLine="17"/>
        <w:rPr>
          <w:rFonts w:eastAsia="Calibri"/>
        </w:rPr>
      </w:pPr>
    </w:p>
    <w:p w:rsidR="006D7E2A" w:rsidRPr="009D5C68" w:rsidRDefault="006D7E2A" w:rsidP="00A3275A">
      <w:pPr>
        <w:spacing w:line="276" w:lineRule="auto"/>
        <w:rPr>
          <w:rFonts w:eastAsia="Calibri"/>
        </w:rPr>
      </w:pPr>
      <w:r w:rsidRPr="009D5C68">
        <w:rPr>
          <w:b/>
        </w:rPr>
        <w:t>Föredragande:</w:t>
      </w:r>
      <w:r w:rsidRPr="009D5C68">
        <w:tab/>
        <w:t>Milena Angelova (Arbetsgivargruppen – BG)</w:t>
      </w:r>
    </w:p>
    <w:p w:rsidR="006D7E2A" w:rsidRPr="009D5C68" w:rsidRDefault="006D7E2A" w:rsidP="00A3275A">
      <w:pPr>
        <w:spacing w:line="276" w:lineRule="auto"/>
        <w:rPr>
          <w:rFonts w:eastAsia="Calibri"/>
        </w:rPr>
      </w:pPr>
    </w:p>
    <w:p w:rsidR="004C07BF" w:rsidRPr="009D5C68" w:rsidRDefault="006D7E2A" w:rsidP="00A3275A">
      <w:pPr>
        <w:tabs>
          <w:tab w:val="left" w:pos="1701"/>
        </w:tabs>
        <w:spacing w:line="276" w:lineRule="auto"/>
        <w:ind w:left="-5"/>
        <w:rPr>
          <w:rFonts w:eastAsia="Calibri"/>
        </w:rPr>
      </w:pPr>
      <w:r w:rsidRPr="009D5C68">
        <w:rPr>
          <w:b/>
        </w:rPr>
        <w:t>Referens:</w:t>
      </w:r>
      <w:r w:rsidRPr="009D5C68">
        <w:tab/>
        <w:t>COM(2016) 855 final</w:t>
      </w:r>
    </w:p>
    <w:p w:rsidR="006D7E2A" w:rsidRPr="009D5C68" w:rsidRDefault="006D7E2A" w:rsidP="00A3275A">
      <w:pPr>
        <w:spacing w:line="276" w:lineRule="auto"/>
        <w:ind w:left="1701"/>
        <w:rPr>
          <w:rFonts w:eastAsia="Calibri"/>
          <w:b/>
        </w:rPr>
      </w:pPr>
      <w:r w:rsidRPr="009D5C68">
        <w:t>ESC-2016-06465-00-00-AC-TRA</w:t>
      </w:r>
    </w:p>
    <w:p w:rsidR="006D7E2A" w:rsidRPr="009D5C68" w:rsidRDefault="006D7E2A" w:rsidP="00A3275A">
      <w:pPr>
        <w:spacing w:line="276" w:lineRule="auto"/>
        <w:ind w:left="-5"/>
        <w:rPr>
          <w:rFonts w:eastAsia="Calibri"/>
          <w:b/>
        </w:rPr>
      </w:pPr>
    </w:p>
    <w:p w:rsidR="006D7E2A" w:rsidRPr="009D5C68" w:rsidRDefault="006D7E2A" w:rsidP="00A3275A">
      <w:pPr>
        <w:spacing w:line="276" w:lineRule="auto"/>
        <w:ind w:left="-5"/>
        <w:rPr>
          <w:rFonts w:eastAsia="Calibri"/>
          <w:b/>
        </w:rPr>
      </w:pPr>
      <w:r w:rsidRPr="009D5C68">
        <w:rPr>
          <w:b/>
        </w:rPr>
        <w:t>Huvudpunkter:</w:t>
      </w:r>
    </w:p>
    <w:p w:rsidR="006D7E2A" w:rsidRPr="009D5C68" w:rsidRDefault="006D7E2A" w:rsidP="00A3275A"/>
    <w:p w:rsidR="006D7E2A" w:rsidRPr="009D5C68" w:rsidRDefault="006D7E2A" w:rsidP="00A3275A">
      <w:pPr>
        <w:spacing w:line="276" w:lineRule="auto"/>
        <w:rPr>
          <w:rFonts w:eastAsia="Calibri"/>
        </w:rPr>
      </w:pPr>
      <w:r w:rsidRPr="009D5C68">
        <w:t>EESK:s ståndpunkt:</w:t>
      </w:r>
    </w:p>
    <w:p w:rsidR="006D7E2A" w:rsidRPr="009D5C68" w:rsidRDefault="006D7E2A" w:rsidP="00A3275A">
      <w:pPr>
        <w:spacing w:line="276" w:lineRule="auto"/>
        <w:rPr>
          <w:rFonts w:eastAsia="Calibri"/>
        </w:rPr>
      </w:pPr>
    </w:p>
    <w:p w:rsidR="006D7E2A" w:rsidRPr="009D5C68" w:rsidRDefault="006D7E2A" w:rsidP="00A3275A">
      <w:pPr>
        <w:numPr>
          <w:ilvl w:val="0"/>
          <w:numId w:val="28"/>
        </w:numPr>
        <w:overflowPunct w:val="0"/>
        <w:autoSpaceDE w:val="0"/>
        <w:autoSpaceDN w:val="0"/>
        <w:adjustRightInd w:val="0"/>
        <w:spacing w:line="276" w:lineRule="auto"/>
        <w:ind w:left="360"/>
        <w:textAlignment w:val="baseline"/>
        <w:rPr>
          <w:rFonts w:eastAsia="Calibri"/>
          <w:spacing w:val="-4"/>
        </w:rPr>
      </w:pPr>
      <w:r w:rsidRPr="009D5C68">
        <w:rPr>
          <w:spacing w:val="-4"/>
        </w:rPr>
        <w:t>EESK välkomnar uppmaningen till berörda parter att inkomma med synpunkter, som ett innovativt, informativt och användbart instrument för att bedöma effekterna av lagstiftningsinitiativ på EU-nivå, och hoppas att det kommer att bli vanligt i framtiden.</w:t>
      </w:r>
    </w:p>
    <w:p w:rsidR="006D7E2A" w:rsidRPr="009D5C68"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9D5C68">
        <w:t>Kommittén håller med om att de grundläggande principerna för den senaste tidens finansiella reformer generellt sett inte kan ifrågasättas och att de nya reglerna har förbättrat det finansiella systemets stabilitet och motståndskraft.</w:t>
      </w:r>
    </w:p>
    <w:p w:rsidR="006D7E2A" w:rsidRPr="009D5C68" w:rsidRDefault="006D7E2A" w:rsidP="00A3275A">
      <w:pPr>
        <w:spacing w:line="276" w:lineRule="auto"/>
        <w:ind w:left="720"/>
        <w:rPr>
          <w:rFonts w:eastAsia="Calibri"/>
        </w:rPr>
      </w:pPr>
    </w:p>
    <w:p w:rsidR="006D7E2A" w:rsidRPr="009D5C68"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9D5C68">
        <w:t>Kommittén understryker betydelsen av EU:s regelverk för finansiella tjänster för att påskynda fullbordandet av en kapitalmarknadsunion.</w:t>
      </w:r>
    </w:p>
    <w:p w:rsidR="006D7E2A" w:rsidRPr="009D5C68" w:rsidRDefault="006D7E2A" w:rsidP="00A3275A">
      <w:pPr>
        <w:spacing w:line="276" w:lineRule="auto"/>
        <w:ind w:left="720"/>
        <w:rPr>
          <w:rFonts w:eastAsia="Calibri"/>
        </w:rPr>
      </w:pPr>
    </w:p>
    <w:p w:rsidR="006D7E2A" w:rsidRPr="009D5C68"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9D5C68">
        <w:t>EESK välkomnar strategin att sätta reformen i samband med det övergripande målet att bättre balansera finansiell stabilitet och tillväxtmål.</w:t>
      </w:r>
    </w:p>
    <w:p w:rsidR="006D7E2A" w:rsidRPr="009D5C68" w:rsidRDefault="006D7E2A" w:rsidP="00A3275A">
      <w:pPr>
        <w:spacing w:line="276" w:lineRule="auto"/>
        <w:ind w:left="720"/>
        <w:rPr>
          <w:rFonts w:eastAsia="Calibri"/>
        </w:rPr>
      </w:pPr>
    </w:p>
    <w:p w:rsidR="006D7E2A" w:rsidRPr="009D5C68"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9D5C68">
        <w:t>Kommittén uppmanar medlemsstaterna att inte införa onödiga bördor och restriktioner när de införlivar EU:s regler.</w:t>
      </w:r>
    </w:p>
    <w:p w:rsidR="006D7E2A" w:rsidRPr="009D5C68" w:rsidRDefault="006D7E2A" w:rsidP="00A3275A">
      <w:pPr>
        <w:spacing w:line="276" w:lineRule="auto"/>
        <w:ind w:left="720"/>
        <w:rPr>
          <w:rFonts w:eastAsia="Calibri"/>
        </w:rPr>
      </w:pPr>
    </w:p>
    <w:p w:rsidR="006D7E2A" w:rsidRPr="009D5C68" w:rsidRDefault="006D7E2A" w:rsidP="00A3275A">
      <w:pPr>
        <w:numPr>
          <w:ilvl w:val="0"/>
          <w:numId w:val="28"/>
        </w:numPr>
        <w:overflowPunct w:val="0"/>
        <w:autoSpaceDE w:val="0"/>
        <w:autoSpaceDN w:val="0"/>
        <w:adjustRightInd w:val="0"/>
        <w:spacing w:line="276" w:lineRule="auto"/>
        <w:ind w:left="360"/>
        <w:textAlignment w:val="baseline"/>
        <w:rPr>
          <w:rFonts w:eastAsia="Calibri"/>
          <w:spacing w:val="-4"/>
        </w:rPr>
      </w:pPr>
      <w:r w:rsidRPr="009D5C68">
        <w:rPr>
          <w:spacing w:val="-4"/>
        </w:rPr>
        <w:t>Kommittén håller med om att banker måste ägnas särskild uppmärksamhet eftersom de tillhandahåller viktiga tjänster av allmänt intresse till allmänheten och är den främsta finansieringskällan för små och medelstora företag.</w:t>
      </w:r>
    </w:p>
    <w:p w:rsidR="006D7E2A" w:rsidRPr="009D5C68" w:rsidRDefault="006D7E2A" w:rsidP="00A3275A">
      <w:pPr>
        <w:spacing w:line="276" w:lineRule="auto"/>
        <w:ind w:left="720"/>
        <w:rPr>
          <w:rFonts w:eastAsia="Calibri"/>
        </w:rPr>
      </w:pPr>
    </w:p>
    <w:p w:rsidR="006D7E2A" w:rsidRPr="009D5C68"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9D5C68">
        <w:t>Kommittén uppmanar därför europeiska beslutsfattare att påskynda den strukturella reformen av EU:s banksektor, bland annat genom att lösa dödläget med medlagstiftarna för kommissionens lagstiftningsförslag om en förordning om strukturella åtgärder för att förbättra motståndskraften hos EU:s kreditinstitut.</w:t>
      </w:r>
    </w:p>
    <w:p w:rsidR="006D7E2A" w:rsidRPr="009D5C68" w:rsidRDefault="006D7E2A" w:rsidP="00A3275A">
      <w:pPr>
        <w:keepLines/>
        <w:spacing w:line="276" w:lineRule="auto"/>
        <w:ind w:left="720"/>
        <w:rPr>
          <w:rFonts w:eastAsia="Calibri"/>
        </w:rPr>
      </w:pPr>
    </w:p>
    <w:p w:rsidR="006D7E2A" w:rsidRPr="009D5C68" w:rsidRDefault="004C07BF" w:rsidP="00A3275A">
      <w:pPr>
        <w:numPr>
          <w:ilvl w:val="0"/>
          <w:numId w:val="28"/>
        </w:numPr>
        <w:overflowPunct w:val="0"/>
        <w:autoSpaceDE w:val="0"/>
        <w:autoSpaceDN w:val="0"/>
        <w:adjustRightInd w:val="0"/>
        <w:spacing w:line="276" w:lineRule="auto"/>
        <w:ind w:left="360"/>
        <w:textAlignment w:val="baseline"/>
      </w:pPr>
      <w:r w:rsidRPr="009D5C68">
        <w:t>Kommittén anser att lagstiftning inte alltid är den lämpligaste politiska lösningen och uppmanar kommissionen att i den mån det är möjligt välja icke-lagstiftande och marknadsbaserade lösningar.</w:t>
      </w:r>
    </w:p>
    <w:p w:rsidR="006D7E2A" w:rsidRPr="009D5C68" w:rsidRDefault="006D7E2A" w:rsidP="00A3275A">
      <w:pPr>
        <w:spacing w:line="276" w:lineRule="auto"/>
        <w:rPr>
          <w:rFonts w:eastAsia="Calibri"/>
        </w:rPr>
      </w:pPr>
    </w:p>
    <w:p w:rsidR="006D7E2A" w:rsidRPr="009D5C68" w:rsidRDefault="006D7E2A" w:rsidP="00A3275A">
      <w:pPr>
        <w:spacing w:line="276" w:lineRule="auto"/>
        <w:rPr>
          <w:rFonts w:eastAsia="Calibri"/>
          <w:i/>
        </w:rPr>
      </w:pPr>
      <w:r w:rsidRPr="009D5C68">
        <w:rPr>
          <w:b/>
          <w:i/>
        </w:rPr>
        <w:t>Kontaktperson</w:t>
      </w:r>
      <w:r w:rsidRPr="009D5C68">
        <w:t>:</w:t>
      </w:r>
      <w:r w:rsidRPr="009D5C68">
        <w:rPr>
          <w:i/>
        </w:rPr>
        <w:t xml:space="preserve"> </w:t>
      </w:r>
      <w:r w:rsidRPr="009D5C68">
        <w:tab/>
      </w:r>
      <w:r w:rsidRPr="009D5C68">
        <w:rPr>
          <w:i/>
        </w:rPr>
        <w:t>Gerald Klec</w:t>
      </w:r>
    </w:p>
    <w:p w:rsidR="006D7E2A" w:rsidRPr="009D5C68" w:rsidRDefault="006D7E2A" w:rsidP="00A3275A">
      <w:pPr>
        <w:spacing w:line="276" w:lineRule="auto"/>
        <w:ind w:left="1134"/>
        <w:rPr>
          <w:rFonts w:eastAsia="Calibri"/>
          <w:i/>
        </w:rPr>
      </w:pPr>
      <w:r w:rsidRPr="009D5C68">
        <w:rPr>
          <w:i/>
        </w:rPr>
        <w:t xml:space="preserve">(Tfn +32 2 546 99 09 – e-post: </w:t>
      </w:r>
      <w:hyperlink r:id="rId26">
        <w:r w:rsidRPr="009D5C68">
          <w:rPr>
            <w:i/>
            <w:color w:val="0000FF"/>
            <w:u w:val="single"/>
          </w:rPr>
          <w:t>gerald.klec@eesc.europa.eu</w:t>
        </w:r>
      </w:hyperlink>
      <w:r w:rsidRPr="009D5C68">
        <w:rPr>
          <w:i/>
        </w:rPr>
        <w:t>)</w:t>
      </w:r>
    </w:p>
    <w:p w:rsidR="004B41EE" w:rsidRPr="009D5C68" w:rsidRDefault="004B41EE" w:rsidP="0088087B">
      <w:pPr>
        <w:spacing w:line="276" w:lineRule="auto"/>
        <w:rPr>
          <w:rFonts w:eastAsia="Calibri"/>
          <w:i/>
          <w:iCs/>
          <w:u w:val="single"/>
        </w:rPr>
      </w:pPr>
    </w:p>
    <w:p w:rsidR="004B41EE" w:rsidRPr="009D5C68" w:rsidRDefault="004B41EE" w:rsidP="00A3275A">
      <w:pPr>
        <w:widowControl w:val="0"/>
        <w:numPr>
          <w:ilvl w:val="0"/>
          <w:numId w:val="37"/>
        </w:numPr>
        <w:overflowPunct w:val="0"/>
        <w:autoSpaceDE w:val="0"/>
        <w:autoSpaceDN w:val="0"/>
        <w:adjustRightInd w:val="0"/>
        <w:spacing w:line="276" w:lineRule="auto"/>
        <w:ind w:left="567" w:hanging="283"/>
        <w:contextualSpacing/>
        <w:textAlignment w:val="baseline"/>
        <w:rPr>
          <w:b/>
          <w:i/>
          <w:sz w:val="28"/>
          <w:szCs w:val="28"/>
        </w:rPr>
      </w:pPr>
      <w:r w:rsidRPr="009D5C68">
        <w:rPr>
          <w:b/>
          <w:i/>
          <w:sz w:val="28"/>
        </w:rPr>
        <w:t>Territoriella typindelningar</w:t>
      </w:r>
    </w:p>
    <w:p w:rsidR="004B41EE" w:rsidRPr="009D5C68" w:rsidRDefault="004B41EE" w:rsidP="00A3275A">
      <w:pPr>
        <w:tabs>
          <w:tab w:val="center" w:pos="284"/>
        </w:tabs>
        <w:spacing w:line="276" w:lineRule="auto"/>
        <w:ind w:left="266" w:hanging="266"/>
        <w:rPr>
          <w:rFonts w:eastAsia="Calibri"/>
          <w:b/>
        </w:rPr>
      </w:pPr>
    </w:p>
    <w:p w:rsidR="004B41EE" w:rsidRPr="009D5C68" w:rsidRDefault="004B41EE" w:rsidP="00A3275A">
      <w:pPr>
        <w:tabs>
          <w:tab w:val="center" w:pos="284"/>
        </w:tabs>
        <w:spacing w:line="276" w:lineRule="auto"/>
        <w:ind w:left="266" w:hanging="266"/>
        <w:rPr>
          <w:rFonts w:eastAsia="Calibri"/>
        </w:rPr>
      </w:pPr>
      <w:r w:rsidRPr="009D5C68">
        <w:rPr>
          <w:b/>
        </w:rPr>
        <w:t>Kategori C</w:t>
      </w:r>
    </w:p>
    <w:p w:rsidR="004B41EE" w:rsidRPr="009D5C68" w:rsidRDefault="004B41EE" w:rsidP="00A3275A">
      <w:pPr>
        <w:tabs>
          <w:tab w:val="center" w:pos="284"/>
        </w:tabs>
        <w:spacing w:line="276" w:lineRule="auto"/>
        <w:ind w:left="266" w:hanging="266"/>
        <w:rPr>
          <w:rFonts w:eastAsia="Calibri"/>
        </w:rPr>
      </w:pPr>
    </w:p>
    <w:p w:rsidR="004C07BF" w:rsidRPr="009D5C68" w:rsidRDefault="004B41EE" w:rsidP="00A3275A">
      <w:pPr>
        <w:tabs>
          <w:tab w:val="center" w:pos="284"/>
          <w:tab w:val="left" w:pos="1701"/>
        </w:tabs>
        <w:spacing w:line="276" w:lineRule="auto"/>
        <w:ind w:left="266" w:hanging="266"/>
        <w:rPr>
          <w:rFonts w:eastAsia="Calibri"/>
        </w:rPr>
      </w:pPr>
      <w:r w:rsidRPr="009D5C68">
        <w:rPr>
          <w:b/>
        </w:rPr>
        <w:t>Referens:</w:t>
      </w:r>
      <w:r w:rsidRPr="009D5C68">
        <w:tab/>
        <w:t>COM(2016) 788 final - 2016/0393 (COD)</w:t>
      </w:r>
    </w:p>
    <w:p w:rsidR="004B41EE" w:rsidRPr="009D5C68" w:rsidRDefault="004B41EE" w:rsidP="00A3275A">
      <w:pPr>
        <w:tabs>
          <w:tab w:val="center" w:pos="-2268"/>
        </w:tabs>
        <w:spacing w:line="276" w:lineRule="auto"/>
        <w:ind w:left="1701"/>
        <w:rPr>
          <w:rFonts w:eastAsia="Calibri"/>
        </w:rPr>
      </w:pPr>
      <w:r w:rsidRPr="009D5C68">
        <w:t>EESC-2017-01107-00-00-AC-TRA</w:t>
      </w:r>
    </w:p>
    <w:p w:rsidR="004B41EE" w:rsidRPr="009D5C68" w:rsidRDefault="004B41EE" w:rsidP="00A3275A">
      <w:pPr>
        <w:tabs>
          <w:tab w:val="center" w:pos="284"/>
        </w:tabs>
        <w:spacing w:line="276" w:lineRule="auto"/>
        <w:ind w:left="266" w:hanging="266"/>
        <w:rPr>
          <w:rFonts w:eastAsia="Calibri"/>
        </w:rPr>
      </w:pPr>
    </w:p>
    <w:p w:rsidR="004B41EE" w:rsidRPr="009D5C68" w:rsidRDefault="004B41EE" w:rsidP="00A3275A">
      <w:pPr>
        <w:keepNext/>
        <w:keepLines/>
        <w:tabs>
          <w:tab w:val="center" w:pos="284"/>
        </w:tabs>
        <w:spacing w:line="276" w:lineRule="auto"/>
        <w:ind w:left="266" w:hanging="266"/>
        <w:rPr>
          <w:rFonts w:eastAsia="Calibri"/>
          <w:b/>
        </w:rPr>
      </w:pPr>
      <w:r w:rsidRPr="009D5C68">
        <w:rPr>
          <w:b/>
        </w:rPr>
        <w:t>Huvudpunkter:</w:t>
      </w:r>
    </w:p>
    <w:p w:rsidR="004B41EE" w:rsidRPr="009D5C68" w:rsidRDefault="004B41EE" w:rsidP="00A3275A">
      <w:pPr>
        <w:spacing w:line="276" w:lineRule="auto"/>
        <w:rPr>
          <w:rFonts w:eastAsia="Calibri"/>
        </w:rPr>
      </w:pPr>
    </w:p>
    <w:p w:rsidR="004B41EE" w:rsidRPr="009D5C68" w:rsidRDefault="004B41EE" w:rsidP="00A3275A">
      <w:pPr>
        <w:spacing w:line="276" w:lineRule="auto"/>
        <w:rPr>
          <w:rFonts w:eastAsia="Calibri"/>
        </w:rPr>
      </w:pPr>
      <w:r w:rsidRPr="009D5C68">
        <w:t>Eftersom kommittén står bakom kommissionens förslag och eftersom det inte föranleder några särskilda kommentarer, beslutade EESK att avge ett positivt yttrande om förslaget.</w:t>
      </w:r>
    </w:p>
    <w:p w:rsidR="004B41EE" w:rsidRPr="009D5C68" w:rsidRDefault="004B41EE" w:rsidP="00A3275A">
      <w:pPr>
        <w:tabs>
          <w:tab w:val="left" w:pos="770"/>
        </w:tabs>
        <w:spacing w:line="276" w:lineRule="auto"/>
        <w:ind w:left="1430" w:hanging="1430"/>
        <w:rPr>
          <w:rFonts w:eastAsia="Calibri"/>
          <w:b/>
          <w:i/>
        </w:rPr>
      </w:pPr>
    </w:p>
    <w:p w:rsidR="004B41EE" w:rsidRPr="009D5C68" w:rsidRDefault="004B41EE" w:rsidP="00A3275A">
      <w:pPr>
        <w:tabs>
          <w:tab w:val="left" w:pos="770"/>
        </w:tabs>
        <w:spacing w:line="276" w:lineRule="auto"/>
        <w:ind w:left="1430" w:hanging="1430"/>
        <w:rPr>
          <w:rFonts w:eastAsia="Calibri"/>
          <w:i/>
          <w:iCs/>
        </w:rPr>
      </w:pPr>
      <w:r w:rsidRPr="009D5C68">
        <w:rPr>
          <w:b/>
          <w:i/>
        </w:rPr>
        <w:t>Kontaktperson</w:t>
      </w:r>
      <w:r w:rsidRPr="009D5C68">
        <w:rPr>
          <w:i/>
        </w:rPr>
        <w:t>:</w:t>
      </w:r>
      <w:r w:rsidRPr="009D5C68">
        <w:tab/>
      </w:r>
      <w:r w:rsidRPr="009D5C68">
        <w:rPr>
          <w:i/>
        </w:rPr>
        <w:t>Helena Polomik</w:t>
      </w:r>
    </w:p>
    <w:p w:rsidR="007818AB" w:rsidRPr="009D5C68" w:rsidRDefault="004B41EE" w:rsidP="00A3275A">
      <w:pPr>
        <w:spacing w:line="276" w:lineRule="auto"/>
        <w:ind w:left="1418"/>
        <w:rPr>
          <w:rFonts w:eastAsia="Calibri"/>
          <w:i/>
          <w:iCs/>
        </w:rPr>
      </w:pPr>
      <w:r w:rsidRPr="009D5C68">
        <w:rPr>
          <w:i/>
        </w:rPr>
        <w:t xml:space="preserve">(Tfn +32 2 546 90 63 – e-post: </w:t>
      </w:r>
      <w:hyperlink r:id="rId27">
        <w:r w:rsidRPr="009D5C68">
          <w:rPr>
            <w:i/>
            <w:color w:val="0000FF"/>
            <w:u w:val="single"/>
          </w:rPr>
          <w:t>Helena.Polomik@eesc.europa.eu</w:t>
        </w:r>
      </w:hyperlink>
      <w:r w:rsidRPr="009D5C68">
        <w:rPr>
          <w:i/>
        </w:rPr>
        <w:t>)</w:t>
      </w:r>
    </w:p>
    <w:p w:rsidR="004B41EE" w:rsidRPr="009D5C68" w:rsidRDefault="004B41EE" w:rsidP="00A3275A">
      <w:pPr>
        <w:spacing w:line="276" w:lineRule="auto"/>
        <w:rPr>
          <w:rFonts w:eastAsia="Calibri"/>
          <w:i/>
          <w:iCs/>
        </w:rPr>
      </w:pPr>
    </w:p>
    <w:p w:rsidR="006D7E2A" w:rsidRPr="009D5C68"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9D5C68">
        <w:rPr>
          <w:b/>
          <w:i/>
          <w:sz w:val="28"/>
        </w:rPr>
        <w:t>Reform av bankväsendet – Ändringar i kapitalkraven och resolutions</w:t>
      </w:r>
      <w:r w:rsidR="00F114BF" w:rsidRPr="009D5C68">
        <w:rPr>
          <w:b/>
          <w:i/>
          <w:sz w:val="28"/>
        </w:rPr>
        <w:softHyphen/>
      </w:r>
      <w:r w:rsidRPr="009D5C68">
        <w:rPr>
          <w:b/>
          <w:i/>
          <w:sz w:val="28"/>
        </w:rPr>
        <w:t>ramen</w:t>
      </w:r>
    </w:p>
    <w:p w:rsidR="006D7E2A" w:rsidRPr="009D5C68" w:rsidRDefault="006D7E2A" w:rsidP="00A3275A">
      <w:pPr>
        <w:keepNext/>
        <w:tabs>
          <w:tab w:val="left" w:pos="1520"/>
        </w:tabs>
        <w:spacing w:line="276" w:lineRule="auto"/>
        <w:ind w:left="266" w:hanging="266"/>
        <w:rPr>
          <w:rFonts w:eastAsia="Calibri"/>
          <w:b/>
        </w:rPr>
      </w:pPr>
    </w:p>
    <w:p w:rsidR="006D7E2A" w:rsidRPr="009D5C68" w:rsidRDefault="006D7E2A" w:rsidP="00A3275A">
      <w:pPr>
        <w:keepNext/>
        <w:tabs>
          <w:tab w:val="center" w:pos="284"/>
        </w:tabs>
        <w:spacing w:line="276" w:lineRule="auto"/>
        <w:ind w:left="266" w:hanging="266"/>
        <w:rPr>
          <w:rFonts w:eastAsia="Calibri"/>
        </w:rPr>
      </w:pPr>
      <w:r w:rsidRPr="009D5C68">
        <w:rPr>
          <w:b/>
        </w:rPr>
        <w:t>Föredragande:</w:t>
      </w:r>
      <w:r w:rsidRPr="009D5C68">
        <w:tab/>
        <w:t>Daniel Mareels (Arbetsgivargruppen – BE)</w:t>
      </w:r>
    </w:p>
    <w:p w:rsidR="006D7E2A" w:rsidRPr="009D5C68" w:rsidRDefault="006D7E2A" w:rsidP="00A3275A">
      <w:pPr>
        <w:keepNext/>
        <w:tabs>
          <w:tab w:val="center" w:pos="284"/>
        </w:tabs>
        <w:spacing w:line="276" w:lineRule="auto"/>
        <w:ind w:left="266" w:hanging="266"/>
        <w:rPr>
          <w:rFonts w:eastAsia="Calibri"/>
          <w:b/>
        </w:rPr>
      </w:pPr>
    </w:p>
    <w:p w:rsidR="006D7E2A" w:rsidRPr="009D5C68" w:rsidRDefault="006D7E2A" w:rsidP="00A3275A">
      <w:pPr>
        <w:keepNext/>
        <w:tabs>
          <w:tab w:val="center" w:pos="284"/>
          <w:tab w:val="left" w:pos="1701"/>
        </w:tabs>
        <w:spacing w:line="276" w:lineRule="auto"/>
        <w:ind w:left="266" w:hanging="266"/>
        <w:rPr>
          <w:rFonts w:eastAsia="Calibri"/>
        </w:rPr>
      </w:pPr>
      <w:r w:rsidRPr="009D5C68">
        <w:rPr>
          <w:b/>
        </w:rPr>
        <w:t>Referens:</w:t>
      </w:r>
      <w:r w:rsidRPr="009D5C68">
        <w:tab/>
        <w:t>COM(2016) 850 final – 2016/0360 (COD)</w:t>
      </w:r>
    </w:p>
    <w:p w:rsidR="006D7E2A" w:rsidRPr="009D5C68" w:rsidRDefault="006D7E2A" w:rsidP="00A3275A">
      <w:pPr>
        <w:keepNext/>
        <w:tabs>
          <w:tab w:val="center" w:pos="284"/>
        </w:tabs>
        <w:spacing w:line="276" w:lineRule="auto"/>
        <w:ind w:left="1701"/>
        <w:rPr>
          <w:rFonts w:eastAsia="Calibri"/>
        </w:rPr>
      </w:pPr>
      <w:r w:rsidRPr="009D5C68">
        <w:t>COM(2016) 851 final – 2016/0361 (COD)</w:t>
      </w:r>
    </w:p>
    <w:p w:rsidR="006D7E2A" w:rsidRPr="009D5C68" w:rsidRDefault="006D7E2A" w:rsidP="00A3275A">
      <w:pPr>
        <w:keepNext/>
        <w:tabs>
          <w:tab w:val="center" w:pos="284"/>
        </w:tabs>
        <w:spacing w:line="276" w:lineRule="auto"/>
        <w:ind w:left="1701"/>
        <w:rPr>
          <w:rFonts w:eastAsia="Calibri"/>
        </w:rPr>
      </w:pPr>
      <w:r w:rsidRPr="009D5C68">
        <w:t>COM(2016) 852 final – 2016/0362 (COD)</w:t>
      </w:r>
    </w:p>
    <w:p w:rsidR="006D7E2A" w:rsidRPr="009D5C68" w:rsidRDefault="006D7E2A" w:rsidP="00A3275A">
      <w:pPr>
        <w:keepNext/>
        <w:tabs>
          <w:tab w:val="center" w:pos="284"/>
        </w:tabs>
        <w:spacing w:line="276" w:lineRule="auto"/>
        <w:ind w:left="1701"/>
        <w:rPr>
          <w:rFonts w:eastAsia="Calibri"/>
        </w:rPr>
      </w:pPr>
      <w:r w:rsidRPr="009D5C68">
        <w:t>COM(2016) 854 final – 2016/0364 (COD)</w:t>
      </w:r>
    </w:p>
    <w:p w:rsidR="006D7E2A" w:rsidRPr="009D5C68" w:rsidRDefault="006D7E2A" w:rsidP="00A3275A">
      <w:pPr>
        <w:keepNext/>
        <w:tabs>
          <w:tab w:val="center" w:pos="284"/>
        </w:tabs>
        <w:spacing w:line="276" w:lineRule="auto"/>
        <w:ind w:left="1701"/>
        <w:rPr>
          <w:rFonts w:eastAsia="Calibri"/>
        </w:rPr>
      </w:pPr>
      <w:r w:rsidRPr="009D5C68">
        <w:t>EESC-2016-06799-00-00-AC-TRA</w:t>
      </w:r>
    </w:p>
    <w:p w:rsidR="006D7E2A" w:rsidRPr="009D5C68" w:rsidRDefault="006D7E2A" w:rsidP="00A3275A">
      <w:pPr>
        <w:keepNext/>
        <w:tabs>
          <w:tab w:val="center" w:pos="284"/>
        </w:tabs>
        <w:spacing w:line="276" w:lineRule="auto"/>
        <w:ind w:left="266" w:hanging="266"/>
        <w:rPr>
          <w:rFonts w:eastAsia="Calibri"/>
        </w:rPr>
      </w:pPr>
    </w:p>
    <w:p w:rsidR="006D7E2A" w:rsidRPr="009D5C68" w:rsidRDefault="006D7E2A" w:rsidP="00A3275A">
      <w:pPr>
        <w:keepNext/>
        <w:keepLines/>
        <w:tabs>
          <w:tab w:val="center" w:pos="284"/>
        </w:tabs>
        <w:spacing w:line="276" w:lineRule="auto"/>
        <w:ind w:left="266" w:hanging="266"/>
        <w:rPr>
          <w:rFonts w:eastAsia="Calibri"/>
          <w:b/>
        </w:rPr>
      </w:pPr>
      <w:r w:rsidRPr="009D5C68">
        <w:rPr>
          <w:b/>
        </w:rPr>
        <w:t>Huvudpunkter:</w:t>
      </w:r>
    </w:p>
    <w:p w:rsidR="006D7E2A" w:rsidRPr="009D5C68" w:rsidRDefault="006D7E2A" w:rsidP="00A3275A">
      <w:pPr>
        <w:keepNext/>
        <w:spacing w:line="276" w:lineRule="auto"/>
        <w:ind w:left="-567"/>
        <w:rPr>
          <w:rFonts w:eastAsia="Calibri"/>
        </w:rPr>
      </w:pPr>
    </w:p>
    <w:p w:rsidR="006D7E2A" w:rsidRPr="009D5C68" w:rsidRDefault="006D7E2A" w:rsidP="00A3275A">
      <w:pPr>
        <w:spacing w:line="276" w:lineRule="auto"/>
        <w:rPr>
          <w:rFonts w:eastAsia="Calibri"/>
        </w:rPr>
      </w:pPr>
      <w:r w:rsidRPr="009D5C68">
        <w:t>EESK:s ståndpunkt:</w:t>
      </w:r>
    </w:p>
    <w:p w:rsidR="006D7E2A" w:rsidRPr="009D5C68" w:rsidRDefault="006D7E2A" w:rsidP="00A3275A">
      <w:pPr>
        <w:spacing w:line="276" w:lineRule="auto"/>
        <w:rPr>
          <w:rFonts w:eastAsia="Calibri"/>
        </w:rPr>
      </w:pPr>
    </w:p>
    <w:p w:rsidR="006D7E2A" w:rsidRPr="009D5C68" w:rsidRDefault="006D7E2A" w:rsidP="00A3275A">
      <w:pPr>
        <w:numPr>
          <w:ilvl w:val="0"/>
          <w:numId w:val="30"/>
        </w:numPr>
        <w:spacing w:line="276" w:lineRule="auto"/>
        <w:ind w:left="360"/>
        <w:contextualSpacing/>
      </w:pPr>
      <w:r w:rsidRPr="009D5C68">
        <w:t>EESK välkomnar paketet med kommissionsförslag och hoppas att det verkligen ska bidra till att fullborda det arbete som gjorts för att reformera den finansiella sektorn efter krisen.</w:t>
      </w:r>
    </w:p>
    <w:p w:rsidR="006D7E2A" w:rsidRPr="009D5C68" w:rsidRDefault="006D7E2A" w:rsidP="00A3275A"/>
    <w:p w:rsidR="006D7E2A" w:rsidRPr="009D5C68" w:rsidRDefault="009928D1" w:rsidP="00A3275A">
      <w:pPr>
        <w:numPr>
          <w:ilvl w:val="0"/>
          <w:numId w:val="30"/>
        </w:numPr>
        <w:spacing w:line="276" w:lineRule="auto"/>
        <w:ind w:left="360"/>
        <w:contextualSpacing/>
      </w:pPr>
      <w:r w:rsidRPr="009D5C68">
        <w:t>Kommittén gläder sig över den underliggande holistiska och integrerade synen som gör att åtskilliga viktiga mål på olika områden förlikas och förenas i dessa förslag, utan att man gör avkall på principerna.</w:t>
      </w:r>
    </w:p>
    <w:p w:rsidR="006D7E2A" w:rsidRPr="009D5C68" w:rsidRDefault="006D7E2A" w:rsidP="00A3275A"/>
    <w:p w:rsidR="006D7E2A" w:rsidRPr="009D5C68" w:rsidRDefault="006D7E2A" w:rsidP="00A3275A">
      <w:pPr>
        <w:numPr>
          <w:ilvl w:val="0"/>
          <w:numId w:val="30"/>
        </w:numPr>
        <w:spacing w:line="276" w:lineRule="auto"/>
        <w:ind w:left="360"/>
        <w:contextualSpacing/>
      </w:pPr>
      <w:r w:rsidRPr="009D5C68">
        <w:t>För kommittén råder det inga tvivel om att de olika åtgärder som föreslås bidrar till att stärka det europeiska regelverket för tillsyn och resolution för bankerna. Detta är en förutsättning för den riskminskning som eftersträvas i den finansiella sektorn och för att institutens motståndskraft ska förbättras.</w:t>
      </w:r>
    </w:p>
    <w:p w:rsidR="006D7E2A" w:rsidRPr="009D5C68" w:rsidRDefault="006D7E2A" w:rsidP="00A3275A"/>
    <w:p w:rsidR="006D7E2A" w:rsidRPr="009D5C68" w:rsidRDefault="006D7E2A" w:rsidP="00A3275A">
      <w:pPr>
        <w:numPr>
          <w:ilvl w:val="0"/>
          <w:numId w:val="30"/>
        </w:numPr>
        <w:spacing w:line="276" w:lineRule="auto"/>
        <w:ind w:left="360"/>
        <w:contextualSpacing/>
      </w:pPr>
      <w:r w:rsidRPr="009D5C68">
        <w:t>Kommittén är övertygad om att det är förslagens riskreducerande karaktär som gör det möjligt att ta steg framåt vid den fortsatta uppbyggnaden av bankunionen och vid skapandet av bankunionens tredje pelare, det europeiska insättningsgarantisystemet. På detta sätt bidrar man genom förslagen på ett positivt sätt till de fortsatta insatserna för att återställa kundernas och konsumenternas förtroende för den finansiella sektorn.</w:t>
      </w:r>
    </w:p>
    <w:p w:rsidR="006D7E2A" w:rsidRPr="009D5C68" w:rsidRDefault="006D7E2A" w:rsidP="00A3275A"/>
    <w:p w:rsidR="006D7E2A" w:rsidRPr="009D5C68" w:rsidRDefault="006D7E2A" w:rsidP="00A3275A">
      <w:pPr>
        <w:numPr>
          <w:ilvl w:val="0"/>
          <w:numId w:val="30"/>
        </w:numPr>
        <w:spacing w:line="276" w:lineRule="auto"/>
        <w:ind w:left="360"/>
        <w:contextualSpacing/>
      </w:pPr>
      <w:r w:rsidRPr="009D5C68">
        <w:t>Kommittén gläder sig vidare mycket över den uppmärksamhet som ägnas åt finansieringen av ekonomin. Vid en tidpunkt då investeringarna ligger kvar på en alltför låg nivå får man inte försitta något tillfälle att skapa nya och ytterligare möjligheter för en ekonomisk återhämtning. Bankerna har en viktig roll som mellanhand på kapitalmarknaderna, och banklån kommer utan tvivel även i framtiden att vara den viktigaste finansieringskällan för hushåll och små och medelstora företag. Man bör intensifiera insatserna på detta område för de små och medelstora företagen, som utgör ryggraden i den europeiska ekonomin. Kommittén efterlyser en konsolidering och en fortsatt utvidgning av "stödfaktorn för små och medelstora företag ".</w:t>
      </w:r>
    </w:p>
    <w:p w:rsidR="006D7E2A" w:rsidRPr="009D5C68" w:rsidRDefault="006D7E2A" w:rsidP="00A3275A"/>
    <w:p w:rsidR="006D7E2A" w:rsidRPr="009D5C68" w:rsidRDefault="006D7E2A" w:rsidP="00A3275A">
      <w:pPr>
        <w:numPr>
          <w:ilvl w:val="0"/>
          <w:numId w:val="30"/>
        </w:numPr>
        <w:spacing w:line="276" w:lineRule="auto"/>
        <w:ind w:left="360"/>
        <w:contextualSpacing/>
      </w:pPr>
      <w:r w:rsidRPr="009D5C68">
        <w:t>EESK anser att man ännu inte tagit tillräcklig hänsyn till situationen i små och icke-komplexa banker. Detta gäller i synnerhet proportionalitetsprincipen. Kommittén anser att man bör prioritera en mer strukturerad och långtgående strategi, till förmån för fler institut och på fler områden. Detta slags institut får inte påtvingas några överdrivet tunga förpliktelser eller bördor.</w:t>
      </w:r>
    </w:p>
    <w:p w:rsidR="006D7E2A" w:rsidRPr="009D5C68" w:rsidRDefault="006D7E2A" w:rsidP="00A3275A"/>
    <w:p w:rsidR="006D7E2A" w:rsidRPr="009D5C68" w:rsidRDefault="006D7E2A" w:rsidP="00A3275A">
      <w:pPr>
        <w:numPr>
          <w:ilvl w:val="0"/>
          <w:numId w:val="30"/>
        </w:numPr>
        <w:spacing w:line="276" w:lineRule="auto"/>
        <w:ind w:left="360"/>
        <w:contextualSpacing/>
      </w:pPr>
      <w:r w:rsidRPr="009D5C68">
        <w:t>Kommittén gläder sig också över att man tagit hänsyn till ett antal av EU:s särskilda egenskaper. Det handlar bland annat om justeringarna av de internationella överenskommelserna i syfte att beakta EU:s särskilda egenskaper.</w:t>
      </w:r>
    </w:p>
    <w:p w:rsidR="006D7E2A" w:rsidRPr="009D5C68" w:rsidRDefault="006D7E2A" w:rsidP="00A3275A"/>
    <w:p w:rsidR="006D7E2A" w:rsidRPr="009D5C68" w:rsidRDefault="006D7E2A" w:rsidP="00A3275A">
      <w:pPr>
        <w:numPr>
          <w:ilvl w:val="0"/>
          <w:numId w:val="30"/>
        </w:numPr>
        <w:spacing w:line="276" w:lineRule="auto"/>
        <w:ind w:left="360"/>
        <w:contextualSpacing/>
      </w:pPr>
      <w:r w:rsidRPr="009D5C68">
        <w:t>För kommittén är det viktigt att Europa fortsätter att spela en framträdande roll i det pågående och framtida internationella arbetet för att reformera den finansiella sektorn.</w:t>
      </w:r>
    </w:p>
    <w:p w:rsidR="006D7E2A" w:rsidRPr="009D5C68" w:rsidRDefault="006D7E2A" w:rsidP="00A3275A"/>
    <w:p w:rsidR="006D7E2A" w:rsidRPr="009D5C68" w:rsidRDefault="00A57F27" w:rsidP="00A3275A">
      <w:pPr>
        <w:numPr>
          <w:ilvl w:val="0"/>
          <w:numId w:val="30"/>
        </w:numPr>
        <w:spacing w:line="276" w:lineRule="auto"/>
        <w:ind w:left="360"/>
        <w:contextualSpacing/>
      </w:pPr>
      <w:r w:rsidRPr="009D5C68">
        <w:t>Det ligger också i alla berörda parters intresse att man eftersträvar tydlighet och rättssäkerhet vid genomförandet av de nya reglerna. I övrigt bör man fastställa en tillräcklig tidsfrist för detta genomförande.</w:t>
      </w:r>
    </w:p>
    <w:p w:rsidR="004B41EE" w:rsidRPr="009D5C68" w:rsidRDefault="004B41EE" w:rsidP="00A3275A"/>
    <w:p w:rsidR="004B41EE" w:rsidRPr="009D5C68" w:rsidRDefault="004B41EE" w:rsidP="00A3275A">
      <w:pPr>
        <w:numPr>
          <w:ilvl w:val="0"/>
          <w:numId w:val="30"/>
        </w:numPr>
        <w:spacing w:line="276" w:lineRule="auto"/>
        <w:ind w:left="360"/>
        <w:contextualSpacing/>
      </w:pPr>
      <w:r w:rsidRPr="009D5C68">
        <w:t>Det är önskvärt att rättsliga övergångsåtgärderna avseende de nya de internationella redovisnings</w:t>
      </w:r>
      <w:r w:rsidR="00F114BF" w:rsidRPr="009D5C68">
        <w:softHyphen/>
      </w:r>
      <w:r w:rsidRPr="009D5C68">
        <w:t>standarderna – IFRS 9 – slutförs snabbt, så att man kan undvika potentiella negativa effekter på finansieringen av ekonomin.</w:t>
      </w:r>
    </w:p>
    <w:p w:rsidR="006D7E2A" w:rsidRPr="009D5C68" w:rsidRDefault="006D7E2A" w:rsidP="00A3275A">
      <w:pPr>
        <w:rPr>
          <w:rFonts w:eastAsia="Calibri"/>
          <w:highlight w:val="yellow"/>
        </w:rPr>
      </w:pPr>
    </w:p>
    <w:p w:rsidR="006D7E2A" w:rsidRPr="009D5C68" w:rsidRDefault="006D7E2A" w:rsidP="00A3275A">
      <w:pPr>
        <w:tabs>
          <w:tab w:val="left" w:pos="1134"/>
        </w:tabs>
        <w:spacing w:line="276" w:lineRule="auto"/>
        <w:ind w:left="1134" w:hanging="1134"/>
        <w:rPr>
          <w:rFonts w:eastAsia="Calibri"/>
          <w:i/>
        </w:rPr>
      </w:pPr>
      <w:r w:rsidRPr="009D5C68">
        <w:rPr>
          <w:b/>
          <w:i/>
        </w:rPr>
        <w:t>Kontaktperson</w:t>
      </w:r>
      <w:r w:rsidRPr="009D5C68">
        <w:t>:</w:t>
      </w:r>
      <w:r w:rsidRPr="009D5C68">
        <w:tab/>
      </w:r>
      <w:r w:rsidRPr="009D5C68">
        <w:rPr>
          <w:i/>
        </w:rPr>
        <w:t>Gerald Klec</w:t>
      </w:r>
    </w:p>
    <w:p w:rsidR="007D03DC" w:rsidRPr="009D5C68" w:rsidRDefault="006D7E2A" w:rsidP="00A3275A">
      <w:pPr>
        <w:spacing w:line="276" w:lineRule="auto"/>
        <w:ind w:left="1134"/>
        <w:rPr>
          <w:rFonts w:eastAsia="Calibri"/>
        </w:rPr>
      </w:pPr>
      <w:r w:rsidRPr="009D5C68">
        <w:rPr>
          <w:i/>
        </w:rPr>
        <w:t xml:space="preserve">(Tfn +32 2 546 99 09 – e-post: </w:t>
      </w:r>
      <w:hyperlink r:id="rId28">
        <w:r w:rsidRPr="009D5C68">
          <w:rPr>
            <w:rStyle w:val="Hyperlink"/>
            <w:i/>
          </w:rPr>
          <w:t>gerald.klec@eesc.europa.eu</w:t>
        </w:r>
      </w:hyperlink>
      <w:r w:rsidRPr="009D5C68">
        <w:rPr>
          <w:i/>
        </w:rPr>
        <w:t>)</w:t>
      </w:r>
    </w:p>
    <w:p w:rsidR="009928D1" w:rsidRPr="009D5C68" w:rsidRDefault="009928D1" w:rsidP="00A3275A">
      <w:pPr>
        <w:spacing w:line="276" w:lineRule="auto"/>
        <w:rPr>
          <w:rFonts w:eastAsia="Calibri"/>
        </w:rPr>
      </w:pPr>
    </w:p>
    <w:p w:rsidR="00505DD7" w:rsidRPr="009D5C68" w:rsidRDefault="00505DD7" w:rsidP="004C07BF">
      <w:pPr>
        <w:spacing w:line="240" w:lineRule="auto"/>
        <w:rPr>
          <w:b/>
        </w:rPr>
      </w:pPr>
    </w:p>
    <w:p w:rsidR="00E6566F" w:rsidRPr="009D5C68" w:rsidRDefault="00E6566F" w:rsidP="00A3275A">
      <w:pPr>
        <w:pStyle w:val="Heading1"/>
        <w:keepNext/>
        <w:spacing w:line="276" w:lineRule="auto"/>
        <w:rPr>
          <w:b/>
        </w:rPr>
      </w:pPr>
      <w:bookmarkStart w:id="8" w:name="_Toc477938712"/>
      <w:bookmarkStart w:id="9" w:name="_Toc480448240"/>
      <w:r w:rsidRPr="009D5C68">
        <w:rPr>
          <w:b/>
        </w:rPr>
        <w:t>INDUSTRI/INNOVATION</w:t>
      </w:r>
      <w:bookmarkEnd w:id="8"/>
      <w:bookmarkEnd w:id="9"/>
    </w:p>
    <w:p w:rsidR="00BC5473" w:rsidRPr="009D5C68" w:rsidRDefault="00BC5473" w:rsidP="00A3275A">
      <w:pPr>
        <w:keepNext/>
        <w:spacing w:line="276" w:lineRule="auto"/>
      </w:pPr>
    </w:p>
    <w:p w:rsidR="00C1115F" w:rsidRPr="009D5C68" w:rsidRDefault="00C1115F" w:rsidP="00A3275A">
      <w:pPr>
        <w:keepNext/>
        <w:widowControl w:val="0"/>
        <w:numPr>
          <w:ilvl w:val="0"/>
          <w:numId w:val="36"/>
        </w:numPr>
        <w:overflowPunct w:val="0"/>
        <w:autoSpaceDE w:val="0"/>
        <w:autoSpaceDN w:val="0"/>
        <w:adjustRightInd w:val="0"/>
        <w:spacing w:line="276" w:lineRule="auto"/>
        <w:ind w:left="567" w:hanging="283"/>
        <w:textAlignment w:val="baseline"/>
        <w:rPr>
          <w:i/>
          <w:sz w:val="28"/>
          <w:szCs w:val="28"/>
        </w:rPr>
      </w:pPr>
      <w:r w:rsidRPr="009D5C68">
        <w:rPr>
          <w:b/>
          <w:i/>
          <w:sz w:val="28"/>
        </w:rPr>
        <w:t>Sjöfarts- och havsturism</w:t>
      </w:r>
    </w:p>
    <w:p w:rsidR="00C1115F" w:rsidRPr="009D5C68" w:rsidRDefault="00C1115F" w:rsidP="00A3275A">
      <w:pPr>
        <w:tabs>
          <w:tab w:val="center" w:pos="284"/>
        </w:tabs>
        <w:overflowPunct w:val="0"/>
        <w:autoSpaceDE w:val="0"/>
        <w:autoSpaceDN w:val="0"/>
        <w:adjustRightInd w:val="0"/>
        <w:spacing w:line="276" w:lineRule="auto"/>
        <w:ind w:left="266" w:hanging="266"/>
        <w:textAlignment w:val="baseline"/>
        <w:rPr>
          <w:b/>
          <w:szCs w:val="20"/>
        </w:rPr>
      </w:pPr>
    </w:p>
    <w:p w:rsidR="00C1115F" w:rsidRPr="009D5C68" w:rsidRDefault="00C1115F" w:rsidP="00A3275A">
      <w:pPr>
        <w:tabs>
          <w:tab w:val="center" w:pos="284"/>
        </w:tabs>
        <w:overflowPunct w:val="0"/>
        <w:autoSpaceDE w:val="0"/>
        <w:autoSpaceDN w:val="0"/>
        <w:adjustRightInd w:val="0"/>
        <w:spacing w:line="276" w:lineRule="auto"/>
        <w:ind w:left="266" w:hanging="266"/>
        <w:textAlignment w:val="baseline"/>
        <w:rPr>
          <w:szCs w:val="20"/>
        </w:rPr>
      </w:pPr>
      <w:r w:rsidRPr="009D5C68">
        <w:rPr>
          <w:b/>
        </w:rPr>
        <w:t>Föredragande:</w:t>
      </w:r>
      <w:r w:rsidRPr="009D5C68">
        <w:tab/>
        <w:t>Tony Zahra (Arbetsgivargruppen – MT)</w:t>
      </w:r>
    </w:p>
    <w:p w:rsidR="00C1115F" w:rsidRPr="009D5C68" w:rsidRDefault="00C1115F" w:rsidP="00A3275A">
      <w:pPr>
        <w:tabs>
          <w:tab w:val="center" w:pos="284"/>
        </w:tabs>
        <w:overflowPunct w:val="0"/>
        <w:autoSpaceDE w:val="0"/>
        <w:autoSpaceDN w:val="0"/>
        <w:adjustRightInd w:val="0"/>
        <w:spacing w:line="276" w:lineRule="auto"/>
        <w:ind w:left="266" w:hanging="266"/>
        <w:textAlignment w:val="baseline"/>
        <w:rPr>
          <w:b/>
          <w:szCs w:val="20"/>
        </w:rPr>
      </w:pPr>
    </w:p>
    <w:p w:rsidR="00ED4925" w:rsidRPr="009D5C68" w:rsidRDefault="00C1115F" w:rsidP="00A3275A">
      <w:pPr>
        <w:tabs>
          <w:tab w:val="center" w:pos="284"/>
          <w:tab w:val="left" w:pos="1701"/>
        </w:tabs>
        <w:overflowPunct w:val="0"/>
        <w:autoSpaceDE w:val="0"/>
        <w:autoSpaceDN w:val="0"/>
        <w:adjustRightInd w:val="0"/>
        <w:spacing w:line="276" w:lineRule="auto"/>
        <w:ind w:left="266" w:hanging="266"/>
        <w:textAlignment w:val="baseline"/>
        <w:rPr>
          <w:szCs w:val="20"/>
        </w:rPr>
      </w:pPr>
      <w:r w:rsidRPr="009D5C68">
        <w:rPr>
          <w:b/>
        </w:rPr>
        <w:t>Referens:</w:t>
      </w:r>
      <w:r w:rsidRPr="009D5C68">
        <w:tab/>
        <w:t>Förberedande yttrande</w:t>
      </w:r>
    </w:p>
    <w:p w:rsidR="00C1115F" w:rsidRPr="009D5C68" w:rsidRDefault="00C1115F" w:rsidP="00A3275A">
      <w:pPr>
        <w:tabs>
          <w:tab w:val="center" w:pos="-2268"/>
        </w:tabs>
        <w:overflowPunct w:val="0"/>
        <w:autoSpaceDE w:val="0"/>
        <w:autoSpaceDN w:val="0"/>
        <w:adjustRightInd w:val="0"/>
        <w:spacing w:line="276" w:lineRule="auto"/>
        <w:ind w:left="1701"/>
        <w:textAlignment w:val="baseline"/>
      </w:pPr>
      <w:r w:rsidRPr="009D5C68">
        <w:t>EESC-2016-05923-00-00-PA-TRA</w:t>
      </w:r>
    </w:p>
    <w:p w:rsidR="00C1115F" w:rsidRPr="009D5C68" w:rsidRDefault="00C1115F" w:rsidP="00A3275A">
      <w:pPr>
        <w:tabs>
          <w:tab w:val="center" w:pos="284"/>
        </w:tabs>
        <w:overflowPunct w:val="0"/>
        <w:autoSpaceDE w:val="0"/>
        <w:autoSpaceDN w:val="0"/>
        <w:adjustRightInd w:val="0"/>
        <w:spacing w:line="276" w:lineRule="auto"/>
        <w:ind w:left="266" w:hanging="266"/>
        <w:textAlignment w:val="baseline"/>
        <w:rPr>
          <w:szCs w:val="20"/>
        </w:rPr>
      </w:pPr>
    </w:p>
    <w:p w:rsidR="00C1115F" w:rsidRPr="009D5C68" w:rsidRDefault="00C1115F" w:rsidP="00A3275A">
      <w:pPr>
        <w:overflowPunct w:val="0"/>
        <w:autoSpaceDE w:val="0"/>
        <w:autoSpaceDN w:val="0"/>
        <w:adjustRightInd w:val="0"/>
        <w:spacing w:line="276" w:lineRule="auto"/>
        <w:textAlignment w:val="baseline"/>
        <w:rPr>
          <w:b/>
        </w:rPr>
      </w:pPr>
      <w:r w:rsidRPr="009D5C68">
        <w:rPr>
          <w:b/>
        </w:rPr>
        <w:t>Huvudpunkter:</w:t>
      </w:r>
    </w:p>
    <w:p w:rsidR="00C1115F" w:rsidRPr="009D5C68" w:rsidRDefault="00C1115F" w:rsidP="00E84F95">
      <w:pPr>
        <w:overflowPunct w:val="0"/>
        <w:autoSpaceDE w:val="0"/>
        <w:autoSpaceDN w:val="0"/>
        <w:adjustRightInd w:val="0"/>
        <w:spacing w:line="276" w:lineRule="auto"/>
        <w:textAlignment w:val="baseline"/>
        <w:rPr>
          <w:szCs w:val="20"/>
        </w:rPr>
      </w:pPr>
    </w:p>
    <w:p w:rsidR="00C1115F" w:rsidRPr="009D5C68" w:rsidRDefault="00C1115F" w:rsidP="00A3275A">
      <w:pPr>
        <w:overflowPunct w:val="0"/>
        <w:autoSpaceDE w:val="0"/>
        <w:autoSpaceDN w:val="0"/>
        <w:adjustRightInd w:val="0"/>
        <w:spacing w:line="276" w:lineRule="auto"/>
        <w:textAlignment w:val="baseline"/>
        <w:rPr>
          <w:szCs w:val="20"/>
        </w:rPr>
      </w:pPr>
      <w:r w:rsidRPr="009D5C68">
        <w:t>Trots turismens starka motståndskraft och snabba återhämtning i kristider anser kommittén att det är viktigt att analysera och åtgärda de förutsebara utmaningar och möjligheter som sjöfarts- och havsturismen står inför, särskilt när det gäller Medelhavet, eftersom den har stor betydelse och bidrar på ett väsentligt sätt till den europeiska ekonomin.</w:t>
      </w:r>
    </w:p>
    <w:p w:rsidR="00C1115F" w:rsidRPr="009D5C68" w:rsidRDefault="00C1115F" w:rsidP="00A3275A">
      <w:pPr>
        <w:overflowPunct w:val="0"/>
        <w:autoSpaceDE w:val="0"/>
        <w:autoSpaceDN w:val="0"/>
        <w:adjustRightInd w:val="0"/>
        <w:spacing w:line="276" w:lineRule="auto"/>
        <w:textAlignment w:val="baseline"/>
        <w:rPr>
          <w:szCs w:val="20"/>
        </w:rPr>
      </w:pPr>
    </w:p>
    <w:p w:rsidR="00C1115F" w:rsidRPr="009D5C68" w:rsidRDefault="00C1115F" w:rsidP="00A3275A">
      <w:pPr>
        <w:overflowPunct w:val="0"/>
        <w:autoSpaceDE w:val="0"/>
        <w:autoSpaceDN w:val="0"/>
        <w:adjustRightInd w:val="0"/>
        <w:spacing w:line="276" w:lineRule="auto"/>
        <w:textAlignment w:val="baseline"/>
        <w:rPr>
          <w:szCs w:val="20"/>
        </w:rPr>
      </w:pPr>
      <w:r w:rsidRPr="009D5C68">
        <w:t>I detta avseende förespråkar kommittén att en grupp bestående av m</w:t>
      </w:r>
      <w:r w:rsidR="00F114BF" w:rsidRPr="009D5C68">
        <w:t>edlemsstater och tredjeländer i </w:t>
      </w:r>
      <w:r w:rsidRPr="009D5C68">
        <w:t>västra Medelhavsområdet inrättas för att gemensamt arbeta med blå tillväxt samt blå och grön infrastruktur för att återställa skadade ekosystem. Eftersom turismen i sig skapar betydande mängder avfall krävs innovativa åtgärder som kan begränsa problemen med koppling till avfall, utöver samordnad och effektiv regelefterlevnad.</w:t>
      </w:r>
    </w:p>
    <w:p w:rsidR="00C1115F" w:rsidRPr="009D5C68" w:rsidRDefault="00C1115F" w:rsidP="00A3275A">
      <w:pPr>
        <w:overflowPunct w:val="0"/>
        <w:autoSpaceDE w:val="0"/>
        <w:autoSpaceDN w:val="0"/>
        <w:adjustRightInd w:val="0"/>
        <w:spacing w:line="276" w:lineRule="auto"/>
        <w:textAlignment w:val="baseline"/>
      </w:pPr>
    </w:p>
    <w:p w:rsidR="00C1115F" w:rsidRPr="009D5C68" w:rsidRDefault="00C1115F" w:rsidP="00A3275A">
      <w:pPr>
        <w:overflowPunct w:val="0"/>
        <w:autoSpaceDE w:val="0"/>
        <w:autoSpaceDN w:val="0"/>
        <w:adjustRightInd w:val="0"/>
        <w:spacing w:line="276" w:lineRule="auto"/>
        <w:rPr>
          <w:i/>
          <w:szCs w:val="20"/>
        </w:rPr>
      </w:pPr>
      <w:r w:rsidRPr="009D5C68">
        <w:rPr>
          <w:b/>
          <w:i/>
        </w:rPr>
        <w:t>Kontaktperson:</w:t>
      </w:r>
      <w:r w:rsidRPr="009D5C68">
        <w:tab/>
      </w:r>
      <w:r w:rsidRPr="009D5C68">
        <w:rPr>
          <w:i/>
        </w:rPr>
        <w:t>Jean-Pierre Faure</w:t>
      </w:r>
    </w:p>
    <w:p w:rsidR="00C1115F" w:rsidRPr="009D5C68" w:rsidRDefault="00C1115F" w:rsidP="00A3275A">
      <w:pPr>
        <w:overflowPunct w:val="0"/>
        <w:autoSpaceDE w:val="0"/>
        <w:autoSpaceDN w:val="0"/>
        <w:adjustRightInd w:val="0"/>
        <w:spacing w:line="276" w:lineRule="auto"/>
        <w:ind w:left="1134"/>
        <w:rPr>
          <w:i/>
          <w:szCs w:val="20"/>
        </w:rPr>
      </w:pPr>
      <w:r w:rsidRPr="009D5C68">
        <w:rPr>
          <w:i/>
        </w:rPr>
        <w:t xml:space="preserve">(Tfn +32 2 546 96 15 – e-post: </w:t>
      </w:r>
      <w:hyperlink r:id="rId29">
        <w:r w:rsidRPr="009D5C68">
          <w:rPr>
            <w:i/>
            <w:color w:val="0000FF"/>
            <w:u w:val="single"/>
          </w:rPr>
          <w:t>jean-pierre.faure@eesc.europa.eu</w:t>
        </w:r>
      </w:hyperlink>
      <w:r w:rsidRPr="009D5C68">
        <w:rPr>
          <w:i/>
        </w:rPr>
        <w:t>)</w:t>
      </w:r>
    </w:p>
    <w:p w:rsidR="00BC5473" w:rsidRPr="009D5C68" w:rsidRDefault="00BC5473" w:rsidP="00A3275A">
      <w:pPr>
        <w:spacing w:line="276" w:lineRule="auto"/>
        <w:rPr>
          <w:b/>
          <w:highlight w:val="green"/>
        </w:rPr>
      </w:pPr>
    </w:p>
    <w:p w:rsidR="00C1115F" w:rsidRPr="009D5C68" w:rsidRDefault="00C1115F" w:rsidP="00A3275A">
      <w:pPr>
        <w:keepNext/>
        <w:widowControl w:val="0"/>
        <w:numPr>
          <w:ilvl w:val="0"/>
          <w:numId w:val="2"/>
        </w:numPr>
        <w:overflowPunct w:val="0"/>
        <w:autoSpaceDE w:val="0"/>
        <w:autoSpaceDN w:val="0"/>
        <w:adjustRightInd w:val="0"/>
        <w:spacing w:line="276" w:lineRule="auto"/>
        <w:textAlignment w:val="baseline"/>
        <w:rPr>
          <w:i/>
          <w:sz w:val="28"/>
          <w:szCs w:val="28"/>
        </w:rPr>
      </w:pPr>
      <w:r w:rsidRPr="009D5C68">
        <w:rPr>
          <w:b/>
          <w:i/>
          <w:sz w:val="28"/>
        </w:rPr>
        <w:t>En rymdstrategi för Europa</w:t>
      </w:r>
    </w:p>
    <w:p w:rsidR="00C1115F" w:rsidRPr="009D5C68"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9D5C68"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9D5C68">
        <w:rPr>
          <w:b/>
        </w:rPr>
        <w:t>Föredragande:</w:t>
      </w:r>
      <w:r w:rsidRPr="009D5C68">
        <w:tab/>
        <w:t>Mindaugas Maciulevičius (Övriga intressegrupper – LT)</w:t>
      </w:r>
    </w:p>
    <w:p w:rsidR="00C1115F" w:rsidRPr="009D5C68"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9D5C68" w:rsidRDefault="00C1115F" w:rsidP="00A3275A">
      <w:pPr>
        <w:keepNext/>
        <w:tabs>
          <w:tab w:val="center" w:pos="284"/>
          <w:tab w:val="left" w:pos="1701"/>
        </w:tabs>
        <w:overflowPunct w:val="0"/>
        <w:autoSpaceDE w:val="0"/>
        <w:autoSpaceDN w:val="0"/>
        <w:adjustRightInd w:val="0"/>
        <w:spacing w:line="276" w:lineRule="auto"/>
        <w:ind w:left="266" w:hanging="266"/>
        <w:textAlignment w:val="baseline"/>
        <w:rPr>
          <w:szCs w:val="20"/>
        </w:rPr>
      </w:pPr>
      <w:r w:rsidRPr="009D5C68">
        <w:rPr>
          <w:b/>
        </w:rPr>
        <w:t>Referens:</w:t>
      </w:r>
      <w:r w:rsidRPr="009D5C68">
        <w:tab/>
        <w:t>COM(2016) 705 final</w:t>
      </w:r>
    </w:p>
    <w:p w:rsidR="00C1115F" w:rsidRPr="009D5C68" w:rsidRDefault="00C1115F" w:rsidP="00A3275A">
      <w:pPr>
        <w:keepNext/>
        <w:tabs>
          <w:tab w:val="center" w:pos="-2977"/>
        </w:tabs>
        <w:overflowPunct w:val="0"/>
        <w:autoSpaceDE w:val="0"/>
        <w:autoSpaceDN w:val="0"/>
        <w:adjustRightInd w:val="0"/>
        <w:spacing w:line="276" w:lineRule="auto"/>
        <w:ind w:left="1701"/>
        <w:textAlignment w:val="baseline"/>
      </w:pPr>
      <w:r w:rsidRPr="009D5C68">
        <w:t>INT/809 - EESC-2016-05992-00-00-PA-TRA</w:t>
      </w:r>
    </w:p>
    <w:p w:rsidR="00C1115F" w:rsidRPr="009D5C68"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p>
    <w:p w:rsidR="00C1115F" w:rsidRPr="009D5C68" w:rsidRDefault="00C1115F" w:rsidP="00A3275A">
      <w:pPr>
        <w:keepNext/>
        <w:overflowPunct w:val="0"/>
        <w:autoSpaceDE w:val="0"/>
        <w:autoSpaceDN w:val="0"/>
        <w:adjustRightInd w:val="0"/>
        <w:spacing w:line="276" w:lineRule="auto"/>
        <w:textAlignment w:val="baseline"/>
        <w:rPr>
          <w:b/>
        </w:rPr>
      </w:pPr>
      <w:r w:rsidRPr="009D5C68">
        <w:rPr>
          <w:b/>
        </w:rPr>
        <w:t>Huvudpunkter:</w:t>
      </w:r>
    </w:p>
    <w:p w:rsidR="00BC5473" w:rsidRPr="009D5C68" w:rsidRDefault="00BC5473" w:rsidP="00E84F95">
      <w:pPr>
        <w:keepNext/>
        <w:overflowPunct w:val="0"/>
        <w:autoSpaceDE w:val="0"/>
        <w:autoSpaceDN w:val="0"/>
        <w:adjustRightInd w:val="0"/>
        <w:spacing w:line="276" w:lineRule="auto"/>
        <w:textAlignment w:val="baseline"/>
        <w:rPr>
          <w:szCs w:val="20"/>
        </w:rPr>
      </w:pPr>
    </w:p>
    <w:p w:rsidR="00C1115F" w:rsidRPr="009D5C68" w:rsidRDefault="00C1115F" w:rsidP="00A3275A">
      <w:pPr>
        <w:overflowPunct w:val="0"/>
        <w:autoSpaceDE w:val="0"/>
        <w:autoSpaceDN w:val="0"/>
        <w:adjustRightInd w:val="0"/>
        <w:spacing w:line="276" w:lineRule="auto"/>
        <w:textAlignment w:val="baseline"/>
        <w:rPr>
          <w:szCs w:val="20"/>
        </w:rPr>
      </w:pPr>
      <w:r w:rsidRPr="009D5C68">
        <w:t>EESK:s ståndpunkt:</w:t>
      </w:r>
    </w:p>
    <w:p w:rsidR="009928D1" w:rsidRPr="009D5C68" w:rsidRDefault="009928D1" w:rsidP="00A3275A">
      <w:pPr>
        <w:overflowPunct w:val="0"/>
        <w:autoSpaceDE w:val="0"/>
        <w:autoSpaceDN w:val="0"/>
        <w:adjustRightInd w:val="0"/>
        <w:spacing w:line="276" w:lineRule="auto"/>
        <w:textAlignment w:val="baseline"/>
        <w:rPr>
          <w:szCs w:val="20"/>
        </w:rPr>
      </w:pPr>
    </w:p>
    <w:p w:rsidR="00C1115F" w:rsidRPr="009D5C68"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9D5C68">
        <w:t>EESK välkomnar kommissionens meddelande om en rymdstrategi för Europa.</w:t>
      </w:r>
    </w:p>
    <w:p w:rsidR="00C1115F" w:rsidRPr="009D5C68"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9D5C68">
        <w:t>Kommittén upprepar sitt starka stöd för en rymdpolitik som är inriktad mot civila behov.</w:t>
      </w:r>
    </w:p>
    <w:p w:rsidR="00C1115F" w:rsidRPr="009D5C68"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9D5C68">
        <w:t>EESK uppmanar kommissionen och Europeiska investeringsbanken att identifiera nya finansieringsalternativ för att uppmuntra privata investerare.</w:t>
      </w:r>
    </w:p>
    <w:p w:rsidR="00C1115F" w:rsidRPr="009D5C68"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9D5C68">
        <w:t>EESK uppmanar till ett aktivt deltagande av alla medlemsstater.</w:t>
      </w:r>
    </w:p>
    <w:p w:rsidR="00C1115F" w:rsidRPr="009D5C68"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9D5C68">
        <w:t>EESK anser att utbildning och insatser för att öka allmänhetens medvetenhet om fördelarna med att information och data görs tillgängliga genom rymdverksamhet är av yttersta vikt.</w:t>
      </w:r>
    </w:p>
    <w:p w:rsidR="00C1115F" w:rsidRPr="009D5C68"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9D5C68">
        <w:t>Kommittén uppmanar kommissionen att undersöka möjligheten att skapa en gemensam portal.</w:t>
      </w:r>
    </w:p>
    <w:p w:rsidR="00C1115F" w:rsidRPr="009D5C68"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9D5C68">
        <w:t>EESK efterlyser ett nytt förhållningssätt till dataanvändning.</w:t>
      </w:r>
    </w:p>
    <w:p w:rsidR="00C1115F" w:rsidRPr="009D5C68" w:rsidRDefault="00C1115F" w:rsidP="00A3275A">
      <w:pPr>
        <w:overflowPunct w:val="0"/>
        <w:autoSpaceDE w:val="0"/>
        <w:autoSpaceDN w:val="0"/>
        <w:adjustRightInd w:val="0"/>
        <w:spacing w:line="276" w:lineRule="auto"/>
        <w:textAlignment w:val="baseline"/>
      </w:pPr>
    </w:p>
    <w:p w:rsidR="00C1115F" w:rsidRPr="009D5C68" w:rsidRDefault="00C1115F" w:rsidP="00A3275A">
      <w:pPr>
        <w:overflowPunct w:val="0"/>
        <w:autoSpaceDE w:val="0"/>
        <w:autoSpaceDN w:val="0"/>
        <w:adjustRightInd w:val="0"/>
        <w:spacing w:line="276" w:lineRule="auto"/>
        <w:rPr>
          <w:i/>
          <w:szCs w:val="20"/>
        </w:rPr>
      </w:pPr>
      <w:r w:rsidRPr="009D5C68">
        <w:rPr>
          <w:b/>
          <w:i/>
        </w:rPr>
        <w:t>Kontaktperson:</w:t>
      </w:r>
      <w:r w:rsidRPr="009D5C68">
        <w:tab/>
      </w:r>
      <w:r w:rsidRPr="009D5C68">
        <w:rPr>
          <w:i/>
        </w:rPr>
        <w:t>Daniel Squerzi</w:t>
      </w:r>
    </w:p>
    <w:p w:rsidR="00C1115F" w:rsidRPr="009D5C68" w:rsidRDefault="00C1115F" w:rsidP="00A3275A">
      <w:pPr>
        <w:overflowPunct w:val="0"/>
        <w:autoSpaceDE w:val="0"/>
        <w:autoSpaceDN w:val="0"/>
        <w:adjustRightInd w:val="0"/>
        <w:spacing w:line="276" w:lineRule="auto"/>
        <w:ind w:left="1134"/>
        <w:rPr>
          <w:szCs w:val="20"/>
        </w:rPr>
      </w:pPr>
      <w:r w:rsidRPr="009D5C68">
        <w:rPr>
          <w:i/>
        </w:rPr>
        <w:t xml:space="preserve">(Tfn +32 25469250 – e-post: </w:t>
      </w:r>
      <w:hyperlink r:id="rId30">
        <w:r w:rsidRPr="009D5C68">
          <w:rPr>
            <w:i/>
            <w:color w:val="0000FF"/>
            <w:u w:val="single"/>
          </w:rPr>
          <w:t>daniel.squerzi@eesc.europa.eu</w:t>
        </w:r>
      </w:hyperlink>
      <w:r w:rsidRPr="009D5C68">
        <w:rPr>
          <w:i/>
        </w:rPr>
        <w:t>)</w:t>
      </w:r>
    </w:p>
    <w:p w:rsidR="003A4AB8" w:rsidRPr="009D5C68" w:rsidRDefault="003A4AB8" w:rsidP="00A3275A">
      <w:pPr>
        <w:overflowPunct w:val="0"/>
        <w:autoSpaceDE w:val="0"/>
        <w:autoSpaceDN w:val="0"/>
        <w:adjustRightInd w:val="0"/>
        <w:spacing w:line="276" w:lineRule="auto"/>
        <w:rPr>
          <w:szCs w:val="20"/>
        </w:rPr>
      </w:pPr>
    </w:p>
    <w:p w:rsidR="00505DD7" w:rsidRPr="009D5C68" w:rsidRDefault="00505DD7" w:rsidP="004C07BF">
      <w:pPr>
        <w:spacing w:line="240" w:lineRule="auto"/>
        <w:rPr>
          <w:b/>
        </w:rPr>
      </w:pPr>
    </w:p>
    <w:p w:rsidR="003075E1" w:rsidRPr="009D5C68" w:rsidRDefault="00E6566F" w:rsidP="00A3275A">
      <w:pPr>
        <w:pStyle w:val="Heading1"/>
        <w:keepNext/>
        <w:spacing w:line="276" w:lineRule="auto"/>
        <w:rPr>
          <w:b/>
          <w:iCs/>
        </w:rPr>
      </w:pPr>
      <w:bookmarkStart w:id="10" w:name="_Toc477938713"/>
      <w:bookmarkStart w:id="11" w:name="_Toc480448241"/>
      <w:r w:rsidRPr="009D5C68">
        <w:rPr>
          <w:b/>
        </w:rPr>
        <w:t>INRE MARKNADEN</w:t>
      </w:r>
      <w:bookmarkEnd w:id="10"/>
      <w:bookmarkEnd w:id="11"/>
    </w:p>
    <w:p w:rsidR="00BC5473" w:rsidRPr="009D5C68" w:rsidRDefault="00BC5473" w:rsidP="00A3275A">
      <w:pPr>
        <w:keepNext/>
        <w:spacing w:line="276" w:lineRule="auto"/>
      </w:pPr>
    </w:p>
    <w:p w:rsidR="00C1115F" w:rsidRPr="009D5C68" w:rsidRDefault="00C1115F" w:rsidP="00A3275A">
      <w:pPr>
        <w:keepNext/>
        <w:widowControl w:val="0"/>
        <w:numPr>
          <w:ilvl w:val="0"/>
          <w:numId w:val="2"/>
        </w:numPr>
        <w:overflowPunct w:val="0"/>
        <w:autoSpaceDE w:val="0"/>
        <w:autoSpaceDN w:val="0"/>
        <w:adjustRightInd w:val="0"/>
        <w:spacing w:line="276" w:lineRule="auto"/>
        <w:textAlignment w:val="baseline"/>
        <w:rPr>
          <w:i/>
          <w:sz w:val="28"/>
          <w:szCs w:val="28"/>
        </w:rPr>
      </w:pPr>
      <w:r w:rsidRPr="009D5C68">
        <w:rPr>
          <w:b/>
          <w:i/>
          <w:sz w:val="28"/>
        </w:rPr>
        <w:t>Företagsinsolvens</w:t>
      </w:r>
    </w:p>
    <w:p w:rsidR="00C1115F" w:rsidRPr="009D5C68"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9D5C68"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9D5C68">
        <w:rPr>
          <w:b/>
        </w:rPr>
        <w:t>Föredragande:</w:t>
      </w:r>
      <w:r w:rsidRPr="009D5C68">
        <w:tab/>
        <w:t>Antonello Pezzini (Arbetsgivargruppen – IT)</w:t>
      </w:r>
    </w:p>
    <w:p w:rsidR="00C1115F" w:rsidRPr="009D5C68"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9D5C68">
        <w:rPr>
          <w:b/>
        </w:rPr>
        <w:t>Medföredragande:</w:t>
      </w:r>
      <w:r w:rsidRPr="009D5C68">
        <w:tab/>
        <w:t>Franca Salis-Madinier (Arbetstagargruppen – FR)</w:t>
      </w:r>
    </w:p>
    <w:p w:rsidR="00C1115F" w:rsidRPr="009D5C68"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p>
    <w:p w:rsidR="00E24E8C" w:rsidRPr="009D5C68" w:rsidRDefault="00C1115F" w:rsidP="00A3275A">
      <w:pPr>
        <w:tabs>
          <w:tab w:val="left" w:pos="1701"/>
        </w:tabs>
        <w:overflowPunct w:val="0"/>
        <w:autoSpaceDE w:val="0"/>
        <w:autoSpaceDN w:val="0"/>
        <w:adjustRightInd w:val="0"/>
        <w:spacing w:line="276" w:lineRule="auto"/>
        <w:textAlignment w:val="baseline"/>
        <w:rPr>
          <w:szCs w:val="20"/>
        </w:rPr>
      </w:pPr>
      <w:r w:rsidRPr="009D5C68">
        <w:rPr>
          <w:b/>
        </w:rPr>
        <w:t>Referens:</w:t>
      </w:r>
      <w:r w:rsidRPr="009D5C68">
        <w:tab/>
        <w:t>COM(2016) 723 final – 2016/0359 (COD)</w:t>
      </w:r>
    </w:p>
    <w:p w:rsidR="00C1115F" w:rsidRPr="009D5C68" w:rsidRDefault="00C1115F" w:rsidP="00A3275A">
      <w:pPr>
        <w:overflowPunct w:val="0"/>
        <w:autoSpaceDE w:val="0"/>
        <w:autoSpaceDN w:val="0"/>
        <w:adjustRightInd w:val="0"/>
        <w:spacing w:line="276" w:lineRule="auto"/>
        <w:ind w:left="1701"/>
        <w:textAlignment w:val="baseline"/>
      </w:pPr>
      <w:r w:rsidRPr="009D5C68">
        <w:t>EESC-2016-06275-00-02-PA-TRA</w:t>
      </w:r>
    </w:p>
    <w:p w:rsidR="00C1115F" w:rsidRPr="009D5C68" w:rsidRDefault="00C1115F" w:rsidP="00A3275A">
      <w:pPr>
        <w:tabs>
          <w:tab w:val="center" w:pos="284"/>
        </w:tabs>
        <w:overflowPunct w:val="0"/>
        <w:autoSpaceDE w:val="0"/>
        <w:autoSpaceDN w:val="0"/>
        <w:adjustRightInd w:val="0"/>
        <w:spacing w:line="276" w:lineRule="auto"/>
        <w:ind w:left="266" w:hanging="266"/>
        <w:textAlignment w:val="baseline"/>
        <w:rPr>
          <w:szCs w:val="20"/>
        </w:rPr>
      </w:pPr>
    </w:p>
    <w:p w:rsidR="00C1115F" w:rsidRPr="009D5C68" w:rsidRDefault="00C1115F" w:rsidP="00A3275A">
      <w:pPr>
        <w:overflowPunct w:val="0"/>
        <w:autoSpaceDE w:val="0"/>
        <w:autoSpaceDN w:val="0"/>
        <w:adjustRightInd w:val="0"/>
        <w:spacing w:line="276" w:lineRule="auto"/>
        <w:textAlignment w:val="baseline"/>
        <w:rPr>
          <w:b/>
        </w:rPr>
      </w:pPr>
      <w:r w:rsidRPr="009D5C68">
        <w:rPr>
          <w:b/>
        </w:rPr>
        <w:t>Huvudpunkter:</w:t>
      </w:r>
    </w:p>
    <w:p w:rsidR="00BC5473" w:rsidRPr="009D5C68" w:rsidRDefault="00BC5473" w:rsidP="00E84F95">
      <w:pPr>
        <w:overflowPunct w:val="0"/>
        <w:autoSpaceDE w:val="0"/>
        <w:autoSpaceDN w:val="0"/>
        <w:adjustRightInd w:val="0"/>
        <w:spacing w:line="276" w:lineRule="auto"/>
        <w:textAlignment w:val="baseline"/>
        <w:rPr>
          <w:szCs w:val="20"/>
        </w:rPr>
      </w:pPr>
    </w:p>
    <w:p w:rsidR="00C1115F" w:rsidRPr="009D5C68" w:rsidRDefault="00C1115F" w:rsidP="00A3275A">
      <w:pPr>
        <w:overflowPunct w:val="0"/>
        <w:autoSpaceDE w:val="0"/>
        <w:autoSpaceDN w:val="0"/>
        <w:adjustRightInd w:val="0"/>
        <w:spacing w:line="276" w:lineRule="auto"/>
        <w:textAlignment w:val="baseline"/>
        <w:rPr>
          <w:szCs w:val="20"/>
        </w:rPr>
      </w:pPr>
      <w:r w:rsidRPr="009D5C68">
        <w:t>EESK:s ståndpunkt:</w:t>
      </w:r>
    </w:p>
    <w:p w:rsidR="00ED4925" w:rsidRPr="009D5C68" w:rsidRDefault="00ED4925" w:rsidP="00A3275A">
      <w:pPr>
        <w:overflowPunct w:val="0"/>
        <w:autoSpaceDE w:val="0"/>
        <w:autoSpaceDN w:val="0"/>
        <w:adjustRightInd w:val="0"/>
        <w:spacing w:line="276" w:lineRule="auto"/>
        <w:textAlignment w:val="baseline"/>
        <w:rPr>
          <w:szCs w:val="20"/>
        </w:rPr>
      </w:pPr>
    </w:p>
    <w:p w:rsidR="00C1115F" w:rsidRPr="009D5C68"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9D5C68">
        <w:t>EESK önskar att förslaget utfärdas i form av en förordning och att man inte tvekar att genomföra en så omfattande harmonisering som möjligt av de aktuella systemen.</w:t>
      </w:r>
    </w:p>
    <w:p w:rsidR="00987EAE" w:rsidRPr="009D5C68" w:rsidRDefault="00987EAE" w:rsidP="00A3275A">
      <w:pPr>
        <w:overflowPunct w:val="0"/>
        <w:autoSpaceDE w:val="0"/>
        <w:autoSpaceDN w:val="0"/>
        <w:adjustRightInd w:val="0"/>
        <w:spacing w:line="276" w:lineRule="auto"/>
        <w:ind w:left="720"/>
        <w:contextualSpacing/>
        <w:textAlignment w:val="baseline"/>
        <w:rPr>
          <w:szCs w:val="20"/>
        </w:rPr>
      </w:pPr>
    </w:p>
    <w:p w:rsidR="00C1115F" w:rsidRPr="009D5C68"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9D5C68">
        <w:t>EESK insisterar på att företagsledningens skyldighet att informera och rådfråga sina anställda både före och under förhandlingarna formellt ska fastställas i direktivet.</w:t>
      </w:r>
    </w:p>
    <w:p w:rsidR="00C1115F" w:rsidRPr="009D5C68" w:rsidRDefault="00C1115F" w:rsidP="00A3275A">
      <w:pPr>
        <w:numPr>
          <w:ilvl w:val="0"/>
          <w:numId w:val="16"/>
        </w:numPr>
        <w:overflowPunct w:val="0"/>
        <w:autoSpaceDE w:val="0"/>
        <w:autoSpaceDN w:val="0"/>
        <w:adjustRightInd w:val="0"/>
        <w:spacing w:line="276" w:lineRule="auto"/>
        <w:contextualSpacing/>
        <w:textAlignment w:val="baseline"/>
        <w:rPr>
          <w:spacing w:val="-2"/>
          <w:szCs w:val="20"/>
        </w:rPr>
      </w:pPr>
      <w:r w:rsidRPr="009D5C68">
        <w:rPr>
          <w:spacing w:val="-2"/>
        </w:rPr>
        <w:t>EESK rekommenderar att man vid insolvens garanterar statusen som prioriterad fordringsägare till samtliga anställda i alla medlemsstater.</w:t>
      </w:r>
    </w:p>
    <w:p w:rsidR="00987EAE" w:rsidRPr="009D5C68" w:rsidRDefault="00987EAE" w:rsidP="00A3275A">
      <w:pPr>
        <w:overflowPunct w:val="0"/>
        <w:autoSpaceDE w:val="0"/>
        <w:autoSpaceDN w:val="0"/>
        <w:adjustRightInd w:val="0"/>
        <w:spacing w:line="276" w:lineRule="auto"/>
        <w:ind w:left="720"/>
        <w:contextualSpacing/>
        <w:textAlignment w:val="baseline"/>
        <w:rPr>
          <w:szCs w:val="20"/>
        </w:rPr>
      </w:pPr>
    </w:p>
    <w:p w:rsidR="00C1115F" w:rsidRPr="009D5C68"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9D5C68">
        <w:t>Det är enligt kommitténs mening nödvändigt att se närmare på tillförlitlighetskriterierna angående företagarnas professionella beteende och ärlighet.</w:t>
      </w:r>
    </w:p>
    <w:p w:rsidR="00987EAE" w:rsidRPr="009D5C68" w:rsidRDefault="00987EAE" w:rsidP="00A3275A">
      <w:pPr>
        <w:overflowPunct w:val="0"/>
        <w:autoSpaceDE w:val="0"/>
        <w:autoSpaceDN w:val="0"/>
        <w:adjustRightInd w:val="0"/>
        <w:spacing w:line="276" w:lineRule="auto"/>
        <w:ind w:left="720"/>
        <w:contextualSpacing/>
        <w:textAlignment w:val="baseline"/>
        <w:rPr>
          <w:szCs w:val="20"/>
        </w:rPr>
      </w:pPr>
    </w:p>
    <w:p w:rsidR="00C1115F" w:rsidRPr="009D5C68" w:rsidRDefault="00C1115F" w:rsidP="00A3275A">
      <w:pPr>
        <w:numPr>
          <w:ilvl w:val="0"/>
          <w:numId w:val="16"/>
        </w:numPr>
        <w:overflowPunct w:val="0"/>
        <w:autoSpaceDE w:val="0"/>
        <w:autoSpaceDN w:val="0"/>
        <w:adjustRightInd w:val="0"/>
        <w:spacing w:line="276" w:lineRule="auto"/>
        <w:contextualSpacing/>
        <w:textAlignment w:val="baseline"/>
        <w:rPr>
          <w:spacing w:val="-2"/>
          <w:szCs w:val="20"/>
        </w:rPr>
      </w:pPr>
      <w:r w:rsidRPr="009D5C68">
        <w:rPr>
          <w:spacing w:val="-2"/>
        </w:rPr>
        <w:t>EESK yrkar på att man i direktivet ska fastställa att om en företagsledare missbrukar insolvensförfarandet i syfte att inte tillgodose sina anställdas rättigheter är detta en illegal praxis.</w:t>
      </w:r>
    </w:p>
    <w:p w:rsidR="00C1115F" w:rsidRPr="009D5C68" w:rsidRDefault="00C1115F" w:rsidP="00A3275A">
      <w:pPr>
        <w:overflowPunct w:val="0"/>
        <w:autoSpaceDE w:val="0"/>
        <w:autoSpaceDN w:val="0"/>
        <w:adjustRightInd w:val="0"/>
        <w:spacing w:line="276" w:lineRule="auto"/>
        <w:textAlignment w:val="baseline"/>
      </w:pPr>
    </w:p>
    <w:p w:rsidR="00C1115F" w:rsidRPr="009D5C68" w:rsidRDefault="00C1115F" w:rsidP="00A3275A">
      <w:pPr>
        <w:overflowPunct w:val="0"/>
        <w:autoSpaceDE w:val="0"/>
        <w:autoSpaceDN w:val="0"/>
        <w:adjustRightInd w:val="0"/>
        <w:spacing w:line="276" w:lineRule="auto"/>
        <w:rPr>
          <w:i/>
          <w:szCs w:val="20"/>
        </w:rPr>
      </w:pPr>
      <w:r w:rsidRPr="009D5C68">
        <w:rPr>
          <w:b/>
          <w:i/>
        </w:rPr>
        <w:t>Kontaktperson:</w:t>
      </w:r>
      <w:r w:rsidRPr="009D5C68">
        <w:tab/>
      </w:r>
      <w:r w:rsidRPr="009D5C68">
        <w:rPr>
          <w:i/>
        </w:rPr>
        <w:t>Marie-Laurence Drillon</w:t>
      </w:r>
    </w:p>
    <w:p w:rsidR="00C1115F" w:rsidRPr="009D5C68" w:rsidRDefault="00C1115F" w:rsidP="00A3275A">
      <w:pPr>
        <w:overflowPunct w:val="0"/>
        <w:autoSpaceDE w:val="0"/>
        <w:autoSpaceDN w:val="0"/>
        <w:adjustRightInd w:val="0"/>
        <w:spacing w:line="276" w:lineRule="auto"/>
        <w:ind w:left="1134"/>
        <w:textAlignment w:val="baseline"/>
        <w:rPr>
          <w:szCs w:val="20"/>
        </w:rPr>
      </w:pPr>
      <w:r w:rsidRPr="009D5C68">
        <w:rPr>
          <w:i/>
        </w:rPr>
        <w:t xml:space="preserve">(Tfn +32 25468320 – e-post: </w:t>
      </w:r>
      <w:hyperlink r:id="rId31">
        <w:r w:rsidRPr="009D5C68">
          <w:rPr>
            <w:i/>
            <w:color w:val="0000FF"/>
            <w:u w:val="single"/>
          </w:rPr>
          <w:t>marie-laurence.drillon@eesc.europa.eu</w:t>
        </w:r>
      </w:hyperlink>
      <w:r w:rsidRPr="009D5C68">
        <w:rPr>
          <w:i/>
        </w:rPr>
        <w:t>)</w:t>
      </w:r>
    </w:p>
    <w:p w:rsidR="00ED4925" w:rsidRPr="009D5C68" w:rsidRDefault="00ED4925" w:rsidP="00A3275A">
      <w:pPr>
        <w:overflowPunct w:val="0"/>
        <w:autoSpaceDE w:val="0"/>
        <w:autoSpaceDN w:val="0"/>
        <w:adjustRightInd w:val="0"/>
        <w:spacing w:line="276" w:lineRule="auto"/>
        <w:textAlignment w:val="baseline"/>
        <w:rPr>
          <w:szCs w:val="20"/>
        </w:rPr>
      </w:pPr>
    </w:p>
    <w:p w:rsidR="00505DD7" w:rsidRPr="009D5C68" w:rsidRDefault="00505DD7" w:rsidP="004C07BF">
      <w:pPr>
        <w:spacing w:line="240" w:lineRule="auto"/>
        <w:rPr>
          <w:b/>
        </w:rPr>
      </w:pPr>
    </w:p>
    <w:p w:rsidR="00E6566F" w:rsidRPr="009D5C68" w:rsidRDefault="00E6566F" w:rsidP="00A3275A">
      <w:pPr>
        <w:pStyle w:val="Heading1"/>
        <w:spacing w:line="276" w:lineRule="auto"/>
        <w:rPr>
          <w:b/>
          <w:iCs/>
        </w:rPr>
      </w:pPr>
      <w:bookmarkStart w:id="12" w:name="_Toc477938714"/>
      <w:bookmarkStart w:id="13" w:name="_Toc480448242"/>
      <w:r w:rsidRPr="009D5C68">
        <w:rPr>
          <w:b/>
        </w:rPr>
        <w:t>YTTRE FÖRBINDELSER</w:t>
      </w:r>
      <w:bookmarkEnd w:id="12"/>
      <w:bookmarkEnd w:id="13"/>
    </w:p>
    <w:p w:rsidR="00BC5473" w:rsidRPr="009D5C68" w:rsidRDefault="00BC5473" w:rsidP="00A3275A">
      <w:pPr>
        <w:spacing w:line="276" w:lineRule="auto"/>
        <w:rPr>
          <w:b/>
          <w:highlight w:val="yellow"/>
        </w:rPr>
      </w:pPr>
    </w:p>
    <w:p w:rsidR="00C1115F" w:rsidRPr="009D5C68" w:rsidRDefault="00C1115F" w:rsidP="00A3275A">
      <w:pPr>
        <w:widowControl w:val="0"/>
        <w:numPr>
          <w:ilvl w:val="0"/>
          <w:numId w:val="3"/>
        </w:numPr>
        <w:overflowPunct w:val="0"/>
        <w:autoSpaceDE w:val="0"/>
        <w:autoSpaceDN w:val="0"/>
        <w:adjustRightInd w:val="0"/>
        <w:spacing w:line="276" w:lineRule="auto"/>
        <w:ind w:left="567" w:hanging="283"/>
        <w:textAlignment w:val="baseline"/>
        <w:rPr>
          <w:b/>
          <w:i/>
          <w:spacing w:val="-2"/>
          <w:sz w:val="28"/>
          <w:szCs w:val="28"/>
        </w:rPr>
      </w:pPr>
      <w:r w:rsidRPr="009D5C68">
        <w:rPr>
          <w:b/>
          <w:i/>
          <w:spacing w:val="-2"/>
          <w:sz w:val="28"/>
        </w:rPr>
        <w:t>Havens framtid</w:t>
      </w:r>
    </w:p>
    <w:p w:rsidR="00C1115F" w:rsidRPr="009D5C68" w:rsidRDefault="00C1115F" w:rsidP="00A3275A">
      <w:pPr>
        <w:widowControl w:val="0"/>
        <w:spacing w:line="276" w:lineRule="auto"/>
      </w:pPr>
    </w:p>
    <w:p w:rsidR="00C1115F" w:rsidRPr="009D5C68" w:rsidRDefault="00C1115F" w:rsidP="00A3275A">
      <w:pPr>
        <w:spacing w:line="276" w:lineRule="auto"/>
        <w:rPr>
          <w:b/>
          <w:i/>
          <w:highlight w:val="yellow"/>
        </w:rPr>
      </w:pPr>
      <w:r w:rsidRPr="009D5C68">
        <w:rPr>
          <w:b/>
        </w:rPr>
        <w:t>Föredragande:</w:t>
      </w:r>
      <w:r w:rsidRPr="009D5C68">
        <w:tab/>
        <w:t>Jan Simons (Arbetsgivargruppen – NL)</w:t>
      </w:r>
    </w:p>
    <w:p w:rsidR="00C1115F" w:rsidRPr="009D5C68" w:rsidRDefault="00C1115F" w:rsidP="00A3275A">
      <w:pPr>
        <w:spacing w:line="276" w:lineRule="auto"/>
      </w:pPr>
    </w:p>
    <w:p w:rsidR="00C1115F" w:rsidRPr="009D5C68" w:rsidRDefault="00C1115F" w:rsidP="00A3275A">
      <w:pPr>
        <w:spacing w:line="276" w:lineRule="auto"/>
      </w:pPr>
      <w:r w:rsidRPr="009D5C68">
        <w:rPr>
          <w:b/>
        </w:rPr>
        <w:t>Huvudpunkter:</w:t>
      </w:r>
    </w:p>
    <w:p w:rsidR="00C1115F" w:rsidRPr="009D5C68" w:rsidRDefault="00C1115F" w:rsidP="00A3275A">
      <w:pPr>
        <w:widowControl w:val="0"/>
        <w:spacing w:line="276" w:lineRule="auto"/>
      </w:pPr>
    </w:p>
    <w:p w:rsidR="00C1115F" w:rsidRPr="009D5C68" w:rsidRDefault="00C1115F" w:rsidP="00A3275A">
      <w:pPr>
        <w:numPr>
          <w:ilvl w:val="0"/>
          <w:numId w:val="33"/>
        </w:numPr>
        <w:spacing w:line="276" w:lineRule="auto"/>
        <w:ind w:left="360"/>
        <w:outlineLvl w:val="1"/>
      </w:pPr>
      <w:r w:rsidRPr="009D5C68">
        <w:t>EESK välkomnar det gemensamma meddelandet från kommissionen och unionens höga representant för utrikes frågor och säkerhetspolitik om en bättre förvaltning av haven och delar den växande oron avseende behovet av bättre förvaltning och skydd av haven till följd av ökad mänsklig aktivitet (ohållbart fiske, otillräckligt skydd, turism, tunga transporter, föroreningar).</w:t>
      </w:r>
    </w:p>
    <w:p w:rsidR="00C1115F" w:rsidRPr="009D5C68" w:rsidRDefault="00C1115F" w:rsidP="00A3275A">
      <w:pPr>
        <w:spacing w:line="276" w:lineRule="auto"/>
      </w:pPr>
    </w:p>
    <w:p w:rsidR="00C1115F" w:rsidRPr="009D5C68" w:rsidRDefault="00C1115F" w:rsidP="00A3275A">
      <w:pPr>
        <w:numPr>
          <w:ilvl w:val="0"/>
          <w:numId w:val="33"/>
        </w:numPr>
        <w:spacing w:line="276" w:lineRule="auto"/>
        <w:ind w:left="360"/>
        <w:outlineLvl w:val="1"/>
      </w:pPr>
      <w:r w:rsidRPr="009D5C68">
        <w:t>EESK anser att den nuvarande ramen för internationell världshavsförvaltning inte är i stånd att säkerställa en hållbar förvaltning av världshaven och deras resurser och att det krävs brådskande åtgärder. Kommissionen och den höga representanten måste dock göra en prioritering av de hot som våra världshav konfronteras med, en prioritering som korrekt återspeglar det akuta behovet av åtgärder.</w:t>
      </w:r>
    </w:p>
    <w:p w:rsidR="00C1115F" w:rsidRPr="009D5C68" w:rsidRDefault="00C1115F" w:rsidP="00A3275A">
      <w:pPr>
        <w:spacing w:line="276" w:lineRule="auto"/>
        <w:rPr>
          <w:sz w:val="16"/>
          <w:szCs w:val="16"/>
        </w:rPr>
      </w:pPr>
    </w:p>
    <w:p w:rsidR="00C1115F" w:rsidRPr="009D5C68" w:rsidRDefault="00C1115F" w:rsidP="00A3275A">
      <w:pPr>
        <w:numPr>
          <w:ilvl w:val="0"/>
          <w:numId w:val="33"/>
        </w:numPr>
        <w:spacing w:line="276" w:lineRule="auto"/>
        <w:ind w:left="360"/>
        <w:outlineLvl w:val="1"/>
      </w:pPr>
      <w:r w:rsidRPr="009D5C68">
        <w:t>En av orsakerna till den ineffektiva internationella världshavsförvaltn</w:t>
      </w:r>
      <w:r w:rsidR="00F114BF" w:rsidRPr="009D5C68">
        <w:t>ingen är att det finns luckor i </w:t>
      </w:r>
      <w:r w:rsidRPr="009D5C68">
        <w:t>den nuvarande ramen för internationell världshavsförvaltning. EESK rekommenderar att kommissionen och den höga representanten inte bara tar itu med dessa luckor och inkonsekvenser utan också ökar efterlevnaden av befintliga regler, till exempel genom att förbättra genomförandet av ramdirektivet om en marin strategi. EU bör avstå från att föreslå ny lagstiftning om ett bättre eller mer samordnat genomförande av befintliga regler och föreskrifter är mer effektivt.</w:t>
      </w:r>
    </w:p>
    <w:p w:rsidR="00C1115F" w:rsidRPr="009D5C68" w:rsidRDefault="00C1115F" w:rsidP="00A3275A">
      <w:pPr>
        <w:rPr>
          <w:sz w:val="16"/>
          <w:szCs w:val="16"/>
        </w:rPr>
      </w:pPr>
    </w:p>
    <w:p w:rsidR="00C1115F" w:rsidRPr="009D5C68" w:rsidRDefault="00C1115F" w:rsidP="00A3275A">
      <w:pPr>
        <w:numPr>
          <w:ilvl w:val="0"/>
          <w:numId w:val="33"/>
        </w:numPr>
        <w:spacing w:line="276" w:lineRule="auto"/>
        <w:ind w:left="360"/>
        <w:outlineLvl w:val="1"/>
      </w:pPr>
      <w:r w:rsidRPr="009D5C68">
        <w:t>EU kan spela en viktig roll när det handlar om att förbättra förvaltningen av våra världshav, särskilt genom att stödja vetenskaplig forskning om världens hav. Uppgifter som finns tillgängliga i dag måste utnyttjas på ett bra och effektivt sätt. EESK riktar därför en kraftig uppmaning till EU att utveckla nätet för marin observation och datainsamling till ett världsomspännande nätverk för uppgifter om den marina miljön. EU skulle kunna bli ett centrum för samordningen av sådan forskning.</w:t>
      </w:r>
    </w:p>
    <w:p w:rsidR="00C1115F" w:rsidRPr="009D5C68" w:rsidRDefault="00C1115F" w:rsidP="00A3275A">
      <w:pPr>
        <w:rPr>
          <w:sz w:val="16"/>
          <w:szCs w:val="16"/>
        </w:rPr>
      </w:pPr>
    </w:p>
    <w:p w:rsidR="00C1115F" w:rsidRPr="009D5C68" w:rsidRDefault="00C1115F" w:rsidP="00A3275A">
      <w:pPr>
        <w:numPr>
          <w:ilvl w:val="0"/>
          <w:numId w:val="33"/>
        </w:numPr>
        <w:spacing w:line="276" w:lineRule="auto"/>
        <w:ind w:left="360"/>
        <w:outlineLvl w:val="1"/>
      </w:pPr>
      <w:r w:rsidRPr="009D5C68">
        <w:t>Dessutom riktar EESK en kraftig uppmaning till EU att tillsammans med partnerländer arbeta för att minska säkerhetsriskerna och hoten mot sjöfartsskyddet, såsom piratdåd, människohandel och olaglig handel med vapen och narkotika, och samtidigt dra nytta av den nya Europeiska gräns- och kustbevakningsbyrån, Europeiska sjösäkerhetsbyrån (Emsa) och Europeiska fiskerikontrollbyrån (EFCA).</w:t>
      </w:r>
    </w:p>
    <w:p w:rsidR="00C1115F" w:rsidRPr="009D5C68" w:rsidRDefault="00C1115F" w:rsidP="00A3275A">
      <w:pPr>
        <w:numPr>
          <w:ilvl w:val="0"/>
          <w:numId w:val="33"/>
        </w:numPr>
        <w:spacing w:line="276" w:lineRule="auto"/>
        <w:ind w:left="360"/>
        <w:outlineLvl w:val="1"/>
        <w:rPr>
          <w:kern w:val="28"/>
        </w:rPr>
      </w:pPr>
      <w:r w:rsidRPr="009D5C68">
        <w:t>EESK framför en kraftig uppmaning om att inrätta ett europeiskt flerpartsforum för berörda parter, särskilt inriktat på frågor om världens hav och oceaner, framför allt med tanke på att förvaltningen av världshaven är en övergripande fråga med ett antal berörda parter.</w:t>
      </w:r>
    </w:p>
    <w:p w:rsidR="00C1115F" w:rsidRPr="009D5C68" w:rsidRDefault="00C1115F" w:rsidP="00A3275A"/>
    <w:p w:rsidR="00C1115F" w:rsidRPr="009D5C68" w:rsidRDefault="00C1115F" w:rsidP="00A3275A">
      <w:pPr>
        <w:numPr>
          <w:ilvl w:val="0"/>
          <w:numId w:val="33"/>
        </w:numPr>
        <w:spacing w:line="276" w:lineRule="auto"/>
        <w:ind w:left="360"/>
        <w:outlineLvl w:val="1"/>
      </w:pPr>
      <w:r w:rsidRPr="009D5C68">
        <w:t>EESK anser att man inom världshavsförvaltningen bör finna en balans mellan socioekonomisk utveckling och bevarande av havsmiljön. Den teknik som används för att utvinna resurser ur havsbottnen måste brukas med aktsamhet och försiktighet.</w:t>
      </w:r>
    </w:p>
    <w:p w:rsidR="003A4AB8" w:rsidRPr="009D5C68" w:rsidRDefault="003A4AB8" w:rsidP="00A3275A"/>
    <w:p w:rsidR="00C1115F" w:rsidRPr="009D5C68" w:rsidRDefault="00C1115F" w:rsidP="00A3275A">
      <w:pPr>
        <w:numPr>
          <w:ilvl w:val="0"/>
          <w:numId w:val="33"/>
        </w:numPr>
        <w:spacing w:line="276" w:lineRule="auto"/>
        <w:ind w:left="360"/>
        <w:outlineLvl w:val="1"/>
      </w:pPr>
      <w:r w:rsidRPr="009D5C68">
        <w:t>Sist men inte minst konstaterar EESK att det gemensamma meddelandet handlar om förvaltningen av både oceaner och hav och föreslår därför att titeln på det gemensamma meddelandet ändras till "en agenda för oceanernas och havens framtid".</w:t>
      </w:r>
    </w:p>
    <w:p w:rsidR="00C1115F" w:rsidRPr="009D5C68" w:rsidRDefault="00C1115F" w:rsidP="00A3275A">
      <w:pPr>
        <w:widowControl w:val="0"/>
        <w:spacing w:line="276" w:lineRule="auto"/>
      </w:pPr>
    </w:p>
    <w:p w:rsidR="00C1115F" w:rsidRPr="009D5C68" w:rsidRDefault="00C1115F" w:rsidP="00A3275A">
      <w:pPr>
        <w:spacing w:line="276" w:lineRule="auto"/>
        <w:rPr>
          <w:i/>
        </w:rPr>
      </w:pPr>
      <w:r w:rsidRPr="009D5C68">
        <w:rPr>
          <w:b/>
          <w:i/>
        </w:rPr>
        <w:t>Kontaktperson:</w:t>
      </w:r>
      <w:r w:rsidRPr="009D5C68">
        <w:tab/>
      </w:r>
      <w:r w:rsidRPr="009D5C68">
        <w:rPr>
          <w:i/>
        </w:rPr>
        <w:t>Laura Ernšteina</w:t>
      </w:r>
    </w:p>
    <w:p w:rsidR="00C1115F" w:rsidRPr="009D5C68" w:rsidRDefault="00C1115F" w:rsidP="00A3275A">
      <w:pPr>
        <w:spacing w:line="276" w:lineRule="auto"/>
        <w:ind w:left="1134"/>
        <w:rPr>
          <w:i/>
          <w:iCs/>
        </w:rPr>
      </w:pPr>
      <w:r w:rsidRPr="009D5C68">
        <w:rPr>
          <w:i/>
        </w:rPr>
        <w:t xml:space="preserve">(Tfn +32 2 546 91 94 – e-post: </w:t>
      </w:r>
      <w:hyperlink r:id="rId32">
        <w:r w:rsidRPr="009D5C68">
          <w:rPr>
            <w:i/>
            <w:color w:val="0000FF"/>
            <w:u w:val="single"/>
          </w:rPr>
          <w:t>laura.ernsteina@eesc.europa.eu</w:t>
        </w:r>
      </w:hyperlink>
      <w:r w:rsidRPr="009D5C68">
        <w:rPr>
          <w:i/>
        </w:rPr>
        <w:t>)</w:t>
      </w:r>
    </w:p>
    <w:p w:rsidR="00BC5473" w:rsidRPr="009D5C68" w:rsidRDefault="00BC5473" w:rsidP="00A3275A">
      <w:pPr>
        <w:spacing w:line="276" w:lineRule="auto"/>
        <w:rPr>
          <w:b/>
          <w:highlight w:val="green"/>
        </w:rPr>
      </w:pPr>
    </w:p>
    <w:p w:rsidR="00C1115F" w:rsidRPr="009D5C68" w:rsidRDefault="00C1115F" w:rsidP="00A3275A">
      <w:pPr>
        <w:keepNext/>
        <w:widowControl w:val="0"/>
        <w:numPr>
          <w:ilvl w:val="0"/>
          <w:numId w:val="3"/>
        </w:numPr>
        <w:overflowPunct w:val="0"/>
        <w:autoSpaceDE w:val="0"/>
        <w:autoSpaceDN w:val="0"/>
        <w:adjustRightInd w:val="0"/>
        <w:spacing w:line="276" w:lineRule="auto"/>
        <w:ind w:left="567" w:hanging="283"/>
        <w:textAlignment w:val="baseline"/>
        <w:rPr>
          <w:b/>
          <w:i/>
          <w:spacing w:val="-2"/>
          <w:sz w:val="28"/>
          <w:szCs w:val="28"/>
        </w:rPr>
      </w:pPr>
      <w:r w:rsidRPr="009D5C68">
        <w:rPr>
          <w:b/>
          <w:i/>
          <w:spacing w:val="-2"/>
          <w:sz w:val="28"/>
        </w:rPr>
        <w:t>Handelspolitiska skyddsinstrument – metoder</w:t>
      </w:r>
    </w:p>
    <w:p w:rsidR="00C1115F" w:rsidRPr="009D5C68" w:rsidRDefault="00C1115F" w:rsidP="00A3275A">
      <w:pPr>
        <w:keepNext/>
        <w:widowControl w:val="0"/>
        <w:autoSpaceDE w:val="0"/>
        <w:autoSpaceDN w:val="0"/>
        <w:adjustRightInd w:val="0"/>
        <w:spacing w:line="276" w:lineRule="auto"/>
        <w:rPr>
          <w:szCs w:val="20"/>
        </w:rPr>
      </w:pPr>
    </w:p>
    <w:p w:rsidR="00C1115F" w:rsidRPr="009D5C68" w:rsidRDefault="00C1115F" w:rsidP="00A3275A">
      <w:pPr>
        <w:keepNext/>
        <w:autoSpaceDE w:val="0"/>
        <w:autoSpaceDN w:val="0"/>
        <w:adjustRightInd w:val="0"/>
        <w:spacing w:line="276" w:lineRule="auto"/>
        <w:rPr>
          <w:b/>
          <w:szCs w:val="20"/>
        </w:rPr>
      </w:pPr>
      <w:r w:rsidRPr="009D5C68">
        <w:rPr>
          <w:b/>
        </w:rPr>
        <w:t>Föredragande:</w:t>
      </w:r>
      <w:r w:rsidRPr="009D5C68">
        <w:tab/>
        <w:t>Christian Bäumler (Arbetstagargruppen – DE)</w:t>
      </w:r>
    </w:p>
    <w:p w:rsidR="00C1115F" w:rsidRPr="009D5C68" w:rsidRDefault="00C1115F" w:rsidP="00A3275A">
      <w:pPr>
        <w:keepNext/>
        <w:autoSpaceDE w:val="0"/>
        <w:autoSpaceDN w:val="0"/>
        <w:adjustRightInd w:val="0"/>
        <w:spacing w:line="276" w:lineRule="auto"/>
        <w:rPr>
          <w:szCs w:val="20"/>
        </w:rPr>
      </w:pPr>
      <w:r w:rsidRPr="009D5C68">
        <w:rPr>
          <w:b/>
        </w:rPr>
        <w:t>Medföredragande:</w:t>
      </w:r>
      <w:r w:rsidRPr="009D5C68">
        <w:tab/>
        <w:t>Andrés Barceló Delgado (Arbetsgivargruppen – ES)</w:t>
      </w:r>
    </w:p>
    <w:p w:rsidR="00C1115F" w:rsidRPr="009D5C68" w:rsidRDefault="00C1115F" w:rsidP="00A3275A">
      <w:pPr>
        <w:keepNext/>
        <w:overflowPunct w:val="0"/>
        <w:autoSpaceDE w:val="0"/>
        <w:autoSpaceDN w:val="0"/>
        <w:adjustRightInd w:val="0"/>
        <w:spacing w:line="276" w:lineRule="auto"/>
        <w:textAlignment w:val="baseline"/>
        <w:rPr>
          <w:b/>
        </w:rPr>
      </w:pPr>
    </w:p>
    <w:p w:rsidR="00C1115F" w:rsidRPr="009D5C68" w:rsidRDefault="00C1115F" w:rsidP="00A3275A">
      <w:pPr>
        <w:keepNext/>
        <w:overflowPunct w:val="0"/>
        <w:autoSpaceDE w:val="0"/>
        <w:autoSpaceDN w:val="0"/>
        <w:adjustRightInd w:val="0"/>
        <w:spacing w:line="276" w:lineRule="auto"/>
        <w:textAlignment w:val="baseline"/>
        <w:rPr>
          <w:b/>
        </w:rPr>
      </w:pPr>
      <w:r w:rsidRPr="009D5C68">
        <w:rPr>
          <w:b/>
        </w:rPr>
        <w:t>Huvudpunkter:</w:t>
      </w:r>
    </w:p>
    <w:p w:rsidR="00C1115F" w:rsidRPr="009D5C68" w:rsidRDefault="00C1115F" w:rsidP="00A3275A">
      <w:pPr>
        <w:keepNext/>
        <w:overflowPunct w:val="0"/>
        <w:autoSpaceDE w:val="0"/>
        <w:autoSpaceDN w:val="0"/>
        <w:adjustRightInd w:val="0"/>
        <w:spacing w:line="276" w:lineRule="auto"/>
        <w:textAlignment w:val="baseline"/>
        <w:rPr>
          <w:szCs w:val="20"/>
        </w:rPr>
      </w:pPr>
    </w:p>
    <w:p w:rsidR="00C1115F" w:rsidRPr="009D5C68" w:rsidRDefault="00C1115F" w:rsidP="00A3275A">
      <w:pPr>
        <w:overflowPunct w:val="0"/>
        <w:autoSpaceDE w:val="0"/>
        <w:autoSpaceDN w:val="0"/>
        <w:adjustRightInd w:val="0"/>
        <w:spacing w:line="276" w:lineRule="auto"/>
        <w:textAlignment w:val="baseline"/>
        <w:rPr>
          <w:szCs w:val="20"/>
        </w:rPr>
      </w:pPr>
      <w:r w:rsidRPr="009D5C68">
        <w:t>Kommittén är en stark förespråkare av öppen och rättvis handel och erkänner dess värde som drivkraft för tillväxt och sysselsättning.</w:t>
      </w:r>
    </w:p>
    <w:p w:rsidR="00C1115F" w:rsidRPr="009D5C68" w:rsidRDefault="00C1115F" w:rsidP="00A3275A">
      <w:pPr>
        <w:overflowPunct w:val="0"/>
        <w:autoSpaceDE w:val="0"/>
        <w:autoSpaceDN w:val="0"/>
        <w:adjustRightInd w:val="0"/>
        <w:spacing w:line="276" w:lineRule="auto"/>
        <w:textAlignment w:val="baseline"/>
        <w:rPr>
          <w:szCs w:val="20"/>
        </w:rPr>
      </w:pPr>
      <w:r w:rsidRPr="009D5C68">
        <w:t>EESK efterlyser därför lika konkurrensvillkor för exporterande tillverkare i Europa och tredjeländer och ändamålsenliga handelspolitiska skyddsinstrument.</w:t>
      </w:r>
    </w:p>
    <w:p w:rsidR="00C1115F" w:rsidRPr="009D5C68" w:rsidRDefault="00C1115F" w:rsidP="00A3275A">
      <w:pPr>
        <w:overflowPunct w:val="0"/>
        <w:autoSpaceDE w:val="0"/>
        <w:autoSpaceDN w:val="0"/>
        <w:adjustRightInd w:val="0"/>
        <w:spacing w:line="276" w:lineRule="auto"/>
        <w:textAlignment w:val="baseline"/>
        <w:rPr>
          <w:szCs w:val="20"/>
        </w:rPr>
      </w:pPr>
    </w:p>
    <w:p w:rsidR="00C1115F" w:rsidRPr="009D5C68" w:rsidRDefault="00C1115F" w:rsidP="00A3275A">
      <w:pPr>
        <w:overflowPunct w:val="0"/>
        <w:autoSpaceDE w:val="0"/>
        <w:autoSpaceDN w:val="0"/>
        <w:adjustRightInd w:val="0"/>
        <w:spacing w:line="276" w:lineRule="auto"/>
        <w:textAlignment w:val="baseline"/>
        <w:rPr>
          <w:spacing w:val="-4"/>
          <w:szCs w:val="20"/>
        </w:rPr>
      </w:pPr>
      <w:r w:rsidRPr="009D5C68">
        <w:rPr>
          <w:spacing w:val="-4"/>
        </w:rPr>
        <w:t>Kommissionens förslag är som strategi överlag en god avvägning mellan frågan om Kinas status som marknadsekonomi, å ena sidan, och målet att ha en ändamålsenlig metod för att beräkna dumpning, å andra sidan.</w:t>
      </w:r>
    </w:p>
    <w:p w:rsidR="003A4AB8" w:rsidRPr="009D5C68" w:rsidRDefault="003A4AB8" w:rsidP="00A3275A">
      <w:pPr>
        <w:overflowPunct w:val="0"/>
        <w:autoSpaceDE w:val="0"/>
        <w:autoSpaceDN w:val="0"/>
        <w:adjustRightInd w:val="0"/>
        <w:spacing w:line="276" w:lineRule="auto"/>
        <w:textAlignment w:val="baseline"/>
        <w:rPr>
          <w:szCs w:val="20"/>
        </w:rPr>
      </w:pPr>
    </w:p>
    <w:p w:rsidR="00C1115F" w:rsidRPr="009D5C68" w:rsidRDefault="00C1115F" w:rsidP="00A3275A">
      <w:pPr>
        <w:overflowPunct w:val="0"/>
        <w:autoSpaceDE w:val="0"/>
        <w:autoSpaceDN w:val="0"/>
        <w:adjustRightInd w:val="0"/>
        <w:spacing w:line="276" w:lineRule="auto"/>
        <w:textAlignment w:val="baseline"/>
        <w:rPr>
          <w:szCs w:val="20"/>
        </w:rPr>
      </w:pPr>
      <w:r w:rsidRPr="009D5C68">
        <w:t>EESK stöder kommissionens förslag om att dumpningsmarginalen inte bör beräknas med hjälp av standardmetoden utan på grundval av referensvärden där hänsyn tas till betydligt snedvridna produktions- och försäljningskostnader. Kommittén påpekar att den redan i sitt yttrande om att bevara hållbar sysselsättning och tillväxt inom stålindustrin från 2016 förklarade att man inte bör använda standardmetoden vid antidumpnings- och antisubventionsundersökningar av kinesisk import så länge landet inte uppfyller EU:s fem kriterier för status som marknadsekonomi.</w:t>
      </w:r>
    </w:p>
    <w:p w:rsidR="00C1115F" w:rsidRPr="009D5C68" w:rsidRDefault="00C1115F" w:rsidP="00A3275A">
      <w:pPr>
        <w:overflowPunct w:val="0"/>
        <w:autoSpaceDE w:val="0"/>
        <w:autoSpaceDN w:val="0"/>
        <w:adjustRightInd w:val="0"/>
        <w:spacing w:line="276" w:lineRule="auto"/>
        <w:textAlignment w:val="baseline"/>
        <w:rPr>
          <w:szCs w:val="20"/>
        </w:rPr>
      </w:pPr>
    </w:p>
    <w:p w:rsidR="00C1115F" w:rsidRPr="009D5C68" w:rsidRDefault="00C1115F" w:rsidP="00A3275A">
      <w:pPr>
        <w:overflowPunct w:val="0"/>
        <w:autoSpaceDE w:val="0"/>
        <w:autoSpaceDN w:val="0"/>
        <w:adjustRightInd w:val="0"/>
        <w:spacing w:line="276" w:lineRule="auto"/>
        <w:textAlignment w:val="baseline"/>
        <w:rPr>
          <w:szCs w:val="20"/>
        </w:rPr>
      </w:pPr>
      <w:r w:rsidRPr="009D5C68">
        <w:t>EESK välkomnar kommissionens planer på att använda specifika kriterier för att avgöra om det förekommer betydande snedvridningar på marknaden. Kommittén noterar att man också bör ta hänsyn till respekten av ILO:s normer och multilaterala miljöavtal.</w:t>
      </w:r>
    </w:p>
    <w:p w:rsidR="00C1115F" w:rsidRPr="009D5C68" w:rsidRDefault="00C1115F" w:rsidP="00A3275A">
      <w:pPr>
        <w:overflowPunct w:val="0"/>
        <w:autoSpaceDE w:val="0"/>
        <w:autoSpaceDN w:val="0"/>
        <w:adjustRightInd w:val="0"/>
        <w:spacing w:line="276" w:lineRule="auto"/>
        <w:textAlignment w:val="baseline"/>
        <w:rPr>
          <w:szCs w:val="20"/>
        </w:rPr>
      </w:pPr>
    </w:p>
    <w:p w:rsidR="00C1115F" w:rsidRPr="009D5C68" w:rsidRDefault="00C1115F" w:rsidP="00A3275A">
      <w:pPr>
        <w:overflowPunct w:val="0"/>
        <w:autoSpaceDE w:val="0"/>
        <w:autoSpaceDN w:val="0"/>
        <w:adjustRightInd w:val="0"/>
        <w:spacing w:line="276" w:lineRule="auto"/>
        <w:textAlignment w:val="baseline"/>
        <w:rPr>
          <w:szCs w:val="20"/>
        </w:rPr>
      </w:pPr>
      <w:r w:rsidRPr="009D5C68">
        <w:t>EESK uppmanar Europaparlamentet och rådet att tydligt ange att kommissionen kommer att utarbeta särskilda länderrapporter för alla länder med betydande snedvridningar på marknaden.</w:t>
      </w:r>
    </w:p>
    <w:p w:rsidR="00C1115F" w:rsidRPr="009D5C68" w:rsidRDefault="00C1115F" w:rsidP="00A3275A">
      <w:pPr>
        <w:overflowPunct w:val="0"/>
        <w:autoSpaceDE w:val="0"/>
        <w:autoSpaceDN w:val="0"/>
        <w:adjustRightInd w:val="0"/>
        <w:spacing w:line="276" w:lineRule="auto"/>
        <w:textAlignment w:val="baseline"/>
        <w:rPr>
          <w:szCs w:val="20"/>
        </w:rPr>
      </w:pPr>
    </w:p>
    <w:p w:rsidR="00C1115F" w:rsidRPr="009D5C68" w:rsidRDefault="00C1115F" w:rsidP="00F114BF">
      <w:pPr>
        <w:keepNext/>
        <w:keepLines/>
        <w:overflowPunct w:val="0"/>
        <w:autoSpaceDE w:val="0"/>
        <w:autoSpaceDN w:val="0"/>
        <w:adjustRightInd w:val="0"/>
        <w:spacing w:line="276" w:lineRule="auto"/>
        <w:textAlignment w:val="baseline"/>
        <w:rPr>
          <w:spacing w:val="-4"/>
          <w:szCs w:val="20"/>
        </w:rPr>
      </w:pPr>
      <w:r w:rsidRPr="009D5C68">
        <w:rPr>
          <w:spacing w:val="-4"/>
        </w:rPr>
        <w:t>Det finns dock fortfarande utrymme för förbättringar i kommissionens förslag om att ändra den grundläggande antidumpningsförordningen när det gäller antidumpningsundersökningarnas ändamålsenlighet och praktiska genomförbarhet (rättslig ställning, genomförbarhet och föreslagna rapporters relevans), särskilt i fråga om bevisbördan, som inte bör överföras till den europeiska industrin.</w:t>
      </w:r>
    </w:p>
    <w:p w:rsidR="00C1115F" w:rsidRPr="009D5C68" w:rsidRDefault="00C1115F" w:rsidP="00A3275A">
      <w:pPr>
        <w:overflowPunct w:val="0"/>
        <w:autoSpaceDE w:val="0"/>
        <w:autoSpaceDN w:val="0"/>
        <w:adjustRightInd w:val="0"/>
        <w:spacing w:line="276" w:lineRule="auto"/>
        <w:textAlignment w:val="baseline"/>
        <w:rPr>
          <w:szCs w:val="20"/>
        </w:rPr>
      </w:pPr>
    </w:p>
    <w:p w:rsidR="00C1115F" w:rsidRPr="009D5C68" w:rsidRDefault="00C1115F" w:rsidP="00A3275A">
      <w:pPr>
        <w:overflowPunct w:val="0"/>
        <w:autoSpaceDE w:val="0"/>
        <w:autoSpaceDN w:val="0"/>
        <w:adjustRightInd w:val="0"/>
        <w:spacing w:line="276" w:lineRule="auto"/>
        <w:textAlignment w:val="baseline"/>
        <w:rPr>
          <w:spacing w:val="-2"/>
          <w:szCs w:val="20"/>
        </w:rPr>
      </w:pPr>
      <w:r w:rsidRPr="009D5C68">
        <w:rPr>
          <w:spacing w:val="-2"/>
        </w:rPr>
        <w:t>EESK betonar dessutom att förfarandet för klagomål om dumpning också måste stå öppet för små och medelstora företag. Kommittén konstaterar också att effektiviteten i förfarandena för de handelspolitiska skyddsinstrumenten också hänger samman med 2013 års förslag om att modernisera de handelspolitiska skyddsinstrumenten, inklusive regeln om lägsta tull. Det är av avgörande betydelse att paketet om en modernisering av de handelspolitiska skyddsinstrumenten också slutförs och antas under de kommande månaderna, så att man skapar ett robust och ändamålsenligt system med handelspolitiska skyddsinstrument och säkrar sysselsättning och tillväxt i EU.</w:t>
      </w:r>
    </w:p>
    <w:p w:rsidR="00C1115F" w:rsidRPr="009D5C68" w:rsidRDefault="00C1115F" w:rsidP="00A3275A">
      <w:pPr>
        <w:widowControl w:val="0"/>
        <w:autoSpaceDE w:val="0"/>
        <w:autoSpaceDN w:val="0"/>
        <w:adjustRightInd w:val="0"/>
        <w:spacing w:line="276" w:lineRule="auto"/>
        <w:rPr>
          <w:szCs w:val="20"/>
        </w:rPr>
      </w:pPr>
    </w:p>
    <w:p w:rsidR="00C1115F" w:rsidRPr="009D5C68" w:rsidRDefault="00C1115F" w:rsidP="00A3275A">
      <w:pPr>
        <w:overflowPunct w:val="0"/>
        <w:autoSpaceDE w:val="0"/>
        <w:autoSpaceDN w:val="0"/>
        <w:adjustRightInd w:val="0"/>
        <w:spacing w:line="276" w:lineRule="auto"/>
        <w:textAlignment w:val="baseline"/>
        <w:rPr>
          <w:i/>
          <w:szCs w:val="20"/>
        </w:rPr>
      </w:pPr>
      <w:r w:rsidRPr="009D5C68">
        <w:rPr>
          <w:b/>
          <w:i/>
        </w:rPr>
        <w:t>Kontaktperson:</w:t>
      </w:r>
      <w:r w:rsidRPr="009D5C68">
        <w:tab/>
      </w:r>
      <w:r w:rsidRPr="009D5C68">
        <w:rPr>
          <w:i/>
        </w:rPr>
        <w:t>Tzonka Iotzova</w:t>
      </w:r>
    </w:p>
    <w:p w:rsidR="00C1115F" w:rsidRPr="009D5C68" w:rsidRDefault="00C1115F" w:rsidP="00A3275A">
      <w:pPr>
        <w:overflowPunct w:val="0"/>
        <w:autoSpaceDE w:val="0"/>
        <w:autoSpaceDN w:val="0"/>
        <w:adjustRightInd w:val="0"/>
        <w:spacing w:line="276" w:lineRule="auto"/>
        <w:ind w:left="1134"/>
        <w:textAlignment w:val="baseline"/>
        <w:rPr>
          <w:iCs/>
        </w:rPr>
      </w:pPr>
      <w:r w:rsidRPr="009D5C68">
        <w:rPr>
          <w:i/>
        </w:rPr>
        <w:t xml:space="preserve">(Tfn +32 2 546 89 78 – e-post: </w:t>
      </w:r>
      <w:hyperlink r:id="rId33">
        <w:r w:rsidRPr="009D5C68">
          <w:rPr>
            <w:i/>
            <w:color w:val="0000FF"/>
            <w:u w:val="single"/>
          </w:rPr>
          <w:t>Tzonka.Iotzova@eesc.europa.eu</w:t>
        </w:r>
      </w:hyperlink>
      <w:r w:rsidRPr="009D5C68">
        <w:rPr>
          <w:i/>
        </w:rPr>
        <w:t>)</w:t>
      </w:r>
    </w:p>
    <w:p w:rsidR="00ED4925" w:rsidRPr="009D5C68" w:rsidRDefault="00ED4925" w:rsidP="00A3275A">
      <w:pPr>
        <w:overflowPunct w:val="0"/>
        <w:autoSpaceDE w:val="0"/>
        <w:autoSpaceDN w:val="0"/>
        <w:adjustRightInd w:val="0"/>
        <w:spacing w:line="276" w:lineRule="auto"/>
        <w:textAlignment w:val="baseline"/>
        <w:rPr>
          <w:iCs/>
        </w:rPr>
      </w:pPr>
    </w:p>
    <w:p w:rsidR="00EB44EE" w:rsidRPr="009D5C68" w:rsidRDefault="00EB44EE" w:rsidP="004C07BF">
      <w:pPr>
        <w:spacing w:line="240" w:lineRule="auto"/>
        <w:rPr>
          <w:b/>
          <w:highlight w:val="green"/>
        </w:rPr>
      </w:pPr>
    </w:p>
    <w:p w:rsidR="00BC5473" w:rsidRPr="009D5C68" w:rsidRDefault="00BC5473" w:rsidP="00A3275A">
      <w:pPr>
        <w:spacing w:line="276" w:lineRule="auto"/>
        <w:rPr>
          <w:b/>
          <w:highlight w:val="green"/>
        </w:rPr>
      </w:pPr>
    </w:p>
    <w:p w:rsidR="00E6566F" w:rsidRPr="009D5C68" w:rsidRDefault="00E6566F" w:rsidP="00A3275A">
      <w:pPr>
        <w:pStyle w:val="Heading1"/>
        <w:spacing w:line="276" w:lineRule="auto"/>
        <w:rPr>
          <w:b/>
          <w:iCs/>
        </w:rPr>
      </w:pPr>
      <w:bookmarkStart w:id="14" w:name="_Toc477938715"/>
      <w:bookmarkStart w:id="15" w:name="_Toc480448243"/>
      <w:r w:rsidRPr="009D5C68">
        <w:rPr>
          <w:b/>
        </w:rPr>
        <w:t>TRANSPORTER</w:t>
      </w:r>
      <w:bookmarkEnd w:id="14"/>
      <w:bookmarkEnd w:id="15"/>
    </w:p>
    <w:p w:rsidR="00505DD7" w:rsidRPr="009D5C68" w:rsidRDefault="00505DD7" w:rsidP="00E84F95">
      <w:pPr>
        <w:widowControl w:val="0"/>
        <w:overflowPunct w:val="0"/>
        <w:autoSpaceDE w:val="0"/>
        <w:autoSpaceDN w:val="0"/>
        <w:adjustRightInd w:val="0"/>
        <w:spacing w:line="276" w:lineRule="auto"/>
        <w:ind w:left="-567"/>
        <w:textAlignment w:val="baseline"/>
        <w:rPr>
          <w:szCs w:val="20"/>
        </w:rPr>
      </w:pPr>
    </w:p>
    <w:p w:rsidR="006D7E2A" w:rsidRPr="009D5C68" w:rsidRDefault="006D7E2A" w:rsidP="00A3275A">
      <w:pPr>
        <w:widowControl w:val="0"/>
        <w:numPr>
          <w:ilvl w:val="0"/>
          <w:numId w:val="3"/>
        </w:numPr>
        <w:overflowPunct w:val="0"/>
        <w:autoSpaceDE w:val="0"/>
        <w:autoSpaceDN w:val="0"/>
        <w:adjustRightInd w:val="0"/>
        <w:spacing w:line="276" w:lineRule="auto"/>
        <w:ind w:left="567" w:hanging="283"/>
        <w:textAlignment w:val="baseline"/>
        <w:rPr>
          <w:bCs/>
          <w:i/>
          <w:sz w:val="28"/>
          <w:szCs w:val="28"/>
        </w:rPr>
      </w:pPr>
      <w:r w:rsidRPr="009D5C68">
        <w:rPr>
          <w:b/>
          <w:i/>
          <w:sz w:val="28"/>
        </w:rPr>
        <w:t>Upphävande av förordningarna inom transportsektorn</w:t>
      </w:r>
    </w:p>
    <w:p w:rsidR="006D7E2A" w:rsidRPr="009D5C68" w:rsidRDefault="006D7E2A" w:rsidP="00A3275A">
      <w:pPr>
        <w:widowControl w:val="0"/>
        <w:overflowPunct w:val="0"/>
        <w:autoSpaceDE w:val="0"/>
        <w:autoSpaceDN w:val="0"/>
        <w:adjustRightInd w:val="0"/>
        <w:spacing w:line="276" w:lineRule="auto"/>
        <w:textAlignment w:val="baseline"/>
        <w:rPr>
          <w:bCs/>
          <w:szCs w:val="20"/>
          <w:highlight w:val="green"/>
        </w:rPr>
      </w:pPr>
    </w:p>
    <w:p w:rsidR="006D7E2A" w:rsidRPr="009D5C68" w:rsidRDefault="006D7E2A" w:rsidP="00A3275A">
      <w:pPr>
        <w:overflowPunct w:val="0"/>
        <w:autoSpaceDE w:val="0"/>
        <w:autoSpaceDN w:val="0"/>
        <w:adjustRightInd w:val="0"/>
        <w:spacing w:line="276" w:lineRule="auto"/>
        <w:textAlignment w:val="baseline"/>
      </w:pPr>
      <w:r w:rsidRPr="009D5C68">
        <w:rPr>
          <w:b/>
        </w:rPr>
        <w:t>Föredragande:</w:t>
      </w:r>
      <w:r w:rsidRPr="009D5C68">
        <w:tab/>
        <w:t>Jan Simons (Arbetsgivargruppen – NL)</w:t>
      </w:r>
    </w:p>
    <w:p w:rsidR="004079A9" w:rsidRPr="009D5C68" w:rsidRDefault="006D7E2A" w:rsidP="00A3275A">
      <w:pPr>
        <w:tabs>
          <w:tab w:val="num" w:pos="550"/>
          <w:tab w:val="left" w:pos="1701"/>
        </w:tabs>
        <w:overflowPunct w:val="0"/>
        <w:autoSpaceDE w:val="0"/>
        <w:autoSpaceDN w:val="0"/>
        <w:adjustRightInd w:val="0"/>
        <w:spacing w:line="276" w:lineRule="auto"/>
        <w:textAlignment w:val="baseline"/>
        <w:rPr>
          <w:szCs w:val="20"/>
        </w:rPr>
      </w:pPr>
      <w:r w:rsidRPr="009D5C68">
        <w:rPr>
          <w:b/>
        </w:rPr>
        <w:t>Referens:</w:t>
      </w:r>
      <w:r w:rsidRPr="009D5C68">
        <w:tab/>
        <w:t>COM(2016) 745 final – 2016/0368 (COD)</w:t>
      </w:r>
    </w:p>
    <w:p w:rsidR="006D7E2A" w:rsidRPr="009D5C68" w:rsidRDefault="006D7E2A" w:rsidP="00A3275A">
      <w:pPr>
        <w:tabs>
          <w:tab w:val="num" w:pos="550"/>
        </w:tabs>
        <w:overflowPunct w:val="0"/>
        <w:autoSpaceDE w:val="0"/>
        <w:autoSpaceDN w:val="0"/>
        <w:adjustRightInd w:val="0"/>
        <w:spacing w:line="276" w:lineRule="auto"/>
        <w:ind w:left="1701"/>
        <w:textAlignment w:val="baseline"/>
        <w:rPr>
          <w:szCs w:val="20"/>
          <w:highlight w:val="green"/>
        </w:rPr>
      </w:pPr>
      <w:r w:rsidRPr="009D5C68">
        <w:t>EESC-2017-00448-00-00-AS-TRA</w:t>
      </w:r>
    </w:p>
    <w:p w:rsidR="006D7E2A" w:rsidRPr="009D5C68" w:rsidRDefault="006D7E2A" w:rsidP="00A3275A">
      <w:pPr>
        <w:overflowPunct w:val="0"/>
        <w:autoSpaceDE w:val="0"/>
        <w:autoSpaceDN w:val="0"/>
        <w:adjustRightInd w:val="0"/>
        <w:spacing w:line="276" w:lineRule="auto"/>
        <w:textAlignment w:val="baseline"/>
        <w:rPr>
          <w:b/>
          <w:highlight w:val="green"/>
        </w:rPr>
      </w:pPr>
    </w:p>
    <w:p w:rsidR="006D7E2A" w:rsidRPr="009D5C68" w:rsidRDefault="006D7E2A" w:rsidP="00A3275A">
      <w:pPr>
        <w:overflowPunct w:val="0"/>
        <w:autoSpaceDE w:val="0"/>
        <w:autoSpaceDN w:val="0"/>
        <w:adjustRightInd w:val="0"/>
        <w:spacing w:line="276" w:lineRule="auto"/>
        <w:textAlignment w:val="baseline"/>
        <w:rPr>
          <w:b/>
        </w:rPr>
      </w:pPr>
      <w:r w:rsidRPr="009D5C68">
        <w:rPr>
          <w:b/>
        </w:rPr>
        <w:t>Huvudpunkter:</w:t>
      </w:r>
    </w:p>
    <w:p w:rsidR="00BC5473" w:rsidRPr="009D5C68" w:rsidRDefault="00BC5473" w:rsidP="00E84F95">
      <w:pPr>
        <w:overflowPunct w:val="0"/>
        <w:autoSpaceDE w:val="0"/>
        <w:autoSpaceDN w:val="0"/>
        <w:adjustRightInd w:val="0"/>
        <w:spacing w:line="276" w:lineRule="auto"/>
        <w:textAlignment w:val="baseline"/>
        <w:rPr>
          <w:szCs w:val="20"/>
        </w:rPr>
      </w:pPr>
    </w:p>
    <w:p w:rsidR="006D7E2A" w:rsidRPr="009D5C68" w:rsidRDefault="006D7E2A" w:rsidP="00A3275A">
      <w:pPr>
        <w:overflowPunct w:val="0"/>
        <w:autoSpaceDE w:val="0"/>
        <w:autoSpaceDN w:val="0"/>
        <w:adjustRightInd w:val="0"/>
        <w:spacing w:line="276" w:lineRule="auto"/>
        <w:textAlignment w:val="baseline"/>
        <w:rPr>
          <w:szCs w:val="20"/>
        </w:rPr>
      </w:pPr>
      <w:r w:rsidRPr="009D5C68">
        <w:t>Inom ramen för Refit-programmet och åtagandet om bättre lagstiftning, som syftar till att säkra att lagstiftningsramen fungerar ändamålsenligt och håller god kvalitet, i linje med det interinstitutionella avtalet mellan Europaparlamentet, rådet och kommissionen om bättre lagstiftning, föreslår kommissionen att tre förordningar ska upphävas eftersom de är föråldrade.</w:t>
      </w:r>
    </w:p>
    <w:p w:rsidR="00BC5473" w:rsidRPr="009D5C68" w:rsidRDefault="00BC5473" w:rsidP="00E84F95">
      <w:pPr>
        <w:overflowPunct w:val="0"/>
        <w:autoSpaceDE w:val="0"/>
        <w:autoSpaceDN w:val="0"/>
        <w:adjustRightInd w:val="0"/>
        <w:spacing w:line="276" w:lineRule="auto"/>
        <w:ind w:left="-567"/>
        <w:textAlignment w:val="baseline"/>
        <w:rPr>
          <w:szCs w:val="20"/>
        </w:rPr>
      </w:pPr>
    </w:p>
    <w:p w:rsidR="006D7E2A" w:rsidRPr="009D5C68" w:rsidRDefault="006D7E2A" w:rsidP="00A3275A">
      <w:pPr>
        <w:overflowPunct w:val="0"/>
        <w:autoSpaceDE w:val="0"/>
        <w:autoSpaceDN w:val="0"/>
        <w:adjustRightInd w:val="0"/>
        <w:spacing w:line="276" w:lineRule="auto"/>
        <w:textAlignment w:val="baseline"/>
        <w:rPr>
          <w:szCs w:val="20"/>
        </w:rPr>
      </w:pPr>
      <w:r w:rsidRPr="009D5C68">
        <w:t>EESK har alltid ställt sig bakom uppfattningen att lagstiftningsramen bör fungera ändamålsenligt och hålla god kvalitet, men också förbli öppen för insyn, tydlig och lätt att använda för medlemsstaterna och de berörda parterna, i detta fall inom sektorerna för inlandssjöfart och godstransporter på väg.</w:t>
      </w:r>
    </w:p>
    <w:p w:rsidR="00BC5473" w:rsidRPr="009D5C68" w:rsidRDefault="00BC5473" w:rsidP="00E84F95">
      <w:pPr>
        <w:overflowPunct w:val="0"/>
        <w:autoSpaceDE w:val="0"/>
        <w:autoSpaceDN w:val="0"/>
        <w:adjustRightInd w:val="0"/>
        <w:spacing w:line="276" w:lineRule="auto"/>
        <w:ind w:left="-567"/>
        <w:textAlignment w:val="baseline"/>
        <w:rPr>
          <w:szCs w:val="20"/>
        </w:rPr>
      </w:pPr>
    </w:p>
    <w:p w:rsidR="006D7E2A" w:rsidRPr="009D5C68" w:rsidRDefault="006D7E2A" w:rsidP="00A3275A">
      <w:pPr>
        <w:overflowPunct w:val="0"/>
        <w:autoSpaceDE w:val="0"/>
        <w:autoSpaceDN w:val="0"/>
        <w:adjustRightInd w:val="0"/>
        <w:spacing w:line="276" w:lineRule="auto"/>
        <w:textAlignment w:val="baseline"/>
        <w:rPr>
          <w:szCs w:val="20"/>
        </w:rPr>
      </w:pPr>
      <w:r w:rsidRPr="009D5C68">
        <w:t xml:space="preserve">Efter samråd med berörda intresseorganisationer konstaterar EESK att kommissionens förslag till förordning om upphävande av förordning (EEG) nr 1101/89 (tillfälliga åtgärder för skrotning av fartyg inom inlandssjöfart) och förordningarna (EG) nr 2888/2000 (fördelning av </w:t>
      </w:r>
      <w:r w:rsidR="00F114BF" w:rsidRPr="009D5C68">
        <w:t>tillstånd för godstransporter i </w:t>
      </w:r>
      <w:r w:rsidRPr="009D5C68">
        <w:t>Schweiz) och (EG) nr 685/2001 (tillstånd för godstransporter i Bulgarien och Rumänien innan länderna anslöt sig till EU) kan stödjas.</w:t>
      </w:r>
    </w:p>
    <w:p w:rsidR="006D7E2A" w:rsidRPr="009D5C68" w:rsidRDefault="006D7E2A" w:rsidP="00A3275A">
      <w:pPr>
        <w:overflowPunct w:val="0"/>
        <w:autoSpaceDE w:val="0"/>
        <w:autoSpaceDN w:val="0"/>
        <w:adjustRightInd w:val="0"/>
        <w:spacing w:line="276" w:lineRule="auto"/>
        <w:textAlignment w:val="baseline"/>
        <w:rPr>
          <w:b/>
          <w:i/>
        </w:rPr>
      </w:pPr>
    </w:p>
    <w:p w:rsidR="006D7E2A" w:rsidRPr="009D5C68" w:rsidRDefault="006D7E2A" w:rsidP="00A3275A">
      <w:pPr>
        <w:overflowPunct w:val="0"/>
        <w:autoSpaceDE w:val="0"/>
        <w:autoSpaceDN w:val="0"/>
        <w:adjustRightInd w:val="0"/>
        <w:spacing w:line="276" w:lineRule="auto"/>
        <w:textAlignment w:val="baseline"/>
        <w:rPr>
          <w:i/>
        </w:rPr>
      </w:pPr>
      <w:r w:rsidRPr="009D5C68">
        <w:rPr>
          <w:b/>
          <w:i/>
        </w:rPr>
        <w:t>Kontaktperson:</w:t>
      </w:r>
      <w:r w:rsidRPr="009D5C68">
        <w:tab/>
      </w:r>
      <w:r w:rsidRPr="009D5C68">
        <w:rPr>
          <w:i/>
        </w:rPr>
        <w:t>Agota BAZSIK</w:t>
      </w:r>
    </w:p>
    <w:p w:rsidR="006D7E2A" w:rsidRPr="009D5C68" w:rsidRDefault="006D7E2A" w:rsidP="00A3275A">
      <w:pPr>
        <w:overflowPunct w:val="0"/>
        <w:autoSpaceDE w:val="0"/>
        <w:autoSpaceDN w:val="0"/>
        <w:adjustRightInd w:val="0"/>
        <w:spacing w:line="276" w:lineRule="auto"/>
        <w:ind w:left="1134"/>
        <w:textAlignment w:val="baseline"/>
        <w:rPr>
          <w:i/>
        </w:rPr>
      </w:pPr>
      <w:r w:rsidRPr="009D5C68">
        <w:rPr>
          <w:i/>
        </w:rPr>
        <w:t xml:space="preserve">(Tfn +32 2 546 95 93 – e-post: </w:t>
      </w:r>
      <w:hyperlink r:id="rId34">
        <w:r w:rsidRPr="009D5C68">
          <w:rPr>
            <w:i/>
            <w:color w:val="0000FF"/>
            <w:u w:val="single"/>
          </w:rPr>
          <w:t>Agota. Bazsik@eesc.europa.eu</w:t>
        </w:r>
      </w:hyperlink>
      <w:r w:rsidRPr="009D5C68">
        <w:rPr>
          <w:i/>
        </w:rPr>
        <w:t>)</w:t>
      </w:r>
    </w:p>
    <w:p w:rsidR="007D03DC" w:rsidRPr="009D5C68" w:rsidRDefault="007D03DC" w:rsidP="00E6566F"/>
    <w:p w:rsidR="00156950" w:rsidRPr="009D5C68" w:rsidRDefault="00156950" w:rsidP="008B7E27">
      <w:pPr>
        <w:overflowPunct w:val="0"/>
        <w:autoSpaceDE w:val="0"/>
        <w:autoSpaceDN w:val="0"/>
        <w:adjustRightInd w:val="0"/>
        <w:jc w:val="center"/>
        <w:textAlignment w:val="baseline"/>
      </w:pPr>
      <w:r w:rsidRPr="009D5C68">
        <w:t>_____________</w:t>
      </w:r>
    </w:p>
    <w:sectPr w:rsidR="00156950" w:rsidRPr="009D5C68" w:rsidSect="006867BE">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BF" w:rsidRDefault="004C07BF" w:rsidP="003B283B">
      <w:pPr>
        <w:spacing w:line="240" w:lineRule="auto"/>
      </w:pPr>
      <w:r>
        <w:separator/>
      </w:r>
    </w:p>
  </w:endnote>
  <w:endnote w:type="continuationSeparator" w:id="0">
    <w:p w:rsidR="004C07BF" w:rsidRDefault="004C07BF" w:rsidP="003B283B">
      <w:pPr>
        <w:spacing w:line="240" w:lineRule="auto"/>
      </w:pPr>
      <w:r>
        <w:continuationSeparator/>
      </w:r>
    </w:p>
  </w:endnote>
  <w:endnote w:type="continuationNotice" w:id="1">
    <w:p w:rsidR="004C07BF" w:rsidRDefault="004C07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6867BE" w:rsidRDefault="0089563A" w:rsidP="00686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6867BE" w:rsidRDefault="006867BE" w:rsidP="006867BE">
    <w:pPr>
      <w:pStyle w:val="Footer"/>
    </w:pPr>
    <w:r>
      <w:t xml:space="preserve">EESC-2017-01003-00-01-TCD-TRA (FR/EN) </w:t>
    </w:r>
    <w:r>
      <w:fldChar w:fldCharType="begin"/>
    </w:r>
    <w:r>
      <w:instrText xml:space="preserve"> PAGE  \* Arabic  \* MERGEFORMAT </w:instrText>
    </w:r>
    <w:r>
      <w:fldChar w:fldCharType="separate"/>
    </w:r>
    <w:r w:rsidR="009D5C68">
      <w:rPr>
        <w:noProof/>
      </w:rPr>
      <w:t>1</w:t>
    </w:r>
    <w:r>
      <w:fldChar w:fldCharType="end"/>
    </w:r>
    <w:r>
      <w:t>/</w:t>
    </w:r>
    <w:r>
      <w:fldChar w:fldCharType="begin"/>
    </w:r>
    <w:r>
      <w:instrText xml:space="preserve"> = </w:instrText>
    </w:r>
    <w:r w:rsidR="009D5C68">
      <w:fldChar w:fldCharType="begin"/>
    </w:r>
    <w:r w:rsidR="009D5C68">
      <w:instrText xml:space="preserve"> NUMPAGES </w:instrText>
    </w:r>
    <w:r w:rsidR="009D5C68">
      <w:fldChar w:fldCharType="separate"/>
    </w:r>
    <w:r w:rsidR="009D5C68">
      <w:rPr>
        <w:noProof/>
      </w:rPr>
      <w:instrText>3</w:instrText>
    </w:r>
    <w:r w:rsidR="009D5C68">
      <w:rPr>
        <w:noProof/>
      </w:rPr>
      <w:fldChar w:fldCharType="end"/>
    </w:r>
    <w:r>
      <w:instrText xml:space="preserve"> -0 </w:instrText>
    </w:r>
    <w:r>
      <w:fldChar w:fldCharType="separate"/>
    </w:r>
    <w:r w:rsidR="009D5C6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6867BE" w:rsidRDefault="0089563A" w:rsidP="006867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6867BE" w:rsidRDefault="004C07BF" w:rsidP="006867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6867BE" w:rsidRDefault="006867BE" w:rsidP="006867BE">
    <w:pPr>
      <w:pStyle w:val="Footer"/>
    </w:pPr>
    <w:r>
      <w:t xml:space="preserve">EESC-2017-01003-00-01-TCD-TRA (FR/EN) </w:t>
    </w:r>
    <w:r>
      <w:fldChar w:fldCharType="begin"/>
    </w:r>
    <w:r>
      <w:instrText xml:space="preserve"> PAGE  \* Arabic  \* MERGEFORMAT </w:instrText>
    </w:r>
    <w:r>
      <w:fldChar w:fldCharType="separate"/>
    </w:r>
    <w:r w:rsidR="009D5C68">
      <w:rPr>
        <w:noProof/>
      </w:rPr>
      <w:t>3</w:t>
    </w:r>
    <w:r>
      <w:fldChar w:fldCharType="end"/>
    </w:r>
    <w:r>
      <w:t>/</w:t>
    </w:r>
    <w:r>
      <w:fldChar w:fldCharType="begin"/>
    </w:r>
    <w:r>
      <w:instrText xml:space="preserve"> = </w:instrText>
    </w:r>
    <w:r w:rsidR="009D5C68">
      <w:fldChar w:fldCharType="begin"/>
    </w:r>
    <w:r w:rsidR="009D5C68">
      <w:instrText xml:space="preserve"> NUMPAGES </w:instrText>
    </w:r>
    <w:r w:rsidR="009D5C68">
      <w:fldChar w:fldCharType="separate"/>
    </w:r>
    <w:r w:rsidR="009D5C68">
      <w:rPr>
        <w:noProof/>
      </w:rPr>
      <w:instrText>3</w:instrText>
    </w:r>
    <w:r w:rsidR="009D5C68">
      <w:rPr>
        <w:noProof/>
      </w:rPr>
      <w:fldChar w:fldCharType="end"/>
    </w:r>
    <w:r>
      <w:instrText xml:space="preserve"> -0 </w:instrText>
    </w:r>
    <w:r>
      <w:fldChar w:fldCharType="separate"/>
    </w:r>
    <w:r w:rsidR="009D5C68">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6867BE" w:rsidRDefault="004C07BF" w:rsidP="00686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BF" w:rsidRDefault="004C07BF" w:rsidP="003B283B">
      <w:pPr>
        <w:spacing w:line="240" w:lineRule="auto"/>
      </w:pPr>
      <w:r>
        <w:separator/>
      </w:r>
    </w:p>
  </w:footnote>
  <w:footnote w:type="continuationSeparator" w:id="0">
    <w:p w:rsidR="004C07BF" w:rsidRDefault="004C07BF" w:rsidP="003B283B">
      <w:pPr>
        <w:spacing w:line="240" w:lineRule="auto"/>
      </w:pPr>
      <w:r>
        <w:continuationSeparator/>
      </w:r>
    </w:p>
  </w:footnote>
  <w:footnote w:type="continuationNotice" w:id="1">
    <w:p w:rsidR="004C07BF" w:rsidRPr="00377A77" w:rsidRDefault="004C07B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6867BE" w:rsidRDefault="0089563A" w:rsidP="00686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6867BE" w:rsidRDefault="0089563A" w:rsidP="006867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6867BE" w:rsidRDefault="0089563A" w:rsidP="006867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6867BE" w:rsidRDefault="004C07BF" w:rsidP="006867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6867BE" w:rsidRDefault="004C07BF" w:rsidP="006867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6867BE" w:rsidRDefault="004C07BF" w:rsidP="00686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A2154"/>
    <w:multiLevelType w:val="singleLevel"/>
    <w:tmpl w:val="ACD4CDB0"/>
    <w:lvl w:ilvl="0">
      <w:numFmt w:val="decimal"/>
      <w:lvlText w:val="*"/>
      <w:lvlJc w:val="left"/>
      <w:rPr>
        <w:rFonts w:cs="Times New Roman"/>
      </w:rPr>
    </w:lvl>
  </w:abstractNum>
  <w:abstractNum w:abstractNumId="7">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8">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20">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3">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7">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34">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2"/>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7"/>
  </w:num>
  <w:num w:numId="6">
    <w:abstractNumId w:val="16"/>
  </w:num>
  <w:num w:numId="7">
    <w:abstractNumId w:val="34"/>
  </w:num>
  <w:num w:numId="8">
    <w:abstractNumId w:val="8"/>
  </w:num>
  <w:num w:numId="9">
    <w:abstractNumId w:val="20"/>
  </w:num>
  <w:num w:numId="10">
    <w:abstractNumId w:val="26"/>
  </w:num>
  <w:num w:numId="11">
    <w:abstractNumId w:val="19"/>
  </w:num>
  <w:num w:numId="12">
    <w:abstractNumId w:val="33"/>
  </w:num>
  <w:num w:numId="13">
    <w:abstractNumId w:val="15"/>
  </w:num>
  <w:num w:numId="14">
    <w:abstractNumId w:val="2"/>
  </w:num>
  <w:num w:numId="15">
    <w:abstractNumId w:val="14"/>
  </w:num>
  <w:num w:numId="16">
    <w:abstractNumId w:val="18"/>
  </w:num>
  <w:num w:numId="17">
    <w:abstractNumId w:val="21"/>
  </w:num>
  <w:num w:numId="18">
    <w:abstractNumId w:val="9"/>
  </w:num>
  <w:num w:numId="19">
    <w:abstractNumId w:val="29"/>
  </w:num>
  <w:num w:numId="20">
    <w:abstractNumId w:val="5"/>
  </w:num>
  <w:num w:numId="21">
    <w:abstractNumId w:val="31"/>
  </w:num>
  <w:num w:numId="22">
    <w:abstractNumId w:val="4"/>
  </w:num>
  <w:num w:numId="23">
    <w:abstractNumId w:val="13"/>
  </w:num>
  <w:num w:numId="24">
    <w:abstractNumId w:val="25"/>
  </w:num>
  <w:num w:numId="25">
    <w:abstractNumId w:val="28"/>
  </w:num>
  <w:num w:numId="26">
    <w:abstractNumId w:val="27"/>
  </w:num>
  <w:num w:numId="27">
    <w:abstractNumId w:val="17"/>
  </w:num>
  <w:num w:numId="28">
    <w:abstractNumId w:val="11"/>
  </w:num>
  <w:num w:numId="29">
    <w:abstractNumId w:val="24"/>
  </w:num>
  <w:num w:numId="30">
    <w:abstractNumId w:val="32"/>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23"/>
  </w:num>
  <w:num w:numId="34">
    <w:abstractNumId w:val="10"/>
  </w:num>
  <w:num w:numId="35">
    <w:abstractNumId w:val="6"/>
  </w:num>
  <w:num w:numId="36">
    <w:abstractNumId w:val="12"/>
  </w:num>
  <w:num w:numId="3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51C81"/>
    <w:rsid w:val="0005250A"/>
    <w:rsid w:val="000529F2"/>
    <w:rsid w:val="00054E26"/>
    <w:rsid w:val="00055735"/>
    <w:rsid w:val="000562AF"/>
    <w:rsid w:val="00057390"/>
    <w:rsid w:val="00060853"/>
    <w:rsid w:val="00067189"/>
    <w:rsid w:val="00067BC4"/>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946"/>
    <w:rsid w:val="000C0AA0"/>
    <w:rsid w:val="000C2679"/>
    <w:rsid w:val="000C37E9"/>
    <w:rsid w:val="000C3DF6"/>
    <w:rsid w:val="000C469F"/>
    <w:rsid w:val="000D28F0"/>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B28"/>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B77EA"/>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3CAC"/>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6F79"/>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24EA"/>
    <w:rsid w:val="002C3DCC"/>
    <w:rsid w:val="002C43DB"/>
    <w:rsid w:val="002C5D72"/>
    <w:rsid w:val="002D0F32"/>
    <w:rsid w:val="002D1B76"/>
    <w:rsid w:val="002D41B7"/>
    <w:rsid w:val="002D73EF"/>
    <w:rsid w:val="002D750B"/>
    <w:rsid w:val="002F0044"/>
    <w:rsid w:val="002F0388"/>
    <w:rsid w:val="003002D3"/>
    <w:rsid w:val="003058FB"/>
    <w:rsid w:val="00306501"/>
    <w:rsid w:val="003075E1"/>
    <w:rsid w:val="003079A2"/>
    <w:rsid w:val="00307A61"/>
    <w:rsid w:val="00310496"/>
    <w:rsid w:val="00311036"/>
    <w:rsid w:val="00311101"/>
    <w:rsid w:val="003111F0"/>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26C7"/>
    <w:rsid w:val="003542D4"/>
    <w:rsid w:val="003543F0"/>
    <w:rsid w:val="003555A1"/>
    <w:rsid w:val="0035631F"/>
    <w:rsid w:val="00357667"/>
    <w:rsid w:val="00360D02"/>
    <w:rsid w:val="00361CF3"/>
    <w:rsid w:val="00362B7F"/>
    <w:rsid w:val="00364D74"/>
    <w:rsid w:val="00371671"/>
    <w:rsid w:val="0037202C"/>
    <w:rsid w:val="00372D96"/>
    <w:rsid w:val="003759AE"/>
    <w:rsid w:val="00376735"/>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4AB8"/>
    <w:rsid w:val="003A63B9"/>
    <w:rsid w:val="003A667F"/>
    <w:rsid w:val="003A7683"/>
    <w:rsid w:val="003B20F1"/>
    <w:rsid w:val="003B283B"/>
    <w:rsid w:val="003B2AB5"/>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079A9"/>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7BF"/>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650"/>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3A39"/>
    <w:rsid w:val="006763EC"/>
    <w:rsid w:val="0067717C"/>
    <w:rsid w:val="006808D7"/>
    <w:rsid w:val="0068174F"/>
    <w:rsid w:val="00681787"/>
    <w:rsid w:val="006867BE"/>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3B66"/>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4A"/>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087B"/>
    <w:rsid w:val="008813F4"/>
    <w:rsid w:val="00881E5F"/>
    <w:rsid w:val="008829A4"/>
    <w:rsid w:val="008836DC"/>
    <w:rsid w:val="00883FCB"/>
    <w:rsid w:val="008874F5"/>
    <w:rsid w:val="00887B21"/>
    <w:rsid w:val="00891B74"/>
    <w:rsid w:val="00892DE9"/>
    <w:rsid w:val="0089503E"/>
    <w:rsid w:val="00895093"/>
    <w:rsid w:val="0089563A"/>
    <w:rsid w:val="008A0BF5"/>
    <w:rsid w:val="008A2046"/>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D18"/>
    <w:rsid w:val="00926DBC"/>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28D1"/>
    <w:rsid w:val="0099424C"/>
    <w:rsid w:val="009967CB"/>
    <w:rsid w:val="009A0DEA"/>
    <w:rsid w:val="009A1F1D"/>
    <w:rsid w:val="009A24AD"/>
    <w:rsid w:val="009A51F0"/>
    <w:rsid w:val="009A791D"/>
    <w:rsid w:val="009B0BC4"/>
    <w:rsid w:val="009B0BC8"/>
    <w:rsid w:val="009B10FF"/>
    <w:rsid w:val="009B3504"/>
    <w:rsid w:val="009B4402"/>
    <w:rsid w:val="009B5536"/>
    <w:rsid w:val="009C1289"/>
    <w:rsid w:val="009C4B4E"/>
    <w:rsid w:val="009C7881"/>
    <w:rsid w:val="009D3AE0"/>
    <w:rsid w:val="009D5C68"/>
    <w:rsid w:val="009D6AF9"/>
    <w:rsid w:val="009E1DC8"/>
    <w:rsid w:val="009E5563"/>
    <w:rsid w:val="009F02EC"/>
    <w:rsid w:val="009F05CF"/>
    <w:rsid w:val="009F09F1"/>
    <w:rsid w:val="009F40D9"/>
    <w:rsid w:val="009F475D"/>
    <w:rsid w:val="009F58A3"/>
    <w:rsid w:val="009F7736"/>
    <w:rsid w:val="00A0181D"/>
    <w:rsid w:val="00A02258"/>
    <w:rsid w:val="00A02AB3"/>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275A"/>
    <w:rsid w:val="00A34ED8"/>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1179"/>
    <w:rsid w:val="00BB3FB2"/>
    <w:rsid w:val="00BB532C"/>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3825"/>
    <w:rsid w:val="00C152A6"/>
    <w:rsid w:val="00C15982"/>
    <w:rsid w:val="00C203E7"/>
    <w:rsid w:val="00C21EFF"/>
    <w:rsid w:val="00C23DF7"/>
    <w:rsid w:val="00C253D7"/>
    <w:rsid w:val="00C25B4D"/>
    <w:rsid w:val="00C274F6"/>
    <w:rsid w:val="00C27BFD"/>
    <w:rsid w:val="00C3053E"/>
    <w:rsid w:val="00C4067A"/>
    <w:rsid w:val="00C41BC5"/>
    <w:rsid w:val="00C46454"/>
    <w:rsid w:val="00C47D9F"/>
    <w:rsid w:val="00C5183B"/>
    <w:rsid w:val="00C57333"/>
    <w:rsid w:val="00C57A19"/>
    <w:rsid w:val="00C62955"/>
    <w:rsid w:val="00C64A18"/>
    <w:rsid w:val="00C66947"/>
    <w:rsid w:val="00C70A83"/>
    <w:rsid w:val="00C726AA"/>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B10E5"/>
    <w:rsid w:val="00CB3EE7"/>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0768"/>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7E36"/>
    <w:rsid w:val="00DF2441"/>
    <w:rsid w:val="00DF29AB"/>
    <w:rsid w:val="00DF2ED9"/>
    <w:rsid w:val="00DF4971"/>
    <w:rsid w:val="00DF76D7"/>
    <w:rsid w:val="00DF776E"/>
    <w:rsid w:val="00E01B2D"/>
    <w:rsid w:val="00E06D7D"/>
    <w:rsid w:val="00E07AE2"/>
    <w:rsid w:val="00E1002C"/>
    <w:rsid w:val="00E12B0C"/>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62B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4F95"/>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4925"/>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114BF"/>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400"/>
    <w:rsid w:val="00F61B63"/>
    <w:rsid w:val="00F61E0A"/>
    <w:rsid w:val="00F671B2"/>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4836"/>
    <w:rsid w:val="00F955CF"/>
    <w:rsid w:val="00F9673A"/>
    <w:rsid w:val="00FA0840"/>
    <w:rsid w:val="00FA0AD4"/>
    <w:rsid w:val="00FA27F5"/>
    <w:rsid w:val="00FA65B3"/>
    <w:rsid w:val="00FA681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sv-S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E36"/>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DE7E36"/>
    <w:pPr>
      <w:numPr>
        <w:numId w:val="1"/>
      </w:numPr>
      <w:ind w:left="567" w:hanging="567"/>
      <w:outlineLvl w:val="0"/>
    </w:pPr>
    <w:rPr>
      <w:kern w:val="28"/>
    </w:rPr>
  </w:style>
  <w:style w:type="paragraph" w:styleId="Heading2">
    <w:name w:val="heading 2"/>
    <w:aliases w:val="Char, Char"/>
    <w:basedOn w:val="Normal"/>
    <w:next w:val="Normal"/>
    <w:link w:val="Heading2Char"/>
    <w:qFormat/>
    <w:rsid w:val="00DE7E36"/>
    <w:pPr>
      <w:numPr>
        <w:ilvl w:val="1"/>
        <w:numId w:val="1"/>
      </w:numPr>
      <w:ind w:left="567" w:hanging="567"/>
      <w:outlineLvl w:val="1"/>
    </w:pPr>
  </w:style>
  <w:style w:type="paragraph" w:styleId="Heading3">
    <w:name w:val="heading 3"/>
    <w:basedOn w:val="Normal"/>
    <w:next w:val="Normal"/>
    <w:link w:val="Heading3Char"/>
    <w:qFormat/>
    <w:rsid w:val="00DE7E36"/>
    <w:pPr>
      <w:numPr>
        <w:ilvl w:val="2"/>
        <w:numId w:val="1"/>
      </w:numPr>
      <w:ind w:left="567" w:hanging="567"/>
      <w:outlineLvl w:val="2"/>
    </w:pPr>
  </w:style>
  <w:style w:type="paragraph" w:styleId="Heading4">
    <w:name w:val="heading 4"/>
    <w:basedOn w:val="Normal"/>
    <w:next w:val="Normal"/>
    <w:link w:val="Heading4Char"/>
    <w:qFormat/>
    <w:rsid w:val="00DE7E36"/>
    <w:pPr>
      <w:numPr>
        <w:ilvl w:val="3"/>
        <w:numId w:val="1"/>
      </w:numPr>
      <w:ind w:left="567" w:hanging="567"/>
      <w:outlineLvl w:val="3"/>
    </w:pPr>
  </w:style>
  <w:style w:type="paragraph" w:styleId="Heading5">
    <w:name w:val="heading 5"/>
    <w:basedOn w:val="Normal"/>
    <w:next w:val="Normal"/>
    <w:link w:val="Heading5Char"/>
    <w:qFormat/>
    <w:rsid w:val="00DE7E36"/>
    <w:pPr>
      <w:numPr>
        <w:ilvl w:val="4"/>
        <w:numId w:val="1"/>
      </w:numPr>
      <w:ind w:left="567" w:hanging="567"/>
      <w:outlineLvl w:val="4"/>
    </w:pPr>
  </w:style>
  <w:style w:type="paragraph" w:styleId="Heading6">
    <w:name w:val="heading 6"/>
    <w:basedOn w:val="Normal"/>
    <w:next w:val="Normal"/>
    <w:link w:val="Heading6Char"/>
    <w:qFormat/>
    <w:rsid w:val="00DE7E36"/>
    <w:pPr>
      <w:numPr>
        <w:ilvl w:val="5"/>
        <w:numId w:val="1"/>
      </w:numPr>
      <w:ind w:left="567" w:hanging="567"/>
      <w:outlineLvl w:val="5"/>
    </w:pPr>
  </w:style>
  <w:style w:type="paragraph" w:styleId="Heading7">
    <w:name w:val="heading 7"/>
    <w:basedOn w:val="Normal"/>
    <w:next w:val="Normal"/>
    <w:link w:val="Heading7Char"/>
    <w:qFormat/>
    <w:rsid w:val="00DE7E36"/>
    <w:pPr>
      <w:numPr>
        <w:ilvl w:val="6"/>
        <w:numId w:val="1"/>
      </w:numPr>
      <w:ind w:left="567" w:hanging="567"/>
      <w:outlineLvl w:val="6"/>
    </w:pPr>
  </w:style>
  <w:style w:type="paragraph" w:styleId="Heading8">
    <w:name w:val="heading 8"/>
    <w:basedOn w:val="Normal"/>
    <w:next w:val="Normal"/>
    <w:link w:val="Heading8Char"/>
    <w:qFormat/>
    <w:rsid w:val="00DE7E36"/>
    <w:pPr>
      <w:numPr>
        <w:ilvl w:val="7"/>
        <w:numId w:val="1"/>
      </w:numPr>
      <w:ind w:left="567" w:hanging="567"/>
      <w:outlineLvl w:val="7"/>
    </w:pPr>
  </w:style>
  <w:style w:type="paragraph" w:styleId="Heading9">
    <w:name w:val="heading 9"/>
    <w:basedOn w:val="Normal"/>
    <w:next w:val="Normal"/>
    <w:link w:val="Heading9Char"/>
    <w:qFormat/>
    <w:rsid w:val="00DE7E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v-SE" w:eastAsia="sv-SE" w:bidi="sv-SE"/>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sv-SE" w:eastAsia="sv-SE" w:bidi="sv-SE"/>
    </w:rPr>
  </w:style>
  <w:style w:type="character" w:customStyle="1" w:styleId="Heading3Char">
    <w:name w:val="Heading 3 Char"/>
    <w:basedOn w:val="DefaultParagraphFont"/>
    <w:link w:val="Heading3"/>
    <w:locked/>
    <w:rsid w:val="003B283B"/>
    <w:rPr>
      <w:rFonts w:ascii="Times New Roman" w:hAnsi="Times New Roman"/>
      <w:sz w:val="22"/>
      <w:szCs w:val="22"/>
      <w:lang w:val="sv-SE" w:eastAsia="sv-SE" w:bidi="sv-SE"/>
    </w:rPr>
  </w:style>
  <w:style w:type="character" w:customStyle="1" w:styleId="Heading4Char">
    <w:name w:val="Heading 4 Char"/>
    <w:basedOn w:val="DefaultParagraphFont"/>
    <w:link w:val="Heading4"/>
    <w:locked/>
    <w:rsid w:val="003B283B"/>
    <w:rPr>
      <w:rFonts w:ascii="Times New Roman" w:hAnsi="Times New Roman"/>
      <w:sz w:val="22"/>
      <w:szCs w:val="22"/>
      <w:lang w:val="sv-SE" w:eastAsia="sv-SE" w:bidi="sv-SE"/>
    </w:rPr>
  </w:style>
  <w:style w:type="character" w:customStyle="1" w:styleId="Heading5Char">
    <w:name w:val="Heading 5 Char"/>
    <w:basedOn w:val="DefaultParagraphFont"/>
    <w:link w:val="Heading5"/>
    <w:locked/>
    <w:rsid w:val="003B283B"/>
    <w:rPr>
      <w:rFonts w:ascii="Times New Roman" w:hAnsi="Times New Roman"/>
      <w:sz w:val="22"/>
      <w:szCs w:val="22"/>
      <w:lang w:val="sv-SE" w:eastAsia="sv-SE" w:bidi="sv-SE"/>
    </w:rPr>
  </w:style>
  <w:style w:type="character" w:customStyle="1" w:styleId="Heading6Char">
    <w:name w:val="Heading 6 Char"/>
    <w:basedOn w:val="DefaultParagraphFont"/>
    <w:link w:val="Heading6"/>
    <w:locked/>
    <w:rsid w:val="003B283B"/>
    <w:rPr>
      <w:rFonts w:ascii="Times New Roman" w:hAnsi="Times New Roman"/>
      <w:sz w:val="22"/>
      <w:szCs w:val="22"/>
      <w:lang w:val="sv-SE" w:eastAsia="sv-SE" w:bidi="sv-SE"/>
    </w:rPr>
  </w:style>
  <w:style w:type="character" w:customStyle="1" w:styleId="Heading7Char">
    <w:name w:val="Heading 7 Char"/>
    <w:basedOn w:val="DefaultParagraphFont"/>
    <w:link w:val="Heading7"/>
    <w:locked/>
    <w:rsid w:val="003B283B"/>
    <w:rPr>
      <w:rFonts w:ascii="Times New Roman" w:hAnsi="Times New Roman"/>
      <w:sz w:val="22"/>
      <w:szCs w:val="22"/>
      <w:lang w:val="sv-SE" w:eastAsia="sv-SE" w:bidi="sv-SE"/>
    </w:rPr>
  </w:style>
  <w:style w:type="character" w:customStyle="1" w:styleId="Heading8Char">
    <w:name w:val="Heading 8 Char"/>
    <w:basedOn w:val="DefaultParagraphFont"/>
    <w:link w:val="Heading8"/>
    <w:locked/>
    <w:rsid w:val="003B283B"/>
    <w:rPr>
      <w:rFonts w:ascii="Times New Roman" w:hAnsi="Times New Roman"/>
      <w:sz w:val="22"/>
      <w:szCs w:val="22"/>
      <w:lang w:val="sv-SE" w:eastAsia="sv-SE" w:bidi="sv-SE"/>
    </w:rPr>
  </w:style>
  <w:style w:type="character" w:customStyle="1" w:styleId="Heading9Char">
    <w:name w:val="Heading 9 Char"/>
    <w:basedOn w:val="DefaultParagraphFont"/>
    <w:link w:val="Heading9"/>
    <w:locked/>
    <w:rsid w:val="003B283B"/>
    <w:rPr>
      <w:rFonts w:ascii="Times New Roman" w:hAnsi="Times New Roman"/>
      <w:sz w:val="22"/>
      <w:szCs w:val="22"/>
      <w:lang w:val="sv-SE" w:eastAsia="sv-SE" w:bidi="sv-SE"/>
    </w:rPr>
  </w:style>
  <w:style w:type="paragraph" w:styleId="Footer">
    <w:name w:val="footer"/>
    <w:aliases w:val="Footer-odd"/>
    <w:basedOn w:val="Normal"/>
    <w:link w:val="FooterChar"/>
    <w:qFormat/>
    <w:rsid w:val="00DE7E36"/>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sv-SE" w:eastAsia="sv-SE" w:bidi="sv-SE"/>
    </w:rPr>
  </w:style>
  <w:style w:type="paragraph" w:styleId="FootnoteText">
    <w:name w:val="footnote text"/>
    <w:basedOn w:val="Normal"/>
    <w:link w:val="FootnoteTextChar"/>
    <w:qFormat/>
    <w:rsid w:val="00DE7E36"/>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sv-SE" w:eastAsia="sv-SE" w:bidi="sv-SE"/>
    </w:rPr>
  </w:style>
  <w:style w:type="paragraph" w:styleId="Header">
    <w:name w:val="header"/>
    <w:basedOn w:val="Normal"/>
    <w:link w:val="HeaderChar"/>
    <w:qFormat/>
    <w:rsid w:val="00DE7E36"/>
  </w:style>
  <w:style w:type="character" w:customStyle="1" w:styleId="HeaderChar">
    <w:name w:val="Header Char"/>
    <w:basedOn w:val="DefaultParagraphFont"/>
    <w:link w:val="Header"/>
    <w:locked/>
    <w:rsid w:val="003B283B"/>
    <w:rPr>
      <w:rFonts w:ascii="Times New Roman" w:hAnsi="Times New Roman"/>
      <w:sz w:val="22"/>
      <w:szCs w:val="22"/>
      <w:lang w:val="sv-SE" w:eastAsia="sv-SE" w:bidi="sv-SE"/>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DE7E36"/>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DE7E36"/>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4B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4B28"/>
    <w:rPr>
      <w:rFonts w:ascii="Tahoma" w:hAnsi="Tahoma" w:cs="Tahoma"/>
      <w:sz w:val="16"/>
      <w:szCs w:val="16"/>
      <w:lang w:val="sv-SE" w:eastAsia="sv-SE" w:bidi="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sv-SE" w:bidi="sv-S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E36"/>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DE7E36"/>
    <w:pPr>
      <w:numPr>
        <w:numId w:val="1"/>
      </w:numPr>
      <w:ind w:left="567" w:hanging="567"/>
      <w:outlineLvl w:val="0"/>
    </w:pPr>
    <w:rPr>
      <w:kern w:val="28"/>
    </w:rPr>
  </w:style>
  <w:style w:type="paragraph" w:styleId="Heading2">
    <w:name w:val="heading 2"/>
    <w:aliases w:val="Char, Char"/>
    <w:basedOn w:val="Normal"/>
    <w:next w:val="Normal"/>
    <w:link w:val="Heading2Char"/>
    <w:qFormat/>
    <w:rsid w:val="00DE7E36"/>
    <w:pPr>
      <w:numPr>
        <w:ilvl w:val="1"/>
        <w:numId w:val="1"/>
      </w:numPr>
      <w:ind w:left="567" w:hanging="567"/>
      <w:outlineLvl w:val="1"/>
    </w:pPr>
  </w:style>
  <w:style w:type="paragraph" w:styleId="Heading3">
    <w:name w:val="heading 3"/>
    <w:basedOn w:val="Normal"/>
    <w:next w:val="Normal"/>
    <w:link w:val="Heading3Char"/>
    <w:qFormat/>
    <w:rsid w:val="00DE7E36"/>
    <w:pPr>
      <w:numPr>
        <w:ilvl w:val="2"/>
        <w:numId w:val="1"/>
      </w:numPr>
      <w:ind w:left="567" w:hanging="567"/>
      <w:outlineLvl w:val="2"/>
    </w:pPr>
  </w:style>
  <w:style w:type="paragraph" w:styleId="Heading4">
    <w:name w:val="heading 4"/>
    <w:basedOn w:val="Normal"/>
    <w:next w:val="Normal"/>
    <w:link w:val="Heading4Char"/>
    <w:qFormat/>
    <w:rsid w:val="00DE7E36"/>
    <w:pPr>
      <w:numPr>
        <w:ilvl w:val="3"/>
        <w:numId w:val="1"/>
      </w:numPr>
      <w:ind w:left="567" w:hanging="567"/>
      <w:outlineLvl w:val="3"/>
    </w:pPr>
  </w:style>
  <w:style w:type="paragraph" w:styleId="Heading5">
    <w:name w:val="heading 5"/>
    <w:basedOn w:val="Normal"/>
    <w:next w:val="Normal"/>
    <w:link w:val="Heading5Char"/>
    <w:qFormat/>
    <w:rsid w:val="00DE7E36"/>
    <w:pPr>
      <w:numPr>
        <w:ilvl w:val="4"/>
        <w:numId w:val="1"/>
      </w:numPr>
      <w:ind w:left="567" w:hanging="567"/>
      <w:outlineLvl w:val="4"/>
    </w:pPr>
  </w:style>
  <w:style w:type="paragraph" w:styleId="Heading6">
    <w:name w:val="heading 6"/>
    <w:basedOn w:val="Normal"/>
    <w:next w:val="Normal"/>
    <w:link w:val="Heading6Char"/>
    <w:qFormat/>
    <w:rsid w:val="00DE7E36"/>
    <w:pPr>
      <w:numPr>
        <w:ilvl w:val="5"/>
        <w:numId w:val="1"/>
      </w:numPr>
      <w:ind w:left="567" w:hanging="567"/>
      <w:outlineLvl w:val="5"/>
    </w:pPr>
  </w:style>
  <w:style w:type="paragraph" w:styleId="Heading7">
    <w:name w:val="heading 7"/>
    <w:basedOn w:val="Normal"/>
    <w:next w:val="Normal"/>
    <w:link w:val="Heading7Char"/>
    <w:qFormat/>
    <w:rsid w:val="00DE7E36"/>
    <w:pPr>
      <w:numPr>
        <w:ilvl w:val="6"/>
        <w:numId w:val="1"/>
      </w:numPr>
      <w:ind w:left="567" w:hanging="567"/>
      <w:outlineLvl w:val="6"/>
    </w:pPr>
  </w:style>
  <w:style w:type="paragraph" w:styleId="Heading8">
    <w:name w:val="heading 8"/>
    <w:basedOn w:val="Normal"/>
    <w:next w:val="Normal"/>
    <w:link w:val="Heading8Char"/>
    <w:qFormat/>
    <w:rsid w:val="00DE7E36"/>
    <w:pPr>
      <w:numPr>
        <w:ilvl w:val="7"/>
        <w:numId w:val="1"/>
      </w:numPr>
      <w:ind w:left="567" w:hanging="567"/>
      <w:outlineLvl w:val="7"/>
    </w:pPr>
  </w:style>
  <w:style w:type="paragraph" w:styleId="Heading9">
    <w:name w:val="heading 9"/>
    <w:basedOn w:val="Normal"/>
    <w:next w:val="Normal"/>
    <w:link w:val="Heading9Char"/>
    <w:qFormat/>
    <w:rsid w:val="00DE7E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v-SE" w:eastAsia="sv-SE" w:bidi="sv-SE"/>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sv-SE" w:eastAsia="sv-SE" w:bidi="sv-SE"/>
    </w:rPr>
  </w:style>
  <w:style w:type="character" w:customStyle="1" w:styleId="Heading3Char">
    <w:name w:val="Heading 3 Char"/>
    <w:basedOn w:val="DefaultParagraphFont"/>
    <w:link w:val="Heading3"/>
    <w:locked/>
    <w:rsid w:val="003B283B"/>
    <w:rPr>
      <w:rFonts w:ascii="Times New Roman" w:hAnsi="Times New Roman"/>
      <w:sz w:val="22"/>
      <w:szCs w:val="22"/>
      <w:lang w:val="sv-SE" w:eastAsia="sv-SE" w:bidi="sv-SE"/>
    </w:rPr>
  </w:style>
  <w:style w:type="character" w:customStyle="1" w:styleId="Heading4Char">
    <w:name w:val="Heading 4 Char"/>
    <w:basedOn w:val="DefaultParagraphFont"/>
    <w:link w:val="Heading4"/>
    <w:locked/>
    <w:rsid w:val="003B283B"/>
    <w:rPr>
      <w:rFonts w:ascii="Times New Roman" w:hAnsi="Times New Roman"/>
      <w:sz w:val="22"/>
      <w:szCs w:val="22"/>
      <w:lang w:val="sv-SE" w:eastAsia="sv-SE" w:bidi="sv-SE"/>
    </w:rPr>
  </w:style>
  <w:style w:type="character" w:customStyle="1" w:styleId="Heading5Char">
    <w:name w:val="Heading 5 Char"/>
    <w:basedOn w:val="DefaultParagraphFont"/>
    <w:link w:val="Heading5"/>
    <w:locked/>
    <w:rsid w:val="003B283B"/>
    <w:rPr>
      <w:rFonts w:ascii="Times New Roman" w:hAnsi="Times New Roman"/>
      <w:sz w:val="22"/>
      <w:szCs w:val="22"/>
      <w:lang w:val="sv-SE" w:eastAsia="sv-SE" w:bidi="sv-SE"/>
    </w:rPr>
  </w:style>
  <w:style w:type="character" w:customStyle="1" w:styleId="Heading6Char">
    <w:name w:val="Heading 6 Char"/>
    <w:basedOn w:val="DefaultParagraphFont"/>
    <w:link w:val="Heading6"/>
    <w:locked/>
    <w:rsid w:val="003B283B"/>
    <w:rPr>
      <w:rFonts w:ascii="Times New Roman" w:hAnsi="Times New Roman"/>
      <w:sz w:val="22"/>
      <w:szCs w:val="22"/>
      <w:lang w:val="sv-SE" w:eastAsia="sv-SE" w:bidi="sv-SE"/>
    </w:rPr>
  </w:style>
  <w:style w:type="character" w:customStyle="1" w:styleId="Heading7Char">
    <w:name w:val="Heading 7 Char"/>
    <w:basedOn w:val="DefaultParagraphFont"/>
    <w:link w:val="Heading7"/>
    <w:locked/>
    <w:rsid w:val="003B283B"/>
    <w:rPr>
      <w:rFonts w:ascii="Times New Roman" w:hAnsi="Times New Roman"/>
      <w:sz w:val="22"/>
      <w:szCs w:val="22"/>
      <w:lang w:val="sv-SE" w:eastAsia="sv-SE" w:bidi="sv-SE"/>
    </w:rPr>
  </w:style>
  <w:style w:type="character" w:customStyle="1" w:styleId="Heading8Char">
    <w:name w:val="Heading 8 Char"/>
    <w:basedOn w:val="DefaultParagraphFont"/>
    <w:link w:val="Heading8"/>
    <w:locked/>
    <w:rsid w:val="003B283B"/>
    <w:rPr>
      <w:rFonts w:ascii="Times New Roman" w:hAnsi="Times New Roman"/>
      <w:sz w:val="22"/>
      <w:szCs w:val="22"/>
      <w:lang w:val="sv-SE" w:eastAsia="sv-SE" w:bidi="sv-SE"/>
    </w:rPr>
  </w:style>
  <w:style w:type="character" w:customStyle="1" w:styleId="Heading9Char">
    <w:name w:val="Heading 9 Char"/>
    <w:basedOn w:val="DefaultParagraphFont"/>
    <w:link w:val="Heading9"/>
    <w:locked/>
    <w:rsid w:val="003B283B"/>
    <w:rPr>
      <w:rFonts w:ascii="Times New Roman" w:hAnsi="Times New Roman"/>
      <w:sz w:val="22"/>
      <w:szCs w:val="22"/>
      <w:lang w:val="sv-SE" w:eastAsia="sv-SE" w:bidi="sv-SE"/>
    </w:rPr>
  </w:style>
  <w:style w:type="paragraph" w:styleId="Footer">
    <w:name w:val="footer"/>
    <w:aliases w:val="Footer-odd"/>
    <w:basedOn w:val="Normal"/>
    <w:link w:val="FooterChar"/>
    <w:qFormat/>
    <w:rsid w:val="00DE7E36"/>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sv-SE" w:eastAsia="sv-SE" w:bidi="sv-SE"/>
    </w:rPr>
  </w:style>
  <w:style w:type="paragraph" w:styleId="FootnoteText">
    <w:name w:val="footnote text"/>
    <w:basedOn w:val="Normal"/>
    <w:link w:val="FootnoteTextChar"/>
    <w:qFormat/>
    <w:rsid w:val="00DE7E36"/>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sv-SE" w:eastAsia="sv-SE" w:bidi="sv-SE"/>
    </w:rPr>
  </w:style>
  <w:style w:type="paragraph" w:styleId="Header">
    <w:name w:val="header"/>
    <w:basedOn w:val="Normal"/>
    <w:link w:val="HeaderChar"/>
    <w:qFormat/>
    <w:rsid w:val="00DE7E36"/>
  </w:style>
  <w:style w:type="character" w:customStyle="1" w:styleId="HeaderChar">
    <w:name w:val="Header Char"/>
    <w:basedOn w:val="DefaultParagraphFont"/>
    <w:link w:val="Header"/>
    <w:locked/>
    <w:rsid w:val="003B283B"/>
    <w:rPr>
      <w:rFonts w:ascii="Times New Roman" w:hAnsi="Times New Roman"/>
      <w:sz w:val="22"/>
      <w:szCs w:val="22"/>
      <w:lang w:val="sv-SE" w:eastAsia="sv-SE" w:bidi="sv-SE"/>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DE7E36"/>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DE7E36"/>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4B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4B28"/>
    <w:rPr>
      <w:rFonts w:ascii="Tahoma" w:hAnsi="Tahoma" w:cs="Tahoma"/>
      <w:sz w:val="16"/>
      <w:szCs w:val="16"/>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gerald.klec@eesc.europa.e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Agota.Bazsik@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gerald.klec@eesc.europa.eu" TargetMode="External"/><Relationship Id="rId33" Type="http://schemas.openxmlformats.org/officeDocument/2006/relationships/hyperlink" Target="mailto:Tzonka.Iotzova@eesc.europa.e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jean-pierre.faure@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Helena.Polomik@eesc.europa.eu" TargetMode="External"/><Relationship Id="rId32" Type="http://schemas.openxmlformats.org/officeDocument/2006/relationships/hyperlink" Target="mailto:Laura.Ernsteina@eesc.europa.e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Monica.Guarinoni@eesc.europa.eu" TargetMode="External"/><Relationship Id="rId28" Type="http://schemas.openxmlformats.org/officeDocument/2006/relationships/hyperlink" Target="mailto:gerald.klec@eesc.europa.eu" TargetMode="Externa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marie-laurence.drillon@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ana.dumitrache@eesc.europa.eu" TargetMode="External"/><Relationship Id="rId27" Type="http://schemas.openxmlformats.org/officeDocument/2006/relationships/hyperlink" Target="mailto:Helena.Polomik@eesc.europa.eu" TargetMode="External"/><Relationship Id="rId30" Type="http://schemas.openxmlformats.org/officeDocument/2006/relationships/hyperlink" Target="mailto:daniel.squerzi@eesc.europa.eu" TargetMode="Externa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WTPCSN73YJ26-4-4866</_dlc_DocId>
    <_dlc_DocIdUrl xmlns="8a3471f6-0f36-4ccf-b5ee-1ca67ea797ef">
      <Url>http://dm/EESC/2017/_layouts/DocIdRedir.aspx?ID=WTPCSN73YJ26-4-4866</Url>
      <Description>WTPCSN73YJ26-4-4866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2017-04-20T12:00:00+00:00</ProductionDate>
    <DocumentNumber xmlns="d001fc02-2481-471c-a01d-134a91e40015">1003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2017-03-29T12:00:00+00:00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TaxCatchAll xmlns="8a3471f6-0f36-4ccf-b5ee-1ca67ea797ef">
      <Value>35</Value>
      <Value>38</Value>
      <Value>37</Value>
      <Value>36</Value>
      <Value>27</Value>
      <Value>34</Value>
      <Value>33</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4518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F8E53C94-794D-437B-A2B3-21FA16B1496C}"/>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6463034F-E2FA-4C86-8CDB-9F9309959275}"/>
</file>

<file path=docProps/app.xml><?xml version="1.0" encoding="utf-8"?>
<Properties xmlns="http://schemas.openxmlformats.org/officeDocument/2006/extended-properties" xmlns:vt="http://schemas.openxmlformats.org/officeDocument/2006/docPropsVTypes">
  <Template>Styles</Template>
  <TotalTime>8</TotalTime>
  <Pages>3</Pages>
  <Words>3352</Words>
  <Characters>22347</Characters>
  <Application>Microsoft Office Word</Application>
  <DocSecurity>0</DocSecurity>
  <Lines>551</Lines>
  <Paragraphs>204</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Sammanfattning av antagna yttranden - plenarsessionen den 29–30 mars 2017</dc:title>
  <dc:subject>Diverse dokument i samband med yttranden m.m.</dc:subject>
  <dc:creator/>
  <cp:keywords>EESC-2017-01003-00-01-TCD-TRA-SV</cp:keywords>
  <dc:description>Föredragande: -_x000d_
Originalspråk: FR, EN_x000d_
Dokumentets datum: 20/04/2017_x000d_
Sammanträdesdatum: 29/03/2017_x000d_
Externa dokument: -_x000d_
Ansvarig tjänsteman: Cosmai Domenico, tfn: +32 (0)2 546 9041_x000d_
_x000d_
Sammanfattning:</dc:description>
  <cp:lastModifiedBy>Susanne Cords</cp:lastModifiedBy>
  <cp:revision>8</cp:revision>
  <cp:lastPrinted>2017-04-06T07:38:00Z</cp:lastPrinted>
  <dcterms:created xsi:type="dcterms:W3CDTF">2017-04-12T14:55:00Z</dcterms:created>
  <dcterms:modified xsi:type="dcterms:W3CDTF">2017-04-20T08:50:00Z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12/04/2017, 23/03/2017, 13/12/2016, 15/09/2016, 14/09/2016, 14/09/2016, 12/07/2016, 30/06/2016, 29/06/2016, 23/05/2016, 23/05/2016, 25/04/2016, 25/04/2016, 14/03/2016, 11/03/2016, 11/03/2016, 15/02/2016, 15/02/2016, 15/02/2016, 03/02/2016, 03/02/2016, 14/</vt:lpwstr>
  </property>
  <property fmtid="{D5CDD505-2E9C-101B-9397-08002B2CF9AE}" pid="4" name="Pref_Time">
    <vt:lpwstr>16:10:17, 12:08:44, 12:23:59, 18:12:41, 09:48:43, 08:36:59, 11:43:50, 09:30:52, 17:35:55, 17:02:49, 16:30:20, 11:28:20, 09:54:52, 08:31:22, 17:08:54, 15:59:23, 12:27:50, 12:09:16, 09:49:23, 17:26:57, 16:09:02, 17:58:07, 17:32:44, 15:05:42, 11:13:53, 16:35</vt:lpwstr>
  </property>
  <property fmtid="{D5CDD505-2E9C-101B-9397-08002B2CF9AE}" pid="5" name="Pref_User">
    <vt:lpwstr>mkop,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EESC-2017-01003-00-01-TCD-TRA-EN-CRR.docx, EESC-2017-01003-00-00-TCD-ORI.docx, EESC-2016-05775-00-00-TCD-ORI.docx, EESC-2016-03275-00-01-TCD-ORI.docx, EESC-2016-03275-00-00-TCD-TRA-EN-CRR.docx, EESC-2016-03275-00-00-TCD-CRR-FR.docx, EESC-2016-03689-00-01-</vt:lpwstr>
  </property>
  <property fmtid="{D5CDD505-2E9C-101B-9397-08002B2CF9AE}" pid="7" name="ContentTypeId">
    <vt:lpwstr>0x010100EA97B91038054C99906057A708A1480A00F51D1BDF1B59D8489738113A248D32C4</vt:lpwstr>
  </property>
  <property fmtid="{D5CDD505-2E9C-101B-9397-08002B2CF9AE}" pid="8" name="_dlc_DocIdItemGuid">
    <vt:lpwstr>1f780a65-7544-4b40-bc4e-f8985734a0c9</vt:lpwstr>
  </property>
  <property fmtid="{D5CDD505-2E9C-101B-9397-08002B2CF9AE}" pid="9" name="AvailableTranslations">
    <vt:lpwstr>4;#EN|f2175f21-25d7-44a3-96da-d6a61b075e1b;#32;#MT|7df99101-6854-4a26-b53a-b88c0da02c26;#33;#PL|1e03da61-4678-4e07-b136-b5024ca9197b;#38;#HR|2f555653-ed1a-4fe6-8362-9082d95989e5;#12;#NL|55c6556c-b4f4-441d-9acf-c498d4f838bd;#15;#PT|50ccc04a-eadd-42ae-a0cb-acaf45f812ba;#22;#IT|0774613c-01ed-4e5d-a25d-11d2388de825;#23;#DA|5d49c027-8956-412b-aa16-e85a0f96ad0e;#36;#BG|1a1b3951-7821-4e6a-85f5-5673fc08bd2c;#14;#ES|e7a6b05b-ae16-40c8-add9-68b64b03aeba;#24;#EL|6d4f4d51-af9b-4650-94b4-4276bee85c91;#31;#LT|a7ff5ce7-6123-4f68-865a-a57c31810414;#37;#RO|feb747a2-64cd-4299-af12-4833ddc30497;#34;#SK|46d9fce0-ef79-4f71-b89b-cd6aa82426b8;#18;#DE|f6b31e5a-26fa-4935-b661-318e46daf27e;#30;#LV|46f7e311-5d9f-4663-b433-18aeccb7ace7;#29;#HU|6b229040-c589-4408-b4c1-4285663d20a8;#25;#FI|87606a43-d45f-42d6-b8c9-e1a3457db5b7;#27;#CS|72f9705b-0217-4fd3-bea2-cbc7ed80e26e;#8;#FR|d2afafd3-4c81-4f60-8f52-ee33f2f54ff3;#28;#ET|ff6c3f4c-b02c-4c3c-ab07-2c37995a7a0a;#35;#SL|98a412ae-eb01-49e9-ae3d-585a81724cfc;#26;#SV|c2ed69e7-a339-43d7-8f22-d93680a92aa0</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26;#SV|c2ed69e7-a339-43d7-8f22-d93680a92aa0</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1003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2017-03-29T12:00:00Z</vt:filetime>
  </property>
  <property fmtid="{D5CDD505-2E9C-101B-9397-08002B2CF9AE}" pid="30" name="DocumentLanguage_0">
    <vt:lpwstr>FR|d2afafd3-4c81-4f60-8f52-ee33f2f54ff3</vt:lpwstr>
  </property>
  <property fmtid="{D5CDD505-2E9C-101B-9397-08002B2CF9AE}" pid="31" name="TaxCatchAll">
    <vt:lpwstr>38;#HR|2f555653-ed1a-4fe6-8362-9082d95989e5;#36;#BG|1a1b3951-7821-4e6a-85f5-5673fc08bd2c;#34;#SK|46d9fce0-ef79-4f71-b89b-cd6aa82426b8;#33;#PL|1e03da61-4678-4e07-b136-b5024ca9197b;#30;#LV|46f7e311-5d9f-4663-b433-18aeccb7ace7;#27;#CS|72f9705b-0217-4fd3-bea2-cbc7ed80e26e;#25;#FI|87606a43-d45f-42d6-b8c9-e1a3457db5b7;#72;#SPL-CES|32d8cb1f-c9ec-4365-95c7-8385a18618ac;#24;#EL|6d4f4d51-af9b-4650-94b4-4276bee85c91;#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4518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PL|1e03da61-4678-4e07-b136-b5024ca9197b;HR|2f555653-ed1a-4fe6-8362-9082d95989e5;NL|55c6556c-b4f4-441d-9acf-c498d4f838bd;PT|50ccc04a-eadd-42ae-a0cb-acaf45f812ba;BG|1a1b3951-7821-4e6a-85f5-5673fc08bd2c;ES|e7a6b05b-ae16-40c8-add9-68b64b03aeba;EL|6d4f4d51-af9b-4650-94b4-4276bee85c91;SK|46d9fce0-ef79-4f71-b89b-cd6aa82426b8;DE|f6b31e5a-26fa-4935-b661-318e46daf27e;LV|46f7e311-5d9f-4663-b433-18aeccb7ace7;FI|87606a43-d45f-42d6-b8c9-e1a3457db5b7;CS|72f9705b-0217-4fd3-bea2-cbc7ed80e26e</vt:lpwstr>
  </property>
</Properties>
</file>