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840B39" w:rsidRDefault="0070482D" w:rsidP="00377A77">
      <w:pPr>
        <w:snapToGrid w:val="0"/>
        <w:jc w:val="center"/>
      </w:pPr>
      <w:r w:rsidRPr="00840B39">
        <w:rPr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9E3FE4" wp14:editId="4B05FCA6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82D" w:rsidRPr="0070482D" w:rsidRDefault="0070482D" w:rsidP="00704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70482D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70482D" w:rsidRPr="0070482D" w:rsidRDefault="0070482D" w:rsidP="007048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70482D"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F3E" w:rsidRPr="00840B39">
        <w:rPr>
          <w:lang w:eastAsia="pt-PT"/>
        </w:rPr>
        <w:drawing>
          <wp:inline distT="0" distB="0" distL="0" distR="0" wp14:anchorId="3FBA3895" wp14:editId="66198285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840B39" w:rsidRDefault="008405A0" w:rsidP="00377A77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840B39">
        <w:rPr>
          <w:rFonts w:ascii="Arial" w:hAnsi="Arial"/>
          <w:b/>
          <w:i/>
          <w:sz w:val="20"/>
        </w:rPr>
        <w:t>Comité Económico e Social Europeu</w:t>
      </w:r>
    </w:p>
    <w:p w:rsidR="008405A0" w:rsidRPr="00840B39" w:rsidRDefault="008405A0" w:rsidP="00377A77">
      <w:pPr>
        <w:snapToGrid w:val="0"/>
      </w:pPr>
    </w:p>
    <w:p w:rsidR="008405A0" w:rsidRPr="00840B39" w:rsidRDefault="008405A0" w:rsidP="00377A77">
      <w:pPr>
        <w:snapToGrid w:val="0"/>
      </w:pPr>
    </w:p>
    <w:p w:rsidR="008405A0" w:rsidRPr="00840B39" w:rsidRDefault="008405A0" w:rsidP="00377A77">
      <w:pPr>
        <w:snapToGrid w:val="0"/>
        <w:jc w:val="right"/>
        <w:rPr>
          <w:rFonts w:eastAsia="MS Mincho"/>
        </w:rPr>
      </w:pPr>
      <w:r w:rsidRPr="00840B39">
        <w:t>Bruxelas, 20 de abril de 2017</w:t>
      </w:r>
    </w:p>
    <w:p w:rsidR="008405A0" w:rsidRPr="00840B39" w:rsidRDefault="008405A0" w:rsidP="00377A77">
      <w:pPr>
        <w:snapToGrid w:val="0"/>
      </w:pPr>
    </w:p>
    <w:p w:rsidR="008405A0" w:rsidRPr="00840B39" w:rsidRDefault="008405A0" w:rsidP="00377A77">
      <w:pPr>
        <w:snapToGrid w:val="0"/>
      </w:pPr>
    </w:p>
    <w:p w:rsidR="00AF6F3E" w:rsidRPr="00840B39" w:rsidRDefault="00AF6F3E" w:rsidP="00377A77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840B39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840B39" w:rsidRDefault="00C62D72" w:rsidP="00377A77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840B39">
              <w:rPr>
                <w:b/>
                <w:sz w:val="32"/>
              </w:rPr>
              <w:t>REUNIÃO PLENÁRIA</w:t>
            </w:r>
            <w:r w:rsidR="0072400C" w:rsidRPr="00840B39">
              <w:rPr>
                <w:b/>
                <w:sz w:val="32"/>
              </w:rPr>
              <w:br/>
            </w:r>
            <w:r w:rsidRPr="00840B39">
              <w:rPr>
                <w:b/>
                <w:sz w:val="32"/>
              </w:rPr>
              <w:br/>
              <w:t>DE 29 E 30 DE MARÇO DE 2017</w:t>
            </w:r>
            <w:r w:rsidRPr="00840B39">
              <w:rPr>
                <w:b/>
                <w:sz w:val="32"/>
              </w:rPr>
              <w:br/>
            </w:r>
            <w:r w:rsidR="0072400C" w:rsidRPr="00840B39">
              <w:rPr>
                <w:b/>
                <w:sz w:val="32"/>
              </w:rPr>
              <w:br/>
              <w:t>SÍNTESE DOS PARECERES ADOTADOS</w:t>
            </w:r>
          </w:p>
          <w:p w:rsidR="008405A0" w:rsidRPr="00840B39" w:rsidRDefault="008405A0" w:rsidP="00377A77"/>
          <w:p w:rsidR="008405A0" w:rsidRPr="00840B39" w:rsidRDefault="008405A0" w:rsidP="00377A77"/>
        </w:tc>
      </w:tr>
      <w:tr w:rsidR="008405A0" w:rsidRPr="00840B39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840B39" w:rsidRDefault="00A31921" w:rsidP="00377A77">
            <w:pPr>
              <w:snapToGrid w:val="0"/>
              <w:jc w:val="center"/>
              <w:rPr>
                <w:rFonts w:eastAsia="MS Mincho"/>
                <w:b/>
              </w:rPr>
            </w:pPr>
            <w:r w:rsidRPr="00840B39">
              <w:rPr>
                <w:b/>
              </w:rPr>
              <w:t>O presente documento pode ser consultado nas línguas oficiais no sítio Web do CESE, no seguinte endereço:</w:t>
            </w:r>
          </w:p>
          <w:p w:rsidR="008405A0" w:rsidRPr="00840B39" w:rsidRDefault="008405A0" w:rsidP="00377A77">
            <w:pPr>
              <w:snapToGrid w:val="0"/>
              <w:jc w:val="center"/>
              <w:rPr>
                <w:b/>
              </w:rPr>
            </w:pPr>
          </w:p>
          <w:p w:rsidR="008405A0" w:rsidRPr="00840B39" w:rsidRDefault="00840B39" w:rsidP="00377A77">
            <w:pPr>
              <w:jc w:val="center"/>
              <w:rPr>
                <w:rFonts w:eastAsia="MS Mincho"/>
                <w:b/>
              </w:rPr>
            </w:pPr>
            <w:hyperlink r:id="rId14" w:anchor="/boxTab1-2">
              <w:r w:rsidR="00184B28" w:rsidRPr="00840B39">
                <w:rPr>
                  <w:rStyle w:val="Hyperlink"/>
                  <w:b/>
                </w:rPr>
                <w:t>http://www.eesc.europa.eu/?i=portal.fr.documents#/boxTab1-2</w:t>
              </w:r>
            </w:hyperlink>
          </w:p>
          <w:p w:rsidR="008405A0" w:rsidRPr="00840B39" w:rsidRDefault="008405A0" w:rsidP="00377A77">
            <w:pPr>
              <w:snapToGrid w:val="0"/>
              <w:jc w:val="center"/>
            </w:pPr>
          </w:p>
          <w:p w:rsidR="008405A0" w:rsidRPr="00840B39" w:rsidRDefault="008405A0" w:rsidP="00377A77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8405A0" w:rsidRPr="00840B39" w:rsidRDefault="008405A0" w:rsidP="00377A77">
            <w:pPr>
              <w:snapToGrid w:val="0"/>
              <w:jc w:val="center"/>
              <w:rPr>
                <w:rFonts w:eastAsia="MS Mincho"/>
                <w:b/>
              </w:rPr>
            </w:pPr>
            <w:r w:rsidRPr="00840B39">
              <w:rPr>
                <w:b/>
              </w:rPr>
              <w:t>Os pareceres mencionados podem ser consultados em linha através do motor de busca do Comité:</w:t>
            </w:r>
          </w:p>
          <w:p w:rsidR="008405A0" w:rsidRPr="00840B39" w:rsidRDefault="008405A0" w:rsidP="00377A77">
            <w:pPr>
              <w:snapToGrid w:val="0"/>
              <w:jc w:val="center"/>
              <w:rPr>
                <w:b/>
              </w:rPr>
            </w:pPr>
          </w:p>
          <w:p w:rsidR="008405A0" w:rsidRPr="00840B39" w:rsidRDefault="00840B39" w:rsidP="00377A77">
            <w:pPr>
              <w:jc w:val="center"/>
              <w:rPr>
                <w:rFonts w:eastAsia="MS Mincho"/>
                <w:b/>
              </w:rPr>
            </w:pPr>
            <w:hyperlink r:id="rId15">
              <w:r w:rsidR="00184B28" w:rsidRPr="00840B39">
                <w:rPr>
                  <w:rStyle w:val="Hyperlink"/>
                  <w:b/>
                </w:rPr>
                <w:t>http://www.eesc.europa.eu/?i=portal.fr.opinions-search</w:t>
              </w:r>
            </w:hyperlink>
          </w:p>
          <w:p w:rsidR="008405A0" w:rsidRPr="00840B39" w:rsidRDefault="008405A0" w:rsidP="00377A7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405A0" w:rsidRPr="00840B39" w:rsidRDefault="008405A0" w:rsidP="00377A77">
      <w:pPr>
        <w:snapToGrid w:val="0"/>
      </w:pPr>
    </w:p>
    <w:p w:rsidR="008F7791" w:rsidRPr="00840B39" w:rsidRDefault="008F7791" w:rsidP="008F7791">
      <w:pPr>
        <w:rPr>
          <w:rFonts w:eastAsia="SimSun"/>
        </w:rPr>
      </w:pPr>
    </w:p>
    <w:p w:rsidR="008F7791" w:rsidRPr="00840B39" w:rsidRDefault="008F7791" w:rsidP="008F7791">
      <w:pPr>
        <w:rPr>
          <w:rFonts w:eastAsia="SimSun"/>
          <w:sz w:val="28"/>
        </w:rPr>
      </w:pPr>
    </w:p>
    <w:p w:rsidR="00A9340A" w:rsidRPr="00840B39" w:rsidRDefault="00A9340A" w:rsidP="008F7791">
      <w:pPr>
        <w:rPr>
          <w:rFonts w:eastAsia="SimSun"/>
          <w:sz w:val="28"/>
        </w:rPr>
        <w:sectPr w:rsidR="00A9340A" w:rsidRPr="00840B39" w:rsidSect="0070482D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840B39" w:rsidRDefault="008405A0" w:rsidP="00377A77">
      <w:pPr>
        <w:snapToGrid w:val="0"/>
        <w:rPr>
          <w:rFonts w:eastAsia="MS Mincho"/>
          <w:b/>
          <w:sz w:val="28"/>
          <w:u w:val="single"/>
        </w:rPr>
      </w:pPr>
      <w:bookmarkStart w:id="0" w:name="_GoBack"/>
      <w:bookmarkEnd w:id="0"/>
      <w:r w:rsidRPr="00840B39">
        <w:rPr>
          <w:b/>
        </w:rPr>
        <w:lastRenderedPageBreak/>
        <w:t>Índice</w:t>
      </w:r>
    </w:p>
    <w:p w:rsidR="00D16D76" w:rsidRPr="00840B39" w:rsidRDefault="00D16D76" w:rsidP="004C07BF"/>
    <w:p w:rsidR="000C5C84" w:rsidRPr="00840B39" w:rsidRDefault="000C5C84" w:rsidP="004C07BF"/>
    <w:p w:rsidR="000C5C84" w:rsidRPr="00840B39" w:rsidRDefault="000C5C84" w:rsidP="000C5C84">
      <w:pPr>
        <w:pStyle w:val="TOC1"/>
        <w:rPr>
          <w:rFonts w:asciiTheme="minorHAnsi" w:eastAsiaTheme="minorEastAsia" w:hAnsiTheme="minorHAnsi" w:cstheme="minorBidi"/>
        </w:rPr>
      </w:pPr>
      <w:r w:rsidRPr="00840B39">
        <w:rPr>
          <w:b/>
        </w:rPr>
        <w:fldChar w:fldCharType="begin"/>
      </w:r>
      <w:r w:rsidRPr="00840B39">
        <w:rPr>
          <w:b/>
        </w:rPr>
        <w:instrText xml:space="preserve"> TOC \o "1-1" \h \z \u </w:instrText>
      </w:r>
      <w:r w:rsidRPr="00840B39">
        <w:rPr>
          <w:b/>
        </w:rPr>
        <w:fldChar w:fldCharType="separate"/>
      </w:r>
      <w:hyperlink w:anchor="_Toc480365046" w:history="1">
        <w:r w:rsidRPr="00840B39">
          <w:rPr>
            <w:rStyle w:val="Hyperlink"/>
            <w:b/>
          </w:rPr>
          <w:t>1.</w:t>
        </w:r>
        <w:r w:rsidRPr="00840B39">
          <w:rPr>
            <w:rFonts w:asciiTheme="minorHAnsi" w:eastAsiaTheme="minorEastAsia" w:hAnsiTheme="minorHAnsi" w:cstheme="minorBidi"/>
          </w:rPr>
          <w:tab/>
        </w:r>
        <w:r w:rsidRPr="00840B39">
          <w:rPr>
            <w:rStyle w:val="Hyperlink"/>
            <w:b/>
          </w:rPr>
          <w:t>ASSUNTOS SOCIAIS</w:t>
        </w:r>
        <w:r w:rsidRPr="00840B39">
          <w:rPr>
            <w:webHidden/>
          </w:rPr>
          <w:tab/>
        </w:r>
        <w:r w:rsidRPr="00840B39">
          <w:rPr>
            <w:webHidden/>
          </w:rPr>
          <w:fldChar w:fldCharType="begin"/>
        </w:r>
        <w:r w:rsidRPr="00840B39">
          <w:rPr>
            <w:webHidden/>
          </w:rPr>
          <w:instrText xml:space="preserve"> PAGEREF _Toc480365046 \h </w:instrText>
        </w:r>
        <w:r w:rsidRPr="00840B39">
          <w:rPr>
            <w:webHidden/>
          </w:rPr>
        </w:r>
        <w:r w:rsidRPr="00840B39">
          <w:rPr>
            <w:webHidden/>
          </w:rPr>
          <w:fldChar w:fldCharType="separate"/>
        </w:r>
        <w:r w:rsidRPr="00840B39">
          <w:rPr>
            <w:webHidden/>
          </w:rPr>
          <w:t>3</w:t>
        </w:r>
        <w:r w:rsidRPr="00840B39">
          <w:rPr>
            <w:webHidden/>
          </w:rPr>
          <w:fldChar w:fldCharType="end"/>
        </w:r>
      </w:hyperlink>
    </w:p>
    <w:p w:rsidR="000C5C84" w:rsidRPr="00840B39" w:rsidRDefault="00840B39" w:rsidP="000C5C84">
      <w:pPr>
        <w:pStyle w:val="TOC1"/>
        <w:rPr>
          <w:rFonts w:asciiTheme="minorHAnsi" w:eastAsiaTheme="minorEastAsia" w:hAnsiTheme="minorHAnsi" w:cstheme="minorBidi"/>
        </w:rPr>
      </w:pPr>
      <w:hyperlink w:anchor="_Toc480365047" w:history="1">
        <w:r w:rsidR="000C5C84" w:rsidRPr="00840B39">
          <w:rPr>
            <w:rStyle w:val="Hyperlink"/>
            <w:b/>
          </w:rPr>
          <w:t>2.</w:t>
        </w:r>
        <w:r w:rsidR="000C5C84" w:rsidRPr="00840B39">
          <w:rPr>
            <w:rFonts w:asciiTheme="minorHAnsi" w:eastAsiaTheme="minorEastAsia" w:hAnsiTheme="minorHAnsi" w:cstheme="minorBidi"/>
          </w:rPr>
          <w:tab/>
        </w:r>
        <w:r w:rsidR="000C5C84" w:rsidRPr="00840B39">
          <w:rPr>
            <w:rStyle w:val="Hyperlink"/>
            <w:b/>
          </w:rPr>
          <w:t>CONSUMIDORES / ASSUNTOS SOCIAIS</w:t>
        </w:r>
        <w:r w:rsidR="000C5C84" w:rsidRPr="00840B39">
          <w:rPr>
            <w:webHidden/>
          </w:rPr>
          <w:tab/>
        </w:r>
        <w:r w:rsidR="000C5C84" w:rsidRPr="00840B39">
          <w:rPr>
            <w:webHidden/>
          </w:rPr>
          <w:fldChar w:fldCharType="begin"/>
        </w:r>
        <w:r w:rsidR="000C5C84" w:rsidRPr="00840B39">
          <w:rPr>
            <w:webHidden/>
          </w:rPr>
          <w:instrText xml:space="preserve"> PAGEREF _Toc480365047 \h </w:instrText>
        </w:r>
        <w:r w:rsidR="000C5C84" w:rsidRPr="00840B39">
          <w:rPr>
            <w:webHidden/>
          </w:rPr>
        </w:r>
        <w:r w:rsidR="000C5C84" w:rsidRPr="00840B39">
          <w:rPr>
            <w:webHidden/>
          </w:rPr>
          <w:fldChar w:fldCharType="separate"/>
        </w:r>
        <w:r w:rsidR="000C5C84" w:rsidRPr="00840B39">
          <w:rPr>
            <w:webHidden/>
          </w:rPr>
          <w:t>4</w:t>
        </w:r>
        <w:r w:rsidR="000C5C84" w:rsidRPr="00840B39">
          <w:rPr>
            <w:webHidden/>
          </w:rPr>
          <w:fldChar w:fldCharType="end"/>
        </w:r>
      </w:hyperlink>
    </w:p>
    <w:p w:rsidR="000C5C84" w:rsidRPr="00840B39" w:rsidRDefault="00840B39" w:rsidP="000C5C84">
      <w:pPr>
        <w:pStyle w:val="TOC1"/>
        <w:rPr>
          <w:rFonts w:asciiTheme="minorHAnsi" w:eastAsiaTheme="minorEastAsia" w:hAnsiTheme="minorHAnsi" w:cstheme="minorBidi"/>
        </w:rPr>
      </w:pPr>
      <w:hyperlink w:anchor="_Toc480365048" w:history="1">
        <w:r w:rsidR="000C5C84" w:rsidRPr="00840B39">
          <w:rPr>
            <w:rStyle w:val="Hyperlink"/>
            <w:b/>
          </w:rPr>
          <w:t>3.</w:t>
        </w:r>
        <w:r w:rsidR="000C5C84" w:rsidRPr="00840B39">
          <w:rPr>
            <w:rFonts w:asciiTheme="minorHAnsi" w:eastAsiaTheme="minorEastAsia" w:hAnsiTheme="minorHAnsi" w:cstheme="minorBidi"/>
          </w:rPr>
          <w:tab/>
        </w:r>
        <w:r w:rsidR="000C5C84" w:rsidRPr="00840B39">
          <w:rPr>
            <w:rStyle w:val="Hyperlink"/>
            <w:b/>
          </w:rPr>
          <w:t>CRESCIMENTO E INOVAÇÃO</w:t>
        </w:r>
        <w:r w:rsidR="000C5C84" w:rsidRPr="00840B39">
          <w:rPr>
            <w:webHidden/>
          </w:rPr>
          <w:tab/>
        </w:r>
        <w:r w:rsidR="000C5C84" w:rsidRPr="00840B39">
          <w:rPr>
            <w:webHidden/>
          </w:rPr>
          <w:fldChar w:fldCharType="begin"/>
        </w:r>
        <w:r w:rsidR="000C5C84" w:rsidRPr="00840B39">
          <w:rPr>
            <w:webHidden/>
          </w:rPr>
          <w:instrText xml:space="preserve"> PAGEREF _Toc480365048 \h </w:instrText>
        </w:r>
        <w:r w:rsidR="000C5C84" w:rsidRPr="00840B39">
          <w:rPr>
            <w:webHidden/>
          </w:rPr>
        </w:r>
        <w:r w:rsidR="000C5C84" w:rsidRPr="00840B39">
          <w:rPr>
            <w:webHidden/>
          </w:rPr>
          <w:fldChar w:fldCharType="separate"/>
        </w:r>
        <w:r w:rsidR="000C5C84" w:rsidRPr="00840B39">
          <w:rPr>
            <w:webHidden/>
          </w:rPr>
          <w:t>5</w:t>
        </w:r>
        <w:r w:rsidR="000C5C84" w:rsidRPr="00840B39">
          <w:rPr>
            <w:webHidden/>
          </w:rPr>
          <w:fldChar w:fldCharType="end"/>
        </w:r>
      </w:hyperlink>
    </w:p>
    <w:p w:rsidR="000C5C84" w:rsidRPr="00840B39" w:rsidRDefault="00840B39" w:rsidP="000C5C84">
      <w:pPr>
        <w:pStyle w:val="TOC1"/>
        <w:rPr>
          <w:rFonts w:asciiTheme="minorHAnsi" w:eastAsiaTheme="minorEastAsia" w:hAnsiTheme="minorHAnsi" w:cstheme="minorBidi"/>
        </w:rPr>
      </w:pPr>
      <w:hyperlink w:anchor="_Toc480365049" w:history="1">
        <w:r w:rsidR="000C5C84" w:rsidRPr="00840B39">
          <w:rPr>
            <w:rStyle w:val="Hyperlink"/>
            <w:b/>
          </w:rPr>
          <w:t>4.</w:t>
        </w:r>
        <w:r w:rsidR="000C5C84" w:rsidRPr="00840B39">
          <w:rPr>
            <w:rFonts w:asciiTheme="minorHAnsi" w:eastAsiaTheme="minorEastAsia" w:hAnsiTheme="minorHAnsi" w:cstheme="minorBidi"/>
          </w:rPr>
          <w:tab/>
        </w:r>
        <w:r w:rsidR="000C5C84" w:rsidRPr="00840B39">
          <w:rPr>
            <w:rStyle w:val="Hyperlink"/>
            <w:b/>
          </w:rPr>
          <w:t>GOVERNAÇÃO ECONÓMICA / INSTRUMENTOS FINANCEIROS / FISCALIDADE</w:t>
        </w:r>
        <w:r w:rsidR="000C5C84" w:rsidRPr="00840B39">
          <w:rPr>
            <w:webHidden/>
          </w:rPr>
          <w:tab/>
        </w:r>
        <w:r w:rsidR="000C5C84" w:rsidRPr="00840B39">
          <w:rPr>
            <w:webHidden/>
          </w:rPr>
          <w:fldChar w:fldCharType="begin"/>
        </w:r>
        <w:r w:rsidR="000C5C84" w:rsidRPr="00840B39">
          <w:rPr>
            <w:webHidden/>
          </w:rPr>
          <w:instrText xml:space="preserve"> PAGEREF _Toc480365049 \h </w:instrText>
        </w:r>
        <w:r w:rsidR="000C5C84" w:rsidRPr="00840B39">
          <w:rPr>
            <w:webHidden/>
          </w:rPr>
        </w:r>
        <w:r w:rsidR="000C5C84" w:rsidRPr="00840B39">
          <w:rPr>
            <w:webHidden/>
          </w:rPr>
          <w:fldChar w:fldCharType="separate"/>
        </w:r>
        <w:r w:rsidR="000C5C84" w:rsidRPr="00840B39">
          <w:rPr>
            <w:webHidden/>
          </w:rPr>
          <w:t>5</w:t>
        </w:r>
        <w:r w:rsidR="000C5C84" w:rsidRPr="00840B39">
          <w:rPr>
            <w:webHidden/>
          </w:rPr>
          <w:fldChar w:fldCharType="end"/>
        </w:r>
      </w:hyperlink>
    </w:p>
    <w:p w:rsidR="000C5C84" w:rsidRPr="00840B39" w:rsidRDefault="00840B39" w:rsidP="000C5C84">
      <w:pPr>
        <w:pStyle w:val="TOC1"/>
        <w:rPr>
          <w:rFonts w:asciiTheme="minorHAnsi" w:eastAsiaTheme="minorEastAsia" w:hAnsiTheme="minorHAnsi" w:cstheme="minorBidi"/>
        </w:rPr>
      </w:pPr>
      <w:hyperlink w:anchor="_Toc480365050" w:history="1">
        <w:r w:rsidR="000C5C84" w:rsidRPr="00840B39">
          <w:rPr>
            <w:rStyle w:val="Hyperlink"/>
            <w:b/>
          </w:rPr>
          <w:t>5.</w:t>
        </w:r>
        <w:r w:rsidR="000C5C84" w:rsidRPr="00840B39">
          <w:rPr>
            <w:rFonts w:asciiTheme="minorHAnsi" w:eastAsiaTheme="minorEastAsia" w:hAnsiTheme="minorHAnsi" w:cstheme="minorBidi"/>
          </w:rPr>
          <w:tab/>
        </w:r>
        <w:r w:rsidR="000C5C84" w:rsidRPr="00840B39">
          <w:rPr>
            <w:rStyle w:val="Hyperlink"/>
            <w:b/>
          </w:rPr>
          <w:t>INDÚSTRIA / INOVAÇÃO</w:t>
        </w:r>
        <w:r w:rsidR="000C5C84" w:rsidRPr="00840B39">
          <w:rPr>
            <w:webHidden/>
          </w:rPr>
          <w:tab/>
        </w:r>
        <w:r w:rsidR="000C5C84" w:rsidRPr="00840B39">
          <w:rPr>
            <w:webHidden/>
          </w:rPr>
          <w:fldChar w:fldCharType="begin"/>
        </w:r>
        <w:r w:rsidR="000C5C84" w:rsidRPr="00840B39">
          <w:rPr>
            <w:webHidden/>
          </w:rPr>
          <w:instrText xml:space="preserve"> PAGEREF _Toc480365050 \h </w:instrText>
        </w:r>
        <w:r w:rsidR="000C5C84" w:rsidRPr="00840B39">
          <w:rPr>
            <w:webHidden/>
          </w:rPr>
        </w:r>
        <w:r w:rsidR="000C5C84" w:rsidRPr="00840B39">
          <w:rPr>
            <w:webHidden/>
          </w:rPr>
          <w:fldChar w:fldCharType="separate"/>
        </w:r>
        <w:r w:rsidR="000C5C84" w:rsidRPr="00840B39">
          <w:rPr>
            <w:webHidden/>
          </w:rPr>
          <w:t>9</w:t>
        </w:r>
        <w:r w:rsidR="000C5C84" w:rsidRPr="00840B39">
          <w:rPr>
            <w:webHidden/>
          </w:rPr>
          <w:fldChar w:fldCharType="end"/>
        </w:r>
      </w:hyperlink>
    </w:p>
    <w:p w:rsidR="000C5C84" w:rsidRPr="00840B39" w:rsidRDefault="00840B39" w:rsidP="000C5C84">
      <w:pPr>
        <w:pStyle w:val="TOC1"/>
        <w:rPr>
          <w:rFonts w:asciiTheme="minorHAnsi" w:eastAsiaTheme="minorEastAsia" w:hAnsiTheme="minorHAnsi" w:cstheme="minorBidi"/>
        </w:rPr>
      </w:pPr>
      <w:hyperlink w:anchor="_Toc480365051" w:history="1">
        <w:r w:rsidR="000C5C84" w:rsidRPr="00840B39">
          <w:rPr>
            <w:rStyle w:val="Hyperlink"/>
            <w:b/>
            <w:iCs/>
          </w:rPr>
          <w:t>6.</w:t>
        </w:r>
        <w:r w:rsidR="000C5C84" w:rsidRPr="00840B39">
          <w:rPr>
            <w:rFonts w:asciiTheme="minorHAnsi" w:eastAsiaTheme="minorEastAsia" w:hAnsiTheme="minorHAnsi" w:cstheme="minorBidi"/>
          </w:rPr>
          <w:tab/>
        </w:r>
        <w:r w:rsidR="000C5C84" w:rsidRPr="00840B39">
          <w:rPr>
            <w:rStyle w:val="Hyperlink"/>
            <w:b/>
          </w:rPr>
          <w:t>MERCADO INTERNO</w:t>
        </w:r>
        <w:r w:rsidR="000C5C84" w:rsidRPr="00840B39">
          <w:rPr>
            <w:webHidden/>
          </w:rPr>
          <w:tab/>
        </w:r>
        <w:r w:rsidR="000C5C84" w:rsidRPr="00840B39">
          <w:rPr>
            <w:webHidden/>
          </w:rPr>
          <w:fldChar w:fldCharType="begin"/>
        </w:r>
        <w:r w:rsidR="000C5C84" w:rsidRPr="00840B39">
          <w:rPr>
            <w:webHidden/>
          </w:rPr>
          <w:instrText xml:space="preserve"> PAGEREF _Toc480365051 \h </w:instrText>
        </w:r>
        <w:r w:rsidR="000C5C84" w:rsidRPr="00840B39">
          <w:rPr>
            <w:webHidden/>
          </w:rPr>
        </w:r>
        <w:r w:rsidR="000C5C84" w:rsidRPr="00840B39">
          <w:rPr>
            <w:webHidden/>
          </w:rPr>
          <w:fldChar w:fldCharType="separate"/>
        </w:r>
        <w:r w:rsidR="000C5C84" w:rsidRPr="00840B39">
          <w:rPr>
            <w:webHidden/>
          </w:rPr>
          <w:t>10</w:t>
        </w:r>
        <w:r w:rsidR="000C5C84" w:rsidRPr="00840B39">
          <w:rPr>
            <w:webHidden/>
          </w:rPr>
          <w:fldChar w:fldCharType="end"/>
        </w:r>
      </w:hyperlink>
    </w:p>
    <w:p w:rsidR="000C5C84" w:rsidRPr="00840B39" w:rsidRDefault="00840B39" w:rsidP="000C5C84">
      <w:pPr>
        <w:pStyle w:val="TOC1"/>
        <w:rPr>
          <w:rFonts w:asciiTheme="minorHAnsi" w:eastAsiaTheme="minorEastAsia" w:hAnsiTheme="minorHAnsi" w:cstheme="minorBidi"/>
        </w:rPr>
      </w:pPr>
      <w:hyperlink w:anchor="_Toc480365052" w:history="1">
        <w:r w:rsidR="000C5C84" w:rsidRPr="00840B39">
          <w:rPr>
            <w:rStyle w:val="Hyperlink"/>
            <w:b/>
            <w:iCs/>
          </w:rPr>
          <w:t>7.</w:t>
        </w:r>
        <w:r w:rsidR="000C5C84" w:rsidRPr="00840B39">
          <w:rPr>
            <w:rFonts w:asciiTheme="minorHAnsi" w:eastAsiaTheme="minorEastAsia" w:hAnsiTheme="minorHAnsi" w:cstheme="minorBidi"/>
          </w:rPr>
          <w:tab/>
        </w:r>
        <w:r w:rsidR="000C5C84" w:rsidRPr="00840B39">
          <w:rPr>
            <w:rStyle w:val="Hyperlink"/>
            <w:b/>
          </w:rPr>
          <w:t>RELAÇÕES EXTERNAS</w:t>
        </w:r>
        <w:r w:rsidR="000C5C84" w:rsidRPr="00840B39">
          <w:rPr>
            <w:webHidden/>
          </w:rPr>
          <w:tab/>
        </w:r>
        <w:r w:rsidR="000C5C84" w:rsidRPr="00840B39">
          <w:rPr>
            <w:webHidden/>
          </w:rPr>
          <w:fldChar w:fldCharType="begin"/>
        </w:r>
        <w:r w:rsidR="000C5C84" w:rsidRPr="00840B39">
          <w:rPr>
            <w:webHidden/>
          </w:rPr>
          <w:instrText xml:space="preserve"> PAGEREF _Toc480365052 \h </w:instrText>
        </w:r>
        <w:r w:rsidR="000C5C84" w:rsidRPr="00840B39">
          <w:rPr>
            <w:webHidden/>
          </w:rPr>
        </w:r>
        <w:r w:rsidR="000C5C84" w:rsidRPr="00840B39">
          <w:rPr>
            <w:webHidden/>
          </w:rPr>
          <w:fldChar w:fldCharType="separate"/>
        </w:r>
        <w:r w:rsidR="000C5C84" w:rsidRPr="00840B39">
          <w:rPr>
            <w:webHidden/>
          </w:rPr>
          <w:t>11</w:t>
        </w:r>
        <w:r w:rsidR="000C5C84" w:rsidRPr="00840B39">
          <w:rPr>
            <w:webHidden/>
          </w:rPr>
          <w:fldChar w:fldCharType="end"/>
        </w:r>
      </w:hyperlink>
    </w:p>
    <w:p w:rsidR="000C5C84" w:rsidRPr="00840B39" w:rsidRDefault="00840B39" w:rsidP="000C5C84">
      <w:pPr>
        <w:pStyle w:val="TOC1"/>
        <w:rPr>
          <w:rFonts w:asciiTheme="minorHAnsi" w:eastAsiaTheme="minorEastAsia" w:hAnsiTheme="minorHAnsi" w:cstheme="minorBidi"/>
        </w:rPr>
      </w:pPr>
      <w:hyperlink w:anchor="_Toc480365053" w:history="1">
        <w:r w:rsidR="000C5C84" w:rsidRPr="00840B39">
          <w:rPr>
            <w:rStyle w:val="Hyperlink"/>
            <w:b/>
            <w:iCs/>
          </w:rPr>
          <w:t>8.</w:t>
        </w:r>
        <w:r w:rsidR="000C5C84" w:rsidRPr="00840B39">
          <w:rPr>
            <w:rFonts w:asciiTheme="minorHAnsi" w:eastAsiaTheme="minorEastAsia" w:hAnsiTheme="minorHAnsi" w:cstheme="minorBidi"/>
          </w:rPr>
          <w:tab/>
        </w:r>
        <w:r w:rsidR="000C5C84" w:rsidRPr="00840B39">
          <w:rPr>
            <w:rStyle w:val="Hyperlink"/>
            <w:b/>
          </w:rPr>
          <w:t>TRANSPORTES</w:t>
        </w:r>
        <w:r w:rsidR="000C5C84" w:rsidRPr="00840B39">
          <w:rPr>
            <w:webHidden/>
          </w:rPr>
          <w:tab/>
        </w:r>
        <w:r w:rsidR="000C5C84" w:rsidRPr="00840B39">
          <w:rPr>
            <w:webHidden/>
          </w:rPr>
          <w:fldChar w:fldCharType="begin"/>
        </w:r>
        <w:r w:rsidR="000C5C84" w:rsidRPr="00840B39">
          <w:rPr>
            <w:webHidden/>
          </w:rPr>
          <w:instrText xml:space="preserve"> PAGEREF _Toc480365053 \h </w:instrText>
        </w:r>
        <w:r w:rsidR="000C5C84" w:rsidRPr="00840B39">
          <w:rPr>
            <w:webHidden/>
          </w:rPr>
        </w:r>
        <w:r w:rsidR="000C5C84" w:rsidRPr="00840B39">
          <w:rPr>
            <w:webHidden/>
          </w:rPr>
          <w:fldChar w:fldCharType="separate"/>
        </w:r>
        <w:r w:rsidR="000C5C84" w:rsidRPr="00840B39">
          <w:rPr>
            <w:webHidden/>
          </w:rPr>
          <w:t>13</w:t>
        </w:r>
        <w:r w:rsidR="000C5C84" w:rsidRPr="00840B39">
          <w:rPr>
            <w:webHidden/>
          </w:rPr>
          <w:fldChar w:fldCharType="end"/>
        </w:r>
      </w:hyperlink>
    </w:p>
    <w:p w:rsidR="000C5C84" w:rsidRPr="00840B39" w:rsidRDefault="000C5C84" w:rsidP="000C5C84">
      <w:r w:rsidRPr="00840B39">
        <w:rPr>
          <w:b/>
        </w:rPr>
        <w:fldChar w:fldCharType="end"/>
      </w:r>
    </w:p>
    <w:p w:rsidR="008405A0" w:rsidRPr="00840B39" w:rsidRDefault="008405A0" w:rsidP="00377A77">
      <w:r w:rsidRPr="00840B39">
        <w:br w:type="page"/>
      </w:r>
    </w:p>
    <w:p w:rsidR="00421682" w:rsidRPr="00840B39" w:rsidRDefault="00421682" w:rsidP="00A3275A">
      <w:pPr>
        <w:spacing w:line="276" w:lineRule="auto"/>
      </w:pPr>
      <w:bookmarkStart w:id="1" w:name="_Toc477938708"/>
      <w:r w:rsidRPr="00840B39">
        <w:lastRenderedPageBreak/>
        <w:t xml:space="preserve">A reunião plenária de 29 e 30 de março de 2017 contou com a presença de </w:t>
      </w:r>
      <w:r w:rsidRPr="00840B39">
        <w:rPr>
          <w:b/>
        </w:rPr>
        <w:t>Cecilia Malmström</w:t>
      </w:r>
      <w:r w:rsidRPr="00840B39">
        <w:t xml:space="preserve">, comissária europeia responsável pelo Comércio, e </w:t>
      </w:r>
      <w:r w:rsidRPr="00840B39">
        <w:rPr>
          <w:b/>
        </w:rPr>
        <w:t>Corina Crețu</w:t>
      </w:r>
      <w:r w:rsidRPr="00840B39">
        <w:t>, comissária europeia responsável pela Política Regional.</w:t>
      </w:r>
    </w:p>
    <w:p w:rsidR="00421682" w:rsidRPr="00840B39" w:rsidRDefault="00421682" w:rsidP="00A3275A">
      <w:pPr>
        <w:spacing w:line="276" w:lineRule="auto"/>
      </w:pPr>
    </w:p>
    <w:p w:rsidR="00421682" w:rsidRPr="00840B39" w:rsidRDefault="00421682" w:rsidP="00A3275A">
      <w:pPr>
        <w:spacing w:line="276" w:lineRule="auto"/>
      </w:pPr>
      <w:r w:rsidRPr="00840B39">
        <w:t>Os pareceres adotados na plenária foram os seguintes:</w:t>
      </w:r>
    </w:p>
    <w:p w:rsidR="00421682" w:rsidRPr="00840B39" w:rsidRDefault="00421682" w:rsidP="00A3275A">
      <w:pPr>
        <w:spacing w:line="276" w:lineRule="auto"/>
      </w:pPr>
    </w:p>
    <w:p w:rsidR="003075E1" w:rsidRPr="00840B39" w:rsidRDefault="004C07BF" w:rsidP="00A3275A">
      <w:pPr>
        <w:pStyle w:val="Heading1"/>
        <w:spacing w:line="276" w:lineRule="auto"/>
        <w:ind w:left="0" w:firstLine="0"/>
        <w:rPr>
          <w:b/>
        </w:rPr>
      </w:pPr>
      <w:r w:rsidRPr="00840B39">
        <w:tab/>
      </w:r>
      <w:bookmarkStart w:id="2" w:name="_Toc480365046"/>
      <w:r w:rsidRPr="00840B39">
        <w:rPr>
          <w:b/>
        </w:rPr>
        <w:t>ASSUNTOS SOCIAIS</w:t>
      </w:r>
      <w:bookmarkEnd w:id="2"/>
      <w:r w:rsidRPr="00840B39">
        <w:tab/>
      </w:r>
      <w:bookmarkEnd w:id="1"/>
    </w:p>
    <w:p w:rsidR="008F6AB1" w:rsidRPr="00840B39" w:rsidRDefault="008F6AB1" w:rsidP="00A3275A">
      <w:pPr>
        <w:rPr>
          <w:highlight w:val="yellow"/>
        </w:rPr>
      </w:pPr>
    </w:p>
    <w:p w:rsidR="00632738" w:rsidRPr="00840B39" w:rsidRDefault="00632738" w:rsidP="00A327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i/>
          <w:iCs/>
          <w:sz w:val="28"/>
          <w:szCs w:val="28"/>
        </w:rPr>
      </w:pPr>
      <w:r w:rsidRPr="00840B39">
        <w:rPr>
          <w:b/>
          <w:i/>
          <w:sz w:val="28"/>
        </w:rPr>
        <w:t>Regulamentos Eurofound, Cedefop e EU-OSHA</w:t>
      </w:r>
    </w:p>
    <w:p w:rsidR="00632738" w:rsidRPr="00840B39" w:rsidRDefault="00632738" w:rsidP="00C62D72">
      <w:pPr>
        <w:overflowPunct w:val="0"/>
        <w:autoSpaceDE w:val="0"/>
        <w:autoSpaceDN w:val="0"/>
        <w:adjustRightInd w:val="0"/>
        <w:spacing w:line="276" w:lineRule="auto"/>
        <w:ind w:firstLine="17"/>
        <w:textAlignment w:val="baseline"/>
        <w:rPr>
          <w:szCs w:val="20"/>
          <w:highlight w:val="yellow"/>
        </w:rPr>
      </w:pPr>
    </w:p>
    <w:p w:rsidR="00632738" w:rsidRPr="00840B39" w:rsidRDefault="00632738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840B39">
        <w:rPr>
          <w:b/>
        </w:rPr>
        <w:t>Relatora:</w:t>
      </w:r>
      <w:r w:rsidRPr="00840B39">
        <w:t xml:space="preserve"> </w:t>
      </w:r>
      <w:r w:rsidRPr="00840B39">
        <w:tab/>
      </w:r>
      <w:r w:rsidR="00AF4070" w:rsidRPr="00840B39">
        <w:tab/>
      </w:r>
      <w:r w:rsidRPr="00840B39">
        <w:t>Christa Schweng (Empregadores – AT)</w:t>
      </w:r>
    </w:p>
    <w:p w:rsidR="00632738" w:rsidRPr="00840B39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Cs/>
          <w:szCs w:val="20"/>
        </w:rPr>
      </w:pPr>
      <w:r w:rsidRPr="00840B39">
        <w:rPr>
          <w:b/>
        </w:rPr>
        <w:t>Correlatora:</w:t>
      </w:r>
      <w:r w:rsidRPr="00840B39">
        <w:tab/>
        <w:t>Giulia Barbucci (IT-II)</w:t>
      </w:r>
    </w:p>
    <w:p w:rsidR="00632738" w:rsidRPr="00840B39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</w:p>
    <w:p w:rsidR="00632738" w:rsidRPr="00840B39" w:rsidRDefault="007E6D4A" w:rsidP="00A3275A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  <w:r w:rsidRPr="00840B39">
        <w:rPr>
          <w:b/>
        </w:rPr>
        <w:t>Referência:</w:t>
      </w:r>
      <w:r w:rsidRPr="00840B39">
        <w:tab/>
        <w:t>EESC-2016-05685-00-00-AS-TRA</w:t>
      </w:r>
    </w:p>
    <w:p w:rsidR="00632738" w:rsidRPr="00840B39" w:rsidRDefault="00632738" w:rsidP="00A3275A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364" w:hanging="369"/>
        <w:textAlignment w:val="baseline"/>
        <w:rPr>
          <w:szCs w:val="20"/>
        </w:rPr>
      </w:pPr>
    </w:p>
    <w:p w:rsidR="00632738" w:rsidRPr="00840B39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  <w:r w:rsidRPr="00840B39">
        <w:rPr>
          <w:b/>
        </w:rPr>
        <w:t>Pontos principais:</w:t>
      </w:r>
    </w:p>
    <w:p w:rsidR="00632738" w:rsidRPr="00840B39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</w:p>
    <w:p w:rsidR="00C66947" w:rsidRPr="00840B39" w:rsidRDefault="00C66947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</w:pPr>
      <w:r w:rsidRPr="00840B39">
        <w:t>No contexto da revisão dos regulamentos de base das três agências, Cedefop, Eurofound e EU-OSHA, o CESE exprime o seu ponto de vista sobre os princípios gerais que regem estes organismos e formula observações específicas para cada agência.</w:t>
      </w:r>
    </w:p>
    <w:p w:rsidR="0089563A" w:rsidRPr="00840B39" w:rsidRDefault="0089563A" w:rsidP="0089563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32738" w:rsidRPr="00840B39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840B39">
        <w:t>O Comité acolhe com satisfação o facto de se manter a estrutura tripartida equilibrada do conselho de administração. O Comité considera que a estrutura tripartida das agências é a expressão de uma abordagem inclusiva, que respeita a importância do papel dos parceiros sociais na procura de soluções conjuntas.</w:t>
      </w:r>
    </w:p>
    <w:p w:rsidR="004C07BF" w:rsidRPr="00840B39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32738" w:rsidRPr="00840B39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840B39">
        <w:t xml:space="preserve">O CESE considera que os objetivos gerais das três agências devem ser definidos de forma uniforme e mais abrangente, consistindo em «apoiar as necessidades de todas as instituições </w:t>
      </w:r>
      <w:r w:rsidR="00DE5A4E" w:rsidRPr="00840B39">
        <w:t>e organismos da UE, dos Estados</w:t>
      </w:r>
      <w:r w:rsidR="00DE5A4E" w:rsidRPr="00840B39">
        <w:noBreakHyphen/>
      </w:r>
      <w:r w:rsidRPr="00840B39">
        <w:t>Membros e dos parceiros sociais».</w:t>
      </w:r>
    </w:p>
    <w:p w:rsidR="004C07BF" w:rsidRPr="00840B39" w:rsidRDefault="004C07BF" w:rsidP="004C07BF">
      <w:pPr>
        <w:overflowPunct w:val="0"/>
        <w:autoSpaceDE w:val="0"/>
        <w:autoSpaceDN w:val="0"/>
        <w:adjustRightInd w:val="0"/>
        <w:spacing w:line="276" w:lineRule="auto"/>
        <w:ind w:left="-567" w:firstLine="567"/>
        <w:textAlignment w:val="baseline"/>
        <w:rPr>
          <w:szCs w:val="20"/>
        </w:rPr>
      </w:pPr>
    </w:p>
    <w:p w:rsidR="00632738" w:rsidRPr="00840B39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840B39">
        <w:t>O CESE defende que as competências relativas à nomeação de membros do pessoal e à alteração das estruturas internas de cada agência devem continuar a incumbir ao diretor de cada agência.</w:t>
      </w:r>
    </w:p>
    <w:p w:rsidR="004C07BF" w:rsidRPr="00840B39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32738" w:rsidRPr="00840B39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840B39">
        <w:t>Opõe-se à redução do número de membros da comissão executiva, uma vez que tal colocaria em desvantagem o grupo de interesses que assume o cargo de presid</w:t>
      </w:r>
      <w:r w:rsidR="00AF4070" w:rsidRPr="00840B39">
        <w:t>ente, que deixaria de ter porta</w:t>
      </w:r>
      <w:r w:rsidR="00AF4070" w:rsidRPr="00840B39">
        <w:noBreakHyphen/>
      </w:r>
      <w:r w:rsidRPr="00840B39">
        <w:t>voz nessa comissão.</w:t>
      </w:r>
    </w:p>
    <w:p w:rsidR="004C07BF" w:rsidRPr="00840B39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32738" w:rsidRPr="00840B39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840B39">
        <w:t>O CESE acolhe com agrado a abordagem normalizada para a nomeação do diretor executivo, que está em consonância com a abordagem adotada pela EU-OSHA.</w:t>
      </w:r>
    </w:p>
    <w:p w:rsidR="00673A39" w:rsidRPr="00840B39" w:rsidRDefault="00673A39" w:rsidP="00A3275A">
      <w:pPr>
        <w:overflowPunct w:val="0"/>
        <w:autoSpaceDE w:val="0"/>
        <w:autoSpaceDN w:val="0"/>
        <w:adjustRightInd w:val="0"/>
        <w:spacing w:line="276" w:lineRule="auto"/>
        <w:ind w:left="850"/>
        <w:textAlignment w:val="baseline"/>
        <w:outlineLvl w:val="1"/>
        <w:rPr>
          <w:szCs w:val="20"/>
        </w:rPr>
      </w:pPr>
    </w:p>
    <w:p w:rsidR="00632738" w:rsidRPr="00840B39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  <w:r w:rsidRPr="00840B39">
        <w:t>O CESE considera que o cargo de diretor-adjunto se tem revelado útil e deve ser mantido, quando existe. Tendo em conta que as diferentes práticas existentes funcionam bem, o Comité defende que as três agências disponham de alguma flexibilidade.</w:t>
      </w:r>
    </w:p>
    <w:p w:rsidR="00632738" w:rsidRPr="00840B39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</w:p>
    <w:p w:rsidR="00632738" w:rsidRPr="00840B39" w:rsidRDefault="00632738" w:rsidP="00A3275A">
      <w:pPr>
        <w:tabs>
          <w:tab w:val="left" w:pos="77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</w:rPr>
      </w:pPr>
      <w:r w:rsidRPr="00840B39">
        <w:rPr>
          <w:b/>
          <w:i/>
        </w:rPr>
        <w:t>Contacto</w:t>
      </w:r>
      <w:r w:rsidRPr="00840B39">
        <w:t>:</w:t>
      </w:r>
      <w:r w:rsidRPr="00840B39">
        <w:tab/>
      </w:r>
      <w:r w:rsidRPr="00840B39">
        <w:rPr>
          <w:i/>
        </w:rPr>
        <w:t>Ana Dumitrache</w:t>
      </w:r>
    </w:p>
    <w:p w:rsidR="00C1115F" w:rsidRPr="00840B39" w:rsidRDefault="00632738" w:rsidP="00A3275A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/>
        <w:rPr>
          <w:iCs/>
        </w:rPr>
      </w:pPr>
      <w:r w:rsidRPr="00840B39">
        <w:rPr>
          <w:i/>
        </w:rPr>
        <w:t xml:space="preserve">(Tel.: 00 32 2 546 8131 – correio eletrónico: </w:t>
      </w:r>
      <w:hyperlink r:id="rId17" w:history="1">
        <w:r w:rsidRPr="00840B39">
          <w:rPr>
            <w:rStyle w:val="Hyperlink"/>
            <w:i/>
          </w:rPr>
          <w:t>ana.dumitrache@eesc.europa.eu</w:t>
        </w:r>
      </w:hyperlink>
      <w:r w:rsidRPr="00840B39">
        <w:rPr>
          <w:i/>
        </w:rPr>
        <w:t>)</w:t>
      </w:r>
    </w:p>
    <w:p w:rsidR="00E6566F" w:rsidRPr="00840B39" w:rsidRDefault="00E6566F" w:rsidP="00A3275A">
      <w:pPr>
        <w:pStyle w:val="Heading1"/>
        <w:spacing w:line="276" w:lineRule="auto"/>
        <w:rPr>
          <w:b/>
        </w:rPr>
      </w:pPr>
      <w:bookmarkStart w:id="3" w:name="_Toc477938709"/>
      <w:bookmarkStart w:id="4" w:name="_Toc480365047"/>
      <w:r w:rsidRPr="00840B39">
        <w:rPr>
          <w:b/>
        </w:rPr>
        <w:t>CONSUMIDORES / ASSUNTOS SOCIAIS</w:t>
      </w:r>
      <w:bookmarkEnd w:id="3"/>
      <w:bookmarkEnd w:id="4"/>
    </w:p>
    <w:p w:rsidR="004C07BF" w:rsidRPr="00840B39" w:rsidRDefault="004C07BF" w:rsidP="00C62D72">
      <w:pPr>
        <w:spacing w:line="276" w:lineRule="auto"/>
        <w:rPr>
          <w:iCs/>
        </w:rPr>
      </w:pPr>
    </w:p>
    <w:p w:rsidR="00632738" w:rsidRPr="00840B39" w:rsidRDefault="00632738" w:rsidP="00A3275A">
      <w:pPr>
        <w:numPr>
          <w:ilvl w:val="0"/>
          <w:numId w:val="2"/>
        </w:numPr>
        <w:spacing w:line="276" w:lineRule="auto"/>
        <w:contextualSpacing/>
        <w:rPr>
          <w:b/>
          <w:bCs/>
          <w:i/>
          <w:iCs/>
          <w:sz w:val="28"/>
          <w:szCs w:val="28"/>
        </w:rPr>
      </w:pPr>
      <w:r w:rsidRPr="00840B39">
        <w:rPr>
          <w:b/>
          <w:i/>
          <w:sz w:val="28"/>
        </w:rPr>
        <w:t>Bebidas espirituosas</w:t>
      </w:r>
    </w:p>
    <w:p w:rsidR="00632738" w:rsidRPr="00840B39" w:rsidRDefault="00632738" w:rsidP="00A3275A">
      <w:pPr>
        <w:spacing w:line="276" w:lineRule="auto"/>
        <w:rPr>
          <w:bCs/>
          <w:iCs/>
        </w:rPr>
      </w:pPr>
    </w:p>
    <w:p w:rsidR="00632738" w:rsidRPr="00840B39" w:rsidRDefault="00632738" w:rsidP="00A3275A">
      <w:pPr>
        <w:spacing w:line="276" w:lineRule="auto"/>
      </w:pPr>
      <w:r w:rsidRPr="00840B39">
        <w:rPr>
          <w:b/>
        </w:rPr>
        <w:t>Relator:</w:t>
      </w:r>
      <w:r w:rsidRPr="00840B39">
        <w:tab/>
      </w:r>
      <w:r w:rsidR="00AF4070" w:rsidRPr="00840B39">
        <w:tab/>
      </w:r>
      <w:r w:rsidRPr="00840B39">
        <w:t>Peter Schmidt (Trabalhadores – DE)</w:t>
      </w:r>
    </w:p>
    <w:p w:rsidR="00632738" w:rsidRPr="00840B39" w:rsidRDefault="00632738" w:rsidP="00A3275A">
      <w:pPr>
        <w:spacing w:line="276" w:lineRule="auto"/>
      </w:pPr>
    </w:p>
    <w:p w:rsidR="00632738" w:rsidRPr="00840B39" w:rsidRDefault="007E6D4A" w:rsidP="00A3275A">
      <w:pPr>
        <w:tabs>
          <w:tab w:val="left" w:pos="1701"/>
        </w:tabs>
        <w:spacing w:line="276" w:lineRule="auto"/>
        <w:ind w:left="-5"/>
        <w:rPr>
          <w:bCs/>
        </w:rPr>
      </w:pPr>
      <w:r w:rsidRPr="00840B39">
        <w:rPr>
          <w:b/>
        </w:rPr>
        <w:t>Referência</w:t>
      </w:r>
      <w:r w:rsidR="00AF4070" w:rsidRPr="00840B39">
        <w:rPr>
          <w:b/>
        </w:rPr>
        <w:t>s</w:t>
      </w:r>
      <w:r w:rsidRPr="00840B39">
        <w:rPr>
          <w:b/>
        </w:rPr>
        <w:t>:</w:t>
      </w:r>
      <w:r w:rsidRPr="00840B39">
        <w:tab/>
        <w:t>COM(2016) 750 final – 2016/392 (COD)</w:t>
      </w:r>
    </w:p>
    <w:p w:rsidR="00632738" w:rsidRPr="00840B39" w:rsidRDefault="00632738" w:rsidP="00A3275A">
      <w:pPr>
        <w:spacing w:line="276" w:lineRule="auto"/>
        <w:ind w:left="1701"/>
      </w:pPr>
      <w:r w:rsidRPr="00840B39">
        <w:t>EESC-2017-00058-00-00-AS-TRA</w:t>
      </w:r>
    </w:p>
    <w:p w:rsidR="00632738" w:rsidRPr="00840B39" w:rsidRDefault="00632738" w:rsidP="00A3275A">
      <w:pPr>
        <w:spacing w:line="276" w:lineRule="auto"/>
        <w:ind w:left="-5"/>
      </w:pPr>
    </w:p>
    <w:p w:rsidR="00632738" w:rsidRPr="00840B39" w:rsidRDefault="00632738" w:rsidP="00A3275A">
      <w:pPr>
        <w:spacing w:line="276" w:lineRule="auto"/>
        <w:rPr>
          <w:b/>
          <w:iCs/>
          <w:highlight w:val="yellow"/>
          <w:u w:val="single"/>
        </w:rPr>
      </w:pPr>
      <w:r w:rsidRPr="00840B39">
        <w:rPr>
          <w:b/>
        </w:rPr>
        <w:t>Pontos principais:</w:t>
      </w:r>
    </w:p>
    <w:p w:rsidR="004C07BF" w:rsidRPr="00840B39" w:rsidRDefault="004C07BF" w:rsidP="00C62D72">
      <w:pPr>
        <w:spacing w:line="276" w:lineRule="auto"/>
        <w:rPr>
          <w:iCs/>
          <w:highlight w:val="yellow"/>
        </w:rPr>
      </w:pPr>
    </w:p>
    <w:p w:rsidR="00632738" w:rsidRPr="00840B39" w:rsidRDefault="00632738" w:rsidP="00A3275A">
      <w:pPr>
        <w:spacing w:line="276" w:lineRule="auto"/>
        <w:outlineLvl w:val="1"/>
      </w:pPr>
      <w:r w:rsidRPr="00840B39">
        <w:t>O CESE acolhe com agrado a iniciativa da Comissão que visa alinhar o atual quadro jurídico relativo às bebidas espirituosas com o Tratado sobre o Funcionamento da União Europeia (TFUE) e tornar a legislação coerente com os novos instrumentos jurídicos da UE, nomeadamente no que se refere à prestação de informação aos consumidores sobre géneros alimentícios e aos regimes de qualidade dos produtos agrícolas e dos géneros alimentícios. O CESE apoia, em especial, o reforço da ligação com o setor agrícola, considerando-a determinante para a qualidade e a reputação das bebidas espirituosas produzidas na UE.</w:t>
      </w:r>
    </w:p>
    <w:p w:rsidR="00632738" w:rsidRPr="00840B39" w:rsidRDefault="00632738" w:rsidP="00A3275A">
      <w:pPr>
        <w:spacing w:line="276" w:lineRule="auto"/>
        <w:outlineLvl w:val="1"/>
      </w:pPr>
    </w:p>
    <w:p w:rsidR="00632738" w:rsidRPr="00840B39" w:rsidRDefault="00632738" w:rsidP="00A3275A">
      <w:pPr>
        <w:spacing w:line="276" w:lineRule="auto"/>
        <w:outlineLvl w:val="1"/>
      </w:pPr>
      <w:r w:rsidRPr="00840B39">
        <w:t>O CESE reconhece a complexidade do processo de realinhamento e congratula-se com a clarificação e as melhorias em domínios como as regras sobre a indicação dos termos compostos, alusões e misturas na rotulagem das bebidas espirituosas, e com a indicação facultativa da origem das matérias-primas na rotulagem. No que diz respeito às indicações geográficas, o CESE acolhe com agrado a clarificação das regras e dos procedimentos relativos às mesmas, bem como a valorização da tradição e da produção local/territorial.</w:t>
      </w:r>
    </w:p>
    <w:p w:rsidR="00632738" w:rsidRPr="00840B39" w:rsidRDefault="00632738" w:rsidP="00A3275A">
      <w:pPr>
        <w:spacing w:line="276" w:lineRule="auto"/>
        <w:outlineLvl w:val="1"/>
      </w:pPr>
    </w:p>
    <w:p w:rsidR="00632738" w:rsidRPr="00840B39" w:rsidRDefault="00632738" w:rsidP="00A3275A">
      <w:pPr>
        <w:spacing w:line="276" w:lineRule="auto"/>
        <w:outlineLvl w:val="1"/>
      </w:pPr>
      <w:r w:rsidRPr="00840B39">
        <w:t>O CESE salienta a importância de manter o atual nível de proteção do setor das bebidas espirituosas, de modo a assegurar que o valor acrescentado e os empregos permanecem na Europa. O que importa é o lugar onde o produto é destilado e fabricado, sendo que as modificações terminológicas introduzidas não devem implicar quaisquer alterações importantes no setor. Relativamente à apresentação e à rotulagem, o Comité apresenta algumas sugestões para melhoria da proposta em apreço, nomeadamente no que diz respeito à importância de evitar qualquer tipo de apresentação errónea ou equívoco no que toca aos «aromas de imitação», que poderão induzir os consumidores em erro.</w:t>
      </w:r>
    </w:p>
    <w:p w:rsidR="00632738" w:rsidRPr="00840B39" w:rsidRDefault="00632738" w:rsidP="00A3275A">
      <w:pPr>
        <w:spacing w:line="276" w:lineRule="auto"/>
        <w:outlineLvl w:val="1"/>
      </w:pPr>
    </w:p>
    <w:p w:rsidR="00632738" w:rsidRPr="00840B39" w:rsidRDefault="00632738" w:rsidP="00A3275A">
      <w:pPr>
        <w:spacing w:line="276" w:lineRule="auto"/>
        <w:outlineLvl w:val="1"/>
      </w:pPr>
      <w:r w:rsidRPr="00840B39">
        <w:t>Embora esta matéria não se insira no âmbito específico da proposta da Comissão, o CESE reitera as suas recomendações anteriores relativamente à necessidade de uma abordagem política coerente e abrangente, no sentido de evitar o consumo nocivo de álcool e de promover um consumo responsável, com o objetivo de evitar riscos para a saúde e o consumo de bebidas alcoólicas por menores – não só no setor das bebidas espirituosas, mas também de uma forma geral. Para tal, a informação, a educação e a sensibilização são fundamentais, e o CESE congratula-se com as diversas iniciativas dos setores público e privado neste domínio.</w:t>
      </w:r>
    </w:p>
    <w:p w:rsidR="00632738" w:rsidRPr="00840B39" w:rsidRDefault="00632738" w:rsidP="00A3275A">
      <w:pPr>
        <w:rPr>
          <w:highlight w:val="yellow"/>
        </w:rPr>
      </w:pPr>
    </w:p>
    <w:p w:rsidR="00632738" w:rsidRPr="00840B39" w:rsidRDefault="00632738" w:rsidP="00A3275A">
      <w:pPr>
        <w:spacing w:line="276" w:lineRule="auto"/>
        <w:rPr>
          <w:i/>
          <w:iCs/>
        </w:rPr>
      </w:pPr>
      <w:r w:rsidRPr="00840B39">
        <w:rPr>
          <w:b/>
          <w:i/>
        </w:rPr>
        <w:t>Contacto</w:t>
      </w:r>
      <w:r w:rsidRPr="00840B39">
        <w:t>:</w:t>
      </w:r>
      <w:r w:rsidRPr="00840B39">
        <w:tab/>
      </w:r>
      <w:r w:rsidRPr="00840B39">
        <w:rPr>
          <w:i/>
        </w:rPr>
        <w:t>Monica Guarinoni</w:t>
      </w:r>
    </w:p>
    <w:p w:rsidR="00610CDE" w:rsidRPr="00840B39" w:rsidRDefault="00632738" w:rsidP="00A3275A">
      <w:pPr>
        <w:spacing w:line="276" w:lineRule="auto"/>
        <w:ind w:left="1134"/>
        <w:rPr>
          <w:i/>
          <w:iCs/>
        </w:rPr>
      </w:pPr>
      <w:r w:rsidRPr="00840B39">
        <w:rPr>
          <w:i/>
        </w:rPr>
        <w:t xml:space="preserve">(Tel.: 00 32 2 546 8127 – correio eletrónico: </w:t>
      </w:r>
      <w:hyperlink r:id="rId18" w:history="1">
        <w:r w:rsidRPr="00840B39">
          <w:rPr>
            <w:rStyle w:val="Hyperlink"/>
            <w:i/>
          </w:rPr>
          <w:t>monica.guarinoni@eesc.europa.eu</w:t>
        </w:r>
      </w:hyperlink>
      <w:r w:rsidRPr="00840B39">
        <w:rPr>
          <w:i/>
        </w:rPr>
        <w:t>)</w:t>
      </w:r>
    </w:p>
    <w:p w:rsidR="004C07BF" w:rsidRPr="00840B39" w:rsidRDefault="004C07BF" w:rsidP="00A3275A"/>
    <w:p w:rsidR="003A4AB8" w:rsidRPr="00840B39" w:rsidRDefault="003A4AB8" w:rsidP="00A3275A"/>
    <w:p w:rsidR="003A4AB8" w:rsidRPr="00840B39" w:rsidRDefault="003A4AB8" w:rsidP="00A3275A">
      <w:pPr>
        <w:pStyle w:val="Heading1"/>
        <w:keepNext/>
        <w:rPr>
          <w:b/>
        </w:rPr>
      </w:pPr>
      <w:bookmarkStart w:id="5" w:name="_Toc480365048"/>
      <w:r w:rsidRPr="00840B39">
        <w:rPr>
          <w:b/>
        </w:rPr>
        <w:t>CRESCIMENTO E INOVAÇÃO</w:t>
      </w:r>
      <w:bookmarkEnd w:id="5"/>
    </w:p>
    <w:p w:rsidR="00BC5473" w:rsidRPr="00840B39" w:rsidRDefault="00BC5473" w:rsidP="00A3275A">
      <w:pPr>
        <w:keepNext/>
        <w:spacing w:line="276" w:lineRule="auto"/>
        <w:rPr>
          <w:rFonts w:eastAsia="Calibri"/>
          <w:b/>
          <w:iCs/>
          <w:highlight w:val="yellow"/>
          <w:u w:val="single"/>
        </w:rPr>
      </w:pPr>
    </w:p>
    <w:p w:rsidR="006D7E2A" w:rsidRPr="00840B39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840B39">
        <w:rPr>
          <w:b/>
          <w:i/>
          <w:sz w:val="28"/>
        </w:rPr>
        <w:t>Ilhas inclusivas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Relator:</w:t>
      </w:r>
      <w:r w:rsidRPr="00840B39">
        <w:tab/>
      </w:r>
      <w:r w:rsidR="009F1FDB" w:rsidRPr="00840B39">
        <w:tab/>
      </w:r>
      <w:r w:rsidRPr="00840B39">
        <w:t>Stefano Mallia (Empregadores – MT)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BC7DE7" w:rsidRPr="00840B39" w:rsidRDefault="006D7E2A" w:rsidP="00A3275A">
      <w:pPr>
        <w:keepNext/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Referência:</w:t>
      </w:r>
      <w:r w:rsidRPr="00840B39">
        <w:tab/>
        <w:t>Parecer exploratório a pedido da Presidência maltesa</w:t>
      </w:r>
    </w:p>
    <w:p w:rsidR="006D7E2A" w:rsidRPr="00840B39" w:rsidRDefault="006D7E2A" w:rsidP="00A3275A">
      <w:pPr>
        <w:keepNext/>
        <w:spacing w:line="276" w:lineRule="auto"/>
        <w:ind w:left="1701"/>
        <w:rPr>
          <w:rFonts w:eastAsia="Calibri"/>
        </w:rPr>
      </w:pPr>
      <w:r w:rsidRPr="00840B39">
        <w:t>EESC-2016-05508-00-00-AC-TRA</w:t>
      </w:r>
    </w:p>
    <w:p w:rsidR="006D7E2A" w:rsidRPr="00840B39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840B39" w:rsidRDefault="006D7E2A" w:rsidP="00A3275A">
      <w:pPr>
        <w:keepNext/>
        <w:spacing w:line="276" w:lineRule="auto"/>
        <w:ind w:left="-5"/>
        <w:rPr>
          <w:rFonts w:eastAsia="Calibri"/>
          <w:b/>
        </w:rPr>
      </w:pPr>
      <w:r w:rsidRPr="00840B39">
        <w:rPr>
          <w:b/>
        </w:rPr>
        <w:t>Pontos principais:</w:t>
      </w:r>
    </w:p>
    <w:p w:rsidR="00E84F95" w:rsidRPr="00840B39" w:rsidRDefault="00E84F95" w:rsidP="00A3275A">
      <w:pPr>
        <w:keepNext/>
        <w:tabs>
          <w:tab w:val="left" w:pos="770"/>
        </w:tabs>
        <w:spacing w:line="276" w:lineRule="auto"/>
        <w:ind w:left="1430" w:hanging="1430"/>
        <w:rPr>
          <w:rFonts w:eastAsia="Calibri"/>
          <w:bCs/>
          <w:iCs/>
        </w:rPr>
      </w:pPr>
    </w:p>
    <w:p w:rsidR="006D7E2A" w:rsidRPr="00840B39" w:rsidRDefault="006D7E2A" w:rsidP="00A3275A">
      <w:pPr>
        <w:spacing w:line="276" w:lineRule="auto"/>
        <w:rPr>
          <w:rFonts w:eastAsia="Calibri"/>
        </w:rPr>
      </w:pPr>
      <w:r w:rsidRPr="00840B39">
        <w:t>O CESE considera que:</w:t>
      </w:r>
    </w:p>
    <w:p w:rsidR="006D7E2A" w:rsidRPr="00840B39" w:rsidRDefault="006D7E2A" w:rsidP="00A3275A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a UE deve envidar mais esforços para reconhecer a singularidade dos desafios que as ilhas enfrentam;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no caso das economias insulares, se impõe maior flexibilidade na execução das decisões relativas a domínios de política essenciais, tais como o mercado único, a concorrência, os transportes, o desenvolvimento rural e as pescas, bem como das iniciativas e programas da UE que apoiam as políticas de educação, formação, juventude e desporto;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os critérios utilizados pelo Eurostat para definir uma região insular devem ser reavaliados;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há que prestar uma atenção particular às pessoas com deficiência e, de um modo geral, a todas as pessoas desfavorecidas;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é de conceder prioridade à acessibilidade dos serviços públicos e à promoção do crescimento sustentável, do pleno emprego, da competitividade e da coesão nas ilhas europeias;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as ilhas e as regiões insulares proporcionam muitas vezes oportunidades únicas para aplicar soluções de energias limpas – é necessário apoiar todos os esforços da Comissão Europeia neste sentido e, mais especificamente, na transição das ilhas para soluções de energias 100% limpas;</w:t>
      </w:r>
    </w:p>
    <w:p w:rsidR="00B85972" w:rsidRPr="00840B39" w:rsidRDefault="00B85972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é necessário lançar um estudo aprofundado sobre os custos extraordinários suportados pelas ilhas europeias;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todas as regiões ou Estados-Membros insulares devem ser considerados como regiões elegíveis para o financiamento de infraestruturas no âmbito da política de coesão após 2020;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>a Comissão deve definir um quadro legislativo mais adequado no que respeita à aplicação dos auxílios estatais nas ilhas e nas regiões insulares;</w:t>
      </w:r>
    </w:p>
    <w:p w:rsidR="006D7E2A" w:rsidRPr="00840B39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840B39">
        <w:t xml:space="preserve">a coordenação através do Grupo Interserviços sobre Desenvolvimento Territorial </w:t>
      </w:r>
      <w:r w:rsidR="009F1FDB" w:rsidRPr="00840B39">
        <w:t>e Urbano deve ser intensificada.</w:t>
      </w:r>
    </w:p>
    <w:p w:rsidR="006D7E2A" w:rsidRPr="00840B39" w:rsidRDefault="006D7E2A" w:rsidP="00A3275A">
      <w:pPr>
        <w:spacing w:line="276" w:lineRule="auto"/>
        <w:rPr>
          <w:rFonts w:eastAsia="Calibri"/>
          <w:b/>
          <w:i/>
        </w:rPr>
      </w:pPr>
    </w:p>
    <w:p w:rsidR="006D7E2A" w:rsidRPr="00840B39" w:rsidRDefault="006D7E2A" w:rsidP="00A3275A">
      <w:pPr>
        <w:tabs>
          <w:tab w:val="left" w:pos="770"/>
        </w:tabs>
        <w:spacing w:line="276" w:lineRule="auto"/>
        <w:rPr>
          <w:rFonts w:eastAsia="Calibri"/>
          <w:i/>
          <w:iCs/>
        </w:rPr>
      </w:pPr>
      <w:r w:rsidRPr="00840B39">
        <w:rPr>
          <w:b/>
          <w:i/>
        </w:rPr>
        <w:t>Contacto</w:t>
      </w:r>
      <w:r w:rsidRPr="00840B39">
        <w:t xml:space="preserve">: </w:t>
      </w:r>
      <w:r w:rsidRPr="00840B39">
        <w:tab/>
      </w:r>
      <w:r w:rsidRPr="00840B39">
        <w:rPr>
          <w:i/>
        </w:rPr>
        <w:t>Helena Polomik</w:t>
      </w:r>
    </w:p>
    <w:p w:rsidR="00C1115F" w:rsidRPr="00840B39" w:rsidRDefault="006D7E2A" w:rsidP="00A3275A">
      <w:pPr>
        <w:spacing w:line="276" w:lineRule="auto"/>
        <w:ind w:left="1134"/>
        <w:rPr>
          <w:rFonts w:eastAsia="Calibri"/>
          <w:iCs/>
        </w:rPr>
      </w:pPr>
      <w:r w:rsidRPr="00840B39">
        <w:rPr>
          <w:i/>
        </w:rPr>
        <w:t xml:space="preserve">(Tel.: 00 32 2 546 9063 – correio eletrónico: </w:t>
      </w:r>
      <w:hyperlink r:id="rId19" w:history="1">
        <w:r w:rsidRPr="00840B39">
          <w:rPr>
            <w:rStyle w:val="Hyperlink"/>
            <w:i/>
          </w:rPr>
          <w:t>helena.polomik@eesc.europa.eu</w:t>
        </w:r>
      </w:hyperlink>
      <w:r w:rsidRPr="00840B39">
        <w:rPr>
          <w:i/>
        </w:rPr>
        <w:t>)</w:t>
      </w:r>
    </w:p>
    <w:p w:rsidR="00C62D72" w:rsidRPr="00840B39" w:rsidRDefault="00C62D72">
      <w:pPr>
        <w:spacing w:line="240" w:lineRule="auto"/>
        <w:jc w:val="left"/>
        <w:rPr>
          <w:rFonts w:eastAsia="Calibri"/>
          <w:iCs/>
        </w:rPr>
      </w:pPr>
      <w:r w:rsidRPr="00840B39">
        <w:rPr>
          <w:rFonts w:eastAsia="Calibri"/>
          <w:iCs/>
        </w:rPr>
        <w:br w:type="page"/>
      </w:r>
    </w:p>
    <w:p w:rsidR="00C1115F" w:rsidRPr="00840B39" w:rsidRDefault="00C1115F" w:rsidP="004C07BF">
      <w:pPr>
        <w:spacing w:line="240" w:lineRule="auto"/>
        <w:rPr>
          <w:rFonts w:eastAsia="Calibri"/>
          <w:iCs/>
        </w:rPr>
      </w:pPr>
    </w:p>
    <w:p w:rsidR="00E6566F" w:rsidRPr="00840B39" w:rsidRDefault="00E6566F" w:rsidP="00A3275A">
      <w:pPr>
        <w:pStyle w:val="Heading1"/>
        <w:keepNext/>
        <w:spacing w:line="276" w:lineRule="auto"/>
        <w:rPr>
          <w:b/>
        </w:rPr>
      </w:pPr>
      <w:bookmarkStart w:id="6" w:name="_Toc477938711"/>
      <w:bookmarkStart w:id="7" w:name="_Toc480365049"/>
      <w:r w:rsidRPr="00840B39">
        <w:rPr>
          <w:b/>
        </w:rPr>
        <w:t>GOVERNAÇÃO ECONÓMICA / INSTRUMENTOS FINANCEIROS / FISCALIDADE</w:t>
      </w:r>
      <w:bookmarkEnd w:id="6"/>
      <w:bookmarkEnd w:id="7"/>
    </w:p>
    <w:p w:rsidR="00BC5473" w:rsidRPr="00840B39" w:rsidRDefault="00BC5473" w:rsidP="00A3275A">
      <w:pPr>
        <w:keepNext/>
        <w:spacing w:line="276" w:lineRule="auto"/>
      </w:pPr>
    </w:p>
    <w:p w:rsidR="006D7E2A" w:rsidRPr="00840B39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840B39">
        <w:rPr>
          <w:b/>
          <w:i/>
          <w:sz w:val="28"/>
        </w:rPr>
        <w:t>Recuperação e resolução das contrapartes centrais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6D7E2A" w:rsidRPr="00840B39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Relator:</w:t>
      </w:r>
      <w:r w:rsidRPr="00840B39">
        <w:tab/>
      </w:r>
      <w:r w:rsidR="009F1FDB" w:rsidRPr="00840B39">
        <w:tab/>
      </w:r>
      <w:r w:rsidRPr="00840B39">
        <w:t>Antonio García del Riego (Empregadores – ES)</w:t>
      </w:r>
    </w:p>
    <w:p w:rsidR="006D7E2A" w:rsidRPr="00840B39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D81307" w:rsidRPr="00840B39" w:rsidRDefault="006D7E2A" w:rsidP="00A3275A">
      <w:pPr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Referências:</w:t>
      </w:r>
      <w:r w:rsidR="00DE3193" w:rsidRPr="00840B39">
        <w:tab/>
        <w:t>COM(2016) 856 final –</w:t>
      </w:r>
      <w:r w:rsidRPr="00840B39">
        <w:t xml:space="preserve"> 2016/0365 (COD)</w:t>
      </w:r>
    </w:p>
    <w:p w:rsidR="006D7E2A" w:rsidRPr="00840B39" w:rsidRDefault="006D7E2A" w:rsidP="00A3275A">
      <w:pPr>
        <w:spacing w:line="276" w:lineRule="auto"/>
        <w:ind w:left="1701"/>
        <w:rPr>
          <w:rFonts w:eastAsia="Calibri"/>
        </w:rPr>
      </w:pPr>
      <w:r w:rsidRPr="00840B39">
        <w:t>EESC-2016-06466-00-00-AC-TRA</w:t>
      </w:r>
    </w:p>
    <w:p w:rsidR="006D7E2A" w:rsidRPr="00840B39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6D7E2A" w:rsidRPr="00840B39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840B39">
        <w:rPr>
          <w:b/>
        </w:rPr>
        <w:t>Pontos principais:</w:t>
      </w:r>
    </w:p>
    <w:p w:rsidR="00B75A7B" w:rsidRPr="00840B39" w:rsidRDefault="00B75A7B" w:rsidP="00A3275A">
      <w:pPr>
        <w:rPr>
          <w:rFonts w:eastAsia="Calibri"/>
        </w:rPr>
      </w:pPr>
    </w:p>
    <w:p w:rsidR="006D7E2A" w:rsidRPr="00840B39" w:rsidRDefault="006D7E2A">
      <w:pPr>
        <w:spacing w:line="276" w:lineRule="auto"/>
        <w:rPr>
          <w:rFonts w:eastAsia="Calibri"/>
        </w:rPr>
      </w:pPr>
      <w:r w:rsidRPr="00840B39">
        <w:t>O CESE</w:t>
      </w:r>
    </w:p>
    <w:p w:rsidR="006D7E2A" w:rsidRPr="00840B39" w:rsidRDefault="006D7E2A" w:rsidP="00A3275A">
      <w:pPr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840B39">
        <w:t>saúda o enquadramento proposto para a recuperação e a resolução das contrapartes centrais (CCP) e salienta que é fundamental aplicar a decisão adotada pelo G20 sobre a governação mundial das contrapartes centrais, bem como as recomendações do Conselho de Estabilidade Financeira (CEF) para uma legislação harmonizada e vinculativa que garanta condições de concorrência equitativas robustas e seguras a nível mundial;</w:t>
      </w:r>
    </w:p>
    <w:p w:rsidR="0089563A" w:rsidRPr="00840B39" w:rsidRDefault="0089563A" w:rsidP="00C62D72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840B39">
        <w:t>gostaria que houvesse flexibilidade para adaptar o regulamento proposto à evolução futura do consenso internacional sobre a regulação das CCP, ou seja, às recomendações do Conselho de Estabilidade Financeira (CEF);</w:t>
      </w:r>
    </w:p>
    <w:p w:rsidR="00E84F95" w:rsidRPr="00840B39" w:rsidRDefault="00E84F95" w:rsidP="00C62D72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840B39">
        <w:t>entende que uma autoridade única de supervisão e uma autoridade única de resolução das CCP assegurariam que o novo regulamento é respeitado pelas CCP de forma normalizada;</w:t>
      </w:r>
    </w:p>
    <w:p w:rsidR="0089563A" w:rsidRPr="00840B39" w:rsidRDefault="0089563A" w:rsidP="00C62D72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840B39">
        <w:t>recomenda vivamente que se pondere a utilização ou o alargamento das competências do BCE, conferindo-lhe a função de supervisor central europeu das CCP, sob a égide do Mecanismo Único de Supervisão (MUS), e de autoridade central de resolução, sob a égide do BCE/</w:t>
      </w:r>
      <w:r w:rsidRPr="00840B39">
        <w:rPr>
          <w:i/>
        </w:rPr>
        <w:t>Eurosistema</w:t>
      </w:r>
      <w:r w:rsidRPr="00840B39">
        <w:t>;</w:t>
      </w:r>
    </w:p>
    <w:p w:rsidR="0089563A" w:rsidRPr="00840B39" w:rsidRDefault="0089563A" w:rsidP="00C62D72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840B39">
        <w:t>considera necessário excluir qualquer resgate de CCP com o dinheiro dos contribuintes, especialmente no tocante às CCP de países terceiros. A opção atualmente prevista de apoio financeiro público extraordinário, em determinadas condições, pode criar uma situação de risco moral;</w:t>
      </w:r>
    </w:p>
    <w:p w:rsidR="0089563A" w:rsidRPr="00840B39" w:rsidRDefault="0089563A" w:rsidP="00C62D72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spacing w:line="276" w:lineRule="auto"/>
        <w:ind w:left="360"/>
      </w:pPr>
      <w:r w:rsidRPr="00840B39">
        <w:t>é de opinião que deve ser prestada especial atenção ao modo como podem ser afetadas as contrapartes não financeiras e os ativos de clientes segregados detidos por participantes compensadores indiretos.</w:t>
      </w:r>
    </w:p>
    <w:p w:rsidR="006D7E2A" w:rsidRPr="00840B39" w:rsidRDefault="006D7E2A" w:rsidP="00A3275A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spacing w:line="276" w:lineRule="auto"/>
        <w:rPr>
          <w:rFonts w:eastAsia="Calibri"/>
          <w:i/>
        </w:rPr>
      </w:pPr>
      <w:r w:rsidRPr="00840B39">
        <w:rPr>
          <w:b/>
          <w:i/>
        </w:rPr>
        <w:t>Contacto</w:t>
      </w:r>
      <w:r w:rsidRPr="00840B39">
        <w:t xml:space="preserve">: </w:t>
      </w:r>
      <w:r w:rsidRPr="00840B39">
        <w:tab/>
      </w:r>
      <w:r w:rsidRPr="00840B39">
        <w:rPr>
          <w:i/>
        </w:rPr>
        <w:t>Gerald Klec</w:t>
      </w:r>
    </w:p>
    <w:p w:rsidR="006D7E2A" w:rsidRPr="00840B39" w:rsidRDefault="006D7E2A" w:rsidP="00A3275A">
      <w:pPr>
        <w:spacing w:line="276" w:lineRule="auto"/>
        <w:ind w:left="1134"/>
        <w:rPr>
          <w:rFonts w:eastAsia="Calibri"/>
          <w:i/>
        </w:rPr>
      </w:pPr>
      <w:r w:rsidRPr="00840B39">
        <w:rPr>
          <w:i/>
        </w:rPr>
        <w:t xml:space="preserve">(Tel.: 00 32 2 546 9909 – correio eletrónico: </w:t>
      </w:r>
      <w:hyperlink r:id="rId20" w:history="1">
        <w:r w:rsidRPr="00840B39">
          <w:rPr>
            <w:rStyle w:val="Hyperlink"/>
            <w:i/>
          </w:rPr>
          <w:t>gerald.klec@eesc.europa.eu</w:t>
        </w:r>
      </w:hyperlink>
      <w:r w:rsidRPr="00840B39">
        <w:rPr>
          <w:i/>
        </w:rPr>
        <w:t>)</w:t>
      </w:r>
    </w:p>
    <w:p w:rsidR="00BE4639" w:rsidRPr="00840B39" w:rsidRDefault="00BE4639">
      <w:pPr>
        <w:spacing w:line="240" w:lineRule="auto"/>
        <w:jc w:val="left"/>
        <w:rPr>
          <w:highlight w:val="green"/>
        </w:rPr>
      </w:pPr>
    </w:p>
    <w:p w:rsidR="00BC5473" w:rsidRPr="00840B39" w:rsidRDefault="00BC5473" w:rsidP="006D7E2A">
      <w:pPr>
        <w:rPr>
          <w:highlight w:val="green"/>
        </w:rPr>
      </w:pPr>
    </w:p>
    <w:p w:rsidR="006D7E2A" w:rsidRPr="00840B39" w:rsidRDefault="006D7E2A" w:rsidP="00A3275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840B39">
        <w:rPr>
          <w:b/>
          <w:i/>
          <w:sz w:val="28"/>
        </w:rPr>
        <w:t>Quadro regulamentar da UE em matéria de serviços financeiros</w:t>
      </w:r>
    </w:p>
    <w:p w:rsidR="006D7E2A" w:rsidRPr="00840B39" w:rsidRDefault="006D7E2A" w:rsidP="00A3275A">
      <w:pPr>
        <w:spacing w:line="276" w:lineRule="auto"/>
        <w:ind w:firstLine="17"/>
        <w:rPr>
          <w:rFonts w:eastAsia="Calibri"/>
        </w:rPr>
      </w:pPr>
    </w:p>
    <w:p w:rsidR="006D7E2A" w:rsidRPr="00840B39" w:rsidRDefault="006D7E2A" w:rsidP="00A3275A">
      <w:pPr>
        <w:spacing w:line="276" w:lineRule="auto"/>
        <w:rPr>
          <w:rFonts w:eastAsia="Calibri"/>
        </w:rPr>
      </w:pPr>
      <w:r w:rsidRPr="00840B39">
        <w:rPr>
          <w:b/>
        </w:rPr>
        <w:t>Relatora:</w:t>
      </w:r>
      <w:r w:rsidRPr="00840B39">
        <w:tab/>
      </w:r>
      <w:r w:rsidR="009C36F8" w:rsidRPr="00840B39">
        <w:tab/>
      </w:r>
      <w:r w:rsidRPr="00840B39">
        <w:t>Milena Angelova (Empregadores – BG)</w:t>
      </w:r>
    </w:p>
    <w:p w:rsidR="006D7E2A" w:rsidRPr="00840B39" w:rsidRDefault="006D7E2A" w:rsidP="00A3275A">
      <w:pPr>
        <w:spacing w:line="276" w:lineRule="auto"/>
        <w:rPr>
          <w:rFonts w:eastAsia="Calibri"/>
        </w:rPr>
      </w:pPr>
    </w:p>
    <w:p w:rsidR="004C07BF" w:rsidRPr="00840B39" w:rsidRDefault="006D7E2A" w:rsidP="00A3275A">
      <w:pPr>
        <w:tabs>
          <w:tab w:val="left" w:pos="1701"/>
        </w:tabs>
        <w:spacing w:line="276" w:lineRule="auto"/>
        <w:ind w:left="-5"/>
        <w:rPr>
          <w:rFonts w:eastAsia="Calibri"/>
        </w:rPr>
      </w:pPr>
      <w:r w:rsidRPr="00840B39">
        <w:rPr>
          <w:b/>
        </w:rPr>
        <w:t>Referência</w:t>
      </w:r>
      <w:r w:rsidR="009C36F8" w:rsidRPr="00840B39">
        <w:rPr>
          <w:b/>
        </w:rPr>
        <w:t>s</w:t>
      </w:r>
      <w:r w:rsidRPr="00840B39">
        <w:rPr>
          <w:b/>
        </w:rPr>
        <w:t>:</w:t>
      </w:r>
      <w:r w:rsidRPr="00840B39">
        <w:tab/>
        <w:t>COM(2016) 855 final</w:t>
      </w:r>
    </w:p>
    <w:p w:rsidR="006D7E2A" w:rsidRPr="00840B39" w:rsidRDefault="006D7E2A" w:rsidP="00A3275A">
      <w:pPr>
        <w:spacing w:line="276" w:lineRule="auto"/>
        <w:ind w:left="1701"/>
        <w:rPr>
          <w:rFonts w:eastAsia="Calibri"/>
          <w:b/>
        </w:rPr>
      </w:pPr>
      <w:r w:rsidRPr="00840B39">
        <w:t>ESC-2016-06465-00-00-AC-TRA</w:t>
      </w:r>
    </w:p>
    <w:p w:rsidR="006D7E2A" w:rsidRPr="00840B39" w:rsidRDefault="006D7E2A" w:rsidP="00A3275A">
      <w:pPr>
        <w:spacing w:line="276" w:lineRule="auto"/>
        <w:ind w:left="-5"/>
        <w:rPr>
          <w:rFonts w:eastAsia="Calibri"/>
          <w:b/>
        </w:rPr>
      </w:pPr>
    </w:p>
    <w:p w:rsidR="006D7E2A" w:rsidRPr="00840B39" w:rsidRDefault="006D7E2A" w:rsidP="00A3275A">
      <w:pPr>
        <w:spacing w:line="276" w:lineRule="auto"/>
        <w:ind w:left="-5"/>
        <w:rPr>
          <w:rFonts w:eastAsia="Calibri"/>
          <w:b/>
        </w:rPr>
      </w:pPr>
      <w:r w:rsidRPr="00840B39">
        <w:rPr>
          <w:b/>
        </w:rPr>
        <w:t>Pontos principais:</w:t>
      </w:r>
    </w:p>
    <w:p w:rsidR="006D7E2A" w:rsidRPr="00840B39" w:rsidRDefault="006D7E2A" w:rsidP="00A3275A"/>
    <w:p w:rsidR="006D7E2A" w:rsidRPr="00840B39" w:rsidRDefault="006D7E2A" w:rsidP="00A3275A">
      <w:pPr>
        <w:spacing w:line="276" w:lineRule="auto"/>
        <w:rPr>
          <w:rFonts w:eastAsia="Calibri"/>
        </w:rPr>
      </w:pPr>
      <w:r w:rsidRPr="00840B39">
        <w:t>O CESE</w:t>
      </w:r>
    </w:p>
    <w:p w:rsidR="006D7E2A" w:rsidRPr="00840B39" w:rsidRDefault="006D7E2A" w:rsidP="00A3275A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840B39">
        <w:t>congratula-se com o convite à apresentação de informações enquanto instrumento inovador, informativo e útil para avaliar o impacto das iniciativas legislativas a nível da UE e espera que esta passe a ser prática habitual no futuro.</w:t>
      </w:r>
    </w:p>
    <w:p w:rsidR="006D7E2A" w:rsidRPr="00840B39" w:rsidRDefault="006D7E2A" w:rsidP="003266F7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840B39">
        <w:t>concorda que os princípios fundamentais das recentes reformas financeiras não podem ser contestados e que as novas regras reforçaram a estabilidade e a capacidade de resistência do sistema financeiro.</w:t>
      </w:r>
    </w:p>
    <w:p w:rsidR="006D7E2A" w:rsidRPr="00840B39" w:rsidRDefault="006D7E2A" w:rsidP="003266F7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840B39">
        <w:t>sublinha a importância do quadro regulamentar da UE em matéria de serviços financeiros para acelerar a realização de uma União dos Mercados de Capitais (UMC).</w:t>
      </w:r>
    </w:p>
    <w:p w:rsidR="006D7E2A" w:rsidRPr="00840B39" w:rsidRDefault="006D7E2A" w:rsidP="003266F7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840B39">
        <w:t>saúda a abordagem de inserir a reforma no contexto do objetivo mais amplo de melhorar o equilíbrio entre os objetivos de estabilidade financeira e de crescimento.</w:t>
      </w:r>
    </w:p>
    <w:p w:rsidR="006D7E2A" w:rsidRPr="00840B39" w:rsidRDefault="006D7E2A" w:rsidP="003266F7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840B39">
        <w:t>insta os Estados-Membros a não imporem encargos e restrições desnecessários quando transpõem as regras da UE.</w:t>
      </w:r>
    </w:p>
    <w:p w:rsidR="006D7E2A" w:rsidRPr="00840B39" w:rsidRDefault="006D7E2A" w:rsidP="003266F7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840B39">
        <w:t>concorda que os bancos exigem especial atenção, uma vez que prestam importantes serviços de interesse geral ao público em geral e constituem a principal fonte de financiamento das PME.</w:t>
      </w:r>
    </w:p>
    <w:p w:rsidR="006D7E2A" w:rsidRPr="00840B39" w:rsidRDefault="006D7E2A" w:rsidP="003266F7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840B39">
        <w:t>exorta os responsáveis políticos europeus a acelerarem a reforma estrutural do setor bancário da UE, nomeadamente através da resolução do impasse entre os colegisladores da proposta legislativa da Comissão de um regulamento relativo às medidas estruturais destinadas a melhorar a capacidade de resistência das instituições de crédito da UE.</w:t>
      </w:r>
    </w:p>
    <w:p w:rsidR="006D7E2A" w:rsidRPr="00840B39" w:rsidRDefault="006D7E2A" w:rsidP="003266F7">
      <w:pPr>
        <w:keepLines/>
        <w:spacing w:line="276" w:lineRule="auto"/>
        <w:rPr>
          <w:rFonts w:eastAsia="Calibri"/>
        </w:rPr>
      </w:pPr>
    </w:p>
    <w:p w:rsidR="006D7E2A" w:rsidRPr="00840B39" w:rsidRDefault="004C07BF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</w:pPr>
      <w:r w:rsidRPr="00840B39">
        <w:t>está convicto de que a legislação nem sempre é a resposta política mais adequada e convida a Comissão a optar, sempre que possível, por soluções não legislativas e baseadas no mercado.</w:t>
      </w:r>
    </w:p>
    <w:p w:rsidR="006D7E2A" w:rsidRPr="00840B39" w:rsidRDefault="006D7E2A" w:rsidP="00A3275A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spacing w:line="276" w:lineRule="auto"/>
        <w:rPr>
          <w:rFonts w:eastAsia="Calibri"/>
          <w:i/>
        </w:rPr>
      </w:pPr>
      <w:r w:rsidRPr="00840B39">
        <w:rPr>
          <w:b/>
          <w:i/>
        </w:rPr>
        <w:t>Contacto</w:t>
      </w:r>
      <w:r w:rsidRPr="00840B39">
        <w:t xml:space="preserve">: </w:t>
      </w:r>
      <w:r w:rsidRPr="00840B39">
        <w:tab/>
      </w:r>
      <w:r w:rsidRPr="00840B39">
        <w:rPr>
          <w:i/>
        </w:rPr>
        <w:t>Gerald Klec</w:t>
      </w:r>
    </w:p>
    <w:p w:rsidR="006D7E2A" w:rsidRPr="00840B39" w:rsidRDefault="006D7E2A" w:rsidP="00A3275A">
      <w:pPr>
        <w:spacing w:line="276" w:lineRule="auto"/>
        <w:ind w:left="1134"/>
        <w:rPr>
          <w:rFonts w:eastAsia="Calibri"/>
          <w:i/>
        </w:rPr>
      </w:pPr>
      <w:r w:rsidRPr="00840B39">
        <w:rPr>
          <w:i/>
        </w:rPr>
        <w:t xml:space="preserve">(Tel.: 00 32 2 546 9909 – correio eletrónico: </w:t>
      </w:r>
      <w:hyperlink r:id="rId21" w:history="1">
        <w:r w:rsidRPr="00840B39">
          <w:rPr>
            <w:rStyle w:val="Hyperlink"/>
            <w:i/>
          </w:rPr>
          <w:t>gerald.klec@eesc.europa.eu</w:t>
        </w:r>
      </w:hyperlink>
      <w:r w:rsidRPr="00840B39">
        <w:rPr>
          <w:i/>
        </w:rPr>
        <w:t>)</w:t>
      </w:r>
    </w:p>
    <w:p w:rsidR="004B41EE" w:rsidRPr="00840B39" w:rsidRDefault="004B41EE" w:rsidP="0088087B">
      <w:pPr>
        <w:spacing w:line="276" w:lineRule="auto"/>
        <w:rPr>
          <w:rFonts w:eastAsia="Calibri"/>
          <w:i/>
          <w:iCs/>
          <w:u w:val="single"/>
        </w:rPr>
      </w:pPr>
    </w:p>
    <w:p w:rsidR="004B41EE" w:rsidRPr="00840B39" w:rsidRDefault="004B41EE" w:rsidP="00A3275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567" w:hanging="283"/>
        <w:contextualSpacing/>
        <w:textAlignment w:val="baseline"/>
        <w:rPr>
          <w:b/>
          <w:i/>
          <w:sz w:val="28"/>
          <w:szCs w:val="28"/>
        </w:rPr>
      </w:pPr>
      <w:r w:rsidRPr="00840B39">
        <w:rPr>
          <w:b/>
          <w:i/>
          <w:sz w:val="28"/>
        </w:rPr>
        <w:t>Tipologias territoriais</w:t>
      </w:r>
    </w:p>
    <w:p w:rsidR="004B41EE" w:rsidRPr="00840B39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4B41EE" w:rsidRPr="00840B39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Categoria C</w:t>
      </w:r>
    </w:p>
    <w:p w:rsidR="004B41EE" w:rsidRPr="00840B39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4C07BF" w:rsidRPr="00840B39" w:rsidRDefault="004B41EE" w:rsidP="00A3275A">
      <w:pPr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Referência</w:t>
      </w:r>
      <w:r w:rsidR="009C36F8" w:rsidRPr="00840B39">
        <w:rPr>
          <w:b/>
        </w:rPr>
        <w:t>s</w:t>
      </w:r>
      <w:r w:rsidRPr="00840B39">
        <w:rPr>
          <w:b/>
        </w:rPr>
        <w:t>:</w:t>
      </w:r>
      <w:r w:rsidRPr="00840B39">
        <w:tab/>
        <w:t>COM(2016) 788 final – 2016/0393 (COD)</w:t>
      </w:r>
    </w:p>
    <w:p w:rsidR="004B41EE" w:rsidRPr="00840B39" w:rsidRDefault="004B41EE" w:rsidP="00A3275A">
      <w:pPr>
        <w:tabs>
          <w:tab w:val="center" w:pos="-2268"/>
        </w:tabs>
        <w:spacing w:line="276" w:lineRule="auto"/>
        <w:ind w:left="1701"/>
        <w:rPr>
          <w:rFonts w:eastAsia="Calibri"/>
        </w:rPr>
      </w:pPr>
      <w:r w:rsidRPr="00840B39">
        <w:t>EESC-2017-01107-00-00-AC-TRA</w:t>
      </w:r>
    </w:p>
    <w:p w:rsidR="004B41EE" w:rsidRPr="00840B39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4B41EE" w:rsidRPr="00840B39" w:rsidRDefault="004B41EE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840B39">
        <w:rPr>
          <w:b/>
        </w:rPr>
        <w:t>Pontos principais:</w:t>
      </w:r>
    </w:p>
    <w:p w:rsidR="004B41EE" w:rsidRPr="00840B39" w:rsidRDefault="004B41EE" w:rsidP="00A3275A">
      <w:pPr>
        <w:spacing w:line="276" w:lineRule="auto"/>
        <w:rPr>
          <w:rFonts w:eastAsia="Calibri"/>
        </w:rPr>
      </w:pPr>
    </w:p>
    <w:p w:rsidR="004B41EE" w:rsidRPr="00840B39" w:rsidRDefault="004B41EE" w:rsidP="00A3275A">
      <w:pPr>
        <w:spacing w:line="276" w:lineRule="auto"/>
        <w:rPr>
          <w:rFonts w:eastAsia="Calibri"/>
        </w:rPr>
      </w:pPr>
      <w:r w:rsidRPr="00840B39">
        <w:t>Considerando que o conteúdo da proposta da Comissão é satisfatório e não suscita quaisquer observações, o Comité decidiu emitir parecer favorável ao texto proposto.</w:t>
      </w:r>
    </w:p>
    <w:p w:rsidR="004B41EE" w:rsidRPr="00840B39" w:rsidRDefault="004B41EE" w:rsidP="00A3275A">
      <w:pPr>
        <w:tabs>
          <w:tab w:val="left" w:pos="770"/>
        </w:tabs>
        <w:spacing w:line="276" w:lineRule="auto"/>
        <w:ind w:left="1430" w:hanging="1430"/>
        <w:rPr>
          <w:rFonts w:eastAsia="Calibri"/>
          <w:b/>
          <w:i/>
        </w:rPr>
      </w:pPr>
    </w:p>
    <w:p w:rsidR="004B41EE" w:rsidRPr="00840B39" w:rsidRDefault="004B41EE" w:rsidP="00A3275A">
      <w:pPr>
        <w:tabs>
          <w:tab w:val="left" w:pos="770"/>
        </w:tabs>
        <w:spacing w:line="276" w:lineRule="auto"/>
        <w:ind w:left="1430" w:hanging="1430"/>
        <w:rPr>
          <w:rFonts w:eastAsia="Calibri"/>
          <w:i/>
          <w:iCs/>
        </w:rPr>
      </w:pPr>
      <w:r w:rsidRPr="00840B39">
        <w:rPr>
          <w:b/>
          <w:i/>
        </w:rPr>
        <w:t>Contacto</w:t>
      </w:r>
      <w:r w:rsidRPr="00840B39">
        <w:t xml:space="preserve">: </w:t>
      </w:r>
      <w:r w:rsidRPr="00840B39">
        <w:tab/>
      </w:r>
      <w:r w:rsidRPr="00840B39">
        <w:rPr>
          <w:i/>
        </w:rPr>
        <w:t>Helena Polomik</w:t>
      </w:r>
    </w:p>
    <w:p w:rsidR="007818AB" w:rsidRPr="00840B39" w:rsidRDefault="004B41EE" w:rsidP="00A3275A">
      <w:pPr>
        <w:spacing w:line="276" w:lineRule="auto"/>
        <w:ind w:left="1418"/>
        <w:rPr>
          <w:rFonts w:eastAsia="Calibri"/>
          <w:i/>
          <w:iCs/>
        </w:rPr>
      </w:pPr>
      <w:r w:rsidRPr="00840B39">
        <w:rPr>
          <w:i/>
        </w:rPr>
        <w:t xml:space="preserve">(Tel.: 00 32 2 546 9063 – correio eletrónico: </w:t>
      </w:r>
      <w:hyperlink r:id="rId22" w:history="1">
        <w:r w:rsidRPr="00840B39">
          <w:rPr>
            <w:rStyle w:val="Hyperlink"/>
            <w:i/>
          </w:rPr>
          <w:t>helena.polomik@eesc.europa.eu</w:t>
        </w:r>
      </w:hyperlink>
      <w:r w:rsidRPr="00840B39">
        <w:rPr>
          <w:i/>
        </w:rPr>
        <w:t>)</w:t>
      </w:r>
    </w:p>
    <w:p w:rsidR="004B41EE" w:rsidRPr="00840B39" w:rsidRDefault="004B41EE" w:rsidP="00A3275A">
      <w:pPr>
        <w:spacing w:line="276" w:lineRule="auto"/>
        <w:rPr>
          <w:rFonts w:eastAsia="Calibri"/>
          <w:i/>
          <w:iCs/>
        </w:rPr>
      </w:pPr>
    </w:p>
    <w:p w:rsidR="004B41EE" w:rsidRPr="00840B39" w:rsidRDefault="004B41EE" w:rsidP="00A3275A">
      <w:pPr>
        <w:spacing w:line="276" w:lineRule="auto"/>
        <w:rPr>
          <w:b/>
          <w:highlight w:val="green"/>
        </w:rPr>
      </w:pPr>
    </w:p>
    <w:p w:rsidR="006D7E2A" w:rsidRPr="00840B39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840B39">
        <w:rPr>
          <w:b/>
          <w:i/>
          <w:sz w:val="28"/>
        </w:rPr>
        <w:t>Reforma bancária – Alterações aos requisitos de fundos próprios e ao quadro de resolução bancária</w:t>
      </w:r>
    </w:p>
    <w:p w:rsidR="006D7E2A" w:rsidRPr="00840B39" w:rsidRDefault="006D7E2A" w:rsidP="00A3275A">
      <w:pPr>
        <w:keepNext/>
        <w:tabs>
          <w:tab w:val="left" w:pos="1520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Relator:</w:t>
      </w:r>
      <w:r w:rsidRPr="00840B39">
        <w:tab/>
      </w:r>
      <w:r w:rsidR="009C36F8" w:rsidRPr="00840B39">
        <w:tab/>
      </w:r>
      <w:r w:rsidRPr="00840B39">
        <w:t>Daniel Mareels (Empregadores – BE)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840B39" w:rsidRDefault="006D7E2A" w:rsidP="00A3275A">
      <w:pPr>
        <w:keepNext/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840B39">
        <w:rPr>
          <w:b/>
        </w:rPr>
        <w:t>Referências:</w:t>
      </w:r>
      <w:r w:rsidRPr="00840B39">
        <w:tab/>
        <w:t>COM(2016) 850 final – 2016/0360 (COD)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840B39">
        <w:t>COM(2016) 851 final – 2016/0361 (COD)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840B39">
        <w:t>COM(2016) 852 final – 2016/0362 (COD)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840B39">
        <w:t>COM(2016) 854 final – 2016/0364 (COD)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840B39">
        <w:t>EESC-2016-06799-00-00-AC-TRA</w:t>
      </w:r>
    </w:p>
    <w:p w:rsidR="006D7E2A" w:rsidRPr="00840B39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6D7E2A" w:rsidRPr="00840B39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840B39">
        <w:rPr>
          <w:b/>
        </w:rPr>
        <w:t>Pontos principais:</w:t>
      </w:r>
    </w:p>
    <w:p w:rsidR="00BC5473" w:rsidRPr="00840B39" w:rsidRDefault="00BC5473" w:rsidP="00DE3193">
      <w:pPr>
        <w:keepNext/>
        <w:spacing w:line="276" w:lineRule="auto"/>
        <w:rPr>
          <w:rFonts w:eastAsia="Calibri"/>
        </w:rPr>
      </w:pPr>
    </w:p>
    <w:p w:rsidR="006D7E2A" w:rsidRPr="00840B39" w:rsidRDefault="006D7E2A" w:rsidP="00A3275A">
      <w:pPr>
        <w:spacing w:line="276" w:lineRule="auto"/>
        <w:rPr>
          <w:rFonts w:eastAsia="Calibri"/>
        </w:rPr>
      </w:pPr>
      <w:r w:rsidRPr="00840B39">
        <w:t>O CESE</w:t>
      </w:r>
    </w:p>
    <w:p w:rsidR="006D7E2A" w:rsidRPr="00840B39" w:rsidRDefault="006D7E2A" w:rsidP="00A3275A">
      <w:pPr>
        <w:spacing w:line="276" w:lineRule="auto"/>
        <w:rPr>
          <w:rFonts w:eastAsia="Calibri"/>
        </w:rPr>
      </w:pPr>
    </w:p>
    <w:p w:rsidR="006D7E2A" w:rsidRPr="00840B39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congratula-se vivamente com o pacote de propostas da Comissão e espera que este contribua efetivamente para a conclusão do trabalho desenvolvido após a crise com vista a uma reforma do setor financeiro;</w:t>
      </w:r>
    </w:p>
    <w:p w:rsidR="006D7E2A" w:rsidRPr="00840B39" w:rsidRDefault="006D7E2A" w:rsidP="00A3275A"/>
    <w:p w:rsidR="006D7E2A" w:rsidRPr="00840B39" w:rsidRDefault="009928D1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acolhe muito favoravelmente a visão holística e integrada, que permite conciliar e unir nestas propostas vários objetivos importantes em domínios diversos, sem renunciar aos princípios;</w:t>
      </w:r>
    </w:p>
    <w:p w:rsidR="006D7E2A" w:rsidRPr="00840B39" w:rsidRDefault="006D7E2A" w:rsidP="00A3275A"/>
    <w:p w:rsidR="006D7E2A" w:rsidRPr="00840B39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entende que as diferentes medidas propostas contribuem incontestavelmente para o reforço do quadro prudencial e de resolução europeu para os bancos. Este aspeto é crucial para a ambicionada minimização do risco no setor financeiro e para a melhoria da capacidade de resistência das instituições financeiras;</w:t>
      </w:r>
    </w:p>
    <w:p w:rsidR="006D7E2A" w:rsidRPr="00840B39" w:rsidRDefault="006D7E2A" w:rsidP="00A3275A"/>
    <w:p w:rsidR="006D7E2A" w:rsidRPr="00840B39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está convencido de que o caráter de redução do risco das propostas permitirá avançar na realização da união bancária e do seu terceiro pilar, a saber, o Sistema Europeu de Seguro de Depósitos. Deste modo, trata-se igualmente de garantir que se dá um contributo positivo para consolidar a confiança dos clientes e dos consumidores no setor financeiro;</w:t>
      </w:r>
    </w:p>
    <w:p w:rsidR="006D7E2A" w:rsidRPr="00840B39" w:rsidRDefault="006D7E2A" w:rsidP="00A3275A"/>
    <w:p w:rsidR="006D7E2A" w:rsidRPr="00840B39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congratula-se expressamente ainda com a atenção dedicada ao financiamento da economia. Dado que o atual nível do investimento permanece demasiado baixo, não se pode descurar nenhuma possibilidade de criar oportunidades novas e suplementares para uma retoma económica. Os bancos têm uma importante função a cumprir enquanto intermediários nos mercados de capitais, e os empréstimos bancários continuarão a ser a principal fonte de financiamento para as famílias e as PME. Cumpre envidar mais esforços neste domínio a favor das PME, que formam a espinha dorsal da economia europeia. O Comité solicita a confirmação e a extensão do fator de apoio às PME;</w:t>
      </w:r>
    </w:p>
    <w:p w:rsidR="006D7E2A" w:rsidRPr="00840B39" w:rsidRDefault="006D7E2A" w:rsidP="00A3275A"/>
    <w:p w:rsidR="006D7E2A" w:rsidRPr="00840B39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é de opinião que ainda não se tomou suficientemente em conta as especificidades e as potencialidades dos bancos pequenos e não complexos. Tal aplica-se, em especial, ao princípio da proporcionalidade. Importaria apostar numa estratégia mais estruturada e ambiciosa, a favor de mais instituições e em mais domínios. Sobre este tipo de instituições não podem pender obrigações ou encargos excessivamente pesados;</w:t>
      </w:r>
    </w:p>
    <w:p w:rsidR="006D7E2A" w:rsidRPr="00840B39" w:rsidRDefault="006D7E2A" w:rsidP="00A3275A"/>
    <w:p w:rsidR="006D7E2A" w:rsidRPr="00840B39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congratula-se igualmente com o facto de terem sido tidas em conta diversas especificidades da UE. Como é o caso, por exemplo, das alterações aos acordos internacionais, a fim de ter em conta as especificidades europeias;</w:t>
      </w:r>
    </w:p>
    <w:p w:rsidR="006D7E2A" w:rsidRPr="00840B39" w:rsidRDefault="006D7E2A" w:rsidP="00A3275A"/>
    <w:p w:rsidR="006D7E2A" w:rsidRPr="00840B39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continua a considerar importante que a Europa desempenhe um papel preponderante, nos trabalhos atuais e futuros à escala internacional, na reforma do setor financeiro;</w:t>
      </w:r>
    </w:p>
    <w:p w:rsidR="006D7E2A" w:rsidRPr="00840B39" w:rsidRDefault="006D7E2A" w:rsidP="00A3275A"/>
    <w:p w:rsidR="006D7E2A" w:rsidRPr="00840B39" w:rsidRDefault="00A57F27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considera que é do interesse de todos os intervenientes e partes interessadas que haja um esforço de clareza e segurança jurídica na elaboração das novas regras, para as quais deverá, aliás, ser previsto um prazo de aplicação adequado;</w:t>
      </w:r>
    </w:p>
    <w:p w:rsidR="004B41EE" w:rsidRPr="00840B39" w:rsidRDefault="004B41EE" w:rsidP="00A3275A"/>
    <w:p w:rsidR="004B41EE" w:rsidRPr="00840B39" w:rsidRDefault="004B41EE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840B39">
        <w:t>considera desejável uma rápida ultimação das medidas legislativas transitórias relativas à nova norma internacional de relato financeiro – IFRS 9 –, a fim de evitar possíveis efeitos negativos no financiamento da economia.</w:t>
      </w:r>
    </w:p>
    <w:p w:rsidR="006D7E2A" w:rsidRPr="00840B39" w:rsidRDefault="006D7E2A" w:rsidP="00A3275A">
      <w:pPr>
        <w:rPr>
          <w:rFonts w:eastAsia="Calibri"/>
          <w:highlight w:val="yellow"/>
        </w:rPr>
      </w:pPr>
    </w:p>
    <w:p w:rsidR="006D7E2A" w:rsidRPr="00840B39" w:rsidRDefault="006D7E2A" w:rsidP="00A3275A">
      <w:pPr>
        <w:tabs>
          <w:tab w:val="left" w:pos="1134"/>
        </w:tabs>
        <w:spacing w:line="276" w:lineRule="auto"/>
        <w:ind w:left="1134" w:hanging="1134"/>
        <w:rPr>
          <w:rFonts w:eastAsia="Calibri"/>
          <w:i/>
        </w:rPr>
      </w:pPr>
      <w:r w:rsidRPr="00840B39">
        <w:rPr>
          <w:b/>
          <w:i/>
        </w:rPr>
        <w:t>Contacto</w:t>
      </w:r>
      <w:r w:rsidRPr="00840B39">
        <w:t xml:space="preserve">: </w:t>
      </w:r>
      <w:r w:rsidRPr="00840B39">
        <w:tab/>
      </w:r>
      <w:r w:rsidRPr="00840B39">
        <w:rPr>
          <w:i/>
        </w:rPr>
        <w:t>Gerald Klec</w:t>
      </w:r>
    </w:p>
    <w:p w:rsidR="007D03DC" w:rsidRPr="00840B39" w:rsidRDefault="006D7E2A" w:rsidP="00A3275A">
      <w:pPr>
        <w:spacing w:line="276" w:lineRule="auto"/>
        <w:ind w:left="1134"/>
        <w:rPr>
          <w:rFonts w:eastAsia="Calibri"/>
        </w:rPr>
      </w:pPr>
      <w:r w:rsidRPr="00840B39">
        <w:rPr>
          <w:i/>
        </w:rPr>
        <w:t xml:space="preserve">(Tel.: 00 32 2 546 9909 – correio eletrónico: </w:t>
      </w:r>
      <w:hyperlink r:id="rId23" w:history="1">
        <w:r w:rsidRPr="00840B39">
          <w:rPr>
            <w:rStyle w:val="Hyperlink"/>
            <w:i/>
          </w:rPr>
          <w:t>gerald.klec@eesc.europa.eu</w:t>
        </w:r>
      </w:hyperlink>
      <w:r w:rsidRPr="00840B39">
        <w:rPr>
          <w:i/>
        </w:rPr>
        <w:t>)</w:t>
      </w:r>
    </w:p>
    <w:p w:rsidR="009928D1" w:rsidRPr="00840B39" w:rsidRDefault="009928D1" w:rsidP="00A3275A">
      <w:pPr>
        <w:spacing w:line="276" w:lineRule="auto"/>
        <w:rPr>
          <w:rFonts w:eastAsia="Calibri"/>
        </w:rPr>
      </w:pPr>
    </w:p>
    <w:p w:rsidR="00505DD7" w:rsidRPr="00840B39" w:rsidRDefault="00505DD7" w:rsidP="004C07BF">
      <w:pPr>
        <w:spacing w:line="240" w:lineRule="auto"/>
        <w:rPr>
          <w:b/>
        </w:rPr>
      </w:pPr>
    </w:p>
    <w:p w:rsidR="00E6566F" w:rsidRPr="00840B39" w:rsidRDefault="00E6566F" w:rsidP="00A3275A">
      <w:pPr>
        <w:pStyle w:val="Heading1"/>
        <w:keepNext/>
        <w:spacing w:line="276" w:lineRule="auto"/>
        <w:rPr>
          <w:b/>
        </w:rPr>
      </w:pPr>
      <w:bookmarkStart w:id="8" w:name="_Toc477938712"/>
      <w:bookmarkStart w:id="9" w:name="_Toc480365050"/>
      <w:r w:rsidRPr="00840B39">
        <w:rPr>
          <w:b/>
        </w:rPr>
        <w:t>INDÚSTRIA / INOVAÇÃO</w:t>
      </w:r>
      <w:bookmarkEnd w:id="8"/>
      <w:bookmarkEnd w:id="9"/>
    </w:p>
    <w:p w:rsidR="00BC5473" w:rsidRPr="00840B39" w:rsidRDefault="00BC5473" w:rsidP="00A3275A">
      <w:pPr>
        <w:keepNext/>
        <w:spacing w:line="276" w:lineRule="auto"/>
      </w:pPr>
    </w:p>
    <w:p w:rsidR="00C1115F" w:rsidRPr="00840B39" w:rsidRDefault="00C1115F" w:rsidP="00A3275A">
      <w:pPr>
        <w:keepNext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i/>
          <w:sz w:val="28"/>
          <w:szCs w:val="28"/>
        </w:rPr>
      </w:pPr>
      <w:r w:rsidRPr="00840B39">
        <w:rPr>
          <w:b/>
          <w:i/>
          <w:sz w:val="28"/>
        </w:rPr>
        <w:t>Turismo náutico e marítimo</w:t>
      </w:r>
    </w:p>
    <w:p w:rsidR="00C1115F" w:rsidRPr="00840B39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840B39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840B39">
        <w:rPr>
          <w:b/>
        </w:rPr>
        <w:t>Relator:</w:t>
      </w:r>
      <w:r w:rsidRPr="00840B39">
        <w:tab/>
      </w:r>
      <w:r w:rsidR="009C36F8" w:rsidRPr="00840B39">
        <w:tab/>
      </w:r>
      <w:r w:rsidRPr="00840B39">
        <w:t>Tony Zahra (Empregadores – MT)</w:t>
      </w:r>
    </w:p>
    <w:p w:rsidR="00C1115F" w:rsidRPr="00840B39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ED4925" w:rsidRPr="00840B39" w:rsidRDefault="00C1115F" w:rsidP="00A3275A">
      <w:pPr>
        <w:tabs>
          <w:tab w:val="center" w:pos="284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840B39">
        <w:rPr>
          <w:b/>
        </w:rPr>
        <w:t>Referência:</w:t>
      </w:r>
      <w:r w:rsidRPr="00840B39">
        <w:tab/>
        <w:t>Parecer exploratório</w:t>
      </w:r>
    </w:p>
    <w:p w:rsidR="00C1115F" w:rsidRPr="00840B39" w:rsidRDefault="00C1115F" w:rsidP="00A3275A">
      <w:pPr>
        <w:tabs>
          <w:tab w:val="center" w:pos="-2268"/>
        </w:tabs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</w:pPr>
      <w:r w:rsidRPr="00840B39">
        <w:t>EESC-2016-05923-00-00-PA-TRA</w:t>
      </w:r>
    </w:p>
    <w:p w:rsidR="00C1115F" w:rsidRPr="00840B39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840B39">
        <w:rPr>
          <w:b/>
        </w:rPr>
        <w:t>Pontos principais: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Apesar da grande resistência demonstrada pelo turismo e da sua rápida recuperação num contexto de crise, o Comité entende que é importante analisar e abordar os desafios e oportunidades que se anteveem para o turismo náutico e marítimo, especialmente no Mediterrâneo, devido à sua grande relevância e ao seu importante contributo para economia europeia.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Comité defende a criação de um grupo de Estados-Membros do Mediterrâneo Ocidental e de países terceiros com o fito de abordar em conjunto o crescimento azul e a infraestrutura azul e verde, a fim de restaurar ecossistemas degradados. O próprio turismo é um importante produtor de resíduos, o que requer uma adoção de medidas inovadoras que possam atenuar os problemas relacionados com os resíduos e, concomitantemente, uma execução coordenada e eficaz dos regulamentos.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840B39">
        <w:rPr>
          <w:b/>
          <w:i/>
        </w:rPr>
        <w:t>Contacto</w:t>
      </w:r>
      <w:r w:rsidRPr="00840B39">
        <w:t>:</w:t>
      </w:r>
      <w:r w:rsidRPr="00840B39">
        <w:tab/>
      </w:r>
      <w:r w:rsidRPr="00840B39">
        <w:rPr>
          <w:i/>
        </w:rPr>
        <w:t>Jean-Pierre Faure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rPr>
          <w:i/>
          <w:szCs w:val="20"/>
        </w:rPr>
      </w:pPr>
      <w:r w:rsidRPr="00840B39">
        <w:rPr>
          <w:i/>
        </w:rPr>
        <w:t xml:space="preserve">(Tel.: 00 32 2 546 9615 – correio eletrónico: </w:t>
      </w:r>
      <w:hyperlink r:id="rId24" w:history="1">
        <w:r w:rsidRPr="00840B39">
          <w:rPr>
            <w:rStyle w:val="Hyperlink"/>
            <w:i/>
          </w:rPr>
          <w:t>jean-pierre.faure@eesc.europa.eu</w:t>
        </w:r>
      </w:hyperlink>
      <w:r w:rsidRPr="00840B39">
        <w:rPr>
          <w:i/>
        </w:rPr>
        <w:t>)</w:t>
      </w:r>
    </w:p>
    <w:p w:rsidR="00BC5473" w:rsidRPr="00840B39" w:rsidRDefault="00BC5473" w:rsidP="00A3275A">
      <w:pPr>
        <w:spacing w:line="276" w:lineRule="auto"/>
        <w:rPr>
          <w:b/>
          <w:highlight w:val="green"/>
        </w:rPr>
      </w:pPr>
    </w:p>
    <w:p w:rsidR="00C1115F" w:rsidRPr="00840B39" w:rsidRDefault="00C1115F" w:rsidP="00A3275A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8"/>
          <w:szCs w:val="28"/>
        </w:rPr>
      </w:pPr>
      <w:r w:rsidRPr="00840B39">
        <w:rPr>
          <w:b/>
          <w:i/>
          <w:sz w:val="28"/>
        </w:rPr>
        <w:t>Uma estratégia espacial para a Europa</w:t>
      </w:r>
    </w:p>
    <w:p w:rsidR="00C1115F" w:rsidRPr="00840B39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840B39" w:rsidRDefault="009C36F8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840B39">
        <w:rPr>
          <w:b/>
        </w:rPr>
        <w:t>Relator</w:t>
      </w:r>
      <w:r w:rsidR="00C1115F" w:rsidRPr="00840B39">
        <w:rPr>
          <w:b/>
        </w:rPr>
        <w:t>:</w:t>
      </w:r>
      <w:r w:rsidR="00C1115F" w:rsidRPr="00840B39">
        <w:tab/>
      </w:r>
      <w:r w:rsidRPr="00840B39">
        <w:tab/>
      </w:r>
      <w:r w:rsidR="00C1115F" w:rsidRPr="00840B39">
        <w:t>Mindaugas Maciulevičius (Interesses Diversos – LT)</w:t>
      </w:r>
    </w:p>
    <w:p w:rsidR="00C1115F" w:rsidRPr="00840B39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840B39" w:rsidRDefault="00C1115F" w:rsidP="00A3275A">
      <w:pPr>
        <w:keepNext/>
        <w:tabs>
          <w:tab w:val="center" w:pos="284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840B39">
        <w:rPr>
          <w:b/>
        </w:rPr>
        <w:t>Referência</w:t>
      </w:r>
      <w:r w:rsidR="009C36F8" w:rsidRPr="00840B39">
        <w:rPr>
          <w:b/>
        </w:rPr>
        <w:t>s</w:t>
      </w:r>
      <w:r w:rsidRPr="00840B39">
        <w:rPr>
          <w:b/>
        </w:rPr>
        <w:t>:</w:t>
      </w:r>
      <w:r w:rsidRPr="00840B39">
        <w:tab/>
        <w:t>COM(2016) 705 final</w:t>
      </w:r>
    </w:p>
    <w:p w:rsidR="00C1115F" w:rsidRPr="00840B39" w:rsidRDefault="00C1115F" w:rsidP="00A3275A">
      <w:pPr>
        <w:keepNext/>
        <w:tabs>
          <w:tab w:val="center" w:pos="-2977"/>
        </w:tabs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</w:pPr>
      <w:r w:rsidRPr="00840B39">
        <w:t xml:space="preserve">INT/809 </w:t>
      </w:r>
      <w:r w:rsidR="00DE3193" w:rsidRPr="00840B39">
        <w:t>–</w:t>
      </w:r>
      <w:r w:rsidRPr="00840B39">
        <w:t xml:space="preserve"> EESC-2016-05992-00-00-PA-TRA</w:t>
      </w:r>
    </w:p>
    <w:p w:rsidR="00C1115F" w:rsidRPr="00840B39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840B39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840B39">
        <w:rPr>
          <w:b/>
        </w:rPr>
        <w:t>Pontos principais:</w:t>
      </w:r>
    </w:p>
    <w:p w:rsidR="00E84F95" w:rsidRPr="00840B39" w:rsidRDefault="00E84F95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CESE:</w:t>
      </w:r>
    </w:p>
    <w:p w:rsidR="009928D1" w:rsidRPr="00840B39" w:rsidRDefault="009928D1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congratula-se com a comunicação da Comissão Europeia relativa a uma estratégia espacial para a Europa;</w:t>
      </w:r>
    </w:p>
    <w:p w:rsidR="00C1115F" w:rsidRPr="00840B39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reitera o seu forte apoio a uma política espacial orientada para as necessidades civis;</w:t>
      </w:r>
    </w:p>
    <w:p w:rsidR="00C1115F" w:rsidRPr="00840B39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convida a Comissão, em conjunto com o Banco Europeu de Investimento, a identificar novas possibilidades de financiamento para incentivar os investidores privados;</w:t>
      </w:r>
    </w:p>
    <w:p w:rsidR="00C1115F" w:rsidRPr="00840B39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solicita a participação ativa de todos os Estados-Membros;</w:t>
      </w:r>
    </w:p>
    <w:p w:rsidR="00C1115F" w:rsidRPr="00840B39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considera que a educação e sensibilização pública para os benefícios das informações e dos dados disponibilizados por atividades espaciais revestem-se da maior importância;</w:t>
      </w:r>
    </w:p>
    <w:p w:rsidR="00C1115F" w:rsidRPr="00840B39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convida a Comissão a examinar a viabilidade da criação de um portal único;</w:t>
      </w:r>
    </w:p>
    <w:p w:rsidR="00C1115F" w:rsidRPr="00840B39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preconiza a adoção de uma nova abordagem em matéria de utilização dos dados.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840B39">
        <w:rPr>
          <w:b/>
          <w:i/>
        </w:rPr>
        <w:t>Contacto</w:t>
      </w:r>
      <w:r w:rsidRPr="00840B39">
        <w:t>:</w:t>
      </w:r>
      <w:r w:rsidRPr="00840B39">
        <w:tab/>
      </w:r>
      <w:r w:rsidRPr="00840B39">
        <w:rPr>
          <w:i/>
        </w:rPr>
        <w:t>Daniel Squerzi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rPr>
          <w:szCs w:val="20"/>
        </w:rPr>
      </w:pPr>
      <w:r w:rsidRPr="00840B39">
        <w:rPr>
          <w:i/>
        </w:rPr>
        <w:t xml:space="preserve">(Tel.: 00 32 2 546 9250 – correio eletrónico: </w:t>
      </w:r>
      <w:hyperlink r:id="rId25" w:history="1">
        <w:r w:rsidRPr="00840B39">
          <w:rPr>
            <w:rStyle w:val="Hyperlink"/>
            <w:i/>
          </w:rPr>
          <w:t>daniel.squerzi@eesc.europa.eu</w:t>
        </w:r>
      </w:hyperlink>
      <w:r w:rsidRPr="00840B39">
        <w:rPr>
          <w:i/>
        </w:rPr>
        <w:t>)</w:t>
      </w:r>
    </w:p>
    <w:p w:rsidR="003A4AB8" w:rsidRPr="00840B39" w:rsidRDefault="003A4AB8" w:rsidP="00A3275A">
      <w:pPr>
        <w:overflowPunct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505DD7" w:rsidRPr="00840B39" w:rsidRDefault="00505DD7" w:rsidP="004C07BF">
      <w:pPr>
        <w:spacing w:line="240" w:lineRule="auto"/>
        <w:rPr>
          <w:b/>
        </w:rPr>
      </w:pPr>
    </w:p>
    <w:p w:rsidR="003075E1" w:rsidRPr="00840B39" w:rsidRDefault="00E6566F" w:rsidP="00A3275A">
      <w:pPr>
        <w:pStyle w:val="Heading1"/>
        <w:keepNext/>
        <w:spacing w:line="276" w:lineRule="auto"/>
        <w:rPr>
          <w:b/>
          <w:iCs/>
        </w:rPr>
      </w:pPr>
      <w:bookmarkStart w:id="10" w:name="_Toc477938713"/>
      <w:bookmarkStart w:id="11" w:name="_Toc480365051"/>
      <w:r w:rsidRPr="00840B39">
        <w:rPr>
          <w:b/>
        </w:rPr>
        <w:t>MERCADO INTERNO</w:t>
      </w:r>
      <w:bookmarkEnd w:id="10"/>
      <w:bookmarkEnd w:id="11"/>
    </w:p>
    <w:p w:rsidR="00BC5473" w:rsidRPr="00840B39" w:rsidRDefault="00BC5473" w:rsidP="00A3275A">
      <w:pPr>
        <w:keepNext/>
        <w:spacing w:line="276" w:lineRule="auto"/>
      </w:pPr>
    </w:p>
    <w:p w:rsidR="00C1115F" w:rsidRPr="00840B39" w:rsidRDefault="00C1115F" w:rsidP="00A3275A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8"/>
          <w:szCs w:val="28"/>
        </w:rPr>
      </w:pPr>
      <w:r w:rsidRPr="00840B39">
        <w:rPr>
          <w:b/>
          <w:i/>
          <w:sz w:val="28"/>
        </w:rPr>
        <w:t>Insolvência das empresas</w:t>
      </w:r>
    </w:p>
    <w:p w:rsidR="00C1115F" w:rsidRPr="00840B39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840B39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840B39">
        <w:rPr>
          <w:b/>
        </w:rPr>
        <w:t>Relator:</w:t>
      </w:r>
      <w:r w:rsidRPr="00840B39">
        <w:tab/>
      </w:r>
      <w:r w:rsidR="009C36F8" w:rsidRPr="00840B39">
        <w:tab/>
      </w:r>
      <w:r w:rsidRPr="00840B39">
        <w:t>Antonello Pezzini (Empregadores – IT)</w:t>
      </w:r>
    </w:p>
    <w:p w:rsidR="00C1115F" w:rsidRPr="00840B39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840B39">
        <w:rPr>
          <w:b/>
        </w:rPr>
        <w:t>Correlatora:</w:t>
      </w:r>
      <w:r w:rsidRPr="00840B39">
        <w:tab/>
        <w:t>Franca Salis-Madinier (Trabalhadores – FR)</w:t>
      </w:r>
    </w:p>
    <w:p w:rsidR="00C1115F" w:rsidRPr="00840B39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E24E8C" w:rsidRPr="00840B39" w:rsidRDefault="00C1115F" w:rsidP="00A3275A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rPr>
          <w:b/>
        </w:rPr>
        <w:t>Referência</w:t>
      </w:r>
      <w:r w:rsidR="009C36F8" w:rsidRPr="00840B39">
        <w:rPr>
          <w:b/>
        </w:rPr>
        <w:t>s</w:t>
      </w:r>
      <w:r w:rsidRPr="00840B39">
        <w:rPr>
          <w:b/>
        </w:rPr>
        <w:t>:</w:t>
      </w:r>
      <w:r w:rsidRPr="00840B39">
        <w:tab/>
        <w:t>COM(2016) 723 final – 2016/0359 (COD)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</w:pPr>
      <w:r w:rsidRPr="00840B39">
        <w:t>EESC-2016-06275-00-02-PA-TRA</w:t>
      </w:r>
    </w:p>
    <w:p w:rsidR="00C1115F" w:rsidRPr="00840B39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840B39">
        <w:rPr>
          <w:b/>
        </w:rPr>
        <w:t>Pontos principais:</w:t>
      </w:r>
    </w:p>
    <w:p w:rsidR="00E84F95" w:rsidRPr="00840B39" w:rsidRDefault="00E84F9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CESE:</w:t>
      </w:r>
    </w:p>
    <w:p w:rsidR="00ED4925" w:rsidRPr="00840B39" w:rsidRDefault="00ED492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preferiria que a proposta tomasse a forma de um regulamento e não temesse proceder à máxima harmonização possível dos atuais sistemas;</w:t>
      </w:r>
    </w:p>
    <w:p w:rsidR="00987EAE" w:rsidRPr="00840B39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840B39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insiste em que a diretiva preveja expressamente a obrigação para a direção da empresa de informar e consultar os trabalhadores antes e durante as negociações;</w:t>
      </w:r>
    </w:p>
    <w:p w:rsidR="009C36F8" w:rsidRPr="00840B39" w:rsidRDefault="009C36F8" w:rsidP="009C36F8">
      <w:pPr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szCs w:val="20"/>
        </w:rPr>
      </w:pPr>
    </w:p>
    <w:p w:rsidR="00C1115F" w:rsidRPr="00840B39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recomenda que, em caso de insolvência, fique assegurado o estatuto de credores prioritários a todos os trabalhadores em todos os Estados-Membros;</w:t>
      </w:r>
    </w:p>
    <w:p w:rsidR="00987EAE" w:rsidRPr="00840B39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840B39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considera que é necessário verificar os critérios de fiabilidade dos empresários em termos de comportamentos profissionais honestos, e</w:t>
      </w:r>
    </w:p>
    <w:p w:rsidR="00987EAE" w:rsidRPr="00840B39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840B39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840B39">
        <w:t>preconiza que a diretiva considere prática ilegal o recurso abusivo por parte de um gestor de empresa ao processo de insolvência para privar os trabalhadores dos seus direitos.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840B39">
        <w:rPr>
          <w:b/>
          <w:i/>
        </w:rPr>
        <w:t>Contacto</w:t>
      </w:r>
      <w:r w:rsidRPr="00840B39">
        <w:t>:</w:t>
      </w:r>
      <w:r w:rsidRPr="00840B39">
        <w:tab/>
      </w:r>
      <w:r w:rsidRPr="00840B39">
        <w:rPr>
          <w:i/>
        </w:rPr>
        <w:t>Marie-Laurence Drillon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szCs w:val="20"/>
        </w:rPr>
      </w:pPr>
      <w:r w:rsidRPr="00840B39">
        <w:rPr>
          <w:i/>
        </w:rPr>
        <w:t xml:space="preserve">(Tel.: 00 32 2 546 8320 – correio eletrónico: </w:t>
      </w:r>
      <w:hyperlink r:id="rId26" w:history="1">
        <w:r w:rsidRPr="00840B39">
          <w:rPr>
            <w:rStyle w:val="Hyperlink"/>
            <w:i/>
          </w:rPr>
          <w:t>marie-laurence.drillon@eesc.europa.eu</w:t>
        </w:r>
      </w:hyperlink>
      <w:r w:rsidRPr="00840B39">
        <w:rPr>
          <w:i/>
        </w:rPr>
        <w:t>)</w:t>
      </w:r>
    </w:p>
    <w:p w:rsidR="00ED4925" w:rsidRPr="00840B39" w:rsidRDefault="00ED492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505DD7" w:rsidRPr="00840B39" w:rsidRDefault="00505DD7" w:rsidP="004C07BF">
      <w:pPr>
        <w:spacing w:line="240" w:lineRule="auto"/>
        <w:rPr>
          <w:b/>
        </w:rPr>
      </w:pPr>
    </w:p>
    <w:p w:rsidR="00E6566F" w:rsidRPr="00840B39" w:rsidRDefault="00E6566F" w:rsidP="00A3275A">
      <w:pPr>
        <w:pStyle w:val="Heading1"/>
        <w:spacing w:line="276" w:lineRule="auto"/>
        <w:rPr>
          <w:b/>
          <w:iCs/>
        </w:rPr>
      </w:pPr>
      <w:bookmarkStart w:id="12" w:name="_Toc477938714"/>
      <w:bookmarkStart w:id="13" w:name="_Toc480365052"/>
      <w:r w:rsidRPr="00840B39">
        <w:rPr>
          <w:b/>
        </w:rPr>
        <w:t>RELAÇÕES EXTERNAS</w:t>
      </w:r>
      <w:bookmarkEnd w:id="12"/>
      <w:bookmarkEnd w:id="13"/>
    </w:p>
    <w:p w:rsidR="00BC5473" w:rsidRPr="00840B39" w:rsidRDefault="00BC5473" w:rsidP="00A3275A">
      <w:pPr>
        <w:spacing w:line="276" w:lineRule="auto"/>
        <w:rPr>
          <w:highlight w:val="yellow"/>
        </w:rPr>
      </w:pPr>
    </w:p>
    <w:p w:rsidR="00C1115F" w:rsidRPr="00840B39" w:rsidRDefault="00C1115F" w:rsidP="00A327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/>
          <w:i/>
          <w:spacing w:val="-2"/>
          <w:sz w:val="28"/>
          <w:szCs w:val="28"/>
        </w:rPr>
      </w:pPr>
      <w:r w:rsidRPr="00840B39">
        <w:rPr>
          <w:b/>
          <w:i/>
          <w:spacing w:val="-2"/>
          <w:sz w:val="28"/>
        </w:rPr>
        <w:t>O futuro dos nossos oceanos</w:t>
      </w:r>
    </w:p>
    <w:p w:rsidR="00C1115F" w:rsidRPr="00840B39" w:rsidRDefault="00C1115F" w:rsidP="00A3275A">
      <w:pPr>
        <w:widowControl w:val="0"/>
        <w:spacing w:line="276" w:lineRule="auto"/>
      </w:pPr>
    </w:p>
    <w:p w:rsidR="00C1115F" w:rsidRPr="00840B39" w:rsidRDefault="00C1115F" w:rsidP="00A3275A">
      <w:pPr>
        <w:spacing w:line="276" w:lineRule="auto"/>
        <w:rPr>
          <w:highlight w:val="yellow"/>
        </w:rPr>
      </w:pPr>
      <w:r w:rsidRPr="00840B39">
        <w:rPr>
          <w:b/>
        </w:rPr>
        <w:t>Relator:</w:t>
      </w:r>
      <w:r w:rsidRPr="00840B39">
        <w:tab/>
        <w:t>Jan Simons (Empregadores – NL)</w:t>
      </w:r>
    </w:p>
    <w:p w:rsidR="00C1115F" w:rsidRPr="00840B39" w:rsidRDefault="00C1115F" w:rsidP="00A3275A">
      <w:pPr>
        <w:spacing w:line="276" w:lineRule="auto"/>
      </w:pPr>
    </w:p>
    <w:p w:rsidR="00C1115F" w:rsidRPr="00840B39" w:rsidRDefault="00C1115F" w:rsidP="00A3275A">
      <w:pPr>
        <w:spacing w:line="276" w:lineRule="auto"/>
      </w:pPr>
      <w:r w:rsidRPr="00840B39">
        <w:rPr>
          <w:b/>
        </w:rPr>
        <w:t>Pontos principais:</w:t>
      </w:r>
    </w:p>
    <w:p w:rsidR="00C1115F" w:rsidRPr="00840B39" w:rsidRDefault="00C1115F" w:rsidP="00A3275A">
      <w:pPr>
        <w:widowControl w:val="0"/>
        <w:spacing w:line="276" w:lineRule="auto"/>
      </w:pPr>
    </w:p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840B39">
        <w:t>O CESE congratula-se com a comunicação conjunta da Comissão Europeia e da Alta Representante da União para os Negócios Estrangeiros e a Política de Segurança sobre uma melhor governação dos oceanos e partilha da crescente preocupação em relação à necessidade de governar e proteger melhor os oceanos devido ao aumento das atividades humanas (pesca insustentável, uma proteção inadequada, turismo, tráfego intenso, poluição).</w:t>
      </w:r>
    </w:p>
    <w:p w:rsidR="00C1115F" w:rsidRPr="00840B39" w:rsidRDefault="00C1115F" w:rsidP="00A3275A">
      <w:pPr>
        <w:spacing w:line="276" w:lineRule="auto"/>
      </w:pPr>
    </w:p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840B39">
        <w:t>O CESE considera que o atual quadro de governação internacional dos oceanos não é capaz de assegurar a gestão sustentável dos oceanos e dos seus recursos, pelo que são imperativas medidas urgentes. Contudo, a Comissão e a Alta Representante têm ainda de priorizar as ameaças atualmente enfrentadas pelos nossos oceanos, de modo a refletir adequadamente a urgência das medidas.</w:t>
      </w:r>
    </w:p>
    <w:p w:rsidR="00C1115F" w:rsidRPr="00840B39" w:rsidRDefault="00C1115F" w:rsidP="00A3275A">
      <w:pPr>
        <w:spacing w:line="276" w:lineRule="auto"/>
      </w:pPr>
    </w:p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840B39">
        <w:t>Uma das causas da ineficácia da governação internacional dos oceanos prende-se com as lacunas no atual quadro de governação internacional dos oceanos. O CESE recomenda que a Comissão e a Alta Representante colmatem estas lacunas e incoerências, mas também que reforcem o cumprimento das normas existentes, por exemplo, através da melhoria da aplicação da Diretiva</w:t>
      </w:r>
      <w:r w:rsidR="009C36F8" w:rsidRPr="00840B39">
        <w:noBreakHyphen/>
      </w:r>
      <w:r w:rsidRPr="00840B39">
        <w:t>Quadro Estratégia Marinha. A UE deve abster-se de propor nova legislação sempre que uma aplicação melhor ou mais coordenada das normas e dos regulamentos em vigor possa ser mais eficaz.</w:t>
      </w:r>
    </w:p>
    <w:p w:rsidR="00C1115F" w:rsidRPr="00840B39" w:rsidRDefault="00C1115F" w:rsidP="00A3275A"/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840B39">
        <w:t>O CESE considera que a UE poderia desempenhar um papel importante na melhoria da governação dos nossos oceanos, em especial apoiando a investigação científica sobre os oceanos. Os dados atualmente disponíveis devem ser utilizados de forma adequada e eficaz. Por conseguinte, o Comité encoraja vivamente a UE a desenvolver a Rede de Observação e de Dados do Meio Marinho, transformando-a numa rede mundial de dados sobre o meio marinho. A UE poderia tornar-se um centro de coordenação desta investigação.</w:t>
      </w:r>
    </w:p>
    <w:p w:rsidR="00C1115F" w:rsidRPr="00840B39" w:rsidRDefault="00C1115F" w:rsidP="00A3275A"/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840B39">
        <w:t>Além disso, o CESE insta a UE a colaborar com países parceiros no sentido de reduzir as ameaças e os riscos para a segurança marítima, como a pirataria, o tráfico de seres humanos, de armas e de estupefacientes, tirando partido, em simultâneo, da nova Agência Europeia da Guarda de Fronteiras e Costeira, da Agência Europeia da Segurança Marítima (EMSA) e da Agência Europeia de Controlo das Pescas (AECP).</w:t>
      </w:r>
    </w:p>
    <w:p w:rsidR="00C1115F" w:rsidRPr="00840B39" w:rsidRDefault="00C1115F" w:rsidP="00A3275A"/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  <w:rPr>
          <w:kern w:val="28"/>
        </w:rPr>
      </w:pPr>
      <w:r w:rsidRPr="00840B39">
        <w:t>O CESE encoraja vivamente a criação a nível da UE de um fórum de partes interessadas dedicado aos oceanos e mares do planeta, em especial porque a governação dos oceanos é uma questão transversal que envolve várias partes interessadas.</w:t>
      </w:r>
    </w:p>
    <w:p w:rsidR="00C1115F" w:rsidRPr="00840B39" w:rsidRDefault="00C1115F" w:rsidP="00A3275A"/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840B39">
        <w:t>O CESE considera que a governação dos oceanos deve assentar num equilíbrio entre o desenvolvimento socioeconómico e a conservação marinha. As tecnologias de exploração dos recursos dos fundos oceânicos devem ser usadas com cuidado e prudência.</w:t>
      </w:r>
    </w:p>
    <w:p w:rsidR="003A4AB8" w:rsidRPr="00840B39" w:rsidRDefault="003A4AB8" w:rsidP="00A3275A"/>
    <w:p w:rsidR="00C1115F" w:rsidRPr="00840B39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840B39">
        <w:t>Por último, mas não menos importante, o CESE assinala que as ações expostas na comunicação conjunta abordam a governação tanto dos oceanos como dos mares, pelo que sugere que o título da comunicação conjunta seja alterado para «uma agenda para o futuro dos nossos oceanos e mares».</w:t>
      </w:r>
    </w:p>
    <w:p w:rsidR="00C1115F" w:rsidRPr="00840B39" w:rsidRDefault="00C1115F" w:rsidP="00A3275A">
      <w:pPr>
        <w:widowControl w:val="0"/>
        <w:spacing w:line="276" w:lineRule="auto"/>
      </w:pPr>
    </w:p>
    <w:p w:rsidR="00C1115F" w:rsidRPr="00840B39" w:rsidRDefault="00C1115F" w:rsidP="00A3275A">
      <w:pPr>
        <w:spacing w:line="276" w:lineRule="auto"/>
        <w:rPr>
          <w:i/>
        </w:rPr>
      </w:pPr>
      <w:r w:rsidRPr="00840B39">
        <w:rPr>
          <w:b/>
          <w:i/>
        </w:rPr>
        <w:t>Contacto</w:t>
      </w:r>
      <w:r w:rsidRPr="00840B39">
        <w:rPr>
          <w:i/>
        </w:rPr>
        <w:t>:</w:t>
      </w:r>
      <w:r w:rsidRPr="00840B39">
        <w:tab/>
      </w:r>
      <w:r w:rsidRPr="00840B39">
        <w:rPr>
          <w:i/>
        </w:rPr>
        <w:t>Laura Ernšteina</w:t>
      </w:r>
    </w:p>
    <w:p w:rsidR="00C1115F" w:rsidRPr="00840B39" w:rsidRDefault="00C1115F" w:rsidP="00A3275A">
      <w:pPr>
        <w:spacing w:line="276" w:lineRule="auto"/>
        <w:ind w:left="1134"/>
        <w:rPr>
          <w:i/>
          <w:iCs/>
        </w:rPr>
      </w:pPr>
      <w:r w:rsidRPr="00840B39">
        <w:rPr>
          <w:i/>
        </w:rPr>
        <w:t xml:space="preserve">(Tel.: 00 32 2 546 9194 – correio eletrónico: </w:t>
      </w:r>
      <w:hyperlink r:id="rId27" w:history="1">
        <w:r w:rsidRPr="00840B39">
          <w:rPr>
            <w:rStyle w:val="Hyperlink"/>
            <w:i/>
          </w:rPr>
          <w:t>laura.ernsteina@eesc.europa.eu</w:t>
        </w:r>
      </w:hyperlink>
      <w:r w:rsidRPr="00840B39">
        <w:rPr>
          <w:i/>
        </w:rPr>
        <w:t>)</w:t>
      </w:r>
    </w:p>
    <w:p w:rsidR="00C1115F" w:rsidRPr="00840B39" w:rsidRDefault="00C1115F" w:rsidP="00DE3193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840B39" w:rsidRDefault="00C1115F" w:rsidP="00DE3193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840B39" w:rsidRDefault="00C1115F" w:rsidP="00A3275A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/>
          <w:i/>
          <w:spacing w:val="-2"/>
          <w:sz w:val="28"/>
          <w:szCs w:val="28"/>
        </w:rPr>
      </w:pPr>
      <w:r w:rsidRPr="00840B39">
        <w:rPr>
          <w:b/>
          <w:i/>
          <w:spacing w:val="-2"/>
          <w:sz w:val="28"/>
        </w:rPr>
        <w:t>Instrumentos de defesa comercial – metodologia</w:t>
      </w:r>
    </w:p>
    <w:p w:rsidR="00C1115F" w:rsidRPr="00840B39" w:rsidRDefault="00C1115F" w:rsidP="00A3275A">
      <w:pPr>
        <w:keepNext/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840B39" w:rsidRDefault="00C1115F" w:rsidP="00A3275A">
      <w:pPr>
        <w:keepNext/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840B39">
        <w:rPr>
          <w:b/>
        </w:rPr>
        <w:t>Relator:</w:t>
      </w:r>
      <w:r w:rsidRPr="00840B39">
        <w:tab/>
      </w:r>
      <w:r w:rsidR="009C36F8" w:rsidRPr="00840B39">
        <w:tab/>
      </w:r>
      <w:r w:rsidRPr="00840B39">
        <w:t>Christian Bäumler (Trabalhadores – DE)</w:t>
      </w:r>
    </w:p>
    <w:p w:rsidR="00C1115F" w:rsidRPr="00840B39" w:rsidRDefault="00C1115F" w:rsidP="00A3275A">
      <w:pPr>
        <w:keepNext/>
        <w:autoSpaceDE w:val="0"/>
        <w:autoSpaceDN w:val="0"/>
        <w:adjustRightInd w:val="0"/>
        <w:spacing w:line="276" w:lineRule="auto"/>
        <w:rPr>
          <w:szCs w:val="20"/>
        </w:rPr>
      </w:pPr>
      <w:r w:rsidRPr="00840B39">
        <w:rPr>
          <w:b/>
        </w:rPr>
        <w:t>Correlator:</w:t>
      </w:r>
      <w:r w:rsidRPr="00840B39">
        <w:tab/>
      </w:r>
      <w:r w:rsidR="009C36F8" w:rsidRPr="00840B39">
        <w:tab/>
      </w:r>
      <w:r w:rsidRPr="00840B39">
        <w:t>Andrés Barceló Delgado (Empregadores – ES)</w:t>
      </w:r>
    </w:p>
    <w:p w:rsidR="00C1115F" w:rsidRPr="00840B39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</w:p>
    <w:p w:rsidR="00C1115F" w:rsidRPr="00840B39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840B39">
        <w:rPr>
          <w:b/>
        </w:rPr>
        <w:t>Pontos principais:</w:t>
      </w:r>
    </w:p>
    <w:p w:rsidR="00C1115F" w:rsidRPr="00840B39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 está empenhado em apoiar um comércio aberto e justo e reconhece o seu valor como motor de crescimento e de emprego.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Por conseguinte, o CESE apela para a igualdade das condições de concorrência entre os produtores</w:t>
      </w:r>
      <w:r w:rsidR="009C36F8" w:rsidRPr="00840B39">
        <w:noBreakHyphen/>
      </w:r>
      <w:r w:rsidRPr="00840B39">
        <w:t>exportadores europeus e de países terceiros e para a eficácia dos instrumentos de defesa comercial.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 xml:space="preserve">O CESE considera que, de um modo geral, a proposta da Comissão apresenta uma abordagem equilibrada no que se refere à questão do estatuto de economia de mercado da China, por um lado, e ao objetivo de um método eficaz de cálculo do </w:t>
      </w:r>
      <w:r w:rsidRPr="00840B39">
        <w:rPr>
          <w:i/>
        </w:rPr>
        <w:t>dumping</w:t>
      </w:r>
      <w:r w:rsidRPr="00840B39">
        <w:t>, por outro.</w:t>
      </w:r>
    </w:p>
    <w:p w:rsidR="003A4AB8" w:rsidRPr="00840B39" w:rsidRDefault="003A4AB8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 xml:space="preserve">O CESE apoia a proposta da Comissão de não utilizar a metodologia normalizada para calcular a margem de </w:t>
      </w:r>
      <w:r w:rsidRPr="00840B39">
        <w:rPr>
          <w:i/>
        </w:rPr>
        <w:t>dumping</w:t>
      </w:r>
      <w:r w:rsidRPr="00840B39">
        <w:t>, utilizando antes valores de referência que levem em conta os custos de produção e venda com distorções importantes. O CESE salienta que já no seu parecer de 2016 consagrado à manutenção de postos de trabalho sustentáveis e ao crescimento na indústria siderúrgica defendera a não utilização da metodologia normalizada nos inquéritos anti-</w:t>
      </w:r>
      <w:r w:rsidRPr="00840B39">
        <w:rPr>
          <w:i/>
        </w:rPr>
        <w:t>dumping</w:t>
      </w:r>
      <w:r w:rsidRPr="00840B39">
        <w:t xml:space="preserve"> e antissubvenções realizados às importações provenientes da China enquanto este país não cumprisse os cinco critérios da UE para a obtenção do estatuto de economia de mercado.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 congratula-se com a intenção da Comissão de utilizar critérios específicos para determinar se existem distorções importantes na situação do mercado. Nota que se deve ter igualmente em conta o respeito das normas da OIT e de acordos multilaterais em matéria de ambiente.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 exorta o Parlamento e o Conselho a indicar claramente que a Comissão publicará relatórios específicos por país para todos os países com importantes distorções de mercado.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 salienta, contudo, que ainda há margem para melhorias na proposta da Comissão destinada a alterar o regulamento anti-</w:t>
      </w:r>
      <w:r w:rsidRPr="00840B39">
        <w:rPr>
          <w:i/>
        </w:rPr>
        <w:t>dumping</w:t>
      </w:r>
      <w:r w:rsidRPr="00840B39">
        <w:t xml:space="preserve"> de base no tocante à eficácia e viabilidade do processo de inquérito anti-</w:t>
      </w:r>
      <w:r w:rsidRPr="00840B39">
        <w:rPr>
          <w:i/>
        </w:rPr>
        <w:t>dumping</w:t>
      </w:r>
      <w:r w:rsidRPr="00840B39">
        <w:t xml:space="preserve"> (estatuto jurídico, exequibilidade e pertinência dos relatórios propostos) e, em particular, no respeitante ao ónus da prova, que não deve ser transferido para a indústria europeia.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 salienta, ainda, que as pequenas e médias empresas também devem ter acesso ao procedimento de apresentação de denúncias anti-</w:t>
      </w:r>
      <w:r w:rsidRPr="00840B39">
        <w:rPr>
          <w:i/>
        </w:rPr>
        <w:t>dumping</w:t>
      </w:r>
      <w:r w:rsidRPr="00840B39">
        <w:t>. O Comité assinala também que a eficiência dos procedimentos relativos aos instrumentos de defesa comercial (IDC) também está associada à proposta de 2013 de os modernizar, incluindo a regra do direito inferior. O CESE insiste na importância crucial de, nos próximos meses, também finalizar e adotar o pacote de modernização dos IDC, a fim de produzir um sistema de defesa comercial robusto e eficaz e de garantir o emprego e o crescimento na UE.</w:t>
      </w:r>
    </w:p>
    <w:p w:rsidR="00C1115F" w:rsidRPr="00840B39" w:rsidRDefault="00C1115F" w:rsidP="00A3275A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Cs w:val="20"/>
        </w:rPr>
      </w:pPr>
      <w:r w:rsidRPr="00840B39">
        <w:rPr>
          <w:b/>
          <w:i/>
        </w:rPr>
        <w:t>Contacto</w:t>
      </w:r>
      <w:r w:rsidRPr="00840B39">
        <w:rPr>
          <w:i/>
        </w:rPr>
        <w:t>:</w:t>
      </w:r>
      <w:r w:rsidRPr="00840B39">
        <w:tab/>
      </w:r>
      <w:r w:rsidRPr="00840B39">
        <w:rPr>
          <w:i/>
        </w:rPr>
        <w:t>Tzonka Iotzova</w:t>
      </w:r>
    </w:p>
    <w:p w:rsidR="00C1115F" w:rsidRPr="00840B39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iCs/>
        </w:rPr>
      </w:pPr>
      <w:r w:rsidRPr="00840B39">
        <w:rPr>
          <w:i/>
        </w:rPr>
        <w:t xml:space="preserve">(Tel.: 00 32 2 546 8978 – correio eletrónico: </w:t>
      </w:r>
      <w:hyperlink r:id="rId28" w:history="1">
        <w:r w:rsidRPr="00840B39">
          <w:rPr>
            <w:rStyle w:val="Hyperlink"/>
            <w:i/>
          </w:rPr>
          <w:t>tzonka.iotzova@eesc.europa.eu</w:t>
        </w:r>
      </w:hyperlink>
      <w:r w:rsidRPr="00840B39">
        <w:rPr>
          <w:i/>
        </w:rPr>
        <w:t>)</w:t>
      </w:r>
    </w:p>
    <w:p w:rsidR="00ED4925" w:rsidRPr="00840B39" w:rsidRDefault="00ED492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Cs/>
        </w:rPr>
      </w:pPr>
    </w:p>
    <w:p w:rsidR="00BC5473" w:rsidRPr="00840B39" w:rsidRDefault="00BC5473" w:rsidP="00A3275A">
      <w:pPr>
        <w:spacing w:line="276" w:lineRule="auto"/>
        <w:rPr>
          <w:b/>
          <w:highlight w:val="green"/>
        </w:rPr>
      </w:pPr>
    </w:p>
    <w:p w:rsidR="00E6566F" w:rsidRPr="00840B39" w:rsidRDefault="00E6566F" w:rsidP="00A3275A">
      <w:pPr>
        <w:pStyle w:val="Heading1"/>
        <w:spacing w:line="276" w:lineRule="auto"/>
        <w:rPr>
          <w:b/>
          <w:iCs/>
        </w:rPr>
      </w:pPr>
      <w:bookmarkStart w:id="14" w:name="_Toc477938715"/>
      <w:bookmarkStart w:id="15" w:name="_Toc480365053"/>
      <w:r w:rsidRPr="00840B39">
        <w:rPr>
          <w:b/>
        </w:rPr>
        <w:t>TRANSPORTES</w:t>
      </w:r>
      <w:bookmarkEnd w:id="14"/>
      <w:bookmarkEnd w:id="15"/>
    </w:p>
    <w:p w:rsidR="00E84F95" w:rsidRPr="00840B39" w:rsidRDefault="00E84F95" w:rsidP="00DE3193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840B39" w:rsidRDefault="006D7E2A" w:rsidP="00A327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Cs/>
          <w:i/>
          <w:sz w:val="28"/>
          <w:szCs w:val="28"/>
        </w:rPr>
      </w:pPr>
      <w:r w:rsidRPr="00840B39">
        <w:rPr>
          <w:b/>
          <w:i/>
          <w:sz w:val="28"/>
        </w:rPr>
        <w:t>Revogação de regulamentos relativos ao setor dos transportes</w:t>
      </w:r>
    </w:p>
    <w:p w:rsidR="006D7E2A" w:rsidRPr="00840B39" w:rsidRDefault="006D7E2A" w:rsidP="00A3275A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Cs w:val="20"/>
          <w:highlight w:val="green"/>
        </w:rPr>
      </w:pP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840B39">
        <w:rPr>
          <w:b/>
        </w:rPr>
        <w:t>Relator:</w:t>
      </w:r>
      <w:r w:rsidRPr="00840B39">
        <w:tab/>
      </w:r>
      <w:r w:rsidR="009C36F8" w:rsidRPr="00840B39">
        <w:tab/>
      </w:r>
      <w:r w:rsidRPr="00840B39">
        <w:t>Jan Simons (Empregadores – NL)</w:t>
      </w:r>
    </w:p>
    <w:p w:rsidR="004079A9" w:rsidRPr="00840B39" w:rsidRDefault="006D7E2A" w:rsidP="00A3275A">
      <w:pPr>
        <w:tabs>
          <w:tab w:val="num" w:pos="550"/>
          <w:tab w:val="left" w:pos="170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rPr>
          <w:b/>
        </w:rPr>
        <w:t>Referências:</w:t>
      </w:r>
      <w:r w:rsidRPr="00840B39">
        <w:tab/>
        <w:t>COM(2016) 745 final – 2016/0368 (COD)</w:t>
      </w:r>
    </w:p>
    <w:p w:rsidR="006D7E2A" w:rsidRPr="00840B39" w:rsidRDefault="006D7E2A" w:rsidP="00A3275A">
      <w:pPr>
        <w:tabs>
          <w:tab w:val="num" w:pos="550"/>
        </w:tabs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  <w:rPr>
          <w:szCs w:val="20"/>
          <w:highlight w:val="green"/>
        </w:rPr>
      </w:pPr>
      <w:r w:rsidRPr="00840B39">
        <w:t>EESC-2017-00448-00-00-AS-TRA</w:t>
      </w: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highlight w:val="green"/>
        </w:rPr>
      </w:pP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840B39">
        <w:rPr>
          <w:b/>
        </w:rPr>
        <w:t>Pontos principais:</w:t>
      </w:r>
    </w:p>
    <w:p w:rsidR="00E84F95" w:rsidRPr="00840B39" w:rsidRDefault="00E84F9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No âmbito do programa REFIT da Comissão e do compromisso «Legislar Melhor», com o objetivo de garantir um quadro legislativo adequado e de alta qualidade, tal como referido no Acordo interinstitucional entre o Parlamento Europeu, o Conselho da União Europeia e a Comissão Europeia sobre legislar melhor, esta última instituição propõe revogar três regulamentos por se terem tornado obsoletos.</w:t>
      </w:r>
    </w:p>
    <w:p w:rsidR="00E84F95" w:rsidRPr="00840B39" w:rsidRDefault="00E84F95" w:rsidP="00DE319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O CESE sempre apoiou a ideia de que o quadro legislativo deve ser não só adequado e de alta qualidade como também transparente, claro e fácil de utilizar pelos Estados-Membros e pelas partes interessadas pertinentes, no caso em apreço os setores da navegação interior e do transporte rodoviário de mercadorias.</w:t>
      </w: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840B39">
        <w:t>Após consulta das organizações de partes interessadas pertinentes, o CESE entendeu poder subscrever a proposta de regulamento da Comissão que revoga o Regulamento (CEE) n.º 1101/89 (regime temporário de desmantelamento de embarcações na navegação interior), assim como os Regulamentos (CE) n.º 2888/2000 (repartição de autorizações para o transporte de m</w:t>
      </w:r>
      <w:r w:rsidR="00B2364E" w:rsidRPr="00840B39">
        <w:t>ercadorias na Suíça) e (CE) n.º </w:t>
      </w:r>
      <w:r w:rsidRPr="00840B39">
        <w:t>685/2001 (autorizações para o transporte de mercadorias na Bulgária e na Roménia antes da sua adesão à UE).</w:t>
      </w: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  <w:r w:rsidRPr="00840B39">
        <w:rPr>
          <w:b/>
          <w:i/>
        </w:rPr>
        <w:t>Contacto</w:t>
      </w:r>
      <w:r w:rsidRPr="00840B39">
        <w:t>:</w:t>
      </w:r>
      <w:r w:rsidRPr="00840B39">
        <w:tab/>
      </w:r>
      <w:r w:rsidRPr="00840B39">
        <w:rPr>
          <w:i/>
        </w:rPr>
        <w:t>Agota Bazsik</w:t>
      </w:r>
    </w:p>
    <w:p w:rsidR="006D7E2A" w:rsidRPr="00840B39" w:rsidRDefault="006D7E2A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i/>
        </w:rPr>
      </w:pPr>
      <w:r w:rsidRPr="00840B39">
        <w:rPr>
          <w:i/>
        </w:rPr>
        <w:t xml:space="preserve">(Tel.: 00 32 2 546 8658 – correio eletrónico: </w:t>
      </w:r>
      <w:hyperlink r:id="rId29" w:history="1">
        <w:r w:rsidRPr="00840B39">
          <w:rPr>
            <w:rStyle w:val="Hyperlink"/>
            <w:i/>
          </w:rPr>
          <w:t>agota.bazsik@eesc.europa.eu</w:t>
        </w:r>
      </w:hyperlink>
      <w:r w:rsidRPr="00840B39">
        <w:rPr>
          <w:i/>
        </w:rPr>
        <w:t>)</w:t>
      </w:r>
    </w:p>
    <w:p w:rsidR="007D03DC" w:rsidRPr="00840B39" w:rsidRDefault="007D03DC" w:rsidP="00E6566F"/>
    <w:p w:rsidR="00156950" w:rsidRPr="00840B39" w:rsidRDefault="00156950" w:rsidP="008B7E27">
      <w:pPr>
        <w:overflowPunct w:val="0"/>
        <w:autoSpaceDE w:val="0"/>
        <w:autoSpaceDN w:val="0"/>
        <w:adjustRightInd w:val="0"/>
        <w:jc w:val="center"/>
        <w:textAlignment w:val="baseline"/>
      </w:pPr>
      <w:r w:rsidRPr="00840B39">
        <w:t>_____________</w:t>
      </w:r>
    </w:p>
    <w:sectPr w:rsidR="00156950" w:rsidRPr="00840B39" w:rsidSect="0070482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BF" w:rsidRDefault="004C07BF" w:rsidP="003B283B">
      <w:pPr>
        <w:spacing w:line="240" w:lineRule="auto"/>
      </w:pPr>
      <w:r>
        <w:separator/>
      </w:r>
    </w:p>
  </w:endnote>
  <w:endnote w:type="continuationSeparator" w:id="0">
    <w:p w:rsidR="004C07BF" w:rsidRDefault="004C07BF" w:rsidP="003B283B">
      <w:pPr>
        <w:spacing w:line="240" w:lineRule="auto"/>
      </w:pPr>
      <w:r>
        <w:continuationSeparator/>
      </w:r>
    </w:p>
  </w:endnote>
  <w:endnote w:type="continuationNotice" w:id="1">
    <w:p w:rsidR="004C07BF" w:rsidRDefault="004C07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70482D" w:rsidRDefault="0070482D" w:rsidP="0070482D">
    <w:pPr>
      <w:pStyle w:val="Footer"/>
    </w:pPr>
    <w:r>
      <w:t xml:space="preserve">EESC-2017-01003-00-01-TCD-TRA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840B3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40B39">
      <w:fldChar w:fldCharType="begin"/>
    </w:r>
    <w:r w:rsidR="00840B39">
      <w:instrText xml:space="preserve"> NUMPAGES </w:instrText>
    </w:r>
    <w:r w:rsidR="00840B39">
      <w:fldChar w:fldCharType="separate"/>
    </w:r>
    <w:r w:rsidR="00840B39">
      <w:rPr>
        <w:noProof/>
      </w:rPr>
      <w:instrText>1</w:instrText>
    </w:r>
    <w:r w:rsidR="00840B39">
      <w:rPr>
        <w:noProof/>
      </w:rPr>
      <w:fldChar w:fldCharType="end"/>
    </w:r>
    <w:r>
      <w:instrText xml:space="preserve"> -0 </w:instrText>
    </w:r>
    <w:r>
      <w:fldChar w:fldCharType="separate"/>
    </w:r>
    <w:r w:rsidR="00840B3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70482D" w:rsidRDefault="004C07BF" w:rsidP="00704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70482D" w:rsidRDefault="0070482D" w:rsidP="0070482D">
    <w:pPr>
      <w:pStyle w:val="Footer"/>
    </w:pPr>
    <w:r>
      <w:t xml:space="preserve">EESC-2017-01003-00-01-TCD-TRA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840B39">
      <w:rPr>
        <w:noProof/>
      </w:rPr>
      <w:t>3</w:t>
    </w:r>
    <w:r>
      <w:fldChar w:fldCharType="end"/>
    </w:r>
    <w:r>
      <w:t>/</w:t>
    </w:r>
    <w:r w:rsidR="00EC55E0">
      <w:t>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70482D" w:rsidRDefault="004C07BF" w:rsidP="00704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BF" w:rsidRDefault="004C07BF" w:rsidP="003B283B">
      <w:pPr>
        <w:spacing w:line="240" w:lineRule="auto"/>
      </w:pPr>
      <w:r>
        <w:separator/>
      </w:r>
    </w:p>
  </w:footnote>
  <w:footnote w:type="continuationSeparator" w:id="0">
    <w:p w:rsidR="004C07BF" w:rsidRDefault="004C07BF" w:rsidP="003B283B">
      <w:pPr>
        <w:spacing w:line="240" w:lineRule="auto"/>
      </w:pPr>
      <w:r>
        <w:continuationSeparator/>
      </w:r>
    </w:p>
  </w:footnote>
  <w:footnote w:type="continuationNotice" w:id="1">
    <w:p w:rsidR="004C07BF" w:rsidRPr="00377A77" w:rsidRDefault="004C07B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70482D" w:rsidRDefault="004C07BF" w:rsidP="00704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70482D" w:rsidRDefault="004C07BF" w:rsidP="00704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70482D" w:rsidRDefault="004C07BF" w:rsidP="00704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7A6591"/>
    <w:multiLevelType w:val="hybridMultilevel"/>
    <w:tmpl w:val="404A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370DB"/>
    <w:multiLevelType w:val="hybridMultilevel"/>
    <w:tmpl w:val="934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2FF2"/>
    <w:multiLevelType w:val="hybridMultilevel"/>
    <w:tmpl w:val="3FD06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11FB4"/>
    <w:multiLevelType w:val="hybridMultilevel"/>
    <w:tmpl w:val="EE1E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154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7113"/>
    <w:multiLevelType w:val="hybridMultilevel"/>
    <w:tmpl w:val="6BE82942"/>
    <w:lvl w:ilvl="0" w:tplc="009C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72673"/>
    <w:multiLevelType w:val="hybridMultilevel"/>
    <w:tmpl w:val="9118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05FB"/>
    <w:multiLevelType w:val="hybridMultilevel"/>
    <w:tmpl w:val="4E22F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7AFF"/>
    <w:multiLevelType w:val="hybridMultilevel"/>
    <w:tmpl w:val="DAE0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228B1"/>
    <w:multiLevelType w:val="hybridMultilevel"/>
    <w:tmpl w:val="9B48A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5A15"/>
    <w:multiLevelType w:val="hybridMultilevel"/>
    <w:tmpl w:val="176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5D50"/>
    <w:multiLevelType w:val="hybridMultilevel"/>
    <w:tmpl w:val="1194AF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14B4760"/>
    <w:multiLevelType w:val="hybridMultilevel"/>
    <w:tmpl w:val="FF12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F53D6"/>
    <w:multiLevelType w:val="hybridMultilevel"/>
    <w:tmpl w:val="5D2E3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F7774"/>
    <w:multiLevelType w:val="hybridMultilevel"/>
    <w:tmpl w:val="13528DA4"/>
    <w:lvl w:ilvl="0" w:tplc="CB28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A7D1050"/>
    <w:multiLevelType w:val="hybridMultilevel"/>
    <w:tmpl w:val="7E2493F4"/>
    <w:lvl w:ilvl="0" w:tplc="EEF02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9493A"/>
    <w:multiLevelType w:val="hybridMultilevel"/>
    <w:tmpl w:val="D6561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9A64ED"/>
    <w:multiLevelType w:val="hybridMultilevel"/>
    <w:tmpl w:val="325C538C"/>
    <w:lvl w:ilvl="0" w:tplc="5956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13587"/>
    <w:multiLevelType w:val="hybridMultilevel"/>
    <w:tmpl w:val="7BECB2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31035"/>
    <w:multiLevelType w:val="hybridMultilevel"/>
    <w:tmpl w:val="278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6"/>
  </w:num>
  <w:num w:numId="7">
    <w:abstractNumId w:val="34"/>
  </w:num>
  <w:num w:numId="8">
    <w:abstractNumId w:val="8"/>
  </w:num>
  <w:num w:numId="9">
    <w:abstractNumId w:val="20"/>
  </w:num>
  <w:num w:numId="10">
    <w:abstractNumId w:val="26"/>
  </w:num>
  <w:num w:numId="11">
    <w:abstractNumId w:val="19"/>
  </w:num>
  <w:num w:numId="12">
    <w:abstractNumId w:val="33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21"/>
  </w:num>
  <w:num w:numId="18">
    <w:abstractNumId w:val="9"/>
  </w:num>
  <w:num w:numId="19">
    <w:abstractNumId w:val="29"/>
  </w:num>
  <w:num w:numId="20">
    <w:abstractNumId w:val="5"/>
  </w:num>
  <w:num w:numId="21">
    <w:abstractNumId w:val="31"/>
  </w:num>
  <w:num w:numId="22">
    <w:abstractNumId w:val="4"/>
  </w:num>
  <w:num w:numId="23">
    <w:abstractNumId w:val="13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1"/>
  </w:num>
  <w:num w:numId="29">
    <w:abstractNumId w:val="24"/>
  </w:num>
  <w:num w:numId="30">
    <w:abstractNumId w:val="32"/>
  </w:num>
  <w:num w:numId="31">
    <w:abstractNumId w:val="3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10"/>
  </w:num>
  <w:num w:numId="35">
    <w:abstractNumId w:val="6"/>
  </w:num>
  <w:num w:numId="36">
    <w:abstractNumId w:val="12"/>
  </w:num>
  <w:num w:numId="3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2B6C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51C81"/>
    <w:rsid w:val="0005250A"/>
    <w:rsid w:val="000529F2"/>
    <w:rsid w:val="00054E26"/>
    <w:rsid w:val="00055735"/>
    <w:rsid w:val="000562AF"/>
    <w:rsid w:val="00057390"/>
    <w:rsid w:val="00060853"/>
    <w:rsid w:val="00067189"/>
    <w:rsid w:val="00067BC4"/>
    <w:rsid w:val="00070C28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C07F0"/>
    <w:rsid w:val="000C0946"/>
    <w:rsid w:val="000C0AA0"/>
    <w:rsid w:val="000C2679"/>
    <w:rsid w:val="000C37E9"/>
    <w:rsid w:val="000C3DF6"/>
    <w:rsid w:val="000C469F"/>
    <w:rsid w:val="000C5C84"/>
    <w:rsid w:val="000D28F0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58DF"/>
    <w:rsid w:val="00116CFB"/>
    <w:rsid w:val="00126A7F"/>
    <w:rsid w:val="00127660"/>
    <w:rsid w:val="00131042"/>
    <w:rsid w:val="0013146D"/>
    <w:rsid w:val="001365CD"/>
    <w:rsid w:val="00136F53"/>
    <w:rsid w:val="00136FA8"/>
    <w:rsid w:val="001376AC"/>
    <w:rsid w:val="0014104C"/>
    <w:rsid w:val="00142A4E"/>
    <w:rsid w:val="0014464E"/>
    <w:rsid w:val="00144DCE"/>
    <w:rsid w:val="00146F91"/>
    <w:rsid w:val="00153199"/>
    <w:rsid w:val="001540D3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2D03"/>
    <w:rsid w:val="00184B28"/>
    <w:rsid w:val="00184C46"/>
    <w:rsid w:val="00186D96"/>
    <w:rsid w:val="00191C0B"/>
    <w:rsid w:val="00194447"/>
    <w:rsid w:val="0019516A"/>
    <w:rsid w:val="00195479"/>
    <w:rsid w:val="001A1064"/>
    <w:rsid w:val="001A3D0C"/>
    <w:rsid w:val="001B0D26"/>
    <w:rsid w:val="001B1504"/>
    <w:rsid w:val="001B18C2"/>
    <w:rsid w:val="001B232C"/>
    <w:rsid w:val="001B28BC"/>
    <w:rsid w:val="001B424E"/>
    <w:rsid w:val="001B4CC9"/>
    <w:rsid w:val="001B77EA"/>
    <w:rsid w:val="001C0535"/>
    <w:rsid w:val="001C05B2"/>
    <w:rsid w:val="001C07DD"/>
    <w:rsid w:val="001C0B67"/>
    <w:rsid w:val="001C17BE"/>
    <w:rsid w:val="001C365D"/>
    <w:rsid w:val="001C4264"/>
    <w:rsid w:val="001C6C93"/>
    <w:rsid w:val="001D013F"/>
    <w:rsid w:val="001D4E3C"/>
    <w:rsid w:val="001D52CB"/>
    <w:rsid w:val="001D6C48"/>
    <w:rsid w:val="001E2338"/>
    <w:rsid w:val="001E74A2"/>
    <w:rsid w:val="001E76FC"/>
    <w:rsid w:val="001F0BC4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21123"/>
    <w:rsid w:val="002236A6"/>
    <w:rsid w:val="00224DE6"/>
    <w:rsid w:val="00224E75"/>
    <w:rsid w:val="00226823"/>
    <w:rsid w:val="002276DD"/>
    <w:rsid w:val="0023002B"/>
    <w:rsid w:val="00233CAC"/>
    <w:rsid w:val="0023548F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6F79"/>
    <w:rsid w:val="00267AB2"/>
    <w:rsid w:val="0027137C"/>
    <w:rsid w:val="00273CDC"/>
    <w:rsid w:val="00281365"/>
    <w:rsid w:val="0028188E"/>
    <w:rsid w:val="002843D9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E72"/>
    <w:rsid w:val="002A5F58"/>
    <w:rsid w:val="002B2798"/>
    <w:rsid w:val="002B4372"/>
    <w:rsid w:val="002B5973"/>
    <w:rsid w:val="002C0F1F"/>
    <w:rsid w:val="002C1999"/>
    <w:rsid w:val="002C24EA"/>
    <w:rsid w:val="002C3DCC"/>
    <w:rsid w:val="002C43DB"/>
    <w:rsid w:val="002C5D72"/>
    <w:rsid w:val="002D0F32"/>
    <w:rsid w:val="002D1B76"/>
    <w:rsid w:val="002D41B7"/>
    <w:rsid w:val="002D73EF"/>
    <w:rsid w:val="002D750B"/>
    <w:rsid w:val="002F0044"/>
    <w:rsid w:val="002F0388"/>
    <w:rsid w:val="003002D3"/>
    <w:rsid w:val="003058FB"/>
    <w:rsid w:val="00306501"/>
    <w:rsid w:val="003075E1"/>
    <w:rsid w:val="003079A2"/>
    <w:rsid w:val="00307A61"/>
    <w:rsid w:val="00310496"/>
    <w:rsid w:val="00311036"/>
    <w:rsid w:val="00311101"/>
    <w:rsid w:val="003111F0"/>
    <w:rsid w:val="00313967"/>
    <w:rsid w:val="00314E67"/>
    <w:rsid w:val="003154F6"/>
    <w:rsid w:val="003160F4"/>
    <w:rsid w:val="003179EF"/>
    <w:rsid w:val="00322BCE"/>
    <w:rsid w:val="00325A3E"/>
    <w:rsid w:val="003266F7"/>
    <w:rsid w:val="00326F48"/>
    <w:rsid w:val="00327A6E"/>
    <w:rsid w:val="00327A80"/>
    <w:rsid w:val="00330A73"/>
    <w:rsid w:val="00331316"/>
    <w:rsid w:val="00331403"/>
    <w:rsid w:val="00332F52"/>
    <w:rsid w:val="00336DB2"/>
    <w:rsid w:val="00342715"/>
    <w:rsid w:val="0034601A"/>
    <w:rsid w:val="0034657E"/>
    <w:rsid w:val="00350470"/>
    <w:rsid w:val="003526C7"/>
    <w:rsid w:val="003542D4"/>
    <w:rsid w:val="003543F0"/>
    <w:rsid w:val="003555A1"/>
    <w:rsid w:val="0035631F"/>
    <w:rsid w:val="00357667"/>
    <w:rsid w:val="00360D02"/>
    <w:rsid w:val="00361CF3"/>
    <w:rsid w:val="00362B7F"/>
    <w:rsid w:val="00364D74"/>
    <w:rsid w:val="00371671"/>
    <w:rsid w:val="0037202C"/>
    <w:rsid w:val="00372D96"/>
    <w:rsid w:val="003759AE"/>
    <w:rsid w:val="00376735"/>
    <w:rsid w:val="00377A77"/>
    <w:rsid w:val="003803A1"/>
    <w:rsid w:val="00380A9A"/>
    <w:rsid w:val="0038274D"/>
    <w:rsid w:val="003833E4"/>
    <w:rsid w:val="0038799C"/>
    <w:rsid w:val="00387CFB"/>
    <w:rsid w:val="00392559"/>
    <w:rsid w:val="003939EE"/>
    <w:rsid w:val="00394196"/>
    <w:rsid w:val="0039485C"/>
    <w:rsid w:val="00397835"/>
    <w:rsid w:val="00397A66"/>
    <w:rsid w:val="00397C0A"/>
    <w:rsid w:val="003A4AB8"/>
    <w:rsid w:val="003A63B9"/>
    <w:rsid w:val="003A667F"/>
    <w:rsid w:val="003A7683"/>
    <w:rsid w:val="003B20F1"/>
    <w:rsid w:val="003B283B"/>
    <w:rsid w:val="003B2AB5"/>
    <w:rsid w:val="003B2BA2"/>
    <w:rsid w:val="003B38AA"/>
    <w:rsid w:val="003B5313"/>
    <w:rsid w:val="003B5456"/>
    <w:rsid w:val="003C1187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11755"/>
    <w:rsid w:val="0041385B"/>
    <w:rsid w:val="00413EED"/>
    <w:rsid w:val="00414A4C"/>
    <w:rsid w:val="00415AAD"/>
    <w:rsid w:val="0041728F"/>
    <w:rsid w:val="00421682"/>
    <w:rsid w:val="004221CC"/>
    <w:rsid w:val="004235E7"/>
    <w:rsid w:val="00425526"/>
    <w:rsid w:val="00426306"/>
    <w:rsid w:val="00427C97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60CCB"/>
    <w:rsid w:val="00460D3F"/>
    <w:rsid w:val="00461E3E"/>
    <w:rsid w:val="00464A26"/>
    <w:rsid w:val="00464B19"/>
    <w:rsid w:val="00464C86"/>
    <w:rsid w:val="00466AC6"/>
    <w:rsid w:val="0047016B"/>
    <w:rsid w:val="00470409"/>
    <w:rsid w:val="0047306F"/>
    <w:rsid w:val="0047417A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7790"/>
    <w:rsid w:val="004C05A5"/>
    <w:rsid w:val="004C07BF"/>
    <w:rsid w:val="004C0FE5"/>
    <w:rsid w:val="004C4138"/>
    <w:rsid w:val="004C4D7B"/>
    <w:rsid w:val="004C56A4"/>
    <w:rsid w:val="004C6E55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650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7398"/>
    <w:rsid w:val="005073C6"/>
    <w:rsid w:val="00507B8C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829"/>
    <w:rsid w:val="005805C8"/>
    <w:rsid w:val="0058068C"/>
    <w:rsid w:val="00581104"/>
    <w:rsid w:val="00584D4C"/>
    <w:rsid w:val="005876F8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D2D"/>
    <w:rsid w:val="005B70E6"/>
    <w:rsid w:val="005B7EAD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531B"/>
    <w:rsid w:val="005E7516"/>
    <w:rsid w:val="005F54A5"/>
    <w:rsid w:val="005F5722"/>
    <w:rsid w:val="005F7FD3"/>
    <w:rsid w:val="00600B60"/>
    <w:rsid w:val="006028AC"/>
    <w:rsid w:val="006043AA"/>
    <w:rsid w:val="00610CDE"/>
    <w:rsid w:val="006139AA"/>
    <w:rsid w:val="006140BB"/>
    <w:rsid w:val="00616E48"/>
    <w:rsid w:val="00622A2D"/>
    <w:rsid w:val="00623026"/>
    <w:rsid w:val="00623940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504C"/>
    <w:rsid w:val="006552FD"/>
    <w:rsid w:val="0065609C"/>
    <w:rsid w:val="006579F9"/>
    <w:rsid w:val="00657F8D"/>
    <w:rsid w:val="006600DC"/>
    <w:rsid w:val="00664CC5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90AFD"/>
    <w:rsid w:val="0069185E"/>
    <w:rsid w:val="00696261"/>
    <w:rsid w:val="0069782A"/>
    <w:rsid w:val="006A2764"/>
    <w:rsid w:val="006A4EAA"/>
    <w:rsid w:val="006A5BE8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7240"/>
    <w:rsid w:val="006B7B1B"/>
    <w:rsid w:val="006C29F2"/>
    <w:rsid w:val="006D03D8"/>
    <w:rsid w:val="006D1BB9"/>
    <w:rsid w:val="006D698D"/>
    <w:rsid w:val="006D78FF"/>
    <w:rsid w:val="006D7E2A"/>
    <w:rsid w:val="006E07C3"/>
    <w:rsid w:val="006E28A4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82D"/>
    <w:rsid w:val="00704BB2"/>
    <w:rsid w:val="007056EF"/>
    <w:rsid w:val="007074EA"/>
    <w:rsid w:val="007112FB"/>
    <w:rsid w:val="00713B66"/>
    <w:rsid w:val="007149F9"/>
    <w:rsid w:val="007200A7"/>
    <w:rsid w:val="00721659"/>
    <w:rsid w:val="0072400C"/>
    <w:rsid w:val="0072636A"/>
    <w:rsid w:val="007274A7"/>
    <w:rsid w:val="00730B8E"/>
    <w:rsid w:val="00732A09"/>
    <w:rsid w:val="00736415"/>
    <w:rsid w:val="007402B1"/>
    <w:rsid w:val="00740EA8"/>
    <w:rsid w:val="00742995"/>
    <w:rsid w:val="0074514B"/>
    <w:rsid w:val="007456DC"/>
    <w:rsid w:val="007460DB"/>
    <w:rsid w:val="00746BC1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7C3"/>
    <w:rsid w:val="00765C42"/>
    <w:rsid w:val="00765F1B"/>
    <w:rsid w:val="00766201"/>
    <w:rsid w:val="00771B7B"/>
    <w:rsid w:val="00772D4D"/>
    <w:rsid w:val="007738AC"/>
    <w:rsid w:val="00774ED8"/>
    <w:rsid w:val="007818AB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3DC"/>
    <w:rsid w:val="007D0DD1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4A"/>
    <w:rsid w:val="007E6DF2"/>
    <w:rsid w:val="007F00D3"/>
    <w:rsid w:val="007F0D28"/>
    <w:rsid w:val="007F0D84"/>
    <w:rsid w:val="007F15F7"/>
    <w:rsid w:val="007F2174"/>
    <w:rsid w:val="007F2A89"/>
    <w:rsid w:val="007F556F"/>
    <w:rsid w:val="00800AE3"/>
    <w:rsid w:val="0080274C"/>
    <w:rsid w:val="00802AF7"/>
    <w:rsid w:val="008031D6"/>
    <w:rsid w:val="008038C5"/>
    <w:rsid w:val="00805F7C"/>
    <w:rsid w:val="00806324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0B39"/>
    <w:rsid w:val="008429E8"/>
    <w:rsid w:val="00843DF6"/>
    <w:rsid w:val="00845BBE"/>
    <w:rsid w:val="00847AAF"/>
    <w:rsid w:val="00851487"/>
    <w:rsid w:val="008524D0"/>
    <w:rsid w:val="00852878"/>
    <w:rsid w:val="008535EF"/>
    <w:rsid w:val="008549CE"/>
    <w:rsid w:val="00860B63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087B"/>
    <w:rsid w:val="008813F4"/>
    <w:rsid w:val="00881E5F"/>
    <w:rsid w:val="008829A4"/>
    <w:rsid w:val="008836DC"/>
    <w:rsid w:val="00883FCB"/>
    <w:rsid w:val="008874F5"/>
    <w:rsid w:val="00887B21"/>
    <w:rsid w:val="00891B74"/>
    <w:rsid w:val="00892DE9"/>
    <w:rsid w:val="0089503E"/>
    <w:rsid w:val="00895093"/>
    <w:rsid w:val="0089563A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8F6AB1"/>
    <w:rsid w:val="008F7791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5D18"/>
    <w:rsid w:val="00926DBC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87EAE"/>
    <w:rsid w:val="00992591"/>
    <w:rsid w:val="009928D1"/>
    <w:rsid w:val="0099424C"/>
    <w:rsid w:val="009967CB"/>
    <w:rsid w:val="009A0DEA"/>
    <w:rsid w:val="009A1F1D"/>
    <w:rsid w:val="009A24AD"/>
    <w:rsid w:val="009A51F0"/>
    <w:rsid w:val="009A791D"/>
    <w:rsid w:val="009B0BC4"/>
    <w:rsid w:val="009B0BC8"/>
    <w:rsid w:val="009B10FF"/>
    <w:rsid w:val="009B3504"/>
    <w:rsid w:val="009B4402"/>
    <w:rsid w:val="009B5536"/>
    <w:rsid w:val="009C1289"/>
    <w:rsid w:val="009C36F8"/>
    <w:rsid w:val="009C4B4E"/>
    <w:rsid w:val="009C7881"/>
    <w:rsid w:val="009D3AE0"/>
    <w:rsid w:val="009D6AF9"/>
    <w:rsid w:val="009E1DC8"/>
    <w:rsid w:val="009E5563"/>
    <w:rsid w:val="009F02EC"/>
    <w:rsid w:val="009F05CF"/>
    <w:rsid w:val="009F09F1"/>
    <w:rsid w:val="009F1FDB"/>
    <w:rsid w:val="009F40D9"/>
    <w:rsid w:val="009F475D"/>
    <w:rsid w:val="009F58A3"/>
    <w:rsid w:val="009F7736"/>
    <w:rsid w:val="00A0181D"/>
    <w:rsid w:val="00A02258"/>
    <w:rsid w:val="00A02AB3"/>
    <w:rsid w:val="00A0447D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275A"/>
    <w:rsid w:val="00A34ED8"/>
    <w:rsid w:val="00A36716"/>
    <w:rsid w:val="00A36A65"/>
    <w:rsid w:val="00A372EE"/>
    <w:rsid w:val="00A4405B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B16BF"/>
    <w:rsid w:val="00AB24C8"/>
    <w:rsid w:val="00AB4252"/>
    <w:rsid w:val="00AB508B"/>
    <w:rsid w:val="00AC16E1"/>
    <w:rsid w:val="00AC508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79CA"/>
    <w:rsid w:val="00AF328F"/>
    <w:rsid w:val="00AF4070"/>
    <w:rsid w:val="00AF4582"/>
    <w:rsid w:val="00AF6F3E"/>
    <w:rsid w:val="00B03922"/>
    <w:rsid w:val="00B04ACF"/>
    <w:rsid w:val="00B053C6"/>
    <w:rsid w:val="00B07386"/>
    <w:rsid w:val="00B104E7"/>
    <w:rsid w:val="00B14DAA"/>
    <w:rsid w:val="00B16E80"/>
    <w:rsid w:val="00B17D6B"/>
    <w:rsid w:val="00B234E3"/>
    <w:rsid w:val="00B2364E"/>
    <w:rsid w:val="00B274CC"/>
    <w:rsid w:val="00B33A06"/>
    <w:rsid w:val="00B34AF2"/>
    <w:rsid w:val="00B419F8"/>
    <w:rsid w:val="00B43B74"/>
    <w:rsid w:val="00B44DE2"/>
    <w:rsid w:val="00B50DEE"/>
    <w:rsid w:val="00B52FBD"/>
    <w:rsid w:val="00B54D58"/>
    <w:rsid w:val="00B55D48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811EC"/>
    <w:rsid w:val="00B82F3D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1179"/>
    <w:rsid w:val="00BB3FB2"/>
    <w:rsid w:val="00BB532C"/>
    <w:rsid w:val="00BB5370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E4639"/>
    <w:rsid w:val="00BF1785"/>
    <w:rsid w:val="00BF2010"/>
    <w:rsid w:val="00BF2365"/>
    <w:rsid w:val="00BF2E5D"/>
    <w:rsid w:val="00BF4BCD"/>
    <w:rsid w:val="00BF688B"/>
    <w:rsid w:val="00C01120"/>
    <w:rsid w:val="00C01A8A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3825"/>
    <w:rsid w:val="00C152A6"/>
    <w:rsid w:val="00C15982"/>
    <w:rsid w:val="00C203E7"/>
    <w:rsid w:val="00C21EFF"/>
    <w:rsid w:val="00C23DF7"/>
    <w:rsid w:val="00C253D7"/>
    <w:rsid w:val="00C25B4D"/>
    <w:rsid w:val="00C274F6"/>
    <w:rsid w:val="00C27BFD"/>
    <w:rsid w:val="00C3053E"/>
    <w:rsid w:val="00C4067A"/>
    <w:rsid w:val="00C41BC5"/>
    <w:rsid w:val="00C46454"/>
    <w:rsid w:val="00C47D9F"/>
    <w:rsid w:val="00C5183B"/>
    <w:rsid w:val="00C57333"/>
    <w:rsid w:val="00C57A19"/>
    <w:rsid w:val="00C62955"/>
    <w:rsid w:val="00C62D72"/>
    <w:rsid w:val="00C64A18"/>
    <w:rsid w:val="00C66947"/>
    <w:rsid w:val="00C70A83"/>
    <w:rsid w:val="00C726AA"/>
    <w:rsid w:val="00C72F05"/>
    <w:rsid w:val="00C73BEF"/>
    <w:rsid w:val="00C74BBA"/>
    <w:rsid w:val="00C7512A"/>
    <w:rsid w:val="00C761B3"/>
    <w:rsid w:val="00C835B2"/>
    <w:rsid w:val="00C85AC8"/>
    <w:rsid w:val="00C87EFC"/>
    <w:rsid w:val="00C90C12"/>
    <w:rsid w:val="00C92ED9"/>
    <w:rsid w:val="00C937E3"/>
    <w:rsid w:val="00C97992"/>
    <w:rsid w:val="00C97B34"/>
    <w:rsid w:val="00CA1941"/>
    <w:rsid w:val="00CB10E5"/>
    <w:rsid w:val="00CB3EE7"/>
    <w:rsid w:val="00CB40EE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F35FC"/>
    <w:rsid w:val="00CF53C8"/>
    <w:rsid w:val="00CF5F66"/>
    <w:rsid w:val="00CF63CB"/>
    <w:rsid w:val="00CF7A15"/>
    <w:rsid w:val="00D00275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5F5"/>
    <w:rsid w:val="00D15664"/>
    <w:rsid w:val="00D160F1"/>
    <w:rsid w:val="00D16179"/>
    <w:rsid w:val="00D16D7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0768"/>
    <w:rsid w:val="00D51474"/>
    <w:rsid w:val="00D538D3"/>
    <w:rsid w:val="00D56136"/>
    <w:rsid w:val="00D56D1A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156E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B4472"/>
    <w:rsid w:val="00DB4A7C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1B14"/>
    <w:rsid w:val="00DE25EF"/>
    <w:rsid w:val="00DE3193"/>
    <w:rsid w:val="00DE4C44"/>
    <w:rsid w:val="00DE4F63"/>
    <w:rsid w:val="00DE59B3"/>
    <w:rsid w:val="00DE5A4E"/>
    <w:rsid w:val="00DE7E36"/>
    <w:rsid w:val="00DF2441"/>
    <w:rsid w:val="00DF29AB"/>
    <w:rsid w:val="00DF2ED9"/>
    <w:rsid w:val="00DF4971"/>
    <w:rsid w:val="00DF76D7"/>
    <w:rsid w:val="00DF776E"/>
    <w:rsid w:val="00E01B2D"/>
    <w:rsid w:val="00E06D7D"/>
    <w:rsid w:val="00E07AE2"/>
    <w:rsid w:val="00E1002C"/>
    <w:rsid w:val="00E12B0C"/>
    <w:rsid w:val="00E165E5"/>
    <w:rsid w:val="00E17510"/>
    <w:rsid w:val="00E17B8F"/>
    <w:rsid w:val="00E2126D"/>
    <w:rsid w:val="00E21B91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62BB"/>
    <w:rsid w:val="00E37047"/>
    <w:rsid w:val="00E41633"/>
    <w:rsid w:val="00E4347A"/>
    <w:rsid w:val="00E435F2"/>
    <w:rsid w:val="00E44AB4"/>
    <w:rsid w:val="00E44B09"/>
    <w:rsid w:val="00E45BEF"/>
    <w:rsid w:val="00E46012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4F95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BD8"/>
    <w:rsid w:val="00EC2AB1"/>
    <w:rsid w:val="00EC423F"/>
    <w:rsid w:val="00EC55E0"/>
    <w:rsid w:val="00EC63E2"/>
    <w:rsid w:val="00EC69E1"/>
    <w:rsid w:val="00EC6D2D"/>
    <w:rsid w:val="00EC713A"/>
    <w:rsid w:val="00ED2941"/>
    <w:rsid w:val="00ED4925"/>
    <w:rsid w:val="00ED65ED"/>
    <w:rsid w:val="00EE25F5"/>
    <w:rsid w:val="00EE278E"/>
    <w:rsid w:val="00EE3AEB"/>
    <w:rsid w:val="00EE4363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51B3"/>
    <w:rsid w:val="00F06136"/>
    <w:rsid w:val="00F215A9"/>
    <w:rsid w:val="00F21A6E"/>
    <w:rsid w:val="00F226CE"/>
    <w:rsid w:val="00F23BB1"/>
    <w:rsid w:val="00F24CCC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4F7C"/>
    <w:rsid w:val="00F4567B"/>
    <w:rsid w:val="00F47577"/>
    <w:rsid w:val="00F513F7"/>
    <w:rsid w:val="00F5294A"/>
    <w:rsid w:val="00F533AD"/>
    <w:rsid w:val="00F534B9"/>
    <w:rsid w:val="00F5728B"/>
    <w:rsid w:val="00F61400"/>
    <w:rsid w:val="00F61B63"/>
    <w:rsid w:val="00F61E0A"/>
    <w:rsid w:val="00F671B2"/>
    <w:rsid w:val="00F673C4"/>
    <w:rsid w:val="00F7022D"/>
    <w:rsid w:val="00F70FF1"/>
    <w:rsid w:val="00F70FFA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AD4"/>
    <w:rsid w:val="00FA27F5"/>
    <w:rsid w:val="00FA65B3"/>
    <w:rsid w:val="00FA681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A59"/>
    <w:rsid w:val="00FD1EF9"/>
    <w:rsid w:val="00FD7DA4"/>
    <w:rsid w:val="00FD7E01"/>
    <w:rsid w:val="00FE16FC"/>
    <w:rsid w:val="00FE21A5"/>
    <w:rsid w:val="00FE33DE"/>
    <w:rsid w:val="00FE7485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2D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0482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70482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0482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0482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482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0482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0482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482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0482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er">
    <w:name w:val="footer"/>
    <w:aliases w:val="Footer-odd"/>
    <w:basedOn w:val="Normal"/>
    <w:link w:val="FooterChar"/>
    <w:qFormat/>
    <w:rsid w:val="0070482D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70482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70482D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70482D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70482D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4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B28"/>
    <w:rPr>
      <w:rFonts w:ascii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2D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0482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70482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0482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0482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482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0482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0482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482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0482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er">
    <w:name w:val="footer"/>
    <w:aliases w:val="Footer-odd"/>
    <w:basedOn w:val="Normal"/>
    <w:link w:val="FooterChar"/>
    <w:qFormat/>
    <w:rsid w:val="0070482D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70482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70482D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70482D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70482D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4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B28"/>
    <w:rPr>
      <w:rFonts w:ascii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Monica.Guarinoni@eesc.europa.eu" TargetMode="External"/><Relationship Id="rId26" Type="http://schemas.openxmlformats.org/officeDocument/2006/relationships/hyperlink" Target="mailto:marie-laurence.drillon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erald.klec@eesc.europa.eu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na.dumitrache@eesc.europa.eu" TargetMode="External"/><Relationship Id="rId25" Type="http://schemas.openxmlformats.org/officeDocument/2006/relationships/hyperlink" Target="mailto:daniel.squerzi@eesc.europa.eu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gerald.klec@eesc.europa.eu" TargetMode="External"/><Relationship Id="rId29" Type="http://schemas.openxmlformats.org/officeDocument/2006/relationships/hyperlink" Target="mailto:Agota.Bazsik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jean-pierre.faure@eesc.europa.eu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hyperlink" Target="mailto:gerald.klec@eesc.europa.eu" TargetMode="External"/><Relationship Id="rId28" Type="http://schemas.openxmlformats.org/officeDocument/2006/relationships/hyperlink" Target="mailto:Tzonka.Iotzova@eesc.europa.eu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Helena.Polomik@eesc.europa.eu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fr.documents" TargetMode="External"/><Relationship Id="rId22" Type="http://schemas.openxmlformats.org/officeDocument/2006/relationships/hyperlink" Target="mailto:Helena.Polomik@eesc.europa.eu" TargetMode="External"/><Relationship Id="rId27" Type="http://schemas.openxmlformats.org/officeDocument/2006/relationships/hyperlink" Target="mailto:Laura.Ernsteina@eesc.europa.eu" TargetMode="External"/><Relationship Id="rId30" Type="http://schemas.openxmlformats.org/officeDocument/2006/relationships/header" Target="header1.xml"/><Relationship Id="rId35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WTPCSN73YJ26-4-4783</_dlc_DocId>
    <_dlc_DocIdUrl xmlns="8a3471f6-0f36-4ccf-b5ee-1ca67ea797ef">
      <Url>http://dm/EESC/2017/_layouts/DocIdRedir.aspx?ID=WTPCSN73YJ26-4-4783</Url>
      <Description>WTPCSN73YJ26-4-4783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2017-04-19T12:00:00+00:00</ProductionDate>
    <DocumentNumber xmlns="d001fc02-2481-471c-a01d-134a91e40015">1003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2017-03-29T12:00:00+00:00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TaxCatchAll xmlns="8a3471f6-0f36-4ccf-b5ee-1ca67ea797ef">
      <Value>35</Value>
      <Value>38</Value>
      <Value>37</Value>
      <Value>36</Value>
      <Value>27</Value>
      <Value>34</Value>
      <Value>33</Value>
      <Value>32</Value>
      <Value>31</Value>
      <Value>30</Value>
      <Value>29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4518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30BEC022-4F98-4774-A484-0D59E3AE534A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28D6ADD5-417E-49EB-94F4-82064ACAD74F}"/>
</file>

<file path=customXml/itemProps4.xml><?xml version="1.0" encoding="utf-8"?>
<ds:datastoreItem xmlns:ds="http://schemas.openxmlformats.org/officeDocument/2006/customXml" ds:itemID="{2272B315-18A8-418C-AEDB-0DE6F18C5CA7}"/>
</file>

<file path=customXml/itemProps5.xml><?xml version="1.0" encoding="utf-8"?>
<ds:datastoreItem xmlns:ds="http://schemas.openxmlformats.org/officeDocument/2006/customXml" ds:itemID="{27172C6D-F210-4BCC-96B9-D59A42C1E6F5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60</TotalTime>
  <Pages>1</Pages>
  <Words>3848</Words>
  <Characters>22301</Characters>
  <Application>Microsoft Office Word</Application>
  <DocSecurity>0</DocSecurity>
  <Lines>565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synthèse décembre 2016</vt:lpstr>
    </vt:vector>
  </TitlesOfParts>
  <Company>CESE-CdR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Síntese dos pareceres - reunião plenária de março de 2017</dc:title>
  <dc:subject>Documentos diversos para os trabalhos consultivos</dc:subject>
  <dc:creator/>
  <cp:keywords>EESC-2017-01003-00-01-TCD-TRA-PT</cp:keywords>
  <dc:description>Relator: -_x000d_
Língua original: FR, EN_x000d_
Data do documento: 19/04/2017_x000d_
Data da reunião: 29/03/2017_x000d_
Documentos externos: -_x000d_
Funcionário responsável: Cosmai Domenico, telefone: +32 (0)2 546 9041_x000d_
_x000d_
Síntese:</dc:description>
  <cp:lastModifiedBy>Encarnacao Matias</cp:lastModifiedBy>
  <cp:revision>17</cp:revision>
  <cp:lastPrinted>2017-04-06T07:38:00Z</cp:lastPrinted>
  <dcterms:created xsi:type="dcterms:W3CDTF">2017-04-12T14:55:00Z</dcterms:created>
  <dcterms:modified xsi:type="dcterms:W3CDTF">2017-04-19T14:10:00Z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12/04/2017, 23/03/2017, 13/12/2016, 15/09/2016, 14/09/2016, 14/09/2016, 12/07/2016, 30/06/2016, 29/06/2016, 23/05/2016, 23/05/2016, 25/04/2016, 25/04/2016, 14/03/2016, 11/03/2016, 11/03/2016, 15/02/2016, 15/02/2016, 15/02/2016, 03/02/2016, 03/02/2016, 14/</vt:lpwstr>
  </property>
  <property fmtid="{D5CDD505-2E9C-101B-9397-08002B2CF9AE}" pid="4" name="Pref_Time">
    <vt:lpwstr>16:10:17, 12:08:44, 12:23:59, 18:12:41, 09:48:43, 08:36:59, 11:43:50, 09:30:52, 17:35:55, 17:02:49, 16:30:20, 11:28:20, 09:54:52, 08:31:22, 17:08:54, 15:59:23, 12:27:50, 12:09:16, 09:49:23, 17:26:57, 16:09:02, 17:58:07, 17:32:44, 15:05:42, 11:13:53, 16:35</vt:lpwstr>
  </property>
  <property fmtid="{D5CDD505-2E9C-101B-9397-08002B2CF9AE}" pid="5" name="Pref_User">
    <vt:lpwstr>mkop, enied,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EESC-2017-01003-00-01-TCD-TRA-EN-CRR.docx, EESC-2017-01003-00-00-TCD-ORI.docx, EESC-2016-05775-00-00-TCD-ORI.docx, EESC-2016-03275-00-01-TCD-ORI.docx, EESC-2016-03275-00-00-TCD-TRA-EN-CRR.docx, EESC-2016-03275-00-00-TCD-CRR-FR.docx, EESC-2016-03689-00-01-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b9bf2858-a9d6-48bc-acba-51a08f981bfe</vt:lpwstr>
  </property>
  <property fmtid="{D5CDD505-2E9C-101B-9397-08002B2CF9AE}" pid="9" name="AvailableTranslations">
    <vt:lpwstr>4;#EN|f2175f21-25d7-44a3-96da-d6a61b075e1b;#32;#MT|7df99101-6854-4a26-b53a-b88c0da02c26;#33;#PL|1e03da61-4678-4e07-b136-b5024ca9197b;#38;#HR|2f555653-ed1a-4fe6-8362-9082d95989e5;#12;#NL|55c6556c-b4f4-441d-9acf-c498d4f838bd;#15;#PT|50ccc04a-eadd-42ae-a0cb-acaf45f812ba;#22;#IT|0774613c-01ed-4e5d-a25d-11d2388de825;#23;#DA|5d49c027-8956-412b-aa16-e85a0f96ad0e;#36;#BG|1a1b3951-7821-4e6a-85f5-5673fc08bd2c;#14;#ES|e7a6b05b-ae16-40c8-add9-68b64b03aeba;#24;#EL|6d4f4d51-af9b-4650-94b4-4276bee85c91;#31;#LT|a7ff5ce7-6123-4f68-865a-a57c31810414;#37;#RO|feb747a2-64cd-4299-af12-4833ddc30497;#34;#SK|46d9fce0-ef79-4f71-b89b-cd6aa82426b8;#18;#DE|f6b31e5a-26fa-4935-b661-318e46daf27e;#30;#LV|46f7e311-5d9f-4663-b433-18aeccb7ace7;#29;#HU|6b229040-c589-4408-b4c1-4285663d20a8;#25;#FI|87606a43-d45f-42d6-b8c9-e1a3457db5b7;#27;#CS|72f9705b-0217-4fd3-bea2-cbc7ed80e26e;#8;#FR|d2afafd3-4c81-4f60-8f52-ee33f2f54ff3;#28;#ET|ff6c3f4c-b02c-4c3c-ab07-2c37995a7a0a;#35;#SL|98a412ae-eb01-49e9-ae3d-585a81724cfc;#26;#SV|c2ed69e7-a339-43d7-8f22-d93680a92aa0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15;#PT|50ccc04a-eadd-42ae-a0cb-acaf45f812ba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1003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2017-03-29T12:00:00Z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38;#HR|2f555653-ed1a-4fe6-8362-9082d95989e5;#34;#SK|46d9fce0-ef79-4f71-b89b-cd6aa82426b8;#33;#PL|1e03da61-4678-4e07-b136-b5024ca9197b;#30;#LV|46f7e311-5d9f-4663-b433-18aeccb7ace7;#25;#FI|87606a43-d45f-42d6-b8c9-e1a3457db5b7;#72;#SPL-CES|32d8cb1f-c9ec-4365-95c7-8385a18618ac;#24;#EL|6d4f4d51-af9b-4650-94b4-4276bee85c91;#18;#DE|f6b31e5a-26fa-4935-b661-318e46daf27e;#17;#TCD|cd9d6eb6-3f4f-424a-b2d1-57c9d450eaaf;#12;#NL|55c6556c-b4f4-441d-9acf-c498d4f838bd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4518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PL|1e03da61-4678-4e07-b136-b5024ca9197b;HR|2f555653-ed1a-4fe6-8362-9082d95989e5;NL|55c6556c-b4f4-441d-9acf-c498d4f838bd;EL|6d4f4d51-af9b-4650-94b4-4276bee85c91;SK|46d9fce0-ef79-4f71-b89b-cd6aa82426b8;DE|f6b31e5a-26fa-4935-b661-318e46daf27e;LV|46f7e311-5d9f-4663-b433-18aeccb7ace7;FI|87606a43-d45f-42d6-b8c9-e1a3457db5b7</vt:lpwstr>
  </property>
</Properties>
</file>