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0D1569" w:rsidRDefault="00AF6F3E" w:rsidP="00377A77">
      <w:pPr>
        <w:snapToGrid w:val="0"/>
        <w:jc w:val="center"/>
      </w:pPr>
      <w:r w:rsidRPr="000D1569">
        <w:rPr>
          <w:sz w:val="20"/>
          <w:lang w:eastAsia="fr-BE"/>
        </w:rPr>
        <mc:AlternateContent>
          <mc:Choice Requires="wps">
            <w:drawing>
              <wp:anchor distT="0" distB="0" distL="114300" distR="114300" simplePos="0" relativeHeight="251659264" behindDoc="1" locked="0" layoutInCell="0" allowOverlap="1" wp14:anchorId="57BE8558" wp14:editId="430E6BBE">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BF" w:rsidRPr="00AC73E7" w:rsidRDefault="004C07BF" w:rsidP="00AF6F3E">
                            <w:pPr>
                              <w:jc w:val="center"/>
                              <w:rPr>
                                <w:rFonts w:ascii="Arial" w:hAnsi="Arial" w:cs="Arial"/>
                                <w:b/>
                                <w:bCs/>
                                <w:sz w:val="48"/>
                              </w:rPr>
                            </w:pPr>
                            <w:r w:rsidRPr="00AC73E7">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4C07BF" w:rsidRPr="00AC73E7" w:rsidRDefault="004C07BF" w:rsidP="00AF6F3E">
                      <w:pPr>
                        <w:jc w:val="center"/>
                        <w:rPr>
                          <w:rFonts w:ascii="Arial" w:hAnsi="Arial" w:cs="Arial"/>
                          <w:b/>
                          <w:bCs/>
                          <w:sz w:val="48"/>
                        </w:rPr>
                      </w:pPr>
                      <w:r w:rsidRPr="00AC73E7">
                        <w:rPr>
                          <w:rFonts w:ascii="Arial" w:hAnsi="Arial"/>
                          <w:b/>
                          <w:sz w:val="48"/>
                        </w:rPr>
                        <w:t>FR</w:t>
                      </w:r>
                    </w:p>
                  </w:txbxContent>
                </v:textbox>
                <w10:wrap anchorx="page" anchory="page"/>
              </v:shape>
            </w:pict>
          </mc:Fallback>
        </mc:AlternateContent>
      </w:r>
      <w:r w:rsidRPr="000D1569">
        <w:rPr>
          <w:lang w:eastAsia="fr-BE"/>
        </w:rPr>
        <w:drawing>
          <wp:inline distT="0" distB="0" distL="0" distR="0" wp14:anchorId="1B482BA5" wp14:editId="3ABF27B1">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0D1569" w:rsidRDefault="008405A0" w:rsidP="00377A77">
      <w:pPr>
        <w:snapToGrid w:val="0"/>
        <w:jc w:val="center"/>
        <w:rPr>
          <w:rFonts w:ascii="Arial" w:eastAsia="MS Mincho" w:hAnsi="Arial" w:cs="Arial"/>
          <w:b/>
          <w:i/>
          <w:sz w:val="20"/>
        </w:rPr>
      </w:pPr>
      <w:r w:rsidRPr="000D1569">
        <w:rPr>
          <w:rFonts w:ascii="Arial" w:hAnsi="Arial"/>
          <w:b/>
          <w:i/>
          <w:sz w:val="20"/>
        </w:rPr>
        <w:t>Comité économique et social européen</w:t>
      </w:r>
    </w:p>
    <w:p w:rsidR="008405A0" w:rsidRPr="000D1569" w:rsidRDefault="008405A0" w:rsidP="00377A77">
      <w:pPr>
        <w:snapToGrid w:val="0"/>
      </w:pPr>
    </w:p>
    <w:p w:rsidR="008405A0" w:rsidRPr="000D1569" w:rsidRDefault="008405A0" w:rsidP="00377A77">
      <w:pPr>
        <w:snapToGrid w:val="0"/>
      </w:pPr>
    </w:p>
    <w:p w:rsidR="008405A0" w:rsidRPr="000D1569" w:rsidRDefault="008405A0" w:rsidP="00377A77">
      <w:pPr>
        <w:snapToGrid w:val="0"/>
        <w:jc w:val="right"/>
        <w:rPr>
          <w:rFonts w:eastAsia="MS Mincho"/>
        </w:rPr>
      </w:pPr>
      <w:r w:rsidRPr="000D1569">
        <w:t>Bruxelles, le 20 avril 2017</w:t>
      </w:r>
    </w:p>
    <w:p w:rsidR="008405A0" w:rsidRPr="000D1569" w:rsidRDefault="008405A0" w:rsidP="00377A77">
      <w:pPr>
        <w:snapToGrid w:val="0"/>
      </w:pPr>
    </w:p>
    <w:p w:rsidR="008405A0" w:rsidRPr="000D1569" w:rsidRDefault="008405A0" w:rsidP="00377A77">
      <w:pPr>
        <w:snapToGrid w:val="0"/>
      </w:pPr>
    </w:p>
    <w:p w:rsidR="00AF6F3E" w:rsidRPr="000D1569" w:rsidRDefault="00AF6F3E" w:rsidP="00377A77">
      <w:pPr>
        <w:snapToGrid w:val="0"/>
      </w:pPr>
    </w:p>
    <w:tbl>
      <w:tblPr>
        <w:tblW w:w="0" w:type="auto"/>
        <w:tblLayout w:type="fixed"/>
        <w:tblLook w:val="0000" w:firstRow="0" w:lastRow="0" w:firstColumn="0" w:lastColumn="0" w:noHBand="0" w:noVBand="0"/>
      </w:tblPr>
      <w:tblGrid>
        <w:gridCol w:w="9289"/>
      </w:tblGrid>
      <w:tr w:rsidR="008405A0" w:rsidRPr="000D1569" w:rsidTr="00A72D7A">
        <w:tc>
          <w:tcPr>
            <w:tcW w:w="9289" w:type="dxa"/>
            <w:tcBorders>
              <w:top w:val="nil"/>
              <w:left w:val="nil"/>
              <w:bottom w:val="double" w:sz="4" w:space="0" w:color="auto"/>
              <w:right w:val="nil"/>
            </w:tcBorders>
          </w:tcPr>
          <w:p w:rsidR="008405A0" w:rsidRPr="000D1569" w:rsidRDefault="0072400C" w:rsidP="00377A77">
            <w:pPr>
              <w:snapToGrid w:val="0"/>
              <w:jc w:val="center"/>
              <w:rPr>
                <w:rFonts w:eastAsia="MS Mincho"/>
                <w:b/>
                <w:sz w:val="32"/>
              </w:rPr>
            </w:pPr>
            <w:r w:rsidRPr="000D1569">
              <w:rPr>
                <w:b/>
                <w:sz w:val="32"/>
              </w:rPr>
              <w:t>SESSION PLÉNIÈRE</w:t>
            </w:r>
            <w:r w:rsidR="00AC73E7" w:rsidRPr="000D1569">
              <w:rPr>
                <w:b/>
                <w:sz w:val="32"/>
              </w:rPr>
              <w:t xml:space="preserve"> </w:t>
            </w:r>
            <w:r w:rsidRPr="000D1569">
              <w:rPr>
                <w:b/>
                <w:sz w:val="32"/>
              </w:rPr>
              <w:br/>
            </w:r>
            <w:r w:rsidR="00AC73E7" w:rsidRPr="000D1569">
              <w:rPr>
                <w:b/>
                <w:sz w:val="32"/>
              </w:rPr>
              <w:t xml:space="preserve"> </w:t>
            </w:r>
            <w:r w:rsidRPr="000D1569">
              <w:rPr>
                <w:b/>
                <w:sz w:val="32"/>
              </w:rPr>
              <w:br/>
              <w:t>DES 29 ET 30 MARS 2017</w:t>
            </w:r>
            <w:r w:rsidR="00AC73E7" w:rsidRPr="000D1569">
              <w:rPr>
                <w:b/>
                <w:sz w:val="32"/>
              </w:rPr>
              <w:t xml:space="preserve"> </w:t>
            </w:r>
            <w:r w:rsidRPr="000D1569">
              <w:rPr>
                <w:b/>
                <w:sz w:val="32"/>
              </w:rPr>
              <w:br/>
            </w:r>
            <w:r w:rsidR="00AC73E7" w:rsidRPr="000D1569">
              <w:rPr>
                <w:b/>
                <w:sz w:val="32"/>
              </w:rPr>
              <w:t xml:space="preserve"> </w:t>
            </w:r>
            <w:r w:rsidRPr="000D1569">
              <w:rPr>
                <w:b/>
                <w:sz w:val="32"/>
              </w:rPr>
              <w:br/>
              <w:t>SYNTHÈSE DES AVIS ADOPTÉS</w:t>
            </w:r>
          </w:p>
          <w:p w:rsidR="008405A0" w:rsidRPr="000D1569" w:rsidRDefault="008405A0" w:rsidP="00377A77"/>
          <w:p w:rsidR="008405A0" w:rsidRPr="000D1569" w:rsidRDefault="008405A0" w:rsidP="00377A77"/>
        </w:tc>
      </w:tr>
      <w:tr w:rsidR="008405A0" w:rsidRPr="000D1569" w:rsidTr="00A72D7A">
        <w:tc>
          <w:tcPr>
            <w:tcW w:w="9289" w:type="dxa"/>
            <w:tcBorders>
              <w:top w:val="double" w:sz="4" w:space="0" w:color="auto"/>
              <w:left w:val="double" w:sz="4" w:space="0" w:color="auto"/>
              <w:bottom w:val="double" w:sz="4" w:space="0" w:color="auto"/>
              <w:right w:val="double" w:sz="4" w:space="0" w:color="auto"/>
            </w:tcBorders>
          </w:tcPr>
          <w:p w:rsidR="008405A0" w:rsidRPr="000D1569" w:rsidRDefault="00A31921" w:rsidP="00377A77">
            <w:pPr>
              <w:snapToGrid w:val="0"/>
              <w:jc w:val="center"/>
              <w:rPr>
                <w:rFonts w:eastAsia="MS Mincho"/>
                <w:b/>
              </w:rPr>
            </w:pPr>
            <w:r w:rsidRPr="000D1569">
              <w:rPr>
                <w:b/>
              </w:rPr>
              <w:t>Le présent document est accessible dans les langues officielles sur le site internet du Comité à l</w:t>
            </w:r>
            <w:r w:rsidR="006378F5" w:rsidRPr="000D1569">
              <w:rPr>
                <w:b/>
              </w:rPr>
              <w:t>’</w:t>
            </w:r>
            <w:r w:rsidRPr="000D1569">
              <w:rPr>
                <w:b/>
              </w:rPr>
              <w:t>adresse suivante:</w:t>
            </w:r>
          </w:p>
          <w:p w:rsidR="008405A0" w:rsidRPr="000D1569" w:rsidRDefault="008405A0" w:rsidP="00377A77">
            <w:pPr>
              <w:snapToGrid w:val="0"/>
              <w:jc w:val="center"/>
              <w:rPr>
                <w:b/>
              </w:rPr>
            </w:pPr>
          </w:p>
          <w:p w:rsidR="008405A0" w:rsidRPr="000D1569" w:rsidRDefault="000D1569" w:rsidP="00377A77">
            <w:pPr>
              <w:jc w:val="center"/>
              <w:rPr>
                <w:rFonts w:eastAsia="MS Mincho"/>
                <w:b/>
              </w:rPr>
            </w:pPr>
            <w:hyperlink r:id="rId14" w:anchor="/boxTab1-2">
              <w:r w:rsidR="00184B28" w:rsidRPr="000D1569">
                <w:rPr>
                  <w:rStyle w:val="Hyperlink"/>
                  <w:b/>
                </w:rPr>
                <w:t>http://www.eesc.europa.eu/?i=portal.fr.documents#/boxTab1-2</w:t>
              </w:r>
            </w:hyperlink>
          </w:p>
          <w:p w:rsidR="008405A0" w:rsidRPr="000D1569" w:rsidRDefault="008405A0" w:rsidP="00377A77">
            <w:pPr>
              <w:snapToGrid w:val="0"/>
              <w:jc w:val="center"/>
            </w:pPr>
          </w:p>
          <w:p w:rsidR="008405A0" w:rsidRPr="000D1569" w:rsidRDefault="008405A0" w:rsidP="00377A77">
            <w:pPr>
              <w:snapToGrid w:val="0"/>
              <w:jc w:val="center"/>
              <w:rPr>
                <w:rFonts w:eastAsia="SimSun"/>
                <w:b/>
              </w:rPr>
            </w:pPr>
          </w:p>
          <w:p w:rsidR="008405A0" w:rsidRPr="000D1569" w:rsidRDefault="008405A0" w:rsidP="00377A77">
            <w:pPr>
              <w:snapToGrid w:val="0"/>
              <w:jc w:val="center"/>
              <w:rPr>
                <w:rFonts w:eastAsia="MS Mincho"/>
                <w:b/>
              </w:rPr>
            </w:pPr>
            <w:r w:rsidRPr="000D1569">
              <w:rPr>
                <w:b/>
              </w:rPr>
              <w:t>Les avis mentionnés peuvent être consultés en ligne à partir du moteur de recherche du Comité:</w:t>
            </w:r>
          </w:p>
          <w:p w:rsidR="008405A0" w:rsidRPr="000D1569" w:rsidRDefault="008405A0" w:rsidP="00377A77">
            <w:pPr>
              <w:snapToGrid w:val="0"/>
              <w:jc w:val="center"/>
              <w:rPr>
                <w:b/>
              </w:rPr>
            </w:pPr>
          </w:p>
          <w:p w:rsidR="008405A0" w:rsidRPr="000D1569" w:rsidRDefault="000D1569" w:rsidP="00377A77">
            <w:pPr>
              <w:jc w:val="center"/>
              <w:rPr>
                <w:rFonts w:eastAsia="MS Mincho"/>
                <w:b/>
              </w:rPr>
            </w:pPr>
            <w:hyperlink r:id="rId15">
              <w:r w:rsidR="00184B28" w:rsidRPr="000D1569">
                <w:rPr>
                  <w:rStyle w:val="Hyperlink"/>
                  <w:b/>
                </w:rPr>
                <w:t>http://www.eesc.europa.eu/?i=portal.fr.opinions-search</w:t>
              </w:r>
            </w:hyperlink>
          </w:p>
          <w:p w:rsidR="008405A0" w:rsidRPr="000D1569" w:rsidRDefault="008405A0" w:rsidP="00377A77">
            <w:pPr>
              <w:snapToGrid w:val="0"/>
              <w:jc w:val="center"/>
              <w:rPr>
                <w:b/>
                <w:bCs/>
              </w:rPr>
            </w:pPr>
          </w:p>
        </w:tc>
      </w:tr>
    </w:tbl>
    <w:p w:rsidR="008405A0" w:rsidRPr="000D1569" w:rsidRDefault="008405A0" w:rsidP="00377A77">
      <w:pPr>
        <w:snapToGrid w:val="0"/>
      </w:pPr>
    </w:p>
    <w:p w:rsidR="008F7791" w:rsidRPr="000D1569" w:rsidRDefault="008F7791" w:rsidP="008F7791">
      <w:pPr>
        <w:rPr>
          <w:rFonts w:eastAsia="SimSun"/>
          <w:sz w:val="28"/>
        </w:rPr>
      </w:pPr>
    </w:p>
    <w:p w:rsidR="008F7791" w:rsidRPr="000D1569" w:rsidRDefault="008F7791" w:rsidP="008F7791">
      <w:pPr>
        <w:rPr>
          <w:rFonts w:eastAsia="SimSun"/>
          <w:sz w:val="28"/>
        </w:rPr>
      </w:pPr>
    </w:p>
    <w:p w:rsidR="00A9340A" w:rsidRPr="000D1569" w:rsidRDefault="00A9340A" w:rsidP="008F7791">
      <w:pPr>
        <w:rPr>
          <w:rFonts w:eastAsia="SimSun"/>
          <w:sz w:val="28"/>
        </w:rPr>
        <w:sectPr w:rsidR="00A9340A" w:rsidRPr="000D1569" w:rsidSect="00AC73E7">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0D1569" w:rsidRDefault="008405A0" w:rsidP="00377A77">
      <w:pPr>
        <w:snapToGrid w:val="0"/>
        <w:rPr>
          <w:rFonts w:eastAsia="MS Mincho"/>
          <w:b/>
          <w:sz w:val="28"/>
          <w:u w:val="single"/>
        </w:rPr>
      </w:pPr>
      <w:bookmarkStart w:id="0" w:name="_GoBack"/>
      <w:bookmarkEnd w:id="0"/>
      <w:r w:rsidRPr="000D1569">
        <w:rPr>
          <w:b/>
        </w:rPr>
        <w:lastRenderedPageBreak/>
        <w:t>Sommaire:</w:t>
      </w:r>
    </w:p>
    <w:p w:rsidR="00D16D76" w:rsidRPr="000D1569" w:rsidRDefault="00D16D76" w:rsidP="004C07BF"/>
    <w:p w:rsidR="001D589C" w:rsidRPr="000D1569" w:rsidRDefault="00FC45F0">
      <w:pPr>
        <w:pStyle w:val="TOC1"/>
        <w:rPr>
          <w:rFonts w:asciiTheme="minorHAnsi" w:eastAsiaTheme="minorEastAsia" w:hAnsiTheme="minorHAnsi" w:cstheme="minorBidi"/>
          <w:lang w:eastAsia="fr-BE"/>
        </w:rPr>
      </w:pPr>
      <w:r w:rsidRPr="000D1569">
        <w:rPr>
          <w:b/>
        </w:rPr>
        <w:fldChar w:fldCharType="begin"/>
      </w:r>
      <w:r w:rsidRPr="000D1569">
        <w:rPr>
          <w:b/>
        </w:rPr>
        <w:instrText xml:space="preserve"> TOC \o "1-1" \h \z \u </w:instrText>
      </w:r>
      <w:r w:rsidRPr="000D1569">
        <w:rPr>
          <w:b/>
        </w:rPr>
        <w:fldChar w:fldCharType="separate"/>
      </w:r>
      <w:hyperlink w:anchor="_Toc480471736" w:history="1">
        <w:r w:rsidR="001D589C" w:rsidRPr="000D1569">
          <w:rPr>
            <w:rStyle w:val="Hyperlink"/>
            <w:b/>
            <w:lang w:bidi="fr-FR"/>
          </w:rPr>
          <w:t>1.</w:t>
        </w:r>
        <w:r w:rsidR="001D589C" w:rsidRPr="000D1569">
          <w:rPr>
            <w:rFonts w:asciiTheme="minorHAnsi" w:eastAsiaTheme="minorEastAsia" w:hAnsiTheme="minorHAnsi" w:cstheme="minorBidi"/>
            <w:lang w:eastAsia="fr-BE"/>
          </w:rPr>
          <w:tab/>
        </w:r>
        <w:r w:rsidR="001D589C" w:rsidRPr="000D1569">
          <w:rPr>
            <w:rStyle w:val="Hyperlink"/>
            <w:b/>
            <w:lang w:bidi="fr-FR"/>
          </w:rPr>
          <w:t>AFFAIRES SOCIALES</w:t>
        </w:r>
        <w:r w:rsidR="001D589C" w:rsidRPr="000D1569">
          <w:rPr>
            <w:webHidden/>
          </w:rPr>
          <w:tab/>
        </w:r>
        <w:r w:rsidR="001D589C" w:rsidRPr="000D1569">
          <w:rPr>
            <w:webHidden/>
          </w:rPr>
          <w:fldChar w:fldCharType="begin"/>
        </w:r>
        <w:r w:rsidR="001D589C" w:rsidRPr="000D1569">
          <w:rPr>
            <w:webHidden/>
          </w:rPr>
          <w:instrText xml:space="preserve"> PAGEREF _Toc480471736 \h </w:instrText>
        </w:r>
        <w:r w:rsidR="001D589C" w:rsidRPr="000D1569">
          <w:rPr>
            <w:webHidden/>
          </w:rPr>
        </w:r>
        <w:r w:rsidR="001D589C" w:rsidRPr="000D1569">
          <w:rPr>
            <w:webHidden/>
          </w:rPr>
          <w:fldChar w:fldCharType="separate"/>
        </w:r>
        <w:r w:rsidR="001D589C" w:rsidRPr="000D1569">
          <w:rPr>
            <w:webHidden/>
          </w:rPr>
          <w:t>3</w:t>
        </w:r>
        <w:r w:rsidR="001D589C" w:rsidRPr="000D1569">
          <w:rPr>
            <w:webHidden/>
          </w:rPr>
          <w:fldChar w:fldCharType="end"/>
        </w:r>
      </w:hyperlink>
    </w:p>
    <w:p w:rsidR="001D589C" w:rsidRPr="000D1569" w:rsidRDefault="000D1569">
      <w:pPr>
        <w:pStyle w:val="TOC1"/>
        <w:rPr>
          <w:rFonts w:asciiTheme="minorHAnsi" w:eastAsiaTheme="minorEastAsia" w:hAnsiTheme="minorHAnsi" w:cstheme="minorBidi"/>
          <w:lang w:eastAsia="fr-BE"/>
        </w:rPr>
      </w:pPr>
      <w:hyperlink w:anchor="_Toc480471737" w:history="1">
        <w:r w:rsidR="001D589C" w:rsidRPr="000D1569">
          <w:rPr>
            <w:rStyle w:val="Hyperlink"/>
            <w:b/>
            <w:lang w:bidi="fr-FR"/>
          </w:rPr>
          <w:t>2.</w:t>
        </w:r>
        <w:r w:rsidR="001D589C" w:rsidRPr="000D1569">
          <w:rPr>
            <w:rFonts w:asciiTheme="minorHAnsi" w:eastAsiaTheme="minorEastAsia" w:hAnsiTheme="minorHAnsi" w:cstheme="minorBidi"/>
            <w:lang w:eastAsia="fr-BE"/>
          </w:rPr>
          <w:tab/>
        </w:r>
        <w:r w:rsidR="001D589C" w:rsidRPr="000D1569">
          <w:rPr>
            <w:rStyle w:val="Hyperlink"/>
            <w:b/>
            <w:lang w:bidi="fr-FR"/>
          </w:rPr>
          <w:t>CONSOMMATEURS/AFFAIRES SOCIALES</w:t>
        </w:r>
        <w:r w:rsidR="001D589C" w:rsidRPr="000D1569">
          <w:rPr>
            <w:webHidden/>
          </w:rPr>
          <w:tab/>
        </w:r>
        <w:r w:rsidR="001D589C" w:rsidRPr="000D1569">
          <w:rPr>
            <w:webHidden/>
          </w:rPr>
          <w:fldChar w:fldCharType="begin"/>
        </w:r>
        <w:r w:rsidR="001D589C" w:rsidRPr="000D1569">
          <w:rPr>
            <w:webHidden/>
          </w:rPr>
          <w:instrText xml:space="preserve"> PAGEREF _Toc480471737 \h </w:instrText>
        </w:r>
        <w:r w:rsidR="001D589C" w:rsidRPr="000D1569">
          <w:rPr>
            <w:webHidden/>
          </w:rPr>
        </w:r>
        <w:r w:rsidR="001D589C" w:rsidRPr="000D1569">
          <w:rPr>
            <w:webHidden/>
          </w:rPr>
          <w:fldChar w:fldCharType="separate"/>
        </w:r>
        <w:r w:rsidR="001D589C" w:rsidRPr="000D1569">
          <w:rPr>
            <w:webHidden/>
          </w:rPr>
          <w:t>4</w:t>
        </w:r>
        <w:r w:rsidR="001D589C" w:rsidRPr="000D1569">
          <w:rPr>
            <w:webHidden/>
          </w:rPr>
          <w:fldChar w:fldCharType="end"/>
        </w:r>
      </w:hyperlink>
    </w:p>
    <w:p w:rsidR="001D589C" w:rsidRPr="000D1569" w:rsidRDefault="000D1569">
      <w:pPr>
        <w:pStyle w:val="TOC1"/>
        <w:rPr>
          <w:rFonts w:asciiTheme="minorHAnsi" w:eastAsiaTheme="minorEastAsia" w:hAnsiTheme="minorHAnsi" w:cstheme="minorBidi"/>
          <w:lang w:eastAsia="fr-BE"/>
        </w:rPr>
      </w:pPr>
      <w:hyperlink w:anchor="_Toc480471738" w:history="1">
        <w:r w:rsidR="001D589C" w:rsidRPr="000D1569">
          <w:rPr>
            <w:rStyle w:val="Hyperlink"/>
            <w:b/>
            <w:lang w:bidi="fr-FR"/>
          </w:rPr>
          <w:t>3.</w:t>
        </w:r>
        <w:r w:rsidR="001D589C" w:rsidRPr="000D1569">
          <w:rPr>
            <w:rFonts w:asciiTheme="minorHAnsi" w:eastAsiaTheme="minorEastAsia" w:hAnsiTheme="minorHAnsi" w:cstheme="minorBidi"/>
            <w:lang w:eastAsia="fr-BE"/>
          </w:rPr>
          <w:tab/>
        </w:r>
        <w:r w:rsidR="001D589C" w:rsidRPr="000D1569">
          <w:rPr>
            <w:rStyle w:val="Hyperlink"/>
            <w:b/>
            <w:lang w:bidi="fr-FR"/>
          </w:rPr>
          <w:t>CROISSANCE ET INNOVATION</w:t>
        </w:r>
        <w:r w:rsidR="001D589C" w:rsidRPr="000D1569">
          <w:rPr>
            <w:webHidden/>
          </w:rPr>
          <w:tab/>
        </w:r>
        <w:r w:rsidR="001D589C" w:rsidRPr="000D1569">
          <w:rPr>
            <w:webHidden/>
          </w:rPr>
          <w:fldChar w:fldCharType="begin"/>
        </w:r>
        <w:r w:rsidR="001D589C" w:rsidRPr="000D1569">
          <w:rPr>
            <w:webHidden/>
          </w:rPr>
          <w:instrText xml:space="preserve"> PAGEREF _Toc480471738 \h </w:instrText>
        </w:r>
        <w:r w:rsidR="001D589C" w:rsidRPr="000D1569">
          <w:rPr>
            <w:webHidden/>
          </w:rPr>
        </w:r>
        <w:r w:rsidR="001D589C" w:rsidRPr="000D1569">
          <w:rPr>
            <w:webHidden/>
          </w:rPr>
          <w:fldChar w:fldCharType="separate"/>
        </w:r>
        <w:r w:rsidR="001D589C" w:rsidRPr="000D1569">
          <w:rPr>
            <w:webHidden/>
          </w:rPr>
          <w:t>5</w:t>
        </w:r>
        <w:r w:rsidR="001D589C" w:rsidRPr="000D1569">
          <w:rPr>
            <w:webHidden/>
          </w:rPr>
          <w:fldChar w:fldCharType="end"/>
        </w:r>
      </w:hyperlink>
    </w:p>
    <w:p w:rsidR="001D589C" w:rsidRPr="000D1569" w:rsidRDefault="000D1569">
      <w:pPr>
        <w:pStyle w:val="TOC1"/>
        <w:rPr>
          <w:rFonts w:asciiTheme="minorHAnsi" w:eastAsiaTheme="minorEastAsia" w:hAnsiTheme="minorHAnsi" w:cstheme="minorBidi"/>
          <w:lang w:eastAsia="fr-BE"/>
        </w:rPr>
      </w:pPr>
      <w:hyperlink w:anchor="_Toc480471739" w:history="1">
        <w:r w:rsidR="001D589C" w:rsidRPr="000D1569">
          <w:rPr>
            <w:rStyle w:val="Hyperlink"/>
            <w:b/>
            <w:lang w:bidi="fr-FR"/>
          </w:rPr>
          <w:t>4.</w:t>
        </w:r>
        <w:r w:rsidR="001D589C" w:rsidRPr="000D1569">
          <w:rPr>
            <w:rFonts w:asciiTheme="minorHAnsi" w:eastAsiaTheme="minorEastAsia" w:hAnsiTheme="minorHAnsi" w:cstheme="minorBidi"/>
            <w:lang w:eastAsia="fr-BE"/>
          </w:rPr>
          <w:tab/>
        </w:r>
        <w:r w:rsidR="001D589C" w:rsidRPr="000D1569">
          <w:rPr>
            <w:rStyle w:val="Hyperlink"/>
            <w:b/>
            <w:lang w:bidi="fr-FR"/>
          </w:rPr>
          <w:t>GOUVERNANCE ÉCONOMIQUE/INSTRUMENTS FINANCIERS/FISCALITÉ</w:t>
        </w:r>
        <w:r w:rsidR="001D589C" w:rsidRPr="000D1569">
          <w:rPr>
            <w:webHidden/>
          </w:rPr>
          <w:tab/>
        </w:r>
        <w:r w:rsidR="001D589C" w:rsidRPr="000D1569">
          <w:rPr>
            <w:webHidden/>
          </w:rPr>
          <w:fldChar w:fldCharType="begin"/>
        </w:r>
        <w:r w:rsidR="001D589C" w:rsidRPr="000D1569">
          <w:rPr>
            <w:webHidden/>
          </w:rPr>
          <w:instrText xml:space="preserve"> PAGEREF _Toc480471739 \h </w:instrText>
        </w:r>
        <w:r w:rsidR="001D589C" w:rsidRPr="000D1569">
          <w:rPr>
            <w:webHidden/>
          </w:rPr>
        </w:r>
        <w:r w:rsidR="001D589C" w:rsidRPr="000D1569">
          <w:rPr>
            <w:webHidden/>
          </w:rPr>
          <w:fldChar w:fldCharType="separate"/>
        </w:r>
        <w:r w:rsidR="001D589C" w:rsidRPr="000D1569">
          <w:rPr>
            <w:webHidden/>
          </w:rPr>
          <w:t>6</w:t>
        </w:r>
        <w:r w:rsidR="001D589C" w:rsidRPr="000D1569">
          <w:rPr>
            <w:webHidden/>
          </w:rPr>
          <w:fldChar w:fldCharType="end"/>
        </w:r>
      </w:hyperlink>
    </w:p>
    <w:p w:rsidR="001D589C" w:rsidRPr="000D1569" w:rsidRDefault="000D1569">
      <w:pPr>
        <w:pStyle w:val="TOC1"/>
        <w:rPr>
          <w:rFonts w:asciiTheme="minorHAnsi" w:eastAsiaTheme="minorEastAsia" w:hAnsiTheme="minorHAnsi" w:cstheme="minorBidi"/>
          <w:lang w:eastAsia="fr-BE"/>
        </w:rPr>
      </w:pPr>
      <w:hyperlink w:anchor="_Toc480471740" w:history="1">
        <w:r w:rsidR="001D589C" w:rsidRPr="000D1569">
          <w:rPr>
            <w:rStyle w:val="Hyperlink"/>
            <w:b/>
            <w:lang w:bidi="fr-FR"/>
          </w:rPr>
          <w:t>5.</w:t>
        </w:r>
        <w:r w:rsidR="001D589C" w:rsidRPr="000D1569">
          <w:rPr>
            <w:rFonts w:asciiTheme="minorHAnsi" w:eastAsiaTheme="minorEastAsia" w:hAnsiTheme="minorHAnsi" w:cstheme="minorBidi"/>
            <w:lang w:eastAsia="fr-BE"/>
          </w:rPr>
          <w:tab/>
        </w:r>
        <w:r w:rsidR="001D589C" w:rsidRPr="000D1569">
          <w:rPr>
            <w:rStyle w:val="Hyperlink"/>
            <w:b/>
            <w:lang w:bidi="fr-FR"/>
          </w:rPr>
          <w:t>INDUSTRIE/INNOVATION</w:t>
        </w:r>
        <w:r w:rsidR="001D589C" w:rsidRPr="000D1569">
          <w:rPr>
            <w:webHidden/>
          </w:rPr>
          <w:tab/>
        </w:r>
        <w:r w:rsidR="001D589C" w:rsidRPr="000D1569">
          <w:rPr>
            <w:webHidden/>
          </w:rPr>
          <w:fldChar w:fldCharType="begin"/>
        </w:r>
        <w:r w:rsidR="001D589C" w:rsidRPr="000D1569">
          <w:rPr>
            <w:webHidden/>
          </w:rPr>
          <w:instrText xml:space="preserve"> PAGEREF _Toc480471740 \h </w:instrText>
        </w:r>
        <w:r w:rsidR="001D589C" w:rsidRPr="000D1569">
          <w:rPr>
            <w:webHidden/>
          </w:rPr>
        </w:r>
        <w:r w:rsidR="001D589C" w:rsidRPr="000D1569">
          <w:rPr>
            <w:webHidden/>
          </w:rPr>
          <w:fldChar w:fldCharType="separate"/>
        </w:r>
        <w:r w:rsidR="001D589C" w:rsidRPr="000D1569">
          <w:rPr>
            <w:webHidden/>
          </w:rPr>
          <w:t>10</w:t>
        </w:r>
        <w:r w:rsidR="001D589C" w:rsidRPr="000D1569">
          <w:rPr>
            <w:webHidden/>
          </w:rPr>
          <w:fldChar w:fldCharType="end"/>
        </w:r>
      </w:hyperlink>
    </w:p>
    <w:p w:rsidR="001D589C" w:rsidRPr="000D1569" w:rsidRDefault="000D1569">
      <w:pPr>
        <w:pStyle w:val="TOC1"/>
        <w:rPr>
          <w:rFonts w:asciiTheme="minorHAnsi" w:eastAsiaTheme="minorEastAsia" w:hAnsiTheme="minorHAnsi" w:cstheme="minorBidi"/>
          <w:lang w:eastAsia="fr-BE"/>
        </w:rPr>
      </w:pPr>
      <w:hyperlink w:anchor="_Toc480471741" w:history="1">
        <w:r w:rsidR="001D589C" w:rsidRPr="000D1569">
          <w:rPr>
            <w:rStyle w:val="Hyperlink"/>
            <w:b/>
            <w:iCs/>
            <w:lang w:bidi="fr-FR"/>
          </w:rPr>
          <w:t>6.</w:t>
        </w:r>
        <w:r w:rsidR="001D589C" w:rsidRPr="000D1569">
          <w:rPr>
            <w:rFonts w:asciiTheme="minorHAnsi" w:eastAsiaTheme="minorEastAsia" w:hAnsiTheme="minorHAnsi" w:cstheme="minorBidi"/>
            <w:lang w:eastAsia="fr-BE"/>
          </w:rPr>
          <w:tab/>
        </w:r>
        <w:r w:rsidR="001D589C" w:rsidRPr="000D1569">
          <w:rPr>
            <w:rStyle w:val="Hyperlink"/>
            <w:b/>
            <w:lang w:bidi="fr-FR"/>
          </w:rPr>
          <w:t>MARCHÉ INTÉRIEUR</w:t>
        </w:r>
        <w:r w:rsidR="001D589C" w:rsidRPr="000D1569">
          <w:rPr>
            <w:webHidden/>
          </w:rPr>
          <w:tab/>
        </w:r>
        <w:r w:rsidR="001D589C" w:rsidRPr="000D1569">
          <w:rPr>
            <w:webHidden/>
          </w:rPr>
          <w:fldChar w:fldCharType="begin"/>
        </w:r>
        <w:r w:rsidR="001D589C" w:rsidRPr="000D1569">
          <w:rPr>
            <w:webHidden/>
          </w:rPr>
          <w:instrText xml:space="preserve"> PAGEREF _Toc480471741 \h </w:instrText>
        </w:r>
        <w:r w:rsidR="001D589C" w:rsidRPr="000D1569">
          <w:rPr>
            <w:webHidden/>
          </w:rPr>
        </w:r>
        <w:r w:rsidR="001D589C" w:rsidRPr="000D1569">
          <w:rPr>
            <w:webHidden/>
          </w:rPr>
          <w:fldChar w:fldCharType="separate"/>
        </w:r>
        <w:r w:rsidR="001D589C" w:rsidRPr="000D1569">
          <w:rPr>
            <w:webHidden/>
          </w:rPr>
          <w:t>12</w:t>
        </w:r>
        <w:r w:rsidR="001D589C" w:rsidRPr="000D1569">
          <w:rPr>
            <w:webHidden/>
          </w:rPr>
          <w:fldChar w:fldCharType="end"/>
        </w:r>
      </w:hyperlink>
    </w:p>
    <w:p w:rsidR="001D589C" w:rsidRPr="000D1569" w:rsidRDefault="000D1569">
      <w:pPr>
        <w:pStyle w:val="TOC1"/>
        <w:rPr>
          <w:rFonts w:asciiTheme="minorHAnsi" w:eastAsiaTheme="minorEastAsia" w:hAnsiTheme="minorHAnsi" w:cstheme="minorBidi"/>
          <w:lang w:eastAsia="fr-BE"/>
        </w:rPr>
      </w:pPr>
      <w:hyperlink w:anchor="_Toc480471742" w:history="1">
        <w:r w:rsidR="001D589C" w:rsidRPr="000D1569">
          <w:rPr>
            <w:rStyle w:val="Hyperlink"/>
            <w:b/>
            <w:iCs/>
            <w:lang w:bidi="fr-FR"/>
          </w:rPr>
          <w:t>7.</w:t>
        </w:r>
        <w:r w:rsidR="001D589C" w:rsidRPr="000D1569">
          <w:rPr>
            <w:rFonts w:asciiTheme="minorHAnsi" w:eastAsiaTheme="minorEastAsia" w:hAnsiTheme="minorHAnsi" w:cstheme="minorBidi"/>
            <w:lang w:eastAsia="fr-BE"/>
          </w:rPr>
          <w:tab/>
        </w:r>
        <w:r w:rsidR="001D589C" w:rsidRPr="000D1569">
          <w:rPr>
            <w:rStyle w:val="Hyperlink"/>
            <w:b/>
            <w:lang w:bidi="fr-FR"/>
          </w:rPr>
          <w:t>RELATIONS EXTÉRIEURES</w:t>
        </w:r>
        <w:r w:rsidR="001D589C" w:rsidRPr="000D1569">
          <w:rPr>
            <w:webHidden/>
          </w:rPr>
          <w:tab/>
        </w:r>
        <w:r w:rsidR="001D589C" w:rsidRPr="000D1569">
          <w:rPr>
            <w:webHidden/>
          </w:rPr>
          <w:fldChar w:fldCharType="begin"/>
        </w:r>
        <w:r w:rsidR="001D589C" w:rsidRPr="000D1569">
          <w:rPr>
            <w:webHidden/>
          </w:rPr>
          <w:instrText xml:space="preserve"> PAGEREF _Toc480471742 \h </w:instrText>
        </w:r>
        <w:r w:rsidR="001D589C" w:rsidRPr="000D1569">
          <w:rPr>
            <w:webHidden/>
          </w:rPr>
        </w:r>
        <w:r w:rsidR="001D589C" w:rsidRPr="000D1569">
          <w:rPr>
            <w:webHidden/>
          </w:rPr>
          <w:fldChar w:fldCharType="separate"/>
        </w:r>
        <w:r w:rsidR="001D589C" w:rsidRPr="000D1569">
          <w:rPr>
            <w:webHidden/>
          </w:rPr>
          <w:t>12</w:t>
        </w:r>
        <w:r w:rsidR="001D589C" w:rsidRPr="000D1569">
          <w:rPr>
            <w:webHidden/>
          </w:rPr>
          <w:fldChar w:fldCharType="end"/>
        </w:r>
      </w:hyperlink>
    </w:p>
    <w:p w:rsidR="001D589C" w:rsidRPr="000D1569" w:rsidRDefault="000D1569">
      <w:pPr>
        <w:pStyle w:val="TOC1"/>
        <w:rPr>
          <w:rFonts w:asciiTheme="minorHAnsi" w:eastAsiaTheme="minorEastAsia" w:hAnsiTheme="minorHAnsi" w:cstheme="minorBidi"/>
          <w:lang w:eastAsia="fr-BE"/>
        </w:rPr>
      </w:pPr>
      <w:hyperlink w:anchor="_Toc480471743" w:history="1">
        <w:r w:rsidR="001D589C" w:rsidRPr="000D1569">
          <w:rPr>
            <w:rStyle w:val="Hyperlink"/>
            <w:b/>
            <w:iCs/>
            <w:lang w:bidi="fr-FR"/>
          </w:rPr>
          <w:t>8.</w:t>
        </w:r>
        <w:r w:rsidR="001D589C" w:rsidRPr="000D1569">
          <w:rPr>
            <w:rFonts w:asciiTheme="minorHAnsi" w:eastAsiaTheme="minorEastAsia" w:hAnsiTheme="minorHAnsi" w:cstheme="minorBidi"/>
            <w:lang w:eastAsia="fr-BE"/>
          </w:rPr>
          <w:tab/>
        </w:r>
        <w:r w:rsidR="001D589C" w:rsidRPr="000D1569">
          <w:rPr>
            <w:rStyle w:val="Hyperlink"/>
            <w:b/>
            <w:lang w:bidi="fr-FR"/>
          </w:rPr>
          <w:t>TRANSPORTS</w:t>
        </w:r>
        <w:r w:rsidR="001D589C" w:rsidRPr="000D1569">
          <w:rPr>
            <w:webHidden/>
          </w:rPr>
          <w:tab/>
        </w:r>
        <w:r w:rsidR="001D589C" w:rsidRPr="000D1569">
          <w:rPr>
            <w:webHidden/>
          </w:rPr>
          <w:fldChar w:fldCharType="begin"/>
        </w:r>
        <w:r w:rsidR="001D589C" w:rsidRPr="000D1569">
          <w:rPr>
            <w:webHidden/>
          </w:rPr>
          <w:instrText xml:space="preserve"> PAGEREF _Toc480471743 \h </w:instrText>
        </w:r>
        <w:r w:rsidR="001D589C" w:rsidRPr="000D1569">
          <w:rPr>
            <w:webHidden/>
          </w:rPr>
        </w:r>
        <w:r w:rsidR="001D589C" w:rsidRPr="000D1569">
          <w:rPr>
            <w:webHidden/>
          </w:rPr>
          <w:fldChar w:fldCharType="separate"/>
        </w:r>
        <w:r w:rsidR="001D589C" w:rsidRPr="000D1569">
          <w:rPr>
            <w:webHidden/>
          </w:rPr>
          <w:t>15</w:t>
        </w:r>
        <w:r w:rsidR="001D589C" w:rsidRPr="000D1569">
          <w:rPr>
            <w:webHidden/>
          </w:rPr>
          <w:fldChar w:fldCharType="end"/>
        </w:r>
      </w:hyperlink>
    </w:p>
    <w:p w:rsidR="00D67A5D" w:rsidRPr="000D1569" w:rsidRDefault="00FC45F0">
      <w:pPr>
        <w:pStyle w:val="TOC1"/>
        <w:rPr>
          <w:rFonts w:asciiTheme="minorHAnsi" w:eastAsiaTheme="minorEastAsia" w:hAnsiTheme="minorHAnsi" w:cstheme="minorBidi"/>
        </w:rPr>
      </w:pPr>
      <w:r w:rsidRPr="000D1569">
        <w:rPr>
          <w:b/>
        </w:rPr>
        <w:fldChar w:fldCharType="end"/>
      </w:r>
    </w:p>
    <w:p w:rsidR="008405A0" w:rsidRPr="000D1569" w:rsidRDefault="008405A0" w:rsidP="00377A77">
      <w:r w:rsidRPr="000D1569">
        <w:br w:type="page"/>
      </w:r>
    </w:p>
    <w:p w:rsidR="00421682" w:rsidRPr="000D1569" w:rsidRDefault="00421682" w:rsidP="00A3275A">
      <w:pPr>
        <w:spacing w:line="276" w:lineRule="auto"/>
      </w:pPr>
      <w:bookmarkStart w:id="1" w:name="_Toc477938708"/>
      <w:r w:rsidRPr="000D1569">
        <w:lastRenderedPageBreak/>
        <w:t xml:space="preserve">La session plénière des 29 et 30 mars 2017 a été marquée par la présence de </w:t>
      </w:r>
      <w:r w:rsidRPr="000D1569">
        <w:rPr>
          <w:b/>
        </w:rPr>
        <w:t>M</w:t>
      </w:r>
      <w:r w:rsidRPr="000D1569">
        <w:rPr>
          <w:b/>
          <w:vertAlign w:val="superscript"/>
        </w:rPr>
        <w:t>me</w:t>
      </w:r>
      <w:r w:rsidRPr="000D1569">
        <w:rPr>
          <w:b/>
        </w:rPr>
        <w:t> Cecilia MALMSTRÖM</w:t>
      </w:r>
      <w:r w:rsidRPr="000D1569">
        <w:t xml:space="preserve">, commissaire européenne chargée du commerce, et </w:t>
      </w:r>
      <w:r w:rsidRPr="000D1569">
        <w:rPr>
          <w:b/>
        </w:rPr>
        <w:t>M</w:t>
      </w:r>
      <w:r w:rsidRPr="000D1569">
        <w:rPr>
          <w:b/>
          <w:vertAlign w:val="superscript"/>
        </w:rPr>
        <w:t>me </w:t>
      </w:r>
      <w:r w:rsidRPr="000D1569">
        <w:rPr>
          <w:b/>
        </w:rPr>
        <w:t>Corina CREȚU</w:t>
      </w:r>
      <w:r w:rsidRPr="000D1569">
        <w:t>, commissaire européenne chargée de la politique régionale.</w:t>
      </w:r>
    </w:p>
    <w:p w:rsidR="00421682" w:rsidRPr="000D1569" w:rsidRDefault="00421682" w:rsidP="00A3275A">
      <w:pPr>
        <w:spacing w:line="276" w:lineRule="auto"/>
      </w:pPr>
    </w:p>
    <w:p w:rsidR="00421682" w:rsidRPr="000D1569" w:rsidRDefault="00421682" w:rsidP="00A3275A">
      <w:pPr>
        <w:spacing w:line="276" w:lineRule="auto"/>
      </w:pPr>
      <w:r w:rsidRPr="000D1569">
        <w:t>Les avis adoptés en session sont les suivants:</w:t>
      </w:r>
    </w:p>
    <w:p w:rsidR="00421682" w:rsidRPr="000D1569" w:rsidRDefault="00421682" w:rsidP="00A3275A">
      <w:pPr>
        <w:spacing w:line="276" w:lineRule="auto"/>
      </w:pPr>
    </w:p>
    <w:p w:rsidR="003075E1" w:rsidRPr="000D1569" w:rsidRDefault="004C07BF" w:rsidP="00A3275A">
      <w:pPr>
        <w:pStyle w:val="Heading1"/>
        <w:spacing w:line="276" w:lineRule="auto"/>
        <w:ind w:left="0" w:firstLine="0"/>
        <w:rPr>
          <w:b/>
        </w:rPr>
      </w:pPr>
      <w:r w:rsidRPr="000D1569">
        <w:tab/>
      </w:r>
      <w:bookmarkStart w:id="2" w:name="_Toc480471736"/>
      <w:r w:rsidRPr="000D1569">
        <w:rPr>
          <w:b/>
        </w:rPr>
        <w:t>AFFAIRES SOCIALES</w:t>
      </w:r>
      <w:bookmarkEnd w:id="1"/>
      <w:bookmarkEnd w:id="2"/>
    </w:p>
    <w:p w:rsidR="008F6AB1" w:rsidRPr="000D1569" w:rsidRDefault="008F6AB1" w:rsidP="00A3275A">
      <w:pPr>
        <w:rPr>
          <w:highlight w:val="yellow"/>
        </w:rPr>
      </w:pPr>
    </w:p>
    <w:p w:rsidR="00632738" w:rsidRPr="000D1569" w:rsidRDefault="00632738" w:rsidP="00A3275A">
      <w:pPr>
        <w:widowControl w:val="0"/>
        <w:numPr>
          <w:ilvl w:val="0"/>
          <w:numId w:val="2"/>
        </w:numPr>
        <w:overflowPunct w:val="0"/>
        <w:autoSpaceDE w:val="0"/>
        <w:autoSpaceDN w:val="0"/>
        <w:adjustRightInd w:val="0"/>
        <w:spacing w:line="276" w:lineRule="auto"/>
        <w:textAlignment w:val="baseline"/>
        <w:rPr>
          <w:b/>
          <w:bCs/>
          <w:i/>
          <w:iCs/>
          <w:sz w:val="28"/>
          <w:szCs w:val="28"/>
        </w:rPr>
      </w:pPr>
      <w:r w:rsidRPr="000D1569">
        <w:rPr>
          <w:b/>
          <w:i/>
          <w:sz w:val="28"/>
        </w:rPr>
        <w:t>Règlements Eurofound, Cedefop et EU-OSHA</w:t>
      </w:r>
    </w:p>
    <w:p w:rsidR="00632738" w:rsidRPr="000D1569" w:rsidRDefault="00632738" w:rsidP="00A3275A">
      <w:pPr>
        <w:overflowPunct w:val="0"/>
        <w:autoSpaceDE w:val="0"/>
        <w:autoSpaceDN w:val="0"/>
        <w:adjustRightInd w:val="0"/>
        <w:spacing w:line="276" w:lineRule="auto"/>
        <w:ind w:left="-567" w:firstLine="17"/>
        <w:textAlignment w:val="baseline"/>
        <w:rPr>
          <w:szCs w:val="20"/>
          <w:highlight w:val="yellow"/>
        </w:rPr>
      </w:pPr>
    </w:p>
    <w:p w:rsidR="00632738" w:rsidRPr="000D1569" w:rsidRDefault="00632738" w:rsidP="00A3275A">
      <w:pPr>
        <w:overflowPunct w:val="0"/>
        <w:autoSpaceDE w:val="0"/>
        <w:autoSpaceDN w:val="0"/>
        <w:adjustRightInd w:val="0"/>
        <w:spacing w:line="276" w:lineRule="auto"/>
        <w:textAlignment w:val="baseline"/>
      </w:pPr>
      <w:r w:rsidRPr="000D1569">
        <w:rPr>
          <w:b/>
        </w:rPr>
        <w:t>Rapporteure:</w:t>
      </w:r>
      <w:r w:rsidRPr="000D1569">
        <w:t xml:space="preserve"> </w:t>
      </w:r>
      <w:r w:rsidRPr="000D1569">
        <w:tab/>
        <w:t>M</w:t>
      </w:r>
      <w:r w:rsidRPr="000D1569">
        <w:rPr>
          <w:vertAlign w:val="superscript"/>
        </w:rPr>
        <w:t>me</w:t>
      </w:r>
      <w:r w:rsidRPr="000D1569">
        <w:t> Christa SCHWENG (Employeurs – Autriche)</w:t>
      </w:r>
    </w:p>
    <w:p w:rsidR="00632738" w:rsidRPr="000D1569" w:rsidRDefault="00632738" w:rsidP="00A3275A">
      <w:pPr>
        <w:overflowPunct w:val="0"/>
        <w:autoSpaceDE w:val="0"/>
        <w:autoSpaceDN w:val="0"/>
        <w:adjustRightInd w:val="0"/>
        <w:spacing w:line="276" w:lineRule="auto"/>
        <w:ind w:left="-5"/>
        <w:textAlignment w:val="baseline"/>
        <w:rPr>
          <w:b/>
          <w:bCs/>
          <w:szCs w:val="20"/>
        </w:rPr>
      </w:pPr>
      <w:r w:rsidRPr="000D1569">
        <w:rPr>
          <w:b/>
        </w:rPr>
        <w:t>Corapporteure:</w:t>
      </w:r>
      <w:r w:rsidRPr="000D1569">
        <w:tab/>
        <w:t>M</w:t>
      </w:r>
      <w:r w:rsidRPr="000D1569">
        <w:rPr>
          <w:vertAlign w:val="superscript"/>
        </w:rPr>
        <w:t>me</w:t>
      </w:r>
      <w:r w:rsidRPr="000D1569">
        <w:t> Giulia BARBUCCI (Travailleurs – Italie)</w:t>
      </w:r>
    </w:p>
    <w:p w:rsidR="00632738" w:rsidRPr="000D1569" w:rsidRDefault="00632738" w:rsidP="00A3275A">
      <w:pPr>
        <w:overflowPunct w:val="0"/>
        <w:autoSpaceDE w:val="0"/>
        <w:autoSpaceDN w:val="0"/>
        <w:adjustRightInd w:val="0"/>
        <w:spacing w:line="276" w:lineRule="auto"/>
        <w:ind w:left="-5"/>
        <w:textAlignment w:val="baseline"/>
        <w:rPr>
          <w:szCs w:val="20"/>
        </w:rPr>
      </w:pPr>
    </w:p>
    <w:p w:rsidR="00632738" w:rsidRPr="000D1569" w:rsidRDefault="007E6D4A" w:rsidP="00A3275A">
      <w:pPr>
        <w:tabs>
          <w:tab w:val="left" w:pos="1701"/>
        </w:tabs>
        <w:overflowPunct w:val="0"/>
        <w:autoSpaceDE w:val="0"/>
        <w:autoSpaceDN w:val="0"/>
        <w:adjustRightInd w:val="0"/>
        <w:spacing w:line="276" w:lineRule="auto"/>
        <w:ind w:left="-5"/>
        <w:textAlignment w:val="baseline"/>
        <w:rPr>
          <w:szCs w:val="20"/>
        </w:rPr>
      </w:pPr>
      <w:r w:rsidRPr="000D1569">
        <w:rPr>
          <w:b/>
        </w:rPr>
        <w:t xml:space="preserve">Référence: </w:t>
      </w:r>
      <w:r w:rsidRPr="000D1569">
        <w:tab/>
        <w:t>EESC-2016-05685-00-00-AS-TRA</w:t>
      </w:r>
    </w:p>
    <w:p w:rsidR="00632738" w:rsidRPr="000D1569" w:rsidRDefault="00632738" w:rsidP="00A3275A">
      <w:pPr>
        <w:tabs>
          <w:tab w:val="left" w:pos="0"/>
        </w:tabs>
        <w:overflowPunct w:val="0"/>
        <w:autoSpaceDE w:val="0"/>
        <w:autoSpaceDN w:val="0"/>
        <w:adjustRightInd w:val="0"/>
        <w:spacing w:line="276" w:lineRule="auto"/>
        <w:ind w:left="364" w:hanging="369"/>
        <w:textAlignment w:val="baseline"/>
        <w:rPr>
          <w:szCs w:val="20"/>
        </w:rPr>
      </w:pPr>
    </w:p>
    <w:p w:rsidR="00632738" w:rsidRPr="000D1569" w:rsidRDefault="00632738" w:rsidP="00A3275A">
      <w:pPr>
        <w:overflowPunct w:val="0"/>
        <w:autoSpaceDE w:val="0"/>
        <w:autoSpaceDN w:val="0"/>
        <w:adjustRightInd w:val="0"/>
        <w:spacing w:line="276" w:lineRule="auto"/>
        <w:ind w:left="-5"/>
        <w:textAlignment w:val="baseline"/>
        <w:rPr>
          <w:b/>
          <w:szCs w:val="20"/>
        </w:rPr>
      </w:pPr>
      <w:r w:rsidRPr="000D1569">
        <w:rPr>
          <w:b/>
        </w:rPr>
        <w:t>Points clés:</w:t>
      </w:r>
    </w:p>
    <w:p w:rsidR="00632738" w:rsidRPr="000D1569" w:rsidRDefault="00632738" w:rsidP="00A3275A">
      <w:pPr>
        <w:overflowPunct w:val="0"/>
        <w:autoSpaceDE w:val="0"/>
        <w:autoSpaceDN w:val="0"/>
        <w:adjustRightInd w:val="0"/>
        <w:spacing w:line="276" w:lineRule="auto"/>
        <w:ind w:left="-5"/>
        <w:textAlignment w:val="baseline"/>
        <w:rPr>
          <w:b/>
          <w:szCs w:val="20"/>
        </w:rPr>
      </w:pPr>
    </w:p>
    <w:p w:rsidR="00C66947" w:rsidRPr="000D1569" w:rsidRDefault="00C66947" w:rsidP="00A3275A">
      <w:pPr>
        <w:overflowPunct w:val="0"/>
        <w:autoSpaceDE w:val="0"/>
        <w:autoSpaceDN w:val="0"/>
        <w:adjustRightInd w:val="0"/>
        <w:spacing w:line="276" w:lineRule="auto"/>
        <w:ind w:left="-5"/>
        <w:textAlignment w:val="baseline"/>
      </w:pPr>
      <w:r w:rsidRPr="000D1569">
        <w:t>Dans le contexte de la révision des règlements fondateurs des trois agences, le Cedefop, Eurofound et l</w:t>
      </w:r>
      <w:r w:rsidR="006378F5" w:rsidRPr="000D1569">
        <w:t>’</w:t>
      </w:r>
      <w:r w:rsidRPr="000D1569">
        <w:t>EU-OSHA, le CESE exprime son point de vue sur les principes généraux régissant ces organes et présente des commentaires spécifiques pour chaque agence.</w:t>
      </w:r>
    </w:p>
    <w:p w:rsidR="00C66947" w:rsidRPr="000D1569" w:rsidRDefault="00C66947" w:rsidP="00A3275A">
      <w:pPr>
        <w:overflowPunct w:val="0"/>
        <w:autoSpaceDE w:val="0"/>
        <w:autoSpaceDN w:val="0"/>
        <w:adjustRightInd w:val="0"/>
        <w:spacing w:line="276" w:lineRule="auto"/>
        <w:ind w:left="-5"/>
        <w:textAlignment w:val="baseline"/>
      </w:pPr>
    </w:p>
    <w:p w:rsidR="00632738" w:rsidRPr="000D1569"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0D1569">
        <w:t>Le Comité se félicite vivement du maintien de la structure tripartite équilibrée du conseil d</w:t>
      </w:r>
      <w:r w:rsidR="006378F5" w:rsidRPr="000D1569">
        <w:t>’</w:t>
      </w:r>
      <w:r w:rsidRPr="000D1569">
        <w:t>administration. Le Comité considère que ce tripartisme est l</w:t>
      </w:r>
      <w:r w:rsidR="006378F5" w:rsidRPr="000D1569">
        <w:t>’</w:t>
      </w:r>
      <w:r w:rsidRPr="000D1569">
        <w:t>expression d</w:t>
      </w:r>
      <w:r w:rsidR="006378F5" w:rsidRPr="000D1569">
        <w:t>’</w:t>
      </w:r>
      <w:r w:rsidRPr="000D1569">
        <w:t>une approche inclusive, qui respecte l</w:t>
      </w:r>
      <w:r w:rsidR="006378F5" w:rsidRPr="000D1569">
        <w:t>’</w:t>
      </w:r>
      <w:r w:rsidRPr="000D1569">
        <w:t>importance du rôle des partenaires sociaux dans la recherche de solutions communes.</w:t>
      </w:r>
    </w:p>
    <w:p w:rsidR="00632738" w:rsidRPr="000D1569" w:rsidRDefault="00632738" w:rsidP="00A3275A">
      <w:pPr>
        <w:overflowPunct w:val="0"/>
        <w:autoSpaceDE w:val="0"/>
        <w:autoSpaceDN w:val="0"/>
        <w:adjustRightInd w:val="0"/>
        <w:spacing w:line="276" w:lineRule="auto"/>
        <w:ind w:left="850"/>
        <w:textAlignment w:val="baseline"/>
        <w:outlineLvl w:val="1"/>
        <w:rPr>
          <w:szCs w:val="20"/>
        </w:rPr>
      </w:pPr>
    </w:p>
    <w:p w:rsidR="00632738" w:rsidRPr="000D1569"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0D1569">
        <w:t>Le CESE estime que les objectifs généraux des trois agences devraient être définis uniformément et de manière plus approfondie en ce qui concerne le «soutien apporté à la Commission et aux autres institutions et organes de l</w:t>
      </w:r>
      <w:r w:rsidR="006378F5" w:rsidRPr="000D1569">
        <w:t>’</w:t>
      </w:r>
      <w:r w:rsidRPr="000D1569">
        <w:t>Union, aux États membres, aux partenaires sociaux».</w:t>
      </w:r>
    </w:p>
    <w:p w:rsidR="00673A39" w:rsidRPr="000D1569" w:rsidRDefault="00673A39" w:rsidP="00A3275A">
      <w:pPr>
        <w:overflowPunct w:val="0"/>
        <w:autoSpaceDE w:val="0"/>
        <w:autoSpaceDN w:val="0"/>
        <w:adjustRightInd w:val="0"/>
        <w:spacing w:line="276" w:lineRule="auto"/>
        <w:textAlignment w:val="baseline"/>
        <w:rPr>
          <w:b/>
          <w:szCs w:val="20"/>
        </w:rPr>
      </w:pPr>
    </w:p>
    <w:p w:rsidR="00632738" w:rsidRPr="000D1569"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0D1569">
        <w:t>Le CESE préconise que les pouvoirs relatifs à la nomination du personnel et à la modification des structures internes de l</w:t>
      </w:r>
      <w:r w:rsidR="006378F5" w:rsidRPr="000D1569">
        <w:t>’</w:t>
      </w:r>
      <w:r w:rsidRPr="000D1569">
        <w:t>agence concernée continuent à incomber au directeur de chaque agence.</w:t>
      </w:r>
    </w:p>
    <w:p w:rsidR="00632738" w:rsidRPr="000D1569" w:rsidRDefault="00632738" w:rsidP="00A3275A">
      <w:pPr>
        <w:overflowPunct w:val="0"/>
        <w:autoSpaceDE w:val="0"/>
        <w:autoSpaceDN w:val="0"/>
        <w:adjustRightInd w:val="0"/>
        <w:spacing w:line="276" w:lineRule="auto"/>
        <w:ind w:left="850"/>
        <w:textAlignment w:val="baseline"/>
        <w:outlineLvl w:val="1"/>
        <w:rPr>
          <w:szCs w:val="20"/>
        </w:rPr>
      </w:pPr>
    </w:p>
    <w:p w:rsidR="00632738" w:rsidRPr="000D1569"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0D1569">
        <w:t>Il s</w:t>
      </w:r>
      <w:r w:rsidR="006378F5" w:rsidRPr="000D1569">
        <w:t>’</w:t>
      </w:r>
      <w:r w:rsidRPr="000D1569">
        <w:t>oppose à la réduction du nombre de membres du comité exécutif, car cela désavantagera le groupe d</w:t>
      </w:r>
      <w:r w:rsidR="006378F5" w:rsidRPr="000D1569">
        <w:t>’</w:t>
      </w:r>
      <w:r w:rsidRPr="000D1569">
        <w:t>intérêt qui occupe le poste de président, dans la mesure où ce groupe n</w:t>
      </w:r>
      <w:r w:rsidR="006378F5" w:rsidRPr="000D1569">
        <w:t>’</w:t>
      </w:r>
      <w:r w:rsidRPr="000D1569">
        <w:t>aura pas d</w:t>
      </w:r>
      <w:r w:rsidR="006378F5" w:rsidRPr="000D1569">
        <w:t>’</w:t>
      </w:r>
      <w:r w:rsidRPr="000D1569">
        <w:t xml:space="preserve">autre porte-parole au sein du comité exécutif. </w:t>
      </w:r>
    </w:p>
    <w:p w:rsidR="00632738" w:rsidRPr="000D1569" w:rsidRDefault="00632738" w:rsidP="00A3275A">
      <w:pPr>
        <w:overflowPunct w:val="0"/>
        <w:autoSpaceDE w:val="0"/>
        <w:autoSpaceDN w:val="0"/>
        <w:adjustRightInd w:val="0"/>
        <w:spacing w:line="276" w:lineRule="auto"/>
        <w:ind w:left="850"/>
        <w:textAlignment w:val="baseline"/>
        <w:outlineLvl w:val="1"/>
        <w:rPr>
          <w:szCs w:val="20"/>
        </w:rPr>
      </w:pPr>
    </w:p>
    <w:p w:rsidR="00632738" w:rsidRPr="000D1569"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0D1569">
        <w:t>Le CESE se félicite de l</w:t>
      </w:r>
      <w:r w:rsidR="006378F5" w:rsidRPr="000D1569">
        <w:t>’</w:t>
      </w:r>
      <w:r w:rsidRPr="000D1569">
        <w:t>approche normalisée de la nomination du directeur exécutif, qui va dans le même sens que celle en vigueur à l</w:t>
      </w:r>
      <w:r w:rsidR="006378F5" w:rsidRPr="000D1569">
        <w:t>’</w:t>
      </w:r>
      <w:r w:rsidRPr="000D1569">
        <w:t>EU-OSHA.</w:t>
      </w:r>
    </w:p>
    <w:p w:rsidR="00673A39" w:rsidRPr="000D1569" w:rsidRDefault="00673A39" w:rsidP="00A3275A">
      <w:pPr>
        <w:overflowPunct w:val="0"/>
        <w:autoSpaceDE w:val="0"/>
        <w:autoSpaceDN w:val="0"/>
        <w:adjustRightInd w:val="0"/>
        <w:spacing w:line="276" w:lineRule="auto"/>
        <w:ind w:left="850"/>
        <w:textAlignment w:val="baseline"/>
        <w:outlineLvl w:val="1"/>
        <w:rPr>
          <w:szCs w:val="20"/>
        </w:rPr>
      </w:pPr>
    </w:p>
    <w:p w:rsidR="00632738" w:rsidRPr="000D1569" w:rsidRDefault="00632738" w:rsidP="00A3275A">
      <w:pPr>
        <w:overflowPunct w:val="0"/>
        <w:autoSpaceDE w:val="0"/>
        <w:autoSpaceDN w:val="0"/>
        <w:adjustRightInd w:val="0"/>
        <w:spacing w:line="276" w:lineRule="auto"/>
        <w:ind w:left="-5"/>
        <w:textAlignment w:val="baseline"/>
        <w:rPr>
          <w:b/>
          <w:szCs w:val="20"/>
        </w:rPr>
      </w:pPr>
      <w:r w:rsidRPr="000D1569">
        <w:t>Le CESE est convaincu que le poste de directeur adjoint a démontré son utilité et doit être maintenu là où il existe. Étant donné que les différentes pratiques actuelles fonctionnent bien, le Comité réclame que les trois agences disposent d</w:t>
      </w:r>
      <w:r w:rsidR="006378F5" w:rsidRPr="000D1569">
        <w:t>’</w:t>
      </w:r>
      <w:r w:rsidRPr="000D1569">
        <w:t>une certaine marge de manœuvre.</w:t>
      </w:r>
    </w:p>
    <w:p w:rsidR="00632738" w:rsidRPr="000D1569" w:rsidRDefault="00632738" w:rsidP="00A3275A">
      <w:pPr>
        <w:overflowPunct w:val="0"/>
        <w:autoSpaceDE w:val="0"/>
        <w:autoSpaceDN w:val="0"/>
        <w:adjustRightInd w:val="0"/>
        <w:spacing w:line="276" w:lineRule="auto"/>
        <w:ind w:left="-5"/>
        <w:textAlignment w:val="baseline"/>
        <w:rPr>
          <w:b/>
          <w:szCs w:val="20"/>
        </w:rPr>
      </w:pPr>
    </w:p>
    <w:p w:rsidR="00632738" w:rsidRPr="000D1569" w:rsidRDefault="00632738" w:rsidP="006378F5">
      <w:pPr>
        <w:keepNext/>
        <w:tabs>
          <w:tab w:val="left" w:pos="770"/>
        </w:tabs>
        <w:overflowPunct w:val="0"/>
        <w:autoSpaceDE w:val="0"/>
        <w:autoSpaceDN w:val="0"/>
        <w:adjustRightInd w:val="0"/>
        <w:spacing w:line="276" w:lineRule="auto"/>
        <w:textAlignment w:val="baseline"/>
        <w:rPr>
          <w:i/>
          <w:iCs/>
        </w:rPr>
      </w:pPr>
      <w:r w:rsidRPr="000D1569">
        <w:rPr>
          <w:b/>
          <w:i/>
        </w:rPr>
        <w:t>Contact:</w:t>
      </w:r>
      <w:r w:rsidRPr="000D1569">
        <w:tab/>
      </w:r>
      <w:r w:rsidRPr="000D1569">
        <w:rPr>
          <w:i/>
        </w:rPr>
        <w:t>M</w:t>
      </w:r>
      <w:r w:rsidRPr="000D1569">
        <w:rPr>
          <w:i/>
          <w:vertAlign w:val="superscript"/>
        </w:rPr>
        <w:t>me</w:t>
      </w:r>
      <w:r w:rsidRPr="000D1569">
        <w:rPr>
          <w:i/>
        </w:rPr>
        <w:t> Ana Dumitrache</w:t>
      </w:r>
    </w:p>
    <w:p w:rsidR="00C1115F" w:rsidRPr="000D1569" w:rsidRDefault="00632738" w:rsidP="006378F5">
      <w:pPr>
        <w:keepNext/>
        <w:tabs>
          <w:tab w:val="left" w:pos="1134"/>
        </w:tabs>
        <w:overflowPunct w:val="0"/>
        <w:autoSpaceDE w:val="0"/>
        <w:autoSpaceDN w:val="0"/>
        <w:adjustRightInd w:val="0"/>
        <w:spacing w:line="276" w:lineRule="auto"/>
        <w:ind w:left="1134"/>
        <w:rPr>
          <w:iCs/>
        </w:rPr>
      </w:pPr>
      <w:r w:rsidRPr="000D1569">
        <w:rPr>
          <w:i/>
        </w:rPr>
        <w:t xml:space="preserve">(Tél.: 00 32 2 546 8131 – courriel: </w:t>
      </w:r>
      <w:hyperlink r:id="rId22">
        <w:r w:rsidRPr="000D1569">
          <w:rPr>
            <w:i/>
            <w:color w:val="0000FF"/>
            <w:u w:val="single"/>
          </w:rPr>
          <w:t>ana.dumitrache@eesc.europa.eu</w:t>
        </w:r>
      </w:hyperlink>
      <w:r w:rsidRPr="000D1569">
        <w:rPr>
          <w:i/>
        </w:rPr>
        <w:t>)</w:t>
      </w:r>
    </w:p>
    <w:p w:rsidR="003A4AB8" w:rsidRPr="000D1569" w:rsidRDefault="003A4AB8" w:rsidP="00A3275A">
      <w:pPr>
        <w:overflowPunct w:val="0"/>
        <w:autoSpaceDE w:val="0"/>
        <w:autoSpaceDN w:val="0"/>
        <w:adjustRightInd w:val="0"/>
        <w:spacing w:line="276" w:lineRule="auto"/>
        <w:rPr>
          <w:iCs/>
        </w:rPr>
      </w:pPr>
    </w:p>
    <w:p w:rsidR="00C1115F" w:rsidRPr="000D1569" w:rsidRDefault="00C1115F" w:rsidP="004C07BF">
      <w:pPr>
        <w:spacing w:line="240" w:lineRule="auto"/>
        <w:rPr>
          <w:iCs/>
        </w:rPr>
      </w:pPr>
    </w:p>
    <w:p w:rsidR="00E6566F" w:rsidRPr="000D1569" w:rsidRDefault="00E6566F" w:rsidP="00A3275A">
      <w:pPr>
        <w:pStyle w:val="Heading1"/>
        <w:spacing w:line="276" w:lineRule="auto"/>
        <w:rPr>
          <w:b/>
        </w:rPr>
      </w:pPr>
      <w:bookmarkStart w:id="3" w:name="_Toc477938709"/>
      <w:bookmarkStart w:id="4" w:name="_Toc480471737"/>
      <w:r w:rsidRPr="000D1569">
        <w:rPr>
          <w:b/>
        </w:rPr>
        <w:t>CONSOMMATEURS/AFFAIRES SOCIALES</w:t>
      </w:r>
      <w:bookmarkEnd w:id="3"/>
      <w:bookmarkEnd w:id="4"/>
    </w:p>
    <w:p w:rsidR="008F6AB1" w:rsidRPr="000D1569" w:rsidRDefault="008F6AB1" w:rsidP="00A3275A">
      <w:pPr>
        <w:spacing w:line="276" w:lineRule="auto"/>
      </w:pPr>
    </w:p>
    <w:p w:rsidR="00632738" w:rsidRPr="000D1569" w:rsidRDefault="00632738" w:rsidP="00A3275A">
      <w:pPr>
        <w:numPr>
          <w:ilvl w:val="0"/>
          <w:numId w:val="2"/>
        </w:numPr>
        <w:spacing w:line="276" w:lineRule="auto"/>
        <w:contextualSpacing/>
        <w:rPr>
          <w:b/>
          <w:bCs/>
          <w:i/>
          <w:iCs/>
          <w:sz w:val="28"/>
          <w:szCs w:val="28"/>
        </w:rPr>
      </w:pPr>
      <w:r w:rsidRPr="000D1569">
        <w:rPr>
          <w:b/>
          <w:i/>
          <w:sz w:val="28"/>
        </w:rPr>
        <w:t xml:space="preserve">Boissons spiritueuses </w:t>
      </w:r>
    </w:p>
    <w:p w:rsidR="00632738" w:rsidRPr="000D1569" w:rsidRDefault="00632738" w:rsidP="00A3275A">
      <w:pPr>
        <w:spacing w:line="276" w:lineRule="auto"/>
        <w:rPr>
          <w:b/>
          <w:bCs/>
          <w:i/>
          <w:iCs/>
        </w:rPr>
      </w:pPr>
    </w:p>
    <w:p w:rsidR="00632738" w:rsidRPr="000D1569" w:rsidRDefault="00632738" w:rsidP="00A3275A">
      <w:pPr>
        <w:spacing w:line="276" w:lineRule="auto"/>
      </w:pPr>
      <w:r w:rsidRPr="000D1569">
        <w:rPr>
          <w:b/>
        </w:rPr>
        <w:t>Rapporteur:</w:t>
      </w:r>
      <w:r w:rsidRPr="000D1569">
        <w:tab/>
        <w:t>M. Peter SCHMIDT (Travailleurs – Allemagne)</w:t>
      </w:r>
    </w:p>
    <w:p w:rsidR="00632738" w:rsidRPr="000D1569" w:rsidRDefault="00632738" w:rsidP="00A3275A">
      <w:pPr>
        <w:spacing w:line="276" w:lineRule="auto"/>
      </w:pPr>
    </w:p>
    <w:p w:rsidR="00632738" w:rsidRPr="000D1569" w:rsidRDefault="007E6D4A" w:rsidP="00A3275A">
      <w:pPr>
        <w:tabs>
          <w:tab w:val="left" w:pos="1701"/>
        </w:tabs>
        <w:spacing w:line="276" w:lineRule="auto"/>
        <w:ind w:left="-5"/>
        <w:rPr>
          <w:bCs/>
        </w:rPr>
      </w:pPr>
      <w:r w:rsidRPr="000D1569">
        <w:rPr>
          <w:b/>
        </w:rPr>
        <w:t>Référence:</w:t>
      </w:r>
      <w:r w:rsidRPr="000D1569">
        <w:tab/>
        <w:t>COM(2016) 750 final – 2016/392 (COD)</w:t>
      </w:r>
    </w:p>
    <w:p w:rsidR="00632738" w:rsidRPr="000D1569" w:rsidRDefault="00632738" w:rsidP="00A3275A">
      <w:pPr>
        <w:spacing w:line="276" w:lineRule="auto"/>
        <w:ind w:left="1701"/>
      </w:pPr>
      <w:r w:rsidRPr="000D1569">
        <w:t xml:space="preserve">EESC-2017-00058-00-00-AS-TRA </w:t>
      </w:r>
    </w:p>
    <w:p w:rsidR="00632738" w:rsidRPr="000D1569" w:rsidRDefault="00632738" w:rsidP="00A3275A">
      <w:pPr>
        <w:spacing w:line="276" w:lineRule="auto"/>
        <w:ind w:left="-5"/>
      </w:pPr>
    </w:p>
    <w:p w:rsidR="00632738" w:rsidRPr="000D1569" w:rsidRDefault="00632738" w:rsidP="00A3275A">
      <w:pPr>
        <w:spacing w:line="276" w:lineRule="auto"/>
        <w:rPr>
          <w:b/>
          <w:iCs/>
          <w:highlight w:val="yellow"/>
          <w:u w:val="single"/>
        </w:rPr>
      </w:pPr>
      <w:r w:rsidRPr="000D1569">
        <w:rPr>
          <w:b/>
        </w:rPr>
        <w:t>Points clés:</w:t>
      </w:r>
    </w:p>
    <w:p w:rsidR="00632738" w:rsidRPr="000D1569" w:rsidRDefault="00632738" w:rsidP="00A3275A">
      <w:pPr>
        <w:spacing w:line="276" w:lineRule="auto"/>
        <w:ind w:left="-567"/>
        <w:rPr>
          <w:b/>
          <w:iCs/>
          <w:highlight w:val="yellow"/>
          <w:u w:val="single"/>
        </w:rPr>
      </w:pPr>
    </w:p>
    <w:p w:rsidR="00632738" w:rsidRPr="000D1569" w:rsidRDefault="00632738" w:rsidP="00A3275A">
      <w:pPr>
        <w:spacing w:line="276" w:lineRule="auto"/>
        <w:outlineLvl w:val="1"/>
      </w:pPr>
      <w:r w:rsidRPr="000D1569">
        <w:t>Le CESE se félicite de l</w:t>
      </w:r>
      <w:r w:rsidR="006378F5" w:rsidRPr="000D1569">
        <w:t>’</w:t>
      </w:r>
      <w:r w:rsidRPr="000D1569">
        <w:t>initiative de la Commission visant à mettre en conformité le cadre juridique qui régit actuellement les boissons spiritueuses avec le traité sur le fonctionnement de l</w:t>
      </w:r>
      <w:r w:rsidR="006378F5" w:rsidRPr="000D1569">
        <w:t>’</w:t>
      </w:r>
      <w:r w:rsidRPr="000D1569">
        <w:t>Union européenne (TFUE) et à rendre la législation compatible avec les nouveaux instruments juridiques de l</w:t>
      </w:r>
      <w:r w:rsidR="006378F5" w:rsidRPr="000D1569">
        <w:t>’</w:t>
      </w:r>
      <w:r w:rsidRPr="000D1569">
        <w:t>Union, notamment en ce qui concerne l</w:t>
      </w:r>
      <w:r w:rsidR="006378F5" w:rsidRPr="000D1569">
        <w:t>’</w:t>
      </w:r>
      <w:r w:rsidRPr="000D1569">
        <w:t>information des consommateurs sur les denrées alimentaires et les systèmes de qualité applicables aux produits agricoles et aux denrées alimentaires. En particulier, le CESE approuve l</w:t>
      </w:r>
      <w:r w:rsidR="006378F5" w:rsidRPr="000D1569">
        <w:t>’</w:t>
      </w:r>
      <w:r w:rsidRPr="000D1569">
        <w:t>établissement d</w:t>
      </w:r>
      <w:r w:rsidR="006378F5" w:rsidRPr="000D1569">
        <w:t>’</w:t>
      </w:r>
      <w:r w:rsidRPr="000D1569">
        <w:t>un lien plus étroit avec le secteur agricole. Ce lien est indispensable à la qualité et à la réputation des boissons spiritueuses produites au sein de l</w:t>
      </w:r>
      <w:r w:rsidR="006378F5" w:rsidRPr="000D1569">
        <w:t>’</w:t>
      </w:r>
      <w:r w:rsidRPr="000D1569">
        <w:t xml:space="preserve">Union. </w:t>
      </w:r>
    </w:p>
    <w:p w:rsidR="00632738" w:rsidRPr="000D1569" w:rsidRDefault="00632738" w:rsidP="00A3275A">
      <w:pPr>
        <w:spacing w:line="276" w:lineRule="auto"/>
        <w:outlineLvl w:val="1"/>
      </w:pPr>
    </w:p>
    <w:p w:rsidR="00632738" w:rsidRPr="000D1569" w:rsidRDefault="00632738" w:rsidP="00A3275A">
      <w:pPr>
        <w:spacing w:line="276" w:lineRule="auto"/>
        <w:outlineLvl w:val="1"/>
      </w:pPr>
      <w:r w:rsidRPr="000D1569">
        <w:t>Le CESE est conscient de la complexité de l</w:t>
      </w:r>
      <w:r w:rsidR="006378F5" w:rsidRPr="000D1569">
        <w:t>’</w:t>
      </w:r>
      <w:r w:rsidRPr="000D1569">
        <w:t>exercice d</w:t>
      </w:r>
      <w:r w:rsidR="006378F5" w:rsidRPr="000D1569">
        <w:t>’</w:t>
      </w:r>
      <w:r w:rsidRPr="000D1569">
        <w:t>alignement, et il salue la clarification et les améliorations introduites dans des domaines tels que les règles relatives à l</w:t>
      </w:r>
      <w:r w:rsidR="006378F5" w:rsidRPr="000D1569">
        <w:t>’</w:t>
      </w:r>
      <w:r w:rsidRPr="000D1569">
        <w:t>étiquetage des termes composés, des allusions et des mélanges de boissons spiritueuses, ainsi que celles portant sur l</w:t>
      </w:r>
      <w:r w:rsidR="006378F5" w:rsidRPr="000D1569">
        <w:t>’</w:t>
      </w:r>
      <w:r w:rsidRPr="000D1569">
        <w:t>étiquetage facultatif de l</w:t>
      </w:r>
      <w:r w:rsidR="006378F5" w:rsidRPr="000D1569">
        <w:t>’</w:t>
      </w:r>
      <w:r w:rsidRPr="000D1569">
        <w:t>origine des matières premières. En ce qui concerne les indications géographiques (IG), le CESE se félicite de la clarification des règles et procédures les régissant, ainsi que la reconnaissance de la valeur de la tradition et de la production locale/territoriale.</w:t>
      </w:r>
    </w:p>
    <w:p w:rsidR="00632738" w:rsidRPr="000D1569" w:rsidRDefault="00632738" w:rsidP="00A3275A">
      <w:pPr>
        <w:spacing w:line="276" w:lineRule="auto"/>
        <w:outlineLvl w:val="1"/>
      </w:pPr>
    </w:p>
    <w:p w:rsidR="00632738" w:rsidRPr="000D1569" w:rsidRDefault="00632738" w:rsidP="00A3275A">
      <w:pPr>
        <w:spacing w:line="276" w:lineRule="auto"/>
        <w:outlineLvl w:val="1"/>
      </w:pPr>
      <w:r w:rsidRPr="000D1569">
        <w:t>Le CESE souligne l</w:t>
      </w:r>
      <w:r w:rsidR="006378F5" w:rsidRPr="000D1569">
        <w:t>’</w:t>
      </w:r>
      <w:r w:rsidRPr="000D1569">
        <w:t>importance de maintenir le niveau actuel de protection dans le secteur des boissons spiritueuses afin de garantir l</w:t>
      </w:r>
      <w:r w:rsidR="006378F5" w:rsidRPr="000D1569">
        <w:t>’</w:t>
      </w:r>
      <w:r w:rsidRPr="000D1569">
        <w:t>ancrage en Europe de la valeur ajoutée et de l</w:t>
      </w:r>
      <w:r w:rsidR="006378F5" w:rsidRPr="000D1569">
        <w:t>’</w:t>
      </w:r>
      <w:r w:rsidRPr="000D1569">
        <w:t>emploi. Ce qui est important, c</w:t>
      </w:r>
      <w:r w:rsidR="006378F5" w:rsidRPr="000D1569">
        <w:t>’</w:t>
      </w:r>
      <w:r w:rsidRPr="000D1569">
        <w:t>est le lieu de distillation et de fabrication du produit, la modification terminologique introduite ne devant en aucune façon entraîner de changements majeurs pour le secteur. Concernant la présentation et l</w:t>
      </w:r>
      <w:r w:rsidR="006378F5" w:rsidRPr="000D1569">
        <w:t>’</w:t>
      </w:r>
      <w:r w:rsidRPr="000D1569">
        <w:t>étiquetage, le Comité suggère certaines améliorations à la proposition actuelle, compte tenu, notamment, de l</w:t>
      </w:r>
      <w:r w:rsidR="006378F5" w:rsidRPr="000D1569">
        <w:t>’</w:t>
      </w:r>
      <w:r w:rsidRPr="000D1569">
        <w:t>importance d</w:t>
      </w:r>
      <w:r w:rsidR="006378F5" w:rsidRPr="000D1569">
        <w:t>’</w:t>
      </w:r>
      <w:r w:rsidRPr="000D1569">
        <w:t>éviter tout type d</w:t>
      </w:r>
      <w:r w:rsidR="006378F5" w:rsidRPr="000D1569">
        <w:t>’</w:t>
      </w:r>
      <w:r w:rsidRPr="000D1569">
        <w:t>assertion inexacte ou de malentendu en relation avec des «arômes artificiels» susceptibles d</w:t>
      </w:r>
      <w:r w:rsidR="006378F5" w:rsidRPr="000D1569">
        <w:t>’</w:t>
      </w:r>
      <w:r w:rsidRPr="000D1569">
        <w:t>abuser le consommateur.</w:t>
      </w:r>
    </w:p>
    <w:p w:rsidR="00632738" w:rsidRPr="000D1569" w:rsidRDefault="00632738" w:rsidP="00A3275A">
      <w:pPr>
        <w:spacing w:line="276" w:lineRule="auto"/>
        <w:outlineLvl w:val="1"/>
      </w:pPr>
    </w:p>
    <w:p w:rsidR="00632738" w:rsidRPr="000D1569" w:rsidRDefault="00632738" w:rsidP="00A3275A">
      <w:pPr>
        <w:spacing w:line="276" w:lineRule="auto"/>
        <w:outlineLvl w:val="1"/>
      </w:pPr>
      <w:r w:rsidRPr="000D1569">
        <w:t>Bien que cette dimension n</w:t>
      </w:r>
      <w:r w:rsidR="006378F5" w:rsidRPr="000D1569">
        <w:t>’</w:t>
      </w:r>
      <w:r w:rsidRPr="000D1569">
        <w:t>entre pas dans le champ spécifique de la proposition de la Commission, le CESE rappelle ses recommandations antérieures sur la nécessité d</w:t>
      </w:r>
      <w:r w:rsidR="006378F5" w:rsidRPr="000D1569">
        <w:t>’</w:t>
      </w:r>
      <w:r w:rsidRPr="000D1569">
        <w:t>une approche globale et cohérente fondée sur la nécessité d</w:t>
      </w:r>
      <w:r w:rsidR="006378F5" w:rsidRPr="000D1569">
        <w:t>’</w:t>
      </w:r>
      <w:r w:rsidRPr="000D1569">
        <w:t>éviter une consommation nocive d</w:t>
      </w:r>
      <w:r w:rsidR="006378F5" w:rsidRPr="000D1569">
        <w:t>’</w:t>
      </w:r>
      <w:r w:rsidRPr="000D1569">
        <w:t>alcool, ainsi que sur la promotion d</w:t>
      </w:r>
      <w:r w:rsidR="006378F5" w:rsidRPr="000D1569">
        <w:t>’</w:t>
      </w:r>
      <w:r w:rsidRPr="000D1569">
        <w:t>une consommation responsable qui évite les risques sanitaires et la consommation d</w:t>
      </w:r>
      <w:r w:rsidR="006378F5" w:rsidRPr="000D1569">
        <w:t>’</w:t>
      </w:r>
      <w:r w:rsidRPr="000D1569">
        <w:t>alcool avant l</w:t>
      </w:r>
      <w:r w:rsidR="006378F5" w:rsidRPr="000D1569">
        <w:t>’</w:t>
      </w:r>
      <w:r w:rsidRPr="000D1569">
        <w:t>âge légal – non seulement pour le secteur des boissons spiritueuses, mais aussi sur un plan plus général. L</w:t>
      </w:r>
      <w:r w:rsidR="006378F5" w:rsidRPr="000D1569">
        <w:t>’</w:t>
      </w:r>
      <w:r w:rsidRPr="000D1569">
        <w:t>information, l</w:t>
      </w:r>
      <w:r w:rsidR="006378F5" w:rsidRPr="000D1569">
        <w:t>’</w:t>
      </w:r>
      <w:r w:rsidRPr="000D1569">
        <w:t>éducation et la sensibilisation sont essentielles à cet égard, et le CESE se félicite des nombreuses initiatives émanant tant du secteur public que du secteur privé en la matière.</w:t>
      </w:r>
    </w:p>
    <w:p w:rsidR="00632738" w:rsidRPr="000D1569" w:rsidRDefault="00632738" w:rsidP="00A3275A">
      <w:pPr>
        <w:rPr>
          <w:highlight w:val="yellow"/>
        </w:rPr>
      </w:pPr>
    </w:p>
    <w:p w:rsidR="00632738" w:rsidRPr="000D1569" w:rsidRDefault="00632738" w:rsidP="00A3275A">
      <w:pPr>
        <w:spacing w:line="276" w:lineRule="auto"/>
        <w:rPr>
          <w:i/>
          <w:iCs/>
        </w:rPr>
      </w:pPr>
      <w:r w:rsidRPr="000D1569">
        <w:rPr>
          <w:b/>
          <w:i/>
        </w:rPr>
        <w:t>Contact:</w:t>
      </w:r>
      <w:r w:rsidRPr="000D1569">
        <w:tab/>
      </w:r>
      <w:r w:rsidRPr="000D1569">
        <w:rPr>
          <w:i/>
        </w:rPr>
        <w:t>M</w:t>
      </w:r>
      <w:r w:rsidRPr="000D1569">
        <w:rPr>
          <w:i/>
          <w:vertAlign w:val="superscript"/>
        </w:rPr>
        <w:t>me</w:t>
      </w:r>
      <w:r w:rsidRPr="000D1569">
        <w:rPr>
          <w:i/>
        </w:rPr>
        <w:t xml:space="preserve"> Monica Guarinoni </w:t>
      </w:r>
    </w:p>
    <w:p w:rsidR="00610CDE" w:rsidRPr="000D1569" w:rsidRDefault="00632738" w:rsidP="00A3275A">
      <w:pPr>
        <w:spacing w:line="276" w:lineRule="auto"/>
        <w:ind w:left="1134"/>
        <w:rPr>
          <w:i/>
          <w:iCs/>
        </w:rPr>
      </w:pPr>
      <w:r w:rsidRPr="000D1569">
        <w:rPr>
          <w:i/>
        </w:rPr>
        <w:t xml:space="preserve">(Tél.: 00 32 2 546 8127 – courriel: </w:t>
      </w:r>
      <w:hyperlink r:id="rId23">
        <w:r w:rsidRPr="000D1569">
          <w:rPr>
            <w:i/>
            <w:color w:val="0000FF"/>
            <w:u w:val="single"/>
          </w:rPr>
          <w:t>monica.guarinoni@eesc.europa.eu</w:t>
        </w:r>
      </w:hyperlink>
      <w:r w:rsidRPr="000D1569">
        <w:rPr>
          <w:i/>
        </w:rPr>
        <w:t>)</w:t>
      </w:r>
    </w:p>
    <w:p w:rsidR="004C07BF" w:rsidRPr="000D1569" w:rsidRDefault="004C07BF" w:rsidP="00A3275A"/>
    <w:p w:rsidR="003A4AB8" w:rsidRPr="000D1569" w:rsidRDefault="003A4AB8" w:rsidP="00A3275A"/>
    <w:p w:rsidR="003A4AB8" w:rsidRPr="000D1569" w:rsidRDefault="003A4AB8" w:rsidP="00A3275A">
      <w:pPr>
        <w:pStyle w:val="Heading1"/>
        <w:keepNext/>
        <w:rPr>
          <w:b/>
        </w:rPr>
      </w:pPr>
      <w:bookmarkStart w:id="5" w:name="_Toc480471738"/>
      <w:r w:rsidRPr="000D1569">
        <w:rPr>
          <w:b/>
        </w:rPr>
        <w:t>CROISSANCE ET INNOVATION</w:t>
      </w:r>
      <w:bookmarkEnd w:id="5"/>
    </w:p>
    <w:p w:rsidR="003A4AB8" w:rsidRPr="000D1569" w:rsidRDefault="003A4AB8" w:rsidP="0089563A">
      <w:pPr>
        <w:widowControl w:val="0"/>
        <w:spacing w:line="276" w:lineRule="auto"/>
        <w:ind w:left="-567"/>
        <w:rPr>
          <w:kern w:val="28"/>
        </w:rPr>
      </w:pPr>
    </w:p>
    <w:p w:rsidR="006D7E2A" w:rsidRPr="000D1569" w:rsidRDefault="006D7E2A" w:rsidP="00A3275A">
      <w:pPr>
        <w:keepNext/>
        <w:widowControl w:val="0"/>
        <w:numPr>
          <w:ilvl w:val="0"/>
          <w:numId w:val="4"/>
        </w:numPr>
        <w:overflowPunct w:val="0"/>
        <w:autoSpaceDE w:val="0"/>
        <w:autoSpaceDN w:val="0"/>
        <w:adjustRightInd w:val="0"/>
        <w:spacing w:line="276" w:lineRule="auto"/>
        <w:ind w:left="567" w:hanging="283"/>
        <w:textAlignment w:val="baseline"/>
        <w:rPr>
          <w:rFonts w:eastAsia="Calibri"/>
          <w:b/>
          <w:i/>
          <w:sz w:val="28"/>
          <w:szCs w:val="28"/>
        </w:rPr>
      </w:pPr>
      <w:r w:rsidRPr="000D1569">
        <w:rPr>
          <w:b/>
          <w:i/>
          <w:sz w:val="28"/>
        </w:rPr>
        <w:t>Îles inclusives</w:t>
      </w:r>
    </w:p>
    <w:p w:rsidR="006D7E2A" w:rsidRPr="000D1569" w:rsidRDefault="006D7E2A" w:rsidP="00A3275A">
      <w:pPr>
        <w:keepNext/>
        <w:tabs>
          <w:tab w:val="center" w:pos="284"/>
        </w:tabs>
        <w:spacing w:line="276" w:lineRule="auto"/>
        <w:ind w:left="266" w:hanging="266"/>
        <w:rPr>
          <w:rFonts w:eastAsia="Calibri"/>
          <w:b/>
        </w:rPr>
      </w:pPr>
    </w:p>
    <w:p w:rsidR="006D7E2A" w:rsidRPr="000D1569" w:rsidRDefault="006D7E2A" w:rsidP="00A3275A">
      <w:pPr>
        <w:keepNext/>
        <w:tabs>
          <w:tab w:val="center" w:pos="284"/>
        </w:tabs>
        <w:spacing w:line="276" w:lineRule="auto"/>
        <w:ind w:left="266" w:hanging="266"/>
        <w:rPr>
          <w:rFonts w:eastAsia="Calibri"/>
        </w:rPr>
      </w:pPr>
      <w:r w:rsidRPr="000D1569">
        <w:rPr>
          <w:b/>
        </w:rPr>
        <w:t>Rapporteur:</w:t>
      </w:r>
      <w:r w:rsidRPr="000D1569">
        <w:tab/>
        <w:t>M. Stefano MALLIA (Employeurs – Malte)</w:t>
      </w:r>
    </w:p>
    <w:p w:rsidR="006D7E2A" w:rsidRPr="000D1569" w:rsidRDefault="006D7E2A" w:rsidP="00A3275A">
      <w:pPr>
        <w:keepNext/>
        <w:tabs>
          <w:tab w:val="center" w:pos="284"/>
        </w:tabs>
        <w:spacing w:line="276" w:lineRule="auto"/>
        <w:ind w:left="266" w:hanging="266"/>
        <w:rPr>
          <w:rFonts w:eastAsia="Calibri"/>
          <w:b/>
        </w:rPr>
      </w:pPr>
    </w:p>
    <w:p w:rsidR="00BC7DE7" w:rsidRPr="000D1569" w:rsidRDefault="006D7E2A" w:rsidP="00A3275A">
      <w:pPr>
        <w:keepNext/>
        <w:tabs>
          <w:tab w:val="center" w:pos="284"/>
          <w:tab w:val="left" w:pos="1701"/>
        </w:tabs>
        <w:spacing w:line="276" w:lineRule="auto"/>
        <w:ind w:left="266" w:hanging="266"/>
        <w:rPr>
          <w:rFonts w:eastAsia="Calibri"/>
        </w:rPr>
      </w:pPr>
      <w:r w:rsidRPr="000D1569">
        <w:rPr>
          <w:b/>
        </w:rPr>
        <w:t>Référence:</w:t>
      </w:r>
      <w:r w:rsidRPr="000D1569">
        <w:tab/>
        <w:t>Avis exploratoire à la demande de la présidence maltaise</w:t>
      </w:r>
    </w:p>
    <w:p w:rsidR="006D7E2A" w:rsidRPr="000D1569" w:rsidRDefault="006D7E2A" w:rsidP="00A3275A">
      <w:pPr>
        <w:keepNext/>
        <w:spacing w:line="276" w:lineRule="auto"/>
        <w:ind w:left="1701"/>
        <w:rPr>
          <w:rFonts w:eastAsia="Calibri"/>
        </w:rPr>
      </w:pPr>
      <w:r w:rsidRPr="000D1569">
        <w:t>EESC-2016-05508-00-00-AC-TRA</w:t>
      </w:r>
    </w:p>
    <w:p w:rsidR="006D7E2A" w:rsidRPr="000D1569" w:rsidRDefault="006D7E2A" w:rsidP="00A3275A">
      <w:pPr>
        <w:keepNext/>
        <w:keepLines/>
        <w:tabs>
          <w:tab w:val="center" w:pos="284"/>
        </w:tabs>
        <w:spacing w:line="276" w:lineRule="auto"/>
        <w:ind w:left="266" w:hanging="266"/>
        <w:rPr>
          <w:rFonts w:eastAsia="Calibri"/>
          <w:b/>
        </w:rPr>
      </w:pPr>
    </w:p>
    <w:p w:rsidR="006D7E2A" w:rsidRPr="000D1569" w:rsidRDefault="006D7E2A" w:rsidP="00A3275A">
      <w:pPr>
        <w:keepNext/>
        <w:spacing w:line="276" w:lineRule="auto"/>
        <w:ind w:left="-5"/>
        <w:rPr>
          <w:rFonts w:eastAsia="Calibri"/>
          <w:b/>
        </w:rPr>
      </w:pPr>
      <w:r w:rsidRPr="000D1569">
        <w:rPr>
          <w:b/>
        </w:rPr>
        <w:t>Points clés:</w:t>
      </w:r>
    </w:p>
    <w:p w:rsidR="006D7E2A" w:rsidRPr="000D1569" w:rsidRDefault="006D7E2A" w:rsidP="00E84F95">
      <w:pPr>
        <w:keepNext/>
        <w:tabs>
          <w:tab w:val="left" w:pos="770"/>
        </w:tabs>
        <w:spacing w:line="276" w:lineRule="auto"/>
        <w:ind w:left="1430" w:hanging="1430"/>
        <w:rPr>
          <w:rFonts w:eastAsia="Calibri"/>
          <w:bCs/>
          <w:iCs/>
        </w:rPr>
      </w:pPr>
    </w:p>
    <w:p w:rsidR="006D7E2A" w:rsidRPr="000D1569" w:rsidRDefault="006D7E2A" w:rsidP="00A3275A">
      <w:pPr>
        <w:spacing w:line="276" w:lineRule="auto"/>
        <w:rPr>
          <w:rFonts w:eastAsia="Calibri"/>
        </w:rPr>
      </w:pPr>
      <w:r w:rsidRPr="000D1569">
        <w:t>Le CESE estime:</w:t>
      </w:r>
    </w:p>
    <w:p w:rsidR="006D7E2A" w:rsidRPr="000D1569" w:rsidRDefault="006D7E2A" w:rsidP="00A3275A">
      <w:pPr>
        <w:spacing w:line="276" w:lineRule="auto"/>
        <w:rPr>
          <w:rFonts w:eastAsia="Calibri"/>
        </w:rPr>
      </w:pPr>
    </w:p>
    <w:p w:rsidR="006D7E2A" w:rsidRPr="000D1569" w:rsidRDefault="006D7E2A" w:rsidP="00A3275A">
      <w:pPr>
        <w:numPr>
          <w:ilvl w:val="0"/>
          <w:numId w:val="29"/>
        </w:numPr>
        <w:spacing w:line="276" w:lineRule="auto"/>
        <w:ind w:left="360"/>
        <w:contextualSpacing/>
      </w:pPr>
      <w:r w:rsidRPr="000D1569">
        <w:t>que l</w:t>
      </w:r>
      <w:r w:rsidR="006378F5" w:rsidRPr="000D1569">
        <w:t>’</w:t>
      </w:r>
      <w:r w:rsidRPr="000D1569">
        <w:t>UE doit déployer davantage d</w:t>
      </w:r>
      <w:r w:rsidR="006378F5" w:rsidRPr="000D1569">
        <w:t>’</w:t>
      </w:r>
      <w:r w:rsidRPr="000D1569">
        <w:t xml:space="preserve">efforts pour reconnaître la singularité des défis que les îles doivent relever; </w:t>
      </w:r>
    </w:p>
    <w:p w:rsidR="006D7E2A" w:rsidRPr="000D1569" w:rsidRDefault="006D7E2A" w:rsidP="00A3275A">
      <w:pPr>
        <w:numPr>
          <w:ilvl w:val="0"/>
          <w:numId w:val="29"/>
        </w:numPr>
        <w:spacing w:line="276" w:lineRule="auto"/>
        <w:ind w:left="360"/>
        <w:contextualSpacing/>
      </w:pPr>
      <w:r w:rsidRPr="000D1569">
        <w:t>que dans le cas des économies insulaires, il y a lieu d</w:t>
      </w:r>
      <w:r w:rsidR="006378F5" w:rsidRPr="000D1569">
        <w:t>’</w:t>
      </w:r>
      <w:r w:rsidRPr="000D1569">
        <w:t>agir avec une certaine souplesse au stade de la mise en œuvre pour ce qui est de certains des grands domaines d</w:t>
      </w:r>
      <w:r w:rsidR="006378F5" w:rsidRPr="000D1569">
        <w:t>’</w:t>
      </w:r>
      <w:r w:rsidRPr="000D1569">
        <w:t>intervention, comme la politique en matière de marché unique, de concurrence, de transport, de développement rural ou de pêche, ainsi que des initiatives et programmes de l</w:t>
      </w:r>
      <w:r w:rsidR="006378F5" w:rsidRPr="000D1569">
        <w:t>’</w:t>
      </w:r>
      <w:r w:rsidRPr="000D1569">
        <w:t>UE en faveur de l</w:t>
      </w:r>
      <w:r w:rsidR="006378F5" w:rsidRPr="000D1569">
        <w:t>’</w:t>
      </w:r>
      <w:r w:rsidRPr="000D1569">
        <w:t>éducation, de la formation, et des politiques de la jeunesse et des sports;</w:t>
      </w:r>
    </w:p>
    <w:p w:rsidR="006D7E2A" w:rsidRPr="000D1569" w:rsidRDefault="006D7E2A" w:rsidP="00A3275A">
      <w:pPr>
        <w:numPr>
          <w:ilvl w:val="0"/>
          <w:numId w:val="29"/>
        </w:numPr>
        <w:spacing w:line="276" w:lineRule="auto"/>
        <w:ind w:left="360"/>
        <w:contextualSpacing/>
      </w:pPr>
      <w:r w:rsidRPr="000D1569">
        <w:t>qu</w:t>
      </w:r>
      <w:r w:rsidR="006378F5" w:rsidRPr="000D1569">
        <w:t>’</w:t>
      </w:r>
      <w:r w:rsidRPr="000D1569">
        <w:t>il s</w:t>
      </w:r>
      <w:r w:rsidR="006378F5" w:rsidRPr="000D1569">
        <w:t>’</w:t>
      </w:r>
      <w:r w:rsidRPr="000D1569">
        <w:t>imposerait de réexaminer les critères qu</w:t>
      </w:r>
      <w:r w:rsidR="006378F5" w:rsidRPr="000D1569">
        <w:t>’</w:t>
      </w:r>
      <w:r w:rsidRPr="000D1569">
        <w:t xml:space="preserve">Eurostat utilise pour définir les régions insulaires; </w:t>
      </w:r>
    </w:p>
    <w:p w:rsidR="006D7E2A" w:rsidRPr="000D1569" w:rsidRDefault="006D7E2A" w:rsidP="00A3275A">
      <w:pPr>
        <w:numPr>
          <w:ilvl w:val="0"/>
          <w:numId w:val="29"/>
        </w:numPr>
        <w:spacing w:line="276" w:lineRule="auto"/>
        <w:ind w:left="360"/>
        <w:contextualSpacing/>
      </w:pPr>
      <w:r w:rsidRPr="000D1569">
        <w:t>qu</w:t>
      </w:r>
      <w:r w:rsidR="006378F5" w:rsidRPr="000D1569">
        <w:t>’</w:t>
      </w:r>
      <w:r w:rsidRPr="000D1569">
        <w:t>il convient d</w:t>
      </w:r>
      <w:r w:rsidR="006378F5" w:rsidRPr="000D1569">
        <w:t>’</w:t>
      </w:r>
      <w:r w:rsidRPr="000D1569">
        <w:t xml:space="preserve">accorder une attention particulière aux personnes handicapées et, plus généralement, à tous les défavorisés; </w:t>
      </w:r>
    </w:p>
    <w:p w:rsidR="006D7E2A" w:rsidRPr="000D1569" w:rsidRDefault="006D7E2A" w:rsidP="00A3275A">
      <w:pPr>
        <w:numPr>
          <w:ilvl w:val="0"/>
          <w:numId w:val="29"/>
        </w:numPr>
        <w:spacing w:line="276" w:lineRule="auto"/>
        <w:ind w:left="360"/>
        <w:contextualSpacing/>
      </w:pPr>
      <w:r w:rsidRPr="000D1569">
        <w:t>qu</w:t>
      </w:r>
      <w:r w:rsidR="006378F5" w:rsidRPr="000D1569">
        <w:t>’</w:t>
      </w:r>
      <w:r w:rsidRPr="000D1569">
        <w:t>il est capital d</w:t>
      </w:r>
      <w:r w:rsidR="006378F5" w:rsidRPr="000D1569">
        <w:t>’</w:t>
      </w:r>
      <w:r w:rsidRPr="000D1569">
        <w:t>accorder la priorité à l</w:t>
      </w:r>
      <w:r w:rsidR="006378F5" w:rsidRPr="000D1569">
        <w:t>’</w:t>
      </w:r>
      <w:r w:rsidRPr="000D1569">
        <w:t>accès aux services publics, à la promotion d</w:t>
      </w:r>
      <w:r w:rsidR="006378F5" w:rsidRPr="000D1569">
        <w:t>’</w:t>
      </w:r>
      <w:r w:rsidRPr="000D1569">
        <w:t>une croissance durable et à la stimulation du plein emploi, de la compétitivité et de la cohésion dans les îles européennes;</w:t>
      </w:r>
    </w:p>
    <w:p w:rsidR="006D7E2A" w:rsidRPr="000D1569" w:rsidRDefault="006D7E2A" w:rsidP="00A3275A">
      <w:pPr>
        <w:numPr>
          <w:ilvl w:val="0"/>
          <w:numId w:val="29"/>
        </w:numPr>
        <w:spacing w:line="276" w:lineRule="auto"/>
        <w:ind w:left="360"/>
        <w:contextualSpacing/>
      </w:pPr>
      <w:r w:rsidRPr="000D1569">
        <w:t>que les îles et les régions insulaires offrent souvent des occasions exceptionnelles pour l</w:t>
      </w:r>
      <w:r w:rsidR="006378F5" w:rsidRPr="000D1569">
        <w:t>’</w:t>
      </w:r>
      <w:r w:rsidRPr="000D1569">
        <w:t>installation de systèmes énergétiques propres – et qu</w:t>
      </w:r>
      <w:r w:rsidR="006378F5" w:rsidRPr="000D1569">
        <w:t>’</w:t>
      </w:r>
      <w:r w:rsidRPr="000D1569">
        <w:t>il convient d</w:t>
      </w:r>
      <w:r w:rsidR="006378F5" w:rsidRPr="000D1569">
        <w:t>’</w:t>
      </w:r>
      <w:r w:rsidRPr="000D1569">
        <w:t>appuyer tous les efforts que la Commission européenne déploie en ce sens et, plus spécifiquement, l</w:t>
      </w:r>
      <w:r w:rsidR="006378F5" w:rsidRPr="000D1569">
        <w:t>’</w:t>
      </w:r>
      <w:r w:rsidRPr="000D1569">
        <w:t xml:space="preserve">objectif de faire passer les îles européennes à des filières énergétiques propres à 100 %; </w:t>
      </w:r>
    </w:p>
    <w:p w:rsidR="00B85972" w:rsidRPr="000D1569" w:rsidRDefault="00B85972" w:rsidP="00A3275A">
      <w:pPr>
        <w:numPr>
          <w:ilvl w:val="0"/>
          <w:numId w:val="29"/>
        </w:numPr>
        <w:spacing w:line="276" w:lineRule="auto"/>
        <w:ind w:left="360"/>
        <w:contextualSpacing/>
      </w:pPr>
      <w:r w:rsidRPr="000D1569">
        <w:t>qu</w:t>
      </w:r>
      <w:r w:rsidR="006378F5" w:rsidRPr="000D1569">
        <w:t>’</w:t>
      </w:r>
      <w:r w:rsidRPr="000D1569">
        <w:t>il serait nécessaire de lancer une étude approfondie sur les surcoûts que doivent supporter les îles européennes;</w:t>
      </w:r>
    </w:p>
    <w:p w:rsidR="006D7E2A" w:rsidRPr="000D1569" w:rsidRDefault="006D7E2A" w:rsidP="00A3275A">
      <w:pPr>
        <w:numPr>
          <w:ilvl w:val="0"/>
          <w:numId w:val="29"/>
        </w:numPr>
        <w:spacing w:line="276" w:lineRule="auto"/>
        <w:ind w:left="360"/>
        <w:contextualSpacing/>
      </w:pPr>
      <w:r w:rsidRPr="000D1569">
        <w:t>que l</w:t>
      </w:r>
      <w:r w:rsidR="006378F5" w:rsidRPr="000D1569">
        <w:t>’</w:t>
      </w:r>
      <w:r w:rsidRPr="000D1569">
        <w:t>ensemble des régions ou États membres insulaires devraient pouvoir prétendre aux financements concernant les infrastructures dans le cadre de la politique de cohésion pour l</w:t>
      </w:r>
      <w:r w:rsidR="006378F5" w:rsidRPr="000D1569">
        <w:t>’</w:t>
      </w:r>
      <w:r w:rsidRPr="000D1569">
        <w:t xml:space="preserve">après-2020; </w:t>
      </w:r>
    </w:p>
    <w:p w:rsidR="006D7E2A" w:rsidRPr="000D1569" w:rsidRDefault="006D7E2A" w:rsidP="00A3275A">
      <w:pPr>
        <w:numPr>
          <w:ilvl w:val="0"/>
          <w:numId w:val="29"/>
        </w:numPr>
        <w:spacing w:line="276" w:lineRule="auto"/>
        <w:ind w:left="360"/>
        <w:contextualSpacing/>
      </w:pPr>
      <w:r w:rsidRPr="000D1569">
        <w:t>que la Commission devrait définir un cadre législatif plus approprié pour l</w:t>
      </w:r>
      <w:r w:rsidR="006378F5" w:rsidRPr="000D1569">
        <w:t>’</w:t>
      </w:r>
      <w:r w:rsidRPr="000D1569">
        <w:t>application des règles sur les aides d</w:t>
      </w:r>
      <w:r w:rsidR="006378F5" w:rsidRPr="000D1569">
        <w:t>’</w:t>
      </w:r>
      <w:r w:rsidRPr="000D1569">
        <w:t>État dans les îles et les régions insulaires;</w:t>
      </w:r>
    </w:p>
    <w:p w:rsidR="006D7E2A" w:rsidRPr="000D1569" w:rsidRDefault="006D7E2A" w:rsidP="00A3275A">
      <w:pPr>
        <w:numPr>
          <w:ilvl w:val="0"/>
          <w:numId w:val="29"/>
        </w:numPr>
        <w:spacing w:line="276" w:lineRule="auto"/>
        <w:ind w:left="360"/>
        <w:contextualSpacing/>
      </w:pPr>
      <w:r w:rsidRPr="000D1569">
        <w:t>qu</w:t>
      </w:r>
      <w:r w:rsidR="006378F5" w:rsidRPr="000D1569">
        <w:t>’</w:t>
      </w:r>
      <w:r w:rsidRPr="000D1569">
        <w:t>il est besoin d</w:t>
      </w:r>
      <w:r w:rsidR="006378F5" w:rsidRPr="000D1569">
        <w:t>’</w:t>
      </w:r>
      <w:r w:rsidRPr="000D1569">
        <w:t>intensifier la coordination grâce au groupe interservices de développement territorial et urbain de la Commission.</w:t>
      </w:r>
    </w:p>
    <w:p w:rsidR="006D7E2A" w:rsidRPr="000D1569" w:rsidRDefault="006D7E2A" w:rsidP="00A3275A">
      <w:pPr>
        <w:spacing w:line="276" w:lineRule="auto"/>
        <w:rPr>
          <w:rFonts w:eastAsia="Calibri"/>
          <w:b/>
          <w:i/>
        </w:rPr>
      </w:pPr>
    </w:p>
    <w:p w:rsidR="006D7E2A" w:rsidRPr="000D1569" w:rsidRDefault="006D7E2A" w:rsidP="00A3275A">
      <w:pPr>
        <w:tabs>
          <w:tab w:val="left" w:pos="770"/>
        </w:tabs>
        <w:spacing w:line="276" w:lineRule="auto"/>
        <w:rPr>
          <w:rFonts w:eastAsia="Calibri"/>
          <w:i/>
          <w:iCs/>
        </w:rPr>
      </w:pPr>
      <w:r w:rsidRPr="000D1569">
        <w:rPr>
          <w:b/>
          <w:i/>
        </w:rPr>
        <w:t>Contact:</w:t>
      </w:r>
      <w:r w:rsidRPr="000D1569">
        <w:rPr>
          <w:i/>
        </w:rPr>
        <w:t xml:space="preserve"> </w:t>
      </w:r>
      <w:r w:rsidRPr="000D1569">
        <w:tab/>
      </w:r>
      <w:r w:rsidRPr="000D1569">
        <w:rPr>
          <w:i/>
        </w:rPr>
        <w:t>M</w:t>
      </w:r>
      <w:r w:rsidRPr="000D1569">
        <w:rPr>
          <w:i/>
          <w:vertAlign w:val="superscript"/>
        </w:rPr>
        <w:t>me</w:t>
      </w:r>
      <w:r w:rsidRPr="000D1569">
        <w:rPr>
          <w:i/>
        </w:rPr>
        <w:t> Helena Polomik</w:t>
      </w:r>
    </w:p>
    <w:p w:rsidR="00C1115F" w:rsidRPr="000D1569" w:rsidRDefault="006D7E2A" w:rsidP="00A3275A">
      <w:pPr>
        <w:spacing w:line="276" w:lineRule="auto"/>
        <w:ind w:left="1134"/>
        <w:rPr>
          <w:rFonts w:eastAsia="Calibri"/>
          <w:iCs/>
        </w:rPr>
      </w:pPr>
      <w:r w:rsidRPr="000D1569">
        <w:rPr>
          <w:i/>
        </w:rPr>
        <w:t xml:space="preserve">(Tél.: 00 32 2 546 9063 – courriel: </w:t>
      </w:r>
      <w:hyperlink r:id="rId24">
        <w:r w:rsidRPr="000D1569">
          <w:rPr>
            <w:rStyle w:val="Hyperlink"/>
            <w:i/>
          </w:rPr>
          <w:t>Helena.Polomik@eesc.europa.eu</w:t>
        </w:r>
      </w:hyperlink>
      <w:r w:rsidRPr="000D1569">
        <w:rPr>
          <w:i/>
        </w:rPr>
        <w:t>)</w:t>
      </w:r>
    </w:p>
    <w:p w:rsidR="003A4AB8" w:rsidRPr="000D1569" w:rsidRDefault="003A4AB8" w:rsidP="00A3275A">
      <w:pPr>
        <w:spacing w:line="276" w:lineRule="auto"/>
        <w:rPr>
          <w:rFonts w:eastAsia="Calibri"/>
          <w:iCs/>
        </w:rPr>
      </w:pPr>
    </w:p>
    <w:p w:rsidR="00C1115F" w:rsidRPr="000D1569" w:rsidRDefault="00C1115F" w:rsidP="004C07BF">
      <w:pPr>
        <w:spacing w:line="240" w:lineRule="auto"/>
        <w:rPr>
          <w:rFonts w:eastAsia="Calibri"/>
          <w:iCs/>
        </w:rPr>
      </w:pPr>
    </w:p>
    <w:p w:rsidR="00E6566F" w:rsidRPr="000D1569" w:rsidRDefault="00E6566F" w:rsidP="00A3275A">
      <w:pPr>
        <w:pStyle w:val="Heading1"/>
        <w:keepNext/>
        <w:spacing w:line="276" w:lineRule="auto"/>
        <w:rPr>
          <w:b/>
        </w:rPr>
      </w:pPr>
      <w:bookmarkStart w:id="6" w:name="_Toc477938711"/>
      <w:bookmarkStart w:id="7" w:name="_Toc480471739"/>
      <w:r w:rsidRPr="000D1569">
        <w:rPr>
          <w:b/>
        </w:rPr>
        <w:t>GOUVERNANCE ÉCONOMIQUE/INSTRUMENTS FINANCIERS/FISCALITÉ</w:t>
      </w:r>
      <w:bookmarkEnd w:id="6"/>
      <w:bookmarkEnd w:id="7"/>
    </w:p>
    <w:p w:rsidR="00BC5473" w:rsidRPr="000D1569" w:rsidRDefault="00BC5473" w:rsidP="00A3275A">
      <w:pPr>
        <w:keepNext/>
        <w:spacing w:line="276" w:lineRule="auto"/>
      </w:pPr>
    </w:p>
    <w:p w:rsidR="006D7E2A" w:rsidRPr="000D1569" w:rsidRDefault="006D7E2A" w:rsidP="00A3275A">
      <w:pPr>
        <w:keepNext/>
        <w:widowControl w:val="0"/>
        <w:numPr>
          <w:ilvl w:val="0"/>
          <w:numId w:val="4"/>
        </w:numPr>
        <w:overflowPunct w:val="0"/>
        <w:autoSpaceDE w:val="0"/>
        <w:autoSpaceDN w:val="0"/>
        <w:adjustRightInd w:val="0"/>
        <w:spacing w:line="276" w:lineRule="auto"/>
        <w:ind w:left="567" w:hanging="283"/>
        <w:textAlignment w:val="baseline"/>
        <w:rPr>
          <w:rFonts w:eastAsia="Calibri"/>
          <w:b/>
          <w:i/>
          <w:sz w:val="28"/>
          <w:szCs w:val="28"/>
        </w:rPr>
      </w:pPr>
      <w:r w:rsidRPr="000D1569">
        <w:rPr>
          <w:b/>
          <w:i/>
          <w:sz w:val="28"/>
        </w:rPr>
        <w:t>Redressement et résolution des contreparties centrales</w:t>
      </w:r>
    </w:p>
    <w:p w:rsidR="006D7E2A" w:rsidRPr="000D1569" w:rsidRDefault="006D7E2A" w:rsidP="00A3275A">
      <w:pPr>
        <w:keepNext/>
        <w:tabs>
          <w:tab w:val="center" w:pos="284"/>
        </w:tabs>
        <w:spacing w:line="276" w:lineRule="auto"/>
        <w:ind w:left="266" w:hanging="266"/>
        <w:rPr>
          <w:rFonts w:eastAsia="Calibri"/>
          <w:b/>
        </w:rPr>
      </w:pPr>
    </w:p>
    <w:p w:rsidR="006D7E2A" w:rsidRPr="000D1569" w:rsidRDefault="006D7E2A" w:rsidP="00A3275A">
      <w:pPr>
        <w:tabs>
          <w:tab w:val="center" w:pos="284"/>
        </w:tabs>
        <w:spacing w:line="276" w:lineRule="auto"/>
        <w:ind w:left="266" w:hanging="266"/>
        <w:rPr>
          <w:rFonts w:eastAsia="Calibri"/>
        </w:rPr>
      </w:pPr>
      <w:r w:rsidRPr="000D1569">
        <w:rPr>
          <w:b/>
        </w:rPr>
        <w:t>Rapporteur:</w:t>
      </w:r>
      <w:r w:rsidRPr="000D1569">
        <w:tab/>
        <w:t>M. Antonio GARCÍA DEL RIEGO (Employeurs – Espagne)</w:t>
      </w:r>
    </w:p>
    <w:p w:rsidR="006D7E2A" w:rsidRPr="000D1569" w:rsidRDefault="006D7E2A" w:rsidP="00A3275A">
      <w:pPr>
        <w:tabs>
          <w:tab w:val="center" w:pos="284"/>
        </w:tabs>
        <w:spacing w:line="276" w:lineRule="auto"/>
        <w:ind w:left="266" w:hanging="266"/>
        <w:rPr>
          <w:rFonts w:eastAsia="Calibri"/>
        </w:rPr>
      </w:pPr>
    </w:p>
    <w:p w:rsidR="00D81307" w:rsidRPr="000D1569" w:rsidRDefault="006D7E2A" w:rsidP="00A3275A">
      <w:pPr>
        <w:tabs>
          <w:tab w:val="center" w:pos="284"/>
          <w:tab w:val="left" w:pos="1701"/>
        </w:tabs>
        <w:spacing w:line="276" w:lineRule="auto"/>
        <w:ind w:left="266" w:hanging="266"/>
        <w:rPr>
          <w:rFonts w:eastAsia="Calibri"/>
        </w:rPr>
      </w:pPr>
      <w:r w:rsidRPr="000D1569">
        <w:rPr>
          <w:b/>
        </w:rPr>
        <w:t>Référence:</w:t>
      </w:r>
      <w:r w:rsidRPr="000D1569">
        <w:tab/>
        <w:t>COM(2016) 856 final – 2016/0365 (COD)</w:t>
      </w:r>
    </w:p>
    <w:p w:rsidR="006D7E2A" w:rsidRPr="000D1569" w:rsidRDefault="006D7E2A" w:rsidP="00A3275A">
      <w:pPr>
        <w:spacing w:line="276" w:lineRule="auto"/>
        <w:ind w:left="1701"/>
        <w:rPr>
          <w:rFonts w:eastAsia="Calibri"/>
        </w:rPr>
      </w:pPr>
      <w:r w:rsidRPr="000D1569">
        <w:t>EESC-2016-06466-00-00-AC-TRA</w:t>
      </w:r>
    </w:p>
    <w:p w:rsidR="006D7E2A" w:rsidRPr="000D1569" w:rsidRDefault="006D7E2A" w:rsidP="00A3275A">
      <w:pPr>
        <w:tabs>
          <w:tab w:val="center" w:pos="284"/>
        </w:tabs>
        <w:spacing w:line="276" w:lineRule="auto"/>
        <w:ind w:left="266" w:hanging="266"/>
        <w:rPr>
          <w:rFonts w:eastAsia="Calibri"/>
        </w:rPr>
      </w:pPr>
    </w:p>
    <w:p w:rsidR="006D7E2A" w:rsidRPr="000D1569" w:rsidRDefault="006D7E2A" w:rsidP="00A3275A">
      <w:pPr>
        <w:keepNext/>
        <w:keepLines/>
        <w:tabs>
          <w:tab w:val="center" w:pos="284"/>
        </w:tabs>
        <w:spacing w:line="276" w:lineRule="auto"/>
        <w:ind w:left="266" w:hanging="266"/>
        <w:rPr>
          <w:rFonts w:eastAsia="Calibri"/>
          <w:b/>
        </w:rPr>
      </w:pPr>
      <w:r w:rsidRPr="000D1569">
        <w:rPr>
          <w:b/>
        </w:rPr>
        <w:t>Points clés:</w:t>
      </w:r>
    </w:p>
    <w:p w:rsidR="00E84F95" w:rsidRPr="000D1569" w:rsidRDefault="00E84F95" w:rsidP="00E84F95">
      <w:pPr>
        <w:rPr>
          <w:rFonts w:eastAsia="Calibri"/>
        </w:rPr>
      </w:pPr>
    </w:p>
    <w:p w:rsidR="006D7E2A" w:rsidRPr="000D1569" w:rsidRDefault="006D7E2A">
      <w:pPr>
        <w:spacing w:line="276" w:lineRule="auto"/>
        <w:rPr>
          <w:rFonts w:eastAsia="Calibri"/>
        </w:rPr>
      </w:pPr>
      <w:r w:rsidRPr="000D1569">
        <w:t xml:space="preserve">Le CESE: </w:t>
      </w:r>
    </w:p>
    <w:p w:rsidR="006D7E2A" w:rsidRPr="000D1569" w:rsidRDefault="006D7E2A" w:rsidP="00A3275A">
      <w:pPr>
        <w:rPr>
          <w:rFonts w:eastAsia="Calibri"/>
        </w:rPr>
      </w:pPr>
    </w:p>
    <w:p w:rsidR="006D7E2A" w:rsidRPr="000D1569" w:rsidRDefault="006D7E2A" w:rsidP="00A3275A">
      <w:pPr>
        <w:numPr>
          <w:ilvl w:val="0"/>
          <w:numId w:val="28"/>
        </w:numPr>
        <w:spacing w:line="276" w:lineRule="auto"/>
        <w:ind w:left="360"/>
        <w:rPr>
          <w:rFonts w:eastAsia="Calibri"/>
        </w:rPr>
      </w:pPr>
      <w:r w:rsidRPr="000D1569">
        <w:t>accueille favorablement le «cadre pour le redressement et la résolution des contreparties centrales» et souligne qu</w:t>
      </w:r>
      <w:r w:rsidR="006378F5" w:rsidRPr="000D1569">
        <w:t>’</w:t>
      </w:r>
      <w:r w:rsidRPr="000D1569">
        <w:t>il est crucial de mettre en œuvre la décision déjà prise par le G20 concernant la gouvernance mondiale des contreparties centrales, ainsi que les recommandations spécifiques émises par le Conseil de stabilité financière (CSF), pour les convertir en une législation harmonisée et contraignante, qui trace les contours d</w:t>
      </w:r>
      <w:r w:rsidR="006378F5" w:rsidRPr="000D1569">
        <w:t>’</w:t>
      </w:r>
      <w:r w:rsidRPr="000D1569">
        <w:t>un cadre solide et sûr où la concurrence peut s</w:t>
      </w:r>
      <w:r w:rsidR="006378F5" w:rsidRPr="000D1569">
        <w:t>’</w:t>
      </w:r>
      <w:r w:rsidRPr="000D1569">
        <w:t>exercer à armes égales au plan mondial;</w:t>
      </w:r>
    </w:p>
    <w:p w:rsidR="006D7E2A" w:rsidRPr="000D1569" w:rsidRDefault="006D7E2A">
      <w:pPr>
        <w:spacing w:line="276" w:lineRule="auto"/>
        <w:ind w:left="720"/>
        <w:rPr>
          <w:rFonts w:eastAsia="Calibri"/>
        </w:rPr>
      </w:pPr>
    </w:p>
    <w:p w:rsidR="006D7E2A" w:rsidRPr="000D1569" w:rsidRDefault="006D7E2A" w:rsidP="00A3275A">
      <w:pPr>
        <w:numPr>
          <w:ilvl w:val="0"/>
          <w:numId w:val="28"/>
        </w:numPr>
        <w:spacing w:line="276" w:lineRule="auto"/>
        <w:ind w:left="360"/>
        <w:rPr>
          <w:rFonts w:eastAsia="Calibri"/>
        </w:rPr>
      </w:pPr>
      <w:r w:rsidRPr="000D1569">
        <w:t>appelle de ses vœux la flexibilité nécessaire pour adapter le règlement proposé aux évolutions ultérieures du consensus international sur le régime des contreparties centrales, en l</w:t>
      </w:r>
      <w:r w:rsidR="006378F5" w:rsidRPr="000D1569">
        <w:t>’</w:t>
      </w:r>
      <w:r w:rsidRPr="000D1569">
        <w:t>occurrence les recommandations du CSF;</w:t>
      </w:r>
    </w:p>
    <w:p w:rsidR="0089563A" w:rsidRPr="000D1569" w:rsidRDefault="0089563A">
      <w:pPr>
        <w:spacing w:line="276" w:lineRule="auto"/>
        <w:ind w:left="720"/>
        <w:rPr>
          <w:rFonts w:eastAsia="Calibri"/>
        </w:rPr>
      </w:pPr>
    </w:p>
    <w:p w:rsidR="006D7E2A" w:rsidRPr="000D1569" w:rsidRDefault="006D7E2A" w:rsidP="00A3275A">
      <w:pPr>
        <w:numPr>
          <w:ilvl w:val="0"/>
          <w:numId w:val="28"/>
        </w:numPr>
        <w:spacing w:line="276" w:lineRule="auto"/>
        <w:ind w:left="360"/>
        <w:rPr>
          <w:rFonts w:eastAsia="Calibri"/>
        </w:rPr>
      </w:pPr>
      <w:r w:rsidRPr="000D1569">
        <w:t>estime que s</w:t>
      </w:r>
      <w:r w:rsidR="006378F5" w:rsidRPr="000D1569">
        <w:t>’</w:t>
      </w:r>
      <w:r w:rsidRPr="000D1569">
        <w:t>il n</w:t>
      </w:r>
      <w:r w:rsidR="006378F5" w:rsidRPr="000D1569">
        <w:t>’</w:t>
      </w:r>
      <w:r w:rsidRPr="000D1569">
        <w:t>existe qu</w:t>
      </w:r>
      <w:r w:rsidR="006378F5" w:rsidRPr="000D1569">
        <w:t>’</w:t>
      </w:r>
      <w:r w:rsidRPr="000D1569">
        <w:t>une seule autorité de surveillance et une unique autorité de résolution européenne pour les contreparties centrales, elles garantiront que la nouvelle réglementation est appliquée d</w:t>
      </w:r>
      <w:r w:rsidR="006378F5" w:rsidRPr="000D1569">
        <w:t>’</w:t>
      </w:r>
      <w:r w:rsidRPr="000D1569">
        <w:t>une manière optimale et normalisée;</w:t>
      </w:r>
    </w:p>
    <w:p w:rsidR="006D7E2A" w:rsidRPr="000D1569" w:rsidRDefault="006D7E2A">
      <w:pPr>
        <w:spacing w:line="276" w:lineRule="auto"/>
        <w:ind w:left="720"/>
        <w:rPr>
          <w:rFonts w:eastAsia="Calibri"/>
        </w:rPr>
      </w:pPr>
    </w:p>
    <w:p w:rsidR="006D7E2A" w:rsidRPr="000D1569" w:rsidRDefault="006D7E2A" w:rsidP="00A3275A">
      <w:pPr>
        <w:numPr>
          <w:ilvl w:val="0"/>
          <w:numId w:val="28"/>
        </w:numPr>
        <w:spacing w:line="276" w:lineRule="auto"/>
        <w:ind w:left="360"/>
        <w:rPr>
          <w:rFonts w:eastAsia="Calibri"/>
        </w:rPr>
      </w:pPr>
      <w:r w:rsidRPr="000D1569">
        <w:t>recommande fortement d</w:t>
      </w:r>
      <w:r w:rsidR="006378F5" w:rsidRPr="000D1569">
        <w:t>’</w:t>
      </w:r>
      <w:r w:rsidRPr="000D1569">
        <w:t>envisager d</w:t>
      </w:r>
      <w:r w:rsidR="006378F5" w:rsidRPr="000D1569">
        <w:t>’</w:t>
      </w:r>
      <w:r w:rsidRPr="000D1569">
        <w:t>utiliser ou d</w:t>
      </w:r>
      <w:r w:rsidR="006378F5" w:rsidRPr="000D1569">
        <w:t>’</w:t>
      </w:r>
      <w:r w:rsidRPr="000D1569">
        <w:t>étendre le mandat de la Banque centrale européenne (BCE) pour qu</w:t>
      </w:r>
      <w:r w:rsidR="006378F5" w:rsidRPr="000D1569">
        <w:t>’</w:t>
      </w:r>
      <w:r w:rsidRPr="000D1569">
        <w:t>elle devienne tout à la fois l</w:t>
      </w:r>
      <w:r w:rsidR="006378F5" w:rsidRPr="000D1569">
        <w:t>’</w:t>
      </w:r>
      <w:r w:rsidRPr="000D1569">
        <w:t>autorité européenne centrale pour la surveillance en matière de contreparties centrales, sous l</w:t>
      </w:r>
      <w:r w:rsidR="006378F5" w:rsidRPr="000D1569">
        <w:t>’</w:t>
      </w:r>
      <w:r w:rsidRPr="000D1569">
        <w:t>égide du mécanisme de surveillance unique, et l</w:t>
      </w:r>
      <w:r w:rsidR="006378F5" w:rsidRPr="000D1569">
        <w:t>’</w:t>
      </w:r>
      <w:r w:rsidRPr="000D1569">
        <w:t>autorité centrale de résolution, sous l</w:t>
      </w:r>
      <w:r w:rsidR="006378F5" w:rsidRPr="000D1569">
        <w:t>’</w:t>
      </w:r>
      <w:r w:rsidRPr="000D1569">
        <w:t>égide de la BCE et l</w:t>
      </w:r>
      <w:r w:rsidR="006378F5" w:rsidRPr="000D1569">
        <w:t>’</w:t>
      </w:r>
      <w:r w:rsidRPr="000D1569">
        <w:t>Eurosystème;</w:t>
      </w:r>
    </w:p>
    <w:p w:rsidR="0089563A" w:rsidRPr="000D1569" w:rsidRDefault="0089563A">
      <w:pPr>
        <w:spacing w:line="276" w:lineRule="auto"/>
        <w:ind w:left="720"/>
        <w:rPr>
          <w:rFonts w:eastAsia="Calibri"/>
        </w:rPr>
      </w:pPr>
    </w:p>
    <w:p w:rsidR="006D7E2A" w:rsidRPr="000D1569" w:rsidRDefault="006D7E2A" w:rsidP="00A3275A">
      <w:pPr>
        <w:numPr>
          <w:ilvl w:val="0"/>
          <w:numId w:val="28"/>
        </w:numPr>
        <w:spacing w:line="276" w:lineRule="auto"/>
        <w:ind w:left="360"/>
        <w:rPr>
          <w:rFonts w:eastAsia="Calibri"/>
        </w:rPr>
      </w:pPr>
      <w:r w:rsidRPr="000D1569">
        <w:t>demande d</w:t>
      </w:r>
      <w:r w:rsidR="006378F5" w:rsidRPr="000D1569">
        <w:t>’</w:t>
      </w:r>
      <w:r w:rsidRPr="000D1569">
        <w:t>exclure que des contreparties centrales, en particulier de pays tiers, soient renflouées avec l</w:t>
      </w:r>
      <w:r w:rsidR="006378F5" w:rsidRPr="000D1569">
        <w:t>’</w:t>
      </w:r>
      <w:r w:rsidRPr="000D1569">
        <w:t>argent du contribuable. La possibilité, actuellement reprise dans la proposition, qu</w:t>
      </w:r>
      <w:r w:rsidR="006378F5" w:rsidRPr="000D1569">
        <w:t>’</w:t>
      </w:r>
      <w:r w:rsidRPr="000D1569">
        <w:t>une aide publique soit exceptionnellement octroyée dans certaines conditions pourrait créer une situation d</w:t>
      </w:r>
      <w:r w:rsidR="006378F5" w:rsidRPr="000D1569">
        <w:t>’</w:t>
      </w:r>
      <w:r w:rsidRPr="000D1569">
        <w:t xml:space="preserve">aléa moral; </w:t>
      </w:r>
    </w:p>
    <w:p w:rsidR="0089563A" w:rsidRPr="000D1569" w:rsidRDefault="0089563A">
      <w:pPr>
        <w:spacing w:line="276" w:lineRule="auto"/>
        <w:ind w:left="720"/>
        <w:rPr>
          <w:rFonts w:eastAsia="Calibri"/>
        </w:rPr>
      </w:pPr>
    </w:p>
    <w:p w:rsidR="006D7E2A" w:rsidRPr="000D1569" w:rsidRDefault="006D7E2A" w:rsidP="00A3275A">
      <w:pPr>
        <w:numPr>
          <w:ilvl w:val="0"/>
          <w:numId w:val="28"/>
        </w:numPr>
        <w:spacing w:line="276" w:lineRule="auto"/>
        <w:ind w:left="360"/>
      </w:pPr>
      <w:r w:rsidRPr="000D1569">
        <w:t>juge qu</w:t>
      </w:r>
      <w:r w:rsidR="006378F5" w:rsidRPr="000D1569">
        <w:t>’</w:t>
      </w:r>
      <w:r w:rsidRPr="000D1569">
        <w:t>il conviendrait d</w:t>
      </w:r>
      <w:r w:rsidR="006378F5" w:rsidRPr="000D1569">
        <w:t>’</w:t>
      </w:r>
      <w:r w:rsidRPr="000D1569">
        <w:t>étudier attentivement comment les contreparties non financières (CNF) et les actifs clientèle distincts au sein des parties prenantes indirectes de la compensation pourraient être affectés.</w:t>
      </w:r>
    </w:p>
    <w:p w:rsidR="006D7E2A" w:rsidRPr="000D1569" w:rsidRDefault="006D7E2A" w:rsidP="00A3275A">
      <w:pPr>
        <w:spacing w:line="276" w:lineRule="auto"/>
        <w:rPr>
          <w:rFonts w:eastAsia="Calibri"/>
        </w:rPr>
      </w:pPr>
    </w:p>
    <w:p w:rsidR="006D7E2A" w:rsidRPr="000D1569" w:rsidRDefault="006D7E2A" w:rsidP="00A3275A">
      <w:pPr>
        <w:spacing w:line="276" w:lineRule="auto"/>
        <w:rPr>
          <w:rFonts w:eastAsia="Calibri"/>
          <w:i/>
        </w:rPr>
      </w:pPr>
      <w:r w:rsidRPr="000D1569">
        <w:rPr>
          <w:b/>
          <w:i/>
        </w:rPr>
        <w:t>Contact:</w:t>
      </w:r>
      <w:r w:rsidRPr="000D1569">
        <w:rPr>
          <w:i/>
        </w:rPr>
        <w:t xml:space="preserve"> </w:t>
      </w:r>
      <w:r w:rsidRPr="000D1569">
        <w:tab/>
      </w:r>
      <w:r w:rsidRPr="000D1569">
        <w:rPr>
          <w:i/>
        </w:rPr>
        <w:t>M. Gerald Klec</w:t>
      </w:r>
    </w:p>
    <w:p w:rsidR="006D7E2A" w:rsidRPr="000D1569" w:rsidRDefault="006D7E2A" w:rsidP="00A3275A">
      <w:pPr>
        <w:spacing w:line="276" w:lineRule="auto"/>
        <w:ind w:left="1134"/>
        <w:rPr>
          <w:rFonts w:eastAsia="Calibri"/>
          <w:i/>
        </w:rPr>
      </w:pPr>
      <w:r w:rsidRPr="000D1569">
        <w:rPr>
          <w:i/>
        </w:rPr>
        <w:t xml:space="preserve">(Tél.: 00 32 2 546 9909 – courriel: </w:t>
      </w:r>
      <w:hyperlink r:id="rId25">
        <w:r w:rsidRPr="000D1569">
          <w:rPr>
            <w:rStyle w:val="Hyperlink"/>
            <w:i/>
          </w:rPr>
          <w:t>gerald.klec@eesc.europa.eu</w:t>
        </w:r>
      </w:hyperlink>
      <w:r w:rsidRPr="000D1569">
        <w:rPr>
          <w:i/>
        </w:rPr>
        <w:t>)</w:t>
      </w:r>
    </w:p>
    <w:p w:rsidR="006D7E2A" w:rsidRPr="000D1569" w:rsidRDefault="006D7E2A" w:rsidP="00A3275A">
      <w:pPr>
        <w:spacing w:line="276" w:lineRule="auto"/>
        <w:rPr>
          <w:rFonts w:eastAsia="Calibri"/>
          <w:b/>
          <w:iCs/>
          <w:highlight w:val="yellow"/>
          <w:u w:val="single"/>
        </w:rPr>
      </w:pPr>
    </w:p>
    <w:p w:rsidR="006D7E2A" w:rsidRPr="000D1569" w:rsidRDefault="006D7E2A" w:rsidP="00A3275A">
      <w:pPr>
        <w:widowControl w:val="0"/>
        <w:numPr>
          <w:ilvl w:val="0"/>
          <w:numId w:val="32"/>
        </w:numPr>
        <w:overflowPunct w:val="0"/>
        <w:autoSpaceDE w:val="0"/>
        <w:autoSpaceDN w:val="0"/>
        <w:adjustRightInd w:val="0"/>
        <w:spacing w:line="276" w:lineRule="auto"/>
        <w:ind w:left="567"/>
        <w:textAlignment w:val="baseline"/>
        <w:rPr>
          <w:rFonts w:eastAsia="Calibri"/>
          <w:b/>
          <w:bCs/>
          <w:i/>
          <w:iCs/>
          <w:sz w:val="28"/>
          <w:szCs w:val="28"/>
        </w:rPr>
      </w:pPr>
      <w:r w:rsidRPr="000D1569">
        <w:rPr>
          <w:b/>
          <w:i/>
          <w:sz w:val="28"/>
        </w:rPr>
        <w:t>Cadre réglementaire applicable aux services financiers de l</w:t>
      </w:r>
      <w:r w:rsidR="006378F5" w:rsidRPr="000D1569">
        <w:rPr>
          <w:b/>
          <w:i/>
          <w:sz w:val="28"/>
        </w:rPr>
        <w:t>’</w:t>
      </w:r>
      <w:r w:rsidRPr="000D1569">
        <w:rPr>
          <w:b/>
          <w:i/>
          <w:sz w:val="28"/>
        </w:rPr>
        <w:t>UE</w:t>
      </w:r>
    </w:p>
    <w:p w:rsidR="006D7E2A" w:rsidRPr="000D1569" w:rsidRDefault="006D7E2A" w:rsidP="00A3275A">
      <w:pPr>
        <w:spacing w:line="276" w:lineRule="auto"/>
        <w:ind w:firstLine="17"/>
        <w:rPr>
          <w:rFonts w:eastAsia="Calibri"/>
        </w:rPr>
      </w:pPr>
    </w:p>
    <w:p w:rsidR="006D7E2A" w:rsidRPr="000D1569" w:rsidRDefault="006D7E2A" w:rsidP="00A3275A">
      <w:pPr>
        <w:spacing w:line="276" w:lineRule="auto"/>
        <w:rPr>
          <w:rFonts w:eastAsia="Calibri"/>
        </w:rPr>
      </w:pPr>
      <w:r w:rsidRPr="000D1569">
        <w:rPr>
          <w:b/>
        </w:rPr>
        <w:t>Rapporteure:</w:t>
      </w:r>
      <w:r w:rsidRPr="000D1569">
        <w:tab/>
        <w:t>M</w:t>
      </w:r>
      <w:r w:rsidRPr="000D1569">
        <w:rPr>
          <w:vertAlign w:val="superscript"/>
        </w:rPr>
        <w:t>me</w:t>
      </w:r>
      <w:r w:rsidRPr="000D1569">
        <w:t> Milena ANGELOVA (Employeurs – Bulgarie)</w:t>
      </w:r>
    </w:p>
    <w:p w:rsidR="006D7E2A" w:rsidRPr="000D1569" w:rsidRDefault="006D7E2A" w:rsidP="00A3275A">
      <w:pPr>
        <w:spacing w:line="276" w:lineRule="auto"/>
        <w:rPr>
          <w:rFonts w:eastAsia="Calibri"/>
        </w:rPr>
      </w:pPr>
    </w:p>
    <w:p w:rsidR="004C07BF" w:rsidRPr="000D1569" w:rsidRDefault="006D7E2A" w:rsidP="00A3275A">
      <w:pPr>
        <w:tabs>
          <w:tab w:val="left" w:pos="1701"/>
        </w:tabs>
        <w:spacing w:line="276" w:lineRule="auto"/>
        <w:ind w:left="-5"/>
        <w:rPr>
          <w:rFonts w:eastAsia="Calibri"/>
        </w:rPr>
      </w:pPr>
      <w:r w:rsidRPr="000D1569">
        <w:rPr>
          <w:b/>
        </w:rPr>
        <w:t>Référence:</w:t>
      </w:r>
      <w:r w:rsidRPr="000D1569">
        <w:tab/>
        <w:t>COM(2016) 855 final</w:t>
      </w:r>
    </w:p>
    <w:p w:rsidR="006D7E2A" w:rsidRPr="000D1569" w:rsidRDefault="006D7E2A" w:rsidP="00A3275A">
      <w:pPr>
        <w:spacing w:line="276" w:lineRule="auto"/>
        <w:ind w:left="1701"/>
        <w:rPr>
          <w:rFonts w:eastAsia="Calibri"/>
          <w:b/>
        </w:rPr>
      </w:pPr>
      <w:r w:rsidRPr="000D1569">
        <w:t>ESC-2016-06465-00-00-AC-TRA</w:t>
      </w:r>
    </w:p>
    <w:p w:rsidR="006D7E2A" w:rsidRPr="000D1569" w:rsidRDefault="006D7E2A" w:rsidP="00A3275A">
      <w:pPr>
        <w:spacing w:line="276" w:lineRule="auto"/>
        <w:ind w:left="-5"/>
        <w:rPr>
          <w:rFonts w:eastAsia="Calibri"/>
          <w:b/>
        </w:rPr>
      </w:pPr>
    </w:p>
    <w:p w:rsidR="006D7E2A" w:rsidRPr="000D1569" w:rsidRDefault="006D7E2A" w:rsidP="00A3275A">
      <w:pPr>
        <w:spacing w:line="276" w:lineRule="auto"/>
        <w:ind w:left="-5"/>
        <w:rPr>
          <w:rFonts w:eastAsia="Calibri"/>
          <w:b/>
        </w:rPr>
      </w:pPr>
      <w:r w:rsidRPr="000D1569">
        <w:rPr>
          <w:b/>
        </w:rPr>
        <w:t>Points clés:</w:t>
      </w:r>
    </w:p>
    <w:p w:rsidR="006D7E2A" w:rsidRPr="000D1569" w:rsidRDefault="006D7E2A" w:rsidP="00A3275A"/>
    <w:p w:rsidR="006D7E2A" w:rsidRPr="000D1569" w:rsidRDefault="006D7E2A" w:rsidP="00A3275A">
      <w:pPr>
        <w:spacing w:line="276" w:lineRule="auto"/>
        <w:rPr>
          <w:rFonts w:eastAsia="Calibri"/>
        </w:rPr>
      </w:pPr>
      <w:r w:rsidRPr="000D1569">
        <w:t xml:space="preserve">Le CESE: </w:t>
      </w:r>
    </w:p>
    <w:p w:rsidR="006D7E2A" w:rsidRPr="000D1569" w:rsidRDefault="006D7E2A" w:rsidP="00A3275A">
      <w:pPr>
        <w:spacing w:line="276" w:lineRule="auto"/>
        <w:rPr>
          <w:rFonts w:eastAsia="Calibri"/>
        </w:rPr>
      </w:pPr>
    </w:p>
    <w:p w:rsidR="006D7E2A" w:rsidRPr="000D1569"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0D1569">
        <w:t>se félicite qu</w:t>
      </w:r>
      <w:r w:rsidR="006378F5" w:rsidRPr="000D1569">
        <w:t>’</w:t>
      </w:r>
      <w:r w:rsidRPr="000D1569">
        <w:t>un appel à témoignages soit lancé, s</w:t>
      </w:r>
      <w:r w:rsidR="006378F5" w:rsidRPr="000D1569">
        <w:t>’</w:t>
      </w:r>
      <w:r w:rsidRPr="000D1569">
        <w:t>agissant d</w:t>
      </w:r>
      <w:r w:rsidR="006378F5" w:rsidRPr="000D1569">
        <w:t>’</w:t>
      </w:r>
      <w:r w:rsidRPr="000D1569">
        <w:t>un instrument novateur, instructif et bénéfique pour évaluer l</w:t>
      </w:r>
      <w:r w:rsidR="006378F5" w:rsidRPr="000D1569">
        <w:t>’</w:t>
      </w:r>
      <w:r w:rsidRPr="000D1569">
        <w:t>impact produit à l</w:t>
      </w:r>
      <w:r w:rsidR="006378F5" w:rsidRPr="000D1569">
        <w:t>’</w:t>
      </w:r>
      <w:r w:rsidRPr="000D1569">
        <w:t>échelon de l</w:t>
      </w:r>
      <w:r w:rsidR="006378F5" w:rsidRPr="000D1569">
        <w:t>’</w:t>
      </w:r>
      <w:r w:rsidRPr="000D1569">
        <w:t>UE par les initiatives législatives, et il espère que cette approche deviendra la pratique usuelle pour l</w:t>
      </w:r>
      <w:r w:rsidR="006378F5" w:rsidRPr="000D1569">
        <w:t>’</w:t>
      </w:r>
      <w:r w:rsidRPr="000D1569">
        <w:t>avenir;</w:t>
      </w:r>
    </w:p>
    <w:p w:rsidR="006D7E2A" w:rsidRPr="000D1569" w:rsidRDefault="006D7E2A" w:rsidP="00A3275A">
      <w:pPr>
        <w:spacing w:line="276" w:lineRule="auto"/>
        <w:ind w:left="720"/>
        <w:rPr>
          <w:rFonts w:eastAsia="Calibri"/>
        </w:rPr>
      </w:pPr>
    </w:p>
    <w:p w:rsidR="006D7E2A" w:rsidRPr="000D1569"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0D1569">
        <w:t xml:space="preserve">convient que les principes fondamentaux des récentes réformes financières ne sauraient être contestés et que les nouvelles règles ont renforcé la stabilité et la résilience du système financier; </w:t>
      </w:r>
    </w:p>
    <w:p w:rsidR="006D7E2A" w:rsidRPr="000D1569" w:rsidRDefault="006D7E2A" w:rsidP="00A3275A">
      <w:pPr>
        <w:spacing w:line="276" w:lineRule="auto"/>
        <w:ind w:left="720"/>
        <w:rPr>
          <w:rFonts w:eastAsia="Calibri"/>
        </w:rPr>
      </w:pPr>
    </w:p>
    <w:p w:rsidR="006D7E2A" w:rsidRPr="000D1569"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0D1569">
        <w:t>insiste sur l</w:t>
      </w:r>
      <w:r w:rsidR="006378F5" w:rsidRPr="000D1569">
        <w:t>’</w:t>
      </w:r>
      <w:r w:rsidRPr="000D1569">
        <w:t>importance que revêt le cadre réglementaire applicable aux services financiers dans l</w:t>
      </w:r>
      <w:r w:rsidR="006378F5" w:rsidRPr="000D1569">
        <w:t>’</w:t>
      </w:r>
      <w:r w:rsidRPr="000D1569">
        <w:t>UE pour accélérer le parachèvement de l</w:t>
      </w:r>
      <w:r w:rsidR="006378F5" w:rsidRPr="000D1569">
        <w:t>’</w:t>
      </w:r>
      <w:r w:rsidRPr="000D1569">
        <w:t>union des marchés des capitaux (UMC);</w:t>
      </w:r>
    </w:p>
    <w:p w:rsidR="006D7E2A" w:rsidRPr="000D1569" w:rsidRDefault="006D7E2A" w:rsidP="00A3275A">
      <w:pPr>
        <w:spacing w:line="276" w:lineRule="auto"/>
        <w:ind w:left="720"/>
        <w:rPr>
          <w:rFonts w:eastAsia="Calibri"/>
        </w:rPr>
      </w:pPr>
    </w:p>
    <w:p w:rsidR="006D7E2A" w:rsidRPr="000D1569"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0D1569">
        <w:t>adhère à l</w:t>
      </w:r>
      <w:r w:rsidR="006378F5" w:rsidRPr="000D1569">
        <w:t>’</w:t>
      </w:r>
      <w:r w:rsidRPr="000D1569">
        <w:t>approche qui resitue la réforme dans le cadre de la visée plus large d</w:t>
      </w:r>
      <w:r w:rsidR="006378F5" w:rsidRPr="000D1569">
        <w:t>’</w:t>
      </w:r>
      <w:r w:rsidRPr="000D1569">
        <w:t xml:space="preserve">assurer un meilleur équilibre entre les objectifs de stabilité financière et de croissance; </w:t>
      </w:r>
    </w:p>
    <w:p w:rsidR="006D7E2A" w:rsidRPr="000D1569" w:rsidRDefault="006D7E2A" w:rsidP="00A3275A">
      <w:pPr>
        <w:spacing w:line="276" w:lineRule="auto"/>
        <w:ind w:left="720"/>
        <w:rPr>
          <w:rFonts w:eastAsia="Calibri"/>
        </w:rPr>
      </w:pPr>
    </w:p>
    <w:p w:rsidR="006D7E2A" w:rsidRPr="000D1569"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0D1569">
        <w:t>presse les États membres de ne pas imposer de charges et restrictions inutiles lorsqu</w:t>
      </w:r>
      <w:r w:rsidR="006378F5" w:rsidRPr="000D1569">
        <w:t>’</w:t>
      </w:r>
      <w:r w:rsidRPr="000D1569">
        <w:t>ils procèdent à la transposition des règles de l</w:t>
      </w:r>
      <w:r w:rsidR="006378F5" w:rsidRPr="000D1569">
        <w:t>’</w:t>
      </w:r>
      <w:r w:rsidRPr="000D1569">
        <w:t xml:space="preserve">UE; </w:t>
      </w:r>
    </w:p>
    <w:p w:rsidR="006D7E2A" w:rsidRPr="000D1569" w:rsidRDefault="006D7E2A" w:rsidP="00A3275A">
      <w:pPr>
        <w:spacing w:line="276" w:lineRule="auto"/>
        <w:ind w:left="720"/>
        <w:rPr>
          <w:rFonts w:eastAsia="Calibri"/>
        </w:rPr>
      </w:pPr>
    </w:p>
    <w:p w:rsidR="006D7E2A" w:rsidRPr="000D1569"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0D1569">
        <w:t>est d</w:t>
      </w:r>
      <w:r w:rsidR="006378F5" w:rsidRPr="000D1569">
        <w:t>’</w:t>
      </w:r>
      <w:r w:rsidRPr="000D1569">
        <w:t>accord pour estimer qu</w:t>
      </w:r>
      <w:r w:rsidR="006378F5" w:rsidRPr="000D1569">
        <w:t>’</w:t>
      </w:r>
      <w:r w:rsidRPr="000D1569">
        <w:t>une attention particulière doit être portée aux banques, car elles fournissent au grand public d</w:t>
      </w:r>
      <w:r w:rsidR="006378F5" w:rsidRPr="000D1569">
        <w:t>’</w:t>
      </w:r>
      <w:r w:rsidRPr="000D1569">
        <w:t>importants services d</w:t>
      </w:r>
      <w:r w:rsidR="006378F5" w:rsidRPr="000D1569">
        <w:t>’</w:t>
      </w:r>
      <w:r w:rsidRPr="000D1569">
        <w:t xml:space="preserve">intérêt général et représentent la principale source de financement pour les PME; </w:t>
      </w:r>
    </w:p>
    <w:p w:rsidR="006D7E2A" w:rsidRPr="000D1569" w:rsidRDefault="006D7E2A" w:rsidP="00A3275A">
      <w:pPr>
        <w:spacing w:line="276" w:lineRule="auto"/>
        <w:ind w:left="720"/>
        <w:rPr>
          <w:rFonts w:eastAsia="Calibri"/>
        </w:rPr>
      </w:pPr>
    </w:p>
    <w:p w:rsidR="006D7E2A" w:rsidRPr="000D1569"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0D1569">
        <w:t>invite les décideurs européens à accélérer la réforme structurelle du secteur bancaire de l</w:t>
      </w:r>
      <w:r w:rsidR="006378F5" w:rsidRPr="000D1569">
        <w:t>’</w:t>
      </w:r>
      <w:r w:rsidRPr="000D1569">
        <w:t>Union, y compris en résolvant les problèmes de blocage avec les colégislateurs concernant la proposition législative de la Commission en vue d</w:t>
      </w:r>
      <w:r w:rsidR="006378F5" w:rsidRPr="000D1569">
        <w:t>’</w:t>
      </w:r>
      <w:r w:rsidRPr="000D1569">
        <w:t xml:space="preserve">un </w:t>
      </w:r>
      <w:r w:rsidRPr="000D1569">
        <w:rPr>
          <w:i/>
        </w:rPr>
        <w:t>règlement relatif à des mesures structurelles améliorant la résilience des établissements de crédit de l</w:t>
      </w:r>
      <w:r w:rsidR="006378F5" w:rsidRPr="000D1569">
        <w:rPr>
          <w:i/>
        </w:rPr>
        <w:t>’</w:t>
      </w:r>
      <w:r w:rsidRPr="000D1569">
        <w:rPr>
          <w:i/>
        </w:rPr>
        <w:t>UE</w:t>
      </w:r>
      <w:r w:rsidRPr="000D1569">
        <w:t xml:space="preserve">; </w:t>
      </w:r>
    </w:p>
    <w:p w:rsidR="006D7E2A" w:rsidRPr="000D1569" w:rsidRDefault="006D7E2A" w:rsidP="00A3275A">
      <w:pPr>
        <w:keepLines/>
        <w:spacing w:line="276" w:lineRule="auto"/>
        <w:ind w:left="720"/>
        <w:rPr>
          <w:rFonts w:eastAsia="Calibri"/>
        </w:rPr>
      </w:pPr>
    </w:p>
    <w:p w:rsidR="006D7E2A" w:rsidRPr="000D1569" w:rsidRDefault="004C07BF" w:rsidP="00A3275A">
      <w:pPr>
        <w:numPr>
          <w:ilvl w:val="0"/>
          <w:numId w:val="28"/>
        </w:numPr>
        <w:overflowPunct w:val="0"/>
        <w:autoSpaceDE w:val="0"/>
        <w:autoSpaceDN w:val="0"/>
        <w:adjustRightInd w:val="0"/>
        <w:spacing w:line="276" w:lineRule="auto"/>
        <w:ind w:left="360"/>
        <w:textAlignment w:val="baseline"/>
      </w:pPr>
      <w:r w:rsidRPr="000D1569">
        <w:t>estime que légiférer ne représente pas toujours la réponse politique la plus appropriée et invite la Commission à opter, chaque fois que possible, pour des solutions non législatives et fondées sur le marché.</w:t>
      </w:r>
    </w:p>
    <w:p w:rsidR="006D7E2A" w:rsidRPr="000D1569" w:rsidRDefault="006D7E2A" w:rsidP="00A3275A">
      <w:pPr>
        <w:spacing w:line="276" w:lineRule="auto"/>
        <w:rPr>
          <w:rFonts w:eastAsia="Calibri"/>
        </w:rPr>
      </w:pPr>
    </w:p>
    <w:p w:rsidR="006D7E2A" w:rsidRPr="000D1569" w:rsidRDefault="006D7E2A" w:rsidP="00A3275A">
      <w:pPr>
        <w:spacing w:line="276" w:lineRule="auto"/>
        <w:rPr>
          <w:rFonts w:eastAsia="Calibri"/>
          <w:i/>
        </w:rPr>
      </w:pPr>
      <w:r w:rsidRPr="000D1569">
        <w:rPr>
          <w:b/>
          <w:i/>
        </w:rPr>
        <w:t>Contact:</w:t>
      </w:r>
      <w:r w:rsidRPr="000D1569">
        <w:rPr>
          <w:i/>
        </w:rPr>
        <w:t xml:space="preserve"> </w:t>
      </w:r>
      <w:r w:rsidRPr="000D1569">
        <w:tab/>
      </w:r>
      <w:r w:rsidRPr="000D1569">
        <w:rPr>
          <w:i/>
        </w:rPr>
        <w:t>M. Gerald Klec</w:t>
      </w:r>
    </w:p>
    <w:p w:rsidR="006D7E2A" w:rsidRPr="000D1569" w:rsidRDefault="006D7E2A" w:rsidP="00A3275A">
      <w:pPr>
        <w:spacing w:line="276" w:lineRule="auto"/>
        <w:ind w:left="1134"/>
        <w:rPr>
          <w:rFonts w:eastAsia="Calibri"/>
          <w:i/>
        </w:rPr>
      </w:pPr>
      <w:r w:rsidRPr="000D1569">
        <w:rPr>
          <w:i/>
        </w:rPr>
        <w:t xml:space="preserve">(Tél.: 00 32 2 546 9909 – courriel: </w:t>
      </w:r>
      <w:hyperlink r:id="rId26">
        <w:r w:rsidRPr="000D1569">
          <w:rPr>
            <w:i/>
            <w:color w:val="0000FF"/>
            <w:u w:val="single"/>
          </w:rPr>
          <w:t>gerald.klec@eesc.europa.eu</w:t>
        </w:r>
      </w:hyperlink>
      <w:r w:rsidRPr="000D1569">
        <w:rPr>
          <w:i/>
        </w:rPr>
        <w:t>)</w:t>
      </w:r>
    </w:p>
    <w:p w:rsidR="0088087B" w:rsidRPr="000D1569" w:rsidRDefault="0088087B" w:rsidP="00A3275A">
      <w:pPr>
        <w:spacing w:line="276" w:lineRule="auto"/>
        <w:rPr>
          <w:rFonts w:eastAsia="Calibri"/>
          <w:i/>
          <w:iCs/>
          <w:u w:val="single"/>
        </w:rPr>
      </w:pPr>
    </w:p>
    <w:p w:rsidR="004B41EE" w:rsidRPr="000D1569" w:rsidRDefault="004B41EE" w:rsidP="00B7094D">
      <w:pPr>
        <w:keepNext/>
        <w:widowControl w:val="0"/>
        <w:numPr>
          <w:ilvl w:val="0"/>
          <w:numId w:val="37"/>
        </w:numPr>
        <w:overflowPunct w:val="0"/>
        <w:autoSpaceDE w:val="0"/>
        <w:autoSpaceDN w:val="0"/>
        <w:adjustRightInd w:val="0"/>
        <w:spacing w:line="276" w:lineRule="auto"/>
        <w:ind w:left="567" w:hanging="283"/>
        <w:contextualSpacing/>
        <w:textAlignment w:val="baseline"/>
        <w:rPr>
          <w:b/>
          <w:i/>
          <w:sz w:val="28"/>
          <w:szCs w:val="28"/>
        </w:rPr>
      </w:pPr>
      <w:r w:rsidRPr="000D1569">
        <w:rPr>
          <w:b/>
          <w:i/>
          <w:sz w:val="28"/>
        </w:rPr>
        <w:t>Typologies territoriales</w:t>
      </w:r>
    </w:p>
    <w:p w:rsidR="004B41EE" w:rsidRPr="000D1569" w:rsidRDefault="004B41EE" w:rsidP="00B7094D">
      <w:pPr>
        <w:keepNext/>
        <w:tabs>
          <w:tab w:val="center" w:pos="284"/>
        </w:tabs>
        <w:spacing w:line="276" w:lineRule="auto"/>
        <w:ind w:left="266" w:hanging="266"/>
        <w:rPr>
          <w:rFonts w:eastAsia="Calibri"/>
          <w:b/>
        </w:rPr>
      </w:pPr>
    </w:p>
    <w:p w:rsidR="004B41EE" w:rsidRPr="000D1569" w:rsidRDefault="004B41EE" w:rsidP="00B7094D">
      <w:pPr>
        <w:keepNext/>
        <w:tabs>
          <w:tab w:val="center" w:pos="284"/>
        </w:tabs>
        <w:spacing w:line="276" w:lineRule="auto"/>
        <w:ind w:left="266" w:hanging="266"/>
        <w:rPr>
          <w:rFonts w:eastAsia="Calibri"/>
        </w:rPr>
      </w:pPr>
      <w:r w:rsidRPr="000D1569">
        <w:rPr>
          <w:b/>
        </w:rPr>
        <w:t>Catégorie C</w:t>
      </w:r>
    </w:p>
    <w:p w:rsidR="004B41EE" w:rsidRPr="000D1569" w:rsidRDefault="004B41EE" w:rsidP="00B7094D">
      <w:pPr>
        <w:keepNext/>
        <w:tabs>
          <w:tab w:val="center" w:pos="284"/>
        </w:tabs>
        <w:spacing w:line="276" w:lineRule="auto"/>
        <w:ind w:left="266" w:hanging="266"/>
        <w:rPr>
          <w:rFonts w:eastAsia="Calibri"/>
        </w:rPr>
      </w:pPr>
    </w:p>
    <w:p w:rsidR="004C07BF" w:rsidRPr="000D1569" w:rsidRDefault="004B41EE" w:rsidP="00B7094D">
      <w:pPr>
        <w:keepNext/>
        <w:tabs>
          <w:tab w:val="center" w:pos="284"/>
          <w:tab w:val="left" w:pos="1701"/>
        </w:tabs>
        <w:spacing w:line="276" w:lineRule="auto"/>
        <w:ind w:left="266" w:hanging="266"/>
        <w:rPr>
          <w:rFonts w:eastAsia="Calibri"/>
        </w:rPr>
      </w:pPr>
      <w:r w:rsidRPr="000D1569">
        <w:rPr>
          <w:b/>
        </w:rPr>
        <w:t>Référence:</w:t>
      </w:r>
      <w:r w:rsidRPr="000D1569">
        <w:tab/>
        <w:t>COM(2016) 788 final – 2016/0393 (COD)</w:t>
      </w:r>
    </w:p>
    <w:p w:rsidR="004B41EE" w:rsidRPr="000D1569" w:rsidRDefault="004B41EE" w:rsidP="00B7094D">
      <w:pPr>
        <w:keepNext/>
        <w:tabs>
          <w:tab w:val="center" w:pos="-2268"/>
        </w:tabs>
        <w:spacing w:line="276" w:lineRule="auto"/>
        <w:ind w:left="1701"/>
        <w:rPr>
          <w:rFonts w:eastAsia="Calibri"/>
        </w:rPr>
      </w:pPr>
      <w:r w:rsidRPr="000D1569">
        <w:t>EESC-2017-01107-00-00-AC-TRA</w:t>
      </w:r>
    </w:p>
    <w:p w:rsidR="004B41EE" w:rsidRPr="000D1569" w:rsidRDefault="004B41EE" w:rsidP="00A3275A">
      <w:pPr>
        <w:tabs>
          <w:tab w:val="center" w:pos="284"/>
        </w:tabs>
        <w:spacing w:line="276" w:lineRule="auto"/>
        <w:ind w:left="266" w:hanging="266"/>
        <w:rPr>
          <w:rFonts w:eastAsia="Calibri"/>
        </w:rPr>
      </w:pPr>
    </w:p>
    <w:p w:rsidR="004B41EE" w:rsidRPr="000D1569" w:rsidRDefault="004B41EE" w:rsidP="00A3275A">
      <w:pPr>
        <w:keepNext/>
        <w:keepLines/>
        <w:tabs>
          <w:tab w:val="center" w:pos="284"/>
        </w:tabs>
        <w:spacing w:line="276" w:lineRule="auto"/>
        <w:ind w:left="266" w:hanging="266"/>
        <w:rPr>
          <w:rFonts w:eastAsia="Calibri"/>
          <w:b/>
        </w:rPr>
      </w:pPr>
      <w:r w:rsidRPr="000D1569">
        <w:rPr>
          <w:b/>
        </w:rPr>
        <w:t>Points clés:</w:t>
      </w:r>
    </w:p>
    <w:p w:rsidR="004B41EE" w:rsidRPr="000D1569" w:rsidRDefault="004B41EE" w:rsidP="00A3275A">
      <w:pPr>
        <w:spacing w:line="276" w:lineRule="auto"/>
        <w:rPr>
          <w:rFonts w:eastAsia="Calibri"/>
        </w:rPr>
      </w:pPr>
    </w:p>
    <w:p w:rsidR="004B41EE" w:rsidRPr="000D1569" w:rsidRDefault="004B41EE" w:rsidP="00A3275A">
      <w:pPr>
        <w:spacing w:line="276" w:lineRule="auto"/>
        <w:rPr>
          <w:rFonts w:eastAsia="Calibri"/>
        </w:rPr>
      </w:pPr>
      <w:r w:rsidRPr="000D1569">
        <w:t>Ayant estimé que le contenu de la proposition de la Commission est satisfaisant et n</w:t>
      </w:r>
      <w:r w:rsidR="006378F5" w:rsidRPr="000D1569">
        <w:t>’</w:t>
      </w:r>
      <w:r w:rsidRPr="000D1569">
        <w:t>appelle aucun commentaire de sa part, le Comité a décidé de rendre un avis favorable au texte proposé.</w:t>
      </w:r>
    </w:p>
    <w:p w:rsidR="004B41EE" w:rsidRPr="000D1569" w:rsidRDefault="004B41EE" w:rsidP="00A3275A">
      <w:pPr>
        <w:tabs>
          <w:tab w:val="left" w:pos="770"/>
        </w:tabs>
        <w:spacing w:line="276" w:lineRule="auto"/>
        <w:ind w:left="1430" w:hanging="1430"/>
        <w:rPr>
          <w:rFonts w:eastAsia="Calibri"/>
          <w:b/>
          <w:i/>
        </w:rPr>
      </w:pPr>
    </w:p>
    <w:p w:rsidR="004B41EE" w:rsidRPr="000D1569" w:rsidRDefault="004B41EE" w:rsidP="00A3275A">
      <w:pPr>
        <w:tabs>
          <w:tab w:val="left" w:pos="770"/>
        </w:tabs>
        <w:spacing w:line="276" w:lineRule="auto"/>
        <w:ind w:left="1430" w:hanging="1430"/>
        <w:rPr>
          <w:rFonts w:eastAsia="Calibri"/>
          <w:i/>
          <w:iCs/>
        </w:rPr>
      </w:pPr>
      <w:r w:rsidRPr="000D1569">
        <w:rPr>
          <w:b/>
          <w:i/>
        </w:rPr>
        <w:t>Contact</w:t>
      </w:r>
      <w:r w:rsidRPr="000D1569">
        <w:t>:</w:t>
      </w:r>
      <w:r w:rsidRPr="000D1569">
        <w:rPr>
          <w:i/>
        </w:rPr>
        <w:t xml:space="preserve"> </w:t>
      </w:r>
      <w:r w:rsidRPr="000D1569">
        <w:tab/>
      </w:r>
      <w:r w:rsidRPr="000D1569">
        <w:rPr>
          <w:i/>
        </w:rPr>
        <w:t>M</w:t>
      </w:r>
      <w:r w:rsidRPr="000D1569">
        <w:rPr>
          <w:i/>
          <w:vertAlign w:val="superscript"/>
        </w:rPr>
        <w:t>me</w:t>
      </w:r>
      <w:r w:rsidRPr="000D1569">
        <w:rPr>
          <w:i/>
        </w:rPr>
        <w:t> Helena Polomik</w:t>
      </w:r>
    </w:p>
    <w:p w:rsidR="007818AB" w:rsidRPr="000D1569" w:rsidRDefault="004B41EE" w:rsidP="00A3275A">
      <w:pPr>
        <w:spacing w:line="276" w:lineRule="auto"/>
        <w:ind w:left="1418"/>
        <w:rPr>
          <w:rFonts w:eastAsia="Calibri"/>
          <w:i/>
          <w:iCs/>
        </w:rPr>
      </w:pPr>
      <w:r w:rsidRPr="000D1569">
        <w:rPr>
          <w:i/>
        </w:rPr>
        <w:t xml:space="preserve">(Tél.: 00 32 2 546 9063 – courriel: </w:t>
      </w:r>
      <w:hyperlink r:id="rId27">
        <w:r w:rsidRPr="000D1569">
          <w:rPr>
            <w:i/>
            <w:color w:val="0000FF"/>
            <w:u w:val="single"/>
          </w:rPr>
          <w:t>Helena.Polomik@eesc.europa.eu</w:t>
        </w:r>
      </w:hyperlink>
      <w:r w:rsidRPr="000D1569">
        <w:rPr>
          <w:i/>
        </w:rPr>
        <w:t>)</w:t>
      </w:r>
    </w:p>
    <w:p w:rsidR="004B41EE" w:rsidRPr="000D1569" w:rsidRDefault="004B41EE" w:rsidP="00A3275A">
      <w:pPr>
        <w:spacing w:line="276" w:lineRule="auto"/>
        <w:rPr>
          <w:rFonts w:eastAsia="Calibri"/>
          <w:i/>
          <w:iCs/>
        </w:rPr>
      </w:pPr>
    </w:p>
    <w:p w:rsidR="006D7E2A" w:rsidRPr="000D1569" w:rsidRDefault="006D7E2A" w:rsidP="00A3275A">
      <w:pPr>
        <w:keepNext/>
        <w:widowControl w:val="0"/>
        <w:numPr>
          <w:ilvl w:val="0"/>
          <w:numId w:val="4"/>
        </w:numPr>
        <w:overflowPunct w:val="0"/>
        <w:autoSpaceDE w:val="0"/>
        <w:autoSpaceDN w:val="0"/>
        <w:adjustRightInd w:val="0"/>
        <w:spacing w:line="276" w:lineRule="auto"/>
        <w:ind w:left="567" w:hanging="283"/>
        <w:textAlignment w:val="baseline"/>
        <w:rPr>
          <w:rFonts w:eastAsia="Calibri"/>
          <w:b/>
          <w:i/>
          <w:sz w:val="28"/>
          <w:szCs w:val="28"/>
        </w:rPr>
      </w:pPr>
      <w:r w:rsidRPr="000D1569">
        <w:rPr>
          <w:b/>
          <w:i/>
          <w:sz w:val="28"/>
        </w:rPr>
        <w:t>Réforme bancaire – modifications des exigences de fonds propres et du cadre de résolution</w:t>
      </w:r>
    </w:p>
    <w:p w:rsidR="006D7E2A" w:rsidRPr="000D1569" w:rsidRDefault="006D7E2A" w:rsidP="00A3275A">
      <w:pPr>
        <w:keepNext/>
        <w:tabs>
          <w:tab w:val="left" w:pos="1520"/>
        </w:tabs>
        <w:spacing w:line="276" w:lineRule="auto"/>
        <w:ind w:left="266" w:hanging="266"/>
        <w:rPr>
          <w:rFonts w:eastAsia="Calibri"/>
          <w:b/>
        </w:rPr>
      </w:pPr>
    </w:p>
    <w:p w:rsidR="006D7E2A" w:rsidRPr="000D1569" w:rsidRDefault="006D7E2A" w:rsidP="00A3275A">
      <w:pPr>
        <w:keepNext/>
        <w:tabs>
          <w:tab w:val="center" w:pos="284"/>
        </w:tabs>
        <w:spacing w:line="276" w:lineRule="auto"/>
        <w:ind w:left="266" w:hanging="266"/>
        <w:rPr>
          <w:rFonts w:eastAsia="Calibri"/>
        </w:rPr>
      </w:pPr>
      <w:r w:rsidRPr="000D1569">
        <w:rPr>
          <w:b/>
        </w:rPr>
        <w:t>Rapporteur:</w:t>
      </w:r>
      <w:r w:rsidRPr="000D1569">
        <w:tab/>
        <w:t>M. Daniel MAREELS (Employeurs – Belgique)</w:t>
      </w:r>
    </w:p>
    <w:p w:rsidR="006D7E2A" w:rsidRPr="000D1569" w:rsidRDefault="006D7E2A" w:rsidP="00A3275A">
      <w:pPr>
        <w:keepNext/>
        <w:tabs>
          <w:tab w:val="center" w:pos="284"/>
        </w:tabs>
        <w:spacing w:line="276" w:lineRule="auto"/>
        <w:ind w:left="266" w:hanging="266"/>
        <w:rPr>
          <w:rFonts w:eastAsia="Calibri"/>
          <w:b/>
        </w:rPr>
      </w:pPr>
    </w:p>
    <w:p w:rsidR="006D7E2A" w:rsidRPr="000D1569" w:rsidRDefault="006D7E2A" w:rsidP="00A3275A">
      <w:pPr>
        <w:keepNext/>
        <w:tabs>
          <w:tab w:val="center" w:pos="284"/>
          <w:tab w:val="left" w:pos="1701"/>
        </w:tabs>
        <w:spacing w:line="276" w:lineRule="auto"/>
        <w:ind w:left="266" w:hanging="266"/>
        <w:rPr>
          <w:rFonts w:eastAsia="Calibri"/>
        </w:rPr>
      </w:pPr>
      <w:r w:rsidRPr="000D1569">
        <w:rPr>
          <w:b/>
        </w:rPr>
        <w:t>Référence:</w:t>
      </w:r>
      <w:r w:rsidRPr="000D1569">
        <w:tab/>
        <w:t>COM(2016) 850 final – 2016/0360 (COD)</w:t>
      </w:r>
    </w:p>
    <w:p w:rsidR="006D7E2A" w:rsidRPr="000D1569" w:rsidRDefault="006D7E2A" w:rsidP="00A3275A">
      <w:pPr>
        <w:keepNext/>
        <w:tabs>
          <w:tab w:val="center" w:pos="284"/>
        </w:tabs>
        <w:spacing w:line="276" w:lineRule="auto"/>
        <w:ind w:left="1701"/>
        <w:rPr>
          <w:rFonts w:eastAsia="Calibri"/>
        </w:rPr>
      </w:pPr>
      <w:r w:rsidRPr="000D1569">
        <w:t xml:space="preserve">COM(2016) 851 final – 2016/0361 (COD) </w:t>
      </w:r>
    </w:p>
    <w:p w:rsidR="006D7E2A" w:rsidRPr="000D1569" w:rsidRDefault="006D7E2A" w:rsidP="00A3275A">
      <w:pPr>
        <w:keepNext/>
        <w:tabs>
          <w:tab w:val="center" w:pos="284"/>
        </w:tabs>
        <w:spacing w:line="276" w:lineRule="auto"/>
        <w:ind w:left="1701"/>
        <w:rPr>
          <w:rFonts w:eastAsia="Calibri"/>
        </w:rPr>
      </w:pPr>
      <w:r w:rsidRPr="000D1569">
        <w:t xml:space="preserve">COM(2016) 852 final – 2016/0362 (COD) </w:t>
      </w:r>
    </w:p>
    <w:p w:rsidR="006D7E2A" w:rsidRPr="000D1569" w:rsidRDefault="006D7E2A" w:rsidP="00A3275A">
      <w:pPr>
        <w:keepNext/>
        <w:tabs>
          <w:tab w:val="center" w:pos="284"/>
        </w:tabs>
        <w:spacing w:line="276" w:lineRule="auto"/>
        <w:ind w:left="1701"/>
        <w:rPr>
          <w:rFonts w:eastAsia="Calibri"/>
        </w:rPr>
      </w:pPr>
      <w:r w:rsidRPr="000D1569">
        <w:t xml:space="preserve">COM(2016) 854 final – 2016/0364 (COD) </w:t>
      </w:r>
    </w:p>
    <w:p w:rsidR="006D7E2A" w:rsidRPr="000D1569" w:rsidRDefault="006D7E2A" w:rsidP="00A3275A">
      <w:pPr>
        <w:keepNext/>
        <w:tabs>
          <w:tab w:val="center" w:pos="284"/>
        </w:tabs>
        <w:spacing w:line="276" w:lineRule="auto"/>
        <w:ind w:left="1701"/>
        <w:rPr>
          <w:rFonts w:eastAsia="Calibri"/>
        </w:rPr>
      </w:pPr>
      <w:r w:rsidRPr="000D1569">
        <w:t>EESC-2016-06799-00-00-AC-TRA</w:t>
      </w:r>
    </w:p>
    <w:p w:rsidR="006D7E2A" w:rsidRPr="000D1569" w:rsidRDefault="006D7E2A" w:rsidP="00A3275A">
      <w:pPr>
        <w:keepNext/>
        <w:tabs>
          <w:tab w:val="center" w:pos="284"/>
        </w:tabs>
        <w:spacing w:line="276" w:lineRule="auto"/>
        <w:ind w:left="266" w:hanging="266"/>
        <w:rPr>
          <w:rFonts w:eastAsia="Calibri"/>
        </w:rPr>
      </w:pPr>
    </w:p>
    <w:p w:rsidR="006D7E2A" w:rsidRPr="000D1569" w:rsidRDefault="006D7E2A" w:rsidP="00A3275A">
      <w:pPr>
        <w:keepNext/>
        <w:keepLines/>
        <w:tabs>
          <w:tab w:val="center" w:pos="284"/>
        </w:tabs>
        <w:spacing w:line="276" w:lineRule="auto"/>
        <w:ind w:left="266" w:hanging="266"/>
        <w:rPr>
          <w:rFonts w:eastAsia="Calibri"/>
          <w:b/>
        </w:rPr>
      </w:pPr>
      <w:r w:rsidRPr="000D1569">
        <w:rPr>
          <w:b/>
        </w:rPr>
        <w:t>Points clés:</w:t>
      </w:r>
    </w:p>
    <w:p w:rsidR="00BC5473" w:rsidRPr="000D1569" w:rsidRDefault="00BC5473" w:rsidP="00A3275A">
      <w:pPr>
        <w:keepNext/>
        <w:spacing w:line="276" w:lineRule="auto"/>
        <w:ind w:left="-567"/>
        <w:rPr>
          <w:rFonts w:eastAsia="Calibri"/>
        </w:rPr>
      </w:pPr>
    </w:p>
    <w:p w:rsidR="006D7E2A" w:rsidRPr="000D1569" w:rsidRDefault="006D7E2A" w:rsidP="00A3275A">
      <w:pPr>
        <w:spacing w:line="276" w:lineRule="auto"/>
        <w:rPr>
          <w:rFonts w:eastAsia="Calibri"/>
        </w:rPr>
      </w:pPr>
      <w:r w:rsidRPr="000D1569">
        <w:t xml:space="preserve">Le CESE: </w:t>
      </w:r>
    </w:p>
    <w:p w:rsidR="006D7E2A" w:rsidRPr="000D1569" w:rsidRDefault="006D7E2A" w:rsidP="00A3275A">
      <w:pPr>
        <w:spacing w:line="276" w:lineRule="auto"/>
        <w:rPr>
          <w:rFonts w:eastAsia="Calibri"/>
        </w:rPr>
      </w:pPr>
    </w:p>
    <w:p w:rsidR="006D7E2A" w:rsidRPr="000D1569" w:rsidRDefault="006D7E2A" w:rsidP="00A3275A">
      <w:pPr>
        <w:numPr>
          <w:ilvl w:val="0"/>
          <w:numId w:val="30"/>
        </w:numPr>
        <w:spacing w:line="276" w:lineRule="auto"/>
        <w:ind w:left="360"/>
        <w:contextualSpacing/>
      </w:pPr>
      <w:r w:rsidRPr="000D1569">
        <w:t>se félicite grandement de l</w:t>
      </w:r>
      <w:r w:rsidR="006378F5" w:rsidRPr="000D1569">
        <w:t>’</w:t>
      </w:r>
      <w:r w:rsidRPr="000D1569">
        <w:t>ensemble des propositions de la Commission et espère qu</w:t>
      </w:r>
      <w:r w:rsidR="006378F5" w:rsidRPr="000D1569">
        <w:t>’</w:t>
      </w:r>
      <w:r w:rsidRPr="000D1569">
        <w:t xml:space="preserve">elles contribueront de manière effective à achever les travaux de réforme du secteur financier qui ont été entamés après la crise; </w:t>
      </w:r>
    </w:p>
    <w:p w:rsidR="006D7E2A" w:rsidRPr="000D1569" w:rsidRDefault="006D7E2A" w:rsidP="00A3275A"/>
    <w:p w:rsidR="006D7E2A" w:rsidRPr="000D1569" w:rsidRDefault="009928D1" w:rsidP="00A3275A">
      <w:pPr>
        <w:numPr>
          <w:ilvl w:val="0"/>
          <w:numId w:val="30"/>
        </w:numPr>
        <w:spacing w:line="276" w:lineRule="auto"/>
        <w:ind w:left="360"/>
        <w:contextualSpacing/>
      </w:pPr>
      <w:r w:rsidRPr="000D1569">
        <w:t xml:space="preserve">accueille avec enthousiasme la vision globale et intégrée sous-jacente, qui a pour effet que ces propositions concilient et associent plusieurs objectifs majeurs dans des domaines divergents, sans pour autant déroger aux principes; </w:t>
      </w:r>
    </w:p>
    <w:p w:rsidR="006D7E2A" w:rsidRPr="000D1569" w:rsidRDefault="006D7E2A" w:rsidP="00A3275A"/>
    <w:p w:rsidR="006D7E2A" w:rsidRPr="000D1569" w:rsidRDefault="006D7E2A" w:rsidP="00A3275A">
      <w:pPr>
        <w:numPr>
          <w:ilvl w:val="0"/>
          <w:numId w:val="30"/>
        </w:numPr>
        <w:spacing w:line="276" w:lineRule="auto"/>
        <w:ind w:left="360"/>
        <w:contextualSpacing/>
      </w:pPr>
      <w:r w:rsidRPr="000D1569">
        <w:t>est d</w:t>
      </w:r>
      <w:r w:rsidR="006378F5" w:rsidRPr="000D1569">
        <w:t>’</w:t>
      </w:r>
      <w:r w:rsidRPr="000D1569">
        <w:t>avis que les différentes mesures proposées contribuent indéniablement au renforcement du cadre prudentiel et de résolution européen applicable aux banques. Ce point est crucial au regard de l</w:t>
      </w:r>
      <w:r w:rsidR="006378F5" w:rsidRPr="000D1569">
        <w:t>’</w:t>
      </w:r>
      <w:r w:rsidRPr="000D1569">
        <w:t>objectif de réduction des risques dans le secteur financier et d</w:t>
      </w:r>
      <w:r w:rsidR="006378F5" w:rsidRPr="000D1569">
        <w:t>’</w:t>
      </w:r>
      <w:r w:rsidRPr="000D1569">
        <w:t xml:space="preserve">amélioration de la résilience des établissements; </w:t>
      </w:r>
    </w:p>
    <w:p w:rsidR="006D7E2A" w:rsidRPr="000D1569" w:rsidRDefault="006D7E2A" w:rsidP="00A3275A"/>
    <w:p w:rsidR="006D7E2A" w:rsidRPr="000D1569" w:rsidRDefault="006D7E2A" w:rsidP="00A3275A">
      <w:pPr>
        <w:numPr>
          <w:ilvl w:val="0"/>
          <w:numId w:val="30"/>
        </w:numPr>
        <w:spacing w:line="276" w:lineRule="auto"/>
        <w:ind w:left="360"/>
        <w:contextualSpacing/>
      </w:pPr>
      <w:r w:rsidRPr="000D1569">
        <w:t>est convaincu que la réduction des risques induite par ces propositions permettra de progresser sur la voie de l</w:t>
      </w:r>
      <w:r w:rsidR="006378F5" w:rsidRPr="000D1569">
        <w:t>’</w:t>
      </w:r>
      <w:r w:rsidRPr="000D1569">
        <w:t>achèvement de l</w:t>
      </w:r>
      <w:r w:rsidR="006378F5" w:rsidRPr="000D1569">
        <w:t>’</w:t>
      </w:r>
      <w:r w:rsidRPr="000D1569">
        <w:t xml:space="preserve">union bancaire et de son troisième pilier, le système européen de garantie des dépôts. Ce faisant, ces propositions contribuent positivement au rétablissement de la confiance des clients et des consommateurs dans le secteur financier; </w:t>
      </w:r>
    </w:p>
    <w:p w:rsidR="006D7E2A" w:rsidRPr="000D1569" w:rsidRDefault="006D7E2A" w:rsidP="00A3275A"/>
    <w:p w:rsidR="006D7E2A" w:rsidRPr="000D1569" w:rsidRDefault="006D7E2A" w:rsidP="00A3275A">
      <w:pPr>
        <w:numPr>
          <w:ilvl w:val="0"/>
          <w:numId w:val="30"/>
        </w:numPr>
        <w:spacing w:line="276" w:lineRule="auto"/>
        <w:ind w:left="360"/>
        <w:contextualSpacing/>
      </w:pPr>
      <w:r w:rsidRPr="000D1569">
        <w:t>se félicite vivement par ailleurs de l</w:t>
      </w:r>
      <w:r w:rsidR="006378F5" w:rsidRPr="000D1569">
        <w:t>’</w:t>
      </w:r>
      <w:r w:rsidRPr="000D1569">
        <w:t>attention portée au financement de l</w:t>
      </w:r>
      <w:r w:rsidR="006378F5" w:rsidRPr="000D1569">
        <w:t>’</w:t>
      </w:r>
      <w:r w:rsidRPr="000D1569">
        <w:t>économie. Dans le contexte actuel où le niveau des investissements stagne à un niveau trop bas, il convient de saisir toutes les occasions pour créer des possibilités nouvelles et complémentaires en vue d</w:t>
      </w:r>
      <w:r w:rsidR="006378F5" w:rsidRPr="000D1569">
        <w:t>’</w:t>
      </w:r>
      <w:r w:rsidRPr="000D1569">
        <w:t>une reprise économique. Les banques ont un rôle important à jouer en tant qu</w:t>
      </w:r>
      <w:r w:rsidR="006378F5" w:rsidRPr="000D1569">
        <w:t>’</w:t>
      </w:r>
      <w:r w:rsidRPr="000D1569">
        <w:t>intermédiaires sur les marchés des capitaux et il est incontestable que les prêts bancaires continueront à être la principale source de financement des ménages et des PME. En la matière, il convient de faire davantage au profit des PME, qui constituent la colonne vertébrale de l</w:t>
      </w:r>
      <w:r w:rsidR="006378F5" w:rsidRPr="000D1569">
        <w:t>’</w:t>
      </w:r>
      <w:r w:rsidRPr="000D1569">
        <w:t xml:space="preserve">économie européenne. Le Comité demande que soit confirmé et développé davantage le «facteur supplétif pour les PME»; </w:t>
      </w:r>
    </w:p>
    <w:p w:rsidR="006D7E2A" w:rsidRPr="000D1569" w:rsidRDefault="006D7E2A" w:rsidP="00A3275A"/>
    <w:p w:rsidR="006D7E2A" w:rsidRPr="000D1569" w:rsidRDefault="006D7E2A" w:rsidP="00A3275A">
      <w:pPr>
        <w:numPr>
          <w:ilvl w:val="0"/>
          <w:numId w:val="30"/>
        </w:numPr>
        <w:spacing w:line="276" w:lineRule="auto"/>
        <w:ind w:left="360"/>
        <w:contextualSpacing/>
      </w:pPr>
      <w:r w:rsidRPr="000D1569">
        <w:t>juge que les spécificités et possibilités des banques de petite taille et peu complexes ne sont toujours pas pris suffisamment en compte. Cette observation vaut en particulier pour le principe de proportionnalité. L</w:t>
      </w:r>
      <w:r w:rsidR="006378F5" w:rsidRPr="000D1569">
        <w:t>’</w:t>
      </w:r>
      <w:r w:rsidRPr="000D1569">
        <w:t>approche actuelle doit devenir plus structurée et être approfondie, pour bénéficier à un plus grand nombre d</w:t>
      </w:r>
      <w:r w:rsidR="006378F5" w:rsidRPr="000D1569">
        <w:t>’</w:t>
      </w:r>
      <w:r w:rsidRPr="000D1569">
        <w:t>institutions et de domaines. Il convient de ne pas imposer aux établissements de ce type des obligations et charges d</w:t>
      </w:r>
      <w:r w:rsidR="006378F5" w:rsidRPr="000D1569">
        <w:t>’</w:t>
      </w:r>
      <w:r w:rsidRPr="000D1569">
        <w:t>un poids disproportionné;</w:t>
      </w:r>
    </w:p>
    <w:p w:rsidR="006D7E2A" w:rsidRPr="000D1569" w:rsidRDefault="006D7E2A" w:rsidP="00A3275A"/>
    <w:p w:rsidR="006D7E2A" w:rsidRPr="000D1569" w:rsidRDefault="006D7E2A" w:rsidP="00A3275A">
      <w:pPr>
        <w:numPr>
          <w:ilvl w:val="0"/>
          <w:numId w:val="30"/>
        </w:numPr>
        <w:spacing w:line="276" w:lineRule="auto"/>
        <w:ind w:left="360"/>
        <w:contextualSpacing/>
      </w:pPr>
      <w:r w:rsidRPr="000D1569">
        <w:t>se félicite qu</w:t>
      </w:r>
      <w:r w:rsidR="006378F5" w:rsidRPr="000D1569">
        <w:t>’</w:t>
      </w:r>
      <w:r w:rsidRPr="000D1569">
        <w:t>un certain nombre de spécificités de l</w:t>
      </w:r>
      <w:r w:rsidR="006378F5" w:rsidRPr="000D1569">
        <w:t>’</w:t>
      </w:r>
      <w:r w:rsidRPr="000D1569">
        <w:t>UE aient été prises en compte. Tel a notamment été le cas des adaptations effectuées dans des accords internationaux afin de tenir compte de caractéristiques propres à l</w:t>
      </w:r>
      <w:r w:rsidR="006378F5" w:rsidRPr="000D1569">
        <w:t>’</w:t>
      </w:r>
      <w:r w:rsidRPr="000D1569">
        <w:t>Union européenne;</w:t>
      </w:r>
    </w:p>
    <w:p w:rsidR="006D7E2A" w:rsidRPr="000D1569" w:rsidRDefault="006D7E2A" w:rsidP="00A3275A"/>
    <w:p w:rsidR="006D7E2A" w:rsidRPr="000D1569" w:rsidRDefault="006D7E2A" w:rsidP="00A3275A">
      <w:pPr>
        <w:numPr>
          <w:ilvl w:val="0"/>
          <w:numId w:val="30"/>
        </w:numPr>
        <w:spacing w:line="276" w:lineRule="auto"/>
        <w:ind w:left="360"/>
        <w:contextualSpacing/>
      </w:pPr>
      <w:r w:rsidRPr="000D1569">
        <w:t>est d</w:t>
      </w:r>
      <w:r w:rsidR="006378F5" w:rsidRPr="000D1569">
        <w:t>’</w:t>
      </w:r>
      <w:r w:rsidRPr="000D1569">
        <w:t>avis qu</w:t>
      </w:r>
      <w:r w:rsidR="006378F5" w:rsidRPr="000D1569">
        <w:t>’</w:t>
      </w:r>
      <w:r w:rsidRPr="000D1569">
        <w:t>il reste important que l</w:t>
      </w:r>
      <w:r w:rsidR="006378F5" w:rsidRPr="000D1569">
        <w:t>’</w:t>
      </w:r>
      <w:r w:rsidRPr="000D1569">
        <w:t xml:space="preserve">Europe continue à jouer un rôle de premier plan dans le cadre des activités internationales actuelles et à venir sur la réforme du secteur financier; </w:t>
      </w:r>
    </w:p>
    <w:p w:rsidR="006D7E2A" w:rsidRPr="000D1569" w:rsidRDefault="006D7E2A" w:rsidP="00A3275A"/>
    <w:p w:rsidR="006D7E2A" w:rsidRPr="000D1569" w:rsidRDefault="00A57F27" w:rsidP="00A3275A">
      <w:pPr>
        <w:numPr>
          <w:ilvl w:val="0"/>
          <w:numId w:val="30"/>
        </w:numPr>
        <w:spacing w:line="276" w:lineRule="auto"/>
        <w:ind w:left="360"/>
        <w:contextualSpacing/>
      </w:pPr>
      <w:r w:rsidRPr="000D1569">
        <w:t>estime qu</w:t>
      </w:r>
      <w:r w:rsidR="006378F5" w:rsidRPr="000D1569">
        <w:t>’</w:t>
      </w:r>
      <w:r w:rsidRPr="000D1569">
        <w:t>il est de l</w:t>
      </w:r>
      <w:r w:rsidR="006378F5" w:rsidRPr="000D1569">
        <w:t>’</w:t>
      </w:r>
      <w:r w:rsidRPr="000D1569">
        <w:t>intérêt de tous les acteurs et parties concernées de veiller à plus de transparence et de sécurité juridique lors de la mise au point des nouvelles règles, pour lesquelles il convient d</w:t>
      </w:r>
      <w:r w:rsidR="006378F5" w:rsidRPr="000D1569">
        <w:t>’</w:t>
      </w:r>
      <w:r w:rsidRPr="000D1569">
        <w:t xml:space="preserve">ailleurs de prévoir un délai de mise en application suffisant; </w:t>
      </w:r>
    </w:p>
    <w:p w:rsidR="004B41EE" w:rsidRPr="000D1569" w:rsidRDefault="004B41EE" w:rsidP="00A3275A"/>
    <w:p w:rsidR="004B41EE" w:rsidRPr="000D1569" w:rsidRDefault="004B41EE" w:rsidP="00A3275A">
      <w:pPr>
        <w:numPr>
          <w:ilvl w:val="0"/>
          <w:numId w:val="30"/>
        </w:numPr>
        <w:spacing w:line="276" w:lineRule="auto"/>
        <w:ind w:left="360"/>
        <w:contextualSpacing/>
      </w:pPr>
      <w:r w:rsidRPr="000D1569">
        <w:t>estime souhaitable un traitement rapide des mesures législatives transitoires concernant les nouvelles normes internationales d</w:t>
      </w:r>
      <w:r w:rsidR="006378F5" w:rsidRPr="000D1569">
        <w:t>’</w:t>
      </w:r>
      <w:r w:rsidRPr="000D1569">
        <w:t>information financière (IFRS 9), afin d</w:t>
      </w:r>
      <w:r w:rsidR="006378F5" w:rsidRPr="000D1569">
        <w:t>’</w:t>
      </w:r>
      <w:r w:rsidRPr="000D1569">
        <w:t>éviter d</w:t>
      </w:r>
      <w:r w:rsidR="006378F5" w:rsidRPr="000D1569">
        <w:t>’</w:t>
      </w:r>
      <w:r w:rsidRPr="000D1569">
        <w:t>éventuels effets négatifs sur le financement de l</w:t>
      </w:r>
      <w:r w:rsidR="006378F5" w:rsidRPr="000D1569">
        <w:t>’</w:t>
      </w:r>
      <w:r w:rsidRPr="000D1569">
        <w:t>économie.</w:t>
      </w:r>
    </w:p>
    <w:p w:rsidR="006D7E2A" w:rsidRPr="000D1569" w:rsidRDefault="006D7E2A" w:rsidP="00A3275A">
      <w:pPr>
        <w:rPr>
          <w:rFonts w:eastAsia="Calibri"/>
          <w:highlight w:val="yellow"/>
        </w:rPr>
      </w:pPr>
    </w:p>
    <w:p w:rsidR="006D7E2A" w:rsidRPr="000D1569" w:rsidRDefault="006D7E2A" w:rsidP="00A3275A">
      <w:pPr>
        <w:tabs>
          <w:tab w:val="left" w:pos="1134"/>
        </w:tabs>
        <w:spacing w:line="276" w:lineRule="auto"/>
        <w:ind w:left="1134" w:hanging="1134"/>
        <w:rPr>
          <w:rFonts w:eastAsia="Calibri"/>
          <w:i/>
        </w:rPr>
      </w:pPr>
      <w:r w:rsidRPr="000D1569">
        <w:rPr>
          <w:b/>
          <w:i/>
        </w:rPr>
        <w:t>Contact:</w:t>
      </w:r>
      <w:r w:rsidRPr="000D1569">
        <w:rPr>
          <w:i/>
        </w:rPr>
        <w:t xml:space="preserve"> </w:t>
      </w:r>
      <w:r w:rsidRPr="000D1569">
        <w:tab/>
      </w:r>
      <w:r w:rsidRPr="000D1569">
        <w:rPr>
          <w:i/>
        </w:rPr>
        <w:t>M. Gerald Klec</w:t>
      </w:r>
    </w:p>
    <w:p w:rsidR="007D03DC" w:rsidRPr="000D1569" w:rsidRDefault="006D7E2A" w:rsidP="00A3275A">
      <w:pPr>
        <w:spacing w:line="276" w:lineRule="auto"/>
        <w:ind w:left="1134"/>
        <w:rPr>
          <w:rFonts w:eastAsia="Calibri"/>
        </w:rPr>
      </w:pPr>
      <w:r w:rsidRPr="000D1569">
        <w:rPr>
          <w:i/>
        </w:rPr>
        <w:t xml:space="preserve">(Tél.: 00 32 2 546 9909 – courriel: </w:t>
      </w:r>
      <w:hyperlink r:id="rId28">
        <w:r w:rsidRPr="000D1569">
          <w:rPr>
            <w:rStyle w:val="Hyperlink"/>
            <w:i/>
          </w:rPr>
          <w:t>gerald.klec@eesc.europa.eu</w:t>
        </w:r>
      </w:hyperlink>
      <w:r w:rsidRPr="000D1569">
        <w:rPr>
          <w:i/>
        </w:rPr>
        <w:t>)</w:t>
      </w:r>
    </w:p>
    <w:p w:rsidR="009928D1" w:rsidRPr="000D1569" w:rsidRDefault="009928D1" w:rsidP="00A3275A">
      <w:pPr>
        <w:spacing w:line="276" w:lineRule="auto"/>
        <w:rPr>
          <w:rFonts w:eastAsia="Calibri"/>
        </w:rPr>
      </w:pPr>
    </w:p>
    <w:p w:rsidR="00505DD7" w:rsidRPr="000D1569" w:rsidRDefault="00505DD7" w:rsidP="004C07BF">
      <w:pPr>
        <w:spacing w:line="240" w:lineRule="auto"/>
        <w:rPr>
          <w:b/>
        </w:rPr>
      </w:pPr>
    </w:p>
    <w:p w:rsidR="00E6566F" w:rsidRPr="000D1569" w:rsidRDefault="00E6566F" w:rsidP="00A3275A">
      <w:pPr>
        <w:pStyle w:val="Heading1"/>
        <w:keepNext/>
        <w:spacing w:line="276" w:lineRule="auto"/>
        <w:rPr>
          <w:b/>
        </w:rPr>
      </w:pPr>
      <w:bookmarkStart w:id="8" w:name="_Toc477938712"/>
      <w:bookmarkStart w:id="9" w:name="_Toc480471740"/>
      <w:r w:rsidRPr="000D1569">
        <w:rPr>
          <w:b/>
        </w:rPr>
        <w:t>INDUSTRIE/INNOVATION</w:t>
      </w:r>
      <w:bookmarkEnd w:id="8"/>
      <w:bookmarkEnd w:id="9"/>
    </w:p>
    <w:p w:rsidR="00BC5473" w:rsidRPr="000D1569" w:rsidRDefault="00BC5473" w:rsidP="00A3275A">
      <w:pPr>
        <w:keepNext/>
        <w:spacing w:line="276" w:lineRule="auto"/>
      </w:pPr>
    </w:p>
    <w:p w:rsidR="00C1115F" w:rsidRPr="000D1569" w:rsidRDefault="00C1115F" w:rsidP="00A3275A">
      <w:pPr>
        <w:keepNext/>
        <w:widowControl w:val="0"/>
        <w:numPr>
          <w:ilvl w:val="0"/>
          <w:numId w:val="36"/>
        </w:numPr>
        <w:overflowPunct w:val="0"/>
        <w:autoSpaceDE w:val="0"/>
        <w:autoSpaceDN w:val="0"/>
        <w:adjustRightInd w:val="0"/>
        <w:spacing w:line="276" w:lineRule="auto"/>
        <w:ind w:left="567" w:hanging="283"/>
        <w:textAlignment w:val="baseline"/>
        <w:rPr>
          <w:i/>
          <w:sz w:val="28"/>
          <w:szCs w:val="28"/>
        </w:rPr>
      </w:pPr>
      <w:r w:rsidRPr="000D1569">
        <w:rPr>
          <w:b/>
          <w:i/>
          <w:sz w:val="28"/>
        </w:rPr>
        <w:t>Tourisme nautique et maritime</w:t>
      </w:r>
    </w:p>
    <w:p w:rsidR="00C1115F" w:rsidRPr="000D1569" w:rsidRDefault="00C1115F" w:rsidP="00A3275A">
      <w:pPr>
        <w:tabs>
          <w:tab w:val="center" w:pos="284"/>
        </w:tabs>
        <w:overflowPunct w:val="0"/>
        <w:autoSpaceDE w:val="0"/>
        <w:autoSpaceDN w:val="0"/>
        <w:adjustRightInd w:val="0"/>
        <w:spacing w:line="276" w:lineRule="auto"/>
        <w:ind w:left="266" w:hanging="266"/>
        <w:textAlignment w:val="baseline"/>
        <w:rPr>
          <w:b/>
          <w:szCs w:val="20"/>
        </w:rPr>
      </w:pPr>
    </w:p>
    <w:p w:rsidR="00C1115F" w:rsidRPr="000D1569" w:rsidRDefault="00C1115F" w:rsidP="00A3275A">
      <w:pPr>
        <w:tabs>
          <w:tab w:val="center" w:pos="284"/>
        </w:tabs>
        <w:overflowPunct w:val="0"/>
        <w:autoSpaceDE w:val="0"/>
        <w:autoSpaceDN w:val="0"/>
        <w:adjustRightInd w:val="0"/>
        <w:spacing w:line="276" w:lineRule="auto"/>
        <w:ind w:left="266" w:hanging="266"/>
        <w:textAlignment w:val="baseline"/>
        <w:rPr>
          <w:szCs w:val="20"/>
        </w:rPr>
      </w:pPr>
      <w:r w:rsidRPr="000D1569">
        <w:rPr>
          <w:b/>
        </w:rPr>
        <w:t>Rapporteur:</w:t>
      </w:r>
      <w:r w:rsidRPr="000D1569">
        <w:tab/>
        <w:t>M. Tony ZAHRA (Employeurs – Malte)</w:t>
      </w:r>
    </w:p>
    <w:p w:rsidR="00C1115F" w:rsidRPr="000D1569" w:rsidRDefault="00C1115F" w:rsidP="00A3275A">
      <w:pPr>
        <w:tabs>
          <w:tab w:val="center" w:pos="284"/>
        </w:tabs>
        <w:overflowPunct w:val="0"/>
        <w:autoSpaceDE w:val="0"/>
        <w:autoSpaceDN w:val="0"/>
        <w:adjustRightInd w:val="0"/>
        <w:spacing w:line="276" w:lineRule="auto"/>
        <w:ind w:left="266" w:hanging="266"/>
        <w:textAlignment w:val="baseline"/>
        <w:rPr>
          <w:b/>
          <w:szCs w:val="20"/>
        </w:rPr>
      </w:pPr>
    </w:p>
    <w:p w:rsidR="00ED4925" w:rsidRPr="000D1569" w:rsidRDefault="00C1115F" w:rsidP="00A3275A">
      <w:pPr>
        <w:tabs>
          <w:tab w:val="center" w:pos="284"/>
          <w:tab w:val="left" w:pos="1701"/>
        </w:tabs>
        <w:overflowPunct w:val="0"/>
        <w:autoSpaceDE w:val="0"/>
        <w:autoSpaceDN w:val="0"/>
        <w:adjustRightInd w:val="0"/>
        <w:spacing w:line="276" w:lineRule="auto"/>
        <w:ind w:left="266" w:hanging="266"/>
        <w:textAlignment w:val="baseline"/>
        <w:rPr>
          <w:szCs w:val="20"/>
        </w:rPr>
      </w:pPr>
      <w:r w:rsidRPr="000D1569">
        <w:rPr>
          <w:b/>
        </w:rPr>
        <w:t>Référence:</w:t>
      </w:r>
      <w:r w:rsidRPr="000D1569">
        <w:tab/>
        <w:t>Avis exploratoire</w:t>
      </w:r>
    </w:p>
    <w:p w:rsidR="00C1115F" w:rsidRPr="000D1569" w:rsidRDefault="00C1115F" w:rsidP="00A3275A">
      <w:pPr>
        <w:tabs>
          <w:tab w:val="center" w:pos="-2268"/>
        </w:tabs>
        <w:overflowPunct w:val="0"/>
        <w:autoSpaceDE w:val="0"/>
        <w:autoSpaceDN w:val="0"/>
        <w:adjustRightInd w:val="0"/>
        <w:spacing w:line="276" w:lineRule="auto"/>
        <w:ind w:left="1701"/>
        <w:textAlignment w:val="baseline"/>
      </w:pPr>
      <w:r w:rsidRPr="000D1569">
        <w:t>EESC-2016-05923-00-00-PA-TRA</w:t>
      </w:r>
    </w:p>
    <w:p w:rsidR="00C1115F" w:rsidRPr="000D1569" w:rsidRDefault="00C1115F" w:rsidP="00A3275A">
      <w:pPr>
        <w:tabs>
          <w:tab w:val="center" w:pos="284"/>
        </w:tabs>
        <w:overflowPunct w:val="0"/>
        <w:autoSpaceDE w:val="0"/>
        <w:autoSpaceDN w:val="0"/>
        <w:adjustRightInd w:val="0"/>
        <w:spacing w:line="276" w:lineRule="auto"/>
        <w:ind w:left="266" w:hanging="266"/>
        <w:textAlignment w:val="baseline"/>
        <w:rPr>
          <w:szCs w:val="20"/>
        </w:rPr>
      </w:pPr>
    </w:p>
    <w:p w:rsidR="00C1115F" w:rsidRPr="000D1569" w:rsidRDefault="00C1115F" w:rsidP="00B7094D">
      <w:pPr>
        <w:keepNext/>
        <w:overflowPunct w:val="0"/>
        <w:autoSpaceDE w:val="0"/>
        <w:autoSpaceDN w:val="0"/>
        <w:adjustRightInd w:val="0"/>
        <w:spacing w:line="276" w:lineRule="auto"/>
        <w:textAlignment w:val="baseline"/>
        <w:rPr>
          <w:b/>
        </w:rPr>
      </w:pPr>
      <w:r w:rsidRPr="000D1569">
        <w:rPr>
          <w:b/>
        </w:rPr>
        <w:t>Points clés:</w:t>
      </w:r>
    </w:p>
    <w:p w:rsidR="00C1115F" w:rsidRPr="000D1569" w:rsidRDefault="00C1115F" w:rsidP="00B7094D">
      <w:pPr>
        <w:keepNext/>
        <w:overflowPunct w:val="0"/>
        <w:autoSpaceDE w:val="0"/>
        <w:autoSpaceDN w:val="0"/>
        <w:adjustRightInd w:val="0"/>
        <w:spacing w:line="276" w:lineRule="auto"/>
        <w:textAlignment w:val="baseline"/>
        <w:rPr>
          <w:szCs w:val="20"/>
        </w:rPr>
      </w:pPr>
    </w:p>
    <w:p w:rsidR="00C1115F" w:rsidRPr="000D1569" w:rsidRDefault="00C1115F" w:rsidP="00A3275A">
      <w:pPr>
        <w:overflowPunct w:val="0"/>
        <w:autoSpaceDE w:val="0"/>
        <w:autoSpaceDN w:val="0"/>
        <w:adjustRightInd w:val="0"/>
        <w:spacing w:line="276" w:lineRule="auto"/>
        <w:textAlignment w:val="baseline"/>
        <w:rPr>
          <w:szCs w:val="20"/>
        </w:rPr>
      </w:pPr>
      <w:r w:rsidRPr="000D1569">
        <w:t>Bien que le secteur du tourisme dispose d</w:t>
      </w:r>
      <w:r w:rsidR="006378F5" w:rsidRPr="000D1569">
        <w:t>’</w:t>
      </w:r>
      <w:r w:rsidRPr="000D1569">
        <w:t>une forte capacité de résilience et se rétablisse rapidement en temps de crise, il importe d</w:t>
      </w:r>
      <w:r w:rsidR="006378F5" w:rsidRPr="000D1569">
        <w:t>’</w:t>
      </w:r>
      <w:r w:rsidRPr="000D1569">
        <w:t>analyser et de traiter les défis et les chances à saisir que l</w:t>
      </w:r>
      <w:r w:rsidR="006378F5" w:rsidRPr="000D1569">
        <w:t>’</w:t>
      </w:r>
      <w:r w:rsidRPr="000D1569">
        <w:t>on peut escompter dans le secteur du tourisme nautique et maritime, tout particulièrement en Méditerranée, compte tenu de sa grande importance et de son apport substantiel à l</w:t>
      </w:r>
      <w:r w:rsidR="006378F5" w:rsidRPr="000D1569">
        <w:t>’</w:t>
      </w:r>
      <w:r w:rsidRPr="000D1569">
        <w:t>économie européenne.</w:t>
      </w:r>
    </w:p>
    <w:p w:rsidR="00C1115F" w:rsidRPr="000D1569" w:rsidRDefault="00C1115F" w:rsidP="00A3275A">
      <w:pPr>
        <w:overflowPunct w:val="0"/>
        <w:autoSpaceDE w:val="0"/>
        <w:autoSpaceDN w:val="0"/>
        <w:adjustRightInd w:val="0"/>
        <w:spacing w:line="276" w:lineRule="auto"/>
        <w:textAlignment w:val="baseline"/>
        <w:rPr>
          <w:szCs w:val="20"/>
        </w:rPr>
      </w:pPr>
    </w:p>
    <w:p w:rsidR="00C1115F" w:rsidRPr="000D1569" w:rsidRDefault="00C1115F" w:rsidP="00A3275A">
      <w:pPr>
        <w:overflowPunct w:val="0"/>
        <w:autoSpaceDE w:val="0"/>
        <w:autoSpaceDN w:val="0"/>
        <w:adjustRightInd w:val="0"/>
        <w:spacing w:line="276" w:lineRule="auto"/>
        <w:textAlignment w:val="baseline"/>
        <w:rPr>
          <w:szCs w:val="20"/>
        </w:rPr>
      </w:pPr>
      <w:r w:rsidRPr="000D1569">
        <w:t>Le Comité préconise de mettre sur pied pour la Méditerranée occidentale un groupement d</w:t>
      </w:r>
      <w:r w:rsidR="006378F5" w:rsidRPr="000D1569">
        <w:t>’</w:t>
      </w:r>
      <w:r w:rsidRPr="000D1569">
        <w:t>États membres et de pays tiers afin de traiter conjointement de la croissance bleue, ainsi que des infrastructures bleues et vertes afin de rétablir les écosystèmes dégradés. Le tourisme est lui-même une source non négligeable de déchets; il s</w:t>
      </w:r>
      <w:r w:rsidR="006378F5" w:rsidRPr="000D1569">
        <w:t>’</w:t>
      </w:r>
      <w:r w:rsidRPr="000D1569">
        <w:t>impose dès lors de prendre des mesures innovantes capables d</w:t>
      </w:r>
      <w:r w:rsidR="006378F5" w:rsidRPr="000D1569">
        <w:t>’</w:t>
      </w:r>
      <w:r w:rsidRPr="000D1569">
        <w:t>atténuer les problèmes liés aux déchets, en sus d</w:t>
      </w:r>
      <w:r w:rsidR="006378F5" w:rsidRPr="000D1569">
        <w:t>’</w:t>
      </w:r>
      <w:r w:rsidRPr="000D1569">
        <w:t>appliquer les réglementations de manière coordonnée et efficace.</w:t>
      </w:r>
    </w:p>
    <w:p w:rsidR="00C1115F" w:rsidRPr="000D1569" w:rsidRDefault="00C1115F" w:rsidP="00A3275A">
      <w:pPr>
        <w:overflowPunct w:val="0"/>
        <w:autoSpaceDE w:val="0"/>
        <w:autoSpaceDN w:val="0"/>
        <w:adjustRightInd w:val="0"/>
        <w:spacing w:line="276" w:lineRule="auto"/>
        <w:textAlignment w:val="baseline"/>
      </w:pPr>
    </w:p>
    <w:p w:rsidR="00C1115F" w:rsidRPr="000D1569" w:rsidRDefault="00C1115F" w:rsidP="00A3275A">
      <w:pPr>
        <w:overflowPunct w:val="0"/>
        <w:autoSpaceDE w:val="0"/>
        <w:autoSpaceDN w:val="0"/>
        <w:adjustRightInd w:val="0"/>
        <w:spacing w:line="276" w:lineRule="auto"/>
        <w:rPr>
          <w:i/>
          <w:szCs w:val="20"/>
        </w:rPr>
      </w:pPr>
      <w:r w:rsidRPr="000D1569">
        <w:rPr>
          <w:b/>
          <w:i/>
        </w:rPr>
        <w:t>Contact:</w:t>
      </w:r>
      <w:r w:rsidRPr="000D1569">
        <w:tab/>
      </w:r>
      <w:r w:rsidRPr="000D1569">
        <w:rPr>
          <w:i/>
        </w:rPr>
        <w:t>M. Jean-Pierre Faure</w:t>
      </w:r>
    </w:p>
    <w:p w:rsidR="00C1115F" w:rsidRPr="000D1569" w:rsidRDefault="00C1115F" w:rsidP="00A3275A">
      <w:pPr>
        <w:overflowPunct w:val="0"/>
        <w:autoSpaceDE w:val="0"/>
        <w:autoSpaceDN w:val="0"/>
        <w:adjustRightInd w:val="0"/>
        <w:spacing w:line="276" w:lineRule="auto"/>
        <w:ind w:left="1134"/>
        <w:rPr>
          <w:i/>
          <w:szCs w:val="20"/>
        </w:rPr>
      </w:pPr>
      <w:r w:rsidRPr="000D1569">
        <w:rPr>
          <w:i/>
        </w:rPr>
        <w:t xml:space="preserve">(Tél.: 00 32 2 546 9615 – courriel: </w:t>
      </w:r>
      <w:hyperlink r:id="rId29">
        <w:r w:rsidRPr="000D1569">
          <w:rPr>
            <w:i/>
            <w:color w:val="0000FF"/>
            <w:u w:val="single"/>
          </w:rPr>
          <w:t>jean-pierre.faure@eesc.europa.eu</w:t>
        </w:r>
      </w:hyperlink>
      <w:r w:rsidRPr="000D1569">
        <w:rPr>
          <w:i/>
        </w:rPr>
        <w:t>)</w:t>
      </w:r>
    </w:p>
    <w:p w:rsidR="00C1115F" w:rsidRPr="000D1569" w:rsidRDefault="00C1115F" w:rsidP="00A3275A">
      <w:pPr>
        <w:overflowPunct w:val="0"/>
        <w:autoSpaceDE w:val="0"/>
        <w:autoSpaceDN w:val="0"/>
        <w:adjustRightInd w:val="0"/>
        <w:spacing w:line="276" w:lineRule="auto"/>
        <w:rPr>
          <w:i/>
          <w:iCs/>
          <w:u w:val="single"/>
        </w:rPr>
      </w:pPr>
    </w:p>
    <w:p w:rsidR="00C1115F" w:rsidRPr="000D1569" w:rsidRDefault="00C1115F" w:rsidP="00A3275A">
      <w:pPr>
        <w:keepNext/>
        <w:widowControl w:val="0"/>
        <w:numPr>
          <w:ilvl w:val="0"/>
          <w:numId w:val="2"/>
        </w:numPr>
        <w:overflowPunct w:val="0"/>
        <w:autoSpaceDE w:val="0"/>
        <w:autoSpaceDN w:val="0"/>
        <w:adjustRightInd w:val="0"/>
        <w:spacing w:line="276" w:lineRule="auto"/>
        <w:textAlignment w:val="baseline"/>
        <w:rPr>
          <w:i/>
          <w:sz w:val="28"/>
          <w:szCs w:val="28"/>
        </w:rPr>
      </w:pPr>
      <w:r w:rsidRPr="000D1569">
        <w:rPr>
          <w:b/>
          <w:i/>
          <w:sz w:val="28"/>
        </w:rPr>
        <w:t>Stratégie spatiale pour l</w:t>
      </w:r>
      <w:r w:rsidR="006378F5" w:rsidRPr="000D1569">
        <w:rPr>
          <w:b/>
          <w:i/>
          <w:sz w:val="28"/>
        </w:rPr>
        <w:t>’</w:t>
      </w:r>
      <w:r w:rsidRPr="000D1569">
        <w:rPr>
          <w:b/>
          <w:i/>
          <w:sz w:val="28"/>
        </w:rPr>
        <w:t>Europe</w:t>
      </w:r>
    </w:p>
    <w:p w:rsidR="00C1115F" w:rsidRPr="000D1569" w:rsidRDefault="00C1115F" w:rsidP="00A3275A">
      <w:pPr>
        <w:keepNext/>
        <w:tabs>
          <w:tab w:val="center" w:pos="284"/>
        </w:tabs>
        <w:overflowPunct w:val="0"/>
        <w:autoSpaceDE w:val="0"/>
        <w:autoSpaceDN w:val="0"/>
        <w:adjustRightInd w:val="0"/>
        <w:spacing w:line="276" w:lineRule="auto"/>
        <w:ind w:left="266" w:hanging="266"/>
        <w:textAlignment w:val="baseline"/>
        <w:rPr>
          <w:b/>
          <w:szCs w:val="20"/>
        </w:rPr>
      </w:pPr>
    </w:p>
    <w:p w:rsidR="00C1115F" w:rsidRPr="000D1569"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r w:rsidRPr="000D1569">
        <w:rPr>
          <w:b/>
        </w:rPr>
        <w:t>Rapporteur:</w:t>
      </w:r>
      <w:r w:rsidRPr="000D1569">
        <w:tab/>
        <w:t>M. Mindaugas MACIULEVIČIUS (Activités diverses – Lituanie)</w:t>
      </w:r>
    </w:p>
    <w:p w:rsidR="00C1115F" w:rsidRPr="000D1569" w:rsidRDefault="00C1115F" w:rsidP="00A3275A">
      <w:pPr>
        <w:keepNext/>
        <w:tabs>
          <w:tab w:val="center" w:pos="284"/>
        </w:tabs>
        <w:overflowPunct w:val="0"/>
        <w:autoSpaceDE w:val="0"/>
        <w:autoSpaceDN w:val="0"/>
        <w:adjustRightInd w:val="0"/>
        <w:spacing w:line="276" w:lineRule="auto"/>
        <w:ind w:left="266" w:hanging="266"/>
        <w:textAlignment w:val="baseline"/>
        <w:rPr>
          <w:b/>
          <w:szCs w:val="20"/>
        </w:rPr>
      </w:pPr>
    </w:p>
    <w:p w:rsidR="00C1115F" w:rsidRPr="000D1569" w:rsidRDefault="00C1115F" w:rsidP="00A3275A">
      <w:pPr>
        <w:keepNext/>
        <w:tabs>
          <w:tab w:val="center" w:pos="284"/>
          <w:tab w:val="left" w:pos="1701"/>
        </w:tabs>
        <w:overflowPunct w:val="0"/>
        <w:autoSpaceDE w:val="0"/>
        <w:autoSpaceDN w:val="0"/>
        <w:adjustRightInd w:val="0"/>
        <w:spacing w:line="276" w:lineRule="auto"/>
        <w:ind w:left="266" w:hanging="266"/>
        <w:textAlignment w:val="baseline"/>
        <w:rPr>
          <w:szCs w:val="20"/>
        </w:rPr>
      </w:pPr>
      <w:r w:rsidRPr="000D1569">
        <w:rPr>
          <w:b/>
        </w:rPr>
        <w:t>Référence:</w:t>
      </w:r>
      <w:r w:rsidRPr="000D1569">
        <w:tab/>
        <w:t>COM(2016) 705 final</w:t>
      </w:r>
    </w:p>
    <w:p w:rsidR="00C1115F" w:rsidRPr="000D1569" w:rsidRDefault="00C1115F" w:rsidP="00A3275A">
      <w:pPr>
        <w:keepNext/>
        <w:tabs>
          <w:tab w:val="center" w:pos="-2977"/>
        </w:tabs>
        <w:overflowPunct w:val="0"/>
        <w:autoSpaceDE w:val="0"/>
        <w:autoSpaceDN w:val="0"/>
        <w:adjustRightInd w:val="0"/>
        <w:spacing w:line="276" w:lineRule="auto"/>
        <w:ind w:left="1701"/>
        <w:textAlignment w:val="baseline"/>
      </w:pPr>
      <w:r w:rsidRPr="000D1569">
        <w:t>INT/809 – EESC-2016-05992-00-00-PA-TRA</w:t>
      </w:r>
    </w:p>
    <w:p w:rsidR="00C1115F" w:rsidRPr="000D1569"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p>
    <w:p w:rsidR="00C1115F" w:rsidRPr="000D1569" w:rsidRDefault="00C1115F" w:rsidP="00A3275A">
      <w:pPr>
        <w:keepNext/>
        <w:overflowPunct w:val="0"/>
        <w:autoSpaceDE w:val="0"/>
        <w:autoSpaceDN w:val="0"/>
        <w:adjustRightInd w:val="0"/>
        <w:spacing w:line="276" w:lineRule="auto"/>
        <w:textAlignment w:val="baseline"/>
        <w:rPr>
          <w:b/>
        </w:rPr>
      </w:pPr>
      <w:r w:rsidRPr="000D1569">
        <w:rPr>
          <w:b/>
        </w:rPr>
        <w:t>Points clés:</w:t>
      </w:r>
    </w:p>
    <w:p w:rsidR="00E84F95" w:rsidRPr="000D1569" w:rsidRDefault="00E84F95" w:rsidP="00A3275A">
      <w:pPr>
        <w:keepNext/>
        <w:overflowPunct w:val="0"/>
        <w:autoSpaceDE w:val="0"/>
        <w:autoSpaceDN w:val="0"/>
        <w:adjustRightInd w:val="0"/>
        <w:spacing w:line="276" w:lineRule="auto"/>
        <w:textAlignment w:val="baseline"/>
        <w:rPr>
          <w:szCs w:val="20"/>
        </w:rPr>
      </w:pPr>
    </w:p>
    <w:p w:rsidR="00C1115F" w:rsidRPr="000D1569" w:rsidRDefault="00C1115F" w:rsidP="00A3275A">
      <w:pPr>
        <w:overflowPunct w:val="0"/>
        <w:autoSpaceDE w:val="0"/>
        <w:autoSpaceDN w:val="0"/>
        <w:adjustRightInd w:val="0"/>
        <w:spacing w:line="276" w:lineRule="auto"/>
        <w:textAlignment w:val="baseline"/>
        <w:rPr>
          <w:szCs w:val="20"/>
        </w:rPr>
      </w:pPr>
      <w:r w:rsidRPr="000D1569">
        <w:t>Le CESE:</w:t>
      </w:r>
    </w:p>
    <w:p w:rsidR="009928D1" w:rsidRPr="000D1569" w:rsidRDefault="009928D1" w:rsidP="00A3275A">
      <w:pPr>
        <w:overflowPunct w:val="0"/>
        <w:autoSpaceDE w:val="0"/>
        <w:autoSpaceDN w:val="0"/>
        <w:adjustRightInd w:val="0"/>
        <w:spacing w:line="276" w:lineRule="auto"/>
        <w:textAlignment w:val="baseline"/>
        <w:rPr>
          <w:szCs w:val="20"/>
        </w:rPr>
      </w:pPr>
    </w:p>
    <w:p w:rsidR="00C1115F" w:rsidRPr="000D1569"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0D1569">
        <w:t>se félicite de la communication de la Commission sur une «Stratégie spatiale pour l</w:t>
      </w:r>
      <w:r w:rsidR="006378F5" w:rsidRPr="000D1569">
        <w:t>’</w:t>
      </w:r>
      <w:r w:rsidRPr="000D1569">
        <w:t>Europe»;</w:t>
      </w:r>
    </w:p>
    <w:p w:rsidR="00C1115F" w:rsidRPr="000D1569"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0D1569">
        <w:t>réaffirme qu</w:t>
      </w:r>
      <w:r w:rsidR="006378F5" w:rsidRPr="000D1569">
        <w:t>’</w:t>
      </w:r>
      <w:r w:rsidRPr="000D1569">
        <w:t>il soutient fermement une politique spatiale orientée vers les besoins civils;</w:t>
      </w:r>
    </w:p>
    <w:p w:rsidR="00C1115F" w:rsidRPr="000D1569"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0D1569">
        <w:t>demande à la Commission de trouver, de concert avec la Banque européenne d</w:t>
      </w:r>
      <w:r w:rsidR="006378F5" w:rsidRPr="000D1569">
        <w:t>’</w:t>
      </w:r>
      <w:r w:rsidRPr="000D1569">
        <w:t>investissement, de nouvelles possibilités de financement pour encourager les investisseurs privés;</w:t>
      </w:r>
    </w:p>
    <w:p w:rsidR="00C1115F" w:rsidRPr="000D1569"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0D1569">
        <w:t>réclame la participation active de tous les États membres;</w:t>
      </w:r>
    </w:p>
    <w:p w:rsidR="00C1115F" w:rsidRPr="000D1569"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0D1569">
        <w:t>est d</w:t>
      </w:r>
      <w:r w:rsidR="006378F5" w:rsidRPr="000D1569">
        <w:t>’</w:t>
      </w:r>
      <w:r w:rsidRPr="000D1569">
        <w:t>avis que les questions de l</w:t>
      </w:r>
      <w:r w:rsidR="006378F5" w:rsidRPr="000D1569">
        <w:t>’</w:t>
      </w:r>
      <w:r w:rsidRPr="000D1569">
        <w:t>éducation et de la sensibilisation du public en ce qui concerne les avantages que procure la mise à disposition d</w:t>
      </w:r>
      <w:r w:rsidR="006378F5" w:rsidRPr="000D1569">
        <w:t>’</w:t>
      </w:r>
      <w:r w:rsidRPr="000D1569">
        <w:t>informations et de données grâce aux activités spatiales sont de la plus haute importance;</w:t>
      </w:r>
    </w:p>
    <w:p w:rsidR="00C1115F" w:rsidRPr="000D1569"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0D1569">
        <w:t>invite la Commission à étudier dans quelle mesure il serait possible de créer un portail unique;</w:t>
      </w:r>
    </w:p>
    <w:p w:rsidR="00C1115F" w:rsidRPr="000D1569"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0D1569">
        <w:t>réclame une nouvelle approche pour l</w:t>
      </w:r>
      <w:r w:rsidR="006378F5" w:rsidRPr="000D1569">
        <w:t>’</w:t>
      </w:r>
      <w:r w:rsidRPr="000D1569">
        <w:t>utilisation des données.</w:t>
      </w:r>
    </w:p>
    <w:p w:rsidR="00C1115F" w:rsidRPr="000D1569" w:rsidRDefault="00C1115F" w:rsidP="00A3275A">
      <w:pPr>
        <w:overflowPunct w:val="0"/>
        <w:autoSpaceDE w:val="0"/>
        <w:autoSpaceDN w:val="0"/>
        <w:adjustRightInd w:val="0"/>
        <w:spacing w:line="276" w:lineRule="auto"/>
        <w:textAlignment w:val="baseline"/>
      </w:pPr>
    </w:p>
    <w:p w:rsidR="00C1115F" w:rsidRPr="000D1569" w:rsidRDefault="00C1115F" w:rsidP="00A3275A">
      <w:pPr>
        <w:overflowPunct w:val="0"/>
        <w:autoSpaceDE w:val="0"/>
        <w:autoSpaceDN w:val="0"/>
        <w:adjustRightInd w:val="0"/>
        <w:spacing w:line="276" w:lineRule="auto"/>
        <w:rPr>
          <w:i/>
          <w:szCs w:val="20"/>
        </w:rPr>
      </w:pPr>
      <w:r w:rsidRPr="000D1569">
        <w:rPr>
          <w:b/>
          <w:i/>
        </w:rPr>
        <w:t>Contact:</w:t>
      </w:r>
      <w:r w:rsidRPr="000D1569">
        <w:tab/>
      </w:r>
      <w:r w:rsidRPr="000D1569">
        <w:rPr>
          <w:i/>
        </w:rPr>
        <w:t>M. Daniel Squerzi</w:t>
      </w:r>
    </w:p>
    <w:p w:rsidR="00C1115F" w:rsidRPr="000D1569" w:rsidRDefault="00C1115F" w:rsidP="00A3275A">
      <w:pPr>
        <w:overflowPunct w:val="0"/>
        <w:autoSpaceDE w:val="0"/>
        <w:autoSpaceDN w:val="0"/>
        <w:adjustRightInd w:val="0"/>
        <w:spacing w:line="276" w:lineRule="auto"/>
        <w:ind w:left="1134"/>
        <w:rPr>
          <w:szCs w:val="20"/>
        </w:rPr>
      </w:pPr>
      <w:r w:rsidRPr="000D1569">
        <w:rPr>
          <w:i/>
        </w:rPr>
        <w:t xml:space="preserve">(Tél.: 00 32 2 546 9250 – courriel: </w:t>
      </w:r>
      <w:hyperlink r:id="rId30">
        <w:r w:rsidRPr="000D1569">
          <w:rPr>
            <w:i/>
            <w:color w:val="0000FF"/>
            <w:u w:val="single"/>
          </w:rPr>
          <w:t>daniel.squerzi@eesc.europa.eu</w:t>
        </w:r>
      </w:hyperlink>
      <w:r w:rsidRPr="000D1569">
        <w:rPr>
          <w:i/>
        </w:rPr>
        <w:t>)</w:t>
      </w:r>
    </w:p>
    <w:p w:rsidR="003A4AB8" w:rsidRPr="000D1569" w:rsidRDefault="003A4AB8" w:rsidP="00A3275A">
      <w:pPr>
        <w:overflowPunct w:val="0"/>
        <w:autoSpaceDE w:val="0"/>
        <w:autoSpaceDN w:val="0"/>
        <w:adjustRightInd w:val="0"/>
        <w:spacing w:line="276" w:lineRule="auto"/>
        <w:rPr>
          <w:szCs w:val="20"/>
        </w:rPr>
      </w:pPr>
    </w:p>
    <w:p w:rsidR="00505DD7" w:rsidRPr="000D1569" w:rsidRDefault="00505DD7" w:rsidP="004C07BF">
      <w:pPr>
        <w:spacing w:line="240" w:lineRule="auto"/>
        <w:rPr>
          <w:b/>
        </w:rPr>
      </w:pPr>
    </w:p>
    <w:p w:rsidR="003075E1" w:rsidRPr="000D1569" w:rsidRDefault="00E6566F" w:rsidP="00A3275A">
      <w:pPr>
        <w:pStyle w:val="Heading1"/>
        <w:keepNext/>
        <w:spacing w:line="276" w:lineRule="auto"/>
        <w:rPr>
          <w:b/>
          <w:iCs/>
        </w:rPr>
      </w:pPr>
      <w:bookmarkStart w:id="10" w:name="_Toc477938713"/>
      <w:bookmarkStart w:id="11" w:name="_Toc480471741"/>
      <w:r w:rsidRPr="000D1569">
        <w:rPr>
          <w:b/>
        </w:rPr>
        <w:t>MARCHÉ INTÉRIEUR</w:t>
      </w:r>
      <w:bookmarkEnd w:id="10"/>
      <w:bookmarkEnd w:id="11"/>
    </w:p>
    <w:p w:rsidR="00505DD7" w:rsidRPr="000D1569" w:rsidRDefault="00505DD7" w:rsidP="00A3275A">
      <w:pPr>
        <w:keepNext/>
        <w:overflowPunct w:val="0"/>
        <w:autoSpaceDE w:val="0"/>
        <w:autoSpaceDN w:val="0"/>
        <w:adjustRightInd w:val="0"/>
        <w:spacing w:line="276" w:lineRule="auto"/>
        <w:rPr>
          <w:i/>
          <w:iCs/>
          <w:u w:val="single"/>
        </w:rPr>
      </w:pPr>
    </w:p>
    <w:p w:rsidR="00C1115F" w:rsidRPr="000D1569" w:rsidRDefault="00C1115F" w:rsidP="00A3275A">
      <w:pPr>
        <w:keepNext/>
        <w:widowControl w:val="0"/>
        <w:numPr>
          <w:ilvl w:val="0"/>
          <w:numId w:val="2"/>
        </w:numPr>
        <w:overflowPunct w:val="0"/>
        <w:autoSpaceDE w:val="0"/>
        <w:autoSpaceDN w:val="0"/>
        <w:adjustRightInd w:val="0"/>
        <w:spacing w:line="276" w:lineRule="auto"/>
        <w:textAlignment w:val="baseline"/>
        <w:rPr>
          <w:i/>
          <w:sz w:val="28"/>
          <w:szCs w:val="28"/>
        </w:rPr>
      </w:pPr>
      <w:r w:rsidRPr="000D1569">
        <w:rPr>
          <w:b/>
          <w:i/>
          <w:sz w:val="28"/>
        </w:rPr>
        <w:t>L</w:t>
      </w:r>
      <w:r w:rsidR="006378F5" w:rsidRPr="000D1569">
        <w:rPr>
          <w:b/>
          <w:i/>
          <w:sz w:val="28"/>
        </w:rPr>
        <w:t>’</w:t>
      </w:r>
      <w:r w:rsidRPr="000D1569">
        <w:rPr>
          <w:b/>
          <w:i/>
          <w:sz w:val="28"/>
        </w:rPr>
        <w:t>insolvabilité des entreprises</w:t>
      </w:r>
    </w:p>
    <w:p w:rsidR="00C1115F" w:rsidRPr="000D1569" w:rsidRDefault="00C1115F" w:rsidP="00A3275A">
      <w:pPr>
        <w:keepNext/>
        <w:tabs>
          <w:tab w:val="center" w:pos="284"/>
        </w:tabs>
        <w:overflowPunct w:val="0"/>
        <w:autoSpaceDE w:val="0"/>
        <w:autoSpaceDN w:val="0"/>
        <w:adjustRightInd w:val="0"/>
        <w:spacing w:line="276" w:lineRule="auto"/>
        <w:ind w:left="266" w:hanging="266"/>
        <w:textAlignment w:val="baseline"/>
        <w:rPr>
          <w:b/>
          <w:szCs w:val="20"/>
        </w:rPr>
      </w:pPr>
    </w:p>
    <w:p w:rsidR="00C1115F" w:rsidRPr="000D1569"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r w:rsidRPr="000D1569">
        <w:rPr>
          <w:b/>
        </w:rPr>
        <w:t>Rapporteur:</w:t>
      </w:r>
      <w:r w:rsidRPr="000D1569">
        <w:tab/>
        <w:t>M. Antonello PEZZINI (Employeurs – Italie)</w:t>
      </w:r>
    </w:p>
    <w:p w:rsidR="00C1115F" w:rsidRPr="000D1569"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r w:rsidRPr="000D1569">
        <w:rPr>
          <w:b/>
        </w:rPr>
        <w:t>Corapporteure:</w:t>
      </w:r>
      <w:r w:rsidRPr="000D1569">
        <w:tab/>
        <w:t>M</w:t>
      </w:r>
      <w:r w:rsidRPr="000D1569">
        <w:rPr>
          <w:vertAlign w:val="superscript"/>
        </w:rPr>
        <w:t>me</w:t>
      </w:r>
      <w:r w:rsidRPr="000D1569">
        <w:t> Franca SALIS-MADINIER (Travailleurs – France)</w:t>
      </w:r>
    </w:p>
    <w:p w:rsidR="00C1115F" w:rsidRPr="000D1569"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p>
    <w:p w:rsidR="00E24E8C" w:rsidRPr="000D1569" w:rsidRDefault="00C1115F" w:rsidP="00A3275A">
      <w:pPr>
        <w:tabs>
          <w:tab w:val="left" w:pos="1701"/>
        </w:tabs>
        <w:overflowPunct w:val="0"/>
        <w:autoSpaceDE w:val="0"/>
        <w:autoSpaceDN w:val="0"/>
        <w:adjustRightInd w:val="0"/>
        <w:spacing w:line="276" w:lineRule="auto"/>
        <w:textAlignment w:val="baseline"/>
        <w:rPr>
          <w:szCs w:val="20"/>
        </w:rPr>
      </w:pPr>
      <w:r w:rsidRPr="000D1569">
        <w:rPr>
          <w:b/>
        </w:rPr>
        <w:t>Référence:</w:t>
      </w:r>
      <w:r w:rsidRPr="000D1569">
        <w:tab/>
        <w:t>COM(2016) 723 final – 2016/0359 (COD)</w:t>
      </w:r>
    </w:p>
    <w:p w:rsidR="00C1115F" w:rsidRPr="000D1569" w:rsidRDefault="00C1115F" w:rsidP="00A3275A">
      <w:pPr>
        <w:overflowPunct w:val="0"/>
        <w:autoSpaceDE w:val="0"/>
        <w:autoSpaceDN w:val="0"/>
        <w:adjustRightInd w:val="0"/>
        <w:spacing w:line="276" w:lineRule="auto"/>
        <w:ind w:left="1701"/>
        <w:textAlignment w:val="baseline"/>
      </w:pPr>
      <w:r w:rsidRPr="000D1569">
        <w:t>EESC-2016-06275-00-02-PA-TRA</w:t>
      </w:r>
    </w:p>
    <w:p w:rsidR="00C1115F" w:rsidRPr="000D1569" w:rsidRDefault="00C1115F" w:rsidP="00A3275A">
      <w:pPr>
        <w:tabs>
          <w:tab w:val="center" w:pos="284"/>
        </w:tabs>
        <w:overflowPunct w:val="0"/>
        <w:autoSpaceDE w:val="0"/>
        <w:autoSpaceDN w:val="0"/>
        <w:adjustRightInd w:val="0"/>
        <w:spacing w:line="276" w:lineRule="auto"/>
        <w:ind w:left="266" w:hanging="266"/>
        <w:textAlignment w:val="baseline"/>
        <w:rPr>
          <w:szCs w:val="20"/>
        </w:rPr>
      </w:pPr>
    </w:p>
    <w:p w:rsidR="00C1115F" w:rsidRPr="000D1569" w:rsidRDefault="00C1115F" w:rsidP="00A3275A">
      <w:pPr>
        <w:overflowPunct w:val="0"/>
        <w:autoSpaceDE w:val="0"/>
        <w:autoSpaceDN w:val="0"/>
        <w:adjustRightInd w:val="0"/>
        <w:spacing w:line="276" w:lineRule="auto"/>
        <w:textAlignment w:val="baseline"/>
        <w:rPr>
          <w:b/>
        </w:rPr>
      </w:pPr>
      <w:r w:rsidRPr="000D1569">
        <w:rPr>
          <w:b/>
        </w:rPr>
        <w:t>Points clés:</w:t>
      </w:r>
    </w:p>
    <w:p w:rsidR="00E84F95" w:rsidRPr="000D1569" w:rsidRDefault="00E84F95" w:rsidP="00A3275A">
      <w:pPr>
        <w:overflowPunct w:val="0"/>
        <w:autoSpaceDE w:val="0"/>
        <w:autoSpaceDN w:val="0"/>
        <w:adjustRightInd w:val="0"/>
        <w:spacing w:line="276" w:lineRule="auto"/>
        <w:textAlignment w:val="baseline"/>
        <w:rPr>
          <w:szCs w:val="20"/>
        </w:rPr>
      </w:pPr>
    </w:p>
    <w:p w:rsidR="00C1115F" w:rsidRPr="000D1569" w:rsidRDefault="00C1115F" w:rsidP="00A3275A">
      <w:pPr>
        <w:overflowPunct w:val="0"/>
        <w:autoSpaceDE w:val="0"/>
        <w:autoSpaceDN w:val="0"/>
        <w:adjustRightInd w:val="0"/>
        <w:spacing w:line="276" w:lineRule="auto"/>
        <w:textAlignment w:val="baseline"/>
        <w:rPr>
          <w:szCs w:val="20"/>
        </w:rPr>
      </w:pPr>
      <w:r w:rsidRPr="000D1569">
        <w:t>Le CESE:</w:t>
      </w:r>
    </w:p>
    <w:p w:rsidR="00ED4925" w:rsidRPr="000D1569" w:rsidRDefault="00ED4925" w:rsidP="00A3275A">
      <w:pPr>
        <w:overflowPunct w:val="0"/>
        <w:autoSpaceDE w:val="0"/>
        <w:autoSpaceDN w:val="0"/>
        <w:adjustRightInd w:val="0"/>
        <w:spacing w:line="276" w:lineRule="auto"/>
        <w:textAlignment w:val="baseline"/>
        <w:rPr>
          <w:szCs w:val="20"/>
        </w:rPr>
      </w:pPr>
    </w:p>
    <w:p w:rsidR="00C1115F" w:rsidRPr="000D1569"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0D1569">
        <w:t>préférerait que la proposition prenne la forme d</w:t>
      </w:r>
      <w:r w:rsidR="006378F5" w:rsidRPr="000D1569">
        <w:t>’</w:t>
      </w:r>
      <w:r w:rsidRPr="000D1569">
        <w:t>un règlement et qu</w:t>
      </w:r>
      <w:r w:rsidR="006378F5" w:rsidRPr="000D1569">
        <w:t>’</w:t>
      </w:r>
      <w:r w:rsidRPr="000D1569">
        <w:t>elle n</w:t>
      </w:r>
      <w:r w:rsidR="006378F5" w:rsidRPr="000D1569">
        <w:t>’</w:t>
      </w:r>
      <w:r w:rsidRPr="000D1569">
        <w:t>hésite pas à procéder à une harmonisation aussi poussée que possible des systèmes actuels;</w:t>
      </w:r>
    </w:p>
    <w:p w:rsidR="00987EAE" w:rsidRPr="000D1569" w:rsidRDefault="00987EAE" w:rsidP="00A3275A">
      <w:pPr>
        <w:overflowPunct w:val="0"/>
        <w:autoSpaceDE w:val="0"/>
        <w:autoSpaceDN w:val="0"/>
        <w:adjustRightInd w:val="0"/>
        <w:spacing w:line="276" w:lineRule="auto"/>
        <w:ind w:left="720"/>
        <w:contextualSpacing/>
        <w:textAlignment w:val="baseline"/>
        <w:rPr>
          <w:szCs w:val="20"/>
        </w:rPr>
      </w:pPr>
    </w:p>
    <w:p w:rsidR="00C1115F" w:rsidRPr="000D1569"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0D1569">
        <w:t>insiste pour que la directive précise formellement qu</w:t>
      </w:r>
      <w:r w:rsidR="006378F5" w:rsidRPr="000D1569">
        <w:t>’</w:t>
      </w:r>
      <w:r w:rsidRPr="000D1569">
        <w:t>il est fait obligation à la direction des entreprises d</w:t>
      </w:r>
      <w:r w:rsidR="006378F5" w:rsidRPr="000D1569">
        <w:t>’</w:t>
      </w:r>
      <w:r w:rsidRPr="000D1569">
        <w:t>informer et de consulter leurs salariés à l</w:t>
      </w:r>
      <w:r w:rsidR="006378F5" w:rsidRPr="000D1569">
        <w:t>’</w:t>
      </w:r>
      <w:r w:rsidRPr="000D1569">
        <w:t>avance et au cours des négociations;</w:t>
      </w:r>
    </w:p>
    <w:p w:rsidR="00C1115F" w:rsidRPr="000D1569"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0D1569">
        <w:t>recommande de prévoir qu</w:t>
      </w:r>
      <w:r w:rsidR="006378F5" w:rsidRPr="000D1569">
        <w:t>’</w:t>
      </w:r>
      <w:r w:rsidRPr="000D1569">
        <w:t>en cas d</w:t>
      </w:r>
      <w:r w:rsidR="006378F5" w:rsidRPr="000D1569">
        <w:t>’</w:t>
      </w:r>
      <w:r w:rsidRPr="000D1569">
        <w:t>insolvabilité, le statut de créanciers prioritaires soit garanti à tous les travailleurs dans tous les États membres;</w:t>
      </w:r>
    </w:p>
    <w:p w:rsidR="00987EAE" w:rsidRPr="000D1569" w:rsidRDefault="00987EAE" w:rsidP="00A3275A">
      <w:pPr>
        <w:overflowPunct w:val="0"/>
        <w:autoSpaceDE w:val="0"/>
        <w:autoSpaceDN w:val="0"/>
        <w:adjustRightInd w:val="0"/>
        <w:spacing w:line="276" w:lineRule="auto"/>
        <w:ind w:left="720"/>
        <w:contextualSpacing/>
        <w:textAlignment w:val="baseline"/>
        <w:rPr>
          <w:szCs w:val="20"/>
        </w:rPr>
      </w:pPr>
    </w:p>
    <w:p w:rsidR="00C1115F" w:rsidRPr="000D1569"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0D1569">
        <w:t>estime qu</w:t>
      </w:r>
      <w:r w:rsidR="006378F5" w:rsidRPr="000D1569">
        <w:t>’</w:t>
      </w:r>
      <w:r w:rsidRPr="000D1569">
        <w:t>il est nécessaire de vérifier les critères de fiabilité des entrepreneurs en termes de comportements professionnels honnêtes, et</w:t>
      </w:r>
    </w:p>
    <w:p w:rsidR="00987EAE" w:rsidRPr="000D1569" w:rsidRDefault="00987EAE" w:rsidP="00A3275A">
      <w:pPr>
        <w:overflowPunct w:val="0"/>
        <w:autoSpaceDE w:val="0"/>
        <w:autoSpaceDN w:val="0"/>
        <w:adjustRightInd w:val="0"/>
        <w:spacing w:line="276" w:lineRule="auto"/>
        <w:ind w:left="720"/>
        <w:contextualSpacing/>
        <w:textAlignment w:val="baseline"/>
        <w:rPr>
          <w:szCs w:val="20"/>
        </w:rPr>
      </w:pPr>
    </w:p>
    <w:p w:rsidR="00C1115F" w:rsidRPr="000D1569"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0D1569">
        <w:t>préconise que la directive considère comme une pratique illégale le fait qu</w:t>
      </w:r>
      <w:r w:rsidR="006378F5" w:rsidRPr="000D1569">
        <w:t>’</w:t>
      </w:r>
      <w:r w:rsidRPr="000D1569">
        <w:t>un dirigeant d</w:t>
      </w:r>
      <w:r w:rsidR="006378F5" w:rsidRPr="000D1569">
        <w:t>’</w:t>
      </w:r>
      <w:r w:rsidRPr="000D1569">
        <w:t>entreprise recoure abusivement à la procédure d</w:t>
      </w:r>
      <w:r w:rsidR="006378F5" w:rsidRPr="000D1569">
        <w:t>’</w:t>
      </w:r>
      <w:r w:rsidRPr="000D1569">
        <w:t>insolvabilité pour priver les travailleurs de leurs droits.</w:t>
      </w:r>
    </w:p>
    <w:p w:rsidR="00C1115F" w:rsidRPr="000D1569" w:rsidRDefault="00C1115F" w:rsidP="00A3275A">
      <w:pPr>
        <w:overflowPunct w:val="0"/>
        <w:autoSpaceDE w:val="0"/>
        <w:autoSpaceDN w:val="0"/>
        <w:adjustRightInd w:val="0"/>
        <w:spacing w:line="276" w:lineRule="auto"/>
        <w:textAlignment w:val="baseline"/>
      </w:pPr>
    </w:p>
    <w:p w:rsidR="00C1115F" w:rsidRPr="000D1569" w:rsidRDefault="00C1115F" w:rsidP="00A3275A">
      <w:pPr>
        <w:overflowPunct w:val="0"/>
        <w:autoSpaceDE w:val="0"/>
        <w:autoSpaceDN w:val="0"/>
        <w:adjustRightInd w:val="0"/>
        <w:spacing w:line="276" w:lineRule="auto"/>
        <w:rPr>
          <w:i/>
          <w:szCs w:val="20"/>
        </w:rPr>
      </w:pPr>
      <w:r w:rsidRPr="000D1569">
        <w:rPr>
          <w:b/>
          <w:i/>
        </w:rPr>
        <w:t>Contact:</w:t>
      </w:r>
      <w:r w:rsidRPr="000D1569">
        <w:tab/>
      </w:r>
      <w:r w:rsidRPr="000D1569">
        <w:rPr>
          <w:i/>
        </w:rPr>
        <w:t>M</w:t>
      </w:r>
      <w:r w:rsidRPr="000D1569">
        <w:rPr>
          <w:i/>
          <w:vertAlign w:val="superscript"/>
        </w:rPr>
        <w:t>me</w:t>
      </w:r>
      <w:r w:rsidRPr="000D1569">
        <w:rPr>
          <w:i/>
        </w:rPr>
        <w:t> Marie-Laurence Drillon</w:t>
      </w:r>
    </w:p>
    <w:p w:rsidR="00C1115F" w:rsidRPr="000D1569" w:rsidRDefault="00C1115F" w:rsidP="00A3275A">
      <w:pPr>
        <w:overflowPunct w:val="0"/>
        <w:autoSpaceDE w:val="0"/>
        <w:autoSpaceDN w:val="0"/>
        <w:adjustRightInd w:val="0"/>
        <w:spacing w:line="276" w:lineRule="auto"/>
        <w:ind w:left="1134"/>
        <w:textAlignment w:val="baseline"/>
        <w:rPr>
          <w:szCs w:val="20"/>
        </w:rPr>
      </w:pPr>
      <w:r w:rsidRPr="000D1569">
        <w:rPr>
          <w:i/>
        </w:rPr>
        <w:t xml:space="preserve">(Tél.: 00 32 2 546 8320 – courriel: </w:t>
      </w:r>
      <w:hyperlink r:id="rId31">
        <w:r w:rsidRPr="000D1569">
          <w:rPr>
            <w:i/>
            <w:color w:val="0000FF"/>
            <w:u w:val="single"/>
          </w:rPr>
          <w:t>marie-laurence.drillon@eesc.europa.eu</w:t>
        </w:r>
      </w:hyperlink>
      <w:r w:rsidRPr="000D1569">
        <w:rPr>
          <w:i/>
        </w:rPr>
        <w:t>)</w:t>
      </w:r>
    </w:p>
    <w:p w:rsidR="00ED4925" w:rsidRPr="000D1569" w:rsidRDefault="00ED4925" w:rsidP="00A3275A">
      <w:pPr>
        <w:overflowPunct w:val="0"/>
        <w:autoSpaceDE w:val="0"/>
        <w:autoSpaceDN w:val="0"/>
        <w:adjustRightInd w:val="0"/>
        <w:spacing w:line="276" w:lineRule="auto"/>
        <w:textAlignment w:val="baseline"/>
        <w:rPr>
          <w:szCs w:val="20"/>
        </w:rPr>
      </w:pPr>
    </w:p>
    <w:p w:rsidR="00505DD7" w:rsidRPr="000D1569" w:rsidRDefault="00505DD7" w:rsidP="004C07BF">
      <w:pPr>
        <w:spacing w:line="240" w:lineRule="auto"/>
        <w:rPr>
          <w:b/>
        </w:rPr>
      </w:pPr>
    </w:p>
    <w:p w:rsidR="00E6566F" w:rsidRPr="000D1569" w:rsidRDefault="00E6566F" w:rsidP="00A3275A">
      <w:pPr>
        <w:pStyle w:val="Heading1"/>
        <w:spacing w:line="276" w:lineRule="auto"/>
        <w:rPr>
          <w:b/>
          <w:iCs/>
        </w:rPr>
      </w:pPr>
      <w:bookmarkStart w:id="12" w:name="_Toc477938714"/>
      <w:bookmarkStart w:id="13" w:name="_Toc480471742"/>
      <w:r w:rsidRPr="000D1569">
        <w:rPr>
          <w:b/>
        </w:rPr>
        <w:t>RELATIONS EXTÉRIEURES</w:t>
      </w:r>
      <w:bookmarkEnd w:id="12"/>
      <w:bookmarkEnd w:id="13"/>
    </w:p>
    <w:p w:rsidR="00505DD7" w:rsidRPr="000D1569" w:rsidRDefault="00505DD7" w:rsidP="00A3275A">
      <w:pPr>
        <w:widowControl w:val="0"/>
        <w:spacing w:line="276" w:lineRule="auto"/>
      </w:pPr>
    </w:p>
    <w:p w:rsidR="00C1115F" w:rsidRPr="000D1569" w:rsidRDefault="00C1115F" w:rsidP="00A3275A">
      <w:pPr>
        <w:widowControl w:val="0"/>
        <w:numPr>
          <w:ilvl w:val="0"/>
          <w:numId w:val="3"/>
        </w:numPr>
        <w:overflowPunct w:val="0"/>
        <w:autoSpaceDE w:val="0"/>
        <w:autoSpaceDN w:val="0"/>
        <w:adjustRightInd w:val="0"/>
        <w:spacing w:line="276" w:lineRule="auto"/>
        <w:ind w:left="567" w:hanging="283"/>
        <w:textAlignment w:val="baseline"/>
        <w:rPr>
          <w:b/>
          <w:i/>
          <w:spacing w:val="-2"/>
          <w:sz w:val="28"/>
          <w:szCs w:val="28"/>
        </w:rPr>
      </w:pPr>
      <w:r w:rsidRPr="000D1569">
        <w:rPr>
          <w:b/>
          <w:i/>
          <w:spacing w:val="-2"/>
          <w:sz w:val="28"/>
        </w:rPr>
        <w:t>L</w:t>
      </w:r>
      <w:r w:rsidR="006378F5" w:rsidRPr="000D1569">
        <w:rPr>
          <w:b/>
          <w:i/>
          <w:spacing w:val="-2"/>
          <w:sz w:val="28"/>
        </w:rPr>
        <w:t>’</w:t>
      </w:r>
      <w:r w:rsidRPr="000D1569">
        <w:rPr>
          <w:b/>
          <w:i/>
          <w:spacing w:val="-2"/>
          <w:sz w:val="28"/>
        </w:rPr>
        <w:t>avenir de nos océans</w:t>
      </w:r>
    </w:p>
    <w:p w:rsidR="00C1115F" w:rsidRPr="000D1569" w:rsidRDefault="00C1115F" w:rsidP="00A3275A">
      <w:pPr>
        <w:widowControl w:val="0"/>
        <w:spacing w:line="276" w:lineRule="auto"/>
      </w:pPr>
    </w:p>
    <w:p w:rsidR="00C1115F" w:rsidRPr="000D1569" w:rsidRDefault="00C1115F" w:rsidP="00A3275A">
      <w:pPr>
        <w:spacing w:line="276" w:lineRule="auto"/>
        <w:rPr>
          <w:b/>
          <w:i/>
          <w:highlight w:val="yellow"/>
        </w:rPr>
      </w:pPr>
      <w:r w:rsidRPr="000D1569">
        <w:rPr>
          <w:b/>
        </w:rPr>
        <w:t>Rapporteur:</w:t>
      </w:r>
      <w:r w:rsidRPr="000D1569">
        <w:tab/>
        <w:t>M. Jan SIMONS (Employeurs – Pays-Bas)</w:t>
      </w:r>
    </w:p>
    <w:p w:rsidR="00C1115F" w:rsidRPr="000D1569" w:rsidRDefault="00C1115F" w:rsidP="00A3275A">
      <w:pPr>
        <w:spacing w:line="276" w:lineRule="auto"/>
      </w:pPr>
    </w:p>
    <w:p w:rsidR="00C1115F" w:rsidRPr="000D1569" w:rsidRDefault="00C1115F" w:rsidP="00A3275A">
      <w:pPr>
        <w:spacing w:line="276" w:lineRule="auto"/>
      </w:pPr>
      <w:r w:rsidRPr="000D1569">
        <w:rPr>
          <w:b/>
        </w:rPr>
        <w:t xml:space="preserve">Points clés: </w:t>
      </w:r>
    </w:p>
    <w:p w:rsidR="00C1115F" w:rsidRPr="000D1569" w:rsidRDefault="00C1115F" w:rsidP="00A3275A">
      <w:pPr>
        <w:widowControl w:val="0"/>
        <w:spacing w:line="276" w:lineRule="auto"/>
      </w:pPr>
    </w:p>
    <w:p w:rsidR="00C1115F" w:rsidRPr="000D1569" w:rsidRDefault="00C1115F" w:rsidP="00A3275A">
      <w:pPr>
        <w:numPr>
          <w:ilvl w:val="0"/>
          <w:numId w:val="33"/>
        </w:numPr>
        <w:spacing w:line="276" w:lineRule="auto"/>
        <w:ind w:left="360"/>
        <w:outlineLvl w:val="1"/>
      </w:pPr>
      <w:r w:rsidRPr="000D1569">
        <w:t>Le CESE se félicite de la communication conjointe de la Commission européenne et de la haute représentante de l</w:t>
      </w:r>
      <w:r w:rsidR="006378F5" w:rsidRPr="000D1569">
        <w:t>’</w:t>
      </w:r>
      <w:r w:rsidRPr="000D1569">
        <w:t>Union pour les affaires étrangères et la politique de sécurité sur l</w:t>
      </w:r>
      <w:r w:rsidR="006378F5" w:rsidRPr="000D1569">
        <w:t>’</w:t>
      </w:r>
      <w:r w:rsidRPr="000D1569">
        <w:t>amélioration de la gouvernance des océans, et partage l</w:t>
      </w:r>
      <w:r w:rsidR="006378F5" w:rsidRPr="000D1569">
        <w:t>’</w:t>
      </w:r>
      <w:r w:rsidRPr="000D1569">
        <w:t>inquiétude croissante concernant la nécessité d</w:t>
      </w:r>
      <w:r w:rsidR="006378F5" w:rsidRPr="000D1569">
        <w:t>’</w:t>
      </w:r>
      <w:r w:rsidRPr="000D1569">
        <w:t>améliorer la gouvernance et la protection des océans en raison de l</w:t>
      </w:r>
      <w:r w:rsidR="006378F5" w:rsidRPr="000D1569">
        <w:t>’</w:t>
      </w:r>
      <w:r w:rsidRPr="000D1569">
        <w:t>intensification de l</w:t>
      </w:r>
      <w:r w:rsidR="006378F5" w:rsidRPr="000D1569">
        <w:t>’</w:t>
      </w:r>
      <w:r w:rsidRPr="000D1569">
        <w:t xml:space="preserve">activité humaine (pêche non durable, protection insuffisante, tourisme, trafic intense, pollution). </w:t>
      </w:r>
    </w:p>
    <w:p w:rsidR="00C1115F" w:rsidRPr="000D1569" w:rsidRDefault="00C1115F" w:rsidP="00A3275A">
      <w:pPr>
        <w:spacing w:line="276" w:lineRule="auto"/>
      </w:pPr>
    </w:p>
    <w:p w:rsidR="00C1115F" w:rsidRPr="000D1569" w:rsidRDefault="00C1115F" w:rsidP="00A3275A">
      <w:pPr>
        <w:numPr>
          <w:ilvl w:val="0"/>
          <w:numId w:val="33"/>
        </w:numPr>
        <w:spacing w:line="276" w:lineRule="auto"/>
        <w:ind w:left="360"/>
        <w:outlineLvl w:val="1"/>
      </w:pPr>
      <w:r w:rsidRPr="000D1569">
        <w:t>Le CESE estime que le cadre actuel de la gouvernance internationale des océans n</w:t>
      </w:r>
      <w:r w:rsidR="006378F5" w:rsidRPr="000D1569">
        <w:t>’</w:t>
      </w:r>
      <w:r w:rsidRPr="000D1569">
        <w:t>est pas en mesure de garantir une gestion durable des océans ni de leurs ressources, et qu</w:t>
      </w:r>
      <w:r w:rsidR="006378F5" w:rsidRPr="000D1569">
        <w:t>’</w:t>
      </w:r>
      <w:r w:rsidRPr="000D1569">
        <w:t>une action urgente est indispensable. Toutefois, la Commission et la haute représentante doivent encore donner la priorité aux menaces qui pèsent actuellement sur nos océans afin de prendre dûment en compte la nécessité d</w:t>
      </w:r>
      <w:r w:rsidR="006378F5" w:rsidRPr="000D1569">
        <w:t>’</w:t>
      </w:r>
      <w:r w:rsidRPr="000D1569">
        <w:t>agir de toute urgence.</w:t>
      </w:r>
    </w:p>
    <w:p w:rsidR="00C1115F" w:rsidRPr="000D1569" w:rsidRDefault="00C1115F" w:rsidP="00A3275A">
      <w:pPr>
        <w:spacing w:line="276" w:lineRule="auto"/>
      </w:pPr>
    </w:p>
    <w:p w:rsidR="00C1115F" w:rsidRPr="000D1569" w:rsidRDefault="00C1115F" w:rsidP="00A3275A">
      <w:pPr>
        <w:numPr>
          <w:ilvl w:val="0"/>
          <w:numId w:val="33"/>
        </w:numPr>
        <w:spacing w:line="276" w:lineRule="auto"/>
        <w:ind w:left="360"/>
        <w:outlineLvl w:val="1"/>
      </w:pPr>
      <w:r w:rsidRPr="000D1569">
        <w:t>L</w:t>
      </w:r>
      <w:r w:rsidR="006378F5" w:rsidRPr="000D1569">
        <w:t>’</w:t>
      </w:r>
      <w:r w:rsidRPr="000D1569">
        <w:t>existence de lacunes dans l</w:t>
      </w:r>
      <w:r w:rsidR="006378F5" w:rsidRPr="000D1569">
        <w:t>’</w:t>
      </w:r>
      <w:r w:rsidRPr="000D1569">
        <w:t>actuel cadre de la gouvernance internationale des océans figure parmi les causes de l</w:t>
      </w:r>
      <w:r w:rsidR="006378F5" w:rsidRPr="000D1569">
        <w:t>’</w:t>
      </w:r>
      <w:r w:rsidRPr="000D1569">
        <w:t>inefficacité de cette même gouvernance. Le CESE recommande que la Commission et la haute représentante remédient à ces lacunes et ces incohérences, tout en renforçant le respect des règles existantes, par exemple en améliorant la mise en œuvre de la directive-cadre «stratégie pour le milieu marin». L</w:t>
      </w:r>
      <w:r w:rsidR="006378F5" w:rsidRPr="000D1569">
        <w:t>’</w:t>
      </w:r>
      <w:r w:rsidRPr="000D1569">
        <w:t>UE devrait s</w:t>
      </w:r>
      <w:r w:rsidR="006378F5" w:rsidRPr="000D1569">
        <w:t>’</w:t>
      </w:r>
      <w:r w:rsidRPr="000D1569">
        <w:t>abstenir de proposer toute nouvelle législation lorsqu</w:t>
      </w:r>
      <w:r w:rsidR="006378F5" w:rsidRPr="000D1569">
        <w:t>’</w:t>
      </w:r>
      <w:r w:rsidRPr="000D1569">
        <w:t>il serait plus efficace d</w:t>
      </w:r>
      <w:r w:rsidR="006378F5" w:rsidRPr="000D1569">
        <w:t>’</w:t>
      </w:r>
      <w:r w:rsidRPr="000D1569">
        <w:t>améliorer ou de coordonner davantage la mise en œuvre des dispositions et des réglementations existantes.</w:t>
      </w:r>
    </w:p>
    <w:p w:rsidR="00C1115F" w:rsidRPr="000D1569" w:rsidRDefault="00C1115F" w:rsidP="00A3275A"/>
    <w:p w:rsidR="00C1115F" w:rsidRPr="000D1569" w:rsidRDefault="00C1115F" w:rsidP="00A3275A">
      <w:pPr>
        <w:numPr>
          <w:ilvl w:val="0"/>
          <w:numId w:val="33"/>
        </w:numPr>
        <w:spacing w:line="276" w:lineRule="auto"/>
        <w:ind w:left="360"/>
        <w:outlineLvl w:val="1"/>
      </w:pPr>
      <w:r w:rsidRPr="000D1569">
        <w:t>Le CESE estime que l</w:t>
      </w:r>
      <w:r w:rsidR="006378F5" w:rsidRPr="000D1569">
        <w:t>’</w:t>
      </w:r>
      <w:r w:rsidRPr="000D1569">
        <w:t>UE pourrait jouer un rôle important dans l</w:t>
      </w:r>
      <w:r w:rsidR="006378F5" w:rsidRPr="000D1569">
        <w:t>’</w:t>
      </w:r>
      <w:r w:rsidRPr="000D1569">
        <w:t>amélioration de la gouvernance de nos océans, notamment en soutenant les recherches scientifiques menées dans les océans du monde entier. Les données qui sont actuellement disponibles doivent être utilisées d</w:t>
      </w:r>
      <w:r w:rsidR="006378F5" w:rsidRPr="000D1569">
        <w:t>’</w:t>
      </w:r>
      <w:r w:rsidRPr="000D1569">
        <w:t>une manière pertinente et efficace. Le Comité encourage donc vivement l</w:t>
      </w:r>
      <w:r w:rsidR="006378F5" w:rsidRPr="000D1569">
        <w:t>’</w:t>
      </w:r>
      <w:r w:rsidRPr="000D1569">
        <w:t>UE à développer le réseau d</w:t>
      </w:r>
      <w:r w:rsidR="006378F5" w:rsidRPr="000D1569">
        <w:t>’</w:t>
      </w:r>
      <w:r w:rsidRPr="000D1569">
        <w:t>observation et de données du milieu marin pour en faire un réseau international de données marines. L</w:t>
      </w:r>
      <w:r w:rsidR="006378F5" w:rsidRPr="000D1569">
        <w:t>’</w:t>
      </w:r>
      <w:r w:rsidRPr="000D1569">
        <w:t>UE pourrait devenir un centre de coordination pour ce type de recherche.</w:t>
      </w:r>
    </w:p>
    <w:p w:rsidR="00C1115F" w:rsidRPr="000D1569" w:rsidRDefault="00C1115F" w:rsidP="00A3275A"/>
    <w:p w:rsidR="00C1115F" w:rsidRPr="000D1569" w:rsidRDefault="00C1115F" w:rsidP="00A3275A">
      <w:pPr>
        <w:numPr>
          <w:ilvl w:val="0"/>
          <w:numId w:val="33"/>
        </w:numPr>
        <w:spacing w:line="276" w:lineRule="auto"/>
        <w:ind w:left="360"/>
        <w:outlineLvl w:val="1"/>
      </w:pPr>
      <w:r w:rsidRPr="000D1569">
        <w:t>De surcroît, le CESE exhorte l</w:t>
      </w:r>
      <w:r w:rsidR="006378F5" w:rsidRPr="000D1569">
        <w:t>’</w:t>
      </w:r>
      <w:r w:rsidRPr="000D1569">
        <w:t>UE à collaborer avec les pays partenaires afin de réduire les menaces et les risques en matière de sécurité maritime tels que la piraterie et la traite des êtres humains, le trafic d</w:t>
      </w:r>
      <w:r w:rsidR="006378F5" w:rsidRPr="000D1569">
        <w:t>’</w:t>
      </w:r>
      <w:r w:rsidRPr="000D1569">
        <w:t>armes et le trafic de drogue, en mettant à profit la nouvelle Agence européenne de garde-frontières et de garde-côtes, l</w:t>
      </w:r>
      <w:r w:rsidR="006378F5" w:rsidRPr="000D1569">
        <w:t>’</w:t>
      </w:r>
      <w:r w:rsidRPr="000D1569">
        <w:t>Agence européenne pour la sécurité maritime (AESM) et l</w:t>
      </w:r>
      <w:r w:rsidR="006378F5" w:rsidRPr="000D1569">
        <w:t>’</w:t>
      </w:r>
      <w:r w:rsidRPr="000D1569">
        <w:t>Agence européenne de contrôle des pêches (AECP).</w:t>
      </w:r>
    </w:p>
    <w:p w:rsidR="00C1115F" w:rsidRPr="000D1569" w:rsidRDefault="00C1115F" w:rsidP="00A3275A"/>
    <w:p w:rsidR="00C1115F" w:rsidRPr="000D1569" w:rsidRDefault="00C1115F" w:rsidP="00A3275A">
      <w:pPr>
        <w:numPr>
          <w:ilvl w:val="0"/>
          <w:numId w:val="33"/>
        </w:numPr>
        <w:spacing w:line="276" w:lineRule="auto"/>
        <w:ind w:left="360"/>
        <w:outlineLvl w:val="1"/>
        <w:rPr>
          <w:kern w:val="28"/>
        </w:rPr>
      </w:pPr>
      <w:r w:rsidRPr="000D1569">
        <w:t>Le CESE encourage vivement la création d</w:t>
      </w:r>
      <w:r w:rsidR="006378F5" w:rsidRPr="000D1569">
        <w:t>’</w:t>
      </w:r>
      <w:r w:rsidRPr="000D1569">
        <w:t>un forum des parties prenantes de l</w:t>
      </w:r>
      <w:r w:rsidR="006378F5" w:rsidRPr="000D1569">
        <w:t>’</w:t>
      </w:r>
      <w:r w:rsidRPr="000D1569">
        <w:t>UE consacré aux mers et aux océans de la planète, d</w:t>
      </w:r>
      <w:r w:rsidR="006378F5" w:rsidRPr="000D1569">
        <w:t>’</w:t>
      </w:r>
      <w:r w:rsidRPr="000D1569">
        <w:t>autant plus que la gouvernance des océans est une question transversale impliquant divers acteurs concernés.</w:t>
      </w:r>
    </w:p>
    <w:p w:rsidR="00C1115F" w:rsidRPr="000D1569" w:rsidRDefault="00C1115F" w:rsidP="00A3275A"/>
    <w:p w:rsidR="00C1115F" w:rsidRPr="000D1569" w:rsidRDefault="00C1115F" w:rsidP="00A3275A">
      <w:pPr>
        <w:numPr>
          <w:ilvl w:val="0"/>
          <w:numId w:val="33"/>
        </w:numPr>
        <w:spacing w:line="276" w:lineRule="auto"/>
        <w:ind w:left="360"/>
        <w:outlineLvl w:val="1"/>
      </w:pPr>
      <w:r w:rsidRPr="000D1569">
        <w:t>Le CESE estime que la gouvernance des océans devrait garantir un équilibre entre le développement socio-économique et la protection de l</w:t>
      </w:r>
      <w:r w:rsidR="006378F5" w:rsidRPr="000D1569">
        <w:t>’</w:t>
      </w:r>
      <w:r w:rsidRPr="000D1569">
        <w:t>environnement marin. C</w:t>
      </w:r>
      <w:r w:rsidR="006378F5" w:rsidRPr="000D1569">
        <w:t>’</w:t>
      </w:r>
      <w:r w:rsidRPr="000D1569">
        <w:t>est avec attention, mais aussi avec prudence, qu</w:t>
      </w:r>
      <w:r w:rsidR="006378F5" w:rsidRPr="000D1569">
        <w:t>’</w:t>
      </w:r>
      <w:r w:rsidRPr="000D1569">
        <w:t>il convient d</w:t>
      </w:r>
      <w:r w:rsidR="006378F5" w:rsidRPr="000D1569">
        <w:t>’</w:t>
      </w:r>
      <w:r w:rsidRPr="000D1569">
        <w:t>envisager les technologies d</w:t>
      </w:r>
      <w:r w:rsidR="006378F5" w:rsidRPr="000D1569">
        <w:t>’</w:t>
      </w:r>
      <w:r w:rsidRPr="000D1569">
        <w:t xml:space="preserve">exploitation des ressources des fonds océaniques. </w:t>
      </w:r>
    </w:p>
    <w:p w:rsidR="003A4AB8" w:rsidRPr="000D1569" w:rsidRDefault="003A4AB8" w:rsidP="00A3275A"/>
    <w:p w:rsidR="00C1115F" w:rsidRPr="000D1569" w:rsidRDefault="00C1115F" w:rsidP="00A3275A">
      <w:pPr>
        <w:numPr>
          <w:ilvl w:val="0"/>
          <w:numId w:val="33"/>
        </w:numPr>
        <w:spacing w:line="276" w:lineRule="auto"/>
        <w:ind w:left="360"/>
        <w:outlineLvl w:val="1"/>
      </w:pPr>
      <w:r w:rsidRPr="000D1569">
        <w:t>Dernier point, mais non des moindres, le CESE note que les actions prévues par la communication conjointe portent à la fois sur la gouvernance des océans et des mers, et suggère donc que le titre de la communication conjointe soit modifié pour devenir «un programme pour l</w:t>
      </w:r>
      <w:r w:rsidR="006378F5" w:rsidRPr="000D1569">
        <w:t>’</w:t>
      </w:r>
      <w:r w:rsidRPr="000D1569">
        <w:t>avenir de nos océans et nos mers».</w:t>
      </w:r>
    </w:p>
    <w:p w:rsidR="00C1115F" w:rsidRPr="000D1569" w:rsidRDefault="00C1115F" w:rsidP="00A3275A">
      <w:pPr>
        <w:widowControl w:val="0"/>
        <w:spacing w:line="276" w:lineRule="auto"/>
      </w:pPr>
    </w:p>
    <w:p w:rsidR="00C1115F" w:rsidRPr="000D1569" w:rsidRDefault="00C1115F" w:rsidP="00A3275A">
      <w:pPr>
        <w:spacing w:line="276" w:lineRule="auto"/>
        <w:rPr>
          <w:i/>
        </w:rPr>
      </w:pPr>
      <w:r w:rsidRPr="000D1569">
        <w:rPr>
          <w:b/>
          <w:i/>
        </w:rPr>
        <w:t>Contact:</w:t>
      </w:r>
      <w:r w:rsidRPr="000D1569">
        <w:tab/>
      </w:r>
      <w:r w:rsidRPr="000D1569">
        <w:rPr>
          <w:i/>
        </w:rPr>
        <w:t>M</w:t>
      </w:r>
      <w:r w:rsidRPr="000D1569">
        <w:rPr>
          <w:i/>
          <w:vertAlign w:val="superscript"/>
        </w:rPr>
        <w:t>me</w:t>
      </w:r>
      <w:r w:rsidRPr="000D1569">
        <w:rPr>
          <w:i/>
        </w:rPr>
        <w:t> Laura Ernšteina</w:t>
      </w:r>
    </w:p>
    <w:p w:rsidR="00C1115F" w:rsidRPr="000D1569" w:rsidRDefault="00C1115F" w:rsidP="00A3275A">
      <w:pPr>
        <w:spacing w:line="276" w:lineRule="auto"/>
        <w:ind w:left="1134"/>
        <w:rPr>
          <w:i/>
          <w:iCs/>
        </w:rPr>
      </w:pPr>
      <w:r w:rsidRPr="000D1569">
        <w:rPr>
          <w:i/>
        </w:rPr>
        <w:t>(Tél.: 00 32 2 546 9194 – courriel:</w:t>
      </w:r>
      <w:r w:rsidRPr="000D1569">
        <w:t xml:space="preserve"> </w:t>
      </w:r>
      <w:hyperlink r:id="rId32">
        <w:r w:rsidRPr="000D1569">
          <w:rPr>
            <w:i/>
            <w:color w:val="0000FF"/>
            <w:u w:val="single"/>
          </w:rPr>
          <w:t>laura.ernsteina@eesc.europa.eu</w:t>
        </w:r>
      </w:hyperlink>
      <w:r w:rsidRPr="000D1569">
        <w:t>)</w:t>
      </w:r>
    </w:p>
    <w:p w:rsidR="00C1115F" w:rsidRPr="000D1569" w:rsidRDefault="00C1115F" w:rsidP="00A3275A">
      <w:pPr>
        <w:widowControl w:val="0"/>
        <w:autoSpaceDE w:val="0"/>
        <w:autoSpaceDN w:val="0"/>
        <w:adjustRightInd w:val="0"/>
        <w:spacing w:line="276" w:lineRule="auto"/>
        <w:ind w:left="-567"/>
        <w:rPr>
          <w:szCs w:val="20"/>
        </w:rPr>
      </w:pPr>
    </w:p>
    <w:p w:rsidR="00C1115F" w:rsidRPr="000D1569" w:rsidRDefault="00C1115F" w:rsidP="00A3275A">
      <w:pPr>
        <w:keepNext/>
        <w:widowControl w:val="0"/>
        <w:numPr>
          <w:ilvl w:val="0"/>
          <w:numId w:val="3"/>
        </w:numPr>
        <w:overflowPunct w:val="0"/>
        <w:autoSpaceDE w:val="0"/>
        <w:autoSpaceDN w:val="0"/>
        <w:adjustRightInd w:val="0"/>
        <w:spacing w:line="276" w:lineRule="auto"/>
        <w:ind w:left="567" w:hanging="283"/>
        <w:textAlignment w:val="baseline"/>
        <w:rPr>
          <w:b/>
          <w:i/>
          <w:spacing w:val="-2"/>
          <w:sz w:val="28"/>
          <w:szCs w:val="28"/>
        </w:rPr>
      </w:pPr>
      <w:r w:rsidRPr="000D1569">
        <w:rPr>
          <w:b/>
          <w:i/>
          <w:spacing w:val="-2"/>
          <w:sz w:val="28"/>
        </w:rPr>
        <w:t>Instruments de défense commerciale – méthode</w:t>
      </w:r>
    </w:p>
    <w:p w:rsidR="00C1115F" w:rsidRPr="000D1569" w:rsidRDefault="00C1115F" w:rsidP="00A3275A">
      <w:pPr>
        <w:keepNext/>
        <w:widowControl w:val="0"/>
        <w:autoSpaceDE w:val="0"/>
        <w:autoSpaceDN w:val="0"/>
        <w:adjustRightInd w:val="0"/>
        <w:spacing w:line="276" w:lineRule="auto"/>
        <w:rPr>
          <w:szCs w:val="20"/>
        </w:rPr>
      </w:pPr>
    </w:p>
    <w:p w:rsidR="00C1115F" w:rsidRPr="000D1569" w:rsidRDefault="00C1115F" w:rsidP="00A3275A">
      <w:pPr>
        <w:keepNext/>
        <w:autoSpaceDE w:val="0"/>
        <w:autoSpaceDN w:val="0"/>
        <w:adjustRightInd w:val="0"/>
        <w:spacing w:line="276" w:lineRule="auto"/>
        <w:rPr>
          <w:b/>
          <w:szCs w:val="20"/>
        </w:rPr>
      </w:pPr>
      <w:r w:rsidRPr="000D1569">
        <w:rPr>
          <w:b/>
        </w:rPr>
        <w:t>Rapporteur:</w:t>
      </w:r>
      <w:r w:rsidRPr="000D1569">
        <w:tab/>
        <w:t>M. Christian BÄUMLER (Travailleurs – Allemagne)</w:t>
      </w:r>
    </w:p>
    <w:p w:rsidR="00C1115F" w:rsidRPr="000D1569" w:rsidRDefault="00C1115F" w:rsidP="00A3275A">
      <w:pPr>
        <w:keepNext/>
        <w:autoSpaceDE w:val="0"/>
        <w:autoSpaceDN w:val="0"/>
        <w:adjustRightInd w:val="0"/>
        <w:spacing w:line="276" w:lineRule="auto"/>
        <w:rPr>
          <w:szCs w:val="20"/>
        </w:rPr>
      </w:pPr>
      <w:r w:rsidRPr="000D1569">
        <w:rPr>
          <w:b/>
        </w:rPr>
        <w:t>Corapporteur:</w:t>
      </w:r>
      <w:r w:rsidRPr="000D1569">
        <w:tab/>
        <w:t>M. Andrés BARCELÓ DELGADO (Employeurs – Espagne)</w:t>
      </w:r>
    </w:p>
    <w:p w:rsidR="00C1115F" w:rsidRPr="000D1569" w:rsidRDefault="00C1115F" w:rsidP="00A3275A">
      <w:pPr>
        <w:keepNext/>
        <w:overflowPunct w:val="0"/>
        <w:autoSpaceDE w:val="0"/>
        <w:autoSpaceDN w:val="0"/>
        <w:adjustRightInd w:val="0"/>
        <w:spacing w:line="276" w:lineRule="auto"/>
        <w:textAlignment w:val="baseline"/>
        <w:rPr>
          <w:b/>
        </w:rPr>
      </w:pPr>
    </w:p>
    <w:p w:rsidR="00C1115F" w:rsidRPr="000D1569" w:rsidRDefault="00C1115F" w:rsidP="00A3275A">
      <w:pPr>
        <w:keepNext/>
        <w:overflowPunct w:val="0"/>
        <w:autoSpaceDE w:val="0"/>
        <w:autoSpaceDN w:val="0"/>
        <w:adjustRightInd w:val="0"/>
        <w:spacing w:line="276" w:lineRule="auto"/>
        <w:textAlignment w:val="baseline"/>
        <w:rPr>
          <w:b/>
        </w:rPr>
      </w:pPr>
      <w:r w:rsidRPr="000D1569">
        <w:rPr>
          <w:b/>
        </w:rPr>
        <w:t xml:space="preserve">Points clés: </w:t>
      </w:r>
    </w:p>
    <w:p w:rsidR="00C1115F" w:rsidRPr="000D1569" w:rsidRDefault="00C1115F" w:rsidP="00A3275A">
      <w:pPr>
        <w:keepNext/>
        <w:overflowPunct w:val="0"/>
        <w:autoSpaceDE w:val="0"/>
        <w:autoSpaceDN w:val="0"/>
        <w:adjustRightInd w:val="0"/>
        <w:spacing w:line="276" w:lineRule="auto"/>
        <w:textAlignment w:val="baseline"/>
        <w:rPr>
          <w:szCs w:val="20"/>
        </w:rPr>
      </w:pPr>
    </w:p>
    <w:p w:rsidR="00C1115F" w:rsidRPr="000D1569" w:rsidRDefault="00C1115F" w:rsidP="00A3275A">
      <w:pPr>
        <w:overflowPunct w:val="0"/>
        <w:autoSpaceDE w:val="0"/>
        <w:autoSpaceDN w:val="0"/>
        <w:adjustRightInd w:val="0"/>
        <w:spacing w:line="276" w:lineRule="auto"/>
        <w:textAlignment w:val="baseline"/>
        <w:rPr>
          <w:szCs w:val="20"/>
        </w:rPr>
      </w:pPr>
      <w:r w:rsidRPr="000D1569">
        <w:t>Le CESE est attaché aux échanges commerciaux ouverts et équitables, et en reconnaît la valeur en tant que moteur de la croissance et de l</w:t>
      </w:r>
      <w:r w:rsidR="006378F5" w:rsidRPr="000D1569">
        <w:t>’</w:t>
      </w:r>
      <w:r w:rsidRPr="000D1569">
        <w:t>emploi.</w:t>
      </w:r>
    </w:p>
    <w:p w:rsidR="00C1115F" w:rsidRPr="000D1569" w:rsidRDefault="00C1115F" w:rsidP="00A3275A">
      <w:pPr>
        <w:overflowPunct w:val="0"/>
        <w:autoSpaceDE w:val="0"/>
        <w:autoSpaceDN w:val="0"/>
        <w:adjustRightInd w:val="0"/>
        <w:spacing w:line="276" w:lineRule="auto"/>
        <w:textAlignment w:val="baseline"/>
        <w:rPr>
          <w:szCs w:val="20"/>
        </w:rPr>
      </w:pPr>
      <w:r w:rsidRPr="000D1569">
        <w:t>Par conséquent, il plaide en faveur de conditions de concurrence équitables entre les producteurs-exportateurs européens et ceux des pays tiers, ainsi qu</w:t>
      </w:r>
      <w:r w:rsidR="006378F5" w:rsidRPr="000D1569">
        <w:t>’</w:t>
      </w:r>
      <w:r w:rsidRPr="000D1569">
        <w:t>en faveur d</w:t>
      </w:r>
      <w:r w:rsidR="006378F5" w:rsidRPr="000D1569">
        <w:t>’</w:t>
      </w:r>
      <w:r w:rsidRPr="000D1569">
        <w:t>instruments de défense commerciale efficaces.</w:t>
      </w:r>
    </w:p>
    <w:p w:rsidR="00C1115F" w:rsidRPr="000D1569" w:rsidRDefault="00C1115F" w:rsidP="00A3275A">
      <w:pPr>
        <w:overflowPunct w:val="0"/>
        <w:autoSpaceDE w:val="0"/>
        <w:autoSpaceDN w:val="0"/>
        <w:adjustRightInd w:val="0"/>
        <w:spacing w:line="276" w:lineRule="auto"/>
        <w:textAlignment w:val="baseline"/>
        <w:rPr>
          <w:szCs w:val="20"/>
        </w:rPr>
      </w:pPr>
    </w:p>
    <w:p w:rsidR="00C1115F" w:rsidRPr="000D1569" w:rsidRDefault="00C1115F" w:rsidP="00A3275A">
      <w:pPr>
        <w:overflowPunct w:val="0"/>
        <w:autoSpaceDE w:val="0"/>
        <w:autoSpaceDN w:val="0"/>
        <w:adjustRightInd w:val="0"/>
        <w:spacing w:line="276" w:lineRule="auto"/>
        <w:textAlignment w:val="baseline"/>
        <w:rPr>
          <w:szCs w:val="20"/>
        </w:rPr>
      </w:pPr>
      <w:r w:rsidRPr="000D1569">
        <w:t>Le CESE estime que, dans l</w:t>
      </w:r>
      <w:r w:rsidR="006378F5" w:rsidRPr="000D1569">
        <w:t>’</w:t>
      </w:r>
      <w:r w:rsidRPr="000D1569">
        <w:t>ensemble, la proposition de la Commission offre une approche équilibrée entre la question du statut d</w:t>
      </w:r>
      <w:r w:rsidR="006378F5" w:rsidRPr="000D1569">
        <w:t>’</w:t>
      </w:r>
      <w:r w:rsidRPr="000D1569">
        <w:t>économie de marché de la Chine, d</w:t>
      </w:r>
      <w:r w:rsidR="006378F5" w:rsidRPr="000D1569">
        <w:t>’</w:t>
      </w:r>
      <w:r w:rsidRPr="000D1569">
        <w:t>une part, et l</w:t>
      </w:r>
      <w:r w:rsidR="006378F5" w:rsidRPr="000D1569">
        <w:t>’</w:t>
      </w:r>
      <w:r w:rsidRPr="000D1569">
        <w:t>objectif consistant à disposer d</w:t>
      </w:r>
      <w:r w:rsidR="006378F5" w:rsidRPr="000D1569">
        <w:t>’</w:t>
      </w:r>
      <w:r w:rsidRPr="000D1569">
        <w:t>une véritable méthode de calcul du dumping, d</w:t>
      </w:r>
      <w:r w:rsidR="006378F5" w:rsidRPr="000D1569">
        <w:t>’</w:t>
      </w:r>
      <w:r w:rsidRPr="000D1569">
        <w:t>autre part.</w:t>
      </w:r>
    </w:p>
    <w:p w:rsidR="003A4AB8" w:rsidRPr="000D1569" w:rsidRDefault="003A4AB8" w:rsidP="00A3275A">
      <w:pPr>
        <w:overflowPunct w:val="0"/>
        <w:autoSpaceDE w:val="0"/>
        <w:autoSpaceDN w:val="0"/>
        <w:adjustRightInd w:val="0"/>
        <w:spacing w:line="276" w:lineRule="auto"/>
        <w:textAlignment w:val="baseline"/>
        <w:rPr>
          <w:szCs w:val="20"/>
        </w:rPr>
      </w:pPr>
    </w:p>
    <w:p w:rsidR="00C1115F" w:rsidRPr="000D1569" w:rsidRDefault="00C1115F" w:rsidP="00A3275A">
      <w:pPr>
        <w:overflowPunct w:val="0"/>
        <w:autoSpaceDE w:val="0"/>
        <w:autoSpaceDN w:val="0"/>
        <w:adjustRightInd w:val="0"/>
        <w:spacing w:line="276" w:lineRule="auto"/>
        <w:textAlignment w:val="baseline"/>
        <w:rPr>
          <w:szCs w:val="20"/>
        </w:rPr>
      </w:pPr>
      <w:r w:rsidRPr="000D1569">
        <w:t>Le CESE soutient la proposition de la Commission, à savoir que la marge de dumping devrait être calculée non pas en utilisant la méthode standard, mais sur la base de critères qui tiennent compte de coûts de production et de vente faisant l</w:t>
      </w:r>
      <w:r w:rsidR="006378F5" w:rsidRPr="000D1569">
        <w:t>’</w:t>
      </w:r>
      <w:r w:rsidRPr="000D1569">
        <w:t>objet de distorsions significatives. Le CESE fait valoir que dans son avis de 2016 sur la nécessité de préserver des emplois et une croissance durables dans le secteur de la sidérurgie, il préconisait déjà de ne pas utiliser la méthode standard dans les enquêtes en matière de dumping et de subventions concernant les importations provenant de Chine tant que cette dernière ne remplirait pas les cinq critères définis par l</w:t>
      </w:r>
      <w:r w:rsidR="006378F5" w:rsidRPr="000D1569">
        <w:t>’</w:t>
      </w:r>
      <w:r w:rsidRPr="000D1569">
        <w:t>UE pour le statut d</w:t>
      </w:r>
      <w:r w:rsidR="006378F5" w:rsidRPr="000D1569">
        <w:t>’</w:t>
      </w:r>
      <w:r w:rsidRPr="000D1569">
        <w:t xml:space="preserve">économie de marché. </w:t>
      </w:r>
    </w:p>
    <w:p w:rsidR="00C1115F" w:rsidRPr="000D1569" w:rsidRDefault="00C1115F" w:rsidP="00A3275A">
      <w:pPr>
        <w:overflowPunct w:val="0"/>
        <w:autoSpaceDE w:val="0"/>
        <w:autoSpaceDN w:val="0"/>
        <w:adjustRightInd w:val="0"/>
        <w:spacing w:line="276" w:lineRule="auto"/>
        <w:textAlignment w:val="baseline"/>
        <w:rPr>
          <w:szCs w:val="20"/>
        </w:rPr>
      </w:pPr>
    </w:p>
    <w:p w:rsidR="00C1115F" w:rsidRPr="000D1569" w:rsidRDefault="00C1115F" w:rsidP="00A3275A">
      <w:pPr>
        <w:overflowPunct w:val="0"/>
        <w:autoSpaceDE w:val="0"/>
        <w:autoSpaceDN w:val="0"/>
        <w:adjustRightInd w:val="0"/>
        <w:spacing w:line="276" w:lineRule="auto"/>
        <w:textAlignment w:val="baseline"/>
        <w:rPr>
          <w:szCs w:val="20"/>
        </w:rPr>
      </w:pPr>
      <w:r w:rsidRPr="000D1569">
        <w:t>Le CESE salue l</w:t>
      </w:r>
      <w:r w:rsidR="006378F5" w:rsidRPr="000D1569">
        <w:t>’</w:t>
      </w:r>
      <w:r w:rsidRPr="000D1569">
        <w:t>intention de la Commission de recourir à des critères spécifiques afin de déterminer s</w:t>
      </w:r>
      <w:r w:rsidR="006378F5" w:rsidRPr="000D1569">
        <w:t>’</w:t>
      </w:r>
      <w:r w:rsidRPr="000D1569">
        <w:t>il existe des distorsions significatives dans la situation du marché. Il fait valoir qu</w:t>
      </w:r>
      <w:r w:rsidR="006378F5" w:rsidRPr="000D1569">
        <w:t>’</w:t>
      </w:r>
      <w:r w:rsidRPr="000D1569">
        <w:t>il convient également de prendre en considération le respect des normes de l</w:t>
      </w:r>
      <w:r w:rsidR="006378F5" w:rsidRPr="000D1569">
        <w:t>’</w:t>
      </w:r>
      <w:r w:rsidRPr="000D1569">
        <w:t>OIT et des accords multilatéraux sur l</w:t>
      </w:r>
      <w:r w:rsidR="006378F5" w:rsidRPr="000D1569">
        <w:t>’</w:t>
      </w:r>
      <w:r w:rsidRPr="000D1569">
        <w:t xml:space="preserve">environnement. </w:t>
      </w:r>
    </w:p>
    <w:p w:rsidR="00C1115F" w:rsidRPr="000D1569" w:rsidRDefault="00C1115F" w:rsidP="00A3275A">
      <w:pPr>
        <w:overflowPunct w:val="0"/>
        <w:autoSpaceDE w:val="0"/>
        <w:autoSpaceDN w:val="0"/>
        <w:adjustRightInd w:val="0"/>
        <w:spacing w:line="276" w:lineRule="auto"/>
        <w:textAlignment w:val="baseline"/>
        <w:rPr>
          <w:szCs w:val="20"/>
        </w:rPr>
      </w:pPr>
    </w:p>
    <w:p w:rsidR="00C1115F" w:rsidRPr="000D1569" w:rsidRDefault="00C1115F" w:rsidP="00A3275A">
      <w:pPr>
        <w:overflowPunct w:val="0"/>
        <w:autoSpaceDE w:val="0"/>
        <w:autoSpaceDN w:val="0"/>
        <w:adjustRightInd w:val="0"/>
        <w:spacing w:line="276" w:lineRule="auto"/>
        <w:textAlignment w:val="baseline"/>
        <w:rPr>
          <w:szCs w:val="20"/>
        </w:rPr>
      </w:pPr>
      <w:r w:rsidRPr="000D1569">
        <w:t>Le CESE engage le Parlement et le Conseil à indiquer clairement que la Commission publiera un rapport sur tout pays présentant d</w:t>
      </w:r>
      <w:r w:rsidR="006378F5" w:rsidRPr="000D1569">
        <w:t>’</w:t>
      </w:r>
      <w:r w:rsidRPr="000D1569">
        <w:t xml:space="preserve">importantes distorsions de marché. </w:t>
      </w:r>
    </w:p>
    <w:p w:rsidR="00C1115F" w:rsidRPr="000D1569" w:rsidRDefault="00C1115F" w:rsidP="00A3275A">
      <w:pPr>
        <w:overflowPunct w:val="0"/>
        <w:autoSpaceDE w:val="0"/>
        <w:autoSpaceDN w:val="0"/>
        <w:adjustRightInd w:val="0"/>
        <w:spacing w:line="276" w:lineRule="auto"/>
        <w:textAlignment w:val="baseline"/>
        <w:rPr>
          <w:szCs w:val="20"/>
        </w:rPr>
      </w:pPr>
    </w:p>
    <w:p w:rsidR="00C1115F" w:rsidRPr="000D1569" w:rsidRDefault="00C1115F" w:rsidP="00A3275A">
      <w:pPr>
        <w:overflowPunct w:val="0"/>
        <w:autoSpaceDE w:val="0"/>
        <w:autoSpaceDN w:val="0"/>
        <w:adjustRightInd w:val="0"/>
        <w:spacing w:line="276" w:lineRule="auto"/>
        <w:textAlignment w:val="baseline"/>
        <w:rPr>
          <w:szCs w:val="20"/>
        </w:rPr>
      </w:pPr>
      <w:r w:rsidRPr="000D1569">
        <w:t>Le CESE constate toutefois qu</w:t>
      </w:r>
      <w:r w:rsidR="006378F5" w:rsidRPr="000D1569">
        <w:t>’</w:t>
      </w:r>
      <w:r w:rsidRPr="000D1569">
        <w:t>il y a encore matière à amélioration dans la proposition de la Commission portant sur la modification du règlement antidumping de base, sur le plan de l</w:t>
      </w:r>
      <w:r w:rsidR="006378F5" w:rsidRPr="000D1569">
        <w:t>’</w:t>
      </w:r>
      <w:r w:rsidRPr="000D1569">
        <w:t>efficacité et de la faisabilité pratique de l</w:t>
      </w:r>
      <w:r w:rsidR="006378F5" w:rsidRPr="000D1569">
        <w:t>’</w:t>
      </w:r>
      <w:r w:rsidRPr="000D1569">
        <w:t>enquête antidumping (statut juridique, faisabilité et pertinence des rapports proposés), notamment en ce qui concerne la charge de la preuve, qui ne devrait pas être déplacée vers l</w:t>
      </w:r>
      <w:r w:rsidR="006378F5" w:rsidRPr="000D1569">
        <w:t>’</w:t>
      </w:r>
      <w:r w:rsidRPr="000D1569">
        <w:t>industrie européenne.</w:t>
      </w:r>
    </w:p>
    <w:p w:rsidR="00C1115F" w:rsidRPr="000D1569" w:rsidRDefault="00C1115F" w:rsidP="00A3275A">
      <w:pPr>
        <w:overflowPunct w:val="0"/>
        <w:autoSpaceDE w:val="0"/>
        <w:autoSpaceDN w:val="0"/>
        <w:adjustRightInd w:val="0"/>
        <w:spacing w:line="276" w:lineRule="auto"/>
        <w:textAlignment w:val="baseline"/>
        <w:rPr>
          <w:szCs w:val="20"/>
        </w:rPr>
      </w:pPr>
    </w:p>
    <w:p w:rsidR="00C1115F" w:rsidRPr="000D1569" w:rsidRDefault="00C1115F" w:rsidP="00A3275A">
      <w:pPr>
        <w:overflowPunct w:val="0"/>
        <w:autoSpaceDE w:val="0"/>
        <w:autoSpaceDN w:val="0"/>
        <w:adjustRightInd w:val="0"/>
        <w:spacing w:line="276" w:lineRule="auto"/>
        <w:textAlignment w:val="baseline"/>
        <w:rPr>
          <w:szCs w:val="20"/>
        </w:rPr>
      </w:pPr>
      <w:r w:rsidRPr="000D1569">
        <w:t>En outre, le CESE insiste sur le fait que la procédure de plainte antidumping doit également être accessible aux petites et moyennes entreprises. Le Comité fait aussi remarquer que l</w:t>
      </w:r>
      <w:r w:rsidR="006378F5" w:rsidRPr="000D1569">
        <w:t>’</w:t>
      </w:r>
      <w:r w:rsidRPr="000D1569">
        <w:t>efficacité des procédures reposant sur des instruments de défense commerciale (IDC) est également liée à la proposition de 2013 de moderniser ces instruments, notamment la règle du droit moindre. Il souligne qu</w:t>
      </w:r>
      <w:r w:rsidR="006378F5" w:rsidRPr="000D1569">
        <w:t>’</w:t>
      </w:r>
      <w:r w:rsidRPr="000D1569">
        <w:t>il est capital que le train de mesures sur la modernisation des IDC soit finalisé et adopté dans les mois à venir afin qu</w:t>
      </w:r>
      <w:r w:rsidR="006378F5" w:rsidRPr="000D1569">
        <w:t>’</w:t>
      </w:r>
      <w:r w:rsidRPr="000D1569">
        <w:t>un système de défense commerciale solide et efficace puisse être élaboré et que l</w:t>
      </w:r>
      <w:r w:rsidR="006378F5" w:rsidRPr="000D1569">
        <w:t>’</w:t>
      </w:r>
      <w:r w:rsidRPr="000D1569">
        <w:t>emploi et la croissance dans l</w:t>
      </w:r>
      <w:r w:rsidR="006378F5" w:rsidRPr="000D1569">
        <w:t>’</w:t>
      </w:r>
      <w:r w:rsidRPr="000D1569">
        <w:t>UE puissent être garantis.</w:t>
      </w:r>
    </w:p>
    <w:p w:rsidR="00C1115F" w:rsidRPr="000D1569" w:rsidRDefault="00C1115F" w:rsidP="00A3275A">
      <w:pPr>
        <w:widowControl w:val="0"/>
        <w:autoSpaceDE w:val="0"/>
        <w:autoSpaceDN w:val="0"/>
        <w:adjustRightInd w:val="0"/>
        <w:spacing w:line="276" w:lineRule="auto"/>
        <w:rPr>
          <w:szCs w:val="20"/>
        </w:rPr>
      </w:pPr>
    </w:p>
    <w:p w:rsidR="00C1115F" w:rsidRPr="000D1569" w:rsidRDefault="00C1115F" w:rsidP="00A3275A">
      <w:pPr>
        <w:overflowPunct w:val="0"/>
        <w:autoSpaceDE w:val="0"/>
        <w:autoSpaceDN w:val="0"/>
        <w:adjustRightInd w:val="0"/>
        <w:spacing w:line="276" w:lineRule="auto"/>
        <w:textAlignment w:val="baseline"/>
        <w:rPr>
          <w:i/>
          <w:szCs w:val="20"/>
        </w:rPr>
      </w:pPr>
      <w:r w:rsidRPr="000D1569">
        <w:rPr>
          <w:b/>
          <w:i/>
        </w:rPr>
        <w:t>Contact:</w:t>
      </w:r>
      <w:r w:rsidRPr="000D1569">
        <w:tab/>
      </w:r>
      <w:r w:rsidRPr="000D1569">
        <w:rPr>
          <w:i/>
        </w:rPr>
        <w:t>M</w:t>
      </w:r>
      <w:r w:rsidRPr="000D1569">
        <w:rPr>
          <w:i/>
          <w:vertAlign w:val="superscript"/>
        </w:rPr>
        <w:t>me</w:t>
      </w:r>
      <w:r w:rsidRPr="000D1569">
        <w:rPr>
          <w:i/>
        </w:rPr>
        <w:t> Tzonka Iotzova</w:t>
      </w:r>
    </w:p>
    <w:p w:rsidR="00C1115F" w:rsidRPr="000D1569" w:rsidRDefault="00C1115F" w:rsidP="00A3275A">
      <w:pPr>
        <w:overflowPunct w:val="0"/>
        <w:autoSpaceDE w:val="0"/>
        <w:autoSpaceDN w:val="0"/>
        <w:adjustRightInd w:val="0"/>
        <w:spacing w:line="276" w:lineRule="auto"/>
        <w:ind w:left="1134"/>
        <w:textAlignment w:val="baseline"/>
        <w:rPr>
          <w:iCs/>
        </w:rPr>
      </w:pPr>
      <w:r w:rsidRPr="000D1569">
        <w:rPr>
          <w:i/>
        </w:rPr>
        <w:t xml:space="preserve">(Tél.: 00 32 2 546 8978 – courriel: </w:t>
      </w:r>
      <w:hyperlink r:id="rId33">
        <w:r w:rsidRPr="000D1569">
          <w:rPr>
            <w:i/>
            <w:color w:val="0000FF"/>
            <w:u w:val="single"/>
          </w:rPr>
          <w:t>tzonka.iotzova@eesc.europa.eu</w:t>
        </w:r>
      </w:hyperlink>
      <w:r w:rsidRPr="000D1569">
        <w:rPr>
          <w:i/>
        </w:rPr>
        <w:t>)</w:t>
      </w:r>
    </w:p>
    <w:p w:rsidR="00ED4925" w:rsidRPr="000D1569" w:rsidRDefault="00ED4925" w:rsidP="00A3275A">
      <w:pPr>
        <w:overflowPunct w:val="0"/>
        <w:autoSpaceDE w:val="0"/>
        <w:autoSpaceDN w:val="0"/>
        <w:adjustRightInd w:val="0"/>
        <w:spacing w:line="276" w:lineRule="auto"/>
        <w:textAlignment w:val="baseline"/>
        <w:rPr>
          <w:iCs/>
        </w:rPr>
      </w:pPr>
    </w:p>
    <w:p w:rsidR="00EB44EE" w:rsidRPr="000D1569" w:rsidRDefault="00EB44EE" w:rsidP="004C07BF">
      <w:pPr>
        <w:spacing w:line="240" w:lineRule="auto"/>
        <w:rPr>
          <w:b/>
          <w:highlight w:val="green"/>
        </w:rPr>
      </w:pPr>
    </w:p>
    <w:p w:rsidR="00BC5473" w:rsidRPr="000D1569" w:rsidRDefault="00BC5473" w:rsidP="00A3275A">
      <w:pPr>
        <w:spacing w:line="276" w:lineRule="auto"/>
        <w:rPr>
          <w:b/>
          <w:highlight w:val="green"/>
        </w:rPr>
      </w:pPr>
    </w:p>
    <w:p w:rsidR="00E6566F" w:rsidRPr="000D1569" w:rsidRDefault="00E6566F" w:rsidP="00A3275A">
      <w:pPr>
        <w:pStyle w:val="Heading1"/>
        <w:spacing w:line="276" w:lineRule="auto"/>
        <w:rPr>
          <w:b/>
          <w:iCs/>
        </w:rPr>
      </w:pPr>
      <w:bookmarkStart w:id="14" w:name="_Toc477938715"/>
      <w:bookmarkStart w:id="15" w:name="_Toc480471743"/>
      <w:r w:rsidRPr="000D1569">
        <w:rPr>
          <w:b/>
        </w:rPr>
        <w:t>TRANSPORTS</w:t>
      </w:r>
      <w:bookmarkEnd w:id="14"/>
      <w:bookmarkEnd w:id="15"/>
    </w:p>
    <w:p w:rsidR="00E84F95" w:rsidRPr="000D1569" w:rsidRDefault="00E84F95" w:rsidP="00A3275A">
      <w:pPr>
        <w:widowControl w:val="0"/>
        <w:overflowPunct w:val="0"/>
        <w:autoSpaceDE w:val="0"/>
        <w:autoSpaceDN w:val="0"/>
        <w:adjustRightInd w:val="0"/>
        <w:spacing w:line="276" w:lineRule="auto"/>
        <w:ind w:left="-567"/>
        <w:textAlignment w:val="baseline"/>
        <w:rPr>
          <w:szCs w:val="20"/>
        </w:rPr>
      </w:pPr>
    </w:p>
    <w:p w:rsidR="006D7E2A" w:rsidRPr="000D1569" w:rsidRDefault="006D7E2A" w:rsidP="00A3275A">
      <w:pPr>
        <w:widowControl w:val="0"/>
        <w:numPr>
          <w:ilvl w:val="0"/>
          <w:numId w:val="3"/>
        </w:numPr>
        <w:overflowPunct w:val="0"/>
        <w:autoSpaceDE w:val="0"/>
        <w:autoSpaceDN w:val="0"/>
        <w:adjustRightInd w:val="0"/>
        <w:spacing w:line="276" w:lineRule="auto"/>
        <w:ind w:left="567" w:hanging="283"/>
        <w:textAlignment w:val="baseline"/>
        <w:rPr>
          <w:bCs/>
          <w:i/>
          <w:sz w:val="28"/>
          <w:szCs w:val="28"/>
        </w:rPr>
      </w:pPr>
      <w:r w:rsidRPr="000D1569">
        <w:rPr>
          <w:b/>
          <w:i/>
          <w:sz w:val="28"/>
        </w:rPr>
        <w:t>Abrogation des règlements dans le secteur du transport</w:t>
      </w:r>
    </w:p>
    <w:p w:rsidR="006D7E2A" w:rsidRPr="000D1569" w:rsidRDefault="006D7E2A" w:rsidP="00A3275A">
      <w:pPr>
        <w:widowControl w:val="0"/>
        <w:overflowPunct w:val="0"/>
        <w:autoSpaceDE w:val="0"/>
        <w:autoSpaceDN w:val="0"/>
        <w:adjustRightInd w:val="0"/>
        <w:spacing w:line="276" w:lineRule="auto"/>
        <w:textAlignment w:val="baseline"/>
        <w:rPr>
          <w:bCs/>
          <w:szCs w:val="20"/>
          <w:highlight w:val="green"/>
        </w:rPr>
      </w:pPr>
    </w:p>
    <w:p w:rsidR="006D7E2A" w:rsidRPr="000D1569" w:rsidRDefault="006D7E2A" w:rsidP="00A3275A">
      <w:pPr>
        <w:overflowPunct w:val="0"/>
        <w:autoSpaceDE w:val="0"/>
        <w:autoSpaceDN w:val="0"/>
        <w:adjustRightInd w:val="0"/>
        <w:spacing w:line="276" w:lineRule="auto"/>
        <w:textAlignment w:val="baseline"/>
      </w:pPr>
      <w:r w:rsidRPr="000D1569">
        <w:rPr>
          <w:b/>
        </w:rPr>
        <w:t>Rapporteur:</w:t>
      </w:r>
      <w:r w:rsidRPr="000D1569">
        <w:tab/>
        <w:t>M. Jan SIMONS (Employeurs – Pays-Bas)</w:t>
      </w:r>
    </w:p>
    <w:p w:rsidR="004079A9" w:rsidRPr="000D1569" w:rsidRDefault="006D7E2A" w:rsidP="00A3275A">
      <w:pPr>
        <w:tabs>
          <w:tab w:val="num" w:pos="550"/>
          <w:tab w:val="left" w:pos="1701"/>
        </w:tabs>
        <w:overflowPunct w:val="0"/>
        <w:autoSpaceDE w:val="0"/>
        <w:autoSpaceDN w:val="0"/>
        <w:adjustRightInd w:val="0"/>
        <w:spacing w:line="276" w:lineRule="auto"/>
        <w:textAlignment w:val="baseline"/>
        <w:rPr>
          <w:szCs w:val="20"/>
        </w:rPr>
      </w:pPr>
      <w:r w:rsidRPr="000D1569">
        <w:rPr>
          <w:b/>
        </w:rPr>
        <w:t>Référence:</w:t>
      </w:r>
      <w:r w:rsidRPr="000D1569">
        <w:tab/>
        <w:t>COM(2016) 745 final – 2016/0368 (COD)</w:t>
      </w:r>
    </w:p>
    <w:p w:rsidR="006D7E2A" w:rsidRPr="000D1569" w:rsidRDefault="006D7E2A" w:rsidP="00A3275A">
      <w:pPr>
        <w:tabs>
          <w:tab w:val="num" w:pos="550"/>
        </w:tabs>
        <w:overflowPunct w:val="0"/>
        <w:autoSpaceDE w:val="0"/>
        <w:autoSpaceDN w:val="0"/>
        <w:adjustRightInd w:val="0"/>
        <w:spacing w:line="276" w:lineRule="auto"/>
        <w:ind w:left="1701"/>
        <w:textAlignment w:val="baseline"/>
        <w:rPr>
          <w:szCs w:val="20"/>
          <w:highlight w:val="green"/>
        </w:rPr>
      </w:pPr>
      <w:r w:rsidRPr="000D1569">
        <w:t>EESC-2017-00448-00-00-AS-TRA</w:t>
      </w:r>
    </w:p>
    <w:p w:rsidR="006D7E2A" w:rsidRPr="000D1569" w:rsidRDefault="006D7E2A" w:rsidP="00A3275A">
      <w:pPr>
        <w:overflowPunct w:val="0"/>
        <w:autoSpaceDE w:val="0"/>
        <w:autoSpaceDN w:val="0"/>
        <w:adjustRightInd w:val="0"/>
        <w:spacing w:line="276" w:lineRule="auto"/>
        <w:textAlignment w:val="baseline"/>
        <w:rPr>
          <w:b/>
          <w:highlight w:val="green"/>
        </w:rPr>
      </w:pPr>
    </w:p>
    <w:p w:rsidR="006D7E2A" w:rsidRPr="000D1569" w:rsidRDefault="006D7E2A" w:rsidP="00A3275A">
      <w:pPr>
        <w:overflowPunct w:val="0"/>
        <w:autoSpaceDE w:val="0"/>
        <w:autoSpaceDN w:val="0"/>
        <w:adjustRightInd w:val="0"/>
        <w:spacing w:line="276" w:lineRule="auto"/>
        <w:textAlignment w:val="baseline"/>
        <w:rPr>
          <w:b/>
        </w:rPr>
      </w:pPr>
      <w:r w:rsidRPr="000D1569">
        <w:rPr>
          <w:b/>
        </w:rPr>
        <w:t xml:space="preserve">Points clés: </w:t>
      </w:r>
    </w:p>
    <w:p w:rsidR="00E84F95" w:rsidRPr="000D1569" w:rsidRDefault="00E84F95" w:rsidP="00A3275A">
      <w:pPr>
        <w:overflowPunct w:val="0"/>
        <w:autoSpaceDE w:val="0"/>
        <w:autoSpaceDN w:val="0"/>
        <w:adjustRightInd w:val="0"/>
        <w:spacing w:line="276" w:lineRule="auto"/>
        <w:textAlignment w:val="baseline"/>
        <w:rPr>
          <w:szCs w:val="20"/>
        </w:rPr>
      </w:pPr>
    </w:p>
    <w:p w:rsidR="006D7E2A" w:rsidRPr="000D1569" w:rsidRDefault="006D7E2A" w:rsidP="00A3275A">
      <w:pPr>
        <w:overflowPunct w:val="0"/>
        <w:autoSpaceDE w:val="0"/>
        <w:autoSpaceDN w:val="0"/>
        <w:adjustRightInd w:val="0"/>
        <w:spacing w:line="276" w:lineRule="auto"/>
        <w:textAlignment w:val="baseline"/>
        <w:rPr>
          <w:szCs w:val="20"/>
        </w:rPr>
      </w:pPr>
      <w:r w:rsidRPr="000D1569">
        <w:t>Au titre du programme REFIT et de l</w:t>
      </w:r>
      <w:r w:rsidR="006378F5" w:rsidRPr="000D1569">
        <w:t>’</w:t>
      </w:r>
      <w:r w:rsidRPr="000D1569">
        <w:t>engagement en faveur d</w:t>
      </w:r>
      <w:r w:rsidR="006378F5" w:rsidRPr="000D1569">
        <w:t>’</w:t>
      </w:r>
      <w:r w:rsidRPr="000D1569">
        <w:t>une meilleure réglementation, dont l</w:t>
      </w:r>
      <w:r w:rsidR="006378F5" w:rsidRPr="000D1569">
        <w:t>’</w:t>
      </w:r>
      <w:r w:rsidRPr="000D1569">
        <w:t>objectif est de fournir un cadre législatif qui soit adapté aux besoins et de grande qualité, comme indiqué dans l</w:t>
      </w:r>
      <w:r w:rsidR="006378F5" w:rsidRPr="000D1569">
        <w:t>’</w:t>
      </w:r>
      <w:r w:rsidRPr="000D1569">
        <w:t>accord interinstitutionnel «Mieux légiférer» conclu entre le Parlement européen, le Conseil de l</w:t>
      </w:r>
      <w:r w:rsidR="006378F5" w:rsidRPr="000D1569">
        <w:t>’</w:t>
      </w:r>
      <w:r w:rsidRPr="000D1569">
        <w:t>Union européenne et la Commission européenne, cette dernière propose d</w:t>
      </w:r>
      <w:r w:rsidR="006378F5" w:rsidRPr="000D1569">
        <w:t>’</w:t>
      </w:r>
      <w:r w:rsidRPr="000D1569">
        <w:t>abroger trois règlements en raison de leur caractère obsolète.</w:t>
      </w:r>
    </w:p>
    <w:p w:rsidR="00E84F95" w:rsidRPr="000D1569" w:rsidRDefault="00E84F95" w:rsidP="00A3275A">
      <w:pPr>
        <w:overflowPunct w:val="0"/>
        <w:autoSpaceDE w:val="0"/>
        <w:autoSpaceDN w:val="0"/>
        <w:adjustRightInd w:val="0"/>
        <w:spacing w:line="276" w:lineRule="auto"/>
        <w:ind w:left="-567"/>
        <w:textAlignment w:val="baseline"/>
        <w:rPr>
          <w:szCs w:val="20"/>
        </w:rPr>
      </w:pPr>
    </w:p>
    <w:p w:rsidR="006D7E2A" w:rsidRPr="000D1569" w:rsidRDefault="006D7E2A" w:rsidP="00A3275A">
      <w:pPr>
        <w:overflowPunct w:val="0"/>
        <w:autoSpaceDE w:val="0"/>
        <w:autoSpaceDN w:val="0"/>
        <w:adjustRightInd w:val="0"/>
        <w:spacing w:line="276" w:lineRule="auto"/>
        <w:textAlignment w:val="baseline"/>
        <w:rPr>
          <w:szCs w:val="20"/>
        </w:rPr>
      </w:pPr>
      <w:r w:rsidRPr="000D1569">
        <w:t>Le CESE a toujours soutenu la position selon laquelle le cadre législatif doit être adapté aux besoins et de grande qualité, mais aussi rester transparent, clair et facile à utiliser pour les États membres et les parties prenantes, en l</w:t>
      </w:r>
      <w:r w:rsidR="006378F5" w:rsidRPr="000D1569">
        <w:t>’</w:t>
      </w:r>
      <w:r w:rsidRPr="000D1569">
        <w:t>occurrence dans les secteurs de la navigation intérieure et du transport de fret par route.</w:t>
      </w:r>
    </w:p>
    <w:p w:rsidR="00E84F95" w:rsidRPr="000D1569" w:rsidRDefault="00E84F95" w:rsidP="00A3275A">
      <w:pPr>
        <w:overflowPunct w:val="0"/>
        <w:autoSpaceDE w:val="0"/>
        <w:autoSpaceDN w:val="0"/>
        <w:adjustRightInd w:val="0"/>
        <w:spacing w:line="276" w:lineRule="auto"/>
        <w:ind w:left="-567"/>
        <w:textAlignment w:val="baseline"/>
        <w:rPr>
          <w:szCs w:val="20"/>
        </w:rPr>
      </w:pPr>
    </w:p>
    <w:p w:rsidR="006D7E2A" w:rsidRPr="000D1569" w:rsidRDefault="006D7E2A" w:rsidP="00A3275A">
      <w:pPr>
        <w:overflowPunct w:val="0"/>
        <w:autoSpaceDE w:val="0"/>
        <w:autoSpaceDN w:val="0"/>
        <w:adjustRightInd w:val="0"/>
        <w:spacing w:line="276" w:lineRule="auto"/>
        <w:textAlignment w:val="baseline"/>
        <w:rPr>
          <w:szCs w:val="20"/>
        </w:rPr>
      </w:pPr>
      <w:r w:rsidRPr="000D1569">
        <w:t>Après consultation des organisations représentatives concernées, le CESE conclut que la proposition de règlement de la Commission abrogeant le règlement (CEE) n° 1101/89 (règlement temporaire relatif au déchirage dans la navigation intérieure) et les règlements (CE) n° 2888/2000 (répartition des autorisations relatives au transport de marchandises en Suisse) et (CE) n° 685/2001 (autorisations relatives au transport de marchandises en Bulgarie et en Roumanie avant leur adhésion à l</w:t>
      </w:r>
      <w:r w:rsidR="006378F5" w:rsidRPr="000D1569">
        <w:t>’</w:t>
      </w:r>
      <w:r w:rsidRPr="000D1569">
        <w:t>UE) peut être soutenue.</w:t>
      </w:r>
    </w:p>
    <w:p w:rsidR="006D7E2A" w:rsidRPr="000D1569" w:rsidRDefault="006D7E2A" w:rsidP="00A3275A">
      <w:pPr>
        <w:overflowPunct w:val="0"/>
        <w:autoSpaceDE w:val="0"/>
        <w:autoSpaceDN w:val="0"/>
        <w:adjustRightInd w:val="0"/>
        <w:spacing w:line="276" w:lineRule="auto"/>
        <w:textAlignment w:val="baseline"/>
        <w:rPr>
          <w:b/>
          <w:i/>
        </w:rPr>
      </w:pPr>
    </w:p>
    <w:p w:rsidR="006D7E2A" w:rsidRPr="000D1569" w:rsidRDefault="006D7E2A" w:rsidP="00A3275A">
      <w:pPr>
        <w:overflowPunct w:val="0"/>
        <w:autoSpaceDE w:val="0"/>
        <w:autoSpaceDN w:val="0"/>
        <w:adjustRightInd w:val="0"/>
        <w:spacing w:line="276" w:lineRule="auto"/>
        <w:textAlignment w:val="baseline"/>
        <w:rPr>
          <w:i/>
        </w:rPr>
      </w:pPr>
      <w:r w:rsidRPr="000D1569">
        <w:rPr>
          <w:b/>
          <w:i/>
        </w:rPr>
        <w:t>Contact:</w:t>
      </w:r>
      <w:r w:rsidRPr="000D1569">
        <w:tab/>
      </w:r>
      <w:r w:rsidRPr="000D1569">
        <w:rPr>
          <w:i/>
        </w:rPr>
        <w:t>M</w:t>
      </w:r>
      <w:r w:rsidRPr="000D1569">
        <w:rPr>
          <w:i/>
          <w:vertAlign w:val="superscript"/>
        </w:rPr>
        <w:t>me</w:t>
      </w:r>
      <w:r w:rsidRPr="000D1569">
        <w:rPr>
          <w:i/>
        </w:rPr>
        <w:t> Agota Bazsik</w:t>
      </w:r>
    </w:p>
    <w:p w:rsidR="006D7E2A" w:rsidRPr="000D1569" w:rsidRDefault="006D7E2A" w:rsidP="00A3275A">
      <w:pPr>
        <w:overflowPunct w:val="0"/>
        <w:autoSpaceDE w:val="0"/>
        <w:autoSpaceDN w:val="0"/>
        <w:adjustRightInd w:val="0"/>
        <w:spacing w:line="276" w:lineRule="auto"/>
        <w:ind w:left="1134"/>
        <w:textAlignment w:val="baseline"/>
        <w:rPr>
          <w:i/>
        </w:rPr>
      </w:pPr>
      <w:r w:rsidRPr="000D1569">
        <w:rPr>
          <w:i/>
        </w:rPr>
        <w:t xml:space="preserve">(Tél.: 00 32 2 546 8658 – courriel: </w:t>
      </w:r>
      <w:hyperlink r:id="rId34">
        <w:r w:rsidRPr="000D1569">
          <w:rPr>
            <w:i/>
            <w:color w:val="0000FF"/>
            <w:u w:val="single"/>
          </w:rPr>
          <w:t>agota.bazsik@eesc.europa.eu</w:t>
        </w:r>
      </w:hyperlink>
      <w:r w:rsidRPr="000D1569">
        <w:rPr>
          <w:i/>
        </w:rPr>
        <w:t>)</w:t>
      </w:r>
    </w:p>
    <w:p w:rsidR="007D03DC" w:rsidRPr="000D1569" w:rsidRDefault="007D03DC" w:rsidP="00E6566F"/>
    <w:p w:rsidR="00156950" w:rsidRPr="000D1569" w:rsidRDefault="00156950" w:rsidP="008B7E27">
      <w:pPr>
        <w:overflowPunct w:val="0"/>
        <w:autoSpaceDE w:val="0"/>
        <w:autoSpaceDN w:val="0"/>
        <w:adjustRightInd w:val="0"/>
        <w:jc w:val="center"/>
        <w:textAlignment w:val="baseline"/>
      </w:pPr>
      <w:r w:rsidRPr="000D1569">
        <w:t>_____________</w:t>
      </w:r>
    </w:p>
    <w:sectPr w:rsidR="00156950" w:rsidRPr="000D1569" w:rsidSect="00AC73E7">
      <w:headerReference w:type="even" r:id="rId35"/>
      <w:headerReference w:type="default" r:id="rId36"/>
      <w:footerReference w:type="even" r:id="rId37"/>
      <w:footerReference w:type="default" r:id="rId38"/>
      <w:headerReference w:type="first" r:id="rId39"/>
      <w:footerReference w:type="first" r:id="rId4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BF" w:rsidRDefault="004C07BF" w:rsidP="003B283B">
      <w:pPr>
        <w:spacing w:line="240" w:lineRule="auto"/>
      </w:pPr>
      <w:r>
        <w:separator/>
      </w:r>
    </w:p>
  </w:endnote>
  <w:endnote w:type="continuationSeparator" w:id="0">
    <w:p w:rsidR="004C07BF" w:rsidRDefault="004C07BF" w:rsidP="003B283B">
      <w:pPr>
        <w:spacing w:line="240" w:lineRule="auto"/>
      </w:pPr>
      <w:r>
        <w:continuationSeparator/>
      </w:r>
    </w:p>
  </w:endnote>
  <w:endnote w:type="continuationNotice" w:id="1">
    <w:p w:rsidR="004C07BF" w:rsidRDefault="004C07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AC73E7" w:rsidRDefault="0089563A" w:rsidP="00AC73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AC73E7" w:rsidRDefault="00AC73E7" w:rsidP="00AC73E7">
    <w:pPr>
      <w:pStyle w:val="Footer"/>
    </w:pPr>
    <w:r>
      <w:t xml:space="preserve">EESC-2017-01003-00-01-TCD-TRA (FR/EN) </w:t>
    </w:r>
    <w:r>
      <w:fldChar w:fldCharType="begin"/>
    </w:r>
    <w:r>
      <w:instrText xml:space="preserve"> PAGE  \* Arabic  \* MERGEFORMAT </w:instrText>
    </w:r>
    <w:r>
      <w:fldChar w:fldCharType="separate"/>
    </w:r>
    <w:r w:rsidR="000D1569">
      <w:rPr>
        <w:noProof/>
      </w:rPr>
      <w:t>1</w:t>
    </w:r>
    <w:r>
      <w:fldChar w:fldCharType="end"/>
    </w:r>
    <w:r>
      <w:t>/</w:t>
    </w:r>
    <w:r>
      <w:fldChar w:fldCharType="begin"/>
    </w:r>
    <w:r>
      <w:instrText xml:space="preserve"> = </w:instrText>
    </w:r>
    <w:r w:rsidR="000D1569">
      <w:fldChar w:fldCharType="begin"/>
    </w:r>
    <w:r w:rsidR="000D1569">
      <w:instrText xml:space="preserve"> NUMPAGES </w:instrText>
    </w:r>
    <w:r w:rsidR="000D1569">
      <w:fldChar w:fldCharType="separate"/>
    </w:r>
    <w:r w:rsidR="000D1569">
      <w:rPr>
        <w:noProof/>
      </w:rPr>
      <w:instrText>3</w:instrText>
    </w:r>
    <w:r w:rsidR="000D1569">
      <w:rPr>
        <w:noProof/>
      </w:rPr>
      <w:fldChar w:fldCharType="end"/>
    </w:r>
    <w:r>
      <w:instrText xml:space="preserve"> -0 </w:instrText>
    </w:r>
    <w:r>
      <w:fldChar w:fldCharType="separate"/>
    </w:r>
    <w:r w:rsidR="000D156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AC73E7" w:rsidRDefault="0089563A" w:rsidP="00AC73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AC73E7" w:rsidRDefault="004C07BF" w:rsidP="00AC73E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AC73E7" w:rsidRDefault="00AC73E7" w:rsidP="00AC73E7">
    <w:pPr>
      <w:pStyle w:val="Footer"/>
    </w:pPr>
    <w:r>
      <w:t xml:space="preserve">EESC-2017-01003-00-01-TCD-TRA (FR/EN) </w:t>
    </w:r>
    <w:r>
      <w:fldChar w:fldCharType="begin"/>
    </w:r>
    <w:r>
      <w:instrText xml:space="preserve"> PAGE  \* Arabic  \* MERGEFORMAT </w:instrText>
    </w:r>
    <w:r>
      <w:fldChar w:fldCharType="separate"/>
    </w:r>
    <w:r w:rsidR="000D1569">
      <w:rPr>
        <w:noProof/>
      </w:rPr>
      <w:t>2</w:t>
    </w:r>
    <w:r>
      <w:fldChar w:fldCharType="end"/>
    </w:r>
    <w:r>
      <w:t>/</w:t>
    </w:r>
    <w:r>
      <w:fldChar w:fldCharType="begin"/>
    </w:r>
    <w:r>
      <w:instrText xml:space="preserve"> = </w:instrText>
    </w:r>
    <w:r w:rsidR="000D1569">
      <w:fldChar w:fldCharType="begin"/>
    </w:r>
    <w:r w:rsidR="000D1569">
      <w:instrText xml:space="preserve"> NUMPAGES </w:instrText>
    </w:r>
    <w:r w:rsidR="000D1569">
      <w:fldChar w:fldCharType="separate"/>
    </w:r>
    <w:r w:rsidR="000D1569">
      <w:rPr>
        <w:noProof/>
      </w:rPr>
      <w:instrText>7</w:instrText>
    </w:r>
    <w:r w:rsidR="000D1569">
      <w:rPr>
        <w:noProof/>
      </w:rPr>
      <w:fldChar w:fldCharType="end"/>
    </w:r>
    <w:r>
      <w:instrText xml:space="preserve"> -0 </w:instrText>
    </w:r>
    <w:r>
      <w:fldChar w:fldCharType="separate"/>
    </w:r>
    <w:r w:rsidR="000D1569">
      <w:rPr>
        <w:noProof/>
      </w:rPr>
      <w:t>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AC73E7" w:rsidRDefault="004C07BF" w:rsidP="00AC7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BF" w:rsidRDefault="004C07BF" w:rsidP="003B283B">
      <w:pPr>
        <w:spacing w:line="240" w:lineRule="auto"/>
      </w:pPr>
      <w:r>
        <w:separator/>
      </w:r>
    </w:p>
  </w:footnote>
  <w:footnote w:type="continuationSeparator" w:id="0">
    <w:p w:rsidR="004C07BF" w:rsidRDefault="004C07BF" w:rsidP="003B283B">
      <w:pPr>
        <w:spacing w:line="240" w:lineRule="auto"/>
      </w:pPr>
      <w:r>
        <w:continuationSeparator/>
      </w:r>
    </w:p>
  </w:footnote>
  <w:footnote w:type="continuationNotice" w:id="1">
    <w:p w:rsidR="004C07BF" w:rsidRPr="00377A77" w:rsidRDefault="004C07BF">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AC73E7" w:rsidRDefault="0089563A" w:rsidP="00AC7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AC73E7" w:rsidRDefault="0089563A" w:rsidP="00AC73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AC73E7" w:rsidRDefault="0089563A" w:rsidP="00AC73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AC73E7" w:rsidRDefault="004C07BF" w:rsidP="00AC73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AC73E7" w:rsidRDefault="004C07BF" w:rsidP="00AC73E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AC73E7" w:rsidRDefault="004C07BF" w:rsidP="00AC7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29C90C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A2154"/>
    <w:multiLevelType w:val="singleLevel"/>
    <w:tmpl w:val="ACD4CDB0"/>
    <w:lvl w:ilvl="0">
      <w:numFmt w:val="decimal"/>
      <w:lvlText w:val="*"/>
      <w:lvlJc w:val="left"/>
      <w:rPr>
        <w:rFonts w:cs="Times New Roman"/>
      </w:rPr>
    </w:lvl>
  </w:abstractNum>
  <w:abstractNum w:abstractNumId="7">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8">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20">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3">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27">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34">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2"/>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7"/>
  </w:num>
  <w:num w:numId="6">
    <w:abstractNumId w:val="16"/>
  </w:num>
  <w:num w:numId="7">
    <w:abstractNumId w:val="34"/>
  </w:num>
  <w:num w:numId="8">
    <w:abstractNumId w:val="8"/>
  </w:num>
  <w:num w:numId="9">
    <w:abstractNumId w:val="20"/>
  </w:num>
  <w:num w:numId="10">
    <w:abstractNumId w:val="26"/>
  </w:num>
  <w:num w:numId="11">
    <w:abstractNumId w:val="19"/>
  </w:num>
  <w:num w:numId="12">
    <w:abstractNumId w:val="33"/>
  </w:num>
  <w:num w:numId="13">
    <w:abstractNumId w:val="15"/>
  </w:num>
  <w:num w:numId="14">
    <w:abstractNumId w:val="2"/>
  </w:num>
  <w:num w:numId="15">
    <w:abstractNumId w:val="14"/>
  </w:num>
  <w:num w:numId="16">
    <w:abstractNumId w:val="18"/>
  </w:num>
  <w:num w:numId="17">
    <w:abstractNumId w:val="21"/>
  </w:num>
  <w:num w:numId="18">
    <w:abstractNumId w:val="9"/>
  </w:num>
  <w:num w:numId="19">
    <w:abstractNumId w:val="29"/>
  </w:num>
  <w:num w:numId="20">
    <w:abstractNumId w:val="5"/>
  </w:num>
  <w:num w:numId="21">
    <w:abstractNumId w:val="31"/>
  </w:num>
  <w:num w:numId="22">
    <w:abstractNumId w:val="4"/>
  </w:num>
  <w:num w:numId="23">
    <w:abstractNumId w:val="13"/>
  </w:num>
  <w:num w:numId="24">
    <w:abstractNumId w:val="25"/>
  </w:num>
  <w:num w:numId="25">
    <w:abstractNumId w:val="28"/>
  </w:num>
  <w:num w:numId="26">
    <w:abstractNumId w:val="27"/>
  </w:num>
  <w:num w:numId="27">
    <w:abstractNumId w:val="17"/>
  </w:num>
  <w:num w:numId="28">
    <w:abstractNumId w:val="11"/>
  </w:num>
  <w:num w:numId="29">
    <w:abstractNumId w:val="24"/>
  </w:num>
  <w:num w:numId="30">
    <w:abstractNumId w:val="32"/>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23"/>
  </w:num>
  <w:num w:numId="34">
    <w:abstractNumId w:val="10"/>
  </w:num>
  <w:num w:numId="35">
    <w:abstractNumId w:val="6"/>
  </w:num>
  <w:num w:numId="36">
    <w:abstractNumId w:val="12"/>
  </w:num>
  <w:num w:numId="37">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51C81"/>
    <w:rsid w:val="0005250A"/>
    <w:rsid w:val="000529F2"/>
    <w:rsid w:val="00054E26"/>
    <w:rsid w:val="00055735"/>
    <w:rsid w:val="000562AF"/>
    <w:rsid w:val="00057390"/>
    <w:rsid w:val="00060853"/>
    <w:rsid w:val="00067189"/>
    <w:rsid w:val="00067BC4"/>
    <w:rsid w:val="00070C28"/>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C07F0"/>
    <w:rsid w:val="000C0946"/>
    <w:rsid w:val="000C0AA0"/>
    <w:rsid w:val="000C2679"/>
    <w:rsid w:val="000C37E9"/>
    <w:rsid w:val="000C3DF6"/>
    <w:rsid w:val="000C469F"/>
    <w:rsid w:val="000D1569"/>
    <w:rsid w:val="000D28F0"/>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B28"/>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B77EA"/>
    <w:rsid w:val="001C0535"/>
    <w:rsid w:val="001C05B2"/>
    <w:rsid w:val="001C07DD"/>
    <w:rsid w:val="001C0B67"/>
    <w:rsid w:val="001C17BE"/>
    <w:rsid w:val="001C365D"/>
    <w:rsid w:val="001C4264"/>
    <w:rsid w:val="001C6C93"/>
    <w:rsid w:val="001D013F"/>
    <w:rsid w:val="001D4E3C"/>
    <w:rsid w:val="001D52CB"/>
    <w:rsid w:val="001D589C"/>
    <w:rsid w:val="001D6C48"/>
    <w:rsid w:val="001E2338"/>
    <w:rsid w:val="001E74A2"/>
    <w:rsid w:val="001E76FC"/>
    <w:rsid w:val="001F0BC4"/>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21123"/>
    <w:rsid w:val="002236A6"/>
    <w:rsid w:val="00224DE6"/>
    <w:rsid w:val="00224E75"/>
    <w:rsid w:val="00226823"/>
    <w:rsid w:val="002276DD"/>
    <w:rsid w:val="0023002B"/>
    <w:rsid w:val="00233CAC"/>
    <w:rsid w:val="0023548F"/>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6F79"/>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5973"/>
    <w:rsid w:val="002C0F1F"/>
    <w:rsid w:val="002C1999"/>
    <w:rsid w:val="002C24EA"/>
    <w:rsid w:val="002C3DCC"/>
    <w:rsid w:val="002C43DB"/>
    <w:rsid w:val="002C5D72"/>
    <w:rsid w:val="002D0F32"/>
    <w:rsid w:val="002D1B76"/>
    <w:rsid w:val="002D41B7"/>
    <w:rsid w:val="002D73EF"/>
    <w:rsid w:val="002D750B"/>
    <w:rsid w:val="002F0044"/>
    <w:rsid w:val="002F0388"/>
    <w:rsid w:val="003002D3"/>
    <w:rsid w:val="003058FB"/>
    <w:rsid w:val="00306501"/>
    <w:rsid w:val="003075E1"/>
    <w:rsid w:val="003079A2"/>
    <w:rsid w:val="00307A61"/>
    <w:rsid w:val="00310496"/>
    <w:rsid w:val="00311036"/>
    <w:rsid w:val="00311101"/>
    <w:rsid w:val="003111F0"/>
    <w:rsid w:val="00313156"/>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26C7"/>
    <w:rsid w:val="003542D4"/>
    <w:rsid w:val="003543F0"/>
    <w:rsid w:val="003555A1"/>
    <w:rsid w:val="0035631F"/>
    <w:rsid w:val="00357667"/>
    <w:rsid w:val="00360D02"/>
    <w:rsid w:val="00361CF3"/>
    <w:rsid w:val="00362B7F"/>
    <w:rsid w:val="00364D74"/>
    <w:rsid w:val="00371671"/>
    <w:rsid w:val="0037202C"/>
    <w:rsid w:val="00372D96"/>
    <w:rsid w:val="003759AE"/>
    <w:rsid w:val="00376735"/>
    <w:rsid w:val="00377A77"/>
    <w:rsid w:val="003803A1"/>
    <w:rsid w:val="00380A9A"/>
    <w:rsid w:val="0038274D"/>
    <w:rsid w:val="003833E4"/>
    <w:rsid w:val="0038799C"/>
    <w:rsid w:val="00387CFB"/>
    <w:rsid w:val="00392559"/>
    <w:rsid w:val="003939EE"/>
    <w:rsid w:val="00394196"/>
    <w:rsid w:val="0039485C"/>
    <w:rsid w:val="00397835"/>
    <w:rsid w:val="00397A66"/>
    <w:rsid w:val="00397C0A"/>
    <w:rsid w:val="003A4AB8"/>
    <w:rsid w:val="003A63B9"/>
    <w:rsid w:val="003A667F"/>
    <w:rsid w:val="003A7683"/>
    <w:rsid w:val="003B20F1"/>
    <w:rsid w:val="003B283B"/>
    <w:rsid w:val="003B2AB5"/>
    <w:rsid w:val="003B2BA2"/>
    <w:rsid w:val="003B38AA"/>
    <w:rsid w:val="003B5313"/>
    <w:rsid w:val="003B5456"/>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1D4E"/>
    <w:rsid w:val="003F2CD5"/>
    <w:rsid w:val="003F2F97"/>
    <w:rsid w:val="003F4FF6"/>
    <w:rsid w:val="003F59AD"/>
    <w:rsid w:val="003F65E2"/>
    <w:rsid w:val="00400FC6"/>
    <w:rsid w:val="00402CA2"/>
    <w:rsid w:val="004079A9"/>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7BF"/>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650"/>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7398"/>
    <w:rsid w:val="005073C6"/>
    <w:rsid w:val="00507B8C"/>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4D4C"/>
    <w:rsid w:val="005876F8"/>
    <w:rsid w:val="005918AB"/>
    <w:rsid w:val="00592C99"/>
    <w:rsid w:val="00593D2E"/>
    <w:rsid w:val="00595399"/>
    <w:rsid w:val="0059550E"/>
    <w:rsid w:val="00595E30"/>
    <w:rsid w:val="00597449"/>
    <w:rsid w:val="00597FC6"/>
    <w:rsid w:val="005A07EF"/>
    <w:rsid w:val="005A196D"/>
    <w:rsid w:val="005A22B5"/>
    <w:rsid w:val="005A2AD2"/>
    <w:rsid w:val="005A68CF"/>
    <w:rsid w:val="005B04CB"/>
    <w:rsid w:val="005B0683"/>
    <w:rsid w:val="005B0D29"/>
    <w:rsid w:val="005B1315"/>
    <w:rsid w:val="005B4236"/>
    <w:rsid w:val="005B46EE"/>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D6D67"/>
    <w:rsid w:val="005E26CF"/>
    <w:rsid w:val="005E32A3"/>
    <w:rsid w:val="005E531B"/>
    <w:rsid w:val="005E7516"/>
    <w:rsid w:val="005F54A5"/>
    <w:rsid w:val="005F5722"/>
    <w:rsid w:val="005F7FD3"/>
    <w:rsid w:val="00600B60"/>
    <w:rsid w:val="006028AC"/>
    <w:rsid w:val="006043AA"/>
    <w:rsid w:val="00610CDE"/>
    <w:rsid w:val="006139AA"/>
    <w:rsid w:val="006140BB"/>
    <w:rsid w:val="00616E48"/>
    <w:rsid w:val="00622A2D"/>
    <w:rsid w:val="00623026"/>
    <w:rsid w:val="00623940"/>
    <w:rsid w:val="00630FCB"/>
    <w:rsid w:val="00632738"/>
    <w:rsid w:val="0063400F"/>
    <w:rsid w:val="00637052"/>
    <w:rsid w:val="006378F5"/>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705FA"/>
    <w:rsid w:val="00671031"/>
    <w:rsid w:val="00673A39"/>
    <w:rsid w:val="006763EC"/>
    <w:rsid w:val="0067717C"/>
    <w:rsid w:val="006808D7"/>
    <w:rsid w:val="0068174F"/>
    <w:rsid w:val="00681787"/>
    <w:rsid w:val="00690AFD"/>
    <w:rsid w:val="0069185E"/>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7240"/>
    <w:rsid w:val="006B7B1B"/>
    <w:rsid w:val="006C29F2"/>
    <w:rsid w:val="006D03D8"/>
    <w:rsid w:val="006D1BB9"/>
    <w:rsid w:val="006D698D"/>
    <w:rsid w:val="006D78FF"/>
    <w:rsid w:val="006D7E2A"/>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112FB"/>
    <w:rsid w:val="00713B66"/>
    <w:rsid w:val="007149F9"/>
    <w:rsid w:val="007200A7"/>
    <w:rsid w:val="00721659"/>
    <w:rsid w:val="0072400C"/>
    <w:rsid w:val="0072636A"/>
    <w:rsid w:val="007274A7"/>
    <w:rsid w:val="00730B8E"/>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71B7B"/>
    <w:rsid w:val="00772D4D"/>
    <w:rsid w:val="007738AC"/>
    <w:rsid w:val="00774ED8"/>
    <w:rsid w:val="007818AB"/>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3DC"/>
    <w:rsid w:val="007D0DD1"/>
    <w:rsid w:val="007D135C"/>
    <w:rsid w:val="007D2AA2"/>
    <w:rsid w:val="007D31F4"/>
    <w:rsid w:val="007D4275"/>
    <w:rsid w:val="007E0816"/>
    <w:rsid w:val="007E134F"/>
    <w:rsid w:val="007E170F"/>
    <w:rsid w:val="007E2573"/>
    <w:rsid w:val="007E3E7F"/>
    <w:rsid w:val="007E6BCE"/>
    <w:rsid w:val="007E6D4A"/>
    <w:rsid w:val="007E6DF2"/>
    <w:rsid w:val="007F00D3"/>
    <w:rsid w:val="007F0D28"/>
    <w:rsid w:val="007F0D84"/>
    <w:rsid w:val="007F15F7"/>
    <w:rsid w:val="007F2174"/>
    <w:rsid w:val="007F2A89"/>
    <w:rsid w:val="007F556F"/>
    <w:rsid w:val="00800AE3"/>
    <w:rsid w:val="0080274C"/>
    <w:rsid w:val="00802AF7"/>
    <w:rsid w:val="008031D6"/>
    <w:rsid w:val="008038C5"/>
    <w:rsid w:val="00805F7C"/>
    <w:rsid w:val="00806324"/>
    <w:rsid w:val="00810910"/>
    <w:rsid w:val="0081158D"/>
    <w:rsid w:val="00811B34"/>
    <w:rsid w:val="00811CDA"/>
    <w:rsid w:val="00814D3F"/>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D0"/>
    <w:rsid w:val="00852878"/>
    <w:rsid w:val="008535EF"/>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087B"/>
    <w:rsid w:val="008813F4"/>
    <w:rsid w:val="00881E5F"/>
    <w:rsid w:val="008829A4"/>
    <w:rsid w:val="008836DC"/>
    <w:rsid w:val="00883FCB"/>
    <w:rsid w:val="008874F5"/>
    <w:rsid w:val="00887B21"/>
    <w:rsid w:val="00891B74"/>
    <w:rsid w:val="00892DE9"/>
    <w:rsid w:val="0089503E"/>
    <w:rsid w:val="00895093"/>
    <w:rsid w:val="0089563A"/>
    <w:rsid w:val="008A0BF5"/>
    <w:rsid w:val="008A2046"/>
    <w:rsid w:val="008A2455"/>
    <w:rsid w:val="008A2A2F"/>
    <w:rsid w:val="008A6D95"/>
    <w:rsid w:val="008A6EC0"/>
    <w:rsid w:val="008B1171"/>
    <w:rsid w:val="008B48E2"/>
    <w:rsid w:val="008B5152"/>
    <w:rsid w:val="008B5EA0"/>
    <w:rsid w:val="008B6EE1"/>
    <w:rsid w:val="008B7E27"/>
    <w:rsid w:val="008C0CA5"/>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6AB1"/>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5D18"/>
    <w:rsid w:val="00926DBC"/>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28D1"/>
    <w:rsid w:val="0099424C"/>
    <w:rsid w:val="009967CB"/>
    <w:rsid w:val="009A0DEA"/>
    <w:rsid w:val="009A1F1D"/>
    <w:rsid w:val="009A24AD"/>
    <w:rsid w:val="009A51F0"/>
    <w:rsid w:val="009A791D"/>
    <w:rsid w:val="009B0BC4"/>
    <w:rsid w:val="009B0BC8"/>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58A3"/>
    <w:rsid w:val="009F7736"/>
    <w:rsid w:val="00A0181D"/>
    <w:rsid w:val="00A02258"/>
    <w:rsid w:val="00A02AB3"/>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275A"/>
    <w:rsid w:val="00A34ED8"/>
    <w:rsid w:val="00A36716"/>
    <w:rsid w:val="00A36A65"/>
    <w:rsid w:val="00A372EE"/>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C73E7"/>
    <w:rsid w:val="00AD173D"/>
    <w:rsid w:val="00AD2465"/>
    <w:rsid w:val="00AD442D"/>
    <w:rsid w:val="00AD6554"/>
    <w:rsid w:val="00AE14F3"/>
    <w:rsid w:val="00AE20D3"/>
    <w:rsid w:val="00AE22F2"/>
    <w:rsid w:val="00AE2392"/>
    <w:rsid w:val="00AE24DF"/>
    <w:rsid w:val="00AE79CA"/>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419F8"/>
    <w:rsid w:val="00B43B74"/>
    <w:rsid w:val="00B44DE2"/>
    <w:rsid w:val="00B50DEE"/>
    <w:rsid w:val="00B52FBD"/>
    <w:rsid w:val="00B54D58"/>
    <w:rsid w:val="00B55D48"/>
    <w:rsid w:val="00B607BF"/>
    <w:rsid w:val="00B60D9B"/>
    <w:rsid w:val="00B6122B"/>
    <w:rsid w:val="00B61251"/>
    <w:rsid w:val="00B614E6"/>
    <w:rsid w:val="00B6214E"/>
    <w:rsid w:val="00B65239"/>
    <w:rsid w:val="00B65A19"/>
    <w:rsid w:val="00B65AF4"/>
    <w:rsid w:val="00B65F77"/>
    <w:rsid w:val="00B7094D"/>
    <w:rsid w:val="00B71A2B"/>
    <w:rsid w:val="00B72929"/>
    <w:rsid w:val="00B7390A"/>
    <w:rsid w:val="00B75A56"/>
    <w:rsid w:val="00B75A7B"/>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1179"/>
    <w:rsid w:val="00BB3FB2"/>
    <w:rsid w:val="00BB532C"/>
    <w:rsid w:val="00BB5370"/>
    <w:rsid w:val="00BB65C4"/>
    <w:rsid w:val="00BB7B9D"/>
    <w:rsid w:val="00BC4431"/>
    <w:rsid w:val="00BC4B7F"/>
    <w:rsid w:val="00BC5473"/>
    <w:rsid w:val="00BC6E2E"/>
    <w:rsid w:val="00BC7DE7"/>
    <w:rsid w:val="00BD097C"/>
    <w:rsid w:val="00BD2639"/>
    <w:rsid w:val="00BD4CC9"/>
    <w:rsid w:val="00BD4EB5"/>
    <w:rsid w:val="00BD5B6F"/>
    <w:rsid w:val="00BD620F"/>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3825"/>
    <w:rsid w:val="00C152A6"/>
    <w:rsid w:val="00C15982"/>
    <w:rsid w:val="00C203E7"/>
    <w:rsid w:val="00C21EFF"/>
    <w:rsid w:val="00C23DF7"/>
    <w:rsid w:val="00C253D7"/>
    <w:rsid w:val="00C25B4D"/>
    <w:rsid w:val="00C274F6"/>
    <w:rsid w:val="00C27BFD"/>
    <w:rsid w:val="00C3053E"/>
    <w:rsid w:val="00C4067A"/>
    <w:rsid w:val="00C41BC5"/>
    <w:rsid w:val="00C46454"/>
    <w:rsid w:val="00C47D9F"/>
    <w:rsid w:val="00C5183B"/>
    <w:rsid w:val="00C57333"/>
    <w:rsid w:val="00C57A19"/>
    <w:rsid w:val="00C62955"/>
    <w:rsid w:val="00C64A18"/>
    <w:rsid w:val="00C66947"/>
    <w:rsid w:val="00C70A83"/>
    <w:rsid w:val="00C726AA"/>
    <w:rsid w:val="00C72F05"/>
    <w:rsid w:val="00C73BEF"/>
    <w:rsid w:val="00C74BBA"/>
    <w:rsid w:val="00C7512A"/>
    <w:rsid w:val="00C761B3"/>
    <w:rsid w:val="00C835B2"/>
    <w:rsid w:val="00C85AC8"/>
    <w:rsid w:val="00C87EFC"/>
    <w:rsid w:val="00C90C12"/>
    <w:rsid w:val="00C92ED9"/>
    <w:rsid w:val="00C937E3"/>
    <w:rsid w:val="00C97992"/>
    <w:rsid w:val="00C97B34"/>
    <w:rsid w:val="00CA1941"/>
    <w:rsid w:val="00CB10E5"/>
    <w:rsid w:val="00CB3EE7"/>
    <w:rsid w:val="00CB40EE"/>
    <w:rsid w:val="00CB5CC4"/>
    <w:rsid w:val="00CC0E6A"/>
    <w:rsid w:val="00CC3E39"/>
    <w:rsid w:val="00CC4171"/>
    <w:rsid w:val="00CC4385"/>
    <w:rsid w:val="00CC49A2"/>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0768"/>
    <w:rsid w:val="00D51474"/>
    <w:rsid w:val="00D538D3"/>
    <w:rsid w:val="00D56136"/>
    <w:rsid w:val="00D56D1A"/>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B4472"/>
    <w:rsid w:val="00DB4A7C"/>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7E36"/>
    <w:rsid w:val="00DF2441"/>
    <w:rsid w:val="00DF29AB"/>
    <w:rsid w:val="00DF2ED9"/>
    <w:rsid w:val="00DF4971"/>
    <w:rsid w:val="00DF76D7"/>
    <w:rsid w:val="00DF776E"/>
    <w:rsid w:val="00E01B2D"/>
    <w:rsid w:val="00E06D7D"/>
    <w:rsid w:val="00E07AE2"/>
    <w:rsid w:val="00E1002C"/>
    <w:rsid w:val="00E12B0C"/>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62B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4F95"/>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BD8"/>
    <w:rsid w:val="00EC2AB1"/>
    <w:rsid w:val="00EC423F"/>
    <w:rsid w:val="00EC63E2"/>
    <w:rsid w:val="00EC69E1"/>
    <w:rsid w:val="00EC6D2D"/>
    <w:rsid w:val="00EC713A"/>
    <w:rsid w:val="00ED2941"/>
    <w:rsid w:val="00ED4925"/>
    <w:rsid w:val="00ED65ED"/>
    <w:rsid w:val="00EE25F5"/>
    <w:rsid w:val="00EE278E"/>
    <w:rsid w:val="00EE3AEB"/>
    <w:rsid w:val="00EE4363"/>
    <w:rsid w:val="00EF0FE0"/>
    <w:rsid w:val="00EF1FF3"/>
    <w:rsid w:val="00EF2BED"/>
    <w:rsid w:val="00EF5987"/>
    <w:rsid w:val="00EF64A8"/>
    <w:rsid w:val="00F01448"/>
    <w:rsid w:val="00F01EBA"/>
    <w:rsid w:val="00F024B3"/>
    <w:rsid w:val="00F046C3"/>
    <w:rsid w:val="00F04B25"/>
    <w:rsid w:val="00F051B3"/>
    <w:rsid w:val="00F06136"/>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1400"/>
    <w:rsid w:val="00F61B63"/>
    <w:rsid w:val="00F61E0A"/>
    <w:rsid w:val="00F671B2"/>
    <w:rsid w:val="00F673C4"/>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AD4"/>
    <w:rsid w:val="00FA27F5"/>
    <w:rsid w:val="00FA65B3"/>
    <w:rsid w:val="00FA681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3E7"/>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AC73E7"/>
    <w:pPr>
      <w:numPr>
        <w:numId w:val="1"/>
      </w:numPr>
      <w:ind w:left="567" w:hanging="567"/>
      <w:outlineLvl w:val="0"/>
    </w:pPr>
    <w:rPr>
      <w:kern w:val="28"/>
    </w:rPr>
  </w:style>
  <w:style w:type="paragraph" w:styleId="Heading2">
    <w:name w:val="heading 2"/>
    <w:aliases w:val="Char, Char"/>
    <w:basedOn w:val="Normal"/>
    <w:next w:val="Normal"/>
    <w:link w:val="Heading2Char"/>
    <w:qFormat/>
    <w:rsid w:val="00AC73E7"/>
    <w:pPr>
      <w:numPr>
        <w:ilvl w:val="1"/>
        <w:numId w:val="1"/>
      </w:numPr>
      <w:ind w:left="567" w:hanging="567"/>
      <w:outlineLvl w:val="1"/>
    </w:pPr>
  </w:style>
  <w:style w:type="paragraph" w:styleId="Heading3">
    <w:name w:val="heading 3"/>
    <w:basedOn w:val="Normal"/>
    <w:next w:val="Normal"/>
    <w:link w:val="Heading3Char"/>
    <w:qFormat/>
    <w:rsid w:val="00AC73E7"/>
    <w:pPr>
      <w:numPr>
        <w:ilvl w:val="2"/>
        <w:numId w:val="1"/>
      </w:numPr>
      <w:ind w:left="567" w:hanging="567"/>
      <w:outlineLvl w:val="2"/>
    </w:pPr>
  </w:style>
  <w:style w:type="paragraph" w:styleId="Heading4">
    <w:name w:val="heading 4"/>
    <w:basedOn w:val="Normal"/>
    <w:next w:val="Normal"/>
    <w:link w:val="Heading4Char"/>
    <w:qFormat/>
    <w:rsid w:val="00AC73E7"/>
    <w:pPr>
      <w:numPr>
        <w:ilvl w:val="3"/>
        <w:numId w:val="1"/>
      </w:numPr>
      <w:ind w:left="567" w:hanging="567"/>
      <w:outlineLvl w:val="3"/>
    </w:pPr>
  </w:style>
  <w:style w:type="paragraph" w:styleId="Heading5">
    <w:name w:val="heading 5"/>
    <w:basedOn w:val="Normal"/>
    <w:next w:val="Normal"/>
    <w:link w:val="Heading5Char"/>
    <w:qFormat/>
    <w:rsid w:val="00AC73E7"/>
    <w:pPr>
      <w:numPr>
        <w:ilvl w:val="4"/>
        <w:numId w:val="1"/>
      </w:numPr>
      <w:ind w:left="567" w:hanging="567"/>
      <w:outlineLvl w:val="4"/>
    </w:pPr>
  </w:style>
  <w:style w:type="paragraph" w:styleId="Heading6">
    <w:name w:val="heading 6"/>
    <w:basedOn w:val="Normal"/>
    <w:next w:val="Normal"/>
    <w:link w:val="Heading6Char"/>
    <w:qFormat/>
    <w:rsid w:val="00AC73E7"/>
    <w:pPr>
      <w:numPr>
        <w:ilvl w:val="5"/>
        <w:numId w:val="1"/>
      </w:numPr>
      <w:ind w:left="567" w:hanging="567"/>
      <w:outlineLvl w:val="5"/>
    </w:pPr>
  </w:style>
  <w:style w:type="paragraph" w:styleId="Heading7">
    <w:name w:val="heading 7"/>
    <w:basedOn w:val="Normal"/>
    <w:next w:val="Normal"/>
    <w:link w:val="Heading7Char"/>
    <w:qFormat/>
    <w:rsid w:val="00AC73E7"/>
    <w:pPr>
      <w:numPr>
        <w:ilvl w:val="6"/>
        <w:numId w:val="1"/>
      </w:numPr>
      <w:ind w:left="567" w:hanging="567"/>
      <w:outlineLvl w:val="6"/>
    </w:pPr>
  </w:style>
  <w:style w:type="paragraph" w:styleId="Heading8">
    <w:name w:val="heading 8"/>
    <w:basedOn w:val="Normal"/>
    <w:next w:val="Normal"/>
    <w:link w:val="Heading8Char"/>
    <w:qFormat/>
    <w:rsid w:val="00AC73E7"/>
    <w:pPr>
      <w:numPr>
        <w:ilvl w:val="7"/>
        <w:numId w:val="1"/>
      </w:numPr>
      <w:ind w:left="567" w:hanging="567"/>
      <w:outlineLvl w:val="7"/>
    </w:pPr>
  </w:style>
  <w:style w:type="paragraph" w:styleId="Heading9">
    <w:name w:val="heading 9"/>
    <w:basedOn w:val="Normal"/>
    <w:next w:val="Normal"/>
    <w:link w:val="Heading9Char"/>
    <w:qFormat/>
    <w:rsid w:val="00AC73E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er">
    <w:name w:val="footer"/>
    <w:aliases w:val="Footer-odd"/>
    <w:basedOn w:val="Normal"/>
    <w:link w:val="FooterChar"/>
    <w:qFormat/>
    <w:rsid w:val="00AC73E7"/>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AC73E7"/>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AC73E7"/>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AC73E7"/>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AC73E7"/>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3E7"/>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AC73E7"/>
    <w:pPr>
      <w:numPr>
        <w:numId w:val="1"/>
      </w:numPr>
      <w:ind w:left="567" w:hanging="567"/>
      <w:outlineLvl w:val="0"/>
    </w:pPr>
    <w:rPr>
      <w:kern w:val="28"/>
    </w:rPr>
  </w:style>
  <w:style w:type="paragraph" w:styleId="Heading2">
    <w:name w:val="heading 2"/>
    <w:aliases w:val="Char, Char"/>
    <w:basedOn w:val="Normal"/>
    <w:next w:val="Normal"/>
    <w:link w:val="Heading2Char"/>
    <w:qFormat/>
    <w:rsid w:val="00AC73E7"/>
    <w:pPr>
      <w:numPr>
        <w:ilvl w:val="1"/>
        <w:numId w:val="1"/>
      </w:numPr>
      <w:ind w:left="567" w:hanging="567"/>
      <w:outlineLvl w:val="1"/>
    </w:pPr>
  </w:style>
  <w:style w:type="paragraph" w:styleId="Heading3">
    <w:name w:val="heading 3"/>
    <w:basedOn w:val="Normal"/>
    <w:next w:val="Normal"/>
    <w:link w:val="Heading3Char"/>
    <w:qFormat/>
    <w:rsid w:val="00AC73E7"/>
    <w:pPr>
      <w:numPr>
        <w:ilvl w:val="2"/>
        <w:numId w:val="1"/>
      </w:numPr>
      <w:ind w:left="567" w:hanging="567"/>
      <w:outlineLvl w:val="2"/>
    </w:pPr>
  </w:style>
  <w:style w:type="paragraph" w:styleId="Heading4">
    <w:name w:val="heading 4"/>
    <w:basedOn w:val="Normal"/>
    <w:next w:val="Normal"/>
    <w:link w:val="Heading4Char"/>
    <w:qFormat/>
    <w:rsid w:val="00AC73E7"/>
    <w:pPr>
      <w:numPr>
        <w:ilvl w:val="3"/>
        <w:numId w:val="1"/>
      </w:numPr>
      <w:ind w:left="567" w:hanging="567"/>
      <w:outlineLvl w:val="3"/>
    </w:pPr>
  </w:style>
  <w:style w:type="paragraph" w:styleId="Heading5">
    <w:name w:val="heading 5"/>
    <w:basedOn w:val="Normal"/>
    <w:next w:val="Normal"/>
    <w:link w:val="Heading5Char"/>
    <w:qFormat/>
    <w:rsid w:val="00AC73E7"/>
    <w:pPr>
      <w:numPr>
        <w:ilvl w:val="4"/>
        <w:numId w:val="1"/>
      </w:numPr>
      <w:ind w:left="567" w:hanging="567"/>
      <w:outlineLvl w:val="4"/>
    </w:pPr>
  </w:style>
  <w:style w:type="paragraph" w:styleId="Heading6">
    <w:name w:val="heading 6"/>
    <w:basedOn w:val="Normal"/>
    <w:next w:val="Normal"/>
    <w:link w:val="Heading6Char"/>
    <w:qFormat/>
    <w:rsid w:val="00AC73E7"/>
    <w:pPr>
      <w:numPr>
        <w:ilvl w:val="5"/>
        <w:numId w:val="1"/>
      </w:numPr>
      <w:ind w:left="567" w:hanging="567"/>
      <w:outlineLvl w:val="5"/>
    </w:pPr>
  </w:style>
  <w:style w:type="paragraph" w:styleId="Heading7">
    <w:name w:val="heading 7"/>
    <w:basedOn w:val="Normal"/>
    <w:next w:val="Normal"/>
    <w:link w:val="Heading7Char"/>
    <w:qFormat/>
    <w:rsid w:val="00AC73E7"/>
    <w:pPr>
      <w:numPr>
        <w:ilvl w:val="6"/>
        <w:numId w:val="1"/>
      </w:numPr>
      <w:ind w:left="567" w:hanging="567"/>
      <w:outlineLvl w:val="6"/>
    </w:pPr>
  </w:style>
  <w:style w:type="paragraph" w:styleId="Heading8">
    <w:name w:val="heading 8"/>
    <w:basedOn w:val="Normal"/>
    <w:next w:val="Normal"/>
    <w:link w:val="Heading8Char"/>
    <w:qFormat/>
    <w:rsid w:val="00AC73E7"/>
    <w:pPr>
      <w:numPr>
        <w:ilvl w:val="7"/>
        <w:numId w:val="1"/>
      </w:numPr>
      <w:ind w:left="567" w:hanging="567"/>
      <w:outlineLvl w:val="7"/>
    </w:pPr>
  </w:style>
  <w:style w:type="paragraph" w:styleId="Heading9">
    <w:name w:val="heading 9"/>
    <w:basedOn w:val="Normal"/>
    <w:next w:val="Normal"/>
    <w:link w:val="Heading9Char"/>
    <w:qFormat/>
    <w:rsid w:val="00AC73E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er">
    <w:name w:val="footer"/>
    <w:aliases w:val="Footer-odd"/>
    <w:basedOn w:val="Normal"/>
    <w:link w:val="FooterChar"/>
    <w:qFormat/>
    <w:rsid w:val="00AC73E7"/>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AC73E7"/>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AC73E7"/>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AC73E7"/>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AC73E7"/>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gerald.klec@eesc.europa.eu"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Agota.Bazsik@eesc.europa.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gerald.klec@eesc.europa.eu" TargetMode="External"/><Relationship Id="rId33" Type="http://schemas.openxmlformats.org/officeDocument/2006/relationships/hyperlink" Target="mailto:Tzonka.Iotzova@eesc.europa.eu"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jean-pierre.faure@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Helena.Polomik@eesc.europa.eu" TargetMode="External"/><Relationship Id="rId32" Type="http://schemas.openxmlformats.org/officeDocument/2006/relationships/hyperlink" Target="mailto:Laura.Ernsteina@eesc.europa.eu"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Monica.Guarinoni@eesc.europa.eu" TargetMode="External"/><Relationship Id="rId28" Type="http://schemas.openxmlformats.org/officeDocument/2006/relationships/hyperlink" Target="mailto:gerald.klec@eesc.europa.eu" TargetMode="External"/><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marie-laurence.drillon@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ana.dumitrache@eesc.europa.eu" TargetMode="External"/><Relationship Id="rId27" Type="http://schemas.openxmlformats.org/officeDocument/2006/relationships/hyperlink" Target="mailto:Helena.Polomik@eesc.europa.eu" TargetMode="External"/><Relationship Id="rId30" Type="http://schemas.openxmlformats.org/officeDocument/2006/relationships/hyperlink" Target="mailto:daniel.squerzi@eesc.europa.eu" TargetMode="External"/><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WTPCSN73YJ26-4-5065</_dlc_DocId>
    <_dlc_DocIdUrl xmlns="8a3471f6-0f36-4ccf-b5ee-1ca67ea797ef">
      <Url>http://dm/EESC/2017/_layouts/DocIdRedir.aspx?ID=WTPCSN73YJ26-4-5065</Url>
      <Description>WTPCSN73YJ26-4-5065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2017-04-20T12:00:00+00:00</ProductionDate>
    <DocumentNumber xmlns="d001fc02-2481-471c-a01d-134a91e40015">1003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2017-03-29T12:00:00+00:00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TaxCatchAll xmlns="8a3471f6-0f36-4ccf-b5ee-1ca67ea797ef">
      <Value>35</Value>
      <Value>38</Value>
      <Value>37</Value>
      <Value>36</Value>
      <Value>27</Value>
      <Value>34</Value>
      <Value>33</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4518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51186CC2-664D-4FF8-ACEA-3296EC77DA80}"/>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87749B74-00AF-4E97-97DF-CF04E1CDD06D}"/>
</file>

<file path=docProps/app.xml><?xml version="1.0" encoding="utf-8"?>
<Properties xmlns="http://schemas.openxmlformats.org/officeDocument/2006/extended-properties" xmlns:vt="http://schemas.openxmlformats.org/officeDocument/2006/docPropsVTypes">
  <Template>Styles.dotm</Template>
  <TotalTime>3</TotalTime>
  <Pages>7</Pages>
  <Words>4120</Words>
  <Characters>24388</Characters>
  <Application>Microsoft Office Word</Application>
  <DocSecurity>0</DocSecurity>
  <Lines>578</Lines>
  <Paragraphs>204</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28468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des avis - session plénière mars 2017</dc:title>
  <dc:subject>Travaux consultatifs divers</dc:subject>
  <dc:creator/>
  <cp:keywords>EESC-2017-01003-00-01-TCD-TRA-FR</cp:keywords>
  <dc:description>Rapporteur : -_x000d_
Langue originale : FR, EN_x000d_
Date du document : 20/04/2017_x000d_
Date de la réunion : 29/03/2017_x000d_
Documents externes : -_x000d_
Fonctionnaire responsable : Cosmai Domenico, téléphone : +32 (0)2 546 9041_x000d_
_x000d_
Résumé :</dc:description>
  <cp:lastModifiedBy>Catherine Cade</cp:lastModifiedBy>
  <cp:revision>8</cp:revision>
  <cp:lastPrinted>2017-04-06T07:38:00Z</cp:lastPrinted>
  <dcterms:created xsi:type="dcterms:W3CDTF">2017-04-20T15:13:00Z</dcterms:created>
  <dcterms:modified xsi:type="dcterms:W3CDTF">2017-04-20T15:16:00Z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12/04/2017, 23/03/2017, 13/12/2016, 15/09/2016, 14/09/2016, 14/09/2016, 12/07/2016, 30/06/2016, 29/06/2016, 23/05/2016, 23/05/2016, 25/04/2016, 25/04/2016, 14/03/2016, 11/03/2016, 11/03/2016, 15/02/2016, 15/02/2016, 15/02/2016, 03/02/2016, 03/02/2016, 14/</vt:lpwstr>
  </property>
  <property fmtid="{D5CDD505-2E9C-101B-9397-08002B2CF9AE}" pid="4" name="Pref_Time">
    <vt:lpwstr>16:10:17, 12:08:44, 12:23:59, 18:12:41, 09:48:43, 08:36:59, 11:43:50, 09:30:52, 17:35:55, 17:02:49, 16:30:20, 11:28:20, 09:54:52, 08:31:22, 17:08:54, 15:59:23, 12:27:50, 12:09:16, 09:49:23, 17:26:57, 16:09:02, 17:58:07, 17:32:44, 15:05:42, 11:13:53, 16:35</vt:lpwstr>
  </property>
  <property fmtid="{D5CDD505-2E9C-101B-9397-08002B2CF9AE}" pid="5" name="Pref_User">
    <vt:lpwstr>mkop,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EESC-2017-01003-00-01-TCD-TRA-EN-CRR.docx, EESC-2017-01003-00-00-TCD-ORI.docx, EESC-2016-05775-00-00-TCD-ORI.docx, EESC-2016-03275-00-01-TCD-ORI.docx, EESC-2016-03275-00-00-TCD-TRA-EN-CRR.docx, EESC-2016-03275-00-00-TCD-CRR-FR.docx, EESC-2016-03689-00-01-</vt:lpwstr>
  </property>
  <property fmtid="{D5CDD505-2E9C-101B-9397-08002B2CF9AE}" pid="7" name="ContentTypeId">
    <vt:lpwstr>0x010100EA97B91038054C99906057A708A1480A00F51D1BDF1B59D8489738113A248D32C4</vt:lpwstr>
  </property>
  <property fmtid="{D5CDD505-2E9C-101B-9397-08002B2CF9AE}" pid="8" name="_dlc_DocIdItemGuid">
    <vt:lpwstr>1b2c05ca-3487-42c4-aadc-c3a0315e217e</vt:lpwstr>
  </property>
  <property fmtid="{D5CDD505-2E9C-101B-9397-08002B2CF9AE}" pid="9" name="AvailableTranslations">
    <vt:lpwstr>4;#EN|f2175f21-25d7-44a3-96da-d6a61b075e1b;#32;#MT|7df99101-6854-4a26-b53a-b88c0da02c26;#33;#PL|1e03da61-4678-4e07-b136-b5024ca9197b;#38;#HR|2f555653-ed1a-4fe6-8362-9082d95989e5;#12;#NL|55c6556c-b4f4-441d-9acf-c498d4f838bd;#15;#PT|50ccc04a-eadd-42ae-a0cb-acaf45f812ba;#22;#IT|0774613c-01ed-4e5d-a25d-11d2388de825;#23;#DA|5d49c027-8956-412b-aa16-e85a0f96ad0e;#36;#BG|1a1b3951-7821-4e6a-85f5-5673fc08bd2c;#14;#ES|e7a6b05b-ae16-40c8-add9-68b64b03aeba;#24;#EL|6d4f4d51-af9b-4650-94b4-4276bee85c91;#31;#LT|a7ff5ce7-6123-4f68-865a-a57c31810414;#37;#RO|feb747a2-64cd-4299-af12-4833ddc30497;#34;#SK|46d9fce0-ef79-4f71-b89b-cd6aa82426b8;#18;#DE|f6b31e5a-26fa-4935-b661-318e46daf27e;#30;#LV|46f7e311-5d9f-4663-b433-18aeccb7ace7;#29;#HU|6b229040-c589-4408-b4c1-4285663d20a8;#25;#FI|87606a43-d45f-42d6-b8c9-e1a3457db5b7;#27;#CS|72f9705b-0217-4fd3-bea2-cbc7ed80e26e;#8;#FR|d2afafd3-4c81-4f60-8f52-ee33f2f54ff3;#28;#ET|ff6c3f4c-b02c-4c3c-ab07-2c37995a7a0a;#35;#SL|98a412ae-eb01-49e9-ae3d-585a81724cfc;#26;#SV|c2ed69e7-a339-43d7-8f22-d93680a92aa0</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8;#FR|d2afafd3-4c81-4f60-8f52-ee33f2f54ff3</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1003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2017-03-29T12:00:00Z</vt:filetime>
  </property>
  <property fmtid="{D5CDD505-2E9C-101B-9397-08002B2CF9AE}" pid="30" name="DocumentLanguage_0">
    <vt:lpwstr>FR|d2afafd3-4c81-4f60-8f52-ee33f2f54ff3</vt:lpwstr>
  </property>
  <property fmtid="{D5CDD505-2E9C-101B-9397-08002B2CF9AE}" pid="31" name="TaxCatchAll">
    <vt:lpwstr>35;#SL|98a412ae-eb01-49e9-ae3d-585a81724cfc;#38;#HR|2f555653-ed1a-4fe6-8362-9082d95989e5;#37;#RO|feb747a2-64cd-4299-af12-4833ddc30497;#36;#BG|1a1b3951-7821-4e6a-85f5-5673fc08bd2c;#27;#CS|72f9705b-0217-4fd3-bea2-cbc7ed80e26e;#34;#SK|46d9fce0-ef79-4f71-b89b-cd6aa82426b8;#33;#PL|1e03da61-4678-4e07-b136-b5024ca9197b;#32;#MT|7df99101-6854-4a26-b53a-b88c0da02c26;#31;#LT|a7ff5ce7-6123-4f68-865a-a57c31810414;#30;#LV|46f7e311-5d9f-4663-b433-18aeccb7ace7;#29;#HU|6b229040-c589-4408-b4c1-4285663d20a8;#28;#ET|ff6c3f4c-b02c-4c3c-ab07-2c37995a7a0a;#25;#FI|87606a43-d45f-42d6-b8c9-e1a3457db5b7;#26;#SV|c2ed69e7-a339-43d7-8f22-d93680a92aa0;#72;#SPL-CES|32d8cb1f-c9ec-4365-95c7-8385a18618ac;#24;#EL|6d4f4d51-af9b-4650-94b4-4276bee85c91;#23;#DA|5d49c027-8956-412b-aa16-e85a0f96ad0e;#22;#IT|0774613c-01ed-4e5d-a25d-11d2388de825;#18;#DE|f6b31e5a-26fa-4935-b661-318e46daf27e;#17;#TCD|cd9d6eb6-3f4f-424a-b2d1-57c9d450eaaf;#15;#PT|50ccc04a-eadd-42ae-a0cb-acaf45f812ba;#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4518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EN|f2175f21-25d7-44a3-96da-d6a61b075e1b;MT|7df99101-6854-4a26-b53a-b88c0da02c26;PL|1e03da61-4678-4e07-b136-b5024ca9197b;HR|2f555653-ed1a-4fe6-8362-9082d95989e5;NL|55c6556c-b4f4-441d-9acf-c498d4f838bd;PT|50ccc04a-eadd-42ae-a0cb-acaf45f812ba;IT|0774613c-01ed-4e5d-a25d-11d2388de825;DA|5d49c027-8956-412b-aa16-e85a0f96ad0e;BG|1a1b3951-7821-4e6a-85f5-5673fc08bd2c;ES|e7a6b05b-ae16-40c8-add9-68b64b03aeba;EL|6d4f4d51-af9b-4650-94b4-4276bee85c91;LT|a7ff5ce7-6123-4f68-865a-a57c31810414;RO|feb747a2-64cd-4299-af12-4833ddc30497;SK|46d9fce0-ef79-4f71-b89b-cd6aa82426b8;DE|f6b31e5a-26fa-4935-b661-318e46daf27e;LV|46f7e311-5d9f-4663-b433-18aeccb7ace7;HU|6b229040-c589-4408-b4c1-4285663d20a8;FI|87606a43-d45f-42d6-b8c9-e1a3457db5b7;CS|72f9705b-0217-4fd3-bea2-cbc7ed80e26e;ET|ff6c3f4c-b02c-4c3c-ab07-2c37995a7a0a;SL|98a412ae-eb01-49e9-ae3d-585a81724cfc;SV|c2ed69e7-a339-43d7-8f22-d93680a92aa0</vt:lpwstr>
  </property>
</Properties>
</file>