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rFonts w:ascii="Arial" w:hAnsi="Arial" w:cs="Arial"/>
          <w:b/>
          <w:i/>
          <w:sz w:val="20"/>
          <w:lang w:val="pl-PL"/>
        </w:rPr>
      </w:pPr>
      <w:r w:rsidRPr="00900955">
        <w:rPr>
          <w:rFonts w:ascii="Arial" w:hAnsi="Arial" w:cs="Arial"/>
          <w:b/>
          <w:i/>
          <w:sz w:val="20"/>
          <w:lang w:val="pl-PL" w:eastAsia="fr-BE"/>
        </w:rPr>
        <w:drawing>
          <wp:inline distT="0" distB="0" distL="0" distR="0" wp14:anchorId="1B500A1B" wp14:editId="68A07AD5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955">
        <w:rPr>
          <w:rFonts w:ascii="Arial" w:hAnsi="Arial" w:cs="Arial"/>
          <w:b/>
          <w:i/>
          <w:sz w:val="20"/>
          <w:lang w:val="pl-PL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953317" wp14:editId="49D5E0E8">
                <wp:simplePos x="0" y="0"/>
                <wp:positionH relativeFrom="page">
                  <wp:posOffset>6642100</wp:posOffset>
                </wp:positionH>
                <wp:positionV relativeFrom="page">
                  <wp:posOffset>10085070</wp:posOffset>
                </wp:positionV>
                <wp:extent cx="647700" cy="39624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1CB" w:rsidRPr="0071758D" w:rsidRDefault="00DC41CB" w:rsidP="0071758D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71758D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lang w:val="pl-PL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3pt;margin-top:794.1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" filled="f" stroked="f">
                <v:textbox>
                  <w:txbxContent>
                    <w:p w:rsidR="00DC41CB" w:rsidRPr="0071758D" w:rsidRDefault="00DC41CB" w:rsidP="0071758D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71758D">
                        <w:rPr>
                          <w:rFonts w:ascii="Arial" w:hAnsi="Arial" w:cs="Arial"/>
                          <w:b/>
                          <w:noProof/>
                          <w:sz w:val="48"/>
                          <w:lang w:val="pl-PL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  <w:r w:rsidRPr="00900955">
        <w:rPr>
          <w:rFonts w:ascii="Arial" w:hAnsi="Arial" w:cs="Arial"/>
          <w:b/>
          <w:i/>
          <w:sz w:val="20"/>
          <w:lang w:val="pl-PL"/>
        </w:rPr>
        <w:t>Europejski Komitet Ekonomiczno–Społeczny</w:t>
      </w:r>
    </w:p>
    <w:p w:rsidR="00DC41CB" w:rsidRPr="00900955" w:rsidRDefault="00CC73E7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  <w:r w:rsidRPr="00900955">
        <w:rPr>
          <w:lang w:val="pl-PL"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21FF2C" wp14:editId="0C46FB20">
                <wp:simplePos x="0" y="0"/>
                <wp:positionH relativeFrom="page">
                  <wp:posOffset>817245</wp:posOffset>
                </wp:positionH>
                <wp:positionV relativeFrom="page">
                  <wp:posOffset>9898380</wp:posOffset>
                </wp:positionV>
                <wp:extent cx="6172200" cy="809625"/>
                <wp:effectExtent l="0" t="1905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E7" w:rsidRPr="0071758D" w:rsidRDefault="00CC73E7" w:rsidP="0071758D">
                            <w:pPr>
                              <w:pBdr>
                                <w:top w:val="single" w:sz="4" w:space="1" w:color="auto"/>
                              </w:pBd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71758D">
                              <w:rPr>
                                <w:b/>
                                <w:sz w:val="16"/>
                                <w:lang w:val="pl-PL"/>
                              </w:rPr>
                              <w:t>Rue Belliard/Belliardstraat 99 — 1040 Bruxelles/Brussel — BELGIQUE/BELGIË</w:t>
                            </w:r>
                          </w:p>
                          <w:p w:rsidR="00CC73E7" w:rsidRPr="0071758D" w:rsidRDefault="00CC73E7" w:rsidP="0071758D">
                            <w:pPr>
                              <w:pBdr>
                                <w:top w:val="single" w:sz="4" w:space="1" w:color="auto"/>
                              </w:pBd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71758D">
                              <w:rPr>
                                <w:b/>
                                <w:sz w:val="16"/>
                                <w:lang w:val="pl-PL"/>
                              </w:rPr>
                              <w:t xml:space="preserve">tel. +32 25469011 — faks +32 25134893 — internet: </w:t>
                            </w:r>
                            <w:hyperlink r:id="rId14">
                              <w:r w:rsidRPr="0071758D">
                                <w:rPr>
                                  <w:rStyle w:val="Hyperlink"/>
                                  <w:b/>
                                  <w:sz w:val="16"/>
                                  <w:lang w:val="pl-PL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4.35pt;margin-top:779.4pt;width:486pt;height:6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uZtwIAAMA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" o:allowincell="f" filled="f" stroked="f">
                <v:textbox>
                  <w:txbxContent>
                    <w:p w:rsidR="00CC73E7" w:rsidRPr="0071758D" w:rsidRDefault="00CC73E7" w:rsidP="0071758D">
                      <w:pPr>
                        <w:pBdr>
                          <w:top w:val="single" w:sz="4" w:space="1" w:color="auto"/>
                        </w:pBdr>
                        <w:overflowPunct/>
                        <w:adjustRightInd/>
                        <w:jc w:val="center"/>
                        <w:textAlignment w:val="auto"/>
                        <w:rPr>
                          <w:b/>
                          <w:sz w:val="16"/>
                          <w:lang w:val="pl-PL"/>
                        </w:rPr>
                      </w:pPr>
                      <w:r w:rsidRPr="0071758D">
                        <w:rPr>
                          <w:b/>
                          <w:sz w:val="16"/>
                          <w:lang w:val="pl-PL"/>
                        </w:rPr>
                        <w:t>Rue Belliard/</w:t>
                      </w:r>
                      <w:proofErr w:type="spellStart"/>
                      <w:r w:rsidRPr="0071758D">
                        <w:rPr>
                          <w:b/>
                          <w:sz w:val="16"/>
                          <w:lang w:val="pl-PL"/>
                        </w:rPr>
                        <w:t>Belliardstraat</w:t>
                      </w:r>
                      <w:proofErr w:type="spellEnd"/>
                      <w:r w:rsidRPr="0071758D">
                        <w:rPr>
                          <w:b/>
                          <w:sz w:val="16"/>
                          <w:lang w:val="pl-PL"/>
                        </w:rPr>
                        <w:t xml:space="preserve"> 99 — 1040 </w:t>
                      </w:r>
                      <w:proofErr w:type="spellStart"/>
                      <w:r w:rsidRPr="0071758D">
                        <w:rPr>
                          <w:b/>
                          <w:sz w:val="16"/>
                          <w:lang w:val="pl-PL"/>
                        </w:rPr>
                        <w:t>Bruxelles</w:t>
                      </w:r>
                      <w:proofErr w:type="spellEnd"/>
                      <w:r w:rsidRPr="0071758D">
                        <w:rPr>
                          <w:b/>
                          <w:sz w:val="16"/>
                          <w:lang w:val="pl-PL"/>
                        </w:rPr>
                        <w:t>/</w:t>
                      </w:r>
                      <w:proofErr w:type="spellStart"/>
                      <w:r w:rsidRPr="0071758D">
                        <w:rPr>
                          <w:b/>
                          <w:sz w:val="16"/>
                          <w:lang w:val="pl-PL"/>
                        </w:rPr>
                        <w:t>Brussel</w:t>
                      </w:r>
                      <w:proofErr w:type="spellEnd"/>
                      <w:r w:rsidRPr="0071758D">
                        <w:rPr>
                          <w:b/>
                          <w:sz w:val="16"/>
                          <w:lang w:val="pl-PL"/>
                        </w:rPr>
                        <w:t xml:space="preserve"> — BELGIQUE/BELGIË</w:t>
                      </w:r>
                    </w:p>
                    <w:p w:rsidR="00CC73E7" w:rsidRPr="0071758D" w:rsidRDefault="00CC73E7" w:rsidP="0071758D">
                      <w:pPr>
                        <w:pBdr>
                          <w:top w:val="single" w:sz="4" w:space="1" w:color="auto"/>
                        </w:pBdr>
                        <w:overflowPunct/>
                        <w:adjustRightInd/>
                        <w:jc w:val="center"/>
                        <w:textAlignment w:val="auto"/>
                        <w:rPr>
                          <w:b/>
                          <w:sz w:val="16"/>
                          <w:lang w:val="pl-PL"/>
                        </w:rPr>
                      </w:pPr>
                      <w:proofErr w:type="gramStart"/>
                      <w:r w:rsidRPr="0071758D">
                        <w:rPr>
                          <w:b/>
                          <w:sz w:val="16"/>
                          <w:lang w:val="pl-PL"/>
                        </w:rPr>
                        <w:t>tel</w:t>
                      </w:r>
                      <w:proofErr w:type="gramEnd"/>
                      <w:r w:rsidRPr="0071758D">
                        <w:rPr>
                          <w:b/>
                          <w:sz w:val="16"/>
                          <w:lang w:val="pl-PL"/>
                        </w:rPr>
                        <w:t xml:space="preserve">. +32 25469011 — faks +32 25134893 — </w:t>
                      </w:r>
                      <w:proofErr w:type="spellStart"/>
                      <w:r w:rsidRPr="0071758D">
                        <w:rPr>
                          <w:b/>
                          <w:sz w:val="16"/>
                          <w:lang w:val="pl-PL"/>
                        </w:rPr>
                        <w:t>internet</w:t>
                      </w:r>
                      <w:proofErr w:type="spellEnd"/>
                      <w:r w:rsidRPr="0071758D">
                        <w:rPr>
                          <w:b/>
                          <w:sz w:val="16"/>
                          <w:lang w:val="pl-PL"/>
                        </w:rPr>
                        <w:t xml:space="preserve">: </w:t>
                      </w:r>
                      <w:hyperlink r:id="rId15">
                        <w:r w:rsidRPr="0071758D">
                          <w:rPr>
                            <w:rStyle w:val="Hyperlink"/>
                            <w:b/>
                            <w:sz w:val="16"/>
                            <w:lang w:val="pl-PL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</w:p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</w:p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</w:p>
    <w:p w:rsidR="00DC41CB" w:rsidRPr="00900955" w:rsidRDefault="00DC41CB" w:rsidP="0071758D">
      <w:pPr>
        <w:overflowPunct/>
        <w:adjustRightInd/>
        <w:jc w:val="right"/>
        <w:textAlignment w:val="auto"/>
        <w:rPr>
          <w:lang w:val="pl-PL"/>
        </w:rPr>
      </w:pPr>
      <w:r w:rsidRPr="00900955">
        <w:rPr>
          <w:lang w:val="pl-PL"/>
        </w:rPr>
        <w:t>Bruksela, 10 grudnia 2015 r.</w:t>
      </w:r>
    </w:p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</w:p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</w:p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DC41CB" w:rsidRPr="00900955" w:rsidTr="001B2A85">
        <w:tc>
          <w:tcPr>
            <w:tcW w:w="9243" w:type="dxa"/>
          </w:tcPr>
          <w:p w:rsidR="00DC41CB" w:rsidRPr="00900955" w:rsidRDefault="00747584" w:rsidP="0071758D">
            <w:pPr>
              <w:overflowPunct/>
              <w:adjustRightInd/>
              <w:jc w:val="center"/>
              <w:textAlignment w:val="auto"/>
              <w:rPr>
                <w:szCs w:val="22"/>
                <w:lang w:val="pl-PL" w:eastAsia="pl-PL" w:bidi="pl-PL"/>
              </w:rPr>
            </w:pPr>
            <w:r w:rsidRPr="00900955">
              <w:rPr>
                <w:b/>
                <w:sz w:val="28"/>
                <w:lang w:val="pl-PL"/>
              </w:rPr>
              <w:t>REZOLUCJA</w:t>
            </w:r>
            <w:r w:rsidRPr="00900955">
              <w:rPr>
                <w:lang w:val="pl-PL"/>
              </w:rPr>
              <w:t xml:space="preserve"> </w:t>
            </w:r>
            <w:r w:rsidRPr="00900955">
              <w:rPr>
                <w:lang w:val="pl-PL"/>
              </w:rPr>
              <w:br/>
              <w:t xml:space="preserve">Europejskiego Komitetu Ekonomiczno-Społecznego </w:t>
            </w:r>
            <w:r w:rsidRPr="00900955">
              <w:rPr>
                <w:lang w:val="pl-PL"/>
              </w:rPr>
              <w:br/>
              <w:t xml:space="preserve">w sprawie </w:t>
            </w:r>
            <w:r w:rsidRPr="00900955">
              <w:rPr>
                <w:lang w:val="pl-PL"/>
              </w:rPr>
              <w:br/>
            </w:r>
            <w:r w:rsidRPr="00900955">
              <w:rPr>
                <w:b/>
                <w:lang w:val="pl-PL"/>
              </w:rPr>
              <w:t>uchodźców</w:t>
            </w:r>
          </w:p>
        </w:tc>
      </w:tr>
      <w:tr w:rsidR="00DC41CB" w:rsidRPr="00900955" w:rsidTr="001B2A85">
        <w:tc>
          <w:tcPr>
            <w:tcW w:w="9243" w:type="dxa"/>
          </w:tcPr>
          <w:p w:rsidR="00DC41CB" w:rsidRPr="00900955" w:rsidRDefault="00DC41CB" w:rsidP="0071758D">
            <w:pPr>
              <w:overflowPunct/>
              <w:adjustRightInd/>
              <w:jc w:val="center"/>
              <w:textAlignment w:val="auto"/>
              <w:rPr>
                <w:lang w:val="pl-PL"/>
              </w:rPr>
            </w:pPr>
          </w:p>
          <w:p w:rsidR="00DC41CB" w:rsidRPr="00900955" w:rsidRDefault="00DC41CB" w:rsidP="0071758D">
            <w:pPr>
              <w:overflowPunct/>
              <w:adjustRightInd/>
              <w:jc w:val="center"/>
              <w:textAlignment w:val="auto"/>
              <w:rPr>
                <w:lang w:val="pl-PL"/>
              </w:rPr>
            </w:pPr>
            <w:r w:rsidRPr="00900955">
              <w:rPr>
                <w:lang w:val="pl-PL"/>
              </w:rPr>
              <w:t>_____________</w:t>
            </w:r>
          </w:p>
          <w:p w:rsidR="00DC41CB" w:rsidRPr="00900955" w:rsidRDefault="00DC41CB" w:rsidP="0071758D">
            <w:pPr>
              <w:overflowPunct/>
              <w:adjustRightInd/>
              <w:jc w:val="center"/>
              <w:textAlignment w:val="auto"/>
              <w:rPr>
                <w:szCs w:val="22"/>
                <w:lang w:val="pl-PL" w:eastAsia="pl-PL" w:bidi="pl-PL"/>
              </w:rPr>
            </w:pPr>
            <w:r w:rsidRPr="00900955">
              <w:rPr>
                <w:lang w:val="pl-PL"/>
              </w:rPr>
              <w:t xml:space="preserve"> </w:t>
            </w:r>
            <w:r w:rsidRPr="00900955">
              <w:rPr>
                <w:lang w:val="pl-PL"/>
              </w:rPr>
              <w:br/>
            </w:r>
          </w:p>
        </w:tc>
      </w:tr>
    </w:tbl>
    <w:p w:rsidR="00DC41CB" w:rsidRPr="00900955" w:rsidRDefault="00DC41CB" w:rsidP="0071758D">
      <w:pPr>
        <w:overflowPunct/>
        <w:adjustRightInd/>
        <w:spacing w:line="360" w:lineRule="auto"/>
        <w:jc w:val="center"/>
        <w:textAlignment w:val="auto"/>
        <w:rPr>
          <w:lang w:val="pl-PL"/>
        </w:rPr>
      </w:pPr>
    </w:p>
    <w:p w:rsidR="00DC41CB" w:rsidRPr="00900955" w:rsidRDefault="00DC41CB" w:rsidP="0071758D">
      <w:pPr>
        <w:overflowPunct/>
        <w:adjustRightInd/>
        <w:jc w:val="center"/>
        <w:textAlignment w:val="auto"/>
        <w:rPr>
          <w:b/>
          <w:lang w:val="pl-PL"/>
        </w:rPr>
      </w:pPr>
      <w:r w:rsidRPr="00900955">
        <w:rPr>
          <w:lang w:val="pl-PL"/>
        </w:rPr>
        <w:t xml:space="preserve"> </w:t>
      </w:r>
      <w:r w:rsidRPr="00900955">
        <w:rPr>
          <w:lang w:val="pl-PL"/>
        </w:rPr>
        <w:br/>
      </w:r>
    </w:p>
    <w:p w:rsidR="00DC41CB" w:rsidRPr="00900955" w:rsidRDefault="00DC41CB" w:rsidP="0071758D">
      <w:pPr>
        <w:overflowPunct/>
        <w:adjustRightInd/>
        <w:textAlignment w:val="auto"/>
        <w:rPr>
          <w:lang w:val="pl-PL"/>
        </w:rPr>
        <w:sectPr w:rsidR="00DC41CB" w:rsidRPr="00900955" w:rsidSect="0071758D">
          <w:footerReference w:type="default" r:id="rId16"/>
          <w:pgSz w:w="11907" w:h="16839" w:code="9"/>
          <w:pgMar w:top="567" w:right="1440" w:bottom="2268" w:left="1440" w:header="284" w:footer="1134" w:gutter="0"/>
          <w:pgNumType w:start="1"/>
          <w:cols w:space="708"/>
          <w:docGrid w:linePitch="360"/>
        </w:sectPr>
      </w:pPr>
    </w:p>
    <w:p w:rsidR="009A06C9" w:rsidRPr="00900955" w:rsidRDefault="00DC41CB" w:rsidP="0071758D">
      <w:pPr>
        <w:overflowPunct/>
        <w:adjustRightInd/>
        <w:textAlignment w:val="auto"/>
        <w:rPr>
          <w:lang w:val="pl-PL"/>
        </w:rPr>
      </w:pPr>
      <w:bookmarkStart w:id="0" w:name="_GoBack"/>
      <w:bookmarkEnd w:id="0"/>
      <w:r w:rsidRPr="00900955">
        <w:rPr>
          <w:lang w:val="pl-PL"/>
        </w:rPr>
        <w:lastRenderedPageBreak/>
        <w:t>Na sesji plenarnej w dniach 9–10 grudnia 2015 r. (posiedzenie z 10 grudnia) Europejski Komitet Ekonomiczno-Społeczny stosunkiem głosów 174 do 8 – 9 osób wstrzymało się od głosu – przyjął następującą rezolucję.</w:t>
      </w:r>
    </w:p>
    <w:p w:rsidR="009B16AA" w:rsidRPr="00900955" w:rsidRDefault="009B16AA" w:rsidP="0071758D">
      <w:pPr>
        <w:overflowPunct/>
        <w:adjustRightInd/>
        <w:textAlignment w:val="auto"/>
        <w:rPr>
          <w:i/>
          <w:lang w:val="pl-PL"/>
        </w:rPr>
      </w:pPr>
    </w:p>
    <w:p w:rsidR="009B16AA" w:rsidRPr="00900955" w:rsidRDefault="0071758D" w:rsidP="0071758D">
      <w:pPr>
        <w:pStyle w:val="ListParagraph"/>
        <w:numPr>
          <w:ilvl w:val="0"/>
          <w:numId w:val="6"/>
        </w:numPr>
        <w:overflowPunct/>
        <w:adjustRightInd/>
        <w:ind w:hanging="720"/>
        <w:textAlignment w:val="auto"/>
        <w:rPr>
          <w:lang w:val="pl-PL"/>
        </w:rPr>
      </w:pPr>
      <w:r w:rsidRPr="00900955">
        <w:rPr>
          <w:lang w:val="pl-PL"/>
        </w:rPr>
        <w:t>EKES w pełni docenia ważną pracę, jaką społeczeństwo obywatelskie wykonuje w radzeniu sobie z uchodźcami uciekającymi z ogarniętych wojną państw, którzy w związku z tym wymagają ochrony zgodnie z konwencją genewską. Bez tego działania tragiczna sytuacja humanitarna, która ma miejsce w wielu krajach europejskich, mogłaby stać się katastrofalna. Europejski Komitet Ekonomiczno-Społeczny bezpośrednio włącza się w sygnalizowanie tego problemu, aby zapewnić, że zostanie on należycie wzięty pod uwagę przez instytucje europejskie, rządy i inne podmioty polityczne.</w:t>
      </w:r>
    </w:p>
    <w:p w:rsidR="005B482C" w:rsidRPr="00900955" w:rsidRDefault="005B482C" w:rsidP="0071758D">
      <w:pPr>
        <w:overflowPunct/>
        <w:adjustRightInd/>
        <w:textAlignment w:val="auto"/>
        <w:rPr>
          <w:lang w:val="pl-PL"/>
        </w:rPr>
      </w:pPr>
    </w:p>
    <w:p w:rsidR="005B482C" w:rsidRPr="00900955" w:rsidRDefault="0071758D" w:rsidP="0071758D">
      <w:pPr>
        <w:pStyle w:val="ListParagraph"/>
        <w:numPr>
          <w:ilvl w:val="0"/>
          <w:numId w:val="6"/>
        </w:numPr>
        <w:overflowPunct/>
        <w:adjustRightInd/>
        <w:ind w:hanging="720"/>
        <w:textAlignment w:val="auto"/>
        <w:rPr>
          <w:lang w:val="pl-PL"/>
        </w:rPr>
      </w:pPr>
      <w:r w:rsidRPr="00900955">
        <w:rPr>
          <w:lang w:val="pl-PL"/>
        </w:rPr>
        <w:t>EKES organizuje obecnie wizyty w 11 państwach członkowskich: na Węgrzech, w Polsce, na Malcie, w Grecji, w Niemczech, Austrii, Słowenii, Bu</w:t>
      </w:r>
      <w:r w:rsidR="00D6270A" w:rsidRPr="00900955">
        <w:rPr>
          <w:lang w:val="pl-PL"/>
        </w:rPr>
        <w:t>łgarii, Szwecji, we Włoszech, w </w:t>
      </w:r>
      <w:r w:rsidRPr="00900955">
        <w:rPr>
          <w:lang w:val="pl-PL"/>
        </w:rPr>
        <w:t>Chorwacji oraz w Turcji. Te kraje najbardziej odczuwają napływ uchodźców i EKES spotka się tam z organizacjami społeczeństwa obywatelskiego, które pomagają uchodźcom. Jako organ reprezentujący zorganizowane społeczeńs</w:t>
      </w:r>
      <w:r w:rsidR="00D6270A" w:rsidRPr="00900955">
        <w:rPr>
          <w:lang w:val="pl-PL"/>
        </w:rPr>
        <w:t>two obywatelskie w stosunkach z </w:t>
      </w:r>
      <w:r w:rsidRPr="00900955">
        <w:rPr>
          <w:lang w:val="pl-PL"/>
        </w:rPr>
        <w:t>instytucjami europejskimi, EKES wyrazi jego postulaty na szczeblu europejskim.</w:t>
      </w:r>
    </w:p>
    <w:p w:rsidR="005B482C" w:rsidRPr="00900955" w:rsidRDefault="005B482C" w:rsidP="0071758D">
      <w:pPr>
        <w:overflowPunct/>
        <w:adjustRightInd/>
        <w:textAlignment w:val="auto"/>
        <w:rPr>
          <w:lang w:val="pl-PL"/>
        </w:rPr>
      </w:pPr>
    </w:p>
    <w:p w:rsidR="00F323E0" w:rsidRPr="00900955" w:rsidRDefault="0071758D" w:rsidP="0071758D">
      <w:pPr>
        <w:pStyle w:val="ListParagraph"/>
        <w:numPr>
          <w:ilvl w:val="0"/>
          <w:numId w:val="6"/>
        </w:numPr>
        <w:overflowPunct/>
        <w:adjustRightInd/>
        <w:ind w:hanging="720"/>
        <w:textAlignment w:val="auto"/>
        <w:rPr>
          <w:color w:val="000000" w:themeColor="text1"/>
          <w:lang w:val="pl-PL"/>
        </w:rPr>
      </w:pPr>
      <w:r w:rsidRPr="00900955">
        <w:rPr>
          <w:lang w:val="pl-PL"/>
        </w:rPr>
        <w:t>Członkowie EKES-u są przekonani, że w obecnej sytuacji UE musi utworzyć bezpieczne korytarze humanitarne dla uchodźców z krajów dotkniętych wojną i zagrożonych terroryzmem – we współpracy z krajami, w których uchodźcy przebywają w największych skupiskach. Oprócz tego musimy ustanowić prawdziwie wspólny europejski system azylowy, oparty na zharmonizowanych procedurach obowiązujących w całej UE. Obejmuje to jednolity status w zakresie azylu oraz wzajemne uznawanie decyzji azylowych, wspólną odpowiedzialność i solidarność oraz wspólne wysiłki w zakres</w:t>
      </w:r>
      <w:r w:rsidR="00D6270A" w:rsidRPr="00900955">
        <w:rPr>
          <w:lang w:val="pl-PL"/>
        </w:rPr>
        <w:t>ie relokacji i przesiedlenia, a </w:t>
      </w:r>
      <w:r w:rsidRPr="00900955">
        <w:rPr>
          <w:lang w:val="pl-PL"/>
        </w:rPr>
        <w:t>także zmianę rozporządzenia dublińskiego. Ponadto potrzebne są solidarne i solidne systemy podziału obciążenia, przy czym pierwszym krokiem byłoby przyjęcie stałego, sprawiedliwego i obowiązkowego klucza podziału osób ubiegających się o ochronę między wszystkie kraje UE. Z uwagi na wyjątkowe okoliczności i zgodnie z paktem stabilności i wzrostu dodatkowe koszty przyjmowania uchodźców nie powinny być, po przeprowadzeniu gruntownej analizy, ujmowane w deficycie publicznym państw członkowskich.</w:t>
      </w:r>
    </w:p>
    <w:p w:rsidR="00964407" w:rsidRPr="00900955" w:rsidRDefault="00964407" w:rsidP="0071758D">
      <w:pPr>
        <w:overflowPunct/>
        <w:adjustRightInd/>
        <w:textAlignment w:val="auto"/>
        <w:rPr>
          <w:lang w:val="pl-PL"/>
        </w:rPr>
      </w:pPr>
    </w:p>
    <w:p w:rsidR="00AF3695" w:rsidRPr="00900955" w:rsidRDefault="0071758D" w:rsidP="0071758D">
      <w:pPr>
        <w:pStyle w:val="ListParagraph"/>
        <w:numPr>
          <w:ilvl w:val="0"/>
          <w:numId w:val="6"/>
        </w:numPr>
        <w:overflowPunct/>
        <w:adjustRightInd/>
        <w:ind w:hanging="720"/>
        <w:textAlignment w:val="auto"/>
        <w:rPr>
          <w:i/>
          <w:lang w:val="pl-PL"/>
        </w:rPr>
      </w:pPr>
      <w:r w:rsidRPr="00900955">
        <w:rPr>
          <w:lang w:val="pl-PL"/>
        </w:rPr>
        <w:t xml:space="preserve">EKES jest ponadto bardzo zaniepokojony podważaniem dziś układu z Schengen i zasady swobodnego przepływu, które są jednymi z podstawowych osiągnięć UE i z których korzystają jej obywatele. Ważne jest, aby odpowiednio zabezpieczyć granice zewnętrzne państw strefy Schengen. Jednakże przywracanie barier i budowanie murów nie przyczyni się w żadnym stopniu do tego, by Europejczycy stali się sobie bliżsi, a unijne obywatelstwo uległo wzmocnieniu. </w:t>
      </w:r>
    </w:p>
    <w:p w:rsidR="00AF3695" w:rsidRPr="00900955" w:rsidRDefault="00AF3695" w:rsidP="0071758D">
      <w:pPr>
        <w:overflowPunct/>
        <w:adjustRightInd/>
        <w:textAlignment w:val="auto"/>
        <w:rPr>
          <w:lang w:val="pl-PL"/>
        </w:rPr>
      </w:pPr>
    </w:p>
    <w:p w:rsidR="00142F1E" w:rsidRPr="00900955" w:rsidRDefault="0071758D" w:rsidP="0071758D">
      <w:pPr>
        <w:pStyle w:val="ListParagraph"/>
        <w:numPr>
          <w:ilvl w:val="0"/>
          <w:numId w:val="6"/>
        </w:numPr>
        <w:overflowPunct/>
        <w:adjustRightInd/>
        <w:ind w:hanging="720"/>
        <w:textAlignment w:val="auto"/>
        <w:rPr>
          <w:lang w:val="pl-PL"/>
        </w:rPr>
      </w:pPr>
      <w:r w:rsidRPr="00900955">
        <w:rPr>
          <w:lang w:val="pl-PL"/>
        </w:rPr>
        <w:t xml:space="preserve">Kluczowe znaczenie ma także opracowanie środków, które zostałyby natychmiast wdrożone, by wyeliminować przyczyny obecnego napływu uchodźców. Unia musi współpracować w tej dziedzinie z krajami pochodzenia i tranzytu. Komitet nalega na przyjęcie zaproponowanego </w:t>
      </w:r>
      <w:r w:rsidRPr="00900955">
        <w:rPr>
          <w:lang w:val="pl-PL"/>
        </w:rPr>
        <w:lastRenderedPageBreak/>
        <w:t>przez Komisję podejścia do tej współpracy opartego na prawach człowieka, a nie tylko na względach bezpieczeństwa. EKES podkreśla wreszcie konieczność włączenia społeczeństwa obywatelskiego w dialog z państwami trzecimi.</w:t>
      </w:r>
    </w:p>
    <w:p w:rsidR="004C4A22" w:rsidRPr="00900955" w:rsidRDefault="004C4A22" w:rsidP="0071758D">
      <w:pPr>
        <w:overflowPunct/>
        <w:adjustRightInd/>
        <w:ind w:left="720"/>
        <w:textAlignment w:val="auto"/>
        <w:rPr>
          <w:lang w:val="pl-PL"/>
        </w:rPr>
      </w:pPr>
    </w:p>
    <w:p w:rsidR="00AF3695" w:rsidRPr="00900955" w:rsidRDefault="0071758D" w:rsidP="0071758D">
      <w:pPr>
        <w:pStyle w:val="ListParagraph"/>
        <w:numPr>
          <w:ilvl w:val="0"/>
          <w:numId w:val="6"/>
        </w:numPr>
        <w:overflowPunct/>
        <w:adjustRightInd/>
        <w:ind w:hanging="720"/>
        <w:textAlignment w:val="auto"/>
        <w:rPr>
          <w:lang w:val="pl-PL"/>
        </w:rPr>
      </w:pPr>
      <w:r w:rsidRPr="00900955">
        <w:rPr>
          <w:lang w:val="pl-PL"/>
        </w:rPr>
        <w:t>EKES, dzięki swemu wieloletniemu doświadczeniu w sprawach migracji, w ostatnich latach szczególnie poprzez Europejskie Forum Integracji/Migracji, j</w:t>
      </w:r>
      <w:r w:rsidR="00D6270A" w:rsidRPr="00900955">
        <w:rPr>
          <w:lang w:val="pl-PL"/>
        </w:rPr>
        <w:t>est przekonany, że integracja i </w:t>
      </w:r>
      <w:r w:rsidRPr="00900955">
        <w:rPr>
          <w:lang w:val="pl-PL"/>
        </w:rPr>
        <w:t>włączenie uchodźców w nasze społeczeństwa musi</w:t>
      </w:r>
      <w:r w:rsidR="00D6270A" w:rsidRPr="00900955">
        <w:rPr>
          <w:lang w:val="pl-PL"/>
        </w:rPr>
        <w:t xml:space="preserve"> być procesem dwukierunkowym, w </w:t>
      </w:r>
      <w:r w:rsidRPr="00900955">
        <w:rPr>
          <w:lang w:val="pl-PL"/>
        </w:rPr>
        <w:t>ramach którego kluczową rolę odgrywają partnerzy społeczni i inne organizacje społeczeństwa obywatelskiego, wraz z rządami i władzami lokalnymi. Priorytet należy nadać dostępowi do rynku pracy, a konkretnie uznawaniu kwalifikacji oraz w miarę potrzeby zapewnieniu szkoleń zawodowych i kursów językowych. Unia Europejska powinna podjąć szereg działań w krajach przyjmujących i w UE, aby scentralizować wnioski o zatrudnienie, szkolenia oraz uznawanie kwalifikacji.</w:t>
      </w:r>
    </w:p>
    <w:p w:rsidR="009610C6" w:rsidRPr="00900955" w:rsidRDefault="009610C6" w:rsidP="0071758D">
      <w:pPr>
        <w:overflowPunct/>
        <w:adjustRightInd/>
        <w:textAlignment w:val="auto"/>
        <w:rPr>
          <w:lang w:val="pl-PL"/>
        </w:rPr>
      </w:pPr>
    </w:p>
    <w:p w:rsidR="00142F1E" w:rsidRPr="00900955" w:rsidRDefault="0071758D" w:rsidP="0071758D">
      <w:pPr>
        <w:pStyle w:val="ListParagraph"/>
        <w:numPr>
          <w:ilvl w:val="0"/>
          <w:numId w:val="6"/>
        </w:numPr>
        <w:overflowPunct/>
        <w:adjustRightInd/>
        <w:ind w:hanging="720"/>
        <w:textAlignment w:val="auto"/>
        <w:rPr>
          <w:lang w:val="pl-PL"/>
        </w:rPr>
      </w:pPr>
      <w:r w:rsidRPr="00900955">
        <w:rPr>
          <w:lang w:val="pl-PL"/>
        </w:rPr>
        <w:t>Dla osiągnięcia niezbędnego konsensusu społecznego w całej Europie kluczowe znaczenie ma pełne poszanowanie zasady równego traktowania i praw społecznych zarówno obywateli UE, jak i uchodźców w Europie, zwłaszcza w odniesieniu</w:t>
      </w:r>
      <w:r w:rsidR="00D6270A" w:rsidRPr="00900955">
        <w:rPr>
          <w:lang w:val="pl-PL"/>
        </w:rPr>
        <w:t xml:space="preserve"> do tych uchodźców, którzy są w </w:t>
      </w:r>
      <w:r w:rsidRPr="00900955">
        <w:rPr>
          <w:lang w:val="pl-PL"/>
        </w:rPr>
        <w:t>najtrudniejszej sytuacji. Bardzo ważne jest niezwłoczne inwestowanie w proces integracji uchodźców w społeczeństwie i na rynku pracy, aby pomó</w:t>
      </w:r>
      <w:r w:rsidR="00D6270A" w:rsidRPr="00900955">
        <w:rPr>
          <w:lang w:val="pl-PL"/>
        </w:rPr>
        <w:t>c im rozpocząć na nowo życie, a </w:t>
      </w:r>
      <w:r w:rsidRPr="00900955">
        <w:rPr>
          <w:lang w:val="pl-PL"/>
        </w:rPr>
        <w:t>także by minimalizować ewentualne konflikty w lokalnych społecznościach i w ten sposób uniknąć większych kosztów w przyszłości. Odpowiednie finansowanie lokalnych usług publicznych oraz dialog obywatelski między uchodźcami i ludnością lokalną są kluczem do realizacji tego celu.</w:t>
      </w:r>
    </w:p>
    <w:p w:rsidR="00EF29F6" w:rsidRPr="00900955" w:rsidRDefault="00EF29F6" w:rsidP="0071758D">
      <w:pPr>
        <w:jc w:val="left"/>
        <w:rPr>
          <w:lang w:val="pl-PL"/>
        </w:rPr>
      </w:pPr>
    </w:p>
    <w:p w:rsidR="00DC41CB" w:rsidRPr="00900955" w:rsidRDefault="00DC41CB" w:rsidP="0071758D">
      <w:pPr>
        <w:overflowPunct/>
        <w:adjustRightInd/>
        <w:textAlignment w:val="auto"/>
        <w:rPr>
          <w:lang w:val="pl-PL"/>
        </w:rPr>
      </w:pPr>
    </w:p>
    <w:p w:rsidR="00DC41CB" w:rsidRPr="00900955" w:rsidRDefault="00DC41CB" w:rsidP="0071758D">
      <w:pPr>
        <w:overflowPunct/>
        <w:adjustRightInd/>
        <w:textAlignment w:val="auto"/>
        <w:rPr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DC41CB" w:rsidRPr="00900955" w:rsidTr="001B2A85">
        <w:tc>
          <w:tcPr>
            <w:tcW w:w="4621" w:type="dxa"/>
          </w:tcPr>
          <w:p w:rsidR="00DC41CB" w:rsidRPr="00900955" w:rsidRDefault="00DC41CB" w:rsidP="0071758D">
            <w:pPr>
              <w:widowControl w:val="0"/>
              <w:overflowPunct/>
              <w:adjustRightInd/>
              <w:jc w:val="center"/>
              <w:textAlignment w:val="auto"/>
              <w:rPr>
                <w:szCs w:val="22"/>
                <w:lang w:val="pl-PL" w:eastAsia="pl-PL" w:bidi="pl-PL"/>
              </w:rPr>
            </w:pPr>
            <w:r w:rsidRPr="00900955">
              <w:rPr>
                <w:lang w:val="pl-PL"/>
              </w:rPr>
              <w:t xml:space="preserve">Przewodniczący </w:t>
            </w:r>
            <w:r w:rsidRPr="00900955">
              <w:rPr>
                <w:lang w:val="pl-PL"/>
              </w:rPr>
              <w:br/>
              <w:t xml:space="preserve">Europejskiego Komitetu </w:t>
            </w:r>
            <w:r w:rsidRPr="00900955">
              <w:rPr>
                <w:lang w:val="pl-PL"/>
              </w:rPr>
              <w:br/>
              <w:t xml:space="preserve">Ekonomiczno-Społecznego </w:t>
            </w:r>
            <w:r w:rsidRPr="00900955">
              <w:rPr>
                <w:lang w:val="pl-PL"/>
              </w:rPr>
              <w:br/>
              <w:t xml:space="preserve"> </w:t>
            </w:r>
            <w:r w:rsidRPr="00900955">
              <w:rPr>
                <w:lang w:val="pl-PL"/>
              </w:rPr>
              <w:br/>
              <w:t xml:space="preserve"> </w:t>
            </w:r>
            <w:r w:rsidRPr="00900955">
              <w:rPr>
                <w:lang w:val="pl-PL"/>
              </w:rPr>
              <w:br/>
              <w:t xml:space="preserve"> </w:t>
            </w:r>
            <w:r w:rsidRPr="00900955">
              <w:rPr>
                <w:lang w:val="pl-PL"/>
              </w:rPr>
              <w:br/>
              <w:t xml:space="preserve"> </w:t>
            </w:r>
            <w:r w:rsidRPr="00900955">
              <w:rPr>
                <w:lang w:val="pl-PL"/>
              </w:rPr>
              <w:br/>
              <w:t>Georges DASSIS</w:t>
            </w:r>
          </w:p>
        </w:tc>
        <w:tc>
          <w:tcPr>
            <w:tcW w:w="4622" w:type="dxa"/>
          </w:tcPr>
          <w:p w:rsidR="00DC41CB" w:rsidRPr="00900955" w:rsidRDefault="00DC41CB" w:rsidP="0071758D">
            <w:pPr>
              <w:widowControl w:val="0"/>
              <w:overflowPunct/>
              <w:adjustRightInd/>
              <w:jc w:val="center"/>
              <w:textAlignment w:val="auto"/>
              <w:rPr>
                <w:szCs w:val="22"/>
                <w:lang w:val="pl-PL" w:eastAsia="pl-PL" w:bidi="pl-PL"/>
              </w:rPr>
            </w:pPr>
          </w:p>
        </w:tc>
      </w:tr>
    </w:tbl>
    <w:p w:rsidR="00DC41CB" w:rsidRPr="00900955" w:rsidRDefault="00DC41CB" w:rsidP="0071758D">
      <w:pPr>
        <w:overflowPunct/>
        <w:adjustRightInd/>
        <w:jc w:val="center"/>
        <w:textAlignment w:val="auto"/>
        <w:rPr>
          <w:lang w:val="pl-PL"/>
        </w:rPr>
      </w:pPr>
    </w:p>
    <w:p w:rsidR="00DC41CB" w:rsidRPr="00900955" w:rsidRDefault="00DC41CB" w:rsidP="0071758D">
      <w:pPr>
        <w:jc w:val="center"/>
        <w:rPr>
          <w:lang w:val="pl-PL"/>
        </w:rPr>
      </w:pPr>
    </w:p>
    <w:p w:rsidR="009B16AA" w:rsidRPr="00900955" w:rsidRDefault="00765440" w:rsidP="0071758D">
      <w:pPr>
        <w:jc w:val="center"/>
        <w:rPr>
          <w:lang w:val="pl-PL"/>
        </w:rPr>
      </w:pPr>
      <w:r w:rsidRPr="00900955">
        <w:rPr>
          <w:lang w:val="pl-PL"/>
        </w:rPr>
        <w:t>_____________</w:t>
      </w:r>
    </w:p>
    <w:p w:rsidR="009B16AA" w:rsidRPr="00900955" w:rsidRDefault="009B16AA" w:rsidP="0071758D">
      <w:pPr>
        <w:overflowPunct/>
        <w:adjustRightInd/>
        <w:textAlignment w:val="auto"/>
        <w:rPr>
          <w:lang w:val="pl-PL"/>
        </w:rPr>
      </w:pPr>
    </w:p>
    <w:sectPr w:rsidR="009B16AA" w:rsidRPr="00900955" w:rsidSect="007175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701" w:right="1440" w:bottom="1928" w:left="1440" w:header="1020" w:footer="1247" w:gutter="0"/>
      <w:pgNumType w:start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1ED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F7" w:rsidRDefault="00D806F7" w:rsidP="009610C6">
      <w:pPr>
        <w:spacing w:line="240" w:lineRule="auto"/>
      </w:pPr>
      <w:r>
        <w:separator/>
      </w:r>
    </w:p>
  </w:endnote>
  <w:endnote w:type="continuationSeparator" w:id="0">
    <w:p w:rsidR="00D806F7" w:rsidRDefault="00D806F7" w:rsidP="00961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7" w:rsidRPr="0071758D" w:rsidRDefault="00CC73E7" w:rsidP="00CC73E7">
    <w:pPr>
      <w:pStyle w:val="Footer"/>
      <w:rPr>
        <w:lang w:val="pl-PL"/>
      </w:rPr>
    </w:pPr>
    <w:r w:rsidRPr="0071758D">
      <w:rPr>
        <w:lang w:val="pl-PL"/>
      </w:rPr>
      <w:t xml:space="preserve">EESC-2015-05366-00-00-RES-TRA (EN) </w:t>
    </w:r>
    <w:r w:rsidRPr="0071758D">
      <w:fldChar w:fldCharType="begin"/>
    </w:r>
    <w:r w:rsidRPr="0071758D">
      <w:instrText xml:space="preserve"> PAGE  \* Arabic  \* MERGEFORMAT </w:instrText>
    </w:r>
    <w:r w:rsidRPr="0071758D">
      <w:fldChar w:fldCharType="separate"/>
    </w:r>
    <w:r w:rsidR="00900955">
      <w:rPr>
        <w:noProof/>
      </w:rPr>
      <w:t>1</w:t>
    </w:r>
    <w:r w:rsidRPr="0071758D">
      <w:fldChar w:fldCharType="end"/>
    </w:r>
    <w:r w:rsidRPr="0071758D">
      <w:rPr>
        <w:lang w:val="pl-PL"/>
      </w:rPr>
      <w:t>/</w:t>
    </w:r>
    <w:r w:rsidRPr="0071758D">
      <w:fldChar w:fldCharType="begin"/>
    </w:r>
    <w:r w:rsidRPr="0071758D">
      <w:instrText xml:space="preserve"> = </w:instrText>
    </w:r>
    <w:r w:rsidRPr="0071758D">
      <w:fldChar w:fldCharType="begin"/>
    </w:r>
    <w:r w:rsidRPr="0071758D">
      <w:instrText xml:space="preserve"> NUMPAGES </w:instrText>
    </w:r>
    <w:r w:rsidRPr="0071758D">
      <w:fldChar w:fldCharType="separate"/>
    </w:r>
    <w:r w:rsidR="00900955">
      <w:rPr>
        <w:noProof/>
      </w:rPr>
      <w:instrText>1</w:instrText>
    </w:r>
    <w:r w:rsidRPr="0071758D">
      <w:fldChar w:fldCharType="end"/>
    </w:r>
    <w:r w:rsidRPr="0071758D">
      <w:instrText xml:space="preserve"> </w:instrText>
    </w:r>
    <w:r w:rsidRPr="0071758D">
      <w:fldChar w:fldCharType="separate"/>
    </w:r>
    <w:r w:rsidR="00900955">
      <w:rPr>
        <w:noProof/>
      </w:rPr>
      <w:t>1</w:t>
    </w:r>
    <w:r w:rsidRPr="0071758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F" w:rsidRPr="00CC73E7" w:rsidRDefault="001B6C7F" w:rsidP="00CC7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6E" w:rsidRPr="0071758D" w:rsidRDefault="00CC73E7" w:rsidP="00CC73E7">
    <w:pPr>
      <w:pStyle w:val="Footer"/>
      <w:rPr>
        <w:lang w:val="pl-PL"/>
      </w:rPr>
    </w:pPr>
    <w:r w:rsidRPr="0071758D">
      <w:rPr>
        <w:lang w:val="pl-PL"/>
      </w:rPr>
      <w:t xml:space="preserve">EESC-2015-05366-00-00-RES-TRA (EN) </w:t>
    </w:r>
    <w:r w:rsidRPr="0071758D">
      <w:fldChar w:fldCharType="begin"/>
    </w:r>
    <w:r w:rsidRPr="0071758D">
      <w:instrText xml:space="preserve"> PAGE  \* Arabic  \* MERGEFORMAT </w:instrText>
    </w:r>
    <w:r w:rsidRPr="0071758D">
      <w:fldChar w:fldCharType="separate"/>
    </w:r>
    <w:r w:rsidR="00900955">
      <w:rPr>
        <w:noProof/>
      </w:rPr>
      <w:t>1</w:t>
    </w:r>
    <w:r w:rsidRPr="0071758D">
      <w:fldChar w:fldCharType="end"/>
    </w:r>
    <w:r w:rsidRPr="0071758D">
      <w:rPr>
        <w:lang w:val="pl-PL"/>
      </w:rPr>
      <w:t>/</w:t>
    </w:r>
    <w:r w:rsidRPr="0071758D">
      <w:fldChar w:fldCharType="begin"/>
    </w:r>
    <w:r w:rsidRPr="0071758D">
      <w:instrText xml:space="preserve"> = </w:instrText>
    </w:r>
    <w:r w:rsidRPr="0071758D">
      <w:fldChar w:fldCharType="begin"/>
    </w:r>
    <w:r w:rsidRPr="0071758D">
      <w:instrText xml:space="preserve"> NUMPAGES </w:instrText>
    </w:r>
    <w:r w:rsidRPr="0071758D">
      <w:fldChar w:fldCharType="separate"/>
    </w:r>
    <w:r w:rsidR="00900955">
      <w:rPr>
        <w:noProof/>
      </w:rPr>
      <w:instrText>3</w:instrText>
    </w:r>
    <w:r w:rsidRPr="0071758D">
      <w:fldChar w:fldCharType="end"/>
    </w:r>
    <w:r w:rsidRPr="0071758D">
      <w:instrText xml:space="preserve"> </w:instrText>
    </w:r>
    <w:r w:rsidRPr="0071758D">
      <w:fldChar w:fldCharType="separate"/>
    </w:r>
    <w:r w:rsidR="00900955">
      <w:rPr>
        <w:noProof/>
      </w:rPr>
      <w:t>3</w:t>
    </w:r>
    <w:r w:rsidRPr="0071758D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F" w:rsidRPr="00CC73E7" w:rsidRDefault="001B6C7F" w:rsidP="00CC7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F7" w:rsidRDefault="00D806F7" w:rsidP="009610C6">
      <w:pPr>
        <w:spacing w:line="240" w:lineRule="auto"/>
      </w:pPr>
      <w:r>
        <w:separator/>
      </w:r>
    </w:p>
  </w:footnote>
  <w:footnote w:type="continuationSeparator" w:id="0">
    <w:p w:rsidR="00D806F7" w:rsidRDefault="00D806F7" w:rsidP="00961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F" w:rsidRPr="00CC73E7" w:rsidRDefault="001B6C7F" w:rsidP="00CC7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F" w:rsidRPr="0071758D" w:rsidRDefault="001B6C7F" w:rsidP="00CC73E7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F" w:rsidRPr="00CC73E7" w:rsidRDefault="001B6C7F" w:rsidP="00CC7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7A14C28"/>
    <w:multiLevelType w:val="singleLevel"/>
    <w:tmpl w:val="133EA2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2">
    <w:nsid w:val="0BEA3FD4"/>
    <w:multiLevelType w:val="hybridMultilevel"/>
    <w:tmpl w:val="133EA2CE"/>
    <w:lvl w:ilvl="0" w:tplc="41EED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04D4"/>
    <w:multiLevelType w:val="singleLevel"/>
    <w:tmpl w:val="133EA2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4">
    <w:nsid w:val="247B2E86"/>
    <w:multiLevelType w:val="singleLevel"/>
    <w:tmpl w:val="133EA2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5">
    <w:nsid w:val="2568535F"/>
    <w:multiLevelType w:val="hybridMultilevel"/>
    <w:tmpl w:val="133EA2CE"/>
    <w:lvl w:ilvl="0" w:tplc="41EED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54DC"/>
    <w:multiLevelType w:val="hybridMultilevel"/>
    <w:tmpl w:val="133EA2CE"/>
    <w:lvl w:ilvl="0" w:tplc="41EED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20BF8"/>
    <w:multiLevelType w:val="multilevel"/>
    <w:tmpl w:val="D368C5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0245BCA"/>
    <w:multiLevelType w:val="singleLevel"/>
    <w:tmpl w:val="133EA2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9">
    <w:nsid w:val="54DC3847"/>
    <w:multiLevelType w:val="singleLevel"/>
    <w:tmpl w:val="133EA2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0">
    <w:nsid w:val="71D965B5"/>
    <w:multiLevelType w:val="singleLevel"/>
    <w:tmpl w:val="133EA2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1">
    <w:nsid w:val="76E1695E"/>
    <w:multiLevelType w:val="singleLevel"/>
    <w:tmpl w:val="133EA2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E"/>
    <w:rsid w:val="00004BB2"/>
    <w:rsid w:val="00021BD2"/>
    <w:rsid w:val="00052EDE"/>
    <w:rsid w:val="00053B84"/>
    <w:rsid w:val="00094B01"/>
    <w:rsid w:val="000B0257"/>
    <w:rsid w:val="000C5E6B"/>
    <w:rsid w:val="001166AA"/>
    <w:rsid w:val="0011781E"/>
    <w:rsid w:val="00142F1E"/>
    <w:rsid w:val="00154FF4"/>
    <w:rsid w:val="00156EA3"/>
    <w:rsid w:val="00185F63"/>
    <w:rsid w:val="001B6C7F"/>
    <w:rsid w:val="001D1991"/>
    <w:rsid w:val="001F4CB3"/>
    <w:rsid w:val="001F788B"/>
    <w:rsid w:val="00221090"/>
    <w:rsid w:val="00222682"/>
    <w:rsid w:val="00231267"/>
    <w:rsid w:val="00237EA6"/>
    <w:rsid w:val="0025167D"/>
    <w:rsid w:val="00286E4E"/>
    <w:rsid w:val="002A0233"/>
    <w:rsid w:val="002C274D"/>
    <w:rsid w:val="00324BA4"/>
    <w:rsid w:val="0037209A"/>
    <w:rsid w:val="003753FC"/>
    <w:rsid w:val="00394DC2"/>
    <w:rsid w:val="00397767"/>
    <w:rsid w:val="00397C22"/>
    <w:rsid w:val="003C6F6E"/>
    <w:rsid w:val="00422291"/>
    <w:rsid w:val="00432296"/>
    <w:rsid w:val="0049070B"/>
    <w:rsid w:val="004967C0"/>
    <w:rsid w:val="004A710B"/>
    <w:rsid w:val="004B29DD"/>
    <w:rsid w:val="004C4A22"/>
    <w:rsid w:val="00520A80"/>
    <w:rsid w:val="00583952"/>
    <w:rsid w:val="005B482C"/>
    <w:rsid w:val="00600435"/>
    <w:rsid w:val="00616A70"/>
    <w:rsid w:val="00625326"/>
    <w:rsid w:val="00630285"/>
    <w:rsid w:val="006B0365"/>
    <w:rsid w:val="006C7B2E"/>
    <w:rsid w:val="006E172B"/>
    <w:rsid w:val="006E612E"/>
    <w:rsid w:val="006F0CFE"/>
    <w:rsid w:val="00703C84"/>
    <w:rsid w:val="00717138"/>
    <w:rsid w:val="0071758D"/>
    <w:rsid w:val="00743D48"/>
    <w:rsid w:val="00747584"/>
    <w:rsid w:val="00765440"/>
    <w:rsid w:val="00777F6B"/>
    <w:rsid w:val="0078069C"/>
    <w:rsid w:val="00782503"/>
    <w:rsid w:val="008333A3"/>
    <w:rsid w:val="00870CEE"/>
    <w:rsid w:val="00884040"/>
    <w:rsid w:val="008A395B"/>
    <w:rsid w:val="008C4D90"/>
    <w:rsid w:val="00900955"/>
    <w:rsid w:val="00944746"/>
    <w:rsid w:val="009471B5"/>
    <w:rsid w:val="009610C6"/>
    <w:rsid w:val="00964407"/>
    <w:rsid w:val="009961A8"/>
    <w:rsid w:val="009A06C9"/>
    <w:rsid w:val="009A1531"/>
    <w:rsid w:val="009A4C21"/>
    <w:rsid w:val="009B16AA"/>
    <w:rsid w:val="009E4D1B"/>
    <w:rsid w:val="009F0DC0"/>
    <w:rsid w:val="009F67E8"/>
    <w:rsid w:val="00A6383F"/>
    <w:rsid w:val="00AA2A5A"/>
    <w:rsid w:val="00AB4BCE"/>
    <w:rsid w:val="00AC1FDE"/>
    <w:rsid w:val="00AF3695"/>
    <w:rsid w:val="00B0529E"/>
    <w:rsid w:val="00B6049E"/>
    <w:rsid w:val="00B6625D"/>
    <w:rsid w:val="00B87D84"/>
    <w:rsid w:val="00BD5A67"/>
    <w:rsid w:val="00C01947"/>
    <w:rsid w:val="00C6765A"/>
    <w:rsid w:val="00C73150"/>
    <w:rsid w:val="00CC73E7"/>
    <w:rsid w:val="00CC79FE"/>
    <w:rsid w:val="00CC7A8F"/>
    <w:rsid w:val="00CE10F8"/>
    <w:rsid w:val="00CF4065"/>
    <w:rsid w:val="00D06B1F"/>
    <w:rsid w:val="00D2175A"/>
    <w:rsid w:val="00D6270A"/>
    <w:rsid w:val="00D806F7"/>
    <w:rsid w:val="00DC41CB"/>
    <w:rsid w:val="00DD6A8F"/>
    <w:rsid w:val="00E37E63"/>
    <w:rsid w:val="00E60F0C"/>
    <w:rsid w:val="00E67652"/>
    <w:rsid w:val="00E7427F"/>
    <w:rsid w:val="00E97687"/>
    <w:rsid w:val="00EA1B1A"/>
    <w:rsid w:val="00EB5387"/>
    <w:rsid w:val="00ED72E5"/>
    <w:rsid w:val="00EF29F6"/>
    <w:rsid w:val="00F323E0"/>
    <w:rsid w:val="00F8592E"/>
    <w:rsid w:val="00F86F87"/>
    <w:rsid w:val="00F90EF2"/>
    <w:rsid w:val="00FA1260"/>
    <w:rsid w:val="00FB0ABB"/>
    <w:rsid w:val="00FD2EF1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pl-P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8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rsid w:val="00EB5387"/>
    <w:pPr>
      <w:numPr>
        <w:numId w:val="3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EB5387"/>
    <w:pPr>
      <w:numPr>
        <w:ilvl w:val="1"/>
        <w:numId w:val="3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EB5387"/>
    <w:pPr>
      <w:numPr>
        <w:ilvl w:val="2"/>
        <w:numId w:val="3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EB5387"/>
    <w:pPr>
      <w:numPr>
        <w:ilvl w:val="3"/>
        <w:numId w:val="3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EB5387"/>
    <w:pPr>
      <w:numPr>
        <w:ilvl w:val="4"/>
        <w:numId w:val="3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EB5387"/>
    <w:pPr>
      <w:numPr>
        <w:ilvl w:val="5"/>
        <w:numId w:val="3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B5387"/>
    <w:pPr>
      <w:numPr>
        <w:ilvl w:val="6"/>
        <w:numId w:val="3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B5387"/>
    <w:pPr>
      <w:numPr>
        <w:ilvl w:val="7"/>
        <w:numId w:val="3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B5387"/>
    <w:pPr>
      <w:numPr>
        <w:ilvl w:val="8"/>
        <w:numId w:val="3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B538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610C6"/>
    <w:rPr>
      <w:rFonts w:ascii="Times New Roman" w:eastAsia="Times New Roman" w:hAnsi="Times New Roman" w:cs="Times New Roman"/>
      <w:color w:val="auto"/>
      <w:sz w:val="16"/>
      <w:szCs w:val="20"/>
      <w:lang w:val="en-GB" w:eastAsia="en-US" w:bidi="ar-SA"/>
    </w:rPr>
  </w:style>
  <w:style w:type="character" w:styleId="FootnoteReference">
    <w:name w:val="footnote reference"/>
    <w:basedOn w:val="DefaultParagraphFont"/>
    <w:rsid w:val="00EB5387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78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B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EB5387"/>
  </w:style>
  <w:style w:type="character" w:customStyle="1" w:styleId="HeaderChar">
    <w:name w:val="Header Char"/>
    <w:basedOn w:val="DefaultParagraphFont"/>
    <w:link w:val="Header"/>
    <w:rsid w:val="003C6F6E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paragraph" w:styleId="Footer">
    <w:name w:val="footer"/>
    <w:basedOn w:val="Normal"/>
    <w:link w:val="FooterChar"/>
    <w:rsid w:val="00EB5387"/>
  </w:style>
  <w:style w:type="character" w:customStyle="1" w:styleId="FooterChar">
    <w:name w:val="Footer Char"/>
    <w:basedOn w:val="DefaultParagraphFont"/>
    <w:link w:val="Footer"/>
    <w:rsid w:val="003C6F6E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154FF4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154FF4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154FF4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pl-P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8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rsid w:val="00EB5387"/>
    <w:pPr>
      <w:numPr>
        <w:numId w:val="3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EB5387"/>
    <w:pPr>
      <w:numPr>
        <w:ilvl w:val="1"/>
        <w:numId w:val="3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EB5387"/>
    <w:pPr>
      <w:numPr>
        <w:ilvl w:val="2"/>
        <w:numId w:val="3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EB5387"/>
    <w:pPr>
      <w:numPr>
        <w:ilvl w:val="3"/>
        <w:numId w:val="3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EB5387"/>
    <w:pPr>
      <w:numPr>
        <w:ilvl w:val="4"/>
        <w:numId w:val="3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EB5387"/>
    <w:pPr>
      <w:numPr>
        <w:ilvl w:val="5"/>
        <w:numId w:val="3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B5387"/>
    <w:pPr>
      <w:numPr>
        <w:ilvl w:val="6"/>
        <w:numId w:val="3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B5387"/>
    <w:pPr>
      <w:numPr>
        <w:ilvl w:val="7"/>
        <w:numId w:val="3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B5387"/>
    <w:pPr>
      <w:numPr>
        <w:ilvl w:val="8"/>
        <w:numId w:val="3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B538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610C6"/>
    <w:rPr>
      <w:rFonts w:ascii="Times New Roman" w:eastAsia="Times New Roman" w:hAnsi="Times New Roman" w:cs="Times New Roman"/>
      <w:color w:val="auto"/>
      <w:sz w:val="16"/>
      <w:szCs w:val="20"/>
      <w:lang w:val="en-GB" w:eastAsia="en-US" w:bidi="ar-SA"/>
    </w:rPr>
  </w:style>
  <w:style w:type="character" w:styleId="FootnoteReference">
    <w:name w:val="footnote reference"/>
    <w:basedOn w:val="DefaultParagraphFont"/>
    <w:rsid w:val="00EB5387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78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B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EB5387"/>
  </w:style>
  <w:style w:type="character" w:customStyle="1" w:styleId="HeaderChar">
    <w:name w:val="Header Char"/>
    <w:basedOn w:val="DefaultParagraphFont"/>
    <w:link w:val="Header"/>
    <w:rsid w:val="003C6F6E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paragraph" w:styleId="Footer">
    <w:name w:val="footer"/>
    <w:basedOn w:val="Normal"/>
    <w:link w:val="FooterChar"/>
    <w:rsid w:val="00EB5387"/>
  </w:style>
  <w:style w:type="character" w:customStyle="1" w:styleId="FooterChar">
    <w:name w:val="Footer Char"/>
    <w:basedOn w:val="DefaultParagraphFont"/>
    <w:link w:val="Footer"/>
    <w:rsid w:val="003C6F6E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154FF4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154FF4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154FF4"/>
    <w:rPr>
      <w:rFonts w:ascii="Times New Roman" w:eastAsia="Times New Roman" w:hAnsi="Times New Roman" w:cs="Times New Roman"/>
      <w:color w:val="auto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" TargetMode="External"/><Relationship Id="rId22" Type="http://schemas.openxmlformats.org/officeDocument/2006/relationships/footer" Target="footer4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SNS6YXTC77FS-8-5608</_dlc_DocId>
    <_dlc_DocIdUrl xmlns="9f264e46-9252-4f01-a3b2-4cb67eb6fc3c">
      <Url>http://dm/EESC/2015/_layouts/DocIdRedir.aspx?ID=SNS6YXTC77FS-8-5608</Url>
      <Description>SNS6YXTC77FS-8-5608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MeetingNumber xmlns="57dbe824-75b7-48a3-bfa5-af99f883c842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2015-12-10T12:00:00+00:00</ProductionDate>
    <FicheYear xmlns="9f264e46-9252-4f01-a3b2-4cb67eb6fc3c">2015</FicheYear>
    <DocumentNumber xmlns="57dbe824-75b7-48a3-bfa5-af99f883c842">5366</DocumentNumbe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9f264e46-9252-4f01-a3b2-4cb67eb6fc3c">
      <Value>43</Value>
      <Value>41</Value>
      <Value>40</Value>
      <Value>39</Value>
      <Value>38</Value>
      <Value>37</Value>
      <Value>36</Value>
      <Value>35</Value>
      <Value>33</Value>
      <Value>120</Value>
      <Value>24</Value>
      <Value>25</Value>
      <Value>22</Value>
      <Value>248</Value>
      <Value>21</Value>
      <Value>20</Value>
      <Value>18</Value>
      <Value>17</Value>
      <Value>16</Value>
      <Value>14</Value>
      <Value>13</Value>
      <Value>11</Value>
      <Value>10</Value>
      <Value>9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MeetingDate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12442</FicheNumber>
    <DocumentYear xmlns="9f264e46-9252-4f01-a3b2-4cb67eb6fc3c">2015</DocumentYear>
    <DocumentPart xmlns="9f264e46-9252-4f01-a3b2-4cb67eb6fc3c">0</DocumentPart>
    <AdoptionDate xmlns="9f264e46-9252-4f01-a3b2-4cb67eb6fc3c">2015-12-10T12:00:00+00:00</AdoptionDate>
    <RequestingService xmlns="9f264e46-9252-4f01-a3b2-4cb67eb6fc3c">Greffe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BE9BADFBD73E64CAFEDF2E8B27ED9C0" ma:contentTypeVersion="6" ma:contentTypeDescription="Defines the documents for Document Manager V2" ma:contentTypeScope="" ma:versionID="03b67870a1c252f37f9ab981120e9ab2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57dbe824-75b7-48a3-bfa5-af99f883c842" targetNamespace="http://schemas.microsoft.com/office/2006/metadata/properties" ma:root="true" ma:fieldsID="6619ad4128cf88973d9d9fef929efc25" ns2:_="" ns3:_="" ns4:_="">
    <xsd:import namespace="9f264e46-9252-4f01-a3b2-4cb67eb6fc3c"/>
    <xsd:import namespace="http://schemas.microsoft.com/sharepoint/v3/fields"/>
    <xsd:import namespace="57dbe824-75b7-48a3-bfa5-af99f883c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e824-75b7-48a3-bfa5-af99f883c84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DD87-0B18-4D06-997F-1763F3A62724}"/>
</file>

<file path=customXml/itemProps2.xml><?xml version="1.0" encoding="utf-8"?>
<ds:datastoreItem xmlns:ds="http://schemas.openxmlformats.org/officeDocument/2006/customXml" ds:itemID="{C8A9FB8A-F3AF-4E3D-951D-0073AF17F45F}"/>
</file>

<file path=customXml/itemProps3.xml><?xml version="1.0" encoding="utf-8"?>
<ds:datastoreItem xmlns:ds="http://schemas.openxmlformats.org/officeDocument/2006/customXml" ds:itemID="{ED3EF0B1-D02A-4DB5-97BC-F2A4EFCA65EC}"/>
</file>

<file path=customXml/itemProps4.xml><?xml version="1.0" encoding="utf-8"?>
<ds:datastoreItem xmlns:ds="http://schemas.openxmlformats.org/officeDocument/2006/customXml" ds:itemID="{9B83D91E-B110-4133-B889-F527142BAB45}"/>
</file>

<file path=customXml/itemProps5.xml><?xml version="1.0" encoding="utf-8"?>
<ds:datastoreItem xmlns:ds="http://schemas.openxmlformats.org/officeDocument/2006/customXml" ds:itemID="{07515CB9-1D83-426A-A81F-A15FF5170DD4}"/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3</Pages>
  <Words>655</Words>
  <Characters>4361</Characters>
  <Application>Microsoft Office Word</Application>
  <DocSecurity>0</DocSecurity>
  <Lines>103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EESC resolution on refugees</vt:lpstr>
    </vt:vector>
  </TitlesOfParts>
  <Company>CESE-CdR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Rezolucja Europejskiego Komitetu Ekonomiczno-Społecznego w sprawie uchodźców</dc:title>
  <dc:subject>Rezolucja</dc:subject>
  <dc:creator/>
  <cp:keywords>EESC-2015-05366-00-00-RES-TRA-PL</cp:keywords>
  <dc:description>Rapporteur: -_x000d_
Original language: EN_x000d_
Date of document: 10/12/2015_x000d_
Date of meeting: _x000d_
External documents: -_x000d_
Administrator responsible: Cosmai Domenico, telephone: +32 (0)2 546 9041_x000d_
_x000d_
Abstract:</dc:description>
  <cp:lastModifiedBy>Agnieszka Klimaszewska</cp:lastModifiedBy>
  <cp:revision>8</cp:revision>
  <cp:lastPrinted>2015-12-03T09:57:00Z</cp:lastPrinted>
  <dcterms:created xsi:type="dcterms:W3CDTF">2015-12-10T11:03:00Z</dcterms:created>
  <dcterms:modified xsi:type="dcterms:W3CDTF">2015-12-10T11:07:00Z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10/12/2015, 10/12/2015, 08/12/2015, 08/12/2015, 03/12/2015</vt:lpwstr>
  </property>
  <property fmtid="{D5CDD505-2E9C-101B-9397-08002B2CF9AE}" pid="4" name="Pref_Time">
    <vt:lpwstr>11:34:10, 10:47:50, 16:54:49, 09:05:13, 17:57:15</vt:lpwstr>
  </property>
  <property fmtid="{D5CDD505-2E9C-101B-9397-08002B2CF9AE}" pid="5" name="Pref_User">
    <vt:lpwstr>enied, htoo, mkop, amett, mreg</vt:lpwstr>
  </property>
  <property fmtid="{D5CDD505-2E9C-101B-9397-08002B2CF9AE}" pid="6" name="Pref_FileName">
    <vt:lpwstr>EESC-2015-05366-00-00-RES-TRA-EN-CRR.docx, EESC-2015-05366-00-00-RES-CRR-EN.docx, EESC-2015-05366-00-00-PRES-ORI.docx, EESC-2015-05928-03-00-NB-ORI.docx, EESC-2015-06420-00-00-TCD-ORI.docx</vt:lpwstr>
  </property>
  <property fmtid="{D5CDD505-2E9C-101B-9397-08002B2CF9AE}" pid="7" name="ContentTypeId">
    <vt:lpwstr>0x010100EA97B91038054C99906057A708A1480A006BE9BADFBD73E64CAFEDF2E8B27ED9C0</vt:lpwstr>
  </property>
  <property fmtid="{D5CDD505-2E9C-101B-9397-08002B2CF9AE}" pid="8" name="_dlc_DocIdItemGuid">
    <vt:lpwstr>ff6e1518-5f41-478c-99c2-7288d38e487f</vt:lpwstr>
  </property>
  <property fmtid="{D5CDD505-2E9C-101B-9397-08002B2CF9AE}" pid="9" name="DocumentType_0">
    <vt:lpwstr>RES|9e3e62eb-6858-4bc7-8a50-3453e395fd01</vt:lpwstr>
  </property>
  <property fmtid="{D5CDD505-2E9C-101B-9397-08002B2CF9AE}" pid="10" name="AvailableTranslations">
    <vt:lpwstr>13;#SL|98a412ae-eb01-49e9-ae3d-585a81724cfc;#38;#IT|0774613c-01ed-4e5d-a25d-11d2388de825;#22;#LV|46f7e311-5d9f-4663-b433-18aeccb7ace7;#41;#NL|55c6556c-b4f4-441d-9acf-c498d4f838bd;#17;#ES|e7a6b05b-ae16-40c8-add9-68b64b03aeba;#4;#FR|d2afafd3-4c81-4f60-8f52-ee33f2f54ff3;#33;#HU|6b229040-c589-4408-b4c1-4285663d20a8;#10;#LT|a7ff5ce7-6123-4f68-865a-a57c31810414;#39;#CS|72f9705b-0217-4fd3-bea2-cbc7ed80e26e;#16;#PL|1e03da61-4678-4e07-b136-b5024ca9197b;#35;#ET|ff6c3f4c-b02c-4c3c-ab07-2c37995a7a0a;#14;#DA|5d49c027-8956-412b-aa16-e85a0f96ad0e;#21;#HR|2f555653-ed1a-4fe6-8362-9082d95989e5;#20;#DE|f6b31e5a-26fa-4935-b661-318e46daf27e;#43;#SK|46d9fce0-ef79-4f71-b89b-cd6aa82426b8;#40;#MT|7df99101-6854-4a26-b53a-b88c0da02c26;#36;#FI|87606a43-d45f-42d6-b8c9-e1a3457db5b7;#18;#SV|c2ed69e7-a339-43d7-8f22-d93680a92aa0;#24;#PT|50ccc04a-eadd-42ae-a0cb-acaf45f812ba;#11;#EL|6d4f4d51-af9b-4650-94b4-4276bee85c91;#25;#RO|feb747a2-64cd-4299-af12-4833ddc30497;#37;#BG|1a1b3951-7821-4e6a-85f5-5673fc08bd2c;#9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2015</vt:i4>
  </property>
  <property fmtid="{D5CDD505-2E9C-101B-9397-08002B2CF9AE}" pid="14" name="DocumentNumber">
    <vt:i4>5366</vt:i4>
  </property>
  <property fmtid="{D5CDD505-2E9C-101B-9397-08002B2CF9AE}" pid="15" name="DocumentVersion">
    <vt:i4>0</vt:i4>
  </property>
  <property fmtid="{D5CDD505-2E9C-101B-9397-08002B2CF9AE}" pid="16" name="DocumentType">
    <vt:lpwstr>248;#RES|9e3e62eb-6858-4bc7-8a50-3453e395fd01</vt:lpwstr>
  </property>
  <property fmtid="{D5CDD505-2E9C-101B-9397-08002B2CF9AE}" pid="17" name="DocumentStatus">
    <vt:lpwstr>2;#TRA|150d2a88-1431-44e6-a8ca-0bb753ab8672</vt:lpwstr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Part">
    <vt:i4>0</vt:i4>
  </property>
  <property fmtid="{D5CDD505-2E9C-101B-9397-08002B2CF9AE}" pid="21" name="RequestingService">
    <vt:lpwstr>Greffe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22;#LV|46f7e311-5d9f-4663-b433-18aeccb7ace7;#41;#NL|55c6556c-b4f4-441d-9acf-c498d4f838bd;#120;#Final|ea5e6674-7b27-4bac-b091-73adbb394efe;#248;#RES|9e3e62eb-6858-4bc7-8a50-3453e395fd01;#17;#ES|e7a6b05b-ae16-40c8-add9-68b64b03aeba;#38;#IT|0774613c-01ed-4e5d-a25d-11d2388de825;#14;#DA|5d49c027-8956-412b-aa16-e85a0f96ad0e;#33;#HU|6b229040-c589-4408-b4c1-4285663d20a8;#9;#EN|f2175f21-25d7-44a3-96da-d6a61b075e1b;#5;#Unrestricted|826e22d7-d029-4ec0-a450-0c28ff673572;#2;#TRA|150d2a88-1431-44e6-a8ca-0bb753ab8672;#1;#EESC|422833ec-8d7e-4e65-8e4e-8bed07ffb729</vt:lpwstr>
  </property>
  <property fmtid="{D5CDD505-2E9C-101B-9397-08002B2CF9AE}" pid="30" name="AvailableTranslations_0">
    <vt:lpwstr>IT|0774613c-01ed-4e5d-a25d-11d2388de825;LV|46f7e311-5d9f-4663-b433-18aeccb7ace7;NL|55c6556c-b4f4-441d-9acf-c498d4f838bd;ES|e7a6b05b-ae16-40c8-add9-68b64b03aeba;HU|6b229040-c589-4408-b4c1-4285663d20a8;DA|5d49c027-8956-412b-aa16-e85a0f96ad0e;EN|f2175f21-25d7-44a3-96da-d6a61b075e1b</vt:lpwstr>
  </property>
  <property fmtid="{D5CDD505-2E9C-101B-9397-08002B2CF9AE}" pid="31" name="VersionStatus">
    <vt:lpwstr>120;#Final|ea5e6674-7b27-4bac-b091-73adbb394efe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12442</vt:i4>
  </property>
  <property fmtid="{D5CDD505-2E9C-101B-9397-08002B2CF9AE}" pid="34" name="DocumentYear">
    <vt:i4>2015</vt:i4>
  </property>
  <property fmtid="{D5CDD505-2E9C-101B-9397-08002B2CF9AE}" pid="35" name="DocumentLanguage">
    <vt:lpwstr>16;#PL|1e03da61-4678-4e07-b136-b5024ca9197b</vt:lpwstr>
  </property>
  <property fmtid="{D5CDD505-2E9C-101B-9397-08002B2CF9AE}" pid="36" name="MeetingNumber">
    <vt:i4>512</vt:i4>
  </property>
  <property fmtid="{D5CDD505-2E9C-101B-9397-08002B2CF9AE}" pid="38" name="DocumentLanguage_0">
    <vt:lpwstr>EN|f2175f21-25d7-44a3-96da-d6a61b075e1b</vt:lpwstr>
  </property>
  <property fmtid="{D5CDD505-2E9C-101B-9397-08002B2CF9AE}" pid="39" name="StyleCheckSum">
    <vt:lpwstr>41615_C5014_P44_L7</vt:lpwstr>
  </property>
  <property fmtid="{D5CDD505-2E9C-101B-9397-08002B2CF9AE}" pid="40" name="AdoptionDate">
    <vt:filetime>2015-12-10T12:00:00Z</vt:filetime>
  </property>
</Properties>
</file>