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92E" w:rsidRDefault="009B0012">
      <w:pPr>
        <w:jc w:val="center"/>
        <w:rPr>
          <w:lang w:val="it-IT"/>
        </w:rPr>
      </w:pPr>
      <w:r>
        <w:rPr>
          <w:lang w:val="it-IT" w:eastAsia="it-IT"/>
        </w:rPr>
        <w:drawing>
          <wp:inline distT="0" distB="0" distL="0" distR="0" wp14:anchorId="7DB45F9C" wp14:editId="0BC4E12E">
            <wp:extent cx="88265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650" cy="564515"/>
                    </a:xfrm>
                    <a:prstGeom prst="rect">
                      <a:avLst/>
                    </a:prstGeom>
                    <a:noFill/>
                    <a:ln>
                      <a:noFill/>
                    </a:ln>
                  </pic:spPr>
                </pic:pic>
              </a:graphicData>
            </a:graphic>
          </wp:inline>
        </w:drawing>
      </w:r>
      <w:r w:rsidR="00BA6E37">
        <w:rPr>
          <w:lang w:val="it-IT" w:eastAsia="it-IT"/>
        </w:rPr>
        <mc:AlternateContent>
          <mc:Choice Requires="wps">
            <w:drawing>
              <wp:anchor distT="0" distB="0" distL="114300" distR="114300" simplePos="0" relativeHeight="251658240" behindDoc="1" locked="0" layoutInCell="0" allowOverlap="1" wp14:anchorId="1AFF5EC8" wp14:editId="51E3D38E">
                <wp:simplePos x="0" y="0"/>
                <wp:positionH relativeFrom="page">
                  <wp:posOffset>6769100</wp:posOffset>
                </wp:positionH>
                <wp:positionV relativeFrom="page">
                  <wp:posOffset>10081260</wp:posOffset>
                </wp:positionV>
                <wp:extent cx="647700" cy="396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92E" w:rsidRPr="00253766" w:rsidRDefault="0012092E">
                            <w:pPr>
                              <w:jc w:val="center"/>
                              <w:rPr>
                                <w:rFonts w:ascii="Arial" w:hAnsi="Arial" w:cs="Arial"/>
                                <w:b/>
                                <w:bCs/>
                                <w:sz w:val="48"/>
                                <w:lang w:val="it-IT"/>
                              </w:rPr>
                            </w:pPr>
                            <w:r w:rsidRPr="00253766">
                              <w:rPr>
                                <w:rFonts w:ascii="Arial" w:hAnsi="Arial" w:cs="Arial"/>
                                <w:b/>
                                <w:bCs/>
                                <w:sz w:val="48"/>
                                <w:lang w:val="it-IT"/>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BooHcntQIAALgF&#10;AAAOAAAAAAAAAAAAAAAAAC4CAABkcnMvZTJvRG9jLnhtbFBLAQItABQABgAIAAAAIQDrVDFa3gAA&#10;AA8BAAAPAAAAAAAAAAAAAAAAAA8FAABkcnMvZG93bnJldi54bWxQSwUGAAAAAAQABADzAAAAGgYA&#10;AAAA&#10;" o:allowincell="f" filled="f" stroked="f">
                <v:textbox>
                  <w:txbxContent>
                    <w:p w:rsidR="0012092E" w:rsidRPr="00253766" w:rsidRDefault="0012092E">
                      <w:pPr>
                        <w:jc w:val="center"/>
                        <w:rPr>
                          <w:rFonts w:ascii="Arial" w:hAnsi="Arial" w:cs="Arial"/>
                          <w:b/>
                          <w:bCs/>
                          <w:sz w:val="48"/>
                          <w:lang w:val="it-IT"/>
                        </w:rPr>
                      </w:pPr>
                      <w:r w:rsidRPr="00253766">
                        <w:rPr>
                          <w:rFonts w:ascii="Arial" w:hAnsi="Arial" w:cs="Arial"/>
                          <w:b/>
                          <w:bCs/>
                          <w:sz w:val="48"/>
                          <w:lang w:val="it-IT"/>
                        </w:rPr>
                        <w:t>IT</w:t>
                      </w:r>
                    </w:p>
                  </w:txbxContent>
                </v:textbox>
                <w10:wrap anchorx="page" anchory="page"/>
              </v:shape>
            </w:pict>
          </mc:Fallback>
        </mc:AlternateContent>
      </w:r>
      <w:r w:rsidR="00BA6E37">
        <w:rPr>
          <w:lang w:val="it-IT" w:eastAsia="it-IT"/>
        </w:rPr>
        <mc:AlternateContent>
          <mc:Choice Requires="wps">
            <w:drawing>
              <wp:anchor distT="0" distB="0" distL="114300" distR="114300" simplePos="0" relativeHeight="251659264" behindDoc="1" locked="0" layoutInCell="0" allowOverlap="1" wp14:anchorId="2C37D191" wp14:editId="746F7F7D">
                <wp:simplePos x="0" y="0"/>
                <wp:positionH relativeFrom="page">
                  <wp:posOffset>817245</wp:posOffset>
                </wp:positionH>
                <wp:positionV relativeFrom="page">
                  <wp:posOffset>9898380</wp:posOffset>
                </wp:positionV>
                <wp:extent cx="6172200" cy="8096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92E" w:rsidRPr="005748B9" w:rsidRDefault="0012092E" w:rsidP="00FE4E90">
                            <w:pPr>
                              <w:pBdr>
                                <w:top w:val="single" w:sz="4" w:space="1" w:color="auto"/>
                              </w:pBdr>
                              <w:jc w:val="center"/>
                              <w:rPr>
                                <w:b/>
                                <w:bCs/>
                                <w:sz w:val="16"/>
                                <w:szCs w:val="16"/>
                                <w:lang w:val="it-IT"/>
                              </w:rPr>
                            </w:pPr>
                            <w:r w:rsidRPr="005748B9">
                              <w:rPr>
                                <w:b/>
                                <w:bCs/>
                                <w:sz w:val="16"/>
                                <w:szCs w:val="16"/>
                                <w:lang w:val="it-IT"/>
                              </w:rPr>
                              <w:t>Rue Belliard/Belliardstraat 99 — 1040 Bruxelles/Brussel — BELGIQUE/BELGIË</w:t>
                            </w:r>
                          </w:p>
                          <w:p w:rsidR="0012092E" w:rsidRPr="005748B9" w:rsidRDefault="0012092E" w:rsidP="00FE4E90">
                            <w:pPr>
                              <w:pBdr>
                                <w:top w:val="single" w:sz="4" w:space="1" w:color="auto"/>
                              </w:pBdr>
                              <w:spacing w:line="240" w:lineRule="auto"/>
                              <w:jc w:val="center"/>
                              <w:rPr>
                                <w:b/>
                                <w:bCs/>
                                <w:sz w:val="16"/>
                                <w:szCs w:val="16"/>
                                <w:lang w:val="it-IT"/>
                              </w:rPr>
                            </w:pPr>
                            <w:r w:rsidRPr="005748B9">
                              <w:rPr>
                                <w:b/>
                                <w:bCs/>
                                <w:sz w:val="16"/>
                                <w:szCs w:val="16"/>
                                <w:lang w:val="it-IT"/>
                              </w:rPr>
                              <w:t xml:space="preserve">Tel. +32 25469011 — Fax +32 25134893 — Internet: </w:t>
                            </w:r>
                            <w:hyperlink r:id="rId9" w:history="1">
                              <w:r w:rsidRPr="005748B9">
                                <w:rPr>
                                  <w:rStyle w:val="Hyperlink"/>
                                  <w:b/>
                                  <w:bCs/>
                                  <w:sz w:val="16"/>
                                  <w:szCs w:val="16"/>
                                  <w:lang w:val="it-IT"/>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4.35pt;margin-top:779.4pt;width:486pt;height:6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JguAIAAMA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" o:allowincell="f" filled="f" stroked="f">
                <v:textbox>
                  <w:txbxContent>
                    <w:p w:rsidR="0012092E" w:rsidRPr="005748B9" w:rsidRDefault="0012092E" w:rsidP="00FE4E90">
                      <w:pPr>
                        <w:pBdr>
                          <w:top w:val="single" w:sz="4" w:space="1" w:color="auto"/>
                        </w:pBdr>
                        <w:jc w:val="center"/>
                        <w:rPr>
                          <w:b/>
                          <w:bCs/>
                          <w:sz w:val="16"/>
                          <w:szCs w:val="16"/>
                          <w:lang w:val="it-IT"/>
                        </w:rPr>
                      </w:pPr>
                      <w:r w:rsidRPr="005748B9">
                        <w:rPr>
                          <w:b/>
                          <w:bCs/>
                          <w:sz w:val="16"/>
                          <w:szCs w:val="16"/>
                          <w:lang w:val="it-IT"/>
                        </w:rPr>
                        <w:t>Rue Belliard/Belliardstraat 99 — 1040 Bruxelles/Brussel — BELGIQUE/BELGIË</w:t>
                      </w:r>
                    </w:p>
                    <w:p w:rsidR="0012092E" w:rsidRPr="005748B9" w:rsidRDefault="0012092E" w:rsidP="00FE4E90">
                      <w:pPr>
                        <w:pBdr>
                          <w:top w:val="single" w:sz="4" w:space="1" w:color="auto"/>
                        </w:pBdr>
                        <w:spacing w:line="240" w:lineRule="auto"/>
                        <w:jc w:val="center"/>
                        <w:rPr>
                          <w:b/>
                          <w:bCs/>
                          <w:sz w:val="16"/>
                          <w:szCs w:val="16"/>
                          <w:lang w:val="it-IT"/>
                        </w:rPr>
                      </w:pPr>
                      <w:proofErr w:type="gramStart"/>
                      <w:r w:rsidRPr="005748B9">
                        <w:rPr>
                          <w:b/>
                          <w:bCs/>
                          <w:sz w:val="16"/>
                          <w:szCs w:val="16"/>
                          <w:lang w:val="it-IT"/>
                        </w:rPr>
                        <w:t xml:space="preserve">Tel. +32 25469011 — Fax +32 25134893 — Internet: </w:t>
                      </w:r>
                      <w:hyperlink r:id="rId10" w:history="1">
                        <w:r w:rsidRPr="005748B9">
                          <w:rPr>
                            <w:rStyle w:val="Hyperlink"/>
                            <w:b/>
                            <w:bCs/>
                            <w:sz w:val="16"/>
                            <w:szCs w:val="16"/>
                            <w:lang w:val="it-IT"/>
                          </w:rPr>
                          <w:t>http://www.eesc.europa.eu</w:t>
                        </w:r>
                      </w:hyperlink>
                      <w:proofErr w:type="gramEnd"/>
                    </w:p>
                  </w:txbxContent>
                </v:textbox>
                <w10:wrap anchorx="page" anchory="page"/>
              </v:shape>
            </w:pict>
          </mc:Fallback>
        </mc:AlternateContent>
      </w:r>
    </w:p>
    <w:p w:rsidR="0012092E" w:rsidRDefault="0012092E">
      <w:pPr>
        <w:pStyle w:val="LOGO"/>
        <w:rPr>
          <w:rFonts w:ascii="Times New Roman" w:hAnsi="Times New Roman"/>
          <w:noProof w:val="0"/>
          <w:sz w:val="22"/>
          <w:lang w:val="it-IT"/>
        </w:rPr>
      </w:pPr>
      <w:r>
        <w:rPr>
          <w:rFonts w:cs="Arial"/>
          <w:noProof w:val="0"/>
          <w:lang w:val="it-IT"/>
        </w:rPr>
        <w:t>Comitato economico e sociale europeo</w:t>
      </w:r>
    </w:p>
    <w:p w:rsidR="0012092E" w:rsidRDefault="0012092E">
      <w:pPr>
        <w:rPr>
          <w:lang w:val="it-IT"/>
        </w:rPr>
      </w:pPr>
    </w:p>
    <w:p w:rsidR="0012092E" w:rsidRDefault="0012092E">
      <w:pPr>
        <w:rPr>
          <w:lang w:val="it-IT"/>
        </w:rPr>
      </w:pPr>
    </w:p>
    <w:tbl>
      <w:tblPr>
        <w:tblW w:w="0" w:type="auto"/>
        <w:jc w:val="right"/>
        <w:tblLayout w:type="fixed"/>
        <w:tblLook w:val="0000" w:firstRow="0" w:lastRow="0" w:firstColumn="0" w:lastColumn="0" w:noHBand="0" w:noVBand="0"/>
      </w:tblPr>
      <w:tblGrid>
        <w:gridCol w:w="3745"/>
      </w:tblGrid>
      <w:tr w:rsidR="0012092E">
        <w:trPr>
          <w:jc w:val="right"/>
        </w:trPr>
        <w:tc>
          <w:tcPr>
            <w:tcW w:w="3745" w:type="dxa"/>
          </w:tcPr>
          <w:p w:rsidR="0012092E" w:rsidRDefault="0012092E">
            <w:pPr>
              <w:jc w:val="center"/>
              <w:rPr>
                <w:b/>
                <w:bCs/>
                <w:sz w:val="28"/>
                <w:lang w:val="it-IT"/>
              </w:rPr>
            </w:pPr>
            <w:r>
              <w:rPr>
                <w:b/>
                <w:bCs/>
                <w:sz w:val="28"/>
                <w:lang w:val="it-IT"/>
              </w:rPr>
              <w:fldChar w:fldCharType="begin"/>
            </w:r>
            <w:r>
              <w:rPr>
                <w:b/>
                <w:bCs/>
                <w:sz w:val="28"/>
                <w:lang w:val="it-IT"/>
              </w:rPr>
              <w:instrText xml:space="preserve">  </w:instrText>
            </w:r>
            <w:r>
              <w:rPr>
                <w:b/>
                <w:bCs/>
                <w:sz w:val="28"/>
                <w:lang w:val="it-IT"/>
              </w:rPr>
              <w:fldChar w:fldCharType="end"/>
            </w:r>
          </w:p>
        </w:tc>
      </w:tr>
    </w:tbl>
    <w:p w:rsidR="0012092E" w:rsidRDefault="0012092E">
      <w:pPr>
        <w:rPr>
          <w:lang w:val="it-IT"/>
        </w:rPr>
      </w:pPr>
    </w:p>
    <w:p w:rsidR="0012092E" w:rsidRDefault="0012092E">
      <w:pPr>
        <w:rPr>
          <w:lang w:val="it-IT"/>
        </w:rPr>
      </w:pPr>
    </w:p>
    <w:p w:rsidR="0012092E" w:rsidRDefault="0012092E">
      <w:pPr>
        <w:jc w:val="right"/>
        <w:rPr>
          <w:lang w:val="it-IT"/>
        </w:rPr>
      </w:pPr>
      <w:r>
        <w:rPr>
          <w:lang w:val="it-IT"/>
        </w:rPr>
        <w:t xml:space="preserve">Bruxelles, </w:t>
      </w:r>
      <w:r w:rsidR="00BA6E37">
        <w:rPr>
          <w:lang w:val="it-IT"/>
        </w:rPr>
        <w:t>10 dicembre 2015</w:t>
      </w:r>
      <w:r>
        <w:rPr>
          <w:lang w:val="it-IT"/>
        </w:rPr>
        <w:fldChar w:fldCharType="begin"/>
      </w:r>
      <w:r>
        <w:rPr>
          <w:lang w:val="it-IT"/>
        </w:rPr>
        <w:instrText xml:space="preserve">  </w:instrText>
      </w:r>
      <w:r>
        <w:rPr>
          <w:lang w:val="it-IT"/>
        </w:rPr>
        <w:fldChar w:fldCharType="end"/>
      </w:r>
    </w:p>
    <w:p w:rsidR="0012092E" w:rsidRDefault="0012092E">
      <w:pPr>
        <w:rPr>
          <w:lang w:val="it-IT"/>
        </w:rPr>
      </w:pPr>
    </w:p>
    <w:p w:rsidR="0012092E" w:rsidRDefault="0012092E">
      <w:pPr>
        <w:rPr>
          <w:lang w:val="it-IT"/>
        </w:rPr>
      </w:pPr>
    </w:p>
    <w:p w:rsidR="0012092E" w:rsidRDefault="0012092E">
      <w:pPr>
        <w:rPr>
          <w:lang w:val="it-IT"/>
        </w:rPr>
      </w:pPr>
    </w:p>
    <w:p w:rsidR="0012092E" w:rsidRDefault="0012092E">
      <w:pPr>
        <w:rPr>
          <w:lang w:val="it-IT"/>
        </w:rPr>
      </w:pPr>
    </w:p>
    <w:p w:rsidR="0012092E" w:rsidRDefault="0012092E">
      <w:pPr>
        <w:rPr>
          <w:lang w:val="it-IT"/>
        </w:rPr>
      </w:pPr>
    </w:p>
    <w:tbl>
      <w:tblPr>
        <w:tblW w:w="0" w:type="auto"/>
        <w:tblLayout w:type="fixed"/>
        <w:tblLook w:val="0000" w:firstRow="0" w:lastRow="0" w:firstColumn="0" w:lastColumn="0" w:noHBand="0" w:noVBand="0"/>
      </w:tblPr>
      <w:tblGrid>
        <w:gridCol w:w="9243"/>
      </w:tblGrid>
      <w:tr w:rsidR="0012092E">
        <w:tc>
          <w:tcPr>
            <w:tcW w:w="9243" w:type="dxa"/>
          </w:tcPr>
          <w:p w:rsidR="0012092E" w:rsidRDefault="00BA6E37" w:rsidP="00BA6E37">
            <w:pPr>
              <w:jc w:val="center"/>
              <w:rPr>
                <w:b/>
                <w:bCs/>
                <w:lang w:val="it-IT"/>
              </w:rPr>
            </w:pPr>
            <w:r>
              <w:rPr>
                <w:rFonts w:ascii="Times New Roman Bold" w:hAnsi="Times New Roman Bold"/>
                <w:b/>
                <w:spacing w:val="24"/>
                <w:sz w:val="32"/>
                <w:szCs w:val="32"/>
                <w:lang w:val="it-IT"/>
              </w:rPr>
              <w:t>RISOLUZIONE</w:t>
            </w:r>
            <w:r w:rsidR="0012092E">
              <w:rPr>
                <w:b/>
                <w:lang w:val="it-IT"/>
              </w:rPr>
              <w:br/>
            </w:r>
            <w:r w:rsidR="0012092E" w:rsidRPr="00DC1584">
              <w:rPr>
                <w:lang w:val="it-IT"/>
              </w:rPr>
              <w:t>del Comitato economico e sociale europeo</w:t>
            </w:r>
            <w:r w:rsidR="0012092E" w:rsidRPr="00BA6E37">
              <w:rPr>
                <w:b/>
                <w:lang w:val="it-IT"/>
              </w:rPr>
              <w:br/>
            </w:r>
            <w:r w:rsidR="00144102" w:rsidRPr="00144102">
              <w:rPr>
                <w:lang w:val="it-IT"/>
              </w:rPr>
              <w:t>sul tema</w:t>
            </w:r>
            <w:r w:rsidRPr="00BA6E37">
              <w:rPr>
                <w:b/>
                <w:lang w:val="it-IT"/>
              </w:rPr>
              <w:t xml:space="preserve"> </w:t>
            </w:r>
            <w:r w:rsidR="00144102">
              <w:rPr>
                <w:b/>
                <w:lang w:val="it-IT"/>
              </w:rPr>
              <w:br/>
              <w:t xml:space="preserve">I </w:t>
            </w:r>
            <w:r w:rsidRPr="00BA6E37">
              <w:rPr>
                <w:b/>
                <w:lang w:val="it-IT"/>
              </w:rPr>
              <w:t>profughi</w:t>
            </w:r>
            <w:r w:rsidR="0012092E" w:rsidRPr="00BA6E37">
              <w:rPr>
                <w:b/>
                <w:lang w:val="it-IT"/>
              </w:rPr>
              <w:fldChar w:fldCharType="begin"/>
            </w:r>
            <w:r w:rsidR="0012092E" w:rsidRPr="00BA6E37">
              <w:rPr>
                <w:b/>
                <w:lang w:val="it-IT"/>
              </w:rPr>
              <w:instrText xml:space="preserve">  </w:instrText>
            </w:r>
            <w:r w:rsidR="0012092E" w:rsidRPr="00BA6E37">
              <w:rPr>
                <w:b/>
                <w:lang w:val="it-IT"/>
              </w:rPr>
              <w:fldChar w:fldCharType="end"/>
            </w:r>
            <w:r w:rsidR="0012092E" w:rsidRPr="00BA6E37">
              <w:rPr>
                <w:b/>
                <w:lang w:val="it-IT"/>
              </w:rPr>
              <w:br/>
            </w:r>
            <w:r w:rsidR="0012092E">
              <w:rPr>
                <w:lang w:val="it-IT"/>
              </w:rPr>
              <w:fldChar w:fldCharType="begin"/>
            </w:r>
            <w:r w:rsidR="0012092E">
              <w:rPr>
                <w:lang w:val="it-IT"/>
              </w:rPr>
              <w:instrText xml:space="preserve">  </w:instrText>
            </w:r>
            <w:r w:rsidR="0012092E">
              <w:rPr>
                <w:lang w:val="it-IT"/>
              </w:rPr>
              <w:fldChar w:fldCharType="end"/>
            </w:r>
          </w:p>
        </w:tc>
      </w:tr>
      <w:tr w:rsidR="0012092E">
        <w:tc>
          <w:tcPr>
            <w:tcW w:w="9243" w:type="dxa"/>
          </w:tcPr>
          <w:p w:rsidR="0012092E" w:rsidRDefault="0012092E" w:rsidP="001250D3">
            <w:pPr>
              <w:jc w:val="center"/>
              <w:rPr>
                <w:lang w:val="it-IT"/>
              </w:rPr>
            </w:pPr>
            <w:r>
              <w:rPr>
                <w:lang w:val="it-IT"/>
              </w:rPr>
              <w:t>_____________</w:t>
            </w:r>
          </w:p>
          <w:p w:rsidR="0012092E" w:rsidRPr="0039121F" w:rsidRDefault="0012092E" w:rsidP="001250D3">
            <w:pPr>
              <w:jc w:val="center"/>
              <w:rPr>
                <w:rFonts w:ascii="Times New Roman Bold" w:hAnsi="Times New Roman Bold"/>
                <w:b/>
                <w:spacing w:val="24"/>
                <w:sz w:val="32"/>
                <w:szCs w:val="32"/>
                <w:lang w:val="it-IT"/>
              </w:rPr>
            </w:pPr>
          </w:p>
        </w:tc>
      </w:tr>
    </w:tbl>
    <w:p w:rsidR="0012092E" w:rsidRDefault="0012092E">
      <w:pPr>
        <w:rPr>
          <w:lang w:val="it-IT"/>
        </w:rPr>
      </w:pPr>
    </w:p>
    <w:p w:rsidR="0012092E" w:rsidRDefault="0012092E">
      <w:pPr>
        <w:rPr>
          <w:lang w:val="it-IT"/>
        </w:rPr>
        <w:sectPr w:rsidR="0012092E" w:rsidSect="00DC1584">
          <w:footerReference w:type="default" r:id="rId11"/>
          <w:pgSz w:w="11907" w:h="16839" w:code="9"/>
          <w:pgMar w:top="567" w:right="1440" w:bottom="2268" w:left="1440" w:header="284" w:footer="1134" w:gutter="0"/>
          <w:pgNumType w:start="1"/>
          <w:cols w:space="720"/>
          <w:docGrid w:linePitch="299"/>
        </w:sectPr>
      </w:pPr>
    </w:p>
    <w:p w:rsidR="0012092E" w:rsidRPr="004314D2" w:rsidRDefault="0012092E" w:rsidP="002351B4">
      <w:pPr>
        <w:rPr>
          <w:lang w:val="it-IT"/>
        </w:rPr>
      </w:pPr>
      <w:bookmarkStart w:id="0" w:name="_GoBack"/>
      <w:bookmarkEnd w:id="0"/>
      <w:r>
        <w:rPr>
          <w:lang w:val="it-IT"/>
        </w:rPr>
        <w:lastRenderedPageBreak/>
        <w:t xml:space="preserve">Alla sua </w:t>
      </w:r>
      <w:r w:rsidRPr="004314D2">
        <w:rPr>
          <w:lang w:val="it-IT"/>
        </w:rPr>
        <w:fldChar w:fldCharType="begin"/>
      </w:r>
      <w:r w:rsidRPr="004314D2">
        <w:rPr>
          <w:lang w:val="it-IT"/>
        </w:rPr>
        <w:instrText xml:space="preserve">  </w:instrText>
      </w:r>
      <w:r w:rsidRPr="004314D2">
        <w:rPr>
          <w:lang w:val="it-IT"/>
        </w:rPr>
        <w:fldChar w:fldCharType="end"/>
      </w:r>
      <w:r w:rsidRPr="004314D2">
        <w:rPr>
          <w:lang w:val="it-IT"/>
        </w:rPr>
        <w:t xml:space="preserve">sessione plenaria </w:t>
      </w:r>
      <w:r>
        <w:rPr>
          <w:lang w:val="it-IT"/>
        </w:rPr>
        <w:t xml:space="preserve">dei giorni </w:t>
      </w:r>
      <w:r w:rsidR="00BA6E37">
        <w:rPr>
          <w:lang w:val="it-IT"/>
        </w:rPr>
        <w:t>9 e 10 dicembre 2015</w:t>
      </w:r>
      <w:r w:rsidRPr="004314D2">
        <w:rPr>
          <w:lang w:val="it-IT"/>
        </w:rPr>
        <w:fldChar w:fldCharType="begin"/>
      </w:r>
      <w:r w:rsidRPr="004314D2">
        <w:rPr>
          <w:lang w:val="it-IT"/>
        </w:rPr>
        <w:instrText xml:space="preserve">  </w:instrText>
      </w:r>
      <w:r w:rsidRPr="004314D2">
        <w:rPr>
          <w:lang w:val="it-IT"/>
        </w:rPr>
        <w:fldChar w:fldCharType="end"/>
      </w:r>
      <w:r>
        <w:rPr>
          <w:lang w:val="it-IT"/>
        </w:rPr>
        <w:t xml:space="preserve"> (seduta del </w:t>
      </w:r>
      <w:r w:rsidR="00BA6E37">
        <w:rPr>
          <w:lang w:val="it-IT"/>
        </w:rPr>
        <w:t>10 dicembre</w:t>
      </w:r>
      <w:r w:rsidRPr="004314D2">
        <w:rPr>
          <w:lang w:val="it-IT"/>
        </w:rPr>
        <w:fldChar w:fldCharType="begin"/>
      </w:r>
      <w:r w:rsidRPr="004314D2">
        <w:rPr>
          <w:lang w:val="it-IT"/>
        </w:rPr>
        <w:instrText xml:space="preserve">  </w:instrText>
      </w:r>
      <w:r w:rsidRPr="004314D2">
        <w:rPr>
          <w:lang w:val="it-IT"/>
        </w:rPr>
        <w:fldChar w:fldCharType="end"/>
      </w:r>
      <w:r>
        <w:rPr>
          <w:lang w:val="it-IT"/>
        </w:rPr>
        <w:t>), i</w:t>
      </w:r>
      <w:r w:rsidRPr="004314D2">
        <w:rPr>
          <w:lang w:val="it-IT"/>
        </w:rPr>
        <w:t xml:space="preserve">l Comitato economico e sociale europeo ha adottato </w:t>
      </w:r>
      <w:r w:rsidR="00BA6E37">
        <w:rPr>
          <w:lang w:val="it-IT"/>
        </w:rPr>
        <w:t>la seguente risoluzione</w:t>
      </w:r>
      <w:r w:rsidRPr="004314D2">
        <w:rPr>
          <w:lang w:val="it-IT"/>
        </w:rPr>
        <w:t xml:space="preserve"> con </w:t>
      </w:r>
      <w:r w:rsidR="00BA6E37">
        <w:rPr>
          <w:lang w:val="it-IT"/>
        </w:rPr>
        <w:t>174</w:t>
      </w:r>
      <w:r w:rsidRPr="004314D2">
        <w:rPr>
          <w:lang w:val="it-IT"/>
        </w:rPr>
        <w:fldChar w:fldCharType="begin"/>
      </w:r>
      <w:r w:rsidRPr="004314D2">
        <w:rPr>
          <w:lang w:val="it-IT"/>
        </w:rPr>
        <w:instrText xml:space="preserve">  </w:instrText>
      </w:r>
      <w:r w:rsidRPr="004314D2">
        <w:rPr>
          <w:lang w:val="it-IT"/>
        </w:rPr>
        <w:fldChar w:fldCharType="end"/>
      </w:r>
      <w:r w:rsidRPr="004314D2">
        <w:rPr>
          <w:lang w:val="it-IT"/>
        </w:rPr>
        <w:t xml:space="preserve"> voti favorevoli, </w:t>
      </w:r>
      <w:r w:rsidR="00BA6E37">
        <w:rPr>
          <w:lang w:val="it-IT"/>
        </w:rPr>
        <w:t>8</w:t>
      </w:r>
      <w:r w:rsidRPr="004314D2">
        <w:rPr>
          <w:lang w:val="it-IT"/>
        </w:rPr>
        <w:fldChar w:fldCharType="begin"/>
      </w:r>
      <w:r w:rsidRPr="004314D2">
        <w:rPr>
          <w:lang w:val="it-IT"/>
        </w:rPr>
        <w:instrText xml:space="preserve">  </w:instrText>
      </w:r>
      <w:r w:rsidRPr="004314D2">
        <w:rPr>
          <w:lang w:val="it-IT"/>
        </w:rPr>
        <w:fldChar w:fldCharType="end"/>
      </w:r>
      <w:r w:rsidRPr="004314D2">
        <w:rPr>
          <w:lang w:val="it-IT"/>
        </w:rPr>
        <w:t xml:space="preserve"> voti contrari e </w:t>
      </w:r>
      <w:r w:rsidR="00BA6E37">
        <w:rPr>
          <w:lang w:val="it-IT"/>
        </w:rPr>
        <w:t>9</w:t>
      </w:r>
      <w:r w:rsidRPr="004314D2">
        <w:rPr>
          <w:lang w:val="it-IT"/>
        </w:rPr>
        <w:fldChar w:fldCharType="begin"/>
      </w:r>
      <w:r w:rsidRPr="004314D2">
        <w:rPr>
          <w:lang w:val="it-IT"/>
        </w:rPr>
        <w:instrText xml:space="preserve">  </w:instrText>
      </w:r>
      <w:r w:rsidRPr="004314D2">
        <w:rPr>
          <w:lang w:val="it-IT"/>
        </w:rPr>
        <w:fldChar w:fldCharType="end"/>
      </w:r>
      <w:r w:rsidRPr="004314D2">
        <w:rPr>
          <w:lang w:val="it-IT"/>
        </w:rPr>
        <w:t xml:space="preserve"> astensioni.</w:t>
      </w:r>
    </w:p>
    <w:p w:rsidR="0012092E" w:rsidRPr="00BA6E37" w:rsidRDefault="0012092E">
      <w:pPr>
        <w:rPr>
          <w:szCs w:val="22"/>
          <w:lang w:val="it-IT"/>
        </w:rPr>
      </w:pPr>
    </w:p>
    <w:p w:rsidR="00BA6E37" w:rsidRPr="00BA6E37" w:rsidRDefault="00BA6E37" w:rsidP="00BA6E37">
      <w:pPr>
        <w:pStyle w:val="ListParagraph"/>
        <w:numPr>
          <w:ilvl w:val="0"/>
          <w:numId w:val="4"/>
        </w:numPr>
        <w:ind w:hanging="720"/>
      </w:pPr>
      <w:r w:rsidRPr="00BA6E37">
        <w:t>Il CESE esprime tutto il suo sincero apprezzamento per l'importante impegno che la società civile sta assumendo nei confronti dei profughi che fuggono da paesi devastati dalla guerra e che, quindi, meritano la protezione accordata dalla Convenzione di Ginevra. Senza tale risposta, la tragica situazione umanitaria che si è manifestata in molti paesi europei avrebbe potuto diventare catastrofica. Il Comitato economico e sociale europeo è direttamente impegnato a dare voce a questa realtà, per garantire che essa sia adeguatamente presa in considerazione dalle istituzioni europee, dai governi e dagli altri attori politici.</w:t>
      </w:r>
    </w:p>
    <w:p w:rsidR="00BA6E37" w:rsidRPr="00BA6E37" w:rsidRDefault="00BA6E37" w:rsidP="00BA6E37">
      <w:pPr>
        <w:rPr>
          <w:szCs w:val="22"/>
        </w:rPr>
      </w:pPr>
    </w:p>
    <w:p w:rsidR="00BA6E37" w:rsidRPr="00BA6E37" w:rsidRDefault="00BA6E37" w:rsidP="00BA6E37">
      <w:pPr>
        <w:pStyle w:val="ListParagraph"/>
        <w:numPr>
          <w:ilvl w:val="0"/>
          <w:numId w:val="4"/>
        </w:numPr>
        <w:ind w:hanging="720"/>
      </w:pPr>
      <w:r w:rsidRPr="00BA6E37">
        <w:t>Il CESE sta organizzando visite per incontrare le organizzazioni della società civile che offrono aiuto ai profughi in 11 Stati membri (Ungheria, Polonia, Malta, Grecia, Germania, Austria, Slovenia, Bulgaria, Svezia, Italia, Croazia) e in Turchia, i paesi più interessati dall'afflusso di profughi. Come organo che rappresenta la società civile organizzata presso le istituzioni europee, agiremo come il portavoce di tali organizzazioni a livello europeo.</w:t>
      </w:r>
    </w:p>
    <w:p w:rsidR="00BA6E37" w:rsidRPr="00BA6E37" w:rsidRDefault="00BA6E37" w:rsidP="00BA6E37">
      <w:pPr>
        <w:rPr>
          <w:szCs w:val="22"/>
        </w:rPr>
      </w:pPr>
    </w:p>
    <w:p w:rsidR="00BA6E37" w:rsidRPr="00BA6E37" w:rsidRDefault="00BA6E37" w:rsidP="00BA6E37">
      <w:pPr>
        <w:pStyle w:val="ListParagraph"/>
        <w:numPr>
          <w:ilvl w:val="0"/>
          <w:numId w:val="4"/>
        </w:numPr>
        <w:ind w:hanging="720"/>
      </w:pPr>
      <w:r w:rsidRPr="00BA6E37">
        <w:t>Il CESE ritiene che la situazione attuale richieda, per i profughi provenienti da paesi colpiti dalle guerre e minacciati dal terrorismo, la creazione di corridoi umanitari sicuri da parte dell'UE, che deve lavorare di concerto con i paesi in cui questi profughi si concentrano. Inoltre, il CESE ritiene che l'UE dovrebbe instaurare un autentico sistema europeo comune di asilo, basato su procedure armonizzate in tutta l'UE. Tale sistema dovrebbe, tra l'altro, prevedere uno statuto d'asilo uniforme e il riconoscimento reciproco delle decisioni in materia di asilo, la condivisione delle responsabilità, della solidarietà e degli sforzi per quanto riguarda la ricollocazione e il reinsediamento, e la revisione del regolamento di Dublino. Inoltre, sono necessari sistemi solidi e solidali di ripartizione degli oneri, nel cui quadro il primo passo sarebbe la definizione di un criterio permanente equo e obbligatorio di distribuzione, in tutti i paesi dell'UE, delle persone che cercano protezione. A causa delle circostanze eccezionali e in linea con il patto di stabilità e crescita, le spese addizionali di accoglienza dei profughi non dovrebbero contare, previo un accurato esame, ai fini del calcolo dei disavanzi pubblici degli Stati membri.</w:t>
      </w:r>
    </w:p>
    <w:p w:rsidR="00BA6E37" w:rsidRPr="00BA6E37" w:rsidRDefault="00BA6E37" w:rsidP="00BA6E37">
      <w:pPr>
        <w:rPr>
          <w:szCs w:val="22"/>
        </w:rPr>
      </w:pPr>
    </w:p>
    <w:p w:rsidR="00BA6E37" w:rsidRPr="00BA6E37" w:rsidRDefault="00BA6E37" w:rsidP="00BA6E37">
      <w:pPr>
        <w:pStyle w:val="ListParagraph"/>
        <w:numPr>
          <w:ilvl w:val="0"/>
          <w:numId w:val="4"/>
        </w:numPr>
        <w:ind w:hanging="720"/>
      </w:pPr>
      <w:r w:rsidRPr="00BA6E37">
        <w:t>Il CESE esprime profonda inquietudine per l'attuale erosione dell'accordo di Schengen e del principio della libera circolazione, realizzazioni fondamentali dell'UE a beneficio dei suoi cittadini. È importante rendere veramente sicure le frontiere esterne dei paesi Schengen. Tuttavia, il ripristino delle barriere interne e la costruzione di muri non aiuteranno ad avvicinare tra loro i cittadini europei o a promuovere la cittadinanza dell'UE.</w:t>
      </w:r>
    </w:p>
    <w:p w:rsidR="00BA6E37" w:rsidRPr="00BA6E37" w:rsidRDefault="00BA6E37" w:rsidP="00BA6E37">
      <w:pPr>
        <w:rPr>
          <w:szCs w:val="22"/>
        </w:rPr>
      </w:pPr>
    </w:p>
    <w:p w:rsidR="00BA6E37" w:rsidRPr="00BA6E37" w:rsidRDefault="00BA6E37" w:rsidP="00BA6E37">
      <w:pPr>
        <w:pStyle w:val="ListParagraph"/>
        <w:numPr>
          <w:ilvl w:val="0"/>
          <w:numId w:val="4"/>
        </w:numPr>
        <w:ind w:hanging="720"/>
      </w:pPr>
      <w:r w:rsidRPr="00BA6E37">
        <w:t xml:space="preserve">È essenziale altresì sviluppare misure immediate anche per affrontare alla radice le cause degli attuali flussi di profughi. L'UE deve lavorare su tali questioni insieme con i paesi di origine e di transito e il CESE insiste perché la Commissione adotti per tale cooperazione </w:t>
      </w:r>
      <w:r w:rsidRPr="00BA6E37">
        <w:lastRenderedPageBreak/>
        <w:t>l'approccio basato sui diritti umani e non solo un approccio improntato alla sicurezza. Il CESE sottolinea, infine, la necessità di coinvolgere la società civile nel dialogo con i paesi terzi.</w:t>
      </w:r>
    </w:p>
    <w:p w:rsidR="00BA6E37" w:rsidRPr="00BA6E37" w:rsidRDefault="00BA6E37" w:rsidP="00BA6E37">
      <w:pPr>
        <w:rPr>
          <w:szCs w:val="22"/>
        </w:rPr>
      </w:pPr>
    </w:p>
    <w:p w:rsidR="00BA6E37" w:rsidRPr="00BA6E37" w:rsidRDefault="00BA6E37" w:rsidP="00BA6E37">
      <w:pPr>
        <w:pStyle w:val="ListParagraph"/>
        <w:numPr>
          <w:ilvl w:val="0"/>
          <w:numId w:val="4"/>
        </w:numPr>
        <w:ind w:hanging="720"/>
      </w:pPr>
      <w:r w:rsidRPr="00BA6E37">
        <w:t xml:space="preserve">Da tempo impegnato sulle questioni della migrazione, </w:t>
      </w:r>
      <w:r w:rsidR="00144102">
        <w:t>negli ultimi anni</w:t>
      </w:r>
      <w:r w:rsidRPr="00BA6E37">
        <w:t xml:space="preserve"> soprattutto per il tramite del Forum europeo dell'integrazione/delle migrazioni, il CESE considera l'integrazione e l'inclusione dei profughi un processo bidirezionale in cui le parti sociali e altre organizzazioni della società civile svolgono, insieme con i governi e le autorità locali, un ruolo essenziale. Si dovrebbe dare priorità all'accesso al mercato del lavoro e, più specificamente, al riconoscimento delle qualifiche e alla messa a disposizione di formazione professionale e linguistica, ove necessario. L'Unione europea deve lanciare una serie di azioni nei paesi di accoglienza e nell'UE per centralizzare le domande per posti di lavoro, formazione e riconoscimento delle qualifiche.</w:t>
      </w:r>
    </w:p>
    <w:p w:rsidR="00BA6E37" w:rsidRPr="00BA6E37" w:rsidRDefault="00BA6E37" w:rsidP="00BA6E37">
      <w:pPr>
        <w:rPr>
          <w:szCs w:val="22"/>
        </w:rPr>
      </w:pPr>
    </w:p>
    <w:p w:rsidR="00BA6E37" w:rsidRPr="00BA6E37" w:rsidRDefault="00BA6E37" w:rsidP="00BA6E37">
      <w:pPr>
        <w:pStyle w:val="ListParagraph"/>
        <w:numPr>
          <w:ilvl w:val="0"/>
          <w:numId w:val="4"/>
        </w:numPr>
        <w:ind w:hanging="720"/>
      </w:pPr>
      <w:r w:rsidRPr="00BA6E37">
        <w:t>Per creare il necessario consenso sociale in tutta l'Europa è fondamentale rispettare pienamente la parità di trattamento e i diritti sociali sia dei cittadini dell'UE che dei profughi in Europa, con particolare attenzione a coloro che tra di loro sono i più vulnerabili. Investimenti tempestivi per l'integrazione dei profughi nella società e nel mercato del lavoro sono importanti per aiutarli a ricostruire le loro vite, riducendo nel contempo al minimo i potenziali conflitti con la popolazione locale ed evitando costi più elevati in futuro. Un adeguato finanziamento dei servizi pubblici locali e un dialogo civile tra profughi e popolazione locale sono elementi cruciali per raggiungere questo obiettivo.</w:t>
      </w:r>
    </w:p>
    <w:p w:rsidR="00BA6E37" w:rsidRPr="00BA6E37" w:rsidRDefault="00BA6E37">
      <w:pPr>
        <w:rPr>
          <w:szCs w:val="22"/>
          <w:lang w:val="it-IT"/>
        </w:rPr>
      </w:pPr>
    </w:p>
    <w:p w:rsidR="00BA6E37" w:rsidRPr="00BA6E37" w:rsidRDefault="00BA6E37">
      <w:pPr>
        <w:rPr>
          <w:szCs w:val="22"/>
          <w:lang w:val="it-IT"/>
        </w:rPr>
      </w:pPr>
    </w:p>
    <w:p w:rsidR="00BA6E37" w:rsidRPr="00BA6E37" w:rsidRDefault="00BA6E37">
      <w:pPr>
        <w:rPr>
          <w:szCs w:val="22"/>
          <w:lang w:val="it-IT"/>
        </w:rPr>
      </w:pPr>
    </w:p>
    <w:tbl>
      <w:tblPr>
        <w:tblW w:w="0" w:type="auto"/>
        <w:jc w:val="center"/>
        <w:tblLayout w:type="fixed"/>
        <w:tblLook w:val="0000" w:firstRow="0" w:lastRow="0" w:firstColumn="0" w:lastColumn="0" w:noHBand="0" w:noVBand="0"/>
      </w:tblPr>
      <w:tblGrid>
        <w:gridCol w:w="4621"/>
        <w:gridCol w:w="4622"/>
      </w:tblGrid>
      <w:tr w:rsidR="0012092E" w:rsidRPr="00BA6E37">
        <w:trPr>
          <w:jc w:val="center"/>
        </w:trPr>
        <w:tc>
          <w:tcPr>
            <w:tcW w:w="4621" w:type="dxa"/>
          </w:tcPr>
          <w:p w:rsidR="0012092E" w:rsidRPr="00BA6E37" w:rsidRDefault="0012092E">
            <w:pPr>
              <w:jc w:val="center"/>
              <w:rPr>
                <w:szCs w:val="22"/>
                <w:lang w:val="it-IT"/>
              </w:rPr>
            </w:pPr>
            <w:r w:rsidRPr="00BA6E37">
              <w:rPr>
                <w:szCs w:val="22"/>
                <w:lang w:val="it-IT"/>
              </w:rPr>
              <w:t>Il Presidente</w:t>
            </w:r>
            <w:r w:rsidRPr="00BA6E37">
              <w:rPr>
                <w:szCs w:val="22"/>
                <w:lang w:val="it-IT"/>
              </w:rPr>
              <w:br/>
              <w:t>del Comitato economico e sociale europeo</w:t>
            </w:r>
            <w:r w:rsidRPr="00BA6E37">
              <w:rPr>
                <w:szCs w:val="22"/>
                <w:lang w:val="it-IT"/>
              </w:rPr>
              <w:br/>
            </w:r>
            <w:r w:rsidRPr="00BA6E37">
              <w:rPr>
                <w:szCs w:val="22"/>
                <w:lang w:val="it-IT"/>
              </w:rPr>
              <w:br/>
            </w:r>
            <w:r w:rsidRPr="00BA6E37">
              <w:rPr>
                <w:szCs w:val="22"/>
                <w:lang w:val="it-IT"/>
              </w:rPr>
              <w:br/>
            </w:r>
            <w:r w:rsidRPr="00BA6E37">
              <w:rPr>
                <w:szCs w:val="22"/>
                <w:lang w:val="it-IT"/>
              </w:rPr>
              <w:br/>
            </w:r>
            <w:r w:rsidRPr="00BA6E37">
              <w:rPr>
                <w:szCs w:val="22"/>
                <w:lang w:val="it-IT"/>
              </w:rPr>
              <w:br/>
            </w:r>
            <w:r w:rsidR="00BA6E37">
              <w:rPr>
                <w:szCs w:val="22"/>
                <w:lang w:val="it-IT"/>
              </w:rPr>
              <w:t>Georges DASSIS</w:t>
            </w:r>
            <w:r w:rsidRPr="00BA6E37">
              <w:rPr>
                <w:szCs w:val="22"/>
                <w:lang w:val="it-IT"/>
              </w:rPr>
              <w:fldChar w:fldCharType="begin"/>
            </w:r>
            <w:r w:rsidRPr="00BA6E37">
              <w:rPr>
                <w:szCs w:val="22"/>
                <w:lang w:val="it-IT"/>
              </w:rPr>
              <w:instrText xml:space="preserve">  </w:instrText>
            </w:r>
            <w:r w:rsidRPr="00BA6E37">
              <w:rPr>
                <w:szCs w:val="22"/>
                <w:lang w:val="it-IT"/>
              </w:rPr>
              <w:fldChar w:fldCharType="end"/>
            </w:r>
          </w:p>
        </w:tc>
        <w:tc>
          <w:tcPr>
            <w:tcW w:w="4622" w:type="dxa"/>
          </w:tcPr>
          <w:p w:rsidR="0012092E" w:rsidRPr="00BA6E37" w:rsidRDefault="0012092E">
            <w:pPr>
              <w:jc w:val="center"/>
              <w:rPr>
                <w:szCs w:val="22"/>
                <w:lang w:val="it-IT"/>
              </w:rPr>
            </w:pPr>
          </w:p>
        </w:tc>
      </w:tr>
    </w:tbl>
    <w:p w:rsidR="0012092E" w:rsidRPr="00BA6E37" w:rsidRDefault="0012092E">
      <w:pPr>
        <w:rPr>
          <w:szCs w:val="22"/>
          <w:lang w:val="it-IT"/>
        </w:rPr>
      </w:pPr>
    </w:p>
    <w:p w:rsidR="0012092E" w:rsidRPr="00BA6E37" w:rsidRDefault="0012092E">
      <w:pPr>
        <w:jc w:val="center"/>
        <w:rPr>
          <w:szCs w:val="22"/>
          <w:lang w:val="it-IT"/>
        </w:rPr>
      </w:pPr>
      <w:r w:rsidRPr="00BA6E37">
        <w:rPr>
          <w:szCs w:val="22"/>
          <w:lang w:val="it-IT"/>
        </w:rPr>
        <w:t>_____________</w:t>
      </w:r>
    </w:p>
    <w:p w:rsidR="0012092E" w:rsidRPr="00BA6E37" w:rsidRDefault="0012092E">
      <w:pPr>
        <w:rPr>
          <w:szCs w:val="22"/>
          <w:lang w:val="it-IT"/>
        </w:rPr>
      </w:pPr>
    </w:p>
    <w:sectPr w:rsidR="0012092E" w:rsidRPr="00BA6E37" w:rsidSect="00DC1584">
      <w:headerReference w:type="even" r:id="rId12"/>
      <w:headerReference w:type="default" r:id="rId13"/>
      <w:footerReference w:type="even" r:id="rId14"/>
      <w:footerReference w:type="default" r:id="rId15"/>
      <w:headerReference w:type="first" r:id="rId16"/>
      <w:footerReference w:type="first" r:id="rId17"/>
      <w:pgSz w:w="11907" w:h="16839" w:code="9"/>
      <w:pgMar w:top="1701" w:right="1440" w:bottom="1928" w:left="1440" w:header="1021"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92E" w:rsidRDefault="0012092E">
      <w:r>
        <w:separator/>
      </w:r>
    </w:p>
  </w:endnote>
  <w:endnote w:type="continuationSeparator" w:id="0">
    <w:p w:rsidR="0012092E" w:rsidRDefault="0012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584" w:rsidRDefault="00DC1584">
    <w:pPr>
      <w:pStyle w:val="Footer"/>
    </w:pPr>
    <w:r>
      <w:t xml:space="preserve">EESC-2015-05366-00-00-RES-TRA (EN) </w:t>
    </w:r>
    <w:r>
      <w:fldChar w:fldCharType="begin"/>
    </w:r>
    <w:r>
      <w:instrText xml:space="preserve"> PAGE  \* Arabic  \* MERGEFORMAT </w:instrText>
    </w:r>
    <w:r>
      <w:fldChar w:fldCharType="separate"/>
    </w:r>
    <w:r w:rsidR="00DE2598">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DE2598">
      <w:rPr>
        <w:noProof/>
      </w:rPr>
      <w:instrText>3</w:instrText>
    </w:r>
    <w:r>
      <w:fldChar w:fldCharType="end"/>
    </w:r>
    <w:r>
      <w:instrText xml:space="preserve"> -0 </w:instrText>
    </w:r>
    <w:r>
      <w:fldChar w:fldCharType="separate"/>
    </w:r>
    <w:r w:rsidR="00DE2598">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584" w:rsidRPr="00DC1584" w:rsidRDefault="00DC1584" w:rsidP="00DC15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584" w:rsidRPr="00DC1584" w:rsidRDefault="00DC1584" w:rsidP="00DC1584">
    <w:pPr>
      <w:pStyle w:val="Footer"/>
    </w:pPr>
    <w:r>
      <w:t xml:space="preserve">EESC-2015-05366-00-00-RES-TRA (EN) </w:t>
    </w:r>
    <w:r>
      <w:fldChar w:fldCharType="begin"/>
    </w:r>
    <w:r>
      <w:instrText xml:space="preserve"> PAGE  \* Arabic  \* MERGEFORMAT </w:instrText>
    </w:r>
    <w:r>
      <w:fldChar w:fldCharType="separate"/>
    </w:r>
    <w:r w:rsidR="00DE2598">
      <w:rPr>
        <w:noProof/>
      </w:rPr>
      <w:t>3</w:t>
    </w:r>
    <w:r>
      <w:fldChar w:fldCharType="end"/>
    </w:r>
    <w:r>
      <w:t>/</w:t>
    </w:r>
    <w:r>
      <w:fldChar w:fldCharType="begin"/>
    </w:r>
    <w:r>
      <w:instrText xml:space="preserve"> = </w:instrText>
    </w:r>
    <w:r>
      <w:fldChar w:fldCharType="begin"/>
    </w:r>
    <w:r>
      <w:instrText xml:space="preserve"> NUMPAGES </w:instrText>
    </w:r>
    <w:r>
      <w:fldChar w:fldCharType="separate"/>
    </w:r>
    <w:r w:rsidR="00DE2598">
      <w:rPr>
        <w:noProof/>
      </w:rPr>
      <w:instrText>3</w:instrText>
    </w:r>
    <w:r>
      <w:fldChar w:fldCharType="end"/>
    </w:r>
    <w:r>
      <w:instrText xml:space="preserve"> -0 </w:instrText>
    </w:r>
    <w:r>
      <w:fldChar w:fldCharType="separate"/>
    </w:r>
    <w:r w:rsidR="00DE2598">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584" w:rsidRPr="00DC1584" w:rsidRDefault="00DC1584" w:rsidP="00DC1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92E" w:rsidRDefault="0012092E">
      <w:r>
        <w:separator/>
      </w:r>
    </w:p>
  </w:footnote>
  <w:footnote w:type="continuationSeparator" w:id="0">
    <w:p w:rsidR="0012092E" w:rsidRDefault="00120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584" w:rsidRPr="00DC1584" w:rsidRDefault="00DC1584" w:rsidP="00DC15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2E" w:rsidRPr="00DC1584" w:rsidRDefault="0012092E" w:rsidP="00DC15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584" w:rsidRPr="00DC1584" w:rsidRDefault="00DC1584" w:rsidP="00DC1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2568535F"/>
    <w:multiLevelType w:val="hybridMultilevel"/>
    <w:tmpl w:val="133EA2CE"/>
    <w:lvl w:ilvl="0" w:tplc="41EEDA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80E"/>
    <w:rsid w:val="000E2ED1"/>
    <w:rsid w:val="0012092E"/>
    <w:rsid w:val="001250D3"/>
    <w:rsid w:val="00144102"/>
    <w:rsid w:val="002351B4"/>
    <w:rsid w:val="00243299"/>
    <w:rsid w:val="00253766"/>
    <w:rsid w:val="0039121F"/>
    <w:rsid w:val="004314D2"/>
    <w:rsid w:val="00505981"/>
    <w:rsid w:val="005336CC"/>
    <w:rsid w:val="005748B9"/>
    <w:rsid w:val="00586616"/>
    <w:rsid w:val="005A014D"/>
    <w:rsid w:val="005E46AD"/>
    <w:rsid w:val="007F2B0B"/>
    <w:rsid w:val="00870196"/>
    <w:rsid w:val="00920454"/>
    <w:rsid w:val="009544E6"/>
    <w:rsid w:val="0099580A"/>
    <w:rsid w:val="009B0012"/>
    <w:rsid w:val="00BA6E37"/>
    <w:rsid w:val="00BE080E"/>
    <w:rsid w:val="00C775AB"/>
    <w:rsid w:val="00DC1584"/>
    <w:rsid w:val="00DE2598"/>
    <w:rsid w:val="00E357FA"/>
    <w:rsid w:val="00EE30F0"/>
    <w:rsid w:val="00FC31D4"/>
    <w:rsid w:val="00FE4E9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5AB"/>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uiPriority w:val="9"/>
    <w:qFormat/>
    <w:rsid w:val="00C775AB"/>
    <w:pPr>
      <w:numPr>
        <w:numId w:val="1"/>
      </w:numPr>
      <w:ind w:left="720" w:hanging="720"/>
      <w:outlineLvl w:val="0"/>
    </w:pPr>
    <w:rPr>
      <w:kern w:val="28"/>
    </w:rPr>
  </w:style>
  <w:style w:type="paragraph" w:styleId="Heading2">
    <w:name w:val="heading 2"/>
    <w:basedOn w:val="Normal"/>
    <w:next w:val="Normal"/>
    <w:link w:val="Heading2Char"/>
    <w:uiPriority w:val="9"/>
    <w:qFormat/>
    <w:rsid w:val="00C775AB"/>
    <w:pPr>
      <w:numPr>
        <w:ilvl w:val="1"/>
        <w:numId w:val="1"/>
      </w:numPr>
      <w:ind w:left="720" w:hanging="720"/>
      <w:outlineLvl w:val="1"/>
    </w:pPr>
  </w:style>
  <w:style w:type="paragraph" w:styleId="Heading3">
    <w:name w:val="heading 3"/>
    <w:basedOn w:val="Normal"/>
    <w:next w:val="Normal"/>
    <w:link w:val="Heading3Char"/>
    <w:uiPriority w:val="9"/>
    <w:qFormat/>
    <w:rsid w:val="00C775AB"/>
    <w:pPr>
      <w:numPr>
        <w:ilvl w:val="2"/>
        <w:numId w:val="1"/>
      </w:numPr>
      <w:ind w:left="720" w:hanging="720"/>
      <w:outlineLvl w:val="2"/>
    </w:pPr>
  </w:style>
  <w:style w:type="paragraph" w:styleId="Heading4">
    <w:name w:val="heading 4"/>
    <w:basedOn w:val="Normal"/>
    <w:next w:val="Normal"/>
    <w:link w:val="Heading4Char"/>
    <w:uiPriority w:val="9"/>
    <w:qFormat/>
    <w:rsid w:val="00C775AB"/>
    <w:pPr>
      <w:numPr>
        <w:ilvl w:val="3"/>
        <w:numId w:val="1"/>
      </w:numPr>
      <w:ind w:left="720" w:hanging="720"/>
      <w:outlineLvl w:val="3"/>
    </w:pPr>
  </w:style>
  <w:style w:type="paragraph" w:styleId="Heading5">
    <w:name w:val="heading 5"/>
    <w:basedOn w:val="Normal"/>
    <w:next w:val="Normal"/>
    <w:link w:val="Heading5Char"/>
    <w:uiPriority w:val="9"/>
    <w:qFormat/>
    <w:rsid w:val="00C775AB"/>
    <w:pPr>
      <w:numPr>
        <w:ilvl w:val="4"/>
        <w:numId w:val="1"/>
      </w:numPr>
      <w:ind w:left="720" w:hanging="720"/>
      <w:outlineLvl w:val="4"/>
    </w:pPr>
  </w:style>
  <w:style w:type="paragraph" w:styleId="Heading6">
    <w:name w:val="heading 6"/>
    <w:basedOn w:val="Normal"/>
    <w:next w:val="Normal"/>
    <w:link w:val="Heading6Char"/>
    <w:uiPriority w:val="9"/>
    <w:qFormat/>
    <w:rsid w:val="00C775AB"/>
    <w:pPr>
      <w:numPr>
        <w:ilvl w:val="5"/>
        <w:numId w:val="1"/>
      </w:numPr>
      <w:ind w:left="720" w:hanging="720"/>
      <w:outlineLvl w:val="5"/>
    </w:pPr>
  </w:style>
  <w:style w:type="paragraph" w:styleId="Heading7">
    <w:name w:val="heading 7"/>
    <w:basedOn w:val="Normal"/>
    <w:next w:val="Normal"/>
    <w:link w:val="Heading7Char"/>
    <w:uiPriority w:val="9"/>
    <w:qFormat/>
    <w:rsid w:val="00C775AB"/>
    <w:pPr>
      <w:numPr>
        <w:ilvl w:val="6"/>
        <w:numId w:val="1"/>
      </w:numPr>
      <w:ind w:left="720" w:hanging="720"/>
      <w:outlineLvl w:val="6"/>
    </w:pPr>
  </w:style>
  <w:style w:type="paragraph" w:styleId="Heading8">
    <w:name w:val="heading 8"/>
    <w:basedOn w:val="Normal"/>
    <w:next w:val="Normal"/>
    <w:link w:val="Heading8Char"/>
    <w:uiPriority w:val="9"/>
    <w:qFormat/>
    <w:rsid w:val="00C775AB"/>
    <w:pPr>
      <w:numPr>
        <w:ilvl w:val="7"/>
        <w:numId w:val="1"/>
      </w:numPr>
      <w:ind w:left="720" w:hanging="720"/>
      <w:outlineLvl w:val="7"/>
    </w:pPr>
  </w:style>
  <w:style w:type="paragraph" w:styleId="Heading9">
    <w:name w:val="heading 9"/>
    <w:basedOn w:val="Normal"/>
    <w:next w:val="Normal"/>
    <w:link w:val="Heading9Char"/>
    <w:uiPriority w:val="9"/>
    <w:qFormat/>
    <w:rsid w:val="00C775AB"/>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DE2"/>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420DE2"/>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420DE2"/>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420DE2"/>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420DE2"/>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420DE2"/>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420DE2"/>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420DE2"/>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420DE2"/>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rsid w:val="00C775AB"/>
  </w:style>
  <w:style w:type="character" w:customStyle="1" w:styleId="FooterChar">
    <w:name w:val="Footer Char"/>
    <w:basedOn w:val="DefaultParagraphFont"/>
    <w:link w:val="Footer"/>
    <w:uiPriority w:val="99"/>
    <w:semiHidden/>
    <w:rsid w:val="00420DE2"/>
    <w:rPr>
      <w:sz w:val="22"/>
      <w:lang w:val="en-GB" w:eastAsia="en-US"/>
    </w:rPr>
  </w:style>
  <w:style w:type="paragraph" w:styleId="FootnoteText">
    <w:name w:val="footnote text"/>
    <w:basedOn w:val="Normal"/>
    <w:link w:val="FootnoteTextChar"/>
    <w:uiPriority w:val="99"/>
    <w:rsid w:val="00C775AB"/>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420DE2"/>
    <w:rPr>
      <w:lang w:val="en-GB" w:eastAsia="en-US"/>
    </w:rPr>
  </w:style>
  <w:style w:type="paragraph" w:styleId="Header">
    <w:name w:val="header"/>
    <w:basedOn w:val="Normal"/>
    <w:link w:val="HeaderChar"/>
    <w:uiPriority w:val="99"/>
    <w:rsid w:val="00C775AB"/>
  </w:style>
  <w:style w:type="character" w:customStyle="1" w:styleId="HeaderChar">
    <w:name w:val="Header Char"/>
    <w:basedOn w:val="DefaultParagraphFont"/>
    <w:link w:val="Header"/>
    <w:uiPriority w:val="99"/>
    <w:semiHidden/>
    <w:rsid w:val="00420DE2"/>
    <w:rPr>
      <w:sz w:val="22"/>
      <w:lang w:val="en-GB" w:eastAsia="en-US"/>
    </w:rPr>
  </w:style>
  <w:style w:type="paragraph" w:customStyle="1" w:styleId="quotes">
    <w:name w:val="quotes"/>
    <w:basedOn w:val="Normal"/>
    <w:next w:val="Normal"/>
    <w:rsid w:val="00C775AB"/>
    <w:pPr>
      <w:ind w:left="1593" w:hanging="153"/>
    </w:pPr>
    <w:rPr>
      <w:i/>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iPriority w:val="99"/>
    <w:semiHidden/>
    <w:rsid w:val="00C775AB"/>
    <w:rPr>
      <w:rFonts w:cs="Times New Roman"/>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noProof/>
      <w:sz w:val="20"/>
    </w:rPr>
  </w:style>
  <w:style w:type="paragraph" w:styleId="BalloonText">
    <w:name w:val="Balloon Text"/>
    <w:basedOn w:val="Normal"/>
    <w:link w:val="BalloonTextChar"/>
    <w:rsid w:val="00FC31D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C31D4"/>
    <w:rPr>
      <w:rFonts w:ascii="Tahoma" w:hAnsi="Tahoma" w:cs="Tahoma"/>
      <w:sz w:val="16"/>
      <w:szCs w:val="16"/>
      <w:lang w:val="en-GB" w:eastAsia="en-US"/>
    </w:rPr>
  </w:style>
  <w:style w:type="paragraph" w:styleId="ListParagraph">
    <w:name w:val="List Paragraph"/>
    <w:basedOn w:val="Normal"/>
    <w:uiPriority w:val="34"/>
    <w:qFormat/>
    <w:rsid w:val="00BA6E37"/>
    <w:pPr>
      <w:overflowPunct/>
      <w:autoSpaceDE/>
      <w:autoSpaceDN/>
      <w:adjustRightInd/>
      <w:ind w:left="720"/>
      <w:contextualSpacing/>
      <w:textAlignment w:val="auto"/>
    </w:pPr>
    <w:rPr>
      <w:szCs w:val="22"/>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5AB"/>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uiPriority w:val="9"/>
    <w:qFormat/>
    <w:rsid w:val="00C775AB"/>
    <w:pPr>
      <w:numPr>
        <w:numId w:val="1"/>
      </w:numPr>
      <w:ind w:left="720" w:hanging="720"/>
      <w:outlineLvl w:val="0"/>
    </w:pPr>
    <w:rPr>
      <w:kern w:val="28"/>
    </w:rPr>
  </w:style>
  <w:style w:type="paragraph" w:styleId="Heading2">
    <w:name w:val="heading 2"/>
    <w:basedOn w:val="Normal"/>
    <w:next w:val="Normal"/>
    <w:link w:val="Heading2Char"/>
    <w:uiPriority w:val="9"/>
    <w:qFormat/>
    <w:rsid w:val="00C775AB"/>
    <w:pPr>
      <w:numPr>
        <w:ilvl w:val="1"/>
        <w:numId w:val="1"/>
      </w:numPr>
      <w:ind w:left="720" w:hanging="720"/>
      <w:outlineLvl w:val="1"/>
    </w:pPr>
  </w:style>
  <w:style w:type="paragraph" w:styleId="Heading3">
    <w:name w:val="heading 3"/>
    <w:basedOn w:val="Normal"/>
    <w:next w:val="Normal"/>
    <w:link w:val="Heading3Char"/>
    <w:uiPriority w:val="9"/>
    <w:qFormat/>
    <w:rsid w:val="00C775AB"/>
    <w:pPr>
      <w:numPr>
        <w:ilvl w:val="2"/>
        <w:numId w:val="1"/>
      </w:numPr>
      <w:ind w:left="720" w:hanging="720"/>
      <w:outlineLvl w:val="2"/>
    </w:pPr>
  </w:style>
  <w:style w:type="paragraph" w:styleId="Heading4">
    <w:name w:val="heading 4"/>
    <w:basedOn w:val="Normal"/>
    <w:next w:val="Normal"/>
    <w:link w:val="Heading4Char"/>
    <w:uiPriority w:val="9"/>
    <w:qFormat/>
    <w:rsid w:val="00C775AB"/>
    <w:pPr>
      <w:numPr>
        <w:ilvl w:val="3"/>
        <w:numId w:val="1"/>
      </w:numPr>
      <w:ind w:left="720" w:hanging="720"/>
      <w:outlineLvl w:val="3"/>
    </w:pPr>
  </w:style>
  <w:style w:type="paragraph" w:styleId="Heading5">
    <w:name w:val="heading 5"/>
    <w:basedOn w:val="Normal"/>
    <w:next w:val="Normal"/>
    <w:link w:val="Heading5Char"/>
    <w:uiPriority w:val="9"/>
    <w:qFormat/>
    <w:rsid w:val="00C775AB"/>
    <w:pPr>
      <w:numPr>
        <w:ilvl w:val="4"/>
        <w:numId w:val="1"/>
      </w:numPr>
      <w:ind w:left="720" w:hanging="720"/>
      <w:outlineLvl w:val="4"/>
    </w:pPr>
  </w:style>
  <w:style w:type="paragraph" w:styleId="Heading6">
    <w:name w:val="heading 6"/>
    <w:basedOn w:val="Normal"/>
    <w:next w:val="Normal"/>
    <w:link w:val="Heading6Char"/>
    <w:uiPriority w:val="9"/>
    <w:qFormat/>
    <w:rsid w:val="00C775AB"/>
    <w:pPr>
      <w:numPr>
        <w:ilvl w:val="5"/>
        <w:numId w:val="1"/>
      </w:numPr>
      <w:ind w:left="720" w:hanging="720"/>
      <w:outlineLvl w:val="5"/>
    </w:pPr>
  </w:style>
  <w:style w:type="paragraph" w:styleId="Heading7">
    <w:name w:val="heading 7"/>
    <w:basedOn w:val="Normal"/>
    <w:next w:val="Normal"/>
    <w:link w:val="Heading7Char"/>
    <w:uiPriority w:val="9"/>
    <w:qFormat/>
    <w:rsid w:val="00C775AB"/>
    <w:pPr>
      <w:numPr>
        <w:ilvl w:val="6"/>
        <w:numId w:val="1"/>
      </w:numPr>
      <w:ind w:left="720" w:hanging="720"/>
      <w:outlineLvl w:val="6"/>
    </w:pPr>
  </w:style>
  <w:style w:type="paragraph" w:styleId="Heading8">
    <w:name w:val="heading 8"/>
    <w:basedOn w:val="Normal"/>
    <w:next w:val="Normal"/>
    <w:link w:val="Heading8Char"/>
    <w:uiPriority w:val="9"/>
    <w:qFormat/>
    <w:rsid w:val="00C775AB"/>
    <w:pPr>
      <w:numPr>
        <w:ilvl w:val="7"/>
        <w:numId w:val="1"/>
      </w:numPr>
      <w:ind w:left="720" w:hanging="720"/>
      <w:outlineLvl w:val="7"/>
    </w:pPr>
  </w:style>
  <w:style w:type="paragraph" w:styleId="Heading9">
    <w:name w:val="heading 9"/>
    <w:basedOn w:val="Normal"/>
    <w:next w:val="Normal"/>
    <w:link w:val="Heading9Char"/>
    <w:uiPriority w:val="9"/>
    <w:qFormat/>
    <w:rsid w:val="00C775AB"/>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DE2"/>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420DE2"/>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420DE2"/>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420DE2"/>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420DE2"/>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420DE2"/>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420DE2"/>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420DE2"/>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420DE2"/>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rsid w:val="00C775AB"/>
  </w:style>
  <w:style w:type="character" w:customStyle="1" w:styleId="FooterChar">
    <w:name w:val="Footer Char"/>
    <w:basedOn w:val="DefaultParagraphFont"/>
    <w:link w:val="Footer"/>
    <w:uiPriority w:val="99"/>
    <w:semiHidden/>
    <w:rsid w:val="00420DE2"/>
    <w:rPr>
      <w:sz w:val="22"/>
      <w:lang w:val="en-GB" w:eastAsia="en-US"/>
    </w:rPr>
  </w:style>
  <w:style w:type="paragraph" w:styleId="FootnoteText">
    <w:name w:val="footnote text"/>
    <w:basedOn w:val="Normal"/>
    <w:link w:val="FootnoteTextChar"/>
    <w:uiPriority w:val="99"/>
    <w:rsid w:val="00C775AB"/>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420DE2"/>
    <w:rPr>
      <w:lang w:val="en-GB" w:eastAsia="en-US"/>
    </w:rPr>
  </w:style>
  <w:style w:type="paragraph" w:styleId="Header">
    <w:name w:val="header"/>
    <w:basedOn w:val="Normal"/>
    <w:link w:val="HeaderChar"/>
    <w:uiPriority w:val="99"/>
    <w:rsid w:val="00C775AB"/>
  </w:style>
  <w:style w:type="character" w:customStyle="1" w:styleId="HeaderChar">
    <w:name w:val="Header Char"/>
    <w:basedOn w:val="DefaultParagraphFont"/>
    <w:link w:val="Header"/>
    <w:uiPriority w:val="99"/>
    <w:semiHidden/>
    <w:rsid w:val="00420DE2"/>
    <w:rPr>
      <w:sz w:val="22"/>
      <w:lang w:val="en-GB" w:eastAsia="en-US"/>
    </w:rPr>
  </w:style>
  <w:style w:type="paragraph" w:customStyle="1" w:styleId="quotes">
    <w:name w:val="quotes"/>
    <w:basedOn w:val="Normal"/>
    <w:next w:val="Normal"/>
    <w:rsid w:val="00C775AB"/>
    <w:pPr>
      <w:ind w:left="1593" w:hanging="153"/>
    </w:pPr>
    <w:rPr>
      <w:i/>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iPriority w:val="99"/>
    <w:semiHidden/>
    <w:rsid w:val="00C775AB"/>
    <w:rPr>
      <w:rFonts w:cs="Times New Roman"/>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noProof/>
      <w:sz w:val="20"/>
    </w:rPr>
  </w:style>
  <w:style w:type="paragraph" w:styleId="BalloonText">
    <w:name w:val="Balloon Text"/>
    <w:basedOn w:val="Normal"/>
    <w:link w:val="BalloonTextChar"/>
    <w:rsid w:val="00FC31D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C31D4"/>
    <w:rPr>
      <w:rFonts w:ascii="Tahoma" w:hAnsi="Tahoma" w:cs="Tahoma"/>
      <w:sz w:val="16"/>
      <w:szCs w:val="16"/>
      <w:lang w:val="en-GB" w:eastAsia="en-US"/>
    </w:rPr>
  </w:style>
  <w:style w:type="paragraph" w:styleId="ListParagraph">
    <w:name w:val="List Paragraph"/>
    <w:basedOn w:val="Normal"/>
    <w:uiPriority w:val="34"/>
    <w:qFormat/>
    <w:rsid w:val="00BA6E37"/>
    <w:pPr>
      <w:overflowPunct/>
      <w:autoSpaceDE/>
      <w:autoSpaceDN/>
      <w:adjustRightInd/>
      <w:ind w:left="720"/>
      <w:contextualSpacing/>
      <w:textAlignment w:val="auto"/>
    </w:pPr>
    <w:rPr>
      <w:szCs w:val="22"/>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hyperlink" Target="http://www.eesc.europ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esc.europa.eu" TargetMode="External"/><Relationship Id="rId14" Type="http://schemas.openxmlformats.org/officeDocument/2006/relationships/footer" Target="footer2.xm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SNS6YXTC77FS-8-5596</_dlc_DocId>
    <_dlc_DocIdUrl xmlns="9f264e46-9252-4f01-a3b2-4cb67eb6fc3c">
      <Url>http://dm/EESC/2015/_layouts/DocIdRedir.aspx?ID=SNS6YXTC77FS-8-5596</Url>
      <Description>SNS6YXTC77FS-8-5596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MeetingNumber xmlns="57dbe824-75b7-48a3-bfa5-af99f883c842"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2015-12-10T12:00:00+00:00</ProductionDate>
    <DocumentNumber xmlns="57dbe824-75b7-48a3-bfa5-af99f883c842">5366</DocumentNumber>
    <FicheYear xmlns="9f264e46-9252-4f01-a3b2-4cb67eb6fc3c">2015</FicheYear>
    <DocumentVersion xmlns="9f264e46-9252-4f01-a3b2-4cb67eb6fc3c">0</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Date xmlns="9f264e46-9252-4f01-a3b2-4cb67eb6fc3c" xsi:nil="true"/>
    <TaxCatchAll xmlns="9f264e46-9252-4f01-a3b2-4cb67eb6fc3c">
      <Value>43</Value>
      <Value>41</Value>
      <Value>40</Value>
      <Value>39</Value>
      <Value>38</Value>
      <Value>37</Value>
      <Value>36</Value>
      <Value>35</Value>
      <Value>33</Value>
      <Value>120</Value>
      <Value>24</Value>
      <Value>25</Value>
      <Value>22</Value>
      <Value>248</Value>
      <Value>21</Value>
      <Value>20</Value>
      <Value>18</Value>
      <Value>17</Value>
      <Value>16</Value>
      <Value>14</Value>
      <Value>13</Value>
      <Value>11</Value>
      <Value>10</Value>
      <Value>9</Value>
      <Value>5</Value>
      <Value>4</Value>
      <Value>2</Value>
      <Value>1</Value>
    </TaxCatchAll>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FicheNumber xmlns="9f264e46-9252-4f01-a3b2-4cb67eb6fc3c">12442</FicheNumber>
    <DocumentYear xmlns="9f264e46-9252-4f01-a3b2-4cb67eb6fc3c">2015</DocumentYear>
    <AdoptionDate xmlns="9f264e46-9252-4f01-a3b2-4cb67eb6fc3c">2015-12-10T12:00:00+00:00</AdoptionDate>
    <DocumentPart xmlns="9f264e46-9252-4f01-a3b2-4cb67eb6fc3c">0</DocumentPart>
    <MeetingName_0 xmlns="http://schemas.microsoft.com/sharepoint/v3/fields">
      <Terms xmlns="http://schemas.microsoft.com/office/infopath/2007/PartnerControls"/>
    </MeetingName_0>
    <RequestingService xmlns="9f264e46-9252-4f01-a3b2-4cb67eb6fc3c">Greffe</RequestingServic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6BE9BADFBD73E64CAFEDF2E8B27ED9C0" ma:contentTypeVersion="6" ma:contentTypeDescription="Defines the documents for Document Manager V2" ma:contentTypeScope="" ma:versionID="03b67870a1c252f37f9ab981120e9ab2">
  <xsd:schema xmlns:xsd="http://www.w3.org/2001/XMLSchema" xmlns:xs="http://www.w3.org/2001/XMLSchema" xmlns:p="http://schemas.microsoft.com/office/2006/metadata/properties" xmlns:ns2="9f264e46-9252-4f01-a3b2-4cb67eb6fc3c" xmlns:ns3="http://schemas.microsoft.com/sharepoint/v3/fields" xmlns:ns4="57dbe824-75b7-48a3-bfa5-af99f883c842" targetNamespace="http://schemas.microsoft.com/office/2006/metadata/properties" ma:root="true" ma:fieldsID="6619ad4128cf88973d9d9fef929efc25" ns2:_="" ns3:_="" ns4:_="">
    <xsd:import namespace="9f264e46-9252-4f01-a3b2-4cb67eb6fc3c"/>
    <xsd:import namespace="http://schemas.microsoft.com/sharepoint/v3/fields"/>
    <xsd:import namespace="57dbe824-75b7-48a3-bfa5-af99f883c8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dbe824-75b7-48a3-bfa5-af99f883c842"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1B362A-D5A2-4D09-8D30-C5675FDF2811}"/>
</file>

<file path=customXml/itemProps2.xml><?xml version="1.0" encoding="utf-8"?>
<ds:datastoreItem xmlns:ds="http://schemas.openxmlformats.org/officeDocument/2006/customXml" ds:itemID="{9B258ECD-C022-4F16-B067-DDD6619C2495}"/>
</file>

<file path=customXml/itemProps3.xml><?xml version="1.0" encoding="utf-8"?>
<ds:datastoreItem xmlns:ds="http://schemas.openxmlformats.org/officeDocument/2006/customXml" ds:itemID="{F71ECFD5-A8B2-4FEC-9D83-77F310206610}"/>
</file>

<file path=customXml/itemProps4.xml><?xml version="1.0" encoding="utf-8"?>
<ds:datastoreItem xmlns:ds="http://schemas.openxmlformats.org/officeDocument/2006/customXml" ds:itemID="{DB3A9195-F43E-4EA6-9C10-63F5E81026A7}"/>
</file>

<file path=docProps/app.xml><?xml version="1.0" encoding="utf-8"?>
<Properties xmlns="http://schemas.openxmlformats.org/officeDocument/2006/extended-properties" xmlns:vt="http://schemas.openxmlformats.org/officeDocument/2006/docPropsVTypes">
  <Template>Styles.dotm</Template>
  <TotalTime>6</TotalTime>
  <Pages>3</Pages>
  <Words>780</Words>
  <Characters>4486</Characters>
  <Application>Microsoft Office Word</Application>
  <DocSecurity>0</DocSecurity>
  <Lines>99</Lines>
  <Paragraphs>16</Paragraphs>
  <ScaleCrop>false</ScaleCrop>
  <HeadingPairs>
    <vt:vector size="2" baseType="variant">
      <vt:variant>
        <vt:lpstr>Title</vt:lpstr>
      </vt:variant>
      <vt:variant>
        <vt:i4>1</vt:i4>
      </vt:variant>
    </vt:vector>
  </HeadingPairs>
  <TitlesOfParts>
    <vt:vector size="1" baseType="lpstr">
      <vt:lpstr> </vt:lpstr>
    </vt:vector>
  </TitlesOfParts>
  <Company>CESE-CdR</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Risoluzione del CESE sul tema I profughi</dc:title>
  <dc:subject>RISOLUZIONE</dc:subject>
  <dc:creator/>
  <cp:keywords>EESC-2015-05366-00-00-RES-TRA-IT</cp:keywords>
  <dc:description>Relatore: -_x000d_
Lingua originale: EN_x000d_
Data del documento: 10/12/2015_x000d_
Data della riunione: _x000d_
Documenti esterni: -_x000d_
Funzionario responsabile: Cosmai Domenico, telefono: +32 (0)2 546 9041_x000d_
_x000d_
Sintesi:</dc:description>
  <cp:lastModifiedBy>Ester Nonis</cp:lastModifiedBy>
  <cp:revision>6</cp:revision>
  <cp:lastPrinted>2015-12-10T10:44:00Z</cp:lastPrinted>
  <dcterms:created xsi:type="dcterms:W3CDTF">2015-12-10T10:41:00Z</dcterms:created>
  <dcterms:modified xsi:type="dcterms:W3CDTF">2015-12-10T10:59:00Z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0x010100EA97B91038054C99906057A708A1480A006BE9BADFBD73E64CAFEDF2E8B27ED9C0</vt:lpwstr>
  </property>
  <property fmtid="{D5CDD505-2E9C-101B-9397-08002B2CF9AE}" pid="3" name="_dlc_DocIdItemGuid">
    <vt:lpwstr>9adc12f5-f01a-44e1-82cd-0d540faf1af0</vt:lpwstr>
  </property>
  <property fmtid="{D5CDD505-2E9C-101B-9397-08002B2CF9AE}" pid="4" name="DocumentType_0">
    <vt:lpwstr>RES|9e3e62eb-6858-4bc7-8a50-3453e395fd01</vt:lpwstr>
  </property>
  <property fmtid="{D5CDD505-2E9C-101B-9397-08002B2CF9AE}" pid="5" name="AvailableTranslations">
    <vt:lpwstr>13;#SL|98a412ae-eb01-49e9-ae3d-585a81724cfc;#38;#IT|0774613c-01ed-4e5d-a25d-11d2388de825;#22;#LV|46f7e311-5d9f-4663-b433-18aeccb7ace7;#41;#NL|55c6556c-b4f4-441d-9acf-c498d4f838bd;#17;#ES|e7a6b05b-ae16-40c8-add9-68b64b03aeba;#4;#FR|d2afafd3-4c81-4f60-8f52-ee33f2f54ff3;#33;#HU|6b229040-c589-4408-b4c1-4285663d20a8;#10;#LT|a7ff5ce7-6123-4f68-865a-a57c31810414;#39;#CS|72f9705b-0217-4fd3-bea2-cbc7ed80e26e;#16;#PL|1e03da61-4678-4e07-b136-b5024ca9197b;#35;#ET|ff6c3f4c-b02c-4c3c-ab07-2c37995a7a0a;#14;#DA|5d49c027-8956-412b-aa16-e85a0f96ad0e;#21;#HR|2f555653-ed1a-4fe6-8362-9082d95989e5;#20;#DE|f6b31e5a-26fa-4935-b661-318e46daf27e;#43;#SK|46d9fce0-ef79-4f71-b89b-cd6aa82426b8;#40;#MT|7df99101-6854-4a26-b53a-b88c0da02c26;#36;#FI|87606a43-d45f-42d6-b8c9-e1a3457db5b7;#18;#SV|c2ed69e7-a339-43d7-8f22-d93680a92aa0;#24;#PT|50ccc04a-eadd-42ae-a0cb-acaf45f812ba;#11;#EL|6d4f4d51-af9b-4650-94b4-4276bee85c91;#25;#RO|feb747a2-64cd-4299-af12-4833ddc30497;#37;#BG|1a1b3951-7821-4e6a-85f5-5673fc08bd2c;#9;#EN|f2175f21-25d7-44a3-96da-d6a61b075e1b</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FicheYear">
    <vt:i4>2015</vt:i4>
  </property>
  <property fmtid="{D5CDD505-2E9C-101B-9397-08002B2CF9AE}" pid="9" name="DocumentNumber">
    <vt:i4>5366</vt:i4>
  </property>
  <property fmtid="{D5CDD505-2E9C-101B-9397-08002B2CF9AE}" pid="10" name="DocumentVersion">
    <vt:i4>0</vt:i4>
  </property>
  <property fmtid="{D5CDD505-2E9C-101B-9397-08002B2CF9AE}" pid="11" name="FicheNumber">
    <vt:i4>12442</vt:i4>
  </property>
  <property fmtid="{D5CDD505-2E9C-101B-9397-08002B2CF9AE}" pid="12" name="DocumentYear">
    <vt:i4>2015</vt:i4>
  </property>
  <property fmtid="{D5CDD505-2E9C-101B-9397-08002B2CF9AE}" pid="13" name="AdoptionDate">
    <vt:filetime>2015-12-10T12:00:00Z</vt:filetime>
  </property>
  <property fmtid="{D5CDD505-2E9C-101B-9397-08002B2CF9AE}" pid="14" name="DocumentType">
    <vt:lpwstr>248;#RES|9e3e62eb-6858-4bc7-8a50-3453e395fd01</vt:lpwstr>
  </property>
  <property fmtid="{D5CDD505-2E9C-101B-9397-08002B2CF9AE}" pid="15" name="DocumentStatus">
    <vt:lpwstr>2;#TRA|150d2a88-1431-44e6-a8ca-0bb753ab8672</vt:lpwstr>
  </property>
  <property fmtid="{D5CDD505-2E9C-101B-9397-08002B2CF9AE}" pid="16" name="DossierName">
    <vt:lpwstr/>
  </property>
  <property fmtid="{D5CDD505-2E9C-101B-9397-08002B2CF9AE}" pid="17" name="DocumentSource">
    <vt:lpwstr>1;#EESC|422833ec-8d7e-4e65-8e4e-8bed07ffb729</vt:lpwstr>
  </property>
  <property fmtid="{D5CDD505-2E9C-101B-9397-08002B2CF9AE}" pid="18" name="DocumentPart">
    <vt:i4>0</vt:i4>
  </property>
  <property fmtid="{D5CDD505-2E9C-101B-9397-08002B2CF9AE}" pid="19" name="RequestingService">
    <vt:lpwstr>Greffe</vt:lpwstr>
  </property>
  <property fmtid="{D5CDD505-2E9C-101B-9397-08002B2CF9AE}" pid="20" name="Confidentiality">
    <vt:lpwstr>5;#Unrestricted|826e22d7-d029-4ec0-a450-0c28ff673572</vt:lpwstr>
  </property>
  <property fmtid="{D5CDD505-2E9C-101B-9397-08002B2CF9AE}" pid="21" name="Confidentiality_0">
    <vt:lpwstr>Unrestricted|826e22d7-d029-4ec0-a450-0c28ff673572</vt:lpwstr>
  </property>
  <property fmtid="{D5CDD505-2E9C-101B-9397-08002B2CF9AE}" pid="22" name="MeetingName_0">
    <vt:lpwstr/>
  </property>
  <property fmtid="{D5CDD505-2E9C-101B-9397-08002B2CF9AE}" pid="23" name="OriginalLanguage">
    <vt:lpwstr>9;#EN|f2175f21-25d7-44a3-96da-d6a61b075e1b</vt:lpwstr>
  </property>
  <property fmtid="{D5CDD505-2E9C-101B-9397-08002B2CF9AE}" pid="24" name="MeetingName">
    <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8" name="TaxCatchAll">
    <vt:lpwstr>120;#Final|ea5e6674-7b27-4bac-b091-73adbb394efe;#9;#EN|f2175f21-25d7-44a3-96da-d6a61b075e1b;#248;#RES|9e3e62eb-6858-4bc7-8a50-3453e395fd01;#5;#Unrestricted|826e22d7-d029-4ec0-a450-0c28ff673572;#2;#TRA|150d2a88-1431-44e6-a8ca-0bb753ab8672;#1;#EESC|422833ec-8d7e-4e65-8e4e-8bed07ffb729</vt:lpwstr>
  </property>
  <property fmtid="{D5CDD505-2E9C-101B-9397-08002B2CF9AE}" pid="29" name="AvailableTranslations_0">
    <vt:lpwstr>EN|f2175f21-25d7-44a3-96da-d6a61b075e1b</vt:lpwstr>
  </property>
  <property fmtid="{D5CDD505-2E9C-101B-9397-08002B2CF9AE}" pid="30" name="VersionStatus">
    <vt:lpwstr>120;#Final|ea5e6674-7b27-4bac-b091-73adbb394efe</vt:lpwstr>
  </property>
  <property fmtid="{D5CDD505-2E9C-101B-9397-08002B2CF9AE}" pid="31" name="VersionStatus_0">
    <vt:lpwstr>Final|ea5e6674-7b27-4bac-b091-73adbb394efe</vt:lpwstr>
  </property>
  <property fmtid="{D5CDD505-2E9C-101B-9397-08002B2CF9AE}" pid="32" name="DocumentLanguage">
    <vt:lpwstr>38;#IT|0774613c-01ed-4e5d-a25d-11d2388de825</vt:lpwstr>
  </property>
</Properties>
</file>