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9E" w:rsidRPr="00104272" w:rsidRDefault="00961A62" w:rsidP="00961A62">
      <w:pPr>
        <w:overflowPunct/>
        <w:adjustRightInd/>
        <w:jc w:val="center"/>
        <w:textAlignment w:val="auto"/>
      </w:pPr>
      <w:r w:rsidRPr="00104272">
        <w:rPr>
          <w:lang w:eastAsia="fr-BE" w:bidi="ar-SA"/>
        </w:rPr>
        <w:drawing>
          <wp:inline distT="0" distB="0" distL="0" distR="0" wp14:anchorId="36988F5B" wp14:editId="15C05DD8">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sidRPr="00104272">
        <w:rPr>
          <w:sz w:val="20"/>
          <w:lang w:eastAsia="fr-BE" w:bidi="ar-SA"/>
        </w:rPr>
        <mc:AlternateContent>
          <mc:Choice Requires="wps">
            <w:drawing>
              <wp:anchor distT="0" distB="0" distL="114300" distR="114300" simplePos="0" relativeHeight="251659264" behindDoc="1" locked="0" layoutInCell="0" allowOverlap="1" wp14:anchorId="0FDCDB66" wp14:editId="26D986D0">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A62" w:rsidRPr="00600593" w:rsidRDefault="00961A62">
                            <w:pPr>
                              <w:jc w:val="center"/>
                              <w:rPr>
                                <w:rFonts w:ascii="Arial" w:hAnsi="Arial" w:cs="Arial"/>
                                <w:b/>
                                <w:bCs/>
                                <w:sz w:val="48"/>
                              </w:rPr>
                            </w:pPr>
                            <w:r w:rsidRPr="00600593">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961A62" w:rsidRPr="00600593" w:rsidRDefault="00961A62">
                      <w:pPr>
                        <w:jc w:val="center"/>
                        <w:rPr>
                          <w:rFonts w:ascii="Arial" w:hAnsi="Arial" w:cs="Arial"/>
                          <w:b/>
                          <w:bCs/>
                          <w:sz w:val="48"/>
                        </w:rPr>
                      </w:pPr>
                      <w:r w:rsidRPr="00600593">
                        <w:rPr>
                          <w:rFonts w:ascii="Arial" w:hAnsi="Arial" w:cs="Arial"/>
                          <w:b/>
                          <w:bCs/>
                          <w:sz w:val="48"/>
                        </w:rPr>
                        <w:t>SL</w:t>
                      </w:r>
                    </w:p>
                  </w:txbxContent>
                </v:textbox>
                <w10:wrap anchorx="page" anchory="page"/>
              </v:shape>
            </w:pict>
          </mc:Fallback>
        </mc:AlternateContent>
      </w:r>
    </w:p>
    <w:p w:rsidR="0057499E" w:rsidRPr="00104272" w:rsidRDefault="0057499E" w:rsidP="00961A62">
      <w:pPr>
        <w:overflowPunct/>
        <w:adjustRightInd/>
        <w:jc w:val="center"/>
        <w:textAlignment w:val="auto"/>
        <w:rPr>
          <w:rFonts w:ascii="Arial" w:hAnsi="Arial" w:cs="Arial"/>
          <w:b/>
          <w:i/>
          <w:sz w:val="20"/>
        </w:rPr>
      </w:pPr>
      <w:r w:rsidRPr="00104272">
        <w:rPr>
          <w:rFonts w:ascii="Arial" w:hAnsi="Arial"/>
          <w:b/>
          <w:i/>
          <w:sz w:val="20"/>
        </w:rPr>
        <w:t>Evropski ekonomsko-socialni odbor</w:t>
      </w:r>
    </w:p>
    <w:p w:rsidR="0057499E" w:rsidRPr="00104272" w:rsidRDefault="0057499E" w:rsidP="00961A62">
      <w:pPr>
        <w:overflowPunct/>
        <w:adjustRightInd/>
        <w:textAlignment w:val="auto"/>
        <w:sectPr w:rsidR="0057499E" w:rsidRPr="00104272" w:rsidSect="00600593">
          <w:headerReference w:type="even" r:id="rId13"/>
          <w:headerReference w:type="default" r:id="rId14"/>
          <w:footerReference w:type="even" r:id="rId15"/>
          <w:footerReference w:type="default" r:id="rId16"/>
          <w:headerReference w:type="first" r:id="rId17"/>
          <w:footerReference w:type="first" r:id="rId18"/>
          <w:pgSz w:w="11907" w:h="16839" w:code="9"/>
          <w:pgMar w:top="567" w:right="1440" w:bottom="1928" w:left="1440" w:header="284" w:footer="1134" w:gutter="0"/>
          <w:pgNumType w:start="1"/>
          <w:cols w:space="720"/>
          <w:docGrid w:linePitch="299"/>
        </w:sectPr>
      </w:pPr>
    </w:p>
    <w:p w:rsidR="0057499E" w:rsidRPr="00104272" w:rsidRDefault="0057499E" w:rsidP="00961A62">
      <w:pPr>
        <w:overflowPunct/>
        <w:adjustRightInd/>
        <w:textAlignment w:val="auto"/>
      </w:pPr>
    </w:p>
    <w:p w:rsidR="0057499E" w:rsidRPr="00104272" w:rsidRDefault="0057499E" w:rsidP="00961A62">
      <w:pPr>
        <w:overflowPunct/>
        <w:adjustRightInd/>
        <w:textAlignment w:val="auto"/>
      </w:pPr>
    </w:p>
    <w:p w:rsidR="0057499E" w:rsidRPr="00104272" w:rsidRDefault="0057499E" w:rsidP="00961A62">
      <w:pPr>
        <w:jc w:val="center"/>
        <w:rPr>
          <w:b/>
          <w:sz w:val="28"/>
        </w:rPr>
      </w:pPr>
      <w:r w:rsidRPr="00104272">
        <w:rPr>
          <w:b/>
          <w:sz w:val="28"/>
        </w:rPr>
        <w:t>NAGRADA EESO ZA CIVILNO DRUŽBO 2015</w:t>
      </w:r>
      <w:r w:rsidRPr="00104272">
        <w:rPr>
          <w:b/>
          <w:sz w:val="28"/>
        </w:rPr>
        <w:br/>
        <w:t>PRAVILA</w:t>
      </w:r>
    </w:p>
    <w:p w:rsidR="0057499E" w:rsidRPr="00104272" w:rsidRDefault="0057499E" w:rsidP="00961A62">
      <w:pPr>
        <w:overflowPunct/>
        <w:adjustRightInd/>
        <w:jc w:val="center"/>
        <w:textAlignment w:val="auto"/>
        <w:rPr>
          <w:b/>
          <w:i/>
          <w:sz w:val="28"/>
        </w:rPr>
      </w:pPr>
      <w:r w:rsidRPr="00104272">
        <w:rPr>
          <w:b/>
          <w:i/>
          <w:sz w:val="28"/>
        </w:rPr>
        <w:t>Nagrajevanje odličnosti v pobudah civilne družbe</w:t>
      </w:r>
    </w:p>
    <w:p w:rsidR="00961A62" w:rsidRPr="00104272" w:rsidRDefault="00961A62" w:rsidP="00961A62">
      <w:pPr>
        <w:jc w:val="center"/>
      </w:pPr>
      <w:r w:rsidRPr="00104272">
        <w:t>_____________</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b/>
          <w:i/>
          <w:szCs w:val="22"/>
        </w:rPr>
      </w:pPr>
      <w:r w:rsidRPr="00104272">
        <w:rPr>
          <w:b/>
          <w:i/>
          <w:szCs w:val="22"/>
        </w:rPr>
        <w:t>A)</w:t>
      </w:r>
      <w:r w:rsidRPr="00104272">
        <w:rPr>
          <w:b/>
          <w:i/>
          <w:szCs w:val="22"/>
        </w:rPr>
        <w:tab/>
        <w:t>Namen in splošni cilj nagrade za civilno družbo</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b/>
          <w:szCs w:val="22"/>
        </w:rPr>
        <w:t>Namen</w:t>
      </w:r>
      <w:r w:rsidRPr="00104272">
        <w:rPr>
          <w:szCs w:val="22"/>
        </w:rPr>
        <w:t xml:space="preserve"> nagrade, ki se podeljuje vsako leto, je odlikovati in spodbujati pobude organizacij civilne družbe in posameznikov, ki močno prispevajo h krepitvi evropske identitete in povezovanja.</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b/>
          <w:szCs w:val="22"/>
        </w:rPr>
        <w:t>Splošni namen</w:t>
      </w:r>
      <w:r w:rsidRPr="00104272">
        <w:rPr>
          <w:szCs w:val="22"/>
        </w:rPr>
        <w:t xml:space="preserve"> nagrade je povečati ozaveščenost javnosti o prispevku organizacij civilne družbe in posameznikov k oblikovanju evropske identitete in državljanstva, pri čemer podpirajo skupne vrednote, na katerih temelji evropsko povezovanje.</w:t>
      </w:r>
    </w:p>
    <w:p w:rsidR="0057499E" w:rsidRPr="00104272" w:rsidRDefault="0057499E" w:rsidP="00961A62">
      <w:pPr>
        <w:overflowPunct/>
        <w:adjustRightInd/>
        <w:textAlignment w:val="auto"/>
        <w:rPr>
          <w:szCs w:val="22"/>
        </w:rPr>
      </w:pPr>
    </w:p>
    <w:p w:rsidR="0057499E" w:rsidRPr="00104272" w:rsidRDefault="0057499E" w:rsidP="00961A62">
      <w:pPr>
        <w:shd w:val="clear" w:color="auto" w:fill="FFFFFF"/>
        <w:overflowPunct/>
        <w:adjustRightInd/>
        <w:textAlignment w:val="auto"/>
        <w:rPr>
          <w:i/>
          <w:szCs w:val="22"/>
        </w:rPr>
      </w:pPr>
      <w:r w:rsidRPr="00104272">
        <w:rPr>
          <w:b/>
          <w:i/>
          <w:szCs w:val="22"/>
        </w:rPr>
        <w:t>B)</w:t>
      </w:r>
      <w:r w:rsidRPr="00104272">
        <w:rPr>
          <w:b/>
          <w:i/>
          <w:szCs w:val="22"/>
        </w:rPr>
        <w:tab/>
        <w:t>Tema nagrade EESO za civilno družbo 2015: Boj proti revščini</w:t>
      </w:r>
    </w:p>
    <w:p w:rsidR="0057499E" w:rsidRPr="00104272" w:rsidRDefault="0057499E" w:rsidP="00961A62">
      <w:pPr>
        <w:shd w:val="clear" w:color="auto" w:fill="FFFFFF"/>
        <w:overflowPunct/>
        <w:adjustRightInd/>
        <w:ind w:right="147"/>
        <w:textAlignment w:val="auto"/>
        <w:rPr>
          <w:szCs w:val="22"/>
        </w:rPr>
      </w:pPr>
    </w:p>
    <w:p w:rsidR="0057499E" w:rsidRPr="00104272" w:rsidRDefault="0057499E" w:rsidP="00961A62">
      <w:pPr>
        <w:shd w:val="clear" w:color="auto" w:fill="FFFFFF"/>
        <w:overflowPunct/>
        <w:adjustRightInd/>
        <w:ind w:right="147"/>
        <w:textAlignment w:val="auto"/>
        <w:rPr>
          <w:szCs w:val="22"/>
        </w:rPr>
      </w:pPr>
      <w:r w:rsidRPr="00104272">
        <w:rPr>
          <w:szCs w:val="22"/>
        </w:rPr>
        <w:t xml:space="preserve">Komisija je v sporočilu </w:t>
      </w:r>
      <w:r w:rsidRPr="00104272">
        <w:rPr>
          <w:i/>
          <w:szCs w:val="22"/>
        </w:rPr>
        <w:t>Ocena izvajanja strategije Evropa 2020 za pametno, trajnostno in vključujočo rast</w:t>
      </w:r>
      <w:r w:rsidRPr="00104272">
        <w:rPr>
          <w:szCs w:val="22"/>
        </w:rPr>
        <w:t xml:space="preserve"> priznala, da se je EU odmaknila od cilja, da vsaj za 20 milijonov zmanjša število oseb, ki jim grozita revščina in socialna izključenost, ter da "zaenkrat ni nobenih znakov, ki bi kazali na hiter napredek pri odpravi tega stanja, saj bi lahko število ljudi, ki jih ogroža revščina, do leta 2020 znašalo okoli 100 milijonov. Razmere so se še posebej poslabšale v nekaterih državah članicah in so posledica povečanja močnega materialnega pomanjkanja in deleža gospodinjstev brez zaposlenih. Kriza je pokazala, da so potrebni učinkoviti sistemi socialnega varstva."</w:t>
      </w:r>
      <w:r w:rsidRPr="00104272">
        <w:rPr>
          <w:rStyle w:val="FootnoteReference"/>
          <w:sz w:val="22"/>
          <w:szCs w:val="22"/>
        </w:rPr>
        <w:footnoteReference w:id="1"/>
      </w:r>
    </w:p>
    <w:p w:rsidR="0057499E" w:rsidRPr="00104272" w:rsidRDefault="0057499E" w:rsidP="00961A62">
      <w:pPr>
        <w:shd w:val="clear" w:color="auto" w:fill="FFFFFF"/>
        <w:overflowPunct/>
        <w:adjustRightInd/>
        <w:ind w:right="147"/>
        <w:textAlignment w:val="auto"/>
        <w:rPr>
          <w:szCs w:val="22"/>
        </w:rPr>
      </w:pPr>
    </w:p>
    <w:p w:rsidR="0057499E" w:rsidRPr="00104272" w:rsidRDefault="0057499E" w:rsidP="00961A62">
      <w:pPr>
        <w:shd w:val="clear" w:color="auto" w:fill="FFFFFF"/>
        <w:overflowPunct/>
        <w:adjustRightInd/>
        <w:ind w:right="147"/>
        <w:textAlignment w:val="auto"/>
        <w:rPr>
          <w:szCs w:val="22"/>
        </w:rPr>
      </w:pPr>
      <w:r w:rsidRPr="00104272">
        <w:rPr>
          <w:szCs w:val="22"/>
        </w:rPr>
        <w:t>Zato je še posebej pomembno, da se ena od glavnih vodilnih pobud strategije Evropa 2020, Evropska platforma za boj proti revščini in socialni izključenosti, preoblikuje in postane resnično središče razprav o socialnih pobudah in pobudah proti revščini v okviru strategije Evropa 2020 ter se v njenem okviru sprejemajo bolj odločni ukrepi. Prvotni namen platforme, ki je bila vzpostavljena leta 2010 in bo delovala do leta 2020, je bil, da se države članice, evropske institucije in najpomembnejši deležniki skupaj zavežejo k boju proti revščini in socialni izključenosti z vzpostavitvijo dinamičnega okvira za ukrepanje na treh prednostnih področjih pametne, trajnostne in vključujoče rasti. Vendar so doslej države članice v glavnem poudarjale finančna in ekonomska vprašanja. Zelo malo je poudarka na drugih ukrepih za zmanjšanje revščine, ki se ne nanašajo zgolj na zaposlovanje, in na razvoju celostne strategije na tem področju.</w:t>
      </w:r>
    </w:p>
    <w:p w:rsidR="0057499E" w:rsidRPr="00104272" w:rsidRDefault="0057499E" w:rsidP="00961A62">
      <w:pPr>
        <w:shd w:val="clear" w:color="auto" w:fill="FFFFFF"/>
        <w:overflowPunct/>
        <w:adjustRightInd/>
        <w:ind w:right="147"/>
        <w:textAlignment w:val="auto"/>
        <w:rPr>
          <w:szCs w:val="22"/>
        </w:rPr>
      </w:pPr>
    </w:p>
    <w:p w:rsidR="0057499E" w:rsidRPr="00104272" w:rsidRDefault="0057499E" w:rsidP="00961A62">
      <w:pPr>
        <w:shd w:val="clear" w:color="auto" w:fill="FFFFFF"/>
        <w:overflowPunct/>
        <w:adjustRightInd/>
        <w:ind w:right="147"/>
        <w:textAlignment w:val="auto"/>
        <w:rPr>
          <w:szCs w:val="22"/>
        </w:rPr>
      </w:pPr>
      <w:bookmarkStart w:id="0" w:name="_GoBack"/>
      <w:bookmarkEnd w:id="0"/>
      <w:r w:rsidRPr="00104272">
        <w:rPr>
          <w:szCs w:val="22"/>
        </w:rPr>
        <w:lastRenderedPageBreak/>
        <w:t>Na mednarodni ravni nameravajo Združeni narodi na vrhu septembra 2015 oblikovati novo svetovno partnerstvo za izkoreninjanje revščine po vsem svetu in spodbujanje trajnostnega razvoja. S tem bo vzpostavljen nov, splošno veljaven model razvoja, ki temelji na človekovih pravicah in v središče postavlja ljudi ter združuje izkoreninjanje revščine in ohranjanje okolja na tak način, da se medsebojno krepita.</w:t>
      </w:r>
    </w:p>
    <w:p w:rsidR="0057499E" w:rsidRPr="00104272" w:rsidRDefault="0057499E" w:rsidP="00961A62">
      <w:pPr>
        <w:shd w:val="clear" w:color="auto" w:fill="FFFFFF"/>
        <w:overflowPunct/>
        <w:adjustRightInd/>
        <w:ind w:right="147"/>
        <w:textAlignment w:val="auto"/>
        <w:rPr>
          <w:szCs w:val="22"/>
        </w:rPr>
      </w:pPr>
    </w:p>
    <w:p w:rsidR="0057499E" w:rsidRPr="00104272" w:rsidRDefault="0057499E" w:rsidP="00961A62">
      <w:pPr>
        <w:overflowPunct/>
        <w:adjustRightInd/>
        <w:textAlignment w:val="auto"/>
        <w:rPr>
          <w:szCs w:val="22"/>
        </w:rPr>
      </w:pPr>
      <w:r w:rsidRPr="00104272">
        <w:rPr>
          <w:szCs w:val="22"/>
        </w:rPr>
        <w:t>EESO želi s podelitvijo nagrade za civilno družbo 2015 odlikovati pobude, ki jih izvajajo uradno registrirane organizacije civilne družbe in/ali posamezniki. Pobude bodo usmerjene v boj proti revščini v Evropi z izboljšanjem ekonomske in socialne vključenosti revnih ter prizadevanjem za zmanjševanje vse večjega tveganja za izpostavljenost revščini.</w:t>
      </w:r>
    </w:p>
    <w:p w:rsidR="0057499E" w:rsidRPr="00104272" w:rsidRDefault="0057499E" w:rsidP="00961A62">
      <w:pPr>
        <w:overflowPunct/>
        <w:adjustRightInd/>
        <w:textAlignment w:val="auto"/>
        <w:rPr>
          <w:szCs w:val="22"/>
        </w:rPr>
      </w:pPr>
    </w:p>
    <w:p w:rsidR="0057499E" w:rsidRPr="00104272" w:rsidRDefault="0057499E" w:rsidP="00961A62">
      <w:pPr>
        <w:shd w:val="clear" w:color="auto" w:fill="FFFFFF"/>
        <w:overflowPunct/>
        <w:adjustRightInd/>
        <w:ind w:right="147"/>
        <w:textAlignment w:val="auto"/>
        <w:rPr>
          <w:b/>
          <w:szCs w:val="22"/>
        </w:rPr>
      </w:pPr>
      <w:r w:rsidRPr="00104272">
        <w:rPr>
          <w:szCs w:val="22"/>
        </w:rPr>
        <w:t xml:space="preserve">Nagradni natečaj bo objavljen aprila ali maja 2015, podelitev nagrad pa bo </w:t>
      </w:r>
      <w:r w:rsidRPr="00104272">
        <w:rPr>
          <w:b/>
          <w:szCs w:val="22"/>
        </w:rPr>
        <w:t>10. decembra 2015</w:t>
      </w:r>
      <w:r w:rsidRPr="00104272">
        <w:rPr>
          <w:szCs w:val="22"/>
        </w:rPr>
        <w:t>.</w:t>
      </w:r>
    </w:p>
    <w:p w:rsidR="0057499E" w:rsidRPr="00104272" w:rsidRDefault="0057499E" w:rsidP="00961A62">
      <w:pPr>
        <w:shd w:val="clear" w:color="auto" w:fill="FFFFFF"/>
        <w:overflowPunct/>
        <w:adjustRightInd/>
        <w:ind w:right="147"/>
        <w:textAlignment w:val="auto"/>
        <w:rPr>
          <w:szCs w:val="22"/>
        </w:rPr>
      </w:pPr>
    </w:p>
    <w:p w:rsidR="0057499E" w:rsidRPr="00104272" w:rsidRDefault="0057499E" w:rsidP="00961A62">
      <w:pPr>
        <w:overflowPunct/>
        <w:adjustRightInd/>
        <w:textAlignment w:val="auto"/>
        <w:outlineLvl w:val="0"/>
        <w:rPr>
          <w:i/>
          <w:szCs w:val="22"/>
        </w:rPr>
      </w:pPr>
      <w:r w:rsidRPr="00104272">
        <w:rPr>
          <w:b/>
          <w:i/>
          <w:szCs w:val="22"/>
        </w:rPr>
        <w:t>C)</w:t>
      </w:r>
      <w:r w:rsidRPr="00104272">
        <w:rPr>
          <w:b/>
          <w:i/>
          <w:szCs w:val="22"/>
        </w:rPr>
        <w:tab/>
        <w:t>Pobude, ki se lahko potegujejo za nagrado</w:t>
      </w:r>
    </w:p>
    <w:p w:rsidR="0057499E" w:rsidRPr="00104272" w:rsidRDefault="0057499E" w:rsidP="00961A62">
      <w:pPr>
        <w:shd w:val="clear" w:color="auto" w:fill="FFFFFF"/>
        <w:overflowPunct/>
        <w:adjustRightInd/>
        <w:ind w:right="147"/>
        <w:textAlignment w:val="auto"/>
        <w:rPr>
          <w:szCs w:val="22"/>
        </w:rPr>
      </w:pPr>
    </w:p>
    <w:p w:rsidR="0057499E" w:rsidRPr="00104272" w:rsidRDefault="0057499E" w:rsidP="00961A62">
      <w:pPr>
        <w:overflowPunct/>
        <w:adjustRightInd/>
        <w:textAlignment w:val="auto"/>
        <w:rPr>
          <w:szCs w:val="22"/>
        </w:rPr>
      </w:pPr>
      <w:r w:rsidRPr="00104272">
        <w:rPr>
          <w:szCs w:val="22"/>
        </w:rPr>
        <w:t>Glede na to, da imajo akterji civilne družbe pomembno vlogo v boju proti revščini in blaženju posledic materialnega pomanjkanja, je poseben namen nagrade odlikovati pobude na področjih, kot so:</w:t>
      </w:r>
    </w:p>
    <w:p w:rsidR="0057499E" w:rsidRPr="00104272" w:rsidRDefault="0057499E" w:rsidP="00961A62">
      <w:pPr>
        <w:overflowPunct/>
        <w:adjustRightInd/>
        <w:textAlignment w:val="auto"/>
        <w:rPr>
          <w:szCs w:val="22"/>
        </w:rPr>
      </w:pPr>
    </w:p>
    <w:p w:rsidR="0057499E" w:rsidRPr="00104272" w:rsidRDefault="0057499E" w:rsidP="00961A62">
      <w:pPr>
        <w:numPr>
          <w:ilvl w:val="0"/>
          <w:numId w:val="4"/>
        </w:numPr>
        <w:overflowPunct/>
        <w:adjustRightInd/>
        <w:ind w:left="369" w:hanging="369"/>
        <w:textAlignment w:val="auto"/>
        <w:rPr>
          <w:szCs w:val="22"/>
        </w:rPr>
      </w:pPr>
      <w:r w:rsidRPr="00104272">
        <w:rPr>
          <w:szCs w:val="22"/>
        </w:rPr>
        <w:t>socialna podpora, stanovanja, izobraževanje in zdravje,</w:t>
      </w:r>
    </w:p>
    <w:p w:rsidR="0057499E" w:rsidRPr="00104272" w:rsidRDefault="0057499E" w:rsidP="00961A62">
      <w:pPr>
        <w:numPr>
          <w:ilvl w:val="0"/>
          <w:numId w:val="4"/>
        </w:numPr>
        <w:overflowPunct/>
        <w:adjustRightInd/>
        <w:ind w:left="369" w:hanging="369"/>
        <w:textAlignment w:val="auto"/>
        <w:rPr>
          <w:szCs w:val="22"/>
        </w:rPr>
      </w:pPr>
      <w:r w:rsidRPr="00104272">
        <w:rPr>
          <w:szCs w:val="22"/>
        </w:rPr>
        <w:t>revščina med zaposlenimi,</w:t>
      </w:r>
    </w:p>
    <w:p w:rsidR="0057499E" w:rsidRPr="00104272" w:rsidRDefault="0057499E" w:rsidP="00961A62">
      <w:pPr>
        <w:numPr>
          <w:ilvl w:val="0"/>
          <w:numId w:val="4"/>
        </w:numPr>
        <w:overflowPunct/>
        <w:adjustRightInd/>
        <w:ind w:left="369" w:hanging="369"/>
        <w:textAlignment w:val="auto"/>
        <w:rPr>
          <w:szCs w:val="22"/>
        </w:rPr>
      </w:pPr>
      <w:r w:rsidRPr="00104272">
        <w:rPr>
          <w:szCs w:val="22"/>
        </w:rPr>
        <w:t>energetska revščina,</w:t>
      </w:r>
    </w:p>
    <w:p w:rsidR="0057499E" w:rsidRPr="00104272" w:rsidRDefault="0057499E" w:rsidP="00961A62">
      <w:pPr>
        <w:numPr>
          <w:ilvl w:val="0"/>
          <w:numId w:val="4"/>
        </w:numPr>
        <w:overflowPunct/>
        <w:adjustRightInd/>
        <w:ind w:left="369" w:hanging="369"/>
        <w:textAlignment w:val="auto"/>
        <w:rPr>
          <w:szCs w:val="22"/>
        </w:rPr>
      </w:pPr>
      <w:r w:rsidRPr="00104272">
        <w:rPr>
          <w:szCs w:val="22"/>
        </w:rPr>
        <w:t>revščina otrok,</w:t>
      </w:r>
    </w:p>
    <w:p w:rsidR="0057499E" w:rsidRPr="00104272" w:rsidRDefault="0057499E" w:rsidP="00961A62">
      <w:pPr>
        <w:numPr>
          <w:ilvl w:val="0"/>
          <w:numId w:val="4"/>
        </w:numPr>
        <w:overflowPunct/>
        <w:adjustRightInd/>
        <w:ind w:left="369" w:hanging="369"/>
        <w:textAlignment w:val="auto"/>
        <w:rPr>
          <w:szCs w:val="22"/>
        </w:rPr>
      </w:pPr>
      <w:r w:rsidRPr="00104272">
        <w:rPr>
          <w:szCs w:val="22"/>
        </w:rPr>
        <w:t>brezdomstvo,</w:t>
      </w:r>
    </w:p>
    <w:p w:rsidR="0057499E" w:rsidRPr="00104272" w:rsidRDefault="0057499E" w:rsidP="00961A62">
      <w:pPr>
        <w:numPr>
          <w:ilvl w:val="0"/>
          <w:numId w:val="4"/>
        </w:numPr>
        <w:overflowPunct/>
        <w:adjustRightInd/>
        <w:ind w:left="369" w:hanging="369"/>
        <w:textAlignment w:val="auto"/>
        <w:rPr>
          <w:szCs w:val="22"/>
        </w:rPr>
      </w:pPr>
      <w:r w:rsidRPr="00104272">
        <w:rPr>
          <w:szCs w:val="22"/>
        </w:rPr>
        <w:t xml:space="preserve">finančna izključenost in prekomerno zadolževanje ter </w:t>
      </w:r>
    </w:p>
    <w:p w:rsidR="0057499E" w:rsidRPr="00104272" w:rsidRDefault="0057499E" w:rsidP="00961A62">
      <w:pPr>
        <w:numPr>
          <w:ilvl w:val="0"/>
          <w:numId w:val="4"/>
        </w:numPr>
        <w:overflowPunct/>
        <w:adjustRightInd/>
        <w:ind w:left="369" w:hanging="369"/>
        <w:textAlignment w:val="auto"/>
        <w:rPr>
          <w:szCs w:val="22"/>
        </w:rPr>
      </w:pPr>
      <w:r w:rsidRPr="00104272">
        <w:rPr>
          <w:szCs w:val="22"/>
        </w:rPr>
        <w:t>sodelovanje z javnimi organi.</w:t>
      </w:r>
    </w:p>
    <w:p w:rsidR="0057499E" w:rsidRPr="00104272" w:rsidRDefault="0057499E" w:rsidP="00961A62">
      <w:pPr>
        <w:overflowPunct/>
        <w:adjustRightInd/>
        <w:textAlignment w:val="auto"/>
        <w:rPr>
          <w:szCs w:val="22"/>
        </w:rPr>
      </w:pPr>
      <w:bookmarkStart w:id="1" w:name="_2"/>
      <w:bookmarkEnd w:id="1"/>
    </w:p>
    <w:p w:rsidR="0057499E" w:rsidRPr="00104272" w:rsidRDefault="0057499E" w:rsidP="00961A62">
      <w:pPr>
        <w:overflowPunct/>
        <w:adjustRightInd/>
        <w:textAlignment w:val="auto"/>
        <w:rPr>
          <w:b/>
          <w:i/>
          <w:szCs w:val="22"/>
        </w:rPr>
      </w:pPr>
      <w:r w:rsidRPr="00104272">
        <w:rPr>
          <w:b/>
          <w:i/>
          <w:szCs w:val="22"/>
        </w:rPr>
        <w:t>D)</w:t>
      </w:r>
      <w:r w:rsidRPr="00104272">
        <w:rPr>
          <w:szCs w:val="22"/>
        </w:rPr>
        <w:tab/>
      </w:r>
      <w:r w:rsidRPr="00104272">
        <w:rPr>
          <w:b/>
          <w:i/>
          <w:szCs w:val="22"/>
        </w:rPr>
        <w:t>Kandidati, ki izpolnjujejo merila</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b/>
          <w:szCs w:val="22"/>
        </w:rPr>
      </w:pPr>
      <w:r w:rsidRPr="00104272">
        <w:rPr>
          <w:b/>
          <w:szCs w:val="22"/>
        </w:rPr>
        <w:t>Nagrada EESO za civilno družbo se podeljuje organizacijam</w:t>
      </w:r>
      <w:r w:rsidRPr="00104272">
        <w:rPr>
          <w:rStyle w:val="FootnoteReference"/>
          <w:sz w:val="22"/>
          <w:szCs w:val="22"/>
        </w:rPr>
        <w:footnoteReference w:id="2"/>
      </w:r>
      <w:r w:rsidRPr="00104272">
        <w:rPr>
          <w:b/>
          <w:szCs w:val="22"/>
        </w:rPr>
        <w:t xml:space="preserve"> civilne družbe, ki so uradno registrirane v Evropski uniji in delujejo na lokalni, nacionalni, regionalni ali evropski ravni. Zanjo se lahko potegujejo tudi posamezniki.</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pacing w:val="-3"/>
          <w:szCs w:val="22"/>
        </w:rPr>
      </w:pPr>
      <w:r w:rsidRPr="00104272">
        <w:rPr>
          <w:szCs w:val="22"/>
        </w:rPr>
        <w:t xml:space="preserve">Organizacije civilne družbe so nedržavne organizacije, nastale na zasebno pobudo, njihovi člani pa glede na svoje interese aktivno sodelujejo pri oblikovanju javnih zadev, pri čemer se opirajo na svoje </w:t>
      </w:r>
      <w:r w:rsidRPr="00104272">
        <w:rPr>
          <w:szCs w:val="22"/>
        </w:rPr>
        <w:lastRenderedPageBreak/>
        <w:t>posebno znanje, sposobnosti in področje delovanja. Delujejo samostojno, članstvo pa pomeni prostovoljno zavezo državljanov, da bodo sodelovali pri delu in dejavnostih organizacije.</w:t>
      </w:r>
    </w:p>
    <w:p w:rsidR="0057499E" w:rsidRPr="00104272" w:rsidRDefault="0057499E" w:rsidP="00961A62">
      <w:pPr>
        <w:overflowPunct/>
        <w:adjustRightInd/>
        <w:textAlignment w:val="auto"/>
        <w:rPr>
          <w:spacing w:val="-3"/>
          <w:szCs w:val="22"/>
        </w:rPr>
      </w:pPr>
    </w:p>
    <w:p w:rsidR="0057499E" w:rsidRPr="00104272" w:rsidRDefault="0057499E" w:rsidP="00961A62">
      <w:pPr>
        <w:overflowPunct/>
        <w:adjustRightInd/>
        <w:textAlignment w:val="auto"/>
        <w:rPr>
          <w:spacing w:val="-3"/>
          <w:szCs w:val="22"/>
        </w:rPr>
      </w:pPr>
      <w:r w:rsidRPr="00104272">
        <w:rPr>
          <w:szCs w:val="22"/>
        </w:rPr>
        <w:t>V to opredelitev niso zajeti organi in strukture, ustanovljeni na podlagi zakona ali podzakonskega akta, v katerih je članstvo deloma ali popolnoma obvezno.</w:t>
      </w:r>
    </w:p>
    <w:p w:rsidR="0057499E" w:rsidRPr="00104272" w:rsidRDefault="0057499E" w:rsidP="00961A62">
      <w:pPr>
        <w:overflowPunct/>
        <w:adjustRightInd/>
        <w:textAlignment w:val="auto"/>
        <w:rPr>
          <w:spacing w:val="-3"/>
          <w:szCs w:val="22"/>
        </w:rPr>
      </w:pPr>
    </w:p>
    <w:p w:rsidR="0057499E" w:rsidRPr="00104272" w:rsidRDefault="0057499E" w:rsidP="00961A62">
      <w:pPr>
        <w:overflowPunct/>
        <w:adjustRightInd/>
        <w:textAlignment w:val="auto"/>
        <w:rPr>
          <w:spacing w:val="-3"/>
          <w:szCs w:val="22"/>
        </w:rPr>
      </w:pPr>
      <w:r w:rsidRPr="00104272">
        <w:rPr>
          <w:szCs w:val="22"/>
        </w:rPr>
        <w:t>Posamezniki pomenijo fizične osebe. Za nagrado se lahko potegujejo tudi državljani tretjih držav, če zakonito prebivajo na ozemlju EU.</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Kandidate (tako organizacije kot posameznike) za nagrado mora predlagati:</w:t>
      </w:r>
    </w:p>
    <w:p w:rsidR="0057499E" w:rsidRPr="00104272" w:rsidRDefault="0057499E" w:rsidP="00961A62">
      <w:pPr>
        <w:overflowPunct/>
        <w:adjustRightInd/>
        <w:textAlignment w:val="auto"/>
        <w:rPr>
          <w:szCs w:val="22"/>
        </w:rPr>
      </w:pPr>
    </w:p>
    <w:p w:rsidR="0057499E" w:rsidRPr="00104272" w:rsidRDefault="0057499E" w:rsidP="00961A62">
      <w:pPr>
        <w:numPr>
          <w:ilvl w:val="0"/>
          <w:numId w:val="5"/>
        </w:numPr>
        <w:tabs>
          <w:tab w:val="clear" w:pos="0"/>
        </w:tabs>
        <w:overflowPunct/>
        <w:adjustRightInd/>
        <w:textAlignment w:val="auto"/>
        <w:rPr>
          <w:szCs w:val="22"/>
        </w:rPr>
      </w:pPr>
      <w:r w:rsidRPr="00104272">
        <w:rPr>
          <w:szCs w:val="22"/>
        </w:rPr>
        <w:t>eden ali več članov Evropskega ekonomsko-socialnega odbora ali</w:t>
      </w:r>
    </w:p>
    <w:p w:rsidR="0057499E" w:rsidRPr="00104272" w:rsidRDefault="0057499E" w:rsidP="00961A62">
      <w:pPr>
        <w:numPr>
          <w:ilvl w:val="0"/>
          <w:numId w:val="5"/>
        </w:numPr>
        <w:tabs>
          <w:tab w:val="clear" w:pos="0"/>
        </w:tabs>
        <w:overflowPunct/>
        <w:adjustRightInd/>
        <w:textAlignment w:val="auto"/>
        <w:rPr>
          <w:szCs w:val="22"/>
        </w:rPr>
      </w:pPr>
      <w:r w:rsidRPr="00104272">
        <w:rPr>
          <w:szCs w:val="22"/>
        </w:rPr>
        <w:t>eden ali več nacionalnih ekonomsko-socialnih svetov ali podobnih institucij ali</w:t>
      </w:r>
    </w:p>
    <w:p w:rsidR="0057499E" w:rsidRPr="00104272" w:rsidRDefault="0057499E" w:rsidP="00961A62">
      <w:pPr>
        <w:numPr>
          <w:ilvl w:val="0"/>
          <w:numId w:val="6"/>
        </w:numPr>
        <w:tabs>
          <w:tab w:val="clear" w:pos="0"/>
        </w:tabs>
        <w:overflowPunct/>
        <w:adjustRightInd/>
        <w:textAlignment w:val="auto"/>
        <w:rPr>
          <w:szCs w:val="22"/>
        </w:rPr>
      </w:pPr>
      <w:r w:rsidRPr="00104272">
        <w:rPr>
          <w:szCs w:val="22"/>
        </w:rPr>
        <w:t>ena ali več organizacij in mrež evropske civilne družbe.</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Evropske organizacije civilne družbe in posamezniki se ne morejo sami predlagati.</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Evropske organizacije so organizacije, ki imajo člane in sodelavce v več državah članicah, svoje dejavnosti pa usklajujejo na evropski ravni.</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 xml:space="preserve">Prijave, poslane </w:t>
      </w:r>
      <w:r w:rsidRPr="00104272">
        <w:rPr>
          <w:b/>
          <w:szCs w:val="22"/>
        </w:rPr>
        <w:t>neposredno</w:t>
      </w:r>
      <w:r w:rsidRPr="00104272">
        <w:rPr>
          <w:szCs w:val="22"/>
        </w:rPr>
        <w:t xml:space="preserve"> na EESO, </w:t>
      </w:r>
      <w:r w:rsidRPr="00104272">
        <w:rPr>
          <w:b/>
          <w:szCs w:val="22"/>
          <w:u w:val="single"/>
        </w:rPr>
        <w:t xml:space="preserve">ne </w:t>
      </w:r>
      <w:r w:rsidRPr="00104272">
        <w:rPr>
          <w:szCs w:val="22"/>
        </w:rPr>
        <w:t>bodo upoštevane.</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Zaradi popolne preglednosti v postopku prijave in izbora člani ocenjevalne žirije in člani izbirne komisije ne smejo predlagati kandidatov za nagrado.</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b/>
          <w:i/>
          <w:szCs w:val="22"/>
        </w:rPr>
      </w:pPr>
      <w:r w:rsidRPr="00104272">
        <w:rPr>
          <w:b/>
          <w:i/>
          <w:szCs w:val="22"/>
        </w:rPr>
        <w:t>E)</w:t>
      </w:r>
      <w:r w:rsidRPr="00104272">
        <w:rPr>
          <w:szCs w:val="22"/>
        </w:rPr>
        <w:tab/>
      </w:r>
      <w:r w:rsidRPr="00104272">
        <w:rPr>
          <w:b/>
          <w:i/>
          <w:szCs w:val="22"/>
        </w:rPr>
        <w:t>Postopek prijave kandidatov</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Za prijavo kandidata se izpolni obrazec, ki je na voljo na spletni strani EESO na naslednjem naslovu:</w:t>
      </w:r>
    </w:p>
    <w:p w:rsidR="0057499E" w:rsidRPr="00104272" w:rsidRDefault="0057499E" w:rsidP="00961A62">
      <w:pPr>
        <w:overflowPunct/>
        <w:adjustRightInd/>
        <w:textAlignment w:val="auto"/>
        <w:rPr>
          <w:szCs w:val="22"/>
        </w:rPr>
      </w:pPr>
    </w:p>
    <w:p w:rsidR="0057499E" w:rsidRPr="00104272" w:rsidRDefault="00104272" w:rsidP="00961A62">
      <w:pPr>
        <w:overflowPunct/>
        <w:adjustRightInd/>
        <w:jc w:val="center"/>
        <w:textAlignment w:val="auto"/>
        <w:rPr>
          <w:szCs w:val="22"/>
        </w:rPr>
      </w:pPr>
      <w:hyperlink r:id="rId19">
        <w:r w:rsidR="0057499E" w:rsidRPr="00104272">
          <w:rPr>
            <w:rStyle w:val="Hyperlink"/>
            <w:szCs w:val="22"/>
          </w:rPr>
          <w:t>www.eesc.europa.eu/civilsocietyprize</w:t>
        </w:r>
      </w:hyperlink>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Prijava mora vsebovati vse informacije, ki jih izbirna komisija potrebuje, da lahko:</w:t>
      </w:r>
    </w:p>
    <w:p w:rsidR="0057499E" w:rsidRPr="00104272" w:rsidRDefault="0057499E" w:rsidP="00961A62">
      <w:pPr>
        <w:overflowPunct/>
        <w:adjustRightInd/>
        <w:textAlignment w:val="auto"/>
        <w:rPr>
          <w:szCs w:val="22"/>
        </w:rPr>
      </w:pPr>
    </w:p>
    <w:p w:rsidR="0057499E" w:rsidRPr="00104272" w:rsidRDefault="0057499E" w:rsidP="00961A62">
      <w:pPr>
        <w:numPr>
          <w:ilvl w:val="0"/>
          <w:numId w:val="2"/>
        </w:numPr>
        <w:tabs>
          <w:tab w:val="clear" w:pos="0"/>
        </w:tabs>
        <w:overflowPunct/>
        <w:adjustRightInd/>
        <w:textAlignment w:val="auto"/>
        <w:rPr>
          <w:szCs w:val="22"/>
        </w:rPr>
      </w:pPr>
      <w:r w:rsidRPr="00104272">
        <w:rPr>
          <w:szCs w:val="22"/>
        </w:rPr>
        <w:t>prvič, preveri, ali prijavljena organizacija civilne družbe ali posameznik izpolnjuje formalna merila za prijavo, in</w:t>
      </w:r>
    </w:p>
    <w:p w:rsidR="0057499E" w:rsidRPr="00104272" w:rsidRDefault="0057499E" w:rsidP="00961A62">
      <w:pPr>
        <w:numPr>
          <w:ilvl w:val="0"/>
          <w:numId w:val="3"/>
        </w:numPr>
        <w:tabs>
          <w:tab w:val="clear" w:pos="0"/>
        </w:tabs>
        <w:overflowPunct/>
        <w:adjustRightInd/>
        <w:textAlignment w:val="auto"/>
        <w:rPr>
          <w:szCs w:val="22"/>
        </w:rPr>
      </w:pPr>
      <w:r w:rsidRPr="00104272">
        <w:rPr>
          <w:szCs w:val="22"/>
        </w:rPr>
        <w:t>drugič, oceni dejanske zasluge organizacije civilne družbe ali posameznika z vidika teme in ciljev nagrade.</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Za lažje delo izbirne komisije se obrazec za prijavo in vsa spremna dokumentacija po možnosti pošljejo v francoskem ali angleškem jeziku.</w:t>
      </w:r>
    </w:p>
    <w:p w:rsidR="0057499E" w:rsidRPr="00104272" w:rsidRDefault="0057499E" w:rsidP="00961A62">
      <w:pPr>
        <w:overflowPunct/>
        <w:adjustRightInd/>
        <w:textAlignment w:val="auto"/>
        <w:outlineLvl w:val="0"/>
        <w:rPr>
          <w:szCs w:val="22"/>
        </w:rPr>
      </w:pPr>
    </w:p>
    <w:p w:rsidR="0057499E" w:rsidRPr="00104272" w:rsidRDefault="0057499E" w:rsidP="00961A62">
      <w:pPr>
        <w:overflowPunct/>
        <w:adjustRightInd/>
        <w:textAlignment w:val="auto"/>
        <w:outlineLvl w:val="0"/>
        <w:rPr>
          <w:szCs w:val="22"/>
        </w:rPr>
      </w:pPr>
      <w:r w:rsidRPr="00104272">
        <w:rPr>
          <w:szCs w:val="22"/>
        </w:rPr>
        <w:t xml:space="preserve">Kandidate obveščamo, da se v zvezi z nagrado uporablja člen 138 Uredbe (EU, Euratom) št. 966/2012 Evropskega parlamenta in Sveta z dne 25. oktobra 2012 o finančnih pravilih, ki se uporabljajo za </w:t>
      </w:r>
      <w:r w:rsidRPr="00104272">
        <w:rPr>
          <w:szCs w:val="22"/>
        </w:rPr>
        <w:lastRenderedPageBreak/>
        <w:t>splošni proračun Unije in razveljavitvi Uredbe Sveta (ES, Euratom) št. 1605/2002 (UL L 298, 26.10.2012, str. 1), ter členi 211–215 izvedbenih pravil. Kandidati bodo nagrado tako prejeli le, če izpolnjujejo pogoje iz navedenih finančnih pravil EU. Zato morajo izpolniti in podpisati naslednja obrazca:</w:t>
      </w:r>
    </w:p>
    <w:p w:rsidR="0057499E" w:rsidRPr="00104272" w:rsidRDefault="0057499E" w:rsidP="00961A62">
      <w:pPr>
        <w:overflowPunct/>
        <w:adjustRightInd/>
        <w:textAlignment w:val="auto"/>
        <w:outlineLvl w:val="0"/>
        <w:rPr>
          <w:szCs w:val="22"/>
        </w:rPr>
      </w:pPr>
    </w:p>
    <w:p w:rsidR="0057499E" w:rsidRPr="00104272" w:rsidRDefault="0057499E" w:rsidP="00961A62">
      <w:pPr>
        <w:numPr>
          <w:ilvl w:val="0"/>
          <w:numId w:val="7"/>
        </w:numPr>
        <w:ind w:left="369" w:hanging="369"/>
        <w:outlineLvl w:val="0"/>
        <w:rPr>
          <w:szCs w:val="22"/>
        </w:rPr>
      </w:pPr>
      <w:r w:rsidRPr="00104272">
        <w:rPr>
          <w:szCs w:val="22"/>
        </w:rPr>
        <w:t>izjavo o merilih za izključitev in odsotnosti navzkrižja interesov (Priloga 1)</w:t>
      </w:r>
    </w:p>
    <w:p w:rsidR="0057499E" w:rsidRPr="00104272" w:rsidRDefault="0057499E" w:rsidP="00961A62">
      <w:pPr>
        <w:numPr>
          <w:ilvl w:val="0"/>
          <w:numId w:val="7"/>
        </w:numPr>
        <w:ind w:left="369" w:hanging="369"/>
        <w:outlineLvl w:val="0"/>
        <w:rPr>
          <w:szCs w:val="22"/>
        </w:rPr>
      </w:pPr>
      <w:r w:rsidRPr="00104272">
        <w:rPr>
          <w:szCs w:val="22"/>
        </w:rPr>
        <w:t>obvestilo kandidatom o pravilih, ki se uporabljajo za nagrado civilne družbe (Priloga 2).</w:t>
      </w:r>
    </w:p>
    <w:p w:rsidR="0057499E" w:rsidRPr="00104272" w:rsidRDefault="0057499E" w:rsidP="00961A62">
      <w:pPr>
        <w:outlineLvl w:val="0"/>
        <w:rPr>
          <w:szCs w:val="22"/>
        </w:rPr>
      </w:pPr>
    </w:p>
    <w:p w:rsidR="0057499E" w:rsidRPr="00104272" w:rsidRDefault="0057499E" w:rsidP="00961A62">
      <w:pPr>
        <w:outlineLvl w:val="0"/>
        <w:rPr>
          <w:szCs w:val="22"/>
        </w:rPr>
      </w:pPr>
      <w:r w:rsidRPr="00104272">
        <w:rPr>
          <w:szCs w:val="22"/>
        </w:rPr>
        <w:t>Kandidati pred podelitvijo nagrade skupaj z ustreznimi dokazili pošljejo tudi izpolnjen obrazec za finančno identifikacijo in obrazec za pravne osebe, ki sta na voljo na spletnem mestu Evropa.</w:t>
      </w:r>
    </w:p>
    <w:p w:rsidR="0057499E" w:rsidRPr="00104272" w:rsidRDefault="00104272" w:rsidP="00961A62">
      <w:pPr>
        <w:outlineLvl w:val="0"/>
        <w:rPr>
          <w:szCs w:val="22"/>
        </w:rPr>
      </w:pPr>
      <w:hyperlink r:id="rId20">
        <w:r w:rsidR="0057499E" w:rsidRPr="00104272">
          <w:rPr>
            <w:rStyle w:val="Hyperlink"/>
            <w:szCs w:val="22"/>
          </w:rPr>
          <w:t>http://ec.europa.eu/budget/contracts_grants/info_contracts/legal_entities/legal_entities_en.cfm</w:t>
        </w:r>
      </w:hyperlink>
    </w:p>
    <w:p w:rsidR="0057499E" w:rsidRPr="00104272" w:rsidRDefault="00104272" w:rsidP="00961A62">
      <w:pPr>
        <w:outlineLvl w:val="0"/>
        <w:rPr>
          <w:szCs w:val="22"/>
        </w:rPr>
      </w:pPr>
      <w:hyperlink r:id="rId21">
        <w:r w:rsidR="0057499E" w:rsidRPr="00104272">
          <w:rPr>
            <w:rStyle w:val="Hyperlink"/>
            <w:szCs w:val="22"/>
          </w:rPr>
          <w:t>http://ec.europa.eu/budget/contracts_grants/info_contracts/financial_id/financial_id_en.cfm</w:t>
        </w:r>
      </w:hyperlink>
      <w:r w:rsidR="0057499E" w:rsidRPr="00104272">
        <w:rPr>
          <w:szCs w:val="22"/>
        </w:rPr>
        <w:t>.</w:t>
      </w:r>
    </w:p>
    <w:p w:rsidR="0057499E" w:rsidRPr="00104272" w:rsidRDefault="0057499E" w:rsidP="00961A62">
      <w:pPr>
        <w:overflowPunct/>
        <w:adjustRightInd/>
        <w:textAlignment w:val="auto"/>
        <w:rPr>
          <w:szCs w:val="22"/>
        </w:rPr>
      </w:pPr>
    </w:p>
    <w:p w:rsidR="0057499E" w:rsidRPr="00104272" w:rsidRDefault="0057499E" w:rsidP="00961A62">
      <w:pPr>
        <w:rPr>
          <w:b/>
          <w:i/>
          <w:szCs w:val="22"/>
        </w:rPr>
      </w:pPr>
      <w:r w:rsidRPr="00104272">
        <w:rPr>
          <w:b/>
          <w:i/>
          <w:szCs w:val="22"/>
        </w:rPr>
        <w:t>F)</w:t>
      </w:r>
      <w:r w:rsidRPr="00104272">
        <w:rPr>
          <w:szCs w:val="22"/>
        </w:rPr>
        <w:tab/>
      </w:r>
      <w:r w:rsidRPr="00104272">
        <w:rPr>
          <w:b/>
          <w:i/>
          <w:szCs w:val="22"/>
        </w:rPr>
        <w:t>Merila za podelitev nagrade</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Izbirna komisija bo pri oceni prijav, ki ustrezajo pogojem iz točke C (pobude, ki se lahko potegujejo za nagrado) in merilom iz točke D (kandidati, ki izpolnjujejo merila), upoštevala:</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ind w:left="720" w:hanging="720"/>
        <w:textAlignment w:val="auto"/>
        <w:outlineLvl w:val="0"/>
        <w:rPr>
          <w:szCs w:val="22"/>
        </w:rPr>
      </w:pPr>
      <w:r w:rsidRPr="00104272">
        <w:rPr>
          <w:szCs w:val="22"/>
        </w:rPr>
        <w:t>1)</w:t>
      </w:r>
      <w:r w:rsidRPr="00104272">
        <w:rPr>
          <w:szCs w:val="22"/>
        </w:rPr>
        <w:tab/>
      </w:r>
      <w:r w:rsidRPr="00104272">
        <w:rPr>
          <w:b/>
          <w:szCs w:val="22"/>
        </w:rPr>
        <w:t>namen in splošni cilj</w:t>
      </w:r>
      <w:r w:rsidRPr="00104272">
        <w:rPr>
          <w:szCs w:val="22"/>
        </w:rPr>
        <w:t xml:space="preserve"> nagrade, navedena v točki A;</w:t>
      </w:r>
    </w:p>
    <w:p w:rsidR="0057499E" w:rsidRPr="00104272" w:rsidRDefault="0057499E" w:rsidP="00961A62">
      <w:pPr>
        <w:overflowPunct/>
        <w:adjustRightInd/>
        <w:textAlignment w:val="auto"/>
        <w:rPr>
          <w:szCs w:val="22"/>
        </w:rPr>
      </w:pPr>
    </w:p>
    <w:p w:rsidR="0057499E" w:rsidRPr="00104272" w:rsidRDefault="0057499E" w:rsidP="00961A62">
      <w:pPr>
        <w:shd w:val="clear" w:color="auto" w:fill="FFFFFF"/>
        <w:overflowPunct/>
        <w:adjustRightInd/>
        <w:textAlignment w:val="auto"/>
        <w:rPr>
          <w:b/>
          <w:i/>
          <w:szCs w:val="22"/>
        </w:rPr>
      </w:pPr>
      <w:r w:rsidRPr="00104272">
        <w:rPr>
          <w:szCs w:val="22"/>
        </w:rPr>
        <w:t>2)</w:t>
      </w:r>
      <w:r w:rsidRPr="00104272">
        <w:rPr>
          <w:szCs w:val="22"/>
        </w:rPr>
        <w:tab/>
      </w:r>
      <w:r w:rsidRPr="00104272">
        <w:rPr>
          <w:b/>
          <w:szCs w:val="22"/>
        </w:rPr>
        <w:t>učinek</w:t>
      </w:r>
      <w:r w:rsidRPr="00104272">
        <w:rPr>
          <w:szCs w:val="22"/>
        </w:rPr>
        <w:t xml:space="preserve"> pobud z vidika:</w:t>
      </w:r>
    </w:p>
    <w:p w:rsidR="0057499E" w:rsidRPr="00104272" w:rsidRDefault="0057499E" w:rsidP="00961A62">
      <w:pPr>
        <w:shd w:val="clear" w:color="auto" w:fill="FFFFFF"/>
        <w:overflowPunct/>
        <w:adjustRightInd/>
        <w:textAlignment w:val="auto"/>
        <w:rPr>
          <w:szCs w:val="22"/>
        </w:rPr>
      </w:pPr>
    </w:p>
    <w:p w:rsidR="0057499E" w:rsidRPr="00104272" w:rsidRDefault="0057499E" w:rsidP="00961A62">
      <w:pPr>
        <w:numPr>
          <w:ilvl w:val="0"/>
          <w:numId w:val="7"/>
        </w:numPr>
        <w:ind w:left="1089" w:hanging="369"/>
        <w:outlineLvl w:val="0"/>
        <w:rPr>
          <w:szCs w:val="22"/>
        </w:rPr>
      </w:pPr>
      <w:r w:rsidRPr="00104272">
        <w:rPr>
          <w:szCs w:val="22"/>
        </w:rPr>
        <w:t>ciljne skupine (kategorije in število oseb, ki imajo od pobude koristi),</w:t>
      </w:r>
    </w:p>
    <w:p w:rsidR="0057499E" w:rsidRPr="00104272" w:rsidRDefault="0057499E" w:rsidP="00961A62">
      <w:pPr>
        <w:numPr>
          <w:ilvl w:val="0"/>
          <w:numId w:val="7"/>
        </w:numPr>
        <w:ind w:left="1089" w:hanging="369"/>
        <w:outlineLvl w:val="0"/>
        <w:rPr>
          <w:szCs w:val="22"/>
        </w:rPr>
      </w:pPr>
      <w:r w:rsidRPr="00104272">
        <w:rPr>
          <w:szCs w:val="22"/>
        </w:rPr>
        <w:t>narave prispevka k blaginji skupnosti,</w:t>
      </w:r>
    </w:p>
    <w:p w:rsidR="0057499E" w:rsidRPr="00104272" w:rsidRDefault="0057499E" w:rsidP="00961A62">
      <w:pPr>
        <w:numPr>
          <w:ilvl w:val="0"/>
          <w:numId w:val="7"/>
        </w:numPr>
        <w:ind w:left="1089" w:hanging="369"/>
        <w:outlineLvl w:val="0"/>
        <w:rPr>
          <w:szCs w:val="22"/>
        </w:rPr>
      </w:pPr>
      <w:r w:rsidRPr="00104272">
        <w:rPr>
          <w:szCs w:val="22"/>
        </w:rPr>
        <w:t>dolgoročnih posledic,</w:t>
      </w:r>
    </w:p>
    <w:p w:rsidR="0057499E" w:rsidRPr="00104272" w:rsidRDefault="0057499E" w:rsidP="00961A62">
      <w:pPr>
        <w:numPr>
          <w:ilvl w:val="0"/>
          <w:numId w:val="7"/>
        </w:numPr>
        <w:ind w:left="1089" w:hanging="369"/>
        <w:outlineLvl w:val="0"/>
        <w:rPr>
          <w:szCs w:val="22"/>
        </w:rPr>
      </w:pPr>
      <w:r w:rsidRPr="00104272">
        <w:rPr>
          <w:szCs w:val="22"/>
        </w:rPr>
        <w:t>trajnosti,</w:t>
      </w:r>
    </w:p>
    <w:p w:rsidR="0057499E" w:rsidRPr="00104272" w:rsidRDefault="0057499E" w:rsidP="00961A62">
      <w:pPr>
        <w:numPr>
          <w:ilvl w:val="0"/>
          <w:numId w:val="7"/>
        </w:numPr>
        <w:ind w:left="1089" w:hanging="369"/>
        <w:outlineLvl w:val="0"/>
        <w:rPr>
          <w:szCs w:val="22"/>
        </w:rPr>
      </w:pPr>
      <w:r w:rsidRPr="00104272">
        <w:rPr>
          <w:szCs w:val="22"/>
        </w:rPr>
        <w:t>evropske razsežnosti (geografska pokritost),</w:t>
      </w:r>
    </w:p>
    <w:p w:rsidR="0057499E" w:rsidRPr="00104272" w:rsidRDefault="0057499E" w:rsidP="00961A62">
      <w:pPr>
        <w:numPr>
          <w:ilvl w:val="0"/>
          <w:numId w:val="7"/>
        </w:numPr>
        <w:ind w:left="1089" w:hanging="369"/>
        <w:outlineLvl w:val="0"/>
        <w:rPr>
          <w:szCs w:val="22"/>
        </w:rPr>
      </w:pPr>
      <w:r w:rsidRPr="00104272">
        <w:rPr>
          <w:szCs w:val="22"/>
        </w:rPr>
        <w:t>spoštovanja človekovih pravic ter</w:t>
      </w:r>
    </w:p>
    <w:p w:rsidR="0057499E" w:rsidRPr="00104272" w:rsidRDefault="0057499E" w:rsidP="00961A62">
      <w:pPr>
        <w:numPr>
          <w:ilvl w:val="0"/>
          <w:numId w:val="7"/>
        </w:numPr>
        <w:ind w:left="1089" w:hanging="369"/>
        <w:outlineLvl w:val="0"/>
        <w:rPr>
          <w:szCs w:val="22"/>
        </w:rPr>
      </w:pPr>
      <w:r w:rsidRPr="00104272">
        <w:rPr>
          <w:szCs w:val="22"/>
        </w:rPr>
        <w:t>rezultatov pri ozaveščanju o vprašanjih, povezanih z revščino;</w:t>
      </w:r>
    </w:p>
    <w:p w:rsidR="0057499E" w:rsidRPr="00104272" w:rsidRDefault="0057499E" w:rsidP="00961A62">
      <w:pPr>
        <w:shd w:val="clear" w:color="auto" w:fill="FFFFFF"/>
        <w:overflowPunct/>
        <w:adjustRightInd/>
        <w:ind w:right="147"/>
        <w:textAlignment w:val="auto"/>
        <w:rPr>
          <w:szCs w:val="22"/>
        </w:rPr>
      </w:pPr>
    </w:p>
    <w:p w:rsidR="0057499E" w:rsidRPr="00104272" w:rsidRDefault="0057499E" w:rsidP="00961A62">
      <w:pPr>
        <w:shd w:val="clear" w:color="auto" w:fill="FFFFFF"/>
        <w:overflowPunct/>
        <w:adjustRightInd/>
        <w:textAlignment w:val="auto"/>
        <w:rPr>
          <w:b/>
          <w:i/>
          <w:szCs w:val="22"/>
        </w:rPr>
      </w:pPr>
      <w:r w:rsidRPr="00104272">
        <w:rPr>
          <w:szCs w:val="22"/>
        </w:rPr>
        <w:t>3)</w:t>
      </w:r>
      <w:r w:rsidRPr="00104272">
        <w:rPr>
          <w:szCs w:val="22"/>
        </w:rPr>
        <w:tab/>
      </w:r>
      <w:r w:rsidRPr="00104272">
        <w:rPr>
          <w:b/>
          <w:szCs w:val="22"/>
        </w:rPr>
        <w:t>raven odličnosti</w:t>
      </w:r>
      <w:r w:rsidRPr="00104272">
        <w:rPr>
          <w:szCs w:val="22"/>
        </w:rPr>
        <w:t xml:space="preserve"> pobud z vidika:</w:t>
      </w:r>
    </w:p>
    <w:p w:rsidR="0057499E" w:rsidRPr="00104272" w:rsidRDefault="0057499E" w:rsidP="00961A62">
      <w:pPr>
        <w:shd w:val="clear" w:color="auto" w:fill="FFFFFF"/>
        <w:overflowPunct/>
        <w:adjustRightInd/>
        <w:ind w:right="147"/>
        <w:textAlignment w:val="auto"/>
        <w:rPr>
          <w:szCs w:val="22"/>
        </w:rPr>
      </w:pPr>
    </w:p>
    <w:p w:rsidR="0057499E" w:rsidRPr="00104272" w:rsidRDefault="0057499E" w:rsidP="00961A62">
      <w:pPr>
        <w:numPr>
          <w:ilvl w:val="0"/>
          <w:numId w:val="7"/>
        </w:numPr>
        <w:ind w:left="1089" w:hanging="369"/>
        <w:outlineLvl w:val="0"/>
        <w:rPr>
          <w:szCs w:val="22"/>
        </w:rPr>
      </w:pPr>
      <w:r w:rsidRPr="00104272">
        <w:rPr>
          <w:szCs w:val="22"/>
        </w:rPr>
        <w:t>inovativnosti,</w:t>
      </w:r>
    </w:p>
    <w:p w:rsidR="0057499E" w:rsidRPr="00104272" w:rsidRDefault="0057499E" w:rsidP="00961A62">
      <w:pPr>
        <w:numPr>
          <w:ilvl w:val="0"/>
          <w:numId w:val="7"/>
        </w:numPr>
        <w:ind w:left="1089" w:hanging="369"/>
        <w:outlineLvl w:val="0"/>
        <w:rPr>
          <w:szCs w:val="22"/>
        </w:rPr>
      </w:pPr>
      <w:r w:rsidRPr="00104272">
        <w:rPr>
          <w:szCs w:val="22"/>
        </w:rPr>
        <w:t>ustvarjalnosti,</w:t>
      </w:r>
    </w:p>
    <w:p w:rsidR="0057499E" w:rsidRPr="00104272" w:rsidRDefault="0057499E" w:rsidP="00961A62">
      <w:pPr>
        <w:numPr>
          <w:ilvl w:val="0"/>
          <w:numId w:val="7"/>
        </w:numPr>
        <w:ind w:left="1089" w:hanging="369"/>
        <w:outlineLvl w:val="0"/>
        <w:rPr>
          <w:szCs w:val="22"/>
        </w:rPr>
      </w:pPr>
      <w:r w:rsidRPr="00104272">
        <w:rPr>
          <w:szCs w:val="22"/>
        </w:rPr>
        <w:t>edinstvenosti,</w:t>
      </w:r>
    </w:p>
    <w:p w:rsidR="0057499E" w:rsidRPr="00104272" w:rsidRDefault="0057499E" w:rsidP="00961A62">
      <w:pPr>
        <w:numPr>
          <w:ilvl w:val="0"/>
          <w:numId w:val="7"/>
        </w:numPr>
        <w:ind w:left="1089" w:hanging="369"/>
        <w:outlineLvl w:val="0"/>
        <w:rPr>
          <w:szCs w:val="22"/>
        </w:rPr>
      </w:pPr>
      <w:r w:rsidRPr="00104272">
        <w:rPr>
          <w:szCs w:val="22"/>
        </w:rPr>
        <w:t>sodelovanja oseb, ki se soočajo z revščino ali socialno izključenostjo ter</w:t>
      </w:r>
    </w:p>
    <w:p w:rsidR="0057499E" w:rsidRPr="00104272" w:rsidRDefault="0057499E" w:rsidP="00961A62">
      <w:pPr>
        <w:numPr>
          <w:ilvl w:val="0"/>
          <w:numId w:val="7"/>
        </w:numPr>
        <w:ind w:left="1089" w:hanging="369"/>
        <w:outlineLvl w:val="0"/>
        <w:rPr>
          <w:szCs w:val="22"/>
        </w:rPr>
      </w:pPr>
      <w:r w:rsidRPr="00104272">
        <w:rPr>
          <w:szCs w:val="22"/>
        </w:rPr>
        <w:t>sposobnosti za izmenjavo primerov dobre prakse.</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b/>
          <w:szCs w:val="22"/>
        </w:rPr>
        <w:t xml:space="preserve">Izbirno komisijo </w:t>
      </w:r>
      <w:r w:rsidRPr="00104272">
        <w:rPr>
          <w:szCs w:val="22"/>
        </w:rPr>
        <w:t>sestavljajo predsednik in oba podpredsednika EESO, predsedniki treh skupin (delodajalci, delojemalci in skupina raznih dejavnosti) ter generalni sekretar EESO.</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Izbirna komisija je odgovorna za končni izbor nagrajencev, pri čemer upošteva rezultate ocene, ki jo izvede tričlanska skupina ocenjevalcev, od katerih je vsaj eden neodvisni zunanji ocenjevalec.</w:t>
      </w:r>
    </w:p>
    <w:p w:rsidR="0057499E" w:rsidRPr="00104272" w:rsidRDefault="0057499E" w:rsidP="00961A62">
      <w:pPr>
        <w:rPr>
          <w:szCs w:val="22"/>
        </w:rPr>
      </w:pPr>
    </w:p>
    <w:p w:rsidR="0057499E" w:rsidRPr="00104272" w:rsidRDefault="0057499E" w:rsidP="00961A62">
      <w:pPr>
        <w:rPr>
          <w:b/>
          <w:i/>
          <w:szCs w:val="22"/>
        </w:rPr>
      </w:pPr>
      <w:r w:rsidRPr="00104272">
        <w:rPr>
          <w:b/>
          <w:i/>
          <w:szCs w:val="22"/>
        </w:rPr>
        <w:t>G)</w:t>
      </w:r>
      <w:r w:rsidRPr="00104272">
        <w:rPr>
          <w:szCs w:val="22"/>
        </w:rPr>
        <w:tab/>
      </w:r>
      <w:r w:rsidRPr="00104272">
        <w:rPr>
          <w:b/>
          <w:i/>
          <w:szCs w:val="22"/>
        </w:rPr>
        <w:t>Vrednost nagrade</w:t>
      </w:r>
    </w:p>
    <w:p w:rsidR="0057499E" w:rsidRPr="00104272" w:rsidRDefault="0057499E" w:rsidP="00961A62">
      <w:pPr>
        <w:rPr>
          <w:szCs w:val="22"/>
        </w:rPr>
      </w:pPr>
    </w:p>
    <w:p w:rsidR="0057499E" w:rsidRPr="00104272" w:rsidRDefault="0057499E" w:rsidP="00961A62">
      <w:pPr>
        <w:rPr>
          <w:szCs w:val="22"/>
        </w:rPr>
      </w:pPr>
      <w:r w:rsidRPr="00104272">
        <w:rPr>
          <w:szCs w:val="22"/>
        </w:rPr>
        <w:t xml:space="preserve">Skupna vrednost nagrade je 50 000 EUR. Nagradni sklad se lahko razdeli med največ pet nagrajencev, in sicer prvonagrajeni prejme 14 000 EUR, vsak od ostalih nagrajencev pa 9000 EUR. </w:t>
      </w:r>
    </w:p>
    <w:p w:rsidR="0057499E" w:rsidRPr="00104272" w:rsidRDefault="0057499E" w:rsidP="00961A62">
      <w:pPr>
        <w:rPr>
          <w:szCs w:val="22"/>
        </w:rPr>
      </w:pPr>
    </w:p>
    <w:p w:rsidR="0057499E" w:rsidRPr="00104272" w:rsidRDefault="0057499E" w:rsidP="00961A62">
      <w:pPr>
        <w:rPr>
          <w:szCs w:val="22"/>
        </w:rPr>
      </w:pPr>
      <w:r w:rsidRPr="00104272">
        <w:rPr>
          <w:szCs w:val="22"/>
        </w:rPr>
        <w:t>Odboru ni treba podeliti vseh petih nagrad.</w:t>
      </w:r>
    </w:p>
    <w:p w:rsidR="0057499E" w:rsidRPr="00104272" w:rsidRDefault="0057499E" w:rsidP="00961A62">
      <w:pPr>
        <w:rPr>
          <w:szCs w:val="22"/>
        </w:rPr>
      </w:pPr>
    </w:p>
    <w:p w:rsidR="0057499E" w:rsidRPr="00104272" w:rsidRDefault="0057499E" w:rsidP="00961A62">
      <w:pPr>
        <w:rPr>
          <w:szCs w:val="22"/>
        </w:rPr>
      </w:pPr>
      <w:r w:rsidRPr="00104272">
        <w:rPr>
          <w:szCs w:val="22"/>
        </w:rPr>
        <w:t>Nagrade se izplačajo prek bančnega nakazila v 30 dneh po podelitveni slovesnosti.</w:t>
      </w:r>
    </w:p>
    <w:p w:rsidR="0057499E" w:rsidRPr="00104272" w:rsidRDefault="0057499E" w:rsidP="00961A62">
      <w:pPr>
        <w:rPr>
          <w:szCs w:val="22"/>
        </w:rPr>
      </w:pPr>
    </w:p>
    <w:p w:rsidR="0057499E" w:rsidRPr="00104272" w:rsidRDefault="0057499E" w:rsidP="00961A62">
      <w:pPr>
        <w:rPr>
          <w:i/>
          <w:szCs w:val="22"/>
        </w:rPr>
      </w:pPr>
      <w:r w:rsidRPr="00104272">
        <w:rPr>
          <w:b/>
          <w:i/>
          <w:szCs w:val="22"/>
        </w:rPr>
        <w:t>H</w:t>
      </w:r>
      <w:r w:rsidRPr="00104272">
        <w:rPr>
          <w:i/>
          <w:szCs w:val="22"/>
        </w:rPr>
        <w:t>)</w:t>
      </w:r>
      <w:r w:rsidRPr="00104272">
        <w:rPr>
          <w:szCs w:val="22"/>
        </w:rPr>
        <w:tab/>
      </w:r>
      <w:r w:rsidRPr="00104272">
        <w:rPr>
          <w:b/>
          <w:i/>
          <w:szCs w:val="22"/>
        </w:rPr>
        <w:t>Roki</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 xml:space="preserve">Rok za prijavo je </w:t>
      </w:r>
      <w:r w:rsidRPr="00104272">
        <w:rPr>
          <w:b/>
          <w:szCs w:val="22"/>
        </w:rPr>
        <w:t>31. julij 2015 ob 23.59 (po srednjeevropskem času)</w:t>
      </w:r>
      <w:r w:rsidRPr="00104272">
        <w:rPr>
          <w:szCs w:val="22"/>
        </w:rPr>
        <w:t>.</w:t>
      </w:r>
    </w:p>
    <w:p w:rsidR="0057499E" w:rsidRPr="00104272" w:rsidRDefault="0057499E" w:rsidP="00961A62">
      <w:pPr>
        <w:overflowPunct/>
        <w:adjustRightInd/>
        <w:textAlignment w:val="auto"/>
        <w:rPr>
          <w:b/>
          <w:szCs w:val="22"/>
        </w:rPr>
      </w:pPr>
      <w:r w:rsidRPr="00104272">
        <w:rPr>
          <w:szCs w:val="22"/>
        </w:rPr>
        <w:t xml:space="preserve">Nagrajenci bodo o nagradi obveščeni do </w:t>
      </w:r>
      <w:r w:rsidRPr="00104272">
        <w:rPr>
          <w:b/>
          <w:szCs w:val="22"/>
        </w:rPr>
        <w:t>13. novembra 2015</w:t>
      </w:r>
      <w:r w:rsidRPr="00104272">
        <w:rPr>
          <w:szCs w:val="22"/>
        </w:rPr>
        <w:t>.</w:t>
      </w:r>
    </w:p>
    <w:p w:rsidR="0057499E" w:rsidRPr="00104272" w:rsidRDefault="0057499E" w:rsidP="00961A62">
      <w:pPr>
        <w:overflowPunct/>
        <w:adjustRightInd/>
        <w:textAlignment w:val="auto"/>
        <w:rPr>
          <w:b/>
          <w:szCs w:val="22"/>
        </w:rPr>
      </w:pPr>
      <w:r w:rsidRPr="00104272">
        <w:rPr>
          <w:szCs w:val="22"/>
        </w:rPr>
        <w:t xml:space="preserve">Slavnostna podelitev nagrade bo </w:t>
      </w:r>
      <w:r w:rsidRPr="00104272">
        <w:rPr>
          <w:b/>
          <w:szCs w:val="22"/>
        </w:rPr>
        <w:t>10. decembra 2015.</w:t>
      </w:r>
    </w:p>
    <w:p w:rsidR="0057499E" w:rsidRPr="00104272" w:rsidRDefault="0057499E" w:rsidP="00961A62">
      <w:pPr>
        <w:overflowPunct/>
        <w:adjustRightInd/>
        <w:textAlignment w:val="auto"/>
        <w:rPr>
          <w:szCs w:val="22"/>
        </w:rPr>
      </w:pPr>
    </w:p>
    <w:p w:rsidR="0057499E" w:rsidRPr="00104272" w:rsidRDefault="0057499E" w:rsidP="00961A62">
      <w:pPr>
        <w:rPr>
          <w:b/>
          <w:i/>
          <w:szCs w:val="22"/>
        </w:rPr>
      </w:pPr>
      <w:r w:rsidRPr="00104272">
        <w:rPr>
          <w:b/>
          <w:i/>
          <w:szCs w:val="22"/>
        </w:rPr>
        <w:t>I)</w:t>
      </w:r>
      <w:r w:rsidRPr="00104272">
        <w:rPr>
          <w:szCs w:val="22"/>
        </w:rPr>
        <w:tab/>
      </w:r>
      <w:r w:rsidRPr="00104272">
        <w:rPr>
          <w:b/>
          <w:i/>
          <w:szCs w:val="22"/>
        </w:rPr>
        <w:t>Predložitev kandidatur</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Ustrezno izpolnjen obrazec za prijavo se pošlje sekretariatu EESO po e-pošti na naslov:</w:t>
      </w:r>
    </w:p>
    <w:p w:rsidR="0057499E" w:rsidRPr="00104272" w:rsidRDefault="0057499E" w:rsidP="00961A62">
      <w:pPr>
        <w:overflowPunct/>
        <w:adjustRightInd/>
        <w:textAlignment w:val="auto"/>
        <w:rPr>
          <w:szCs w:val="22"/>
        </w:rPr>
      </w:pPr>
    </w:p>
    <w:p w:rsidR="0057499E" w:rsidRPr="00104272" w:rsidRDefault="00104272" w:rsidP="00961A62">
      <w:pPr>
        <w:overflowPunct/>
        <w:adjustRightInd/>
        <w:jc w:val="center"/>
        <w:textAlignment w:val="auto"/>
        <w:rPr>
          <w:szCs w:val="22"/>
        </w:rPr>
      </w:pPr>
      <w:hyperlink r:id="rId22">
        <w:r w:rsidR="0057499E" w:rsidRPr="00104272">
          <w:rPr>
            <w:rStyle w:val="Hyperlink"/>
            <w:szCs w:val="22"/>
          </w:rPr>
          <w:t>civilsocietyprize@eesc.europa.eu</w:t>
        </w:r>
      </w:hyperlink>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ALI z navadno pošto na naslov:</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European Economic and Social Committee (EESC)</w:t>
      </w:r>
    </w:p>
    <w:p w:rsidR="0057499E" w:rsidRPr="00104272" w:rsidRDefault="0057499E" w:rsidP="00961A62">
      <w:pPr>
        <w:overflowPunct/>
        <w:adjustRightInd/>
        <w:textAlignment w:val="auto"/>
        <w:rPr>
          <w:szCs w:val="22"/>
        </w:rPr>
      </w:pPr>
      <w:r w:rsidRPr="00104272">
        <w:rPr>
          <w:szCs w:val="22"/>
        </w:rPr>
        <w:t>Communication Department</w:t>
      </w:r>
    </w:p>
    <w:p w:rsidR="0057499E" w:rsidRPr="00104272" w:rsidRDefault="0057499E" w:rsidP="00961A62">
      <w:pPr>
        <w:overflowPunct/>
        <w:adjustRightInd/>
        <w:textAlignment w:val="auto"/>
        <w:rPr>
          <w:szCs w:val="22"/>
        </w:rPr>
      </w:pPr>
      <w:r w:rsidRPr="00104272">
        <w:rPr>
          <w:szCs w:val="22"/>
        </w:rPr>
        <w:t>Rue Belliard/Belliardstraat 99</w:t>
      </w:r>
    </w:p>
    <w:p w:rsidR="0057499E" w:rsidRPr="00104272" w:rsidRDefault="0057499E" w:rsidP="00961A62">
      <w:pPr>
        <w:overflowPunct/>
        <w:adjustRightInd/>
        <w:textAlignment w:val="auto"/>
        <w:rPr>
          <w:szCs w:val="22"/>
        </w:rPr>
      </w:pPr>
      <w:r w:rsidRPr="00104272">
        <w:rPr>
          <w:szCs w:val="22"/>
        </w:rPr>
        <w:t>Office VMA2 5/52</w:t>
      </w:r>
    </w:p>
    <w:p w:rsidR="0057499E" w:rsidRPr="00104272" w:rsidRDefault="0057499E" w:rsidP="00961A62">
      <w:pPr>
        <w:overflowPunct/>
        <w:adjustRightInd/>
        <w:textAlignment w:val="auto"/>
        <w:rPr>
          <w:szCs w:val="22"/>
        </w:rPr>
      </w:pPr>
      <w:r w:rsidRPr="00104272">
        <w:rPr>
          <w:szCs w:val="22"/>
        </w:rPr>
        <w:t>1040 Bruxelles/Brussel</w:t>
      </w:r>
    </w:p>
    <w:p w:rsidR="0057499E" w:rsidRPr="00104272" w:rsidRDefault="0057499E" w:rsidP="00961A62">
      <w:pPr>
        <w:overflowPunct/>
        <w:adjustRightInd/>
        <w:textAlignment w:val="auto"/>
        <w:rPr>
          <w:szCs w:val="22"/>
        </w:rPr>
      </w:pPr>
      <w:r w:rsidRPr="00104272">
        <w:rPr>
          <w:szCs w:val="22"/>
        </w:rPr>
        <w:t>BELGIQUE/BELGIË</w:t>
      </w:r>
    </w:p>
    <w:p w:rsidR="00961A62" w:rsidRPr="00104272" w:rsidRDefault="00961A62" w:rsidP="00961A62">
      <w:pPr>
        <w:overflowPunct/>
        <w:adjustRightInd/>
        <w:textAlignment w:val="auto"/>
        <w:rPr>
          <w:szCs w:val="22"/>
        </w:rPr>
      </w:pPr>
    </w:p>
    <w:p w:rsidR="0057499E" w:rsidRPr="00104272" w:rsidRDefault="0057499E" w:rsidP="00961A62">
      <w:pPr>
        <w:pageBreakBefore/>
        <w:overflowPunct/>
        <w:adjustRightInd/>
        <w:textAlignment w:val="auto"/>
        <w:rPr>
          <w:szCs w:val="22"/>
        </w:rPr>
      </w:pPr>
      <w:r w:rsidRPr="00104272">
        <w:rPr>
          <w:szCs w:val="22"/>
        </w:rPr>
        <w:t>Za več informacij sta vam na voljo:</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b/>
          <w:szCs w:val="22"/>
        </w:rPr>
      </w:pPr>
      <w:r w:rsidRPr="00104272">
        <w:rPr>
          <w:b/>
          <w:szCs w:val="22"/>
        </w:rPr>
        <w:t>Peter Lindvald Nielsen, vodja oddelka EESO za komuniciranje</w:t>
      </w:r>
    </w:p>
    <w:p w:rsidR="0057499E" w:rsidRPr="00104272" w:rsidRDefault="0057499E" w:rsidP="00961A62">
      <w:pPr>
        <w:overflowPunct/>
        <w:adjustRightInd/>
        <w:textAlignment w:val="auto"/>
        <w:rPr>
          <w:b/>
          <w:szCs w:val="22"/>
        </w:rPr>
      </w:pPr>
      <w:r w:rsidRPr="00104272">
        <w:rPr>
          <w:b/>
          <w:szCs w:val="22"/>
        </w:rPr>
        <w:t>Tel.: + 32 (0)2 546 92 99</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b/>
          <w:szCs w:val="22"/>
        </w:rPr>
      </w:pPr>
      <w:r w:rsidRPr="00104272">
        <w:rPr>
          <w:b/>
          <w:szCs w:val="22"/>
        </w:rPr>
        <w:t>ali</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b/>
          <w:szCs w:val="22"/>
        </w:rPr>
      </w:pPr>
      <w:r w:rsidRPr="00104272">
        <w:rPr>
          <w:b/>
          <w:szCs w:val="22"/>
        </w:rPr>
        <w:t>Anna Comi, referentka za komuniciranje, tajništvo oddelka EESO za komuniciranje</w:t>
      </w:r>
    </w:p>
    <w:p w:rsidR="0057499E" w:rsidRPr="00104272" w:rsidRDefault="0057499E" w:rsidP="00961A62">
      <w:pPr>
        <w:overflowPunct/>
        <w:adjustRightInd/>
        <w:textAlignment w:val="auto"/>
        <w:rPr>
          <w:b/>
          <w:szCs w:val="22"/>
        </w:rPr>
      </w:pPr>
      <w:r w:rsidRPr="00104272">
        <w:rPr>
          <w:b/>
          <w:szCs w:val="22"/>
        </w:rPr>
        <w:t>Tel.: + 32 (0)2 546 93 67</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 xml:space="preserve">Lahko pišete tudi na e-naslov: </w:t>
      </w:r>
      <w:hyperlink r:id="rId23">
        <w:r w:rsidRPr="00104272">
          <w:rPr>
            <w:rStyle w:val="Hyperlink"/>
            <w:szCs w:val="22"/>
          </w:rPr>
          <w:t>civilsocietyprize@eesc.europa.eu</w:t>
        </w:r>
      </w:hyperlink>
      <w:r w:rsidRPr="00104272">
        <w:rPr>
          <w:szCs w:val="22"/>
        </w:rPr>
        <w:t>.</w:t>
      </w:r>
    </w:p>
    <w:p w:rsidR="00961A62" w:rsidRPr="00104272" w:rsidRDefault="00961A62"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Predlagatelji kandidatur in kandidati za nagrado bodo po elektronski pošti prejeli potrditev, da je bila njihova prijava pravočasno prejeta in ustrezno evidentirana. Prejeli bodo tudi obvestilo o roku za izbor nagrajencev.</w:t>
      </w:r>
    </w:p>
    <w:p w:rsidR="0057499E" w:rsidRPr="00104272" w:rsidRDefault="0057499E" w:rsidP="00961A62">
      <w:pPr>
        <w:overflowPunct/>
        <w:adjustRightInd/>
        <w:textAlignment w:val="auto"/>
        <w:rPr>
          <w:szCs w:val="22"/>
        </w:rPr>
      </w:pPr>
    </w:p>
    <w:p w:rsidR="0057499E" w:rsidRPr="00104272" w:rsidRDefault="0057499E" w:rsidP="00961A62">
      <w:pPr>
        <w:overflowPunct/>
        <w:adjustRightInd/>
        <w:textAlignment w:val="auto"/>
        <w:rPr>
          <w:szCs w:val="22"/>
        </w:rPr>
      </w:pPr>
      <w:r w:rsidRPr="00104272">
        <w:rPr>
          <w:szCs w:val="22"/>
        </w:rPr>
        <w:t>Odgovori na elektronska sporočila, ki so zanimivi tudi za druge kandidate, bodo objavljeni na zgoraj navedeni spletni strani EESO, posvečeni nagradi za civilno družbo, v rubriki Pogosta vprašanja.</w:t>
      </w:r>
    </w:p>
    <w:p w:rsidR="0057499E" w:rsidRPr="00104272" w:rsidRDefault="0057499E" w:rsidP="00961A62">
      <w:pPr>
        <w:overflowPunct/>
        <w:adjustRightInd/>
        <w:textAlignment w:val="auto"/>
        <w:rPr>
          <w:szCs w:val="22"/>
        </w:rPr>
      </w:pPr>
    </w:p>
    <w:p w:rsidR="00961A62" w:rsidRPr="00104272" w:rsidRDefault="00961A62">
      <w:pPr>
        <w:jc w:val="center"/>
      </w:pPr>
      <w:r w:rsidRPr="00104272">
        <w:t>_____________</w:t>
      </w:r>
    </w:p>
    <w:p w:rsidR="00961A62" w:rsidRPr="00104272" w:rsidRDefault="00961A62"/>
    <w:sectPr w:rsidR="00961A62" w:rsidRPr="00104272" w:rsidSect="00600593">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9E" w:rsidRDefault="0057499E">
      <w:r>
        <w:separator/>
      </w:r>
    </w:p>
  </w:endnote>
  <w:endnote w:type="continuationSeparator" w:id="0">
    <w:p w:rsidR="0057499E" w:rsidRDefault="0057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3" w:rsidRPr="00600593" w:rsidRDefault="00600593" w:rsidP="0060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9E" w:rsidRPr="00600593" w:rsidRDefault="00600593" w:rsidP="00600593">
    <w:pPr>
      <w:pStyle w:val="Footer"/>
    </w:pPr>
    <w:r>
      <w:t xml:space="preserve">EESC-2015-01668-05-02-NB-TRA (EN) </w:t>
    </w:r>
    <w:r>
      <w:fldChar w:fldCharType="begin"/>
    </w:r>
    <w:r>
      <w:instrText xml:space="preserve"> PAGE  \* Arabic  \* MERGEFORMAT </w:instrText>
    </w:r>
    <w:r>
      <w:fldChar w:fldCharType="separate"/>
    </w:r>
    <w:r w:rsidR="00104272">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104272">
      <w:rPr>
        <w:noProof/>
      </w:rPr>
      <w:instrText>3</w:instrText>
    </w:r>
    <w:r>
      <w:fldChar w:fldCharType="end"/>
    </w:r>
    <w:r>
      <w:instrText xml:space="preserve"> -0 </w:instrText>
    </w:r>
    <w:r>
      <w:fldChar w:fldCharType="separate"/>
    </w:r>
    <w:r w:rsidR="0010427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3" w:rsidRPr="00600593" w:rsidRDefault="00600593" w:rsidP="006005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600593" w:rsidRDefault="00104272" w:rsidP="006005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600593" w:rsidRDefault="00600593" w:rsidP="00600593">
    <w:pPr>
      <w:pStyle w:val="Footer"/>
    </w:pPr>
    <w:r>
      <w:t xml:space="preserve">EESC-2015-01668-05-02-NB-TRA (EN) </w:t>
    </w:r>
    <w:r>
      <w:fldChar w:fldCharType="begin"/>
    </w:r>
    <w:r>
      <w:instrText xml:space="preserve"> PAGE  \* Arabic  \* MERGEFORMAT </w:instrText>
    </w:r>
    <w:r>
      <w:fldChar w:fldCharType="separate"/>
    </w:r>
    <w:r w:rsidR="00104272">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104272">
      <w:rPr>
        <w:noProof/>
      </w:rPr>
      <w:instrText>3</w:instrText>
    </w:r>
    <w:r>
      <w:fldChar w:fldCharType="end"/>
    </w:r>
    <w:r>
      <w:instrText xml:space="preserve"> -0 </w:instrText>
    </w:r>
    <w:r>
      <w:fldChar w:fldCharType="separate"/>
    </w:r>
    <w:r w:rsidR="00104272">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600593" w:rsidRDefault="00104272" w:rsidP="0060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9E" w:rsidRDefault="0057499E">
      <w:r>
        <w:separator/>
      </w:r>
    </w:p>
  </w:footnote>
  <w:footnote w:type="continuationSeparator" w:id="0">
    <w:p w:rsidR="0057499E" w:rsidRDefault="0057499E">
      <w:r>
        <w:continuationSeparator/>
      </w:r>
    </w:p>
  </w:footnote>
  <w:footnote w:id="1">
    <w:p w:rsidR="0057499E" w:rsidRPr="00600593" w:rsidRDefault="0057499E" w:rsidP="0057499E">
      <w:pPr>
        <w:pStyle w:val="FootnoteText"/>
      </w:pPr>
      <w:r w:rsidRPr="00600593">
        <w:rPr>
          <w:rStyle w:val="FootnoteReference"/>
        </w:rPr>
        <w:footnoteRef/>
      </w:r>
      <w:r w:rsidRPr="00600593">
        <w:tab/>
        <w:t>Glej COM(2014) 130 final, str. 14. O materialnem pomanjkanju govorimo takrat, ko so prizadeti izpostavljeni vsaj 4 od 9 vrst pomanjkanja. Nastopi takrat, ko si ljudje si ne morejo privoščiti: plačevanja najemnine ali stanovanjskih položnic, ustreznega ogrevanja, nepričakovanih izdatkov, rib, mesa ali beljakovin ali ustreznega beljakovinskega nadomestka vsak drugi dan, enotedenskih počitnic na leto, avtomobila, pralnega stroja, barvnega televizorja ali telefona.</w:t>
      </w:r>
    </w:p>
  </w:footnote>
  <w:footnote w:id="2">
    <w:p w:rsidR="0057499E" w:rsidRPr="00600593" w:rsidRDefault="0057499E" w:rsidP="0057499E">
      <w:pPr>
        <w:pStyle w:val="FootnoteText"/>
      </w:pPr>
      <w:r w:rsidRPr="00600593">
        <w:rPr>
          <w:rStyle w:val="FootnoteReference"/>
        </w:rPr>
        <w:footnoteRef/>
      </w:r>
      <w:r w:rsidRPr="00600593">
        <w:tab/>
        <w:t xml:space="preserve">Med organizacije civilne družbe se štejejo: t. i. akterji na trgu dela, tj. socialni partnerji, organizacije, ki zastopajo socialne in ekonomske akterje, ki niso socialni partnerji v strogem pomenu besede, nevladne organizacije, ki povezujejo ljudi na podlagi skupnih interesov, kot so okoljevarstvene organizacije, organizacije za človekove pravice, potrošniške, dobrodelne organizacije ter organizacije za izobraževanje in usposabljanje itd., organizacije lokalne skupnosti (CBO – </w:t>
      </w:r>
      <w:r w:rsidRPr="00600593">
        <w:rPr>
          <w:i/>
        </w:rPr>
        <w:t>community-based organisations</w:t>
      </w:r>
      <w:r w:rsidRPr="00600593">
        <w:t xml:space="preserve">, tj. organizacije, ki delujejo na najnižji ravni v družbi in uresničujejo cilje članov), npr. mladinske organizacije, združenja družin in vse organizacije, prek katerih državljani sodelujejo v lokalnem in občinskem življenju, ter verske skupnosti. (Mnenje Evropskega ekonomsko-socialnega odbora </w:t>
      </w:r>
      <w:r w:rsidRPr="00600593">
        <w:rPr>
          <w:i/>
        </w:rPr>
        <w:t>o vlogi in prispevku organizacij civilne družbe pri izgradnji Evrope</w:t>
      </w:r>
      <w:r w:rsidRPr="00600593">
        <w:t xml:space="preserve"> – CESE 851/1999, 22. september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3" w:rsidRPr="00600593" w:rsidRDefault="00600593" w:rsidP="0060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3" w:rsidRPr="00600593" w:rsidRDefault="00600593" w:rsidP="00600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3" w:rsidRPr="00600593" w:rsidRDefault="00600593" w:rsidP="0060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600593" w:rsidRDefault="00104272" w:rsidP="006005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600593" w:rsidRDefault="00104272" w:rsidP="006005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600593" w:rsidRDefault="00104272" w:rsidP="0060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87756"/>
    <w:multiLevelType w:val="hybridMultilevel"/>
    <w:tmpl w:val="FEBCFB70"/>
    <w:lvl w:ilvl="0" w:tplc="8C980F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765340D"/>
    <w:multiLevelType w:val="hybridMultilevel"/>
    <w:tmpl w:val="13180700"/>
    <w:lvl w:ilvl="0" w:tplc="4E0A516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9E"/>
    <w:rsid w:val="00005DE0"/>
    <w:rsid w:val="00104272"/>
    <w:rsid w:val="00474E33"/>
    <w:rsid w:val="00525110"/>
    <w:rsid w:val="0057499E"/>
    <w:rsid w:val="00600593"/>
    <w:rsid w:val="00815995"/>
    <w:rsid w:val="008B2610"/>
    <w:rsid w:val="009441C7"/>
    <w:rsid w:val="00961A62"/>
    <w:rsid w:val="009A6695"/>
    <w:rsid w:val="009C78AF"/>
    <w:rsid w:val="00BE33B4"/>
    <w:rsid w:val="00D01AED"/>
    <w:rsid w:val="00E3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499E"/>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D01AED"/>
    <w:pPr>
      <w:keepLines/>
      <w:spacing w:after="60" w:line="240" w:lineRule="auto"/>
      <w:ind w:left="720" w:hanging="720"/>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rsid w:val="005749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499E"/>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D01AED"/>
    <w:pPr>
      <w:keepLines/>
      <w:spacing w:after="60" w:line="240" w:lineRule="auto"/>
      <w:ind w:left="720" w:hanging="720"/>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rsid w:val="00574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ec.europa.eu/budget/contracts_grants/info_contracts/financial_id/financial_id_en.cf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budget/contracts_grants/info_contracts/legal_entities/legal_entities_en.cf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ivilsocietyprize@eesc.europa.eu"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eesc.europa.eu/civilsocietypriz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civilsocietyprize@eesc.europa.eu" TargetMode="Externa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SNS6YXTC77FS-4-4545</_dlc_DocId>
    <_dlc_DocIdUrl xmlns="9f264e46-9252-4f01-a3b2-4cb67eb6fc3c">
      <Url>http://dm/EESC/2015/_layouts/DocIdRedir.aspx?ID=SNS6YXTC77FS-4-4545</Url>
      <Description>SNS6YXTC77FS-4-4545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MeetingNumber xmlns="09a9357a-0628-4319-8d75-bc025e757148">626</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2015-04-16T12:00:00+00:00</ProductionDate>
    <DocumentNumber xmlns="09a9357a-0628-4319-8d75-bc025e757148">1668</DocumentNumber>
    <FicheYear xmlns="9f264e46-9252-4f01-a3b2-4cb67eb6fc3c">2015</FicheYea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15</Value>
      <Value>14</Value>
      <Value>13</Value>
      <Value>11</Value>
      <Value>10</Value>
      <Value>9</Value>
      <Value>4</Value>
      <Value>5</Value>
      <Value>98</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Date xmlns="9f264e46-9252-4f01-a3b2-4cb67eb6fc3c">2015-04-21T12:00:00+00:00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3932</FicheNumber>
    <AdoptionDate xmlns="9f264e46-9252-4f01-a3b2-4cb67eb6fc3c" xsi:nil="true"/>
    <DocumentPart xmlns="9f264e46-9252-4f01-a3b2-4cb67eb6fc3c">5</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9f264e46-9252-4f01-a3b2-4cb67eb6fc3c">Greffe</RequestingServic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0DCF3-32C8-4ED4-B73E-A1A0A3EBDAA5}"/>
</file>

<file path=customXml/itemProps2.xml><?xml version="1.0" encoding="utf-8"?>
<ds:datastoreItem xmlns:ds="http://schemas.openxmlformats.org/officeDocument/2006/customXml" ds:itemID="{88D7CB89-339E-4962-9F97-1E9EB1A2DF79}"/>
</file>

<file path=customXml/itemProps3.xml><?xml version="1.0" encoding="utf-8"?>
<ds:datastoreItem xmlns:ds="http://schemas.openxmlformats.org/officeDocument/2006/customXml" ds:itemID="{EFC0E8F7-696C-4EC7-9ADF-FA0AF0311BBE}"/>
</file>

<file path=customXml/itemProps4.xml><?xml version="1.0" encoding="utf-8"?>
<ds:datastoreItem xmlns:ds="http://schemas.openxmlformats.org/officeDocument/2006/customXml" ds:itemID="{129603D8-E9B7-423A-A842-4E97528B5966}"/>
</file>

<file path=docProps/app.xml><?xml version="1.0" encoding="utf-8"?>
<Properties xmlns="http://schemas.openxmlformats.org/officeDocument/2006/extended-properties" xmlns:vt="http://schemas.openxmlformats.org/officeDocument/2006/docPropsVTypes">
  <Template>Styles.dotm</Template>
  <TotalTime>0</TotalTime>
  <Pages>3</Pages>
  <Words>1340</Words>
  <Characters>8337</Characters>
  <Application>Microsoft Office Word</Application>
  <DocSecurity>0</DocSecurity>
  <Lines>213</Lines>
  <Paragraphs>95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Pt_E.2)_ANN_Nagrada za civilno družbo 2015</dc:title>
  <dc:subject>obvestilo predsedstva</dc:subject>
  <dc:creator/>
  <cp:keywords>EESC-2015-01668-05-02-NB-TRA-SL</cp:keywords>
  <dc:description>Rapporteur: -_x000d_
Original language: EN_x000d_
Date of document: 16/04/2015_x000d_
Date of meeting: 21/04/2015_x000d_
External documents: -_x000d_
Administrator responsible: Comi Anna, telephone: +32 (0)2 546 9367_x000d_
_x000d_
Abstract:</dc:description>
  <cp:lastModifiedBy>Robert Urukalo</cp:lastModifiedBy>
  <cp:revision>3</cp:revision>
  <dcterms:created xsi:type="dcterms:W3CDTF">2015-04-16T11:16:00Z</dcterms:created>
  <dcterms:modified xsi:type="dcterms:W3CDTF">2015-04-16T11:17:00Z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_dlc_DocIdItemGuid">
    <vt:lpwstr>062a05f6-2e8a-406f-8fe7-da14d24e9693</vt:lpwstr>
  </property>
  <property fmtid="{D5CDD505-2E9C-101B-9397-08002B2CF9AE}" pid="4" name="AvailableTranslations">
    <vt:lpwstr>36;#FI|87606a43-d45f-42d6-b8c9-e1a3457db5b7;#35;#ET|ff6c3f4c-b02c-4c3c-ab07-2c37995a7a0a;#41;#NL|55c6556c-b4f4-441d-9acf-c498d4f838bd;#24;#PT|50ccc04a-eadd-42ae-a0cb-acaf45f812ba;#16;#PL|1e03da61-4678-4e07-b136-b5024ca9197b;#40;#MT|7df99101-6854-4a26-b53a-b88c0da02c26;#14;#DA|5d49c027-8956-412b-aa16-e85a0f96ad0e;#10;#LT|a7ff5ce7-6123-4f68-865a-a57c31810414;#38;#IT|0774613c-01ed-4e5d-a25d-11d2388de825;#39;#CS|72f9705b-0217-4fd3-bea2-cbc7ed80e26e;#11;#EL|6d4f4d51-af9b-4650-94b4-4276bee85c91;#22;#LV|46f7e311-5d9f-4663-b433-18aeccb7ace7;#37;#BG|1a1b3951-7821-4e6a-85f5-5673fc08bd2c;#9;#EN|f2175f21-25d7-44a3-96da-d6a61b075e1b;#33;#HU|6b229040-c589-4408-b4c1-4285663d20a8;#20;#DE|f6b31e5a-26fa-4935-b661-318e46daf27e;#17;#ES|e7a6b05b-ae16-40c8-add9-68b64b03aeba;#21;#HR|2f555653-ed1a-4fe6-8362-9082d95989e5;#13;#SL|98a412ae-eb01-49e9-ae3d-585a81724cfc;#25;#RO|feb747a2-64cd-4299-af12-4833ddc30497;#43;#SK|46d9fce0-ef79-4f71-b89b-cd6aa82426b8;#4;#FR|d2afafd3-4c81-4f60-8f52-ee33f2f54ff3;#18;#SV|c2ed69e7-a339-43d7-8f22-d93680a92aa0</vt:lpwstr>
  </property>
  <property fmtid="{D5CDD505-2E9C-101B-9397-08002B2CF9AE}" pid="5" name="DossierName">
    <vt:lpwstr/>
  </property>
  <property fmtid="{D5CDD505-2E9C-101B-9397-08002B2CF9AE}" pid="6" name="DocumentStatus">
    <vt:lpwstr>2;#TRA|150d2a88-1431-44e6-a8ca-0bb753ab8672</vt:lpwstr>
  </property>
  <property fmtid="{D5CDD505-2E9C-101B-9397-08002B2CF9AE}" pid="7" name="Confidentiality">
    <vt:lpwstr>5;#Unrestricted|826e22d7-d029-4ec0-a450-0c28ff673572</vt:lpwstr>
  </property>
  <property fmtid="{D5CDD505-2E9C-101B-9397-08002B2CF9AE}" pid="8" name="OriginalLanguage">
    <vt:lpwstr>9;#EN|f2175f21-25d7-44a3-96da-d6a61b075e1b</vt:lpwstr>
  </property>
  <property fmtid="{D5CDD505-2E9C-101B-9397-08002B2CF9AE}" pid="9" name="MeetingName">
    <vt:lpwstr>98;#BUR CESE|4274fb1d-1fa2-4436-baac-f79426b09598</vt:lpwstr>
  </property>
  <property fmtid="{D5CDD505-2E9C-101B-9397-08002B2CF9AE}" pid="10" name="VersionStatus">
    <vt:lpwstr>120;#Final|ea5e6674-7b27-4bac-b091-73adbb394efe</vt:lpwstr>
  </property>
  <property fmtid="{D5CDD505-2E9C-101B-9397-08002B2CF9AE}" pid="11" name="DocumentSource">
    <vt:lpwstr>1;#EESC|422833ec-8d7e-4e65-8e4e-8bed07ffb729</vt:lpwstr>
  </property>
  <property fmtid="{D5CDD505-2E9C-101B-9397-08002B2CF9AE}" pid="12" name="DocumentType">
    <vt:lpwstr>15;#NB|086d36d2-b81a-4b8e-8d1e-a22010addc8b</vt:lpwstr>
  </property>
  <property fmtid="{D5CDD505-2E9C-101B-9397-08002B2CF9AE}" pid="13" name="DocumentLanguage">
    <vt:lpwstr>13;#SL|98a412ae-eb01-49e9-ae3d-585a81724cfc</vt:lpwstr>
  </property>
  <property fmtid="{D5CDD505-2E9C-101B-9397-08002B2CF9AE}" pid="14" name="DocumentType_0">
    <vt:lpwstr>NB|086d36d2-b81a-4b8e-8d1e-a22010addc8b</vt:lpwstr>
  </property>
  <property fmtid="{D5CDD505-2E9C-101B-9397-08002B2CF9AE}" pid="15" name="DossierName_0">
    <vt:lpwstr/>
  </property>
  <property fmtid="{D5CDD505-2E9C-101B-9397-08002B2CF9AE}" pid="16" name="DocumentSource_0">
    <vt:lpwstr>EESC|422833ec-8d7e-4e65-8e4e-8bed07ffb729</vt:lpwstr>
  </property>
  <property fmtid="{D5CDD505-2E9C-101B-9397-08002B2CF9AE}" pid="17" name="VersionStatus_0">
    <vt:lpwstr>Obsolete|ef7b2089-53ec-4293-a3a0-fe07d3abc41e</vt:lpwstr>
  </property>
  <property fmtid="{D5CDD505-2E9C-101B-9397-08002B2CF9AE}" pid="18" name="Confidentiality_0">
    <vt:lpwstr>Unrestricted|826e22d7-d029-4ec0-a450-0c28ff673572</vt:lpwstr>
  </property>
  <property fmtid="{D5CDD505-2E9C-101B-9397-08002B2CF9AE}" pid="19" name="MeetingName_0">
    <vt:lpwstr>BUR CESE|4274fb1d-1fa2-4436-baac-f79426b09598</vt:lpwstr>
  </property>
  <property fmtid="{D5CDD505-2E9C-101B-9397-08002B2CF9AE}" pid="20" name="DocumentStatus_0">
    <vt:lpwstr>TRA|150d2a88-1431-44e6-a8ca-0bb753ab8672</vt:lpwstr>
  </property>
  <property fmtid="{D5CDD505-2E9C-101B-9397-08002B2CF9AE}" pid="21" name="OriginalLanguage_0">
    <vt:lpwstr>EN|f2175f21-25d7-44a3-96da-d6a61b075e1b</vt:lpwstr>
  </property>
  <property fmtid="{D5CDD505-2E9C-101B-9397-08002B2CF9AE}" pid="22" name="DocumentLanguage_0">
    <vt:lpwstr>SL|98a412ae-eb01-49e9-ae3d-585a81724cfc</vt:lpwstr>
  </property>
  <property fmtid="{D5CDD505-2E9C-101B-9397-08002B2CF9AE}" pid="23" name="TaxCatchAll">
    <vt:lpwstr>21;#HR|2f555653-ed1a-4fe6-8362-9082d95989e5;#41;#NL|55c6556c-b4f4-441d-9acf-;#13;#SL|98a412ae-eb01-49e9-ae3d-585a81724cfc;#15;#NB|086d36d2-b81a-4b8e-8d1e-a22010addc8b;#37;#BG|1a1b3951-7821-4e6a-85f5-5673fc08bd2c;#33;#HU|6b229040-c589-4408-b4c1-4285663d20a8;#121;#Obsolete|ef7b2089-53ec-4293-a3a0-fe07d3abc41e;#10;#LT|a7ff5ce7-6123-4f68-865a-a57c31810414;#9;#EN|f2175f21-25d7-44a3-96da-d6a61b075e1b;#98;#BUR CESE|4274fb1d-1fa2-4436-baac-f79426b09598;#5;#Unrestricted|826e22d7-d029-4ec0-a450-0c28ff673572;#2;#TRA|150d2a88-1431-44e6-a8ca-0bb753ab8672;#1;#EESC|422833ec-8d7e-4e65-8e4e-8bed07ffb729</vt:lpwstr>
  </property>
  <property fmtid="{D5CDD505-2E9C-101B-9397-08002B2CF9AE}" pid="24" name="AvailableTranslations_0">
    <vt:lpwstr>LT|a7ff5ce7-6123-4f68-865a-a57c31810414;EN|f2175f21-25d7-44a3-96da-d6a61b075e1b;HU|6b229040-c589-4408-b4c1-4285663d20a8;BG|1a1b3951-7821-4e6a-85f5-5673fc08bd2c;HR|2f555653-ed1a-4fe6-8362-9082d95989e5;NL|55c6556c-b4f4-441d-9acf-</vt:lpwstr>
  </property>
</Properties>
</file>