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Ref395175107"/>
    <w:bookmarkStart w:id="1" w:name="_GoBack"/>
    <w:bookmarkEnd w:id="1"/>
    <w:p w:rsidR="008A3D13" w:rsidRPr="004874DC" w:rsidRDefault="009C3480" w:rsidP="005A6DA3">
      <w:pPr>
        <w:rPr>
          <w:b/>
          <w:bCs/>
        </w:rPr>
      </w:pPr>
      <w:r>
        <w:rPr>
          <w:noProof/>
          <w:lang w:val="fr-BE" w:eastAsia="fr-BE" w:bidi="ar-SA"/>
        </w:rPr>
        <mc:AlternateContent>
          <mc:Choice Requires="wps">
            <w:drawing>
              <wp:anchor distT="0" distB="0" distL="114300" distR="114300" simplePos="0" relativeHeight="251658240" behindDoc="1" locked="0" layoutInCell="0" allowOverlap="1">
                <wp:simplePos x="0" y="0"/>
                <wp:positionH relativeFrom="page">
                  <wp:posOffset>6769100</wp:posOffset>
                </wp:positionH>
                <wp:positionV relativeFrom="page">
                  <wp:posOffset>10081260</wp:posOffset>
                </wp:positionV>
                <wp:extent cx="647700" cy="396240"/>
                <wp:effectExtent l="0" t="0" r="0" b="381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2BB6" w:rsidRPr="00260E65" w:rsidRDefault="00432BB6">
                            <w:pPr>
                              <w:jc w:val="center"/>
                              <w:rPr>
                                <w:rFonts w:ascii="Arial" w:hAnsi="Arial" w:cs="Arial"/>
                                <w:b/>
                                <w:bCs/>
                                <w:sz w:val="48"/>
                              </w:rPr>
                            </w:pPr>
                            <w:r>
                              <w:rPr>
                                <w:rFonts w:ascii="Arial" w:hAnsi="Arial"/>
                                <w:b/>
                                <w:sz w:val="48"/>
                              </w:rPr>
                              <w:t>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533pt;margin-top:793.8pt;width:51pt;height:3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" o:allowincell="f" filled="f" stroked="f">
                <v:textbox>
                  <w:txbxContent>
                    <w:p w:rsidR="00432BB6" w:rsidRPr="00260E65" w:rsidRDefault="00432BB6">
                      <w:pPr>
                        <w:jc w:val="center"/>
                        <w:rPr>
                          <w:rFonts w:ascii="Arial" w:hAnsi="Arial" w:cs="Arial"/>
                          <w:b/>
                          <w:bCs/>
                          <w:sz w:val="48"/>
                        </w:rPr>
                      </w:pPr>
                      <w:r>
                        <w:rPr>
                          <w:rFonts w:ascii="Arial" w:hAnsi="Arial"/>
                          <w:b/>
                          <w:sz w:val="48"/>
                        </w:rPr>
                        <w:t>LT</w:t>
                      </w:r>
                    </w:p>
                  </w:txbxContent>
                </v:textbox>
                <w10:wrap anchorx="page" anchory="page"/>
              </v:shape>
            </w:pict>
          </mc:Fallback>
        </mc:AlternateContent>
      </w:r>
      <w:r>
        <w:rPr>
          <w:b/>
          <w:noProof/>
          <w:lang w:val="fr-BE" w:eastAsia="fr-BE" w:bidi="ar-SA"/>
        </w:rPr>
        <w:drawing>
          <wp:inline distT="0" distB="0" distL="0" distR="0">
            <wp:extent cx="5843905" cy="2106930"/>
            <wp:effectExtent l="0" t="0" r="444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3905" cy="2106930"/>
                    </a:xfrm>
                    <a:prstGeom prst="rect">
                      <a:avLst/>
                    </a:prstGeom>
                    <a:noFill/>
                    <a:ln>
                      <a:noFill/>
                    </a:ln>
                  </pic:spPr>
                </pic:pic>
              </a:graphicData>
            </a:graphic>
          </wp:inline>
        </w:drawing>
      </w:r>
    </w:p>
    <w:p w:rsidR="00FE752B" w:rsidRPr="004874DC" w:rsidRDefault="00FE752B" w:rsidP="005A6DA3">
      <w:pPr>
        <w:jc w:val="center"/>
        <w:rPr>
          <w:b/>
          <w:sz w:val="24"/>
        </w:rPr>
      </w:pPr>
    </w:p>
    <w:p w:rsidR="005A6DA3" w:rsidRPr="004874DC" w:rsidRDefault="00CB0124" w:rsidP="005A6DA3">
      <w:pPr>
        <w:jc w:val="center"/>
        <w:rPr>
          <w:b/>
          <w:sz w:val="24"/>
        </w:rPr>
      </w:pPr>
      <w:r w:rsidRPr="004874DC">
        <w:rPr>
          <w:b/>
        </w:rPr>
        <w:t>PAKEISTI ENERGETIKOS ATEITĮ. PILIETINĖ VISUOMENĖ – PAGRINDINĖ ATSINAUJINANČIOSIOS ENERGIJOS GAMINTOJA</w:t>
      </w:r>
    </w:p>
    <w:p w:rsidR="00FE752B" w:rsidRPr="004874DC" w:rsidRDefault="00FE752B" w:rsidP="005A6DA3">
      <w:pPr>
        <w:jc w:val="center"/>
        <w:rPr>
          <w:sz w:val="24"/>
        </w:rPr>
      </w:pPr>
    </w:p>
    <w:p w:rsidR="00032F43" w:rsidRPr="004874DC" w:rsidRDefault="005A6DA3" w:rsidP="005A6DA3">
      <w:pPr>
        <w:jc w:val="center"/>
        <w:rPr>
          <w:sz w:val="24"/>
        </w:rPr>
      </w:pPr>
      <w:r w:rsidRPr="004874DC">
        <w:rPr>
          <w:sz w:val="24"/>
        </w:rPr>
        <w:t>EESRK tyrimas dėl pilietinės visuomenės vaidmens įgyvendinant ES atsinaujinančiųjų išteklių energijos direktyvą</w:t>
      </w:r>
    </w:p>
    <w:p w:rsidR="0071019D" w:rsidRPr="004874DC" w:rsidRDefault="0071019D" w:rsidP="005A6DA3">
      <w:pPr>
        <w:jc w:val="center"/>
        <w:rPr>
          <w:sz w:val="24"/>
        </w:rPr>
      </w:pPr>
    </w:p>
    <w:p w:rsidR="00FE752B" w:rsidRPr="004874DC" w:rsidRDefault="00FE752B" w:rsidP="005A6DA3">
      <w:pPr>
        <w:jc w:val="center"/>
        <w:rPr>
          <w:sz w:val="24"/>
        </w:rPr>
      </w:pPr>
    </w:p>
    <w:p w:rsidR="005A6DA3" w:rsidRPr="004874DC" w:rsidRDefault="0071019D" w:rsidP="005A6DA3">
      <w:pPr>
        <w:jc w:val="center"/>
        <w:rPr>
          <w:sz w:val="24"/>
        </w:rPr>
      </w:pPr>
      <w:r w:rsidRPr="004874DC">
        <w:rPr>
          <w:sz w:val="24"/>
        </w:rPr>
        <w:t xml:space="preserve">GALUTINĖ ATASKAITA </w:t>
      </w:r>
    </w:p>
    <w:p w:rsidR="005A6DA3" w:rsidRPr="004874DC" w:rsidRDefault="005A6DA3" w:rsidP="005A6DA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FE752B" w:rsidRPr="004874DC" w:rsidRDefault="00FE752B" w:rsidP="00C922E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FE752B" w:rsidRPr="004874DC" w:rsidRDefault="00FE752B" w:rsidP="005A6DA3">
      <w:pPr>
        <w:jc w:val="center"/>
        <w:rPr>
          <w:sz w:val="24"/>
        </w:rPr>
      </w:pPr>
    </w:p>
    <w:p w:rsidR="0071019D" w:rsidRPr="004874DC" w:rsidRDefault="005A6DA3" w:rsidP="00FE752B">
      <w:pPr>
        <w:jc w:val="left"/>
        <w:rPr>
          <w:sz w:val="24"/>
        </w:rPr>
      </w:pPr>
      <w:r w:rsidRPr="004874DC">
        <w:rPr>
          <w:sz w:val="24"/>
        </w:rPr>
        <w:t>(</w:t>
      </w:r>
      <w:r w:rsidRPr="004874DC">
        <w:rPr>
          <w:i/>
          <w:sz w:val="24"/>
        </w:rPr>
        <w:t>2015 m. sausio mėn.</w:t>
      </w:r>
      <w:r w:rsidRPr="004874DC">
        <w:rPr>
          <w:sz w:val="24"/>
        </w:rPr>
        <w:t>)</w:t>
      </w:r>
    </w:p>
    <w:p w:rsidR="00CC5F80" w:rsidRPr="004874DC" w:rsidRDefault="005A6DA3" w:rsidP="00032F43">
      <w:pPr>
        <w:spacing w:line="240" w:lineRule="auto"/>
      </w:pPr>
      <w:r w:rsidRPr="004874DC">
        <w:br w:type="page"/>
      </w:r>
      <w:r w:rsidRPr="004874DC">
        <w:lastRenderedPageBreak/>
        <w:t>Šį tyrimą atliko devynių EESRK Tvaraus vystymosi observatorijos (TVO) ir EESRK Transporto, energetikos, infrastruktūros ir informacinės visuomenės skyriaus (TEN) narių grupė:</w:t>
      </w:r>
    </w:p>
    <w:p w:rsidR="007B46C7" w:rsidRPr="004874DC" w:rsidRDefault="007B46C7" w:rsidP="00032F43">
      <w:pPr>
        <w:spacing w:line="240" w:lineRule="auto"/>
      </w:pPr>
    </w:p>
    <w:p w:rsidR="00CC5F80" w:rsidRPr="004874DC" w:rsidRDefault="00CC5F80" w:rsidP="00640385">
      <w:pPr>
        <w:pStyle w:val="ListParagraph"/>
        <w:numPr>
          <w:ilvl w:val="0"/>
          <w:numId w:val="5"/>
        </w:numPr>
        <w:jc w:val="both"/>
        <w:rPr>
          <w:sz w:val="22"/>
        </w:rPr>
      </w:pPr>
      <w:r w:rsidRPr="004874DC">
        <w:rPr>
          <w:sz w:val="22"/>
        </w:rPr>
        <w:t>iš trijų narių (</w:t>
      </w:r>
      <w:proofErr w:type="spellStart"/>
      <w:r w:rsidRPr="004874DC">
        <w:rPr>
          <w:sz w:val="22"/>
        </w:rPr>
        <w:t>Lutz</w:t>
      </w:r>
      <w:proofErr w:type="spellEnd"/>
      <w:r w:rsidRPr="004874DC">
        <w:rPr>
          <w:sz w:val="22"/>
        </w:rPr>
        <w:t xml:space="preserve"> </w:t>
      </w:r>
      <w:proofErr w:type="spellStart"/>
      <w:r w:rsidRPr="004874DC">
        <w:rPr>
          <w:sz w:val="22"/>
        </w:rPr>
        <w:t>Ribbe</w:t>
      </w:r>
      <w:proofErr w:type="spellEnd"/>
      <w:r w:rsidRPr="004874DC">
        <w:rPr>
          <w:sz w:val="22"/>
        </w:rPr>
        <w:t xml:space="preserve"> (pagrindinis koordinatorius), </w:t>
      </w:r>
      <w:proofErr w:type="spellStart"/>
      <w:r w:rsidRPr="004874DC">
        <w:rPr>
          <w:sz w:val="22"/>
        </w:rPr>
        <w:t>Isabel</w:t>
      </w:r>
      <w:proofErr w:type="spellEnd"/>
      <w:r w:rsidRPr="004874DC">
        <w:rPr>
          <w:sz w:val="22"/>
        </w:rPr>
        <w:t xml:space="preserve"> </w:t>
      </w:r>
      <w:proofErr w:type="spellStart"/>
      <w:r w:rsidRPr="004874DC">
        <w:rPr>
          <w:sz w:val="22"/>
        </w:rPr>
        <w:t>Caño</w:t>
      </w:r>
      <w:proofErr w:type="spellEnd"/>
      <w:r w:rsidRPr="004874DC">
        <w:rPr>
          <w:sz w:val="22"/>
        </w:rPr>
        <w:t xml:space="preserve"> </w:t>
      </w:r>
      <w:proofErr w:type="spellStart"/>
      <w:r w:rsidRPr="004874DC">
        <w:rPr>
          <w:sz w:val="22"/>
        </w:rPr>
        <w:t>Aguilar</w:t>
      </w:r>
      <w:proofErr w:type="spellEnd"/>
      <w:r w:rsidRPr="004874DC">
        <w:rPr>
          <w:sz w:val="22"/>
        </w:rPr>
        <w:t xml:space="preserve"> ir Brenda </w:t>
      </w:r>
      <w:proofErr w:type="spellStart"/>
      <w:r w:rsidRPr="004874DC">
        <w:rPr>
          <w:sz w:val="22"/>
        </w:rPr>
        <w:t>King</w:t>
      </w:r>
      <w:proofErr w:type="spellEnd"/>
      <w:r w:rsidRPr="004874DC">
        <w:rPr>
          <w:sz w:val="22"/>
        </w:rPr>
        <w:t xml:space="preserve">) sudaryta pagrindinė grupė vadovavo darbui ir apsilankė šešiose valstybėse narėse; </w:t>
      </w:r>
    </w:p>
    <w:p w:rsidR="00CC5F80" w:rsidRPr="004874DC" w:rsidRDefault="00CC5F80" w:rsidP="00640385">
      <w:pPr>
        <w:pStyle w:val="ListParagraph"/>
        <w:numPr>
          <w:ilvl w:val="0"/>
          <w:numId w:val="5"/>
        </w:numPr>
        <w:jc w:val="both"/>
        <w:rPr>
          <w:sz w:val="20"/>
        </w:rPr>
      </w:pPr>
      <w:r w:rsidRPr="004874DC">
        <w:rPr>
          <w:sz w:val="22"/>
        </w:rPr>
        <w:t>išplėsta šešių narių (</w:t>
      </w:r>
      <w:proofErr w:type="spellStart"/>
      <w:r w:rsidRPr="004874DC">
        <w:rPr>
          <w:sz w:val="22"/>
        </w:rPr>
        <w:t>Andrzej</w:t>
      </w:r>
      <w:proofErr w:type="spellEnd"/>
      <w:r w:rsidRPr="004874DC">
        <w:rPr>
          <w:sz w:val="22"/>
        </w:rPr>
        <w:t xml:space="preserve"> </w:t>
      </w:r>
      <w:proofErr w:type="spellStart"/>
      <w:r w:rsidRPr="004874DC">
        <w:rPr>
          <w:sz w:val="22"/>
        </w:rPr>
        <w:t>Chwiluk</w:t>
      </w:r>
      <w:proofErr w:type="spellEnd"/>
      <w:r w:rsidRPr="004874DC">
        <w:rPr>
          <w:sz w:val="22"/>
        </w:rPr>
        <w:t xml:space="preserve"> (Lenkija), </w:t>
      </w:r>
      <w:proofErr w:type="spellStart"/>
      <w:r w:rsidRPr="004874DC">
        <w:rPr>
          <w:sz w:val="22"/>
        </w:rPr>
        <w:t>Pierre-Jean</w:t>
      </w:r>
      <w:proofErr w:type="spellEnd"/>
      <w:r w:rsidRPr="004874DC">
        <w:rPr>
          <w:sz w:val="22"/>
        </w:rPr>
        <w:t xml:space="preserve"> </w:t>
      </w:r>
      <w:proofErr w:type="spellStart"/>
      <w:r w:rsidRPr="004874DC">
        <w:rPr>
          <w:sz w:val="22"/>
        </w:rPr>
        <w:t>Coulon</w:t>
      </w:r>
      <w:proofErr w:type="spellEnd"/>
      <w:r w:rsidRPr="004874DC">
        <w:rPr>
          <w:sz w:val="22"/>
        </w:rPr>
        <w:t xml:space="preserve"> (Prancūzija), Tom Jones (JK), Vitas Mačiulis (Lietuva), </w:t>
      </w:r>
      <w:proofErr w:type="spellStart"/>
      <w:r w:rsidRPr="004874DC">
        <w:rPr>
          <w:sz w:val="22"/>
        </w:rPr>
        <w:t>Georgi</w:t>
      </w:r>
      <w:proofErr w:type="spellEnd"/>
      <w:r w:rsidRPr="004874DC">
        <w:rPr>
          <w:sz w:val="22"/>
        </w:rPr>
        <w:t xml:space="preserve"> </w:t>
      </w:r>
      <w:proofErr w:type="spellStart"/>
      <w:r w:rsidRPr="004874DC">
        <w:rPr>
          <w:sz w:val="22"/>
        </w:rPr>
        <w:t>Stoev</w:t>
      </w:r>
      <w:proofErr w:type="spellEnd"/>
      <w:r w:rsidRPr="004874DC">
        <w:rPr>
          <w:sz w:val="22"/>
        </w:rPr>
        <w:t xml:space="preserve"> (Bulgarija) ir Frank </w:t>
      </w:r>
      <w:proofErr w:type="spellStart"/>
      <w:r w:rsidRPr="004874DC">
        <w:rPr>
          <w:sz w:val="22"/>
        </w:rPr>
        <w:t>van</w:t>
      </w:r>
      <w:proofErr w:type="spellEnd"/>
      <w:r w:rsidRPr="004874DC">
        <w:rPr>
          <w:sz w:val="22"/>
        </w:rPr>
        <w:t xml:space="preserve"> </w:t>
      </w:r>
      <w:proofErr w:type="spellStart"/>
      <w:r w:rsidRPr="004874DC">
        <w:rPr>
          <w:sz w:val="22"/>
        </w:rPr>
        <w:t>Oorschot</w:t>
      </w:r>
      <w:proofErr w:type="spellEnd"/>
      <w:r w:rsidRPr="004874DC">
        <w:rPr>
          <w:sz w:val="22"/>
        </w:rPr>
        <w:t xml:space="preserve"> (Nyderlandai)) grupė padėjo atlikti atvejų tyrimus pasirinktose valstybėse narėse. </w:t>
      </w:r>
    </w:p>
    <w:p w:rsidR="004229DB" w:rsidRPr="004874DC" w:rsidRDefault="004229DB" w:rsidP="000632AD"/>
    <w:p w:rsidR="00CC5F80" w:rsidRPr="004874DC" w:rsidRDefault="000F3C0F" w:rsidP="00CC5F80">
      <w:r w:rsidRPr="004874DC">
        <w:t>EESRK Tvaraus vystymosi observatorijos sekretoriatas (Rayka Hauser ir Nuno Quental) nuolat teikė pagalbą atliekant atvejų tyrimus ir rengiant šią ataskaitą.</w:t>
      </w:r>
    </w:p>
    <w:p w:rsidR="00CC5F80" w:rsidRPr="004874DC" w:rsidRDefault="00CC5F80" w:rsidP="00032F43">
      <w:pPr>
        <w:spacing w:line="240" w:lineRule="auto"/>
        <w:jc w:val="left"/>
        <w:rPr>
          <w:b/>
          <w:sz w:val="24"/>
        </w:rPr>
      </w:pPr>
    </w:p>
    <w:p w:rsidR="007C4DC2" w:rsidRPr="004874DC" w:rsidRDefault="007140E4" w:rsidP="003D2496">
      <w:r w:rsidRPr="004874DC">
        <w:t>EESRK tyrimo grupė norėtų ypač padėkoti Prancūzijos Provanso-Alpių-Žydrojo Kranto (pranc. PACA) regiono Tvaraus vystymosi tarybai, Velso valdžios institucijoms, Lenkijos kalnakasių sąjungai, EK atstovybėms Vokietijoje, Bulgarijoje, Lenkijoje ir Velse; daugybei pilietinės visuomenės organizacijų, atsinaujinančiosios energijos gamintojų asociacijų, kooperatyvų, bendruomenių iniciatyvinių grupių ir socialinių įmonių, taip pat aplankytų šalių nacionaliniu, regionų ir vietos lygmenimis veikiančioms valdžios institucijoms. Visos šios organizacijos padėjo organizuoti tyrimą, aktyviai dalyvavo diskusijose, entuziastingai skatino vystyti decentralizuotus atsinaujinančius energijos išteklius ir įvairiausiais būdais prisidėjo rengiant šio tyrimo išvadas.</w:t>
      </w:r>
    </w:p>
    <w:p w:rsidR="007C4DC2" w:rsidRPr="004874DC" w:rsidRDefault="007C4DC2" w:rsidP="003D2496"/>
    <w:p w:rsidR="00F71482" w:rsidRPr="004874DC" w:rsidRDefault="00C95307" w:rsidP="00536308">
      <w:pPr>
        <w:spacing w:line="276" w:lineRule="auto"/>
        <w:rPr>
          <w:b/>
          <w:sz w:val="24"/>
        </w:rPr>
      </w:pPr>
      <w:r w:rsidRPr="004874DC">
        <w:t>Iš tikrųjų ši ataskaita pirmiausia yra vertinga grįžtamoji informacija, kurią tyrimo grupė per vizitus ir diskusijas gavo iš įvairių suinteresuotųjų subjektų.</w:t>
      </w:r>
      <w:r w:rsidRPr="004874DC">
        <w:br w:type="page"/>
      </w:r>
      <w:r w:rsidRPr="004874DC">
        <w:rPr>
          <w:b/>
        </w:rPr>
        <w:lastRenderedPageBreak/>
        <w:t>Turinys</w:t>
      </w:r>
    </w:p>
    <w:p w:rsidR="007D4F04" w:rsidRPr="004874DC" w:rsidRDefault="00DE28D1">
      <w:pPr>
        <w:pStyle w:val="TOC1"/>
        <w:rPr>
          <w:rFonts w:ascii="Calibri" w:hAnsi="Calibri"/>
          <w:lang w:bidi="ar-SA"/>
        </w:rPr>
      </w:pPr>
      <w:r w:rsidRPr="004874DC">
        <w:fldChar w:fldCharType="begin"/>
      </w:r>
      <w:r w:rsidR="00F71482" w:rsidRPr="004874DC">
        <w:instrText xml:space="preserve"> TOC \o "1-3" \h \z \u </w:instrText>
      </w:r>
      <w:r w:rsidRPr="004874DC">
        <w:fldChar w:fldCharType="separate"/>
      </w:r>
      <w:hyperlink w:anchor="_Toc409515341" w:history="1">
        <w:r w:rsidR="007D4F04" w:rsidRPr="004874DC">
          <w:rPr>
            <w:rStyle w:val="Hyperlink"/>
          </w:rPr>
          <w:t>1.</w:t>
        </w:r>
        <w:r w:rsidR="007D4F04" w:rsidRPr="004874DC">
          <w:rPr>
            <w:rFonts w:ascii="Calibri" w:hAnsi="Calibri"/>
            <w:lang w:bidi="ar-SA"/>
          </w:rPr>
          <w:tab/>
        </w:r>
        <w:r w:rsidR="007D4F04" w:rsidRPr="004874DC">
          <w:rPr>
            <w:rStyle w:val="Hyperlink"/>
          </w:rPr>
          <w:t>Pagrindinių išvadų ir rekomendacijų santrauka</w:t>
        </w:r>
        <w:r w:rsidR="007D4F04" w:rsidRPr="004874DC">
          <w:rPr>
            <w:webHidden/>
          </w:rPr>
          <w:tab/>
        </w:r>
        <w:r w:rsidR="007D4F04" w:rsidRPr="004874DC">
          <w:rPr>
            <w:webHidden/>
          </w:rPr>
          <w:fldChar w:fldCharType="begin"/>
        </w:r>
        <w:r w:rsidR="007D4F04" w:rsidRPr="004874DC">
          <w:rPr>
            <w:webHidden/>
          </w:rPr>
          <w:instrText xml:space="preserve"> PAGEREF _Toc409515341 \h </w:instrText>
        </w:r>
        <w:r w:rsidR="007D4F04" w:rsidRPr="004874DC">
          <w:rPr>
            <w:webHidden/>
          </w:rPr>
        </w:r>
        <w:r w:rsidR="007D4F04" w:rsidRPr="004874DC">
          <w:rPr>
            <w:webHidden/>
          </w:rPr>
          <w:fldChar w:fldCharType="separate"/>
        </w:r>
        <w:r w:rsidR="003C4168" w:rsidRPr="004874DC">
          <w:rPr>
            <w:webHidden/>
          </w:rPr>
          <w:t>6</w:t>
        </w:r>
        <w:r w:rsidR="007D4F04" w:rsidRPr="004874DC">
          <w:rPr>
            <w:webHidden/>
          </w:rPr>
          <w:fldChar w:fldCharType="end"/>
        </w:r>
      </w:hyperlink>
    </w:p>
    <w:p w:rsidR="007D4F04" w:rsidRPr="004874DC" w:rsidRDefault="00E04E46">
      <w:pPr>
        <w:pStyle w:val="TOC2"/>
        <w:rPr>
          <w:rFonts w:ascii="Calibri" w:hAnsi="Calibri"/>
          <w:lang w:bidi="ar-SA"/>
        </w:rPr>
      </w:pPr>
      <w:hyperlink w:anchor="_Toc409515342" w:history="1">
        <w:r w:rsidR="007D4F04" w:rsidRPr="004874DC">
          <w:rPr>
            <w:rStyle w:val="Hyperlink"/>
          </w:rPr>
          <w:t>1.1</w:t>
        </w:r>
        <w:r w:rsidR="007D4F04" w:rsidRPr="004874DC">
          <w:rPr>
            <w:rFonts w:ascii="Calibri" w:hAnsi="Calibri"/>
            <w:lang w:bidi="ar-SA"/>
          </w:rPr>
          <w:tab/>
        </w:r>
        <w:r w:rsidR="007D4F04" w:rsidRPr="004874DC">
          <w:rPr>
            <w:rStyle w:val="Hyperlink"/>
          </w:rPr>
          <w:t>Pagrindinės išvados</w:t>
        </w:r>
        <w:r w:rsidR="007D4F04" w:rsidRPr="004874DC">
          <w:rPr>
            <w:webHidden/>
          </w:rPr>
          <w:tab/>
        </w:r>
        <w:r w:rsidR="007D4F04" w:rsidRPr="004874DC">
          <w:rPr>
            <w:webHidden/>
          </w:rPr>
          <w:fldChar w:fldCharType="begin"/>
        </w:r>
        <w:r w:rsidR="007D4F04" w:rsidRPr="004874DC">
          <w:rPr>
            <w:webHidden/>
          </w:rPr>
          <w:instrText xml:space="preserve"> PAGEREF _Toc409515342 \h </w:instrText>
        </w:r>
        <w:r w:rsidR="007D4F04" w:rsidRPr="004874DC">
          <w:rPr>
            <w:webHidden/>
          </w:rPr>
        </w:r>
        <w:r w:rsidR="007D4F04" w:rsidRPr="004874DC">
          <w:rPr>
            <w:webHidden/>
          </w:rPr>
          <w:fldChar w:fldCharType="separate"/>
        </w:r>
        <w:r w:rsidR="003C4168" w:rsidRPr="004874DC">
          <w:rPr>
            <w:webHidden/>
          </w:rPr>
          <w:t>6</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3" w:history="1">
        <w:r w:rsidR="007D4F04" w:rsidRPr="004874DC">
          <w:rPr>
            <w:rStyle w:val="Hyperlink"/>
          </w:rPr>
          <w:t>1.1.1</w:t>
        </w:r>
        <w:r w:rsidR="007D4F04" w:rsidRPr="004874DC">
          <w:rPr>
            <w:rFonts w:ascii="Calibri" w:hAnsi="Calibri"/>
            <w:lang w:bidi="ar-SA"/>
          </w:rPr>
          <w:tab/>
        </w:r>
        <w:r w:rsidR="007D4F04" w:rsidRPr="004874DC">
          <w:rPr>
            <w:rStyle w:val="Hyperlink"/>
          </w:rPr>
          <w:t>Tinkamas laikas</w:t>
        </w:r>
        <w:r w:rsidR="007D4F04" w:rsidRPr="004874DC">
          <w:rPr>
            <w:webHidden/>
          </w:rPr>
          <w:tab/>
        </w:r>
        <w:r w:rsidR="007D4F04" w:rsidRPr="004874DC">
          <w:rPr>
            <w:webHidden/>
          </w:rPr>
          <w:fldChar w:fldCharType="begin"/>
        </w:r>
        <w:r w:rsidR="007D4F04" w:rsidRPr="004874DC">
          <w:rPr>
            <w:webHidden/>
          </w:rPr>
          <w:instrText xml:space="preserve"> PAGEREF _Toc409515343 \h </w:instrText>
        </w:r>
        <w:r w:rsidR="007D4F04" w:rsidRPr="004874DC">
          <w:rPr>
            <w:webHidden/>
          </w:rPr>
        </w:r>
        <w:r w:rsidR="007D4F04" w:rsidRPr="004874DC">
          <w:rPr>
            <w:webHidden/>
          </w:rPr>
          <w:fldChar w:fldCharType="separate"/>
        </w:r>
        <w:r w:rsidR="003C4168" w:rsidRPr="004874DC">
          <w:rPr>
            <w:webHidden/>
          </w:rPr>
          <w:t>6</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4" w:history="1">
        <w:r w:rsidR="007D4F04" w:rsidRPr="004874DC">
          <w:rPr>
            <w:rStyle w:val="Hyperlink"/>
          </w:rPr>
          <w:t>1.1.2</w:t>
        </w:r>
        <w:r w:rsidR="007D4F04" w:rsidRPr="004874DC">
          <w:rPr>
            <w:rFonts w:ascii="Calibri" w:hAnsi="Calibri"/>
            <w:lang w:bidi="ar-SA"/>
          </w:rPr>
          <w:tab/>
        </w:r>
        <w:r w:rsidR="007D4F04" w:rsidRPr="004874DC">
          <w:rPr>
            <w:rStyle w:val="Hyperlink"/>
          </w:rPr>
          <w:t>Nusivylimas</w:t>
        </w:r>
        <w:r w:rsidR="007D4F04" w:rsidRPr="004874DC">
          <w:rPr>
            <w:webHidden/>
          </w:rPr>
          <w:tab/>
        </w:r>
        <w:r w:rsidR="007D4F04" w:rsidRPr="004874DC">
          <w:rPr>
            <w:webHidden/>
          </w:rPr>
          <w:fldChar w:fldCharType="begin"/>
        </w:r>
        <w:r w:rsidR="007D4F04" w:rsidRPr="004874DC">
          <w:rPr>
            <w:webHidden/>
          </w:rPr>
          <w:instrText xml:space="preserve"> PAGEREF _Toc409515344 \h </w:instrText>
        </w:r>
        <w:r w:rsidR="007D4F04" w:rsidRPr="004874DC">
          <w:rPr>
            <w:webHidden/>
          </w:rPr>
        </w:r>
        <w:r w:rsidR="007D4F04" w:rsidRPr="004874DC">
          <w:rPr>
            <w:webHidden/>
          </w:rPr>
          <w:fldChar w:fldCharType="separate"/>
        </w:r>
        <w:r w:rsidR="003C4168" w:rsidRPr="004874DC">
          <w:rPr>
            <w:webHidden/>
          </w:rPr>
          <w:t>6</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5" w:history="1">
        <w:r w:rsidR="007D4F04" w:rsidRPr="004874DC">
          <w:rPr>
            <w:rStyle w:val="Hyperlink"/>
          </w:rPr>
          <w:t>1.1.3</w:t>
        </w:r>
        <w:r w:rsidR="007D4F04" w:rsidRPr="004874DC">
          <w:rPr>
            <w:rFonts w:ascii="Calibri" w:hAnsi="Calibri"/>
            <w:lang w:bidi="ar-SA"/>
          </w:rPr>
          <w:tab/>
        </w:r>
        <w:r w:rsidR="007D4F04" w:rsidRPr="004874DC">
          <w:rPr>
            <w:rStyle w:val="Hyperlink"/>
          </w:rPr>
          <w:t>Tvirti argumentai už „piliečių atsinaujinančių išteklių energiją“</w:t>
        </w:r>
        <w:r w:rsidR="007D4F04" w:rsidRPr="004874DC">
          <w:rPr>
            <w:webHidden/>
          </w:rPr>
          <w:tab/>
        </w:r>
        <w:r w:rsidR="007D4F04" w:rsidRPr="004874DC">
          <w:rPr>
            <w:webHidden/>
          </w:rPr>
          <w:fldChar w:fldCharType="begin"/>
        </w:r>
        <w:r w:rsidR="007D4F04" w:rsidRPr="004874DC">
          <w:rPr>
            <w:webHidden/>
          </w:rPr>
          <w:instrText xml:space="preserve"> PAGEREF _Toc409515345 \h </w:instrText>
        </w:r>
        <w:r w:rsidR="007D4F04" w:rsidRPr="004874DC">
          <w:rPr>
            <w:webHidden/>
          </w:rPr>
        </w:r>
        <w:r w:rsidR="007D4F04" w:rsidRPr="004874DC">
          <w:rPr>
            <w:webHidden/>
          </w:rPr>
          <w:fldChar w:fldCharType="separate"/>
        </w:r>
        <w:r w:rsidR="003C4168" w:rsidRPr="004874DC">
          <w:rPr>
            <w:webHidden/>
          </w:rPr>
          <w:t>6</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6" w:history="1">
        <w:r w:rsidR="007D4F04" w:rsidRPr="004874DC">
          <w:rPr>
            <w:rStyle w:val="Hyperlink"/>
          </w:rPr>
          <w:t>1.1.4</w:t>
        </w:r>
        <w:r w:rsidR="007D4F04" w:rsidRPr="004874DC">
          <w:rPr>
            <w:rFonts w:ascii="Calibri" w:hAnsi="Calibri"/>
            <w:lang w:bidi="ar-SA"/>
          </w:rPr>
          <w:tab/>
        </w:r>
        <w:r w:rsidR="007D4F04" w:rsidRPr="004874DC">
          <w:rPr>
            <w:rStyle w:val="Hyperlink"/>
          </w:rPr>
          <w:t>Milžiniškas didžiąja dalimi neišnaudotas potencialas</w:t>
        </w:r>
        <w:r w:rsidR="007D4F04" w:rsidRPr="004874DC">
          <w:rPr>
            <w:webHidden/>
          </w:rPr>
          <w:tab/>
        </w:r>
        <w:r w:rsidR="007D4F04" w:rsidRPr="004874DC">
          <w:rPr>
            <w:webHidden/>
          </w:rPr>
          <w:fldChar w:fldCharType="begin"/>
        </w:r>
        <w:r w:rsidR="007D4F04" w:rsidRPr="004874DC">
          <w:rPr>
            <w:webHidden/>
          </w:rPr>
          <w:instrText xml:space="preserve"> PAGEREF _Toc409515346 \h </w:instrText>
        </w:r>
        <w:r w:rsidR="007D4F04" w:rsidRPr="004874DC">
          <w:rPr>
            <w:webHidden/>
          </w:rPr>
        </w:r>
        <w:r w:rsidR="007D4F04" w:rsidRPr="004874DC">
          <w:rPr>
            <w:webHidden/>
          </w:rPr>
          <w:fldChar w:fldCharType="separate"/>
        </w:r>
        <w:r w:rsidR="003C4168" w:rsidRPr="004874DC">
          <w:rPr>
            <w:webHidden/>
          </w:rPr>
          <w:t>7</w:t>
        </w:r>
        <w:r w:rsidR="007D4F04" w:rsidRPr="004874DC">
          <w:rPr>
            <w:webHidden/>
          </w:rPr>
          <w:fldChar w:fldCharType="end"/>
        </w:r>
      </w:hyperlink>
    </w:p>
    <w:p w:rsidR="007D4F04" w:rsidRPr="004874DC" w:rsidRDefault="00E04E46">
      <w:pPr>
        <w:pStyle w:val="TOC2"/>
        <w:rPr>
          <w:rFonts w:ascii="Calibri" w:hAnsi="Calibri"/>
          <w:lang w:bidi="ar-SA"/>
        </w:rPr>
      </w:pPr>
      <w:hyperlink w:anchor="_Toc409515347" w:history="1">
        <w:r w:rsidR="007D4F04" w:rsidRPr="004874DC">
          <w:rPr>
            <w:rStyle w:val="Hyperlink"/>
          </w:rPr>
          <w:t>1.2</w:t>
        </w:r>
        <w:r w:rsidR="007D4F04" w:rsidRPr="004874DC">
          <w:rPr>
            <w:rFonts w:ascii="Calibri" w:hAnsi="Calibri"/>
            <w:lang w:bidi="ar-SA"/>
          </w:rPr>
          <w:tab/>
        </w:r>
        <w:r w:rsidR="007D4F04" w:rsidRPr="004874DC">
          <w:rPr>
            <w:rStyle w:val="Hyperlink"/>
          </w:rPr>
          <w:t>Pagrindinės rekomendacijos</w:t>
        </w:r>
        <w:r w:rsidR="007D4F04" w:rsidRPr="004874DC">
          <w:rPr>
            <w:webHidden/>
          </w:rPr>
          <w:tab/>
        </w:r>
        <w:r w:rsidR="007D4F04" w:rsidRPr="004874DC">
          <w:rPr>
            <w:webHidden/>
          </w:rPr>
          <w:fldChar w:fldCharType="begin"/>
        </w:r>
        <w:r w:rsidR="007D4F04" w:rsidRPr="004874DC">
          <w:rPr>
            <w:webHidden/>
          </w:rPr>
          <w:instrText xml:space="preserve"> PAGEREF _Toc409515347 \h </w:instrText>
        </w:r>
        <w:r w:rsidR="007D4F04" w:rsidRPr="004874DC">
          <w:rPr>
            <w:webHidden/>
          </w:rPr>
        </w:r>
        <w:r w:rsidR="007D4F04" w:rsidRPr="004874DC">
          <w:rPr>
            <w:webHidden/>
          </w:rPr>
          <w:fldChar w:fldCharType="separate"/>
        </w:r>
        <w:r w:rsidR="003C4168" w:rsidRPr="004874DC">
          <w:rPr>
            <w:webHidden/>
          </w:rPr>
          <w:t>7</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8" w:history="1">
        <w:r w:rsidR="007D4F04" w:rsidRPr="004874DC">
          <w:rPr>
            <w:rStyle w:val="Hyperlink"/>
          </w:rPr>
          <w:t>1.2.1</w:t>
        </w:r>
        <w:r w:rsidR="007D4F04" w:rsidRPr="004874DC">
          <w:rPr>
            <w:rFonts w:ascii="Calibri" w:hAnsi="Calibri"/>
            <w:lang w:bidi="ar-SA"/>
          </w:rPr>
          <w:tab/>
        </w:r>
        <w:r w:rsidR="007D4F04" w:rsidRPr="004874DC">
          <w:rPr>
            <w:rStyle w:val="Hyperlink"/>
          </w:rPr>
          <w:t>Sudaryti vienodas sąlygos atsinaujinančių išteklių energijai</w:t>
        </w:r>
        <w:r w:rsidR="007D4F04" w:rsidRPr="004874DC">
          <w:rPr>
            <w:webHidden/>
          </w:rPr>
          <w:tab/>
        </w:r>
        <w:r w:rsidR="007D4F04" w:rsidRPr="004874DC">
          <w:rPr>
            <w:webHidden/>
          </w:rPr>
          <w:fldChar w:fldCharType="begin"/>
        </w:r>
        <w:r w:rsidR="007D4F04" w:rsidRPr="004874DC">
          <w:rPr>
            <w:webHidden/>
          </w:rPr>
          <w:instrText xml:space="preserve"> PAGEREF _Toc409515348 \h </w:instrText>
        </w:r>
        <w:r w:rsidR="007D4F04" w:rsidRPr="004874DC">
          <w:rPr>
            <w:webHidden/>
          </w:rPr>
        </w:r>
        <w:r w:rsidR="007D4F04" w:rsidRPr="004874DC">
          <w:rPr>
            <w:webHidden/>
          </w:rPr>
          <w:fldChar w:fldCharType="separate"/>
        </w:r>
        <w:r w:rsidR="003C4168" w:rsidRPr="004874DC">
          <w:rPr>
            <w:webHidden/>
          </w:rPr>
          <w:t>7</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49" w:history="1">
        <w:r w:rsidR="007D4F04" w:rsidRPr="004874DC">
          <w:rPr>
            <w:rStyle w:val="Hyperlink"/>
          </w:rPr>
          <w:t>1.2.2</w:t>
        </w:r>
        <w:r w:rsidR="007D4F04" w:rsidRPr="004874DC">
          <w:rPr>
            <w:rFonts w:ascii="Calibri" w:hAnsi="Calibri"/>
            <w:lang w:bidi="ar-SA"/>
          </w:rPr>
          <w:tab/>
        </w:r>
        <w:r w:rsidR="007D4F04" w:rsidRPr="004874DC">
          <w:rPr>
            <w:rStyle w:val="Hyperlink"/>
          </w:rPr>
          <w:t>Siekti, kad decentralizuota „piliečių atsinaujinančių išteklių energija“ taptų politikos prioritetu</w:t>
        </w:r>
        <w:r w:rsidR="007D4F04" w:rsidRPr="004874DC">
          <w:rPr>
            <w:webHidden/>
          </w:rPr>
          <w:tab/>
        </w:r>
        <w:r w:rsidR="007D4F04" w:rsidRPr="004874DC">
          <w:rPr>
            <w:webHidden/>
          </w:rPr>
          <w:fldChar w:fldCharType="begin"/>
        </w:r>
        <w:r w:rsidR="007D4F04" w:rsidRPr="004874DC">
          <w:rPr>
            <w:webHidden/>
          </w:rPr>
          <w:instrText xml:space="preserve"> PAGEREF _Toc409515349 \h </w:instrText>
        </w:r>
        <w:r w:rsidR="007D4F04" w:rsidRPr="004874DC">
          <w:rPr>
            <w:webHidden/>
          </w:rPr>
        </w:r>
        <w:r w:rsidR="007D4F04" w:rsidRPr="004874DC">
          <w:rPr>
            <w:webHidden/>
          </w:rPr>
          <w:fldChar w:fldCharType="separate"/>
        </w:r>
        <w:r w:rsidR="003C4168" w:rsidRPr="004874DC">
          <w:rPr>
            <w:webHidden/>
          </w:rPr>
          <w:t>7</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50" w:history="1">
        <w:r w:rsidR="007D4F04" w:rsidRPr="004874DC">
          <w:rPr>
            <w:rStyle w:val="Hyperlink"/>
          </w:rPr>
          <w:t>1.2.3</w:t>
        </w:r>
        <w:r w:rsidR="007D4F04" w:rsidRPr="004874DC">
          <w:rPr>
            <w:rFonts w:ascii="Calibri" w:hAnsi="Calibri"/>
            <w:lang w:bidi="ar-SA"/>
          </w:rPr>
          <w:tab/>
        </w:r>
        <w:r w:rsidR="007D4F04" w:rsidRPr="004874DC">
          <w:rPr>
            <w:rStyle w:val="Hyperlink"/>
          </w:rPr>
          <w:t>Sukurti nuoseklią politinę sistemą, kuri paremtų „piliečių atsinaujinančių išteklių energiją“:</w:t>
        </w:r>
        <w:r w:rsidR="007D4F04" w:rsidRPr="004874DC">
          <w:rPr>
            <w:webHidden/>
          </w:rPr>
          <w:tab/>
        </w:r>
        <w:r w:rsidR="007D4F04" w:rsidRPr="004874DC">
          <w:rPr>
            <w:webHidden/>
          </w:rPr>
          <w:fldChar w:fldCharType="begin"/>
        </w:r>
        <w:r w:rsidR="007D4F04" w:rsidRPr="004874DC">
          <w:rPr>
            <w:webHidden/>
          </w:rPr>
          <w:instrText xml:space="preserve"> PAGEREF _Toc409515350 \h </w:instrText>
        </w:r>
        <w:r w:rsidR="007D4F04" w:rsidRPr="004874DC">
          <w:rPr>
            <w:webHidden/>
          </w:rPr>
        </w:r>
        <w:r w:rsidR="007D4F04" w:rsidRPr="004874DC">
          <w:rPr>
            <w:webHidden/>
          </w:rPr>
          <w:fldChar w:fldCharType="separate"/>
        </w:r>
        <w:r w:rsidR="003C4168" w:rsidRPr="004874DC">
          <w:rPr>
            <w:webHidden/>
          </w:rPr>
          <w:t>8</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51" w:history="1">
        <w:r w:rsidR="007D4F04" w:rsidRPr="004874DC">
          <w:rPr>
            <w:rStyle w:val="Hyperlink"/>
          </w:rPr>
          <w:t>1.2.4</w:t>
        </w:r>
        <w:r w:rsidR="007D4F04" w:rsidRPr="004874DC">
          <w:rPr>
            <w:rFonts w:ascii="Calibri" w:hAnsi="Calibri"/>
            <w:lang w:bidi="ar-SA"/>
          </w:rPr>
          <w:tab/>
        </w:r>
        <w:r w:rsidR="007D4F04" w:rsidRPr="004874DC">
          <w:rPr>
            <w:rStyle w:val="Hyperlink"/>
          </w:rPr>
          <w:t>Pradėti aktyvų pilietinės visuomenės dialogą dėl energetikos politikos</w:t>
        </w:r>
        <w:r w:rsidR="007D4F04" w:rsidRPr="004874DC">
          <w:rPr>
            <w:webHidden/>
          </w:rPr>
          <w:tab/>
        </w:r>
        <w:r w:rsidR="007D4F04" w:rsidRPr="004874DC">
          <w:rPr>
            <w:webHidden/>
          </w:rPr>
          <w:fldChar w:fldCharType="begin"/>
        </w:r>
        <w:r w:rsidR="007D4F04" w:rsidRPr="004874DC">
          <w:rPr>
            <w:webHidden/>
          </w:rPr>
          <w:instrText xml:space="preserve"> PAGEREF _Toc409515351 \h </w:instrText>
        </w:r>
        <w:r w:rsidR="007D4F04" w:rsidRPr="004874DC">
          <w:rPr>
            <w:webHidden/>
          </w:rPr>
        </w:r>
        <w:r w:rsidR="007D4F04" w:rsidRPr="004874DC">
          <w:rPr>
            <w:webHidden/>
          </w:rPr>
          <w:fldChar w:fldCharType="separate"/>
        </w:r>
        <w:r w:rsidR="003C4168" w:rsidRPr="004874DC">
          <w:rPr>
            <w:webHidden/>
          </w:rPr>
          <w:t>8</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52" w:history="1">
        <w:r w:rsidR="007D4F04" w:rsidRPr="004874DC">
          <w:rPr>
            <w:rStyle w:val="Hyperlink"/>
          </w:rPr>
          <w:t>1.2.5</w:t>
        </w:r>
        <w:r w:rsidR="007D4F04" w:rsidRPr="004874DC">
          <w:rPr>
            <w:rFonts w:ascii="Calibri" w:hAnsi="Calibri"/>
            <w:lang w:bidi="ar-SA"/>
          </w:rPr>
          <w:tab/>
        </w:r>
        <w:r w:rsidR="007D4F04" w:rsidRPr="004874DC">
          <w:rPr>
            <w:rStyle w:val="Hyperlink"/>
          </w:rPr>
          <w:t>Pradėti skaidrų dialogą dėl energijos kainų, sąnaudų ir naudos</w:t>
        </w:r>
        <w:r w:rsidR="007D4F04" w:rsidRPr="004874DC">
          <w:rPr>
            <w:webHidden/>
          </w:rPr>
          <w:tab/>
        </w:r>
        <w:r w:rsidR="007D4F04" w:rsidRPr="004874DC">
          <w:rPr>
            <w:webHidden/>
          </w:rPr>
          <w:fldChar w:fldCharType="begin"/>
        </w:r>
        <w:r w:rsidR="007D4F04" w:rsidRPr="004874DC">
          <w:rPr>
            <w:webHidden/>
          </w:rPr>
          <w:instrText xml:space="preserve"> PAGEREF _Toc409515352 \h </w:instrText>
        </w:r>
        <w:r w:rsidR="007D4F04" w:rsidRPr="004874DC">
          <w:rPr>
            <w:webHidden/>
          </w:rPr>
        </w:r>
        <w:r w:rsidR="007D4F04" w:rsidRPr="004874DC">
          <w:rPr>
            <w:webHidden/>
          </w:rPr>
          <w:fldChar w:fldCharType="separate"/>
        </w:r>
        <w:r w:rsidR="003C4168" w:rsidRPr="004874DC">
          <w:rPr>
            <w:webHidden/>
          </w:rPr>
          <w:t>9</w:t>
        </w:r>
        <w:r w:rsidR="007D4F04" w:rsidRPr="004874DC">
          <w:rPr>
            <w:webHidden/>
          </w:rPr>
          <w:fldChar w:fldCharType="end"/>
        </w:r>
      </w:hyperlink>
    </w:p>
    <w:p w:rsidR="007D4F04" w:rsidRPr="004874DC" w:rsidRDefault="00E04E46">
      <w:pPr>
        <w:pStyle w:val="TOC3"/>
        <w:tabs>
          <w:tab w:val="left" w:pos="1100"/>
          <w:tab w:val="right" w:leader="dot" w:pos="9063"/>
        </w:tabs>
        <w:rPr>
          <w:rFonts w:ascii="Calibri" w:hAnsi="Calibri"/>
          <w:lang w:bidi="ar-SA"/>
        </w:rPr>
      </w:pPr>
      <w:hyperlink w:anchor="_Toc409515353" w:history="1">
        <w:r w:rsidR="007D4F04" w:rsidRPr="004874DC">
          <w:rPr>
            <w:rStyle w:val="Hyperlink"/>
          </w:rPr>
          <w:t>1.2.6</w:t>
        </w:r>
        <w:r w:rsidR="007D4F04" w:rsidRPr="004874DC">
          <w:rPr>
            <w:rFonts w:ascii="Calibri" w:hAnsi="Calibri"/>
            <w:lang w:bidi="ar-SA"/>
          </w:rPr>
          <w:tab/>
        </w:r>
        <w:r w:rsidR="007D4F04" w:rsidRPr="004874DC">
          <w:rPr>
            <w:rStyle w:val="Hyperlink"/>
          </w:rPr>
          <w:t>Perėjimo prie kitokio energijos vartojimo modelio socialinių pasekmių švelninimas</w:t>
        </w:r>
        <w:r w:rsidR="007D4F04" w:rsidRPr="004874DC">
          <w:rPr>
            <w:webHidden/>
          </w:rPr>
          <w:tab/>
        </w:r>
        <w:r w:rsidR="007D4F04" w:rsidRPr="004874DC">
          <w:rPr>
            <w:webHidden/>
          </w:rPr>
          <w:fldChar w:fldCharType="begin"/>
        </w:r>
        <w:r w:rsidR="007D4F04" w:rsidRPr="004874DC">
          <w:rPr>
            <w:webHidden/>
          </w:rPr>
          <w:instrText xml:space="preserve"> PAGEREF _Toc409515353 \h </w:instrText>
        </w:r>
        <w:r w:rsidR="007D4F04" w:rsidRPr="004874DC">
          <w:rPr>
            <w:webHidden/>
          </w:rPr>
        </w:r>
        <w:r w:rsidR="007D4F04" w:rsidRPr="004874DC">
          <w:rPr>
            <w:webHidden/>
          </w:rPr>
          <w:fldChar w:fldCharType="separate"/>
        </w:r>
        <w:r w:rsidR="003C4168" w:rsidRPr="004874DC">
          <w:rPr>
            <w:webHidden/>
          </w:rPr>
          <w:t>9</w:t>
        </w:r>
        <w:r w:rsidR="007D4F04" w:rsidRPr="004874DC">
          <w:rPr>
            <w:webHidden/>
          </w:rPr>
          <w:fldChar w:fldCharType="end"/>
        </w:r>
      </w:hyperlink>
    </w:p>
    <w:p w:rsidR="007D4F04" w:rsidRPr="004874DC" w:rsidRDefault="00E04E46">
      <w:pPr>
        <w:pStyle w:val="TOC1"/>
        <w:rPr>
          <w:rFonts w:ascii="Calibri" w:hAnsi="Calibri"/>
          <w:lang w:bidi="ar-SA"/>
        </w:rPr>
      </w:pPr>
      <w:hyperlink w:anchor="_Toc409515354" w:history="1">
        <w:r w:rsidR="007D4F04" w:rsidRPr="004874DC">
          <w:rPr>
            <w:rStyle w:val="Hyperlink"/>
          </w:rPr>
          <w:t>2.</w:t>
        </w:r>
        <w:r w:rsidR="007D4F04" w:rsidRPr="004874DC">
          <w:rPr>
            <w:rFonts w:ascii="Calibri" w:hAnsi="Calibri"/>
            <w:lang w:bidi="ar-SA"/>
          </w:rPr>
          <w:tab/>
        </w:r>
        <w:r w:rsidR="007D4F04" w:rsidRPr="004874DC">
          <w:rPr>
            <w:rStyle w:val="Hyperlink"/>
          </w:rPr>
          <w:t>Įžanga</w:t>
        </w:r>
        <w:r w:rsidR="007D4F04" w:rsidRPr="004874DC">
          <w:rPr>
            <w:webHidden/>
          </w:rPr>
          <w:tab/>
        </w:r>
        <w:r w:rsidR="007D4F04" w:rsidRPr="004874DC">
          <w:rPr>
            <w:webHidden/>
          </w:rPr>
          <w:fldChar w:fldCharType="begin"/>
        </w:r>
        <w:r w:rsidR="007D4F04" w:rsidRPr="004874DC">
          <w:rPr>
            <w:webHidden/>
          </w:rPr>
          <w:instrText xml:space="preserve"> PAGEREF _Toc409515354 \h </w:instrText>
        </w:r>
        <w:r w:rsidR="007D4F04" w:rsidRPr="004874DC">
          <w:rPr>
            <w:webHidden/>
          </w:rPr>
        </w:r>
        <w:r w:rsidR="007D4F04" w:rsidRPr="004874DC">
          <w:rPr>
            <w:webHidden/>
          </w:rPr>
          <w:fldChar w:fldCharType="separate"/>
        </w:r>
        <w:r w:rsidR="003C4168" w:rsidRPr="004874DC">
          <w:rPr>
            <w:webHidden/>
          </w:rPr>
          <w:t>9</w:t>
        </w:r>
        <w:r w:rsidR="007D4F04" w:rsidRPr="004874DC">
          <w:rPr>
            <w:webHidden/>
          </w:rPr>
          <w:fldChar w:fldCharType="end"/>
        </w:r>
      </w:hyperlink>
    </w:p>
    <w:p w:rsidR="007D4F04" w:rsidRPr="004874DC" w:rsidRDefault="00E04E46">
      <w:pPr>
        <w:pStyle w:val="TOC1"/>
        <w:rPr>
          <w:rFonts w:ascii="Calibri" w:hAnsi="Calibri"/>
          <w:lang w:bidi="ar-SA"/>
        </w:rPr>
      </w:pPr>
      <w:hyperlink w:anchor="_Toc409515355" w:history="1">
        <w:r w:rsidR="007D4F04" w:rsidRPr="004874DC">
          <w:rPr>
            <w:rStyle w:val="Hyperlink"/>
          </w:rPr>
          <w:t>3.</w:t>
        </w:r>
        <w:r w:rsidR="007D4F04" w:rsidRPr="004874DC">
          <w:rPr>
            <w:rFonts w:ascii="Calibri" w:hAnsi="Calibri"/>
            <w:lang w:bidi="ar-SA"/>
          </w:rPr>
          <w:tab/>
        </w:r>
        <w:r w:rsidR="007D4F04" w:rsidRPr="004874DC">
          <w:rPr>
            <w:rStyle w:val="Hyperlink"/>
          </w:rPr>
          <w:t>Tyrimo metodas</w:t>
        </w:r>
        <w:r w:rsidR="007D4F04" w:rsidRPr="004874DC">
          <w:rPr>
            <w:webHidden/>
          </w:rPr>
          <w:tab/>
        </w:r>
        <w:r w:rsidR="007D4F04" w:rsidRPr="004874DC">
          <w:rPr>
            <w:webHidden/>
          </w:rPr>
          <w:fldChar w:fldCharType="begin"/>
        </w:r>
        <w:r w:rsidR="007D4F04" w:rsidRPr="004874DC">
          <w:rPr>
            <w:webHidden/>
          </w:rPr>
          <w:instrText xml:space="preserve"> PAGEREF _Toc409515355 \h </w:instrText>
        </w:r>
        <w:r w:rsidR="007D4F04" w:rsidRPr="004874DC">
          <w:rPr>
            <w:webHidden/>
          </w:rPr>
        </w:r>
        <w:r w:rsidR="007D4F04" w:rsidRPr="004874DC">
          <w:rPr>
            <w:webHidden/>
          </w:rPr>
          <w:fldChar w:fldCharType="separate"/>
        </w:r>
        <w:r w:rsidR="003C4168" w:rsidRPr="004874DC">
          <w:rPr>
            <w:webHidden/>
          </w:rPr>
          <w:t>12</w:t>
        </w:r>
        <w:r w:rsidR="007D4F04" w:rsidRPr="004874DC">
          <w:rPr>
            <w:webHidden/>
          </w:rPr>
          <w:fldChar w:fldCharType="end"/>
        </w:r>
      </w:hyperlink>
    </w:p>
    <w:p w:rsidR="007D4F04" w:rsidRPr="004874DC" w:rsidRDefault="00E04E46">
      <w:pPr>
        <w:pStyle w:val="TOC2"/>
        <w:rPr>
          <w:rFonts w:ascii="Calibri" w:hAnsi="Calibri"/>
          <w:lang w:bidi="ar-SA"/>
        </w:rPr>
      </w:pPr>
      <w:hyperlink w:anchor="_Toc409515356" w:history="1">
        <w:r w:rsidR="007D4F04" w:rsidRPr="004874DC">
          <w:rPr>
            <w:rStyle w:val="Hyperlink"/>
          </w:rPr>
          <w:t>3.1</w:t>
        </w:r>
        <w:r w:rsidR="007D4F04" w:rsidRPr="004874DC">
          <w:rPr>
            <w:rFonts w:ascii="Calibri" w:hAnsi="Calibri"/>
            <w:lang w:bidi="ar-SA"/>
          </w:rPr>
          <w:tab/>
        </w:r>
        <w:r w:rsidR="007D4F04" w:rsidRPr="004874DC">
          <w:rPr>
            <w:rStyle w:val="Hyperlink"/>
          </w:rPr>
          <w:t>Tikslai</w:t>
        </w:r>
        <w:r w:rsidR="007D4F04" w:rsidRPr="004874DC">
          <w:rPr>
            <w:webHidden/>
          </w:rPr>
          <w:tab/>
        </w:r>
        <w:r w:rsidR="007D4F04" w:rsidRPr="004874DC">
          <w:rPr>
            <w:webHidden/>
          </w:rPr>
          <w:fldChar w:fldCharType="begin"/>
        </w:r>
        <w:r w:rsidR="007D4F04" w:rsidRPr="004874DC">
          <w:rPr>
            <w:webHidden/>
          </w:rPr>
          <w:instrText xml:space="preserve"> PAGEREF _Toc409515356 \h </w:instrText>
        </w:r>
        <w:r w:rsidR="007D4F04" w:rsidRPr="004874DC">
          <w:rPr>
            <w:webHidden/>
          </w:rPr>
        </w:r>
        <w:r w:rsidR="007D4F04" w:rsidRPr="004874DC">
          <w:rPr>
            <w:webHidden/>
          </w:rPr>
          <w:fldChar w:fldCharType="separate"/>
        </w:r>
        <w:r w:rsidR="003C4168" w:rsidRPr="004874DC">
          <w:rPr>
            <w:webHidden/>
          </w:rPr>
          <w:t>12</w:t>
        </w:r>
        <w:r w:rsidR="007D4F04" w:rsidRPr="004874DC">
          <w:rPr>
            <w:webHidden/>
          </w:rPr>
          <w:fldChar w:fldCharType="end"/>
        </w:r>
      </w:hyperlink>
    </w:p>
    <w:p w:rsidR="007D4F04" w:rsidRPr="004874DC" w:rsidRDefault="00E04E46">
      <w:pPr>
        <w:pStyle w:val="TOC2"/>
        <w:rPr>
          <w:rFonts w:ascii="Calibri" w:hAnsi="Calibri"/>
          <w:lang w:bidi="ar-SA"/>
        </w:rPr>
      </w:pPr>
      <w:hyperlink w:anchor="_Toc409515357" w:history="1">
        <w:r w:rsidR="007D4F04" w:rsidRPr="004874DC">
          <w:rPr>
            <w:rStyle w:val="Hyperlink"/>
          </w:rPr>
          <w:t>3.2</w:t>
        </w:r>
        <w:r w:rsidR="007D4F04" w:rsidRPr="004874DC">
          <w:rPr>
            <w:rFonts w:ascii="Calibri" w:hAnsi="Calibri"/>
            <w:lang w:bidi="ar-SA"/>
          </w:rPr>
          <w:tab/>
        </w:r>
        <w:r w:rsidR="007D4F04" w:rsidRPr="004874DC">
          <w:rPr>
            <w:rStyle w:val="Hyperlink"/>
          </w:rPr>
          <w:t>Metodika</w:t>
        </w:r>
        <w:r w:rsidR="007D4F04" w:rsidRPr="004874DC">
          <w:rPr>
            <w:webHidden/>
          </w:rPr>
          <w:tab/>
        </w:r>
        <w:r w:rsidR="007D4F04" w:rsidRPr="004874DC">
          <w:rPr>
            <w:webHidden/>
          </w:rPr>
          <w:fldChar w:fldCharType="begin"/>
        </w:r>
        <w:r w:rsidR="007D4F04" w:rsidRPr="004874DC">
          <w:rPr>
            <w:webHidden/>
          </w:rPr>
          <w:instrText xml:space="preserve"> PAGEREF _Toc409515357 \h </w:instrText>
        </w:r>
        <w:r w:rsidR="007D4F04" w:rsidRPr="004874DC">
          <w:rPr>
            <w:webHidden/>
          </w:rPr>
        </w:r>
        <w:r w:rsidR="007D4F04" w:rsidRPr="004874DC">
          <w:rPr>
            <w:webHidden/>
          </w:rPr>
          <w:fldChar w:fldCharType="separate"/>
        </w:r>
        <w:r w:rsidR="003C4168" w:rsidRPr="004874DC">
          <w:rPr>
            <w:webHidden/>
          </w:rPr>
          <w:t>12</w:t>
        </w:r>
        <w:r w:rsidR="007D4F04" w:rsidRPr="004874DC">
          <w:rPr>
            <w:webHidden/>
          </w:rPr>
          <w:fldChar w:fldCharType="end"/>
        </w:r>
      </w:hyperlink>
    </w:p>
    <w:p w:rsidR="007D4F04" w:rsidRPr="004874DC" w:rsidRDefault="00E04E46">
      <w:pPr>
        <w:pStyle w:val="TOC1"/>
        <w:rPr>
          <w:rFonts w:ascii="Calibri" w:hAnsi="Calibri"/>
          <w:lang w:bidi="ar-SA"/>
        </w:rPr>
      </w:pPr>
      <w:hyperlink w:anchor="_Toc409515358" w:history="1">
        <w:r w:rsidR="007D4F04" w:rsidRPr="004874DC">
          <w:rPr>
            <w:rStyle w:val="Hyperlink"/>
          </w:rPr>
          <w:t>4.</w:t>
        </w:r>
        <w:r w:rsidR="007D4F04" w:rsidRPr="004874DC">
          <w:rPr>
            <w:rFonts w:ascii="Calibri" w:hAnsi="Calibri"/>
            <w:lang w:bidi="ar-SA"/>
          </w:rPr>
          <w:tab/>
        </w:r>
        <w:r w:rsidR="007D4F04" w:rsidRPr="004874DC">
          <w:rPr>
            <w:rStyle w:val="Hyperlink"/>
          </w:rPr>
          <w:t>ES atsinaujinančių išteklių energijos srityje padarytos pažangos apžvalga</w:t>
        </w:r>
        <w:r w:rsidR="007D4F04" w:rsidRPr="004874DC">
          <w:rPr>
            <w:webHidden/>
          </w:rPr>
          <w:tab/>
        </w:r>
        <w:r w:rsidR="007D4F04" w:rsidRPr="004874DC">
          <w:rPr>
            <w:webHidden/>
          </w:rPr>
          <w:fldChar w:fldCharType="begin"/>
        </w:r>
        <w:r w:rsidR="007D4F04" w:rsidRPr="004874DC">
          <w:rPr>
            <w:webHidden/>
          </w:rPr>
          <w:instrText xml:space="preserve"> PAGEREF _Toc409515358 \h </w:instrText>
        </w:r>
        <w:r w:rsidR="007D4F04" w:rsidRPr="004874DC">
          <w:rPr>
            <w:webHidden/>
          </w:rPr>
        </w:r>
        <w:r w:rsidR="007D4F04" w:rsidRPr="004874DC">
          <w:rPr>
            <w:webHidden/>
          </w:rPr>
          <w:fldChar w:fldCharType="separate"/>
        </w:r>
        <w:r w:rsidR="003C4168" w:rsidRPr="004874DC">
          <w:rPr>
            <w:webHidden/>
          </w:rPr>
          <w:t>13</w:t>
        </w:r>
        <w:r w:rsidR="007D4F04" w:rsidRPr="004874DC">
          <w:rPr>
            <w:webHidden/>
          </w:rPr>
          <w:fldChar w:fldCharType="end"/>
        </w:r>
      </w:hyperlink>
    </w:p>
    <w:p w:rsidR="007D4F04" w:rsidRPr="004874DC" w:rsidRDefault="00E04E46">
      <w:pPr>
        <w:pStyle w:val="TOC1"/>
        <w:rPr>
          <w:rFonts w:ascii="Calibri" w:hAnsi="Calibri"/>
          <w:lang w:bidi="ar-SA"/>
        </w:rPr>
      </w:pPr>
      <w:hyperlink w:anchor="_Toc409515359" w:history="1">
        <w:r w:rsidR="007D4F04" w:rsidRPr="004874DC">
          <w:rPr>
            <w:rStyle w:val="Hyperlink"/>
          </w:rPr>
          <w:t>5.</w:t>
        </w:r>
        <w:r w:rsidR="007D4F04" w:rsidRPr="004874DC">
          <w:rPr>
            <w:rFonts w:ascii="Calibri" w:hAnsi="Calibri"/>
            <w:lang w:bidi="ar-SA"/>
          </w:rPr>
          <w:tab/>
        </w:r>
        <w:r w:rsidR="007D4F04" w:rsidRPr="004874DC">
          <w:rPr>
            <w:rStyle w:val="Hyperlink"/>
          </w:rPr>
          <w:t>Pilietinės visuomenės dalyvavimas ir „piliečių atsinaujinančių išteklių energija“</w:t>
        </w:r>
        <w:r w:rsidR="007D4F04" w:rsidRPr="004874DC">
          <w:rPr>
            <w:webHidden/>
          </w:rPr>
          <w:tab/>
        </w:r>
        <w:r w:rsidR="007D4F04" w:rsidRPr="004874DC">
          <w:rPr>
            <w:webHidden/>
          </w:rPr>
          <w:fldChar w:fldCharType="begin"/>
        </w:r>
        <w:r w:rsidR="007D4F04" w:rsidRPr="004874DC">
          <w:rPr>
            <w:webHidden/>
          </w:rPr>
          <w:instrText xml:space="preserve"> PAGEREF _Toc409515359 \h </w:instrText>
        </w:r>
        <w:r w:rsidR="007D4F04" w:rsidRPr="004874DC">
          <w:rPr>
            <w:webHidden/>
          </w:rPr>
        </w:r>
        <w:r w:rsidR="007D4F04" w:rsidRPr="004874DC">
          <w:rPr>
            <w:webHidden/>
          </w:rPr>
          <w:fldChar w:fldCharType="separate"/>
        </w:r>
        <w:r w:rsidR="003C4168" w:rsidRPr="004874DC">
          <w:rPr>
            <w:webHidden/>
          </w:rPr>
          <w:t>15</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0" w:history="1">
        <w:r w:rsidR="007D4F04" w:rsidRPr="004874DC">
          <w:rPr>
            <w:rStyle w:val="Hyperlink"/>
          </w:rPr>
          <w:t>5.3</w:t>
        </w:r>
        <w:r w:rsidR="007D4F04" w:rsidRPr="004874DC">
          <w:rPr>
            <w:rFonts w:ascii="Calibri" w:hAnsi="Calibri"/>
            <w:lang w:bidi="ar-SA"/>
          </w:rPr>
          <w:tab/>
        </w:r>
        <w:r w:rsidR="007D4F04" w:rsidRPr="004874DC">
          <w:rPr>
            <w:rStyle w:val="Hyperlink"/>
          </w:rPr>
          <w:t>„Piliečių energija“ padeda išlaisvinti lėšas, reikalingas perėjimui prie atsinaujinančių išteklių energijos</w:t>
        </w:r>
        <w:r w:rsidR="007D4F04" w:rsidRPr="004874DC">
          <w:rPr>
            <w:webHidden/>
          </w:rPr>
          <w:tab/>
        </w:r>
        <w:r w:rsidR="007D4F04" w:rsidRPr="004874DC">
          <w:rPr>
            <w:webHidden/>
          </w:rPr>
          <w:fldChar w:fldCharType="begin"/>
        </w:r>
        <w:r w:rsidR="007D4F04" w:rsidRPr="004874DC">
          <w:rPr>
            <w:webHidden/>
          </w:rPr>
          <w:instrText xml:space="preserve"> PAGEREF _Toc409515360 \h </w:instrText>
        </w:r>
        <w:r w:rsidR="007D4F04" w:rsidRPr="004874DC">
          <w:rPr>
            <w:webHidden/>
          </w:rPr>
        </w:r>
        <w:r w:rsidR="007D4F04" w:rsidRPr="004874DC">
          <w:rPr>
            <w:webHidden/>
          </w:rPr>
          <w:fldChar w:fldCharType="separate"/>
        </w:r>
        <w:r w:rsidR="003C4168" w:rsidRPr="004874DC">
          <w:rPr>
            <w:webHidden/>
          </w:rPr>
          <w:t>17</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1" w:history="1">
        <w:r w:rsidR="007D4F04" w:rsidRPr="004874DC">
          <w:rPr>
            <w:rStyle w:val="Hyperlink"/>
          </w:rPr>
          <w:t>5.4</w:t>
        </w:r>
        <w:r w:rsidR="007D4F04" w:rsidRPr="004874DC">
          <w:rPr>
            <w:rFonts w:ascii="Calibri" w:hAnsi="Calibri"/>
            <w:lang w:bidi="ar-SA"/>
          </w:rPr>
          <w:tab/>
        </w:r>
        <w:r w:rsidR="007D4F04" w:rsidRPr="004874DC">
          <w:rPr>
            <w:rStyle w:val="Hyperlink"/>
          </w:rPr>
          <w:t>„Piliečių atsinaujinančių išteklių energija“ padeda skatinti bendruomenės vystymąsi ir kovoti su energijos nepritekliumi</w:t>
        </w:r>
        <w:r w:rsidR="007D4F04" w:rsidRPr="004874DC">
          <w:rPr>
            <w:webHidden/>
          </w:rPr>
          <w:tab/>
        </w:r>
        <w:r w:rsidR="007D4F04" w:rsidRPr="004874DC">
          <w:rPr>
            <w:webHidden/>
          </w:rPr>
          <w:fldChar w:fldCharType="begin"/>
        </w:r>
        <w:r w:rsidR="007D4F04" w:rsidRPr="004874DC">
          <w:rPr>
            <w:webHidden/>
          </w:rPr>
          <w:instrText xml:space="preserve"> PAGEREF _Toc409515361 \h </w:instrText>
        </w:r>
        <w:r w:rsidR="007D4F04" w:rsidRPr="004874DC">
          <w:rPr>
            <w:webHidden/>
          </w:rPr>
        </w:r>
        <w:r w:rsidR="007D4F04" w:rsidRPr="004874DC">
          <w:rPr>
            <w:webHidden/>
          </w:rPr>
          <w:fldChar w:fldCharType="separate"/>
        </w:r>
        <w:r w:rsidR="003C4168" w:rsidRPr="004874DC">
          <w:rPr>
            <w:webHidden/>
          </w:rPr>
          <w:t>18</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2" w:history="1">
        <w:r w:rsidR="007D4F04" w:rsidRPr="004874DC">
          <w:rPr>
            <w:rStyle w:val="Hyperlink"/>
          </w:rPr>
          <w:t>5.5</w:t>
        </w:r>
        <w:r w:rsidR="007D4F04" w:rsidRPr="004874DC">
          <w:rPr>
            <w:rFonts w:ascii="Calibri" w:hAnsi="Calibri"/>
            <w:lang w:bidi="ar-SA"/>
          </w:rPr>
          <w:tab/>
        </w:r>
        <w:r w:rsidR="007D4F04" w:rsidRPr="004874DC">
          <w:rPr>
            <w:rStyle w:val="Hyperlink"/>
          </w:rPr>
          <w:t>„Piliečių energijos“ iš atsinaujinančiųjų išteklių gamyba – svarbus darbo vietų kūrimo ir ekonomikos augimo veiksnys</w:t>
        </w:r>
        <w:r w:rsidR="007D4F04" w:rsidRPr="004874DC">
          <w:rPr>
            <w:webHidden/>
          </w:rPr>
          <w:tab/>
        </w:r>
        <w:r w:rsidR="007D4F04" w:rsidRPr="004874DC">
          <w:rPr>
            <w:webHidden/>
          </w:rPr>
          <w:fldChar w:fldCharType="begin"/>
        </w:r>
        <w:r w:rsidR="007D4F04" w:rsidRPr="004874DC">
          <w:rPr>
            <w:webHidden/>
          </w:rPr>
          <w:instrText xml:space="preserve"> PAGEREF _Toc409515362 \h </w:instrText>
        </w:r>
        <w:r w:rsidR="007D4F04" w:rsidRPr="004874DC">
          <w:rPr>
            <w:webHidden/>
          </w:rPr>
        </w:r>
        <w:r w:rsidR="007D4F04" w:rsidRPr="004874DC">
          <w:rPr>
            <w:webHidden/>
          </w:rPr>
          <w:fldChar w:fldCharType="separate"/>
        </w:r>
        <w:r w:rsidR="003C4168" w:rsidRPr="004874DC">
          <w:rPr>
            <w:webHidden/>
          </w:rPr>
          <w:t>20</w:t>
        </w:r>
        <w:r w:rsidR="007D4F04" w:rsidRPr="004874DC">
          <w:rPr>
            <w:webHidden/>
          </w:rPr>
          <w:fldChar w:fldCharType="end"/>
        </w:r>
      </w:hyperlink>
    </w:p>
    <w:p w:rsidR="007D4F04" w:rsidRPr="004874DC" w:rsidRDefault="00E04E46">
      <w:pPr>
        <w:pStyle w:val="TOC1"/>
        <w:rPr>
          <w:rFonts w:ascii="Calibri" w:hAnsi="Calibri"/>
          <w:lang w:bidi="ar-SA"/>
        </w:rPr>
      </w:pPr>
      <w:hyperlink w:anchor="_Toc409515363" w:history="1">
        <w:r w:rsidR="007D4F04" w:rsidRPr="004874DC">
          <w:rPr>
            <w:rStyle w:val="Hyperlink"/>
          </w:rPr>
          <w:t>6.</w:t>
        </w:r>
        <w:r w:rsidR="007D4F04" w:rsidRPr="004874DC">
          <w:rPr>
            <w:rFonts w:ascii="Calibri" w:hAnsi="Calibri"/>
            <w:lang w:bidi="ar-SA"/>
          </w:rPr>
          <w:tab/>
        </w:r>
        <w:r w:rsidR="007D4F04" w:rsidRPr="004874DC">
          <w:rPr>
            <w:rStyle w:val="Hyperlink"/>
          </w:rPr>
          <w:t>Debatai dėl atsinaujinančių išteklių energijos kainų ir sąnaudų</w:t>
        </w:r>
        <w:r w:rsidR="007D4F04" w:rsidRPr="004874DC">
          <w:rPr>
            <w:webHidden/>
          </w:rPr>
          <w:tab/>
        </w:r>
        <w:r w:rsidR="007D4F04" w:rsidRPr="004874DC">
          <w:rPr>
            <w:webHidden/>
          </w:rPr>
          <w:fldChar w:fldCharType="begin"/>
        </w:r>
        <w:r w:rsidR="007D4F04" w:rsidRPr="004874DC">
          <w:rPr>
            <w:webHidden/>
          </w:rPr>
          <w:instrText xml:space="preserve"> PAGEREF _Toc409515363 \h </w:instrText>
        </w:r>
        <w:r w:rsidR="007D4F04" w:rsidRPr="004874DC">
          <w:rPr>
            <w:webHidden/>
          </w:rPr>
        </w:r>
        <w:r w:rsidR="007D4F04" w:rsidRPr="004874DC">
          <w:rPr>
            <w:webHidden/>
          </w:rPr>
          <w:fldChar w:fldCharType="separate"/>
        </w:r>
        <w:r w:rsidR="003C4168" w:rsidRPr="004874DC">
          <w:rPr>
            <w:webHidden/>
          </w:rPr>
          <w:t>20</w:t>
        </w:r>
        <w:r w:rsidR="007D4F04" w:rsidRPr="004874DC">
          <w:rPr>
            <w:webHidden/>
          </w:rPr>
          <w:fldChar w:fldCharType="end"/>
        </w:r>
      </w:hyperlink>
    </w:p>
    <w:p w:rsidR="007D4F04" w:rsidRPr="004874DC" w:rsidRDefault="00E04E46">
      <w:pPr>
        <w:pStyle w:val="TOC1"/>
        <w:rPr>
          <w:rFonts w:ascii="Calibri" w:hAnsi="Calibri"/>
          <w:lang w:bidi="ar-SA"/>
        </w:rPr>
      </w:pPr>
      <w:hyperlink w:anchor="_Toc409515364" w:history="1">
        <w:r w:rsidR="007D4F04" w:rsidRPr="004874DC">
          <w:rPr>
            <w:rStyle w:val="Hyperlink"/>
          </w:rPr>
          <w:t>7.</w:t>
        </w:r>
        <w:r w:rsidR="007D4F04" w:rsidRPr="004874DC">
          <w:rPr>
            <w:rFonts w:ascii="Calibri" w:hAnsi="Calibri"/>
            <w:lang w:bidi="ar-SA"/>
          </w:rPr>
          <w:tab/>
        </w:r>
        <w:r w:rsidR="007D4F04" w:rsidRPr="004874DC">
          <w:rPr>
            <w:rStyle w:val="Hyperlink"/>
          </w:rPr>
          <w:t>Kokios „piliečių energijos“ gamybos potencialo plėtojimo prielaidos?</w:t>
        </w:r>
        <w:r w:rsidR="007D4F04" w:rsidRPr="004874DC">
          <w:rPr>
            <w:webHidden/>
          </w:rPr>
          <w:tab/>
        </w:r>
        <w:r w:rsidR="007D4F04" w:rsidRPr="004874DC">
          <w:rPr>
            <w:webHidden/>
          </w:rPr>
          <w:fldChar w:fldCharType="begin"/>
        </w:r>
        <w:r w:rsidR="007D4F04" w:rsidRPr="004874DC">
          <w:rPr>
            <w:webHidden/>
          </w:rPr>
          <w:instrText xml:space="preserve"> PAGEREF _Toc409515364 \h </w:instrText>
        </w:r>
        <w:r w:rsidR="007D4F04" w:rsidRPr="004874DC">
          <w:rPr>
            <w:webHidden/>
          </w:rPr>
        </w:r>
        <w:r w:rsidR="007D4F04" w:rsidRPr="004874DC">
          <w:rPr>
            <w:webHidden/>
          </w:rPr>
          <w:fldChar w:fldCharType="separate"/>
        </w:r>
        <w:r w:rsidR="003C4168" w:rsidRPr="004874DC">
          <w:rPr>
            <w:webHidden/>
          </w:rPr>
          <w:t>22</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5" w:history="1">
        <w:r w:rsidR="007D4F04" w:rsidRPr="004874DC">
          <w:rPr>
            <w:rStyle w:val="Hyperlink"/>
          </w:rPr>
          <w:t>7.2</w:t>
        </w:r>
        <w:r w:rsidR="007D4F04" w:rsidRPr="004874DC">
          <w:rPr>
            <w:rFonts w:ascii="Calibri" w:hAnsi="Calibri"/>
            <w:lang w:bidi="ar-SA"/>
          </w:rPr>
          <w:tab/>
        </w:r>
        <w:r w:rsidR="007D4F04" w:rsidRPr="004874DC">
          <w:rPr>
            <w:rStyle w:val="Hyperlink"/>
          </w:rPr>
          <w:t>Tvirtas ir nuoseklus politinis pagrindas</w:t>
        </w:r>
        <w:r w:rsidR="007D4F04" w:rsidRPr="004874DC">
          <w:rPr>
            <w:webHidden/>
          </w:rPr>
          <w:tab/>
        </w:r>
        <w:r w:rsidR="007D4F04" w:rsidRPr="004874DC">
          <w:rPr>
            <w:webHidden/>
          </w:rPr>
          <w:fldChar w:fldCharType="begin"/>
        </w:r>
        <w:r w:rsidR="007D4F04" w:rsidRPr="004874DC">
          <w:rPr>
            <w:webHidden/>
          </w:rPr>
          <w:instrText xml:space="preserve"> PAGEREF _Toc409515365 \h </w:instrText>
        </w:r>
        <w:r w:rsidR="007D4F04" w:rsidRPr="004874DC">
          <w:rPr>
            <w:webHidden/>
          </w:rPr>
        </w:r>
        <w:r w:rsidR="007D4F04" w:rsidRPr="004874DC">
          <w:rPr>
            <w:webHidden/>
          </w:rPr>
          <w:fldChar w:fldCharType="separate"/>
        </w:r>
        <w:r w:rsidR="003C4168" w:rsidRPr="004874DC">
          <w:rPr>
            <w:webHidden/>
          </w:rPr>
          <w:t>23</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6" w:history="1">
        <w:r w:rsidR="007D4F04" w:rsidRPr="004874DC">
          <w:rPr>
            <w:rStyle w:val="Hyperlink"/>
          </w:rPr>
          <w:t>7.3</w:t>
        </w:r>
        <w:r w:rsidR="007D4F04" w:rsidRPr="004874DC">
          <w:rPr>
            <w:rFonts w:ascii="Calibri" w:hAnsi="Calibri"/>
            <w:lang w:bidi="ar-SA"/>
          </w:rPr>
          <w:tab/>
        </w:r>
        <w:r w:rsidR="007D4F04" w:rsidRPr="004874DC">
          <w:rPr>
            <w:rStyle w:val="Hyperlink"/>
          </w:rPr>
          <w:t>Skaidrus ir įtraukus politikos formavimo procesas</w:t>
        </w:r>
        <w:r w:rsidR="007D4F04" w:rsidRPr="004874DC">
          <w:rPr>
            <w:webHidden/>
          </w:rPr>
          <w:tab/>
        </w:r>
        <w:r w:rsidR="007D4F04" w:rsidRPr="004874DC">
          <w:rPr>
            <w:webHidden/>
          </w:rPr>
          <w:fldChar w:fldCharType="begin"/>
        </w:r>
        <w:r w:rsidR="007D4F04" w:rsidRPr="004874DC">
          <w:rPr>
            <w:webHidden/>
          </w:rPr>
          <w:instrText xml:space="preserve"> PAGEREF _Toc409515366 \h </w:instrText>
        </w:r>
        <w:r w:rsidR="007D4F04" w:rsidRPr="004874DC">
          <w:rPr>
            <w:webHidden/>
          </w:rPr>
        </w:r>
        <w:r w:rsidR="007D4F04" w:rsidRPr="004874DC">
          <w:rPr>
            <w:webHidden/>
          </w:rPr>
          <w:fldChar w:fldCharType="separate"/>
        </w:r>
        <w:r w:rsidR="003C4168" w:rsidRPr="004874DC">
          <w:rPr>
            <w:webHidden/>
          </w:rPr>
          <w:t>25</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7" w:history="1">
        <w:r w:rsidR="007D4F04" w:rsidRPr="004874DC">
          <w:rPr>
            <w:rStyle w:val="Hyperlink"/>
          </w:rPr>
          <w:t>7.4</w:t>
        </w:r>
        <w:r w:rsidR="007D4F04" w:rsidRPr="004874DC">
          <w:rPr>
            <w:rFonts w:ascii="Calibri" w:hAnsi="Calibri"/>
            <w:lang w:bidi="ar-SA"/>
          </w:rPr>
          <w:tab/>
        </w:r>
        <w:r w:rsidR="007D4F04" w:rsidRPr="004874DC">
          <w:rPr>
            <w:rStyle w:val="Hyperlink"/>
          </w:rPr>
          <w:t>Paprastos ir skaidrios administracinės procedūros</w:t>
        </w:r>
        <w:r w:rsidR="007D4F04" w:rsidRPr="004874DC">
          <w:rPr>
            <w:webHidden/>
          </w:rPr>
          <w:tab/>
        </w:r>
        <w:r w:rsidR="007D4F04" w:rsidRPr="004874DC">
          <w:rPr>
            <w:webHidden/>
          </w:rPr>
          <w:fldChar w:fldCharType="begin"/>
        </w:r>
        <w:r w:rsidR="007D4F04" w:rsidRPr="004874DC">
          <w:rPr>
            <w:webHidden/>
          </w:rPr>
          <w:instrText xml:space="preserve"> PAGEREF _Toc409515367 \h </w:instrText>
        </w:r>
        <w:r w:rsidR="007D4F04" w:rsidRPr="004874DC">
          <w:rPr>
            <w:webHidden/>
          </w:rPr>
        </w:r>
        <w:r w:rsidR="007D4F04" w:rsidRPr="004874DC">
          <w:rPr>
            <w:webHidden/>
          </w:rPr>
          <w:fldChar w:fldCharType="separate"/>
        </w:r>
        <w:r w:rsidR="003C4168" w:rsidRPr="004874DC">
          <w:rPr>
            <w:webHidden/>
          </w:rPr>
          <w:t>25</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8" w:history="1">
        <w:r w:rsidR="007D4F04" w:rsidRPr="004874DC">
          <w:rPr>
            <w:rStyle w:val="Hyperlink"/>
          </w:rPr>
          <w:t>7.5</w:t>
        </w:r>
        <w:r w:rsidR="007D4F04" w:rsidRPr="004874DC">
          <w:rPr>
            <w:rFonts w:ascii="Calibri" w:hAnsi="Calibri"/>
            <w:lang w:bidi="ar-SA"/>
          </w:rPr>
          <w:tab/>
        </w:r>
        <w:r w:rsidR="007D4F04" w:rsidRPr="004874DC">
          <w:rPr>
            <w:rStyle w:val="Hyperlink"/>
          </w:rPr>
          <w:t>Paramos schemų koregavimas pagal decentralizuotos piliečių atsinaujinančių išteklių energijos poreikius</w:t>
        </w:r>
        <w:r w:rsidR="007D4F04" w:rsidRPr="004874DC">
          <w:rPr>
            <w:webHidden/>
          </w:rPr>
          <w:tab/>
        </w:r>
        <w:r w:rsidR="007D4F04" w:rsidRPr="004874DC">
          <w:rPr>
            <w:webHidden/>
          </w:rPr>
          <w:fldChar w:fldCharType="begin"/>
        </w:r>
        <w:r w:rsidR="007D4F04" w:rsidRPr="004874DC">
          <w:rPr>
            <w:webHidden/>
          </w:rPr>
          <w:instrText xml:space="preserve"> PAGEREF _Toc409515368 \h </w:instrText>
        </w:r>
        <w:r w:rsidR="007D4F04" w:rsidRPr="004874DC">
          <w:rPr>
            <w:webHidden/>
          </w:rPr>
        </w:r>
        <w:r w:rsidR="007D4F04" w:rsidRPr="004874DC">
          <w:rPr>
            <w:webHidden/>
          </w:rPr>
          <w:fldChar w:fldCharType="separate"/>
        </w:r>
        <w:r w:rsidR="003C4168" w:rsidRPr="004874DC">
          <w:rPr>
            <w:webHidden/>
          </w:rPr>
          <w:t>25</w:t>
        </w:r>
        <w:r w:rsidR="007D4F04" w:rsidRPr="004874DC">
          <w:rPr>
            <w:webHidden/>
          </w:rPr>
          <w:fldChar w:fldCharType="end"/>
        </w:r>
      </w:hyperlink>
    </w:p>
    <w:p w:rsidR="007D4F04" w:rsidRPr="004874DC" w:rsidRDefault="00E04E46">
      <w:pPr>
        <w:pStyle w:val="TOC2"/>
        <w:rPr>
          <w:rFonts w:ascii="Calibri" w:hAnsi="Calibri"/>
          <w:lang w:bidi="ar-SA"/>
        </w:rPr>
      </w:pPr>
      <w:hyperlink w:anchor="_Toc409515369" w:history="1">
        <w:r w:rsidR="007D4F04" w:rsidRPr="004874DC">
          <w:rPr>
            <w:rStyle w:val="Hyperlink"/>
          </w:rPr>
          <w:t>7.6</w:t>
        </w:r>
        <w:r w:rsidR="007D4F04" w:rsidRPr="004874DC">
          <w:rPr>
            <w:rFonts w:ascii="Calibri" w:hAnsi="Calibri"/>
            <w:lang w:bidi="ar-SA"/>
          </w:rPr>
          <w:tab/>
        </w:r>
        <w:r w:rsidR="007D4F04" w:rsidRPr="004874DC">
          <w:rPr>
            <w:rStyle w:val="Hyperlink"/>
          </w:rPr>
          <w:t>Piliečių atsinaujinančių išteklių energijai kylančių kliūčių šalinimas</w:t>
        </w:r>
        <w:r w:rsidR="007D4F04" w:rsidRPr="004874DC">
          <w:rPr>
            <w:webHidden/>
          </w:rPr>
          <w:tab/>
        </w:r>
        <w:r w:rsidR="007D4F04" w:rsidRPr="004874DC">
          <w:rPr>
            <w:webHidden/>
          </w:rPr>
          <w:fldChar w:fldCharType="begin"/>
        </w:r>
        <w:r w:rsidR="007D4F04" w:rsidRPr="004874DC">
          <w:rPr>
            <w:webHidden/>
          </w:rPr>
          <w:instrText xml:space="preserve"> PAGEREF _Toc409515369 \h </w:instrText>
        </w:r>
        <w:r w:rsidR="007D4F04" w:rsidRPr="004874DC">
          <w:rPr>
            <w:webHidden/>
          </w:rPr>
        </w:r>
        <w:r w:rsidR="007D4F04" w:rsidRPr="004874DC">
          <w:rPr>
            <w:webHidden/>
          </w:rPr>
          <w:fldChar w:fldCharType="separate"/>
        </w:r>
        <w:r w:rsidR="003C4168" w:rsidRPr="004874DC">
          <w:rPr>
            <w:webHidden/>
          </w:rPr>
          <w:t>28</w:t>
        </w:r>
        <w:r w:rsidR="007D4F04" w:rsidRPr="004874DC">
          <w:rPr>
            <w:webHidden/>
          </w:rPr>
          <w:fldChar w:fldCharType="end"/>
        </w:r>
      </w:hyperlink>
    </w:p>
    <w:p w:rsidR="007D4F04" w:rsidRPr="004874DC" w:rsidRDefault="00E04E46">
      <w:pPr>
        <w:pStyle w:val="TOC2"/>
        <w:rPr>
          <w:rFonts w:ascii="Calibri" w:hAnsi="Calibri"/>
          <w:lang w:bidi="ar-SA"/>
        </w:rPr>
      </w:pPr>
      <w:hyperlink w:anchor="_Toc409515370" w:history="1">
        <w:r w:rsidR="007D4F04" w:rsidRPr="004874DC">
          <w:rPr>
            <w:rStyle w:val="Hyperlink"/>
          </w:rPr>
          <w:t>7.7</w:t>
        </w:r>
        <w:r w:rsidR="007D4F04" w:rsidRPr="004874DC">
          <w:rPr>
            <w:rFonts w:ascii="Calibri" w:hAnsi="Calibri"/>
            <w:lang w:bidi="ar-SA"/>
          </w:rPr>
          <w:tab/>
        </w:r>
        <w:r w:rsidR="007D4F04" w:rsidRPr="004874DC">
          <w:rPr>
            <w:rStyle w:val="Hyperlink"/>
          </w:rPr>
          <w:t>Tinklo plėtra ir koordinavimas siekiant prisitaikyti prie atsinaujinančių išteklių energijos gamybos poreikių</w:t>
        </w:r>
        <w:r w:rsidR="007D4F04" w:rsidRPr="004874DC">
          <w:rPr>
            <w:webHidden/>
          </w:rPr>
          <w:tab/>
        </w:r>
        <w:r w:rsidR="007D4F04" w:rsidRPr="004874DC">
          <w:rPr>
            <w:webHidden/>
          </w:rPr>
          <w:fldChar w:fldCharType="begin"/>
        </w:r>
        <w:r w:rsidR="007D4F04" w:rsidRPr="004874DC">
          <w:rPr>
            <w:webHidden/>
          </w:rPr>
          <w:instrText xml:space="preserve"> PAGEREF _Toc409515370 \h </w:instrText>
        </w:r>
        <w:r w:rsidR="007D4F04" w:rsidRPr="004874DC">
          <w:rPr>
            <w:webHidden/>
          </w:rPr>
        </w:r>
        <w:r w:rsidR="007D4F04" w:rsidRPr="004874DC">
          <w:rPr>
            <w:webHidden/>
          </w:rPr>
          <w:fldChar w:fldCharType="separate"/>
        </w:r>
        <w:r w:rsidR="003C4168" w:rsidRPr="004874DC">
          <w:rPr>
            <w:webHidden/>
          </w:rPr>
          <w:t>30</w:t>
        </w:r>
        <w:r w:rsidR="007D4F04" w:rsidRPr="004874DC">
          <w:rPr>
            <w:webHidden/>
          </w:rPr>
          <w:fldChar w:fldCharType="end"/>
        </w:r>
      </w:hyperlink>
    </w:p>
    <w:p w:rsidR="007D4F04" w:rsidRPr="004874DC" w:rsidRDefault="00E04E46">
      <w:pPr>
        <w:pStyle w:val="TOC2"/>
        <w:rPr>
          <w:rFonts w:ascii="Calibri" w:hAnsi="Calibri"/>
          <w:lang w:bidi="ar-SA"/>
        </w:rPr>
      </w:pPr>
      <w:hyperlink w:anchor="_Toc409515371" w:history="1">
        <w:r w:rsidR="007D4F04" w:rsidRPr="004874DC">
          <w:rPr>
            <w:rStyle w:val="Hyperlink"/>
          </w:rPr>
          <w:t>7.8</w:t>
        </w:r>
        <w:r w:rsidR="007D4F04" w:rsidRPr="004874DC">
          <w:rPr>
            <w:rFonts w:ascii="Calibri" w:hAnsi="Calibri"/>
            <w:lang w:bidi="ar-SA"/>
          </w:rPr>
          <w:tab/>
        </w:r>
        <w:r w:rsidR="007D4F04" w:rsidRPr="004874DC">
          <w:rPr>
            <w:rStyle w:val="Hyperlink"/>
          </w:rPr>
          <w:t>Energijos valdymas ir kaupimas</w:t>
        </w:r>
        <w:r w:rsidR="007D4F04" w:rsidRPr="004874DC">
          <w:rPr>
            <w:webHidden/>
          </w:rPr>
          <w:tab/>
        </w:r>
        <w:r w:rsidR="007D4F04" w:rsidRPr="004874DC">
          <w:rPr>
            <w:webHidden/>
          </w:rPr>
          <w:fldChar w:fldCharType="begin"/>
        </w:r>
        <w:r w:rsidR="007D4F04" w:rsidRPr="004874DC">
          <w:rPr>
            <w:webHidden/>
          </w:rPr>
          <w:instrText xml:space="preserve"> PAGEREF _Toc409515371 \h </w:instrText>
        </w:r>
        <w:r w:rsidR="007D4F04" w:rsidRPr="004874DC">
          <w:rPr>
            <w:webHidden/>
          </w:rPr>
        </w:r>
        <w:r w:rsidR="007D4F04" w:rsidRPr="004874DC">
          <w:rPr>
            <w:webHidden/>
          </w:rPr>
          <w:fldChar w:fldCharType="separate"/>
        </w:r>
        <w:r w:rsidR="003C4168" w:rsidRPr="004874DC">
          <w:rPr>
            <w:webHidden/>
          </w:rPr>
          <w:t>31</w:t>
        </w:r>
        <w:r w:rsidR="007D4F04" w:rsidRPr="004874DC">
          <w:rPr>
            <w:webHidden/>
          </w:rPr>
          <w:fldChar w:fldCharType="end"/>
        </w:r>
      </w:hyperlink>
    </w:p>
    <w:p w:rsidR="007D4F04" w:rsidRPr="004874DC" w:rsidRDefault="00E04E46">
      <w:pPr>
        <w:pStyle w:val="TOC1"/>
        <w:rPr>
          <w:rFonts w:ascii="Calibri" w:hAnsi="Calibri"/>
          <w:lang w:bidi="ar-SA"/>
        </w:rPr>
      </w:pPr>
      <w:hyperlink w:anchor="_Toc409515372" w:history="1">
        <w:r w:rsidR="007D4F04" w:rsidRPr="004874DC">
          <w:rPr>
            <w:rStyle w:val="Hyperlink"/>
          </w:rPr>
          <w:t>8.</w:t>
        </w:r>
        <w:r w:rsidR="007D4F04" w:rsidRPr="004874DC">
          <w:rPr>
            <w:rFonts w:ascii="Calibri" w:hAnsi="Calibri"/>
            <w:lang w:bidi="ar-SA"/>
          </w:rPr>
          <w:tab/>
        </w:r>
        <w:r w:rsidR="007D4F04" w:rsidRPr="004874DC">
          <w:rPr>
            <w:rStyle w:val="Hyperlink"/>
          </w:rPr>
          <w:t>Išvados</w:t>
        </w:r>
        <w:r w:rsidR="007D4F04" w:rsidRPr="004874DC">
          <w:rPr>
            <w:webHidden/>
          </w:rPr>
          <w:tab/>
        </w:r>
        <w:r w:rsidR="007D4F04" w:rsidRPr="004874DC">
          <w:rPr>
            <w:webHidden/>
          </w:rPr>
          <w:fldChar w:fldCharType="begin"/>
        </w:r>
        <w:r w:rsidR="007D4F04" w:rsidRPr="004874DC">
          <w:rPr>
            <w:webHidden/>
          </w:rPr>
          <w:instrText xml:space="preserve"> PAGEREF _Toc409515372 \h </w:instrText>
        </w:r>
        <w:r w:rsidR="007D4F04" w:rsidRPr="004874DC">
          <w:rPr>
            <w:webHidden/>
          </w:rPr>
        </w:r>
        <w:r w:rsidR="007D4F04" w:rsidRPr="004874DC">
          <w:rPr>
            <w:webHidden/>
          </w:rPr>
          <w:fldChar w:fldCharType="separate"/>
        </w:r>
        <w:r w:rsidR="003C4168" w:rsidRPr="004874DC">
          <w:rPr>
            <w:webHidden/>
          </w:rPr>
          <w:t>31</w:t>
        </w:r>
        <w:r w:rsidR="007D4F04" w:rsidRPr="004874DC">
          <w:rPr>
            <w:webHidden/>
          </w:rPr>
          <w:fldChar w:fldCharType="end"/>
        </w:r>
      </w:hyperlink>
    </w:p>
    <w:p w:rsidR="007D4F04" w:rsidRPr="004874DC" w:rsidRDefault="00E04E46">
      <w:pPr>
        <w:pStyle w:val="TOC1"/>
        <w:rPr>
          <w:rFonts w:ascii="Calibri" w:hAnsi="Calibri"/>
          <w:lang w:bidi="ar-SA"/>
        </w:rPr>
      </w:pPr>
      <w:hyperlink w:anchor="_Toc409515373" w:history="1">
        <w:r w:rsidR="007D4F04" w:rsidRPr="004874DC">
          <w:rPr>
            <w:rStyle w:val="Hyperlink"/>
          </w:rPr>
          <w:t>A.</w:t>
        </w:r>
        <w:r w:rsidR="007D4F04" w:rsidRPr="004874DC">
          <w:rPr>
            <w:rFonts w:ascii="Calibri" w:hAnsi="Calibri"/>
            <w:lang w:bidi="ar-SA"/>
          </w:rPr>
          <w:tab/>
        </w:r>
        <w:r w:rsidR="007D4F04" w:rsidRPr="004874DC">
          <w:rPr>
            <w:rStyle w:val="Hyperlink"/>
          </w:rPr>
          <w:t>Priedai</w:t>
        </w:r>
        <w:r w:rsidR="007D4F04" w:rsidRPr="004874DC">
          <w:rPr>
            <w:webHidden/>
          </w:rPr>
          <w:tab/>
        </w:r>
        <w:r w:rsidR="007D4F04" w:rsidRPr="004874DC">
          <w:rPr>
            <w:webHidden/>
          </w:rPr>
          <w:fldChar w:fldCharType="begin"/>
        </w:r>
        <w:r w:rsidR="007D4F04" w:rsidRPr="004874DC">
          <w:rPr>
            <w:webHidden/>
          </w:rPr>
          <w:instrText xml:space="preserve"> PAGEREF _Toc409515373 \h </w:instrText>
        </w:r>
        <w:r w:rsidR="007D4F04" w:rsidRPr="004874DC">
          <w:rPr>
            <w:webHidden/>
          </w:rPr>
        </w:r>
        <w:r w:rsidR="007D4F04" w:rsidRPr="004874DC">
          <w:rPr>
            <w:webHidden/>
          </w:rPr>
          <w:fldChar w:fldCharType="separate"/>
        </w:r>
        <w:r w:rsidR="003C4168" w:rsidRPr="004874DC">
          <w:rPr>
            <w:webHidden/>
          </w:rPr>
          <w:t>34</w:t>
        </w:r>
        <w:r w:rsidR="007D4F04" w:rsidRPr="004874DC">
          <w:rPr>
            <w:webHidden/>
          </w:rPr>
          <w:fldChar w:fldCharType="end"/>
        </w:r>
      </w:hyperlink>
    </w:p>
    <w:p w:rsidR="007D4F04" w:rsidRPr="004874DC" w:rsidRDefault="00E04E46">
      <w:pPr>
        <w:pStyle w:val="TOC2"/>
        <w:rPr>
          <w:rFonts w:ascii="Calibri" w:hAnsi="Calibri"/>
          <w:lang w:bidi="ar-SA"/>
        </w:rPr>
      </w:pPr>
      <w:hyperlink w:anchor="_Toc409515374" w:history="1">
        <w:r w:rsidR="007D4F04" w:rsidRPr="004874DC">
          <w:rPr>
            <w:rStyle w:val="Hyperlink"/>
          </w:rPr>
          <w:t>A.1.</w:t>
        </w:r>
        <w:r w:rsidR="007D4F04" w:rsidRPr="004874DC">
          <w:rPr>
            <w:rFonts w:ascii="Calibri" w:hAnsi="Calibri"/>
            <w:lang w:bidi="ar-SA"/>
          </w:rPr>
          <w:tab/>
        </w:r>
        <w:r w:rsidR="007D4F04" w:rsidRPr="004874DC">
          <w:rPr>
            <w:rStyle w:val="Hyperlink"/>
          </w:rPr>
          <w:t>Ataskaitos apie komandiruotes į valstybes nares</w:t>
        </w:r>
        <w:r w:rsidR="007D4F04" w:rsidRPr="004874DC">
          <w:rPr>
            <w:webHidden/>
          </w:rPr>
          <w:tab/>
        </w:r>
        <w:r w:rsidR="007D4F04" w:rsidRPr="004874DC">
          <w:rPr>
            <w:webHidden/>
          </w:rPr>
          <w:fldChar w:fldCharType="begin"/>
        </w:r>
        <w:r w:rsidR="007D4F04" w:rsidRPr="004874DC">
          <w:rPr>
            <w:webHidden/>
          </w:rPr>
          <w:instrText xml:space="preserve"> PAGEREF _Toc409515374 \h </w:instrText>
        </w:r>
        <w:r w:rsidR="007D4F04" w:rsidRPr="004874DC">
          <w:rPr>
            <w:webHidden/>
          </w:rPr>
        </w:r>
        <w:r w:rsidR="007D4F04" w:rsidRPr="004874DC">
          <w:rPr>
            <w:webHidden/>
          </w:rPr>
          <w:fldChar w:fldCharType="separate"/>
        </w:r>
        <w:r w:rsidR="003C4168" w:rsidRPr="004874DC">
          <w:rPr>
            <w:webHidden/>
          </w:rPr>
          <w:t>34</w:t>
        </w:r>
        <w:r w:rsidR="007D4F04" w:rsidRPr="004874DC">
          <w:rPr>
            <w:webHidden/>
          </w:rPr>
          <w:fldChar w:fldCharType="end"/>
        </w:r>
      </w:hyperlink>
    </w:p>
    <w:p w:rsidR="007D4F04" w:rsidRPr="004874DC" w:rsidRDefault="00E04E46">
      <w:pPr>
        <w:pStyle w:val="TOC2"/>
        <w:rPr>
          <w:rFonts w:ascii="Calibri" w:hAnsi="Calibri"/>
          <w:lang w:bidi="ar-SA"/>
        </w:rPr>
      </w:pPr>
      <w:hyperlink w:anchor="_Toc409515375" w:history="1">
        <w:r w:rsidR="007D4F04" w:rsidRPr="004874DC">
          <w:rPr>
            <w:rStyle w:val="Hyperlink"/>
          </w:rPr>
          <w:t>A.2.</w:t>
        </w:r>
        <w:r w:rsidR="007D4F04" w:rsidRPr="004874DC">
          <w:rPr>
            <w:rFonts w:ascii="Calibri" w:hAnsi="Calibri"/>
            <w:lang w:bidi="ar-SA"/>
          </w:rPr>
          <w:tab/>
        </w:r>
        <w:r w:rsidR="007D4F04" w:rsidRPr="004874DC">
          <w:rPr>
            <w:rStyle w:val="Hyperlink"/>
          </w:rPr>
          <w:t>EESRK nuomonių atsinaujinančių išteklių energijos tema sąrašas</w:t>
        </w:r>
        <w:r w:rsidR="007D4F04" w:rsidRPr="004874DC">
          <w:rPr>
            <w:webHidden/>
          </w:rPr>
          <w:tab/>
        </w:r>
        <w:r w:rsidR="007D4F04" w:rsidRPr="004874DC">
          <w:rPr>
            <w:webHidden/>
          </w:rPr>
          <w:fldChar w:fldCharType="begin"/>
        </w:r>
        <w:r w:rsidR="007D4F04" w:rsidRPr="004874DC">
          <w:rPr>
            <w:webHidden/>
          </w:rPr>
          <w:instrText xml:space="preserve"> PAGEREF _Toc409515375 \h </w:instrText>
        </w:r>
        <w:r w:rsidR="007D4F04" w:rsidRPr="004874DC">
          <w:rPr>
            <w:webHidden/>
          </w:rPr>
        </w:r>
        <w:r w:rsidR="007D4F04" w:rsidRPr="004874DC">
          <w:rPr>
            <w:webHidden/>
          </w:rPr>
          <w:fldChar w:fldCharType="separate"/>
        </w:r>
        <w:r w:rsidR="003C4168" w:rsidRPr="004874DC">
          <w:rPr>
            <w:webHidden/>
          </w:rPr>
          <w:t>34</w:t>
        </w:r>
        <w:r w:rsidR="007D4F04" w:rsidRPr="004874DC">
          <w:rPr>
            <w:webHidden/>
          </w:rPr>
          <w:fldChar w:fldCharType="end"/>
        </w:r>
      </w:hyperlink>
    </w:p>
    <w:p w:rsidR="00A44091" w:rsidRPr="004874DC" w:rsidRDefault="00DE28D1" w:rsidP="00536308">
      <w:pPr>
        <w:pStyle w:val="TOC1"/>
        <w:spacing w:line="276" w:lineRule="auto"/>
        <w:rPr>
          <w:rFonts w:ascii="Calibri" w:hAnsi="Calibri"/>
        </w:rPr>
      </w:pPr>
      <w:r w:rsidRPr="004874DC">
        <w:rPr>
          <w:b/>
        </w:rPr>
        <w:fldChar w:fldCharType="end"/>
      </w:r>
      <w:r w:rsidRPr="004874DC">
        <w:br w:type="page"/>
      </w:r>
      <w:bookmarkStart w:id="2" w:name="_Ref395309897"/>
      <w:r w:rsidRPr="004874DC">
        <w:rPr>
          <w:b/>
          <w:color w:val="4472C4"/>
        </w:rPr>
        <w:lastRenderedPageBreak/>
        <w:t>Iš Europos Parlamento ir Tarybos direktyvos 2009/28/EB dėl skatinimo naudoti atsinaujinančių išteklių energiją (ES atsinaujinančių išteklių energijos direktyvos) preambulės:</w:t>
      </w:r>
    </w:p>
    <w:p w:rsidR="00AB3E75" w:rsidRPr="004874DC" w:rsidRDefault="00AB3E75" w:rsidP="0043268E">
      <w:pPr>
        <w:spacing w:line="240" w:lineRule="auto"/>
        <w:jc w:val="left"/>
        <w:rPr>
          <w:highlight w:val="yellow"/>
        </w:rPr>
      </w:pPr>
    </w:p>
    <w:p w:rsidR="003D68A2" w:rsidRPr="004874DC" w:rsidRDefault="00E3300E" w:rsidP="00685588">
      <w:r w:rsidRPr="004874DC">
        <w:t>„(3) Pripažinta, kad naujovių diegimas ir tvari bei konkurencinga energetikos politika gali skatinti ekonomikos augimą. Energijos gamyba iš atsinaujinančių išteklių dažnai priklauso nuo vietos ar regioninių mažųjų ir vidutinių įmonių (MVĮ). Svarbios yra valstybėse narėse ir jų regionuose atsirandančios ekonomikos augimo ir užimtumo didinimo galimybės dėl to, kad regiono ir vietos lygmenimis investuojama į energijos gamybą iš atsinaujinančių išteklių. Todėl Komisija ir valstybės narės turėtų pritarti nacionalinėms ir regioninėms šių sričių plėtros priemonėms, skatinti vietos ir regioninius plėtros projektų vykdytojus keistis su atsinaujinančių išteklių energijos gamyba susijusia pažangiąja patirtimi ir skatinti naudoti šios srities struktūrinių fondų lėšas.</w:t>
      </w:r>
    </w:p>
    <w:p w:rsidR="003D68A2" w:rsidRPr="004874DC" w:rsidRDefault="003D68A2" w:rsidP="00685588">
      <w:pPr>
        <w:jc w:val="left"/>
      </w:pPr>
    </w:p>
    <w:p w:rsidR="00170616" w:rsidRPr="004874DC" w:rsidRDefault="00170616" w:rsidP="009F2617">
      <w:pPr>
        <w:rPr>
          <w:bCs/>
        </w:rPr>
      </w:pPr>
      <w:r w:rsidRPr="004874DC">
        <w:t>(4) Sudarant palankias sąlygas atsinaujinančių energijos išteklių rinkos vystymuisi, reikia atsižvelgti į palankų poveikį regionų ir vietos plėtros galimybėms, eksporto perspektyvoms, socialinei sanglaudai ir užimtumui, ypač MVĮ ir nepriklausomų energijos gamintojų atžvilgiu. [...]</w:t>
      </w:r>
    </w:p>
    <w:p w:rsidR="00170616" w:rsidRPr="004874DC" w:rsidRDefault="00170616" w:rsidP="009F2617">
      <w:pPr>
        <w:rPr>
          <w:bCs/>
        </w:rPr>
      </w:pPr>
    </w:p>
    <w:p w:rsidR="00170616" w:rsidRPr="004874DC" w:rsidRDefault="00170616" w:rsidP="009F2617">
      <w:pPr>
        <w:rPr>
          <w:bCs/>
        </w:rPr>
      </w:pPr>
      <w:r w:rsidRPr="004874DC">
        <w:t>(6) Reikėtų remti decentralizuotos gamybos iš atsinaujinančių išteklių energijos technologijas parodomuoju ir pateikimo į rinką etapais. Perėjus prie decentralizuotos energijos gamybos būtų gauta įvairiapusės naudos, įskaitant vietinių energijos išteklių naudojimą, vietos energijos tiekimo saugumo padidėjimą, transportavimo atstumo sutrumpėjimą ir mažesnius energijos perdavimo nuostolius. Tokiu decentralizavimu taip pat būtų prisidedama prie bendruomenės vystymosi ir sanglaudos, nes būtų sudaroma galimybių gauti pajamų ir vietos lygmeniu sukuriama darbo vietų. [...]</w:t>
      </w:r>
    </w:p>
    <w:p w:rsidR="00170616" w:rsidRPr="004874DC" w:rsidRDefault="00170616" w:rsidP="009F2617"/>
    <w:p w:rsidR="00832BFA" w:rsidRPr="004874DC" w:rsidRDefault="00894515" w:rsidP="009F2617">
      <w:r w:rsidRPr="004874DC">
        <w:t>(43) Norint paskatinti atskirų piliečių įnašą siekiant šioje direktyvoje nustatytų tikslų, atitinkamos institucijos turėtų apsvarstyti galimybę tais atvejais, kai įdiegiami maži decentralizuoti atsinaujinančių išteklių energijos gamybos įtaisai, pakeisti leidimus paprastais pranešimais kompetentingai įstaigai.“</w:t>
      </w:r>
    </w:p>
    <w:p w:rsidR="00D25D87" w:rsidRPr="004874DC" w:rsidRDefault="00E33263" w:rsidP="000959F1">
      <w:pPr>
        <w:pStyle w:val="Heading1"/>
      </w:pPr>
      <w:r w:rsidRPr="004874DC">
        <w:br w:type="page"/>
      </w:r>
      <w:bookmarkStart w:id="3" w:name="_Toc408506713"/>
      <w:bookmarkStart w:id="4" w:name="_Toc408580942"/>
      <w:bookmarkStart w:id="5" w:name="_Toc409515341"/>
      <w:bookmarkStart w:id="6" w:name="_Toc395310050"/>
      <w:bookmarkStart w:id="7" w:name="_Toc399257196"/>
      <w:bookmarkStart w:id="8" w:name="_Toc398538367"/>
      <w:r w:rsidRPr="004874DC">
        <w:lastRenderedPageBreak/>
        <w:t>Pagrindinių išvadų ir rekomendacijų santrauka</w:t>
      </w:r>
      <w:bookmarkEnd w:id="3"/>
      <w:bookmarkEnd w:id="4"/>
      <w:bookmarkEnd w:id="5"/>
    </w:p>
    <w:p w:rsidR="00D25D87" w:rsidRPr="004874DC" w:rsidRDefault="00D25D87" w:rsidP="00536308">
      <w:pPr>
        <w:keepNext/>
      </w:pPr>
    </w:p>
    <w:p w:rsidR="00D25D87" w:rsidRPr="004874DC" w:rsidRDefault="00D25D87" w:rsidP="000959F1">
      <w:pPr>
        <w:pStyle w:val="Heading2"/>
      </w:pPr>
      <w:bookmarkStart w:id="9" w:name="_Toc408506714"/>
      <w:bookmarkStart w:id="10" w:name="_Toc408580943"/>
      <w:bookmarkStart w:id="11" w:name="_Toc409515342"/>
      <w:r w:rsidRPr="004874DC">
        <w:t>Pagrindinės išvados</w:t>
      </w:r>
      <w:bookmarkEnd w:id="9"/>
      <w:bookmarkEnd w:id="10"/>
      <w:bookmarkEnd w:id="11"/>
    </w:p>
    <w:p w:rsidR="00D25D87" w:rsidRPr="004874DC" w:rsidRDefault="00D25D87" w:rsidP="00536308">
      <w:pPr>
        <w:keepNext/>
      </w:pPr>
    </w:p>
    <w:p w:rsidR="00D25D87" w:rsidRPr="004874DC" w:rsidRDefault="00D25D87" w:rsidP="00536308">
      <w:pPr>
        <w:pStyle w:val="Heading3"/>
        <w:keepNext/>
      </w:pPr>
      <w:bookmarkStart w:id="12" w:name="_Toc408506715"/>
      <w:bookmarkStart w:id="13" w:name="_Toc408580944"/>
      <w:bookmarkStart w:id="14" w:name="_Toc409515343"/>
      <w:r w:rsidRPr="004874DC">
        <w:t>Tinkamas laikas</w:t>
      </w:r>
      <w:bookmarkEnd w:id="12"/>
      <w:bookmarkEnd w:id="13"/>
      <w:bookmarkEnd w:id="14"/>
    </w:p>
    <w:p w:rsidR="00D25D87" w:rsidRPr="004874DC" w:rsidRDefault="00D25D87" w:rsidP="00D25D87">
      <w:r w:rsidRPr="004874DC">
        <w:t xml:space="preserve">Tyrimo grupė nustatė, kad visų aplankytų valstybių narių pilietinė visuomenė yra stipri, pasirengusi pereiti prie kitokio energijos vartojimo modelio, suvokia socialines ir ekonomines galimybes, ir nori pasinaudoti decentralizuota atsinaujinančių išteklių energijos gamyba. Visus buvo užvaldęs jaudulys dėl atsiradusios galimybės užsidirbti pajamų iš atsinaujinančių išteklių energijos gamybos, vystyti bendruomenes ir socialines inovacijas bei susipažinti su gerąja praktika ir remti politiką kitose valstybėse narėse. </w:t>
      </w:r>
    </w:p>
    <w:p w:rsidR="00D25D87" w:rsidRPr="004874DC" w:rsidRDefault="00D25D87" w:rsidP="00D25D87"/>
    <w:p w:rsidR="00D25D87" w:rsidRPr="004874DC" w:rsidRDefault="00D25D87" w:rsidP="00536308">
      <w:pPr>
        <w:pStyle w:val="Heading3"/>
        <w:keepNext/>
      </w:pPr>
      <w:bookmarkStart w:id="15" w:name="_Toc408506716"/>
      <w:bookmarkStart w:id="16" w:name="_Toc408580945"/>
      <w:bookmarkStart w:id="17" w:name="_Toc409515344"/>
      <w:r w:rsidRPr="004874DC">
        <w:t>Nusivylimas</w:t>
      </w:r>
      <w:bookmarkEnd w:id="15"/>
      <w:bookmarkEnd w:id="16"/>
      <w:bookmarkEnd w:id="17"/>
    </w:p>
    <w:p w:rsidR="00D25D87" w:rsidRPr="004874DC" w:rsidRDefault="00D25D87" w:rsidP="00D25D87">
      <w:r w:rsidRPr="004874DC">
        <w:t xml:space="preserve">Tačiau kartu suinteresuotieji subjektai viešai reiškė nusivylimą biurokratinėmis kliūtimis ir sudėtingomis procedūromis bei pastarojo laikotarpio politikos reformomis, dėl kurių smulkieji gamintojai ir bendruomenės atsidūrė nepalankioje padėtyje, palyginti su dideliais, centralizuotais energijos gamintojais; nusivylimą skatino ir tai, kad politikos formuotojai nepripažįsta „piliečių energijos“ svarbos, o, kai kuriais atvejais – konstruktyvaus dialogo su valdžios institucijomis stoka. Šios kliūtys yra žinomos ir išsamiai apibūdintos Europos Komisijos </w:t>
      </w:r>
      <w:r w:rsidRPr="004874DC">
        <w:rPr>
          <w:i/>
        </w:rPr>
        <w:t>Atsinaujinančių išteklių energijos vartojimo pažangos ataskaitoje</w:t>
      </w:r>
      <w:r w:rsidRPr="004874DC">
        <w:t xml:space="preserve"> (2013)</w:t>
      </w:r>
      <w:r w:rsidRPr="004874DC">
        <w:rPr>
          <w:rStyle w:val="FootnoteReference"/>
        </w:rPr>
        <w:footnoteReference w:id="2"/>
      </w:r>
      <w:r w:rsidRPr="004874DC">
        <w:t>. Kai kurie pilietinės visuomenės atstovai faktą, kad tokios kliūtys išlieka ar net didėja (pavyzdžiui, kai kuriose valstybėse narėse pradėjus rengti aukcionus atsinaujinančių išteklių energijai gaminti), aiškino kaip tiesioginį išpuolį prieš „piliečių energiją“ centralizuotų gamintojų naudai.</w:t>
      </w:r>
    </w:p>
    <w:p w:rsidR="00D25D87" w:rsidRPr="004874DC" w:rsidRDefault="00D25D87" w:rsidP="00D25D87"/>
    <w:p w:rsidR="00D25D87" w:rsidRPr="004874DC" w:rsidRDefault="00D25D87" w:rsidP="00536308">
      <w:pPr>
        <w:pStyle w:val="Heading3"/>
        <w:keepNext/>
      </w:pPr>
      <w:bookmarkStart w:id="18" w:name="_Toc408506717"/>
      <w:bookmarkStart w:id="19" w:name="_Toc408580946"/>
      <w:bookmarkStart w:id="20" w:name="_Toc409515345"/>
      <w:r w:rsidRPr="004874DC">
        <w:t>Tvirti argumentai už „piliečių atsinaujinančių išteklių energiją“</w:t>
      </w:r>
      <w:bookmarkEnd w:id="18"/>
      <w:bookmarkEnd w:id="19"/>
      <w:bookmarkEnd w:id="20"/>
    </w:p>
    <w:p w:rsidR="00D25D87" w:rsidRPr="004874DC" w:rsidRDefault="00D25D87" w:rsidP="00D25D87">
      <w:r w:rsidRPr="004874DC">
        <w:t>Pagrindinė tyrimo išvada – pilietinė visuomenė nėra patenkinta, kad su ja konsultuojamasi tik dėl energetikos politikos. Bendruomenės, pilietinės visuomenės organizacijos ir privatūs asmenys nori tapti atsinaujinančių išteklių energijos gamintojais ir tyrimo grupei buvo pateikta daug įrodymų ir argumentų šiai tendencijai pagrįsti:</w:t>
      </w:r>
    </w:p>
    <w:p w:rsidR="00D25D87" w:rsidRPr="004874DC" w:rsidRDefault="00D25D87" w:rsidP="00D25D87"/>
    <w:p w:rsidR="00D25D87" w:rsidRPr="004874DC" w:rsidRDefault="00D25D87" w:rsidP="00D25D87">
      <w:r w:rsidRPr="004874DC">
        <w:t>„Piliečių energija“ padidina piliečių pritarimą atsinaujinančių išteklių energijos infrastruktūrai, jų paramą ir dalyvavimo mastą pereinamajame procese. Ji atveria galimybę pasinaudoti skubiai reikalingomis lėšomis, skirtomis perėjimui prie kitokio energijos vartojimo modelio, atneša bendrą vietos ekonominę ir socialinę naudą ir išlaiko pridėtinę vertę bendruomenėse. Iš tikrųjų atsinaujinančių išteklių energijos gamyba tampa ekonomine galimybe ne įprastoms energijos gamybos įmonėms (arba ne tik joms), o piliečiams, ūkininkams, kooperatyvams, mažosioms bei vidutinėms įmonėms bei vietos bendruomenėms ir NVO. Ji skatina vietos plėtrą, socialines inovacijas ir bendradarbiavimą. Decentralizuotos sistemos leidžia asmenims ir bendruomenėms pasidalyti atsinaujinančių išteklių energijos išlaidas ir naudą ir nustatyti geresnio pasiūlos ir paklausos (pavyzdžiui, kolektyvinėse šildymo sistemose) derinimo galimybes. Tais atvejais, kai tokia politikos sistema leidžia, atsinaujinančių išteklių energija kuria grynąsias darbo vietos ir skatina ekonomikos augimą.</w:t>
      </w:r>
    </w:p>
    <w:p w:rsidR="00D25D87" w:rsidRPr="004874DC" w:rsidRDefault="00D25D87" w:rsidP="00D25D87"/>
    <w:p w:rsidR="00D25D87" w:rsidRPr="004874DC" w:rsidRDefault="00D25D87" w:rsidP="00D25D87">
      <w:r w:rsidRPr="004874DC">
        <w:lastRenderedPageBreak/>
        <w:t>Atlikus EESRK tyrimą paaiškėjo, kad pažanga plėtojant atsinaujinančių išteklių energiją spartesnė tose valstybėse narėse, kuriose vietos gyventojams pavieniui arba kartu su kitais buvo sudarytos sąlygos įgyvendinti savo „piliečių energijos“ iniciatyvas. Pagrindinės išankstinės šios plėtros sąlygos – „piliečių atsinaujinančių išteklių energijos“ plėtojimui tinkama politika ir reguliavimo sistema. Norint pasinaudoti šia nauja galimybe, įgyvendinant ES ir valstybių narių kovos su klimato kaita ir energetikos politiką gerokai daugiau dėmesio reikėtų skirti decentralizuotos atsinaujinančių išteklių energijos gamybos ir regionų bei vietos plėtros sąsajai. Atėjo metas sukurti stiprias, stabilias ir nuoseklias „piliečių atsinaujinančių išteklių energiją“ paremiančias struktūras, kad Europa pereitų prie mažo anglies dioksido kiekio technologijų ekonomikos.</w:t>
      </w:r>
    </w:p>
    <w:p w:rsidR="00D25D87" w:rsidRPr="004874DC" w:rsidRDefault="00D25D87" w:rsidP="00D25D87"/>
    <w:p w:rsidR="00D25D87" w:rsidRPr="004874DC" w:rsidRDefault="00D25D87" w:rsidP="00536308">
      <w:pPr>
        <w:pStyle w:val="Heading3"/>
        <w:keepNext/>
      </w:pPr>
      <w:bookmarkStart w:id="21" w:name="_Toc408506718"/>
      <w:bookmarkStart w:id="22" w:name="_Toc408580947"/>
      <w:bookmarkStart w:id="23" w:name="_Toc409515346"/>
      <w:r w:rsidRPr="004874DC">
        <w:t>Milžiniškas didžiąja dalimi neišnaudotas potencialas</w:t>
      </w:r>
      <w:bookmarkEnd w:id="21"/>
      <w:bookmarkEnd w:id="22"/>
      <w:bookmarkEnd w:id="23"/>
    </w:p>
    <w:p w:rsidR="00D25D87" w:rsidRPr="004874DC" w:rsidRDefault="00D25D87" w:rsidP="00D25D87">
      <w:r w:rsidRPr="004874DC">
        <w:t>Tyrimas parodė, kad, praėjus penkeriems metams nuo Atsinaujinančių išteklių energijos direktyvos priėmimo, valstybių narių politikos dokumentuose vargu ar yra nuorodų į nuoseklią strategiją, skirtą remti decentralizuotą atsinaujinančių išteklių energijos gamybą, kuri būtų naudinga vietos bendruomenėms. Tyrimo grupė nė vienoje aplankytoje valstybėje narėje nerado nuosekliai įgyvendintos vyriausybės strategijos, skirtos skatinti „piliečių energiją“. Priešingai, nestabili politika ir naujausios atsinaujinančių išteklių energijos reglamentavimo sistemų reformos visose tirtose šalyse sukėlė daug netikrumo, nenorą daryti naujas investicijas ir suinteresuotųjų subjektų susirūpinimą dėl „piliečių energijos“ ateities.</w:t>
      </w:r>
    </w:p>
    <w:p w:rsidR="00D25D87" w:rsidRPr="004874DC" w:rsidRDefault="00D25D87" w:rsidP="00D25D87"/>
    <w:p w:rsidR="00D25D87" w:rsidRPr="004874DC" w:rsidRDefault="00D25D87" w:rsidP="000959F1">
      <w:pPr>
        <w:pStyle w:val="Heading2"/>
      </w:pPr>
      <w:bookmarkStart w:id="24" w:name="_Toc408506719"/>
      <w:bookmarkStart w:id="25" w:name="_Toc408580948"/>
      <w:bookmarkStart w:id="26" w:name="_Toc409515347"/>
      <w:r w:rsidRPr="004874DC">
        <w:t>Pagrindinės rekomendacijos</w:t>
      </w:r>
      <w:bookmarkEnd w:id="24"/>
      <w:bookmarkEnd w:id="25"/>
      <w:bookmarkEnd w:id="26"/>
    </w:p>
    <w:p w:rsidR="00D25D87" w:rsidRPr="004874DC" w:rsidRDefault="00D25D87" w:rsidP="00536308">
      <w:pPr>
        <w:keepNext/>
      </w:pPr>
    </w:p>
    <w:p w:rsidR="00D25D87" w:rsidRPr="004874DC" w:rsidRDefault="00D25D87" w:rsidP="00536308">
      <w:pPr>
        <w:pStyle w:val="Heading3"/>
        <w:keepNext/>
      </w:pPr>
      <w:bookmarkStart w:id="27" w:name="_Toc408506720"/>
      <w:bookmarkStart w:id="28" w:name="_Toc408580949"/>
      <w:bookmarkStart w:id="29" w:name="_Toc409515348"/>
      <w:r w:rsidRPr="004874DC">
        <w:t>Sudaryti vienodas sąlygos atsinaujinančių išteklių energijai</w:t>
      </w:r>
      <w:bookmarkEnd w:id="27"/>
      <w:bookmarkEnd w:id="28"/>
      <w:bookmarkEnd w:id="29"/>
    </w:p>
    <w:p w:rsidR="00D25D87" w:rsidRPr="004874DC" w:rsidRDefault="00D25D87" w:rsidP="00D25D87">
      <w:r w:rsidRPr="004874DC">
        <w:t>Kaip nurodyta Komisijos 2013 m. atsinaujinančių išteklių energijos vartojimo pažangos ataskaitoje</w:t>
      </w:r>
      <w:r w:rsidRPr="004874DC">
        <w:rPr>
          <w:vertAlign w:val="superscript"/>
        </w:rPr>
        <w:footnoteReference w:id="3"/>
      </w:r>
      <w:r w:rsidRPr="004874DC">
        <w:t xml:space="preserve">, atsinaujinančių išteklių energijos naudojimą teks ir toliau remti, kol nėra atviros, konkurenciją skatinančios energijos vidaus rinkos, kad pagaliau būtų panaikintas rinkos nepakankamumas ir būtų įskaičiuotos su iškastinio kuro naudojimu susijusios sveikatos, aplinkos ir socialinės išlaidos. Vyriausybės taip pat turėtų stengtis laipsniškai atsisakyti </w:t>
      </w:r>
      <w:proofErr w:type="spellStart"/>
      <w:r w:rsidRPr="004874DC">
        <w:t>atsisakyti</w:t>
      </w:r>
      <w:proofErr w:type="spellEnd"/>
      <w:r w:rsidRPr="004874DC">
        <w:t xml:space="preserve"> žalingų ir neveiksmingų dotacijų iškastiniam kurui, kurios skatina netaupų vartojimą ir kenkia tvariam vystymuisi“, atsižvelgiant į įsipareigojimą, dar kartą patvirtintą „Rio + 20“ baigiamajame dokumente „Ateitis, kurios norime“. Anglies dioksido apmokestinimas yra tik dar viena galimybė </w:t>
      </w:r>
      <w:proofErr w:type="spellStart"/>
      <w:r w:rsidRPr="004874DC">
        <w:t>internalizuoti</w:t>
      </w:r>
      <w:proofErr w:type="spellEnd"/>
      <w:r w:rsidRPr="004874DC">
        <w:t xml:space="preserve"> išorės sąnaudas, didinant santykines technologijų, naudojančių iškastinį kurą, sąnaudas. </w:t>
      </w:r>
    </w:p>
    <w:p w:rsidR="00D25D87" w:rsidRPr="004874DC" w:rsidRDefault="00D25D87" w:rsidP="00D25D87"/>
    <w:p w:rsidR="00D25D87" w:rsidRPr="004874DC" w:rsidRDefault="00D25D87" w:rsidP="00536308">
      <w:pPr>
        <w:pStyle w:val="Heading3"/>
        <w:keepNext/>
      </w:pPr>
      <w:bookmarkStart w:id="30" w:name="_Toc408506721"/>
      <w:bookmarkStart w:id="31" w:name="_Toc408580950"/>
      <w:bookmarkStart w:id="32" w:name="_Toc409515349"/>
      <w:r w:rsidRPr="004874DC">
        <w:t>Siekti, kad decentralizuota „piliečių atsinaujinančių išteklių energija“ taptų politikos prioritetu</w:t>
      </w:r>
      <w:bookmarkEnd w:id="30"/>
      <w:bookmarkEnd w:id="31"/>
      <w:bookmarkEnd w:id="32"/>
    </w:p>
    <w:p w:rsidR="00D25D87" w:rsidRPr="004874DC" w:rsidRDefault="00D25D87" w:rsidP="00D25D87">
      <w:r w:rsidRPr="004874DC">
        <w:t xml:space="preserve">Nauja energetikos politika negali būti įgyvendinta be piliečių paramos – piliečiams parėmus politikos tikslai būtų pasiekti kur kas sparčiau nei galima manyti. EESRK rekomenduoja vietos, nacionaliniams ir ES politikos formuotojams nustatyti aiškų prioritetą – užtikrinti piliečių atsakomybę už atsinaujinančių išteklių energijos gamybą. Kitoje Europos Komisijos atsinaujinančių išteklių energijos vartojimo pažangos ataskaitoje, kuri turi būti parengta 2015 m., turėtų būti pateikti ne tik pliki skaičiai, bet įvertinta, kokiu mastu buvo pašalintos biurokratinės kliūtys ir kokios galimybės sudarytos naujiems mažesniems rinkos dalyviams patekti į rinką. </w:t>
      </w:r>
    </w:p>
    <w:p w:rsidR="00D25D87" w:rsidRPr="004874DC" w:rsidRDefault="00D25D87" w:rsidP="00D25D87"/>
    <w:p w:rsidR="00D25D87" w:rsidRPr="004874DC" w:rsidRDefault="00D25D87" w:rsidP="00536308">
      <w:pPr>
        <w:pStyle w:val="Heading3"/>
        <w:keepNext/>
      </w:pPr>
      <w:bookmarkStart w:id="33" w:name="_Toc408506722"/>
      <w:bookmarkStart w:id="34" w:name="_Toc408580951"/>
      <w:bookmarkStart w:id="35" w:name="_Toc409515350"/>
      <w:r w:rsidRPr="004874DC">
        <w:lastRenderedPageBreak/>
        <w:t>Sukurti nuoseklią politinę sistemą, kuri paremtų „piliečių atsinaujinančių išteklių energiją“:</w:t>
      </w:r>
      <w:bookmarkEnd w:id="33"/>
      <w:bookmarkEnd w:id="34"/>
      <w:bookmarkEnd w:id="35"/>
    </w:p>
    <w:p w:rsidR="00D25D87" w:rsidRPr="004874DC" w:rsidRDefault="00D25D87" w:rsidP="00D25D87">
      <w:pPr>
        <w:numPr>
          <w:ilvl w:val="0"/>
          <w:numId w:val="14"/>
        </w:numPr>
      </w:pPr>
      <w:r w:rsidRPr="004874DC">
        <w:t xml:space="preserve">Piliečių energijos administracinės procedūros turėtų būti paprastos, sparčios ir už prieinamą kainą. </w:t>
      </w:r>
    </w:p>
    <w:p w:rsidR="00D25D87" w:rsidRPr="004874DC" w:rsidRDefault="00D25D87" w:rsidP="00D25D87">
      <w:pPr>
        <w:numPr>
          <w:ilvl w:val="0"/>
          <w:numId w:val="14"/>
        </w:numPr>
      </w:pPr>
      <w:r w:rsidRPr="004874DC">
        <w:t>„piliečių energijos“ projektų prijungimo prie tinklo sąnaudos ir laukimo laikotarpis turi būti pagrįsti, o reikalavimų nesilaikantiems sistemos operatoriams turėtų būti taikomos sankcijos;</w:t>
      </w:r>
    </w:p>
    <w:p w:rsidR="00D25D87" w:rsidRPr="004874DC" w:rsidRDefault="00D25D87" w:rsidP="00D25D87">
      <w:pPr>
        <w:numPr>
          <w:ilvl w:val="0"/>
          <w:numId w:val="14"/>
        </w:numPr>
      </w:pPr>
      <w:r w:rsidRPr="004874DC">
        <w:t>„vieno langelio“ principu veikiančios įstaigos turėtų padėti smulkiems investuotojams viso proceso metu – pradedant ekonominio pagrįstumo ir planavimo etapu ir iki įdiegimo;</w:t>
      </w:r>
    </w:p>
    <w:p w:rsidR="00D25D87" w:rsidRPr="004874DC" w:rsidRDefault="00D25D87" w:rsidP="00D25D87">
      <w:pPr>
        <w:numPr>
          <w:ilvl w:val="0"/>
          <w:numId w:val="14"/>
        </w:numPr>
      </w:pPr>
      <w:r w:rsidRPr="004874DC">
        <w:t>iš atsinaujinančių išteklių pagaminta elektros energija turėtų būti superkama pirmiau nei elektros energija iš iškastinio kuro ir branduolinės energijos;</w:t>
      </w:r>
    </w:p>
    <w:p w:rsidR="00D25D87" w:rsidRPr="004874DC" w:rsidRDefault="00D25D87" w:rsidP="00D25D87">
      <w:pPr>
        <w:numPr>
          <w:ilvl w:val="0"/>
          <w:numId w:val="14"/>
        </w:numPr>
      </w:pPr>
      <w:r w:rsidRPr="004874DC">
        <w:t>„piliečių atsinaujinančių išteklių energijai“ neturėtų būti taikomos procedūros, sukuriančios neproporcingą naštą, sąnaudas ir nesaugumą, pavyzdžiui, tiesioginės rinkodaros reikalavimai;</w:t>
      </w:r>
    </w:p>
    <w:p w:rsidR="00D25D87" w:rsidRPr="004874DC" w:rsidRDefault="00D25D87" w:rsidP="00D25D87">
      <w:pPr>
        <w:numPr>
          <w:ilvl w:val="0"/>
          <w:numId w:val="14"/>
        </w:numPr>
      </w:pPr>
      <w:r w:rsidRPr="004874DC">
        <w:t xml:space="preserve">pagrindinė paramos „piliečių atsinaujinančių išteklių energijai“ forma turėtų būti supirkimo tarifai. Jie suteikia gamintojams galimybę paprastu ir patikimu būdu tiksliai apskaičiuoti savo investicijas ir grąžą. Investicijų saugumas didina smulkiųjų gamintojų galimybes gauti reikalingus asignavimus. Supirkimo tarifai turėtų būti nuolat koreguojami pagal mažėjančias investicines sąnaudas. </w:t>
      </w:r>
    </w:p>
    <w:p w:rsidR="00D25D87" w:rsidRPr="004874DC" w:rsidRDefault="00D25D87" w:rsidP="00D25D87">
      <w:pPr>
        <w:numPr>
          <w:ilvl w:val="0"/>
          <w:numId w:val="14"/>
        </w:numPr>
      </w:pPr>
      <w:r w:rsidRPr="004874DC">
        <w:t>Siekiant spręsti tiekimo svyravimų ir jų didelio poveikio piko valandų elektros energijos kainoms problemą, supirkimo tarifų sistemą galėtų papildyti energijos valdymo mechanizmų sistema, skirta sušvelninti svyravimus, pavyzdžiui, grynoji apskaita (žr. toliau), pažangieji tinklai ir kaupimo pajėgumų kūrimas.</w:t>
      </w:r>
    </w:p>
    <w:p w:rsidR="00D25D87" w:rsidRPr="004874DC" w:rsidRDefault="00D25D87" w:rsidP="00D25D87">
      <w:pPr>
        <w:numPr>
          <w:ilvl w:val="0"/>
          <w:numId w:val="14"/>
        </w:numPr>
      </w:pPr>
      <w:r w:rsidRPr="004874DC">
        <w:t>Valstybės narės turėtų labai atsargiai skelbti konkursus dėl atsinaujinančių išteklių energijos, nes sudėtingos ir brangiai kainuojančios procedūros uždeda neproporcingai didelę naštą smulkiesiems gamintojams ir gali būti, kad „piliečių energija“ nebebus remiama iš atsinaujinančiųjų išteklių energijos paramos. Jeigu centralizuotiems gamintojams bus suteiktas pranašumas ir konkurencija sumažės, vartotojų kainos gali padidėti. Be to, konkursai neveiksmingi, kol nėra energijos rinkos. Todėl 2014–2020 m. valstybės pagalbos aplinkos apsaugai ir energetikai gairės turėtų būti patikslintos.</w:t>
      </w:r>
    </w:p>
    <w:p w:rsidR="00D25D87" w:rsidRPr="004874DC" w:rsidRDefault="00D25D87" w:rsidP="00D25D87">
      <w:pPr>
        <w:numPr>
          <w:ilvl w:val="0"/>
          <w:numId w:val="14"/>
        </w:numPr>
      </w:pPr>
      <w:r w:rsidRPr="004874DC">
        <w:t>„Piliečių energijos“ gamintojams turėtų būti suteikta teisė taikyti matavimą, kai iš gauto energijos kiekio atimama į tinklą patiekta energija, ir skiriama parama už energijos gamybą.</w:t>
      </w:r>
    </w:p>
    <w:p w:rsidR="00D25D87" w:rsidRPr="004874DC" w:rsidRDefault="00D25D87" w:rsidP="00D25D87">
      <w:pPr>
        <w:numPr>
          <w:ilvl w:val="0"/>
          <w:numId w:val="14"/>
        </w:numPr>
      </w:pPr>
      <w:r w:rsidRPr="004874DC">
        <w:t>Iš ES struktūrinių ir sanglaudos fondų, taip pat iš nacionalinių biudžetų reikėtų skirti lėšų, reikalingų užtikrinti, kad atsinaujinančių išteklių energijos ir decentralizuotos energijos gamybos pažanga nesulėtėtų dėl tinklų ribotumo.</w:t>
      </w:r>
    </w:p>
    <w:p w:rsidR="00D25D87" w:rsidRPr="004874DC" w:rsidRDefault="00D25D87" w:rsidP="00D25D87">
      <w:pPr>
        <w:ind w:left="360"/>
      </w:pPr>
    </w:p>
    <w:p w:rsidR="00D25D87" w:rsidRPr="004874DC" w:rsidRDefault="00D25D87" w:rsidP="00536308">
      <w:pPr>
        <w:pStyle w:val="Heading3"/>
        <w:keepNext/>
      </w:pPr>
      <w:bookmarkStart w:id="36" w:name="_Toc408506723"/>
      <w:bookmarkStart w:id="37" w:name="_Toc408580952"/>
      <w:bookmarkStart w:id="38" w:name="_Toc409515351"/>
      <w:r w:rsidRPr="004874DC">
        <w:t>Pradėti aktyvų pilietinės visuomenės dialogą dėl energetikos politikos</w:t>
      </w:r>
      <w:bookmarkEnd w:id="36"/>
      <w:bookmarkEnd w:id="37"/>
      <w:bookmarkEnd w:id="38"/>
    </w:p>
    <w:p w:rsidR="00D25D87" w:rsidRPr="004874DC" w:rsidRDefault="00D25D87" w:rsidP="00D25D87">
      <w:pPr>
        <w:numPr>
          <w:ilvl w:val="0"/>
          <w:numId w:val="14"/>
        </w:numPr>
      </w:pPr>
      <w:r w:rsidRPr="004874DC">
        <w:t>Atsinaujinančių išteklių energijos politika turėtų būti formuojama ir įgyvendinama užmezgus nuolatinį dialogą su pilietinės visuomenės suinteresuotaisiais subjektais, siekiant bendro supratimo, bendrų tikslų, paramos įgyvendinimui, taip pat bendradarbiavimo ir tarpusavio pasitikėjimo kultūros. EESRK Europos dialogas energetikos klausimais turėtų būti naudingas šiuo požiūriu.</w:t>
      </w:r>
    </w:p>
    <w:p w:rsidR="00D25D87" w:rsidRPr="004874DC" w:rsidRDefault="00D25D87" w:rsidP="00D25D87">
      <w:pPr>
        <w:numPr>
          <w:ilvl w:val="0"/>
          <w:numId w:val="14"/>
        </w:numPr>
      </w:pPr>
      <w:r w:rsidRPr="004874DC">
        <w:t>Pilietinė visuomenė turėtų turėti teisę dalyvauti rengiant valstybių narių klimato ir energetikos veiksmų planus ir stebint bei peržiūrint jų įgyvendinimą.</w:t>
      </w:r>
    </w:p>
    <w:p w:rsidR="00D25D87" w:rsidRPr="004874DC" w:rsidRDefault="00D25D87" w:rsidP="00D25D87">
      <w:pPr>
        <w:numPr>
          <w:ilvl w:val="0"/>
          <w:numId w:val="14"/>
        </w:numPr>
      </w:pPr>
      <w:r w:rsidRPr="004874DC">
        <w:t xml:space="preserve">ES, nacionalinės, regioninės ir vietos strategijos, finansavimo programos ir paramos priemonės turėtų būti stebimos ir peržiūrimos aktyviai dalyvaujant pilietinei visuomenei, siekiant užtikrinti, kad jos „piliečių energiją“ skatintų, o ne kenktų jai. Visų pirma, turėtų būti atidžiai stebimas abejotinų priemonių, pavyzdžiui, tiesioginės rinkodaros reikalavimų, audito ir konkursų </w:t>
      </w:r>
      <w:r w:rsidRPr="004874DC">
        <w:lastRenderedPageBreak/>
        <w:t>atsinaujinančių išteklių energijai gaminti, taikymas siekiant identifikuoti ir greitai ištaisyti jų galimą neigiamą poveikį „piliečių energijos“ plėtojimui.</w:t>
      </w:r>
    </w:p>
    <w:p w:rsidR="00D25D87" w:rsidRPr="004874DC" w:rsidRDefault="00D25D87" w:rsidP="00D25D87"/>
    <w:p w:rsidR="00D25D87" w:rsidRPr="004874DC" w:rsidRDefault="00D25D87" w:rsidP="00536308">
      <w:pPr>
        <w:pStyle w:val="Heading3"/>
        <w:keepNext/>
      </w:pPr>
      <w:bookmarkStart w:id="39" w:name="_Toc408506724"/>
      <w:bookmarkStart w:id="40" w:name="_Toc408580953"/>
      <w:bookmarkStart w:id="41" w:name="_Toc409515352"/>
      <w:r w:rsidRPr="004874DC">
        <w:t>Pradėti skaidrų dialogą dėl energijos kainų, sąnaudų ir naudos</w:t>
      </w:r>
      <w:bookmarkEnd w:id="39"/>
      <w:bookmarkEnd w:id="40"/>
      <w:bookmarkEnd w:id="41"/>
    </w:p>
    <w:p w:rsidR="00D25D87" w:rsidRPr="004874DC" w:rsidRDefault="00D25D87" w:rsidP="00D25D87">
      <w:r w:rsidRPr="004874DC">
        <w:t>Kadangi diskusijose dėl energetikos politikos dažnai vyrauja susirūpinimas trumpalaike kaina, reikia pradėti skaidrius viešus debatus dėl energijos sąnaudų ir kainų. Atsinaujinančių išteklių energijos išorinės sąnaudos yra labai mažos – tai vienas didžiausių skirtumų, palyginti su tradicine energija, kuri susijusi su didelėmis sveikatos ir aplinkos sąnaudomis visuomenei ir kitoms kartoms. Aiški ir išsami informacija turėtų būti paviešinta, kad būtų visiškai aišku, kokios yra subsidijų atsinaujinančių išteklių energijai, iškastiniam kurui ir branduolinei energijai sąnaudos ir su tuo susijusi nauda; taip pat ir žmogaus sveikatos ir aplinkos kokybės išorės sąnaudos bei nauda, susijusi dėl išvengto importo ir energijos tiekimo saugumo. Kaip nurodyta Komisijos 2013 m. atsinaujinančių išteklių energijos vartojimo pažangos ataskaitoje</w:t>
      </w:r>
      <w:r w:rsidRPr="004874DC">
        <w:rPr>
          <w:rStyle w:val="FootnoteReference"/>
        </w:rPr>
        <w:footnoteReference w:id="4"/>
      </w:r>
      <w:r w:rsidRPr="004874DC">
        <w:t xml:space="preserve">, nors atsinaujinančių išteklių energijos technologijų sąnaudos nuolat mažėja, vis dar reikia finansinių, teisinių ir administracinių politikos priemonių paremti atsinaujinančių išteklių energijos naudojimą, kol nėra atviros, konkurenciją skatinančios ES energijos vidaus rinkos, kad būtų panaikinti rinkos nepakankamumai ir </w:t>
      </w:r>
      <w:proofErr w:type="spellStart"/>
      <w:r w:rsidRPr="004874DC">
        <w:t>internalizuotos</w:t>
      </w:r>
      <w:proofErr w:type="spellEnd"/>
      <w:r w:rsidRPr="004874DC">
        <w:t xml:space="preserve"> išorės sąnaudos.</w:t>
      </w:r>
    </w:p>
    <w:p w:rsidR="00D25D87" w:rsidRPr="004874DC" w:rsidRDefault="00D25D87" w:rsidP="00D25D87"/>
    <w:p w:rsidR="00D25D87" w:rsidRPr="004874DC" w:rsidRDefault="00D25D87" w:rsidP="00536308">
      <w:pPr>
        <w:pStyle w:val="Heading3"/>
        <w:keepNext/>
      </w:pPr>
      <w:bookmarkStart w:id="42" w:name="_Toc408506725"/>
      <w:bookmarkStart w:id="43" w:name="_Toc408580954"/>
      <w:bookmarkStart w:id="44" w:name="_Toc409515353"/>
      <w:r w:rsidRPr="004874DC">
        <w:t>Perėjimo prie kitokio energijos vartojimo modelio socialinių pasekmių švelninimas</w:t>
      </w:r>
      <w:bookmarkEnd w:id="42"/>
      <w:bookmarkEnd w:id="43"/>
      <w:bookmarkEnd w:id="44"/>
      <w:r w:rsidRPr="004874DC">
        <w:t xml:space="preserve"> </w:t>
      </w:r>
    </w:p>
    <w:p w:rsidR="00D25D87" w:rsidRPr="004874DC" w:rsidRDefault="00D25D87" w:rsidP="00D25D87">
      <w:r w:rsidRPr="004874DC">
        <w:t xml:space="preserve">Nors tikimasi, kad perėjimo prie kitokio energijos vartojimo modelio faktinis poveikis darbo vietų kūrimui ir namų ūkių pajamoms bus teigiamas, kai kurie įprastos energijos sektoriai praranda rinkas ir darbo vietas (ir tai nebūtinai susiję su atsinaujinančių išteklių energijos dalies padidėjimu). Vyriausybės turėtų prisiimti atsakomybę už tinkamą perėjimo prie mažo anglies dioksido kiekio technologijų ekonomikos socialinio ir ekonominio poveikio valdymą ir siekti naudos visai visuomenei. Siekiant užtikrinti sklandų perėjimą, suteikti galimybę įgyti naujų reikalingų darbo įgūdžių ir kryptingai kovoti su bet kokiu neigiamu socialiniu poveikiu užimtumui ir socialiai silpniems namų ūkiams, turi būti parengtos nacionalinės socialinės perėjimo strategijos, glaudžiai koordinuojamos su atsinaujinančių išteklių energijos naudojimo politika. Vyriausybės turi užtikrinti, kad atsinaujinančių išteklių energijos paramos sąnaudos būtų paskirstytos visai visuomenei teisingai. </w:t>
      </w:r>
    </w:p>
    <w:p w:rsidR="00D25D87" w:rsidRPr="004874DC" w:rsidRDefault="00D25D87" w:rsidP="00D25D87"/>
    <w:p w:rsidR="000959F1" w:rsidRPr="004874DC" w:rsidRDefault="000959F1" w:rsidP="00D25D87"/>
    <w:p w:rsidR="002D259B" w:rsidRPr="004874DC" w:rsidRDefault="00F846DB" w:rsidP="000959F1">
      <w:pPr>
        <w:pStyle w:val="Heading1"/>
      </w:pPr>
      <w:bookmarkStart w:id="45" w:name="_Toc408580955"/>
      <w:bookmarkStart w:id="46" w:name="_Toc409515354"/>
      <w:r w:rsidRPr="004874DC">
        <w:t>Įžanga</w:t>
      </w:r>
      <w:bookmarkEnd w:id="0"/>
      <w:bookmarkEnd w:id="2"/>
      <w:bookmarkEnd w:id="6"/>
      <w:bookmarkEnd w:id="7"/>
      <w:bookmarkEnd w:id="8"/>
      <w:bookmarkEnd w:id="45"/>
      <w:bookmarkEnd w:id="46"/>
    </w:p>
    <w:p w:rsidR="00F0101B" w:rsidRPr="004874DC" w:rsidRDefault="00F0101B" w:rsidP="007B46C7">
      <w:pPr>
        <w:keepNext/>
      </w:pPr>
    </w:p>
    <w:p w:rsidR="007F4114" w:rsidRPr="004874DC" w:rsidRDefault="00F57C49" w:rsidP="007F4114">
      <w:r w:rsidRPr="004874DC">
        <w:t>Europos Sąjungos (ES) politikos formuotojai kartu nustatė aiškų politinį tikslą – iki 2050 m. išmetamas CO</w:t>
      </w:r>
      <w:r w:rsidRPr="004874DC">
        <w:rPr>
          <w:vertAlign w:val="subscript"/>
        </w:rPr>
        <w:t>2</w:t>
      </w:r>
      <w:r w:rsidRPr="004874DC">
        <w:t xml:space="preserve"> kiekis turi būti sumažintas 80–95 proc. Europa bus pertvarkyta į efektyvaus išteklių naudojimo ir klimatui nekenkiančią mažo anglies dioksido kiekio technologijų ekonomiką. Ši darbotvarkė grindžiama ne vien tik klimato kaitos problemomis. Siekiant išspręsti su baigtiniu iškastinio kuro pobūdžiu susijusias problemas, taip pat panaikinti Europos priklausomybę nuo energijos importo iš politiškai nestabilių regionų, reikalingas energetikos politikos perversmas. Energetikos sistemos turi būti plėtojamos</w:t>
      </w:r>
      <w:r w:rsidR="00F341FF" w:rsidRPr="004874DC">
        <w:t xml:space="preserve"> </w:t>
      </w:r>
      <w:r w:rsidRPr="004874DC">
        <w:t>taip, kad užtikrintų švarią, saugią ir įperkamą energiją vartotojams šiandien, taip pat ir ateities kartoms. Planuojant energijos gamybą reikia atsižvelgti į socialinius, aplinkos ir sveikatos išorės veiksnius ir į poveikį ateities kartoms.</w:t>
      </w:r>
    </w:p>
    <w:p w:rsidR="007F4114" w:rsidRPr="004874DC" w:rsidRDefault="007F4114" w:rsidP="007F4114"/>
    <w:p w:rsidR="00782D6B" w:rsidRPr="004874DC" w:rsidRDefault="007F4114" w:rsidP="007F4114">
      <w:r w:rsidRPr="004874DC">
        <w:lastRenderedPageBreak/>
        <w:t>Šiuo pereinamuoju laikotarpiu atsinaujinančių išteklių energija turi atlikti svarbiausią vaidmenį. Siekiant skatinti atsinaujinančių išteklių energijos gamybą ir didinti energijos tiekimo saugumą, 2009 m. buvo parengta ES atsinaujinančių išteklių energijos direktyva (AIED)</w:t>
      </w:r>
      <w:r w:rsidRPr="004874DC">
        <w:rPr>
          <w:vertAlign w:val="superscript"/>
        </w:rPr>
        <w:footnoteReference w:id="5"/>
      </w:r>
      <w:r w:rsidRPr="004874DC">
        <w:t>. Joje reikalaujama, kad iki 2020 m. kiekvienoje valstybėje narėje iš atsinaujinančių išteklių gaunama energija sudarytų tam tikrą galutinio energijos suvartojimo dalį, taip padedant pasiekti bendrą ES tikslą – 20 proc. energijos gauti iš atsinaujinančių išteklių . ES 2030 m. klimato ir energetikos strategijoje numatyta toliau didinti šią dalį – iki 2030 m. bent iki 27 proc. Europos ekonomikos ir socialinių reikalų komitetas (EESRK) pritaria šiam tiksliniam rodikliui</w:t>
      </w:r>
      <w:r w:rsidRPr="004874DC">
        <w:rPr>
          <w:rStyle w:val="FootnoteReference"/>
        </w:rPr>
        <w:footnoteReference w:id="6"/>
      </w:r>
      <w:r w:rsidRPr="004874DC">
        <w:t>, bet reikalauja valstybių narių lygmeniu nustatyti tokius nacionalinius atsinaujinančių energijos išteklių planinius rodiklius, kuriuos taikant Komisija galėtų imtis veiksmų ir užtikrinti, kad valstybės narės vykdytų įsipareigojimą siekti bendro tikslo.</w:t>
      </w:r>
    </w:p>
    <w:p w:rsidR="00C95307" w:rsidRPr="004874DC" w:rsidRDefault="00C95307" w:rsidP="000632AD"/>
    <w:p w:rsidR="00C95307" w:rsidRPr="004874DC" w:rsidRDefault="00C95307" w:rsidP="00C95307">
      <w:r w:rsidRPr="004874DC">
        <w:t>Savo laiške naujajam Komisijos nariui, atsakingam už energ</w:t>
      </w:r>
      <w:r w:rsidR="00A62826">
        <w:t>etiką, Komisijos Pirmininkas J. </w:t>
      </w:r>
      <w:r w:rsidRPr="004874DC">
        <w:t>C.</w:t>
      </w:r>
      <w:r w:rsidR="00A62826">
        <w:t> </w:t>
      </w:r>
      <w:proofErr w:type="spellStart"/>
      <w:r w:rsidRPr="004874DC">
        <w:t>Juncker</w:t>
      </w:r>
      <w:proofErr w:type="spellEnd"/>
      <w:r w:rsidRPr="004874DC">
        <w:t xml:space="preserve"> rašė: „Be to, turime padidinti atsinaujinančių išteklių energijos dalį mūsų žemyne. Tai ne tik atsakingos klimato politikos klausimas. Kartu tai privaloma pramonės politika, jei vis dar norime vidutinės trukmės laikotarpiu naudoti įperkamą energiją. Tvirtai tikiu „žaliojo augimo“ potencialu ir norėčiau, kad ES pirmautų pasaulyje atsinaujinančių išteklių energijos srityje.“</w:t>
      </w:r>
    </w:p>
    <w:p w:rsidR="007C4DC2" w:rsidRPr="004874DC" w:rsidRDefault="007C4DC2" w:rsidP="007F4114"/>
    <w:p w:rsidR="00EE3B35" w:rsidRPr="004874DC" w:rsidRDefault="00AD0D72" w:rsidP="00AD0D72">
      <w:r w:rsidRPr="004874DC">
        <w:t xml:space="preserve">EESRK pripažino techninius, ekonominius ir socialinius sunkumus, susijusius su perėjimu prie tausiai išteklius naudojančios ir mažo anglies dioksido kiekio ekonomikos. Buvo išreikštas susirūpinimas dėl perėjimo sąnaudų ir naudos paskirstymo, dėl išskaidytų ir nepastovių energijos išteklių integravimo į tiekimo sistemą, dėl naujos infrastruktūros ir vietos bendruomenės priešinosi tam tikrų tipų atsinaujinančių išteklių energijos infrastruktūrai. Dedamos didelės pastangos sprendžiant šias problemas. Atsinaujinančių išteklių energijos technologijų sąnaudos mažėja dėl technologijų plėtros ir diegimo rinkoje; daroma pažanga kuriant pažangiuosius elektros energijos tinklus ir ieškant kitų sprendimų, kaip valdyti kintančią pasiūlą ir paklausą. </w:t>
      </w:r>
    </w:p>
    <w:p w:rsidR="00EE3B35" w:rsidRPr="004874DC" w:rsidRDefault="00EE3B35" w:rsidP="00AD0D72"/>
    <w:p w:rsidR="00030F5F" w:rsidRPr="004874DC" w:rsidRDefault="00F0101B" w:rsidP="00AD0D72">
      <w:r w:rsidRPr="004874DC">
        <w:t xml:space="preserve">EESRK ėmėsi šio tyrimo gerai žinodamas, kad atsinaujinančių išteklių energijos politikos rengimas ir įgyvendinimas yra susijęs su rinkos struktūromis ir socialiniais ir ekonominiais aspektais, bent jau tiek, kiek tai liečia techninius ir technologinius klausimus. Todėl šio tyrimo tikslas nėra techninių klausimų, kurie svarstomi kitose vykstančiose diskusijose. nagrinėjimas. Vietoj to, jame nagrinėjamas gerokai mažiau tirtas klausimas – </w:t>
      </w:r>
      <w:r w:rsidRPr="004874DC">
        <w:rPr>
          <w:b/>
        </w:rPr>
        <w:t>pilietinės visuomenės vaidmuo, kurį ji atlieka arba galėtų ar turėtų atlikti</w:t>
      </w:r>
      <w:r w:rsidRPr="004874DC">
        <w:t xml:space="preserve"> šiame labai svarbiame perėjimo procese. </w:t>
      </w:r>
    </w:p>
    <w:p w:rsidR="00030F5F" w:rsidRPr="004874DC" w:rsidRDefault="00030F5F" w:rsidP="00AD0D72"/>
    <w:p w:rsidR="00AD0D72" w:rsidRPr="004874DC" w:rsidRDefault="00AD0D72" w:rsidP="00AD0D72">
      <w:r w:rsidRPr="004874DC">
        <w:t>Ar pilietinės visuomenės vaidmuo yra tik naujos politikos ir projektų stebėjimas ir pritarimas jiems? Ar su pilietinės visuomenės veikėjais konsultuojamasi ir, jeigu taip, ar tai turi kokių nors padarinių? O gal pilietinė visuomenė visapusiškai dalyvauja ir jai naujoje decentralizuotojoje atsinaujinančių išteklių energijos gamybos sistemoje sudarytos sąlygos atlikti aktyvų, galbūt netgi pagrindinį vaidmenį? Galiausiai, kokie šiuo požiūriu yra sėkmės veiksniai ir iššūkiai?</w:t>
      </w:r>
    </w:p>
    <w:p w:rsidR="00AD0D72" w:rsidRPr="004874DC" w:rsidRDefault="00AD0D72" w:rsidP="00AD0D72"/>
    <w:p w:rsidR="007F4114" w:rsidRPr="004874DC" w:rsidRDefault="007F4114" w:rsidP="007F4114">
      <w:r w:rsidRPr="004874DC">
        <w:lastRenderedPageBreak/>
        <w:t>Iki šiol pilietinė visuomenė dalyvavo tik sprendžiant ne itin svarbius energijos gamybos klausimus. Energetikos sektorius yra labai centralizuotas, o vaidmenys – aiškiai paskirstyti. Tradicinė (ir vis dar pagrindinė) energijos gamyba vykdoma keliuose dideliuose centriniuose įrenginiuose, kurių dauguma yra iškastinio kuro arba atominės jėgainės. Rinkoje dominuoja tik kelios didelės energetikos įmonės, pavyzdžiui, keturios Vokietijoje, šešios Jungtinėje Karalystėje ir viena Prancūzijoje. Piliečiai, įmonės ir pramonė buvo pasyvūs, už energetikos produktus mokantys vartotojai.</w:t>
      </w:r>
    </w:p>
    <w:p w:rsidR="00513D39" w:rsidRPr="004874DC" w:rsidRDefault="00513D39" w:rsidP="00712BEB"/>
    <w:p w:rsidR="00612F1D" w:rsidRPr="004874DC" w:rsidRDefault="003266BA" w:rsidP="007F4114">
      <w:r w:rsidRPr="004874DC">
        <w:t xml:space="preserve">Mažo anglies dioksido kiekio technologijomis grindžiamos energetikos plėtra sukels esminius energetikos sektoriaus pokyčius. Atsinaujinantieji energijos ištekliai dėl savo pobūdžio yra labiau decentralizuoti, nes dažnai naudojami vietos lygmeniu prieinami ištekliai, kurių vežti neįmanoma arba pernelyg brangu. Energija ir elektra bus gaminamos artimiausioje žmonių gyvenamojoje aplinkoje, o tai reiškia, kad energijos infrastruktūra kraštovaizdyje bus daug labiau matoma. </w:t>
      </w:r>
    </w:p>
    <w:p w:rsidR="00EF4326" w:rsidRPr="004874DC" w:rsidRDefault="007F4114" w:rsidP="007F4114">
      <w:r w:rsidRPr="004874DC">
        <w:t xml:space="preserve"> </w:t>
      </w:r>
    </w:p>
    <w:p w:rsidR="003266BA" w:rsidRPr="004874DC" w:rsidRDefault="00EF4326" w:rsidP="007F4114">
      <w:r w:rsidRPr="004874DC">
        <w:t>Kad politika būtų sėkminga, jai turi būti pritariama. Tai galima pasakyti apie anksčiau įgyvendintą energetikos politiką ir tikriausiai tai dar labiau tinka kalbant apie būsimas šios politikos kryptis. Pilietinės visuomenės paramos reikia ne tik visai ES kovos su klimato kaita politikai – vietos gyventojai turi pritarti kiekvienam projektui ir visiems vėjo, saulės ar biodujų įrenginiams. Projektai dažniausiai vertinami palankiai tada, kai su jais susiję žmonės pripažįsta savo gyvenamosios aplinkos pokyčių teikiamą naudą, ypač jeigu iš šių pokyčių jie gauna tiesioginės naudos.</w:t>
      </w:r>
    </w:p>
    <w:p w:rsidR="003266BA" w:rsidRPr="004874DC" w:rsidRDefault="003266BA" w:rsidP="000632AD"/>
    <w:p w:rsidR="005C66B9" w:rsidRPr="004874DC" w:rsidRDefault="003266BA" w:rsidP="007F4114">
      <w:r w:rsidRPr="004874DC">
        <w:t xml:space="preserve">Pasaulinės klimato kaitos požiūriu nesvarbu, kas valdo ar eksploatuoja vėjo jėgainę. Pritarimo politikai požiūriu tai gali būti labai svarbu. Todėl atsinaujinančių energijos išteklių plėtojimas – ir iš tikrųjų kovos su klimato kaita politikos – įgyvendinimas glaudžiai susijęs su klausimu, </w:t>
      </w:r>
      <w:r w:rsidRPr="004874DC">
        <w:rPr>
          <w:b/>
        </w:rPr>
        <w:t>kam sudaromos lengvatinės sąlygos ir suteikiama galimybė gaminti atsinaujinančių išteklių energiją ir iš to gauti naudos</w:t>
      </w:r>
      <w:r w:rsidRPr="004874DC">
        <w:t>: išorės investuotojams, kurie savo verslo interesų labui naudojasi regiono vietos ištekliais, ar vietos gyventojams, kurie gali naudotis savo saulės, biomasės ir vėjo ištekliais ir ne tik gaminti energiją, bet ir kurti naują regioninę vertę, galimybes ir darbo vietas. Tai nereiškia, kad perėjimą prie atsinaujinančių išteklių energijos turėtų ar galėtų įgyvendinti vien tik smulkūs gamintojai. Priešingai, privatiems asmenims ir bendruomenėms turi būti suteikta daugiau galių, kad galėtų konkuruoti su stambiais investuotojais, siekdami vietos vertės ir kad svariai prisidėtų pereinant prie kitokio energijos vartojimo modelio.</w:t>
      </w:r>
    </w:p>
    <w:p w:rsidR="005C66B9" w:rsidRPr="004874DC" w:rsidRDefault="005C66B9" w:rsidP="007F4114"/>
    <w:p w:rsidR="00894515" w:rsidRPr="004874DC" w:rsidRDefault="00713428" w:rsidP="00B00D38">
      <w:r w:rsidRPr="004874DC">
        <w:t>Atsinaujinančių išteklių energijos direktyvoje pripažįstamos ekonomikos augimo ir užimtumo didinimo galimybės, atsirandančios dėl iš atsinaujinančių išteklių regiono ir vietos lygmenimis gaminamos energijos. Joje valstybės narės raginamos remti nacionalines ir regionines plėtros priemones ir skatinti naudotis šios srities struktūrinių fondų lėšomis, net jei nėra aiškiai pripažįstamas ar remiamas bendruomenės vadovavimas plėtojant atsinaujinančių išteklių energiją.</w:t>
      </w:r>
    </w:p>
    <w:p w:rsidR="0070032E" w:rsidRPr="004874DC" w:rsidRDefault="0070032E" w:rsidP="00B00D38">
      <w:pPr>
        <w:rPr>
          <w:highlight w:val="yellow"/>
        </w:rPr>
      </w:pPr>
    </w:p>
    <w:p w:rsidR="004410D9" w:rsidRPr="004874DC" w:rsidRDefault="004A39F2" w:rsidP="00F846DB">
      <w:r w:rsidRPr="004874DC">
        <w:t xml:space="preserve">TVO tyrime buvo išnagrinėta šešių valstybių narių darbo su šios rūšies sistemomis patirtis. Šioje ataskaitoje pateikiami EESRK tyrimo rezultatai ir ES institucijoms bei valstybių narių politikos formuotojams skirtos rekomendacijos, kuriomis siekiama gerinti vietos bendruomenių ir pilietinės visuomenės vykdomos ir joms naudingos decentralizuotos atsinaujinančių išteklių energijos gamybos reguliavimo sąlygas. </w:t>
      </w:r>
    </w:p>
    <w:p w:rsidR="004410D9" w:rsidRPr="004874DC" w:rsidRDefault="004410D9" w:rsidP="00B0721D"/>
    <w:p w:rsidR="002D259B" w:rsidRPr="004874DC" w:rsidRDefault="009B5725" w:rsidP="00F846DB">
      <w:r w:rsidRPr="004874DC">
        <w:lastRenderedPageBreak/>
        <w:t>Prie ataskaitos pridedamos nacionalinės ataskaitos, kuriose buvo pateikta papildoma informacija apie kiekvieną iš šešių valstybių narių, kuriose lankytasi atliekant šį tyrimą.</w:t>
      </w:r>
    </w:p>
    <w:p w:rsidR="008C1C0D" w:rsidRPr="004874DC" w:rsidRDefault="008C1C0D" w:rsidP="00AB2FC3"/>
    <w:p w:rsidR="000959F1" w:rsidRPr="004874DC" w:rsidRDefault="000959F1" w:rsidP="00AB2FC3"/>
    <w:p w:rsidR="00861968" w:rsidRPr="004874DC" w:rsidRDefault="00025B07" w:rsidP="000959F1">
      <w:pPr>
        <w:pStyle w:val="Heading1"/>
      </w:pPr>
      <w:bookmarkStart w:id="47" w:name="_Toc399145990"/>
      <w:bookmarkStart w:id="48" w:name="_Toc399257197"/>
      <w:bookmarkStart w:id="49" w:name="_Toc408506710"/>
      <w:bookmarkStart w:id="50" w:name="_Toc408580956"/>
      <w:bookmarkStart w:id="51" w:name="_Toc409515355"/>
      <w:r w:rsidRPr="004874DC">
        <w:t>Tyrimo metodas</w:t>
      </w:r>
      <w:bookmarkEnd w:id="47"/>
      <w:bookmarkEnd w:id="48"/>
      <w:bookmarkEnd w:id="49"/>
      <w:bookmarkEnd w:id="50"/>
      <w:bookmarkEnd w:id="51"/>
    </w:p>
    <w:p w:rsidR="00861968" w:rsidRPr="004874DC" w:rsidRDefault="00861968" w:rsidP="00536308">
      <w:pPr>
        <w:keepNext/>
      </w:pPr>
    </w:p>
    <w:p w:rsidR="00861968" w:rsidRPr="004874DC" w:rsidRDefault="00861968" w:rsidP="000959F1">
      <w:pPr>
        <w:pStyle w:val="Heading2"/>
      </w:pPr>
      <w:bookmarkStart w:id="52" w:name="_Toc399257198"/>
      <w:bookmarkStart w:id="53" w:name="_Toc408506711"/>
      <w:bookmarkStart w:id="54" w:name="_Toc408580957"/>
      <w:bookmarkStart w:id="55" w:name="_Toc409515356"/>
      <w:r w:rsidRPr="004874DC">
        <w:t>Tikslai</w:t>
      </w:r>
      <w:bookmarkEnd w:id="52"/>
      <w:bookmarkEnd w:id="53"/>
      <w:bookmarkEnd w:id="54"/>
      <w:bookmarkEnd w:id="55"/>
    </w:p>
    <w:p w:rsidR="00861968" w:rsidRPr="004874DC" w:rsidRDefault="00861968" w:rsidP="00536308">
      <w:pPr>
        <w:keepNext/>
        <w:ind w:left="720"/>
      </w:pPr>
      <w:bookmarkStart w:id="56" w:name="_Toc399145992"/>
      <w:bookmarkEnd w:id="56"/>
    </w:p>
    <w:p w:rsidR="00861968" w:rsidRPr="004874DC" w:rsidRDefault="00861968" w:rsidP="00B0721D">
      <w:r w:rsidRPr="004874DC">
        <w:t>Šiuo tyrimu siekiama atsakyti į du konkrečius klausimus:</w:t>
      </w:r>
    </w:p>
    <w:p w:rsidR="00861968" w:rsidRPr="004874DC" w:rsidRDefault="00861968" w:rsidP="00861968"/>
    <w:p w:rsidR="008F70EB" w:rsidRPr="004874DC" w:rsidRDefault="00861968" w:rsidP="00640385">
      <w:pPr>
        <w:numPr>
          <w:ilvl w:val="0"/>
          <w:numId w:val="12"/>
        </w:numPr>
      </w:pPr>
      <w:r w:rsidRPr="004874DC">
        <w:t>Kokiu mastu pilietinė visuomenė dalyvauja įgyvendinant Atsinaujinančiųjų išteklių energijos direktyvą? Ar pilietinė visuomenė yra tik informuota stebėtoja? Ar su ja konsultuojamasi sprendimų priėmimo procesuose? Ar ji tiesiogiai dalyvauja energijos gamyboje, taip ir prisidėdama prie perėjimo prie mažo anglies dioksido kiekio technologijų ekonomikos, ir gaudama iš to naudos?</w:t>
      </w:r>
    </w:p>
    <w:p w:rsidR="00861968" w:rsidRPr="004874DC" w:rsidRDefault="00861968" w:rsidP="00861968">
      <w:pPr>
        <w:ind w:left="720"/>
      </w:pPr>
    </w:p>
    <w:p w:rsidR="00861968" w:rsidRPr="004874DC" w:rsidRDefault="00861968" w:rsidP="00640385">
      <w:pPr>
        <w:numPr>
          <w:ilvl w:val="0"/>
          <w:numId w:val="12"/>
        </w:numPr>
      </w:pPr>
      <w:r w:rsidRPr="004874DC">
        <w:t>Kokiu mastu taikant nacionalines ir regionines reguliavimo sistemas (politines, administracines, finansines ir technines priemones) remiama pilietinės visuomenės vykdoma atsinaujinančių išteklių energijos gamyba?</w:t>
      </w:r>
    </w:p>
    <w:p w:rsidR="00861968" w:rsidRPr="004874DC" w:rsidRDefault="00861968" w:rsidP="00861968"/>
    <w:p w:rsidR="00861968" w:rsidRPr="004874DC" w:rsidRDefault="00861968" w:rsidP="00861968">
      <w:r w:rsidRPr="004874DC">
        <w:t xml:space="preserve">Siekiant atsakyti į šiuos klausimus, atliekant tyrimą mėginta nustatyti skirtingais valdymo lygmenimis </w:t>
      </w:r>
      <w:r w:rsidRPr="004874DC">
        <w:rPr>
          <w:b/>
        </w:rPr>
        <w:t>patvirtintas strategijas ir konkrečias priemones</w:t>
      </w:r>
      <w:r w:rsidRPr="004874DC">
        <w:t>, kuriomis suteikiama teisė plėtoti decentralizuotą atsinaujinančių išteklių energijos gamybą ir ši energijos gamyba susiejama su vietos bendruomenės gaunama nauda, pabrėžiant gerus pavyzdžius ir pateikiant politines rekomendacijas.</w:t>
      </w:r>
    </w:p>
    <w:p w:rsidR="00861968" w:rsidRPr="004874DC" w:rsidRDefault="00861968" w:rsidP="00861968"/>
    <w:p w:rsidR="008F70EB" w:rsidRPr="004874DC" w:rsidRDefault="008F70EB" w:rsidP="008F70EB">
      <w:r w:rsidRPr="004874DC">
        <w:t xml:space="preserve">Visoje šioje ataskaitoje terminas </w:t>
      </w:r>
      <w:r w:rsidRPr="004874DC">
        <w:rPr>
          <w:b/>
        </w:rPr>
        <w:t>„piliečių atsinaujinančių išteklių energija“</w:t>
      </w:r>
      <w:r w:rsidRPr="004874DC">
        <w:t xml:space="preserve"> vartojamas decentralizuotai atsinaujinančių išteklių energijos gamybai, kuri priklauso (apie 50 proc.) arba ją vykdo piliečiai, vietos iniciatyvinės grupės, bendruomenės, vietos valdžios institucijos, labdaros organizacijos, NVO, ūkininkai, kooperatyvai ir MVĮ ir kuri padeda sukurti regione liekančios vietinės vertės srautą, nurodyti. Ne visi atsinaujinančių išteklių energijos projektai naudingi vietos bendruomenėms. Apibrėžtis neturėtų apimti, pavyzdžiui, vėjo jėgainių parkų, priklausančių didelėms bendrovėms, pridėtinės vertės, kuria nepasinaudoja vietos bendruomenės.</w:t>
      </w:r>
    </w:p>
    <w:p w:rsidR="006B79B9" w:rsidRPr="004874DC" w:rsidRDefault="006B79B9" w:rsidP="00861968"/>
    <w:p w:rsidR="000959F1" w:rsidRPr="004874DC" w:rsidRDefault="000959F1" w:rsidP="00861968"/>
    <w:p w:rsidR="00861968" w:rsidRPr="004874DC" w:rsidRDefault="00861968" w:rsidP="000959F1">
      <w:pPr>
        <w:pStyle w:val="Heading2"/>
      </w:pPr>
      <w:bookmarkStart w:id="57" w:name="_Toc399145994"/>
      <w:bookmarkStart w:id="58" w:name="_Toc399257199"/>
      <w:bookmarkStart w:id="59" w:name="_Toc408506712"/>
      <w:bookmarkStart w:id="60" w:name="_Toc408580958"/>
      <w:bookmarkStart w:id="61" w:name="_Toc409515357"/>
      <w:r w:rsidRPr="004874DC">
        <w:t>Metodika</w:t>
      </w:r>
      <w:bookmarkEnd w:id="57"/>
      <w:bookmarkEnd w:id="58"/>
      <w:bookmarkEnd w:id="59"/>
      <w:bookmarkEnd w:id="60"/>
      <w:bookmarkEnd w:id="61"/>
    </w:p>
    <w:p w:rsidR="003E034A" w:rsidRPr="004874DC" w:rsidRDefault="003E034A" w:rsidP="007B46C7">
      <w:pPr>
        <w:keepNext/>
      </w:pPr>
    </w:p>
    <w:p w:rsidR="00861968" w:rsidRPr="004874DC" w:rsidRDefault="00861968" w:rsidP="00861968">
      <w:r w:rsidRPr="004874DC">
        <w:t>Šis tyrimas grindžiamas duomenų iš įvairių informacijos šaltinių rinkimu ir analize, o svarbiausia – per vizitus į pasirinktas valstybes nares iš įvairių suinteresuotųjų subjektų gauta grįžtamąja informacija. Imtasi šių veiksmų:</w:t>
      </w:r>
    </w:p>
    <w:p w:rsidR="00861968" w:rsidRPr="00A62826" w:rsidRDefault="00861968" w:rsidP="00640385">
      <w:pPr>
        <w:pStyle w:val="ListParagraph2"/>
        <w:numPr>
          <w:ilvl w:val="0"/>
          <w:numId w:val="13"/>
        </w:numPr>
        <w:spacing w:before="240"/>
        <w:rPr>
          <w:b w:val="0"/>
          <w:sz w:val="22"/>
          <w:szCs w:val="22"/>
        </w:rPr>
      </w:pPr>
      <w:r w:rsidRPr="00A62826">
        <w:rPr>
          <w:b w:val="0"/>
          <w:sz w:val="22"/>
          <w:szCs w:val="22"/>
        </w:rPr>
        <w:t>atlikta literatūros, statistinių duomenų ir valstybių narių politikos dokumentų analizė;</w:t>
      </w:r>
    </w:p>
    <w:p w:rsidR="00B0721D" w:rsidRPr="00A62826" w:rsidRDefault="00B0721D" w:rsidP="00640385">
      <w:pPr>
        <w:pStyle w:val="ListParagraph2"/>
        <w:numPr>
          <w:ilvl w:val="0"/>
          <w:numId w:val="13"/>
        </w:numPr>
        <w:spacing w:before="240"/>
        <w:rPr>
          <w:b w:val="0"/>
          <w:sz w:val="22"/>
          <w:szCs w:val="22"/>
        </w:rPr>
      </w:pPr>
      <w:r w:rsidRPr="00A62826">
        <w:rPr>
          <w:b w:val="0"/>
          <w:sz w:val="22"/>
          <w:szCs w:val="22"/>
        </w:rPr>
        <w:t>paimti interviu iš svarbiausių ES lygmeniu veikiančių suinteresuotųjų subjektų;</w:t>
      </w:r>
    </w:p>
    <w:p w:rsidR="00861968" w:rsidRPr="00A62826" w:rsidRDefault="00A22809" w:rsidP="00640385">
      <w:pPr>
        <w:pStyle w:val="ListParagraph2"/>
        <w:numPr>
          <w:ilvl w:val="0"/>
          <w:numId w:val="13"/>
        </w:numPr>
        <w:spacing w:before="240"/>
        <w:rPr>
          <w:b w:val="0"/>
          <w:sz w:val="22"/>
          <w:szCs w:val="22"/>
        </w:rPr>
      </w:pPr>
      <w:r w:rsidRPr="00A62826">
        <w:rPr>
          <w:b w:val="0"/>
          <w:sz w:val="22"/>
          <w:szCs w:val="22"/>
        </w:rPr>
        <w:t>parengtas internetinis klausimynas, kurį gali pildyti valdžios institucijos ir suinteresuotieji subjektai ir kuris apima įvairius atsinaujinančių išteklių energijai skirtų valstybių narių administracinių, techninių ir finansinių politikos sistemų aspektus;</w:t>
      </w:r>
    </w:p>
    <w:p w:rsidR="008F70EB" w:rsidRPr="00A62826" w:rsidRDefault="00861968" w:rsidP="00640385">
      <w:pPr>
        <w:pStyle w:val="ListParagraph2"/>
        <w:numPr>
          <w:ilvl w:val="0"/>
          <w:numId w:val="13"/>
        </w:numPr>
        <w:spacing w:before="240"/>
        <w:rPr>
          <w:b w:val="0"/>
          <w:sz w:val="22"/>
          <w:szCs w:val="22"/>
        </w:rPr>
      </w:pPr>
      <w:r w:rsidRPr="00A62826">
        <w:rPr>
          <w:b w:val="0"/>
          <w:sz w:val="22"/>
          <w:szCs w:val="22"/>
        </w:rPr>
        <w:lastRenderedPageBreak/>
        <w:t xml:space="preserve">aplankytos šešios pasirinktos valstybės narės; per vizitus, be kita ko, surengti praktiniai seminarai ir klausymai su valdžios institucijomis ir suinteresuotaisiais subjektais, aplankyti vietos atsinaujinančių išteklių energijos gamybos objektai. Šios šešios šalys pasirinktos siekiant: a) pateikti geografiškai proporcingą padėties ES vaizdą, b) pateikti vadinamųjų naujųjų ir senųjų valstybių narių pavyzdžius ir c) parodyti skirtingus Atsinaujinančių išteklių energijos direktyvos įgyvendinimo atskaitos taškus ir lygius. </w:t>
      </w:r>
    </w:p>
    <w:p w:rsidR="00861968" w:rsidRPr="00A62826" w:rsidRDefault="00861968" w:rsidP="00B0721D">
      <w:pPr>
        <w:pStyle w:val="ListParagraph2"/>
        <w:numPr>
          <w:ilvl w:val="0"/>
          <w:numId w:val="0"/>
        </w:numPr>
        <w:spacing w:before="240"/>
        <w:ind w:left="360"/>
        <w:rPr>
          <w:b w:val="0"/>
          <w:sz w:val="22"/>
          <w:szCs w:val="22"/>
        </w:rPr>
      </w:pPr>
      <w:r w:rsidRPr="00A62826">
        <w:rPr>
          <w:b w:val="0"/>
          <w:sz w:val="22"/>
          <w:szCs w:val="22"/>
        </w:rPr>
        <w:t>Vizitai vyko tokiomis datomis:</w:t>
      </w:r>
    </w:p>
    <w:p w:rsidR="00861968" w:rsidRPr="00A62826" w:rsidRDefault="00861968" w:rsidP="00640385">
      <w:pPr>
        <w:pStyle w:val="ListParagraph2"/>
        <w:numPr>
          <w:ilvl w:val="1"/>
          <w:numId w:val="7"/>
        </w:numPr>
        <w:rPr>
          <w:b w:val="0"/>
          <w:sz w:val="22"/>
          <w:szCs w:val="22"/>
        </w:rPr>
      </w:pPr>
      <w:r w:rsidRPr="00A62826">
        <w:rPr>
          <w:b w:val="0"/>
          <w:sz w:val="22"/>
          <w:szCs w:val="22"/>
        </w:rPr>
        <w:t xml:space="preserve">2014 m. kovo </w:t>
      </w:r>
      <w:r w:rsidR="009511B3" w:rsidRPr="00A62826">
        <w:rPr>
          <w:b w:val="0"/>
          <w:sz w:val="22"/>
          <w:szCs w:val="22"/>
        </w:rPr>
        <w:t>11–</w:t>
      </w:r>
      <w:r w:rsidRPr="00A62826">
        <w:rPr>
          <w:b w:val="0"/>
          <w:sz w:val="22"/>
          <w:szCs w:val="22"/>
        </w:rPr>
        <w:t>13 d., Vokietija.</w:t>
      </w:r>
    </w:p>
    <w:p w:rsidR="00861968" w:rsidRPr="00A62826" w:rsidRDefault="00861968" w:rsidP="00640385">
      <w:pPr>
        <w:pStyle w:val="ListParagraph2"/>
        <w:numPr>
          <w:ilvl w:val="1"/>
          <w:numId w:val="7"/>
        </w:numPr>
        <w:rPr>
          <w:b w:val="0"/>
          <w:sz w:val="22"/>
          <w:szCs w:val="22"/>
        </w:rPr>
      </w:pPr>
      <w:r w:rsidRPr="00A62826">
        <w:rPr>
          <w:b w:val="0"/>
          <w:sz w:val="22"/>
          <w:szCs w:val="22"/>
        </w:rPr>
        <w:t>2014 m. balandžio 7–9 d., Lenkija.</w:t>
      </w:r>
    </w:p>
    <w:p w:rsidR="00861968" w:rsidRPr="00A62826" w:rsidRDefault="00861968" w:rsidP="00640385">
      <w:pPr>
        <w:pStyle w:val="ListParagraph2"/>
        <w:numPr>
          <w:ilvl w:val="1"/>
          <w:numId w:val="7"/>
        </w:numPr>
        <w:rPr>
          <w:b w:val="0"/>
          <w:sz w:val="22"/>
          <w:szCs w:val="22"/>
        </w:rPr>
      </w:pPr>
      <w:r w:rsidRPr="00A62826">
        <w:rPr>
          <w:b w:val="0"/>
          <w:sz w:val="22"/>
          <w:szCs w:val="22"/>
        </w:rPr>
        <w:t>2014 m. balandžio 23–24 d., Prancūzija.</w:t>
      </w:r>
    </w:p>
    <w:p w:rsidR="00861968" w:rsidRPr="00A62826" w:rsidRDefault="00861968" w:rsidP="00640385">
      <w:pPr>
        <w:pStyle w:val="ListParagraph2"/>
        <w:numPr>
          <w:ilvl w:val="1"/>
          <w:numId w:val="7"/>
        </w:numPr>
        <w:rPr>
          <w:b w:val="0"/>
          <w:sz w:val="22"/>
          <w:szCs w:val="22"/>
        </w:rPr>
      </w:pPr>
      <w:r w:rsidRPr="00A62826">
        <w:rPr>
          <w:b w:val="0"/>
          <w:sz w:val="22"/>
          <w:szCs w:val="22"/>
        </w:rPr>
        <w:t>2014 m. gegužės 5–7 d., Jungtinė Karalystė.</w:t>
      </w:r>
    </w:p>
    <w:p w:rsidR="00861968" w:rsidRPr="00A62826" w:rsidRDefault="00861968" w:rsidP="00640385">
      <w:pPr>
        <w:pStyle w:val="ListParagraph2"/>
        <w:numPr>
          <w:ilvl w:val="1"/>
          <w:numId w:val="7"/>
        </w:numPr>
        <w:rPr>
          <w:b w:val="0"/>
          <w:sz w:val="22"/>
          <w:szCs w:val="22"/>
        </w:rPr>
      </w:pPr>
      <w:r w:rsidRPr="00A62826">
        <w:rPr>
          <w:b w:val="0"/>
          <w:sz w:val="22"/>
          <w:szCs w:val="22"/>
        </w:rPr>
        <w:t>2014 m. gegužės 13–15 d., Lietuva.</w:t>
      </w:r>
    </w:p>
    <w:p w:rsidR="00861968" w:rsidRPr="00A62826" w:rsidRDefault="00861968" w:rsidP="00640385">
      <w:pPr>
        <w:pStyle w:val="ListParagraph2"/>
        <w:numPr>
          <w:ilvl w:val="1"/>
          <w:numId w:val="7"/>
        </w:numPr>
        <w:rPr>
          <w:b w:val="0"/>
          <w:sz w:val="22"/>
          <w:szCs w:val="22"/>
        </w:rPr>
      </w:pPr>
      <w:r w:rsidRPr="00A62826">
        <w:rPr>
          <w:b w:val="0"/>
          <w:sz w:val="22"/>
          <w:szCs w:val="22"/>
        </w:rPr>
        <w:t>2014 m. liepos 14–16 d., Bulgarija.</w:t>
      </w:r>
    </w:p>
    <w:p w:rsidR="00861968" w:rsidRPr="004874DC" w:rsidRDefault="00861968" w:rsidP="00861968"/>
    <w:p w:rsidR="00EA4643" w:rsidRPr="004874DC" w:rsidRDefault="00EA4643" w:rsidP="003E034A">
      <w:pPr>
        <w:rPr>
          <w:b/>
        </w:rPr>
      </w:pPr>
      <w:r w:rsidRPr="004874DC">
        <w:t>Verta pažymėti, kad visose šiose aplankytose šalyse buvo vykdomos esminės atsinaujinančių išteklių energijos politikos sistemų ir priemonių reformos. Taigi tyrimo grupė turėjo galimybę išgirsti audringas nacionalines diskusijas galimo šių reformų poveikio „piliečių energijai“ klausimu. Kiekvienos šių vizitų ataskaitos pridedamas prie šio pranešimo.</w:t>
      </w:r>
    </w:p>
    <w:p w:rsidR="00EA4643" w:rsidRPr="004874DC" w:rsidRDefault="00EA4643" w:rsidP="00B0721D"/>
    <w:p w:rsidR="003E034A" w:rsidRPr="004874DC" w:rsidRDefault="003E034A" w:rsidP="003E034A">
      <w:r w:rsidRPr="004874DC">
        <w:t xml:space="preserve">Atsižvelgiant į tai, kad daugiausia dėmesio skiriama atsinaujinantiems energijos ištekliams, šioje srityje paprastai dalyvauja smulkieji gamintojai ir vietos bendruomenės: saulė (fotovoltiniai ir saulės energijos kolektoriai), vėjas, biomasė, biodujos ir energijos gamyba </w:t>
      </w:r>
      <w:proofErr w:type="spellStart"/>
      <w:r w:rsidRPr="004874DC">
        <w:t>mikrohidroelektrinėse</w:t>
      </w:r>
      <w:proofErr w:type="spellEnd"/>
      <w:r w:rsidRPr="004874DC">
        <w:t>.</w:t>
      </w:r>
    </w:p>
    <w:p w:rsidR="003E034A" w:rsidRPr="004874DC" w:rsidRDefault="003E034A" w:rsidP="00B0721D"/>
    <w:p w:rsidR="000959F1" w:rsidRPr="004874DC" w:rsidRDefault="000959F1" w:rsidP="00B0721D"/>
    <w:p w:rsidR="00105A4D" w:rsidRPr="004874DC" w:rsidRDefault="008A4B88" w:rsidP="000959F1">
      <w:pPr>
        <w:pStyle w:val="Heading1"/>
      </w:pPr>
      <w:bookmarkStart w:id="62" w:name="_Toc397891541"/>
      <w:bookmarkStart w:id="63" w:name="_Toc397891544"/>
      <w:bookmarkStart w:id="64" w:name="_Toc397891545"/>
      <w:bookmarkStart w:id="65" w:name="_Toc397891546"/>
      <w:bookmarkStart w:id="66" w:name="_Toc397891547"/>
      <w:bookmarkStart w:id="67" w:name="_Toc397891548"/>
      <w:bookmarkStart w:id="68" w:name="_Toc399145995"/>
      <w:bookmarkStart w:id="69" w:name="_Toc399257200"/>
      <w:bookmarkStart w:id="70" w:name="_Toc398538369"/>
      <w:bookmarkStart w:id="71" w:name="_Toc408506726"/>
      <w:bookmarkStart w:id="72" w:name="_Toc408580959"/>
      <w:bookmarkStart w:id="73" w:name="_Toc409515358"/>
      <w:bookmarkEnd w:id="62"/>
      <w:bookmarkEnd w:id="63"/>
      <w:bookmarkEnd w:id="64"/>
      <w:bookmarkEnd w:id="65"/>
      <w:bookmarkEnd w:id="66"/>
      <w:bookmarkEnd w:id="67"/>
      <w:r w:rsidRPr="004874DC">
        <w:t>ES atsinaujinančių išteklių energijos srityje padarytos pažangos apžvalga</w:t>
      </w:r>
      <w:bookmarkEnd w:id="68"/>
      <w:bookmarkEnd w:id="69"/>
      <w:bookmarkEnd w:id="70"/>
      <w:bookmarkEnd w:id="71"/>
      <w:bookmarkEnd w:id="72"/>
      <w:bookmarkEnd w:id="73"/>
    </w:p>
    <w:p w:rsidR="00094EC2" w:rsidRPr="004874DC" w:rsidRDefault="00094EC2" w:rsidP="007B46C7">
      <w:pPr>
        <w:keepNext/>
        <w:spacing w:line="240" w:lineRule="auto"/>
      </w:pPr>
    </w:p>
    <w:p w:rsidR="004E5946" w:rsidRPr="004874DC" w:rsidRDefault="00014F2A" w:rsidP="00953AFD">
      <w:pPr>
        <w:spacing w:line="276" w:lineRule="auto"/>
      </w:pPr>
      <w:bookmarkStart w:id="74" w:name="_Toc395310056"/>
      <w:r w:rsidRPr="004874DC">
        <w:t>Nors ES ekonomika vis dar labai priklausoma</w:t>
      </w:r>
      <w:bookmarkEnd w:id="74"/>
      <w:r w:rsidRPr="004874DC">
        <w:t xml:space="preserve"> nuo iškastinio kuro ir kuro importo, atsinaujinančių išteklių energijos dalis skaičiuojant bendrą galutinį energijos suvartojimą nuolat didėjo. 2012 m. pasiekė 14.1 proc.</w:t>
      </w:r>
      <w:r w:rsidRPr="004874DC">
        <w:rPr>
          <w:vertAlign w:val="superscript"/>
        </w:rPr>
        <w:footnoteReference w:id="7"/>
      </w:r>
      <w:r w:rsidRPr="004874DC">
        <w:t>, vis dar atitinka Atsinaujinančių išteklių energijos direktyvoje nurodytą tikslą, kad iki 2020 m. atsinaujinančių išteklių energija bendrame ES suvartojamos galutinės energijos kiekyje iki 2020 m. sudarys 20 proc. Pažanga visoje ES yra nevienoda, o 2014 m. jos tempas sulėtėjo. Jei ši tendencija tęsis, ES gali ir nepasiekti savo 20 % tikslo.</w:t>
      </w:r>
      <w:bookmarkStart w:id="75" w:name="_Toc397891565"/>
      <w:bookmarkStart w:id="76" w:name="_Toc397891566"/>
      <w:bookmarkStart w:id="77" w:name="_Toc397891567"/>
      <w:bookmarkStart w:id="78" w:name="_Toc397891568"/>
      <w:bookmarkEnd w:id="75"/>
      <w:bookmarkEnd w:id="76"/>
      <w:bookmarkEnd w:id="77"/>
      <w:bookmarkEnd w:id="78"/>
    </w:p>
    <w:p w:rsidR="0007081A" w:rsidRPr="004874DC" w:rsidRDefault="0007081A" w:rsidP="00727948">
      <w:pPr>
        <w:spacing w:line="200" w:lineRule="exact"/>
        <w:rPr>
          <w:sz w:val="18"/>
        </w:rPr>
      </w:pPr>
    </w:p>
    <w:p w:rsidR="00F453D2" w:rsidRPr="004874DC" w:rsidRDefault="009C3480" w:rsidP="00662559">
      <w:pPr>
        <w:pStyle w:val="Caption"/>
      </w:pPr>
      <w:r>
        <w:rPr>
          <w:noProof/>
          <w:lang w:val="fr-BE" w:eastAsia="fr-BE" w:bidi="ar-SA"/>
        </w:rPr>
        <w:lastRenderedPageBreak/>
        <w:drawing>
          <wp:inline distT="0" distB="0" distL="0" distR="0">
            <wp:extent cx="4874260" cy="3117215"/>
            <wp:effectExtent l="0" t="0" r="2540"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4260" cy="3117215"/>
                    </a:xfrm>
                    <a:prstGeom prst="rect">
                      <a:avLst/>
                    </a:prstGeom>
                    <a:noFill/>
                    <a:ln>
                      <a:noFill/>
                    </a:ln>
                  </pic:spPr>
                </pic:pic>
              </a:graphicData>
            </a:graphic>
          </wp:inline>
        </w:drawing>
      </w:r>
    </w:p>
    <w:p w:rsidR="00662559" w:rsidRPr="004874DC" w:rsidRDefault="007623B8" w:rsidP="00662559">
      <w:pPr>
        <w:pStyle w:val="Caption"/>
      </w:pPr>
      <w:r w:rsidRPr="004874DC">
        <w:t>Pav.</w:t>
      </w:r>
      <w:r w:rsidRPr="004874DC">
        <w:fldChar w:fldCharType="begin" w:fldLock="1"/>
      </w:r>
      <w:r w:rsidRPr="004874DC">
        <w:instrText xml:space="preserve"> SEQ Figure \* ARABIC </w:instrText>
      </w:r>
      <w:r w:rsidRPr="004874DC">
        <w:fldChar w:fldCharType="separate"/>
      </w:r>
      <w:r w:rsidR="009753A1" w:rsidRPr="004874DC">
        <w:t>1</w:t>
      </w:r>
      <w:r w:rsidRPr="004874DC">
        <w:fldChar w:fldCharType="end"/>
      </w:r>
      <w:r w:rsidRPr="004874DC">
        <w:t>. Atsinaujinančių išteklių energijos dalis kiekvienoje valstybėje narėje (% bendro galutinio energijos suvartojimo)</w:t>
      </w:r>
    </w:p>
    <w:p w:rsidR="0007081A" w:rsidRPr="004874DC" w:rsidRDefault="0007081A" w:rsidP="00F74727">
      <w:pPr>
        <w:rPr>
          <w:sz w:val="18"/>
        </w:rPr>
      </w:pPr>
      <w:r w:rsidRPr="004874DC">
        <w:rPr>
          <w:sz w:val="18"/>
        </w:rPr>
        <w:t>Šaltinis: EUROSTATAS pranešimas spaudai, STAT/14/37, 2014.3.10.</w:t>
      </w:r>
    </w:p>
    <w:p w:rsidR="0007081A" w:rsidRPr="004874DC" w:rsidRDefault="0007081A" w:rsidP="00F74727"/>
    <w:p w:rsidR="004C28DF" w:rsidRPr="004874DC" w:rsidRDefault="009C36C3" w:rsidP="004C28DF">
      <w:bookmarkStart w:id="79" w:name="_Toc395564689"/>
      <w:r w:rsidRPr="004874DC">
        <w:t xml:space="preserve">Remiantis Eurostato duomenimis (2012 m.), atsinaujinančių išteklių energijos gamyba ES dažniausiai priklauso nuo biomasės (46 proc.) ir hidroelektrinių (16 proc.), tačiau naujų rūšių atsinaujinančių išteklių energija, pavyzdžiui, </w:t>
      </w:r>
      <w:r w:rsidRPr="004874DC">
        <w:rPr>
          <w:b/>
        </w:rPr>
        <w:t xml:space="preserve">saulės </w:t>
      </w:r>
      <w:proofErr w:type="spellStart"/>
      <w:r w:rsidRPr="004874DC">
        <w:rPr>
          <w:b/>
        </w:rPr>
        <w:t>fotovoltų</w:t>
      </w:r>
      <w:proofErr w:type="spellEnd"/>
      <w:r w:rsidRPr="004874DC">
        <w:t xml:space="preserve"> (PV) ir </w:t>
      </w:r>
      <w:r w:rsidRPr="004874DC">
        <w:rPr>
          <w:b/>
        </w:rPr>
        <w:t>vėjo</w:t>
      </w:r>
      <w:r w:rsidRPr="004874DC">
        <w:t>, užima vis didesnę dalį ir atveria naujas galimybes pilietinės visuomenės dalyvavimui.</w:t>
      </w:r>
    </w:p>
    <w:p w:rsidR="009C36C3" w:rsidRPr="004874DC" w:rsidRDefault="009C36C3" w:rsidP="00AE7B6C"/>
    <w:p w:rsidR="00094EC2" w:rsidRPr="004874DC" w:rsidRDefault="009C3480" w:rsidP="00094EC2">
      <w:r>
        <w:rPr>
          <w:noProof/>
          <w:lang w:val="fr-BE" w:eastAsia="fr-BE" w:bidi="ar-SA"/>
        </w:rPr>
        <w:drawing>
          <wp:inline distT="0" distB="0" distL="0" distR="0">
            <wp:extent cx="2878455" cy="2003425"/>
            <wp:effectExtent l="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8455" cy="2003425"/>
                    </a:xfrm>
                    <a:prstGeom prst="rect">
                      <a:avLst/>
                    </a:prstGeom>
                    <a:noFill/>
                    <a:ln>
                      <a:noFill/>
                    </a:ln>
                  </pic:spPr>
                </pic:pic>
              </a:graphicData>
            </a:graphic>
          </wp:inline>
        </w:drawing>
      </w:r>
    </w:p>
    <w:p w:rsidR="004C28DF" w:rsidRPr="004874DC" w:rsidRDefault="007623B8" w:rsidP="00495A26">
      <w:pPr>
        <w:pStyle w:val="Caption"/>
      </w:pPr>
      <w:r w:rsidRPr="004874DC">
        <w:fldChar w:fldCharType="begin" w:fldLock="1"/>
      </w:r>
      <w:r w:rsidRPr="004874DC">
        <w:instrText xml:space="preserve"> SEQ Figure \* ARABIC </w:instrText>
      </w:r>
      <w:r w:rsidRPr="004874DC">
        <w:fldChar w:fldCharType="separate"/>
      </w:r>
      <w:r w:rsidR="009753A1" w:rsidRPr="004874DC">
        <w:t>2</w:t>
      </w:r>
      <w:r w:rsidRPr="004874DC">
        <w:fldChar w:fldCharType="end"/>
      </w:r>
      <w:r w:rsidR="003C4168" w:rsidRPr="004874DC">
        <w:t xml:space="preserve"> pav</w:t>
      </w:r>
      <w:r w:rsidRPr="004874DC">
        <w:t>. Įrengtieji elektros gamybos pajėgumai pagal atsinaujinančių išteklių energijos rūšį ES-28.</w:t>
      </w:r>
    </w:p>
    <w:p w:rsidR="004C28DF" w:rsidRPr="004874DC" w:rsidRDefault="00763804" w:rsidP="00495A26">
      <w:pPr>
        <w:jc w:val="left"/>
        <w:rPr>
          <w:sz w:val="18"/>
        </w:rPr>
      </w:pPr>
      <w:r w:rsidRPr="004874DC">
        <w:rPr>
          <w:sz w:val="18"/>
        </w:rPr>
        <w:t>Šaltinis: pagal Eurostato duomenis.</w:t>
      </w:r>
    </w:p>
    <w:p w:rsidR="00FC3C8B" w:rsidRPr="004874DC" w:rsidRDefault="00FC3C8B" w:rsidP="00495A26"/>
    <w:p w:rsidR="00F879A8" w:rsidRPr="004874DC" w:rsidRDefault="00F879A8" w:rsidP="00AB65F7">
      <w:r w:rsidRPr="004874DC">
        <w:t xml:space="preserve">Iš </w:t>
      </w:r>
      <w:r w:rsidRPr="004874DC">
        <w:rPr>
          <w:b/>
        </w:rPr>
        <w:t>atsinaujinančių išteklių pagamintos elektros energijos</w:t>
      </w:r>
      <w:r w:rsidRPr="004874DC">
        <w:t xml:space="preserve"> galutinis suvartojimas 2012 m. pasiekė 23,5 proc. Tokius puikius rezultatus galima iš dalies paaiškinti tuo, kad fotovoltinių produktų sektorius augo įspūdingai (iki 2012 m. sudarė 23</w:t>
      </w:r>
      <w:r w:rsidR="00F341FF" w:rsidRPr="004874DC">
        <w:t xml:space="preserve"> </w:t>
      </w:r>
      <w:r w:rsidRPr="004874DC">
        <w:t>proc. įrengtųjų elektros energijos iš atsinaujinančių išteklių pajėgumų Europos Sąjungoje) ir vėjo energijos sektoriuje (sudarė 35 proc. įrengtųjų elektros energijos, pagamintos iš atsinaujinančių išteklių, pajėgumų).</w:t>
      </w:r>
      <w:bookmarkStart w:id="80" w:name="_Ref395035656"/>
    </w:p>
    <w:p w:rsidR="00F879A8" w:rsidRPr="004874DC" w:rsidRDefault="00F879A8" w:rsidP="00AB65F7">
      <w:pPr>
        <w:rPr>
          <w:b/>
          <w:bCs/>
          <w:sz w:val="18"/>
        </w:rPr>
      </w:pPr>
    </w:p>
    <w:bookmarkEnd w:id="80"/>
    <w:p w:rsidR="00C6082A" w:rsidRPr="004874DC" w:rsidRDefault="00807AB2" w:rsidP="00807AB2">
      <w:r w:rsidRPr="004874DC">
        <w:lastRenderedPageBreak/>
        <w:t xml:space="preserve">Pažanga naudojant atsinaujinančių išteklių energiją šildymo ir vėsinimo energijos sektoriuje (šildymo ir vėsinimo energija, pagaminta iš atsinaujinančių išteklių) buvo kur kas lėtesnė: 2012 m. siekė 15,6 proc. Iš biomasės šilumos pagaminta 15 proc. ir 87 proc. šildymo ir vėsinimo energijos, pagamintos iš atsinaujinančių išteklių. Biodujos atsilieka vos 3 proc. nuo šildymo ir vėsinimo energijos, pagamintos iš atsinaujinančių išteklių. Biomasė dažnai būna naudojama šilumai gaminti </w:t>
      </w:r>
      <w:proofErr w:type="spellStart"/>
      <w:r w:rsidRPr="004874DC">
        <w:t>kogeneracinėse</w:t>
      </w:r>
      <w:proofErr w:type="spellEnd"/>
      <w:r w:rsidRPr="004874DC">
        <w:t xml:space="preserve"> jėgainėse, tačiau didelė jos dalis sudeginama neefektyviai veikiančiuose įrenginiuose. Medienos biomasė vis dar plačiai naudojama Rytų Europoje, įskaitant didelę importo iš Rusijos (Lenkijos atveju) dalį. Pagaminta energija yra priskiriama atsinaujinančių išteklių energijai ir gamintojai gauna ekologinius sertifikatus, nors iš esmės dėl to išmetamo šiltnamio efektą sukeliančių dujų kiekis nemažėja, o kartais tai prisideda ir prie miškų naikinimo. Be to, daugumoje </w:t>
      </w:r>
      <w:proofErr w:type="spellStart"/>
      <w:r w:rsidRPr="004874DC">
        <w:t>kogeneracinių</w:t>
      </w:r>
      <w:proofErr w:type="spellEnd"/>
      <w:r w:rsidRPr="004874DC">
        <w:t xml:space="preserve"> jėgainių yra deginamas anglies ir biomasės mišinys, dėl to tampa vis sunkiau stebėti nurodytą atsinaujinančių išteklių energijos dalį – šį klausimą iškėlė suinteresuotieji subjektai Lenkijoje, Lietuvoje ir Bulgarijoje. Lenkijoje laikotarpiu nuo 2007 m. iki 2011 m. 70–75 proc. visų ekologinių sertifikatų atiteko anglimi kūrenamoms elektrinėms, taip buvo padidintas jų pelnas ir kartu sumažėjo ekologinių sertifikatų kainos. Tai, savo ruožtu, skaudžiai smogė vėjo jėgainėms – jos tapo ekonomiškai neperspektyvios.</w:t>
      </w:r>
    </w:p>
    <w:p w:rsidR="00C6082A" w:rsidRPr="004874DC" w:rsidRDefault="00C6082A" w:rsidP="008A59CA"/>
    <w:p w:rsidR="00035914" w:rsidRPr="004874DC" w:rsidRDefault="00035914" w:rsidP="00035914">
      <w:pPr>
        <w:spacing w:line="276" w:lineRule="auto"/>
      </w:pPr>
      <w:r w:rsidRPr="004874DC">
        <w:t>Svarbu pažymėti, kad politinėse ir visuomenės diskusijose dėl atsinaujinančių išteklių energijos iki šiol daugiausia dėmesio skiriama elektros energijos gamybai, o šilumos energijos gamybai tenka ne toks svarbus vaidmuo. Šis prioritetas turi būti peržiūrėtas, nes šildymo sektoriuje energijos sunaudojama gerokai daugiau nei elektros energijos sektoriuje. Be to, elektros energijos ir šilumos gamybos iš atsinaujinančių išteklių derinys galėtų būti puiki galimybė įgyti skubiai reikalingų kaupimo pajėgumų (elektros energijos pavertimas šiluma), kurie galėtų būti pakartotinai naudojami atsižvelgiant į svyravimus atsinaujinančių išteklių energijos gamybos srityje.</w:t>
      </w:r>
    </w:p>
    <w:p w:rsidR="00271E40" w:rsidRPr="004874DC" w:rsidRDefault="00271E40" w:rsidP="009C36C3">
      <w:pPr>
        <w:spacing w:line="240" w:lineRule="auto"/>
      </w:pPr>
    </w:p>
    <w:p w:rsidR="000959F1" w:rsidRPr="004874DC" w:rsidRDefault="000959F1" w:rsidP="009C36C3">
      <w:pPr>
        <w:spacing w:line="240" w:lineRule="auto"/>
      </w:pPr>
    </w:p>
    <w:p w:rsidR="0020591A" w:rsidRPr="004874DC" w:rsidRDefault="00494BB0" w:rsidP="000959F1">
      <w:pPr>
        <w:pStyle w:val="Heading1"/>
      </w:pPr>
      <w:bookmarkStart w:id="81" w:name="_Toc398903652"/>
      <w:bookmarkStart w:id="82" w:name="_Toc399145834"/>
      <w:bookmarkStart w:id="83" w:name="_Toc399145887"/>
      <w:bookmarkStart w:id="84" w:name="_Toc399145940"/>
      <w:bookmarkStart w:id="85" w:name="_Toc399145998"/>
      <w:bookmarkStart w:id="86" w:name="_Toc399146068"/>
      <w:bookmarkStart w:id="87" w:name="_Toc399146122"/>
      <w:bookmarkStart w:id="88" w:name="_Toc399146230"/>
      <w:bookmarkStart w:id="89" w:name="_Toc399146283"/>
      <w:bookmarkStart w:id="90" w:name="_Toc399146335"/>
      <w:bookmarkStart w:id="91" w:name="_Toc399157080"/>
      <w:bookmarkStart w:id="92" w:name="_Toc399171472"/>
      <w:bookmarkStart w:id="93" w:name="_Toc399171546"/>
      <w:bookmarkStart w:id="94" w:name="_Toc399171620"/>
      <w:bookmarkStart w:id="95" w:name="_Toc399171690"/>
      <w:bookmarkStart w:id="96" w:name="_Toc399171764"/>
      <w:bookmarkStart w:id="97" w:name="_Toc398903653"/>
      <w:bookmarkStart w:id="98" w:name="_Toc399145835"/>
      <w:bookmarkStart w:id="99" w:name="_Toc399145888"/>
      <w:bookmarkStart w:id="100" w:name="_Toc399145941"/>
      <w:bookmarkStart w:id="101" w:name="_Toc399145999"/>
      <w:bookmarkStart w:id="102" w:name="_Toc399146069"/>
      <w:bookmarkStart w:id="103" w:name="_Toc399146123"/>
      <w:bookmarkStart w:id="104" w:name="_Toc399146231"/>
      <w:bookmarkStart w:id="105" w:name="_Toc399146284"/>
      <w:bookmarkStart w:id="106" w:name="_Toc399146336"/>
      <w:bookmarkStart w:id="107" w:name="_Toc399157081"/>
      <w:bookmarkStart w:id="108" w:name="_Toc399171473"/>
      <w:bookmarkStart w:id="109" w:name="_Toc399171547"/>
      <w:bookmarkStart w:id="110" w:name="_Toc399171621"/>
      <w:bookmarkStart w:id="111" w:name="_Toc399171691"/>
      <w:bookmarkStart w:id="112" w:name="_Toc399171765"/>
      <w:bookmarkStart w:id="113" w:name="_Toc398903654"/>
      <w:bookmarkStart w:id="114" w:name="_Toc399145836"/>
      <w:bookmarkStart w:id="115" w:name="_Toc399145889"/>
      <w:bookmarkStart w:id="116" w:name="_Toc399145942"/>
      <w:bookmarkStart w:id="117" w:name="_Toc399146000"/>
      <w:bookmarkStart w:id="118" w:name="_Toc399146070"/>
      <w:bookmarkStart w:id="119" w:name="_Toc399146124"/>
      <w:bookmarkStart w:id="120" w:name="_Toc399146232"/>
      <w:bookmarkStart w:id="121" w:name="_Toc399146285"/>
      <w:bookmarkStart w:id="122" w:name="_Toc399146337"/>
      <w:bookmarkStart w:id="123" w:name="_Toc399157082"/>
      <w:bookmarkStart w:id="124" w:name="_Toc399171474"/>
      <w:bookmarkStart w:id="125" w:name="_Toc399171548"/>
      <w:bookmarkStart w:id="126" w:name="_Toc399171622"/>
      <w:bookmarkStart w:id="127" w:name="_Toc399171692"/>
      <w:bookmarkStart w:id="128" w:name="_Toc399171766"/>
      <w:bookmarkStart w:id="129" w:name="_Toc398903655"/>
      <w:bookmarkStart w:id="130" w:name="_Toc399145837"/>
      <w:bookmarkStart w:id="131" w:name="_Toc399145890"/>
      <w:bookmarkStart w:id="132" w:name="_Toc399145943"/>
      <w:bookmarkStart w:id="133" w:name="_Toc399146001"/>
      <w:bookmarkStart w:id="134" w:name="_Toc399146071"/>
      <w:bookmarkStart w:id="135" w:name="_Toc399146125"/>
      <w:bookmarkStart w:id="136" w:name="_Toc399146233"/>
      <w:bookmarkStart w:id="137" w:name="_Toc399146286"/>
      <w:bookmarkStart w:id="138" w:name="_Toc399146338"/>
      <w:bookmarkStart w:id="139" w:name="_Toc399157083"/>
      <w:bookmarkStart w:id="140" w:name="_Toc399171475"/>
      <w:bookmarkStart w:id="141" w:name="_Toc399171549"/>
      <w:bookmarkStart w:id="142" w:name="_Toc399171623"/>
      <w:bookmarkStart w:id="143" w:name="_Toc399171693"/>
      <w:bookmarkStart w:id="144" w:name="_Toc399171767"/>
      <w:bookmarkStart w:id="145" w:name="_Toc398903656"/>
      <w:bookmarkStart w:id="146" w:name="_Toc399145838"/>
      <w:bookmarkStart w:id="147" w:name="_Toc399145891"/>
      <w:bookmarkStart w:id="148" w:name="_Toc399145944"/>
      <w:bookmarkStart w:id="149" w:name="_Toc399146002"/>
      <w:bookmarkStart w:id="150" w:name="_Toc399146072"/>
      <w:bookmarkStart w:id="151" w:name="_Toc399146126"/>
      <w:bookmarkStart w:id="152" w:name="_Toc399146234"/>
      <w:bookmarkStart w:id="153" w:name="_Toc399146287"/>
      <w:bookmarkStart w:id="154" w:name="_Toc399146339"/>
      <w:bookmarkStart w:id="155" w:name="_Toc399157084"/>
      <w:bookmarkStart w:id="156" w:name="_Toc399171476"/>
      <w:bookmarkStart w:id="157" w:name="_Toc399171550"/>
      <w:bookmarkStart w:id="158" w:name="_Toc399171624"/>
      <w:bookmarkStart w:id="159" w:name="_Toc399171694"/>
      <w:bookmarkStart w:id="160" w:name="_Toc399171768"/>
      <w:bookmarkStart w:id="161" w:name="_Toc398903658"/>
      <w:bookmarkStart w:id="162" w:name="_Toc399145840"/>
      <w:bookmarkStart w:id="163" w:name="_Toc399145893"/>
      <w:bookmarkStart w:id="164" w:name="_Toc399145946"/>
      <w:bookmarkStart w:id="165" w:name="_Toc399146004"/>
      <w:bookmarkStart w:id="166" w:name="_Toc399146074"/>
      <w:bookmarkStart w:id="167" w:name="_Toc399146128"/>
      <w:bookmarkStart w:id="168" w:name="_Toc399146236"/>
      <w:bookmarkStart w:id="169" w:name="_Toc399146289"/>
      <w:bookmarkStart w:id="170" w:name="_Toc399146341"/>
      <w:bookmarkStart w:id="171" w:name="_Toc399157086"/>
      <w:bookmarkStart w:id="172" w:name="_Toc399171478"/>
      <w:bookmarkStart w:id="173" w:name="_Toc399171552"/>
      <w:bookmarkStart w:id="174" w:name="_Toc399171626"/>
      <w:bookmarkStart w:id="175" w:name="_Toc399171696"/>
      <w:bookmarkStart w:id="176" w:name="_Toc399171770"/>
      <w:bookmarkStart w:id="177" w:name="_Toc398903659"/>
      <w:bookmarkStart w:id="178" w:name="_Toc399145841"/>
      <w:bookmarkStart w:id="179" w:name="_Toc399145894"/>
      <w:bookmarkStart w:id="180" w:name="_Toc399145947"/>
      <w:bookmarkStart w:id="181" w:name="_Toc399146005"/>
      <w:bookmarkStart w:id="182" w:name="_Toc399146075"/>
      <w:bookmarkStart w:id="183" w:name="_Toc399146129"/>
      <w:bookmarkStart w:id="184" w:name="_Toc399146237"/>
      <w:bookmarkStart w:id="185" w:name="_Toc399146290"/>
      <w:bookmarkStart w:id="186" w:name="_Toc399146342"/>
      <w:bookmarkStart w:id="187" w:name="_Toc399157087"/>
      <w:bookmarkStart w:id="188" w:name="_Toc399171479"/>
      <w:bookmarkStart w:id="189" w:name="_Toc399171553"/>
      <w:bookmarkStart w:id="190" w:name="_Toc399171627"/>
      <w:bookmarkStart w:id="191" w:name="_Toc399171697"/>
      <w:bookmarkStart w:id="192" w:name="_Toc399171771"/>
      <w:bookmarkStart w:id="193" w:name="_Toc398903660"/>
      <w:bookmarkStart w:id="194" w:name="_Toc399145842"/>
      <w:bookmarkStart w:id="195" w:name="_Toc399145895"/>
      <w:bookmarkStart w:id="196" w:name="_Toc399145948"/>
      <w:bookmarkStart w:id="197" w:name="_Toc399146006"/>
      <w:bookmarkStart w:id="198" w:name="_Toc399146076"/>
      <w:bookmarkStart w:id="199" w:name="_Toc399146130"/>
      <w:bookmarkStart w:id="200" w:name="_Toc399146238"/>
      <w:bookmarkStart w:id="201" w:name="_Toc399146291"/>
      <w:bookmarkStart w:id="202" w:name="_Toc399146343"/>
      <w:bookmarkStart w:id="203" w:name="_Toc399157088"/>
      <w:bookmarkStart w:id="204" w:name="_Toc399171480"/>
      <w:bookmarkStart w:id="205" w:name="_Toc399171554"/>
      <w:bookmarkStart w:id="206" w:name="_Toc399171628"/>
      <w:bookmarkStart w:id="207" w:name="_Toc399171698"/>
      <w:bookmarkStart w:id="208" w:name="_Toc399171772"/>
      <w:bookmarkStart w:id="209" w:name="_Toc398903661"/>
      <w:bookmarkStart w:id="210" w:name="_Toc399145843"/>
      <w:bookmarkStart w:id="211" w:name="_Toc399145896"/>
      <w:bookmarkStart w:id="212" w:name="_Toc399145949"/>
      <w:bookmarkStart w:id="213" w:name="_Toc399146007"/>
      <w:bookmarkStart w:id="214" w:name="_Toc399146077"/>
      <w:bookmarkStart w:id="215" w:name="_Toc399146131"/>
      <w:bookmarkStart w:id="216" w:name="_Toc399146239"/>
      <w:bookmarkStart w:id="217" w:name="_Toc399146292"/>
      <w:bookmarkStart w:id="218" w:name="_Toc399146344"/>
      <w:bookmarkStart w:id="219" w:name="_Toc399157089"/>
      <w:bookmarkStart w:id="220" w:name="_Toc399171481"/>
      <w:bookmarkStart w:id="221" w:name="_Toc399171555"/>
      <w:bookmarkStart w:id="222" w:name="_Toc399171629"/>
      <w:bookmarkStart w:id="223" w:name="_Toc399171699"/>
      <w:bookmarkStart w:id="224" w:name="_Toc399171773"/>
      <w:bookmarkStart w:id="225" w:name="_Toc398903665"/>
      <w:bookmarkStart w:id="226" w:name="_Toc399145847"/>
      <w:bookmarkStart w:id="227" w:name="_Toc399145900"/>
      <w:bookmarkStart w:id="228" w:name="_Toc399145953"/>
      <w:bookmarkStart w:id="229" w:name="_Toc399146011"/>
      <w:bookmarkStart w:id="230" w:name="_Toc399146081"/>
      <w:bookmarkStart w:id="231" w:name="_Toc399146135"/>
      <w:bookmarkStart w:id="232" w:name="_Toc399146243"/>
      <w:bookmarkStart w:id="233" w:name="_Toc399146296"/>
      <w:bookmarkStart w:id="234" w:name="_Toc399146348"/>
      <w:bookmarkStart w:id="235" w:name="_Toc399157093"/>
      <w:bookmarkStart w:id="236" w:name="_Toc399171485"/>
      <w:bookmarkStart w:id="237" w:name="_Toc399171559"/>
      <w:bookmarkStart w:id="238" w:name="_Toc399171633"/>
      <w:bookmarkStart w:id="239" w:name="_Toc399171703"/>
      <w:bookmarkStart w:id="240" w:name="_Toc399171777"/>
      <w:bookmarkStart w:id="241" w:name="_Toc398903666"/>
      <w:bookmarkStart w:id="242" w:name="_Toc399145848"/>
      <w:bookmarkStart w:id="243" w:name="_Toc399145901"/>
      <w:bookmarkStart w:id="244" w:name="_Toc399145954"/>
      <w:bookmarkStart w:id="245" w:name="_Toc399146012"/>
      <w:bookmarkStart w:id="246" w:name="_Toc399146082"/>
      <w:bookmarkStart w:id="247" w:name="_Toc399146136"/>
      <w:bookmarkStart w:id="248" w:name="_Toc399146244"/>
      <w:bookmarkStart w:id="249" w:name="_Toc399146297"/>
      <w:bookmarkStart w:id="250" w:name="_Toc399146349"/>
      <w:bookmarkStart w:id="251" w:name="_Toc399157094"/>
      <w:bookmarkStart w:id="252" w:name="_Toc399171486"/>
      <w:bookmarkStart w:id="253" w:name="_Toc399171560"/>
      <w:bookmarkStart w:id="254" w:name="_Toc399171634"/>
      <w:bookmarkStart w:id="255" w:name="_Toc399171704"/>
      <w:bookmarkStart w:id="256" w:name="_Toc399171778"/>
      <w:bookmarkStart w:id="257" w:name="_Toc398903667"/>
      <w:bookmarkStart w:id="258" w:name="_Toc399145849"/>
      <w:bookmarkStart w:id="259" w:name="_Toc399145902"/>
      <w:bookmarkStart w:id="260" w:name="_Toc399145955"/>
      <w:bookmarkStart w:id="261" w:name="_Toc399146013"/>
      <w:bookmarkStart w:id="262" w:name="_Toc399146083"/>
      <w:bookmarkStart w:id="263" w:name="_Toc399146137"/>
      <w:bookmarkStart w:id="264" w:name="_Toc399146245"/>
      <w:bookmarkStart w:id="265" w:name="_Toc399146298"/>
      <w:bookmarkStart w:id="266" w:name="_Toc399146350"/>
      <w:bookmarkStart w:id="267" w:name="_Toc399157095"/>
      <w:bookmarkStart w:id="268" w:name="_Toc399171487"/>
      <w:bookmarkStart w:id="269" w:name="_Toc399171561"/>
      <w:bookmarkStart w:id="270" w:name="_Toc399171635"/>
      <w:bookmarkStart w:id="271" w:name="_Toc399171705"/>
      <w:bookmarkStart w:id="272" w:name="_Toc399171779"/>
      <w:bookmarkStart w:id="273" w:name="_Toc398903668"/>
      <w:bookmarkStart w:id="274" w:name="_Toc399145850"/>
      <w:bookmarkStart w:id="275" w:name="_Toc399145903"/>
      <w:bookmarkStart w:id="276" w:name="_Toc399145956"/>
      <w:bookmarkStart w:id="277" w:name="_Toc399146014"/>
      <w:bookmarkStart w:id="278" w:name="_Toc399146084"/>
      <w:bookmarkStart w:id="279" w:name="_Toc399146138"/>
      <w:bookmarkStart w:id="280" w:name="_Toc399146246"/>
      <w:bookmarkStart w:id="281" w:name="_Toc399146299"/>
      <w:bookmarkStart w:id="282" w:name="_Toc399146351"/>
      <w:bookmarkStart w:id="283" w:name="_Toc399157096"/>
      <w:bookmarkStart w:id="284" w:name="_Toc399171488"/>
      <w:bookmarkStart w:id="285" w:name="_Toc399171562"/>
      <w:bookmarkStart w:id="286" w:name="_Toc399171636"/>
      <w:bookmarkStart w:id="287" w:name="_Toc399171706"/>
      <w:bookmarkStart w:id="288" w:name="_Toc399171780"/>
      <w:bookmarkStart w:id="289" w:name="_Toc398903671"/>
      <w:bookmarkStart w:id="290" w:name="_Toc399145853"/>
      <w:bookmarkStart w:id="291" w:name="_Toc399145906"/>
      <w:bookmarkStart w:id="292" w:name="_Toc399145959"/>
      <w:bookmarkStart w:id="293" w:name="_Toc399146017"/>
      <w:bookmarkStart w:id="294" w:name="_Toc399146087"/>
      <w:bookmarkStart w:id="295" w:name="_Toc399146141"/>
      <w:bookmarkStart w:id="296" w:name="_Toc399146249"/>
      <w:bookmarkStart w:id="297" w:name="_Toc399146302"/>
      <w:bookmarkStart w:id="298" w:name="_Toc399146354"/>
      <w:bookmarkStart w:id="299" w:name="_Toc399157099"/>
      <w:bookmarkStart w:id="300" w:name="_Toc399171491"/>
      <w:bookmarkStart w:id="301" w:name="_Toc399171565"/>
      <w:bookmarkStart w:id="302" w:name="_Toc399171639"/>
      <w:bookmarkStart w:id="303" w:name="_Toc399171709"/>
      <w:bookmarkStart w:id="304" w:name="_Toc399171783"/>
      <w:bookmarkStart w:id="305" w:name="_Toc398903672"/>
      <w:bookmarkStart w:id="306" w:name="_Toc399145854"/>
      <w:bookmarkStart w:id="307" w:name="_Toc399145907"/>
      <w:bookmarkStart w:id="308" w:name="_Toc399145960"/>
      <w:bookmarkStart w:id="309" w:name="_Toc399146018"/>
      <w:bookmarkStart w:id="310" w:name="_Toc399146088"/>
      <w:bookmarkStart w:id="311" w:name="_Toc399146142"/>
      <w:bookmarkStart w:id="312" w:name="_Toc399146250"/>
      <w:bookmarkStart w:id="313" w:name="_Toc399146303"/>
      <w:bookmarkStart w:id="314" w:name="_Toc399146355"/>
      <w:bookmarkStart w:id="315" w:name="_Toc399157100"/>
      <w:bookmarkStart w:id="316" w:name="_Toc399171492"/>
      <w:bookmarkStart w:id="317" w:name="_Toc399171566"/>
      <w:bookmarkStart w:id="318" w:name="_Toc399171640"/>
      <w:bookmarkStart w:id="319" w:name="_Toc399171710"/>
      <w:bookmarkStart w:id="320" w:name="_Toc399171784"/>
      <w:bookmarkStart w:id="321" w:name="_Ref395193471"/>
      <w:bookmarkStart w:id="322" w:name="_Toc399146019"/>
      <w:bookmarkStart w:id="323" w:name="_Toc399257202"/>
      <w:bookmarkStart w:id="324" w:name="_Toc398538370"/>
      <w:bookmarkStart w:id="325" w:name="_Toc408506728"/>
      <w:bookmarkStart w:id="326" w:name="_Toc408580961"/>
      <w:bookmarkStart w:id="327" w:name="_Toc409515359"/>
      <w:bookmarkEnd w:id="7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4874DC">
        <w:t>Pilietinės visuomenės dalyvavimas ir „piliečių atsinaujinančių išteklių energija“</w:t>
      </w:r>
      <w:bookmarkEnd w:id="321"/>
      <w:bookmarkEnd w:id="322"/>
      <w:bookmarkEnd w:id="323"/>
      <w:bookmarkEnd w:id="324"/>
      <w:bookmarkEnd w:id="325"/>
      <w:bookmarkEnd w:id="326"/>
      <w:bookmarkEnd w:id="327"/>
    </w:p>
    <w:p w:rsidR="00F94CC4" w:rsidRPr="004874DC" w:rsidRDefault="00F94CC4" w:rsidP="007B46C7">
      <w:pPr>
        <w:keepNext/>
      </w:pPr>
    </w:p>
    <w:p w:rsidR="00F94CC4" w:rsidRPr="004874DC" w:rsidRDefault="00F94CC4" w:rsidP="00F94CC4">
      <w:r w:rsidRPr="004874DC">
        <w:t xml:space="preserve">Pažintinio vizito metu EESRK buvo pateikta daug argumentų dėl piliečių atsinaujinančių išteklių energijos svarbos: nuo būtino trumpalaikio ir vidutinės trukmės pritarimo naujiems gamybos įrenginiams iki perėjimui reikalingų lėšų sutelkimo, ilgalaikio apsirūpinimo užtikrinimo, regioninės vertės gavimo ir vietos plėtros skatinimo bei įprastų energetikos sektoriaus monopolių panaikinimo. Tai nereiškia, kad perėjimą prie atsinaujinančių išteklių energijos turėtų ar galėtų vykdyti vien tik pilietinė visuomenė. Greičiau svarbu užtikrinti, kad taikant reguliavimo sistemas pilietinei visuomenei būtų sudaromos vienodos sąlygos konkuruoti su dideliais centralizuotais investuotojais ir pereinant prie kitokio energijos vartojimo modelio atlikti savo svarbų vaidmenį. </w:t>
      </w:r>
    </w:p>
    <w:p w:rsidR="00C12B73" w:rsidRPr="004874DC" w:rsidRDefault="00C12B73" w:rsidP="00495A26">
      <w:pPr>
        <w:pStyle w:val="CommentText"/>
        <w:rPr>
          <w:szCs w:val="18"/>
        </w:rPr>
      </w:pPr>
    </w:p>
    <w:p w:rsidR="00D7543F" w:rsidRPr="004874DC" w:rsidRDefault="00D96ABD" w:rsidP="00536308">
      <w:pPr>
        <w:pStyle w:val="CommentText"/>
        <w:keepNext/>
        <w:numPr>
          <w:ilvl w:val="1"/>
          <w:numId w:val="1"/>
        </w:numPr>
        <w:ind w:left="720" w:hanging="720"/>
        <w:rPr>
          <w:b/>
        </w:rPr>
      </w:pPr>
      <w:r w:rsidRPr="004874DC">
        <w:rPr>
          <w:b/>
        </w:rPr>
        <w:t>Pilietinė visuomenė reikalauja aktyvaus vaidmens</w:t>
      </w:r>
    </w:p>
    <w:p w:rsidR="00AB5608" w:rsidRPr="004874DC" w:rsidRDefault="00AB5608" w:rsidP="007B46C7">
      <w:pPr>
        <w:keepNext/>
      </w:pPr>
    </w:p>
    <w:p w:rsidR="00DF283C" w:rsidRPr="004874DC" w:rsidRDefault="00494BB0" w:rsidP="009C36C3">
      <w:r w:rsidRPr="004874DC">
        <w:t>EESRK pažintiniai vizitai į šešias ES valstybes nares, taip pat diskusijos su pilietinės visuomenės organizacijų atstovais Briuselyje, davė tam tikrų netikėtų rezultatų. Tyrimo grupė galėjo įsitikinti labai atvira pilietine visuomene</w:t>
      </w:r>
      <w:r w:rsidRPr="004874DC">
        <w:rPr>
          <w:rStyle w:val="FootnoteReference"/>
        </w:rPr>
        <w:footnoteReference w:id="8"/>
      </w:r>
      <w:r w:rsidRPr="004874DC">
        <w:t xml:space="preserve"> su suinteresuotaisiais subjektais, kurie ne tik remia atsinaujinančių išteklių </w:t>
      </w:r>
      <w:r w:rsidRPr="004874DC">
        <w:lastRenderedPageBreak/>
        <w:t xml:space="preserve">energiją, bet ir aiškiai pripažįsta, kad, pereinant prie kitokios energijos, galimybė suteikta ir jiems. Pažymėtina, kad diskusijose su šiais suinteresuotaisiais subjektais dominavo socialiniai ir ekonominiai klausimai, daugiausia dėmesio skiriant bendruomenės naudai, o ne klimato kaitos švelninimo tikslams. </w:t>
      </w:r>
    </w:p>
    <w:p w:rsidR="00DF283C" w:rsidRPr="004874DC" w:rsidRDefault="00DF283C" w:rsidP="009C36C3"/>
    <w:p w:rsidR="00BE2066" w:rsidRPr="004874DC" w:rsidRDefault="00F94CC4" w:rsidP="009C36C3">
      <w:r w:rsidRPr="004874DC">
        <w:t xml:space="preserve">Skirtingose valstybėse narėse grupė susitiko su pilietinės visuomenės atstovais, kurių pasitikėjimo lygmuo yra labai skirtingas. Vokietijoje suinteresuotieji subjektai pareiškė: „mes ne tik pritariame perėjimui prie kitokio energijos vartojimo modelio, MES PATYS ESAME kitos energijos vartojimo modelis. </w:t>
      </w:r>
      <w:proofErr w:type="spellStart"/>
      <w:r w:rsidRPr="004874DC">
        <w:rPr>
          <w:i/>
        </w:rPr>
        <w:t>Energiewende</w:t>
      </w:r>
      <w:proofErr w:type="spellEnd"/>
      <w:r w:rsidRPr="004874DC">
        <w:t xml:space="preserve"> klausimą iškėlė ne politikai ir ne stambios energetikos bendrovės – mes tai padarėme. Mes privertėme parengti tokias pagrindines sąlygas, kad toks perėjimas taptų įmanomas.“ Kita vertus, Lenkijoje, Lietuvoje ir Bulgarijoje tvirtą susidomėjimą piliečių atsinaujinančių išteklių energija nustelbė itin didelis nusivylimas administracinėmis ir finansinėmis kliūtimis, trukdančiomis dalyvauti politikos procesuose ir energijos gamyboje. Vietoj to, kad šių trijų šalių vyriausybių atstovai pripažintų naujos klimato ir energetikos politikos naudą ir potencialą, jie matė tik grėsmes ir sunkumus, susijusius su piliečių atsinaujinančių išteklių energija. Viena vertus, jie išreiškė abejones dėl atsinaujinančių išteklių energijos pajėgumų patenkinti didelę elektros energijos paklausos dalį (argumentas, kuriuo dažnai remiamasi ankstyvajame perėjimo nuo vienos energijos rūšies prie kitos etape), ir, kita vertus, jie išreiškė susirūpinimą dėl didelio atsinaujinančių išteklių energijos naudojimo masto.</w:t>
      </w:r>
    </w:p>
    <w:p w:rsidR="00435BF4" w:rsidRPr="004874DC" w:rsidRDefault="00435BF4" w:rsidP="00435BF4">
      <w:pPr>
        <w:spacing w:before="240"/>
      </w:pPr>
      <w:r w:rsidRPr="004874DC">
        <w:t>Pilietinės visuomenės atsakymas į pagrindinius tyrimo klausimus buvo aiškus ir pastovus: pilietinė visuomenė nori aktyviai dalyvauti atsinaujinančių išteklių energijos gamyboje. Kaip vienas diskusijų dalyvis Lenkijoje apibendrino padėtį: „Nenorime žiūrėti, kaip kiti naudojasi mūsų regione saule ir vėju. Norime patys pasinaudoti savo ištekliais.“ Galiausiai, grupė atkreipė dėmesį į didžiulį žmonių norą gauti daugiau informacijos, geriausios praktikos ir sėkmingos veiklos pavyzdžių bei sužinoti apie kitų šalių patirtį, kad nebūtų kartojamos jau padarytos klaidos.</w:t>
      </w:r>
    </w:p>
    <w:p w:rsidR="00435BF4" w:rsidRPr="004874DC" w:rsidRDefault="00435BF4" w:rsidP="00495A26"/>
    <w:p w:rsidR="00E15A67" w:rsidRPr="004874DC" w:rsidRDefault="00E15A67" w:rsidP="00536308">
      <w:pPr>
        <w:pStyle w:val="CommentText"/>
        <w:keepNext/>
        <w:numPr>
          <w:ilvl w:val="1"/>
          <w:numId w:val="1"/>
        </w:numPr>
        <w:ind w:left="720" w:hanging="720"/>
        <w:rPr>
          <w:b/>
        </w:rPr>
      </w:pPr>
      <w:bookmarkStart w:id="328" w:name="_Toc399145856"/>
      <w:bookmarkStart w:id="329" w:name="_Toc399145909"/>
      <w:bookmarkStart w:id="330" w:name="_Toc399145962"/>
      <w:bookmarkStart w:id="331" w:name="_Toc399146020"/>
      <w:bookmarkStart w:id="332" w:name="_Toc399146090"/>
      <w:bookmarkStart w:id="333" w:name="_Toc399146144"/>
      <w:bookmarkStart w:id="334" w:name="_Toc399146252"/>
      <w:bookmarkStart w:id="335" w:name="_Toc399146305"/>
      <w:bookmarkStart w:id="336" w:name="_Toc399146357"/>
      <w:bookmarkStart w:id="337" w:name="_Toc399157102"/>
      <w:bookmarkStart w:id="338" w:name="_Toc399171494"/>
      <w:bookmarkStart w:id="339" w:name="_Toc399171568"/>
      <w:bookmarkStart w:id="340" w:name="_Toc399171642"/>
      <w:bookmarkStart w:id="341" w:name="_Toc399171712"/>
      <w:bookmarkStart w:id="342" w:name="_Toc399171786"/>
      <w:bookmarkStart w:id="343" w:name="_Toc399145857"/>
      <w:bookmarkStart w:id="344" w:name="_Toc399145910"/>
      <w:bookmarkStart w:id="345" w:name="_Toc399145963"/>
      <w:bookmarkStart w:id="346" w:name="_Toc399146021"/>
      <w:bookmarkStart w:id="347" w:name="_Toc399146091"/>
      <w:bookmarkStart w:id="348" w:name="_Toc399146145"/>
      <w:bookmarkStart w:id="349" w:name="_Toc399146253"/>
      <w:bookmarkStart w:id="350" w:name="_Toc399146306"/>
      <w:bookmarkStart w:id="351" w:name="_Toc399146358"/>
      <w:bookmarkStart w:id="352" w:name="_Toc399157103"/>
      <w:bookmarkStart w:id="353" w:name="_Toc399171495"/>
      <w:bookmarkStart w:id="354" w:name="_Toc399171569"/>
      <w:bookmarkStart w:id="355" w:name="_Toc399171643"/>
      <w:bookmarkStart w:id="356" w:name="_Toc399171713"/>
      <w:bookmarkStart w:id="357" w:name="_Toc399171787"/>
      <w:bookmarkStart w:id="358" w:name="_Toc399145858"/>
      <w:bookmarkStart w:id="359" w:name="_Toc399145911"/>
      <w:bookmarkStart w:id="360" w:name="_Toc399145964"/>
      <w:bookmarkStart w:id="361" w:name="_Toc399146022"/>
      <w:bookmarkStart w:id="362" w:name="_Toc399146092"/>
      <w:bookmarkStart w:id="363" w:name="_Toc399146146"/>
      <w:bookmarkStart w:id="364" w:name="_Toc399146254"/>
      <w:bookmarkStart w:id="365" w:name="_Toc399146307"/>
      <w:bookmarkStart w:id="366" w:name="_Toc399146359"/>
      <w:bookmarkStart w:id="367" w:name="_Toc399157104"/>
      <w:bookmarkStart w:id="368" w:name="_Toc399171496"/>
      <w:bookmarkStart w:id="369" w:name="_Toc399171570"/>
      <w:bookmarkStart w:id="370" w:name="_Toc399171644"/>
      <w:bookmarkStart w:id="371" w:name="_Toc399171714"/>
      <w:bookmarkStart w:id="372" w:name="_Toc399171788"/>
      <w:bookmarkStart w:id="373" w:name="_Toc399145859"/>
      <w:bookmarkStart w:id="374" w:name="_Toc399145912"/>
      <w:bookmarkStart w:id="375" w:name="_Toc399145965"/>
      <w:bookmarkStart w:id="376" w:name="_Toc399146023"/>
      <w:bookmarkStart w:id="377" w:name="_Toc399146093"/>
      <w:bookmarkStart w:id="378" w:name="_Toc399146147"/>
      <w:bookmarkStart w:id="379" w:name="_Toc399146255"/>
      <w:bookmarkStart w:id="380" w:name="_Toc399146308"/>
      <w:bookmarkStart w:id="381" w:name="_Toc399146360"/>
      <w:bookmarkStart w:id="382" w:name="_Toc399157105"/>
      <w:bookmarkStart w:id="383" w:name="_Toc399171497"/>
      <w:bookmarkStart w:id="384" w:name="_Toc399171571"/>
      <w:bookmarkStart w:id="385" w:name="_Toc399171645"/>
      <w:bookmarkStart w:id="386" w:name="_Toc399171715"/>
      <w:bookmarkStart w:id="387" w:name="_Toc399171789"/>
      <w:bookmarkStart w:id="388" w:name="_Toc399146024"/>
      <w:bookmarkStart w:id="389" w:name="_Toc399257203"/>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r w:rsidRPr="004874DC">
        <w:rPr>
          <w:b/>
        </w:rPr>
        <w:t>Piliečių energija padeda didinti vietos gyventojų pritarimą atsinaujinančių išteklių energijos infrastruktūrai</w:t>
      </w:r>
      <w:bookmarkEnd w:id="388"/>
      <w:bookmarkEnd w:id="389"/>
    </w:p>
    <w:p w:rsidR="00E051E1" w:rsidRPr="004874DC" w:rsidRDefault="00E051E1" w:rsidP="007B46C7">
      <w:pPr>
        <w:pStyle w:val="CommentText"/>
        <w:keepNext/>
      </w:pPr>
    </w:p>
    <w:p w:rsidR="004307DD" w:rsidRPr="004874DC" w:rsidRDefault="00E15A67" w:rsidP="004307DD">
      <w:pPr>
        <w:pStyle w:val="CommentText"/>
      </w:pPr>
      <w:r w:rsidRPr="004874DC">
        <w:t>Norint sėkmingai pereiti prie kitokio energijos vartojimo modelio reikalingas platus pilietinės visuomenės pritarimas. Per EESRK vizitus suinteresuotieji subjektai minėjo nemažai atvejų, kai vietos gyventojai stipriai priešinosi atsinaujinančių išteklių energijos projektams, visų pirma vėjo jėgainių parkams. Tai – tipiniai atvejai, kai išorės investuotojai įdiegė atsinaujinančių išteklių energijos infrastruktūrą, kuri vietos bendruomenėms davė mažai naudos, arba kai pastarosioms nebuvo pakankamai atlyginta. Kita vertus, kai piliečiai ir vietos verslininkai dalyvavo įgyvendinant atsinaujinančių išteklių energijos projektą, jie buvo daug labiau linkę vertinti jo naudą ir susitaikyti su galimais estetiniais ar kitokiais nepatogumais. Puikus vietos valdžios institucijų dalyvavimo pavyzdys buvo pateiktas per EESRK 2013 m. lapkričio mėn.</w:t>
      </w:r>
      <w:r w:rsidRPr="004874DC">
        <w:rPr>
          <w:rStyle w:val="FootnoteReference"/>
        </w:rPr>
        <w:footnoteReference w:id="9"/>
      </w:r>
      <w:r w:rsidRPr="004874DC">
        <w:t xml:space="preserve"> vykusias diskusijas dėl bendruomenių atsinaujinančių išteklių energijos. Danijos </w:t>
      </w:r>
      <w:proofErr w:type="spellStart"/>
      <w:r w:rsidRPr="004874DC">
        <w:t>Samsės</w:t>
      </w:r>
      <w:proofErr w:type="spellEnd"/>
      <w:r w:rsidRPr="004874DC">
        <w:t xml:space="preserve"> regionas dabar patenkina visus savo energijos poreikius iš atsinaujinančių išteklių, visų pirma dėl to, kad piliečiai dalyvauja bendruomenių </w:t>
      </w:r>
      <w:r w:rsidRPr="004874DC">
        <w:lastRenderedPageBreak/>
        <w:t xml:space="preserve">įgyvendinamuose projektuose. Stengiantis išlaikyti visuomenės paramą ir dalyvavimą atsinaujinančių išteklių energijos sektoriuje, vėjo energijos </w:t>
      </w:r>
      <w:proofErr w:type="spellStart"/>
      <w:r w:rsidRPr="004874DC">
        <w:t>vystytojai</w:t>
      </w:r>
      <w:proofErr w:type="spellEnd"/>
      <w:r w:rsidRPr="004874DC">
        <w:t xml:space="preserve"> privalo parduoti akcijas vietos gyventojams.</w:t>
      </w:r>
    </w:p>
    <w:p w:rsidR="00C818E2" w:rsidRPr="004874DC" w:rsidRDefault="00C818E2" w:rsidP="00B20B20">
      <w:pPr>
        <w:pStyle w:val="CommentText"/>
      </w:pPr>
    </w:p>
    <w:p w:rsidR="004121CF" w:rsidRPr="004874DC" w:rsidRDefault="00D20E1B" w:rsidP="004121CF">
      <w:r w:rsidRPr="004874DC">
        <w:t xml:space="preserve">Ne mažiau svarbu ir tai, kad „piliečių atsinaujinančių išteklių energija“ taip pat padeda didinti sąmoningumą, juos įgalina reikšti savo nuomonę ir turėti žodžio teisę politikos formavimo procesuose bei skatina juos tai daryti. Šis procesas stiprina demokratiją ir didina politinių sprendimų </w:t>
      </w:r>
      <w:proofErr w:type="spellStart"/>
      <w:r w:rsidRPr="004874DC">
        <w:t>legitimumą</w:t>
      </w:r>
      <w:proofErr w:type="spellEnd"/>
      <w:r w:rsidRPr="004874DC">
        <w:t>. Jis gali padėti skatinti institucijų ir pilietinės visuomenės dialogą, ugdyti pasitikėjimą ir stiprinti bendradarbiavimą.</w:t>
      </w:r>
    </w:p>
    <w:p w:rsidR="004121CF" w:rsidRPr="004874DC" w:rsidRDefault="004121CF" w:rsidP="004121CF"/>
    <w:p w:rsidR="009E0462" w:rsidRPr="004874DC" w:rsidRDefault="009E0462" w:rsidP="000959F1">
      <w:pPr>
        <w:pStyle w:val="Heading2"/>
      </w:pPr>
      <w:bookmarkStart w:id="390" w:name="_Ref395197849"/>
      <w:bookmarkStart w:id="391" w:name="_Toc398538371"/>
      <w:bookmarkStart w:id="392" w:name="_Toc399146025"/>
      <w:bookmarkStart w:id="393" w:name="_Toc399257204"/>
      <w:bookmarkStart w:id="394" w:name="_Toc408506729"/>
      <w:bookmarkStart w:id="395" w:name="_Toc408580962"/>
      <w:bookmarkStart w:id="396" w:name="_Toc409515360"/>
      <w:r w:rsidRPr="004874DC">
        <w:t xml:space="preserve">„Piliečių energija“ padeda išlaisvinti lėšas, reikalingas perėjimui prie atsinaujinančių išteklių </w:t>
      </w:r>
      <w:bookmarkEnd w:id="390"/>
      <w:r w:rsidRPr="004874DC">
        <w:t>energijos</w:t>
      </w:r>
      <w:bookmarkEnd w:id="391"/>
      <w:bookmarkEnd w:id="392"/>
      <w:bookmarkEnd w:id="393"/>
      <w:bookmarkEnd w:id="394"/>
      <w:bookmarkEnd w:id="395"/>
      <w:bookmarkEnd w:id="396"/>
    </w:p>
    <w:p w:rsidR="008C3E85" w:rsidRPr="004874DC" w:rsidRDefault="008C3E85" w:rsidP="007B46C7">
      <w:pPr>
        <w:keepNext/>
      </w:pPr>
    </w:p>
    <w:p w:rsidR="005A4AD9" w:rsidRPr="004874DC" w:rsidRDefault="00D91394" w:rsidP="00150B02">
      <w:r w:rsidRPr="004874DC">
        <w:t>Neabejotina, kad naudojant atsinaujinančių išteklių energiją ir su ja susijusią infrastruktūrą prireiks daug finansinių išteklių</w:t>
      </w:r>
      <w:r w:rsidRPr="004874DC">
        <w:rPr>
          <w:rStyle w:val="FootnoteReference"/>
        </w:rPr>
        <w:footnoteReference w:id="10"/>
      </w:r>
      <w:r w:rsidRPr="004874DC">
        <w:t xml:space="preserve">. Pripažįstama, kad didžioji dalis lėšų turės būti privačiojo sektoriaus. Tinkamai parengtomis paramos schemomis pavyko išlaisvinti ir pritraukti itin daug piliečių, bendruomenių ir vietos verslininkų investicijų. Piliečių investicijų į perėjimą prie kitokio energijos vartojimo modelio potencialas išnaudotas tik iš dalies – esama didelių skirtumų tarp ES valstybių narių šioje srityje. Danija ir Vokietija, greičiausia, yra geriausi tokios pertvarkos, kurią iš esmės vykdo pilietinė visuomenė, pavyzdžiai. </w:t>
      </w:r>
    </w:p>
    <w:p w:rsidR="005A4AD9" w:rsidRPr="004874DC" w:rsidRDefault="005A4AD9" w:rsidP="00150B02"/>
    <w:p w:rsidR="00E12735" w:rsidRPr="004874DC" w:rsidRDefault="005A4AD9" w:rsidP="00150B02">
      <w:r w:rsidRPr="004874DC">
        <w:t xml:space="preserve">Vokietijoje, piliečių atsinaujinančių išteklių energijos investicijos 2012 m. siekė 5,14 mlrd. EUR, o tradiciniai stambūs energijos tiekėjai tais pačiais metais investavo tik 1,7 mlrd. EUR. Dabartinių įrengtųjų saulės energijos pajėgumų Vokietijoje yra daugiau nei 30 000 MW ir didėja po 7 MW per dieną (tai prilygsta šiuo metu bendriems įrengtiems saulės energijos pajėgumams Lenkijoje). Beveik pusę pajėgumų priklauso daugiau nei 1 000 energetikos kooperatyvų, piliečių ir ūkininkų: </w:t>
      </w:r>
    </w:p>
    <w:p w:rsidR="00150B02" w:rsidRPr="004874DC" w:rsidRDefault="00150B02" w:rsidP="00150B02"/>
    <w:p w:rsidR="00150B02" w:rsidRPr="004874DC" w:rsidRDefault="00150B02" w:rsidP="00150B02"/>
    <w:p w:rsidR="008D4B61" w:rsidRPr="004874DC" w:rsidRDefault="009C3480" w:rsidP="008D4B61">
      <w:pPr>
        <w:keepNext/>
      </w:pPr>
      <w:r>
        <w:rPr>
          <w:noProof/>
          <w:lang w:val="fr-BE" w:eastAsia="fr-BE" w:bidi="ar-SA"/>
        </w:rPr>
        <w:drawing>
          <wp:inline distT="0" distB="0" distL="0" distR="0">
            <wp:extent cx="3251835" cy="1844675"/>
            <wp:effectExtent l="0" t="0" r="5715" b="3175"/>
            <wp:docPr id="5" name="Picture 16" descr="Ownership Distribut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wnership Distribution Ch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1835" cy="1844675"/>
                    </a:xfrm>
                    <a:prstGeom prst="rect">
                      <a:avLst/>
                    </a:prstGeom>
                    <a:noFill/>
                    <a:ln>
                      <a:noFill/>
                    </a:ln>
                  </pic:spPr>
                </pic:pic>
              </a:graphicData>
            </a:graphic>
          </wp:inline>
        </w:drawing>
      </w:r>
    </w:p>
    <w:bookmarkStart w:id="397" w:name="_Ref399154859"/>
    <w:p w:rsidR="008D4B61" w:rsidRPr="004874DC" w:rsidRDefault="004569F3" w:rsidP="009C36C3">
      <w:pPr>
        <w:pStyle w:val="Caption"/>
        <w:spacing w:line="240" w:lineRule="auto"/>
        <w:jc w:val="both"/>
      </w:pPr>
      <w:r w:rsidRPr="004874DC">
        <w:fldChar w:fldCharType="begin" w:fldLock="1"/>
      </w:r>
      <w:r w:rsidRPr="004874DC">
        <w:instrText xml:space="preserve"> SEQ Figure \* ARABIC </w:instrText>
      </w:r>
      <w:r w:rsidRPr="004874DC">
        <w:fldChar w:fldCharType="separate"/>
      </w:r>
      <w:r w:rsidR="009753A1" w:rsidRPr="004874DC">
        <w:t>3</w:t>
      </w:r>
      <w:r w:rsidRPr="004874DC">
        <w:fldChar w:fldCharType="end"/>
      </w:r>
      <w:bookmarkEnd w:id="397"/>
      <w:r w:rsidR="003C4168" w:rsidRPr="004874DC">
        <w:t xml:space="preserve"> pav</w:t>
      </w:r>
      <w:r w:rsidRPr="004874DC">
        <w:t>. Įrengtųjų atsinaujinančių išteklių energijos pajėgumų, skirtų energijai gaminti, nuosavybės pasiskirstymas Vokietijoje (2012 m.).</w:t>
      </w:r>
    </w:p>
    <w:p w:rsidR="008D4B61" w:rsidRPr="004874DC" w:rsidRDefault="008D4B61" w:rsidP="009C36C3">
      <w:pPr>
        <w:spacing w:line="240" w:lineRule="auto"/>
      </w:pPr>
      <w:r w:rsidRPr="004874DC">
        <w:t xml:space="preserve">Šaltinis – </w:t>
      </w:r>
      <w:proofErr w:type="spellStart"/>
      <w:r w:rsidRPr="004874DC">
        <w:t>tinklaraštis</w:t>
      </w:r>
      <w:proofErr w:type="spellEnd"/>
      <w:r w:rsidRPr="004874DC">
        <w:t xml:space="preserve"> „</w:t>
      </w:r>
      <w:proofErr w:type="spellStart"/>
      <w:r w:rsidRPr="004874DC">
        <w:t>German</w:t>
      </w:r>
      <w:proofErr w:type="spellEnd"/>
      <w:r w:rsidRPr="004874DC">
        <w:t xml:space="preserve"> </w:t>
      </w:r>
      <w:proofErr w:type="spellStart"/>
      <w:r w:rsidRPr="004874DC">
        <w:t>Energy</w:t>
      </w:r>
      <w:proofErr w:type="spellEnd"/>
      <w:r w:rsidRPr="004874DC">
        <w:t xml:space="preserve"> </w:t>
      </w:r>
      <w:proofErr w:type="spellStart"/>
      <w:r w:rsidRPr="004874DC">
        <w:t>Transition</w:t>
      </w:r>
      <w:proofErr w:type="spellEnd"/>
      <w:r w:rsidRPr="004874DC">
        <w:t>“ (2014 m.).</w:t>
      </w:r>
    </w:p>
    <w:p w:rsidR="00B211D8" w:rsidRPr="004874DC" w:rsidRDefault="00B211D8" w:rsidP="008D4B61"/>
    <w:p w:rsidR="00BA69D1" w:rsidRPr="004874DC" w:rsidRDefault="0047060A" w:rsidP="008D4B61">
      <w:r w:rsidRPr="004874DC">
        <w:t xml:space="preserve">Ankstesniuose </w:t>
      </w:r>
      <w:proofErr w:type="spellStart"/>
      <w:r w:rsidRPr="004874DC">
        <w:rPr>
          <w:i/>
        </w:rPr>
        <w:t>Energiewende</w:t>
      </w:r>
      <w:proofErr w:type="spellEnd"/>
      <w:r w:rsidRPr="004874DC">
        <w:t xml:space="preserve"> etapuose dėl didelių investicinių sąnaudų ir atitinkamai didelių pagamintos saulės energijos supirkimo tarifų atsirado paskatos privatiems piliečiams pagamintą saulės elektros energiją tiekti į tinklą. Šioje srityje įvyko akivaizdūs pokyčiai. Dėl esminių technologinių pokyčių ir atitinkamai sumažėjusių investicinių sąnaudų smulkiesiems gamintojams tapo pelningiau naudoti savo pačių elektros energiją ir taip sumažinti elektros energijos pirkimą iš tinklo. Tai, savo ruožtu, paskatino optimizuoti energijos suvartojimą, kad toks suvartojimas dažniausiai vyktų jų gamybos piko metu ir mažintų, pavyzdžiui, energijos vartojimo pikus vėlyvą popietę ar ankstyvą vakarą.</w:t>
      </w:r>
    </w:p>
    <w:p w:rsidR="007C59D0" w:rsidRPr="004874DC" w:rsidRDefault="007C59D0" w:rsidP="008D4B61"/>
    <w:p w:rsidR="007C59D0" w:rsidRPr="004874DC" w:rsidRDefault="007C59D0" w:rsidP="008D4B61">
      <w:r w:rsidRPr="004874DC">
        <w:t>Decentralizuota atsinaujinančių išteklių energija reiškia, kad paprastai energija gaminama arčiau vartotojo ir kad esama daug galimybių mažinti tinklo infrastruktūros išlaidas. Be to, EESRK tyrime nustatyta, kad smulkiųjų gamintojų pelno maržos lūkesčiai yra gerokai mažesni nei stambiųjų gamintojų.</w:t>
      </w:r>
    </w:p>
    <w:p w:rsidR="0003644A" w:rsidRPr="004874DC" w:rsidRDefault="0003644A" w:rsidP="008D4B61"/>
    <w:p w:rsidR="0067053B" w:rsidRPr="004874DC" w:rsidRDefault="00140D90" w:rsidP="000959F1">
      <w:pPr>
        <w:pStyle w:val="Heading2"/>
      </w:pPr>
      <w:bookmarkStart w:id="398" w:name="_Toc399257206"/>
      <w:bookmarkStart w:id="399" w:name="_Toc399257207"/>
      <w:bookmarkStart w:id="400" w:name="_Toc399146027"/>
      <w:bookmarkStart w:id="401" w:name="_Ref395258590"/>
      <w:bookmarkStart w:id="402" w:name="_Ref399168295"/>
      <w:bookmarkStart w:id="403" w:name="_Toc399257208"/>
      <w:bookmarkStart w:id="404" w:name="_Toc398538372"/>
      <w:bookmarkStart w:id="405" w:name="_Toc408506730"/>
      <w:bookmarkStart w:id="406" w:name="_Toc408580963"/>
      <w:bookmarkStart w:id="407" w:name="_Toc409515361"/>
      <w:bookmarkEnd w:id="398"/>
      <w:bookmarkEnd w:id="399"/>
      <w:r w:rsidRPr="004874DC">
        <w:t>„Piliečių atsinaujinančių išteklių energija“ padeda skatinti bendruomenės vystymąsi ir kovoti su energijos nepritekliumi</w:t>
      </w:r>
      <w:bookmarkEnd w:id="400"/>
      <w:bookmarkEnd w:id="401"/>
      <w:bookmarkEnd w:id="402"/>
      <w:bookmarkEnd w:id="403"/>
      <w:bookmarkEnd w:id="404"/>
      <w:bookmarkEnd w:id="405"/>
      <w:bookmarkEnd w:id="406"/>
      <w:bookmarkEnd w:id="407"/>
    </w:p>
    <w:p w:rsidR="009D46D5" w:rsidRPr="004874DC" w:rsidRDefault="009D46D5" w:rsidP="00536308">
      <w:pPr>
        <w:keepNext/>
        <w:ind w:left="720" w:hanging="720"/>
        <w:outlineLvl w:val="1"/>
        <w:rPr>
          <w:highlight w:val="yellow"/>
        </w:rPr>
      </w:pPr>
    </w:p>
    <w:p w:rsidR="00E661FE" w:rsidRPr="004874DC" w:rsidRDefault="0002791D" w:rsidP="00683A90">
      <w:r w:rsidRPr="004874DC">
        <w:t xml:space="preserve">Atsinaujinančių išteklių energija padeda panaudoti vietos lygmeniu turimus išteklius. Jei įdiegta tinkama reguliavimo sistema, piliečių ir vietos bendruomenių gaminama energija sukuria naują vertės, kuri gali likti atitinkamame regione, srautą. Kai kurios atsinaujinančių išteklių energijos bendruomenės sugeba išlaikyti didžiulius finansinius išteklius, kurie būdavo naudojami energijai ir iškastiniam kurui importuoti, o dabar investuojami į naujas vietines darbo vietas ir socialinį bei ekonomikos vystymą. </w:t>
      </w:r>
    </w:p>
    <w:p w:rsidR="00E661FE" w:rsidRPr="004874DC" w:rsidRDefault="00E661FE" w:rsidP="00683A90"/>
    <w:p w:rsidR="00BA18F3" w:rsidRPr="004874DC" w:rsidRDefault="00DB60DA" w:rsidP="00683A90">
      <w:r w:rsidRPr="004874DC">
        <w:t xml:space="preserve">Vienas tokių pavyzdžių – </w:t>
      </w:r>
      <w:proofErr w:type="spellStart"/>
      <w:r w:rsidRPr="004874DC">
        <w:t>Trojenbryceno</w:t>
      </w:r>
      <w:proofErr w:type="spellEnd"/>
      <w:r w:rsidRPr="004874DC">
        <w:t xml:space="preserve"> bendruomenė Vokietijoje, kuri, kartu su savo piliečiais, pastatė savo saulės, vėjo energijos ir biodujų įrenginius. Biodujų įrenginiuose gaminama elektros energija ir šiluma yra paskirstoma per naują pačios bendruomenės įrengtą šildymo tinklą. Papildomus šildymo poreikius iš dalies patenkina skiedromis kūrenama krosnis. Be to, bendruomenė sukūrė atskirą elektros energijos tinklą ir dabar kuria savo energijos kaupimo pajėgumus, siekdama tapti energetiniu požiūriu nepriklausoma. Vietos elektros energijos kaina yra 16,6 ¢/</w:t>
      </w:r>
      <w:proofErr w:type="spellStart"/>
      <w:r w:rsidRPr="004874DC">
        <w:t>kWh</w:t>
      </w:r>
      <w:proofErr w:type="spellEnd"/>
      <w:r w:rsidRPr="004874DC">
        <w:t>, o tai 30 – 35 proc. mažiau už vidutines elektros energijos kainas Vokietijoje. Šiluma vartotojams kainuoja po 7,5 ¢/</w:t>
      </w:r>
      <w:proofErr w:type="spellStart"/>
      <w:r w:rsidRPr="004874DC">
        <w:t>kWh</w:t>
      </w:r>
      <w:proofErr w:type="spellEnd"/>
      <w:r w:rsidRPr="004874DC">
        <w:t xml:space="preserve">, o tai yra kur kas mažesnė kaina nei vidaus dujų ar skysto kuro šildymo sąnaudos. </w:t>
      </w:r>
      <w:proofErr w:type="spellStart"/>
      <w:r w:rsidRPr="004874DC">
        <w:t>Trojenbrycenas</w:t>
      </w:r>
      <w:proofErr w:type="spellEnd"/>
      <w:r w:rsidRPr="004874DC">
        <w:t xml:space="preserve"> įrodė, kad vietos atsinaujinančių išteklių energija iš esmės gali padėti sutaupyti pinigų.</w:t>
      </w:r>
    </w:p>
    <w:p w:rsidR="00BA18F3" w:rsidRPr="004874DC" w:rsidRDefault="00BA18F3" w:rsidP="00683A90"/>
    <w:p w:rsidR="00663964" w:rsidRPr="004874DC" w:rsidRDefault="009556B3" w:rsidP="00395105">
      <w:pPr>
        <w:keepNext/>
      </w:pPr>
      <w:r w:rsidRPr="004874DC">
        <w:lastRenderedPageBreak/>
        <w:t xml:space="preserve">Piliečių iniciatyvos atsinaujinančių išteklių energijos srityje skatina įvairių vietos subjektų bendradarbiavimą – tai akivaizdžiai parodė labai spartus energetikos kooperatyvų augimas visoje ES (4 pav.). </w:t>
      </w:r>
    </w:p>
    <w:p w:rsidR="007623B8" w:rsidRPr="004874DC" w:rsidRDefault="007623B8" w:rsidP="00395105">
      <w:pPr>
        <w:keepNext/>
      </w:pPr>
    </w:p>
    <w:p w:rsidR="00663964" w:rsidRPr="004874DC" w:rsidRDefault="009C3480" w:rsidP="00663964">
      <w:pPr>
        <w:keepNext/>
      </w:pPr>
      <w:r>
        <w:rPr>
          <w:noProof/>
          <w:lang w:val="fr-BE" w:eastAsia="fr-BE" w:bidi="ar-SA"/>
        </w:rPr>
        <w:drawing>
          <wp:inline distT="0" distB="0" distL="0" distR="0">
            <wp:extent cx="914400" cy="2393315"/>
            <wp:effectExtent l="0" t="0" r="0" b="698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4400" cy="2393315"/>
                    </a:xfrm>
                    <a:prstGeom prst="rect">
                      <a:avLst/>
                    </a:prstGeom>
                    <a:noFill/>
                    <a:ln>
                      <a:noFill/>
                    </a:ln>
                  </pic:spPr>
                </pic:pic>
              </a:graphicData>
            </a:graphic>
          </wp:inline>
        </w:drawing>
      </w:r>
      <w:r>
        <w:rPr>
          <w:noProof/>
          <w:lang w:val="fr-BE" w:eastAsia="fr-BE" w:bidi="ar-SA"/>
        </w:rPr>
        <w:drawing>
          <wp:inline distT="0" distB="0" distL="0" distR="0">
            <wp:extent cx="2814955" cy="2409190"/>
            <wp:effectExtent l="0" t="0" r="4445" b="0"/>
            <wp:docPr id="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4955" cy="2409190"/>
                    </a:xfrm>
                    <a:prstGeom prst="rect">
                      <a:avLst/>
                    </a:prstGeom>
                    <a:noFill/>
                    <a:ln>
                      <a:noFill/>
                    </a:ln>
                  </pic:spPr>
                </pic:pic>
              </a:graphicData>
            </a:graphic>
          </wp:inline>
        </w:drawing>
      </w:r>
    </w:p>
    <w:p w:rsidR="00395105" w:rsidRPr="004874DC" w:rsidRDefault="004569F3" w:rsidP="009C36C3">
      <w:pPr>
        <w:pStyle w:val="Caption"/>
        <w:spacing w:line="240" w:lineRule="auto"/>
        <w:jc w:val="both"/>
      </w:pPr>
      <w:r w:rsidRPr="004874DC">
        <w:fldChar w:fldCharType="begin" w:fldLock="1"/>
      </w:r>
      <w:r w:rsidRPr="004874DC">
        <w:instrText xml:space="preserve"> SEQ Figure \* ARABIC </w:instrText>
      </w:r>
      <w:r w:rsidRPr="004874DC">
        <w:fldChar w:fldCharType="separate"/>
      </w:r>
      <w:r w:rsidR="009753A1" w:rsidRPr="004874DC">
        <w:t>4</w:t>
      </w:r>
      <w:r w:rsidRPr="004874DC">
        <w:fldChar w:fldCharType="end"/>
      </w:r>
      <w:r w:rsidR="003C4168" w:rsidRPr="004874DC">
        <w:t xml:space="preserve"> pav</w:t>
      </w:r>
      <w:r w:rsidRPr="004874DC">
        <w:t>. Preliminarūs įregistruotų bendruomenių energetikos kooperatyvų skaičiai ir žemėlapis.</w:t>
      </w:r>
    </w:p>
    <w:p w:rsidR="00395105" w:rsidRPr="004874DC" w:rsidRDefault="00395105" w:rsidP="009C36C3">
      <w:pPr>
        <w:spacing w:line="240" w:lineRule="auto"/>
        <w:rPr>
          <w:sz w:val="16"/>
        </w:rPr>
      </w:pPr>
      <w:r w:rsidRPr="004874DC">
        <w:t>Šaltinis – projektas „</w:t>
      </w:r>
      <w:proofErr w:type="spellStart"/>
      <w:r w:rsidRPr="004874DC">
        <w:t>REScoop</w:t>
      </w:r>
      <w:proofErr w:type="spellEnd"/>
      <w:r w:rsidRPr="004874DC">
        <w:t>“ (2014 m.).</w:t>
      </w:r>
    </w:p>
    <w:p w:rsidR="007C59D0" w:rsidRPr="004874DC" w:rsidRDefault="007C59D0" w:rsidP="00E1404F">
      <w:pPr>
        <w:spacing w:line="240" w:lineRule="auto"/>
        <w:rPr>
          <w:sz w:val="16"/>
        </w:rPr>
      </w:pPr>
    </w:p>
    <w:p w:rsidR="00180CDA" w:rsidRPr="004874DC" w:rsidRDefault="00180CDA" w:rsidP="00180CDA">
      <w:r w:rsidRPr="004874DC">
        <w:t>Vietinės „atsinaujinančių išteklių energijos“ iniciatyvos taip pat susijusios su naujoviškais verslo modeliais, socialinių įmonių plėtra ir aktyvesniu bendradarbiavimu. Tyrimo grupė matė daugybę vietos bendruomenių įgyvendinamų verslo</w:t>
      </w:r>
      <w:r w:rsidR="00F341FF" w:rsidRPr="004874DC">
        <w:t xml:space="preserve"> </w:t>
      </w:r>
      <w:r w:rsidRPr="004874DC">
        <w:t xml:space="preserve">ir socialinių inovacijų. Biodujų įrenginiai, eksploatuojami bendradarbiaujant su, pavyzdžiui, keletu ūkių, sumažino verslo riziką ir užtikrino apsirūpinimą žaliavomis, kartu sprendžiant mėšlo keliamą aplinkosaugos problemą. Bulgarijoje daugiabučio namo būstų savininkai sukūrė kooperatyvą ir nuomos pajamas, kurias GSM operatorius mokėjo už ant jų namo stogo iškeltą anteną, investavo į visam pastatui skirtas saulės energijos plokštes. Dar vienas kūrybiškas problemos sprendimo pavyzdys – Vokietijos energetikos kooperatyvas, kuris virš vietos futbolo stadiono tribūnų įrengė stogą su saulės baterijos plokštėmis ir iš pajamų už parduotą energiją grąžino kooperatyvo nariams jų investicijas, taip pat parūpindamas jiems metinius abonementus į visas komandos varžybas. Velse tyrimo grupė aplankė </w:t>
      </w:r>
      <w:proofErr w:type="spellStart"/>
      <w:r w:rsidRPr="004874DC">
        <w:rPr>
          <w:i/>
        </w:rPr>
        <w:t>Talybont</w:t>
      </w:r>
      <w:proofErr w:type="spellEnd"/>
      <w:r w:rsidRPr="004874DC">
        <w:rPr>
          <w:i/>
        </w:rPr>
        <w:t xml:space="preserve"> prie </w:t>
      </w:r>
      <w:proofErr w:type="spellStart"/>
      <w:r w:rsidRPr="004874DC">
        <w:rPr>
          <w:i/>
        </w:rPr>
        <w:t>Usko</w:t>
      </w:r>
      <w:proofErr w:type="spellEnd"/>
      <w:r w:rsidRPr="004874DC">
        <w:t xml:space="preserve"> bendruomenėje įsteigtą vietos atsinaujinančių išteklių energijos iniciatyvinę grupę, kuri aprūpina šildymu vietos mokyklą ir energija dvi vietos gyventojų reikmėms naudojamas elektros energija varomas transporto priemones, kurioms energiją gauna naudodamasi ant savivaldybės pastato stogo esančiomis fotovoltinėmis technologijomis. </w:t>
      </w:r>
    </w:p>
    <w:p w:rsidR="00180CDA" w:rsidRPr="004874DC" w:rsidRDefault="00180CDA" w:rsidP="00180CDA"/>
    <w:p w:rsidR="00180CDA" w:rsidRPr="004874DC" w:rsidRDefault="00180CDA" w:rsidP="00180CDA">
      <w:r w:rsidRPr="004874DC">
        <w:t>Lenkijos kaimo vietovėse dėl prastos kokybės tinklų nutrūksta elektros energijos tiekimas, sumažėja įtampos lygiai ir atsiranda kitų susijusių problemų. Suinteresuotieji subjektai, su kuriais konsultuotasi per EESRK vizitus, pateikė skaičiavimus, kad vietos atsinaujinančių išteklių energijos plėtojimas iš esmės šiose vietovėse kainuotų mažiau nei 30–60 mlrd. PLN</w:t>
      </w:r>
      <w:r w:rsidRPr="004874DC">
        <w:rPr>
          <w:rStyle w:val="FootnoteReference"/>
        </w:rPr>
        <w:footnoteReference w:id="11"/>
      </w:r>
      <w:r w:rsidRPr="004874DC">
        <w:t xml:space="preserve">, kurių reikia iki 2020 m. tolimojo perdavimo elektros tinklui visapusiškai atnaujinti. 2020 m. regioninės plėtros strategijoje, Lenkijos Palenkės vaivadija atsinaujinančių išteklių energiją pripažįsta galimybe sustiprinti regiono ekonomiką. </w:t>
      </w:r>
      <w:r w:rsidRPr="004874DC">
        <w:lastRenderedPageBreak/>
        <w:t>Ji atkreipia dėmesį į tai, kad regionas kasmet daugiau kaip 5 mlrd. PLN</w:t>
      </w:r>
      <w:r w:rsidRPr="004874DC">
        <w:rPr>
          <w:rStyle w:val="FootnoteReference"/>
        </w:rPr>
        <w:footnoteReference w:id="12"/>
      </w:r>
      <w:r w:rsidRPr="004874DC">
        <w:t xml:space="preserve"> skiria energijos importui. Kadangi elektros energija ir šiluma jau gali būti gaminama iš atsinaujinančių energijos išteklių vietos mastu ir už mažesnę kainą, regioninėje strategijoje pabrėžiama, „kad reikia kurti vietos decentralizuotą energetikos sistemą ir skatinti vietos masto atsinaujinančių išteklių energijos pertvarką, o žmonės taptų energijos ir šilumos gamybos įrenginių savininkais.“ Šioje strategijoje aiškiai teigiama, kad investicijos pirmiausia turėtų būti vietos piliečių rankose, kad nauda atitektų regionui.</w:t>
      </w:r>
    </w:p>
    <w:p w:rsidR="00180CDA" w:rsidRPr="004874DC" w:rsidRDefault="00180CDA" w:rsidP="00E1404F">
      <w:pPr>
        <w:spacing w:line="240" w:lineRule="auto"/>
      </w:pPr>
    </w:p>
    <w:p w:rsidR="001B5D89" w:rsidRPr="004874DC" w:rsidRDefault="00140D90" w:rsidP="000959F1">
      <w:pPr>
        <w:pStyle w:val="Heading2"/>
      </w:pPr>
      <w:bookmarkStart w:id="408" w:name="_Toc399146028"/>
      <w:bookmarkStart w:id="409" w:name="_Toc399257209"/>
      <w:bookmarkStart w:id="410" w:name="_Toc398538373"/>
      <w:bookmarkStart w:id="411" w:name="_Toc408506731"/>
      <w:bookmarkStart w:id="412" w:name="_Toc408580964"/>
      <w:bookmarkStart w:id="413" w:name="_Toc409515362"/>
      <w:r w:rsidRPr="004874DC">
        <w:t>„Piliečių energijos“ iš atsinaujinančiųjų išteklių gamyba</w:t>
      </w:r>
      <w:bookmarkStart w:id="414" w:name="_Toc395310065"/>
      <w:r w:rsidRPr="004874DC">
        <w:t xml:space="preserve"> – svarbus darbo vietų kūrimo ir ekonomikos augimo veiksnys</w:t>
      </w:r>
      <w:bookmarkEnd w:id="408"/>
      <w:bookmarkEnd w:id="409"/>
      <w:bookmarkEnd w:id="410"/>
      <w:bookmarkEnd w:id="411"/>
      <w:bookmarkEnd w:id="412"/>
      <w:bookmarkEnd w:id="413"/>
      <w:bookmarkEnd w:id="414"/>
    </w:p>
    <w:p w:rsidR="00354DA8" w:rsidRPr="004874DC" w:rsidRDefault="00354DA8" w:rsidP="00536308">
      <w:pPr>
        <w:keepNext/>
        <w:rPr>
          <w:highlight w:val="yellow"/>
        </w:rPr>
      </w:pPr>
    </w:p>
    <w:p w:rsidR="00874FB0" w:rsidRPr="004874DC" w:rsidRDefault="009F559E" w:rsidP="00F20350">
      <w:r w:rsidRPr="004874DC">
        <w:t>Augant atsinaujinantiems ištekliams kuriamos naujos darbo vietos vertės grandinėje. Šis darbo vietų kūrimas ypač didelis energijos vartojimo efektyvumo didinimo (0,38 darbo metų/</w:t>
      </w:r>
      <w:proofErr w:type="spellStart"/>
      <w:r w:rsidRPr="004874DC">
        <w:t>GWh</w:t>
      </w:r>
      <w:proofErr w:type="spellEnd"/>
      <w:r w:rsidRPr="004874DC">
        <w:t xml:space="preserve">), saulės (0,87), biokuro (0,21) ir vėjo energijos gamybos (0,17) sektoriuose, palyginti su anglies ir dujų energijos gamyba (0,11). Kitas dėmesio vertas aspektas yra tai, kad dauguma darbo vietų atsinaujinančių išteklių energijos rinkoje yra skirtos aukštos kvalifikacijos darbuotojams, ir 5 darbo vietos iš 6 yra vietos lygmens. Todėl ES turi užtikrinti, kad žinios ir įgūdžiai būtų taip ugdomi, kad atitiktų naujus darbo rinkos poreikius. </w:t>
      </w:r>
    </w:p>
    <w:p w:rsidR="00874FB0" w:rsidRPr="004874DC" w:rsidRDefault="00874FB0" w:rsidP="00F20350"/>
    <w:p w:rsidR="00636F47" w:rsidRPr="004874DC" w:rsidRDefault="00874FB0" w:rsidP="00F20350">
      <w:bookmarkStart w:id="415" w:name="_Toc395310066"/>
      <w:r w:rsidRPr="004874DC">
        <w:t>Kita vertus, net jei atsinaujinančių išteklių plėtros grynasis rezultatas yra teigiamas, perėjimas prie tokios energijos reikš, kad kai kurie sektoriai (besiremiantys iškastiniu, o kai kuriose šalyse</w:t>
      </w:r>
      <w:r w:rsidR="00F341FF" w:rsidRPr="004874DC">
        <w:t xml:space="preserve"> </w:t>
      </w:r>
      <w:r w:rsidRPr="004874DC">
        <w:t>branduoliniu kuru) praras rinkas ir darbo vietas. Ypač didelį susirūpinimą tai kelia tose šalyse, kur šiuose sektoriuose dirba daug žmonių. Todėl turi būti parengtos nacionalinės strategijos, kuriomis būtų užtikrintas sklandus perėjimas, ugdomi nauji įgūdžiai ir mažinami socialiniai darbo vietų tradiciniuose energetikos sektoriuose praradimo padariniai.</w:t>
      </w:r>
    </w:p>
    <w:p w:rsidR="00B137BE" w:rsidRPr="004874DC" w:rsidRDefault="00B137BE" w:rsidP="00F20350"/>
    <w:p w:rsidR="00235212" w:rsidRPr="004874DC" w:rsidRDefault="00235212" w:rsidP="000959F1">
      <w:pPr>
        <w:pStyle w:val="Heading1"/>
      </w:pPr>
      <w:bookmarkStart w:id="416" w:name="_Toc398538378"/>
      <w:bookmarkStart w:id="417" w:name="_Toc408506732"/>
      <w:bookmarkStart w:id="418" w:name="_Toc408580965"/>
      <w:bookmarkStart w:id="419" w:name="_Toc409515363"/>
      <w:r w:rsidRPr="004874DC">
        <w:t>Debatai dėl atsinaujinančių išteklių energijos kainų ir sąnaudų</w:t>
      </w:r>
      <w:bookmarkEnd w:id="416"/>
      <w:bookmarkEnd w:id="417"/>
      <w:bookmarkEnd w:id="418"/>
      <w:bookmarkEnd w:id="419"/>
    </w:p>
    <w:p w:rsidR="00354DA8" w:rsidRPr="004874DC" w:rsidRDefault="00354DA8" w:rsidP="00536308">
      <w:pPr>
        <w:keepNext/>
      </w:pPr>
    </w:p>
    <w:p w:rsidR="00235212" w:rsidRPr="004874DC" w:rsidRDefault="00235212" w:rsidP="00235212">
      <w:r w:rsidRPr="004874DC">
        <w:t>Viešuose debatuose dėl energetikos politikos dominuodavo kainų klausimas, ir atliekant tyrimą būdavo vis grįžtama prie temos dėl atsinaujinančių išteklių energijos paramos sąnaudų. Kai kuriose aplankytose šalyse, politikai ir žiniasklaida kritikavo atsinaujinančių išteklių energijos paramos mechanizmus kaip pretekstą didinti namų ūkių energijos kainas. Atsinaujinančių išteklių energijos verslo ekonomiškumo veiksnys labai svarbus siekiant suprasti, ar valstybės parama iš tiesų reikalinga, kad būtų pasiekti klimato ir energetikos tikslai ir gauta ilgalaikė nauda, o gal atvirkščiai, tokia parama leidžia uždirbti netikėtai didelį pelną tokiais laikais, kai vykdoma griežta valstybių biudžetų priežiūra ir raginama taupyti.</w:t>
      </w:r>
    </w:p>
    <w:p w:rsidR="00235212" w:rsidRPr="004874DC" w:rsidRDefault="00235212" w:rsidP="00235212"/>
    <w:p w:rsidR="00235212" w:rsidRPr="004874DC" w:rsidRDefault="00235212" w:rsidP="00235212">
      <w:r w:rsidRPr="004874DC">
        <w:t xml:space="preserve">Kyla klausimas, kokia perspektyva remdamasi visuomenė bando apriboti sąnaudas. Prastas ir pigus trumpojo laikotarpio sprendimas galėtų virsti „brangiu“ sprendimu ilgalaikėje perspektyvoje ir atvirkščiai. Šio argumento </w:t>
      </w:r>
      <w:r w:rsidRPr="004874DC">
        <w:rPr>
          <w:i/>
        </w:rPr>
        <w:t>per </w:t>
      </w:r>
      <w:proofErr w:type="spellStart"/>
      <w:r w:rsidRPr="004874DC">
        <w:rPr>
          <w:i/>
        </w:rPr>
        <w:t>se</w:t>
      </w:r>
      <w:proofErr w:type="spellEnd"/>
      <w:r w:rsidRPr="004874DC">
        <w:t xml:space="preserve"> pakanka, kad būtų suabejota tais, kurie mano, jog atsinaujinančių išteklių energija brangi ir yra našta valstybių biudžetams</w:t>
      </w:r>
      <w:r w:rsidRPr="004874DC">
        <w:rPr>
          <w:rStyle w:val="FootnoteReference"/>
        </w:rPr>
        <w:footnoteReference w:id="13"/>
      </w:r>
      <w:r w:rsidRPr="004874DC">
        <w:t xml:space="preserve">. Tačiau tikrovėje, kaip yra įprasta technologijų srityje, didėjant gamybos apimtims nuolat mažėja atsinaujinančių išteklių energijos </w:t>
      </w:r>
      <w:r w:rsidRPr="004874DC">
        <w:lastRenderedPageBreak/>
        <w:t xml:space="preserve">vieneto kaina (vadinamoji </w:t>
      </w:r>
      <w:r w:rsidRPr="004874DC">
        <w:rPr>
          <w:b/>
        </w:rPr>
        <w:t>„įsisavinimo norma“</w:t>
      </w:r>
      <w:r w:rsidRPr="004874DC">
        <w:t>). Su atsinaujinančių išteklių energijos įrenginiais susijusios gamybos sąnaudos visų pirma priklauso nuo investicinių sąnaudų. Dar visai neseniai atsinaujinančių išteklių energijos sektoriaus technologijos buvo brangesnės už anglių ir branduolinės energetikos sektoriaus technologijas. Taip buvo dėl to, kad šios technologijos dar buvo labai nebrandžios: technologinė plėtra vyko kartu su jų pateikimu rinkai. Vokietijoje saulės fotovoltinės energijos supirkimo tarifas 2008 m., t. y. tuo metu, kai gamybos sąnaudos buvo atitinkamai didesnės, buvo 46 ct/</w:t>
      </w:r>
      <w:proofErr w:type="spellStart"/>
      <w:r w:rsidRPr="004874DC">
        <w:t>kWh</w:t>
      </w:r>
      <w:proofErr w:type="spellEnd"/>
      <w:r w:rsidRPr="004874DC">
        <w:t>; šiuo metu mažų iki 10 kW įrenginių atveju jos daugiausiai siekia 12,8 ct/</w:t>
      </w:r>
      <w:proofErr w:type="spellStart"/>
      <w:r w:rsidRPr="004874DC">
        <w:t>kWh</w:t>
      </w:r>
      <w:proofErr w:type="spellEnd"/>
      <w:r w:rsidRPr="004874DC">
        <w:t xml:space="preserve"> (ir yra dar mažesnės didesnių įrenginių atveju), atsižvelgiant į nuolat mažėjančias technologijų sąnaudas.</w:t>
      </w:r>
    </w:p>
    <w:p w:rsidR="00235212" w:rsidRPr="004874DC" w:rsidRDefault="009C3480" w:rsidP="00235212">
      <w:r>
        <w:rPr>
          <w:noProof/>
          <w:lang w:val="fr-BE" w:eastAsia="fr-BE" w:bidi="ar-SA"/>
        </w:rPr>
        <w:drawing>
          <wp:anchor distT="0" distB="0" distL="114300" distR="114300" simplePos="0" relativeHeight="251659264" behindDoc="0" locked="0" layoutInCell="1" allowOverlap="1">
            <wp:simplePos x="0" y="0"/>
            <wp:positionH relativeFrom="column">
              <wp:posOffset>0</wp:posOffset>
            </wp:positionH>
            <wp:positionV relativeFrom="paragraph">
              <wp:posOffset>198755</wp:posOffset>
            </wp:positionV>
            <wp:extent cx="5673090" cy="2659380"/>
            <wp:effectExtent l="0" t="0" r="3810" b="7620"/>
            <wp:wrapNone/>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309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5212" w:rsidRPr="004874DC" w:rsidRDefault="009C3480" w:rsidP="00235212">
      <w:r>
        <w:rPr>
          <w:noProof/>
          <w:lang w:val="fr-BE" w:eastAsia="fr-BE" w:bidi="ar-SA"/>
        </w:rPr>
        <mc:AlternateContent>
          <mc:Choice Requires="wpc">
            <w:drawing>
              <wp:anchor distT="0" distB="0" distL="114300" distR="114300" simplePos="0" relativeHeight="251657216" behindDoc="0" locked="0" layoutInCell="1" allowOverlap="1">
                <wp:simplePos x="0" y="0"/>
                <wp:positionH relativeFrom="character">
                  <wp:posOffset>0</wp:posOffset>
                </wp:positionH>
                <wp:positionV relativeFrom="line">
                  <wp:posOffset>0</wp:posOffset>
                </wp:positionV>
                <wp:extent cx="5669280" cy="2655570"/>
                <wp:effectExtent l="0" t="0" r="0" b="0"/>
                <wp:wrapNone/>
                <wp:docPr id="11" name="Canvas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Canvas 8" o:spid="_x0000_s1026" editas="canvas" style="position:absolute;margin-left:0;margin-top:0;width:446.4pt;height:209.1pt;z-index:251657216;mso-position-horizontal-relative:char;mso-position-vertical-relative:line" coordsize="56692,26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692;height:26555;visibility:visible;mso-wrap-style:square">
                  <v:fill o:detectmouseclick="t"/>
                  <v:path o:connecttype="none"/>
                </v:shape>
                <w10:wrap anchory="line"/>
              </v:group>
            </w:pict>
          </mc:Fallback>
        </mc:AlternateContent>
      </w:r>
      <w:r>
        <w:rPr>
          <w:noProof/>
          <w:lang w:val="fr-BE" w:eastAsia="fr-BE" w:bidi="ar-SA"/>
        </w:rPr>
        <mc:AlternateContent>
          <mc:Choice Requires="wps">
            <w:drawing>
              <wp:anchor distT="0" distB="0" distL="114300" distR="114300" simplePos="0" relativeHeight="251656192" behindDoc="0" locked="0" layoutInCell="1" allowOverlap="1">
                <wp:simplePos x="0" y="0"/>
                <wp:positionH relativeFrom="character">
                  <wp:posOffset>0</wp:posOffset>
                </wp:positionH>
                <wp:positionV relativeFrom="line">
                  <wp:posOffset>0</wp:posOffset>
                </wp:positionV>
                <wp:extent cx="5669280" cy="2655570"/>
                <wp:effectExtent l="0" t="0" r="0" b="0"/>
                <wp:wrapNone/>
                <wp:docPr id="10"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7" o:spid="_x0000_s1026" style="position:absolute;margin-left:0;margin-top:0;width:446.4pt;height:209.1pt;z-index:2516561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" filled="f" stroked="f">
                <o:lock v:ext="edit" aspectratio="t"/>
                <w10:wrap anchory="line"/>
              </v:rect>
            </w:pict>
          </mc:Fallback>
        </mc:AlternateContent>
      </w:r>
      <w:r>
        <w:rPr>
          <w:noProof/>
          <w:lang w:val="fr-BE" w:eastAsia="fr-BE" w:bidi="ar-SA"/>
        </w:rPr>
        <mc:AlternateContent>
          <mc:Choice Requires="wps">
            <w:drawing>
              <wp:inline distT="0" distB="0" distL="0" distR="0">
                <wp:extent cx="5669280" cy="265557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69280" cy="265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46.4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" filled="f" stroked="f">
                <o:lock v:ext="edit" aspectratio="t"/>
                <w10:anchorlock/>
              </v:rect>
            </w:pict>
          </mc:Fallback>
        </mc:AlternateContent>
      </w:r>
    </w:p>
    <w:p w:rsidR="00235212" w:rsidRPr="004874DC" w:rsidRDefault="00A76DD5" w:rsidP="00A76DD5">
      <w:pPr>
        <w:pStyle w:val="Caption"/>
      </w:pPr>
      <w:r w:rsidRPr="004874DC">
        <w:fldChar w:fldCharType="begin" w:fldLock="1"/>
      </w:r>
      <w:r w:rsidRPr="004874DC">
        <w:instrText xml:space="preserve"> SEQ Figure \* ARABIC </w:instrText>
      </w:r>
      <w:r w:rsidRPr="004874DC">
        <w:fldChar w:fldCharType="separate"/>
      </w:r>
      <w:r w:rsidR="009753A1" w:rsidRPr="004874DC">
        <w:t>5</w:t>
      </w:r>
      <w:r w:rsidRPr="004874DC">
        <w:fldChar w:fldCharType="end"/>
      </w:r>
      <w:r w:rsidR="003C4168" w:rsidRPr="004874DC">
        <w:t xml:space="preserve"> pav</w:t>
      </w:r>
      <w:r w:rsidRPr="004874DC">
        <w:t xml:space="preserve">. Vidutinė vartotojų kaina (grynoji sistemos kaina) už visiškai įrengtus stogo fotovoltinius įrenginius iki 10 </w:t>
      </w:r>
      <w:proofErr w:type="spellStart"/>
      <w:r w:rsidRPr="004874DC">
        <w:t>kWp</w:t>
      </w:r>
      <w:proofErr w:type="spellEnd"/>
      <w:r w:rsidRPr="004874DC">
        <w:t xml:space="preserve">. </w:t>
      </w:r>
    </w:p>
    <w:p w:rsidR="00A76DD5" w:rsidRPr="004874DC" w:rsidRDefault="00A76DD5" w:rsidP="00235212">
      <w:r w:rsidRPr="004874DC">
        <w:t>Šaltinis: BSW</w:t>
      </w:r>
    </w:p>
    <w:p w:rsidR="00235212" w:rsidRPr="004874DC" w:rsidRDefault="00235212" w:rsidP="00235212"/>
    <w:p w:rsidR="00235212" w:rsidRPr="004874DC" w:rsidRDefault="00235212" w:rsidP="00235212">
      <w:pPr>
        <w:rPr>
          <w:szCs w:val="24"/>
        </w:rPr>
      </w:pPr>
      <w:r w:rsidRPr="004874DC">
        <w:rPr>
          <w:b/>
        </w:rPr>
        <w:t>Pamažu atsinaujinančių išteklių energijos technologijų kainos pasiekė kainų lygius, kai galima konkuruoti su anglimis, dujomis ir branduoline energija</w:t>
      </w:r>
      <w:r w:rsidRPr="004874DC">
        <w:rPr>
          <w:rStyle w:val="FootnoteReference"/>
          <w:b/>
        </w:rPr>
        <w:footnoteReference w:id="14"/>
      </w:r>
      <w:r w:rsidRPr="004874DC">
        <w:t>. Pakrančių vėjo jėgainės jau yra konkurencingos net tada, kai iškastinio kuro ir branduolinės energijos išorės sąnaudos aplinkosaugai ir sveikatai nėra įtrauktos į mažmeninę kainą. Galima tikėtis, kad dėl technologinės plėtros toliau mažės atsinaujinančių išteklių energijos investicinės sąnaudos. Be to, saulė ir vėjas – tai nieko nekainuojantys atsinaujinantys ištekliai. Todėl tikėtina, kad atsinaujinančių išteklių elektros energija netrukus taps konkurencinga net ir be subsidijų. Šią tendenciją patvirtino Europos Komisija, nurodydama savo komunikate dėl 2020–2030 m. klimato ir energetikos politikos strategijos</w:t>
      </w:r>
      <w:r w:rsidRPr="004874DC">
        <w:rPr>
          <w:rStyle w:val="FootnoteReference"/>
        </w:rPr>
        <w:footnoteReference w:id="15"/>
      </w:r>
      <w:r w:rsidRPr="004874DC">
        <w:t>, kad „perėjimo prie mažo anglies dioksido kiekio technologijų išlaidos nedaug skiriasi nuo išlaidų, kurių bet kuriuo atveju bus patirta dėl būtinybės atnaujinti pasenusią energetikos sistemą, didėjančių iškastinio kuro kainų ir glaudžių sąsajų su esama klimato ir energetikos politika. Tačiau pagrindinės išlaidos teks nebe kurui, o didelės pridėtinės vertės turinčiai novatoriškai įrangai, kuri skatins investicijas į novatoriškus gaminius ir paslaugas, darbo vietų kūrimą ir turės teigiamo poveikio Sąjungos prekybos balansui...“.</w:t>
      </w:r>
    </w:p>
    <w:p w:rsidR="00D45B62" w:rsidRPr="004874DC" w:rsidRDefault="00D45B62" w:rsidP="00235212">
      <w:pPr>
        <w:rPr>
          <w:szCs w:val="24"/>
        </w:rPr>
      </w:pPr>
    </w:p>
    <w:p w:rsidR="00C03C78" w:rsidRPr="004874DC" w:rsidRDefault="00C03C78" w:rsidP="00C03C78">
      <w:r w:rsidRPr="004874DC">
        <w:t>Decentralizuota atsinaujinančių išteklių energija reiškia, kad paprastai energija gaminama arčiau vartotojo ir kad esama daug galimybių mažinti tinklo infrastruktūros sąnaudas. Be to, EESRK tyrime nustatyta, kad smulkiųjų gamintojų pelno maržos lūkesčiai gerokai mažesni nei stambiųjų gamintojų.</w:t>
      </w:r>
    </w:p>
    <w:p w:rsidR="00C03C78" w:rsidRPr="004874DC" w:rsidRDefault="00C03C78" w:rsidP="00113379"/>
    <w:p w:rsidR="00113379" w:rsidRPr="004874DC" w:rsidRDefault="00235212" w:rsidP="00113379">
      <w:r w:rsidRPr="004874DC">
        <w:t>Juo labiau, kad didelė atsinaujinančių išteklių energijos nauda, dėl kurios jai pirmiausia turi būti skiriama parama, pagrįsta toli gražu ne tik ekonominiais rezultatais. Atsinaujinančių išteklių energija prisideda prie klimato kaitos poveikio švelninimo, padeda kurti darbo vietas ir tvarius vietinius pragyvenimo šaltinius, didinti energijos tiekimo saugumą, sumažinti priklausomybę nuo importo iš nestabilių regionų ir pasiekti palankesnį ES prekybos balansą dėl mažesnės priklausomybės nuo iškastinio kuro. Politikos kryptys, kuriomis ignoruojami šie ilgalaikiai padariniai ir daugybė atsinaujinančių išteklių energijos bendro pobūdžio privalumų, ateityje gali tapti nuostolingų energijos rūšių derinių atsiradimo priežastimi. Būtų žalinga stabdyti šiuos viltingus pokyčius atsisakant paramos politikos dabar, kai ji pradeda duoti vaisių.</w:t>
      </w:r>
    </w:p>
    <w:p w:rsidR="00113379" w:rsidRPr="004874DC" w:rsidRDefault="00113379" w:rsidP="00E1404F"/>
    <w:p w:rsidR="006C1151" w:rsidRPr="004874DC" w:rsidRDefault="006C1151" w:rsidP="00536308">
      <w:r w:rsidRPr="004874DC">
        <w:t>Nors tikimasi, kad perėjimo prie kitokio energijos vartojimo modelio grynasis poveikis darbo vietų kūrimui ir namų ūkių pajamoms bus teigiamas, kai kurie įprastos energijos gamintojai jau patiria rinkos nuostolių, kurie turi įtakos darbo vietoms šiuose sektoriuose.</w:t>
      </w:r>
      <w:r w:rsidR="00F341FF" w:rsidRPr="004874DC">
        <w:t xml:space="preserve"> </w:t>
      </w:r>
      <w:r w:rsidRPr="004874DC">
        <w:t xml:space="preserve">Šis klausimas turėtų būti sprendžiamas nedelsiant ir iniciatyviai. Siekiant užtikrinti sklandų ir sąžiningą perėjimą, suteikti galimybę įgyti naujų reikalingų darbo įgūdžių ir kryptingai kovoti su bet kokiu neigiamu socialiniu poveikiu užimtumui ir socialiai silpniems namų ūkiams, turi būti parengtos </w:t>
      </w:r>
      <w:r w:rsidRPr="004874DC">
        <w:rPr>
          <w:b/>
        </w:rPr>
        <w:t>nacionalinės strategijos</w:t>
      </w:r>
      <w:r w:rsidRPr="004874DC">
        <w:t>, glaudžiai koordinuojamos su atsinaujinančių išteklių energijos naudojimo politika. Tikroji energijos nepritekliaus problema turėtų būti sprendžiama konkrečiomis ir tikslinėmis priemonėmis, bet nenaudojama kaip argumentas žemoms energijos kainoms dirbtinai išlaikyti (pvz., Bulgarijoje). Darbo vietų praradimo tradiciniuose sektoriuose (kai kurie jų nebūtinai yra susiję su atsinaujinančių išteklių energijos atsiradimu) problema neturėtų būti remiamasi kaip argumentu, siekiant vilkinti decentralizuoto atsinaujinančių išteklių energijos sektoriaus pažangą (pvz., Lenkijoje). Vyriausybės turėtų prisiimti atsakomybę už tinkamą perėjimo prie mažai anglies dioksido kiekio technologijų ekonomikos socialinio ir ekonominio poveikio valdymą ir siekti naudos visiems visuomenės sektoriams.</w:t>
      </w:r>
    </w:p>
    <w:p w:rsidR="006C1151" w:rsidRDefault="006C1151" w:rsidP="00515B15"/>
    <w:p w:rsidR="000D136B" w:rsidRPr="004874DC" w:rsidRDefault="000D136B" w:rsidP="00515B15"/>
    <w:p w:rsidR="00E435DF" w:rsidRPr="004874DC" w:rsidRDefault="00271331" w:rsidP="000959F1">
      <w:pPr>
        <w:pStyle w:val="Heading1"/>
      </w:pPr>
      <w:bookmarkStart w:id="420" w:name="_Toc399146029"/>
      <w:bookmarkStart w:id="421" w:name="_Toc399257210"/>
      <w:bookmarkStart w:id="422" w:name="_Toc398538374"/>
      <w:bookmarkStart w:id="423" w:name="_Toc408506735"/>
      <w:bookmarkStart w:id="424" w:name="_Toc408580968"/>
      <w:bookmarkStart w:id="425" w:name="_Toc409515364"/>
      <w:r w:rsidRPr="004874DC">
        <w:t>Kokios „piliečių energijos“ gamybos potencialo plėtojimo prielaidos</w:t>
      </w:r>
      <w:bookmarkEnd w:id="420"/>
      <w:bookmarkEnd w:id="421"/>
      <w:r w:rsidRPr="004874DC">
        <w:t>?</w:t>
      </w:r>
      <w:bookmarkEnd w:id="415"/>
      <w:bookmarkEnd w:id="422"/>
      <w:bookmarkEnd w:id="423"/>
      <w:bookmarkEnd w:id="424"/>
      <w:bookmarkEnd w:id="425"/>
    </w:p>
    <w:p w:rsidR="00646E1E" w:rsidRPr="004874DC" w:rsidRDefault="00646E1E" w:rsidP="00C240A9">
      <w:pPr>
        <w:keepNext/>
      </w:pPr>
      <w:bookmarkStart w:id="426" w:name="_Toc399257211"/>
      <w:bookmarkStart w:id="427" w:name="_Toc399257212"/>
      <w:bookmarkEnd w:id="426"/>
    </w:p>
    <w:p w:rsidR="00347074" w:rsidRPr="004874DC" w:rsidRDefault="00347074" w:rsidP="00536308">
      <w:pPr>
        <w:keepNext/>
        <w:numPr>
          <w:ilvl w:val="1"/>
          <w:numId w:val="1"/>
        </w:numPr>
        <w:ind w:left="720" w:hanging="720"/>
        <w:rPr>
          <w:b/>
        </w:rPr>
      </w:pPr>
      <w:r w:rsidRPr="004874DC">
        <w:rPr>
          <w:b/>
        </w:rPr>
        <w:t>Vienodos sąlygos</w:t>
      </w:r>
      <w:bookmarkStart w:id="428" w:name="_Toc398538375"/>
      <w:bookmarkStart w:id="429" w:name="_Ref395282416"/>
      <w:bookmarkStart w:id="430" w:name="_Toc395310067"/>
    </w:p>
    <w:p w:rsidR="00347074" w:rsidRPr="004874DC" w:rsidRDefault="00347074" w:rsidP="00C240A9">
      <w:pPr>
        <w:keepNext/>
        <w:rPr>
          <w:b/>
        </w:rPr>
      </w:pPr>
    </w:p>
    <w:p w:rsidR="0095006D" w:rsidRPr="004874DC" w:rsidRDefault="0095006D" w:rsidP="00347074">
      <w:r w:rsidRPr="004874DC">
        <w:t>Kaip nurodyta 2013 m. Komisijos Atsinaujinančiųjų išteklių energijos direktyvos įgyvendinimo pažangos ataskaitoje</w:t>
      </w:r>
      <w:r w:rsidRPr="004874DC">
        <w:rPr>
          <w:vertAlign w:val="superscript"/>
        </w:rPr>
        <w:footnoteReference w:id="16"/>
      </w:r>
      <w:r w:rsidRPr="004874DC">
        <w:t xml:space="preserve">, nors atsinaujinančių išteklių energijos technologijomis susijusios sąnaudos nuolat mažėja, būtinos finansinės, teisinės ir administracinės politikos priemonės, kuriomis būtų galima remti atsinaujinančių išteklių energijos naudojimą, kol nėra atviros, konkurencingos ES energijos vidaus rinkos, kad būtų panaikinti rinkos nepakankamumai ir įtrauktos iškastinio kuro naudojimo sveikatos, aplinkos ir socialinės sąnaudos. Anglies dioksido kainodara yra viena iš </w:t>
      </w:r>
      <w:r w:rsidRPr="004874DC">
        <w:lastRenderedPageBreak/>
        <w:t xml:space="preserve">galimybių įskaičiuoti išorės sąnaudas. Dėl to padidėja santykinė technologijų, naudojančių iškastinį kurą, kaina. Pajamos, gautos iš taršos leidimų pardavimo, gali būti perkeltos arba pervestos atsinaujinančių išteklių energijos paramos fondams. </w:t>
      </w:r>
    </w:p>
    <w:p w:rsidR="00646E1E" w:rsidRPr="004874DC" w:rsidRDefault="00646E1E" w:rsidP="000959F1">
      <w:pPr>
        <w:pStyle w:val="Heading2"/>
        <w:numPr>
          <w:ilvl w:val="0"/>
          <w:numId w:val="0"/>
        </w:numPr>
      </w:pPr>
    </w:p>
    <w:p w:rsidR="00870719" w:rsidRPr="004874DC" w:rsidRDefault="00453991" w:rsidP="00C34BF0">
      <w:pPr>
        <w:pStyle w:val="Heading2"/>
      </w:pPr>
      <w:bookmarkStart w:id="431" w:name="_Toc408506736"/>
      <w:bookmarkStart w:id="432" w:name="_Toc408580969"/>
      <w:bookmarkStart w:id="433" w:name="_Toc409515365"/>
      <w:r w:rsidRPr="004874DC">
        <w:t>Tvirtas</w:t>
      </w:r>
      <w:bookmarkStart w:id="434" w:name="_Toc399157112"/>
      <w:bookmarkStart w:id="435" w:name="_Toc399171505"/>
      <w:bookmarkStart w:id="436" w:name="_Toc399171579"/>
      <w:bookmarkStart w:id="437" w:name="_Toc399171723"/>
      <w:bookmarkStart w:id="438" w:name="_Toc399171797"/>
      <w:bookmarkStart w:id="439" w:name="_Toc399146030"/>
      <w:bookmarkStart w:id="440" w:name="_Ref399165434"/>
      <w:bookmarkEnd w:id="434"/>
      <w:bookmarkEnd w:id="435"/>
      <w:bookmarkEnd w:id="436"/>
      <w:bookmarkEnd w:id="437"/>
      <w:bookmarkEnd w:id="438"/>
      <w:r w:rsidRPr="004874DC">
        <w:t xml:space="preserve"> ir nuoseklus politinis pagrindas</w:t>
      </w:r>
      <w:bookmarkEnd w:id="427"/>
      <w:bookmarkEnd w:id="428"/>
      <w:bookmarkEnd w:id="431"/>
      <w:bookmarkEnd w:id="432"/>
      <w:bookmarkEnd w:id="433"/>
      <w:bookmarkEnd w:id="439"/>
      <w:bookmarkEnd w:id="440"/>
    </w:p>
    <w:p w:rsidR="00BC2894" w:rsidRPr="004874DC" w:rsidRDefault="00BC2894" w:rsidP="00C240A9">
      <w:pPr>
        <w:keepNext/>
        <w:rPr>
          <w:b/>
        </w:rPr>
      </w:pPr>
    </w:p>
    <w:p w:rsidR="00024F07" w:rsidRPr="004874DC" w:rsidRDefault="00E009A6" w:rsidP="00DB6905">
      <w:r w:rsidRPr="004874DC">
        <w:t xml:space="preserve">Kaip pabrėžė suinteresuotieji subjektai </w:t>
      </w:r>
      <w:r w:rsidRPr="004874DC">
        <w:rPr>
          <w:b/>
          <w:i/>
        </w:rPr>
        <w:t>visų</w:t>
      </w:r>
      <w:r w:rsidRPr="004874DC">
        <w:t xml:space="preserve"> pažintinių vizitų metu, pagrindinis dalykas darant bet kokias investicijas, taip pat ir į atsinaujinančiųjų išteklių energiją, yra </w:t>
      </w:r>
      <w:r w:rsidRPr="004874DC">
        <w:rPr>
          <w:b/>
        </w:rPr>
        <w:t>politikos nuoseklumas ir stabilumas</w:t>
      </w:r>
      <w:r w:rsidRPr="004874DC">
        <w:t xml:space="preserve">. Stabilios ir racionalios politikos priemonės suteikia galimybę investuotojams planuoti, valdyti riziką ir pasinaudoti kreditais. </w:t>
      </w:r>
    </w:p>
    <w:p w:rsidR="003617E2" w:rsidRPr="004874DC" w:rsidRDefault="003617E2" w:rsidP="00DB6905"/>
    <w:p w:rsidR="00024F07" w:rsidRPr="004874DC" w:rsidRDefault="00C03937" w:rsidP="00DB6905">
      <w:r w:rsidRPr="004874DC">
        <w:t xml:space="preserve">Pavyzdžiui, Vokietijos atsinaujinančių išteklių energijos aktas (EEG) ir jo svarbiausios lengvos prieigos prie tinklo priemonės, pirmenybė atsinaujinančių išteklių energijai, tinklo operatoriaus vykdoma rinkodara ir garantuoti supirkimo tarifai 20 metų užtikrino puikų investicijų saugumą ir suteikė galimybę „piliečių energiją“ plėtoti kur kas sparčiau nei buvo įmanoma įsivaizduoti. </w:t>
      </w:r>
    </w:p>
    <w:p w:rsidR="00024F07" w:rsidRPr="004874DC" w:rsidRDefault="00024F07" w:rsidP="00DB6905"/>
    <w:p w:rsidR="00024F07" w:rsidRPr="004874DC" w:rsidRDefault="0024537E" w:rsidP="00DB6905">
      <w:r w:rsidRPr="004874DC">
        <w:t>Tokio stabilaus pagrindo pakeitimas gali turėti neigiamų pasekmių, pradedant neužtikrintumu smulkiesiems investuotojams dėl to, ar jie gaus finansinę paramą pasibaigus planavimo etapui (pvz., metinės naujų įrenginių ribos nustatymo). Vis dėlto vizitų į Vokietiją, Lenkiją, Prancūziją ir Jungtinę Karalystę laikotarpiu ar maždaug tuo metu buvo aptariamos esminės politikos reformos</w:t>
      </w:r>
      <w:r w:rsidRPr="004874DC">
        <w:rPr>
          <w:vertAlign w:val="superscript"/>
        </w:rPr>
        <w:footnoteReference w:id="17"/>
      </w:r>
      <w:r w:rsidRPr="004874DC">
        <w:t xml:space="preserve">. Bulgarijoje smulkūs gamintojai atkreipė dėmesį į prieštaringus įstatymus ir į vyriausybės sprendimą nuo 2013 m. nutraukti atsinaujinančių išteklių energijos naudojimą, kadangi jau pasiektas 2020 m. tikslas. Visiškai nepriimtina praktika yra pakeisti atgaline data pagrindines sąlygas pradėjus naudoti atsinaujinančių išteklių energiją, pavyzdžiui, Bulgarijoje, kai investuotojai į nedidelius saulės ir vėjo energijos įrenginius tapo nemokūs dėl naujų mokesčių ir rinkliavų, nustatytų atsinaujinančių išteklių energijai. Nors nuo 2014 m. sausio mėn. taikytą 20 proc. mokestį vėjo ir saulės elektros energijos gamybai Bulgarijos Aukščiausiasis Teismas 2014 m. liepos mėn. panaikino, operatoriai negali susigrąžinti per tą laikotarpį atliktų mokėjimų. 2010 m. Prancūzijoje paskelbtas moratoriumas saulės energijos paramos schemoms iš esmės taip pat sustabdė visas investicijas. </w:t>
      </w:r>
    </w:p>
    <w:p w:rsidR="00024F07" w:rsidRPr="004874DC" w:rsidRDefault="00024F07" w:rsidP="00DB6905"/>
    <w:p w:rsidR="00335B70" w:rsidRPr="004874DC" w:rsidRDefault="009C3480" w:rsidP="00E675A3">
      <w:pPr>
        <w:rPr>
          <w:b/>
        </w:rPr>
      </w:pPr>
      <w:r>
        <w:rPr>
          <w:noProof/>
          <w:lang w:val="fr-BE" w:eastAsia="fr-BE" w:bidi="ar-SA"/>
        </w:rPr>
        <w:lastRenderedPageBreak/>
        <w:drawing>
          <wp:inline distT="0" distB="0" distL="0" distR="0">
            <wp:extent cx="5772785" cy="2941955"/>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2785" cy="2941955"/>
                    </a:xfrm>
                    <a:prstGeom prst="rect">
                      <a:avLst/>
                    </a:prstGeom>
                    <a:noFill/>
                    <a:ln>
                      <a:noFill/>
                    </a:ln>
                  </pic:spPr>
                </pic:pic>
              </a:graphicData>
            </a:graphic>
          </wp:inline>
        </w:drawing>
      </w:r>
    </w:p>
    <w:p w:rsidR="006B1DF4" w:rsidRPr="004874DC" w:rsidRDefault="004569F3" w:rsidP="006B1DF4">
      <w:pPr>
        <w:pStyle w:val="Caption"/>
        <w:jc w:val="both"/>
      </w:pPr>
      <w:r w:rsidRPr="004874DC">
        <w:fldChar w:fldCharType="begin" w:fldLock="1"/>
      </w:r>
      <w:r w:rsidRPr="004874DC">
        <w:instrText xml:space="preserve"> SEQ Figure \* ARABIC </w:instrText>
      </w:r>
      <w:r w:rsidRPr="004874DC">
        <w:fldChar w:fldCharType="separate"/>
      </w:r>
      <w:r w:rsidR="009753A1" w:rsidRPr="004874DC">
        <w:t>6</w:t>
      </w:r>
      <w:r w:rsidRPr="004874DC">
        <w:fldChar w:fldCharType="end"/>
      </w:r>
      <w:r w:rsidR="003C4168" w:rsidRPr="004874DC">
        <w:t xml:space="preserve"> pav</w:t>
      </w:r>
      <w:r w:rsidRPr="004874DC">
        <w:t>. Atsinaujinančių išteklių energijos politikos krypčių neapibrėžtumas visoje ES.</w:t>
      </w:r>
    </w:p>
    <w:p w:rsidR="006B1DF4" w:rsidRPr="004874DC" w:rsidRDefault="007418E3" w:rsidP="006B1DF4">
      <w:pPr>
        <w:rPr>
          <w:sz w:val="16"/>
        </w:rPr>
      </w:pPr>
      <w:r w:rsidRPr="004874DC">
        <w:rPr>
          <w:sz w:val="18"/>
        </w:rPr>
        <w:t xml:space="preserve">Šaltinis: EDP </w:t>
      </w:r>
      <w:proofErr w:type="spellStart"/>
      <w:r w:rsidRPr="004874DC">
        <w:rPr>
          <w:sz w:val="18"/>
        </w:rPr>
        <w:t>Renováveis</w:t>
      </w:r>
      <w:proofErr w:type="spellEnd"/>
      <w:r w:rsidRPr="004874DC">
        <w:rPr>
          <w:sz w:val="18"/>
        </w:rPr>
        <w:t xml:space="preserve"> (2013)</w:t>
      </w:r>
    </w:p>
    <w:p w:rsidR="009A17DF" w:rsidRPr="004874DC" w:rsidRDefault="009A17DF" w:rsidP="00E675A3">
      <w:pPr>
        <w:rPr>
          <w:b/>
        </w:rPr>
      </w:pPr>
    </w:p>
    <w:p w:rsidR="00024F07" w:rsidRPr="004874DC" w:rsidRDefault="00024F07" w:rsidP="00024F07">
      <w:r w:rsidRPr="004874DC">
        <w:t>Destabilizuojantis veiksnys, turintis poveikį investicijoms, yra ne tik teisinis netikrumas – naujausiose politikos reformose matoma aiški tendencija mažinti paramą smulkiesiems gamintojams ir nustatyti sąlygas, kurios yra jiems nepalankios konkuruojant su stambiais gamintojais (pvz., nustačius reikalavimus dėl konkursų ir aukcionų dėl atsinaujinančių išteklių energijos gamybos). Diskusijos visose aplankytose šalyse parodė, kad „piliečių atsinaujinančių išteklių energijos“ gamintojai šią tendenciją susiejo su Komisijos 2014–2020 m. valstybės pagalbos aplinkos apsaugai ir energetikai gairėmis</w:t>
      </w:r>
      <w:r w:rsidRPr="004874DC">
        <w:rPr>
          <w:vertAlign w:val="superscript"/>
        </w:rPr>
        <w:footnoteReference w:id="18"/>
      </w:r>
      <w:r w:rsidRPr="004874DC">
        <w:t>. Šios gairės gerokai apriboja valstybių narių sprendimą garantuoti supirkimo tarifus atsinaujinančių išteklių energijos investicijoms po 2016 m. Vietose surengtų klausymų dalyviai pripažino, kad reikia vengti pernelyg didelių kompensacijų ir atsinaujinančių išteklių energiją plėtoti ekonomiškai efektyviu būdu. Vis dėlto, jie naujausias paramos atsinaujinančių išteklių energijai schemų reformas pavadino „ritimusi į dugną”. Kai kurie jų paminėjo ES pakartotinės centralizacijos tendenciją, dangstomą argumentais dėl išlaidų veiksmingumo ar sąnaudų mažinimo.</w:t>
      </w:r>
    </w:p>
    <w:p w:rsidR="00024F07" w:rsidRPr="004874DC" w:rsidRDefault="00024F07" w:rsidP="00024F07"/>
    <w:p w:rsidR="00024F07" w:rsidRPr="004874DC" w:rsidRDefault="00024F07" w:rsidP="00024F07">
      <w:r w:rsidRPr="004874DC">
        <w:t>Tarptautinės energetikos agentūros</w:t>
      </w:r>
      <w:r w:rsidRPr="004874DC">
        <w:rPr>
          <w:vertAlign w:val="superscript"/>
        </w:rPr>
        <w:footnoteReference w:id="19"/>
      </w:r>
      <w:r w:rsidRPr="004874DC">
        <w:t xml:space="preserve"> nuomone, „kaip tik tada, kai atsinaujinančių išteklių energija vis dažniau tampa ekonomiškai konkurencinga alternatyva, kai kuriose pagrindinėse EBPO rinkose didėja politikos neapibrėžtumas“. Kintančių reguliavimo sistemų gąsdinantis poveikis buvo juntamas jau 2014 m. ir gali būti, kad ES nepasieks, kad 2020 m. atsinaujinančiųjų išteklių energijos dalis sudarytų bent 20 proc. bendro galutinio suvartojamo energijos kiekio.</w:t>
      </w:r>
    </w:p>
    <w:p w:rsidR="00024F07" w:rsidRPr="004874DC" w:rsidRDefault="00024F07" w:rsidP="00024F07"/>
    <w:p w:rsidR="00427725" w:rsidRPr="004874DC" w:rsidRDefault="00427725" w:rsidP="00C96143">
      <w:pPr>
        <w:pStyle w:val="Heading2"/>
        <w:keepNext/>
        <w:keepLines/>
      </w:pPr>
      <w:bookmarkStart w:id="441" w:name="_Toc408506737"/>
      <w:bookmarkStart w:id="442" w:name="_Toc408580970"/>
      <w:bookmarkStart w:id="443" w:name="_Toc409515366"/>
      <w:r w:rsidRPr="004874DC">
        <w:lastRenderedPageBreak/>
        <w:t>Skaidrus ir įtraukus politikos formavimo procesas</w:t>
      </w:r>
      <w:bookmarkEnd w:id="441"/>
      <w:bookmarkEnd w:id="442"/>
      <w:bookmarkEnd w:id="443"/>
    </w:p>
    <w:p w:rsidR="00427725" w:rsidRPr="004874DC" w:rsidRDefault="00427725" w:rsidP="00C96143">
      <w:pPr>
        <w:keepNext/>
        <w:keepLines/>
      </w:pPr>
    </w:p>
    <w:p w:rsidR="00512FBF" w:rsidRPr="004874DC" w:rsidRDefault="004D7208" w:rsidP="00C96143">
      <w:pPr>
        <w:keepNext/>
        <w:keepLines/>
      </w:pPr>
      <w:r w:rsidRPr="004874DC">
        <w:t xml:space="preserve">Be politikos stabilumo, itin svarbus EESRK tyrimo metu iškilęs klausimas yra </w:t>
      </w:r>
      <w:r w:rsidRPr="004874DC">
        <w:rPr>
          <w:b/>
        </w:rPr>
        <w:t>demokratinis politikos formavimo procesas</w:t>
      </w:r>
      <w:r w:rsidRPr="004874DC">
        <w:t xml:space="preserve"> ir reformos. Kaip teigia EESRK savo Europos dialogo energetikos klausimais iniciatyvoje, tam, kad būtų užtikrinta bet kokios politikos krypties sėkmė ir tvarūs rezultatai, ji turėtų būti formuojama per atviras ir skaidrias diskusijas su pilietinės visuomenės suinteresuotaisiais subjektais. Tai būtina norint pasiekti bendrą supratimą svarstomais klausimais, nustatyti bendrus tikslus ir užsitikrinti plačią paramą juos įgyvendinant. Vokietijoje ir Danijoje perėjimas prie kitokio energijos vartojimo modelio vyko iš apačios į viršų, t. y. šio proceso metu politiniai sprendimai būdavo priimami visuomenei spaudžiant ir iš esmės juos įgyvendino pilietinė visuomenė, o kitose tirtose šalyse (Bulgarijoje, Lenkijoje) darbo grupė padarė išvadą, kad nėra nei tikro dialogo, nei valdžios ir piliečių energijos gamintojų tarpusavio pasitikėjimo.</w:t>
      </w:r>
    </w:p>
    <w:p w:rsidR="00A75A96" w:rsidRPr="004874DC" w:rsidRDefault="00A75A96" w:rsidP="00510160"/>
    <w:p w:rsidR="006E47A2" w:rsidRPr="004874DC" w:rsidRDefault="00DB6905" w:rsidP="000959F1">
      <w:pPr>
        <w:pStyle w:val="Heading2"/>
      </w:pPr>
      <w:bookmarkStart w:id="444" w:name="_Toc399146031"/>
      <w:bookmarkStart w:id="445" w:name="_Toc399257213"/>
      <w:bookmarkStart w:id="446" w:name="_Toc398538376"/>
      <w:bookmarkStart w:id="447" w:name="_Toc408506738"/>
      <w:bookmarkStart w:id="448" w:name="_Toc408580971"/>
      <w:bookmarkStart w:id="449" w:name="_Toc409515367"/>
      <w:r w:rsidRPr="004874DC">
        <w:t>Paprastos ir skaidrios administracinės procedūros</w:t>
      </w:r>
      <w:bookmarkEnd w:id="444"/>
      <w:bookmarkEnd w:id="445"/>
      <w:bookmarkEnd w:id="446"/>
      <w:bookmarkEnd w:id="447"/>
      <w:bookmarkEnd w:id="448"/>
      <w:bookmarkEnd w:id="449"/>
    </w:p>
    <w:p w:rsidR="00C240A9" w:rsidRPr="004874DC" w:rsidRDefault="00C240A9" w:rsidP="00536308">
      <w:pPr>
        <w:keepNext/>
      </w:pPr>
    </w:p>
    <w:p w:rsidR="00635AD5" w:rsidRPr="004874DC" w:rsidRDefault="00FB217A" w:rsidP="00635AD5">
      <w:r w:rsidRPr="004874DC">
        <w:t xml:space="preserve">Smulkūs gamintojai nebūtinai yra energetikos specialistai, todėl jiems turi būti sudarytos galimybės gauti paramą ir gaires, o administracinės procedūros turi būti paprastos, skaidrios ir įvykdomos per priimtiną laikotarpį. Tirtose valstybėse narėse procedūros ir laikotarpis, per kurį suteikiamas leidimas nedideliems atsinaujinančių išteklių energijos įrenginiams, labai skyrėsi, ir šie skirtumai susiję su „piliečių energijos“ naudojimu. Pavyzdžiui, leidimas ant stogo montuojamai saulės baterijai Vokietijoje išduodamas greičiau nei per vieną darbo dieną ir paraišką galima pateikti internetu, o kitose šalyse, pavyzdžiui, Bulgarijoje, Lietuvoje, Lenkijoje ir Jungtinėje Karalystėje (Velse), suinteresuotieji subjektai kalbėjo apie sudėtingas procedūras, trunkančias ištisus mėnesius ar net metus. Smulkiesiems gamintojams gali būti brangu ir rizikinga įvykdyti sudėtingas, ilgai trunkančias leidimų išdavimo ir planavimo procedūras, ypač tais atvejais, kai per tą patį laikotarpį įvyksta svarbių reguliavimo sistemos ir supirkimo tarifų pasikeitimų. </w:t>
      </w:r>
    </w:p>
    <w:p w:rsidR="00EA4643" w:rsidRPr="004874DC" w:rsidRDefault="00EA4643" w:rsidP="00635AD5"/>
    <w:p w:rsidR="0084371C" w:rsidRPr="004874DC" w:rsidRDefault="00AB49FD" w:rsidP="000959F1">
      <w:pPr>
        <w:pStyle w:val="Heading2"/>
      </w:pPr>
      <w:bookmarkStart w:id="450" w:name="_Toc399146032"/>
      <w:bookmarkStart w:id="451" w:name="_Toc399257214"/>
      <w:bookmarkStart w:id="452" w:name="_Toc398538377"/>
      <w:bookmarkStart w:id="453" w:name="_Toc408506739"/>
      <w:bookmarkStart w:id="454" w:name="_Toc408580972"/>
      <w:bookmarkStart w:id="455" w:name="_Toc409515368"/>
      <w:r w:rsidRPr="004874DC">
        <w:t>Paramos schemų koregavimas pagal decentralizuotos piliečių atsinaujinančių išteklių energijos poreikius</w:t>
      </w:r>
      <w:bookmarkEnd w:id="450"/>
      <w:bookmarkEnd w:id="451"/>
      <w:bookmarkEnd w:id="452"/>
      <w:bookmarkEnd w:id="453"/>
      <w:bookmarkEnd w:id="454"/>
      <w:bookmarkEnd w:id="455"/>
    </w:p>
    <w:p w:rsidR="00EE578B" w:rsidRPr="004874DC" w:rsidRDefault="00EE578B" w:rsidP="00536308">
      <w:pPr>
        <w:keepNext/>
      </w:pPr>
    </w:p>
    <w:p w:rsidR="002A7A3D" w:rsidRPr="004874DC" w:rsidRDefault="002A7A3D" w:rsidP="002A7A3D">
      <w:pPr>
        <w:pStyle w:val="ListParagraph"/>
        <w:keepNext/>
        <w:keepLines/>
        <w:numPr>
          <w:ilvl w:val="0"/>
          <w:numId w:val="4"/>
        </w:numPr>
        <w:ind w:left="426" w:hanging="426"/>
        <w:rPr>
          <w:b/>
        </w:rPr>
      </w:pPr>
      <w:r w:rsidRPr="004874DC">
        <w:rPr>
          <w:b/>
        </w:rPr>
        <w:t>Pirmenybė perduoti į tinklą</w:t>
      </w:r>
    </w:p>
    <w:p w:rsidR="00884652" w:rsidRPr="004874DC" w:rsidRDefault="002A7A3D" w:rsidP="002A7A3D">
      <w:r w:rsidRPr="004874DC">
        <w:t xml:space="preserve">Energijai iš atsinaujinančių išteklių turėtų būti taikoma </w:t>
      </w:r>
      <w:r w:rsidRPr="004874DC">
        <w:rPr>
          <w:b/>
        </w:rPr>
        <w:t>pirmenybinio perdavimo</w:t>
      </w:r>
      <w:r w:rsidRPr="004874DC">
        <w:t xml:space="preserve"> į tinklą, palyginti su branduoline energija ir energija iš iškastinio kuro, tvarka, o tai reiškia, kad ji pirmiausia turėtų būti parduodama elektros perdavimo sistemos operatoriams. Vokietijoje šis prioritetas buvo įtvirtintas 2000 m. priimtame ir išlaikytas 2014 m. pakeistame Atsinaujinančių išteklių energijos įstatyme.</w:t>
      </w:r>
    </w:p>
    <w:p w:rsidR="00884652" w:rsidRPr="004874DC" w:rsidRDefault="00884652" w:rsidP="002A7A3D"/>
    <w:p w:rsidR="00EE578B" w:rsidRPr="004874DC" w:rsidRDefault="00EE578B" w:rsidP="00536308">
      <w:pPr>
        <w:pStyle w:val="ListParagraph2"/>
        <w:keepNext/>
        <w:contextualSpacing w:val="0"/>
        <w:jc w:val="both"/>
      </w:pPr>
      <w:r w:rsidRPr="004874DC">
        <w:t>Supirkimo tarifai</w:t>
      </w:r>
    </w:p>
    <w:p w:rsidR="00542AC8" w:rsidRPr="004874DC" w:rsidRDefault="00066D7F" w:rsidP="00625B30">
      <w:r w:rsidRPr="004874DC">
        <w:t>Labiausiai paplitęs paramos atsinaujinančių išteklių energijai mechanizmas yra supirkimo tarifai; tokiu atveju sudaroma ilgalaikė (10–</w:t>
      </w:r>
      <w:r w:rsidRPr="004874DC">
        <w:noBreakHyphen/>
        <w:t xml:space="preserve">25 metų) pirkimo sutartis, pagal kurią į tinklą tiekiama atsinaujinančių išteklių energija, kurią rinkoje parduoda tinklo operatorius. Gamintojas naudojasi nustatytu supirkimo tarifu ir jam netaikomas reikalavimas dėl tiesioginio pardavimo. </w:t>
      </w:r>
    </w:p>
    <w:p w:rsidR="00542AC8" w:rsidRPr="004874DC" w:rsidRDefault="00542AC8" w:rsidP="00625B30"/>
    <w:p w:rsidR="00625B30" w:rsidRPr="004874DC" w:rsidRDefault="00542AC8" w:rsidP="00625B30">
      <w:r w:rsidRPr="004874DC">
        <w:t xml:space="preserve">Supirkimo tarifas turėtų išlikti kaip pagrindinė paramos priemonė piliečių atsinaujinančių išteklių energijos projektams. Jie leidžia gamintojams paprastu ir patikimu būdu tiksliai apskaičiuoti savo </w:t>
      </w:r>
      <w:r w:rsidRPr="004874DC">
        <w:lastRenderedPageBreak/>
        <w:t xml:space="preserve">investicijas ir grąžą. Toks investicijų tikrumas, koks atsiranda dėl supirkimo tarifų, didina smulkių </w:t>
      </w:r>
      <w:proofErr w:type="spellStart"/>
      <w:r w:rsidRPr="004874DC">
        <w:t>vystytojų</w:t>
      </w:r>
      <w:proofErr w:type="spellEnd"/>
      <w:r w:rsidRPr="004874DC">
        <w:t xml:space="preserve"> galimybes gauti reikiamus kreditus. </w:t>
      </w:r>
    </w:p>
    <w:p w:rsidR="00E60212" w:rsidRPr="004874DC" w:rsidRDefault="00E60212" w:rsidP="00916FDB"/>
    <w:p w:rsidR="00184D21" w:rsidRPr="004874DC" w:rsidRDefault="00184D21" w:rsidP="00184D21">
      <w:pPr>
        <w:rPr>
          <w:szCs w:val="24"/>
        </w:rPr>
      </w:pPr>
      <w:r w:rsidRPr="004874DC">
        <w:t xml:space="preserve">Vokietijos </w:t>
      </w:r>
      <w:proofErr w:type="spellStart"/>
      <w:r w:rsidRPr="004874DC">
        <w:rPr>
          <w:i/>
        </w:rPr>
        <w:t>Energiewende</w:t>
      </w:r>
      <w:proofErr w:type="spellEnd"/>
      <w:r w:rsidRPr="004874DC">
        <w:t xml:space="preserve"> atveju, supirkimo tarifai buvo finansuojami taikant vadinamąjį „atsinaujinančių išteklių energijos mokestį“ (EEG), kurį sudaro skirtumas tarp elektros energijos kainos biržoje ir garantuoto supirkimo tarifo (kuris buvo 50 ¢/</w:t>
      </w:r>
      <w:proofErr w:type="spellStart"/>
      <w:r w:rsidRPr="004874DC">
        <w:t>kWh</w:t>
      </w:r>
      <w:proofErr w:type="spellEnd"/>
      <w:r w:rsidRPr="004874DC">
        <w:t xml:space="preserve"> už saulės energiją </w:t>
      </w:r>
      <w:proofErr w:type="spellStart"/>
      <w:r w:rsidRPr="004874DC">
        <w:rPr>
          <w:i/>
        </w:rPr>
        <w:t>Energiewende</w:t>
      </w:r>
      <w:proofErr w:type="spellEnd"/>
      <w:r w:rsidRPr="004874DC">
        <w:t xml:space="preserve"> pradžioje ir yra 12 ¢/</w:t>
      </w:r>
      <w:proofErr w:type="spellStart"/>
      <w:r w:rsidRPr="004874DC">
        <w:t>kWh</w:t>
      </w:r>
      <w:proofErr w:type="spellEnd"/>
      <w:r w:rsidRPr="004874DC">
        <w:t xml:space="preserve"> šiuo metu). Elektros energijos gamybos piko metu, biržos kaina mažėja, didindama EEG mokestį. Elektros energijos kainos mažėja ne tik dėl atsinaujinančių išteklių energijos perprodukcijos, bet ir dėl apyvartinių taršos leidimų prekybos sistemos </w:t>
      </w:r>
      <w:proofErr w:type="spellStart"/>
      <w:r w:rsidRPr="004874DC">
        <w:t>nefunkcionalumo</w:t>
      </w:r>
      <w:proofErr w:type="spellEnd"/>
      <w:r w:rsidRPr="004874DC">
        <w:t xml:space="preserve"> bei pigios elektros energijos, kurią gamina anglimis kūrenamos elektrinės (į tokią kainą nebūna įskaičiuotos visuomenei tenkančios išlaidos aplinkos apsaugai ir sveikatai); dėl nepakankamai išplėtotos elektros energijos rinkos ir tinklo valdymo bei kaupimo pajėgumų;</w:t>
      </w:r>
    </w:p>
    <w:p w:rsidR="00184D21" w:rsidRPr="004874DC" w:rsidRDefault="00184D21" w:rsidP="00184D21"/>
    <w:p w:rsidR="0073372C" w:rsidRPr="004874DC" w:rsidRDefault="00CC3484" w:rsidP="00916FDB">
      <w:r w:rsidRPr="004874DC">
        <w:t xml:space="preserve">Kadangi dėl technologinės plėtros labai sumažėjo vėjo ir fotovoltinės energijos sąnaudos, kai kurių ES valstybių narių vyriausybės nepakankamai greitai ėmėsi mažinti tarifus naujiems įrenginiams. Todėl nemažai šių naujų atsinaujinančių išteklių energijos įrenginių atžvilgiu buvo sudarytos ilgalaikės sutartys, numatančios supirkimo tarifus, gerokai viršijančius investuotas lėšas, todėl jų pelningumas buvo neproporcingai didelis. Iš tiesų, supirkimo tarifai gali būti lengvai ir nuolat koreguojami atsižvelgiant į mažėjančias investicines sąnaudas. Jie daugelyje šalių jau buvo sumažinti ir yra reguliariai atnaujinami. Tačiau energijos kainos, ir visai nepagrįstai –atsinaujinančių išteklių energijos ir supirkimo tarifų įvaizdis gali metų metus išlikti sugadintas dėl to, kad reguliavimo institucijos nesugebėjo laiku reaguoti. </w:t>
      </w:r>
    </w:p>
    <w:p w:rsidR="00C310A8" w:rsidRPr="004874DC" w:rsidRDefault="00C310A8" w:rsidP="00C310A8"/>
    <w:p w:rsidR="00C310A8" w:rsidRPr="004874DC" w:rsidRDefault="00C310A8" w:rsidP="00C310A8">
      <w:r w:rsidRPr="004874DC">
        <w:t>Siekiant spręsti tiekimo svyravimų ir jų didelio poveikio piko valandų elektros energijos kainoms problemą, supirkimo tarifų sistemą galėtų papildyti energijos valdymo mechanizmų sistema, skirta sušvelninti svyravimus, pvz., grynoji apskaita, pažangieji tikslai ir</w:t>
      </w:r>
      <w:r w:rsidR="00EC78D9">
        <w:t xml:space="preserve"> kaupimo pajėgumų vystymas (žr. </w:t>
      </w:r>
      <w:r w:rsidRPr="004874DC">
        <w:t>toliau).</w:t>
      </w:r>
    </w:p>
    <w:p w:rsidR="00C310A8" w:rsidRPr="004874DC" w:rsidRDefault="00C310A8" w:rsidP="00C310A8"/>
    <w:p w:rsidR="00C310A8" w:rsidRPr="004874DC" w:rsidRDefault="00C310A8" w:rsidP="00536308">
      <w:pPr>
        <w:pStyle w:val="ListParagraph2"/>
        <w:keepNext/>
        <w:contextualSpacing w:val="0"/>
        <w:jc w:val="both"/>
      </w:pPr>
      <w:r w:rsidRPr="004874DC">
        <w:t>Supirkimo priemokos</w:t>
      </w:r>
    </w:p>
    <w:p w:rsidR="00625B30" w:rsidRPr="004874DC" w:rsidRDefault="00625B30" w:rsidP="00CC49F4">
      <w:r w:rsidRPr="004874DC">
        <w:t xml:space="preserve">Naujausiose politikos reformose pastebimas didelis poslinkis link </w:t>
      </w:r>
      <w:r w:rsidRPr="004874DC">
        <w:rPr>
          <w:b/>
        </w:rPr>
        <w:t>supirkimo priemokų</w:t>
      </w:r>
      <w:r w:rsidR="00EC78D9">
        <w:t>, t. y. </w:t>
      </w:r>
      <w:r w:rsidRPr="004874DC">
        <w:t>atsinaujinančių išteklių energijos gamintojai (kai viršijama tam tikra įrengtoji galia) turės parduoti savo elektros energiją tiesiogiai energijos rinkoje ir gaus tam tikrą priemoką prie rinkos kainos. Pardavimo priemokų nustatymas sukėlė piliečių kontroliuojamos energijos gamintojų nerimą. Tiesioginė rinkodara uždeda naują didelę logistikos naštą smulkiems ir vidutiniams gamintojams, ir sumažina jų galimybes gauti finansavimą projektams, kadangi mažai tikėtina, kad skolintojas supirkimo priemoką laikys finansuotinu pajamų srautu.</w:t>
      </w:r>
    </w:p>
    <w:p w:rsidR="00AC3D3C" w:rsidRPr="004874DC" w:rsidRDefault="00AC3D3C" w:rsidP="00CC49F4"/>
    <w:p w:rsidR="002A7A3D" w:rsidRPr="004874DC" w:rsidRDefault="002A7A3D" w:rsidP="00536308">
      <w:pPr>
        <w:pStyle w:val="ListParagraph"/>
        <w:keepNext/>
        <w:numPr>
          <w:ilvl w:val="0"/>
          <w:numId w:val="4"/>
        </w:numPr>
        <w:ind w:left="426" w:hanging="426"/>
        <w:contextualSpacing w:val="0"/>
        <w:jc w:val="both"/>
        <w:rPr>
          <w:b/>
        </w:rPr>
      </w:pPr>
      <w:r w:rsidRPr="004874DC">
        <w:rPr>
          <w:b/>
        </w:rPr>
        <w:t>Grynosios energijos apskaita</w:t>
      </w:r>
    </w:p>
    <w:p w:rsidR="002A7A3D" w:rsidRPr="004874DC" w:rsidRDefault="002A7A3D" w:rsidP="002A7A3D">
      <w:r w:rsidRPr="004874DC">
        <w:t xml:space="preserve">Svarbi galimybė skatinti „piliečių energijos“ gamybą yra </w:t>
      </w:r>
      <w:r w:rsidRPr="004874DC">
        <w:rPr>
          <w:b/>
        </w:rPr>
        <w:t>grynosios energijos apskaita</w:t>
      </w:r>
      <w:r w:rsidRPr="004874DC">
        <w:t>, kuri leidžia prie tinklo prisijungusiems gamintojams naudoti savo pačių energiją, o perteklių parduoti tinklui.</w:t>
      </w:r>
      <w:r w:rsidRPr="004874DC">
        <w:noBreakHyphen/>
        <w:t xml:space="preserve"> Grynosios energijos apskaita galėtų sudaryti sąlygas gamintojams-vartotojams vėliau paimti iš tinklo būtent tokį elektros energijos kiekį, kokį jie į jį perdavė, padengiant tik elektros tinklų sąnaudas. Tokią apskaitą derinant su energijos valdymo priemonėmis viešasis tinklas galėtų būti paverstas tikra „virtualia saugykla“. 1998 m. Danija labai sėkmingai įgyvendino fotovoltinei energijai </w:t>
      </w:r>
      <w:r w:rsidRPr="004874DC">
        <w:lastRenderedPageBreak/>
        <w:t>skirtą sistemą. Lietuvos parlamentas, savo ruožtu, 2014 m. pradžioje pradėjo svarstyti savo pirmąjį pasiūlymą dėl teisėkūros procedūra priimamo akto.</w:t>
      </w:r>
    </w:p>
    <w:p w:rsidR="00625B30" w:rsidRPr="004874DC" w:rsidRDefault="00625B30" w:rsidP="00515B15"/>
    <w:p w:rsidR="00F64607" w:rsidRPr="004874DC" w:rsidRDefault="00F64607" w:rsidP="00536308">
      <w:pPr>
        <w:pStyle w:val="ListParagraph"/>
        <w:keepNext/>
        <w:numPr>
          <w:ilvl w:val="0"/>
          <w:numId w:val="4"/>
        </w:numPr>
        <w:ind w:left="426" w:hanging="426"/>
        <w:contextualSpacing w:val="0"/>
        <w:jc w:val="both"/>
        <w:rPr>
          <w:b/>
        </w:rPr>
      </w:pPr>
      <w:r w:rsidRPr="004874DC">
        <w:rPr>
          <w:b/>
        </w:rPr>
        <w:t>Kvotų sistemos</w:t>
      </w:r>
    </w:p>
    <w:p w:rsidR="00575116" w:rsidRPr="004874DC" w:rsidRDefault="00575116" w:rsidP="00575116">
      <w:r w:rsidRPr="004874DC">
        <w:t>Kitas bendras paramos mechanizmas yra atsinaujinančių išteklių energijos kvotos įsipareigojimo nustatymas. Šios sistemos yra įvairių įgyvendinimo lygmenų ir jų sėkmė skirtingose šalyse nevienoda. Pavyzdžiui, Lenkijoje energijos tiekėjai privalo rinkoje įsigyti ekologinius sertifikatus, net jei dauguma šių sertifikatų buvo gauti tradicinėse anglis deginančiose elektrinėse, kuriose taip pat deginama biomasė (dalis jos importuota iš Rusijos). Buvo manoma, kad pajamos, gautos iš ekologinių sertifikatų, bus panaudojamos atsinaujinančių išteklių energijos naudojimui paremti, tačiau EESRK tyrimo metu paaiškėjo, kad vietoj to, jie netiesiogiai atpigino anglis deginančių elektrinių gaminamą elektros energiją. Be to, platus biomasės naudojimas padėjo gerokai sumažinti ekologinių sertifikatų kainą Lenkijoje, taigi ir investicijų grąžą, pavyzdžiui, investicijų į vėjo energiją. Ekologinių sertifikatų priemonė tapo visiškai neveiksminga arba netgi destruktyvi. Šiuo požiūriu supirkimo tarifai yra labiau nuspėjama priemonė, kuri užtikrina geresnę grąžą gamintojams, visų pirma tais atvejais, kai taikomos brangios technologijos.</w:t>
      </w:r>
    </w:p>
    <w:p w:rsidR="00575116" w:rsidRPr="004874DC" w:rsidRDefault="00575116" w:rsidP="00916FDB"/>
    <w:p w:rsidR="00774C6E" w:rsidRPr="004874DC" w:rsidRDefault="00774C6E" w:rsidP="00536308">
      <w:pPr>
        <w:pStyle w:val="ListParagraph"/>
        <w:keepNext/>
        <w:numPr>
          <w:ilvl w:val="0"/>
          <w:numId w:val="4"/>
        </w:numPr>
        <w:ind w:left="426" w:hanging="426"/>
        <w:contextualSpacing w:val="0"/>
        <w:jc w:val="both"/>
        <w:rPr>
          <w:b/>
        </w:rPr>
      </w:pPr>
      <w:r w:rsidRPr="004874DC">
        <w:rPr>
          <w:b/>
        </w:rPr>
        <w:t>Parama investicijoms</w:t>
      </w:r>
    </w:p>
    <w:p w:rsidR="00575116" w:rsidRPr="004874DC" w:rsidRDefault="00774C6E" w:rsidP="00E530CF">
      <w:r w:rsidRPr="004874DC">
        <w:t>Taikant minėtus mechanizmus remiama gamyba, bet daugumai atsinaujinančių išteklių energijos rūšių reikalingi dideli kapitalo įdėjimai, todėl yra keletas priemonių, skirtų įveikti su investicijomis susijusias kliūtis.</w:t>
      </w:r>
      <w:r w:rsidRPr="004874DC">
        <w:noBreakHyphen/>
        <w:t xml:space="preserve"> Investuojantiems į nedidelio ir vidutinio pajėgumo įrenginius paprastai suteikiama galimybė pasirinkti supirkimo tarifą arba vienkartinę paramą investicijoms, kad būtų sumažintos pradinės sąnaudos. Šios schemos gali būti ypač svarbios regionuose, kurie gauna struktūrinių fondų paramą. Jos turi būti atidžiai koreguojamos ir valdomos taip, kad būtų išvengta pernelyg didelio pelno, neefektyvumo, dėl kurio bereikalingai padidėtų energijos kainos ir energijos rūšių deriniai nebebūtų optimalūs, arba galbūt paramos lėšos iš piliečių energijos patektų į rizikos draudimo fondus.</w:t>
      </w:r>
    </w:p>
    <w:p w:rsidR="007451F5" w:rsidRPr="004874DC" w:rsidRDefault="007451F5" w:rsidP="00E93BED">
      <w:pPr>
        <w:spacing w:before="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7451F5" w:rsidRPr="004874DC" w:rsidTr="00501C30">
        <w:tc>
          <w:tcPr>
            <w:tcW w:w="9287" w:type="dxa"/>
            <w:shd w:val="clear" w:color="auto" w:fill="C6D9F1"/>
          </w:tcPr>
          <w:p w:rsidR="007451F5" w:rsidRPr="004874DC" w:rsidRDefault="007451F5" w:rsidP="00501C30">
            <w:pPr>
              <w:spacing w:before="240"/>
              <w:rPr>
                <w:b/>
              </w:rPr>
            </w:pPr>
            <w:r w:rsidRPr="004874DC">
              <w:rPr>
                <w:b/>
              </w:rPr>
              <w:t xml:space="preserve">1 langas. Vokietijos perėjimo prie kitokio energijos vartojimo modelio </w:t>
            </w:r>
            <w:r w:rsidRPr="004874DC">
              <w:rPr>
                <w:b/>
                <w:i/>
              </w:rPr>
              <w:t>(</w:t>
            </w:r>
            <w:proofErr w:type="spellStart"/>
            <w:r w:rsidRPr="004874DC">
              <w:rPr>
                <w:b/>
                <w:i/>
              </w:rPr>
              <w:t>Energiewende</w:t>
            </w:r>
            <w:proofErr w:type="spellEnd"/>
            <w:r w:rsidRPr="004874DC">
              <w:rPr>
                <w:b/>
                <w:i/>
              </w:rPr>
              <w:t>)</w:t>
            </w:r>
            <w:r w:rsidRPr="004874DC">
              <w:rPr>
                <w:b/>
              </w:rPr>
              <w:t xml:space="preserve"> pavyzdys</w:t>
            </w:r>
          </w:p>
          <w:p w:rsidR="007451F5" w:rsidRPr="004874DC" w:rsidRDefault="007451F5" w:rsidP="007451F5">
            <w:r w:rsidRPr="004874DC">
              <w:t>Per pirmąjį 2014 m. pusmetį daugiau kaip 30 proc. Vokietijoje suvartotos elektros energijos buvo pagaminta iš atsinaujinančių išteklių. Didelis atsinaujinančių išteklių energijos augimas Vokietijoje iš esmės susijęs su Vokietijos atsinaujinančių energijos išteklių įstatymu, kuris įsigaliojo 2000 m. Įstatymu nebuvo aiškiai siekiama skatinti piliečių energiją, bet jame buvo nustatytos pagrindinės sąlygos, kurios leido pilietinei visuomenei tapti aktyvia atsinaujinančių išteklių energijos gamintoja. Įstatyme numatyta:</w:t>
            </w:r>
          </w:p>
          <w:p w:rsidR="007451F5" w:rsidRPr="004874DC" w:rsidRDefault="007451F5" w:rsidP="00640385">
            <w:pPr>
              <w:numPr>
                <w:ilvl w:val="0"/>
                <w:numId w:val="15"/>
              </w:numPr>
            </w:pPr>
            <w:r w:rsidRPr="004874DC">
              <w:t>paprastos investuotojams planavimo ir tvirtinimo procedūros (jokių administracinių kliūčių);</w:t>
            </w:r>
          </w:p>
          <w:p w:rsidR="007451F5" w:rsidRPr="004874DC" w:rsidRDefault="007451F5" w:rsidP="00640385">
            <w:pPr>
              <w:numPr>
                <w:ilvl w:val="0"/>
                <w:numId w:val="15"/>
              </w:numPr>
            </w:pPr>
            <w:r w:rsidRPr="004874DC">
              <w:t>lengva prieiga prie tinklo;</w:t>
            </w:r>
          </w:p>
          <w:p w:rsidR="007451F5" w:rsidRPr="004874DC" w:rsidRDefault="007451F5" w:rsidP="00640385">
            <w:pPr>
              <w:numPr>
                <w:ilvl w:val="0"/>
                <w:numId w:val="15"/>
              </w:numPr>
            </w:pPr>
            <w:r w:rsidRPr="004874DC">
              <w:t xml:space="preserve">pirmenybinė prieiga prie tinklo, skirto atsinaujinančių išteklių energijai skirstyti, palyginti su branduoline energija ir energija iš iškastinio kuro; </w:t>
            </w:r>
          </w:p>
          <w:p w:rsidR="007451F5" w:rsidRPr="004874DC" w:rsidRDefault="007451F5" w:rsidP="00640385">
            <w:pPr>
              <w:numPr>
                <w:ilvl w:val="0"/>
                <w:numId w:val="15"/>
              </w:numPr>
            </w:pPr>
            <w:r w:rsidRPr="004874DC">
              <w:t>20 metų nustatyti supirkimo tarifai;</w:t>
            </w:r>
          </w:p>
          <w:p w:rsidR="007451F5" w:rsidRPr="004874DC" w:rsidRDefault="007451F5" w:rsidP="00640385">
            <w:pPr>
              <w:numPr>
                <w:ilvl w:val="0"/>
                <w:numId w:val="15"/>
              </w:numPr>
            </w:pPr>
            <w:r w:rsidRPr="004874DC">
              <w:t>elektros energiją parduoda tinklo operatorius;</w:t>
            </w:r>
          </w:p>
          <w:p w:rsidR="007451F5" w:rsidRPr="004874DC" w:rsidRDefault="007451F5" w:rsidP="00640385">
            <w:pPr>
              <w:numPr>
                <w:ilvl w:val="0"/>
                <w:numId w:val="15"/>
              </w:numPr>
            </w:pPr>
            <w:r w:rsidRPr="004874DC">
              <w:t>parama investicijoms teikiant atsinaujinančių išteklių energijos įrenginiams lengvatinius kreditus iš valstybės Rekonstrukcijos kredito banko (</w:t>
            </w:r>
            <w:proofErr w:type="spellStart"/>
            <w:r w:rsidRPr="004874DC">
              <w:t>KfW</w:t>
            </w:r>
            <w:proofErr w:type="spellEnd"/>
            <w:r w:rsidRPr="004874DC">
              <w:t>);</w:t>
            </w:r>
          </w:p>
          <w:p w:rsidR="007451F5" w:rsidRDefault="007451F5" w:rsidP="00501C30">
            <w:pPr>
              <w:numPr>
                <w:ilvl w:val="0"/>
                <w:numId w:val="15"/>
              </w:numPr>
            </w:pPr>
            <w:r w:rsidRPr="004874DC">
              <w:t xml:space="preserve">padengti sąnaudas, susijusias su įstatymo įgyvendinimu, taikant atsinaujinančių išteklių </w:t>
            </w:r>
            <w:r w:rsidRPr="004874DC">
              <w:lastRenderedPageBreak/>
              <w:t xml:space="preserve">energijos mokestį elektros energijos kainoms. Visų pirma energijai imlios pramonės įmonės galėtų būti atleistos nuo šio mokesčio, kad nebūtų pakenkta jų tarptautiniam konkurencingumui. </w:t>
            </w:r>
          </w:p>
          <w:p w:rsidR="0006582A" w:rsidRPr="004874DC" w:rsidRDefault="0006582A" w:rsidP="0006582A"/>
        </w:tc>
      </w:tr>
    </w:tbl>
    <w:p w:rsidR="007451F5" w:rsidRPr="004874DC" w:rsidRDefault="007451F5" w:rsidP="004229FE"/>
    <w:p w:rsidR="004229FE" w:rsidRPr="004874DC" w:rsidRDefault="004229FE" w:rsidP="004229FE">
      <w:r w:rsidRPr="004874DC">
        <w:t>Paaiškėjo, kad EESRK aplankytose šalyse su tarifais, kvotomis, subsidijomis ir dotacijomis susijusi padėtis yra labai sudėtinga. Tokį sudėtingumą galima iš dalies pateisinti tuo, kad reikia diferencijuoti paramos schemas, tačiau tokia diferenciacija turi būti minimali:</w:t>
      </w:r>
    </w:p>
    <w:p w:rsidR="00E64F83" w:rsidRPr="004874DC" w:rsidRDefault="00E64F83" w:rsidP="004229FE"/>
    <w:p w:rsidR="004229FE" w:rsidRPr="004874DC" w:rsidRDefault="004229FE" w:rsidP="00640385">
      <w:pPr>
        <w:numPr>
          <w:ilvl w:val="0"/>
          <w:numId w:val="8"/>
        </w:numPr>
      </w:pPr>
      <w:r w:rsidRPr="004874DC">
        <w:t>diferencijuojant pagal kuro rūšis arba technologijas skatinamos įvairiai kainuojančios technologijos, negalinčios tiesiogiai konkuruoti tarpusavyje, dėl to jos sparčiau įsisavinamos. Tokia diferenciacija taip pat gali padėti atsižvelgti į sąnaudų struktūros specifiką;</w:t>
      </w:r>
    </w:p>
    <w:p w:rsidR="004229FE" w:rsidRPr="004874DC" w:rsidRDefault="004229FE" w:rsidP="00640385">
      <w:pPr>
        <w:numPr>
          <w:ilvl w:val="0"/>
          <w:numId w:val="8"/>
        </w:numPr>
      </w:pPr>
      <w:r w:rsidRPr="004874DC">
        <w:t>diferenciacija pagal galios klasę padeda išvengti pernelyg didelio pelno, gaunamo dėl masto ekonomijos, ir taip pat gali būti taikoma skatinant „piliečių energijos“ gamybą, kuri paprastai susijusi su mažos galios pajėgumais;</w:t>
      </w:r>
    </w:p>
    <w:p w:rsidR="004229FE" w:rsidRPr="004874DC" w:rsidRDefault="004229FE" w:rsidP="00640385">
      <w:pPr>
        <w:numPr>
          <w:ilvl w:val="0"/>
          <w:numId w:val="8"/>
        </w:numPr>
      </w:pPr>
      <w:r w:rsidRPr="004874DC">
        <w:t xml:space="preserve">diferenciacija pagal energijos nešėjus (pvz., elektros palyginti su šilumos) leidžia pasiekti konkrečius kiekvienos srities tikslus. Kitaip nei elektros energijos sektoriuje, kuriame supirkimo tarifai paprastai taikomi daugiau nei 10 metų, šilumos iš atsinaujinančių išteklių gamyba daugiausia skatinama paskolomis ir dotacijomis, kurios padeda padengti investicines sąnaudas. Šiuo požiūriu geras pavyzdys yra Prancūzijos </w:t>
      </w:r>
      <w:proofErr w:type="spellStart"/>
      <w:r w:rsidRPr="004874DC">
        <w:rPr>
          <w:i/>
        </w:rPr>
        <w:t>fonds</w:t>
      </w:r>
      <w:proofErr w:type="spellEnd"/>
      <w:r w:rsidRPr="004874DC">
        <w:rPr>
          <w:i/>
        </w:rPr>
        <w:t xml:space="preserve"> </w:t>
      </w:r>
      <w:proofErr w:type="spellStart"/>
      <w:r w:rsidRPr="004874DC">
        <w:rPr>
          <w:i/>
        </w:rPr>
        <w:t>chaleur</w:t>
      </w:r>
      <w:proofErr w:type="spellEnd"/>
      <w:r w:rsidRPr="004874DC">
        <w:t xml:space="preserve"> (šilumos fondai). Nuo 2015 m. Lietuvoje įsigalios įpareigojimai dėl visų naujų pastatų ir pastatų, kurie turi būti iš esmės renovuojami, šildymui ir vėsinimui naudojamos energijos iš atsinaujinančių išteklių dalies.</w:t>
      </w:r>
    </w:p>
    <w:p w:rsidR="00AC3D3C" w:rsidRPr="004874DC" w:rsidRDefault="00AC3D3C" w:rsidP="00774C6E"/>
    <w:p w:rsidR="00B325EE" w:rsidRPr="004874DC" w:rsidRDefault="00B325EE" w:rsidP="000959F1">
      <w:pPr>
        <w:pStyle w:val="Heading2"/>
      </w:pPr>
      <w:bookmarkStart w:id="456" w:name="_Toc408506740"/>
      <w:bookmarkStart w:id="457" w:name="_Toc408580973"/>
      <w:bookmarkStart w:id="458" w:name="_Toc409515369"/>
      <w:r w:rsidRPr="004874DC">
        <w:t>Piliečių atsinaujinančių išteklių energijai kylančių kliūčių šalinimas</w:t>
      </w:r>
      <w:bookmarkEnd w:id="456"/>
      <w:bookmarkEnd w:id="457"/>
      <w:bookmarkEnd w:id="458"/>
    </w:p>
    <w:p w:rsidR="00F64607" w:rsidRPr="004874DC" w:rsidRDefault="00F64607" w:rsidP="00536308">
      <w:pPr>
        <w:keepNext/>
      </w:pPr>
    </w:p>
    <w:p w:rsidR="003E58DA" w:rsidRPr="004874DC" w:rsidRDefault="003E58DA" w:rsidP="00536308">
      <w:pPr>
        <w:pStyle w:val="ListParagraph"/>
        <w:keepNext/>
        <w:numPr>
          <w:ilvl w:val="0"/>
          <w:numId w:val="4"/>
        </w:numPr>
        <w:ind w:left="426" w:hanging="426"/>
        <w:rPr>
          <w:b/>
        </w:rPr>
      </w:pPr>
      <w:r w:rsidRPr="004874DC">
        <w:rPr>
          <w:b/>
        </w:rPr>
        <w:t>Atsargus požiūris į konkursus</w:t>
      </w:r>
    </w:p>
    <w:p w:rsidR="0093128F" w:rsidRPr="004874DC" w:rsidRDefault="0093128F" w:rsidP="0093128F">
      <w:r w:rsidRPr="004874DC">
        <w:t xml:space="preserve">Pertvarkius atsinaujinančių išteklių energijos paramos schemas, kelete tirtų šalių buvo įvesti konkursai, kaip pagrindinė supirkimo tarifų arba priemokų už atsinaujinančių išteklių energiją skyrimo tvarka. Tik labai maži gamybos pajėgumai bus atleidžiami nuo </w:t>
      </w:r>
      <w:proofErr w:type="spellStart"/>
      <w:r w:rsidRPr="004874DC">
        <w:t>aukcionavimo</w:t>
      </w:r>
      <w:proofErr w:type="spellEnd"/>
      <w:r w:rsidRPr="004874DC">
        <w:t xml:space="preserve"> ateityje. Šią tendenciją bent iš dalies lemia EB valstybės pagalbos energetikos ir aplinkos apsaugos srityje gairės. </w:t>
      </w:r>
    </w:p>
    <w:p w:rsidR="0093128F" w:rsidRPr="004874DC" w:rsidRDefault="0093128F" w:rsidP="0093128F"/>
    <w:p w:rsidR="0093128F" w:rsidRPr="004874DC" w:rsidRDefault="0093128F" w:rsidP="00515B15">
      <w:r w:rsidRPr="004874DC">
        <w:t>Visų aplankytų šalių suinteresuotieji subjektai išreiškė susirūpinimą dėl sudėtingų ir brangių konkurso procedūrų, kurios taip pat padidintų finansavimo sąnaudas, ir dėl išaugusios investavimo rizikos (nes neaišku, ar bus teikiama parama) sumažintų galimybes gauti paskolas. Dėl šios neproporcingos finansinės naštos nedidelio masto projektams, taip pat dėl to, kad smulkieji gamintojai vargiai galėtų tiekti konkursuose paprastai reikalaujamus kiekius, pilietinei visuomenei ir vietos bendruomenėms būtų užkirstas kelias pasinaudoti atsinaujinančių išteklių energijai teikiama parama. Be to, tokia našta galėtų sunaikinti konkurenciją energijos rinkose, nes tik keletas stambių gamintojų galėtų dalyvauti konkursuose.</w:t>
      </w:r>
    </w:p>
    <w:p w:rsidR="0093128F" w:rsidRPr="004874DC" w:rsidRDefault="0093128F" w:rsidP="0093128F"/>
    <w:p w:rsidR="007D4CFA" w:rsidRPr="004874DC" w:rsidRDefault="0093128F" w:rsidP="0093128F">
      <w:r w:rsidRPr="004874DC">
        <w:t xml:space="preserve">Konkursai rengiami stambiems gamintojams ir taip remiama </w:t>
      </w:r>
      <w:proofErr w:type="spellStart"/>
      <w:r w:rsidRPr="004874DC">
        <w:t>recentralizacija</w:t>
      </w:r>
      <w:proofErr w:type="spellEnd"/>
      <w:r w:rsidRPr="004874DC">
        <w:t xml:space="preserve">, atimant iš privačių asmenų ir bendruomenių galimybę gaminti atsinaujinančių išteklių energiją. Suteikiant stambiems centralizuotiems gamintojams pranašumą, galėtų padidėti vartotojų kainos dėl stambių įmonių didesnės nei piliečių energijos gamintojų laukiamos pelno maržos. Be to, konkursai neveiksmingi, kol nėra energijos rinkos. Patirtis, kuria buvo pasidalyta kai kuriose aplankytose šalyse (ypač Jungtinėje </w:t>
      </w:r>
      <w:r w:rsidRPr="004874DC">
        <w:lastRenderedPageBreak/>
        <w:t>Karalystėje), rodo, kad dėl konkursų faktiškai išauga bendros sąnaudos ir dėl to gali būti atidedami bei panaikinami projektai. Konkursas buvo pirmoji atsinaujinančių išteklių energijos paramos sistema Jungtinėje Karalystėje – ši sistema buvo pakeista kvotų sistema, kurią vėliau pakeitė supirkimo tarifai projektams iki 5 MW.</w:t>
      </w:r>
    </w:p>
    <w:p w:rsidR="00AB3E75" w:rsidRPr="004874DC" w:rsidRDefault="00AB3E75" w:rsidP="0093128F">
      <w:pPr>
        <w:rPr>
          <w:highlight w:val="yellow"/>
        </w:rPr>
      </w:pPr>
    </w:p>
    <w:p w:rsidR="003F63ED" w:rsidRPr="004874DC" w:rsidRDefault="00971042" w:rsidP="00536308">
      <w:pPr>
        <w:pStyle w:val="ListParagraph2"/>
        <w:keepNext/>
      </w:pPr>
      <w:r w:rsidRPr="004874DC">
        <w:t>Ne pernelyg griežtas atsinaujinančių išteklių energijos planinių rodiklių viršutinių ribų nustatymas</w:t>
      </w:r>
    </w:p>
    <w:p w:rsidR="00575116" w:rsidRPr="004874DC" w:rsidRDefault="00575116" w:rsidP="00575116">
      <w:r w:rsidRPr="004874DC">
        <w:t>Nemažai ES valstybių narių įdiegė mechanizmus atsinaujinančių išteklių energijos plėtrai sulėtinti, kuriuos taikant, kai tik pasiekiami tam tikram laikotarpiui nustatyti planiniai rodikliai, sumažinama arba nutraukiama parama. Iš tyrimo metu aplankytų valstybių narių ypač išsiskyrė Bulgarija: 2013 m. vyriausybė paskelbė, jog nacionalinis tikslas, pagal kurį iki 2020 m. atsinaujinančių išteklių energijos dalis turi sudaryti 16 proc. visų energijos sąnaudų, jau buvo pasiektas; nuo to laiko tinklo operatoriai naudojosi tuo kaip argumentu neleisti naujiems atsinaujinančių išteklių elektros energijos gamintojams jungtis prie tinklo. Lietuva apribojo valstybės paramą atsinaujinančių išteklių elektros energijos gamybai, nustatydama visai nedidelius tikslus kiekvienai svarbiai atsinaujinančių išteklių energijos gamybos technologijai. Nustatytas gamybos pajėgumų (išskyrus hidroenergiją) lygis buvo pasiekt</w:t>
      </w:r>
      <w:r w:rsidR="00CA6D29">
        <w:t>as mažiau nei per dvejus metus.</w:t>
      </w:r>
    </w:p>
    <w:p w:rsidR="00971042" w:rsidRPr="004874DC" w:rsidRDefault="00971042" w:rsidP="00575116"/>
    <w:p w:rsidR="00971042" w:rsidRPr="004874DC" w:rsidRDefault="00971042" w:rsidP="00575116">
      <w:r w:rsidRPr="004874DC">
        <w:t xml:space="preserve">Pagrįstas tokio apribojimo argumentas yra būtinybė užtikrinti didesnį atsinaujinančių išteklių energijos sektoriaus augimo </w:t>
      </w:r>
      <w:proofErr w:type="spellStart"/>
      <w:r w:rsidRPr="004874DC">
        <w:t>nuspėjamumą</w:t>
      </w:r>
      <w:proofErr w:type="spellEnd"/>
      <w:r w:rsidRPr="004874DC">
        <w:t xml:space="preserve"> ir valdyti su tuo susijusias visas socialines ir ekonomines sąnaudas. Vis dėlto labai svarbu, kad toks apribojimas nesužlugdytų valstybių narių užmojo pereiti prie kitokio energijos vartojimo modelio arba neužkirstų kelio pažangai, kurios galėtų ir turėtų būti siekiama.</w:t>
      </w:r>
    </w:p>
    <w:p w:rsidR="00A207FE" w:rsidRPr="004874DC" w:rsidRDefault="00A207FE" w:rsidP="00575116"/>
    <w:bookmarkEnd w:id="429"/>
    <w:bookmarkEnd w:id="430"/>
    <w:p w:rsidR="00287CAD" w:rsidRPr="004874DC" w:rsidRDefault="00971042" w:rsidP="00536308">
      <w:pPr>
        <w:pStyle w:val="ListParagraph2"/>
        <w:keepNext/>
      </w:pPr>
      <w:r w:rsidRPr="004874DC">
        <w:t>Prisijungimo prie tinklo kliūčių šalinimas</w:t>
      </w:r>
    </w:p>
    <w:p w:rsidR="005C65C6" w:rsidRPr="004874DC" w:rsidRDefault="00E2240E" w:rsidP="00544061">
      <w:r w:rsidRPr="004874DC">
        <w:t xml:space="preserve">Mažos galios pajėgumai, kurie paprastai būdingi piliečių energijai, paprastai būna prijungti prie skirstomųjų tinklų. Daugelyje tirtų šalių prisijungimas prie tinklo dėl administracinių procedūrų, laukimo laikotarpio ar sąnaudų išlieka problemiškas. Nors pagal Atsinaujinančių išteklių energijos direktyvą turi būti užtikrinta galimybė atsinaujinančių išteklių energijos įrenginiui prisijungti prie tinklo, neretai didelės kai kurių operatorių nustatomos kainos užkerta kelią veiksmingai naudotis šia teise. Prisijungimo vietų naujam įrenginiui skaičius dažnai būna ribotas, todėl piliečių energijos gamintojai gali ir neturėti galimybės prisijungti už prieinamą kainą. Nepriklausomi </w:t>
      </w:r>
      <w:proofErr w:type="spellStart"/>
      <w:r w:rsidRPr="004874DC">
        <w:t>mikrotinklai</w:t>
      </w:r>
      <w:proofErr w:type="spellEnd"/>
      <w:r w:rsidRPr="004874DC">
        <w:t xml:space="preserve"> gali padėti išspręsti šią problemą, o žvelgiant iš ekonominės perspektyvos, jie netgi gali būti tinkamas sprendimas itin atokiose vietovėse, kuriose tinklas nepakankamai išplėtotas arba jo išvis nėra. Vokietijos Atsinaujinančių išteklių energijos įstatyme (EEG) nustatyta puiki jungimosi prie tinklo tvarka</w:t>
      </w:r>
      <w:r w:rsidRPr="004874DC">
        <w:rPr>
          <w:rStyle w:val="FootnoteReference"/>
        </w:rPr>
        <w:footnoteReference w:id="20"/>
      </w:r>
      <w:r w:rsidRPr="004874DC">
        <w:t>.</w:t>
      </w:r>
    </w:p>
    <w:p w:rsidR="00CC49F4" w:rsidRPr="004874DC" w:rsidRDefault="00CC49F4" w:rsidP="00916FDB"/>
    <w:p w:rsidR="00884652" w:rsidRPr="004874DC" w:rsidRDefault="00884652" w:rsidP="00C240A9">
      <w:pPr>
        <w:pStyle w:val="ListParagraph2"/>
        <w:keepNext/>
      </w:pPr>
      <w:r w:rsidRPr="004874DC">
        <w:t>Atleidimas nuo tiesioginės rinkodaros</w:t>
      </w:r>
    </w:p>
    <w:p w:rsidR="00884652" w:rsidRPr="004874DC" w:rsidRDefault="00884652" w:rsidP="00536308">
      <w:r w:rsidRPr="004874DC">
        <w:t>Tiesioginė rinkodara uždeda naują didelę logistikos naštą piliečių energijos gamintojams, ir sumažina jų galimybes gauti finansavimą projektams, kadangi mažai tikėtina, kad skolintojas supirkimo priemoką laikys finansuotinu pajamų srautu.</w:t>
      </w:r>
    </w:p>
    <w:p w:rsidR="00884652" w:rsidRPr="004874DC" w:rsidRDefault="00884652" w:rsidP="00916FDB"/>
    <w:p w:rsidR="00A314D3" w:rsidRPr="004874DC" w:rsidRDefault="00A314D3" w:rsidP="000959F1">
      <w:pPr>
        <w:pStyle w:val="Heading2"/>
      </w:pPr>
      <w:bookmarkStart w:id="459" w:name="_Toc408506741"/>
      <w:bookmarkStart w:id="460" w:name="_Toc408580974"/>
      <w:bookmarkStart w:id="461" w:name="_Toc409515370"/>
      <w:r w:rsidRPr="004874DC">
        <w:t>Tinklo plėtra ir koordinavimas siekiant prisitaikyti prie atsinaujinančių išteklių energijos gamybos poreikių</w:t>
      </w:r>
      <w:bookmarkEnd w:id="459"/>
      <w:bookmarkEnd w:id="460"/>
      <w:bookmarkEnd w:id="461"/>
      <w:r w:rsidRPr="004874DC">
        <w:t xml:space="preserve"> </w:t>
      </w:r>
    </w:p>
    <w:p w:rsidR="00C240A9" w:rsidRPr="004874DC" w:rsidRDefault="00C240A9" w:rsidP="00C240A9">
      <w:pPr>
        <w:keepNext/>
      </w:pPr>
    </w:p>
    <w:p w:rsidR="00FC49E7" w:rsidRPr="004874DC" w:rsidRDefault="006F1FA7" w:rsidP="00FC49E7">
      <w:r w:rsidRPr="004874DC">
        <w:t>Esamos energijos tinklų sistemos buvo suprojektuotos tada, kai vyravo centralizuota energijos gamyba ir vienakrypčiai srautai iš didelės galios aukštos įtampos elektros energijos generatorių vartotojams, kuriems aukšta įtampa buvo transformuojama į mažesnę. Tinklai turi būti pritaikyti prie tokių išsibarsčiusių ir kintančių atsinaujinančių išteklių energijos, pavyzdžiui, vėjo, saulės ir bangų, ypatumų. Jiems įdiegti reikia infrastruktūros struktūrinių pokyčių, taip pat geresnio elektros rinkų ir energijos gamybos infrastruktūros koordinavimo bei energijos valdymo sprendimų eksportuoti arba kaupti perteklinę elektros energiją. P</w:t>
      </w:r>
      <w:r w:rsidRPr="004874DC">
        <w:rPr>
          <w:b/>
        </w:rPr>
        <w:t>erdavimo sistemų operatorių</w:t>
      </w:r>
      <w:r w:rsidRPr="004874DC">
        <w:t xml:space="preserve"> (PSO) veiklos </w:t>
      </w:r>
      <w:r w:rsidRPr="004874DC">
        <w:rPr>
          <w:b/>
        </w:rPr>
        <w:t>koordinavimas</w:t>
      </w:r>
      <w:r w:rsidRPr="004874DC">
        <w:t xml:space="preserve"> pasinaudojant regioninio koordinavimo iniciatyvomis tampa vis svarbesnis. Pavyzdžiui, prognozuojant energijos poreikius, CORESO gali iš anksto informuoti PSO iš penkių valstybių narių apie numatomą elektros energijos perteklių ir deficitą nacionaliniu ir regionų lygmenimis, kad jos galėtų geriau valdyti savo tinklus ir spręsti visas problemas. </w:t>
      </w:r>
      <w:r w:rsidRPr="004874DC">
        <w:rPr>
          <w:b/>
        </w:rPr>
        <w:t>Hibridinių sistemų</w:t>
      </w:r>
      <w:r w:rsidRPr="004874DC">
        <w:t xml:space="preserve">, kurios sujungtų įvairius energijos šaltinius bei kaupimo ir paklausos valdymo priemones, diegimas – vienas iš būdų užtikrinti atsinaujinančių išteklių energijos nenutrūkstamą tiekimą. Tinkamai valdant būtų galima sukurti </w:t>
      </w:r>
      <w:r w:rsidRPr="004874DC">
        <w:rPr>
          <w:b/>
        </w:rPr>
        <w:t>„pažangųjį tinklą“</w:t>
      </w:r>
      <w:r w:rsidRPr="004874DC">
        <w:t>, kuriuo būtų tvariai, ekonomiškai ir patikimai tiekiama elektros energija. EESRK delegacija susipažino su puikiu tokios iniciatyvos pavyzdžiu: „</w:t>
      </w:r>
      <w:proofErr w:type="spellStart"/>
      <w:r w:rsidRPr="004874DC">
        <w:t>Nice</w:t>
      </w:r>
      <w:proofErr w:type="spellEnd"/>
      <w:r w:rsidRPr="004874DC">
        <w:t xml:space="preserve"> </w:t>
      </w:r>
      <w:proofErr w:type="spellStart"/>
      <w:r w:rsidRPr="004874DC">
        <w:t>Grid</w:t>
      </w:r>
      <w:proofErr w:type="spellEnd"/>
      <w:r w:rsidRPr="004874DC">
        <w:t>“ Prancūzijoje siekiama 1 500 gyvenamųjų namų, taip pat profesinio ir pramonės sektorių klientams užtikrinti optimizuotą energijos valdymą ir didesnę energinę autonomiją, integruojant kaupimo ir paklausos valdymo sprendimus ir iki 17 proc. sumažinant piko apkrovą.</w:t>
      </w:r>
    </w:p>
    <w:p w:rsidR="00A678D3" w:rsidRPr="004874DC" w:rsidRDefault="00A678D3" w:rsidP="00FC49E7"/>
    <w:p w:rsidR="00340BF4" w:rsidRPr="004874DC" w:rsidRDefault="009C3480" w:rsidP="00100A74">
      <w:pPr>
        <w:keepNext/>
      </w:pPr>
      <w:r>
        <w:rPr>
          <w:noProof/>
          <w:lang w:val="fr-BE" w:eastAsia="fr-BE" w:bidi="ar-SA"/>
        </w:rPr>
        <w:drawing>
          <wp:inline distT="0" distB="0" distL="0" distR="0">
            <wp:extent cx="4858385" cy="2886075"/>
            <wp:effectExtent l="0" t="0" r="0" b="9525"/>
            <wp:docPr id="9" name="Picture 29" descr="schema demonstrateur Nicegrid car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chema demonstrateur Nicegrid carros"/>
                    <pic:cNvPicPr>
                      <a:picLocks noChangeAspect="1" noChangeArrowheads="1"/>
                    </pic:cNvPicPr>
                  </pic:nvPicPr>
                  <pic:blipFill>
                    <a:blip r:embed="rId22">
                      <a:extLst>
                        <a:ext uri="{28A0092B-C50C-407E-A947-70E740481C1C}">
                          <a14:useLocalDpi xmlns:a14="http://schemas.microsoft.com/office/drawing/2010/main" val="0"/>
                        </a:ext>
                      </a:extLst>
                    </a:blip>
                    <a:srcRect t="30383" b="10184"/>
                    <a:stretch>
                      <a:fillRect/>
                    </a:stretch>
                  </pic:blipFill>
                  <pic:spPr bwMode="auto">
                    <a:xfrm>
                      <a:off x="0" y="0"/>
                      <a:ext cx="4858385" cy="2886075"/>
                    </a:xfrm>
                    <a:prstGeom prst="rect">
                      <a:avLst/>
                    </a:prstGeom>
                    <a:noFill/>
                    <a:ln>
                      <a:noFill/>
                    </a:ln>
                  </pic:spPr>
                </pic:pic>
              </a:graphicData>
            </a:graphic>
          </wp:inline>
        </w:drawing>
      </w:r>
    </w:p>
    <w:p w:rsidR="00C079CF" w:rsidRPr="004874DC" w:rsidRDefault="004569F3" w:rsidP="009C36C3">
      <w:pPr>
        <w:pStyle w:val="Caption"/>
        <w:jc w:val="both"/>
      </w:pPr>
      <w:r w:rsidRPr="004874DC">
        <w:fldChar w:fldCharType="begin" w:fldLock="1"/>
      </w:r>
      <w:r w:rsidRPr="004874DC">
        <w:instrText xml:space="preserve"> SEQ Figure \* ARABIC </w:instrText>
      </w:r>
      <w:r w:rsidRPr="004874DC">
        <w:fldChar w:fldCharType="separate"/>
      </w:r>
      <w:r w:rsidR="009753A1" w:rsidRPr="004874DC">
        <w:t>7</w:t>
      </w:r>
      <w:r w:rsidRPr="004874DC">
        <w:fldChar w:fldCharType="end"/>
      </w:r>
      <w:r w:rsidR="003C4168" w:rsidRPr="004874DC">
        <w:t xml:space="preserve"> pav</w:t>
      </w:r>
      <w:r w:rsidRPr="004874DC">
        <w:t>. „</w:t>
      </w:r>
      <w:proofErr w:type="spellStart"/>
      <w:r w:rsidRPr="004874DC">
        <w:t>Nice</w:t>
      </w:r>
      <w:proofErr w:type="spellEnd"/>
      <w:r w:rsidRPr="004874DC">
        <w:t xml:space="preserve"> </w:t>
      </w:r>
      <w:proofErr w:type="spellStart"/>
      <w:r w:rsidRPr="004874DC">
        <w:t>Grid</w:t>
      </w:r>
      <w:proofErr w:type="spellEnd"/>
      <w:r w:rsidRPr="004874DC">
        <w:t>“ struktūra.</w:t>
      </w:r>
    </w:p>
    <w:p w:rsidR="00C079CF" w:rsidRPr="004874DC" w:rsidRDefault="00C079CF" w:rsidP="00933999">
      <w:pPr>
        <w:rPr>
          <w:sz w:val="18"/>
        </w:rPr>
      </w:pPr>
      <w:r w:rsidRPr="004874DC">
        <w:rPr>
          <w:sz w:val="18"/>
        </w:rPr>
        <w:t>Šaltinis: „</w:t>
      </w:r>
      <w:proofErr w:type="spellStart"/>
      <w:r w:rsidRPr="004874DC">
        <w:rPr>
          <w:sz w:val="18"/>
        </w:rPr>
        <w:t>Nice</w:t>
      </w:r>
      <w:proofErr w:type="spellEnd"/>
      <w:r w:rsidRPr="004874DC">
        <w:rPr>
          <w:sz w:val="18"/>
        </w:rPr>
        <w:t xml:space="preserve"> </w:t>
      </w:r>
      <w:proofErr w:type="spellStart"/>
      <w:r w:rsidRPr="004874DC">
        <w:rPr>
          <w:sz w:val="18"/>
        </w:rPr>
        <w:t>Grid</w:t>
      </w:r>
      <w:proofErr w:type="spellEnd"/>
      <w:r w:rsidRPr="004874DC">
        <w:rPr>
          <w:sz w:val="18"/>
        </w:rPr>
        <w:t>“ (2014 m.)</w:t>
      </w:r>
    </w:p>
    <w:p w:rsidR="00635AD5" w:rsidRPr="004874DC" w:rsidRDefault="00635AD5" w:rsidP="00933999">
      <w:pPr>
        <w:rPr>
          <w:sz w:val="18"/>
        </w:rPr>
      </w:pPr>
    </w:p>
    <w:p w:rsidR="00862651" w:rsidRPr="004874DC" w:rsidRDefault="00862651" w:rsidP="00862651">
      <w:r w:rsidRPr="004874DC">
        <w:t xml:space="preserve">Apsilankymo Vokietijoje metu tyrimo grupė sužinojo apie tokį Vokietijos federacinės tinklo agentūros pareiškimą dėl decentralizuotos gamybos struktūrų: „Akivaizdu, kad sėkmingiausiai pertvarkyti energetikos sistemą galima glaudžiai bendradarbiaujant visiems dalyviams. [...] Turėtume palankiai </w:t>
      </w:r>
      <w:r w:rsidRPr="004874DC">
        <w:lastRenderedPageBreak/>
        <w:t>vertinti metodus, skirtus kuo labiau padidinti energijos suvartojimą prie šaltinio. Tai visuomet buvo energijos tiekimo principas, nes jis leidžia iki minimumo sumažinti tinklo nuostolius.“</w:t>
      </w:r>
      <w:r w:rsidRPr="004874DC">
        <w:rPr>
          <w:rStyle w:val="FootnoteReference"/>
        </w:rPr>
        <w:footnoteReference w:id="21"/>
      </w:r>
    </w:p>
    <w:p w:rsidR="00491ED9" w:rsidRPr="004874DC" w:rsidRDefault="00491ED9" w:rsidP="00491ED9">
      <w:pPr>
        <w:keepNext/>
      </w:pPr>
      <w:bookmarkStart w:id="462" w:name="_Toc408506742"/>
      <w:bookmarkStart w:id="463" w:name="_Toc408580975"/>
    </w:p>
    <w:p w:rsidR="001373A9" w:rsidRPr="004874DC" w:rsidRDefault="0067287D" w:rsidP="000959F1">
      <w:pPr>
        <w:pStyle w:val="Heading2"/>
      </w:pPr>
      <w:bookmarkStart w:id="464" w:name="_Toc409515371"/>
      <w:r w:rsidRPr="004874DC">
        <w:t>Energijos valdymas ir kaupimas</w:t>
      </w:r>
      <w:bookmarkEnd w:id="462"/>
      <w:bookmarkEnd w:id="463"/>
      <w:bookmarkEnd w:id="464"/>
    </w:p>
    <w:p w:rsidR="00C240A9" w:rsidRPr="004874DC" w:rsidRDefault="00C240A9" w:rsidP="00C240A9">
      <w:pPr>
        <w:keepNext/>
      </w:pPr>
    </w:p>
    <w:p w:rsidR="0060380C" w:rsidRPr="004874DC" w:rsidRDefault="0067287D" w:rsidP="0060380C">
      <w:r w:rsidRPr="004874DC">
        <w:t>Pagrindinė tiekimo valdymo problema tebėra kai kurių atsinaujinančių išteklių energijos nepastovumas. Vis dėlto, plačiai naudojant atsinaujinančių išteklių energiją, pirmiausia įgyvendinami nauji ir novatoriški sprendimai. Elektros energijos ir šilumos gamybos iš atsinaujinančių išteklių derinys galėtų būti puiki galimybė įgyti skubiai reikalingų kaupimo pajėgumų ištekliams, kurie galėtų būti pakartotinai naudojami atsižvelgiant į svyravimus atsinaujinančių išteklių energijos gamybos srityje.</w:t>
      </w:r>
      <w:r w:rsidR="00F341FF" w:rsidRPr="004874DC">
        <w:t xml:space="preserve"> </w:t>
      </w:r>
      <w:r w:rsidRPr="004874DC">
        <w:rPr>
          <w:b/>
        </w:rPr>
        <w:t>„Energija į šilumą“</w:t>
      </w:r>
      <w:r w:rsidRPr="004874DC">
        <w:t>, t. y. „pigios“ perteklinės atsinaujinančių išteklių elektros energijos naudojimas šilumos gamybai (šiluminiai siurbliai ir karšto vandens rezervuarai) ir vėsinimui jau yra ekonomiškumo ir energetikos valdymo požiūriu perspektyvi alternatyva. Vizito Prancūzijoje metu buvo diskutuojama apie šias galimybes, o Vokietijoje vykdomi tokie projektai.</w:t>
      </w:r>
    </w:p>
    <w:p w:rsidR="00D3759B" w:rsidRPr="004874DC" w:rsidRDefault="00D3759B" w:rsidP="00933999"/>
    <w:p w:rsidR="00B83B64" w:rsidRPr="004874DC" w:rsidRDefault="00D14FA2" w:rsidP="000959F1">
      <w:pPr>
        <w:pStyle w:val="Heading1"/>
      </w:pPr>
      <w:bookmarkStart w:id="465" w:name="_Toc408580976"/>
      <w:bookmarkStart w:id="466" w:name="_Toc409515372"/>
      <w:r w:rsidRPr="004874DC">
        <w:t>Išvados</w:t>
      </w:r>
      <w:bookmarkEnd w:id="465"/>
      <w:bookmarkEnd w:id="466"/>
    </w:p>
    <w:p w:rsidR="00E051E1" w:rsidRPr="004874DC" w:rsidRDefault="00E051E1" w:rsidP="00C240A9">
      <w:pPr>
        <w:keepNext/>
      </w:pPr>
      <w:bookmarkStart w:id="467" w:name="_Toc399171531"/>
      <w:bookmarkStart w:id="468" w:name="_Toc399171605"/>
      <w:bookmarkStart w:id="469" w:name="_Toc399171675"/>
      <w:bookmarkStart w:id="470" w:name="_Toc399171749"/>
      <w:bookmarkStart w:id="471" w:name="_Toc399171824"/>
      <w:bookmarkEnd w:id="467"/>
      <w:bookmarkEnd w:id="468"/>
      <w:bookmarkEnd w:id="469"/>
      <w:bookmarkEnd w:id="470"/>
      <w:bookmarkEnd w:id="471"/>
    </w:p>
    <w:p w:rsidR="00F1073F" w:rsidRPr="004874DC" w:rsidRDefault="00F1073F" w:rsidP="00F1073F">
      <w:r w:rsidRPr="004874DC">
        <w:t>Pilietinė visuomenė, esant tinkamoms reglamentavimo sąlygoms, yra labai suinteresuota ir gali atlikti svarbų vaidmenį pereinat prie decentralizuotos tvarios energijos gamybos. Visose aplankytose šalyse pilietinės visuomenės subjektai pripažino verslo galimybes ir parodė labai didelį susidomėjimą dalyvauti atsinaujinančių išteklių energijos gamyboje, kuri leistų gauti pajamų ir užtikrinti jos naudą vietos bendruomenėms. Ten, kur buvo suformuotas palankus politinis pagrindas, smulkieji gamintojai greitai persikėlė į rinką, tapo pagrindine atsinaujinančių išteklių energijos plėtojimo varomąja jėga ir pakeitė nacionalinę energetiką. Atsinaujinančių išteklių energijos gamybos projektai dažnai būna bendruomenės iniciatyvų, susijusių ne tik su energijos gamyba, bet ir duodančių didelę socialinę, ekonominę ir aplinkosauginę naudą, skatinančių bendradarbiavimą, socialines inovacijas, švietimą, tinkamesnių vietos paslaugų ir vietinių darbo vietų kūrimą, pagrindas. Be to, dėl tos aplinkybės, kad atsinaujinančių išteklių energijos įrenginiai priklauso bendruomenėms ir dėl to, kad iš energijos gamybos gaunama nauda, didėja piliečių palankumas naujos infrastruktūros atžvilgiu, taip pat jie būna tolerantiškesni galimų nepatogumų atvejais. Milžiniški pilietinės visuomenės kolektyvinio investavimo, įgyvendinimo ir inovacijų pajėgumai yra itin svarbūs pereinant prie tvarios energijos.</w:t>
      </w:r>
    </w:p>
    <w:p w:rsidR="00F1073F" w:rsidRPr="004874DC" w:rsidRDefault="00F1073F" w:rsidP="00F1073F"/>
    <w:p w:rsidR="00F1073F" w:rsidRPr="004874DC" w:rsidRDefault="00F1073F" w:rsidP="00F1073F">
      <w:r w:rsidRPr="004874DC">
        <w:t xml:space="preserve">Vis dar menkai išnaudojamas milžiniškas kolektyvinis pilietinės visuomenės potencialas, galintis padėti pereiti prie atsinaujinančių išteklių energijos naudojimo, taip pat neišnaudojamos galimybės decentralizuoti energetikos sektorių, siekiant paskatinti vietos ir regionų vystymąsi. Atlikus tyrimą aplankytose šalyse aptikta keletas puikių bendruomenių dalyvavimo strategijų, supaprastintų administracinių procedūrų, finansinių paskatų ir supaprastintos prieigos prie energijos tiekimo tinklo bei prie rinkų mažiems atsinaujinančiosios energijos gamintojams pavyzdžių. Vis dėlto darbo grupė nė vienoje valstybėje narėje nenustatė, kad būtų nuosekliai įgyvendinama vyriausybės strategija, kurios tikslas būtų tiesiogiai įtraukti pilietinę visuomenę ir sudaryti vienodas sąlygas atsinaujinančių išteklių energijos plėtojimui. Priešingai, politikos nestabilumas ir naujausios atsinaujinančių išteklių energijos </w:t>
      </w:r>
      <w:r w:rsidRPr="004874DC">
        <w:lastRenderedPageBreak/>
        <w:t>reglamentavimo sistemų reformos visose tirtose šalyse sukėlė daug netikrumo, nenorą daryti naujas investicijas ir suinteresuotųjų subjektų susirūpinimą dėl piliečių energijos ateities. Ten, kur ne tik taikomos sudėtingos, ilgai trunkančios leidimų išdavimo procedūros, bet ir nuolat kinta paramos schemos, patekimo į rinką taisyklės, kurias taikant diskriminuojami smulkūs gamintojai, ir kai kuriais atvejais įvedami nauji atsinaujinančių išteklių energijos mokesčiai bei rinkliavos, smulkūs ir vidutiniai investuotojai patenka į ypač nepalankią padėtį, palyginti su stambiais energijos gamintojais.</w:t>
      </w:r>
    </w:p>
    <w:p w:rsidR="00F1073F" w:rsidRPr="004874DC" w:rsidRDefault="00F1073F" w:rsidP="00F1073F"/>
    <w:p w:rsidR="00F1073F" w:rsidRPr="004874DC" w:rsidRDefault="00F1073F" w:rsidP="00100A74">
      <w:r w:rsidRPr="004874DC">
        <w:t>EESRK tyrime nustatyta neatidėliotina būtinybė suteikti aiškią prioritetinę paramą piliečių decentralizuotai atsinaujinančių išteklių energijos gamybai. Nacionalinės, vietos ir regionų valdžios institucijos turėtų nustatyti piliečių energijos plėtros tikslus, visų pirma siekiant juos integruoti į vietos atsinaujinančių išteklių energijos sistemą. Piliečių energijai turi būti taikomi specialūs paramos mechanizmai. Dotacijos, paskolos arba gamybos paramos schemos turėtų būti parengtos taip, kad sukurtų stabilią ilgalaikę struktūrą investicijoms, kuri užtikrintų pakankamą, bet ne perteklinę, investicijų grąžą. Nedidelio masto piliečių energijos gamintojams taikomos administracinės procedūros turi būti paprastos, greitos ir nebrangios. Rekomenduojame supaprastinti procedūras ir naudoti vieno langelio principą, t. y. teikti potencialiems investuotojams konsultacijas ir paramą keliais proceso etapais (nuo planavimo iki diegimo) ir kur būtų sprendžiami visi su reikalingų dokume</w:t>
      </w:r>
      <w:r w:rsidR="00E40A97">
        <w:t>ntų parengimu susiję klausimai.</w:t>
      </w:r>
    </w:p>
    <w:p w:rsidR="00F1073F" w:rsidRPr="004874DC" w:rsidRDefault="00F1073F" w:rsidP="00F1073F"/>
    <w:p w:rsidR="00653A8A" w:rsidRPr="004874DC" w:rsidRDefault="00F1073F" w:rsidP="00100A74">
      <w:r w:rsidRPr="004874DC">
        <w:t xml:space="preserve">Siekiant užtikrinti bendrą supratimą, bendrus tikslus, paramą jų įgyvendinimui ir bendradarbiavimo kultūros bei abipusio pasitikėjimo ilgalaikę naudą, turėtų būti formuojama ES ir valstybių narių lygmens atsinaujinančių išteklių energijos politika, kuri būtų įgyvendinama vykdant nuolatinį dialogą su pilietinės visuomenės suinteresuotaisiais subjektais. Šiuo požiūriu praverstų EESRK Europos dialogas energetikos klausimais. Konkrečiau kalbant, labai svarbu, kad pilietinės visuomenės subjektai galėtų dalyvauti skaidriai rengiant valstybių narių nacionalinius energetikos veiksmų planus, kad būtų pasiekti 2030 m. klimato ir energetikos tikslai, ir dalyvauti jų įgyvendinimo </w:t>
      </w:r>
      <w:proofErr w:type="spellStart"/>
      <w:r w:rsidRPr="004874DC">
        <w:t>stebėsenoje</w:t>
      </w:r>
      <w:proofErr w:type="spellEnd"/>
      <w:r w:rsidRPr="004874DC">
        <w:t xml:space="preserve"> bei peržiūroje. ES, nacionalinės ir regioninės strategijos, finansavimo programos ir paramos priemonės turėtų būti reguliariai stebimos ir peržiūrimos aktyviai dalyvaujant pilietinei visuomenei, siekiant užtikrinti, kad jos skatintų piliečių energiją, o ne kenktų jai. Visų pirma, turėtų būti atidžiai stebimas abejotinų priemonių (pvz., auditų) įgyvendinimas, siekiant nustatyti ir greitai ištaisyti jų galimą neigiamą poveikį piliečių energijos plėtojimui. </w:t>
      </w:r>
    </w:p>
    <w:p w:rsidR="00F1073F" w:rsidRPr="004874DC" w:rsidRDefault="00F1073F" w:rsidP="00F1073F"/>
    <w:p w:rsidR="00F1073F" w:rsidRPr="004874DC" w:rsidRDefault="00F1073F" w:rsidP="00F1073F">
      <w:r w:rsidRPr="004874DC">
        <w:t>Didėjant piliečių energijos naudojimo tempams reikalingi nusistovėjusios tinklo planavimo tvarkos pokyčiai. Esminė sėkmingo ir plataus atsinaujinančių išteklių energijos naudojimo prielaida – geresnis tinklo valdymas įvairiais geografiniais lygmenimis ir perdavimo sistemos operatorių veiklos koordinavimas. Siekiant plėsti, modernizuoti ir pritaikyti tinklą iššūkiams, kuriuos kelia decentralizuota gamyba su pertrūkiais, reikalingos milžiniškos investicijos. Turėtų būti skirta ES struktūrinių fondų ir Sanglaudos fondo lėšų 2020 m. klimato ir energetikos tikslams įgyvendinti, taip užtikrinant, jog dėl tinklo ribotumo pažanga atsinaujinančių išteklių energijos sektoriuje nesulėtėtų.</w:t>
      </w:r>
    </w:p>
    <w:p w:rsidR="00F1073F" w:rsidRPr="004874DC" w:rsidRDefault="00F1073F" w:rsidP="00F1073F"/>
    <w:p w:rsidR="00F1073F" w:rsidRPr="004874DC" w:rsidRDefault="00F1073F" w:rsidP="00F1073F">
      <w:r w:rsidRPr="004874DC">
        <w:t xml:space="preserve">Viešosiose diskusijose dėl energetikos politikos paprastai vyrauja su kainomis susiję klausimai ir tuo lengvai gali pasinaudoti populistai. Būtinos atviresnės ir skaidresnės viešosios diskusijos dėl energijos sąnaudų ir kainų. Turėtų būti pateikiama aiški ir išsami informacija apie sąnaudas, susijusias su atsinaujinančių išteklių, iškastinio kuro ir branduolinės energijos sektoriams teikiamomis subsidijomis, </w:t>
      </w:r>
      <w:r w:rsidRPr="004874DC">
        <w:lastRenderedPageBreak/>
        <w:t>taip pat informacija apie naudą dėl mažesnio energijos importo, be to, apie naudą aplinkai ir sveikatai, kurią sunku įvertinti pinigais.</w:t>
      </w:r>
    </w:p>
    <w:p w:rsidR="00F1073F" w:rsidRPr="004874DC" w:rsidRDefault="00F1073F" w:rsidP="00F1073F">
      <w:pPr>
        <w:spacing w:line="240" w:lineRule="auto"/>
        <w:jc w:val="left"/>
        <w:rPr>
          <w:b/>
          <w:kern w:val="28"/>
          <w:sz w:val="24"/>
        </w:rPr>
      </w:pPr>
    </w:p>
    <w:p w:rsidR="00C240A9" w:rsidRPr="004874DC" w:rsidRDefault="00C41848" w:rsidP="00536308">
      <w:r w:rsidRPr="004874DC">
        <w:t>Be to, nors tikimasi, kad perėjimo prie kitokios energijos vartojimo modelio grynasis poveikis darbo vietų kūrimui ir namų ūkių pajamoms bus teigiamas, kai kurie įprastos energijos gamintojai jau patiria rinkos nuostolių, kurie turi įtakos darbo vietoms šiuose sektoriuose.</w:t>
      </w:r>
      <w:r w:rsidR="00F341FF" w:rsidRPr="004874DC">
        <w:t xml:space="preserve"> </w:t>
      </w:r>
      <w:r w:rsidRPr="004874DC">
        <w:t>Šis klausimas turėtų būti sprendžiamas nedelsiant ir iniciatyviai. Siekiant užtikrinti sklandų perėjimą, suteikti galimybę įgyti naujų reikalingų darbo įgūdžių ir kryptingai kovoti su bet kokiu neigiamu socialiniu poveikiu užimtumui ir socialiai silpniems namų ūkiams, turi būti parengtos nacionalinės strategijos, glaudžiai koordinuojamos su atsinaujinančių išteklių energijos naudojimo politika. Tikroji energijos nepritekliaus problema turėtų būti sprendžiama konkrečiomis ir tikslinėmis priemonėmis, bet nenaudojama kaip argumentas žemoms energijos kainoms dirbtinai išlaikyti (pvz., Bulgarijoje). Darbo vietų praradimo tradiciniuose sektoriuose (kai kurie jų nebūtinai yra susiję su atsinaujinančių išteklių energijos padidėjimu) problema neturėtų būti remiamasi kaip argumentu, siekiant vilkinti decentralizuoto atsinaujinančių išteklių energijos sektoriaus pažangą (pvz., Lenkijoje). Vyriausybės turėtų prisiimti atsakomybę už tinkamą perėjimo prie mažo anglies dioksido kiekio technologijų ekonomikos socialinio ir ekonominio poveikio valdymą ir siekti naudos visiems visuomenės sektoriams.</w:t>
      </w:r>
    </w:p>
    <w:p w:rsidR="00C240A9" w:rsidRPr="004874DC" w:rsidRDefault="00C240A9" w:rsidP="00536308"/>
    <w:p w:rsidR="00C240A9" w:rsidRPr="004874DC" w:rsidRDefault="00C240A9">
      <w:pPr>
        <w:jc w:val="center"/>
      </w:pPr>
      <w:r w:rsidRPr="004874DC">
        <w:t>*</w:t>
      </w:r>
    </w:p>
    <w:p w:rsidR="00C240A9" w:rsidRPr="004874DC" w:rsidRDefault="00C240A9">
      <w:pPr>
        <w:jc w:val="center"/>
      </w:pPr>
    </w:p>
    <w:p w:rsidR="00C240A9" w:rsidRPr="004874DC" w:rsidRDefault="00C240A9">
      <w:pPr>
        <w:jc w:val="center"/>
      </w:pPr>
      <w:r w:rsidRPr="004874DC">
        <w:t>*</w:t>
      </w:r>
      <w:r w:rsidRPr="004874DC">
        <w:tab/>
        <w:t>*</w:t>
      </w:r>
    </w:p>
    <w:p w:rsidR="005619C6" w:rsidRPr="004874DC" w:rsidRDefault="005619C6" w:rsidP="00F1073F">
      <w:pPr>
        <w:keepNext/>
        <w:keepLines/>
      </w:pPr>
      <w:r w:rsidRPr="004874DC">
        <w:br w:type="page"/>
      </w:r>
    </w:p>
    <w:p w:rsidR="00624B97" w:rsidRPr="002B320B" w:rsidRDefault="00624B97" w:rsidP="00E40A97">
      <w:pPr>
        <w:pStyle w:val="Heading1"/>
        <w:numPr>
          <w:ilvl w:val="0"/>
          <w:numId w:val="0"/>
        </w:numPr>
        <w:ind w:left="360"/>
        <w:rPr>
          <w:b/>
          <w:sz w:val="24"/>
          <w:szCs w:val="24"/>
        </w:rPr>
      </w:pPr>
      <w:bookmarkStart w:id="472" w:name="_Toc399257228"/>
      <w:bookmarkStart w:id="473" w:name="_Toc408506752"/>
      <w:bookmarkStart w:id="474" w:name="_Toc408580985"/>
      <w:bookmarkStart w:id="475" w:name="_Toc409515373"/>
      <w:r w:rsidRPr="002B320B">
        <w:rPr>
          <w:b/>
          <w:sz w:val="24"/>
          <w:szCs w:val="24"/>
        </w:rPr>
        <w:lastRenderedPageBreak/>
        <w:t>Priedai</w:t>
      </w:r>
      <w:bookmarkEnd w:id="472"/>
      <w:bookmarkEnd w:id="473"/>
      <w:bookmarkEnd w:id="474"/>
      <w:bookmarkEnd w:id="475"/>
    </w:p>
    <w:p w:rsidR="00E40A97" w:rsidRPr="00E40A97" w:rsidRDefault="00E40A97" w:rsidP="00E40A97"/>
    <w:p w:rsidR="00906126" w:rsidRPr="001C78F8" w:rsidRDefault="00624B97" w:rsidP="00E40A97">
      <w:pPr>
        <w:pStyle w:val="Heading2"/>
        <w:numPr>
          <w:ilvl w:val="1"/>
          <w:numId w:val="11"/>
        </w:numPr>
        <w:ind w:hanging="366"/>
        <w:rPr>
          <w:b/>
        </w:rPr>
      </w:pPr>
      <w:bookmarkStart w:id="476" w:name="_Ref399256955"/>
      <w:bookmarkStart w:id="477" w:name="_Toc399257229"/>
      <w:bookmarkStart w:id="478" w:name="_Toc408506753"/>
      <w:bookmarkStart w:id="479" w:name="_Toc408580986"/>
      <w:bookmarkStart w:id="480" w:name="_Toc409515374"/>
      <w:r w:rsidRPr="001C78F8">
        <w:rPr>
          <w:b/>
        </w:rPr>
        <w:t>Ataskaitos apie komandiruotes į valstybes nares</w:t>
      </w:r>
      <w:bookmarkEnd w:id="476"/>
      <w:bookmarkEnd w:id="477"/>
      <w:bookmarkEnd w:id="478"/>
      <w:bookmarkEnd w:id="479"/>
      <w:bookmarkEnd w:id="480"/>
    </w:p>
    <w:p w:rsidR="00CA6D29" w:rsidRPr="00CA6D29" w:rsidRDefault="00E40A97" w:rsidP="00E40A97">
      <w:pPr>
        <w:ind w:left="426"/>
      </w:pPr>
      <w:r>
        <w:tab/>
      </w:r>
      <w:r>
        <w:tab/>
      </w:r>
      <w:r w:rsidR="00CA6D29">
        <w:t>Galima rasti</w:t>
      </w:r>
      <w:r w:rsidRPr="00E40A97">
        <w:t xml:space="preserve"> </w:t>
      </w:r>
      <w:hyperlink r:id="rId23" w:history="1">
        <w:r w:rsidR="00CA6D29" w:rsidRPr="005F370A">
          <w:rPr>
            <w:rStyle w:val="Hyperlink"/>
          </w:rPr>
          <w:t>www.eesc.europa.eu/red-study</w:t>
        </w:r>
      </w:hyperlink>
    </w:p>
    <w:p w:rsidR="00486D56" w:rsidRPr="004874DC" w:rsidRDefault="00486D56" w:rsidP="0093477A"/>
    <w:p w:rsidR="00486D56" w:rsidRPr="001C78F8" w:rsidRDefault="00624B97" w:rsidP="00E40A97">
      <w:pPr>
        <w:pStyle w:val="Heading2"/>
        <w:numPr>
          <w:ilvl w:val="1"/>
          <w:numId w:val="11"/>
        </w:numPr>
        <w:ind w:hanging="366"/>
        <w:rPr>
          <w:b/>
        </w:rPr>
      </w:pPr>
      <w:bookmarkStart w:id="481" w:name="_Toc399257231"/>
      <w:bookmarkStart w:id="482" w:name="_Toc408506755"/>
      <w:bookmarkStart w:id="483" w:name="_Toc408580988"/>
      <w:bookmarkStart w:id="484" w:name="_Toc409515375"/>
      <w:r w:rsidRPr="001C78F8">
        <w:rPr>
          <w:b/>
        </w:rPr>
        <w:t>EESRK nuomonių atsinaujinančių išteklių energijos tema sąrašas</w:t>
      </w:r>
      <w:bookmarkEnd w:id="481"/>
      <w:bookmarkEnd w:id="482"/>
      <w:bookmarkEnd w:id="483"/>
      <w:bookmarkEnd w:id="484"/>
    </w:p>
    <w:p w:rsidR="00CA6D29" w:rsidRDefault="00CA6D29" w:rsidP="00CA6D29"/>
    <w:p w:rsidR="00CA6D29" w:rsidRPr="00CA6D29" w:rsidRDefault="00CA6D29" w:rsidP="00CA6D29"/>
    <w:sectPr w:rsidR="00CA6D29" w:rsidRPr="00CA6D29" w:rsidSect="00C37F15">
      <w:headerReference w:type="even" r:id="rId24"/>
      <w:headerReference w:type="default" r:id="rId25"/>
      <w:footerReference w:type="even" r:id="rId26"/>
      <w:footerReference w:type="default" r:id="rId27"/>
      <w:headerReference w:type="first" r:id="rId28"/>
      <w:footerReference w:type="first" r:id="rId29"/>
      <w:pgSz w:w="11907" w:h="16839" w:code="9"/>
      <w:pgMar w:top="1417" w:right="1417" w:bottom="1701" w:left="1417" w:header="1020" w:footer="1247"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22DD" w:rsidRDefault="003822DD" w:rsidP="00960D3F">
      <w:r>
        <w:separator/>
      </w:r>
    </w:p>
  </w:endnote>
  <w:endnote w:type="continuationSeparator" w:id="0">
    <w:p w:rsidR="003822DD" w:rsidRDefault="003822DD" w:rsidP="00960D3F">
      <w:r>
        <w:continuationSeparator/>
      </w:r>
    </w:p>
  </w:endnote>
  <w:endnote w:type="continuationNotice" w:id="1">
    <w:p w:rsidR="003822DD" w:rsidRDefault="003822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61" w:rsidRPr="00C37F15" w:rsidRDefault="006A4B61" w:rsidP="00C37F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2BB6" w:rsidRPr="00C37F15" w:rsidRDefault="00C37F15" w:rsidP="00C37F15">
    <w:pPr>
      <w:pStyle w:val="Footer"/>
    </w:pPr>
    <w:r>
      <w:t xml:space="preserve">EESC-2014-04780-00-04-TCD-TRA (EN) </w:t>
    </w:r>
    <w:r>
      <w:fldChar w:fldCharType="begin"/>
    </w:r>
    <w:r>
      <w:instrText xml:space="preserve"> PAGE  \* Arabic  \* MERGEFORMAT </w:instrText>
    </w:r>
    <w:r>
      <w:fldChar w:fldCharType="separate"/>
    </w:r>
    <w:r w:rsidR="00E04E46">
      <w:rPr>
        <w:noProof/>
      </w:rPr>
      <w:t>34</w:t>
    </w:r>
    <w:r>
      <w:fldChar w:fldCharType="end"/>
    </w:r>
    <w:r>
      <w:t>/</w:t>
    </w:r>
    <w:r>
      <w:fldChar w:fldCharType="begin"/>
    </w:r>
    <w:r>
      <w:instrText xml:space="preserve"> = </w:instrText>
    </w:r>
    <w:r>
      <w:fldChar w:fldCharType="begin"/>
    </w:r>
    <w:r>
      <w:instrText xml:space="preserve"> NUMPAGES </w:instrText>
    </w:r>
    <w:r>
      <w:fldChar w:fldCharType="separate"/>
    </w:r>
    <w:r w:rsidR="00E04E46">
      <w:rPr>
        <w:noProof/>
      </w:rPr>
      <w:instrText>34</w:instrText>
    </w:r>
    <w:r>
      <w:fldChar w:fldCharType="end"/>
    </w:r>
    <w:r>
      <w:instrText xml:space="preserve"> </w:instrText>
    </w:r>
    <w:r>
      <w:fldChar w:fldCharType="separate"/>
    </w:r>
    <w:r w:rsidR="00E04E46">
      <w:rPr>
        <w:noProof/>
      </w:rPr>
      <w:t>34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61" w:rsidRPr="00C37F15" w:rsidRDefault="006A4B61" w:rsidP="00C37F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22DD" w:rsidRDefault="003822DD" w:rsidP="00960D3F">
      <w:r>
        <w:separator/>
      </w:r>
    </w:p>
  </w:footnote>
  <w:footnote w:type="continuationSeparator" w:id="0">
    <w:p w:rsidR="003822DD" w:rsidRDefault="003822DD" w:rsidP="00960D3F">
      <w:r>
        <w:continuationSeparator/>
      </w:r>
    </w:p>
  </w:footnote>
  <w:footnote w:type="continuationNotice" w:id="1">
    <w:p w:rsidR="003822DD" w:rsidRDefault="003822DD">
      <w:pPr>
        <w:spacing w:line="240" w:lineRule="auto"/>
      </w:pPr>
    </w:p>
  </w:footnote>
  <w:footnote w:id="2">
    <w:p w:rsidR="00D25D87" w:rsidRPr="002A2AC8" w:rsidRDefault="00D25D87" w:rsidP="00D25D87">
      <w:pPr>
        <w:pStyle w:val="FootnoteText"/>
      </w:pPr>
      <w:r>
        <w:rPr>
          <w:rStyle w:val="FootnoteReference"/>
        </w:rPr>
        <w:footnoteRef/>
      </w:r>
      <w:r>
        <w:t xml:space="preserve"> </w:t>
      </w:r>
      <w:r>
        <w:tab/>
        <w:t xml:space="preserve">COM/2013/0175 </w:t>
      </w:r>
      <w:proofErr w:type="spellStart"/>
      <w:r>
        <w:t>final</w:t>
      </w:r>
      <w:proofErr w:type="spellEnd"/>
      <w:r>
        <w:t>.</w:t>
      </w:r>
    </w:p>
  </w:footnote>
  <w:footnote w:id="3">
    <w:p w:rsidR="00D25D87" w:rsidRPr="002A2AC8" w:rsidRDefault="00D25D87" w:rsidP="00D25D87">
      <w:pPr>
        <w:pStyle w:val="FootnoteText"/>
      </w:pPr>
      <w:r>
        <w:rPr>
          <w:rStyle w:val="FootnoteReference"/>
        </w:rPr>
        <w:footnoteRef/>
      </w:r>
      <w:r>
        <w:t xml:space="preserve"> </w:t>
      </w:r>
      <w:r>
        <w:tab/>
      </w:r>
      <w:r>
        <w:t xml:space="preserve">COM(2013) 175 </w:t>
      </w:r>
      <w:proofErr w:type="spellStart"/>
      <w:r>
        <w:t>final</w:t>
      </w:r>
      <w:proofErr w:type="spellEnd"/>
      <w:r>
        <w:t>.</w:t>
      </w:r>
    </w:p>
  </w:footnote>
  <w:footnote w:id="4">
    <w:p w:rsidR="00D25D87" w:rsidRPr="002A2AC8" w:rsidRDefault="00D25D87" w:rsidP="00D25D87">
      <w:pPr>
        <w:pStyle w:val="FootnoteText"/>
      </w:pPr>
      <w:r>
        <w:rPr>
          <w:rStyle w:val="FootnoteReference"/>
        </w:rPr>
        <w:footnoteRef/>
      </w:r>
      <w:r>
        <w:t xml:space="preserve"> </w:t>
      </w:r>
      <w:r>
        <w:tab/>
      </w:r>
      <w:r>
        <w:t xml:space="preserve">COM(2013) 175 </w:t>
      </w:r>
      <w:proofErr w:type="spellStart"/>
      <w:r>
        <w:t>final</w:t>
      </w:r>
      <w:proofErr w:type="spellEnd"/>
      <w:r>
        <w:t>.</w:t>
      </w:r>
    </w:p>
  </w:footnote>
  <w:footnote w:id="5">
    <w:p w:rsidR="00432BB6" w:rsidRPr="002A2AC8" w:rsidRDefault="00432BB6" w:rsidP="00D62559">
      <w:pPr>
        <w:pStyle w:val="FootnoteText"/>
      </w:pPr>
      <w:r>
        <w:rPr>
          <w:rStyle w:val="FootnoteReference"/>
        </w:rPr>
        <w:footnoteRef/>
      </w:r>
      <w:r>
        <w:tab/>
      </w:r>
      <w:r>
        <w:t>2009 m. balandžio 23 d. Europos Parlamento ir Tarybos direktyva 2009/28/EB dėl skatinimo naudoti atsinaujinančių išteklių energiją, iš dalies keičianti bei vėliau panaikinanti Direktyvas 2001/77/EB ir 2003/30/EB.</w:t>
      </w:r>
    </w:p>
  </w:footnote>
  <w:footnote w:id="6">
    <w:p w:rsidR="00432BB6" w:rsidRPr="002A2AC8" w:rsidRDefault="00432BB6" w:rsidP="00B0721D">
      <w:pPr>
        <w:pStyle w:val="FootnoteText"/>
      </w:pPr>
      <w:r>
        <w:rPr>
          <w:rStyle w:val="FootnoteReference"/>
        </w:rPr>
        <w:footnoteRef/>
      </w:r>
      <w:r>
        <w:t xml:space="preserve"> </w:t>
      </w:r>
      <w:r>
        <w:tab/>
      </w:r>
      <w:r>
        <w:t>EESRK nuomonė dėl 2020–2030 m. klimato ir energetikos politikos strategijos (NAT/636).</w:t>
      </w:r>
    </w:p>
  </w:footnote>
  <w:footnote w:id="7">
    <w:p w:rsidR="00432BB6" w:rsidRPr="002A2AC8" w:rsidRDefault="00432BB6" w:rsidP="00894515">
      <w:pPr>
        <w:pStyle w:val="FootnoteText"/>
      </w:pPr>
      <w:r>
        <w:rPr>
          <w:rStyle w:val="FootnoteReference"/>
        </w:rPr>
        <w:footnoteRef/>
      </w:r>
      <w:r>
        <w:t xml:space="preserve"> </w:t>
      </w:r>
      <w:r>
        <w:tab/>
      </w:r>
      <w:r>
        <w:t>Eurostatas, 2014 m.</w:t>
      </w:r>
    </w:p>
  </w:footnote>
  <w:footnote w:id="8">
    <w:p w:rsidR="00432BB6" w:rsidRPr="002A2AC8" w:rsidRDefault="00432BB6" w:rsidP="00AB65F7">
      <w:pPr>
        <w:pStyle w:val="FootnoteText"/>
      </w:pPr>
      <w:r>
        <w:rPr>
          <w:rStyle w:val="FootnoteReference"/>
        </w:rPr>
        <w:footnoteRef/>
      </w:r>
      <w:r>
        <w:tab/>
      </w:r>
      <w:r>
        <w:t xml:space="preserve">Tai mažų įmonių, akademinės bendruomenės, nevyriausybinių aplinkos apsaugos organizacijų, bendruomenių grupių, kooperatyvų, vietos ir regionų valdžios institucijų atstovai. </w:t>
      </w:r>
    </w:p>
  </w:footnote>
  <w:footnote w:id="9">
    <w:p w:rsidR="00432BB6" w:rsidRPr="002A2AC8" w:rsidRDefault="00432BB6" w:rsidP="00AB65F7">
      <w:pPr>
        <w:pStyle w:val="FootnoteText"/>
      </w:pPr>
      <w:r>
        <w:rPr>
          <w:rStyle w:val="FootnoteReference"/>
        </w:rPr>
        <w:footnoteRef/>
      </w:r>
      <w:r>
        <w:t xml:space="preserve"> </w:t>
      </w:r>
      <w:r>
        <w:tab/>
      </w:r>
      <w:r>
        <w:t xml:space="preserve">„Vietos atsinaujinančių išteklių energijos iniciatyvos: teigiami pavyzdžiai, sėkmės veiksniai ir pilietinės visuomenės vaidmuo“, 2013 m. lapkričio mėn. </w:t>
      </w:r>
      <w:hyperlink r:id="rId1" w:history="1">
        <w:r w:rsidRPr="000D136B">
          <w:rPr>
            <w:rStyle w:val="Hyperlink"/>
          </w:rPr>
          <w:t>http://www.eesc.europa.eu/?i=portal.en.events-and-activities-local-renewable-energy.</w:t>
        </w:r>
      </w:hyperlink>
    </w:p>
  </w:footnote>
  <w:footnote w:id="10">
    <w:p w:rsidR="00432BB6" w:rsidRPr="002A2AC8" w:rsidRDefault="00432BB6" w:rsidP="00AB65F7">
      <w:pPr>
        <w:pStyle w:val="FootnoteText"/>
      </w:pPr>
      <w:r>
        <w:rPr>
          <w:rStyle w:val="FootnoteReference"/>
        </w:rPr>
        <w:footnoteRef/>
      </w:r>
      <w:r>
        <w:tab/>
      </w:r>
      <w:r>
        <w:t>Žinoma, kalbama ne vien apie atsinaujinančių išteklių energiją. Europos Komisijos 2030 m. klimato kaitos ir energetikos dokumentų rinkinyje teigiama, kad „perėjimo prie mažo anglies dioksido kiekio technologijų sąnaudos iš esmės nesiskiria nuo sąnaudų, kurios bet kuriuo atveju būtų patirtos dėl to, kad būtina atnaujinti senstančią energetikos sistemą, kyla iškastinio kuro kainos, taip pat reikia laikytis klimato ir energetikos politikos. Vis dėlto įvyks svarbus perėjimas nuo išlaidų kurui prie novatoriškų įrenginių, turinčių didelę pridėtinę vertę, kurie skatins investicijas į novatoriškus produktus ir paslaugas, kurs darbo vietas ir užtikrins ekonomikos augimą bei pagerins Sąjungos prekybos balansą“.</w:t>
      </w:r>
    </w:p>
  </w:footnote>
  <w:footnote w:id="11">
    <w:p w:rsidR="00432BB6" w:rsidRPr="002A2AC8" w:rsidRDefault="00432BB6" w:rsidP="00180CDA">
      <w:pPr>
        <w:pStyle w:val="FootnoteText"/>
      </w:pPr>
      <w:r>
        <w:rPr>
          <w:rStyle w:val="FootnoteReference"/>
        </w:rPr>
        <w:footnoteRef/>
      </w:r>
      <w:r>
        <w:t xml:space="preserve"> </w:t>
      </w:r>
      <w:r>
        <w:tab/>
      </w:r>
      <w:r>
        <w:t>Apie 7 milijardai eurų.</w:t>
      </w:r>
    </w:p>
  </w:footnote>
  <w:footnote w:id="12">
    <w:p w:rsidR="00432BB6" w:rsidRPr="002A2AC8" w:rsidRDefault="00432BB6" w:rsidP="00180CDA">
      <w:pPr>
        <w:pStyle w:val="FootnoteText"/>
      </w:pPr>
      <w:r>
        <w:rPr>
          <w:rStyle w:val="FootnoteReference"/>
        </w:rPr>
        <w:footnoteRef/>
      </w:r>
      <w:r>
        <w:t xml:space="preserve"> </w:t>
      </w:r>
      <w:r>
        <w:tab/>
      </w:r>
      <w:r>
        <w:t>Apie 1</w:t>
      </w:r>
      <w:r w:rsidR="0083076B">
        <w:t>,5</w:t>
      </w:r>
      <w:r>
        <w:t> </w:t>
      </w:r>
      <w:r w:rsidR="0083076B">
        <w:t>milijardo</w:t>
      </w:r>
      <w:r>
        <w:t xml:space="preserve"> eurų.</w:t>
      </w:r>
    </w:p>
  </w:footnote>
  <w:footnote w:id="13">
    <w:p w:rsidR="00432BB6" w:rsidRPr="002A2AC8" w:rsidRDefault="00432BB6" w:rsidP="00536308">
      <w:pPr>
        <w:pStyle w:val="FootnoteText"/>
      </w:pPr>
      <w:r>
        <w:rPr>
          <w:rStyle w:val="FootnoteReference"/>
        </w:rPr>
        <w:footnoteRef/>
      </w:r>
      <w:r>
        <w:tab/>
      </w:r>
      <w:r>
        <w:t>Šioje vietoje dera paminėti, kad iškastinio kuro gamintojai vien 2011 m. gavo subsidijų už 523 milijardus JAV dolerių.</w:t>
      </w:r>
    </w:p>
  </w:footnote>
  <w:footnote w:id="14">
    <w:p w:rsidR="00432BB6" w:rsidRPr="002A2AC8" w:rsidRDefault="00432BB6" w:rsidP="002A2AC8">
      <w:pPr>
        <w:pStyle w:val="FootnoteText"/>
      </w:pPr>
      <w:r>
        <w:rPr>
          <w:rStyle w:val="FootnoteReference"/>
        </w:rPr>
        <w:footnoteRef/>
      </w:r>
      <w:r>
        <w:t xml:space="preserve"> </w:t>
      </w:r>
      <w:r>
        <w:tab/>
      </w:r>
      <w:r>
        <w:t xml:space="preserve">Kai kurie suinteresuotieji subjektai, su kuriais buvo kalbėtasi, atkreipė dėmesį į diskusijas (kurios tebevyko pažintinių vizitų metu) dėl dviejų branduolinių reaktorių Jungtinės Karalystės </w:t>
      </w:r>
      <w:proofErr w:type="spellStart"/>
      <w:r>
        <w:t>Hinkley</w:t>
      </w:r>
      <w:proofErr w:type="spellEnd"/>
      <w:r>
        <w:t xml:space="preserve"> </w:t>
      </w:r>
      <w:proofErr w:type="spellStart"/>
      <w:r>
        <w:t>Point</w:t>
      </w:r>
      <w:proofErr w:type="spellEnd"/>
      <w:r>
        <w:t xml:space="preserve"> C teritorijoje. Šiuo metu EK jau pritarė subsidijoms, dėl kurių buvo diskutuojama. Būsimasis operatorius EDF per artimiausius 35 metus gaus 10,9 ¢ už kiekvieną pagamintos elektros energijos </w:t>
      </w:r>
      <w:proofErr w:type="spellStart"/>
      <w:r>
        <w:t>kWh</w:t>
      </w:r>
      <w:proofErr w:type="spellEnd"/>
      <w:r>
        <w:t>, pakoreguotą pagal metinės infliacijos normas. Šis tarifas gerokai viršija Vokietijos supirkimo tarifo už vėjo energiją galiojimo laikotarpį ir tarifo dydį.</w:t>
      </w:r>
    </w:p>
  </w:footnote>
  <w:footnote w:id="15">
    <w:p w:rsidR="00432BB6" w:rsidRPr="002A2AC8" w:rsidRDefault="00432BB6" w:rsidP="00235212">
      <w:pPr>
        <w:pStyle w:val="FootnoteText"/>
      </w:pPr>
      <w:r>
        <w:rPr>
          <w:rStyle w:val="FootnoteReference"/>
        </w:rPr>
        <w:footnoteRef/>
      </w:r>
      <w:r>
        <w:t xml:space="preserve"> </w:t>
      </w:r>
      <w:r>
        <w:tab/>
      </w:r>
      <w:r>
        <w:t xml:space="preserve">COM(2014) 15 </w:t>
      </w:r>
      <w:proofErr w:type="spellStart"/>
      <w:r>
        <w:t>final</w:t>
      </w:r>
      <w:proofErr w:type="spellEnd"/>
      <w:r>
        <w:t>.</w:t>
      </w:r>
    </w:p>
  </w:footnote>
  <w:footnote w:id="16">
    <w:p w:rsidR="00432BB6" w:rsidRPr="002A2AC8" w:rsidRDefault="00432BB6" w:rsidP="0095006D">
      <w:pPr>
        <w:pStyle w:val="FootnoteText"/>
      </w:pPr>
      <w:r>
        <w:rPr>
          <w:rStyle w:val="FootnoteReference"/>
        </w:rPr>
        <w:footnoteRef/>
      </w:r>
      <w:r>
        <w:t xml:space="preserve"> </w:t>
      </w:r>
      <w:r>
        <w:tab/>
      </w:r>
      <w:r>
        <w:t xml:space="preserve">COM(2013) 175 </w:t>
      </w:r>
      <w:proofErr w:type="spellStart"/>
      <w:r>
        <w:t>final</w:t>
      </w:r>
      <w:proofErr w:type="spellEnd"/>
      <w:r>
        <w:t>.</w:t>
      </w:r>
    </w:p>
  </w:footnote>
  <w:footnote w:id="17">
    <w:p w:rsidR="00432BB6" w:rsidRPr="002A2AC8" w:rsidRDefault="00432BB6" w:rsidP="00024F07">
      <w:pPr>
        <w:pStyle w:val="FootnoteText"/>
      </w:pPr>
      <w:r>
        <w:rPr>
          <w:rStyle w:val="FootnoteReference"/>
        </w:rPr>
        <w:footnoteRef/>
      </w:r>
      <w:r>
        <w:t xml:space="preserve"> </w:t>
      </w:r>
      <w:r>
        <w:tab/>
      </w:r>
      <w:r>
        <w:t>Kai kuriais atvejais, pavyzdžiui, Vokietijoje ir Lenkijoje, jos jau įsigaliojo.</w:t>
      </w:r>
    </w:p>
  </w:footnote>
  <w:footnote w:id="18">
    <w:p w:rsidR="00432BB6" w:rsidRPr="002A2AC8" w:rsidRDefault="00432BB6" w:rsidP="00024F07">
      <w:pPr>
        <w:pStyle w:val="FootnoteText"/>
      </w:pPr>
      <w:r>
        <w:rPr>
          <w:rStyle w:val="FootnoteReference"/>
        </w:rPr>
        <w:footnoteRef/>
      </w:r>
      <w:r>
        <w:t xml:space="preserve"> </w:t>
      </w:r>
      <w:r>
        <w:tab/>
      </w:r>
      <w:hyperlink r:id="rId2" w:history="1">
        <w:r w:rsidR="000D136B" w:rsidRPr="008626F5">
          <w:rPr>
            <w:rStyle w:val="Hyperlink"/>
          </w:rPr>
          <w:t>http://eur-lex.europa.eu/legal-content/EN/TXT/?uri=CELEX:52014XC0628%2801%29</w:t>
        </w:r>
      </w:hyperlink>
      <w:r w:rsidR="000D136B">
        <w:rPr>
          <w:rStyle w:val="Hyperlink"/>
        </w:rPr>
        <w:t>.</w:t>
      </w:r>
    </w:p>
  </w:footnote>
  <w:footnote w:id="19">
    <w:p w:rsidR="00432BB6" w:rsidRPr="002A2AC8" w:rsidRDefault="00432BB6" w:rsidP="002A2AC8">
      <w:pPr>
        <w:pStyle w:val="FootnoteText"/>
      </w:pPr>
      <w:r>
        <w:rPr>
          <w:rStyle w:val="FootnoteReference"/>
        </w:rPr>
        <w:footnoteRef/>
      </w:r>
      <w:r>
        <w:tab/>
      </w:r>
      <w:r>
        <w:t>2014 m. vidutinės trukmės atsinaujinančių išteklių energijos rinkos apžvalga – Rinkos analizė ir prognozės iki 2020 m., Tarptautinė energetikos agentūra.</w:t>
      </w:r>
    </w:p>
  </w:footnote>
  <w:footnote w:id="20">
    <w:p w:rsidR="00432BB6" w:rsidRPr="00EC78D9" w:rsidRDefault="00432BB6" w:rsidP="00536308">
      <w:pPr>
        <w:pStyle w:val="FootnoteText"/>
      </w:pPr>
      <w:r>
        <w:rPr>
          <w:rStyle w:val="FootnoteReference"/>
        </w:rPr>
        <w:footnoteRef/>
      </w:r>
      <w:r>
        <w:tab/>
      </w:r>
      <w:r w:rsidRPr="00EC78D9">
        <w:t>EEG 8 straipsnis. Prisijungimas „(1) Tinklų operatoriai nedelsiant ir pirmumo tvarka jungia prie tinklų įrenginius, elektros gamybai naudojančius atsinaujinančiųjų išteklių energiją ir kasyklų dujas, tokiame tinklo taške, kuris tinkamas atsižvelgiant į įtampos lygį ir yra arčiausiai prie įrenginio buvimo vietos, nebent įrodoma, kad šiame ar kitame tinkle yra techniniu ar ekonominiu požiūriu tinkamesnis prisijungimo taškas; priimant sprendimą dėl ekonominiu požiūriu tinkamesnio prisijungimo taško, atsižvelgiama į tiesiogines prisijungimo sąnaudas. Tuo atveju, jei vienas ar daugiau įrenginių, kurių bendra įrengtoji galia neviršija 30 kW, įrengti vietovėje, kurioje jau yra tinklo jungtis, prijungimo prie tinklo taškas šioje vietovėje laikomas tinkamu prisijungimo tašku“.</w:t>
      </w:r>
    </w:p>
  </w:footnote>
  <w:footnote w:id="21">
    <w:p w:rsidR="00432BB6" w:rsidRPr="002A2AC8" w:rsidRDefault="00432BB6" w:rsidP="001408E9">
      <w:pPr>
        <w:pStyle w:val="FootnoteText"/>
      </w:pPr>
      <w:r>
        <w:rPr>
          <w:rStyle w:val="FootnoteReference"/>
        </w:rPr>
        <w:footnoteRef/>
      </w:r>
      <w:r>
        <w:t xml:space="preserve"> </w:t>
      </w:r>
      <w:r>
        <w:tab/>
      </w:r>
      <w:r>
        <w:t>„</w:t>
      </w:r>
      <w:proofErr w:type="spellStart"/>
      <w:r>
        <w:t>Smart</w:t>
      </w:r>
      <w:proofErr w:type="spellEnd"/>
      <w:r>
        <w:t xml:space="preserve"> </w:t>
      </w:r>
      <w:proofErr w:type="spellStart"/>
      <w:r>
        <w:t>Grid</w:t>
      </w:r>
      <w:proofErr w:type="spellEnd"/>
      <w:r>
        <w:t xml:space="preserve"> </w:t>
      </w:r>
      <w:proofErr w:type="spellStart"/>
      <w:r>
        <w:t>and</w:t>
      </w:r>
      <w:proofErr w:type="spellEnd"/>
      <w:r>
        <w:t xml:space="preserve"> </w:t>
      </w:r>
      <w:proofErr w:type="spellStart"/>
      <w:r>
        <w:t>Smart</w:t>
      </w:r>
      <w:proofErr w:type="spellEnd"/>
      <w:r>
        <w:t xml:space="preserve"> </w:t>
      </w:r>
      <w:proofErr w:type="spellStart"/>
      <w:r>
        <w:t>Market</w:t>
      </w:r>
      <w:proofErr w:type="spellEnd"/>
      <w:r>
        <w:t xml:space="preserve">: </w:t>
      </w:r>
      <w:proofErr w:type="spellStart"/>
      <w:r>
        <w:t>Keynote</w:t>
      </w:r>
      <w:proofErr w:type="spellEnd"/>
      <w:r>
        <w:t xml:space="preserve"> </w:t>
      </w:r>
      <w:proofErr w:type="spellStart"/>
      <w:r>
        <w:t>Paper</w:t>
      </w:r>
      <w:proofErr w:type="spellEnd"/>
      <w:r>
        <w:t xml:space="preserve"> </w:t>
      </w:r>
      <w:proofErr w:type="spellStart"/>
      <w:r>
        <w:t>of</w:t>
      </w:r>
      <w:proofErr w:type="spellEnd"/>
      <w:r>
        <w:t xml:space="preserve"> </w:t>
      </w:r>
      <w:proofErr w:type="spellStart"/>
      <w:r>
        <w:t>the</w:t>
      </w:r>
      <w:proofErr w:type="spellEnd"/>
      <w:r>
        <w:t xml:space="preserve"> </w:t>
      </w:r>
      <w:proofErr w:type="spellStart"/>
      <w:r>
        <w:t>Federal</w:t>
      </w:r>
      <w:proofErr w:type="spellEnd"/>
      <w:r>
        <w:t xml:space="preserve"> </w:t>
      </w:r>
      <w:proofErr w:type="spellStart"/>
      <w:r>
        <w:t>Grid</w:t>
      </w:r>
      <w:proofErr w:type="spellEnd"/>
      <w:r>
        <w:t xml:space="preserve"> </w:t>
      </w:r>
      <w:proofErr w:type="spellStart"/>
      <w:r>
        <w:t>Agency</w:t>
      </w:r>
      <w:proofErr w:type="spellEnd"/>
      <w:r>
        <w:t xml:space="preserve"> </w:t>
      </w:r>
      <w:proofErr w:type="spellStart"/>
      <w:r>
        <w:t>on</w:t>
      </w:r>
      <w:proofErr w:type="spellEnd"/>
      <w:r>
        <w:t xml:space="preserve"> </w:t>
      </w:r>
      <w:proofErr w:type="spellStart"/>
      <w:r>
        <w:t>the</w:t>
      </w:r>
      <w:proofErr w:type="spellEnd"/>
      <w:r>
        <w:t xml:space="preserve"> </w:t>
      </w:r>
      <w:proofErr w:type="spellStart"/>
      <w:r>
        <w:t>changing</w:t>
      </w:r>
      <w:proofErr w:type="spellEnd"/>
      <w:r>
        <w:t xml:space="preserve"> </w:t>
      </w:r>
      <w:proofErr w:type="spellStart"/>
      <w:r>
        <w:t>energy</w:t>
      </w:r>
      <w:proofErr w:type="spellEnd"/>
      <w:r>
        <w:t xml:space="preserve"> </w:t>
      </w:r>
      <w:proofErr w:type="spellStart"/>
      <w:r>
        <w:t>supply</w:t>
      </w:r>
      <w:proofErr w:type="spellEnd"/>
      <w:r>
        <w:t xml:space="preserve"> </w:t>
      </w:r>
      <w:proofErr w:type="spellStart"/>
      <w:r>
        <w:t>system</w:t>
      </w:r>
      <w:proofErr w:type="spellEnd"/>
      <w:r>
        <w:t>“, 2011</w:t>
      </w:r>
      <w:r w:rsidR="007D4F04">
        <w:t> </w:t>
      </w:r>
      <w:r>
        <w:t>(„Pažangusis tinklas ir pažangioji rinka: pagrindinis Federalinės tinklo agentūros dokumentas dėl kintančios energijos tiekimo sistemos“,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61" w:rsidRPr="00C37F15" w:rsidRDefault="006A4B61" w:rsidP="00C37F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61" w:rsidRPr="00C37F15" w:rsidRDefault="006A4B61" w:rsidP="00C37F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B61" w:rsidRPr="00C37F15" w:rsidRDefault="006A4B61" w:rsidP="00C37F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793EC4F8"/>
    <w:lvl w:ilvl="0">
      <w:start w:val="1"/>
      <w:numFmt w:val="decimal"/>
      <w:pStyle w:val="Heading1"/>
      <w:lvlText w:val="%1."/>
      <w:legacy w:legacy="1" w:legacySpace="0" w:legacyIndent="0"/>
      <w:lvlJc w:val="left"/>
    </w:lvl>
    <w:lvl w:ilvl="1">
      <w:start w:val="1"/>
      <w:numFmt w:val="decimal"/>
      <w:pStyle w:val="Heading2"/>
      <w:lvlText w:val="%1.%2"/>
      <w:legacy w:legacy="1" w:legacySpace="144" w:legacyIndent="0"/>
      <w:lvlJc w:val="left"/>
      <w:rPr>
        <w:b w:val="0"/>
      </w:rPr>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5AA0B0D"/>
    <w:multiLevelType w:val="hybridMultilevel"/>
    <w:tmpl w:val="44526E4A"/>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4F61BF"/>
    <w:multiLevelType w:val="hybridMultilevel"/>
    <w:tmpl w:val="7234D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C946FE"/>
    <w:multiLevelType w:val="hybridMultilevel"/>
    <w:tmpl w:val="A9E89702"/>
    <w:lvl w:ilvl="0" w:tplc="3B685C02">
      <w:start w:val="1"/>
      <w:numFmt w:val="bullet"/>
      <w:lvlText w:val=""/>
      <w:lvlJc w:val="left"/>
      <w:pPr>
        <w:ind w:left="360" w:hanging="360"/>
      </w:pPr>
      <w:rPr>
        <w:rFonts w:ascii="Wingdings" w:eastAsia="Times New Roman" w:hAnsi="Wingdings" w:cs="Segoe UI" w:hint="default"/>
      </w:rPr>
    </w:lvl>
    <w:lvl w:ilvl="1" w:tplc="C352BAB6">
      <w:start w:val="6"/>
      <w:numFmt w:val="bullet"/>
      <w:lvlText w:val="-"/>
      <w:lvlJc w:val="left"/>
      <w:pPr>
        <w:ind w:left="1440" w:hanging="720"/>
      </w:pPr>
      <w:rPr>
        <w:rFonts w:ascii="Calibri" w:eastAsia="Calibri"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82C0882"/>
    <w:multiLevelType w:val="hybridMultilevel"/>
    <w:tmpl w:val="31AE6F26"/>
    <w:lvl w:ilvl="0" w:tplc="0809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F57084"/>
    <w:multiLevelType w:val="hybridMultilevel"/>
    <w:tmpl w:val="AF2E074C"/>
    <w:lvl w:ilvl="0" w:tplc="080C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4254C40"/>
    <w:multiLevelType w:val="hybridMultilevel"/>
    <w:tmpl w:val="0B922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9BF1096"/>
    <w:multiLevelType w:val="hybridMultilevel"/>
    <w:tmpl w:val="335EF7C0"/>
    <w:lvl w:ilvl="0" w:tplc="3B685C02">
      <w:start w:val="1"/>
      <w:numFmt w:val="bullet"/>
      <w:pStyle w:val="ListParagraph2"/>
      <w:lvlText w:val=""/>
      <w:lvlJc w:val="left"/>
      <w:pPr>
        <w:ind w:left="360" w:hanging="360"/>
      </w:pPr>
      <w:rPr>
        <w:rFonts w:ascii="Wingdings" w:eastAsia="Times New Roman" w:hAnsi="Wingdings" w:cs="Segoe UI"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A2A161B"/>
    <w:multiLevelType w:val="multilevel"/>
    <w:tmpl w:val="C2667794"/>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F705AC2"/>
    <w:multiLevelType w:val="hybridMultilevel"/>
    <w:tmpl w:val="0C92914A"/>
    <w:lvl w:ilvl="0" w:tplc="080C0001">
      <w:start w:val="1"/>
      <w:numFmt w:val="bullet"/>
      <w:lvlText w:val=""/>
      <w:lvlJc w:val="left"/>
      <w:pPr>
        <w:ind w:left="360" w:hanging="360"/>
      </w:pPr>
      <w:rPr>
        <w:rFonts w:ascii="Symbol" w:hAnsi="Symbol" w:hint="default"/>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5AA007B7"/>
    <w:multiLevelType w:val="hybridMultilevel"/>
    <w:tmpl w:val="20DE25A4"/>
    <w:lvl w:ilvl="0" w:tplc="48984CA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0502214"/>
    <w:multiLevelType w:val="hybridMultilevel"/>
    <w:tmpl w:val="29E6D926"/>
    <w:lvl w:ilvl="0" w:tplc="437A2658">
      <w:start w:val="1"/>
      <w:numFmt w:val="bullet"/>
      <w:lvlText w:val=""/>
      <w:lvlJc w:val="left"/>
      <w:pPr>
        <w:ind w:left="360" w:hanging="360"/>
      </w:pPr>
      <w:rPr>
        <w:rFonts w:ascii="Wingdings 3" w:eastAsia="Times New Roman" w:hAnsi="Wingdings 3" w:cs="Segoe UI" w:hint="default"/>
        <w:u w:val="none"/>
      </w:rPr>
    </w:lvl>
    <w:lvl w:ilvl="1" w:tplc="A9E8DCB0">
      <w:numFmt w:val="bullet"/>
      <w:lvlText w:val="•"/>
      <w:lvlJc w:val="left"/>
      <w:pPr>
        <w:ind w:left="1440" w:hanging="720"/>
      </w:pPr>
      <w:rPr>
        <w:rFonts w:ascii="Segoe UI" w:eastAsia="Times New Roman" w:hAnsi="Segoe UI" w:cs="Segoe U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68527120"/>
    <w:multiLevelType w:val="hybridMultilevel"/>
    <w:tmpl w:val="52B68EFC"/>
    <w:lvl w:ilvl="0" w:tplc="08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160310D"/>
    <w:multiLevelType w:val="hybridMultilevel"/>
    <w:tmpl w:val="3ED860F2"/>
    <w:lvl w:ilvl="0" w:tplc="4D7C07F2">
      <w:start w:val="1"/>
      <w:numFmt w:val="bullet"/>
      <w:lvlText w:val=""/>
      <w:lvlJc w:val="left"/>
      <w:pPr>
        <w:ind w:left="720" w:hanging="360"/>
      </w:pPr>
      <w:rPr>
        <w:rFonts w:ascii="Symbol" w:hAnsi="Symbol" w:hint="default"/>
      </w:rPr>
    </w:lvl>
    <w:lvl w:ilvl="1" w:tplc="4D7C07F2">
      <w:start w:val="1"/>
      <w:numFmt w:val="bullet"/>
      <w:lvlText w:val=""/>
      <w:lvlJc w:val="left"/>
      <w:pPr>
        <w:ind w:left="1440" w:hanging="360"/>
      </w:pPr>
      <w:rPr>
        <w:rFonts w:ascii="Symbol" w:hAnsi="Symbol"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78F46A97"/>
    <w:multiLevelType w:val="hybridMultilevel"/>
    <w:tmpl w:val="60480CAA"/>
    <w:lvl w:ilvl="0" w:tplc="B92A32BC">
      <w:start w:val="1"/>
      <w:numFmt w:val="bullet"/>
      <w:lvlText w:val=""/>
      <w:lvlJc w:val="left"/>
      <w:pPr>
        <w:ind w:left="2204" w:hanging="360"/>
      </w:pPr>
      <w:rPr>
        <w:rFonts w:ascii="Wingdings" w:eastAsia="Times New Roman" w:hAnsi="Wingdings"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14"/>
  </w:num>
  <w:num w:numId="5">
    <w:abstractNumId w:val="2"/>
  </w:num>
  <w:num w:numId="6">
    <w:abstractNumId w:val="4"/>
  </w:num>
  <w:num w:numId="7">
    <w:abstractNumId w:val="3"/>
  </w:num>
  <w:num w:numId="8">
    <w:abstractNumId w:val="1"/>
  </w:num>
  <w:num w:numId="9">
    <w:abstractNumId w:val="13"/>
  </w:num>
  <w:num w:numId="10">
    <w:abstractNumId w:val="11"/>
  </w:num>
  <w:num w:numId="11">
    <w:abstractNumId w:val="8"/>
  </w:num>
  <w:num w:numId="12">
    <w:abstractNumId w:val="12"/>
  </w:num>
  <w:num w:numId="13">
    <w:abstractNumId w:val="9"/>
  </w:num>
  <w:num w:numId="14">
    <w:abstractNumId w:val="5"/>
  </w:num>
  <w:num w:numId="15">
    <w:abstractNumId w:val="6"/>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59B"/>
    <w:rsid w:val="0000373E"/>
    <w:rsid w:val="000038F0"/>
    <w:rsid w:val="00003D0B"/>
    <w:rsid w:val="000052A4"/>
    <w:rsid w:val="00005A2C"/>
    <w:rsid w:val="00005DE8"/>
    <w:rsid w:val="00007570"/>
    <w:rsid w:val="00010520"/>
    <w:rsid w:val="00010759"/>
    <w:rsid w:val="00013D04"/>
    <w:rsid w:val="00014DE5"/>
    <w:rsid w:val="00014F2A"/>
    <w:rsid w:val="000160A2"/>
    <w:rsid w:val="0001650D"/>
    <w:rsid w:val="00016EFE"/>
    <w:rsid w:val="00017803"/>
    <w:rsid w:val="00023097"/>
    <w:rsid w:val="00024F07"/>
    <w:rsid w:val="00025B07"/>
    <w:rsid w:val="00027834"/>
    <w:rsid w:val="0002791D"/>
    <w:rsid w:val="000302B5"/>
    <w:rsid w:val="00030F5F"/>
    <w:rsid w:val="00032F43"/>
    <w:rsid w:val="000339D3"/>
    <w:rsid w:val="00035914"/>
    <w:rsid w:val="00035C94"/>
    <w:rsid w:val="00035FA2"/>
    <w:rsid w:val="0003644A"/>
    <w:rsid w:val="00040B9D"/>
    <w:rsid w:val="00041DCA"/>
    <w:rsid w:val="00042F1C"/>
    <w:rsid w:val="0004421E"/>
    <w:rsid w:val="0004660A"/>
    <w:rsid w:val="00047900"/>
    <w:rsid w:val="00047C0A"/>
    <w:rsid w:val="00051F89"/>
    <w:rsid w:val="00052BA8"/>
    <w:rsid w:val="00052EFC"/>
    <w:rsid w:val="00054F9F"/>
    <w:rsid w:val="00055B78"/>
    <w:rsid w:val="00055C8A"/>
    <w:rsid w:val="00056FC6"/>
    <w:rsid w:val="00060A81"/>
    <w:rsid w:val="00060AE3"/>
    <w:rsid w:val="000632AD"/>
    <w:rsid w:val="00064C6C"/>
    <w:rsid w:val="00065566"/>
    <w:rsid w:val="0006582A"/>
    <w:rsid w:val="000660AE"/>
    <w:rsid w:val="00066D7F"/>
    <w:rsid w:val="0007054E"/>
    <w:rsid w:val="0007081A"/>
    <w:rsid w:val="0007156E"/>
    <w:rsid w:val="00071C08"/>
    <w:rsid w:val="00071C80"/>
    <w:rsid w:val="00072C71"/>
    <w:rsid w:val="00072D63"/>
    <w:rsid w:val="00073CB5"/>
    <w:rsid w:val="0007763E"/>
    <w:rsid w:val="0008162E"/>
    <w:rsid w:val="000819E0"/>
    <w:rsid w:val="00081E47"/>
    <w:rsid w:val="00083A59"/>
    <w:rsid w:val="000857B8"/>
    <w:rsid w:val="000857C3"/>
    <w:rsid w:val="00085A39"/>
    <w:rsid w:val="000861F7"/>
    <w:rsid w:val="00086991"/>
    <w:rsid w:val="00091B7E"/>
    <w:rsid w:val="00093123"/>
    <w:rsid w:val="00094EC2"/>
    <w:rsid w:val="000959F1"/>
    <w:rsid w:val="00095F6F"/>
    <w:rsid w:val="000A125B"/>
    <w:rsid w:val="000A1D4A"/>
    <w:rsid w:val="000A1D4D"/>
    <w:rsid w:val="000A2060"/>
    <w:rsid w:val="000A23C1"/>
    <w:rsid w:val="000A2740"/>
    <w:rsid w:val="000A4D93"/>
    <w:rsid w:val="000A5C2D"/>
    <w:rsid w:val="000A5D78"/>
    <w:rsid w:val="000B3016"/>
    <w:rsid w:val="000B4BD1"/>
    <w:rsid w:val="000B65B2"/>
    <w:rsid w:val="000B6B3F"/>
    <w:rsid w:val="000B72CB"/>
    <w:rsid w:val="000B7E38"/>
    <w:rsid w:val="000C0D5C"/>
    <w:rsid w:val="000C3836"/>
    <w:rsid w:val="000C3C53"/>
    <w:rsid w:val="000C3D98"/>
    <w:rsid w:val="000C5097"/>
    <w:rsid w:val="000C7C4A"/>
    <w:rsid w:val="000D136B"/>
    <w:rsid w:val="000D1F82"/>
    <w:rsid w:val="000D5CF0"/>
    <w:rsid w:val="000D68F0"/>
    <w:rsid w:val="000D6C59"/>
    <w:rsid w:val="000E0CFE"/>
    <w:rsid w:val="000E0E7C"/>
    <w:rsid w:val="000E1FBF"/>
    <w:rsid w:val="000E463C"/>
    <w:rsid w:val="000E5613"/>
    <w:rsid w:val="000E577C"/>
    <w:rsid w:val="000E6170"/>
    <w:rsid w:val="000E7A2E"/>
    <w:rsid w:val="000F0557"/>
    <w:rsid w:val="000F12BD"/>
    <w:rsid w:val="000F18B0"/>
    <w:rsid w:val="000F2B89"/>
    <w:rsid w:val="000F32D7"/>
    <w:rsid w:val="000F340A"/>
    <w:rsid w:val="000F3C0F"/>
    <w:rsid w:val="000F47C7"/>
    <w:rsid w:val="000F4BE7"/>
    <w:rsid w:val="000F5E25"/>
    <w:rsid w:val="000F665E"/>
    <w:rsid w:val="000F7159"/>
    <w:rsid w:val="000F7DFC"/>
    <w:rsid w:val="00100A74"/>
    <w:rsid w:val="00100AD3"/>
    <w:rsid w:val="00101CBF"/>
    <w:rsid w:val="001020DB"/>
    <w:rsid w:val="00104237"/>
    <w:rsid w:val="00105A4D"/>
    <w:rsid w:val="00106A62"/>
    <w:rsid w:val="0010759F"/>
    <w:rsid w:val="001079B5"/>
    <w:rsid w:val="00107BCA"/>
    <w:rsid w:val="0011096B"/>
    <w:rsid w:val="00110F1F"/>
    <w:rsid w:val="001112B3"/>
    <w:rsid w:val="001119ED"/>
    <w:rsid w:val="00112FD4"/>
    <w:rsid w:val="00113379"/>
    <w:rsid w:val="00113C96"/>
    <w:rsid w:val="00114FB5"/>
    <w:rsid w:val="0011579E"/>
    <w:rsid w:val="00116072"/>
    <w:rsid w:val="001178DF"/>
    <w:rsid w:val="0012071F"/>
    <w:rsid w:val="00120837"/>
    <w:rsid w:val="0012117C"/>
    <w:rsid w:val="00121D5F"/>
    <w:rsid w:val="00121FE8"/>
    <w:rsid w:val="00122E5F"/>
    <w:rsid w:val="00124A58"/>
    <w:rsid w:val="00124FB7"/>
    <w:rsid w:val="001263B2"/>
    <w:rsid w:val="00127675"/>
    <w:rsid w:val="00132461"/>
    <w:rsid w:val="00132CBA"/>
    <w:rsid w:val="001349F9"/>
    <w:rsid w:val="0013525A"/>
    <w:rsid w:val="00136E1F"/>
    <w:rsid w:val="001373A9"/>
    <w:rsid w:val="0013763F"/>
    <w:rsid w:val="00137DE4"/>
    <w:rsid w:val="001408E9"/>
    <w:rsid w:val="001408FE"/>
    <w:rsid w:val="00140D90"/>
    <w:rsid w:val="00141017"/>
    <w:rsid w:val="00141406"/>
    <w:rsid w:val="00141689"/>
    <w:rsid w:val="00142122"/>
    <w:rsid w:val="001438DA"/>
    <w:rsid w:val="001442EA"/>
    <w:rsid w:val="00146516"/>
    <w:rsid w:val="00146BD1"/>
    <w:rsid w:val="0015018D"/>
    <w:rsid w:val="00150B02"/>
    <w:rsid w:val="00151306"/>
    <w:rsid w:val="001528FC"/>
    <w:rsid w:val="00152C48"/>
    <w:rsid w:val="00152C81"/>
    <w:rsid w:val="001531C0"/>
    <w:rsid w:val="001534D9"/>
    <w:rsid w:val="001537F0"/>
    <w:rsid w:val="0015392A"/>
    <w:rsid w:val="0015575D"/>
    <w:rsid w:val="00160297"/>
    <w:rsid w:val="00160849"/>
    <w:rsid w:val="00161DBA"/>
    <w:rsid w:val="00162E27"/>
    <w:rsid w:val="001646DB"/>
    <w:rsid w:val="0016498A"/>
    <w:rsid w:val="00167852"/>
    <w:rsid w:val="00167879"/>
    <w:rsid w:val="00170616"/>
    <w:rsid w:val="001716BA"/>
    <w:rsid w:val="00171B08"/>
    <w:rsid w:val="00176F7A"/>
    <w:rsid w:val="00180CDA"/>
    <w:rsid w:val="001844AB"/>
    <w:rsid w:val="00184D21"/>
    <w:rsid w:val="00185026"/>
    <w:rsid w:val="001872BF"/>
    <w:rsid w:val="00187D76"/>
    <w:rsid w:val="00191020"/>
    <w:rsid w:val="00191311"/>
    <w:rsid w:val="001952F0"/>
    <w:rsid w:val="00195C6A"/>
    <w:rsid w:val="00196A5F"/>
    <w:rsid w:val="00196C54"/>
    <w:rsid w:val="00196DE7"/>
    <w:rsid w:val="00197155"/>
    <w:rsid w:val="001A0618"/>
    <w:rsid w:val="001A0B7F"/>
    <w:rsid w:val="001A2082"/>
    <w:rsid w:val="001A3232"/>
    <w:rsid w:val="001A3BB9"/>
    <w:rsid w:val="001A3CBB"/>
    <w:rsid w:val="001A41C5"/>
    <w:rsid w:val="001A48AE"/>
    <w:rsid w:val="001A529F"/>
    <w:rsid w:val="001A5A58"/>
    <w:rsid w:val="001A698D"/>
    <w:rsid w:val="001B0604"/>
    <w:rsid w:val="001B078F"/>
    <w:rsid w:val="001B0A93"/>
    <w:rsid w:val="001B134B"/>
    <w:rsid w:val="001B1B9E"/>
    <w:rsid w:val="001B1F4C"/>
    <w:rsid w:val="001B35CB"/>
    <w:rsid w:val="001B3FF3"/>
    <w:rsid w:val="001B51BB"/>
    <w:rsid w:val="001B5524"/>
    <w:rsid w:val="001B5AF5"/>
    <w:rsid w:val="001B5BAB"/>
    <w:rsid w:val="001B5D89"/>
    <w:rsid w:val="001B63B2"/>
    <w:rsid w:val="001C064C"/>
    <w:rsid w:val="001C33CE"/>
    <w:rsid w:val="001C3FA6"/>
    <w:rsid w:val="001C6008"/>
    <w:rsid w:val="001C78F8"/>
    <w:rsid w:val="001D2B15"/>
    <w:rsid w:val="001D4C10"/>
    <w:rsid w:val="001D53AF"/>
    <w:rsid w:val="001D5ED1"/>
    <w:rsid w:val="001E05DC"/>
    <w:rsid w:val="001E0E82"/>
    <w:rsid w:val="001E2E81"/>
    <w:rsid w:val="001E3634"/>
    <w:rsid w:val="001E42C0"/>
    <w:rsid w:val="001E4B1D"/>
    <w:rsid w:val="001E5A9A"/>
    <w:rsid w:val="001E5BA4"/>
    <w:rsid w:val="001F2642"/>
    <w:rsid w:val="001F31E0"/>
    <w:rsid w:val="001F491D"/>
    <w:rsid w:val="002003CC"/>
    <w:rsid w:val="00202402"/>
    <w:rsid w:val="00202599"/>
    <w:rsid w:val="002040A8"/>
    <w:rsid w:val="0020591A"/>
    <w:rsid w:val="002078D7"/>
    <w:rsid w:val="00212044"/>
    <w:rsid w:val="00212B7A"/>
    <w:rsid w:val="00213E37"/>
    <w:rsid w:val="00220795"/>
    <w:rsid w:val="00220D72"/>
    <w:rsid w:val="0022121B"/>
    <w:rsid w:val="0022164E"/>
    <w:rsid w:val="002229CA"/>
    <w:rsid w:val="00223443"/>
    <w:rsid w:val="00223849"/>
    <w:rsid w:val="00224077"/>
    <w:rsid w:val="00225099"/>
    <w:rsid w:val="00225124"/>
    <w:rsid w:val="002273D1"/>
    <w:rsid w:val="00227A14"/>
    <w:rsid w:val="00227F12"/>
    <w:rsid w:val="002312EA"/>
    <w:rsid w:val="002333D9"/>
    <w:rsid w:val="00234837"/>
    <w:rsid w:val="00235212"/>
    <w:rsid w:val="002352AC"/>
    <w:rsid w:val="00243CEA"/>
    <w:rsid w:val="0024537E"/>
    <w:rsid w:val="00247BEC"/>
    <w:rsid w:val="00251748"/>
    <w:rsid w:val="002537E1"/>
    <w:rsid w:val="00254F59"/>
    <w:rsid w:val="002573FA"/>
    <w:rsid w:val="00263450"/>
    <w:rsid w:val="00263717"/>
    <w:rsid w:val="00264119"/>
    <w:rsid w:val="00265955"/>
    <w:rsid w:val="002677BD"/>
    <w:rsid w:val="002702DD"/>
    <w:rsid w:val="00270D83"/>
    <w:rsid w:val="00270FB1"/>
    <w:rsid w:val="0027132E"/>
    <w:rsid w:val="00271331"/>
    <w:rsid w:val="002715F5"/>
    <w:rsid w:val="00271E40"/>
    <w:rsid w:val="002759A1"/>
    <w:rsid w:val="00275BDE"/>
    <w:rsid w:val="00276E44"/>
    <w:rsid w:val="00282406"/>
    <w:rsid w:val="00282F2D"/>
    <w:rsid w:val="00283929"/>
    <w:rsid w:val="002843A4"/>
    <w:rsid w:val="002863F0"/>
    <w:rsid w:val="0028668A"/>
    <w:rsid w:val="00287CAD"/>
    <w:rsid w:val="002913C7"/>
    <w:rsid w:val="002913E9"/>
    <w:rsid w:val="00291A86"/>
    <w:rsid w:val="00292F6A"/>
    <w:rsid w:val="00293777"/>
    <w:rsid w:val="0029402B"/>
    <w:rsid w:val="002951FD"/>
    <w:rsid w:val="00296752"/>
    <w:rsid w:val="0029679E"/>
    <w:rsid w:val="00296BB5"/>
    <w:rsid w:val="00296E3D"/>
    <w:rsid w:val="002A0225"/>
    <w:rsid w:val="002A2AC8"/>
    <w:rsid w:val="002A4BB7"/>
    <w:rsid w:val="002A7A3D"/>
    <w:rsid w:val="002B2FE5"/>
    <w:rsid w:val="002B320B"/>
    <w:rsid w:val="002B4675"/>
    <w:rsid w:val="002B5D59"/>
    <w:rsid w:val="002B6CE7"/>
    <w:rsid w:val="002B7CC6"/>
    <w:rsid w:val="002C289F"/>
    <w:rsid w:val="002C4074"/>
    <w:rsid w:val="002C520D"/>
    <w:rsid w:val="002C5C02"/>
    <w:rsid w:val="002C75D5"/>
    <w:rsid w:val="002D154F"/>
    <w:rsid w:val="002D1914"/>
    <w:rsid w:val="002D1B67"/>
    <w:rsid w:val="002D259B"/>
    <w:rsid w:val="002D2A25"/>
    <w:rsid w:val="002D2A3D"/>
    <w:rsid w:val="002D2F1A"/>
    <w:rsid w:val="002D387A"/>
    <w:rsid w:val="002D545A"/>
    <w:rsid w:val="002D5B65"/>
    <w:rsid w:val="002D60D9"/>
    <w:rsid w:val="002D6D52"/>
    <w:rsid w:val="002E0ED2"/>
    <w:rsid w:val="002E2F51"/>
    <w:rsid w:val="002E344F"/>
    <w:rsid w:val="002E4870"/>
    <w:rsid w:val="002E5AEB"/>
    <w:rsid w:val="002F06D2"/>
    <w:rsid w:val="002F14A7"/>
    <w:rsid w:val="002F1FBD"/>
    <w:rsid w:val="002F2403"/>
    <w:rsid w:val="002F2632"/>
    <w:rsid w:val="002F2C89"/>
    <w:rsid w:val="002F33AE"/>
    <w:rsid w:val="002F37FD"/>
    <w:rsid w:val="002F3854"/>
    <w:rsid w:val="002F5843"/>
    <w:rsid w:val="002F6246"/>
    <w:rsid w:val="002F7560"/>
    <w:rsid w:val="002F7F26"/>
    <w:rsid w:val="0030005E"/>
    <w:rsid w:val="0030121C"/>
    <w:rsid w:val="003054DA"/>
    <w:rsid w:val="00305C57"/>
    <w:rsid w:val="00306FB4"/>
    <w:rsid w:val="003104AD"/>
    <w:rsid w:val="00313EA2"/>
    <w:rsid w:val="0031428D"/>
    <w:rsid w:val="003155EC"/>
    <w:rsid w:val="00315EAB"/>
    <w:rsid w:val="00316298"/>
    <w:rsid w:val="00317520"/>
    <w:rsid w:val="00317FC0"/>
    <w:rsid w:val="00320589"/>
    <w:rsid w:val="003218CA"/>
    <w:rsid w:val="0032222A"/>
    <w:rsid w:val="00323D40"/>
    <w:rsid w:val="003240F4"/>
    <w:rsid w:val="00324744"/>
    <w:rsid w:val="0032568E"/>
    <w:rsid w:val="00325C4D"/>
    <w:rsid w:val="00325EA4"/>
    <w:rsid w:val="003266BA"/>
    <w:rsid w:val="00326990"/>
    <w:rsid w:val="00326C9D"/>
    <w:rsid w:val="003272C5"/>
    <w:rsid w:val="00327B70"/>
    <w:rsid w:val="003326EE"/>
    <w:rsid w:val="00332EF9"/>
    <w:rsid w:val="00333E48"/>
    <w:rsid w:val="00334484"/>
    <w:rsid w:val="0033481B"/>
    <w:rsid w:val="00335B70"/>
    <w:rsid w:val="00335F2E"/>
    <w:rsid w:val="00336E1F"/>
    <w:rsid w:val="0033797E"/>
    <w:rsid w:val="00340813"/>
    <w:rsid w:val="00340BF4"/>
    <w:rsid w:val="0034146A"/>
    <w:rsid w:val="00342225"/>
    <w:rsid w:val="00344FDE"/>
    <w:rsid w:val="003457A7"/>
    <w:rsid w:val="00345AE7"/>
    <w:rsid w:val="00346024"/>
    <w:rsid w:val="00346985"/>
    <w:rsid w:val="00347074"/>
    <w:rsid w:val="00347E28"/>
    <w:rsid w:val="003510E9"/>
    <w:rsid w:val="003535FA"/>
    <w:rsid w:val="00354DA8"/>
    <w:rsid w:val="00354FB5"/>
    <w:rsid w:val="0035597F"/>
    <w:rsid w:val="00355DE9"/>
    <w:rsid w:val="003569A5"/>
    <w:rsid w:val="00356F7E"/>
    <w:rsid w:val="003617E2"/>
    <w:rsid w:val="00366300"/>
    <w:rsid w:val="003761DC"/>
    <w:rsid w:val="0037761D"/>
    <w:rsid w:val="003809C6"/>
    <w:rsid w:val="00380D7D"/>
    <w:rsid w:val="003822DD"/>
    <w:rsid w:val="00382694"/>
    <w:rsid w:val="00383D5B"/>
    <w:rsid w:val="00385520"/>
    <w:rsid w:val="00385812"/>
    <w:rsid w:val="00387F18"/>
    <w:rsid w:val="0039236B"/>
    <w:rsid w:val="00392BBE"/>
    <w:rsid w:val="00395105"/>
    <w:rsid w:val="00395ABE"/>
    <w:rsid w:val="0039746F"/>
    <w:rsid w:val="003A03FC"/>
    <w:rsid w:val="003A1125"/>
    <w:rsid w:val="003A192E"/>
    <w:rsid w:val="003A1B5F"/>
    <w:rsid w:val="003A2AF9"/>
    <w:rsid w:val="003B0461"/>
    <w:rsid w:val="003B0525"/>
    <w:rsid w:val="003B0599"/>
    <w:rsid w:val="003B2155"/>
    <w:rsid w:val="003B427B"/>
    <w:rsid w:val="003B57A3"/>
    <w:rsid w:val="003B653B"/>
    <w:rsid w:val="003C0595"/>
    <w:rsid w:val="003C3379"/>
    <w:rsid w:val="003C4168"/>
    <w:rsid w:val="003C75E0"/>
    <w:rsid w:val="003D2496"/>
    <w:rsid w:val="003D2AF0"/>
    <w:rsid w:val="003D44F6"/>
    <w:rsid w:val="003D68A2"/>
    <w:rsid w:val="003D69E1"/>
    <w:rsid w:val="003D6C55"/>
    <w:rsid w:val="003D73DC"/>
    <w:rsid w:val="003E034A"/>
    <w:rsid w:val="003E04F8"/>
    <w:rsid w:val="003E3940"/>
    <w:rsid w:val="003E516E"/>
    <w:rsid w:val="003E58DA"/>
    <w:rsid w:val="003E653F"/>
    <w:rsid w:val="003E6AEB"/>
    <w:rsid w:val="003E6D14"/>
    <w:rsid w:val="003E6EB6"/>
    <w:rsid w:val="003E7061"/>
    <w:rsid w:val="003F4A4B"/>
    <w:rsid w:val="003F5DB4"/>
    <w:rsid w:val="003F63ED"/>
    <w:rsid w:val="003F7E89"/>
    <w:rsid w:val="00401508"/>
    <w:rsid w:val="0040242D"/>
    <w:rsid w:val="0040309E"/>
    <w:rsid w:val="0040337A"/>
    <w:rsid w:val="0040534E"/>
    <w:rsid w:val="00405CA9"/>
    <w:rsid w:val="00406564"/>
    <w:rsid w:val="004121CF"/>
    <w:rsid w:val="00412D92"/>
    <w:rsid w:val="00416018"/>
    <w:rsid w:val="0041610C"/>
    <w:rsid w:val="00416BC6"/>
    <w:rsid w:val="0041742B"/>
    <w:rsid w:val="004218B0"/>
    <w:rsid w:val="004229DB"/>
    <w:rsid w:val="004229FE"/>
    <w:rsid w:val="004247C1"/>
    <w:rsid w:val="00424F07"/>
    <w:rsid w:val="00425B08"/>
    <w:rsid w:val="00427725"/>
    <w:rsid w:val="004307DD"/>
    <w:rsid w:val="004316DC"/>
    <w:rsid w:val="00432625"/>
    <w:rsid w:val="0043268E"/>
    <w:rsid w:val="00432BB6"/>
    <w:rsid w:val="00433278"/>
    <w:rsid w:val="004345E0"/>
    <w:rsid w:val="004356A4"/>
    <w:rsid w:val="00435BF4"/>
    <w:rsid w:val="00436D8E"/>
    <w:rsid w:val="00437AB0"/>
    <w:rsid w:val="004401F1"/>
    <w:rsid w:val="004410D9"/>
    <w:rsid w:val="00444DF3"/>
    <w:rsid w:val="00445F00"/>
    <w:rsid w:val="004464E2"/>
    <w:rsid w:val="00446609"/>
    <w:rsid w:val="00446729"/>
    <w:rsid w:val="00446858"/>
    <w:rsid w:val="004473E7"/>
    <w:rsid w:val="00447B06"/>
    <w:rsid w:val="004518D7"/>
    <w:rsid w:val="00453991"/>
    <w:rsid w:val="0045524B"/>
    <w:rsid w:val="004560FD"/>
    <w:rsid w:val="004568B3"/>
    <w:rsid w:val="004569F3"/>
    <w:rsid w:val="00456A8C"/>
    <w:rsid w:val="004573AF"/>
    <w:rsid w:val="00462CEB"/>
    <w:rsid w:val="004637BA"/>
    <w:rsid w:val="00464DB4"/>
    <w:rsid w:val="0046608A"/>
    <w:rsid w:val="00466589"/>
    <w:rsid w:val="00466851"/>
    <w:rsid w:val="00467487"/>
    <w:rsid w:val="00470423"/>
    <w:rsid w:val="0047060A"/>
    <w:rsid w:val="00474A79"/>
    <w:rsid w:val="00474E33"/>
    <w:rsid w:val="0047520E"/>
    <w:rsid w:val="00475ADD"/>
    <w:rsid w:val="004807B4"/>
    <w:rsid w:val="00482192"/>
    <w:rsid w:val="00482583"/>
    <w:rsid w:val="0048384C"/>
    <w:rsid w:val="00484885"/>
    <w:rsid w:val="00485039"/>
    <w:rsid w:val="00486D56"/>
    <w:rsid w:val="0048734F"/>
    <w:rsid w:val="004874DC"/>
    <w:rsid w:val="004879A8"/>
    <w:rsid w:val="00491152"/>
    <w:rsid w:val="00491AA5"/>
    <w:rsid w:val="00491ED9"/>
    <w:rsid w:val="0049398C"/>
    <w:rsid w:val="00494BB0"/>
    <w:rsid w:val="00495A26"/>
    <w:rsid w:val="00495F0B"/>
    <w:rsid w:val="004A39F2"/>
    <w:rsid w:val="004A3CA5"/>
    <w:rsid w:val="004A42D2"/>
    <w:rsid w:val="004A4396"/>
    <w:rsid w:val="004B59F7"/>
    <w:rsid w:val="004B5FCB"/>
    <w:rsid w:val="004B71C7"/>
    <w:rsid w:val="004C0259"/>
    <w:rsid w:val="004C28DF"/>
    <w:rsid w:val="004C32D3"/>
    <w:rsid w:val="004C6304"/>
    <w:rsid w:val="004C65DB"/>
    <w:rsid w:val="004D074E"/>
    <w:rsid w:val="004D31A4"/>
    <w:rsid w:val="004D415A"/>
    <w:rsid w:val="004D44AF"/>
    <w:rsid w:val="004D60EC"/>
    <w:rsid w:val="004D62A9"/>
    <w:rsid w:val="004D71C6"/>
    <w:rsid w:val="004D7208"/>
    <w:rsid w:val="004E0951"/>
    <w:rsid w:val="004E09C0"/>
    <w:rsid w:val="004E0B0E"/>
    <w:rsid w:val="004E1BE6"/>
    <w:rsid w:val="004E57A9"/>
    <w:rsid w:val="004E5946"/>
    <w:rsid w:val="004F231F"/>
    <w:rsid w:val="004F59F7"/>
    <w:rsid w:val="004F649B"/>
    <w:rsid w:val="004F7337"/>
    <w:rsid w:val="004F73F3"/>
    <w:rsid w:val="00500B58"/>
    <w:rsid w:val="00500BEC"/>
    <w:rsid w:val="00501A48"/>
    <w:rsid w:val="00501C30"/>
    <w:rsid w:val="005026EE"/>
    <w:rsid w:val="00504DFE"/>
    <w:rsid w:val="0050636F"/>
    <w:rsid w:val="00506FAA"/>
    <w:rsid w:val="005074A8"/>
    <w:rsid w:val="00507C98"/>
    <w:rsid w:val="00510160"/>
    <w:rsid w:val="00510865"/>
    <w:rsid w:val="00511026"/>
    <w:rsid w:val="00511298"/>
    <w:rsid w:val="00512871"/>
    <w:rsid w:val="00512FBF"/>
    <w:rsid w:val="00513019"/>
    <w:rsid w:val="00513D39"/>
    <w:rsid w:val="00515B15"/>
    <w:rsid w:val="00515B8B"/>
    <w:rsid w:val="005160E3"/>
    <w:rsid w:val="00520ED9"/>
    <w:rsid w:val="00522310"/>
    <w:rsid w:val="005226A4"/>
    <w:rsid w:val="005230E8"/>
    <w:rsid w:val="00523E73"/>
    <w:rsid w:val="00524DDC"/>
    <w:rsid w:val="00525110"/>
    <w:rsid w:val="0052687B"/>
    <w:rsid w:val="00527F19"/>
    <w:rsid w:val="005303BB"/>
    <w:rsid w:val="00530BDE"/>
    <w:rsid w:val="00531238"/>
    <w:rsid w:val="00531E5D"/>
    <w:rsid w:val="00532800"/>
    <w:rsid w:val="00532AB4"/>
    <w:rsid w:val="00533726"/>
    <w:rsid w:val="0053380C"/>
    <w:rsid w:val="00536308"/>
    <w:rsid w:val="00537622"/>
    <w:rsid w:val="00540429"/>
    <w:rsid w:val="005411C4"/>
    <w:rsid w:val="00542AC8"/>
    <w:rsid w:val="00542C3C"/>
    <w:rsid w:val="00543A3F"/>
    <w:rsid w:val="00543F53"/>
    <w:rsid w:val="00544061"/>
    <w:rsid w:val="005445C4"/>
    <w:rsid w:val="00545C13"/>
    <w:rsid w:val="0054668B"/>
    <w:rsid w:val="00547EDB"/>
    <w:rsid w:val="00551D6E"/>
    <w:rsid w:val="0055410C"/>
    <w:rsid w:val="005549D9"/>
    <w:rsid w:val="005554F5"/>
    <w:rsid w:val="00555831"/>
    <w:rsid w:val="00557455"/>
    <w:rsid w:val="005619C6"/>
    <w:rsid w:val="005622BF"/>
    <w:rsid w:val="0056299A"/>
    <w:rsid w:val="00562B21"/>
    <w:rsid w:val="00562FA5"/>
    <w:rsid w:val="0056348D"/>
    <w:rsid w:val="00564D5D"/>
    <w:rsid w:val="005653D2"/>
    <w:rsid w:val="00565E00"/>
    <w:rsid w:val="00566785"/>
    <w:rsid w:val="00566B8D"/>
    <w:rsid w:val="00566E68"/>
    <w:rsid w:val="00572F96"/>
    <w:rsid w:val="00573621"/>
    <w:rsid w:val="00575116"/>
    <w:rsid w:val="00575B23"/>
    <w:rsid w:val="00577F96"/>
    <w:rsid w:val="005805E9"/>
    <w:rsid w:val="005830CD"/>
    <w:rsid w:val="0058363B"/>
    <w:rsid w:val="0058387E"/>
    <w:rsid w:val="00583DC0"/>
    <w:rsid w:val="00583F61"/>
    <w:rsid w:val="00584597"/>
    <w:rsid w:val="00584C1C"/>
    <w:rsid w:val="00586586"/>
    <w:rsid w:val="00591416"/>
    <w:rsid w:val="005925CA"/>
    <w:rsid w:val="005933DA"/>
    <w:rsid w:val="00593EE7"/>
    <w:rsid w:val="0059669E"/>
    <w:rsid w:val="00596A13"/>
    <w:rsid w:val="005A2B4A"/>
    <w:rsid w:val="005A3B94"/>
    <w:rsid w:val="005A4AD9"/>
    <w:rsid w:val="005A589E"/>
    <w:rsid w:val="005A66BD"/>
    <w:rsid w:val="005A6DA3"/>
    <w:rsid w:val="005A75B8"/>
    <w:rsid w:val="005B1373"/>
    <w:rsid w:val="005B272B"/>
    <w:rsid w:val="005B40C2"/>
    <w:rsid w:val="005B479D"/>
    <w:rsid w:val="005B5720"/>
    <w:rsid w:val="005B58C1"/>
    <w:rsid w:val="005B6CA4"/>
    <w:rsid w:val="005B7891"/>
    <w:rsid w:val="005C0D37"/>
    <w:rsid w:val="005C0F89"/>
    <w:rsid w:val="005C12CB"/>
    <w:rsid w:val="005C36EF"/>
    <w:rsid w:val="005C5255"/>
    <w:rsid w:val="005C53A0"/>
    <w:rsid w:val="005C5A51"/>
    <w:rsid w:val="005C65C6"/>
    <w:rsid w:val="005C66B9"/>
    <w:rsid w:val="005D1345"/>
    <w:rsid w:val="005D26AC"/>
    <w:rsid w:val="005D3206"/>
    <w:rsid w:val="005D3D69"/>
    <w:rsid w:val="005D4580"/>
    <w:rsid w:val="005D489B"/>
    <w:rsid w:val="005D4B2E"/>
    <w:rsid w:val="005D4E43"/>
    <w:rsid w:val="005D6633"/>
    <w:rsid w:val="005D684E"/>
    <w:rsid w:val="005D6E17"/>
    <w:rsid w:val="005D6FDA"/>
    <w:rsid w:val="005D73E9"/>
    <w:rsid w:val="005E0F86"/>
    <w:rsid w:val="005E30A5"/>
    <w:rsid w:val="005E58A8"/>
    <w:rsid w:val="005E7942"/>
    <w:rsid w:val="005F0715"/>
    <w:rsid w:val="005F075D"/>
    <w:rsid w:val="005F0E98"/>
    <w:rsid w:val="005F1E01"/>
    <w:rsid w:val="005F2635"/>
    <w:rsid w:val="005F4123"/>
    <w:rsid w:val="00600B54"/>
    <w:rsid w:val="0060380C"/>
    <w:rsid w:val="00603C78"/>
    <w:rsid w:val="00604B39"/>
    <w:rsid w:val="00605AA7"/>
    <w:rsid w:val="00606B8B"/>
    <w:rsid w:val="00607DD7"/>
    <w:rsid w:val="0061198F"/>
    <w:rsid w:val="006123D7"/>
    <w:rsid w:val="00612EF6"/>
    <w:rsid w:val="00612F1D"/>
    <w:rsid w:val="00613B25"/>
    <w:rsid w:val="006166E5"/>
    <w:rsid w:val="006208B5"/>
    <w:rsid w:val="006212C2"/>
    <w:rsid w:val="0062210D"/>
    <w:rsid w:val="006229BC"/>
    <w:rsid w:val="006241E5"/>
    <w:rsid w:val="0062439E"/>
    <w:rsid w:val="00624871"/>
    <w:rsid w:val="00624AE1"/>
    <w:rsid w:val="00624AFF"/>
    <w:rsid w:val="00624B97"/>
    <w:rsid w:val="00624C19"/>
    <w:rsid w:val="00625B30"/>
    <w:rsid w:val="00626DAC"/>
    <w:rsid w:val="00627EE7"/>
    <w:rsid w:val="00631386"/>
    <w:rsid w:val="00632FA0"/>
    <w:rsid w:val="0063341F"/>
    <w:rsid w:val="0063439F"/>
    <w:rsid w:val="00635AD5"/>
    <w:rsid w:val="00636AAE"/>
    <w:rsid w:val="00636F47"/>
    <w:rsid w:val="00640034"/>
    <w:rsid w:val="00640385"/>
    <w:rsid w:val="00646AB0"/>
    <w:rsid w:val="00646E1E"/>
    <w:rsid w:val="00650B6D"/>
    <w:rsid w:val="00653A8A"/>
    <w:rsid w:val="00656AF7"/>
    <w:rsid w:val="00657947"/>
    <w:rsid w:val="0066040F"/>
    <w:rsid w:val="00660DF9"/>
    <w:rsid w:val="00662559"/>
    <w:rsid w:val="0066351C"/>
    <w:rsid w:val="00663964"/>
    <w:rsid w:val="00664656"/>
    <w:rsid w:val="0066489D"/>
    <w:rsid w:val="00665275"/>
    <w:rsid w:val="00665A0C"/>
    <w:rsid w:val="00665DFB"/>
    <w:rsid w:val="0067053B"/>
    <w:rsid w:val="00670DB1"/>
    <w:rsid w:val="00670F39"/>
    <w:rsid w:val="00670F6B"/>
    <w:rsid w:val="0067287D"/>
    <w:rsid w:val="0067327D"/>
    <w:rsid w:val="00673283"/>
    <w:rsid w:val="006745A8"/>
    <w:rsid w:val="0067758E"/>
    <w:rsid w:val="00681128"/>
    <w:rsid w:val="006816C3"/>
    <w:rsid w:val="00683A90"/>
    <w:rsid w:val="00684E25"/>
    <w:rsid w:val="00685588"/>
    <w:rsid w:val="006859FB"/>
    <w:rsid w:val="00690921"/>
    <w:rsid w:val="006917A6"/>
    <w:rsid w:val="00692729"/>
    <w:rsid w:val="00693E31"/>
    <w:rsid w:val="006941B9"/>
    <w:rsid w:val="006941EA"/>
    <w:rsid w:val="0069609A"/>
    <w:rsid w:val="006A1322"/>
    <w:rsid w:val="006A1F8F"/>
    <w:rsid w:val="006A22FB"/>
    <w:rsid w:val="006A3D1D"/>
    <w:rsid w:val="006A4B61"/>
    <w:rsid w:val="006A5860"/>
    <w:rsid w:val="006A5D3C"/>
    <w:rsid w:val="006A6997"/>
    <w:rsid w:val="006B1DF4"/>
    <w:rsid w:val="006B2A86"/>
    <w:rsid w:val="006B2C8D"/>
    <w:rsid w:val="006B4E5F"/>
    <w:rsid w:val="006B601C"/>
    <w:rsid w:val="006B6C99"/>
    <w:rsid w:val="006B72EC"/>
    <w:rsid w:val="006B79B9"/>
    <w:rsid w:val="006C1095"/>
    <w:rsid w:val="006C1151"/>
    <w:rsid w:val="006C448B"/>
    <w:rsid w:val="006C46E3"/>
    <w:rsid w:val="006C558E"/>
    <w:rsid w:val="006C7D83"/>
    <w:rsid w:val="006C7DB6"/>
    <w:rsid w:val="006D1349"/>
    <w:rsid w:val="006D238F"/>
    <w:rsid w:val="006D2D47"/>
    <w:rsid w:val="006D47A1"/>
    <w:rsid w:val="006D5B30"/>
    <w:rsid w:val="006D60BC"/>
    <w:rsid w:val="006D76B3"/>
    <w:rsid w:val="006E1247"/>
    <w:rsid w:val="006E1636"/>
    <w:rsid w:val="006E3D38"/>
    <w:rsid w:val="006E47A2"/>
    <w:rsid w:val="006E4CF6"/>
    <w:rsid w:val="006E777C"/>
    <w:rsid w:val="006F1F1F"/>
    <w:rsid w:val="006F1FA7"/>
    <w:rsid w:val="006F24A6"/>
    <w:rsid w:val="006F4768"/>
    <w:rsid w:val="006F5CD3"/>
    <w:rsid w:val="006F5F2C"/>
    <w:rsid w:val="006F6423"/>
    <w:rsid w:val="006F7213"/>
    <w:rsid w:val="007000DD"/>
    <w:rsid w:val="0070032E"/>
    <w:rsid w:val="00701784"/>
    <w:rsid w:val="007021EB"/>
    <w:rsid w:val="00704A45"/>
    <w:rsid w:val="0071019D"/>
    <w:rsid w:val="00710B72"/>
    <w:rsid w:val="00712BEB"/>
    <w:rsid w:val="00712F85"/>
    <w:rsid w:val="00713428"/>
    <w:rsid w:val="007140E4"/>
    <w:rsid w:val="0071441B"/>
    <w:rsid w:val="00714B35"/>
    <w:rsid w:val="00715B8B"/>
    <w:rsid w:val="007171DD"/>
    <w:rsid w:val="007177D5"/>
    <w:rsid w:val="007214E8"/>
    <w:rsid w:val="00721DF9"/>
    <w:rsid w:val="00722F9F"/>
    <w:rsid w:val="00725273"/>
    <w:rsid w:val="007253D4"/>
    <w:rsid w:val="0072586F"/>
    <w:rsid w:val="00726FFE"/>
    <w:rsid w:val="00727948"/>
    <w:rsid w:val="0073101D"/>
    <w:rsid w:val="0073372C"/>
    <w:rsid w:val="00734ABD"/>
    <w:rsid w:val="00735265"/>
    <w:rsid w:val="00737263"/>
    <w:rsid w:val="007403AA"/>
    <w:rsid w:val="007404D0"/>
    <w:rsid w:val="007409E1"/>
    <w:rsid w:val="007418E3"/>
    <w:rsid w:val="00743BBB"/>
    <w:rsid w:val="00743DA5"/>
    <w:rsid w:val="00743ECC"/>
    <w:rsid w:val="00744027"/>
    <w:rsid w:val="007442D8"/>
    <w:rsid w:val="007442F3"/>
    <w:rsid w:val="00744CA5"/>
    <w:rsid w:val="007451F5"/>
    <w:rsid w:val="00747488"/>
    <w:rsid w:val="0074763B"/>
    <w:rsid w:val="0074789B"/>
    <w:rsid w:val="00750733"/>
    <w:rsid w:val="007509A7"/>
    <w:rsid w:val="00750E3E"/>
    <w:rsid w:val="00751F68"/>
    <w:rsid w:val="00755AE2"/>
    <w:rsid w:val="00755C3F"/>
    <w:rsid w:val="00755E58"/>
    <w:rsid w:val="007568C1"/>
    <w:rsid w:val="00756A52"/>
    <w:rsid w:val="0076161D"/>
    <w:rsid w:val="007623B8"/>
    <w:rsid w:val="00763765"/>
    <w:rsid w:val="00763804"/>
    <w:rsid w:val="00763BFC"/>
    <w:rsid w:val="0076449B"/>
    <w:rsid w:val="00764DB2"/>
    <w:rsid w:val="00764EA5"/>
    <w:rsid w:val="00765741"/>
    <w:rsid w:val="007664DA"/>
    <w:rsid w:val="00766FE2"/>
    <w:rsid w:val="00767E51"/>
    <w:rsid w:val="00771C42"/>
    <w:rsid w:val="00772265"/>
    <w:rsid w:val="00772FC4"/>
    <w:rsid w:val="00774C6E"/>
    <w:rsid w:val="007761F8"/>
    <w:rsid w:val="00776441"/>
    <w:rsid w:val="007766A9"/>
    <w:rsid w:val="007778D7"/>
    <w:rsid w:val="00777A02"/>
    <w:rsid w:val="00780B86"/>
    <w:rsid w:val="00782D6B"/>
    <w:rsid w:val="00783513"/>
    <w:rsid w:val="00785D2B"/>
    <w:rsid w:val="00790C9C"/>
    <w:rsid w:val="00790E15"/>
    <w:rsid w:val="0079354B"/>
    <w:rsid w:val="00794477"/>
    <w:rsid w:val="00794569"/>
    <w:rsid w:val="00794EA2"/>
    <w:rsid w:val="0079508F"/>
    <w:rsid w:val="00795772"/>
    <w:rsid w:val="00795B16"/>
    <w:rsid w:val="00796525"/>
    <w:rsid w:val="00797E58"/>
    <w:rsid w:val="007A1199"/>
    <w:rsid w:val="007A16CD"/>
    <w:rsid w:val="007A20DD"/>
    <w:rsid w:val="007A3CCF"/>
    <w:rsid w:val="007A3ED6"/>
    <w:rsid w:val="007A3F9E"/>
    <w:rsid w:val="007A49D3"/>
    <w:rsid w:val="007A54E3"/>
    <w:rsid w:val="007A633D"/>
    <w:rsid w:val="007A7BA7"/>
    <w:rsid w:val="007A7D5E"/>
    <w:rsid w:val="007B0D91"/>
    <w:rsid w:val="007B397D"/>
    <w:rsid w:val="007B46C7"/>
    <w:rsid w:val="007B4AF7"/>
    <w:rsid w:val="007B52BC"/>
    <w:rsid w:val="007C30F8"/>
    <w:rsid w:val="007C3615"/>
    <w:rsid w:val="007C38F8"/>
    <w:rsid w:val="007C4DC2"/>
    <w:rsid w:val="007C4F4D"/>
    <w:rsid w:val="007C5365"/>
    <w:rsid w:val="007C53AA"/>
    <w:rsid w:val="007C59D0"/>
    <w:rsid w:val="007C75FE"/>
    <w:rsid w:val="007C7C5C"/>
    <w:rsid w:val="007D00A9"/>
    <w:rsid w:val="007D2B39"/>
    <w:rsid w:val="007D429F"/>
    <w:rsid w:val="007D4CFA"/>
    <w:rsid w:val="007D4F04"/>
    <w:rsid w:val="007D6BBF"/>
    <w:rsid w:val="007D7195"/>
    <w:rsid w:val="007E0A7E"/>
    <w:rsid w:val="007E0CA6"/>
    <w:rsid w:val="007E2361"/>
    <w:rsid w:val="007E285A"/>
    <w:rsid w:val="007E316A"/>
    <w:rsid w:val="007E34A0"/>
    <w:rsid w:val="007E517F"/>
    <w:rsid w:val="007E5873"/>
    <w:rsid w:val="007E5B00"/>
    <w:rsid w:val="007E5D67"/>
    <w:rsid w:val="007E630A"/>
    <w:rsid w:val="007E7A90"/>
    <w:rsid w:val="007F0E9E"/>
    <w:rsid w:val="007F1FB4"/>
    <w:rsid w:val="007F211F"/>
    <w:rsid w:val="007F4114"/>
    <w:rsid w:val="007F586D"/>
    <w:rsid w:val="00800762"/>
    <w:rsid w:val="008017E5"/>
    <w:rsid w:val="00802102"/>
    <w:rsid w:val="00802B9C"/>
    <w:rsid w:val="00802E8C"/>
    <w:rsid w:val="00803269"/>
    <w:rsid w:val="00807AB2"/>
    <w:rsid w:val="0081176D"/>
    <w:rsid w:val="0081275E"/>
    <w:rsid w:val="00813F9F"/>
    <w:rsid w:val="008149BD"/>
    <w:rsid w:val="00814DF9"/>
    <w:rsid w:val="00815528"/>
    <w:rsid w:val="008159F2"/>
    <w:rsid w:val="00815CA0"/>
    <w:rsid w:val="00815D54"/>
    <w:rsid w:val="00815FD9"/>
    <w:rsid w:val="0081699E"/>
    <w:rsid w:val="00817AF9"/>
    <w:rsid w:val="008201D6"/>
    <w:rsid w:val="00820B50"/>
    <w:rsid w:val="00820D1B"/>
    <w:rsid w:val="00821207"/>
    <w:rsid w:val="00821991"/>
    <w:rsid w:val="00821ACA"/>
    <w:rsid w:val="00823647"/>
    <w:rsid w:val="00823F07"/>
    <w:rsid w:val="00824BD9"/>
    <w:rsid w:val="0082617E"/>
    <w:rsid w:val="00827DC7"/>
    <w:rsid w:val="0083039D"/>
    <w:rsid w:val="008306D4"/>
    <w:rsid w:val="0083076B"/>
    <w:rsid w:val="00831616"/>
    <w:rsid w:val="008321BF"/>
    <w:rsid w:val="008329C1"/>
    <w:rsid w:val="00832BFA"/>
    <w:rsid w:val="00837464"/>
    <w:rsid w:val="00837D89"/>
    <w:rsid w:val="0084205F"/>
    <w:rsid w:val="0084371C"/>
    <w:rsid w:val="00843C09"/>
    <w:rsid w:val="0084432A"/>
    <w:rsid w:val="008450D1"/>
    <w:rsid w:val="0084515C"/>
    <w:rsid w:val="00846CE8"/>
    <w:rsid w:val="00850099"/>
    <w:rsid w:val="00851DC0"/>
    <w:rsid w:val="00851DCD"/>
    <w:rsid w:val="00851FFA"/>
    <w:rsid w:val="00852B1B"/>
    <w:rsid w:val="00853130"/>
    <w:rsid w:val="00853889"/>
    <w:rsid w:val="00854AAC"/>
    <w:rsid w:val="00855C17"/>
    <w:rsid w:val="0085626C"/>
    <w:rsid w:val="00857CD8"/>
    <w:rsid w:val="008605F1"/>
    <w:rsid w:val="00861285"/>
    <w:rsid w:val="00861968"/>
    <w:rsid w:val="0086214A"/>
    <w:rsid w:val="00862651"/>
    <w:rsid w:val="0086349B"/>
    <w:rsid w:val="00866F21"/>
    <w:rsid w:val="00867345"/>
    <w:rsid w:val="00867EEA"/>
    <w:rsid w:val="00870719"/>
    <w:rsid w:val="00870835"/>
    <w:rsid w:val="00870962"/>
    <w:rsid w:val="008719BD"/>
    <w:rsid w:val="008719F7"/>
    <w:rsid w:val="00871F09"/>
    <w:rsid w:val="00874AD0"/>
    <w:rsid w:val="00874FB0"/>
    <w:rsid w:val="00876329"/>
    <w:rsid w:val="008764F1"/>
    <w:rsid w:val="00881760"/>
    <w:rsid w:val="00881C72"/>
    <w:rsid w:val="008820D4"/>
    <w:rsid w:val="00882614"/>
    <w:rsid w:val="00884652"/>
    <w:rsid w:val="008847C4"/>
    <w:rsid w:val="00884D5B"/>
    <w:rsid w:val="00886194"/>
    <w:rsid w:val="008865F0"/>
    <w:rsid w:val="00887653"/>
    <w:rsid w:val="00887722"/>
    <w:rsid w:val="00887748"/>
    <w:rsid w:val="00887D80"/>
    <w:rsid w:val="0089181E"/>
    <w:rsid w:val="00893ACB"/>
    <w:rsid w:val="00894515"/>
    <w:rsid w:val="0089535E"/>
    <w:rsid w:val="008963CD"/>
    <w:rsid w:val="00896B84"/>
    <w:rsid w:val="00897F08"/>
    <w:rsid w:val="008A0874"/>
    <w:rsid w:val="008A0F60"/>
    <w:rsid w:val="008A1346"/>
    <w:rsid w:val="008A2FDF"/>
    <w:rsid w:val="008A3D13"/>
    <w:rsid w:val="008A417F"/>
    <w:rsid w:val="008A4B88"/>
    <w:rsid w:val="008A5044"/>
    <w:rsid w:val="008A59CA"/>
    <w:rsid w:val="008A5BDF"/>
    <w:rsid w:val="008A6A3C"/>
    <w:rsid w:val="008A7752"/>
    <w:rsid w:val="008B0628"/>
    <w:rsid w:val="008B0EBA"/>
    <w:rsid w:val="008B0F1C"/>
    <w:rsid w:val="008B2610"/>
    <w:rsid w:val="008B596C"/>
    <w:rsid w:val="008B5E16"/>
    <w:rsid w:val="008B70BE"/>
    <w:rsid w:val="008B7527"/>
    <w:rsid w:val="008C0317"/>
    <w:rsid w:val="008C1C0D"/>
    <w:rsid w:val="008C1FC5"/>
    <w:rsid w:val="008C2563"/>
    <w:rsid w:val="008C3E85"/>
    <w:rsid w:val="008C414F"/>
    <w:rsid w:val="008C4E81"/>
    <w:rsid w:val="008C4EDA"/>
    <w:rsid w:val="008C505D"/>
    <w:rsid w:val="008C5D2F"/>
    <w:rsid w:val="008C775A"/>
    <w:rsid w:val="008C7D4C"/>
    <w:rsid w:val="008C7F57"/>
    <w:rsid w:val="008D15E3"/>
    <w:rsid w:val="008D2A4C"/>
    <w:rsid w:val="008D397E"/>
    <w:rsid w:val="008D3A91"/>
    <w:rsid w:val="008D4360"/>
    <w:rsid w:val="008D4B61"/>
    <w:rsid w:val="008D52F4"/>
    <w:rsid w:val="008D72AF"/>
    <w:rsid w:val="008D7DCC"/>
    <w:rsid w:val="008E0056"/>
    <w:rsid w:val="008E0473"/>
    <w:rsid w:val="008E0F5F"/>
    <w:rsid w:val="008E10AE"/>
    <w:rsid w:val="008E1133"/>
    <w:rsid w:val="008E1C86"/>
    <w:rsid w:val="008E5F46"/>
    <w:rsid w:val="008E60BE"/>
    <w:rsid w:val="008E74CE"/>
    <w:rsid w:val="008E7A1E"/>
    <w:rsid w:val="008F01BB"/>
    <w:rsid w:val="008F1389"/>
    <w:rsid w:val="008F1982"/>
    <w:rsid w:val="008F2615"/>
    <w:rsid w:val="008F5404"/>
    <w:rsid w:val="008F63DA"/>
    <w:rsid w:val="008F6E65"/>
    <w:rsid w:val="008F70EB"/>
    <w:rsid w:val="008F76DC"/>
    <w:rsid w:val="008F7B4C"/>
    <w:rsid w:val="00900029"/>
    <w:rsid w:val="00900F59"/>
    <w:rsid w:val="009020D1"/>
    <w:rsid w:val="0090290F"/>
    <w:rsid w:val="00902A7F"/>
    <w:rsid w:val="00903E95"/>
    <w:rsid w:val="00905347"/>
    <w:rsid w:val="00905FCB"/>
    <w:rsid w:val="00906126"/>
    <w:rsid w:val="00907688"/>
    <w:rsid w:val="00907EBF"/>
    <w:rsid w:val="00910311"/>
    <w:rsid w:val="009123F1"/>
    <w:rsid w:val="00914358"/>
    <w:rsid w:val="009156FE"/>
    <w:rsid w:val="00915DB9"/>
    <w:rsid w:val="00915ECB"/>
    <w:rsid w:val="00916E40"/>
    <w:rsid w:val="00916FDB"/>
    <w:rsid w:val="0091765D"/>
    <w:rsid w:val="00917B11"/>
    <w:rsid w:val="00920AFE"/>
    <w:rsid w:val="009213AD"/>
    <w:rsid w:val="00922845"/>
    <w:rsid w:val="00925874"/>
    <w:rsid w:val="00926692"/>
    <w:rsid w:val="00926DAC"/>
    <w:rsid w:val="00927341"/>
    <w:rsid w:val="0093128F"/>
    <w:rsid w:val="009312B0"/>
    <w:rsid w:val="00932FE0"/>
    <w:rsid w:val="0093375A"/>
    <w:rsid w:val="00933999"/>
    <w:rsid w:val="00934124"/>
    <w:rsid w:val="0093477A"/>
    <w:rsid w:val="00937879"/>
    <w:rsid w:val="00943993"/>
    <w:rsid w:val="00943D5E"/>
    <w:rsid w:val="00944B0A"/>
    <w:rsid w:val="00946EDB"/>
    <w:rsid w:val="0095006D"/>
    <w:rsid w:val="009511B3"/>
    <w:rsid w:val="00952381"/>
    <w:rsid w:val="00953AFD"/>
    <w:rsid w:val="00954010"/>
    <w:rsid w:val="009546F4"/>
    <w:rsid w:val="0095554A"/>
    <w:rsid w:val="009556B3"/>
    <w:rsid w:val="00955EC6"/>
    <w:rsid w:val="009569C4"/>
    <w:rsid w:val="00957542"/>
    <w:rsid w:val="00960601"/>
    <w:rsid w:val="00960897"/>
    <w:rsid w:val="00960D3F"/>
    <w:rsid w:val="009614A3"/>
    <w:rsid w:val="00961908"/>
    <w:rsid w:val="00961C9A"/>
    <w:rsid w:val="009676F5"/>
    <w:rsid w:val="00971042"/>
    <w:rsid w:val="009723B7"/>
    <w:rsid w:val="00974891"/>
    <w:rsid w:val="009753A1"/>
    <w:rsid w:val="0097653B"/>
    <w:rsid w:val="00976B72"/>
    <w:rsid w:val="00977586"/>
    <w:rsid w:val="00977C80"/>
    <w:rsid w:val="00977DA1"/>
    <w:rsid w:val="009812E8"/>
    <w:rsid w:val="00981836"/>
    <w:rsid w:val="0098211B"/>
    <w:rsid w:val="00984EE7"/>
    <w:rsid w:val="009867A8"/>
    <w:rsid w:val="00986C50"/>
    <w:rsid w:val="00987807"/>
    <w:rsid w:val="00987912"/>
    <w:rsid w:val="00987C99"/>
    <w:rsid w:val="00990500"/>
    <w:rsid w:val="00990537"/>
    <w:rsid w:val="00990B27"/>
    <w:rsid w:val="00990FD6"/>
    <w:rsid w:val="00991899"/>
    <w:rsid w:val="009922B9"/>
    <w:rsid w:val="009929E4"/>
    <w:rsid w:val="00993384"/>
    <w:rsid w:val="00993391"/>
    <w:rsid w:val="009A05BD"/>
    <w:rsid w:val="009A05CC"/>
    <w:rsid w:val="009A17DF"/>
    <w:rsid w:val="009A1CDA"/>
    <w:rsid w:val="009A46DC"/>
    <w:rsid w:val="009A552D"/>
    <w:rsid w:val="009A6695"/>
    <w:rsid w:val="009A7379"/>
    <w:rsid w:val="009A76B0"/>
    <w:rsid w:val="009A7BC1"/>
    <w:rsid w:val="009B22F6"/>
    <w:rsid w:val="009B28F5"/>
    <w:rsid w:val="009B2BDD"/>
    <w:rsid w:val="009B4CE6"/>
    <w:rsid w:val="009B5725"/>
    <w:rsid w:val="009B5E8A"/>
    <w:rsid w:val="009B670B"/>
    <w:rsid w:val="009C192F"/>
    <w:rsid w:val="009C3480"/>
    <w:rsid w:val="009C36C3"/>
    <w:rsid w:val="009C3B82"/>
    <w:rsid w:val="009C47B4"/>
    <w:rsid w:val="009C658D"/>
    <w:rsid w:val="009C6E05"/>
    <w:rsid w:val="009C7F06"/>
    <w:rsid w:val="009D31D2"/>
    <w:rsid w:val="009D3F08"/>
    <w:rsid w:val="009D4326"/>
    <w:rsid w:val="009D466C"/>
    <w:rsid w:val="009D46D5"/>
    <w:rsid w:val="009D60B9"/>
    <w:rsid w:val="009D6964"/>
    <w:rsid w:val="009E0136"/>
    <w:rsid w:val="009E0462"/>
    <w:rsid w:val="009E0668"/>
    <w:rsid w:val="009E1322"/>
    <w:rsid w:val="009E2DF2"/>
    <w:rsid w:val="009E4071"/>
    <w:rsid w:val="009E532F"/>
    <w:rsid w:val="009E56BF"/>
    <w:rsid w:val="009E5F41"/>
    <w:rsid w:val="009E696E"/>
    <w:rsid w:val="009E72B3"/>
    <w:rsid w:val="009F02BD"/>
    <w:rsid w:val="009F0858"/>
    <w:rsid w:val="009F1128"/>
    <w:rsid w:val="009F2617"/>
    <w:rsid w:val="009F31FA"/>
    <w:rsid w:val="009F324F"/>
    <w:rsid w:val="009F42DF"/>
    <w:rsid w:val="009F559E"/>
    <w:rsid w:val="009F5BDC"/>
    <w:rsid w:val="00A00561"/>
    <w:rsid w:val="00A01259"/>
    <w:rsid w:val="00A029ED"/>
    <w:rsid w:val="00A0322E"/>
    <w:rsid w:val="00A03981"/>
    <w:rsid w:val="00A05A32"/>
    <w:rsid w:val="00A05F9E"/>
    <w:rsid w:val="00A06187"/>
    <w:rsid w:val="00A07079"/>
    <w:rsid w:val="00A115F5"/>
    <w:rsid w:val="00A11DCD"/>
    <w:rsid w:val="00A11F0D"/>
    <w:rsid w:val="00A137D0"/>
    <w:rsid w:val="00A145D9"/>
    <w:rsid w:val="00A14A01"/>
    <w:rsid w:val="00A15335"/>
    <w:rsid w:val="00A16C59"/>
    <w:rsid w:val="00A17231"/>
    <w:rsid w:val="00A17775"/>
    <w:rsid w:val="00A2016E"/>
    <w:rsid w:val="00A202F7"/>
    <w:rsid w:val="00A207FE"/>
    <w:rsid w:val="00A21482"/>
    <w:rsid w:val="00A22809"/>
    <w:rsid w:val="00A22B44"/>
    <w:rsid w:val="00A22FC7"/>
    <w:rsid w:val="00A2311D"/>
    <w:rsid w:val="00A252AD"/>
    <w:rsid w:val="00A2692F"/>
    <w:rsid w:val="00A27B7B"/>
    <w:rsid w:val="00A27FE5"/>
    <w:rsid w:val="00A305E4"/>
    <w:rsid w:val="00A30CD7"/>
    <w:rsid w:val="00A314D3"/>
    <w:rsid w:val="00A31E05"/>
    <w:rsid w:val="00A3489D"/>
    <w:rsid w:val="00A34BD9"/>
    <w:rsid w:val="00A36EA2"/>
    <w:rsid w:val="00A3742C"/>
    <w:rsid w:val="00A43672"/>
    <w:rsid w:val="00A43715"/>
    <w:rsid w:val="00A43B48"/>
    <w:rsid w:val="00A44091"/>
    <w:rsid w:val="00A4640C"/>
    <w:rsid w:val="00A479A7"/>
    <w:rsid w:val="00A518FB"/>
    <w:rsid w:val="00A5306E"/>
    <w:rsid w:val="00A609BB"/>
    <w:rsid w:val="00A62826"/>
    <w:rsid w:val="00A62A45"/>
    <w:rsid w:val="00A62C9A"/>
    <w:rsid w:val="00A631DE"/>
    <w:rsid w:val="00A63C02"/>
    <w:rsid w:val="00A64AF9"/>
    <w:rsid w:val="00A6516F"/>
    <w:rsid w:val="00A6528E"/>
    <w:rsid w:val="00A658F8"/>
    <w:rsid w:val="00A66D88"/>
    <w:rsid w:val="00A678D3"/>
    <w:rsid w:val="00A705A2"/>
    <w:rsid w:val="00A7071F"/>
    <w:rsid w:val="00A7559A"/>
    <w:rsid w:val="00A7582D"/>
    <w:rsid w:val="00A75A96"/>
    <w:rsid w:val="00A762DA"/>
    <w:rsid w:val="00A76DD5"/>
    <w:rsid w:val="00A77BFD"/>
    <w:rsid w:val="00A809C0"/>
    <w:rsid w:val="00A81343"/>
    <w:rsid w:val="00A81F08"/>
    <w:rsid w:val="00A83EAC"/>
    <w:rsid w:val="00A8554C"/>
    <w:rsid w:val="00A85ADC"/>
    <w:rsid w:val="00A86C38"/>
    <w:rsid w:val="00A87709"/>
    <w:rsid w:val="00A87985"/>
    <w:rsid w:val="00A87A56"/>
    <w:rsid w:val="00A90881"/>
    <w:rsid w:val="00A9094C"/>
    <w:rsid w:val="00A921D1"/>
    <w:rsid w:val="00A932DE"/>
    <w:rsid w:val="00A9412E"/>
    <w:rsid w:val="00A941EF"/>
    <w:rsid w:val="00A94208"/>
    <w:rsid w:val="00A96235"/>
    <w:rsid w:val="00A9623F"/>
    <w:rsid w:val="00A96B1B"/>
    <w:rsid w:val="00A9712A"/>
    <w:rsid w:val="00A97AA6"/>
    <w:rsid w:val="00AA1196"/>
    <w:rsid w:val="00AA14E1"/>
    <w:rsid w:val="00AA2234"/>
    <w:rsid w:val="00AA2B06"/>
    <w:rsid w:val="00AA3ADD"/>
    <w:rsid w:val="00AA594B"/>
    <w:rsid w:val="00AA5F9F"/>
    <w:rsid w:val="00AA63CB"/>
    <w:rsid w:val="00AA784C"/>
    <w:rsid w:val="00AB2219"/>
    <w:rsid w:val="00AB2D6E"/>
    <w:rsid w:val="00AB2FC3"/>
    <w:rsid w:val="00AB3AB6"/>
    <w:rsid w:val="00AB3E75"/>
    <w:rsid w:val="00AB3F5A"/>
    <w:rsid w:val="00AB49FD"/>
    <w:rsid w:val="00AB5608"/>
    <w:rsid w:val="00AB59D4"/>
    <w:rsid w:val="00AB5AA1"/>
    <w:rsid w:val="00AB6218"/>
    <w:rsid w:val="00AB65F7"/>
    <w:rsid w:val="00AB7028"/>
    <w:rsid w:val="00AB759C"/>
    <w:rsid w:val="00AB77C3"/>
    <w:rsid w:val="00AC16C3"/>
    <w:rsid w:val="00AC1760"/>
    <w:rsid w:val="00AC1DCD"/>
    <w:rsid w:val="00AC2855"/>
    <w:rsid w:val="00AC2E57"/>
    <w:rsid w:val="00AC3D3C"/>
    <w:rsid w:val="00AC4008"/>
    <w:rsid w:val="00AC6A7D"/>
    <w:rsid w:val="00AC6C21"/>
    <w:rsid w:val="00AD0165"/>
    <w:rsid w:val="00AD0D72"/>
    <w:rsid w:val="00AD1B94"/>
    <w:rsid w:val="00AD2728"/>
    <w:rsid w:val="00AD48B4"/>
    <w:rsid w:val="00AD537A"/>
    <w:rsid w:val="00AD7148"/>
    <w:rsid w:val="00AE0863"/>
    <w:rsid w:val="00AE2620"/>
    <w:rsid w:val="00AE4242"/>
    <w:rsid w:val="00AE4DA8"/>
    <w:rsid w:val="00AE52C2"/>
    <w:rsid w:val="00AE582D"/>
    <w:rsid w:val="00AE7197"/>
    <w:rsid w:val="00AE7443"/>
    <w:rsid w:val="00AE7996"/>
    <w:rsid w:val="00AE7B6C"/>
    <w:rsid w:val="00AF188E"/>
    <w:rsid w:val="00AF2017"/>
    <w:rsid w:val="00AF30D2"/>
    <w:rsid w:val="00B00BFD"/>
    <w:rsid w:val="00B00D38"/>
    <w:rsid w:val="00B02F2D"/>
    <w:rsid w:val="00B0375A"/>
    <w:rsid w:val="00B05626"/>
    <w:rsid w:val="00B0721D"/>
    <w:rsid w:val="00B1191C"/>
    <w:rsid w:val="00B12462"/>
    <w:rsid w:val="00B137BE"/>
    <w:rsid w:val="00B137C2"/>
    <w:rsid w:val="00B16378"/>
    <w:rsid w:val="00B1658A"/>
    <w:rsid w:val="00B20B20"/>
    <w:rsid w:val="00B211D8"/>
    <w:rsid w:val="00B213E6"/>
    <w:rsid w:val="00B22604"/>
    <w:rsid w:val="00B227FF"/>
    <w:rsid w:val="00B22DA2"/>
    <w:rsid w:val="00B242B5"/>
    <w:rsid w:val="00B24AC5"/>
    <w:rsid w:val="00B26680"/>
    <w:rsid w:val="00B26A12"/>
    <w:rsid w:val="00B27AE9"/>
    <w:rsid w:val="00B30004"/>
    <w:rsid w:val="00B30728"/>
    <w:rsid w:val="00B325EE"/>
    <w:rsid w:val="00B33498"/>
    <w:rsid w:val="00B342DE"/>
    <w:rsid w:val="00B34DB1"/>
    <w:rsid w:val="00B357DE"/>
    <w:rsid w:val="00B35BEC"/>
    <w:rsid w:val="00B3614C"/>
    <w:rsid w:val="00B42799"/>
    <w:rsid w:val="00B42DD3"/>
    <w:rsid w:val="00B44231"/>
    <w:rsid w:val="00B451F5"/>
    <w:rsid w:val="00B45C61"/>
    <w:rsid w:val="00B4747D"/>
    <w:rsid w:val="00B51249"/>
    <w:rsid w:val="00B51352"/>
    <w:rsid w:val="00B531B3"/>
    <w:rsid w:val="00B54262"/>
    <w:rsid w:val="00B558FD"/>
    <w:rsid w:val="00B57917"/>
    <w:rsid w:val="00B6088D"/>
    <w:rsid w:val="00B632C3"/>
    <w:rsid w:val="00B641EA"/>
    <w:rsid w:val="00B70D6F"/>
    <w:rsid w:val="00B74A2D"/>
    <w:rsid w:val="00B74B3B"/>
    <w:rsid w:val="00B7715A"/>
    <w:rsid w:val="00B77595"/>
    <w:rsid w:val="00B81527"/>
    <w:rsid w:val="00B82DC5"/>
    <w:rsid w:val="00B83B64"/>
    <w:rsid w:val="00B83F00"/>
    <w:rsid w:val="00B85EC5"/>
    <w:rsid w:val="00B91BD2"/>
    <w:rsid w:val="00B936A8"/>
    <w:rsid w:val="00B936B3"/>
    <w:rsid w:val="00B93C6A"/>
    <w:rsid w:val="00B960D2"/>
    <w:rsid w:val="00B975A3"/>
    <w:rsid w:val="00B97922"/>
    <w:rsid w:val="00B97C36"/>
    <w:rsid w:val="00BA1099"/>
    <w:rsid w:val="00BA18F3"/>
    <w:rsid w:val="00BA19DE"/>
    <w:rsid w:val="00BA230F"/>
    <w:rsid w:val="00BA2CEC"/>
    <w:rsid w:val="00BA2F6B"/>
    <w:rsid w:val="00BA37A3"/>
    <w:rsid w:val="00BA46DE"/>
    <w:rsid w:val="00BA4D44"/>
    <w:rsid w:val="00BA5C0F"/>
    <w:rsid w:val="00BA625D"/>
    <w:rsid w:val="00BA67C9"/>
    <w:rsid w:val="00BA69D1"/>
    <w:rsid w:val="00BA78BF"/>
    <w:rsid w:val="00BB01E9"/>
    <w:rsid w:val="00BB046F"/>
    <w:rsid w:val="00BB3EA9"/>
    <w:rsid w:val="00BB4427"/>
    <w:rsid w:val="00BB5694"/>
    <w:rsid w:val="00BB65D6"/>
    <w:rsid w:val="00BB6782"/>
    <w:rsid w:val="00BB7F05"/>
    <w:rsid w:val="00BC1B96"/>
    <w:rsid w:val="00BC2894"/>
    <w:rsid w:val="00BC3EC8"/>
    <w:rsid w:val="00BC42F8"/>
    <w:rsid w:val="00BC45E0"/>
    <w:rsid w:val="00BC4D55"/>
    <w:rsid w:val="00BC5BF0"/>
    <w:rsid w:val="00BC655B"/>
    <w:rsid w:val="00BC7988"/>
    <w:rsid w:val="00BD251A"/>
    <w:rsid w:val="00BD2D60"/>
    <w:rsid w:val="00BD318B"/>
    <w:rsid w:val="00BD56C0"/>
    <w:rsid w:val="00BD7E52"/>
    <w:rsid w:val="00BE2066"/>
    <w:rsid w:val="00BE2BB3"/>
    <w:rsid w:val="00BE63FE"/>
    <w:rsid w:val="00BE7378"/>
    <w:rsid w:val="00BF0125"/>
    <w:rsid w:val="00BF01AC"/>
    <w:rsid w:val="00BF26A0"/>
    <w:rsid w:val="00BF4238"/>
    <w:rsid w:val="00BF5B60"/>
    <w:rsid w:val="00BF5EDF"/>
    <w:rsid w:val="00BF6333"/>
    <w:rsid w:val="00BF6784"/>
    <w:rsid w:val="00BF751E"/>
    <w:rsid w:val="00BF7CFF"/>
    <w:rsid w:val="00C00BB9"/>
    <w:rsid w:val="00C01D67"/>
    <w:rsid w:val="00C02940"/>
    <w:rsid w:val="00C037FA"/>
    <w:rsid w:val="00C03937"/>
    <w:rsid w:val="00C03C78"/>
    <w:rsid w:val="00C0467E"/>
    <w:rsid w:val="00C047DB"/>
    <w:rsid w:val="00C04C39"/>
    <w:rsid w:val="00C0524B"/>
    <w:rsid w:val="00C06C10"/>
    <w:rsid w:val="00C07755"/>
    <w:rsid w:val="00C079CF"/>
    <w:rsid w:val="00C121C2"/>
    <w:rsid w:val="00C12665"/>
    <w:rsid w:val="00C12B73"/>
    <w:rsid w:val="00C14D9A"/>
    <w:rsid w:val="00C15A10"/>
    <w:rsid w:val="00C15A62"/>
    <w:rsid w:val="00C15D3B"/>
    <w:rsid w:val="00C1715D"/>
    <w:rsid w:val="00C20CE4"/>
    <w:rsid w:val="00C21285"/>
    <w:rsid w:val="00C222AE"/>
    <w:rsid w:val="00C2239C"/>
    <w:rsid w:val="00C22BA5"/>
    <w:rsid w:val="00C240A9"/>
    <w:rsid w:val="00C24223"/>
    <w:rsid w:val="00C250E0"/>
    <w:rsid w:val="00C25E11"/>
    <w:rsid w:val="00C30924"/>
    <w:rsid w:val="00C310A8"/>
    <w:rsid w:val="00C325B0"/>
    <w:rsid w:val="00C3312F"/>
    <w:rsid w:val="00C335B4"/>
    <w:rsid w:val="00C33D60"/>
    <w:rsid w:val="00C34BF0"/>
    <w:rsid w:val="00C361D6"/>
    <w:rsid w:val="00C3692E"/>
    <w:rsid w:val="00C36DD3"/>
    <w:rsid w:val="00C3750C"/>
    <w:rsid w:val="00C3797E"/>
    <w:rsid w:val="00C37F15"/>
    <w:rsid w:val="00C4025F"/>
    <w:rsid w:val="00C40829"/>
    <w:rsid w:val="00C41653"/>
    <w:rsid w:val="00C41848"/>
    <w:rsid w:val="00C4255F"/>
    <w:rsid w:val="00C43D20"/>
    <w:rsid w:val="00C4463A"/>
    <w:rsid w:val="00C44BEB"/>
    <w:rsid w:val="00C44F3C"/>
    <w:rsid w:val="00C45A7A"/>
    <w:rsid w:val="00C46EF1"/>
    <w:rsid w:val="00C47ADF"/>
    <w:rsid w:val="00C501F3"/>
    <w:rsid w:val="00C51034"/>
    <w:rsid w:val="00C5267F"/>
    <w:rsid w:val="00C52F0D"/>
    <w:rsid w:val="00C54714"/>
    <w:rsid w:val="00C56301"/>
    <w:rsid w:val="00C57A72"/>
    <w:rsid w:val="00C57EFA"/>
    <w:rsid w:val="00C60590"/>
    <w:rsid w:val="00C6082A"/>
    <w:rsid w:val="00C60A16"/>
    <w:rsid w:val="00C61830"/>
    <w:rsid w:val="00C61DFE"/>
    <w:rsid w:val="00C6430C"/>
    <w:rsid w:val="00C67353"/>
    <w:rsid w:val="00C67CB6"/>
    <w:rsid w:val="00C70E0E"/>
    <w:rsid w:val="00C70E16"/>
    <w:rsid w:val="00C70EE6"/>
    <w:rsid w:val="00C715CE"/>
    <w:rsid w:val="00C71AAF"/>
    <w:rsid w:val="00C72706"/>
    <w:rsid w:val="00C729B5"/>
    <w:rsid w:val="00C72DF2"/>
    <w:rsid w:val="00C73282"/>
    <w:rsid w:val="00C76EFC"/>
    <w:rsid w:val="00C7710A"/>
    <w:rsid w:val="00C80247"/>
    <w:rsid w:val="00C81260"/>
    <w:rsid w:val="00C818E2"/>
    <w:rsid w:val="00C81E93"/>
    <w:rsid w:val="00C8298C"/>
    <w:rsid w:val="00C82A08"/>
    <w:rsid w:val="00C83DAD"/>
    <w:rsid w:val="00C841F3"/>
    <w:rsid w:val="00C84F87"/>
    <w:rsid w:val="00C8625A"/>
    <w:rsid w:val="00C86874"/>
    <w:rsid w:val="00C86B43"/>
    <w:rsid w:val="00C8787D"/>
    <w:rsid w:val="00C87E3A"/>
    <w:rsid w:val="00C922E3"/>
    <w:rsid w:val="00C93B18"/>
    <w:rsid w:val="00C95307"/>
    <w:rsid w:val="00C96143"/>
    <w:rsid w:val="00C96C4A"/>
    <w:rsid w:val="00C97121"/>
    <w:rsid w:val="00C97A7B"/>
    <w:rsid w:val="00C97EB8"/>
    <w:rsid w:val="00CA09CE"/>
    <w:rsid w:val="00CA1573"/>
    <w:rsid w:val="00CA1EA4"/>
    <w:rsid w:val="00CA2AA9"/>
    <w:rsid w:val="00CA5451"/>
    <w:rsid w:val="00CA5887"/>
    <w:rsid w:val="00CA62FE"/>
    <w:rsid w:val="00CA6417"/>
    <w:rsid w:val="00CA6D29"/>
    <w:rsid w:val="00CA742E"/>
    <w:rsid w:val="00CA7847"/>
    <w:rsid w:val="00CA7ADE"/>
    <w:rsid w:val="00CA7F50"/>
    <w:rsid w:val="00CB0124"/>
    <w:rsid w:val="00CB0E07"/>
    <w:rsid w:val="00CB3E01"/>
    <w:rsid w:val="00CB4646"/>
    <w:rsid w:val="00CB5358"/>
    <w:rsid w:val="00CB637B"/>
    <w:rsid w:val="00CB717A"/>
    <w:rsid w:val="00CC07A7"/>
    <w:rsid w:val="00CC3363"/>
    <w:rsid w:val="00CC339F"/>
    <w:rsid w:val="00CC3484"/>
    <w:rsid w:val="00CC3797"/>
    <w:rsid w:val="00CC3AA3"/>
    <w:rsid w:val="00CC3CDC"/>
    <w:rsid w:val="00CC49F4"/>
    <w:rsid w:val="00CC5E71"/>
    <w:rsid w:val="00CC5F80"/>
    <w:rsid w:val="00CC63D1"/>
    <w:rsid w:val="00CD05D7"/>
    <w:rsid w:val="00CD12C2"/>
    <w:rsid w:val="00CD1CAA"/>
    <w:rsid w:val="00CD1EFB"/>
    <w:rsid w:val="00CD3D2E"/>
    <w:rsid w:val="00CD44A4"/>
    <w:rsid w:val="00CD4A5B"/>
    <w:rsid w:val="00CD598E"/>
    <w:rsid w:val="00CE08D7"/>
    <w:rsid w:val="00CE3D31"/>
    <w:rsid w:val="00CE3E80"/>
    <w:rsid w:val="00CF09BA"/>
    <w:rsid w:val="00CF1889"/>
    <w:rsid w:val="00CF2501"/>
    <w:rsid w:val="00CF3071"/>
    <w:rsid w:val="00CF6780"/>
    <w:rsid w:val="00CF709A"/>
    <w:rsid w:val="00CF7C80"/>
    <w:rsid w:val="00CF7F4B"/>
    <w:rsid w:val="00D006A9"/>
    <w:rsid w:val="00D01291"/>
    <w:rsid w:val="00D01AED"/>
    <w:rsid w:val="00D030B1"/>
    <w:rsid w:val="00D0453C"/>
    <w:rsid w:val="00D0502B"/>
    <w:rsid w:val="00D07356"/>
    <w:rsid w:val="00D101EE"/>
    <w:rsid w:val="00D11141"/>
    <w:rsid w:val="00D13DD3"/>
    <w:rsid w:val="00D146EE"/>
    <w:rsid w:val="00D14FA2"/>
    <w:rsid w:val="00D15AEA"/>
    <w:rsid w:val="00D16EF9"/>
    <w:rsid w:val="00D17352"/>
    <w:rsid w:val="00D20E1B"/>
    <w:rsid w:val="00D22421"/>
    <w:rsid w:val="00D23D10"/>
    <w:rsid w:val="00D23D98"/>
    <w:rsid w:val="00D2472C"/>
    <w:rsid w:val="00D25D87"/>
    <w:rsid w:val="00D26242"/>
    <w:rsid w:val="00D266B6"/>
    <w:rsid w:val="00D271AD"/>
    <w:rsid w:val="00D3152F"/>
    <w:rsid w:val="00D32154"/>
    <w:rsid w:val="00D36ED0"/>
    <w:rsid w:val="00D3759B"/>
    <w:rsid w:val="00D4159D"/>
    <w:rsid w:val="00D4297F"/>
    <w:rsid w:val="00D4331E"/>
    <w:rsid w:val="00D45B62"/>
    <w:rsid w:val="00D46DFD"/>
    <w:rsid w:val="00D52E95"/>
    <w:rsid w:val="00D57417"/>
    <w:rsid w:val="00D57DD1"/>
    <w:rsid w:val="00D60AA9"/>
    <w:rsid w:val="00D620C3"/>
    <w:rsid w:val="00D62559"/>
    <w:rsid w:val="00D6422C"/>
    <w:rsid w:val="00D66A66"/>
    <w:rsid w:val="00D66DFE"/>
    <w:rsid w:val="00D6777A"/>
    <w:rsid w:val="00D7250B"/>
    <w:rsid w:val="00D7543F"/>
    <w:rsid w:val="00D77458"/>
    <w:rsid w:val="00D77FDC"/>
    <w:rsid w:val="00D8048E"/>
    <w:rsid w:val="00D826F5"/>
    <w:rsid w:val="00D828DD"/>
    <w:rsid w:val="00D83B16"/>
    <w:rsid w:val="00D8441B"/>
    <w:rsid w:val="00D865B5"/>
    <w:rsid w:val="00D867ED"/>
    <w:rsid w:val="00D9061A"/>
    <w:rsid w:val="00D90E26"/>
    <w:rsid w:val="00D91394"/>
    <w:rsid w:val="00D91662"/>
    <w:rsid w:val="00D91B3F"/>
    <w:rsid w:val="00D9652E"/>
    <w:rsid w:val="00D9657A"/>
    <w:rsid w:val="00D96ABD"/>
    <w:rsid w:val="00D973CF"/>
    <w:rsid w:val="00D97F28"/>
    <w:rsid w:val="00DA0AC0"/>
    <w:rsid w:val="00DA5D49"/>
    <w:rsid w:val="00DB25FC"/>
    <w:rsid w:val="00DB2C39"/>
    <w:rsid w:val="00DB40C1"/>
    <w:rsid w:val="00DB4BA5"/>
    <w:rsid w:val="00DB5BC4"/>
    <w:rsid w:val="00DB5D9A"/>
    <w:rsid w:val="00DB60DA"/>
    <w:rsid w:val="00DB6869"/>
    <w:rsid w:val="00DB6905"/>
    <w:rsid w:val="00DB6E93"/>
    <w:rsid w:val="00DC12AA"/>
    <w:rsid w:val="00DC1DA3"/>
    <w:rsid w:val="00DC41B0"/>
    <w:rsid w:val="00DC46D2"/>
    <w:rsid w:val="00DD04E3"/>
    <w:rsid w:val="00DD29E2"/>
    <w:rsid w:val="00DD5FAD"/>
    <w:rsid w:val="00DD65A9"/>
    <w:rsid w:val="00DE0091"/>
    <w:rsid w:val="00DE14CC"/>
    <w:rsid w:val="00DE28D1"/>
    <w:rsid w:val="00DE49DA"/>
    <w:rsid w:val="00DE64A0"/>
    <w:rsid w:val="00DE6618"/>
    <w:rsid w:val="00DE6662"/>
    <w:rsid w:val="00DE7624"/>
    <w:rsid w:val="00DF2462"/>
    <w:rsid w:val="00DF283C"/>
    <w:rsid w:val="00DF4383"/>
    <w:rsid w:val="00DF5F3B"/>
    <w:rsid w:val="00DF7C88"/>
    <w:rsid w:val="00E009A6"/>
    <w:rsid w:val="00E00D58"/>
    <w:rsid w:val="00E01E3E"/>
    <w:rsid w:val="00E0276E"/>
    <w:rsid w:val="00E03FD9"/>
    <w:rsid w:val="00E045FF"/>
    <w:rsid w:val="00E04B0C"/>
    <w:rsid w:val="00E04E46"/>
    <w:rsid w:val="00E051E1"/>
    <w:rsid w:val="00E05DF5"/>
    <w:rsid w:val="00E068CF"/>
    <w:rsid w:val="00E07D1D"/>
    <w:rsid w:val="00E11063"/>
    <w:rsid w:val="00E11832"/>
    <w:rsid w:val="00E11A8B"/>
    <w:rsid w:val="00E12735"/>
    <w:rsid w:val="00E1292D"/>
    <w:rsid w:val="00E13DA1"/>
    <w:rsid w:val="00E1404F"/>
    <w:rsid w:val="00E15466"/>
    <w:rsid w:val="00E15A67"/>
    <w:rsid w:val="00E15D03"/>
    <w:rsid w:val="00E15E9B"/>
    <w:rsid w:val="00E164C8"/>
    <w:rsid w:val="00E20596"/>
    <w:rsid w:val="00E20F03"/>
    <w:rsid w:val="00E21C02"/>
    <w:rsid w:val="00E2223A"/>
    <w:rsid w:val="00E2240E"/>
    <w:rsid w:val="00E22FF7"/>
    <w:rsid w:val="00E24BDD"/>
    <w:rsid w:val="00E25ED6"/>
    <w:rsid w:val="00E27C90"/>
    <w:rsid w:val="00E311EA"/>
    <w:rsid w:val="00E31A44"/>
    <w:rsid w:val="00E323CC"/>
    <w:rsid w:val="00E3300E"/>
    <w:rsid w:val="00E33263"/>
    <w:rsid w:val="00E339BD"/>
    <w:rsid w:val="00E36221"/>
    <w:rsid w:val="00E36C2D"/>
    <w:rsid w:val="00E36E5E"/>
    <w:rsid w:val="00E3716E"/>
    <w:rsid w:val="00E40A97"/>
    <w:rsid w:val="00E435DF"/>
    <w:rsid w:val="00E44AC4"/>
    <w:rsid w:val="00E45B67"/>
    <w:rsid w:val="00E46350"/>
    <w:rsid w:val="00E464A8"/>
    <w:rsid w:val="00E46CF8"/>
    <w:rsid w:val="00E51D96"/>
    <w:rsid w:val="00E5221C"/>
    <w:rsid w:val="00E52988"/>
    <w:rsid w:val="00E530CF"/>
    <w:rsid w:val="00E53440"/>
    <w:rsid w:val="00E555D4"/>
    <w:rsid w:val="00E57A61"/>
    <w:rsid w:val="00E60212"/>
    <w:rsid w:val="00E607D4"/>
    <w:rsid w:val="00E63531"/>
    <w:rsid w:val="00E63ACE"/>
    <w:rsid w:val="00E63E7E"/>
    <w:rsid w:val="00E64CA9"/>
    <w:rsid w:val="00E64D64"/>
    <w:rsid w:val="00E64F83"/>
    <w:rsid w:val="00E661FE"/>
    <w:rsid w:val="00E675A3"/>
    <w:rsid w:val="00E70BD0"/>
    <w:rsid w:val="00E72D96"/>
    <w:rsid w:val="00E73649"/>
    <w:rsid w:val="00E741E9"/>
    <w:rsid w:val="00E75001"/>
    <w:rsid w:val="00E75CFF"/>
    <w:rsid w:val="00E768E6"/>
    <w:rsid w:val="00E85BFA"/>
    <w:rsid w:val="00E8625D"/>
    <w:rsid w:val="00E914F8"/>
    <w:rsid w:val="00E91AF2"/>
    <w:rsid w:val="00E93BED"/>
    <w:rsid w:val="00E95015"/>
    <w:rsid w:val="00E952BF"/>
    <w:rsid w:val="00E969E4"/>
    <w:rsid w:val="00EA038E"/>
    <w:rsid w:val="00EA1754"/>
    <w:rsid w:val="00EA2405"/>
    <w:rsid w:val="00EA2C55"/>
    <w:rsid w:val="00EA3C36"/>
    <w:rsid w:val="00EA4643"/>
    <w:rsid w:val="00EA7381"/>
    <w:rsid w:val="00EB1668"/>
    <w:rsid w:val="00EB47AF"/>
    <w:rsid w:val="00EB6902"/>
    <w:rsid w:val="00EB73EC"/>
    <w:rsid w:val="00EC0772"/>
    <w:rsid w:val="00EC2374"/>
    <w:rsid w:val="00EC3575"/>
    <w:rsid w:val="00EC6B0B"/>
    <w:rsid w:val="00EC78D9"/>
    <w:rsid w:val="00EC7A06"/>
    <w:rsid w:val="00ED07B0"/>
    <w:rsid w:val="00ED0BBA"/>
    <w:rsid w:val="00ED2557"/>
    <w:rsid w:val="00ED2572"/>
    <w:rsid w:val="00ED287C"/>
    <w:rsid w:val="00ED4EFE"/>
    <w:rsid w:val="00ED5A6B"/>
    <w:rsid w:val="00ED6C07"/>
    <w:rsid w:val="00ED7648"/>
    <w:rsid w:val="00EE0839"/>
    <w:rsid w:val="00EE2357"/>
    <w:rsid w:val="00EE2AB1"/>
    <w:rsid w:val="00EE2C6F"/>
    <w:rsid w:val="00EE3B35"/>
    <w:rsid w:val="00EE578B"/>
    <w:rsid w:val="00EE5A71"/>
    <w:rsid w:val="00EE726E"/>
    <w:rsid w:val="00EE783F"/>
    <w:rsid w:val="00EF08AE"/>
    <w:rsid w:val="00EF267F"/>
    <w:rsid w:val="00EF2F44"/>
    <w:rsid w:val="00EF4326"/>
    <w:rsid w:val="00F0101B"/>
    <w:rsid w:val="00F01CF8"/>
    <w:rsid w:val="00F022E1"/>
    <w:rsid w:val="00F03C88"/>
    <w:rsid w:val="00F046DE"/>
    <w:rsid w:val="00F04A7A"/>
    <w:rsid w:val="00F04EA8"/>
    <w:rsid w:val="00F05A62"/>
    <w:rsid w:val="00F0788A"/>
    <w:rsid w:val="00F07A80"/>
    <w:rsid w:val="00F1073F"/>
    <w:rsid w:val="00F1094E"/>
    <w:rsid w:val="00F10E7C"/>
    <w:rsid w:val="00F112A7"/>
    <w:rsid w:val="00F12183"/>
    <w:rsid w:val="00F13646"/>
    <w:rsid w:val="00F13D83"/>
    <w:rsid w:val="00F1439B"/>
    <w:rsid w:val="00F14BD2"/>
    <w:rsid w:val="00F162A5"/>
    <w:rsid w:val="00F1758D"/>
    <w:rsid w:val="00F1782D"/>
    <w:rsid w:val="00F17BA1"/>
    <w:rsid w:val="00F20068"/>
    <w:rsid w:val="00F20350"/>
    <w:rsid w:val="00F2369F"/>
    <w:rsid w:val="00F264C4"/>
    <w:rsid w:val="00F30B78"/>
    <w:rsid w:val="00F30DF8"/>
    <w:rsid w:val="00F30E89"/>
    <w:rsid w:val="00F31B0F"/>
    <w:rsid w:val="00F324EC"/>
    <w:rsid w:val="00F337C6"/>
    <w:rsid w:val="00F341FF"/>
    <w:rsid w:val="00F3481E"/>
    <w:rsid w:val="00F360CF"/>
    <w:rsid w:val="00F42B25"/>
    <w:rsid w:val="00F44C7B"/>
    <w:rsid w:val="00F44FF0"/>
    <w:rsid w:val="00F453D2"/>
    <w:rsid w:val="00F47C71"/>
    <w:rsid w:val="00F50E3E"/>
    <w:rsid w:val="00F51E6D"/>
    <w:rsid w:val="00F52444"/>
    <w:rsid w:val="00F53D2B"/>
    <w:rsid w:val="00F53ED3"/>
    <w:rsid w:val="00F54166"/>
    <w:rsid w:val="00F54384"/>
    <w:rsid w:val="00F54B85"/>
    <w:rsid w:val="00F55714"/>
    <w:rsid w:val="00F56987"/>
    <w:rsid w:val="00F57C49"/>
    <w:rsid w:val="00F6075E"/>
    <w:rsid w:val="00F64607"/>
    <w:rsid w:val="00F65463"/>
    <w:rsid w:val="00F71482"/>
    <w:rsid w:val="00F74727"/>
    <w:rsid w:val="00F74D91"/>
    <w:rsid w:val="00F7597F"/>
    <w:rsid w:val="00F765E5"/>
    <w:rsid w:val="00F80469"/>
    <w:rsid w:val="00F806F9"/>
    <w:rsid w:val="00F813BD"/>
    <w:rsid w:val="00F815D0"/>
    <w:rsid w:val="00F8231B"/>
    <w:rsid w:val="00F83D01"/>
    <w:rsid w:val="00F83D76"/>
    <w:rsid w:val="00F846DB"/>
    <w:rsid w:val="00F84709"/>
    <w:rsid w:val="00F8729E"/>
    <w:rsid w:val="00F879A8"/>
    <w:rsid w:val="00F87CBF"/>
    <w:rsid w:val="00F87E4C"/>
    <w:rsid w:val="00F90054"/>
    <w:rsid w:val="00F909CB"/>
    <w:rsid w:val="00F91647"/>
    <w:rsid w:val="00F91676"/>
    <w:rsid w:val="00F919CC"/>
    <w:rsid w:val="00F92FB7"/>
    <w:rsid w:val="00F93F81"/>
    <w:rsid w:val="00F94BE7"/>
    <w:rsid w:val="00F94CC4"/>
    <w:rsid w:val="00FA06B8"/>
    <w:rsid w:val="00FA16BC"/>
    <w:rsid w:val="00FA18A4"/>
    <w:rsid w:val="00FA19C9"/>
    <w:rsid w:val="00FA1B2C"/>
    <w:rsid w:val="00FA23E7"/>
    <w:rsid w:val="00FA2F37"/>
    <w:rsid w:val="00FA41CD"/>
    <w:rsid w:val="00FA5AA7"/>
    <w:rsid w:val="00FA7356"/>
    <w:rsid w:val="00FB1414"/>
    <w:rsid w:val="00FB20FF"/>
    <w:rsid w:val="00FB217A"/>
    <w:rsid w:val="00FB4273"/>
    <w:rsid w:val="00FB49FB"/>
    <w:rsid w:val="00FB745E"/>
    <w:rsid w:val="00FB7E47"/>
    <w:rsid w:val="00FC0086"/>
    <w:rsid w:val="00FC0B14"/>
    <w:rsid w:val="00FC1FE1"/>
    <w:rsid w:val="00FC2A4A"/>
    <w:rsid w:val="00FC3C8B"/>
    <w:rsid w:val="00FC49E7"/>
    <w:rsid w:val="00FC527A"/>
    <w:rsid w:val="00FC665B"/>
    <w:rsid w:val="00FC712C"/>
    <w:rsid w:val="00FD05B0"/>
    <w:rsid w:val="00FD1DD4"/>
    <w:rsid w:val="00FD21B4"/>
    <w:rsid w:val="00FD3502"/>
    <w:rsid w:val="00FD37D1"/>
    <w:rsid w:val="00FD4324"/>
    <w:rsid w:val="00FD49A6"/>
    <w:rsid w:val="00FD6810"/>
    <w:rsid w:val="00FD6869"/>
    <w:rsid w:val="00FD7BE3"/>
    <w:rsid w:val="00FD7DCE"/>
    <w:rsid w:val="00FD7DFA"/>
    <w:rsid w:val="00FE198F"/>
    <w:rsid w:val="00FE3E12"/>
    <w:rsid w:val="00FE4CFE"/>
    <w:rsid w:val="00FE4E64"/>
    <w:rsid w:val="00FE752B"/>
    <w:rsid w:val="00FF147B"/>
    <w:rsid w:val="00FF1677"/>
    <w:rsid w:val="00FF1CD7"/>
    <w:rsid w:val="00FF1E9D"/>
    <w:rsid w:val="00FF2AA8"/>
    <w:rsid w:val="00FF44C9"/>
    <w:rsid w:val="00FF4F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527"/>
    <w:pPr>
      <w:spacing w:line="288" w:lineRule="auto"/>
      <w:jc w:val="both"/>
    </w:pPr>
    <w:rPr>
      <w:sz w:val="22"/>
      <w:szCs w:val="22"/>
      <w:lang w:val="lt-LT" w:eastAsia="lt-LT" w:bidi="lt-LT"/>
    </w:rPr>
  </w:style>
  <w:style w:type="paragraph" w:styleId="Heading1">
    <w:name w:val="heading 1"/>
    <w:basedOn w:val="Normal"/>
    <w:next w:val="Normal"/>
    <w:link w:val="Heading1Char"/>
    <w:qFormat/>
    <w:rsid w:val="008B7527"/>
    <w:pPr>
      <w:numPr>
        <w:numId w:val="1"/>
      </w:numPr>
      <w:ind w:left="720" w:hanging="720"/>
      <w:outlineLvl w:val="0"/>
    </w:pPr>
    <w:rPr>
      <w:kern w:val="28"/>
    </w:rPr>
  </w:style>
  <w:style w:type="paragraph" w:styleId="Heading2">
    <w:name w:val="heading 2"/>
    <w:basedOn w:val="Normal"/>
    <w:next w:val="Normal"/>
    <w:link w:val="Heading2Char"/>
    <w:qFormat/>
    <w:rsid w:val="008B7527"/>
    <w:pPr>
      <w:numPr>
        <w:ilvl w:val="1"/>
        <w:numId w:val="1"/>
      </w:numPr>
      <w:ind w:left="720" w:hanging="720"/>
      <w:outlineLvl w:val="1"/>
    </w:pPr>
  </w:style>
  <w:style w:type="paragraph" w:styleId="Heading3">
    <w:name w:val="heading 3"/>
    <w:basedOn w:val="Normal"/>
    <w:next w:val="Normal"/>
    <w:qFormat/>
    <w:rsid w:val="008B7527"/>
    <w:pPr>
      <w:numPr>
        <w:ilvl w:val="2"/>
        <w:numId w:val="1"/>
      </w:numPr>
      <w:ind w:left="720" w:hanging="720"/>
      <w:outlineLvl w:val="2"/>
    </w:pPr>
  </w:style>
  <w:style w:type="paragraph" w:styleId="Heading4">
    <w:name w:val="heading 4"/>
    <w:basedOn w:val="Normal"/>
    <w:next w:val="Normal"/>
    <w:qFormat/>
    <w:rsid w:val="008B7527"/>
    <w:pPr>
      <w:numPr>
        <w:ilvl w:val="3"/>
        <w:numId w:val="1"/>
      </w:numPr>
      <w:ind w:left="720" w:hanging="720"/>
      <w:outlineLvl w:val="3"/>
    </w:pPr>
  </w:style>
  <w:style w:type="paragraph" w:styleId="Heading5">
    <w:name w:val="heading 5"/>
    <w:basedOn w:val="Normal"/>
    <w:next w:val="Normal"/>
    <w:qFormat/>
    <w:rsid w:val="008B7527"/>
    <w:pPr>
      <w:numPr>
        <w:ilvl w:val="4"/>
        <w:numId w:val="1"/>
      </w:numPr>
      <w:ind w:left="720" w:hanging="720"/>
      <w:outlineLvl w:val="4"/>
    </w:pPr>
  </w:style>
  <w:style w:type="paragraph" w:styleId="Heading6">
    <w:name w:val="heading 6"/>
    <w:basedOn w:val="Normal"/>
    <w:next w:val="Normal"/>
    <w:qFormat/>
    <w:rsid w:val="008B7527"/>
    <w:pPr>
      <w:numPr>
        <w:ilvl w:val="5"/>
        <w:numId w:val="1"/>
      </w:numPr>
      <w:ind w:left="720" w:hanging="720"/>
      <w:outlineLvl w:val="5"/>
    </w:pPr>
  </w:style>
  <w:style w:type="paragraph" w:styleId="Heading7">
    <w:name w:val="heading 7"/>
    <w:basedOn w:val="Normal"/>
    <w:next w:val="Normal"/>
    <w:qFormat/>
    <w:rsid w:val="008B7527"/>
    <w:pPr>
      <w:numPr>
        <w:ilvl w:val="6"/>
        <w:numId w:val="1"/>
      </w:numPr>
      <w:ind w:left="720" w:hanging="720"/>
      <w:outlineLvl w:val="6"/>
    </w:pPr>
  </w:style>
  <w:style w:type="paragraph" w:styleId="Heading8">
    <w:name w:val="heading 8"/>
    <w:basedOn w:val="Normal"/>
    <w:next w:val="Normal"/>
    <w:qFormat/>
    <w:rsid w:val="008B7527"/>
    <w:pPr>
      <w:numPr>
        <w:ilvl w:val="7"/>
        <w:numId w:val="1"/>
      </w:numPr>
      <w:ind w:left="720" w:hanging="720"/>
      <w:outlineLvl w:val="7"/>
    </w:pPr>
  </w:style>
  <w:style w:type="paragraph" w:styleId="Heading9">
    <w:name w:val="heading 9"/>
    <w:basedOn w:val="Normal"/>
    <w:next w:val="Normal"/>
    <w:qFormat/>
    <w:rsid w:val="008B7527"/>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59F1"/>
    <w:rPr>
      <w:kern w:val="28"/>
      <w:sz w:val="22"/>
      <w:szCs w:val="22"/>
      <w:lang w:val="lt-LT" w:eastAsia="lt-LT"/>
    </w:rPr>
  </w:style>
  <w:style w:type="character" w:customStyle="1" w:styleId="Heading2Char">
    <w:name w:val="Heading 2 Char"/>
    <w:link w:val="Heading2"/>
    <w:rsid w:val="000959F1"/>
    <w:rPr>
      <w:sz w:val="22"/>
      <w:szCs w:val="22"/>
      <w:lang w:val="lt-LT" w:eastAsia="lt-LT"/>
    </w:rPr>
  </w:style>
  <w:style w:type="paragraph" w:styleId="Footer">
    <w:name w:val="footer"/>
    <w:basedOn w:val="Normal"/>
    <w:qFormat/>
    <w:rsid w:val="008B7527"/>
  </w:style>
  <w:style w:type="paragraph" w:styleId="FootnoteText">
    <w:name w:val="footnote text"/>
    <w:basedOn w:val="Normal"/>
    <w:link w:val="FootnoteTextChar"/>
    <w:qFormat/>
    <w:rsid w:val="008B7527"/>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lt-LT" w:eastAsia="lt-LT"/>
    </w:rPr>
  </w:style>
  <w:style w:type="paragraph" w:styleId="Header">
    <w:name w:val="header"/>
    <w:basedOn w:val="Normal"/>
    <w:qFormat/>
    <w:rsid w:val="008B7527"/>
  </w:style>
  <w:style w:type="paragraph" w:customStyle="1" w:styleId="quotes">
    <w:name w:val="quotes"/>
    <w:basedOn w:val="Normal"/>
    <w:next w:val="Normal"/>
    <w:rsid w:val="008B7527"/>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8B7527"/>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lt-LT" w:eastAsia="lt-LT"/>
    </w:rPr>
  </w:style>
  <w:style w:type="paragraph" w:styleId="CommentText">
    <w:name w:val="annotation text"/>
    <w:basedOn w:val="Normal"/>
    <w:link w:val="CommentTextChar"/>
    <w:rsid w:val="009E696E"/>
    <w:rPr>
      <w:szCs w:val="20"/>
    </w:rPr>
  </w:style>
  <w:style w:type="character" w:customStyle="1" w:styleId="CommentTextChar">
    <w:name w:val="Comment Text Char"/>
    <w:link w:val="CommentText"/>
    <w:rsid w:val="009E696E"/>
    <w:rPr>
      <w:rFonts w:ascii="Segoe UI" w:hAnsi="Segoe UI" w:cs="Segoe UI"/>
      <w:lang w:val="lt-LT" w:eastAsia="lt-LT"/>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lt-LT" w:eastAsia="lt-LT"/>
    </w:rPr>
  </w:style>
  <w:style w:type="paragraph" w:styleId="Revision">
    <w:name w:val="Revision"/>
    <w:hidden/>
    <w:uiPriority w:val="99"/>
    <w:semiHidden/>
    <w:rsid w:val="00744027"/>
    <w:rPr>
      <w:rFonts w:ascii="Segoe UI" w:hAnsi="Segoe UI" w:cs="Segoe UI"/>
      <w:szCs w:val="18"/>
      <w:lang w:val="lt-LT" w:eastAsia="lt-LT" w:bidi="lt-LT"/>
    </w:rPr>
  </w:style>
  <w:style w:type="paragraph" w:styleId="TOC1">
    <w:name w:val="toc 1"/>
    <w:basedOn w:val="Normal"/>
    <w:next w:val="Normal"/>
    <w:autoRedefine/>
    <w:uiPriority w:val="39"/>
    <w:unhideWhenUsed/>
    <w:rsid w:val="00F71482"/>
    <w:pPr>
      <w:tabs>
        <w:tab w:val="left" w:pos="284"/>
        <w:tab w:val="right" w:leader="dot" w:pos="9063"/>
      </w:tabs>
      <w:spacing w:after="100"/>
    </w:p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paragraph" w:styleId="BalloonText">
    <w:name w:val="Balloon Text"/>
    <w:basedOn w:val="Normal"/>
    <w:link w:val="BalloonTextChar"/>
    <w:semiHidden/>
    <w:unhideWhenUsed/>
    <w:rsid w:val="000959F1"/>
    <w:pPr>
      <w:spacing w:line="240" w:lineRule="auto"/>
    </w:pPr>
    <w:rPr>
      <w:rFonts w:ascii="Tahoma" w:hAnsi="Tahoma" w:cs="Tahoma"/>
      <w:sz w:val="16"/>
      <w:szCs w:val="16"/>
    </w:rPr>
  </w:style>
  <w:style w:type="character" w:customStyle="1" w:styleId="BalloonTextChar">
    <w:name w:val="Balloon Text Char"/>
    <w:link w:val="BalloonText"/>
    <w:semiHidden/>
    <w:rsid w:val="000959F1"/>
    <w:rPr>
      <w:rFonts w:ascii="Tahoma" w:hAnsi="Tahoma" w:cs="Tahoma"/>
      <w:sz w:val="16"/>
      <w:szCs w:val="16"/>
      <w:lang w:eastAsia="lt-LT"/>
    </w:rPr>
  </w:style>
  <w:style w:type="character" w:styleId="FollowedHyperlink">
    <w:name w:val="FollowedHyperlink"/>
    <w:semiHidden/>
    <w:unhideWhenUsed/>
    <w:rsid w:val="000D136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qFormat="1"/>
    <w:lsdException w:name="footer" w:qFormat="1"/>
    <w:lsdException w:name="caption" w:qFormat="1"/>
    <w:lsdException w:name="footnote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527"/>
    <w:pPr>
      <w:spacing w:line="288" w:lineRule="auto"/>
      <w:jc w:val="both"/>
    </w:pPr>
    <w:rPr>
      <w:sz w:val="22"/>
      <w:szCs w:val="22"/>
      <w:lang w:val="lt-LT" w:eastAsia="lt-LT" w:bidi="lt-LT"/>
    </w:rPr>
  </w:style>
  <w:style w:type="paragraph" w:styleId="Heading1">
    <w:name w:val="heading 1"/>
    <w:basedOn w:val="Normal"/>
    <w:next w:val="Normal"/>
    <w:link w:val="Heading1Char"/>
    <w:qFormat/>
    <w:rsid w:val="008B7527"/>
    <w:pPr>
      <w:numPr>
        <w:numId w:val="1"/>
      </w:numPr>
      <w:ind w:left="720" w:hanging="720"/>
      <w:outlineLvl w:val="0"/>
    </w:pPr>
    <w:rPr>
      <w:kern w:val="28"/>
    </w:rPr>
  </w:style>
  <w:style w:type="paragraph" w:styleId="Heading2">
    <w:name w:val="heading 2"/>
    <w:basedOn w:val="Normal"/>
    <w:next w:val="Normal"/>
    <w:link w:val="Heading2Char"/>
    <w:qFormat/>
    <w:rsid w:val="008B7527"/>
    <w:pPr>
      <w:numPr>
        <w:ilvl w:val="1"/>
        <w:numId w:val="1"/>
      </w:numPr>
      <w:ind w:left="720" w:hanging="720"/>
      <w:outlineLvl w:val="1"/>
    </w:pPr>
  </w:style>
  <w:style w:type="paragraph" w:styleId="Heading3">
    <w:name w:val="heading 3"/>
    <w:basedOn w:val="Normal"/>
    <w:next w:val="Normal"/>
    <w:qFormat/>
    <w:rsid w:val="008B7527"/>
    <w:pPr>
      <w:numPr>
        <w:ilvl w:val="2"/>
        <w:numId w:val="1"/>
      </w:numPr>
      <w:ind w:left="720" w:hanging="720"/>
      <w:outlineLvl w:val="2"/>
    </w:pPr>
  </w:style>
  <w:style w:type="paragraph" w:styleId="Heading4">
    <w:name w:val="heading 4"/>
    <w:basedOn w:val="Normal"/>
    <w:next w:val="Normal"/>
    <w:qFormat/>
    <w:rsid w:val="008B7527"/>
    <w:pPr>
      <w:numPr>
        <w:ilvl w:val="3"/>
        <w:numId w:val="1"/>
      </w:numPr>
      <w:ind w:left="720" w:hanging="720"/>
      <w:outlineLvl w:val="3"/>
    </w:pPr>
  </w:style>
  <w:style w:type="paragraph" w:styleId="Heading5">
    <w:name w:val="heading 5"/>
    <w:basedOn w:val="Normal"/>
    <w:next w:val="Normal"/>
    <w:qFormat/>
    <w:rsid w:val="008B7527"/>
    <w:pPr>
      <w:numPr>
        <w:ilvl w:val="4"/>
        <w:numId w:val="1"/>
      </w:numPr>
      <w:ind w:left="720" w:hanging="720"/>
      <w:outlineLvl w:val="4"/>
    </w:pPr>
  </w:style>
  <w:style w:type="paragraph" w:styleId="Heading6">
    <w:name w:val="heading 6"/>
    <w:basedOn w:val="Normal"/>
    <w:next w:val="Normal"/>
    <w:qFormat/>
    <w:rsid w:val="008B7527"/>
    <w:pPr>
      <w:numPr>
        <w:ilvl w:val="5"/>
        <w:numId w:val="1"/>
      </w:numPr>
      <w:ind w:left="720" w:hanging="720"/>
      <w:outlineLvl w:val="5"/>
    </w:pPr>
  </w:style>
  <w:style w:type="paragraph" w:styleId="Heading7">
    <w:name w:val="heading 7"/>
    <w:basedOn w:val="Normal"/>
    <w:next w:val="Normal"/>
    <w:qFormat/>
    <w:rsid w:val="008B7527"/>
    <w:pPr>
      <w:numPr>
        <w:ilvl w:val="6"/>
        <w:numId w:val="1"/>
      </w:numPr>
      <w:ind w:left="720" w:hanging="720"/>
      <w:outlineLvl w:val="6"/>
    </w:pPr>
  </w:style>
  <w:style w:type="paragraph" w:styleId="Heading8">
    <w:name w:val="heading 8"/>
    <w:basedOn w:val="Normal"/>
    <w:next w:val="Normal"/>
    <w:qFormat/>
    <w:rsid w:val="008B7527"/>
    <w:pPr>
      <w:numPr>
        <w:ilvl w:val="7"/>
        <w:numId w:val="1"/>
      </w:numPr>
      <w:ind w:left="720" w:hanging="720"/>
      <w:outlineLvl w:val="7"/>
    </w:pPr>
  </w:style>
  <w:style w:type="paragraph" w:styleId="Heading9">
    <w:name w:val="heading 9"/>
    <w:basedOn w:val="Normal"/>
    <w:next w:val="Normal"/>
    <w:qFormat/>
    <w:rsid w:val="008B7527"/>
    <w:pPr>
      <w:numPr>
        <w:ilvl w:val="8"/>
        <w:numId w:val="1"/>
      </w:numPr>
      <w:ind w:left="720" w:hanging="7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59F1"/>
    <w:rPr>
      <w:kern w:val="28"/>
      <w:sz w:val="22"/>
      <w:szCs w:val="22"/>
      <w:lang w:val="lt-LT" w:eastAsia="lt-LT"/>
    </w:rPr>
  </w:style>
  <w:style w:type="character" w:customStyle="1" w:styleId="Heading2Char">
    <w:name w:val="Heading 2 Char"/>
    <w:link w:val="Heading2"/>
    <w:rsid w:val="000959F1"/>
    <w:rPr>
      <w:sz w:val="22"/>
      <w:szCs w:val="22"/>
      <w:lang w:val="lt-LT" w:eastAsia="lt-LT"/>
    </w:rPr>
  </w:style>
  <w:style w:type="paragraph" w:styleId="Footer">
    <w:name w:val="footer"/>
    <w:basedOn w:val="Normal"/>
    <w:qFormat/>
    <w:rsid w:val="008B7527"/>
  </w:style>
  <w:style w:type="paragraph" w:styleId="FootnoteText">
    <w:name w:val="footnote text"/>
    <w:basedOn w:val="Normal"/>
    <w:link w:val="FootnoteTextChar"/>
    <w:qFormat/>
    <w:rsid w:val="008B7527"/>
    <w:pPr>
      <w:keepLines/>
      <w:spacing w:after="60" w:line="240" w:lineRule="auto"/>
      <w:ind w:left="720" w:hanging="720"/>
    </w:pPr>
    <w:rPr>
      <w:sz w:val="16"/>
    </w:rPr>
  </w:style>
  <w:style w:type="character" w:customStyle="1" w:styleId="FootnoteTextChar">
    <w:name w:val="Footnote Text Char"/>
    <w:link w:val="FootnoteText"/>
    <w:rsid w:val="007F4114"/>
    <w:rPr>
      <w:sz w:val="16"/>
      <w:szCs w:val="22"/>
      <w:lang w:val="lt-LT" w:eastAsia="lt-LT"/>
    </w:rPr>
  </w:style>
  <w:style w:type="paragraph" w:styleId="Header">
    <w:name w:val="header"/>
    <w:basedOn w:val="Normal"/>
    <w:qFormat/>
    <w:rsid w:val="008B7527"/>
  </w:style>
  <w:style w:type="paragraph" w:customStyle="1" w:styleId="quotes">
    <w:name w:val="quotes"/>
    <w:basedOn w:val="Normal"/>
    <w:next w:val="Normal"/>
    <w:rsid w:val="008B7527"/>
    <w:pPr>
      <w:ind w:left="720"/>
    </w:pPr>
    <w:rPr>
      <w:i/>
    </w:rPr>
  </w:style>
  <w:style w:type="character" w:styleId="FootnoteReference">
    <w:name w:val="footnote reference"/>
    <w:aliases w:val="Footnote Reference Superscript,note TESI,Ref,de nota al pie,fr,SUPERS,Footnote symbol,Footnote number,o,Source Reference,number,Footnote reference number,-E Fußnotenzeichen,Times 10 Point,Exposant 3 Point,EN Footnote Reference,BVI fn"/>
    <w:unhideWhenUsed/>
    <w:qFormat/>
    <w:rsid w:val="008B7527"/>
    <w:rPr>
      <w:sz w:val="24"/>
      <w:vertAlign w:val="superscript"/>
    </w:rPr>
  </w:style>
  <w:style w:type="character" w:styleId="Hyperlink">
    <w:name w:val="Hyperlink"/>
    <w:uiPriority w:val="99"/>
    <w:unhideWhenUsed/>
    <w:rsid w:val="00501A48"/>
    <w:rPr>
      <w:color w:val="0000FF"/>
      <w:u w:val="single"/>
    </w:rPr>
  </w:style>
  <w:style w:type="paragraph" w:styleId="ListParagraph">
    <w:name w:val="List Paragraph"/>
    <w:basedOn w:val="Normal"/>
    <w:link w:val="ListParagraphChar"/>
    <w:uiPriority w:val="34"/>
    <w:qFormat/>
    <w:rsid w:val="00802B9C"/>
    <w:pPr>
      <w:numPr>
        <w:numId w:val="2"/>
      </w:numPr>
      <w:overflowPunct w:val="0"/>
      <w:autoSpaceDE w:val="0"/>
      <w:autoSpaceDN w:val="0"/>
      <w:adjustRightInd w:val="0"/>
      <w:contextualSpacing/>
      <w:jc w:val="left"/>
      <w:textAlignment w:val="baseline"/>
    </w:pPr>
    <w:rPr>
      <w:sz w:val="18"/>
      <w:szCs w:val="20"/>
    </w:rPr>
  </w:style>
  <w:style w:type="character" w:customStyle="1" w:styleId="ListParagraphChar">
    <w:name w:val="List Paragraph Char"/>
    <w:link w:val="ListParagraph"/>
    <w:uiPriority w:val="34"/>
    <w:rsid w:val="00296BB5"/>
    <w:rPr>
      <w:rFonts w:ascii="Segoe UI" w:hAnsi="Segoe UI"/>
      <w:sz w:val="18"/>
      <w:lang w:val="lt-LT" w:eastAsia="lt-LT"/>
    </w:rPr>
  </w:style>
  <w:style w:type="paragraph" w:styleId="CommentText">
    <w:name w:val="annotation text"/>
    <w:basedOn w:val="Normal"/>
    <w:link w:val="CommentTextChar"/>
    <w:rsid w:val="009E696E"/>
    <w:rPr>
      <w:szCs w:val="20"/>
    </w:rPr>
  </w:style>
  <w:style w:type="character" w:customStyle="1" w:styleId="CommentTextChar">
    <w:name w:val="Comment Text Char"/>
    <w:link w:val="CommentText"/>
    <w:rsid w:val="009E696E"/>
    <w:rPr>
      <w:rFonts w:ascii="Segoe UI" w:hAnsi="Segoe UI" w:cs="Segoe UI"/>
      <w:lang w:val="lt-LT" w:eastAsia="lt-LT"/>
    </w:rPr>
  </w:style>
  <w:style w:type="table" w:styleId="TableGrid">
    <w:name w:val="Table Grid"/>
    <w:basedOn w:val="TableNormal"/>
    <w:rsid w:val="00482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2715F5"/>
    <w:pPr>
      <w:jc w:val="left"/>
    </w:pPr>
    <w:rPr>
      <w:b/>
      <w:bCs/>
      <w:sz w:val="18"/>
    </w:rPr>
  </w:style>
  <w:style w:type="paragraph" w:customStyle="1" w:styleId="ListParagraph2">
    <w:name w:val="List Paragraph 2"/>
    <w:basedOn w:val="ListParagraph"/>
    <w:link w:val="ListParagraph2Char"/>
    <w:qFormat/>
    <w:rsid w:val="00296BB5"/>
    <w:pPr>
      <w:numPr>
        <w:numId w:val="3"/>
      </w:numPr>
    </w:pPr>
    <w:rPr>
      <w:b/>
    </w:rPr>
  </w:style>
  <w:style w:type="character" w:customStyle="1" w:styleId="ListParagraph2Char">
    <w:name w:val="List Paragraph 2 Char"/>
    <w:link w:val="ListParagraph2"/>
    <w:rsid w:val="00296BB5"/>
    <w:rPr>
      <w:rFonts w:ascii="Segoe UI" w:hAnsi="Segoe UI"/>
      <w:b/>
      <w:sz w:val="18"/>
      <w:lang w:val="lt-LT" w:eastAsia="lt-LT"/>
    </w:rPr>
  </w:style>
  <w:style w:type="paragraph" w:styleId="Revision">
    <w:name w:val="Revision"/>
    <w:hidden/>
    <w:uiPriority w:val="99"/>
    <w:semiHidden/>
    <w:rsid w:val="00744027"/>
    <w:rPr>
      <w:rFonts w:ascii="Segoe UI" w:hAnsi="Segoe UI" w:cs="Segoe UI"/>
      <w:szCs w:val="18"/>
      <w:lang w:val="lt-LT" w:eastAsia="lt-LT" w:bidi="lt-LT"/>
    </w:rPr>
  </w:style>
  <w:style w:type="paragraph" w:styleId="TOC1">
    <w:name w:val="toc 1"/>
    <w:basedOn w:val="Normal"/>
    <w:next w:val="Normal"/>
    <w:autoRedefine/>
    <w:uiPriority w:val="39"/>
    <w:unhideWhenUsed/>
    <w:rsid w:val="00F71482"/>
    <w:pPr>
      <w:tabs>
        <w:tab w:val="left" w:pos="284"/>
        <w:tab w:val="right" w:leader="dot" w:pos="9063"/>
      </w:tabs>
      <w:spacing w:after="100"/>
    </w:pPr>
  </w:style>
  <w:style w:type="paragraph" w:styleId="TOC2">
    <w:name w:val="toc 2"/>
    <w:basedOn w:val="Normal"/>
    <w:next w:val="Normal"/>
    <w:autoRedefine/>
    <w:uiPriority w:val="39"/>
    <w:unhideWhenUsed/>
    <w:rsid w:val="00F71482"/>
    <w:pPr>
      <w:tabs>
        <w:tab w:val="left" w:pos="709"/>
        <w:tab w:val="right" w:leader="dot" w:pos="9063"/>
      </w:tabs>
      <w:spacing w:after="100"/>
      <w:ind w:left="284"/>
    </w:pPr>
  </w:style>
  <w:style w:type="paragraph" w:styleId="TOC3">
    <w:name w:val="toc 3"/>
    <w:basedOn w:val="Normal"/>
    <w:next w:val="Normal"/>
    <w:autoRedefine/>
    <w:uiPriority w:val="39"/>
    <w:unhideWhenUsed/>
    <w:rsid w:val="002D1914"/>
    <w:pPr>
      <w:ind w:left="400"/>
    </w:pPr>
  </w:style>
  <w:style w:type="paragraph" w:styleId="BalloonText">
    <w:name w:val="Balloon Text"/>
    <w:basedOn w:val="Normal"/>
    <w:link w:val="BalloonTextChar"/>
    <w:semiHidden/>
    <w:unhideWhenUsed/>
    <w:rsid w:val="000959F1"/>
    <w:pPr>
      <w:spacing w:line="240" w:lineRule="auto"/>
    </w:pPr>
    <w:rPr>
      <w:rFonts w:ascii="Tahoma" w:hAnsi="Tahoma" w:cs="Tahoma"/>
      <w:sz w:val="16"/>
      <w:szCs w:val="16"/>
    </w:rPr>
  </w:style>
  <w:style w:type="character" w:customStyle="1" w:styleId="BalloonTextChar">
    <w:name w:val="Balloon Text Char"/>
    <w:link w:val="BalloonText"/>
    <w:semiHidden/>
    <w:rsid w:val="000959F1"/>
    <w:rPr>
      <w:rFonts w:ascii="Tahoma" w:hAnsi="Tahoma" w:cs="Tahoma"/>
      <w:sz w:val="16"/>
      <w:szCs w:val="16"/>
      <w:lang w:eastAsia="lt-LT"/>
    </w:rPr>
  </w:style>
  <w:style w:type="character" w:styleId="FollowedHyperlink">
    <w:name w:val="FollowedHyperlink"/>
    <w:semiHidden/>
    <w:unhideWhenUsed/>
    <w:rsid w:val="000D136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958">
      <w:bodyDiv w:val="1"/>
      <w:marLeft w:val="0"/>
      <w:marRight w:val="0"/>
      <w:marTop w:val="0"/>
      <w:marBottom w:val="0"/>
      <w:divBdr>
        <w:top w:val="none" w:sz="0" w:space="0" w:color="auto"/>
        <w:left w:val="none" w:sz="0" w:space="0" w:color="auto"/>
        <w:bottom w:val="none" w:sz="0" w:space="0" w:color="auto"/>
        <w:right w:val="none" w:sz="0" w:space="0" w:color="auto"/>
      </w:divBdr>
      <w:divsChild>
        <w:div w:id="989599072">
          <w:marLeft w:val="0"/>
          <w:marRight w:val="0"/>
          <w:marTop w:val="0"/>
          <w:marBottom w:val="0"/>
          <w:divBdr>
            <w:top w:val="none" w:sz="0" w:space="0" w:color="auto"/>
            <w:left w:val="none" w:sz="0" w:space="0" w:color="auto"/>
            <w:bottom w:val="none" w:sz="0" w:space="0" w:color="auto"/>
            <w:right w:val="none" w:sz="0" w:space="0" w:color="auto"/>
          </w:divBdr>
        </w:div>
        <w:div w:id="1565526820">
          <w:marLeft w:val="0"/>
          <w:marRight w:val="0"/>
          <w:marTop w:val="0"/>
          <w:marBottom w:val="0"/>
          <w:divBdr>
            <w:top w:val="none" w:sz="0" w:space="0" w:color="auto"/>
            <w:left w:val="none" w:sz="0" w:space="0" w:color="auto"/>
            <w:bottom w:val="none" w:sz="0" w:space="0" w:color="auto"/>
            <w:right w:val="none" w:sz="0" w:space="0" w:color="auto"/>
          </w:divBdr>
        </w:div>
        <w:div w:id="1981612767">
          <w:marLeft w:val="0"/>
          <w:marRight w:val="0"/>
          <w:marTop w:val="0"/>
          <w:marBottom w:val="0"/>
          <w:divBdr>
            <w:top w:val="none" w:sz="0" w:space="0" w:color="auto"/>
            <w:left w:val="none" w:sz="0" w:space="0" w:color="auto"/>
            <w:bottom w:val="none" w:sz="0" w:space="0" w:color="auto"/>
            <w:right w:val="none" w:sz="0" w:space="0" w:color="auto"/>
          </w:divBdr>
        </w:div>
      </w:divsChild>
    </w:div>
    <w:div w:id="69929525">
      <w:bodyDiv w:val="1"/>
      <w:marLeft w:val="0"/>
      <w:marRight w:val="0"/>
      <w:marTop w:val="0"/>
      <w:marBottom w:val="0"/>
      <w:divBdr>
        <w:top w:val="none" w:sz="0" w:space="0" w:color="auto"/>
        <w:left w:val="none" w:sz="0" w:space="0" w:color="auto"/>
        <w:bottom w:val="none" w:sz="0" w:space="0" w:color="auto"/>
        <w:right w:val="none" w:sz="0" w:space="0" w:color="auto"/>
      </w:divBdr>
    </w:div>
    <w:div w:id="169613180">
      <w:bodyDiv w:val="1"/>
      <w:marLeft w:val="0"/>
      <w:marRight w:val="0"/>
      <w:marTop w:val="0"/>
      <w:marBottom w:val="0"/>
      <w:divBdr>
        <w:top w:val="none" w:sz="0" w:space="0" w:color="auto"/>
        <w:left w:val="none" w:sz="0" w:space="0" w:color="auto"/>
        <w:bottom w:val="none" w:sz="0" w:space="0" w:color="auto"/>
        <w:right w:val="none" w:sz="0" w:space="0" w:color="auto"/>
      </w:divBdr>
    </w:div>
    <w:div w:id="210311303">
      <w:bodyDiv w:val="1"/>
      <w:marLeft w:val="0"/>
      <w:marRight w:val="0"/>
      <w:marTop w:val="0"/>
      <w:marBottom w:val="0"/>
      <w:divBdr>
        <w:top w:val="none" w:sz="0" w:space="0" w:color="auto"/>
        <w:left w:val="none" w:sz="0" w:space="0" w:color="auto"/>
        <w:bottom w:val="none" w:sz="0" w:space="0" w:color="auto"/>
        <w:right w:val="none" w:sz="0" w:space="0" w:color="auto"/>
      </w:divBdr>
    </w:div>
    <w:div w:id="294482900">
      <w:bodyDiv w:val="1"/>
      <w:marLeft w:val="0"/>
      <w:marRight w:val="0"/>
      <w:marTop w:val="0"/>
      <w:marBottom w:val="0"/>
      <w:divBdr>
        <w:top w:val="none" w:sz="0" w:space="0" w:color="auto"/>
        <w:left w:val="none" w:sz="0" w:space="0" w:color="auto"/>
        <w:bottom w:val="none" w:sz="0" w:space="0" w:color="auto"/>
        <w:right w:val="none" w:sz="0" w:space="0" w:color="auto"/>
      </w:divBdr>
    </w:div>
    <w:div w:id="461770026">
      <w:bodyDiv w:val="1"/>
      <w:marLeft w:val="0"/>
      <w:marRight w:val="0"/>
      <w:marTop w:val="0"/>
      <w:marBottom w:val="0"/>
      <w:divBdr>
        <w:top w:val="none" w:sz="0" w:space="0" w:color="auto"/>
        <w:left w:val="none" w:sz="0" w:space="0" w:color="auto"/>
        <w:bottom w:val="none" w:sz="0" w:space="0" w:color="auto"/>
        <w:right w:val="none" w:sz="0" w:space="0" w:color="auto"/>
      </w:divBdr>
    </w:div>
    <w:div w:id="850148726">
      <w:bodyDiv w:val="1"/>
      <w:marLeft w:val="0"/>
      <w:marRight w:val="0"/>
      <w:marTop w:val="0"/>
      <w:marBottom w:val="0"/>
      <w:divBdr>
        <w:top w:val="none" w:sz="0" w:space="0" w:color="auto"/>
        <w:left w:val="none" w:sz="0" w:space="0" w:color="auto"/>
        <w:bottom w:val="none" w:sz="0" w:space="0" w:color="auto"/>
        <w:right w:val="none" w:sz="0" w:space="0" w:color="auto"/>
      </w:divBdr>
    </w:div>
    <w:div w:id="1007247986">
      <w:bodyDiv w:val="1"/>
      <w:marLeft w:val="0"/>
      <w:marRight w:val="0"/>
      <w:marTop w:val="0"/>
      <w:marBottom w:val="0"/>
      <w:divBdr>
        <w:top w:val="none" w:sz="0" w:space="0" w:color="auto"/>
        <w:left w:val="none" w:sz="0" w:space="0" w:color="auto"/>
        <w:bottom w:val="none" w:sz="0" w:space="0" w:color="auto"/>
        <w:right w:val="none" w:sz="0" w:space="0" w:color="auto"/>
      </w:divBdr>
      <w:divsChild>
        <w:div w:id="59642785">
          <w:marLeft w:val="0"/>
          <w:marRight w:val="0"/>
          <w:marTop w:val="0"/>
          <w:marBottom w:val="0"/>
          <w:divBdr>
            <w:top w:val="none" w:sz="0" w:space="0" w:color="auto"/>
            <w:left w:val="none" w:sz="0" w:space="0" w:color="auto"/>
            <w:bottom w:val="none" w:sz="0" w:space="0" w:color="auto"/>
            <w:right w:val="none" w:sz="0" w:space="0" w:color="auto"/>
          </w:divBdr>
        </w:div>
        <w:div w:id="651757228">
          <w:marLeft w:val="0"/>
          <w:marRight w:val="0"/>
          <w:marTop w:val="0"/>
          <w:marBottom w:val="0"/>
          <w:divBdr>
            <w:top w:val="none" w:sz="0" w:space="0" w:color="auto"/>
            <w:left w:val="none" w:sz="0" w:space="0" w:color="auto"/>
            <w:bottom w:val="none" w:sz="0" w:space="0" w:color="auto"/>
            <w:right w:val="none" w:sz="0" w:space="0" w:color="auto"/>
          </w:divBdr>
        </w:div>
        <w:div w:id="985742801">
          <w:marLeft w:val="0"/>
          <w:marRight w:val="0"/>
          <w:marTop w:val="0"/>
          <w:marBottom w:val="0"/>
          <w:divBdr>
            <w:top w:val="none" w:sz="0" w:space="0" w:color="auto"/>
            <w:left w:val="none" w:sz="0" w:space="0" w:color="auto"/>
            <w:bottom w:val="none" w:sz="0" w:space="0" w:color="auto"/>
            <w:right w:val="none" w:sz="0" w:space="0" w:color="auto"/>
          </w:divBdr>
        </w:div>
        <w:div w:id="1350260266">
          <w:marLeft w:val="0"/>
          <w:marRight w:val="0"/>
          <w:marTop w:val="0"/>
          <w:marBottom w:val="0"/>
          <w:divBdr>
            <w:top w:val="none" w:sz="0" w:space="0" w:color="auto"/>
            <w:left w:val="none" w:sz="0" w:space="0" w:color="auto"/>
            <w:bottom w:val="none" w:sz="0" w:space="0" w:color="auto"/>
            <w:right w:val="none" w:sz="0" w:space="0" w:color="auto"/>
          </w:divBdr>
        </w:div>
        <w:div w:id="1989627007">
          <w:marLeft w:val="0"/>
          <w:marRight w:val="0"/>
          <w:marTop w:val="0"/>
          <w:marBottom w:val="0"/>
          <w:divBdr>
            <w:top w:val="none" w:sz="0" w:space="0" w:color="auto"/>
            <w:left w:val="none" w:sz="0" w:space="0" w:color="auto"/>
            <w:bottom w:val="none" w:sz="0" w:space="0" w:color="auto"/>
            <w:right w:val="none" w:sz="0" w:space="0" w:color="auto"/>
          </w:divBdr>
        </w:div>
      </w:divsChild>
    </w:div>
    <w:div w:id="1038239251">
      <w:bodyDiv w:val="1"/>
      <w:marLeft w:val="0"/>
      <w:marRight w:val="0"/>
      <w:marTop w:val="0"/>
      <w:marBottom w:val="0"/>
      <w:divBdr>
        <w:top w:val="none" w:sz="0" w:space="0" w:color="auto"/>
        <w:left w:val="none" w:sz="0" w:space="0" w:color="auto"/>
        <w:bottom w:val="none" w:sz="0" w:space="0" w:color="auto"/>
        <w:right w:val="none" w:sz="0" w:space="0" w:color="auto"/>
      </w:divBdr>
    </w:div>
    <w:div w:id="1236739533">
      <w:bodyDiv w:val="1"/>
      <w:marLeft w:val="0"/>
      <w:marRight w:val="0"/>
      <w:marTop w:val="0"/>
      <w:marBottom w:val="0"/>
      <w:divBdr>
        <w:top w:val="none" w:sz="0" w:space="0" w:color="auto"/>
        <w:left w:val="none" w:sz="0" w:space="0" w:color="auto"/>
        <w:bottom w:val="none" w:sz="0" w:space="0" w:color="auto"/>
        <w:right w:val="none" w:sz="0" w:space="0" w:color="auto"/>
      </w:divBdr>
      <w:divsChild>
        <w:div w:id="3560815">
          <w:marLeft w:val="0"/>
          <w:marRight w:val="0"/>
          <w:marTop w:val="0"/>
          <w:marBottom w:val="0"/>
          <w:divBdr>
            <w:top w:val="none" w:sz="0" w:space="0" w:color="auto"/>
            <w:left w:val="none" w:sz="0" w:space="0" w:color="auto"/>
            <w:bottom w:val="none" w:sz="0" w:space="0" w:color="auto"/>
            <w:right w:val="none" w:sz="0" w:space="0" w:color="auto"/>
          </w:divBdr>
        </w:div>
        <w:div w:id="49694138">
          <w:marLeft w:val="0"/>
          <w:marRight w:val="0"/>
          <w:marTop w:val="0"/>
          <w:marBottom w:val="0"/>
          <w:divBdr>
            <w:top w:val="none" w:sz="0" w:space="0" w:color="auto"/>
            <w:left w:val="none" w:sz="0" w:space="0" w:color="auto"/>
            <w:bottom w:val="none" w:sz="0" w:space="0" w:color="auto"/>
            <w:right w:val="none" w:sz="0" w:space="0" w:color="auto"/>
          </w:divBdr>
        </w:div>
        <w:div w:id="156652325">
          <w:marLeft w:val="0"/>
          <w:marRight w:val="0"/>
          <w:marTop w:val="0"/>
          <w:marBottom w:val="0"/>
          <w:divBdr>
            <w:top w:val="none" w:sz="0" w:space="0" w:color="auto"/>
            <w:left w:val="none" w:sz="0" w:space="0" w:color="auto"/>
            <w:bottom w:val="none" w:sz="0" w:space="0" w:color="auto"/>
            <w:right w:val="none" w:sz="0" w:space="0" w:color="auto"/>
          </w:divBdr>
        </w:div>
        <w:div w:id="346174223">
          <w:marLeft w:val="0"/>
          <w:marRight w:val="0"/>
          <w:marTop w:val="0"/>
          <w:marBottom w:val="0"/>
          <w:divBdr>
            <w:top w:val="none" w:sz="0" w:space="0" w:color="auto"/>
            <w:left w:val="none" w:sz="0" w:space="0" w:color="auto"/>
            <w:bottom w:val="none" w:sz="0" w:space="0" w:color="auto"/>
            <w:right w:val="none" w:sz="0" w:space="0" w:color="auto"/>
          </w:divBdr>
        </w:div>
        <w:div w:id="683939547">
          <w:marLeft w:val="0"/>
          <w:marRight w:val="0"/>
          <w:marTop w:val="0"/>
          <w:marBottom w:val="0"/>
          <w:divBdr>
            <w:top w:val="none" w:sz="0" w:space="0" w:color="auto"/>
            <w:left w:val="none" w:sz="0" w:space="0" w:color="auto"/>
            <w:bottom w:val="none" w:sz="0" w:space="0" w:color="auto"/>
            <w:right w:val="none" w:sz="0" w:space="0" w:color="auto"/>
          </w:divBdr>
        </w:div>
        <w:div w:id="801969389">
          <w:marLeft w:val="0"/>
          <w:marRight w:val="0"/>
          <w:marTop w:val="0"/>
          <w:marBottom w:val="0"/>
          <w:divBdr>
            <w:top w:val="none" w:sz="0" w:space="0" w:color="auto"/>
            <w:left w:val="none" w:sz="0" w:space="0" w:color="auto"/>
            <w:bottom w:val="none" w:sz="0" w:space="0" w:color="auto"/>
            <w:right w:val="none" w:sz="0" w:space="0" w:color="auto"/>
          </w:divBdr>
        </w:div>
        <w:div w:id="1264340589">
          <w:marLeft w:val="0"/>
          <w:marRight w:val="0"/>
          <w:marTop w:val="0"/>
          <w:marBottom w:val="0"/>
          <w:divBdr>
            <w:top w:val="none" w:sz="0" w:space="0" w:color="auto"/>
            <w:left w:val="none" w:sz="0" w:space="0" w:color="auto"/>
            <w:bottom w:val="none" w:sz="0" w:space="0" w:color="auto"/>
            <w:right w:val="none" w:sz="0" w:space="0" w:color="auto"/>
          </w:divBdr>
        </w:div>
        <w:div w:id="1313145015">
          <w:marLeft w:val="0"/>
          <w:marRight w:val="0"/>
          <w:marTop w:val="0"/>
          <w:marBottom w:val="0"/>
          <w:divBdr>
            <w:top w:val="none" w:sz="0" w:space="0" w:color="auto"/>
            <w:left w:val="none" w:sz="0" w:space="0" w:color="auto"/>
            <w:bottom w:val="none" w:sz="0" w:space="0" w:color="auto"/>
            <w:right w:val="none" w:sz="0" w:space="0" w:color="auto"/>
          </w:divBdr>
        </w:div>
        <w:div w:id="1435977708">
          <w:marLeft w:val="0"/>
          <w:marRight w:val="0"/>
          <w:marTop w:val="0"/>
          <w:marBottom w:val="0"/>
          <w:divBdr>
            <w:top w:val="none" w:sz="0" w:space="0" w:color="auto"/>
            <w:left w:val="none" w:sz="0" w:space="0" w:color="auto"/>
            <w:bottom w:val="none" w:sz="0" w:space="0" w:color="auto"/>
            <w:right w:val="none" w:sz="0" w:space="0" w:color="auto"/>
          </w:divBdr>
        </w:div>
        <w:div w:id="1450778843">
          <w:marLeft w:val="0"/>
          <w:marRight w:val="0"/>
          <w:marTop w:val="0"/>
          <w:marBottom w:val="0"/>
          <w:divBdr>
            <w:top w:val="none" w:sz="0" w:space="0" w:color="auto"/>
            <w:left w:val="none" w:sz="0" w:space="0" w:color="auto"/>
            <w:bottom w:val="none" w:sz="0" w:space="0" w:color="auto"/>
            <w:right w:val="none" w:sz="0" w:space="0" w:color="auto"/>
          </w:divBdr>
        </w:div>
        <w:div w:id="1647319918">
          <w:marLeft w:val="0"/>
          <w:marRight w:val="0"/>
          <w:marTop w:val="0"/>
          <w:marBottom w:val="0"/>
          <w:divBdr>
            <w:top w:val="none" w:sz="0" w:space="0" w:color="auto"/>
            <w:left w:val="none" w:sz="0" w:space="0" w:color="auto"/>
            <w:bottom w:val="none" w:sz="0" w:space="0" w:color="auto"/>
            <w:right w:val="none" w:sz="0" w:space="0" w:color="auto"/>
          </w:divBdr>
        </w:div>
        <w:div w:id="1647584793">
          <w:marLeft w:val="0"/>
          <w:marRight w:val="0"/>
          <w:marTop w:val="0"/>
          <w:marBottom w:val="0"/>
          <w:divBdr>
            <w:top w:val="none" w:sz="0" w:space="0" w:color="auto"/>
            <w:left w:val="none" w:sz="0" w:space="0" w:color="auto"/>
            <w:bottom w:val="none" w:sz="0" w:space="0" w:color="auto"/>
            <w:right w:val="none" w:sz="0" w:space="0" w:color="auto"/>
          </w:divBdr>
        </w:div>
        <w:div w:id="1769037738">
          <w:marLeft w:val="0"/>
          <w:marRight w:val="0"/>
          <w:marTop w:val="0"/>
          <w:marBottom w:val="0"/>
          <w:divBdr>
            <w:top w:val="none" w:sz="0" w:space="0" w:color="auto"/>
            <w:left w:val="none" w:sz="0" w:space="0" w:color="auto"/>
            <w:bottom w:val="none" w:sz="0" w:space="0" w:color="auto"/>
            <w:right w:val="none" w:sz="0" w:space="0" w:color="auto"/>
          </w:divBdr>
        </w:div>
        <w:div w:id="1967854169">
          <w:marLeft w:val="0"/>
          <w:marRight w:val="0"/>
          <w:marTop w:val="0"/>
          <w:marBottom w:val="0"/>
          <w:divBdr>
            <w:top w:val="none" w:sz="0" w:space="0" w:color="auto"/>
            <w:left w:val="none" w:sz="0" w:space="0" w:color="auto"/>
            <w:bottom w:val="none" w:sz="0" w:space="0" w:color="auto"/>
            <w:right w:val="none" w:sz="0" w:space="0" w:color="auto"/>
          </w:divBdr>
        </w:div>
      </w:divsChild>
    </w:div>
    <w:div w:id="1382947337">
      <w:bodyDiv w:val="1"/>
      <w:marLeft w:val="0"/>
      <w:marRight w:val="0"/>
      <w:marTop w:val="0"/>
      <w:marBottom w:val="0"/>
      <w:divBdr>
        <w:top w:val="none" w:sz="0" w:space="0" w:color="auto"/>
        <w:left w:val="none" w:sz="0" w:space="0" w:color="auto"/>
        <w:bottom w:val="none" w:sz="0" w:space="0" w:color="auto"/>
        <w:right w:val="none" w:sz="0" w:space="0" w:color="auto"/>
      </w:divBdr>
      <w:divsChild>
        <w:div w:id="317463895">
          <w:marLeft w:val="0"/>
          <w:marRight w:val="0"/>
          <w:marTop w:val="0"/>
          <w:marBottom w:val="0"/>
          <w:divBdr>
            <w:top w:val="none" w:sz="0" w:space="0" w:color="auto"/>
            <w:left w:val="none" w:sz="0" w:space="0" w:color="auto"/>
            <w:bottom w:val="none" w:sz="0" w:space="0" w:color="auto"/>
            <w:right w:val="none" w:sz="0" w:space="0" w:color="auto"/>
          </w:divBdr>
        </w:div>
        <w:div w:id="541358764">
          <w:marLeft w:val="0"/>
          <w:marRight w:val="0"/>
          <w:marTop w:val="0"/>
          <w:marBottom w:val="0"/>
          <w:divBdr>
            <w:top w:val="none" w:sz="0" w:space="0" w:color="auto"/>
            <w:left w:val="none" w:sz="0" w:space="0" w:color="auto"/>
            <w:bottom w:val="none" w:sz="0" w:space="0" w:color="auto"/>
            <w:right w:val="none" w:sz="0" w:space="0" w:color="auto"/>
          </w:divBdr>
        </w:div>
        <w:div w:id="801653146">
          <w:marLeft w:val="0"/>
          <w:marRight w:val="0"/>
          <w:marTop w:val="0"/>
          <w:marBottom w:val="0"/>
          <w:divBdr>
            <w:top w:val="none" w:sz="0" w:space="0" w:color="auto"/>
            <w:left w:val="none" w:sz="0" w:space="0" w:color="auto"/>
            <w:bottom w:val="none" w:sz="0" w:space="0" w:color="auto"/>
            <w:right w:val="none" w:sz="0" w:space="0" w:color="auto"/>
          </w:divBdr>
        </w:div>
        <w:div w:id="1008796466">
          <w:marLeft w:val="0"/>
          <w:marRight w:val="0"/>
          <w:marTop w:val="0"/>
          <w:marBottom w:val="0"/>
          <w:divBdr>
            <w:top w:val="none" w:sz="0" w:space="0" w:color="auto"/>
            <w:left w:val="none" w:sz="0" w:space="0" w:color="auto"/>
            <w:bottom w:val="none" w:sz="0" w:space="0" w:color="auto"/>
            <w:right w:val="none" w:sz="0" w:space="0" w:color="auto"/>
          </w:divBdr>
        </w:div>
      </w:divsChild>
    </w:div>
    <w:div w:id="1400323945">
      <w:bodyDiv w:val="1"/>
      <w:marLeft w:val="0"/>
      <w:marRight w:val="0"/>
      <w:marTop w:val="0"/>
      <w:marBottom w:val="0"/>
      <w:divBdr>
        <w:top w:val="none" w:sz="0" w:space="0" w:color="auto"/>
        <w:left w:val="none" w:sz="0" w:space="0" w:color="auto"/>
        <w:bottom w:val="none" w:sz="0" w:space="0" w:color="auto"/>
        <w:right w:val="none" w:sz="0" w:space="0" w:color="auto"/>
      </w:divBdr>
    </w:div>
    <w:div w:id="1452431026">
      <w:bodyDiv w:val="1"/>
      <w:marLeft w:val="0"/>
      <w:marRight w:val="0"/>
      <w:marTop w:val="0"/>
      <w:marBottom w:val="0"/>
      <w:divBdr>
        <w:top w:val="none" w:sz="0" w:space="0" w:color="auto"/>
        <w:left w:val="none" w:sz="0" w:space="0" w:color="auto"/>
        <w:bottom w:val="none" w:sz="0" w:space="0" w:color="auto"/>
        <w:right w:val="none" w:sz="0" w:space="0" w:color="auto"/>
      </w:divBdr>
      <w:divsChild>
        <w:div w:id="441651163">
          <w:marLeft w:val="0"/>
          <w:marRight w:val="0"/>
          <w:marTop w:val="0"/>
          <w:marBottom w:val="0"/>
          <w:divBdr>
            <w:top w:val="none" w:sz="0" w:space="0" w:color="auto"/>
            <w:left w:val="none" w:sz="0" w:space="0" w:color="auto"/>
            <w:bottom w:val="none" w:sz="0" w:space="0" w:color="auto"/>
            <w:right w:val="none" w:sz="0" w:space="0" w:color="auto"/>
          </w:divBdr>
        </w:div>
        <w:div w:id="1046025075">
          <w:marLeft w:val="0"/>
          <w:marRight w:val="0"/>
          <w:marTop w:val="0"/>
          <w:marBottom w:val="0"/>
          <w:divBdr>
            <w:top w:val="none" w:sz="0" w:space="0" w:color="auto"/>
            <w:left w:val="none" w:sz="0" w:space="0" w:color="auto"/>
            <w:bottom w:val="none" w:sz="0" w:space="0" w:color="auto"/>
            <w:right w:val="none" w:sz="0" w:space="0" w:color="auto"/>
          </w:divBdr>
        </w:div>
        <w:div w:id="1085689717">
          <w:marLeft w:val="0"/>
          <w:marRight w:val="0"/>
          <w:marTop w:val="0"/>
          <w:marBottom w:val="0"/>
          <w:divBdr>
            <w:top w:val="none" w:sz="0" w:space="0" w:color="auto"/>
            <w:left w:val="none" w:sz="0" w:space="0" w:color="auto"/>
            <w:bottom w:val="none" w:sz="0" w:space="0" w:color="auto"/>
            <w:right w:val="none" w:sz="0" w:space="0" w:color="auto"/>
          </w:divBdr>
        </w:div>
        <w:div w:id="1690645763">
          <w:marLeft w:val="0"/>
          <w:marRight w:val="0"/>
          <w:marTop w:val="0"/>
          <w:marBottom w:val="0"/>
          <w:divBdr>
            <w:top w:val="none" w:sz="0" w:space="0" w:color="auto"/>
            <w:left w:val="none" w:sz="0" w:space="0" w:color="auto"/>
            <w:bottom w:val="none" w:sz="0" w:space="0" w:color="auto"/>
            <w:right w:val="none" w:sz="0" w:space="0" w:color="auto"/>
          </w:divBdr>
        </w:div>
      </w:divsChild>
    </w:div>
    <w:div w:id="1678262338">
      <w:bodyDiv w:val="1"/>
      <w:marLeft w:val="0"/>
      <w:marRight w:val="0"/>
      <w:marTop w:val="0"/>
      <w:marBottom w:val="0"/>
      <w:divBdr>
        <w:top w:val="none" w:sz="0" w:space="0" w:color="auto"/>
        <w:left w:val="none" w:sz="0" w:space="0" w:color="auto"/>
        <w:bottom w:val="none" w:sz="0" w:space="0" w:color="auto"/>
        <w:right w:val="none" w:sz="0" w:space="0" w:color="auto"/>
      </w:divBdr>
    </w:div>
    <w:div w:id="1865942284">
      <w:bodyDiv w:val="1"/>
      <w:marLeft w:val="0"/>
      <w:marRight w:val="0"/>
      <w:marTop w:val="0"/>
      <w:marBottom w:val="0"/>
      <w:divBdr>
        <w:top w:val="none" w:sz="0" w:space="0" w:color="auto"/>
        <w:left w:val="none" w:sz="0" w:space="0" w:color="auto"/>
        <w:bottom w:val="none" w:sz="0" w:space="0" w:color="auto"/>
        <w:right w:val="none" w:sz="0" w:space="0" w:color="auto"/>
      </w:divBdr>
    </w:div>
    <w:div w:id="190390213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www.eesc.europa.eu/red-study"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gal-content/EN/TXT/?uri=CELEX:52014XC0628%2801%29" TargetMode="External"/><Relationship Id="rId1" Type="http://schemas.openxmlformats.org/officeDocument/2006/relationships/hyperlink" Target="http://www.eesc.europa.eu/?i=portal.en.events-and-activities-local-renewable-ener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startup\Sty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949ff7b9-ac16-4cac-b916-60a333a9bf9d">Q4AU5J5HWUN2-7-7303</_dlc_DocId>
    <_dlc_DocIdUrl xmlns="949ff7b9-ac16-4cac-b916-60a333a9bf9d">
      <Url>http://dm/EESC/2014/_layouts/DocIdRedir.aspx?ID=Q4AU5J5HWUN2-7-7303</Url>
      <Description>Q4AU5J5HWUN2-7-7303</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Procedure xmlns="949ff7b9-ac16-4cac-b916-60a333a9bf9d" xsi:nil="true"/>
    <ProductionDate xmlns="949ff7b9-ac16-4cac-b916-60a333a9bf9d">2015-02-11T12:00:00+00:00</ProductionDate>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FicheYear xmlns="949ff7b9-ac16-4cac-b916-60a333a9bf9d">2015</FicheYear>
    <DocumentNumber xmlns="949ff7b9-ac16-4cac-b916-60a333a9bf9d">4780</DocumentNumber>
    <DossierNumber xmlns="949ff7b9-ac16-4cac-b916-60a333a9bf9d"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TaxCatchAll xmlns="949ff7b9-ac16-4cac-b916-60a333a9bf9d">
      <Value>93</Value>
      <Value>38</Value>
      <Value>37</Value>
      <Value>35</Value>
      <Value>34</Value>
      <Value>33</Value>
      <Value>32</Value>
      <Value>31</Value>
      <Value>30</Value>
      <Value>29</Value>
      <Value>28</Value>
      <Value>27</Value>
      <Value>25</Value>
      <Value>24</Value>
      <Value>23</Value>
      <Value>22</Value>
      <Value>21</Value>
      <Value>19</Value>
      <Value>18</Value>
      <Value>12</Value>
      <Value>10</Value>
      <Value>9</Value>
      <Value>6</Value>
      <Value>5</Value>
      <Value>4</Value>
      <Value>3</Value>
      <Value>2</Value>
      <Value>1</Value>
    </TaxCatchAll>
    <MeetingDate xmlns="949ff7b9-ac16-4cac-b916-60a333a9bf9d">2015-01-21T12:00:00+00:00</MeetingDate>
    <DocumentLanguage_0 xmlns="http://schemas.microsoft.com/sharepoint/v3/fields">
      <Terms xmlns="http://schemas.microsoft.com/office/infopath/2007/PartnerControls">
        <TermInfo xmlns="http://schemas.microsoft.com/office/infopath/2007/PartnerControls">
          <TermName xmlns="http://schemas.microsoft.com/office/infopath/2007/PartnerControls">LT</TermName>
          <TermId xmlns="http://schemas.microsoft.com/office/infopath/2007/PartnerControls">a7ff5ce7-6123-4f68-865a-a57c31810414</TermId>
        </TermInfo>
      </Terms>
    </DocumentLanguage_0>
    <Rapporteur xmlns="949ff7b9-ac16-4cac-b916-60a333a9bf9d" xsi:nil="true"/>
    <DocumentYear xmlns="949ff7b9-ac16-4cac-b916-60a333a9bf9d">2014</DocumentYear>
    <FicheNumber xmlns="949ff7b9-ac16-4cac-b916-60a333a9bf9d">1342</FicheNumber>
    <DocumentPart xmlns="949ff7b9-ac16-4cac-b916-60a333a9bf9d">0</DocumentPart>
    <AdoptionDate xmlns="949ff7b9-ac16-4cac-b916-60a333a9bf9d">2015-01-22T12:00:00+00:00</AdoptionDate>
    <MeetingName_0 xmlns="http://schemas.microsoft.com/sharepoint/v3/fields">
      <Terms xmlns="http://schemas.microsoft.com/office/infopath/2007/PartnerControls">
        <TermInfo xmlns="http://schemas.microsoft.com/office/infopath/2007/PartnerControls">
          <TermName xmlns="http://schemas.microsoft.com/office/infopath/2007/PartnerControls">SPL-CES</TermName>
          <TermId xmlns="http://schemas.microsoft.com/office/infopath/2007/PartnerControls">32d8cb1f-c9ec-4365-95c7-8385a18618ac</TermId>
        </TermInfo>
      </Terms>
    </MeetingName_0>
    <RequestingService xmlns="949ff7b9-ac16-4cac-b916-60a333a9bf9d">Agriculture, développement rural et environnement</RequestingService>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DE</TermName>
          <TermId xmlns="http://schemas.microsoft.com/office/infopath/2007/PartnerControls">f6b31e5a-26fa-4935-b661-318e46daf27e</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EL</TermName>
          <TermId xmlns="http://schemas.microsoft.com/office/infopath/2007/PartnerControls">6d4f4d51-af9b-4650-94b4-4276bee85c91</TermId>
        </TermInfo>
        <TermInfo xmlns="http://schemas.microsoft.com/office/infopath/2007/PartnerControls">
          <TermName xmlns="http://schemas.microsoft.com/office/infopath/2007/PartnerControls">FI</TermName>
          <TermId xmlns="http://schemas.microsoft.com/office/infopath/2007/PartnerControls">87606a43-d45f-42d6-b8c9-e1a3457db5b7</TermId>
        </TermInfo>
        <TermInfo xmlns="http://schemas.microsoft.com/office/infopath/2007/PartnerControls">
          <TermName xmlns="http://schemas.microsoft.com/office/infopath/2007/PartnerControls">BG</TermName>
          <TermId xmlns="http://schemas.microsoft.com/office/infopath/2007/PartnerControls">1a1b3951-7821-4e6a-85f5-5673fc08bd2c</TermId>
        </TermInfo>
        <TermInfo xmlns="http://schemas.microsoft.com/office/infopath/2007/PartnerControls">
          <TermName xmlns="http://schemas.microsoft.com/office/infopath/2007/PartnerControls">NL</TermName>
          <TermId xmlns="http://schemas.microsoft.com/office/infopath/2007/PartnerControls">55c6556c-b4f4-441d-9acf-c498d4f838bd</TermId>
        </TermInfo>
        <TermInfo xmlns="http://schemas.microsoft.com/office/infopath/2007/PartnerControls">
          <TermName xmlns="http://schemas.microsoft.com/office/infopath/2007/PartnerControls">LT</TermName>
          <TermId xmlns="http://schemas.microsoft.com/office/infopath/2007/PartnerControls">a7ff5ce7-6123-4f68-865a-a57c31810414</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Info xmlns="http://schemas.microsoft.com/office/infopath/2007/PartnerControls">
          <TermName xmlns="http://schemas.microsoft.com/office/infopath/2007/PartnerControls">ET</TermName>
          <TermId xmlns="http://schemas.microsoft.com/office/infopath/2007/PartnerControls">ff6c3f4c-b02c-4c3c-ab07-2c37995a7a0a</TermId>
        </TermInfo>
        <TermInfo xmlns="http://schemas.microsoft.com/office/infopath/2007/PartnerControls">
          <TermName xmlns="http://schemas.microsoft.com/office/infopath/2007/PartnerControls">HU</TermName>
          <TermId xmlns="http://schemas.microsoft.com/office/infopath/2007/PartnerControls">6b229040-c589-4408-b4c1-4285663d20a8</TermId>
        </TermInfo>
        <TermInfo xmlns="http://schemas.microsoft.com/office/infopath/2007/PartnerControls">
          <TermName xmlns="http://schemas.microsoft.com/office/infopath/2007/PartnerControls">SV</TermName>
          <TermId xmlns="http://schemas.microsoft.com/office/infopath/2007/PartnerControls">c2ed69e7-a339-43d7-8f22-d93680a92aa0</TermId>
        </TermInfo>
        <TermInfo xmlns="http://schemas.microsoft.com/office/infopath/2007/PartnerControls">
          <TermName xmlns="http://schemas.microsoft.com/office/infopath/2007/PartnerControls">PL</TermName>
          <TermId xmlns="http://schemas.microsoft.com/office/infopath/2007/PartnerControls">1e03da61-4678-4e07-b136-b5024ca9197b</TermId>
        </TermInfo>
        <TermInfo xmlns="http://schemas.microsoft.com/office/infopath/2007/PartnerControls">
          <TermName xmlns="http://schemas.microsoft.com/office/infopath/2007/PartnerControls">SL</TermName>
          <TermId xmlns="http://schemas.microsoft.com/office/infopath/2007/PartnerControls">98a412ae-eb01-49e9-ae3d-585a81724cfc</TermId>
        </TermInfo>
        <TermInfo xmlns="http://schemas.microsoft.com/office/infopath/2007/PartnerControls">
          <TermName xmlns="http://schemas.microsoft.com/office/infopath/2007/PartnerControls">DA</TermName>
          <TermId xmlns="http://schemas.microsoft.com/office/infopath/2007/PartnerControls">5d49c027-8956-412b-aa16-e85a0f96ad0e</TermId>
        </TermInfo>
        <TermInfo xmlns="http://schemas.microsoft.com/office/infopath/2007/PartnerControls">
          <TermName xmlns="http://schemas.microsoft.com/office/infopath/2007/PartnerControls">LV</TermName>
          <TermId xmlns="http://schemas.microsoft.com/office/infopath/2007/PartnerControls">46f7e311-5d9f-4663-b433-18aeccb7ace7</TermId>
        </TermInfo>
        <TermInfo xmlns="http://schemas.microsoft.com/office/infopath/2007/PartnerControls">
          <TermName xmlns="http://schemas.microsoft.com/office/infopath/2007/PartnerControls">HR</TermName>
          <TermId xmlns="http://schemas.microsoft.com/office/infopath/2007/PartnerControls">2f555653-ed1a-4fe6-8362-9082d95989e5</TermId>
        </TermInfo>
        <TermInfo xmlns="http://schemas.microsoft.com/office/infopath/2007/PartnerControls">
          <TermName xmlns="http://schemas.microsoft.com/office/infopath/2007/PartnerControls">MT</TermName>
          <TermId xmlns="http://schemas.microsoft.com/office/infopath/2007/PartnerControls">7df99101-6854-4a26-b53a-b88c0da02c26</TermId>
        </TermInfo>
        <TermInfo xmlns="http://schemas.microsoft.com/office/infopath/2007/PartnerControls">
          <TermName xmlns="http://schemas.microsoft.com/office/infopath/2007/PartnerControls">CS</TermName>
          <TermId xmlns="http://schemas.microsoft.com/office/infopath/2007/PartnerControls">72f9705b-0217-4fd3-bea2-cbc7ed80e26e</TermId>
        </TermInfo>
        <TermInfo xmlns="http://schemas.microsoft.com/office/infopath/2007/PartnerControls">
          <TermName xmlns="http://schemas.microsoft.com/office/infopath/2007/PartnerControls">SK</TermName>
          <TermId xmlns="http://schemas.microsoft.com/office/infopath/2007/PartnerControls">46d9fce0-ef79-4f71-b89b-cd6aa82426b8</TermId>
        </TermInfo>
        <TermInfo xmlns="http://schemas.microsoft.com/office/infopath/2007/PartnerControls">
          <TermName xmlns="http://schemas.microsoft.com/office/infopath/2007/PartnerControls">PT</TermName>
          <TermId xmlns="http://schemas.microsoft.com/office/infopath/2007/PartnerControls">50ccc04a-eadd-42ae-a0cb-acaf45f812ba</TermId>
        </TermInfo>
        <TermInfo xmlns="http://schemas.microsoft.com/office/infopath/2007/PartnerControls">
          <TermName xmlns="http://schemas.microsoft.com/office/infopath/2007/PartnerControls">ES</TermName>
          <TermId xmlns="http://schemas.microsoft.com/office/infopath/2007/PartnerControls">e7a6b05b-ae16-40c8-add9-68b64b03aeba</TermId>
        </TermInfo>
        <TermInfo xmlns="http://schemas.microsoft.com/office/infopath/2007/PartnerControls">
          <TermName xmlns="http://schemas.microsoft.com/office/infopath/2007/PartnerControls">RO</TermName>
          <TermId xmlns="http://schemas.microsoft.com/office/infopath/2007/PartnerControls">feb747a2-64cd-4299-af12-4833ddc30497</TermId>
        </TermInfo>
      </Terms>
    </AvailableTranslations_0>
    <MeetingNumber xmlns="fc331741-2a19-47d6-917e-2aa3ec78eda3">504</MeetingNumber>
    <DossierName_0 xmlns="http://schemas.microsoft.com/sharepoint/v3/fields">
      <Terms xmlns="http://schemas.microsoft.com/office/infopath/2007/PartnerControls"/>
    </DossierName_0>
    <DocumentVersion xmlns="949ff7b9-ac16-4cac-b916-60a333a9bf9d">4</DocumentVersion>
  </documentManagement>
</p:properties>
</file>

<file path=customXml/item4.xml><?xml version="1.0" encoding="utf-8"?>
<LongProperties xmlns="http://schemas.microsoft.com/office/2006/metadata/longProperties">
  <LongProp xmlns="" name="AvailableTranslations"><![CDATA[12;#DE|f6b31e5a-26fa-4935-b661-318e46daf27e;#6;#EN|f2175f21-25d7-44a3-96da-d6a61b075e1b;#32;#HR|2f555653-ed1a-4fe6-8362-9082d95989e5;#19;#IT|0774613c-01ed-4e5d-a25d-11d2388de825;#38;#RO|feb747a2-64cd-4299-af12-4833ddc30497;#28;#LV|46f7e311-5d9f-4663-b433-18aeccb7ace7;#22;#NL|55c6556c-b4f4-441d-9acf-c498d4f838bd;#21;#EL|6d4f4d51-af9b-4650-94b4-4276bee85c91;#10;#PT|50ccc04a-eadd-42ae-a0cb-acaf45f812ba;#24;#SK|46d9fce0-ef79-4f71-b89b-cd6aa82426b8;#29;#DA|5d49c027-8956-412b-aa16-e85a0f96ad0e;#31;#HU|6b229040-c589-4408-b4c1-4285663d20a8;#18;#PL|1e03da61-4678-4e07-b136-b5024ca9197b;#4;#FR|d2afafd3-4c81-4f60-8f52-ee33f2f54ff3;#37;#MT|7df99101-6854-4a26-b53a-b88c0da02c26;#35;#SL|98a412ae-eb01-49e9-ae3d-585a81724cfc;#9;#ES|e7a6b05b-ae16-40c8-add9-68b64b03aeba;#25;#FI|87606a43-d45f-42d6-b8c9-e1a3457db5b7;#34;#ET|ff6c3f4c-b02c-4c3c-ab07-2c37995a7a0a;#23;#CS|72f9705b-0217-4fd3-bea2-cbc7ed80e26e;#27;#SV|c2ed69e7-a339-43d7-8f22-d93680a92aa0;#30;#BG|1a1b3951-7821-4e6a-85f5-5673fc08bd2c;#33;#LT|a7ff5ce7-6123-4f68-865a-a57c31810414]]></LongProp>
  <LongProp xmlns="" name="AvailableTranslations_0"><![CDATA[DE|f6b31e5a-26fa-4935-b661-318e46daf27e;EN|f2175f21-25d7-44a3-96da-d6a61b075e1b;HR|2f555653-ed1a-4fe6-8362-9082d95989e5;IT|0774613c-01ed-4e5d-a25d-11d2388de825;RO|feb747a2-64cd-4299-af12-4833ddc30497;LV|46f7e311-5d9f-4663-b433-18aeccb7ace7;NL|55c6556c-b4f4-441d-9acf-c498d4f838bd;EL|6d4f4d51-af9b-4650-94b4-4276bee85c91;PT|50ccc04a-eadd-42ae-a0cb-acaf45f812ba;SK|46d9fce0-ef79-4f71-b89b-cd6aa82426b8;DA|5d49c027-8956-412b-aa16-e85a0f96ad0e;HU|6b229040-c589-4408-b4c1-4285663d20a8;PL|1e03da61-4678-4e07-b136-b5024ca9197b;FR|d2afafd3-4c81-4f60-8f52-ee33f2f54ff3;MT|7df99101-6854-4a26-b53a-b88c0da02c26;SL|98a412ae-eb01-49e9-ae3d-585a81724cfc;ES|e7a6b05b-ae16-40c8-add9-68b64b03aeba;FI|87606a43-d45f-42d6-b8c9-e1a3457db5b7;ET|ff6c3f4c-b02c-4c3c-ab07-2c37995a7a0a;CS|72f9705b-0217-4fd3-bea2-cbc7ed80e26e;SV|c2ed69e7-a339-43d7-8f22-d93680a92aa0;BG|1a1b3951-7821-4e6a-85f5-5673fc08bd2c;LT|a7ff5ce7-6123-4f68-865a-a57c31810414]]></LongProp>
  <LongProp xmlns="" name="TaxCatchAll"><![CDATA[93;#SPL-CES|32d8cb1f-c9ec-4365-95c7-8385a18618ac;#38;#RO|feb747a2-64cd-4299-af12-4833ddc30497;#37;#MT|7df99101-6854-4a26-b53a-b88c0da02c26;#35;#SL|98a412ae-eb01-49e9-ae3d-585a81724cfc;#34;#ET|ff6c3f4c-b02c-4c3c-ab07-2c37995a7a0a;#33;#LT|a7ff5ce7-6123-4f68-865a-a57c31810414;#32;#HR|2f555653-ed1a-4fe6-8362-9082d95989e5;#31;#HU|6b229040-c589-4408-b4c1-4285663d20a8;#30;#BG|1a1b3951-7821-4e6a-85f5-5673fc08bd2c;#29;#DA|5d49c027-8956-412b-aa16-e85a0f96ad0e;#28;#LV|46f7e311-5d9f-4663-b433-18aeccb7ace7;#27;#SV|c2ed69e7-a339-43d7-8f22-d93680a92aa0;#25;#FI|87606a43-d45f-42d6-b8c9-e1a3457db5b7;#24;#SK|46d9fce0-ef79-4f71-b89b-cd6aa82426b8;#23;#CS|72f9705b-0217-4fd3-bea2-cbc7ed80e26e;#22;#NL|55c6556c-b4f4-441d-9acf-c498d4f838bd;#21;#EL|6d4f4d51-af9b-4650-94b4-4276bee85c91;#19;#IT|0774613c-01ed-4e5d-a25d-11d2388de825;#18;#PL|1e03da61-4678-4e07-b136-b5024ca9197b;#12;#DE|f6b31e5a-26fa-4935-b661-318e46daf27e;#10;#PT|50ccc04a-eadd-42ae-a0cb-acaf45f812ba;#9;#ES|e7a6b05b-ae16-40c8-add9-68b64b03aeba;#6;#EN|f2175f21-25d7-44a3-96da-d6a61b075e1b;#5;#Unrestricted|826e22d7-d029-4ec0-a450-0c28ff673572;#4;#FR|d2afafd3-4c81-4f60-8f52-ee33f2f54ff3;#3;#TCD|cd9d6eb6-3f4f-424a-b2d1-57c9d450eaaf;#2;#TRA|150d2a88-1431-44e6-a8ca-0bb753ab8672;#1;#EESC|422833ec-8d7e-4e65-8e4e-8bed07ffb729]]></LongProp>
</LongProperties>
</file>

<file path=customXml/item5.xml><?xml version="1.0" encoding="utf-8"?>
<ct:contentTypeSchema xmlns:ct="http://schemas.microsoft.com/office/2006/metadata/contentType" xmlns:ma="http://schemas.microsoft.com/office/2006/metadata/properties/metaAttributes" ct:_="" ma:_="" ma:contentTypeName="DM Document" ma:contentTypeID="0x010100EA97B91038054C99906057A708A1480A0018D25216E8A3B845A7A963091613675C" ma:contentTypeVersion="5" ma:contentTypeDescription="Defines the documents for Document Manager V2" ma:contentTypeScope="" ma:versionID="3f4c6e58edcb4248017afbfeee3c614d">
  <xsd:schema xmlns:xsd="http://www.w3.org/2001/XMLSchema" xmlns:xs="http://www.w3.org/2001/XMLSchema" xmlns:p="http://schemas.microsoft.com/office/2006/metadata/properties" xmlns:ns2="949ff7b9-ac16-4cac-b916-60a333a9bf9d" xmlns:ns3="http://schemas.microsoft.com/sharepoint/v3/fields" xmlns:ns4="fc331741-2a19-47d6-917e-2aa3ec78eda3" targetNamespace="http://schemas.microsoft.com/office/2006/metadata/properties" ma:root="true" ma:fieldsID="de9510e3d21207e74687dd0c4c5496bc" ns2:_="" ns3:_="" ns4:_="">
    <xsd:import namespace="949ff7b9-ac16-4cac-b916-60a333a9bf9d"/>
    <xsd:import namespace="http://schemas.microsoft.com/sharepoint/v3/fields"/>
    <xsd:import namespace="fc331741-2a19-47d6-917e-2aa3ec78eda3"/>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2: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DocumentSource_0" minOccurs="0"/>
                <xsd:element ref="ns3:OriginalLanguage_0" minOccurs="0"/>
                <xsd:element ref="ns2:DocumentYear"/>
                <xsd:element ref="ns2:MeetingDate" minOccurs="0"/>
                <xsd:element ref="ns2:DocumentVersion" minOccurs="0"/>
                <xsd:element ref="ns4:MeetingNumber" minOccurs="0"/>
                <xsd:element ref="ns3:MeetingName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9ff7b9-ac16-4cac-b916-60a333a9bf9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DocumentNumber" ma:index="16" nillable="true" ma:displayName="Document Number" ma:indexed="true" ma:internalName="DocumentNumber" ma:readOnly="false">
      <xsd:simpleType>
        <xsd:restriction base="dms:Unknown"/>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internalName="DossierNumber" ma:readOnly="false">
      <xsd:simpleType>
        <xsd:restriction base="dms:Unknown"/>
      </xsd:simpleType>
    </xsd:element>
    <xsd:element name="TaxCatchAll" ma:index="20" nillable="true" ma:displayName="Taxonomy Catch All Column" ma:hidden="true" ma:list="{3de8a310-458d-4626-b67f-b7f3c0b5774d}" ma:internalName="TaxCatchAll" ma:showField="CatchAllData"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3de8a310-458d-4626-b67f-b7f3c0b5774d}" ma:internalName="TaxCatchAllLabel" ma:readOnly="true" ma:showField="CatchAllDataLabel" ma:web="949ff7b9-ac16-4cac-b916-60a333a9bf9d">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internalName="DocumentPart" ma:readOnly="false">
      <xsd:simpleType>
        <xsd:restriction base="dms:Unknown"/>
      </xsd:simpleType>
    </xsd:element>
    <xsd:element name="FicheYear" ma:index="34" nillable="true" ma:displayName="Fiche Year" ma:internalName="FicheYear" ma:readOnly="false">
      <xsd:simpleType>
        <xsd:restriction base="dms:Unknown"/>
      </xsd:simpleType>
    </xsd:element>
    <xsd:element name="DocumentYear" ma:index="39" ma:displayName="Document Year" ma:internalName="DocumentYear" ma:readOnly="false">
      <xsd:simpleType>
        <xsd:restriction base="dms:Unknown"/>
      </xsd:simpleType>
    </xsd:element>
    <xsd:element name="MeetingDate" ma:index="40" nillable="true" ma:displayName="Meeting Date" ma:format="DateOnly" ma:internalName="MeetingDate" ma:readOnly="false">
      <xsd:simpleType>
        <xsd:restriction base="dms:DateTime"/>
      </xsd:simpleType>
    </xsd:element>
    <xsd:element name="DocumentVersion" ma:index="41" nillable="true" ma:displayName="Document Version"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DocumentSource_0" ma:index="35"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7"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43"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331741-2a19-47d6-917e-2aa3ec78eda3" elementFormDefault="qualified">
    <xsd:import namespace="http://schemas.microsoft.com/office/2006/documentManagement/types"/>
    <xsd:import namespace="http://schemas.microsoft.com/office/infopath/2007/PartnerControls"/>
    <xsd:element name="MeetingNumber" ma:index="42"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FA9D4-877C-487F-8EBA-0BF7199AECC7}">
  <ds:schemaRefs>
    <ds:schemaRef ds:uri="http://schemas.microsoft.com/sharepoint/events"/>
  </ds:schemaRefs>
</ds:datastoreItem>
</file>

<file path=customXml/itemProps2.xml><?xml version="1.0" encoding="utf-8"?>
<ds:datastoreItem xmlns:ds="http://schemas.openxmlformats.org/officeDocument/2006/customXml" ds:itemID="{4E0EF6C3-F48B-4C0A-948C-47470D236639}">
  <ds:schemaRefs>
    <ds:schemaRef ds:uri="http://schemas.microsoft.com/sharepoint/v3/contenttype/forms"/>
  </ds:schemaRefs>
</ds:datastoreItem>
</file>

<file path=customXml/itemProps3.xml><?xml version="1.0" encoding="utf-8"?>
<ds:datastoreItem xmlns:ds="http://schemas.openxmlformats.org/officeDocument/2006/customXml" ds:itemID="{A8606F41-90D3-45FD-8CC6-158E129B123E}">
  <ds:schemaRefs>
    <ds:schemaRef ds:uri="fc331741-2a19-47d6-917e-2aa3ec78eda3"/>
    <ds:schemaRef ds:uri="http://purl.org/dc/dcmitype/"/>
    <ds:schemaRef ds:uri="http://purl.org/dc/terms/"/>
    <ds:schemaRef ds:uri="http://schemas.microsoft.com/sharepoint/v3/field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949ff7b9-ac16-4cac-b916-60a333a9bf9d"/>
    <ds:schemaRef ds:uri="http://schemas.microsoft.com/office/2006/metadata/properties"/>
  </ds:schemaRefs>
</ds:datastoreItem>
</file>

<file path=customXml/itemProps4.xml><?xml version="1.0" encoding="utf-8"?>
<ds:datastoreItem xmlns:ds="http://schemas.openxmlformats.org/officeDocument/2006/customXml" ds:itemID="{BFDCE3DD-7318-4AC7-9447-896B4D6AEEAC}">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1A8DD721-567F-410A-B351-CC44FCFDF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9ff7b9-ac16-4cac-b916-60a333a9bf9d"/>
    <ds:schemaRef ds:uri="http://schemas.microsoft.com/sharepoint/v3/fields"/>
    <ds:schemaRef ds:uri="fc331741-2a19-47d6-917e-2aa3ec78ed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7ED379-9342-4C4D-9907-C7D30103A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TotalTime>
  <Pages>34</Pages>
  <Words>13609</Words>
  <Characters>74853</Characters>
  <Application>Microsoft Office Word</Application>
  <DocSecurity>0</DocSecurity>
  <Lines>623</Lines>
  <Paragraphs>176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EESRK tyrimas dėl pilietinės visuomenės vaidmens įgyvendinant ES atsinaujinančiųjų išteklių energijos direktyvą</vt:lpstr>
      <vt:lpstr/>
    </vt:vector>
  </TitlesOfParts>
  <Company>CESE-CdR</Company>
  <LinksUpToDate>false</LinksUpToDate>
  <CharactersWithSpaces>88286</CharactersWithSpaces>
  <SharedDoc>false</SharedDoc>
  <HLinks>
    <vt:vector size="228" baseType="variant">
      <vt:variant>
        <vt:i4>7995514</vt:i4>
      </vt:variant>
      <vt:variant>
        <vt:i4>237</vt:i4>
      </vt:variant>
      <vt:variant>
        <vt:i4>0</vt:i4>
      </vt:variant>
      <vt:variant>
        <vt:i4>5</vt:i4>
      </vt:variant>
      <vt:variant>
        <vt:lpwstr>http://www.eesc.europa.eu/red-study</vt:lpwstr>
      </vt:variant>
      <vt:variant>
        <vt:lpwstr/>
      </vt:variant>
      <vt:variant>
        <vt:i4>1048639</vt:i4>
      </vt:variant>
      <vt:variant>
        <vt:i4>206</vt:i4>
      </vt:variant>
      <vt:variant>
        <vt:i4>0</vt:i4>
      </vt:variant>
      <vt:variant>
        <vt:i4>5</vt:i4>
      </vt:variant>
      <vt:variant>
        <vt:lpwstr/>
      </vt:variant>
      <vt:variant>
        <vt:lpwstr>_Toc409515375</vt:lpwstr>
      </vt:variant>
      <vt:variant>
        <vt:i4>1048639</vt:i4>
      </vt:variant>
      <vt:variant>
        <vt:i4>200</vt:i4>
      </vt:variant>
      <vt:variant>
        <vt:i4>0</vt:i4>
      </vt:variant>
      <vt:variant>
        <vt:i4>5</vt:i4>
      </vt:variant>
      <vt:variant>
        <vt:lpwstr/>
      </vt:variant>
      <vt:variant>
        <vt:lpwstr>_Toc409515374</vt:lpwstr>
      </vt:variant>
      <vt:variant>
        <vt:i4>1048639</vt:i4>
      </vt:variant>
      <vt:variant>
        <vt:i4>194</vt:i4>
      </vt:variant>
      <vt:variant>
        <vt:i4>0</vt:i4>
      </vt:variant>
      <vt:variant>
        <vt:i4>5</vt:i4>
      </vt:variant>
      <vt:variant>
        <vt:lpwstr/>
      </vt:variant>
      <vt:variant>
        <vt:lpwstr>_Toc409515373</vt:lpwstr>
      </vt:variant>
      <vt:variant>
        <vt:i4>1048639</vt:i4>
      </vt:variant>
      <vt:variant>
        <vt:i4>188</vt:i4>
      </vt:variant>
      <vt:variant>
        <vt:i4>0</vt:i4>
      </vt:variant>
      <vt:variant>
        <vt:i4>5</vt:i4>
      </vt:variant>
      <vt:variant>
        <vt:lpwstr/>
      </vt:variant>
      <vt:variant>
        <vt:lpwstr>_Toc409515372</vt:lpwstr>
      </vt:variant>
      <vt:variant>
        <vt:i4>1048639</vt:i4>
      </vt:variant>
      <vt:variant>
        <vt:i4>182</vt:i4>
      </vt:variant>
      <vt:variant>
        <vt:i4>0</vt:i4>
      </vt:variant>
      <vt:variant>
        <vt:i4>5</vt:i4>
      </vt:variant>
      <vt:variant>
        <vt:lpwstr/>
      </vt:variant>
      <vt:variant>
        <vt:lpwstr>_Toc409515371</vt:lpwstr>
      </vt:variant>
      <vt:variant>
        <vt:i4>1048639</vt:i4>
      </vt:variant>
      <vt:variant>
        <vt:i4>176</vt:i4>
      </vt:variant>
      <vt:variant>
        <vt:i4>0</vt:i4>
      </vt:variant>
      <vt:variant>
        <vt:i4>5</vt:i4>
      </vt:variant>
      <vt:variant>
        <vt:lpwstr/>
      </vt:variant>
      <vt:variant>
        <vt:lpwstr>_Toc409515370</vt:lpwstr>
      </vt:variant>
      <vt:variant>
        <vt:i4>1114175</vt:i4>
      </vt:variant>
      <vt:variant>
        <vt:i4>170</vt:i4>
      </vt:variant>
      <vt:variant>
        <vt:i4>0</vt:i4>
      </vt:variant>
      <vt:variant>
        <vt:i4>5</vt:i4>
      </vt:variant>
      <vt:variant>
        <vt:lpwstr/>
      </vt:variant>
      <vt:variant>
        <vt:lpwstr>_Toc409515369</vt:lpwstr>
      </vt:variant>
      <vt:variant>
        <vt:i4>1114175</vt:i4>
      </vt:variant>
      <vt:variant>
        <vt:i4>164</vt:i4>
      </vt:variant>
      <vt:variant>
        <vt:i4>0</vt:i4>
      </vt:variant>
      <vt:variant>
        <vt:i4>5</vt:i4>
      </vt:variant>
      <vt:variant>
        <vt:lpwstr/>
      </vt:variant>
      <vt:variant>
        <vt:lpwstr>_Toc409515368</vt:lpwstr>
      </vt:variant>
      <vt:variant>
        <vt:i4>1114175</vt:i4>
      </vt:variant>
      <vt:variant>
        <vt:i4>158</vt:i4>
      </vt:variant>
      <vt:variant>
        <vt:i4>0</vt:i4>
      </vt:variant>
      <vt:variant>
        <vt:i4>5</vt:i4>
      </vt:variant>
      <vt:variant>
        <vt:lpwstr/>
      </vt:variant>
      <vt:variant>
        <vt:lpwstr>_Toc409515367</vt:lpwstr>
      </vt:variant>
      <vt:variant>
        <vt:i4>1114175</vt:i4>
      </vt:variant>
      <vt:variant>
        <vt:i4>152</vt:i4>
      </vt:variant>
      <vt:variant>
        <vt:i4>0</vt:i4>
      </vt:variant>
      <vt:variant>
        <vt:i4>5</vt:i4>
      </vt:variant>
      <vt:variant>
        <vt:lpwstr/>
      </vt:variant>
      <vt:variant>
        <vt:lpwstr>_Toc409515366</vt:lpwstr>
      </vt:variant>
      <vt:variant>
        <vt:i4>1114175</vt:i4>
      </vt:variant>
      <vt:variant>
        <vt:i4>146</vt:i4>
      </vt:variant>
      <vt:variant>
        <vt:i4>0</vt:i4>
      </vt:variant>
      <vt:variant>
        <vt:i4>5</vt:i4>
      </vt:variant>
      <vt:variant>
        <vt:lpwstr/>
      </vt:variant>
      <vt:variant>
        <vt:lpwstr>_Toc409515365</vt:lpwstr>
      </vt:variant>
      <vt:variant>
        <vt:i4>1114175</vt:i4>
      </vt:variant>
      <vt:variant>
        <vt:i4>140</vt:i4>
      </vt:variant>
      <vt:variant>
        <vt:i4>0</vt:i4>
      </vt:variant>
      <vt:variant>
        <vt:i4>5</vt:i4>
      </vt:variant>
      <vt:variant>
        <vt:lpwstr/>
      </vt:variant>
      <vt:variant>
        <vt:lpwstr>_Toc409515364</vt:lpwstr>
      </vt:variant>
      <vt:variant>
        <vt:i4>1114175</vt:i4>
      </vt:variant>
      <vt:variant>
        <vt:i4>134</vt:i4>
      </vt:variant>
      <vt:variant>
        <vt:i4>0</vt:i4>
      </vt:variant>
      <vt:variant>
        <vt:i4>5</vt:i4>
      </vt:variant>
      <vt:variant>
        <vt:lpwstr/>
      </vt:variant>
      <vt:variant>
        <vt:lpwstr>_Toc409515363</vt:lpwstr>
      </vt:variant>
      <vt:variant>
        <vt:i4>1114175</vt:i4>
      </vt:variant>
      <vt:variant>
        <vt:i4>128</vt:i4>
      </vt:variant>
      <vt:variant>
        <vt:i4>0</vt:i4>
      </vt:variant>
      <vt:variant>
        <vt:i4>5</vt:i4>
      </vt:variant>
      <vt:variant>
        <vt:lpwstr/>
      </vt:variant>
      <vt:variant>
        <vt:lpwstr>_Toc409515362</vt:lpwstr>
      </vt:variant>
      <vt:variant>
        <vt:i4>1114175</vt:i4>
      </vt:variant>
      <vt:variant>
        <vt:i4>122</vt:i4>
      </vt:variant>
      <vt:variant>
        <vt:i4>0</vt:i4>
      </vt:variant>
      <vt:variant>
        <vt:i4>5</vt:i4>
      </vt:variant>
      <vt:variant>
        <vt:lpwstr/>
      </vt:variant>
      <vt:variant>
        <vt:lpwstr>_Toc409515361</vt:lpwstr>
      </vt:variant>
      <vt:variant>
        <vt:i4>1114175</vt:i4>
      </vt:variant>
      <vt:variant>
        <vt:i4>116</vt:i4>
      </vt:variant>
      <vt:variant>
        <vt:i4>0</vt:i4>
      </vt:variant>
      <vt:variant>
        <vt:i4>5</vt:i4>
      </vt:variant>
      <vt:variant>
        <vt:lpwstr/>
      </vt:variant>
      <vt:variant>
        <vt:lpwstr>_Toc409515360</vt:lpwstr>
      </vt:variant>
      <vt:variant>
        <vt:i4>1179711</vt:i4>
      </vt:variant>
      <vt:variant>
        <vt:i4>110</vt:i4>
      </vt:variant>
      <vt:variant>
        <vt:i4>0</vt:i4>
      </vt:variant>
      <vt:variant>
        <vt:i4>5</vt:i4>
      </vt:variant>
      <vt:variant>
        <vt:lpwstr/>
      </vt:variant>
      <vt:variant>
        <vt:lpwstr>_Toc409515359</vt:lpwstr>
      </vt:variant>
      <vt:variant>
        <vt:i4>1179711</vt:i4>
      </vt:variant>
      <vt:variant>
        <vt:i4>104</vt:i4>
      </vt:variant>
      <vt:variant>
        <vt:i4>0</vt:i4>
      </vt:variant>
      <vt:variant>
        <vt:i4>5</vt:i4>
      </vt:variant>
      <vt:variant>
        <vt:lpwstr/>
      </vt:variant>
      <vt:variant>
        <vt:lpwstr>_Toc409515358</vt:lpwstr>
      </vt:variant>
      <vt:variant>
        <vt:i4>1179711</vt:i4>
      </vt:variant>
      <vt:variant>
        <vt:i4>98</vt:i4>
      </vt:variant>
      <vt:variant>
        <vt:i4>0</vt:i4>
      </vt:variant>
      <vt:variant>
        <vt:i4>5</vt:i4>
      </vt:variant>
      <vt:variant>
        <vt:lpwstr/>
      </vt:variant>
      <vt:variant>
        <vt:lpwstr>_Toc409515357</vt:lpwstr>
      </vt:variant>
      <vt:variant>
        <vt:i4>1179711</vt:i4>
      </vt:variant>
      <vt:variant>
        <vt:i4>92</vt:i4>
      </vt:variant>
      <vt:variant>
        <vt:i4>0</vt:i4>
      </vt:variant>
      <vt:variant>
        <vt:i4>5</vt:i4>
      </vt:variant>
      <vt:variant>
        <vt:lpwstr/>
      </vt:variant>
      <vt:variant>
        <vt:lpwstr>_Toc409515356</vt:lpwstr>
      </vt:variant>
      <vt:variant>
        <vt:i4>1179711</vt:i4>
      </vt:variant>
      <vt:variant>
        <vt:i4>86</vt:i4>
      </vt:variant>
      <vt:variant>
        <vt:i4>0</vt:i4>
      </vt:variant>
      <vt:variant>
        <vt:i4>5</vt:i4>
      </vt:variant>
      <vt:variant>
        <vt:lpwstr/>
      </vt:variant>
      <vt:variant>
        <vt:lpwstr>_Toc409515355</vt:lpwstr>
      </vt:variant>
      <vt:variant>
        <vt:i4>1179711</vt:i4>
      </vt:variant>
      <vt:variant>
        <vt:i4>80</vt:i4>
      </vt:variant>
      <vt:variant>
        <vt:i4>0</vt:i4>
      </vt:variant>
      <vt:variant>
        <vt:i4>5</vt:i4>
      </vt:variant>
      <vt:variant>
        <vt:lpwstr/>
      </vt:variant>
      <vt:variant>
        <vt:lpwstr>_Toc409515354</vt:lpwstr>
      </vt:variant>
      <vt:variant>
        <vt:i4>1179711</vt:i4>
      </vt:variant>
      <vt:variant>
        <vt:i4>74</vt:i4>
      </vt:variant>
      <vt:variant>
        <vt:i4>0</vt:i4>
      </vt:variant>
      <vt:variant>
        <vt:i4>5</vt:i4>
      </vt:variant>
      <vt:variant>
        <vt:lpwstr/>
      </vt:variant>
      <vt:variant>
        <vt:lpwstr>_Toc409515353</vt:lpwstr>
      </vt:variant>
      <vt:variant>
        <vt:i4>1179711</vt:i4>
      </vt:variant>
      <vt:variant>
        <vt:i4>68</vt:i4>
      </vt:variant>
      <vt:variant>
        <vt:i4>0</vt:i4>
      </vt:variant>
      <vt:variant>
        <vt:i4>5</vt:i4>
      </vt:variant>
      <vt:variant>
        <vt:lpwstr/>
      </vt:variant>
      <vt:variant>
        <vt:lpwstr>_Toc409515352</vt:lpwstr>
      </vt:variant>
      <vt:variant>
        <vt:i4>1179711</vt:i4>
      </vt:variant>
      <vt:variant>
        <vt:i4>62</vt:i4>
      </vt:variant>
      <vt:variant>
        <vt:i4>0</vt:i4>
      </vt:variant>
      <vt:variant>
        <vt:i4>5</vt:i4>
      </vt:variant>
      <vt:variant>
        <vt:lpwstr/>
      </vt:variant>
      <vt:variant>
        <vt:lpwstr>_Toc409515351</vt:lpwstr>
      </vt:variant>
      <vt:variant>
        <vt:i4>1179711</vt:i4>
      </vt:variant>
      <vt:variant>
        <vt:i4>56</vt:i4>
      </vt:variant>
      <vt:variant>
        <vt:i4>0</vt:i4>
      </vt:variant>
      <vt:variant>
        <vt:i4>5</vt:i4>
      </vt:variant>
      <vt:variant>
        <vt:lpwstr/>
      </vt:variant>
      <vt:variant>
        <vt:lpwstr>_Toc409515350</vt:lpwstr>
      </vt:variant>
      <vt:variant>
        <vt:i4>1245247</vt:i4>
      </vt:variant>
      <vt:variant>
        <vt:i4>50</vt:i4>
      </vt:variant>
      <vt:variant>
        <vt:i4>0</vt:i4>
      </vt:variant>
      <vt:variant>
        <vt:i4>5</vt:i4>
      </vt:variant>
      <vt:variant>
        <vt:lpwstr/>
      </vt:variant>
      <vt:variant>
        <vt:lpwstr>_Toc409515349</vt:lpwstr>
      </vt:variant>
      <vt:variant>
        <vt:i4>1245247</vt:i4>
      </vt:variant>
      <vt:variant>
        <vt:i4>44</vt:i4>
      </vt:variant>
      <vt:variant>
        <vt:i4>0</vt:i4>
      </vt:variant>
      <vt:variant>
        <vt:i4>5</vt:i4>
      </vt:variant>
      <vt:variant>
        <vt:lpwstr/>
      </vt:variant>
      <vt:variant>
        <vt:lpwstr>_Toc409515348</vt:lpwstr>
      </vt:variant>
      <vt:variant>
        <vt:i4>1245247</vt:i4>
      </vt:variant>
      <vt:variant>
        <vt:i4>38</vt:i4>
      </vt:variant>
      <vt:variant>
        <vt:i4>0</vt:i4>
      </vt:variant>
      <vt:variant>
        <vt:i4>5</vt:i4>
      </vt:variant>
      <vt:variant>
        <vt:lpwstr/>
      </vt:variant>
      <vt:variant>
        <vt:lpwstr>_Toc409515347</vt:lpwstr>
      </vt:variant>
      <vt:variant>
        <vt:i4>1245247</vt:i4>
      </vt:variant>
      <vt:variant>
        <vt:i4>32</vt:i4>
      </vt:variant>
      <vt:variant>
        <vt:i4>0</vt:i4>
      </vt:variant>
      <vt:variant>
        <vt:i4>5</vt:i4>
      </vt:variant>
      <vt:variant>
        <vt:lpwstr/>
      </vt:variant>
      <vt:variant>
        <vt:lpwstr>_Toc409515346</vt:lpwstr>
      </vt:variant>
      <vt:variant>
        <vt:i4>1245247</vt:i4>
      </vt:variant>
      <vt:variant>
        <vt:i4>26</vt:i4>
      </vt:variant>
      <vt:variant>
        <vt:i4>0</vt:i4>
      </vt:variant>
      <vt:variant>
        <vt:i4>5</vt:i4>
      </vt:variant>
      <vt:variant>
        <vt:lpwstr/>
      </vt:variant>
      <vt:variant>
        <vt:lpwstr>_Toc409515345</vt:lpwstr>
      </vt:variant>
      <vt:variant>
        <vt:i4>1245247</vt:i4>
      </vt:variant>
      <vt:variant>
        <vt:i4>20</vt:i4>
      </vt:variant>
      <vt:variant>
        <vt:i4>0</vt:i4>
      </vt:variant>
      <vt:variant>
        <vt:i4>5</vt:i4>
      </vt:variant>
      <vt:variant>
        <vt:lpwstr/>
      </vt:variant>
      <vt:variant>
        <vt:lpwstr>_Toc409515344</vt:lpwstr>
      </vt:variant>
      <vt:variant>
        <vt:i4>1245247</vt:i4>
      </vt:variant>
      <vt:variant>
        <vt:i4>14</vt:i4>
      </vt:variant>
      <vt:variant>
        <vt:i4>0</vt:i4>
      </vt:variant>
      <vt:variant>
        <vt:i4>5</vt:i4>
      </vt:variant>
      <vt:variant>
        <vt:lpwstr/>
      </vt:variant>
      <vt:variant>
        <vt:lpwstr>_Toc409515343</vt:lpwstr>
      </vt:variant>
      <vt:variant>
        <vt:i4>1245247</vt:i4>
      </vt:variant>
      <vt:variant>
        <vt:i4>8</vt:i4>
      </vt:variant>
      <vt:variant>
        <vt:i4>0</vt:i4>
      </vt:variant>
      <vt:variant>
        <vt:i4>5</vt:i4>
      </vt:variant>
      <vt:variant>
        <vt:lpwstr/>
      </vt:variant>
      <vt:variant>
        <vt:lpwstr>_Toc409515342</vt:lpwstr>
      </vt:variant>
      <vt:variant>
        <vt:i4>1245247</vt:i4>
      </vt:variant>
      <vt:variant>
        <vt:i4>2</vt:i4>
      </vt:variant>
      <vt:variant>
        <vt:i4>0</vt:i4>
      </vt:variant>
      <vt:variant>
        <vt:i4>5</vt:i4>
      </vt:variant>
      <vt:variant>
        <vt:lpwstr/>
      </vt:variant>
      <vt:variant>
        <vt:lpwstr>_Toc409515341</vt:lpwstr>
      </vt:variant>
      <vt:variant>
        <vt:i4>5963803</vt:i4>
      </vt:variant>
      <vt:variant>
        <vt:i4>3</vt:i4>
      </vt:variant>
      <vt:variant>
        <vt:i4>0</vt:i4>
      </vt:variant>
      <vt:variant>
        <vt:i4>5</vt:i4>
      </vt:variant>
      <vt:variant>
        <vt:lpwstr>http://eur-lex.europa.eu/legal-content/EN/TXT/?uri=CELEX:52014XC0628%2801%29</vt:lpwstr>
      </vt:variant>
      <vt:variant>
        <vt:lpwstr/>
      </vt:variant>
      <vt:variant>
        <vt:i4>5046275</vt:i4>
      </vt:variant>
      <vt:variant>
        <vt:i4>0</vt:i4>
      </vt:variant>
      <vt:variant>
        <vt:i4>0</vt:i4>
      </vt:variant>
      <vt:variant>
        <vt:i4>5</vt:i4>
      </vt:variant>
      <vt:variant>
        <vt:lpwstr>http://www.eesc.europa.eu/?i=portal.en.events-and-activities-local-renewable-energy.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EESRK tyrimas dėl pilietinės visuomenės vaidmens įgyvendinant ES atsinaujinančiųjų išteklių energijos direktyvą</dc:title>
  <dc:subject>Konsultacinis darbas</dc:subject>
  <dc:creator>Ruta Siugzdinyte</dc:creator>
  <cp:keywords>EESC-2014-04780-00-03-TCD-TRA-LT</cp:keywords>
  <dc:description>Rapporteur: -_x000d_
Original language: EN_x000d_
Date of document: 20/01/2015_x000d_
Date of meeting: 21/01/2015_x000d_
External documents: -_x000d_
Administrator responsible: Hauser Rayka, telephone: + 2 546 8678_x000d_
_x000d_
Abstract:</dc:description>
  <cp:lastModifiedBy>Graziella Dilkinska</cp:lastModifiedBy>
  <cp:revision>2</cp:revision>
  <cp:lastPrinted>2015-01-20T10:09:00Z</cp:lastPrinted>
  <dcterms:created xsi:type="dcterms:W3CDTF">2015-02-11T09:23:00Z</dcterms:created>
  <dcterms:modified xsi:type="dcterms:W3CDTF">2015-02-11T09:23:00Z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0x010100EA97B91038054C99906057A708A1480A0018D25216E8A3B845A7A963091613675C</vt:lpwstr>
  </property>
  <property fmtid="{D5CDD505-2E9C-101B-9397-08002B2CF9AE}" pid="3" name="MeetingDateAsText">
    <vt:lpwstr>2015-01-21</vt:lpwstr>
  </property>
  <property fmtid="{D5CDD505-2E9C-101B-9397-08002B2CF9AE}" pid="4" name="DocumentPartAsText">
    <vt:lpwstr>00</vt:lpwstr>
  </property>
  <property fmtid="{D5CDD505-2E9C-101B-9397-08002B2CF9AE}" pid="5" name="DocumentVersionAsText">
    <vt:lpwstr>03</vt:lpwstr>
  </property>
  <property fmtid="{D5CDD505-2E9C-101B-9397-08002B2CF9AE}" pid="6" name="SecurityGroupsAsXml">
    <vt:lpwstr/>
  </property>
  <property fmtid="{D5CDD505-2E9C-101B-9397-08002B2CF9AE}" pid="7" name="DossierNameAsText">
    <vt:lpwstr/>
  </property>
  <property fmtid="{D5CDD505-2E9C-101B-9397-08002B2CF9AE}" pid="8" name="DocumentLanguageAsText">
    <vt:lpwstr>LT</vt:lpwstr>
  </property>
  <property fmtid="{D5CDD505-2E9C-101B-9397-08002B2CF9AE}" pid="9" name="DocumentStatusAsText">
    <vt:lpwstr>TRA</vt:lpwstr>
  </property>
  <property fmtid="{D5CDD505-2E9C-101B-9397-08002B2CF9AE}" pid="10" name="DocumentNumberAsText">
    <vt:lpwstr>4780</vt:lpwstr>
  </property>
  <property fmtid="{D5CDD505-2E9C-101B-9397-08002B2CF9AE}" pid="11" name="RequestingServiceAsText">
    <vt:lpwstr>Unité NAT</vt:lpwstr>
  </property>
  <property fmtid="{D5CDD505-2E9C-101B-9397-08002B2CF9AE}" pid="12" name="ProcedureAsText">
    <vt:lpwstr/>
  </property>
  <property fmtid="{D5CDD505-2E9C-101B-9397-08002B2CF9AE}" pid="13" name="DossierNumberAsText">
    <vt:lpwstr/>
  </property>
  <property fmtid="{D5CDD505-2E9C-101B-9397-08002B2CF9AE}" pid="14" name="RapporteurAsText">
    <vt:lpwstr/>
  </property>
  <property fmtid="{D5CDD505-2E9C-101B-9397-08002B2CF9AE}" pid="15" name="FicheNumberAsText">
    <vt:lpwstr>464</vt:lpwstr>
  </property>
  <property fmtid="{D5CDD505-2E9C-101B-9397-08002B2CF9AE}" pid="16" name="FicheYearAsText">
    <vt:lpwstr>2015</vt:lpwstr>
  </property>
  <property fmtid="{D5CDD505-2E9C-101B-9397-08002B2CF9AE}" pid="17" name="AdoptionDateAsText">
    <vt:lpwstr>2015-01-22</vt:lpwstr>
  </property>
  <property fmtid="{D5CDD505-2E9C-101B-9397-08002B2CF9AE}" pid="18" name="ProductionDateAsText">
    <vt:lpwstr>2015-01-20</vt:lpwstr>
  </property>
  <property fmtid="{D5CDD505-2E9C-101B-9397-08002B2CF9AE}" pid="19" name="OriginalLanguageAsText">
    <vt:lpwstr>EN</vt:lpwstr>
  </property>
  <property fmtid="{D5CDD505-2E9C-101B-9397-08002B2CF9AE}" pid="20" name="DocumentSourceAsText">
    <vt:lpwstr>CES</vt:lpwstr>
  </property>
  <property fmtid="{D5CDD505-2E9C-101B-9397-08002B2CF9AE}" pid="21" name="DocumentTypeAsText">
    <vt:lpwstr>TCD</vt:lpwstr>
  </property>
  <property fmtid="{D5CDD505-2E9C-101B-9397-08002B2CF9AE}" pid="22" name="DocumentYearAsText">
    <vt:lpwstr>2014</vt:lpwstr>
  </property>
  <property fmtid="{D5CDD505-2E9C-101B-9397-08002B2CF9AE}" pid="23" name="ConfidentialityAsText">
    <vt:lpwstr>Unrestricted</vt:lpwstr>
  </property>
  <property fmtid="{D5CDD505-2E9C-101B-9397-08002B2CF9AE}" pid="24" name="_dlc_DocId">
    <vt:lpwstr>Q4AU5J5HWUN2-7-7061</vt:lpwstr>
  </property>
  <property fmtid="{D5CDD505-2E9C-101B-9397-08002B2CF9AE}" pid="25" name="_dlc_DocIdItemGuid">
    <vt:lpwstr>4b520663-5bb9-49c9-9854-47a693aa235c</vt:lpwstr>
  </property>
  <property fmtid="{D5CDD505-2E9C-101B-9397-08002B2CF9AE}" pid="26" name="_dlc_DocIdUrl">
    <vt:lpwstr>http://dm/eesc/2014/_layouts/DocIdRedir.aspx?ID=Q4AU5J5HWUN2-7-7061, Q4AU5J5HWUN2-7-7061</vt:lpwstr>
  </property>
  <property fmtid="{D5CDD505-2E9C-101B-9397-08002B2CF9AE}" pid="27" name="DocumentType_0">
    <vt:lpwstr>TCD|cd9d6eb6-3f4f-424a-b2d1-57c9d450eaaf</vt:lpwstr>
  </property>
  <property fmtid="{D5CDD505-2E9C-101B-9397-08002B2CF9AE}" pid="28" name="Procedure">
    <vt:lpwstr/>
  </property>
  <property fmtid="{D5CDD505-2E9C-101B-9397-08002B2CF9AE}" pid="29" name="AvailableTranslations">
    <vt:lpwstr>6;#EN|f2175f21-25d7-44a3-96da-d6a61b075e1b;#12;#DE|f6b31e5a-26fa-4935-b661-318e46daf27e;#19;#IT|0774613c-01ed-4e5d-a25d-11d2388de825;#21;#EL|6d4f4d51-af9b-4650-94b4-4276bee85c91;#25;#FI|87606a43-d45f-42d6-b8c9-e1a3457db5b7;#30;#BG|1a1b3951-7821-4e6a-85f5-</vt:lpwstr>
  </property>
  <property fmtid="{D5CDD505-2E9C-101B-9397-08002B2CF9AE}" pid="30" name="DocumentSource_0">
    <vt:lpwstr>EESC|422833ec-8d7e-4e65-8e4e-8bed07ffb729</vt:lpwstr>
  </property>
  <property fmtid="{D5CDD505-2E9C-101B-9397-08002B2CF9AE}" pid="31" name="DossierName_0">
    <vt:lpwstr/>
  </property>
  <property fmtid="{D5CDD505-2E9C-101B-9397-08002B2CF9AE}" pid="32" name="Rapporteur">
    <vt:lpwstr/>
  </property>
  <property fmtid="{D5CDD505-2E9C-101B-9397-08002B2CF9AE}" pid="33" name="ProductionDate">
    <vt:filetime>2015-01-20T13:00:00Z</vt:filetime>
  </property>
  <property fmtid="{D5CDD505-2E9C-101B-9397-08002B2CF9AE}" pid="34" name="DocumentNumber">
    <vt:i4>4780</vt:i4>
  </property>
  <property fmtid="{D5CDD505-2E9C-101B-9397-08002B2CF9AE}" pid="35" name="FicheYear">
    <vt:i4>2015</vt:i4>
  </property>
  <property fmtid="{D5CDD505-2E9C-101B-9397-08002B2CF9AE}" pid="36" name="OriginalLanguage">
    <vt:lpwstr>6;#EN|f2175f21-25d7-44a3-96da-d6a61b075e1b</vt:lpwstr>
  </property>
  <property fmtid="{D5CDD505-2E9C-101B-9397-08002B2CF9AE}" pid="37" name="DocumentLanguage">
    <vt:lpwstr>33;#LT|a7ff5ce7-6123-4f68-865a-a57c31810414</vt:lpwstr>
  </property>
  <property fmtid="{D5CDD505-2E9C-101B-9397-08002B2CF9AE}" pid="38" name="DocumentStatus_0">
    <vt:lpwstr>TRA|150d2a88-1431-44e6-a8ca-0bb753ab8672</vt:lpwstr>
  </property>
  <property fmtid="{D5CDD505-2E9C-101B-9397-08002B2CF9AE}" pid="39" name="DocumentYear">
    <vt:i4>2014</vt:i4>
  </property>
  <property fmtid="{D5CDD505-2E9C-101B-9397-08002B2CF9AE}" pid="40" name="FicheNumber">
    <vt:i4>464</vt:i4>
  </property>
  <property fmtid="{D5CDD505-2E9C-101B-9397-08002B2CF9AE}" pid="41" name="MeetingDate">
    <vt:filetime>2015-01-21T13:00:00Z</vt:filetime>
  </property>
  <property fmtid="{D5CDD505-2E9C-101B-9397-08002B2CF9AE}" pid="42" name="OriginalLanguage_0">
    <vt:lpwstr>EN|f2175f21-25d7-44a3-96da-d6a61b075e1b</vt:lpwstr>
  </property>
  <property fmtid="{D5CDD505-2E9C-101B-9397-08002B2CF9AE}" pid="43" name="DocumentVersion">
    <vt:i4>3</vt:i4>
  </property>
  <property fmtid="{D5CDD505-2E9C-101B-9397-08002B2CF9AE}" pid="44" name="AvailableTranslations_0">
    <vt:lpwstr>DE|f6b31e5a-26fa-4935-b661-318e46daf27e;EN|f2175f21-25d7-44a3-96da-d6a61b075e1b;HR|2f555653-ed1a-4fe6-8362-9082d95989e5;IT|0774613c-01ed-4e5d-a25d-11d2388de825;RO|feb747a2-64cd-4299-af12-4833ddc30497;LV|46f7e311-5d9f-4663-b433-18aeccb7ace7</vt:lpwstr>
  </property>
  <property fmtid="{D5CDD505-2E9C-101B-9397-08002B2CF9AE}" pid="45" name="DocumentLanguage_0">
    <vt:lpwstr>LT|a7ff5ce7-6123-4f68-865a-a57c31810414</vt:lpwstr>
  </property>
  <property fmtid="{D5CDD505-2E9C-101B-9397-08002B2CF9AE}" pid="46" name="TaxCatchAll">
    <vt:lpwstr>19;#IT|0774613c-01ed-4e5d-a25d-11d2388de825;#38;#RO|feb747a2-64cd-4299-af12-4833ddc30497;#93;#SPL-CES|32d8cb1f-c9ec-4365-95c7-8385a18618ac;#12;#DE|f6b31e5a-26fa-4935-b661-318e46daf27e;#33;#LT|a7ff5ce7-6123-4f68-865a-a57c31810414;#32;#HR|2f555653-ed1a-4fe6</vt:lpwstr>
  </property>
  <property fmtid="{D5CDD505-2E9C-101B-9397-08002B2CF9AE}" pid="47" name="DocumentSource">
    <vt:lpwstr>1;#EESC|422833ec-8d7e-4e65-8e4e-8bed07ffb729</vt:lpwstr>
  </property>
  <property fmtid="{D5CDD505-2E9C-101B-9397-08002B2CF9AE}" pid="48" name="DocumentStatus">
    <vt:lpwstr>2;#TRA|150d2a88-1431-44e6-a8ca-0bb753ab8672</vt:lpwstr>
  </property>
  <property fmtid="{D5CDD505-2E9C-101B-9397-08002B2CF9AE}" pid="49" name="DocumentType">
    <vt:lpwstr>3;#TCD|cd9d6eb6-3f4f-424a-b2d1-57c9d450eaaf</vt:lpwstr>
  </property>
  <property fmtid="{D5CDD505-2E9C-101B-9397-08002B2CF9AE}" pid="50" name="DocumentPart">
    <vt:i4>0</vt:i4>
  </property>
  <property fmtid="{D5CDD505-2E9C-101B-9397-08002B2CF9AE}" pid="51" name="DossierName">
    <vt:lpwstr/>
  </property>
  <property fmtid="{D5CDD505-2E9C-101B-9397-08002B2CF9AE}" pid="52" name="RequestingService">
    <vt:lpwstr>Unité NAT</vt:lpwstr>
  </property>
  <property fmtid="{D5CDD505-2E9C-101B-9397-08002B2CF9AE}" pid="53" name="Confidentiality">
    <vt:lpwstr>5;#Unrestricted|826e22d7-d029-4ec0-a450-0c28ff673572</vt:lpwstr>
  </property>
  <property fmtid="{D5CDD505-2E9C-101B-9397-08002B2CF9AE}" pid="54" name="Confidentiality_0">
    <vt:lpwstr>Unrestricted|826e22d7-d029-4ec0-a450-0c28ff673572</vt:lpwstr>
  </property>
  <property fmtid="{D5CDD505-2E9C-101B-9397-08002B2CF9AE}" pid="55" name="MeetingName_0">
    <vt:lpwstr>SPL-CES|32d8cb1f-c9ec-4365-95c7-8385a18618ac</vt:lpwstr>
  </property>
  <property fmtid="{D5CDD505-2E9C-101B-9397-08002B2CF9AE}" pid="56" name="MeetingName">
    <vt:lpwstr>93;#SPL-CES|32d8cb1f-c9ec-4365-95c7-8385a18618ac</vt:lpwstr>
  </property>
  <property fmtid="{D5CDD505-2E9C-101B-9397-08002B2CF9AE}" pid="57" name="Pref_formatted">
    <vt:bool>true</vt:bool>
  </property>
  <property fmtid="{D5CDD505-2E9C-101B-9397-08002B2CF9AE}" pid="58" name="Pref_Date">
    <vt:lpwstr>19/01/2015, 19/01/2015, 12/01/2015, 12/01/2015, 12/01/2015</vt:lpwstr>
  </property>
  <property fmtid="{D5CDD505-2E9C-101B-9397-08002B2CF9AE}" pid="59" name="Pref_Time">
    <vt:lpwstr>12/47/16, 12/31/11, 14/30/27, 13/32/26, 13:00:17</vt:lpwstr>
  </property>
  <property fmtid="{D5CDD505-2E9C-101B-9397-08002B2CF9AE}" pid="60" name="Pref_User">
    <vt:lpwstr>enied, gharr, tvoc, sphil, ymur</vt:lpwstr>
  </property>
  <property fmtid="{D5CDD505-2E9C-101B-9397-08002B2CF9AE}" pid="61" name="Pref_FileName">
    <vt:lpwstr>EESC-2014-04780-00-03-TCD-TRA-EN-CRR.doc, EESC-2014-04780-00-03-TCD-CRR-EN.doc, EESC-2014-04780-00-02-TCD-ORI.doc, EESC-2014-04780-00-02-TCD-TRA-EN-CRR.doc, EESC-2014-04780-00-02-TCD-CRR-EN.doc</vt:lpwstr>
  </property>
  <property fmtid="{D5CDD505-2E9C-101B-9397-08002B2CF9AE}" pid="62" name="MeetingNumberAsText">
    <vt:lpwstr>504</vt:lpwstr>
  </property>
  <property fmtid="{D5CDD505-2E9C-101B-9397-08002B2CF9AE}" pid="63" name="MeetingNameAsText">
    <vt:lpwstr>SPL-CES</vt:lpwstr>
  </property>
  <property fmtid="{D5CDD505-2E9C-101B-9397-08002B2CF9AE}" pid="64" name="MeetingNumber">
    <vt:i4>504</vt:i4>
  </property>
  <property fmtid="{D5CDD505-2E9C-101B-9397-08002B2CF9AE}" pid="65" name="AdoptionDate">
    <vt:filetime>2015-01-22T12:00:00Z</vt:filetime>
  </property>
</Properties>
</file>