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B30103" w14:textId="77777777" w:rsidR="0010623A" w:rsidRPr="008151AE" w:rsidRDefault="0010623A" w:rsidP="0010623A">
      <w:pPr>
        <w:overflowPunct w:val="0"/>
        <w:autoSpaceDE w:val="0"/>
        <w:autoSpaceDN w:val="0"/>
        <w:adjustRightInd w:val="0"/>
        <w:spacing w:line="288" w:lineRule="auto"/>
        <w:jc w:val="center"/>
        <w:textAlignment w:val="baseline"/>
        <w:rPr>
          <w:sz w:val="22"/>
          <w:szCs w:val="20"/>
        </w:rPr>
      </w:pPr>
      <w:r w:rsidRPr="008151AE">
        <w:rPr>
          <w:noProof/>
          <w:sz w:val="20"/>
          <w:szCs w:val="20"/>
          <w:lang w:val="fr-BE" w:eastAsia="fr-BE"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xmlns:w14="http://schemas.microsoft.com/office/word/2010/wordml" w14:paraId="7097EF21" w14:textId="77777777" w:rsidR="0010623A" w:rsidRPr="00260E65" w:rsidRDefault="0010623A" w:rsidP="0010623A">
                      <w:pPr>
                        <w:jc w:val="center"/>
                        <w:rPr>
                          <w:rFonts w:ascii="Arial" w:hAnsi="Arial" w:cs="Arial"/>
                          <w:b/>
                          <w:bCs/>
                          <w:sz w:val="48"/>
                        </w:rPr>
                      </w:pPr>
                      <w:r>
                        <w:rPr>
                          <w:rFonts w:ascii="Arial" w:hAnsi="Arial"/>
                          <w:b/>
                          <w:sz w:val="48"/>
                        </w:rPr>
                        <w:t>FI</w:t>
                      </w:r>
                    </w:p>
                  </w:txbxContent>
                </v:textbox>
                <w10:wrap xmlns:w10="urn:schemas-microsoft-com:office:word" anchorx="page" anchory="page"/>
              </v:shape>
            </w:pict>
          </mc:Fallback>
        </mc:AlternateContent>
      </w:r>
      <w:r w:rsidRPr="008151AE">
        <w:rPr>
          <w:noProof/>
          <w:sz w:val="22"/>
          <w:szCs w:val="20"/>
          <w:lang w:val="fr-BE" w:eastAsia="fr-BE"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6926ABC7" w14:textId="77777777" w:rsidR="0010623A" w:rsidRPr="008151AE" w:rsidRDefault="0010623A" w:rsidP="0010623A">
      <w:pPr>
        <w:jc w:val="center"/>
        <w:rPr>
          <w:b/>
          <w:sz w:val="28"/>
          <w:szCs w:val="32"/>
        </w:rPr>
      </w:pPr>
      <w:r w:rsidRPr="008151AE">
        <w:rPr>
          <w:rFonts w:ascii="Arial" w:hAnsi="Arial"/>
          <w:b/>
          <w:i/>
          <w:sz w:val="20"/>
        </w:rPr>
        <w:t>Euroopan talous- ja sosiaalikomitea</w:t>
      </w:r>
      <w:r w:rsidRPr="008151AE">
        <w:rPr>
          <w:b/>
          <w:sz w:val="28"/>
        </w:rPr>
        <w:t xml:space="preserve"> </w:t>
      </w:r>
    </w:p>
    <w:p w14:paraId="01C6913B" w14:textId="77777777" w:rsidR="0010623A" w:rsidRPr="008151AE" w:rsidRDefault="0010623A" w:rsidP="0010623A">
      <w:pPr>
        <w:spacing w:before="240" w:after="240"/>
        <w:jc w:val="center"/>
        <w:rPr>
          <w:b/>
          <w:sz w:val="28"/>
          <w:szCs w:val="32"/>
        </w:rPr>
      </w:pPr>
    </w:p>
    <w:p w14:paraId="604A135D" w14:textId="77777777" w:rsidR="00D86E99" w:rsidRPr="008151AE" w:rsidRDefault="00D86E99" w:rsidP="000B6759">
      <w:pPr>
        <w:spacing w:line="288" w:lineRule="auto"/>
        <w:jc w:val="center"/>
        <w:rPr>
          <w:b/>
          <w:sz w:val="28"/>
          <w:szCs w:val="32"/>
        </w:rPr>
      </w:pPr>
      <w:proofErr w:type="spellStart"/>
      <w:r w:rsidRPr="008151AE">
        <w:rPr>
          <w:b/>
          <w:sz w:val="28"/>
        </w:rPr>
        <w:t>ETSK:n</w:t>
      </w:r>
      <w:proofErr w:type="spellEnd"/>
      <w:r w:rsidRPr="008151AE">
        <w:rPr>
          <w:b/>
          <w:sz w:val="28"/>
        </w:rPr>
        <w:t xml:space="preserve"> kansalaisyhteiskuntapalkinto</w:t>
      </w:r>
    </w:p>
    <w:p w14:paraId="6EDFC170" w14:textId="0B5F32C1" w:rsidR="00DA410F" w:rsidRPr="008151AE" w:rsidRDefault="00DA410F" w:rsidP="000B6759">
      <w:pPr>
        <w:spacing w:line="288" w:lineRule="auto"/>
        <w:jc w:val="center"/>
        <w:rPr>
          <w:b/>
          <w:sz w:val="28"/>
          <w:szCs w:val="32"/>
        </w:rPr>
      </w:pPr>
      <w:proofErr w:type="gramStart"/>
      <w:r w:rsidRPr="008151AE">
        <w:rPr>
          <w:b/>
          <w:sz w:val="28"/>
        </w:rPr>
        <w:t>Poissulkemis- ja kelpoisuusperusteita koskeva kunnian ja omantunnon kautta annettu vakuutus</w:t>
      </w:r>
      <w:proofErr w:type="gramEnd"/>
    </w:p>
    <w:p w14:paraId="6EDFC171" w14:textId="77777777" w:rsidR="00DA410F" w:rsidRPr="008151AE" w:rsidRDefault="00DA410F" w:rsidP="0024225B">
      <w:pPr>
        <w:spacing w:before="100" w:beforeAutospacing="1" w:after="100" w:afterAutospacing="1"/>
        <w:jc w:val="both"/>
      </w:pPr>
      <w:proofErr w:type="gramStart"/>
      <w:r w:rsidRPr="008151AE">
        <w:t>Allekirjoittanut [</w:t>
      </w:r>
      <w:r w:rsidRPr="008151AE">
        <w:rPr>
          <w:i/>
          <w:highlight w:val="lightGray"/>
        </w:rPr>
        <w:t>tämän lomakkeen allekirjoittajan nimi</w:t>
      </w:r>
      <w:r w:rsidRPr="008151AE">
        <w:t>], joka</w:t>
      </w:r>
      <w:proofErr w:type="gramEnd"/>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8151AE" w14:paraId="6EDFC175" w14:textId="77777777" w:rsidTr="00A40405">
        <w:tc>
          <w:tcPr>
            <w:tcW w:w="3369" w:type="dxa"/>
            <w:shd w:val="clear" w:color="auto" w:fill="auto"/>
          </w:tcPr>
          <w:p w14:paraId="6EDFC172" w14:textId="77777777" w:rsidR="005E41BC" w:rsidRPr="008151AE" w:rsidRDefault="005E41BC" w:rsidP="00583379">
            <w:pPr>
              <w:jc w:val="both"/>
            </w:pPr>
            <w:r w:rsidRPr="008151AE">
              <w:t>(</w:t>
            </w:r>
            <w:r w:rsidRPr="008151AE">
              <w:rPr>
                <w:i/>
              </w:rPr>
              <w:t>vain luonnolliset henkilöt</w:t>
            </w:r>
            <w:r w:rsidRPr="008151AE">
              <w:t>) omalta osaltaan</w:t>
            </w:r>
          </w:p>
        </w:tc>
        <w:tc>
          <w:tcPr>
            <w:tcW w:w="6378" w:type="dxa"/>
            <w:shd w:val="clear" w:color="auto" w:fill="auto"/>
          </w:tcPr>
          <w:p w14:paraId="6EDFC173" w14:textId="77777777" w:rsidR="003154CD" w:rsidRPr="008151AE" w:rsidRDefault="005E41BC" w:rsidP="00583379">
            <w:pPr>
              <w:jc w:val="both"/>
            </w:pPr>
            <w:r w:rsidRPr="008151AE">
              <w:t>(</w:t>
            </w:r>
            <w:r w:rsidRPr="008151AE">
              <w:rPr>
                <w:i/>
              </w:rPr>
              <w:t>vain oikeushenkilöt</w:t>
            </w:r>
            <w:r w:rsidRPr="008151AE">
              <w:t xml:space="preserve">) seuraavan edustamansa oikeushenkilön osalta: </w:t>
            </w:r>
          </w:p>
          <w:p w14:paraId="6EDFC174" w14:textId="77777777" w:rsidR="005E41BC" w:rsidRPr="008151AE" w:rsidRDefault="005E41BC" w:rsidP="00583379">
            <w:pPr>
              <w:jc w:val="both"/>
            </w:pPr>
          </w:p>
        </w:tc>
      </w:tr>
      <w:tr w:rsidR="003154CD" w:rsidRPr="008151AE" w14:paraId="6EDFC180" w14:textId="77777777" w:rsidTr="00A40405">
        <w:tc>
          <w:tcPr>
            <w:tcW w:w="3369" w:type="dxa"/>
            <w:shd w:val="clear" w:color="auto" w:fill="auto"/>
          </w:tcPr>
          <w:p w14:paraId="6EDFC176" w14:textId="77777777" w:rsidR="003154CD" w:rsidRPr="008151AE" w:rsidRDefault="005E41BC" w:rsidP="00583379">
            <w:pPr>
              <w:jc w:val="both"/>
            </w:pPr>
            <w:r w:rsidRPr="008151AE">
              <w:t xml:space="preserve">Henkilötunnus tai passin numero: </w:t>
            </w:r>
          </w:p>
          <w:p w14:paraId="6EDFC177" w14:textId="77777777" w:rsidR="005E41BC" w:rsidRPr="008151AE" w:rsidRDefault="005E41BC" w:rsidP="00583379">
            <w:pPr>
              <w:jc w:val="both"/>
            </w:pPr>
          </w:p>
          <w:p w14:paraId="6EDFC178" w14:textId="77777777" w:rsidR="00D841AD" w:rsidRPr="008151AE" w:rsidRDefault="00D841AD" w:rsidP="00583379">
            <w:pPr>
              <w:jc w:val="both"/>
            </w:pPr>
            <w:proofErr w:type="gramStart"/>
            <w:r w:rsidRPr="008151AE">
              <w:t>(jäljempänä 'toimija'</w:t>
            </w:r>
            <w:proofErr w:type="gramEnd"/>
            <w:r w:rsidRPr="008151AE">
              <w:t>)</w:t>
            </w:r>
          </w:p>
        </w:tc>
        <w:tc>
          <w:tcPr>
            <w:tcW w:w="6378" w:type="dxa"/>
            <w:shd w:val="clear" w:color="auto" w:fill="auto"/>
          </w:tcPr>
          <w:p w14:paraId="6EDFC179" w14:textId="77777777" w:rsidR="005E41BC" w:rsidRPr="008151AE" w:rsidRDefault="005E41BC" w:rsidP="00892BCE">
            <w:pPr>
              <w:rPr>
                <w:b/>
              </w:rPr>
            </w:pPr>
            <w:r w:rsidRPr="008151AE">
              <w:t>Täydellinen virallinen nimi:</w:t>
            </w:r>
          </w:p>
          <w:p w14:paraId="6EDFC17A" w14:textId="77777777" w:rsidR="005E41BC" w:rsidRPr="008151AE" w:rsidRDefault="005E41BC" w:rsidP="005E41BC">
            <w:r w:rsidRPr="008151AE">
              <w:t xml:space="preserve">Virallinen oikeudellinen muoto: </w:t>
            </w:r>
          </w:p>
          <w:p w14:paraId="6EDFC17B" w14:textId="77777777" w:rsidR="005E41BC" w:rsidRPr="008151AE" w:rsidRDefault="005E41BC" w:rsidP="005E41BC">
            <w:pPr>
              <w:rPr>
                <w:b/>
              </w:rPr>
            </w:pPr>
            <w:r w:rsidRPr="008151AE">
              <w:t xml:space="preserve">Yritys- ja yhteisötunnus: </w:t>
            </w:r>
          </w:p>
          <w:p w14:paraId="6EDFC17C" w14:textId="77777777" w:rsidR="005E41BC" w:rsidRPr="008151AE" w:rsidRDefault="005E41BC" w:rsidP="005E41BC">
            <w:pPr>
              <w:rPr>
                <w:b/>
              </w:rPr>
            </w:pPr>
            <w:r w:rsidRPr="008151AE">
              <w:t xml:space="preserve">Täydellinen virallinen osoite: </w:t>
            </w:r>
          </w:p>
          <w:p w14:paraId="6EDFC17D" w14:textId="62B6CC10" w:rsidR="003154CD" w:rsidRPr="008151AE" w:rsidRDefault="005E41BC" w:rsidP="00892BCE">
            <w:r w:rsidRPr="008151AE">
              <w:t xml:space="preserve">Mahdollinen alv-tunnus: </w:t>
            </w:r>
          </w:p>
          <w:p w14:paraId="6EDFC17E" w14:textId="77777777" w:rsidR="005E41BC" w:rsidRPr="008151AE" w:rsidRDefault="005E41BC" w:rsidP="005E41BC"/>
          <w:p w14:paraId="6EDFC17F" w14:textId="77777777" w:rsidR="00D841AD" w:rsidRPr="008151AE" w:rsidRDefault="00D841AD" w:rsidP="005E41BC">
            <w:proofErr w:type="gramStart"/>
            <w:r w:rsidRPr="008151AE">
              <w:t>(jäljempänä 'toimija'</w:t>
            </w:r>
            <w:proofErr w:type="gramEnd"/>
            <w:r w:rsidRPr="008151AE">
              <w:t>)</w:t>
            </w:r>
          </w:p>
        </w:tc>
      </w:tr>
    </w:tbl>
    <w:p w14:paraId="6EDFC181" w14:textId="77777777" w:rsidR="00897553" w:rsidRPr="008151AE" w:rsidRDefault="00897553" w:rsidP="000B6759">
      <w:pPr>
        <w:pStyle w:val="Title"/>
        <w:keepNext/>
      </w:pPr>
      <w:r w:rsidRPr="008151AE">
        <w:t>I – Poissulkemiseen johtavat tilanteet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7"/>
        <w:gridCol w:w="1172"/>
        <w:gridCol w:w="696"/>
      </w:tblGrid>
      <w:tr w:rsidR="00F7691A" w:rsidRPr="008151AE" w14:paraId="6EDFC185" w14:textId="77777777" w:rsidTr="00F7691A">
        <w:tc>
          <w:tcPr>
            <w:tcW w:w="8238" w:type="dxa"/>
            <w:shd w:val="clear" w:color="auto" w:fill="auto"/>
          </w:tcPr>
          <w:p w14:paraId="6EDFC182" w14:textId="6832A475" w:rsidR="00F7691A" w:rsidRPr="008151AE" w:rsidRDefault="00F7691A" w:rsidP="0010150F">
            <w:pPr>
              <w:numPr>
                <w:ilvl w:val="0"/>
                <w:numId w:val="17"/>
              </w:numPr>
              <w:spacing w:before="40" w:after="40"/>
              <w:jc w:val="both"/>
            </w:pPr>
            <w:r w:rsidRPr="008151AE">
              <w:t>ilmoittaa, onko edellä mainittu toimija jossakin seuraavassa mainituista tilanteista:</w:t>
            </w:r>
          </w:p>
        </w:tc>
        <w:tc>
          <w:tcPr>
            <w:tcW w:w="812" w:type="dxa"/>
            <w:shd w:val="clear" w:color="auto" w:fill="auto"/>
          </w:tcPr>
          <w:p w14:paraId="6EDFC183" w14:textId="77777777" w:rsidR="00F7691A" w:rsidRPr="008151AE" w:rsidRDefault="00F7691A" w:rsidP="00F7691A">
            <w:pPr>
              <w:spacing w:before="40" w:after="40"/>
              <w:ind w:left="142"/>
              <w:jc w:val="both"/>
            </w:pPr>
            <w:r w:rsidRPr="008151AE">
              <w:t>KYLLÄ</w:t>
            </w:r>
          </w:p>
        </w:tc>
        <w:tc>
          <w:tcPr>
            <w:tcW w:w="705" w:type="dxa"/>
            <w:shd w:val="clear" w:color="auto" w:fill="auto"/>
          </w:tcPr>
          <w:p w14:paraId="6EDFC184" w14:textId="77777777" w:rsidR="00F7691A" w:rsidRPr="008151AE" w:rsidRDefault="00F7691A" w:rsidP="00F7691A">
            <w:pPr>
              <w:spacing w:before="40" w:after="40"/>
              <w:ind w:left="142"/>
              <w:jc w:val="both"/>
            </w:pPr>
            <w:r w:rsidRPr="008151AE">
              <w:t>EI</w:t>
            </w:r>
          </w:p>
        </w:tc>
      </w:tr>
      <w:tr w:rsidR="00E33977" w:rsidRPr="008151AE" w14:paraId="6EDFC189" w14:textId="77777777" w:rsidTr="00F7691A">
        <w:tc>
          <w:tcPr>
            <w:tcW w:w="8238" w:type="dxa"/>
            <w:shd w:val="clear" w:color="auto" w:fill="auto"/>
          </w:tcPr>
          <w:p w14:paraId="6EDFC186" w14:textId="77777777" w:rsidR="00E33977" w:rsidRPr="008151AE" w:rsidRDefault="00E33977" w:rsidP="004B29AF">
            <w:pPr>
              <w:pStyle w:val="Text1"/>
              <w:numPr>
                <w:ilvl w:val="0"/>
                <w:numId w:val="15"/>
              </w:numPr>
              <w:spacing w:before="40" w:after="40"/>
            </w:pPr>
            <w:r w:rsidRPr="008151AE">
              <w:t>se on tehnyt konkurssin, sen osalta on käynnistetty maksukyvyttömyys- tai likvidaatiomenettelyjä, sen varoja hallinnoi selvitysmies tai tuomioistuin, sille on vahvistettu akordi, sen liiketoiminta on keskeytetty tai se on muun vastaavan kansallisten lakien tai määräysten mukaisen menettelyn alainen;</w:t>
            </w:r>
          </w:p>
        </w:tc>
        <w:tc>
          <w:tcPr>
            <w:tcW w:w="812" w:type="dxa"/>
            <w:shd w:val="clear" w:color="auto" w:fill="auto"/>
          </w:tcPr>
          <w:p w14:paraId="6EDFC187" w14:textId="77777777" w:rsidR="00E33977" w:rsidRPr="008151AE" w:rsidRDefault="00E33977" w:rsidP="00583379">
            <w:pPr>
              <w:spacing w:before="240" w:after="120"/>
              <w:jc w:val="both"/>
            </w:pPr>
            <w:r w:rsidRPr="008151AE">
              <w:fldChar w:fldCharType="begin" w:fldLock="1">
                <w:ffData>
                  <w:name w:val=""/>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88" w14:textId="77777777" w:rsidR="00E33977" w:rsidRPr="008151AE" w:rsidRDefault="00E33977"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E33977" w:rsidRPr="008151AE" w14:paraId="6EDFC18D" w14:textId="77777777" w:rsidTr="00F7691A">
        <w:tc>
          <w:tcPr>
            <w:tcW w:w="8238" w:type="dxa"/>
            <w:shd w:val="clear" w:color="auto" w:fill="auto"/>
          </w:tcPr>
          <w:p w14:paraId="6EDFC18A" w14:textId="25512F60" w:rsidR="00E33977" w:rsidRPr="008151AE" w:rsidRDefault="00E33977" w:rsidP="003F14EE">
            <w:pPr>
              <w:pStyle w:val="Text1"/>
              <w:numPr>
                <w:ilvl w:val="0"/>
                <w:numId w:val="15"/>
              </w:numPr>
              <w:spacing w:before="40" w:after="40"/>
            </w:pPr>
            <w:r w:rsidRPr="008151AE">
              <w:t>lainvoimaisessa tuomiossa tai lopullisessa hallinnollisessa päätöksessä on todettu, että toimija on laiminlyönyt velvollisuutensa maksaa sijoittautumismaansa, palkinnon myöntäjän sijaintimaan tai palkinnon kohteena olevien toimien/aloitteiden täytäntöönpanomaan lainsäädännön nojalla määrättyjä veroja tai sosiaaliturvamaksuja;</w:t>
            </w:r>
          </w:p>
        </w:tc>
        <w:tc>
          <w:tcPr>
            <w:tcW w:w="812" w:type="dxa"/>
            <w:shd w:val="clear" w:color="auto" w:fill="auto"/>
          </w:tcPr>
          <w:p w14:paraId="6EDFC18B" w14:textId="77777777" w:rsidR="00E33977" w:rsidRPr="008151AE" w:rsidRDefault="00E33977" w:rsidP="00583379">
            <w:pPr>
              <w:spacing w:before="240" w:after="120"/>
              <w:jc w:val="both"/>
            </w:pPr>
            <w:r w:rsidRPr="008151AE">
              <w:fldChar w:fldCharType="begin" w:fldLock="1">
                <w:ffData>
                  <w:name w:val="Check1"/>
                  <w:enabled/>
                  <w:calcOnExit w:val="0"/>
                  <w:checkBox>
                    <w:sizeAuto/>
                    <w:default w:val="0"/>
                  </w:checkBox>
                </w:ffData>
              </w:fldChar>
            </w:r>
            <w:bookmarkStart w:id="1" w:name="Check1"/>
            <w:r w:rsidRPr="008151AE">
              <w:instrText xml:space="preserve"> FORMCHECKBOX </w:instrText>
            </w:r>
            <w:r w:rsidR="00521EE8">
              <w:fldChar w:fldCharType="separate"/>
            </w:r>
            <w:r w:rsidRPr="008151AE">
              <w:fldChar w:fldCharType="end"/>
            </w:r>
            <w:bookmarkEnd w:id="1"/>
          </w:p>
        </w:tc>
        <w:tc>
          <w:tcPr>
            <w:tcW w:w="705" w:type="dxa"/>
            <w:shd w:val="clear" w:color="auto" w:fill="auto"/>
          </w:tcPr>
          <w:p w14:paraId="6EDFC18C" w14:textId="77777777" w:rsidR="00E33977" w:rsidRPr="008151AE" w:rsidRDefault="00E33977"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7D7A5F" w:rsidRPr="008151AE" w14:paraId="6EDFC190" w14:textId="77777777" w:rsidTr="00F7691A">
        <w:tc>
          <w:tcPr>
            <w:tcW w:w="8238" w:type="dxa"/>
            <w:shd w:val="clear" w:color="auto" w:fill="auto"/>
          </w:tcPr>
          <w:p w14:paraId="6EDFC18E" w14:textId="77777777" w:rsidR="007D7A5F" w:rsidRPr="008151AE" w:rsidRDefault="007D7A5F" w:rsidP="00583379">
            <w:pPr>
              <w:pStyle w:val="Text1"/>
              <w:numPr>
                <w:ilvl w:val="0"/>
                <w:numId w:val="15"/>
              </w:numPr>
              <w:spacing w:before="40" w:after="40"/>
            </w:pPr>
            <w:r w:rsidRPr="008151AE">
              <w:t>lainvoimaisessa tuomiossa tai lopullisessa hallinnollisessa päätöksessä on todettu, että toimija on syyllistynyt ammatin harjoittamiseen liittyvään vakavaan virheeseen rikkomalla sovellettavia lakeja tai määräyksiä tai toimijan harjoittaman ammatin eettisiä sääntöjä tai osallistumalla mihin tahansa muuhun virheelliseen toimintaan, joka vahingoittaa toimijan ammatillista uskottavuutta, jos kyseinen toiminta osoittaa vilpillistä aikomusta tai vakavaa laiminlyöntiä, mukaan lukien erityisesti jokin seuraavista:</w:t>
            </w:r>
          </w:p>
        </w:tc>
        <w:tc>
          <w:tcPr>
            <w:tcW w:w="1517" w:type="dxa"/>
            <w:gridSpan w:val="2"/>
            <w:shd w:val="clear" w:color="auto" w:fill="auto"/>
          </w:tcPr>
          <w:p w14:paraId="6EDFC18F" w14:textId="77777777" w:rsidR="007D7A5F" w:rsidRPr="008151AE" w:rsidRDefault="007D7A5F" w:rsidP="00583379">
            <w:pPr>
              <w:spacing w:before="240" w:after="120"/>
              <w:jc w:val="both"/>
            </w:pPr>
          </w:p>
        </w:tc>
      </w:tr>
      <w:tr w:rsidR="00E33977" w:rsidRPr="008151AE" w14:paraId="6EDFC194" w14:textId="77777777" w:rsidTr="00F7691A">
        <w:tc>
          <w:tcPr>
            <w:tcW w:w="8238" w:type="dxa"/>
            <w:shd w:val="clear" w:color="auto" w:fill="auto"/>
          </w:tcPr>
          <w:p w14:paraId="6EDFC191" w14:textId="3693400E" w:rsidR="00E33977" w:rsidRPr="008151AE" w:rsidRDefault="00E33977" w:rsidP="003F14EE">
            <w:pPr>
              <w:pStyle w:val="Text1"/>
              <w:spacing w:before="40" w:after="40"/>
              <w:ind w:left="709"/>
            </w:pPr>
            <w:bookmarkStart w:id="2" w:name="_DV_C368"/>
            <w:r w:rsidRPr="008151AE">
              <w:rPr>
                <w:color w:val="000000"/>
              </w:rPr>
              <w:t xml:space="preserve">(i) väärien tietojen antaminen vilpillisesti tai tuottamuksellisesti, kun näitä tietoja vaaditaan sen tarkistamiseksi, ettei poissulkemisperusteita ole tai että kelpoisuusperusteet täyttyvät, tai palkinnon kohteena olevien toimien/aloitteiden täytäntöönpanoa koskien; </w:t>
            </w:r>
            <w:bookmarkEnd w:id="2"/>
          </w:p>
        </w:tc>
        <w:tc>
          <w:tcPr>
            <w:tcW w:w="812" w:type="dxa"/>
            <w:shd w:val="clear" w:color="auto" w:fill="auto"/>
          </w:tcPr>
          <w:p w14:paraId="6EDFC192" w14:textId="77777777" w:rsidR="00E33977" w:rsidRPr="008151AE" w:rsidRDefault="00E33977"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93" w14:textId="77777777" w:rsidR="00E33977" w:rsidRPr="008151AE" w:rsidRDefault="00E33977"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98" w14:textId="77777777" w:rsidTr="00F7691A">
        <w:tc>
          <w:tcPr>
            <w:tcW w:w="8238" w:type="dxa"/>
            <w:shd w:val="clear" w:color="auto" w:fill="auto"/>
          </w:tcPr>
          <w:p w14:paraId="6EDFC195" w14:textId="0D5A610F" w:rsidR="00C475D8" w:rsidRPr="008151AE" w:rsidRDefault="00C475D8" w:rsidP="00583379">
            <w:pPr>
              <w:pStyle w:val="Text1"/>
              <w:spacing w:before="40" w:after="40"/>
              <w:ind w:left="709"/>
            </w:pPr>
            <w:bookmarkStart w:id="3" w:name="_DV_C369"/>
            <w:r w:rsidRPr="008151AE">
              <w:rPr>
                <w:color w:val="000000"/>
              </w:rPr>
              <w:lastRenderedPageBreak/>
              <w:t>(ii) sopimuksen tekeminen muiden toimijoiden kanssa kilpailun vääristämiseksi;</w:t>
            </w:r>
            <w:bookmarkEnd w:id="3"/>
          </w:p>
        </w:tc>
        <w:tc>
          <w:tcPr>
            <w:tcW w:w="812" w:type="dxa"/>
            <w:shd w:val="clear" w:color="auto" w:fill="auto"/>
          </w:tcPr>
          <w:p w14:paraId="6EDFC196"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97"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9C" w14:textId="77777777" w:rsidTr="00F7691A">
        <w:tc>
          <w:tcPr>
            <w:tcW w:w="8238" w:type="dxa"/>
            <w:shd w:val="clear" w:color="auto" w:fill="auto"/>
          </w:tcPr>
          <w:p w14:paraId="6EDFC199" w14:textId="77777777" w:rsidR="00C475D8" w:rsidRPr="008151AE" w:rsidRDefault="00C475D8" w:rsidP="00583379">
            <w:pPr>
              <w:pStyle w:val="Text1"/>
              <w:spacing w:before="40" w:after="40"/>
              <w:ind w:left="709"/>
            </w:pPr>
            <w:bookmarkStart w:id="4" w:name="_DV_C371"/>
            <w:r w:rsidRPr="008151AE">
              <w:rPr>
                <w:color w:val="000000"/>
              </w:rPr>
              <w:t>(iii) teollis- ja tekijänoikeuksien loukkaaminen;</w:t>
            </w:r>
            <w:bookmarkEnd w:id="4"/>
          </w:p>
        </w:tc>
        <w:tc>
          <w:tcPr>
            <w:tcW w:w="812" w:type="dxa"/>
            <w:shd w:val="clear" w:color="auto" w:fill="auto"/>
          </w:tcPr>
          <w:p w14:paraId="6EDFC19A"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9B"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A0" w14:textId="77777777" w:rsidTr="00F7691A">
        <w:tc>
          <w:tcPr>
            <w:tcW w:w="8238" w:type="dxa"/>
            <w:shd w:val="clear" w:color="auto" w:fill="auto"/>
          </w:tcPr>
          <w:p w14:paraId="6EDFC19D" w14:textId="4A0D2C2E" w:rsidR="00C475D8" w:rsidRPr="008151AE" w:rsidRDefault="00C475D8">
            <w:pPr>
              <w:pStyle w:val="Text1"/>
              <w:spacing w:before="40" w:after="40"/>
              <w:ind w:left="709"/>
            </w:pPr>
            <w:bookmarkStart w:id="5" w:name="_DV_C372"/>
            <w:r w:rsidRPr="008151AE">
              <w:rPr>
                <w:color w:val="000000"/>
              </w:rPr>
              <w:t>(iv) yritys vaikuttaa palkinnon myöntäjän päätöksentekoon palkintomenettelyn aikana;</w:t>
            </w:r>
            <w:bookmarkEnd w:id="5"/>
          </w:p>
        </w:tc>
        <w:tc>
          <w:tcPr>
            <w:tcW w:w="812" w:type="dxa"/>
            <w:shd w:val="clear" w:color="auto" w:fill="auto"/>
          </w:tcPr>
          <w:p w14:paraId="6EDFC19E"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9F"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A4" w14:textId="77777777" w:rsidTr="00F7691A">
        <w:tc>
          <w:tcPr>
            <w:tcW w:w="8238" w:type="dxa"/>
            <w:shd w:val="clear" w:color="auto" w:fill="auto"/>
          </w:tcPr>
          <w:p w14:paraId="6EDFC1A1" w14:textId="604A05C7" w:rsidR="00C475D8" w:rsidRPr="008151AE" w:rsidRDefault="00C475D8" w:rsidP="00583379">
            <w:pPr>
              <w:pStyle w:val="Text1"/>
              <w:spacing w:before="40" w:after="40"/>
              <w:ind w:left="709"/>
              <w:rPr>
                <w:color w:val="000000"/>
              </w:rPr>
            </w:pPr>
            <w:bookmarkStart w:id="6" w:name="_DV_C373"/>
            <w:r w:rsidRPr="008151AE">
              <w:rPr>
                <w:color w:val="000000"/>
              </w:rPr>
              <w:t>(v) yritys saada luottamuksellisia tietoja, joiden avulla on mahdollista saada perusteettomia etuja palkintomenettelyssä</w:t>
            </w:r>
            <w:bookmarkEnd w:id="6"/>
            <w:r w:rsidRPr="008151AE">
              <w:rPr>
                <w:color w:val="000000"/>
              </w:rPr>
              <w:t>;</w:t>
            </w:r>
            <w:r w:rsidRPr="008151AE">
              <w:rPr>
                <w:b/>
                <w:i/>
                <w:color w:val="000000"/>
              </w:rPr>
              <w:t xml:space="preserve"> </w:t>
            </w:r>
          </w:p>
        </w:tc>
        <w:tc>
          <w:tcPr>
            <w:tcW w:w="812" w:type="dxa"/>
            <w:shd w:val="clear" w:color="auto" w:fill="auto"/>
          </w:tcPr>
          <w:p w14:paraId="6EDFC1A2"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A3"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7D7A5F" w:rsidRPr="008151AE" w14:paraId="6EDFC1A7" w14:textId="77777777" w:rsidTr="00F7691A">
        <w:tc>
          <w:tcPr>
            <w:tcW w:w="8238" w:type="dxa"/>
            <w:shd w:val="clear" w:color="auto" w:fill="auto"/>
          </w:tcPr>
          <w:p w14:paraId="6EDFC1A5" w14:textId="77777777" w:rsidR="007D7A5F" w:rsidRPr="008151AE" w:rsidRDefault="007D7A5F" w:rsidP="00A40405">
            <w:pPr>
              <w:pStyle w:val="Text1"/>
              <w:numPr>
                <w:ilvl w:val="0"/>
                <w:numId w:val="15"/>
              </w:numPr>
              <w:spacing w:before="40" w:after="40"/>
              <w:ind w:left="357" w:hanging="357"/>
              <w:rPr>
                <w:color w:val="000000"/>
              </w:rPr>
            </w:pPr>
            <w:r w:rsidRPr="008151AE">
              <w:t>lainvoimaisessa tuomiossa on todettu, että toimija on syyllistynyt</w:t>
            </w:r>
          </w:p>
        </w:tc>
        <w:tc>
          <w:tcPr>
            <w:tcW w:w="1517" w:type="dxa"/>
            <w:gridSpan w:val="2"/>
            <w:shd w:val="clear" w:color="auto" w:fill="auto"/>
          </w:tcPr>
          <w:p w14:paraId="6EDFC1A6" w14:textId="77777777" w:rsidR="007D7A5F" w:rsidRPr="008151AE" w:rsidRDefault="007D7A5F" w:rsidP="00583379">
            <w:pPr>
              <w:spacing w:before="240" w:after="120"/>
              <w:jc w:val="both"/>
            </w:pPr>
          </w:p>
        </w:tc>
      </w:tr>
      <w:tr w:rsidR="00C475D8" w:rsidRPr="008151AE" w14:paraId="6EDFC1AB" w14:textId="77777777" w:rsidTr="00F7691A">
        <w:tc>
          <w:tcPr>
            <w:tcW w:w="8238" w:type="dxa"/>
            <w:shd w:val="clear" w:color="auto" w:fill="auto"/>
          </w:tcPr>
          <w:p w14:paraId="6EDFC1A8" w14:textId="77777777" w:rsidR="00C475D8" w:rsidRPr="008151AE" w:rsidRDefault="00C475D8" w:rsidP="00583379">
            <w:pPr>
              <w:pStyle w:val="Text1"/>
              <w:spacing w:before="40" w:after="40"/>
              <w:ind w:left="709"/>
            </w:pPr>
            <w:r w:rsidRPr="008151AE">
              <w:rPr>
                <w:color w:val="000000"/>
              </w:rPr>
              <w:t>(i) petokseen, sellaisena kuin sitä tarkoitetaan 26 päivänä heinäkuuta 1995 annetulla neuvoston säädöksellä tehdyn yhteisöjen taloudellisten etujen suojaamista koskevan yleissopimuksen 1 artiklassa</w:t>
            </w:r>
            <w:bookmarkStart w:id="7" w:name="_DV_C378"/>
            <w:r w:rsidRPr="008151AE">
              <w:rPr>
                <w:color w:val="000000"/>
              </w:rPr>
              <w:t>;</w:t>
            </w:r>
            <w:bookmarkEnd w:id="7"/>
          </w:p>
        </w:tc>
        <w:tc>
          <w:tcPr>
            <w:tcW w:w="812" w:type="dxa"/>
            <w:shd w:val="clear" w:color="auto" w:fill="auto"/>
          </w:tcPr>
          <w:p w14:paraId="6EDFC1A9"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AA"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AF" w14:textId="77777777" w:rsidTr="00F7691A">
        <w:tc>
          <w:tcPr>
            <w:tcW w:w="8238" w:type="dxa"/>
            <w:shd w:val="clear" w:color="auto" w:fill="auto"/>
          </w:tcPr>
          <w:p w14:paraId="6EDFC1AC" w14:textId="13DC47CD" w:rsidR="00C475D8" w:rsidRPr="008151AE" w:rsidRDefault="00C475D8">
            <w:pPr>
              <w:pStyle w:val="Text1"/>
              <w:spacing w:before="40" w:after="40"/>
              <w:ind w:left="709"/>
            </w:pPr>
            <w:bookmarkStart w:id="8" w:name="_DV_C379"/>
            <w:r w:rsidRPr="008151AE">
              <w:rPr>
                <w:color w:val="000000"/>
              </w:rPr>
              <w:t>(ii) korruptioon, sellaisena kuin se on määritelty 26 päivänä toukokuuta 1997 annetulla neuvoston säädöksellä tehdyn, sellaisen lahjonnan torjumista, jossa on osallisena Euroopan yhteisöjen virkamiehiä tai Euroopan unionin jäsenvaltioiden virkamiehiä</w:t>
            </w:r>
            <w:bookmarkStart w:id="9" w:name="_DV_C381"/>
            <w:bookmarkEnd w:id="8"/>
            <w:r w:rsidRPr="008151AE">
              <w:rPr>
                <w:color w:val="000000"/>
              </w:rPr>
              <w:t>, koskevan yleissopimuksen 3 artiklassa ja neuvoston puitepäätöksen 2003/568/YOS</w:t>
            </w:r>
            <w:bookmarkStart w:id="10" w:name="_DV_C383"/>
            <w:bookmarkEnd w:id="9"/>
            <w:r w:rsidRPr="008151AE">
              <w:rPr>
                <w:color w:val="000000"/>
              </w:rPr>
              <w:t xml:space="preserve"> 2 artiklan 1 kohdassa tai palkinnon myöntäjän sijaintimaan, toimijan sijoittautumismaan tai palkinnon kohteena olevien toimien/aloitteiden täytäntöönpanomaan lainsäädännössä;</w:t>
            </w:r>
            <w:bookmarkEnd w:id="10"/>
          </w:p>
        </w:tc>
        <w:tc>
          <w:tcPr>
            <w:tcW w:w="812" w:type="dxa"/>
            <w:shd w:val="clear" w:color="auto" w:fill="auto"/>
          </w:tcPr>
          <w:p w14:paraId="6EDFC1AD"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AE"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B3" w14:textId="77777777" w:rsidTr="00F7691A">
        <w:tc>
          <w:tcPr>
            <w:tcW w:w="8238" w:type="dxa"/>
            <w:shd w:val="clear" w:color="auto" w:fill="auto"/>
          </w:tcPr>
          <w:p w14:paraId="6EDFC1B0" w14:textId="77777777" w:rsidR="00C475D8" w:rsidRPr="008151AE" w:rsidRDefault="00C475D8" w:rsidP="00583379">
            <w:pPr>
              <w:pStyle w:val="Text1"/>
              <w:spacing w:before="40" w:after="40"/>
              <w:ind w:left="709"/>
            </w:pPr>
            <w:bookmarkStart w:id="11" w:name="_DV_C384"/>
            <w:r w:rsidRPr="008151AE">
              <w:rPr>
                <w:color w:val="000000"/>
              </w:rPr>
              <w:t xml:space="preserve">(iii) </w:t>
            </w:r>
            <w:bookmarkStart w:id="12" w:name="_DV_M250"/>
            <w:bookmarkEnd w:id="11"/>
            <w:bookmarkEnd w:id="12"/>
            <w:r w:rsidRPr="008151AE">
              <w:rPr>
                <w:color w:val="000000"/>
              </w:rPr>
              <w:t xml:space="preserve">rikollisjärjestön toimintaan osallistumiseen, </w:t>
            </w:r>
            <w:bookmarkStart w:id="13" w:name="_DV_C385"/>
            <w:r w:rsidRPr="008151AE">
              <w:rPr>
                <w:color w:val="000000"/>
              </w:rPr>
              <w:t>sellaisena kuin se on määritelty neuvoston puitepäätöksen 2008/841/YOS 2 artiklassa</w:t>
            </w:r>
            <w:bookmarkStart w:id="14" w:name="_DV_C387"/>
            <w:bookmarkEnd w:id="13"/>
            <w:r w:rsidRPr="008151AE">
              <w:rPr>
                <w:color w:val="000000"/>
              </w:rPr>
              <w:t>;</w:t>
            </w:r>
            <w:bookmarkEnd w:id="14"/>
          </w:p>
        </w:tc>
        <w:tc>
          <w:tcPr>
            <w:tcW w:w="812" w:type="dxa"/>
            <w:shd w:val="clear" w:color="auto" w:fill="auto"/>
          </w:tcPr>
          <w:p w14:paraId="6EDFC1B1"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B2"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B7" w14:textId="77777777" w:rsidTr="00F7691A">
        <w:tc>
          <w:tcPr>
            <w:tcW w:w="8238" w:type="dxa"/>
            <w:shd w:val="clear" w:color="auto" w:fill="auto"/>
          </w:tcPr>
          <w:p w14:paraId="6EDFC1B4" w14:textId="1358D37D" w:rsidR="00C475D8" w:rsidRPr="008151AE" w:rsidRDefault="003E4DCC" w:rsidP="005962DA">
            <w:pPr>
              <w:pStyle w:val="Text1"/>
              <w:spacing w:before="40" w:after="40"/>
              <w:ind w:left="709"/>
            </w:pPr>
            <w:r w:rsidRPr="008151AE">
              <w:t xml:space="preserve">(iv) </w:t>
            </w:r>
            <w:bookmarkStart w:id="15" w:name="_DV_M251"/>
            <w:bookmarkEnd w:id="15"/>
            <w:r w:rsidRPr="008151AE">
              <w:t>rahanpesuun</w:t>
            </w:r>
            <w:bookmarkStart w:id="16" w:name="_DV_C391"/>
            <w:r w:rsidRPr="008151AE">
              <w:t xml:space="preserve"> tai </w:t>
            </w:r>
            <w:bookmarkStart w:id="17" w:name="_DV_M252"/>
            <w:bookmarkEnd w:id="16"/>
            <w:bookmarkEnd w:id="17"/>
            <w:r w:rsidRPr="008151AE">
              <w:t xml:space="preserve">terrorismin rahoitukseen, </w:t>
            </w:r>
            <w:bookmarkStart w:id="18" w:name="_DV_C392"/>
            <w:r w:rsidRPr="008151AE">
              <w:t>sellaisina kuin ne on määritelty Euroopan parlamentin ja neuvoston direktiivin 2005/60/EY 1</w:t>
            </w:r>
            <w:r w:rsidR="005962DA" w:rsidRPr="008151AE">
              <w:t> </w:t>
            </w:r>
            <w:r w:rsidRPr="008151AE">
              <w:t>artiklassa</w:t>
            </w:r>
            <w:bookmarkStart w:id="19" w:name="_DV_C394"/>
            <w:bookmarkEnd w:id="18"/>
            <w:r w:rsidRPr="008151AE">
              <w:t>;</w:t>
            </w:r>
            <w:bookmarkEnd w:id="19"/>
          </w:p>
        </w:tc>
        <w:tc>
          <w:tcPr>
            <w:tcW w:w="812" w:type="dxa"/>
            <w:shd w:val="clear" w:color="auto" w:fill="auto"/>
          </w:tcPr>
          <w:p w14:paraId="6EDFC1B5"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B6"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BB" w14:textId="77777777" w:rsidTr="00F7691A">
        <w:tc>
          <w:tcPr>
            <w:tcW w:w="8238" w:type="dxa"/>
            <w:shd w:val="clear" w:color="auto" w:fill="auto"/>
          </w:tcPr>
          <w:p w14:paraId="6EDFC1B8" w14:textId="77777777" w:rsidR="00C475D8" w:rsidRPr="008151AE" w:rsidRDefault="00C475D8" w:rsidP="00583379">
            <w:pPr>
              <w:pStyle w:val="Text1"/>
              <w:spacing w:before="40" w:after="40"/>
              <w:ind w:left="709"/>
            </w:pPr>
            <w:bookmarkStart w:id="20" w:name="_DV_C395"/>
            <w:r w:rsidRPr="008151AE">
              <w:t xml:space="preserve">(v) </w:t>
            </w:r>
            <w:bookmarkStart w:id="21" w:name="_DV_M253"/>
            <w:bookmarkEnd w:id="20"/>
            <w:bookmarkEnd w:id="21"/>
            <w:r w:rsidRPr="008151AE">
              <w:t>terrorismirikoksiin</w:t>
            </w:r>
            <w:bookmarkStart w:id="22" w:name="_DV_C397"/>
            <w:r w:rsidRPr="008151AE">
              <w:t>, sellaisina kuin ne on määritelty neuvoston puitepäätöksen 2002/475/YOS</w:t>
            </w:r>
            <w:bookmarkStart w:id="23" w:name="_DV_C399"/>
            <w:bookmarkEnd w:id="22"/>
            <w:r w:rsidRPr="008151AE">
              <w:t xml:space="preserve"> 1 artiklassa, tai terroritoimintaan liittyviin rikoksiin, sellaisina kuin ne on määritelty mainitun puitepäätöksen 3 artiklassa, tai mainitun päätöksen 4 artiklassa tarkoitettuun tällaisiin rikoksiin yllyttämiseen, avunantoon niihin tai niiden yritykseen;</w:t>
            </w:r>
            <w:bookmarkEnd w:id="23"/>
          </w:p>
        </w:tc>
        <w:tc>
          <w:tcPr>
            <w:tcW w:w="812" w:type="dxa"/>
            <w:shd w:val="clear" w:color="auto" w:fill="auto"/>
          </w:tcPr>
          <w:p w14:paraId="6EDFC1B9"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BA"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BF" w14:textId="77777777" w:rsidTr="00F7691A">
        <w:tc>
          <w:tcPr>
            <w:tcW w:w="8238" w:type="dxa"/>
            <w:shd w:val="clear" w:color="auto" w:fill="auto"/>
          </w:tcPr>
          <w:p w14:paraId="6EDFC1BC" w14:textId="77777777" w:rsidR="00C475D8" w:rsidRPr="008151AE" w:rsidRDefault="00C475D8" w:rsidP="00583379">
            <w:pPr>
              <w:pStyle w:val="Text1"/>
              <w:spacing w:before="40" w:after="40"/>
              <w:ind w:left="709"/>
              <w:rPr>
                <w:color w:val="000000"/>
              </w:rPr>
            </w:pPr>
            <w:bookmarkStart w:id="24" w:name="_DV_C400"/>
            <w:r w:rsidRPr="008151AE">
              <w:t xml:space="preserve">(vi) </w:t>
            </w:r>
            <w:bookmarkStart w:id="25" w:name="_DV_M254"/>
            <w:bookmarkEnd w:id="24"/>
            <w:bookmarkEnd w:id="25"/>
            <w:r w:rsidRPr="008151AE">
              <w:t>lapsityövoiman käyttöön tai muihin ihmiskaupan muotoihin</w:t>
            </w:r>
            <w:bookmarkStart w:id="26" w:name="_DV_C402"/>
            <w:r w:rsidRPr="008151AE">
              <w:t>, siten kuin ne on määritelty Euroopan parlamentin ja neuvoston direktiivin 2011/36/EU 2 artiklassa</w:t>
            </w:r>
            <w:bookmarkStart w:id="27" w:name="_DV_C404"/>
            <w:bookmarkEnd w:id="26"/>
            <w:r w:rsidRPr="008151AE">
              <w:t>;</w:t>
            </w:r>
            <w:bookmarkEnd w:id="27"/>
          </w:p>
        </w:tc>
        <w:tc>
          <w:tcPr>
            <w:tcW w:w="812" w:type="dxa"/>
            <w:shd w:val="clear" w:color="auto" w:fill="auto"/>
          </w:tcPr>
          <w:p w14:paraId="6EDFC1BD"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BE"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C3" w14:textId="77777777" w:rsidTr="00F7691A">
        <w:tc>
          <w:tcPr>
            <w:tcW w:w="8238" w:type="dxa"/>
            <w:shd w:val="clear" w:color="auto" w:fill="auto"/>
          </w:tcPr>
          <w:p w14:paraId="6EDFC1C0" w14:textId="77777777" w:rsidR="00C475D8" w:rsidRPr="008151AE" w:rsidRDefault="00C475D8" w:rsidP="00583379">
            <w:pPr>
              <w:pStyle w:val="Text1"/>
              <w:numPr>
                <w:ilvl w:val="0"/>
                <w:numId w:val="15"/>
              </w:numPr>
              <w:spacing w:before="40" w:after="40"/>
              <w:rPr>
                <w:color w:val="000000"/>
              </w:rPr>
            </w:pPr>
            <w:r w:rsidRPr="008151AE">
              <w:t xml:space="preserve">unionin talousarviosta rahoitetun sopimuksen täytäntöönpanossa on ollut toimijan osalta merkittäviä puutteita keskeisten velvoitteiden täyttämisessä, mikä on johtanut kyseisen sopimuksen ennenaikaiseen irtisanomiseen, sopimussakkojen soveltamiseen tai muihin sopimuksen mukaisiin seuraamuksiin tai minkä tulojen ja menojen hyväksyjä, OLAF tai tilintarkastustuomioistuin on havainnut tarkastusten, tilintarkastusten tai tutkinnan yhteydessä; </w:t>
            </w:r>
          </w:p>
        </w:tc>
        <w:tc>
          <w:tcPr>
            <w:tcW w:w="812" w:type="dxa"/>
            <w:shd w:val="clear" w:color="auto" w:fill="auto"/>
          </w:tcPr>
          <w:p w14:paraId="6EDFC1C1"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C2"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C475D8" w:rsidRPr="008151AE" w14:paraId="6EDFC1C7" w14:textId="77777777" w:rsidTr="00F7691A">
        <w:tc>
          <w:tcPr>
            <w:tcW w:w="8238" w:type="dxa"/>
            <w:shd w:val="clear" w:color="auto" w:fill="auto"/>
          </w:tcPr>
          <w:p w14:paraId="6EDFC1C4" w14:textId="77777777" w:rsidR="00C475D8" w:rsidRPr="008151AE" w:rsidRDefault="00C475D8" w:rsidP="00583379">
            <w:pPr>
              <w:pStyle w:val="Text1"/>
              <w:numPr>
                <w:ilvl w:val="0"/>
                <w:numId w:val="15"/>
              </w:numPr>
              <w:spacing w:before="40" w:after="40"/>
            </w:pPr>
            <w:bookmarkStart w:id="28" w:name="_DV_C410"/>
            <w:r w:rsidRPr="008151AE">
              <w:rPr>
                <w:color w:val="000000"/>
              </w:rPr>
              <w:t>lainvoimaisessa tuomiossa tai lopullisessa hallinnollisessa päätöksessä on todettu, että toimija on syyllistynyt neuvoston asetuksen (EY, Euratom) N:o 2988/95 1 artiklan 2 kohdassa tarkoitettuun väärinkäytökseen</w:t>
            </w:r>
            <w:bookmarkEnd w:id="28"/>
            <w:r w:rsidRPr="008151AE">
              <w:rPr>
                <w:color w:val="000000"/>
              </w:rPr>
              <w:t>;</w:t>
            </w:r>
          </w:p>
        </w:tc>
        <w:tc>
          <w:tcPr>
            <w:tcW w:w="812" w:type="dxa"/>
            <w:shd w:val="clear" w:color="auto" w:fill="auto"/>
          </w:tcPr>
          <w:p w14:paraId="6EDFC1C5"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C6" w14:textId="77777777" w:rsidR="00C475D8" w:rsidRPr="008151AE" w:rsidRDefault="00C475D8"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116FF1" w:rsidRPr="008151AE" w14:paraId="6EDFC1D0" w14:textId="77777777" w:rsidTr="00F7691A">
        <w:tc>
          <w:tcPr>
            <w:tcW w:w="8238" w:type="dxa"/>
            <w:shd w:val="clear" w:color="auto" w:fill="auto"/>
          </w:tcPr>
          <w:p w14:paraId="6EDFC1C8" w14:textId="77777777" w:rsidR="00116FF1" w:rsidRPr="008151AE" w:rsidRDefault="00116FF1" w:rsidP="00583379">
            <w:pPr>
              <w:pStyle w:val="Text1"/>
              <w:numPr>
                <w:ilvl w:val="0"/>
                <w:numId w:val="15"/>
              </w:numPr>
              <w:spacing w:before="40" w:after="40"/>
              <w:rPr>
                <w:color w:val="000000"/>
              </w:rPr>
            </w:pPr>
            <w:r w:rsidRPr="008151AE">
              <w:rPr>
                <w:color w:val="000000"/>
              </w:rPr>
              <w:t xml:space="preserve">toimijaan sovelletaan tilanteessa, jossa on kyse vakavasta ammatillisesta virheestä, petoksesta, korruptiosta, muusta rikollisesta toiminnasta, sopimuksen täyttämiseen liittyvistä merkittävistä puutteista tai </w:t>
            </w:r>
            <w:r w:rsidRPr="008151AE">
              <w:rPr>
                <w:color w:val="000000"/>
              </w:rPr>
              <w:lastRenderedPageBreak/>
              <w:t>väärinkäytöksestä,</w:t>
            </w:r>
          </w:p>
          <w:p w14:paraId="6EDFC1C9" w14:textId="77777777" w:rsidR="00116FF1" w:rsidRPr="008151AE" w:rsidRDefault="00116FF1" w:rsidP="006C6DFD">
            <w:pPr>
              <w:pStyle w:val="Text1"/>
              <w:numPr>
                <w:ilvl w:val="0"/>
                <w:numId w:val="25"/>
              </w:numPr>
              <w:spacing w:before="40" w:after="40"/>
              <w:ind w:left="709" w:firstLine="0"/>
              <w:rPr>
                <w:color w:val="000000"/>
              </w:rPr>
            </w:pPr>
            <w:r w:rsidRPr="008151AE">
              <w:rPr>
                <w:color w:val="000000"/>
              </w:rPr>
              <w:t xml:space="preserve">tosiseikkoja, jotka on havaittu tilintarkastustuomioistuimen, </w:t>
            </w:r>
            <w:proofErr w:type="spellStart"/>
            <w:r w:rsidRPr="008151AE">
              <w:rPr>
                <w:color w:val="000000"/>
              </w:rPr>
              <w:t>OLAFin</w:t>
            </w:r>
            <w:proofErr w:type="spellEnd"/>
            <w:r w:rsidRPr="008151AE">
              <w:rPr>
                <w:color w:val="000000"/>
              </w:rPr>
              <w:t xml:space="preserve"> tai sisäisen tarkastuksen suorittaman tarkastuksen taikka tutkinnan tai EU:n toimielimen, EU:n toimipaikan tai EU:n viraston tai elimen tulojen ja menojen hyväksyjän vastuulla suoritettavan muun tarkastuksen, tilintarkastuksen tai valvonnan yhteydessä;</w:t>
            </w:r>
          </w:p>
          <w:p w14:paraId="6EDFC1CA" w14:textId="77777777" w:rsidR="00116FF1" w:rsidRPr="008151AE" w:rsidRDefault="00116FF1" w:rsidP="006C6DFD">
            <w:pPr>
              <w:pStyle w:val="Text1"/>
              <w:numPr>
                <w:ilvl w:val="0"/>
                <w:numId w:val="25"/>
              </w:numPr>
              <w:spacing w:before="40" w:after="40"/>
              <w:ind w:left="709" w:firstLine="0"/>
              <w:rPr>
                <w:color w:val="000000"/>
              </w:rPr>
            </w:pPr>
            <w:r w:rsidRPr="008151AE">
              <w:rPr>
                <w:color w:val="000000"/>
              </w:rPr>
              <w:t>muita kuin lopullisia hallinnollisia päätöksiä, joihin voi sisältyä ammattietiikkaa koskevien normien noudattamisen varmentamisesta vastaavan toimivaltaisen valvontaelimen toteuttamia kurinpitotoimia;</w:t>
            </w:r>
          </w:p>
          <w:p w14:paraId="6EDFC1CB" w14:textId="77777777" w:rsidR="00116FF1" w:rsidRPr="008151AE" w:rsidRDefault="00116FF1" w:rsidP="006C6DFD">
            <w:pPr>
              <w:pStyle w:val="Text1"/>
              <w:numPr>
                <w:ilvl w:val="0"/>
                <w:numId w:val="25"/>
              </w:numPr>
              <w:spacing w:before="40" w:after="40"/>
              <w:ind w:left="709" w:firstLine="0"/>
              <w:rPr>
                <w:color w:val="000000"/>
              </w:rPr>
            </w:pPr>
            <w:r w:rsidRPr="008151AE">
              <w:rPr>
                <w:color w:val="000000"/>
              </w:rPr>
              <w:t>Euroopan keskuspankin, Euroopan investointipankin, Euroopan investointirahaston tai kansainvälisten järjestöjen päätöksiä;</w:t>
            </w:r>
          </w:p>
          <w:p w14:paraId="6EDFC1CC" w14:textId="77777777" w:rsidR="00116FF1" w:rsidRPr="008151AE" w:rsidRDefault="00116FF1" w:rsidP="006C6DFD">
            <w:pPr>
              <w:pStyle w:val="Text1"/>
              <w:numPr>
                <w:ilvl w:val="0"/>
                <w:numId w:val="25"/>
              </w:numPr>
              <w:spacing w:before="40" w:after="40"/>
              <w:ind w:left="709" w:firstLine="0"/>
              <w:rPr>
                <w:color w:val="000000"/>
              </w:rPr>
            </w:pPr>
            <w:r w:rsidRPr="008151AE">
              <w:rPr>
                <w:color w:val="000000"/>
              </w:rPr>
              <w:t>komission päätöksiä unionin kilpailusääntöjen rikkomisista tai toimivaltaisen kansallisen viranomaisen päätöksiä unionin tai kansallisen kilpailuoikeuden rikkomisista; tai</w:t>
            </w:r>
          </w:p>
          <w:p w14:paraId="6EDFC1CD" w14:textId="77777777" w:rsidR="00116FF1" w:rsidRPr="008151AE" w:rsidRDefault="00116FF1" w:rsidP="003E5E5C">
            <w:pPr>
              <w:pStyle w:val="Text1"/>
              <w:numPr>
                <w:ilvl w:val="0"/>
                <w:numId w:val="25"/>
              </w:numPr>
              <w:spacing w:before="40" w:after="40"/>
              <w:ind w:left="709" w:firstLine="0"/>
              <w:rPr>
                <w:color w:val="000000"/>
              </w:rPr>
            </w:pPr>
            <w:proofErr w:type="gramStart"/>
            <w:r w:rsidRPr="008151AE">
              <w:rPr>
                <w:color w:val="000000"/>
              </w:rPr>
              <w:t>EU:n toimielimen, EU:n toimipaikan tai EU:n viraston tai elimen tulojen ja menojen hyväksyjän päätöksiä poissulkemisesta.</w:t>
            </w:r>
            <w:proofErr w:type="gramEnd"/>
            <w:r w:rsidRPr="008151AE">
              <w:rPr>
                <w:color w:val="000000"/>
              </w:rPr>
              <w:t xml:space="preserve"> </w:t>
            </w:r>
          </w:p>
        </w:tc>
        <w:tc>
          <w:tcPr>
            <w:tcW w:w="812" w:type="dxa"/>
            <w:shd w:val="clear" w:color="auto" w:fill="auto"/>
          </w:tcPr>
          <w:p w14:paraId="6EDFC1CE" w14:textId="77777777" w:rsidR="00116FF1" w:rsidRPr="008151AE" w:rsidRDefault="00116FF1" w:rsidP="00583379">
            <w:pPr>
              <w:spacing w:before="240" w:after="120"/>
              <w:jc w:val="both"/>
            </w:pPr>
            <w:r w:rsidRPr="008151AE">
              <w:lastRenderedPageBreak/>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705" w:type="dxa"/>
            <w:shd w:val="clear" w:color="auto" w:fill="auto"/>
          </w:tcPr>
          <w:p w14:paraId="6EDFC1CF" w14:textId="77777777" w:rsidR="00116FF1" w:rsidRPr="008151AE" w:rsidRDefault="00116FF1"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bl>
    <w:p w14:paraId="6EDFC1D1" w14:textId="77777777" w:rsidR="00897553" w:rsidRPr="008151AE" w:rsidRDefault="00897553" w:rsidP="000B6759">
      <w:pPr>
        <w:pStyle w:val="Title"/>
        <w:keepNext/>
        <w:jc w:val="both"/>
        <w:rPr>
          <w:b w:val="0"/>
          <w:smallCaps w:val="0"/>
        </w:rPr>
      </w:pPr>
      <w:bookmarkStart w:id="29" w:name="_DV_C376"/>
      <w:r w:rsidRPr="008151AE">
        <w:lastRenderedPageBreak/>
        <w:t>II – Poissulkemiseen johtavat tilanteet, jotka koskevat luonnollisia henkilöitä, joilla on valtuudet edustaa oikeushenkilöä, tehdä päätöksiä sen puolesta tai valvoa sitä</w:t>
      </w:r>
    </w:p>
    <w:p w14:paraId="6EDFC1D2" w14:textId="109BA532" w:rsidR="00897553" w:rsidRPr="008151AE" w:rsidRDefault="001F135A" w:rsidP="000B6759">
      <w:pPr>
        <w:keepNext/>
        <w:autoSpaceDE w:val="0"/>
        <w:autoSpaceDN w:val="0"/>
        <w:adjustRightInd w:val="0"/>
        <w:spacing w:before="120" w:after="240"/>
        <w:jc w:val="center"/>
        <w:rPr>
          <w:i/>
        </w:rPr>
      </w:pPr>
      <w:r w:rsidRPr="008151AE">
        <w:rPr>
          <w:b/>
          <w:i/>
          <w:u w:val="single"/>
        </w:rPr>
        <w:t xml:space="preserve">Ei sovelleta luonnollisiin henkilöihin. Jos ehdokas on luonnollinen henkilö, </w:t>
      </w:r>
      <w:r w:rsidR="005962DA" w:rsidRPr="008151AE">
        <w:rPr>
          <w:b/>
          <w:i/>
          <w:u w:val="single"/>
        </w:rPr>
        <w:br/>
      </w:r>
      <w:r w:rsidRPr="008151AE">
        <w:rPr>
          <w:b/>
          <w:i/>
          <w:u w:val="single"/>
        </w:rPr>
        <w:t>tämä osio poistetaan.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030"/>
        <w:gridCol w:w="590"/>
        <w:gridCol w:w="1310"/>
      </w:tblGrid>
      <w:tr w:rsidR="001F135A" w:rsidRPr="008151AE" w14:paraId="6EDFC1D7" w14:textId="77777777" w:rsidTr="001F135A">
        <w:tc>
          <w:tcPr>
            <w:tcW w:w="7763" w:type="dxa"/>
            <w:shd w:val="clear" w:color="auto" w:fill="auto"/>
            <w:vAlign w:val="center"/>
          </w:tcPr>
          <w:p w14:paraId="6EDFC1D3" w14:textId="1C2F65DA" w:rsidR="001F135A" w:rsidRPr="008151AE" w:rsidRDefault="001F135A" w:rsidP="005811B7">
            <w:pPr>
              <w:numPr>
                <w:ilvl w:val="0"/>
                <w:numId w:val="17"/>
              </w:numPr>
              <w:spacing w:before="40" w:after="40"/>
              <w:jc w:val="both"/>
            </w:pPr>
            <w:r w:rsidRPr="008151AE">
              <w:t xml:space="preserve">ilmoittaa, onko luonnollinen henkilö, joka on edellä mainitun oikeushenkilön hallinto-, johto- tai valvontaelimen jäsen tai jolla on valtuudet edustaa edellä mainittua oikeushenkilöä, tehdä päätöksiä sen puolesta tai valvoa sitä (tämä kattaa kansalaisyhteiskunnan organisaatioiden johtajat, johto- tai valvontaelinten jäsenet ja tapaukset, joissa yksi luonnollinen henkilö omistaa enemmistön osakkeista), jossakin seuraavassa mainituista tilanteista: </w:t>
            </w:r>
          </w:p>
        </w:tc>
        <w:tc>
          <w:tcPr>
            <w:tcW w:w="670" w:type="dxa"/>
            <w:shd w:val="clear" w:color="auto" w:fill="auto"/>
          </w:tcPr>
          <w:p w14:paraId="6EDFC1D4" w14:textId="77777777" w:rsidR="001F135A" w:rsidRPr="008151AE" w:rsidRDefault="001F135A" w:rsidP="00583379">
            <w:pPr>
              <w:spacing w:before="240" w:after="120"/>
              <w:jc w:val="both"/>
            </w:pPr>
            <w:r w:rsidRPr="008151AE">
              <w:t>KYLLÄ</w:t>
            </w:r>
          </w:p>
        </w:tc>
        <w:tc>
          <w:tcPr>
            <w:tcW w:w="614" w:type="dxa"/>
            <w:shd w:val="clear" w:color="auto" w:fill="auto"/>
          </w:tcPr>
          <w:p w14:paraId="6EDFC1D5" w14:textId="77777777" w:rsidR="001F135A" w:rsidRPr="008151AE" w:rsidRDefault="001F135A" w:rsidP="00583379">
            <w:pPr>
              <w:spacing w:before="240" w:after="120"/>
              <w:jc w:val="both"/>
            </w:pPr>
            <w:r w:rsidRPr="008151AE">
              <w:t>EI</w:t>
            </w:r>
          </w:p>
        </w:tc>
        <w:tc>
          <w:tcPr>
            <w:tcW w:w="614" w:type="dxa"/>
          </w:tcPr>
          <w:p w14:paraId="6EDFC1D6" w14:textId="77777777" w:rsidR="001F135A" w:rsidRPr="008151AE" w:rsidRDefault="001F135A" w:rsidP="00583379">
            <w:pPr>
              <w:spacing w:before="240" w:after="120"/>
              <w:jc w:val="both"/>
            </w:pPr>
            <w:r w:rsidRPr="008151AE">
              <w:t>EI SOVELLU</w:t>
            </w:r>
          </w:p>
        </w:tc>
      </w:tr>
      <w:tr w:rsidR="001F135A" w:rsidRPr="008151AE" w14:paraId="6EDFC1DC" w14:textId="77777777" w:rsidTr="001F135A">
        <w:tc>
          <w:tcPr>
            <w:tcW w:w="7763" w:type="dxa"/>
            <w:shd w:val="clear" w:color="auto" w:fill="auto"/>
            <w:vAlign w:val="center"/>
          </w:tcPr>
          <w:p w14:paraId="6EDFC1D8" w14:textId="77777777" w:rsidR="001F135A" w:rsidRPr="008151AE" w:rsidRDefault="001F135A" w:rsidP="00583379">
            <w:pPr>
              <w:pStyle w:val="Text1"/>
              <w:spacing w:before="40" w:after="40"/>
              <w:ind w:left="360"/>
            </w:pPr>
            <w:r w:rsidRPr="008151AE">
              <w:t>edellä alakohdassa c tarkoitettu tilanne (vakava ammatillinen virhe)</w:t>
            </w:r>
          </w:p>
        </w:tc>
        <w:tc>
          <w:tcPr>
            <w:tcW w:w="670" w:type="dxa"/>
            <w:shd w:val="clear" w:color="auto" w:fill="auto"/>
            <w:vAlign w:val="center"/>
          </w:tcPr>
          <w:p w14:paraId="6EDFC1D9"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shd w:val="clear" w:color="auto" w:fill="auto"/>
            <w:vAlign w:val="center"/>
          </w:tcPr>
          <w:p w14:paraId="6EDFC1DA"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tcPr>
          <w:p w14:paraId="6EDFC1DB"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1F135A" w:rsidRPr="008151AE" w14:paraId="6EDFC1E1" w14:textId="77777777" w:rsidTr="001F135A">
        <w:tc>
          <w:tcPr>
            <w:tcW w:w="7763" w:type="dxa"/>
            <w:shd w:val="clear" w:color="auto" w:fill="auto"/>
            <w:vAlign w:val="center"/>
          </w:tcPr>
          <w:p w14:paraId="6EDFC1DD" w14:textId="77777777" w:rsidR="001F135A" w:rsidRPr="008151AE" w:rsidRDefault="001F135A" w:rsidP="00583379">
            <w:pPr>
              <w:pStyle w:val="Text1"/>
              <w:spacing w:before="40" w:after="40"/>
              <w:ind w:left="360"/>
            </w:pPr>
            <w:r w:rsidRPr="008151AE">
              <w:t>edellä alakohdassa d tarkoitettu tilanne (petos, korruptio tai muu rikos)</w:t>
            </w:r>
          </w:p>
        </w:tc>
        <w:tc>
          <w:tcPr>
            <w:tcW w:w="670" w:type="dxa"/>
            <w:shd w:val="clear" w:color="auto" w:fill="auto"/>
            <w:vAlign w:val="center"/>
          </w:tcPr>
          <w:p w14:paraId="6EDFC1DE"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shd w:val="clear" w:color="auto" w:fill="auto"/>
            <w:vAlign w:val="center"/>
          </w:tcPr>
          <w:p w14:paraId="6EDFC1DF"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tcPr>
          <w:p w14:paraId="6EDFC1E0"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1F135A" w:rsidRPr="008151AE" w14:paraId="6EDFC1E6" w14:textId="77777777" w:rsidTr="001F135A">
        <w:tc>
          <w:tcPr>
            <w:tcW w:w="7763" w:type="dxa"/>
            <w:shd w:val="clear" w:color="auto" w:fill="auto"/>
            <w:vAlign w:val="center"/>
          </w:tcPr>
          <w:p w14:paraId="6EDFC1E2" w14:textId="77777777" w:rsidR="001F135A" w:rsidRPr="008151AE" w:rsidRDefault="001F135A" w:rsidP="00583379">
            <w:pPr>
              <w:pStyle w:val="Text1"/>
              <w:spacing w:before="40" w:after="40"/>
              <w:ind w:left="360"/>
            </w:pPr>
            <w:r w:rsidRPr="008151AE">
              <w:t>edellä alakohdassa e tarkoitettu tilanne (sopimuksen täytäntöönpanoon liittyvät merkittävät puutteet)</w:t>
            </w:r>
          </w:p>
        </w:tc>
        <w:tc>
          <w:tcPr>
            <w:tcW w:w="670" w:type="dxa"/>
            <w:shd w:val="clear" w:color="auto" w:fill="auto"/>
            <w:vAlign w:val="center"/>
          </w:tcPr>
          <w:p w14:paraId="6EDFC1E3"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shd w:val="clear" w:color="auto" w:fill="auto"/>
            <w:vAlign w:val="center"/>
          </w:tcPr>
          <w:p w14:paraId="6EDFC1E4"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tcPr>
          <w:p w14:paraId="6EDFC1E5"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1F135A" w:rsidRPr="008151AE" w14:paraId="6EDFC1EB" w14:textId="77777777" w:rsidTr="001F135A">
        <w:tc>
          <w:tcPr>
            <w:tcW w:w="7763" w:type="dxa"/>
            <w:shd w:val="clear" w:color="auto" w:fill="auto"/>
            <w:vAlign w:val="center"/>
          </w:tcPr>
          <w:p w14:paraId="6EDFC1E7" w14:textId="77777777" w:rsidR="001F135A" w:rsidRPr="008151AE" w:rsidRDefault="001F135A" w:rsidP="00583379">
            <w:pPr>
              <w:pStyle w:val="Text1"/>
              <w:spacing w:before="40" w:after="40"/>
              <w:ind w:left="360"/>
            </w:pPr>
            <w:r w:rsidRPr="008151AE">
              <w:t>edellä alakohdassa f tarkoitettu tilanne (väärinkäytös)</w:t>
            </w:r>
          </w:p>
        </w:tc>
        <w:tc>
          <w:tcPr>
            <w:tcW w:w="670" w:type="dxa"/>
            <w:shd w:val="clear" w:color="auto" w:fill="auto"/>
            <w:vAlign w:val="center"/>
          </w:tcPr>
          <w:p w14:paraId="6EDFC1E8"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shd w:val="clear" w:color="auto" w:fill="auto"/>
            <w:vAlign w:val="center"/>
          </w:tcPr>
          <w:p w14:paraId="6EDFC1E9"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tcPr>
          <w:p w14:paraId="6EDFC1EA" w14:textId="77777777" w:rsidR="001F135A" w:rsidRPr="008151AE" w:rsidRDefault="001F135A"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bl>
    <w:p w14:paraId="6EDFC1EC" w14:textId="77777777" w:rsidR="00CA27B0" w:rsidRPr="008151AE" w:rsidRDefault="00CA27B0" w:rsidP="000B6759">
      <w:pPr>
        <w:pStyle w:val="Title"/>
        <w:keepNext/>
      </w:pPr>
      <w:r w:rsidRPr="008151AE">
        <w:t>III – Poissulkemiseen johtavat tilanteet, jotka koskevat oikeushenkilön veloista rajoittamattomassa vastuussa olevia luonnollisia henkilöitä tai oikeushenkilöitä</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030"/>
        <w:gridCol w:w="589"/>
        <w:gridCol w:w="1310"/>
      </w:tblGrid>
      <w:tr w:rsidR="003E5E5C" w:rsidRPr="008151AE" w14:paraId="6EDFC1F1" w14:textId="77777777" w:rsidTr="00EE2C43">
        <w:tc>
          <w:tcPr>
            <w:tcW w:w="7747" w:type="dxa"/>
            <w:shd w:val="clear" w:color="auto" w:fill="auto"/>
          </w:tcPr>
          <w:p w14:paraId="6EDFC1ED" w14:textId="3FBAEF78" w:rsidR="003E5E5C" w:rsidRPr="008151AE" w:rsidRDefault="003E5E5C" w:rsidP="00BA61F8">
            <w:pPr>
              <w:numPr>
                <w:ilvl w:val="0"/>
                <w:numId w:val="17"/>
              </w:numPr>
              <w:spacing w:before="40" w:after="40"/>
              <w:jc w:val="both"/>
            </w:pPr>
            <w:r w:rsidRPr="008151AE">
              <w:t xml:space="preserve">ilmoittaa, onko edellä mainitun oikeushenkilön veloista rajoittamattomassa vastuussa oleva luonnollinen henkilö tai oikeushenkilö jossakin seuraavista tilanteista: </w:t>
            </w:r>
          </w:p>
        </w:tc>
        <w:tc>
          <w:tcPr>
            <w:tcW w:w="670" w:type="dxa"/>
            <w:shd w:val="clear" w:color="auto" w:fill="auto"/>
          </w:tcPr>
          <w:p w14:paraId="6EDFC1EE" w14:textId="77777777" w:rsidR="003E5E5C" w:rsidRPr="008151AE" w:rsidRDefault="003E5E5C" w:rsidP="00583379">
            <w:pPr>
              <w:spacing w:before="240" w:after="120"/>
              <w:jc w:val="both"/>
            </w:pPr>
            <w:r w:rsidRPr="008151AE">
              <w:t>KYLLÄ</w:t>
            </w:r>
          </w:p>
        </w:tc>
        <w:tc>
          <w:tcPr>
            <w:tcW w:w="614" w:type="dxa"/>
          </w:tcPr>
          <w:p w14:paraId="6EDFC1EF" w14:textId="77777777" w:rsidR="003E5E5C" w:rsidRPr="008151AE" w:rsidRDefault="003E5E5C" w:rsidP="00583379">
            <w:pPr>
              <w:spacing w:before="240" w:after="120"/>
              <w:jc w:val="both"/>
            </w:pPr>
            <w:r w:rsidRPr="008151AE">
              <w:t>EI</w:t>
            </w:r>
          </w:p>
        </w:tc>
        <w:tc>
          <w:tcPr>
            <w:tcW w:w="630" w:type="dxa"/>
            <w:shd w:val="clear" w:color="auto" w:fill="auto"/>
          </w:tcPr>
          <w:p w14:paraId="6EDFC1F0" w14:textId="77777777" w:rsidR="003E5E5C" w:rsidRPr="008151AE" w:rsidRDefault="003E5E5C" w:rsidP="00583379">
            <w:pPr>
              <w:spacing w:before="240" w:after="120"/>
              <w:jc w:val="both"/>
            </w:pPr>
            <w:r w:rsidRPr="008151AE">
              <w:t>EI SOVELLU</w:t>
            </w:r>
          </w:p>
        </w:tc>
      </w:tr>
      <w:tr w:rsidR="003E5E5C" w:rsidRPr="008151AE" w14:paraId="6EDFC1F6" w14:textId="77777777" w:rsidTr="004B29AF">
        <w:tc>
          <w:tcPr>
            <w:tcW w:w="7747" w:type="dxa"/>
            <w:shd w:val="clear" w:color="auto" w:fill="auto"/>
            <w:vAlign w:val="center"/>
          </w:tcPr>
          <w:p w14:paraId="6EDFC1F2" w14:textId="77777777" w:rsidR="003E5E5C" w:rsidRPr="008151AE" w:rsidRDefault="003E5E5C" w:rsidP="00583379">
            <w:pPr>
              <w:pStyle w:val="Text1"/>
              <w:spacing w:before="40" w:after="40"/>
              <w:ind w:left="360"/>
            </w:pPr>
            <w:r w:rsidRPr="008151AE">
              <w:lastRenderedPageBreak/>
              <w:t>edellä alakohdassa a tarkoitettu tilanne (konkurssi)</w:t>
            </w:r>
          </w:p>
        </w:tc>
        <w:tc>
          <w:tcPr>
            <w:tcW w:w="670" w:type="dxa"/>
            <w:shd w:val="clear" w:color="auto" w:fill="auto"/>
            <w:vAlign w:val="center"/>
          </w:tcPr>
          <w:p w14:paraId="6EDFC1F3" w14:textId="77777777" w:rsidR="003E5E5C" w:rsidRPr="008151AE" w:rsidRDefault="003E5E5C"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tcPr>
          <w:p w14:paraId="6EDFC1F4" w14:textId="77777777" w:rsidR="003E5E5C" w:rsidRPr="008151AE" w:rsidRDefault="003E5E5C"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30" w:type="dxa"/>
            <w:shd w:val="clear" w:color="auto" w:fill="auto"/>
            <w:vAlign w:val="center"/>
          </w:tcPr>
          <w:p w14:paraId="6EDFC1F5" w14:textId="77777777" w:rsidR="003E5E5C" w:rsidRPr="008151AE" w:rsidRDefault="003E5E5C"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r w:rsidR="003E5E5C" w:rsidRPr="008151AE" w14:paraId="6EDFC1FB" w14:textId="77777777" w:rsidTr="004B29AF">
        <w:tc>
          <w:tcPr>
            <w:tcW w:w="7747" w:type="dxa"/>
            <w:shd w:val="clear" w:color="auto" w:fill="auto"/>
            <w:vAlign w:val="center"/>
          </w:tcPr>
          <w:p w14:paraId="6EDFC1F7" w14:textId="77777777" w:rsidR="003E5E5C" w:rsidRPr="008151AE" w:rsidRDefault="003E5E5C" w:rsidP="004B29AF">
            <w:pPr>
              <w:pStyle w:val="Text1"/>
              <w:spacing w:before="40" w:after="40"/>
              <w:ind w:left="360"/>
            </w:pPr>
            <w:r w:rsidRPr="008151AE">
              <w:t>edellä alakohdassa b tarkoitettu tilanne (verojen tai sosiaaliturvamaksujen laiminlyönti)</w:t>
            </w:r>
          </w:p>
        </w:tc>
        <w:tc>
          <w:tcPr>
            <w:tcW w:w="670" w:type="dxa"/>
            <w:shd w:val="clear" w:color="auto" w:fill="auto"/>
            <w:vAlign w:val="center"/>
          </w:tcPr>
          <w:p w14:paraId="6EDFC1F8" w14:textId="77777777" w:rsidR="003E5E5C" w:rsidRPr="008151AE" w:rsidRDefault="003E5E5C"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tcPr>
          <w:p w14:paraId="6EDFC1F9" w14:textId="77777777" w:rsidR="003E5E5C" w:rsidRPr="008151AE" w:rsidRDefault="003E5E5C"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30" w:type="dxa"/>
            <w:shd w:val="clear" w:color="auto" w:fill="auto"/>
            <w:vAlign w:val="center"/>
          </w:tcPr>
          <w:p w14:paraId="6EDFC1FA" w14:textId="77777777" w:rsidR="003E5E5C" w:rsidRPr="008151AE" w:rsidRDefault="003E5E5C"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bl>
    <w:p w14:paraId="6EDFC1FC" w14:textId="45635136" w:rsidR="00CA27B0" w:rsidRPr="008151AE" w:rsidRDefault="00CA27B0" w:rsidP="000B6759">
      <w:pPr>
        <w:pStyle w:val="Title"/>
        <w:keepNext/>
      </w:pPr>
      <w:r w:rsidRPr="008151AE">
        <w:t>IV – Tässä kilpailumenettelyssä sovellettavat hylkäysperusteet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9"/>
        <w:gridCol w:w="1030"/>
        <w:gridCol w:w="607"/>
      </w:tblGrid>
      <w:tr w:rsidR="003E5E5C" w:rsidRPr="008151AE" w14:paraId="6EDFC200" w14:textId="77777777" w:rsidTr="004C1A2B">
        <w:tc>
          <w:tcPr>
            <w:tcW w:w="8472" w:type="dxa"/>
            <w:shd w:val="clear" w:color="auto" w:fill="auto"/>
          </w:tcPr>
          <w:p w14:paraId="6EDFC1FD" w14:textId="0181B613" w:rsidR="003E5E5C" w:rsidRPr="008151AE" w:rsidRDefault="003E5E5C" w:rsidP="00FA1E79">
            <w:pPr>
              <w:numPr>
                <w:ilvl w:val="0"/>
                <w:numId w:val="17"/>
              </w:numPr>
              <w:spacing w:before="40" w:after="40"/>
              <w:jc w:val="both"/>
            </w:pPr>
            <w:r w:rsidRPr="008151AE">
              <w:t>ilmoittaa, onko edellä mainittu toimija</w:t>
            </w:r>
          </w:p>
        </w:tc>
        <w:tc>
          <w:tcPr>
            <w:tcW w:w="670" w:type="dxa"/>
            <w:shd w:val="clear" w:color="auto" w:fill="auto"/>
          </w:tcPr>
          <w:p w14:paraId="6EDFC1FE" w14:textId="77777777" w:rsidR="003E5E5C" w:rsidRPr="008151AE" w:rsidRDefault="003E5E5C" w:rsidP="00583379">
            <w:pPr>
              <w:spacing w:before="240" w:after="120"/>
              <w:jc w:val="both"/>
            </w:pPr>
            <w:r w:rsidRPr="008151AE">
              <w:t>KYLLÄ</w:t>
            </w:r>
          </w:p>
        </w:tc>
        <w:tc>
          <w:tcPr>
            <w:tcW w:w="614" w:type="dxa"/>
            <w:shd w:val="clear" w:color="auto" w:fill="auto"/>
          </w:tcPr>
          <w:p w14:paraId="6EDFC1FF" w14:textId="77777777" w:rsidR="003E5E5C" w:rsidRPr="008151AE" w:rsidRDefault="003E5E5C" w:rsidP="00583379">
            <w:pPr>
              <w:spacing w:before="240" w:after="120"/>
              <w:jc w:val="both"/>
            </w:pPr>
            <w:r w:rsidRPr="008151AE">
              <w:t>EI</w:t>
            </w:r>
          </w:p>
        </w:tc>
      </w:tr>
      <w:tr w:rsidR="003E5E5C" w:rsidRPr="008151AE" w14:paraId="6EDFC204" w14:textId="77777777" w:rsidTr="007C6650">
        <w:tc>
          <w:tcPr>
            <w:tcW w:w="8472" w:type="dxa"/>
            <w:shd w:val="clear" w:color="auto" w:fill="auto"/>
          </w:tcPr>
          <w:p w14:paraId="6EDFC201" w14:textId="0E5A8A24" w:rsidR="003E5E5C" w:rsidRPr="008151AE" w:rsidRDefault="003E5E5C" w:rsidP="005F45B5">
            <w:pPr>
              <w:pStyle w:val="Text1"/>
              <w:numPr>
                <w:ilvl w:val="0"/>
                <w:numId w:val="26"/>
              </w:numPr>
              <w:spacing w:before="40" w:after="40"/>
            </w:pPr>
            <w:r w:rsidRPr="008151AE">
              <w:t xml:space="preserve">vääristänyt kilpailua osallistumalla tämän kilpailumenettelyn sääntöjen laatimiseen. </w:t>
            </w:r>
          </w:p>
        </w:tc>
        <w:tc>
          <w:tcPr>
            <w:tcW w:w="670" w:type="dxa"/>
            <w:shd w:val="clear" w:color="auto" w:fill="auto"/>
          </w:tcPr>
          <w:p w14:paraId="6EDFC202" w14:textId="77777777" w:rsidR="003E5E5C" w:rsidRPr="008151AE" w:rsidRDefault="003E5E5C"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14" w:type="dxa"/>
            <w:shd w:val="clear" w:color="auto" w:fill="auto"/>
          </w:tcPr>
          <w:p w14:paraId="6EDFC203" w14:textId="77777777" w:rsidR="003E5E5C" w:rsidRPr="008151AE" w:rsidRDefault="003E5E5C"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bl>
    <w:bookmarkEnd w:id="29"/>
    <w:p w14:paraId="6EDFC205" w14:textId="77777777" w:rsidR="00F96EAB" w:rsidRPr="008151AE" w:rsidRDefault="00F816D2" w:rsidP="000B6759">
      <w:pPr>
        <w:pStyle w:val="Title"/>
        <w:keepNext/>
      </w:pPr>
      <w:r w:rsidRPr="008151AE">
        <w:t>V – Korjaavat toimenpiteet</w:t>
      </w:r>
    </w:p>
    <w:p w14:paraId="6EDFC206" w14:textId="77777777" w:rsidR="005C6293" w:rsidRPr="008151AE" w:rsidRDefault="005C6293" w:rsidP="007C6650">
      <w:pPr>
        <w:spacing w:before="120" w:after="120"/>
        <w:jc w:val="both"/>
        <w:rPr>
          <w:color w:val="000000"/>
        </w:rPr>
      </w:pPr>
      <w:r w:rsidRPr="008151AE">
        <w:t>Jos toimijan ilmoitetaan olevan jossakin edellä mainituista poissulkemiseen johtavista tilanteista, sen tulee osoittaa luotettavuutensa ilmoittamalla toimenpiteet, jotka se on toteuttanut tilanteen korjaamiseksi.</w:t>
      </w:r>
      <w:r w:rsidRPr="008151AE">
        <w:rPr>
          <w:color w:val="000000"/>
        </w:rPr>
        <w:t xml:space="preserve"> Näihin toimenpiteisiin voi sisältyä esimerkiksi teknisiä, organisatorisia ja henkilöstöön liittyviä toimenpiteitä, joilla on tarkoitus estää vastaavien tilanteiden toistuminen, sekä vahinkojen korvaaminen tai sakkojen maksaminen. Tähän vakuutukseen tulee liittää asiakirjat, jotka osoittavat asianmukaisesti, millaisia korjaavia toimenpiteitä on toteutettu. Tätä ei sovelleta tämän vakuutuksen alakohdassa d tarkoitettuihin tilanteisiin.</w:t>
      </w:r>
    </w:p>
    <w:p w14:paraId="6EDFC207" w14:textId="77777777" w:rsidR="00F96EAB" w:rsidRPr="008151AE" w:rsidRDefault="00F816D2" w:rsidP="000B6759">
      <w:pPr>
        <w:pStyle w:val="Title"/>
        <w:keepNext/>
      </w:pPr>
      <w:r w:rsidRPr="008151AE">
        <w:t>VI – Pyynnöstä toimitettavat todisteet</w:t>
      </w:r>
    </w:p>
    <w:p w14:paraId="6EDFC208" w14:textId="42723C94" w:rsidR="00DA410F" w:rsidRPr="008151AE" w:rsidRDefault="00B84C49" w:rsidP="007C6650">
      <w:pPr>
        <w:spacing w:before="120" w:after="120"/>
        <w:ind w:firstLine="11"/>
        <w:jc w:val="both"/>
      </w:pPr>
      <w:r w:rsidRPr="008151AE">
        <w:t>Toimijan on palkinnon myöntäjän pyynnöstä ja tämän asettamassa määräajassa toimitettava tiedot henkilöistä, jotka ovat sen hallinto-, johto- tai valvontaelimen jäseniä. Toimijan on lisäksi toimitettava omalta osaltaan ja sen veloista rajoittamattomassa vastuussa olevien luonnollisten henkilöiden ja oikeushenkilöiden osalta seuraavat todisteet:</w:t>
      </w:r>
    </w:p>
    <w:p w14:paraId="6EDFC209" w14:textId="77777777" w:rsidR="00357CC2" w:rsidRPr="008151AE" w:rsidRDefault="00DA410F" w:rsidP="0024225B">
      <w:pPr>
        <w:pStyle w:val="Text1"/>
        <w:spacing w:before="100" w:beforeAutospacing="1" w:after="100" w:afterAutospacing="1"/>
        <w:ind w:left="284"/>
      </w:pPr>
      <w:r w:rsidRPr="008151AE">
        <w:t xml:space="preserve">Alakohtien a, c, d ja f osalta on toimitettava hiljattain annettu rikosrekisteriote tai tällaisen puuttuessa asianomaisen sijoittautumisvaltion oikeus- tai hallintoviranomaisen hiljattain antama vastaava asiakirja, josta ilmenee, että nämä edellytykset täyttyvät. </w:t>
      </w:r>
    </w:p>
    <w:p w14:paraId="6EDFC20A" w14:textId="77777777" w:rsidR="00E6004E" w:rsidRPr="008151AE" w:rsidRDefault="00357CC2" w:rsidP="0024225B">
      <w:pPr>
        <w:tabs>
          <w:tab w:val="left" w:pos="-480"/>
          <w:tab w:val="left" w:pos="-142"/>
          <w:tab w:val="left" w:pos="426"/>
          <w:tab w:val="left" w:pos="4680"/>
          <w:tab w:val="left" w:pos="8400"/>
        </w:tabs>
        <w:spacing w:before="100" w:beforeAutospacing="1" w:after="100" w:afterAutospacing="1"/>
        <w:ind w:left="284"/>
        <w:jc w:val="both"/>
        <w:rPr>
          <w:snapToGrid w:val="0"/>
        </w:rPr>
      </w:pPr>
      <w:r w:rsidRPr="008151AE">
        <w:t>Alakohtien a ja b osalta on toimitettava asianomaisen valtion toimivaltaisten viranomaisten hiljattain antamat todistukset. Asiakirjoissa on oltava todisteet kaikista toimijalle kuuluvista vero- ja sosiaaliturvamaksuista, joita ovat esimerkiksi alv, tulovero (vain luonnolliset henkilöt), yhtiövero (vain oikeushenkilöt) ja sosiaaliturvamaksut. Jos asianomaisessa valtiossa ei anneta jotakin edellä tarkoitetuista asiakirjoista, sen sijasta voidaan toimittaa oikeusviranomaiselle tai notaarille annettu valaehtoinen vakuutus tai tällaisen puuttuessa sijoittautumisvaltion hallintoviranomaiselle tai asiassa toimivaltaiselle toimialaa edustavalle järjestölle annettu virallinen vakuutus.</w:t>
      </w:r>
    </w:p>
    <w:p w14:paraId="6EDFC20B" w14:textId="6E1E8769" w:rsidR="008C4A00" w:rsidRPr="008151AE" w:rsidRDefault="00C55150" w:rsidP="0024225B">
      <w:pPr>
        <w:spacing w:before="100" w:beforeAutospacing="1" w:after="100" w:afterAutospacing="1"/>
        <w:jc w:val="both"/>
      </w:pPr>
      <w:r w:rsidRPr="008151AE">
        <w:t xml:space="preserve">Toimija ei ole velvollinen toimittamaan todisteita, jos ne on jo toimitettu hankintamenettelyn yhteydessä. Asiakirjojen on oltava sellaiset, että ne on annettu enintään vuotta ennen kuin palkinnon myöntäjä pyytää niitä, ja niiden on oltava edelleen voimassa kyseisenä ajankohtana. </w:t>
      </w:r>
    </w:p>
    <w:p w14:paraId="6EDFC20C" w14:textId="243DC5DA" w:rsidR="008C4A00" w:rsidRPr="008151AE" w:rsidRDefault="00A40405" w:rsidP="0024225B">
      <w:pPr>
        <w:spacing w:before="100" w:beforeAutospacing="1" w:after="100" w:afterAutospacing="1"/>
        <w:jc w:val="both"/>
      </w:pPr>
      <w:r w:rsidRPr="008151AE">
        <w:t xml:space="preserve">Allekirjoittanut vakuuttaa, että toimija on jo toimittanut asiakirjatodisteet hankintamenettelyn yhteydessä, ja vahvistaa, ettei toimijan tilanteessa ole tapahtunut muutosta. </w:t>
      </w:r>
    </w:p>
    <w:tbl>
      <w:tblPr>
        <w:tblStyle w:val="TableGrid"/>
        <w:tblW w:w="9464" w:type="dxa"/>
        <w:tblLook w:val="04A0" w:firstRow="1" w:lastRow="0" w:firstColumn="1" w:lastColumn="0" w:noHBand="0" w:noVBand="1"/>
      </w:tblPr>
      <w:tblGrid>
        <w:gridCol w:w="4786"/>
        <w:gridCol w:w="4678"/>
      </w:tblGrid>
      <w:tr w:rsidR="000C2EE8" w:rsidRPr="008151AE" w14:paraId="6EDFC20F" w14:textId="5E41CABD" w:rsidTr="0024225B">
        <w:tc>
          <w:tcPr>
            <w:tcW w:w="4786" w:type="dxa"/>
          </w:tcPr>
          <w:p w14:paraId="6EDFC20D" w14:textId="69CE18D0" w:rsidR="000C2EE8" w:rsidRPr="008151AE" w:rsidRDefault="000C2EE8" w:rsidP="0024225B">
            <w:pPr>
              <w:spacing w:before="100" w:beforeAutospacing="1" w:after="100" w:afterAutospacing="1"/>
              <w:jc w:val="center"/>
              <w:rPr>
                <w:b/>
                <w:sz w:val="22"/>
              </w:rPr>
            </w:pPr>
            <w:r w:rsidRPr="008151AE">
              <w:rPr>
                <w:b/>
                <w:sz w:val="22"/>
              </w:rPr>
              <w:lastRenderedPageBreak/>
              <w:t>Asiakirja</w:t>
            </w:r>
          </w:p>
        </w:tc>
        <w:tc>
          <w:tcPr>
            <w:tcW w:w="4678" w:type="dxa"/>
          </w:tcPr>
          <w:p w14:paraId="6EDFC20E" w14:textId="70DBF5AA" w:rsidR="000C2EE8" w:rsidRPr="008151AE" w:rsidRDefault="000C2EE8">
            <w:pPr>
              <w:spacing w:before="100" w:beforeAutospacing="1" w:after="100" w:afterAutospacing="1"/>
              <w:jc w:val="center"/>
              <w:rPr>
                <w:b/>
                <w:sz w:val="22"/>
              </w:rPr>
            </w:pPr>
            <w:r w:rsidRPr="008151AE">
              <w:rPr>
                <w:b/>
                <w:sz w:val="22"/>
              </w:rPr>
              <w:t>Täydellinen viittaus hankintamenettelyyn</w:t>
            </w:r>
          </w:p>
        </w:tc>
      </w:tr>
      <w:tr w:rsidR="00FF0711" w:rsidRPr="008151AE" w14:paraId="6EDFC212" w14:textId="5F63B324" w:rsidTr="005D6DE3">
        <w:tc>
          <w:tcPr>
            <w:tcW w:w="4786" w:type="dxa"/>
          </w:tcPr>
          <w:p w14:paraId="6EDFC210" w14:textId="6201782B" w:rsidR="00FF0711" w:rsidRPr="008151AE" w:rsidRDefault="00FF0711" w:rsidP="0024225B">
            <w:pPr>
              <w:spacing w:before="100" w:beforeAutospacing="1" w:after="100" w:afterAutospacing="1"/>
            </w:pPr>
            <w:r w:rsidRPr="008151AE">
              <w:rPr>
                <w:i/>
                <w:highlight w:val="lightGray"/>
              </w:rPr>
              <w:t>Lisätään tarvittava määrä rivejä.</w:t>
            </w:r>
          </w:p>
        </w:tc>
        <w:tc>
          <w:tcPr>
            <w:tcW w:w="4678" w:type="dxa"/>
          </w:tcPr>
          <w:p w14:paraId="6EDFC211" w14:textId="6D6BE601" w:rsidR="00FF0711" w:rsidRPr="008151AE" w:rsidRDefault="00FF0711" w:rsidP="0024225B">
            <w:pPr>
              <w:spacing w:before="100" w:beforeAutospacing="1" w:after="100" w:afterAutospacing="1"/>
            </w:pPr>
          </w:p>
        </w:tc>
      </w:tr>
    </w:tbl>
    <w:p w14:paraId="6EDFC213" w14:textId="416C60CF" w:rsidR="00DC56F6" w:rsidRPr="008151AE" w:rsidRDefault="00F816D2" w:rsidP="000B6759">
      <w:pPr>
        <w:pStyle w:val="Title"/>
        <w:keepNext/>
        <w:rPr>
          <w:i/>
        </w:rPr>
      </w:pPr>
      <w:r w:rsidRPr="008151AE">
        <w:t>VII – Kelpoisuusperusteet</w:t>
      </w:r>
      <w:r w:rsidRPr="008151AE">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1"/>
        <w:gridCol w:w="1030"/>
        <w:gridCol w:w="585"/>
        <w:gridCol w:w="1310"/>
      </w:tblGrid>
      <w:tr w:rsidR="00376A09" w:rsidRPr="008151AE" w14:paraId="6EDFC218" w14:textId="77777777" w:rsidTr="00376A09">
        <w:tc>
          <w:tcPr>
            <w:tcW w:w="7344" w:type="dxa"/>
            <w:shd w:val="clear" w:color="auto" w:fill="auto"/>
          </w:tcPr>
          <w:p w14:paraId="6EDFC214" w14:textId="005A19ED" w:rsidR="00376A09" w:rsidRPr="008151AE" w:rsidRDefault="00376A09">
            <w:pPr>
              <w:numPr>
                <w:ilvl w:val="0"/>
                <w:numId w:val="17"/>
              </w:numPr>
              <w:spacing w:before="120" w:after="120"/>
              <w:jc w:val="both"/>
            </w:pPr>
            <w:r w:rsidRPr="008151AE">
              <w:t>ilmoittaa, täyttääkö edellä tarkoitettu toimija seuraavat kilpailun sääntöjen mukaiset kelpoisuusperusteet:</w:t>
            </w:r>
          </w:p>
        </w:tc>
        <w:tc>
          <w:tcPr>
            <w:tcW w:w="704" w:type="dxa"/>
            <w:shd w:val="clear" w:color="auto" w:fill="auto"/>
          </w:tcPr>
          <w:p w14:paraId="6EDFC215" w14:textId="77777777" w:rsidR="00376A09" w:rsidRPr="008151AE" w:rsidRDefault="00376A09" w:rsidP="00D744A3">
            <w:pPr>
              <w:spacing w:before="240" w:after="120"/>
              <w:jc w:val="both"/>
            </w:pPr>
            <w:r w:rsidRPr="008151AE">
              <w:t>KYLLÄ</w:t>
            </w:r>
          </w:p>
        </w:tc>
        <w:tc>
          <w:tcPr>
            <w:tcW w:w="608" w:type="dxa"/>
            <w:shd w:val="clear" w:color="auto" w:fill="auto"/>
          </w:tcPr>
          <w:p w14:paraId="6EDFC216" w14:textId="77777777" w:rsidR="00376A09" w:rsidRPr="008151AE" w:rsidRDefault="00376A09" w:rsidP="00D744A3">
            <w:pPr>
              <w:spacing w:before="240" w:after="120"/>
              <w:jc w:val="both"/>
            </w:pPr>
            <w:r w:rsidRPr="008151AE">
              <w:t>EI</w:t>
            </w:r>
          </w:p>
        </w:tc>
        <w:tc>
          <w:tcPr>
            <w:tcW w:w="630" w:type="dxa"/>
            <w:shd w:val="clear" w:color="auto" w:fill="auto"/>
          </w:tcPr>
          <w:p w14:paraId="6EDFC217" w14:textId="77777777" w:rsidR="00376A09" w:rsidRPr="008151AE" w:rsidRDefault="00376A09" w:rsidP="00D744A3">
            <w:pPr>
              <w:spacing w:before="240" w:after="120"/>
              <w:jc w:val="both"/>
            </w:pPr>
            <w:r w:rsidRPr="008151AE">
              <w:t>EI SOVELLU</w:t>
            </w:r>
          </w:p>
        </w:tc>
      </w:tr>
      <w:tr w:rsidR="00376A09" w:rsidRPr="008151AE" w14:paraId="6EDFC222" w14:textId="77777777" w:rsidTr="0024225B">
        <w:tc>
          <w:tcPr>
            <w:tcW w:w="7344" w:type="dxa"/>
            <w:shd w:val="clear" w:color="auto" w:fill="auto"/>
          </w:tcPr>
          <w:p w14:paraId="6EDFC21E" w14:textId="2EBB4F30" w:rsidR="00376A09" w:rsidRPr="008151AE" w:rsidRDefault="00376A09">
            <w:pPr>
              <w:pStyle w:val="Text1"/>
              <w:numPr>
                <w:ilvl w:val="0"/>
                <w:numId w:val="24"/>
              </w:numPr>
              <w:spacing w:before="40" w:after="40"/>
            </w:pPr>
            <w:r w:rsidRPr="008151AE">
              <w:t>toimija täyttää kilpailun sääntöjen 3.1 kohdassa asetetut sovellettavat kelpoisuusperusteet;</w:t>
            </w:r>
          </w:p>
        </w:tc>
        <w:tc>
          <w:tcPr>
            <w:tcW w:w="704" w:type="dxa"/>
            <w:shd w:val="clear" w:color="auto" w:fill="auto"/>
          </w:tcPr>
          <w:p w14:paraId="6EDFC21F" w14:textId="77777777" w:rsidR="00376A09" w:rsidRPr="008151AE" w:rsidRDefault="00376A09"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08" w:type="dxa"/>
            <w:shd w:val="clear" w:color="auto" w:fill="auto"/>
          </w:tcPr>
          <w:p w14:paraId="6EDFC220" w14:textId="77777777" w:rsidR="00376A09" w:rsidRPr="008151AE" w:rsidRDefault="00376A09"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c>
          <w:tcPr>
            <w:tcW w:w="630" w:type="dxa"/>
          </w:tcPr>
          <w:p w14:paraId="6EDFC221" w14:textId="77777777" w:rsidR="00376A09" w:rsidRPr="008151AE" w:rsidRDefault="00376A09" w:rsidP="00583379">
            <w:pPr>
              <w:spacing w:before="240" w:after="120"/>
              <w:jc w:val="both"/>
            </w:pPr>
            <w:r w:rsidRPr="008151AE">
              <w:fldChar w:fldCharType="begin" w:fldLock="1">
                <w:ffData>
                  <w:name w:val="Check1"/>
                  <w:enabled/>
                  <w:calcOnExit w:val="0"/>
                  <w:checkBox>
                    <w:sizeAuto/>
                    <w:default w:val="0"/>
                  </w:checkBox>
                </w:ffData>
              </w:fldChar>
            </w:r>
            <w:r w:rsidRPr="008151AE">
              <w:instrText xml:space="preserve"> FORMCHECKBOX </w:instrText>
            </w:r>
            <w:r w:rsidR="00521EE8">
              <w:fldChar w:fldCharType="separate"/>
            </w:r>
            <w:r w:rsidRPr="008151AE">
              <w:fldChar w:fldCharType="end"/>
            </w:r>
          </w:p>
        </w:tc>
      </w:tr>
    </w:tbl>
    <w:p w14:paraId="6EDFC228" w14:textId="77777777" w:rsidR="00C87D95" w:rsidRPr="008151AE" w:rsidRDefault="00C87D95" w:rsidP="00C87D95"/>
    <w:p w14:paraId="6EDFC235" w14:textId="0E7C97D6" w:rsidR="00154CF6" w:rsidRPr="008151AE" w:rsidRDefault="00154CF6" w:rsidP="000B6759">
      <w:pPr>
        <w:pStyle w:val="Title"/>
        <w:keepNext/>
        <w:rPr>
          <w:i/>
        </w:rPr>
      </w:pPr>
      <w:r w:rsidRPr="008151AE">
        <w:t>VII – Todisteet kelpoisuusperusteiden täyttämisestä</w:t>
      </w:r>
    </w:p>
    <w:p w14:paraId="6EDFC236" w14:textId="600146E5" w:rsidR="00154CF6" w:rsidRPr="008151AE" w:rsidRDefault="00154CF6" w:rsidP="00154CF6">
      <w:pPr>
        <w:spacing w:before="100" w:beforeAutospacing="1" w:after="100" w:afterAutospacing="1"/>
        <w:jc w:val="both"/>
      </w:pPr>
      <w:r w:rsidRPr="008151AE">
        <w:t>vakuuttaa, että edellä tarkoitettu toimija pystyy pyydettäessä viipymättä toimittamaan sellaiset kilpailun sääntöihin sisältyvissä asianomaisissa kohdissa luetellut tarvittavat asiakirjat, jotka eivät ole saatavilla sähköisesti.</w:t>
      </w:r>
    </w:p>
    <w:p w14:paraId="6EDFC237" w14:textId="0C0EE23B" w:rsidR="001C5CDF" w:rsidRPr="008151AE" w:rsidRDefault="001C5CDF" w:rsidP="00CE6B47">
      <w:pPr>
        <w:spacing w:before="100" w:beforeAutospacing="1" w:after="100" w:afterAutospacing="1"/>
        <w:jc w:val="both"/>
      </w:pPr>
      <w:r w:rsidRPr="008151AE">
        <w:t xml:space="preserve">Toimija ei ole velvollinen toimittamaan todisteita, jos ne on jo toimitettu hankintamenettelyn yhteydessä. Asiakirjojen on oltava sellaiset, että ne on annettu enintään vuotta ennen kuin palkinnon myöntäjä pyytää niitä, ja niiden on oltava edelleen voimassa kyseisenä ajankohtana. </w:t>
      </w:r>
    </w:p>
    <w:p w14:paraId="6EDFC238" w14:textId="3209A55C" w:rsidR="001C5CDF" w:rsidRPr="008151AE" w:rsidRDefault="00154CF6" w:rsidP="00CE6B47">
      <w:pPr>
        <w:spacing w:before="100" w:beforeAutospacing="1" w:after="100" w:afterAutospacing="1"/>
        <w:jc w:val="both"/>
      </w:pPr>
      <w:r w:rsidRPr="008151AE">
        <w:t xml:space="preserve">Allekirjoittanut vakuuttaa, että toimija on jo toimittanut asiakirjatodisteet hankintamenettelyn yhteydessä, ja vahvistaa, ettei toimijan tilanteessa ole tapahtunut muutosta. </w:t>
      </w:r>
    </w:p>
    <w:tbl>
      <w:tblPr>
        <w:tblStyle w:val="TableGrid"/>
        <w:tblW w:w="9464" w:type="dxa"/>
        <w:tblLook w:val="04A0" w:firstRow="1" w:lastRow="0" w:firstColumn="1" w:lastColumn="0" w:noHBand="0" w:noVBand="1"/>
      </w:tblPr>
      <w:tblGrid>
        <w:gridCol w:w="4786"/>
        <w:gridCol w:w="4678"/>
      </w:tblGrid>
      <w:tr w:rsidR="00C87D95" w:rsidRPr="008151AE" w14:paraId="6EDFC23B" w14:textId="50E9D433" w:rsidTr="004D49FF">
        <w:tc>
          <w:tcPr>
            <w:tcW w:w="4786" w:type="dxa"/>
          </w:tcPr>
          <w:p w14:paraId="6EDFC239" w14:textId="6B3FA6F8" w:rsidR="00C87D95" w:rsidRPr="008151AE" w:rsidRDefault="00C87D95" w:rsidP="00CE6B47">
            <w:pPr>
              <w:spacing w:before="100" w:beforeAutospacing="1" w:after="100" w:afterAutospacing="1"/>
              <w:jc w:val="center"/>
              <w:rPr>
                <w:b/>
                <w:sz w:val="22"/>
              </w:rPr>
            </w:pPr>
            <w:r w:rsidRPr="008151AE">
              <w:rPr>
                <w:b/>
                <w:sz w:val="22"/>
              </w:rPr>
              <w:t>Asiakirja</w:t>
            </w:r>
          </w:p>
        </w:tc>
        <w:tc>
          <w:tcPr>
            <w:tcW w:w="4678" w:type="dxa"/>
          </w:tcPr>
          <w:p w14:paraId="6EDFC23A" w14:textId="37198F8B" w:rsidR="00C87D95" w:rsidRPr="008151AE" w:rsidRDefault="00C87D95">
            <w:pPr>
              <w:spacing w:before="100" w:beforeAutospacing="1" w:after="100" w:afterAutospacing="1"/>
              <w:jc w:val="center"/>
              <w:rPr>
                <w:b/>
                <w:sz w:val="22"/>
              </w:rPr>
            </w:pPr>
            <w:r w:rsidRPr="008151AE">
              <w:rPr>
                <w:b/>
                <w:sz w:val="22"/>
              </w:rPr>
              <w:t>Täydellinen viittaus hankintamenettelyyn</w:t>
            </w:r>
          </w:p>
        </w:tc>
      </w:tr>
      <w:tr w:rsidR="00C87D95" w:rsidRPr="008151AE" w14:paraId="6EDFC23E" w14:textId="3534C948" w:rsidTr="004D49FF">
        <w:tc>
          <w:tcPr>
            <w:tcW w:w="4786" w:type="dxa"/>
          </w:tcPr>
          <w:p w14:paraId="6EDFC23C" w14:textId="52591670" w:rsidR="00C87D95" w:rsidRPr="008151AE" w:rsidRDefault="00C87D95" w:rsidP="00CE6B47">
            <w:pPr>
              <w:spacing w:before="100" w:beforeAutospacing="1" w:after="100" w:afterAutospacing="1"/>
            </w:pPr>
            <w:r w:rsidRPr="008151AE">
              <w:rPr>
                <w:i/>
                <w:highlight w:val="lightGray"/>
              </w:rPr>
              <w:t>Lisätään tarvittava määrä rivejä.</w:t>
            </w:r>
          </w:p>
        </w:tc>
        <w:tc>
          <w:tcPr>
            <w:tcW w:w="4678" w:type="dxa"/>
          </w:tcPr>
          <w:p w14:paraId="6EDFC23D" w14:textId="3EBEB50F" w:rsidR="00C87D95" w:rsidRPr="008151AE" w:rsidRDefault="00C87D95" w:rsidP="00CE6B47">
            <w:pPr>
              <w:spacing w:before="100" w:beforeAutospacing="1" w:after="100" w:afterAutospacing="1"/>
            </w:pPr>
          </w:p>
        </w:tc>
      </w:tr>
    </w:tbl>
    <w:p w14:paraId="6EDFC23F" w14:textId="77777777" w:rsidR="001C5CDF" w:rsidRPr="008151AE" w:rsidRDefault="001C5CDF" w:rsidP="004D4F4A">
      <w:pPr>
        <w:spacing w:before="40" w:after="40"/>
        <w:jc w:val="both"/>
      </w:pPr>
    </w:p>
    <w:p w14:paraId="6EDFC240" w14:textId="427BA5C6" w:rsidR="00BA61F8" w:rsidRPr="008151AE" w:rsidRDefault="00BA61F8" w:rsidP="004D4F4A">
      <w:pPr>
        <w:spacing w:before="40" w:after="40"/>
        <w:jc w:val="both"/>
        <w:rPr>
          <w:b/>
          <w:i/>
        </w:rPr>
      </w:pPr>
      <w:r w:rsidRPr="008151AE">
        <w:rPr>
          <w:b/>
          <w:i/>
        </w:rPr>
        <w:t>Edellä mainittu toimija voidaan hylätä tässä kilpailumenettelyssä ja toimijaan voidaan soveltaa hallinnollisia seuraamuksia (poissulkeminen tai taloudellinen seuraamus), jos jokin tähän kilpailumenettelyyn osallistumiseksi annettu vakuutus tai tieto osoittautuu vääräksi.</w:t>
      </w:r>
    </w:p>
    <w:p w14:paraId="6EDFC241" w14:textId="77777777" w:rsidR="00156071" w:rsidRPr="008151AE" w:rsidRDefault="00156071" w:rsidP="004D4F4A">
      <w:pPr>
        <w:spacing w:before="40" w:after="40"/>
        <w:jc w:val="bot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36"/>
        <w:gridCol w:w="3827"/>
        <w:gridCol w:w="1525"/>
      </w:tblGrid>
      <w:tr w:rsidR="005962DA" w:rsidRPr="008151AE" w14:paraId="43661AA4" w14:textId="77777777" w:rsidTr="005962DA">
        <w:tc>
          <w:tcPr>
            <w:tcW w:w="3936" w:type="dxa"/>
          </w:tcPr>
          <w:p w14:paraId="2FD6D518" w14:textId="6A1C04ED" w:rsidR="005962DA" w:rsidRPr="008151AE" w:rsidRDefault="005962DA" w:rsidP="004D4F4A">
            <w:pPr>
              <w:spacing w:before="40" w:after="40"/>
              <w:jc w:val="both"/>
            </w:pPr>
            <w:r w:rsidRPr="008151AE">
              <w:t>Täydellinen nimi</w:t>
            </w:r>
          </w:p>
        </w:tc>
        <w:tc>
          <w:tcPr>
            <w:tcW w:w="3827" w:type="dxa"/>
          </w:tcPr>
          <w:p w14:paraId="5FB9BDFA" w14:textId="0ADF58A6" w:rsidR="005962DA" w:rsidRPr="008151AE" w:rsidRDefault="005962DA" w:rsidP="004D4F4A">
            <w:pPr>
              <w:spacing w:before="40" w:after="40"/>
              <w:jc w:val="both"/>
            </w:pPr>
            <w:r w:rsidRPr="008151AE">
              <w:t>Päiväys</w:t>
            </w:r>
          </w:p>
        </w:tc>
        <w:tc>
          <w:tcPr>
            <w:tcW w:w="1525" w:type="dxa"/>
          </w:tcPr>
          <w:p w14:paraId="73BA0BDD" w14:textId="39D1B7D1" w:rsidR="005962DA" w:rsidRPr="008151AE" w:rsidRDefault="005962DA" w:rsidP="004D4F4A">
            <w:pPr>
              <w:spacing w:before="40" w:after="40"/>
              <w:jc w:val="both"/>
            </w:pPr>
            <w:r w:rsidRPr="008151AE">
              <w:t>Allekirjoitus</w:t>
            </w:r>
          </w:p>
        </w:tc>
      </w:tr>
    </w:tbl>
    <w:p w14:paraId="73458DBD" w14:textId="77777777" w:rsidR="005962DA" w:rsidRPr="008151AE" w:rsidRDefault="005962DA" w:rsidP="004D4F4A">
      <w:pPr>
        <w:spacing w:before="40" w:after="40"/>
        <w:jc w:val="both"/>
      </w:pPr>
    </w:p>
    <w:p w14:paraId="6EDFC242" w14:textId="48702080" w:rsidR="00DA410F" w:rsidRPr="008151AE" w:rsidRDefault="00DA410F" w:rsidP="005962DA">
      <w:pPr>
        <w:tabs>
          <w:tab w:val="left" w:pos="3686"/>
          <w:tab w:val="left" w:pos="8647"/>
        </w:tabs>
        <w:spacing w:before="40" w:after="40"/>
        <w:jc w:val="both"/>
      </w:pPr>
    </w:p>
    <w:p w14:paraId="6EDFC243" w14:textId="77777777" w:rsidR="00DA410F" w:rsidRPr="008151AE" w:rsidRDefault="00DA410F" w:rsidP="004D4F4A"/>
    <w:sectPr w:rsidR="00DA410F" w:rsidRPr="008151AE" w:rsidSect="000E5CA1">
      <w:headerReference w:type="default" r:id="rId15"/>
      <w:footerReference w:type="default" r:id="rId16"/>
      <w:headerReference w:type="first" r:id="rId17"/>
      <w:pgSz w:w="11906" w:h="16838" w:code="9"/>
      <w:pgMar w:top="1134" w:right="1417" w:bottom="1134" w:left="1417"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237E" w14:textId="77777777" w:rsidR="007B276E" w:rsidRDefault="007B276E">
      <w:r>
        <w:separator/>
      </w:r>
    </w:p>
  </w:endnote>
  <w:endnote w:type="continuationSeparator" w:id="0">
    <w:p w14:paraId="2DA5D8A4" w14:textId="77777777" w:rsidR="007B276E" w:rsidRDefault="007B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F1C" w14:textId="52F459DA" w:rsidR="000E5CA1" w:rsidRPr="000E5CA1" w:rsidRDefault="005962DA" w:rsidP="000E5CA1">
    <w:pPr>
      <w:pStyle w:val="Footer"/>
    </w:pPr>
    <w:r>
      <w:t>EESC-</w:t>
    </w:r>
    <w:proofErr w:type="gramStart"/>
    <w:r>
      <w:t>2016-02230</w:t>
    </w:r>
    <w:proofErr w:type="gramEnd"/>
    <w:r>
      <w:t xml:space="preserve">-01-00-AO-TRA (EN) </w:t>
    </w:r>
    <w:r>
      <w:fldChar w:fldCharType="begin"/>
    </w:r>
    <w:r>
      <w:instrText xml:space="preserve"> PAGE  \* Arabic  \* MERGEFORMAT </w:instrText>
    </w:r>
    <w:r>
      <w:fldChar w:fldCharType="separate"/>
    </w:r>
    <w:r w:rsidR="00521EE8">
      <w:rPr>
        <w:noProof/>
      </w:rPr>
      <w:t>2</w:t>
    </w:r>
    <w:r>
      <w:fldChar w:fldCharType="end"/>
    </w:r>
    <w:r>
      <w:t>/</w:t>
    </w:r>
    <w:r>
      <w:fldChar w:fldCharType="begin"/>
    </w:r>
    <w:r>
      <w:instrText xml:space="preserve"> = </w:instrText>
    </w:r>
    <w:r w:rsidR="00521EE8">
      <w:fldChar w:fldCharType="begin"/>
    </w:r>
    <w:r w:rsidR="00521EE8">
      <w:instrText xml:space="preserve"> NUMPAGES </w:instrText>
    </w:r>
    <w:r w:rsidR="00521EE8">
      <w:fldChar w:fldCharType="separate"/>
    </w:r>
    <w:r w:rsidR="00521EE8">
      <w:rPr>
        <w:noProof/>
      </w:rPr>
      <w:instrText>5</w:instrText>
    </w:r>
    <w:r w:rsidR="00521EE8">
      <w:rPr>
        <w:noProof/>
      </w:rPr>
      <w:fldChar w:fldCharType="end"/>
    </w:r>
    <w:r>
      <w:instrText xml:space="preserve"> </w:instrText>
    </w:r>
    <w:r>
      <w:fldChar w:fldCharType="separate"/>
    </w:r>
    <w:r w:rsidR="00521EE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FD5F" w14:textId="77777777" w:rsidR="007B276E" w:rsidRDefault="007B276E">
      <w:r>
        <w:separator/>
      </w:r>
    </w:p>
  </w:footnote>
  <w:footnote w:type="continuationSeparator" w:id="0">
    <w:p w14:paraId="734835D1" w14:textId="77777777" w:rsidR="007B276E" w:rsidRDefault="007B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560F" w14:textId="1D7C3CFC" w:rsidR="000E5CA1" w:rsidRPr="000E5CA1" w:rsidRDefault="000E5CA1" w:rsidP="000E5CA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C248" w14:textId="109E219D" w:rsidR="00343F23" w:rsidRPr="000E5CA1" w:rsidRDefault="000E5CA1" w:rsidP="000E5CA1">
    <w:pPr>
      <w:pStyle w:val="Header"/>
      <w:jc w:val="right"/>
    </w:pPr>
    <w:r>
      <w:rPr>
        <w:sz w:val="20"/>
      </w:rPr>
      <w:t>Versio: maaliskuu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454368C"/>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1"/>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0103B"/>
    <w:rsid w:val="00055F7F"/>
    <w:rsid w:val="00060716"/>
    <w:rsid w:val="00064BE7"/>
    <w:rsid w:val="00086A53"/>
    <w:rsid w:val="000B1CF8"/>
    <w:rsid w:val="000B6759"/>
    <w:rsid w:val="000C2EE8"/>
    <w:rsid w:val="000E54DB"/>
    <w:rsid w:val="000E5CA1"/>
    <w:rsid w:val="0010150F"/>
    <w:rsid w:val="0010623A"/>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08A"/>
    <w:rsid w:val="0024225B"/>
    <w:rsid w:val="00251321"/>
    <w:rsid w:val="002610C3"/>
    <w:rsid w:val="00265657"/>
    <w:rsid w:val="0028507D"/>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3F14EE"/>
    <w:rsid w:val="00400008"/>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21EE8"/>
    <w:rsid w:val="0054311F"/>
    <w:rsid w:val="005811B7"/>
    <w:rsid w:val="00583379"/>
    <w:rsid w:val="00590252"/>
    <w:rsid w:val="00590E7C"/>
    <w:rsid w:val="005962DA"/>
    <w:rsid w:val="005A24DC"/>
    <w:rsid w:val="005B251C"/>
    <w:rsid w:val="005C6293"/>
    <w:rsid w:val="005E41BC"/>
    <w:rsid w:val="005E5268"/>
    <w:rsid w:val="005F45B5"/>
    <w:rsid w:val="006572BD"/>
    <w:rsid w:val="00664C39"/>
    <w:rsid w:val="00670A9C"/>
    <w:rsid w:val="00693DC0"/>
    <w:rsid w:val="00696302"/>
    <w:rsid w:val="006A5BCA"/>
    <w:rsid w:val="006B7C44"/>
    <w:rsid w:val="006C5DA3"/>
    <w:rsid w:val="006C6DFD"/>
    <w:rsid w:val="006D024C"/>
    <w:rsid w:val="006E194A"/>
    <w:rsid w:val="006F2DF6"/>
    <w:rsid w:val="007105F4"/>
    <w:rsid w:val="00730771"/>
    <w:rsid w:val="00735919"/>
    <w:rsid w:val="00753333"/>
    <w:rsid w:val="007740A0"/>
    <w:rsid w:val="007801E8"/>
    <w:rsid w:val="00797829"/>
    <w:rsid w:val="007B276E"/>
    <w:rsid w:val="007C10CF"/>
    <w:rsid w:val="007C1171"/>
    <w:rsid w:val="007C6650"/>
    <w:rsid w:val="007D5226"/>
    <w:rsid w:val="007D7A5F"/>
    <w:rsid w:val="007E7A77"/>
    <w:rsid w:val="00810432"/>
    <w:rsid w:val="008151AE"/>
    <w:rsid w:val="00827F90"/>
    <w:rsid w:val="0084444D"/>
    <w:rsid w:val="00845AA5"/>
    <w:rsid w:val="00855A0B"/>
    <w:rsid w:val="00863E25"/>
    <w:rsid w:val="00870C14"/>
    <w:rsid w:val="00874F07"/>
    <w:rsid w:val="00876E1A"/>
    <w:rsid w:val="008914D7"/>
    <w:rsid w:val="00892BCE"/>
    <w:rsid w:val="00897553"/>
    <w:rsid w:val="008B1377"/>
    <w:rsid w:val="008B3936"/>
    <w:rsid w:val="008B6FD1"/>
    <w:rsid w:val="008C4A00"/>
    <w:rsid w:val="00911FA8"/>
    <w:rsid w:val="009134A2"/>
    <w:rsid w:val="009402EB"/>
    <w:rsid w:val="00951A6D"/>
    <w:rsid w:val="00954EF6"/>
    <w:rsid w:val="009630F6"/>
    <w:rsid w:val="009765C0"/>
    <w:rsid w:val="00985E31"/>
    <w:rsid w:val="009B348C"/>
    <w:rsid w:val="009C4A65"/>
    <w:rsid w:val="009D19B9"/>
    <w:rsid w:val="009F000E"/>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334F3"/>
    <w:rsid w:val="00B418F3"/>
    <w:rsid w:val="00B42495"/>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E6B47"/>
    <w:rsid w:val="00CF7AF0"/>
    <w:rsid w:val="00D177A8"/>
    <w:rsid w:val="00D231DD"/>
    <w:rsid w:val="00D37B9A"/>
    <w:rsid w:val="00D841AD"/>
    <w:rsid w:val="00D86E99"/>
    <w:rsid w:val="00D9381D"/>
    <w:rsid w:val="00DA410F"/>
    <w:rsid w:val="00DA59FF"/>
    <w:rsid w:val="00DC3E96"/>
    <w:rsid w:val="00DC56F6"/>
    <w:rsid w:val="00DE5E11"/>
    <w:rsid w:val="00DF45B2"/>
    <w:rsid w:val="00E00149"/>
    <w:rsid w:val="00E012CB"/>
    <w:rsid w:val="00E12354"/>
    <w:rsid w:val="00E2030C"/>
    <w:rsid w:val="00E21446"/>
    <w:rsid w:val="00E2250C"/>
    <w:rsid w:val="00E33977"/>
    <w:rsid w:val="00E6004E"/>
    <w:rsid w:val="00EC5131"/>
    <w:rsid w:val="00EF4899"/>
    <w:rsid w:val="00F00EDA"/>
    <w:rsid w:val="00F028EB"/>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i-FI" w:eastAsia="fi-FI" w:bidi="fi-FI"/>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i-FI" w:eastAsia="fi-FI" w:bidi="fi-FI"/>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i-FI" w:eastAsia="fi-FI" w:bidi="fi-FI"/>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i-FI" w:eastAsia="fi-FI"/>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i-FI" w:eastAsia="fi-FI"/>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i-FI" w:eastAsia="fi-FI" w:bidi="fi-FI"/>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i-FI" w:eastAsia="fi-FI" w:bidi="fi-FI"/>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i-FI" w:eastAsia="fi-FI" w:bidi="fi-FI"/>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i-FI" w:eastAsia="fi-FI"/>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i-FI" w:eastAsia="fi-FI"/>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3XPXQ63Y2AW3-5-1426</_dlc_DocId>
    <_dlc_DocIdUrl xmlns="8835a8a4-5a07-4207-ac1e-223f88a8f7af">
      <Url>http://dm/EESC/2016/_layouts/DocIdRedir.aspx?ID=3XPXQ63Y2AW3-5-1426</Url>
      <Description>3XPXQ63Y2AW3-5-1426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2230</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AdoptionDate xmlns="8835a8a4-5a07-4207-ac1e-223f88a8f7af" xsi:nil="true"/>
    <DocumentPart xmlns="8835a8a4-5a07-4207-ac1e-223f88a8f7af">1</DocumentPart>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8835a8a4-5a07-4207-ac1e-223f88a8f7af"/>
    <ds:schemaRef ds:uri="http://schemas.microsoft.com/sharepoint/v3/field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81b83a11-8bf4-4815-ab46-df1aa9d1dbfa"/>
  </ds:schemaRefs>
</ds:datastoreItem>
</file>

<file path=customXml/itemProps4.xml><?xml version="1.0" encoding="utf-8"?>
<ds:datastoreItem xmlns:ds="http://schemas.openxmlformats.org/officeDocument/2006/customXml" ds:itemID="{59EC918C-C22D-41AD-ADAA-2B606D020269}">
  <ds:schemaRefs>
    <ds:schemaRef ds:uri="http://schemas.microsoft.com/sharepoint/events"/>
  </ds:schemaRefs>
</ds:datastoreItem>
</file>

<file path=customXml/itemProps5.xml><?xml version="1.0" encoding="utf-8"?>
<ds:datastoreItem xmlns:ds="http://schemas.openxmlformats.org/officeDocument/2006/customXml" ds:itemID="{C80EFA24-610A-4A78-86FA-2DA0915C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BF7F81-F292-4F3B-B3FB-F8904A4B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Pages>
  <Words>1298</Words>
  <Characters>11321</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liite 2 Kunnian ja omantunnon kautta annettu vakuutus</vt:lpstr>
    </vt:vector>
  </TitlesOfParts>
  <Company>CESE-CdR</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2 Kunnian ja omantunnon kautta annettu vakuutus</dc:title>
  <dc:subject>Tarjouspyyntö</dc:subject>
  <dc:creator>Isolde Juchem</dc:creator>
  <cp:keywords>EESC-2016-02230-01-01-AO-TRA-FI</cp:keywords>
  <dc:description>Esittelijä: -_x000d_
Alkukieli: EN_x000d_
Asiakirjan päivämäärä: 22/04/2016_x000d_
Kokouksen päivämäärä: _x000d_
Muut asiakirjat: -_x000d_
Vastaava virkamies: Comi Anna, puhelin: +32 (0)2 546 9367_x000d_
_x000d_
Tiivistelmä:</dc:description>
  <cp:lastModifiedBy>Isolde Juchem</cp:lastModifiedBy>
  <cp:revision>2</cp:revision>
  <cp:lastPrinted>2016-02-26T13:49:00Z</cp:lastPrinted>
  <dcterms:created xsi:type="dcterms:W3CDTF">2016-04-22T14:04:00Z</dcterms:created>
  <dcterms:modified xsi:type="dcterms:W3CDTF">2016-04-22T14:04:00Z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22/04/2016, 14/04/2016</vt:lpwstr>
  </property>
  <property fmtid="{D5CDD505-2E9C-101B-9397-08002B2CF9AE}" pid="5" name="Pref_Time">
    <vt:lpwstr>12:26:35, 11:33:29</vt:lpwstr>
  </property>
  <property fmtid="{D5CDD505-2E9C-101B-9397-08002B2CF9AE}" pid="6" name="Pref_User">
    <vt:lpwstr>mkop, tvoc</vt:lpwstr>
  </property>
  <property fmtid="{D5CDD505-2E9C-101B-9397-08002B2CF9AE}" pid="7" name="Pref_FileName">
    <vt:lpwstr>EESC-2016-02230-01-01-AO-ORI.docx, 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a8bf74fe-51d1-44a3-9f0b-825e67bb0ece</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187;#AO|2e1f788a-ba77-4b91-92dc-c39b9b497dea;#39;#CS|72f9705b-0217-4fd3-bea2-cbc7ed80e26e;#37;#LT|a7ff5ce7-6123-4f68-865a-a57c31810414;#36;#LV|46f7e311-5d9f-4663-b433-18aeccb7ace7;#35;#HU|6b229040-c589-4408-b4c1-4285663d20a8;#34;#BG|1a1b3951-7821-4e6a-85f</vt:lpwstr>
  </property>
  <property fmtid="{D5CDD505-2E9C-101B-9397-08002B2CF9AE}" pid="31" name="AvailableTranslations_0">
    <vt:lpwstr>SL|98a412ae-eb01-49e9-ae3d-585a81724cfc;HU|6b229040-c589-4408-b4c1-4285663d20a8;DA|5d49c027-8956-412b-aa16-e85a0f96ad0e;MT|7df99101-6854-4a26-b53a-b88c0da02c26;SK|46d9fce0-ef79-4f71-b89b-cd6aa82426b8;LV|46f7e311-5d9f-4663-b433-18aeccb7ace7;ET|ff6c3f4c-b02</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40;#FI|87606a43-d45f-42d6-b8c9-e1a3457db5b7</vt:lpwstr>
  </property>
</Properties>
</file>