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16" w:rsidRPr="004C46EF" w:rsidRDefault="00316A16" w:rsidP="00316A16">
      <w:pPr>
        <w:ind w:left="-993"/>
        <w:jc w:val="center"/>
      </w:pPr>
      <w:r w:rsidRPr="004C46EF">
        <w:rPr>
          <w:noProof/>
          <w:lang w:val="fr-BE" w:eastAsia="fr-BE" w:bidi="ar-SA"/>
        </w:rPr>
        <w:drawing>
          <wp:inline distT="0" distB="0" distL="0" distR="0" wp14:anchorId="172CB00B" wp14:editId="286A601A">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p w:rsidR="00316A16" w:rsidRDefault="00316A16" w:rsidP="00723521">
      <w:pPr>
        <w:overflowPunct w:val="0"/>
        <w:adjustRightInd w:val="0"/>
        <w:jc w:val="center"/>
        <w:textAlignment w:val="baseline"/>
      </w:pPr>
    </w:p>
    <w:p w:rsidR="008F1C4C" w:rsidRPr="00723521" w:rsidRDefault="008F1C4C" w:rsidP="00723521">
      <w:pPr>
        <w:overflowPunct w:val="0"/>
        <w:adjustRightInd w:val="0"/>
        <w:jc w:val="center"/>
        <w:textAlignment w:val="baseline"/>
      </w:pPr>
      <w:r>
        <w:t>EWSA-Pressemitteilung</w:t>
      </w:r>
    </w:p>
    <w:tbl>
      <w:tblPr>
        <w:tblW w:w="0" w:type="auto"/>
        <w:tblLook w:val="0000" w:firstRow="0" w:lastRow="0" w:firstColumn="0" w:lastColumn="0" w:noHBand="0" w:noVBand="0"/>
      </w:tblPr>
      <w:tblGrid>
        <w:gridCol w:w="5168"/>
        <w:gridCol w:w="4119"/>
      </w:tblGrid>
      <w:tr w:rsidR="008F1C4C" w:rsidRPr="00723521" w:rsidTr="006A7EAF">
        <w:trPr>
          <w:cantSplit/>
        </w:trPr>
        <w:tc>
          <w:tcPr>
            <w:tcW w:w="5168" w:type="dxa"/>
          </w:tcPr>
          <w:p w:rsidR="008F1C4C" w:rsidRPr="00723521" w:rsidRDefault="008F1C4C" w:rsidP="00723521">
            <w:pPr>
              <w:overflowPunct w:val="0"/>
              <w:adjustRightInd w:val="0"/>
              <w:spacing w:line="240" w:lineRule="auto"/>
              <w:textAlignment w:val="baseline"/>
              <w:rPr>
                <w:rFonts w:ascii="Verdana" w:hAnsi="Verdana"/>
                <w:b/>
                <w:bCs/>
                <w:sz w:val="18"/>
                <w:szCs w:val="18"/>
              </w:rPr>
            </w:pPr>
            <w:r>
              <w:rPr>
                <w:rFonts w:ascii="Verdana" w:hAnsi="Verdana"/>
                <w:b/>
                <w:sz w:val="18"/>
              </w:rPr>
              <w:t>Nr. 62/2016</w:t>
            </w:r>
          </w:p>
        </w:tc>
        <w:tc>
          <w:tcPr>
            <w:tcW w:w="4119" w:type="dxa"/>
          </w:tcPr>
          <w:p w:rsidR="008F1C4C" w:rsidRPr="00723521" w:rsidRDefault="008F1C4C" w:rsidP="00723521">
            <w:pPr>
              <w:overflowPunct w:val="0"/>
              <w:adjustRightInd w:val="0"/>
              <w:spacing w:line="240" w:lineRule="auto"/>
              <w:jc w:val="right"/>
              <w:textAlignment w:val="baseline"/>
              <w:rPr>
                <w:rFonts w:ascii="Verdana" w:hAnsi="Verdana"/>
                <w:b/>
                <w:bCs/>
                <w:sz w:val="18"/>
                <w:szCs w:val="18"/>
              </w:rPr>
            </w:pPr>
            <w:r>
              <w:rPr>
                <w:rFonts w:ascii="Verdana" w:hAnsi="Verdana"/>
                <w:b/>
                <w:sz w:val="18"/>
              </w:rPr>
              <w:t>19. Oktober 2016</w:t>
            </w:r>
          </w:p>
        </w:tc>
      </w:tr>
    </w:tbl>
    <w:p w:rsidR="008F1C4C" w:rsidRPr="00723521" w:rsidRDefault="007A7515" w:rsidP="00723521">
      <w:pPr>
        <w:overflowPunct w:val="0"/>
        <w:adjustRightInd w:val="0"/>
        <w:ind w:right="-1"/>
        <w:jc w:val="center"/>
        <w:textAlignment w:val="baseline"/>
        <w:rPr>
          <w:rFonts w:ascii="Verdana" w:hAnsi="Verdana"/>
          <w:b/>
          <w:color w:val="0033CC"/>
          <w:sz w:val="28"/>
        </w:rPr>
      </w:pPr>
      <w:r>
        <w:rPr>
          <w:noProof/>
          <w:lang w:val="fr-BE" w:eastAsia="fr-BE" w:bidi="ar-SA"/>
        </w:rPr>
        <mc:AlternateContent>
          <mc:Choice Requires="wps">
            <w:drawing>
              <wp:anchor distT="0" distB="0" distL="114300" distR="114300" simplePos="0" relativeHeight="251659264" behindDoc="1" locked="0" layoutInCell="0" allowOverlap="1" wp14:anchorId="3E37F359" wp14:editId="037F6A3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515" w:rsidRPr="00723521" w:rsidRDefault="007A7515" w:rsidP="00723521">
                            <w:pPr>
                              <w:overflowPunct w:val="0"/>
                              <w:adjustRightInd w:val="0"/>
                              <w:jc w:val="center"/>
                              <w:textAlignment w:val="baseline"/>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A7515" w:rsidRPr="00723521" w:rsidRDefault="007A7515" w:rsidP="00723521">
                      <w:pPr>
                        <w:overflowPunct w:val="0"/>
                        <w:adjustRightInd w:val="0"/>
                        <w:jc w:val="center"/>
                        <w:textAlignment w:val="baseline"/>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p>
    <w:p w:rsidR="00516D5B" w:rsidRPr="00723521" w:rsidRDefault="00573A82" w:rsidP="00723521">
      <w:pPr>
        <w:overflowPunct w:val="0"/>
        <w:adjustRightInd w:val="0"/>
        <w:ind w:right="-1"/>
        <w:jc w:val="center"/>
        <w:textAlignment w:val="baseline"/>
        <w:rPr>
          <w:rFonts w:ascii="Verdana" w:hAnsi="Verdana"/>
          <w:b/>
          <w:color w:val="0033CC"/>
          <w:sz w:val="28"/>
        </w:rPr>
      </w:pPr>
      <w:r>
        <w:rPr>
          <w:rFonts w:ascii="Verdana" w:hAnsi="Verdana"/>
          <w:b/>
          <w:color w:val="0033CC"/>
          <w:sz w:val="28"/>
        </w:rPr>
        <w:t>Maßnahmen der EU zur Bekämpfung der Geldwäsche müssen sich auf alle Hochrisiko-Drittländer erstrecken</w:t>
      </w:r>
    </w:p>
    <w:p w:rsidR="00573A82" w:rsidRPr="00723521" w:rsidRDefault="00573A82" w:rsidP="00723521">
      <w:pPr>
        <w:overflowPunct w:val="0"/>
        <w:adjustRightInd w:val="0"/>
        <w:ind w:right="-1"/>
        <w:jc w:val="center"/>
        <w:textAlignment w:val="baseline"/>
        <w:rPr>
          <w:rFonts w:ascii="Verdana" w:hAnsi="Verdana"/>
          <w:b/>
          <w:color w:val="548DD4" w:themeColor="text2" w:themeTint="99"/>
          <w:sz w:val="12"/>
        </w:rPr>
      </w:pPr>
    </w:p>
    <w:p w:rsidR="00171080" w:rsidRPr="00723521" w:rsidRDefault="0089481B" w:rsidP="00723521">
      <w:pPr>
        <w:overflowPunct w:val="0"/>
        <w:adjustRightInd w:val="0"/>
        <w:ind w:right="-1"/>
        <w:jc w:val="center"/>
        <w:textAlignment w:val="baseline"/>
        <w:rPr>
          <w:rFonts w:ascii="Verdana" w:hAnsi="Verdana"/>
          <w:sz w:val="18"/>
          <w:u w:val="single"/>
        </w:rPr>
      </w:pPr>
      <w:r>
        <w:rPr>
          <w:rFonts w:ascii="Verdana" w:hAnsi="Verdana"/>
          <w:b/>
          <w:color w:val="548DD4" w:themeColor="text2" w:themeTint="99"/>
        </w:rPr>
        <w:t>Verstärkte Sorgfaltspflichten der fünften Geldwäscherichtlinie müssen auch für</w:t>
      </w:r>
      <w:r>
        <w:t xml:space="preserve"> </w:t>
      </w:r>
      <w:r>
        <w:rPr>
          <w:rFonts w:ascii="Verdana" w:hAnsi="Verdana"/>
          <w:b/>
          <w:i/>
          <w:color w:val="548DD4" w:themeColor="text2" w:themeTint="99"/>
        </w:rPr>
        <w:t>Panama-Papers</w:t>
      </w:r>
      <w:r>
        <w:rPr>
          <w:rFonts w:ascii="Verdana" w:hAnsi="Verdana"/>
          <w:b/>
          <w:color w:val="548DD4" w:themeColor="text2" w:themeTint="99"/>
        </w:rPr>
        <w:t>-Länder gelten</w:t>
      </w:r>
    </w:p>
    <w:p w:rsidR="00B0677C" w:rsidRPr="00723521" w:rsidRDefault="00B0677C" w:rsidP="00723521">
      <w:pPr>
        <w:overflowPunct w:val="0"/>
        <w:adjustRightInd w:val="0"/>
        <w:jc w:val="left"/>
        <w:textAlignment w:val="baseline"/>
      </w:pPr>
    </w:p>
    <w:p w:rsidR="005F4F14" w:rsidRPr="00723521" w:rsidRDefault="005F4F14" w:rsidP="00723521">
      <w:pPr>
        <w:overflowPunct w:val="0"/>
        <w:adjustRightInd w:val="0"/>
        <w:textAlignment w:val="baseline"/>
        <w:rPr>
          <w:rFonts w:ascii="Verdana" w:hAnsi="Verdana"/>
          <w:b/>
          <w:sz w:val="18"/>
        </w:rPr>
      </w:pPr>
      <w:r>
        <w:rPr>
          <w:rFonts w:ascii="Verdana" w:hAnsi="Verdana"/>
          <w:b/>
          <w:sz w:val="18"/>
        </w:rPr>
        <w:t>In der am 14. Juli veröffentlichen Liste der Hochrisiko-Drittländer, die verstärkten Sorgfaltspflichten unterliegen, fehlen viele der Länder, die im Verdacht stehen, als Steueroasen für Geldwäsche zu fungieren, insbesondere die in den „Panama Papers“ genannten Länder. In seiner Stellungnahme zu dem Vorschlag für eine neue</w:t>
      </w:r>
      <w:r>
        <w:t xml:space="preserve"> </w:t>
      </w:r>
      <w:hyperlink r:id="rId15">
        <w:r>
          <w:rPr>
            <w:rStyle w:val="Hyperlink"/>
            <w:rFonts w:ascii="Verdana" w:hAnsi="Verdana"/>
            <w:b/>
            <w:sz w:val="18"/>
          </w:rPr>
          <w:t>Geldwäscherichtlinie</w:t>
        </w:r>
      </w:hyperlink>
      <w:r>
        <w:rPr>
          <w:rFonts w:ascii="Verdana" w:hAnsi="Verdana"/>
          <w:b/>
          <w:sz w:val="18"/>
        </w:rPr>
        <w:t xml:space="preserve"> der EU schlägt der EWSA vor, dass entweder eine neue Liste von Hochrisikoländern aufgestellt oder der Geltungsbereich der Maßnahmen ausgeweitet wird.</w:t>
      </w:r>
    </w:p>
    <w:p w:rsidR="005F4F14" w:rsidRPr="00723521" w:rsidRDefault="005F4F14" w:rsidP="00723521">
      <w:pPr>
        <w:overflowPunct w:val="0"/>
        <w:adjustRightInd w:val="0"/>
        <w:textAlignment w:val="baseline"/>
        <w:rPr>
          <w:rFonts w:ascii="Verdana" w:hAnsi="Verdana"/>
          <w:sz w:val="18"/>
        </w:rPr>
      </w:pPr>
    </w:p>
    <w:p w:rsidR="00142C2E" w:rsidRPr="00723521" w:rsidRDefault="001F4612" w:rsidP="00723521">
      <w:pPr>
        <w:overflowPunct w:val="0"/>
        <w:adjustRightInd w:val="0"/>
        <w:textAlignment w:val="baseline"/>
        <w:rPr>
          <w:rFonts w:ascii="Verdana" w:hAnsi="Verdana"/>
          <w:b/>
          <w:sz w:val="18"/>
        </w:rPr>
      </w:pPr>
      <w:r>
        <w:rPr>
          <w:rFonts w:ascii="Verdana" w:hAnsi="Verdana"/>
          <w:sz w:val="18"/>
        </w:rPr>
        <w:t xml:space="preserve">Auf der EWSA-Plenartagung schlug der EWSA-Berichterstatter </w:t>
      </w:r>
      <w:r>
        <w:rPr>
          <w:rFonts w:ascii="Verdana" w:hAnsi="Verdana"/>
          <w:b/>
          <w:sz w:val="18"/>
        </w:rPr>
        <w:t>Javier Doz Orrit</w:t>
      </w:r>
      <w:r>
        <w:rPr>
          <w:rFonts w:ascii="Verdana" w:hAnsi="Verdana"/>
          <w:sz w:val="18"/>
        </w:rPr>
        <w:t xml:space="preserve"> heute darüber hinaus vor, dass </w:t>
      </w:r>
      <w:r>
        <w:rPr>
          <w:rFonts w:ascii="Verdana" w:hAnsi="Verdana"/>
          <w:b/>
          <w:i/>
          <w:sz w:val="18"/>
        </w:rPr>
        <w:t>„Abkommen über Freihandel und Wirtschaftspartnerschaft ein Kapitel über Maßnahmen gegen Geldwäsche, Steuerbetrug und Steuerumgehung enthalten“</w:t>
      </w:r>
      <w:r>
        <w:rPr>
          <w:rFonts w:ascii="Verdana" w:hAnsi="Verdana"/>
          <w:sz w:val="18"/>
        </w:rPr>
        <w:t xml:space="preserve"> sollten. Der Ausschuss verabschiedete zwei Stellungnahmen zur Bekämpfung von Geldwäsche, Terrorismusfinanzierung und Steuerhinterziehung. Der EWSA fordert ein</w:t>
      </w:r>
      <w:r>
        <w:rPr>
          <w:rFonts w:ascii="Verdana" w:hAnsi="Verdana"/>
          <w:b/>
          <w:sz w:val="18"/>
        </w:rPr>
        <w:t xml:space="preserve"> europäisches Bankkonto-Zentralregister, mehr Transparenz in Bezug auf die Profiteure von Unternehmen und Trusts, Maßnahmen gegen die Anonymität von Finanztransaktionen</w:t>
      </w:r>
      <w:r>
        <w:rPr>
          <w:rFonts w:ascii="Verdana" w:hAnsi="Verdana"/>
          <w:sz w:val="18"/>
        </w:rPr>
        <w:t xml:space="preserve">, die mit Prepaid-Karten ausgeführt werden, und eine engere Kontrolle durch die Zusammenarbeit der </w:t>
      </w:r>
      <w:r>
        <w:rPr>
          <w:rFonts w:ascii="Verdana" w:hAnsi="Verdana"/>
          <w:b/>
          <w:sz w:val="18"/>
        </w:rPr>
        <w:t>Zentralstellen für Verdachtsmeldungen</w:t>
      </w:r>
      <w:r>
        <w:rPr>
          <w:rFonts w:ascii="Verdana" w:hAnsi="Verdana"/>
          <w:sz w:val="18"/>
        </w:rPr>
        <w:t>.</w:t>
      </w:r>
    </w:p>
    <w:p w:rsidR="002520BE" w:rsidRPr="00723521" w:rsidRDefault="002520BE" w:rsidP="00723521">
      <w:pPr>
        <w:overflowPunct w:val="0"/>
        <w:adjustRightInd w:val="0"/>
        <w:textAlignment w:val="baseline"/>
        <w:rPr>
          <w:rFonts w:ascii="Verdana" w:hAnsi="Verdana"/>
          <w:b/>
          <w:sz w:val="18"/>
        </w:rPr>
      </w:pPr>
    </w:p>
    <w:p w:rsidR="00142C2E" w:rsidRPr="00723521" w:rsidRDefault="002520BE" w:rsidP="00723521">
      <w:pPr>
        <w:overflowPunct w:val="0"/>
        <w:adjustRightInd w:val="0"/>
        <w:textAlignment w:val="baseline"/>
        <w:rPr>
          <w:rFonts w:ascii="Verdana" w:hAnsi="Verdana"/>
          <w:sz w:val="18"/>
        </w:rPr>
      </w:pPr>
      <w:r>
        <w:rPr>
          <w:rFonts w:ascii="Verdana" w:hAnsi="Verdana"/>
          <w:sz w:val="18"/>
        </w:rPr>
        <w:t>„Die rechtliche Behandlung – Begriffsbestimmungen und Strafen – aller Delikte im Zusammenhang mit Geldwäsche, Steuerbetrug, Korruption und der Finanzierung des Terrorismus und seiner Verbindungen sollte auf europäischer Ebene angeglichen werden, ebenso wie die Strafen wegen eines Verstoßes gegen die Geldwäscherichtlinien“</w:t>
      </w:r>
      <w:r>
        <w:t xml:space="preserve">, </w:t>
      </w:r>
      <w:r>
        <w:rPr>
          <w:rFonts w:ascii="Verdana" w:hAnsi="Verdana"/>
          <w:sz w:val="18"/>
        </w:rPr>
        <w:t xml:space="preserve">so </w:t>
      </w:r>
      <w:r>
        <w:rPr>
          <w:rFonts w:ascii="Verdana" w:hAnsi="Verdana"/>
          <w:b/>
          <w:sz w:val="18"/>
        </w:rPr>
        <w:t>Petru Sorin Dandea</w:t>
      </w:r>
      <w:r>
        <w:rPr>
          <w:rFonts w:ascii="Verdana" w:hAnsi="Verdana"/>
          <w:sz w:val="18"/>
        </w:rPr>
        <w:t>,</w:t>
      </w:r>
      <w:r>
        <w:t xml:space="preserve"> </w:t>
      </w:r>
      <w:r>
        <w:rPr>
          <w:rFonts w:ascii="Verdana" w:hAnsi="Verdana"/>
          <w:sz w:val="18"/>
        </w:rPr>
        <w:t>Berichterstatter der Stellungnahme zum</w:t>
      </w:r>
      <w:r>
        <w:t xml:space="preserve"> </w:t>
      </w:r>
      <w:hyperlink r:id="rId16">
        <w:r>
          <w:rPr>
            <w:rStyle w:val="Hyperlink"/>
            <w:rFonts w:ascii="Verdana" w:hAnsi="Verdana"/>
            <w:sz w:val="18"/>
          </w:rPr>
          <w:t>Zugang von Steuerbehörden zu Informationen zur Bekämpfung der Geldwäsche</w:t>
        </w:r>
      </w:hyperlink>
      <w:r>
        <w:t>.</w:t>
      </w:r>
      <w:r>
        <w:rPr>
          <w:rFonts w:ascii="Verdana" w:hAnsi="Verdana"/>
          <w:sz w:val="18"/>
        </w:rPr>
        <w:t xml:space="preserve"> Aus Sicht der EU-Einrichtung, die die Zivilgesellschaft vertritt, ist es von grundlegender Bedeutung, dass die Mitgliedstaaten ihren Steuerverwaltungen die personellen, finanziellen und logistischen Ressourcen zur Verfügung stellen, die sie für eine erfolgreiche Durchsetzung der neuen Vorschriften zur Bekämpfung der Geldwäsche benötigen. Außerdem müssen Maßnahmen gegen unlauteren Steuerwettbewerb ergriffen werden, mahnt der EWSA.</w:t>
      </w:r>
    </w:p>
    <w:p w:rsidR="007A4BE8" w:rsidRPr="00723521" w:rsidRDefault="007A4BE8" w:rsidP="00723521">
      <w:pPr>
        <w:overflowPunct w:val="0"/>
        <w:adjustRightInd w:val="0"/>
        <w:textAlignment w:val="baseline"/>
        <w:rPr>
          <w:rFonts w:ascii="Verdana" w:hAnsi="Verdana"/>
          <w:sz w:val="18"/>
        </w:rPr>
      </w:pPr>
    </w:p>
    <w:p w:rsidR="00142C2E" w:rsidRPr="00723521" w:rsidRDefault="006E7843" w:rsidP="00723521">
      <w:pPr>
        <w:overflowPunct w:val="0"/>
        <w:adjustRightInd w:val="0"/>
        <w:textAlignment w:val="baseline"/>
        <w:rPr>
          <w:rFonts w:ascii="Verdana" w:hAnsi="Verdana"/>
          <w:i/>
          <w:sz w:val="18"/>
          <w:u w:val="single"/>
        </w:rPr>
      </w:pPr>
      <w:r>
        <w:rPr>
          <w:rFonts w:ascii="Verdana" w:hAnsi="Verdana"/>
          <w:i/>
          <w:sz w:val="18"/>
          <w:u w:val="single"/>
        </w:rPr>
        <w:t>Hintergrundinformationen</w:t>
      </w:r>
    </w:p>
    <w:p w:rsidR="00142C2E" w:rsidRPr="00723521" w:rsidRDefault="00142C2E" w:rsidP="00723521">
      <w:pPr>
        <w:overflowPunct w:val="0"/>
        <w:adjustRightInd w:val="0"/>
        <w:textAlignment w:val="baseline"/>
        <w:rPr>
          <w:rFonts w:ascii="Verdana" w:hAnsi="Verdana"/>
          <w:sz w:val="18"/>
        </w:rPr>
      </w:pPr>
      <w:r>
        <w:rPr>
          <w:rFonts w:ascii="Verdana" w:hAnsi="Verdana"/>
          <w:sz w:val="18"/>
        </w:rPr>
        <w:t xml:space="preserve">Die Stellungnahmen wurden vor dem Hintergrund der Tatsache ausgearbeitet, dass die EU stärker gegen Geldwäsche, Terrorismusfinanzierung und Steuerumgehung vorgehen will. Der Ausschuss unterstützt die EU nachdrücklich in ihrem Bestreben, bei der weltweiten Bekämpfung der Geldwäsche und des Terrorismus voranzugehen, betont jedoch, dass dies nur möglich sein wird, wenn alle Akteure an einem Strang ziehen. Zum Schutz der Privatsphäre unschuldiger Bürger dringt der EWSA zudem auf </w:t>
      </w:r>
      <w:r>
        <w:rPr>
          <w:rFonts w:ascii="Verdana" w:hAnsi="Verdana"/>
          <w:sz w:val="18"/>
        </w:rPr>
        <w:lastRenderedPageBreak/>
        <w:t>wirksame Sanktionen und Strafen für den Fall einer missbräuchlichen Verwendung der gespeicherten Daten.</w:t>
      </w:r>
    </w:p>
    <w:p w:rsidR="00425160" w:rsidRPr="00723521" w:rsidRDefault="00425160" w:rsidP="00723521">
      <w:pPr>
        <w:overflowPunct w:val="0"/>
        <w:adjustRightInd w:val="0"/>
        <w:ind w:right="-285"/>
        <w:textAlignment w:val="baseline"/>
        <w:rPr>
          <w:rFonts w:ascii="Verdana" w:hAnsi="Verdana"/>
          <w:sz w:val="18"/>
        </w:rPr>
      </w:pPr>
      <w:bookmarkStart w:id="0" w:name="_GoBack"/>
      <w:bookmarkEnd w:id="0"/>
    </w:p>
    <w:p w:rsidR="008F1C4C" w:rsidRPr="00723521" w:rsidRDefault="008F1C4C" w:rsidP="00723521">
      <w:pPr>
        <w:overflowPunct w:val="0"/>
        <w:adjustRightInd w:val="0"/>
        <w:ind w:right="-285"/>
        <w:textAlignment w:val="baseline"/>
        <w:rPr>
          <w:rFonts w:ascii="Verdana" w:hAnsi="Verdana"/>
          <w:sz w:val="18"/>
        </w:rPr>
      </w:pPr>
    </w:p>
    <w:p w:rsidR="008F1C4C" w:rsidRPr="00723521" w:rsidRDefault="008F1C4C" w:rsidP="00723521">
      <w:pPr>
        <w:overflowPunct w:val="0"/>
        <w:adjustRightInd w:val="0"/>
        <w:jc w:val="center"/>
        <w:textAlignment w:val="baseline"/>
        <w:rPr>
          <w:rFonts w:ascii="Verdana" w:hAnsi="Verdana"/>
          <w:b/>
          <w:sz w:val="18"/>
        </w:rPr>
      </w:pPr>
      <w:r>
        <w:rPr>
          <w:rFonts w:ascii="Verdana" w:hAnsi="Verdana"/>
          <w:b/>
          <w:sz w:val="18"/>
        </w:rPr>
        <w:t xml:space="preserve">Für weitere Informationen wenden Sie sich bitte an: </w:t>
      </w:r>
    </w:p>
    <w:p w:rsidR="007A7515" w:rsidRPr="00723521" w:rsidRDefault="008F1C4C" w:rsidP="00723521">
      <w:pPr>
        <w:spacing w:line="240" w:lineRule="auto"/>
        <w:jc w:val="center"/>
        <w:rPr>
          <w:rFonts w:ascii="Verdana" w:eastAsia="PMingLiU" w:hAnsi="Verdana"/>
          <w:sz w:val="18"/>
        </w:rPr>
      </w:pPr>
      <w:r>
        <w:rPr>
          <w:rFonts w:ascii="Verdana" w:hAnsi="Verdana"/>
          <w:sz w:val="18"/>
        </w:rPr>
        <w:t xml:space="preserve">Milen Minchev, E-Mail: </w:t>
      </w:r>
      <w:hyperlink r:id="rId17">
        <w:r>
          <w:rPr>
            <w:rStyle w:val="Hyperlink"/>
            <w:rFonts w:ascii="Verdana" w:hAnsi="Verdana"/>
            <w:sz w:val="18"/>
          </w:rPr>
          <w:t>press@eesc.europa.eu</w:t>
        </w:r>
      </w:hyperlink>
    </w:p>
    <w:p w:rsidR="008F1C4C" w:rsidRPr="00723521" w:rsidRDefault="008F1C4C" w:rsidP="00723521">
      <w:pPr>
        <w:overflowPunct w:val="0"/>
        <w:adjustRightInd w:val="0"/>
        <w:spacing w:line="240" w:lineRule="auto"/>
        <w:jc w:val="center"/>
        <w:textAlignment w:val="baseline"/>
        <w:rPr>
          <w:rFonts w:ascii="Verdana" w:eastAsia="PMingLiU" w:hAnsi="Verdana"/>
          <w:sz w:val="18"/>
        </w:rPr>
      </w:pPr>
      <w:r>
        <w:rPr>
          <w:rFonts w:ascii="Verdana" w:hAnsi="Verdana"/>
          <w:sz w:val="18"/>
        </w:rPr>
        <w:t xml:space="preserve">Tel.: +32 2 546 8753 / </w:t>
      </w:r>
      <w:proofErr w:type="spellStart"/>
      <w:r>
        <w:rPr>
          <w:rFonts w:ascii="Verdana" w:hAnsi="Verdana"/>
          <w:sz w:val="18"/>
        </w:rPr>
        <w:t>Mobiltel</w:t>
      </w:r>
      <w:proofErr w:type="spellEnd"/>
      <w:r>
        <w:rPr>
          <w:rFonts w:ascii="Verdana" w:hAnsi="Verdana"/>
          <w:sz w:val="18"/>
        </w:rPr>
        <w:t>.: +32 498 383038</w:t>
      </w:r>
    </w:p>
    <w:p w:rsidR="008F1C4C" w:rsidRPr="00723521" w:rsidRDefault="008F1C4C" w:rsidP="00723521">
      <w:pPr>
        <w:overflowPunct w:val="0"/>
        <w:adjustRightInd w:val="0"/>
        <w:spacing w:line="240" w:lineRule="auto"/>
        <w:jc w:val="center"/>
        <w:textAlignment w:val="baseline"/>
        <w:rPr>
          <w:rFonts w:ascii="Verdana" w:eastAsia="PMingLiU" w:hAnsi="Verdana"/>
          <w:b/>
          <w:sz w:val="16"/>
        </w:rPr>
      </w:pPr>
      <w:r>
        <w:rPr>
          <w:rFonts w:ascii="Verdana" w:hAnsi="Verdana"/>
          <w:b/>
          <w:sz w:val="16"/>
        </w:rPr>
        <w:t>@EESC_PRESS</w:t>
      </w:r>
    </w:p>
    <w:p w:rsidR="008F1C4C" w:rsidRPr="00723521" w:rsidRDefault="008F1C4C" w:rsidP="00723521">
      <w:pPr>
        <w:overflowPunct w:val="0"/>
        <w:adjustRightInd w:val="0"/>
        <w:spacing w:line="240" w:lineRule="auto"/>
        <w:jc w:val="center"/>
        <w:textAlignment w:val="baseline"/>
        <w:rPr>
          <w:rFonts w:ascii="Verdana" w:eastAsia="PMingLiU" w:hAnsi="Verdana"/>
          <w:b/>
          <w:sz w:val="16"/>
        </w:rPr>
      </w:pPr>
    </w:p>
    <w:p w:rsidR="008F1C4C" w:rsidRPr="00723521" w:rsidRDefault="008F1C4C" w:rsidP="00723521">
      <w:pPr>
        <w:overflowPunct w:val="0"/>
        <w:adjustRightInd w:val="0"/>
        <w:spacing w:line="240" w:lineRule="auto"/>
        <w:jc w:val="center"/>
        <w:textAlignment w:val="baseline"/>
        <w:rPr>
          <w:rFonts w:ascii="Verdana" w:eastAsia="PMingLiU" w:hAnsi="Verdana"/>
          <w:b/>
          <w:sz w:val="16"/>
        </w:rPr>
      </w:pPr>
    </w:p>
    <w:p w:rsidR="008F1C4C" w:rsidRPr="00723521" w:rsidRDefault="008F1C4C" w:rsidP="00723521">
      <w:pPr>
        <w:pBdr>
          <w:top w:val="single" w:sz="4" w:space="1" w:color="auto"/>
          <w:bottom w:val="single" w:sz="4" w:space="1" w:color="auto"/>
        </w:pBdr>
        <w:overflowPunct w:val="0"/>
        <w:adjustRightInd w:val="0"/>
        <w:textAlignment w:val="baseline"/>
        <w:rPr>
          <w:rFonts w:ascii="Verdana" w:hAnsi="Verdana"/>
          <w:i/>
          <w:sz w:val="12"/>
        </w:rPr>
      </w:pPr>
      <w:r>
        <w:rPr>
          <w:rFonts w:ascii="Verdana" w:hAnsi="Verdana"/>
          <w:i/>
          <w:sz w:val="12"/>
        </w:rPr>
        <w:t>Der Europäische Wirtschafts- und Sozialausschuss ist eine beratende Versammlung und wurde 1957 durch die Römischen Verträge errichtet. Dem Ausschuss gehören 350 Mitglieder aus allen EU-Staaten an, die vom Rat der Europäischen Union ernannt werden. Er gewährleistet die Vertretung der verschiedenen wirtschaftlichen und sozialen Bereiche der organisierten Zivilgesellschaft. Im Rahmen seiner beratenden Funktion können seine Mitglieder und damit auch die Organisationen, die sie vertreten, am Beschlussfassungsprozess der EU mitwirken.</w:t>
      </w:r>
    </w:p>
    <w:p w:rsidR="008F1C4C" w:rsidRPr="00723521" w:rsidRDefault="008F1C4C" w:rsidP="00723521">
      <w:pPr>
        <w:overflowPunct w:val="0"/>
        <w:adjustRightInd w:val="0"/>
        <w:ind w:right="-285"/>
        <w:textAlignment w:val="baseline"/>
      </w:pPr>
    </w:p>
    <w:sectPr w:rsidR="008F1C4C" w:rsidRPr="00723521" w:rsidSect="00316A16">
      <w:footerReference w:type="default" r:id="rId18"/>
      <w:type w:val="continuous"/>
      <w:pgSz w:w="11907" w:h="16839" w:code="9"/>
      <w:pgMar w:top="426" w:right="1134" w:bottom="567" w:left="1276" w:header="3062" w:footer="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7CCF4" w15:done="0"/>
  <w15:commentEx w15:paraId="1BFE9D1C" w15:done="0"/>
  <w15:commentEx w15:paraId="11DE0761" w15:done="0"/>
  <w15:commentEx w15:paraId="0DCDBD4D" w15:done="0"/>
  <w15:commentEx w15:paraId="28E3FB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1F" w:rsidRDefault="0041701F">
      <w:r>
        <w:separator/>
      </w:r>
    </w:p>
  </w:endnote>
  <w:endnote w:type="continuationSeparator" w:id="0">
    <w:p w:rsidR="0041701F" w:rsidRDefault="0041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E3" w:rsidRPr="00EA5513" w:rsidRDefault="00760FE3" w:rsidP="00760FE3">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760FE3" w:rsidRPr="00EA5513" w:rsidRDefault="00760FE3" w:rsidP="00760FE3">
    <w:pPr>
      <w:spacing w:line="240" w:lineRule="auto"/>
      <w:jc w:val="center"/>
      <w:rPr>
        <w:rFonts w:ascii="Verdana" w:hAnsi="Verdana"/>
        <w:sz w:val="16"/>
        <w:lang w:val="fr-BE"/>
      </w:rPr>
    </w:pPr>
    <w:r w:rsidRPr="00EA5513">
      <w:rPr>
        <w:rFonts w:ascii="Verdana" w:hAnsi="Verdana"/>
        <w:sz w:val="16"/>
        <w:lang w:val="fr-BE"/>
      </w:rPr>
      <w:t>Tel. +32 2 546 9779 – Fax +32 25469764</w:t>
    </w:r>
  </w:p>
  <w:p w:rsidR="00760FE3" w:rsidRPr="00EA5513" w:rsidRDefault="00760FE3" w:rsidP="00760FE3">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760FE3" w:rsidRDefault="00760FE3" w:rsidP="00760FE3">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6479E674" wp14:editId="338ADC1D">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712B148E" wp14:editId="1CC08B7E">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21B416A6" wp14:editId="14D5A8C9">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760FE3" w:rsidRDefault="00760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1F" w:rsidRDefault="0041701F">
      <w:r>
        <w:separator/>
      </w:r>
    </w:p>
  </w:footnote>
  <w:footnote w:type="continuationSeparator" w:id="0">
    <w:p w:rsidR="0041701F" w:rsidRDefault="00417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F3936E0"/>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A4E5879"/>
    <w:multiLevelType w:val="hybridMultilevel"/>
    <w:tmpl w:val="35763BDA"/>
    <w:lvl w:ilvl="0" w:tplc="080C0001">
      <w:start w:val="1"/>
      <w:numFmt w:val="bullet"/>
      <w:lvlText w:val=""/>
      <w:lvlJc w:val="left"/>
      <w:pPr>
        <w:ind w:left="436" w:hanging="360"/>
      </w:pPr>
      <w:rPr>
        <w:rFonts w:ascii="Symbol" w:hAnsi="Symbol"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5">
    <w:nsid w:val="2A292D40"/>
    <w:multiLevelType w:val="hybridMultilevel"/>
    <w:tmpl w:val="33F479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3"/>
  </w:num>
  <w:num w:numId="6">
    <w:abstractNumId w:val="14"/>
  </w:num>
  <w:num w:numId="7">
    <w:abstractNumId w:val="2"/>
  </w:num>
  <w:num w:numId="8">
    <w:abstractNumId w:val="19"/>
  </w:num>
  <w:num w:numId="9">
    <w:abstractNumId w:val="18"/>
  </w:num>
  <w:num w:numId="10">
    <w:abstractNumId w:val="17"/>
  </w:num>
  <w:num w:numId="11">
    <w:abstractNumId w:val="15"/>
  </w:num>
  <w:num w:numId="12">
    <w:abstractNumId w:val="9"/>
  </w:num>
  <w:num w:numId="13">
    <w:abstractNumId w:val="6"/>
  </w:num>
  <w:num w:numId="14">
    <w:abstractNumId w:val="12"/>
  </w:num>
  <w:num w:numId="15">
    <w:abstractNumId w:val="16"/>
  </w:num>
  <w:num w:numId="16">
    <w:abstractNumId w:val="10"/>
  </w:num>
  <w:num w:numId="17">
    <w:abstractNumId w:val="8"/>
  </w:num>
  <w:num w:numId="18">
    <w:abstractNumId w:val="7"/>
  </w:num>
  <w:num w:numId="19">
    <w:abstractNumId w:val="4"/>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Barcelo">
    <w15:presenceInfo w15:providerId="AD" w15:userId="S-1-5-21-1844237615-823518204-725345543-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076"/>
    <w:rsid w:val="000043FE"/>
    <w:rsid w:val="00006BFC"/>
    <w:rsid w:val="00007BAE"/>
    <w:rsid w:val="00011DF5"/>
    <w:rsid w:val="00013FCD"/>
    <w:rsid w:val="00014237"/>
    <w:rsid w:val="00015733"/>
    <w:rsid w:val="00020154"/>
    <w:rsid w:val="00020923"/>
    <w:rsid w:val="0002324B"/>
    <w:rsid w:val="00025BD2"/>
    <w:rsid w:val="00025EE7"/>
    <w:rsid w:val="00030CC9"/>
    <w:rsid w:val="00030F5D"/>
    <w:rsid w:val="00032159"/>
    <w:rsid w:val="0003364B"/>
    <w:rsid w:val="0003423E"/>
    <w:rsid w:val="00034390"/>
    <w:rsid w:val="00034652"/>
    <w:rsid w:val="00034AD4"/>
    <w:rsid w:val="00036A1D"/>
    <w:rsid w:val="0003721F"/>
    <w:rsid w:val="00037276"/>
    <w:rsid w:val="000404B0"/>
    <w:rsid w:val="0004507B"/>
    <w:rsid w:val="0004647E"/>
    <w:rsid w:val="000465B9"/>
    <w:rsid w:val="0004715C"/>
    <w:rsid w:val="00051E4A"/>
    <w:rsid w:val="00052678"/>
    <w:rsid w:val="00052F16"/>
    <w:rsid w:val="000538AA"/>
    <w:rsid w:val="00053E58"/>
    <w:rsid w:val="0005451D"/>
    <w:rsid w:val="00055FCC"/>
    <w:rsid w:val="00060A4A"/>
    <w:rsid w:val="000615BB"/>
    <w:rsid w:val="000619B0"/>
    <w:rsid w:val="00061D4C"/>
    <w:rsid w:val="000635F1"/>
    <w:rsid w:val="00063CC1"/>
    <w:rsid w:val="00064EF7"/>
    <w:rsid w:val="00064F28"/>
    <w:rsid w:val="00066E4E"/>
    <w:rsid w:val="00067F21"/>
    <w:rsid w:val="00070AF6"/>
    <w:rsid w:val="00071FC9"/>
    <w:rsid w:val="00076BEA"/>
    <w:rsid w:val="00077FE9"/>
    <w:rsid w:val="000817CB"/>
    <w:rsid w:val="000828FE"/>
    <w:rsid w:val="0008497D"/>
    <w:rsid w:val="00084AD6"/>
    <w:rsid w:val="00086050"/>
    <w:rsid w:val="000879CA"/>
    <w:rsid w:val="000879FC"/>
    <w:rsid w:val="000910A8"/>
    <w:rsid w:val="00096E97"/>
    <w:rsid w:val="00096F3D"/>
    <w:rsid w:val="00097EA7"/>
    <w:rsid w:val="000A1EAD"/>
    <w:rsid w:val="000A270E"/>
    <w:rsid w:val="000A4A23"/>
    <w:rsid w:val="000B2D57"/>
    <w:rsid w:val="000B5D55"/>
    <w:rsid w:val="000B7D90"/>
    <w:rsid w:val="000C11FB"/>
    <w:rsid w:val="000C303E"/>
    <w:rsid w:val="000C364F"/>
    <w:rsid w:val="000C6069"/>
    <w:rsid w:val="000C627B"/>
    <w:rsid w:val="000C716C"/>
    <w:rsid w:val="000C7C0C"/>
    <w:rsid w:val="000C7FAF"/>
    <w:rsid w:val="000D486C"/>
    <w:rsid w:val="000D50AD"/>
    <w:rsid w:val="000D5B36"/>
    <w:rsid w:val="000E05AC"/>
    <w:rsid w:val="000E363A"/>
    <w:rsid w:val="000E51CA"/>
    <w:rsid w:val="000F0EA4"/>
    <w:rsid w:val="000F0ECB"/>
    <w:rsid w:val="000F2326"/>
    <w:rsid w:val="000F282C"/>
    <w:rsid w:val="000F3377"/>
    <w:rsid w:val="000F5238"/>
    <w:rsid w:val="000F5572"/>
    <w:rsid w:val="000F56F6"/>
    <w:rsid w:val="000F68E1"/>
    <w:rsid w:val="000F7AED"/>
    <w:rsid w:val="000F7DB1"/>
    <w:rsid w:val="00101BC1"/>
    <w:rsid w:val="00102967"/>
    <w:rsid w:val="00104DFA"/>
    <w:rsid w:val="00110E35"/>
    <w:rsid w:val="00111E4B"/>
    <w:rsid w:val="0011271F"/>
    <w:rsid w:val="00120D27"/>
    <w:rsid w:val="00122176"/>
    <w:rsid w:val="001277F0"/>
    <w:rsid w:val="0013137C"/>
    <w:rsid w:val="00134081"/>
    <w:rsid w:val="00134638"/>
    <w:rsid w:val="0013475E"/>
    <w:rsid w:val="00140B6A"/>
    <w:rsid w:val="00140C54"/>
    <w:rsid w:val="00142677"/>
    <w:rsid w:val="00142C2E"/>
    <w:rsid w:val="00143087"/>
    <w:rsid w:val="00147673"/>
    <w:rsid w:val="00150E62"/>
    <w:rsid w:val="00153D2D"/>
    <w:rsid w:val="00156D37"/>
    <w:rsid w:val="001606A0"/>
    <w:rsid w:val="00161E2C"/>
    <w:rsid w:val="0016320F"/>
    <w:rsid w:val="00163DC2"/>
    <w:rsid w:val="001659B2"/>
    <w:rsid w:val="00166961"/>
    <w:rsid w:val="00166F36"/>
    <w:rsid w:val="00171080"/>
    <w:rsid w:val="001719C4"/>
    <w:rsid w:val="00171A3C"/>
    <w:rsid w:val="00175643"/>
    <w:rsid w:val="00175E42"/>
    <w:rsid w:val="00176074"/>
    <w:rsid w:val="00176265"/>
    <w:rsid w:val="00184FF0"/>
    <w:rsid w:val="0018613F"/>
    <w:rsid w:val="00186AFA"/>
    <w:rsid w:val="00187163"/>
    <w:rsid w:val="001904EC"/>
    <w:rsid w:val="00195EC3"/>
    <w:rsid w:val="00195FF1"/>
    <w:rsid w:val="00196A57"/>
    <w:rsid w:val="0019737E"/>
    <w:rsid w:val="001A3945"/>
    <w:rsid w:val="001A5263"/>
    <w:rsid w:val="001A6469"/>
    <w:rsid w:val="001B2C42"/>
    <w:rsid w:val="001B5975"/>
    <w:rsid w:val="001B5A5C"/>
    <w:rsid w:val="001B766C"/>
    <w:rsid w:val="001C0AA9"/>
    <w:rsid w:val="001C3B23"/>
    <w:rsid w:val="001C3C77"/>
    <w:rsid w:val="001C6D61"/>
    <w:rsid w:val="001D19EB"/>
    <w:rsid w:val="001D48D4"/>
    <w:rsid w:val="001D4ADB"/>
    <w:rsid w:val="001E0762"/>
    <w:rsid w:val="001F2DFD"/>
    <w:rsid w:val="001F3BB0"/>
    <w:rsid w:val="001F43BE"/>
    <w:rsid w:val="001F4612"/>
    <w:rsid w:val="001F4A23"/>
    <w:rsid w:val="001F729B"/>
    <w:rsid w:val="001F7D5E"/>
    <w:rsid w:val="0020436C"/>
    <w:rsid w:val="00205AEA"/>
    <w:rsid w:val="00210581"/>
    <w:rsid w:val="002123FF"/>
    <w:rsid w:val="002143F5"/>
    <w:rsid w:val="00216FC7"/>
    <w:rsid w:val="00221FFA"/>
    <w:rsid w:val="0022235E"/>
    <w:rsid w:val="00222392"/>
    <w:rsid w:val="00223635"/>
    <w:rsid w:val="002253A0"/>
    <w:rsid w:val="00225BF6"/>
    <w:rsid w:val="0022628B"/>
    <w:rsid w:val="00227A31"/>
    <w:rsid w:val="00231EA2"/>
    <w:rsid w:val="00235A71"/>
    <w:rsid w:val="00240E1C"/>
    <w:rsid w:val="002431C3"/>
    <w:rsid w:val="002439E3"/>
    <w:rsid w:val="00244B53"/>
    <w:rsid w:val="0024520B"/>
    <w:rsid w:val="002474B4"/>
    <w:rsid w:val="00247522"/>
    <w:rsid w:val="00247BB5"/>
    <w:rsid w:val="00251322"/>
    <w:rsid w:val="002520BE"/>
    <w:rsid w:val="002562CD"/>
    <w:rsid w:val="00257B3A"/>
    <w:rsid w:val="00273102"/>
    <w:rsid w:val="002734F3"/>
    <w:rsid w:val="00273CDE"/>
    <w:rsid w:val="00274CA5"/>
    <w:rsid w:val="0027565F"/>
    <w:rsid w:val="0027648C"/>
    <w:rsid w:val="002771BA"/>
    <w:rsid w:val="00277A96"/>
    <w:rsid w:val="00277AA4"/>
    <w:rsid w:val="0028064E"/>
    <w:rsid w:val="002814CB"/>
    <w:rsid w:val="00283BAD"/>
    <w:rsid w:val="00283C06"/>
    <w:rsid w:val="00286BD7"/>
    <w:rsid w:val="0029167B"/>
    <w:rsid w:val="00294C2A"/>
    <w:rsid w:val="002953EA"/>
    <w:rsid w:val="00295537"/>
    <w:rsid w:val="00296B63"/>
    <w:rsid w:val="002A2433"/>
    <w:rsid w:val="002A2C6F"/>
    <w:rsid w:val="002A30BA"/>
    <w:rsid w:val="002A3668"/>
    <w:rsid w:val="002B04A8"/>
    <w:rsid w:val="002B290E"/>
    <w:rsid w:val="002B44DE"/>
    <w:rsid w:val="002B6234"/>
    <w:rsid w:val="002B640B"/>
    <w:rsid w:val="002B67A9"/>
    <w:rsid w:val="002B7F00"/>
    <w:rsid w:val="002C0269"/>
    <w:rsid w:val="002C5AD0"/>
    <w:rsid w:val="002C5CBB"/>
    <w:rsid w:val="002C7E87"/>
    <w:rsid w:val="002D08ED"/>
    <w:rsid w:val="002D12B2"/>
    <w:rsid w:val="002D22E9"/>
    <w:rsid w:val="002D685E"/>
    <w:rsid w:val="002D6898"/>
    <w:rsid w:val="002D7A8C"/>
    <w:rsid w:val="002E1022"/>
    <w:rsid w:val="002E14FC"/>
    <w:rsid w:val="002E1924"/>
    <w:rsid w:val="002E6F72"/>
    <w:rsid w:val="002E75A0"/>
    <w:rsid w:val="002F04D7"/>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A16"/>
    <w:rsid w:val="00316F54"/>
    <w:rsid w:val="00321325"/>
    <w:rsid w:val="003220A9"/>
    <w:rsid w:val="00324538"/>
    <w:rsid w:val="00325F72"/>
    <w:rsid w:val="00326801"/>
    <w:rsid w:val="0032772F"/>
    <w:rsid w:val="003305C3"/>
    <w:rsid w:val="00330C30"/>
    <w:rsid w:val="00331AED"/>
    <w:rsid w:val="003327CC"/>
    <w:rsid w:val="00335A37"/>
    <w:rsid w:val="00337F0A"/>
    <w:rsid w:val="00340947"/>
    <w:rsid w:val="00343D5E"/>
    <w:rsid w:val="0034531E"/>
    <w:rsid w:val="0034670B"/>
    <w:rsid w:val="003532CC"/>
    <w:rsid w:val="00353453"/>
    <w:rsid w:val="00354CB8"/>
    <w:rsid w:val="0035564F"/>
    <w:rsid w:val="00356045"/>
    <w:rsid w:val="003570E9"/>
    <w:rsid w:val="00357B53"/>
    <w:rsid w:val="00357D8C"/>
    <w:rsid w:val="0036045A"/>
    <w:rsid w:val="003623F9"/>
    <w:rsid w:val="00362786"/>
    <w:rsid w:val="00364AEC"/>
    <w:rsid w:val="00364ED2"/>
    <w:rsid w:val="00365244"/>
    <w:rsid w:val="00365D48"/>
    <w:rsid w:val="00370239"/>
    <w:rsid w:val="003708A5"/>
    <w:rsid w:val="00374372"/>
    <w:rsid w:val="00374C88"/>
    <w:rsid w:val="00376637"/>
    <w:rsid w:val="003834F7"/>
    <w:rsid w:val="00384E41"/>
    <w:rsid w:val="0038574A"/>
    <w:rsid w:val="00386F1F"/>
    <w:rsid w:val="003874EA"/>
    <w:rsid w:val="003915BE"/>
    <w:rsid w:val="00392CB8"/>
    <w:rsid w:val="00394D81"/>
    <w:rsid w:val="003A66C0"/>
    <w:rsid w:val="003B0ACC"/>
    <w:rsid w:val="003B2616"/>
    <w:rsid w:val="003B62F4"/>
    <w:rsid w:val="003B6494"/>
    <w:rsid w:val="003B714A"/>
    <w:rsid w:val="003C05D0"/>
    <w:rsid w:val="003C1CFE"/>
    <w:rsid w:val="003C21F5"/>
    <w:rsid w:val="003C3451"/>
    <w:rsid w:val="003C5624"/>
    <w:rsid w:val="003C6D1A"/>
    <w:rsid w:val="003C7BF9"/>
    <w:rsid w:val="003D2255"/>
    <w:rsid w:val="003D3552"/>
    <w:rsid w:val="003D3772"/>
    <w:rsid w:val="003D465F"/>
    <w:rsid w:val="003D64E9"/>
    <w:rsid w:val="003D7E38"/>
    <w:rsid w:val="003E1E99"/>
    <w:rsid w:val="003E5EB2"/>
    <w:rsid w:val="003F4711"/>
    <w:rsid w:val="003F5C5E"/>
    <w:rsid w:val="003F73CB"/>
    <w:rsid w:val="00401766"/>
    <w:rsid w:val="00404BEC"/>
    <w:rsid w:val="00406F00"/>
    <w:rsid w:val="00406FBD"/>
    <w:rsid w:val="0041021B"/>
    <w:rsid w:val="00412D3D"/>
    <w:rsid w:val="00415811"/>
    <w:rsid w:val="004161B8"/>
    <w:rsid w:val="0041701F"/>
    <w:rsid w:val="00420C6F"/>
    <w:rsid w:val="00421579"/>
    <w:rsid w:val="004219B7"/>
    <w:rsid w:val="00422C7A"/>
    <w:rsid w:val="00424DA8"/>
    <w:rsid w:val="00424F74"/>
    <w:rsid w:val="00425160"/>
    <w:rsid w:val="004251EC"/>
    <w:rsid w:val="004258C4"/>
    <w:rsid w:val="00425C6D"/>
    <w:rsid w:val="0043055C"/>
    <w:rsid w:val="00430A45"/>
    <w:rsid w:val="00431CA6"/>
    <w:rsid w:val="00432726"/>
    <w:rsid w:val="0043687E"/>
    <w:rsid w:val="00436BF3"/>
    <w:rsid w:val="00436FBF"/>
    <w:rsid w:val="00442FC6"/>
    <w:rsid w:val="0044429E"/>
    <w:rsid w:val="004443A5"/>
    <w:rsid w:val="0044523F"/>
    <w:rsid w:val="00445F73"/>
    <w:rsid w:val="00447746"/>
    <w:rsid w:val="0045424F"/>
    <w:rsid w:val="004605FD"/>
    <w:rsid w:val="00460FE4"/>
    <w:rsid w:val="00462AF4"/>
    <w:rsid w:val="00465C38"/>
    <w:rsid w:val="00470B59"/>
    <w:rsid w:val="0047111F"/>
    <w:rsid w:val="00471681"/>
    <w:rsid w:val="00472D63"/>
    <w:rsid w:val="00473E94"/>
    <w:rsid w:val="004775EF"/>
    <w:rsid w:val="004809B3"/>
    <w:rsid w:val="00485300"/>
    <w:rsid w:val="00487258"/>
    <w:rsid w:val="00490528"/>
    <w:rsid w:val="004908CA"/>
    <w:rsid w:val="00492D0F"/>
    <w:rsid w:val="00494BBC"/>
    <w:rsid w:val="00495BF2"/>
    <w:rsid w:val="004969A2"/>
    <w:rsid w:val="00496C47"/>
    <w:rsid w:val="004A114B"/>
    <w:rsid w:val="004A35E4"/>
    <w:rsid w:val="004A391C"/>
    <w:rsid w:val="004A60E3"/>
    <w:rsid w:val="004A7307"/>
    <w:rsid w:val="004B05C0"/>
    <w:rsid w:val="004B2C2A"/>
    <w:rsid w:val="004B5BC1"/>
    <w:rsid w:val="004C1A83"/>
    <w:rsid w:val="004C230E"/>
    <w:rsid w:val="004C3C68"/>
    <w:rsid w:val="004C44EE"/>
    <w:rsid w:val="004C46EF"/>
    <w:rsid w:val="004C5DAA"/>
    <w:rsid w:val="004C75C9"/>
    <w:rsid w:val="004D1CDB"/>
    <w:rsid w:val="004D1E68"/>
    <w:rsid w:val="004D47BD"/>
    <w:rsid w:val="004D4A2F"/>
    <w:rsid w:val="004D5C3D"/>
    <w:rsid w:val="004E05DC"/>
    <w:rsid w:val="004E08FC"/>
    <w:rsid w:val="004E0E3E"/>
    <w:rsid w:val="004E1858"/>
    <w:rsid w:val="004E54E9"/>
    <w:rsid w:val="004E6C85"/>
    <w:rsid w:val="004F0803"/>
    <w:rsid w:val="004F2551"/>
    <w:rsid w:val="004F3E26"/>
    <w:rsid w:val="004F4806"/>
    <w:rsid w:val="00503B6B"/>
    <w:rsid w:val="00503DA7"/>
    <w:rsid w:val="0050549C"/>
    <w:rsid w:val="005060EF"/>
    <w:rsid w:val="0050638B"/>
    <w:rsid w:val="005070FA"/>
    <w:rsid w:val="00507234"/>
    <w:rsid w:val="005130D0"/>
    <w:rsid w:val="00516D5B"/>
    <w:rsid w:val="00520EBE"/>
    <w:rsid w:val="00521032"/>
    <w:rsid w:val="005269FE"/>
    <w:rsid w:val="005270ED"/>
    <w:rsid w:val="0052786C"/>
    <w:rsid w:val="00531C0E"/>
    <w:rsid w:val="00535C1F"/>
    <w:rsid w:val="0053720C"/>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4298"/>
    <w:rsid w:val="005658B4"/>
    <w:rsid w:val="005666AE"/>
    <w:rsid w:val="00571DB0"/>
    <w:rsid w:val="00573726"/>
    <w:rsid w:val="00573A82"/>
    <w:rsid w:val="00575DF5"/>
    <w:rsid w:val="00577478"/>
    <w:rsid w:val="0058245B"/>
    <w:rsid w:val="00583BA9"/>
    <w:rsid w:val="00585DFE"/>
    <w:rsid w:val="00586088"/>
    <w:rsid w:val="00587B01"/>
    <w:rsid w:val="00592F92"/>
    <w:rsid w:val="00593672"/>
    <w:rsid w:val="00593FD0"/>
    <w:rsid w:val="00594C5F"/>
    <w:rsid w:val="00594EDB"/>
    <w:rsid w:val="00595856"/>
    <w:rsid w:val="00597197"/>
    <w:rsid w:val="005A09BA"/>
    <w:rsid w:val="005A0E90"/>
    <w:rsid w:val="005A1085"/>
    <w:rsid w:val="005A3FBA"/>
    <w:rsid w:val="005A5F44"/>
    <w:rsid w:val="005A6AA2"/>
    <w:rsid w:val="005B0890"/>
    <w:rsid w:val="005B1F8B"/>
    <w:rsid w:val="005B203C"/>
    <w:rsid w:val="005B3342"/>
    <w:rsid w:val="005B3724"/>
    <w:rsid w:val="005B49DA"/>
    <w:rsid w:val="005B53B3"/>
    <w:rsid w:val="005B584C"/>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D74F8"/>
    <w:rsid w:val="005E1BBF"/>
    <w:rsid w:val="005E2EAF"/>
    <w:rsid w:val="005E391A"/>
    <w:rsid w:val="005E6547"/>
    <w:rsid w:val="005E7648"/>
    <w:rsid w:val="005F080E"/>
    <w:rsid w:val="005F1943"/>
    <w:rsid w:val="005F42C5"/>
    <w:rsid w:val="005F4F14"/>
    <w:rsid w:val="005F65F7"/>
    <w:rsid w:val="005F71C5"/>
    <w:rsid w:val="005F76F2"/>
    <w:rsid w:val="006032C8"/>
    <w:rsid w:val="006049FA"/>
    <w:rsid w:val="00604F68"/>
    <w:rsid w:val="00604FB8"/>
    <w:rsid w:val="00605496"/>
    <w:rsid w:val="006076F5"/>
    <w:rsid w:val="0060771D"/>
    <w:rsid w:val="00610D74"/>
    <w:rsid w:val="0061288B"/>
    <w:rsid w:val="006143C2"/>
    <w:rsid w:val="006148A6"/>
    <w:rsid w:val="006171F3"/>
    <w:rsid w:val="00626C38"/>
    <w:rsid w:val="00627902"/>
    <w:rsid w:val="006300C9"/>
    <w:rsid w:val="006309A7"/>
    <w:rsid w:val="006333E0"/>
    <w:rsid w:val="006371D8"/>
    <w:rsid w:val="00643B6D"/>
    <w:rsid w:val="00644672"/>
    <w:rsid w:val="006479E7"/>
    <w:rsid w:val="00647E74"/>
    <w:rsid w:val="00660AC6"/>
    <w:rsid w:val="00661B63"/>
    <w:rsid w:val="00662EE3"/>
    <w:rsid w:val="00663D53"/>
    <w:rsid w:val="00663F9C"/>
    <w:rsid w:val="006643D9"/>
    <w:rsid w:val="00664630"/>
    <w:rsid w:val="00664DF7"/>
    <w:rsid w:val="00667152"/>
    <w:rsid w:val="0067262C"/>
    <w:rsid w:val="006755EE"/>
    <w:rsid w:val="00676157"/>
    <w:rsid w:val="00676C70"/>
    <w:rsid w:val="00680869"/>
    <w:rsid w:val="006817A0"/>
    <w:rsid w:val="0068233E"/>
    <w:rsid w:val="00685B4B"/>
    <w:rsid w:val="00686EC2"/>
    <w:rsid w:val="006962DB"/>
    <w:rsid w:val="00696394"/>
    <w:rsid w:val="00697C97"/>
    <w:rsid w:val="00697E02"/>
    <w:rsid w:val="006A011F"/>
    <w:rsid w:val="006A551E"/>
    <w:rsid w:val="006A7CB6"/>
    <w:rsid w:val="006B1A72"/>
    <w:rsid w:val="006B2DFA"/>
    <w:rsid w:val="006B49A6"/>
    <w:rsid w:val="006B6E1C"/>
    <w:rsid w:val="006B7DCE"/>
    <w:rsid w:val="006C07A6"/>
    <w:rsid w:val="006C15A4"/>
    <w:rsid w:val="006C253F"/>
    <w:rsid w:val="006C280E"/>
    <w:rsid w:val="006C36A4"/>
    <w:rsid w:val="006C5042"/>
    <w:rsid w:val="006C5F55"/>
    <w:rsid w:val="006D007C"/>
    <w:rsid w:val="006D0D46"/>
    <w:rsid w:val="006D1B4B"/>
    <w:rsid w:val="006D1C04"/>
    <w:rsid w:val="006D2EDD"/>
    <w:rsid w:val="006D3D74"/>
    <w:rsid w:val="006D4C8F"/>
    <w:rsid w:val="006D6889"/>
    <w:rsid w:val="006E089C"/>
    <w:rsid w:val="006E08F3"/>
    <w:rsid w:val="006E1765"/>
    <w:rsid w:val="006E1C6B"/>
    <w:rsid w:val="006E40E3"/>
    <w:rsid w:val="006E5144"/>
    <w:rsid w:val="006E75D0"/>
    <w:rsid w:val="006E7843"/>
    <w:rsid w:val="006F1DBA"/>
    <w:rsid w:val="006F57F6"/>
    <w:rsid w:val="0070012D"/>
    <w:rsid w:val="00700F63"/>
    <w:rsid w:val="00701DF5"/>
    <w:rsid w:val="0070211A"/>
    <w:rsid w:val="00702CC2"/>
    <w:rsid w:val="00702F26"/>
    <w:rsid w:val="0071010B"/>
    <w:rsid w:val="007123AD"/>
    <w:rsid w:val="00712EA3"/>
    <w:rsid w:val="00713E75"/>
    <w:rsid w:val="00714F5F"/>
    <w:rsid w:val="007156A9"/>
    <w:rsid w:val="0071617F"/>
    <w:rsid w:val="00723521"/>
    <w:rsid w:val="007244AD"/>
    <w:rsid w:val="0072451D"/>
    <w:rsid w:val="00724E3B"/>
    <w:rsid w:val="00725FEE"/>
    <w:rsid w:val="00726590"/>
    <w:rsid w:val="00727BD0"/>
    <w:rsid w:val="00732E78"/>
    <w:rsid w:val="00734330"/>
    <w:rsid w:val="00740F79"/>
    <w:rsid w:val="00741FFA"/>
    <w:rsid w:val="007423BD"/>
    <w:rsid w:val="007423E6"/>
    <w:rsid w:val="00742761"/>
    <w:rsid w:val="00742CC2"/>
    <w:rsid w:val="00744947"/>
    <w:rsid w:val="00745939"/>
    <w:rsid w:val="007459F3"/>
    <w:rsid w:val="007467A6"/>
    <w:rsid w:val="00753402"/>
    <w:rsid w:val="007542C6"/>
    <w:rsid w:val="0075747C"/>
    <w:rsid w:val="00760FE3"/>
    <w:rsid w:val="007624AC"/>
    <w:rsid w:val="00764771"/>
    <w:rsid w:val="007730F1"/>
    <w:rsid w:val="007744F6"/>
    <w:rsid w:val="0077590D"/>
    <w:rsid w:val="00776594"/>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4BE8"/>
    <w:rsid w:val="007A5486"/>
    <w:rsid w:val="007A7515"/>
    <w:rsid w:val="007B03FF"/>
    <w:rsid w:val="007B0A91"/>
    <w:rsid w:val="007B245C"/>
    <w:rsid w:val="007B247D"/>
    <w:rsid w:val="007B3175"/>
    <w:rsid w:val="007B5659"/>
    <w:rsid w:val="007B56CD"/>
    <w:rsid w:val="007C07B7"/>
    <w:rsid w:val="007C1DDE"/>
    <w:rsid w:val="007C72FC"/>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1D3B"/>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356AD"/>
    <w:rsid w:val="00842B81"/>
    <w:rsid w:val="00844A5C"/>
    <w:rsid w:val="008512DF"/>
    <w:rsid w:val="008534A3"/>
    <w:rsid w:val="0085352B"/>
    <w:rsid w:val="00854001"/>
    <w:rsid w:val="0085464F"/>
    <w:rsid w:val="008605DC"/>
    <w:rsid w:val="00862C04"/>
    <w:rsid w:val="00863AB1"/>
    <w:rsid w:val="0086517A"/>
    <w:rsid w:val="0086606E"/>
    <w:rsid w:val="00867162"/>
    <w:rsid w:val="0087205A"/>
    <w:rsid w:val="00876120"/>
    <w:rsid w:val="008775D1"/>
    <w:rsid w:val="008820BE"/>
    <w:rsid w:val="00883365"/>
    <w:rsid w:val="008843A7"/>
    <w:rsid w:val="008927DF"/>
    <w:rsid w:val="00893C91"/>
    <w:rsid w:val="0089481B"/>
    <w:rsid w:val="008A0E9A"/>
    <w:rsid w:val="008A1257"/>
    <w:rsid w:val="008A2477"/>
    <w:rsid w:val="008A70B5"/>
    <w:rsid w:val="008A7BC8"/>
    <w:rsid w:val="008B1A2E"/>
    <w:rsid w:val="008B2369"/>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C4C"/>
    <w:rsid w:val="008F6BD3"/>
    <w:rsid w:val="00900C21"/>
    <w:rsid w:val="00903521"/>
    <w:rsid w:val="00904D1E"/>
    <w:rsid w:val="00905F70"/>
    <w:rsid w:val="0091006B"/>
    <w:rsid w:val="00910D82"/>
    <w:rsid w:val="00910EE7"/>
    <w:rsid w:val="00912242"/>
    <w:rsid w:val="009136D6"/>
    <w:rsid w:val="00913BE8"/>
    <w:rsid w:val="00913F2E"/>
    <w:rsid w:val="00913FEC"/>
    <w:rsid w:val="00915CDD"/>
    <w:rsid w:val="009165FC"/>
    <w:rsid w:val="009214B5"/>
    <w:rsid w:val="00922B6E"/>
    <w:rsid w:val="009243BD"/>
    <w:rsid w:val="009252C8"/>
    <w:rsid w:val="00926E0B"/>
    <w:rsid w:val="00927D51"/>
    <w:rsid w:val="00930B90"/>
    <w:rsid w:val="00932269"/>
    <w:rsid w:val="00936E72"/>
    <w:rsid w:val="0094216D"/>
    <w:rsid w:val="009426CB"/>
    <w:rsid w:val="00942C1C"/>
    <w:rsid w:val="0094479E"/>
    <w:rsid w:val="00945EB0"/>
    <w:rsid w:val="00950750"/>
    <w:rsid w:val="009507B5"/>
    <w:rsid w:val="00952914"/>
    <w:rsid w:val="009533B3"/>
    <w:rsid w:val="009560DF"/>
    <w:rsid w:val="00956DCA"/>
    <w:rsid w:val="00957D71"/>
    <w:rsid w:val="00960E94"/>
    <w:rsid w:val="00961216"/>
    <w:rsid w:val="009623D9"/>
    <w:rsid w:val="0096658E"/>
    <w:rsid w:val="00966CA0"/>
    <w:rsid w:val="00967547"/>
    <w:rsid w:val="00967844"/>
    <w:rsid w:val="009678A3"/>
    <w:rsid w:val="00970035"/>
    <w:rsid w:val="00971F14"/>
    <w:rsid w:val="0097280B"/>
    <w:rsid w:val="009777E2"/>
    <w:rsid w:val="009779D6"/>
    <w:rsid w:val="00980840"/>
    <w:rsid w:val="00980B74"/>
    <w:rsid w:val="009852B8"/>
    <w:rsid w:val="00990350"/>
    <w:rsid w:val="00993234"/>
    <w:rsid w:val="00994326"/>
    <w:rsid w:val="00996D8C"/>
    <w:rsid w:val="00997755"/>
    <w:rsid w:val="009A098F"/>
    <w:rsid w:val="009A0D29"/>
    <w:rsid w:val="009A124F"/>
    <w:rsid w:val="009A1B0D"/>
    <w:rsid w:val="009A299E"/>
    <w:rsid w:val="009A348E"/>
    <w:rsid w:val="009A6937"/>
    <w:rsid w:val="009B00D5"/>
    <w:rsid w:val="009B1860"/>
    <w:rsid w:val="009B1FEF"/>
    <w:rsid w:val="009B2305"/>
    <w:rsid w:val="009B2498"/>
    <w:rsid w:val="009B3DCB"/>
    <w:rsid w:val="009B5355"/>
    <w:rsid w:val="009B5C09"/>
    <w:rsid w:val="009C11F1"/>
    <w:rsid w:val="009C2FCF"/>
    <w:rsid w:val="009C32A8"/>
    <w:rsid w:val="009C6426"/>
    <w:rsid w:val="009D02B8"/>
    <w:rsid w:val="009D05C9"/>
    <w:rsid w:val="009D3988"/>
    <w:rsid w:val="009D663A"/>
    <w:rsid w:val="009D7FA3"/>
    <w:rsid w:val="009E0550"/>
    <w:rsid w:val="009E095D"/>
    <w:rsid w:val="009E2E56"/>
    <w:rsid w:val="009E4D66"/>
    <w:rsid w:val="009E6BF7"/>
    <w:rsid w:val="009E6DD9"/>
    <w:rsid w:val="009E6EA1"/>
    <w:rsid w:val="009E79A3"/>
    <w:rsid w:val="009F1222"/>
    <w:rsid w:val="009F271A"/>
    <w:rsid w:val="009F401B"/>
    <w:rsid w:val="009F5812"/>
    <w:rsid w:val="009F601D"/>
    <w:rsid w:val="009F7B3B"/>
    <w:rsid w:val="00A00EAD"/>
    <w:rsid w:val="00A017B8"/>
    <w:rsid w:val="00A020E6"/>
    <w:rsid w:val="00A022FA"/>
    <w:rsid w:val="00A04AD0"/>
    <w:rsid w:val="00A0571E"/>
    <w:rsid w:val="00A11825"/>
    <w:rsid w:val="00A1195A"/>
    <w:rsid w:val="00A1273D"/>
    <w:rsid w:val="00A13282"/>
    <w:rsid w:val="00A14889"/>
    <w:rsid w:val="00A15E07"/>
    <w:rsid w:val="00A16E4D"/>
    <w:rsid w:val="00A21AF7"/>
    <w:rsid w:val="00A23175"/>
    <w:rsid w:val="00A24A5D"/>
    <w:rsid w:val="00A31439"/>
    <w:rsid w:val="00A32E71"/>
    <w:rsid w:val="00A3590B"/>
    <w:rsid w:val="00A37599"/>
    <w:rsid w:val="00A37B51"/>
    <w:rsid w:val="00A425AD"/>
    <w:rsid w:val="00A4462E"/>
    <w:rsid w:val="00A463F8"/>
    <w:rsid w:val="00A52F1A"/>
    <w:rsid w:val="00A55396"/>
    <w:rsid w:val="00A575FA"/>
    <w:rsid w:val="00A6117B"/>
    <w:rsid w:val="00A618B2"/>
    <w:rsid w:val="00A624A1"/>
    <w:rsid w:val="00A62B8A"/>
    <w:rsid w:val="00A65E93"/>
    <w:rsid w:val="00A700CA"/>
    <w:rsid w:val="00A70714"/>
    <w:rsid w:val="00A71A39"/>
    <w:rsid w:val="00A72EC9"/>
    <w:rsid w:val="00A75B47"/>
    <w:rsid w:val="00A75D31"/>
    <w:rsid w:val="00A801B4"/>
    <w:rsid w:val="00A81F65"/>
    <w:rsid w:val="00A82E6B"/>
    <w:rsid w:val="00A830FA"/>
    <w:rsid w:val="00A83226"/>
    <w:rsid w:val="00A83BB2"/>
    <w:rsid w:val="00A84BEC"/>
    <w:rsid w:val="00A876CF"/>
    <w:rsid w:val="00A9124D"/>
    <w:rsid w:val="00A94C10"/>
    <w:rsid w:val="00A94D22"/>
    <w:rsid w:val="00A95040"/>
    <w:rsid w:val="00A959B3"/>
    <w:rsid w:val="00A96AAE"/>
    <w:rsid w:val="00A9706C"/>
    <w:rsid w:val="00AA0C32"/>
    <w:rsid w:val="00AA1840"/>
    <w:rsid w:val="00AA417D"/>
    <w:rsid w:val="00AA4F6C"/>
    <w:rsid w:val="00AA61D9"/>
    <w:rsid w:val="00AA6F01"/>
    <w:rsid w:val="00AA6FDC"/>
    <w:rsid w:val="00AA7F6C"/>
    <w:rsid w:val="00AB2016"/>
    <w:rsid w:val="00AB4558"/>
    <w:rsid w:val="00AB615A"/>
    <w:rsid w:val="00AB730B"/>
    <w:rsid w:val="00AB797C"/>
    <w:rsid w:val="00AC0976"/>
    <w:rsid w:val="00AC4953"/>
    <w:rsid w:val="00AD1544"/>
    <w:rsid w:val="00AD3B04"/>
    <w:rsid w:val="00AD3E00"/>
    <w:rsid w:val="00AD6BD1"/>
    <w:rsid w:val="00AD716E"/>
    <w:rsid w:val="00AD7710"/>
    <w:rsid w:val="00AD7912"/>
    <w:rsid w:val="00AD7971"/>
    <w:rsid w:val="00AE06D5"/>
    <w:rsid w:val="00AE639D"/>
    <w:rsid w:val="00AF2692"/>
    <w:rsid w:val="00AF2E99"/>
    <w:rsid w:val="00AF3424"/>
    <w:rsid w:val="00AF4700"/>
    <w:rsid w:val="00AF5318"/>
    <w:rsid w:val="00AF7C8E"/>
    <w:rsid w:val="00B017D5"/>
    <w:rsid w:val="00B01A42"/>
    <w:rsid w:val="00B02D84"/>
    <w:rsid w:val="00B03F1A"/>
    <w:rsid w:val="00B04EEE"/>
    <w:rsid w:val="00B05B15"/>
    <w:rsid w:val="00B0677C"/>
    <w:rsid w:val="00B068AD"/>
    <w:rsid w:val="00B07C64"/>
    <w:rsid w:val="00B124EA"/>
    <w:rsid w:val="00B14944"/>
    <w:rsid w:val="00B14B92"/>
    <w:rsid w:val="00B14F1F"/>
    <w:rsid w:val="00B172A0"/>
    <w:rsid w:val="00B173E7"/>
    <w:rsid w:val="00B227EA"/>
    <w:rsid w:val="00B239E2"/>
    <w:rsid w:val="00B31D91"/>
    <w:rsid w:val="00B32F69"/>
    <w:rsid w:val="00B33636"/>
    <w:rsid w:val="00B33867"/>
    <w:rsid w:val="00B3478A"/>
    <w:rsid w:val="00B3530C"/>
    <w:rsid w:val="00B36E03"/>
    <w:rsid w:val="00B403EA"/>
    <w:rsid w:val="00B41CDB"/>
    <w:rsid w:val="00B43F58"/>
    <w:rsid w:val="00B44528"/>
    <w:rsid w:val="00B45742"/>
    <w:rsid w:val="00B523FD"/>
    <w:rsid w:val="00B54123"/>
    <w:rsid w:val="00B54EB1"/>
    <w:rsid w:val="00B55085"/>
    <w:rsid w:val="00B57D80"/>
    <w:rsid w:val="00B60B16"/>
    <w:rsid w:val="00B61411"/>
    <w:rsid w:val="00B62589"/>
    <w:rsid w:val="00B66941"/>
    <w:rsid w:val="00B66AB1"/>
    <w:rsid w:val="00B7000E"/>
    <w:rsid w:val="00B70056"/>
    <w:rsid w:val="00B71203"/>
    <w:rsid w:val="00B73294"/>
    <w:rsid w:val="00B738CE"/>
    <w:rsid w:val="00B74E74"/>
    <w:rsid w:val="00B76E9A"/>
    <w:rsid w:val="00B77DBC"/>
    <w:rsid w:val="00B82A67"/>
    <w:rsid w:val="00B85A86"/>
    <w:rsid w:val="00B864B3"/>
    <w:rsid w:val="00B86F7D"/>
    <w:rsid w:val="00B87414"/>
    <w:rsid w:val="00B9349D"/>
    <w:rsid w:val="00B94224"/>
    <w:rsid w:val="00B96D77"/>
    <w:rsid w:val="00B96EB7"/>
    <w:rsid w:val="00B97CC4"/>
    <w:rsid w:val="00BA3111"/>
    <w:rsid w:val="00BA6EEC"/>
    <w:rsid w:val="00BB070E"/>
    <w:rsid w:val="00BB0EE2"/>
    <w:rsid w:val="00BB36F5"/>
    <w:rsid w:val="00BB50D4"/>
    <w:rsid w:val="00BC07A3"/>
    <w:rsid w:val="00BC1747"/>
    <w:rsid w:val="00BC27A7"/>
    <w:rsid w:val="00BC54AB"/>
    <w:rsid w:val="00BC6025"/>
    <w:rsid w:val="00BC60C2"/>
    <w:rsid w:val="00BD1DCB"/>
    <w:rsid w:val="00BD4347"/>
    <w:rsid w:val="00BD437C"/>
    <w:rsid w:val="00BE1AD1"/>
    <w:rsid w:val="00BE1DAF"/>
    <w:rsid w:val="00BF0D55"/>
    <w:rsid w:val="00BF1192"/>
    <w:rsid w:val="00BF3CA8"/>
    <w:rsid w:val="00BF5A0B"/>
    <w:rsid w:val="00BF5FCE"/>
    <w:rsid w:val="00BF6BED"/>
    <w:rsid w:val="00BF7D17"/>
    <w:rsid w:val="00C027A5"/>
    <w:rsid w:val="00C05075"/>
    <w:rsid w:val="00C05FD0"/>
    <w:rsid w:val="00C065A7"/>
    <w:rsid w:val="00C112BD"/>
    <w:rsid w:val="00C11BFD"/>
    <w:rsid w:val="00C12A8E"/>
    <w:rsid w:val="00C13DBC"/>
    <w:rsid w:val="00C1739B"/>
    <w:rsid w:val="00C21C96"/>
    <w:rsid w:val="00C22491"/>
    <w:rsid w:val="00C24233"/>
    <w:rsid w:val="00C24707"/>
    <w:rsid w:val="00C25B3A"/>
    <w:rsid w:val="00C26F5C"/>
    <w:rsid w:val="00C30652"/>
    <w:rsid w:val="00C3085E"/>
    <w:rsid w:val="00C3511A"/>
    <w:rsid w:val="00C36609"/>
    <w:rsid w:val="00C3679D"/>
    <w:rsid w:val="00C36C84"/>
    <w:rsid w:val="00C41126"/>
    <w:rsid w:val="00C42407"/>
    <w:rsid w:val="00C436F8"/>
    <w:rsid w:val="00C449D5"/>
    <w:rsid w:val="00C50394"/>
    <w:rsid w:val="00C51729"/>
    <w:rsid w:val="00C51E31"/>
    <w:rsid w:val="00C52473"/>
    <w:rsid w:val="00C52BBD"/>
    <w:rsid w:val="00C56A3A"/>
    <w:rsid w:val="00C56B37"/>
    <w:rsid w:val="00C56D06"/>
    <w:rsid w:val="00C62A3C"/>
    <w:rsid w:val="00C65224"/>
    <w:rsid w:val="00C66D9C"/>
    <w:rsid w:val="00C676E8"/>
    <w:rsid w:val="00C70063"/>
    <w:rsid w:val="00C73CC3"/>
    <w:rsid w:val="00C755F1"/>
    <w:rsid w:val="00C818A3"/>
    <w:rsid w:val="00C82A73"/>
    <w:rsid w:val="00C83074"/>
    <w:rsid w:val="00C83428"/>
    <w:rsid w:val="00C83470"/>
    <w:rsid w:val="00C84283"/>
    <w:rsid w:val="00C86A64"/>
    <w:rsid w:val="00C870AB"/>
    <w:rsid w:val="00C92538"/>
    <w:rsid w:val="00C951E1"/>
    <w:rsid w:val="00C9778F"/>
    <w:rsid w:val="00C97D1B"/>
    <w:rsid w:val="00CA087C"/>
    <w:rsid w:val="00CA2C5C"/>
    <w:rsid w:val="00CA315F"/>
    <w:rsid w:val="00CA43A3"/>
    <w:rsid w:val="00CA4B64"/>
    <w:rsid w:val="00CA4BC6"/>
    <w:rsid w:val="00CA51E2"/>
    <w:rsid w:val="00CA54F3"/>
    <w:rsid w:val="00CA72FB"/>
    <w:rsid w:val="00CB06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F25A1"/>
    <w:rsid w:val="00CF3A7A"/>
    <w:rsid w:val="00CF780E"/>
    <w:rsid w:val="00D000D0"/>
    <w:rsid w:val="00D0041E"/>
    <w:rsid w:val="00D026A5"/>
    <w:rsid w:val="00D04716"/>
    <w:rsid w:val="00D05BD4"/>
    <w:rsid w:val="00D0661E"/>
    <w:rsid w:val="00D107B7"/>
    <w:rsid w:val="00D11AF6"/>
    <w:rsid w:val="00D12BAF"/>
    <w:rsid w:val="00D13708"/>
    <w:rsid w:val="00D138CB"/>
    <w:rsid w:val="00D1468B"/>
    <w:rsid w:val="00D15E24"/>
    <w:rsid w:val="00D161DC"/>
    <w:rsid w:val="00D1634B"/>
    <w:rsid w:val="00D1685A"/>
    <w:rsid w:val="00D169E7"/>
    <w:rsid w:val="00D17036"/>
    <w:rsid w:val="00D20202"/>
    <w:rsid w:val="00D2280F"/>
    <w:rsid w:val="00D31E98"/>
    <w:rsid w:val="00D34F52"/>
    <w:rsid w:val="00D36539"/>
    <w:rsid w:val="00D37A25"/>
    <w:rsid w:val="00D37C30"/>
    <w:rsid w:val="00D46BF9"/>
    <w:rsid w:val="00D5051B"/>
    <w:rsid w:val="00D52E14"/>
    <w:rsid w:val="00D55465"/>
    <w:rsid w:val="00D60FF1"/>
    <w:rsid w:val="00D6198E"/>
    <w:rsid w:val="00D62DF8"/>
    <w:rsid w:val="00D65555"/>
    <w:rsid w:val="00D70574"/>
    <w:rsid w:val="00D71269"/>
    <w:rsid w:val="00D71673"/>
    <w:rsid w:val="00D7221D"/>
    <w:rsid w:val="00D72DCD"/>
    <w:rsid w:val="00D72FBC"/>
    <w:rsid w:val="00D735E3"/>
    <w:rsid w:val="00D73916"/>
    <w:rsid w:val="00D756D2"/>
    <w:rsid w:val="00D821FD"/>
    <w:rsid w:val="00D85524"/>
    <w:rsid w:val="00D9312D"/>
    <w:rsid w:val="00D93A6F"/>
    <w:rsid w:val="00D9429B"/>
    <w:rsid w:val="00D97D8E"/>
    <w:rsid w:val="00DA0D4D"/>
    <w:rsid w:val="00DA1AC4"/>
    <w:rsid w:val="00DA3896"/>
    <w:rsid w:val="00DA396F"/>
    <w:rsid w:val="00DA3997"/>
    <w:rsid w:val="00DA3F3D"/>
    <w:rsid w:val="00DA4907"/>
    <w:rsid w:val="00DA4DCC"/>
    <w:rsid w:val="00DA708C"/>
    <w:rsid w:val="00DA7ACD"/>
    <w:rsid w:val="00DA7F44"/>
    <w:rsid w:val="00DB2340"/>
    <w:rsid w:val="00DB3D58"/>
    <w:rsid w:val="00DB4187"/>
    <w:rsid w:val="00DC32BD"/>
    <w:rsid w:val="00DC5ECF"/>
    <w:rsid w:val="00DC66B3"/>
    <w:rsid w:val="00DC7B2C"/>
    <w:rsid w:val="00DD0142"/>
    <w:rsid w:val="00DD34B5"/>
    <w:rsid w:val="00DD3986"/>
    <w:rsid w:val="00DD5AC2"/>
    <w:rsid w:val="00DE1D9B"/>
    <w:rsid w:val="00DE4A32"/>
    <w:rsid w:val="00DE7FD8"/>
    <w:rsid w:val="00DF0FEF"/>
    <w:rsid w:val="00DF138C"/>
    <w:rsid w:val="00DF3083"/>
    <w:rsid w:val="00DF3164"/>
    <w:rsid w:val="00DF4F75"/>
    <w:rsid w:val="00DF6144"/>
    <w:rsid w:val="00E00167"/>
    <w:rsid w:val="00E00727"/>
    <w:rsid w:val="00E03A2E"/>
    <w:rsid w:val="00E058F9"/>
    <w:rsid w:val="00E108E9"/>
    <w:rsid w:val="00E12168"/>
    <w:rsid w:val="00E14D03"/>
    <w:rsid w:val="00E161D4"/>
    <w:rsid w:val="00E1797A"/>
    <w:rsid w:val="00E21729"/>
    <w:rsid w:val="00E27624"/>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5419"/>
    <w:rsid w:val="00E666FE"/>
    <w:rsid w:val="00E67F66"/>
    <w:rsid w:val="00E7107D"/>
    <w:rsid w:val="00E71274"/>
    <w:rsid w:val="00E74CF2"/>
    <w:rsid w:val="00E8127E"/>
    <w:rsid w:val="00E82C38"/>
    <w:rsid w:val="00E860F9"/>
    <w:rsid w:val="00E87EAF"/>
    <w:rsid w:val="00E907E4"/>
    <w:rsid w:val="00E91325"/>
    <w:rsid w:val="00E91490"/>
    <w:rsid w:val="00E95621"/>
    <w:rsid w:val="00E965C0"/>
    <w:rsid w:val="00E97AF6"/>
    <w:rsid w:val="00EA472D"/>
    <w:rsid w:val="00EA4790"/>
    <w:rsid w:val="00EA5513"/>
    <w:rsid w:val="00EA5580"/>
    <w:rsid w:val="00EA6F53"/>
    <w:rsid w:val="00EB50E7"/>
    <w:rsid w:val="00EB5CD1"/>
    <w:rsid w:val="00EB7E56"/>
    <w:rsid w:val="00EC04FE"/>
    <w:rsid w:val="00EC16C4"/>
    <w:rsid w:val="00EC1AE7"/>
    <w:rsid w:val="00EC3251"/>
    <w:rsid w:val="00EC68D3"/>
    <w:rsid w:val="00EC6E5B"/>
    <w:rsid w:val="00ED040C"/>
    <w:rsid w:val="00ED2A11"/>
    <w:rsid w:val="00ED3162"/>
    <w:rsid w:val="00ED70B2"/>
    <w:rsid w:val="00ED71B5"/>
    <w:rsid w:val="00ED7B4B"/>
    <w:rsid w:val="00EE0D88"/>
    <w:rsid w:val="00EE2045"/>
    <w:rsid w:val="00EE3A33"/>
    <w:rsid w:val="00EE3D43"/>
    <w:rsid w:val="00EE684E"/>
    <w:rsid w:val="00EF0709"/>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0F20"/>
    <w:rsid w:val="00F31D8E"/>
    <w:rsid w:val="00F338BB"/>
    <w:rsid w:val="00F36732"/>
    <w:rsid w:val="00F36AE9"/>
    <w:rsid w:val="00F36F0E"/>
    <w:rsid w:val="00F4613F"/>
    <w:rsid w:val="00F4650B"/>
    <w:rsid w:val="00F474B0"/>
    <w:rsid w:val="00F4753A"/>
    <w:rsid w:val="00F5199C"/>
    <w:rsid w:val="00F51DB3"/>
    <w:rsid w:val="00F52E5B"/>
    <w:rsid w:val="00F534F3"/>
    <w:rsid w:val="00F53D11"/>
    <w:rsid w:val="00F54B43"/>
    <w:rsid w:val="00F576F3"/>
    <w:rsid w:val="00F61167"/>
    <w:rsid w:val="00F61B8C"/>
    <w:rsid w:val="00F654B3"/>
    <w:rsid w:val="00F67E91"/>
    <w:rsid w:val="00F70D20"/>
    <w:rsid w:val="00F72C33"/>
    <w:rsid w:val="00F76360"/>
    <w:rsid w:val="00F772D5"/>
    <w:rsid w:val="00F77DCA"/>
    <w:rsid w:val="00F80546"/>
    <w:rsid w:val="00F80D83"/>
    <w:rsid w:val="00F8165C"/>
    <w:rsid w:val="00F90371"/>
    <w:rsid w:val="00F90602"/>
    <w:rsid w:val="00F92628"/>
    <w:rsid w:val="00F92755"/>
    <w:rsid w:val="00F9427F"/>
    <w:rsid w:val="00F94621"/>
    <w:rsid w:val="00F95A09"/>
    <w:rsid w:val="00F97F92"/>
    <w:rsid w:val="00FA106F"/>
    <w:rsid w:val="00FA1218"/>
    <w:rsid w:val="00FA1F8A"/>
    <w:rsid w:val="00FA2A53"/>
    <w:rsid w:val="00FA2B5B"/>
    <w:rsid w:val="00FA33EE"/>
    <w:rsid w:val="00FA4E29"/>
    <w:rsid w:val="00FA50A5"/>
    <w:rsid w:val="00FA5DF4"/>
    <w:rsid w:val="00FA629B"/>
    <w:rsid w:val="00FA7FFE"/>
    <w:rsid w:val="00FB55A1"/>
    <w:rsid w:val="00FB6005"/>
    <w:rsid w:val="00FC21E0"/>
    <w:rsid w:val="00FC3DAC"/>
    <w:rsid w:val="00FD0526"/>
    <w:rsid w:val="00FD0A48"/>
    <w:rsid w:val="00FD2EAB"/>
    <w:rsid w:val="00FD2F70"/>
    <w:rsid w:val="00FD3497"/>
    <w:rsid w:val="00FD4821"/>
    <w:rsid w:val="00FD63D9"/>
    <w:rsid w:val="00FD7050"/>
    <w:rsid w:val="00FD7B0C"/>
    <w:rsid w:val="00FE1538"/>
    <w:rsid w:val="00FE31F1"/>
    <w:rsid w:val="00FE48C1"/>
    <w:rsid w:val="00FE7EFE"/>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85"/>
    <w:pPr>
      <w:spacing w:line="288" w:lineRule="auto"/>
      <w:jc w:val="both"/>
    </w:pPr>
    <w:rPr>
      <w:sz w:val="22"/>
      <w:szCs w:val="22"/>
    </w:rPr>
  </w:style>
  <w:style w:type="paragraph" w:styleId="Heading1">
    <w:name w:val="heading 1"/>
    <w:basedOn w:val="Normal"/>
    <w:next w:val="Normal"/>
    <w:qFormat/>
    <w:rsid w:val="005A1085"/>
    <w:pPr>
      <w:numPr>
        <w:numId w:val="1"/>
      </w:numPr>
      <w:ind w:left="567" w:hanging="567"/>
      <w:outlineLvl w:val="0"/>
    </w:pPr>
    <w:rPr>
      <w:kern w:val="28"/>
    </w:rPr>
  </w:style>
  <w:style w:type="paragraph" w:styleId="Heading2">
    <w:name w:val="heading 2"/>
    <w:basedOn w:val="Normal"/>
    <w:next w:val="Normal"/>
    <w:qFormat/>
    <w:rsid w:val="005A1085"/>
    <w:pPr>
      <w:numPr>
        <w:ilvl w:val="1"/>
        <w:numId w:val="1"/>
      </w:numPr>
      <w:ind w:left="567" w:hanging="567"/>
      <w:outlineLvl w:val="1"/>
    </w:pPr>
  </w:style>
  <w:style w:type="paragraph" w:styleId="Heading3">
    <w:name w:val="heading 3"/>
    <w:basedOn w:val="Normal"/>
    <w:next w:val="Normal"/>
    <w:qFormat/>
    <w:rsid w:val="005A1085"/>
    <w:pPr>
      <w:numPr>
        <w:ilvl w:val="2"/>
        <w:numId w:val="1"/>
      </w:numPr>
      <w:ind w:left="567" w:hanging="567"/>
      <w:outlineLvl w:val="2"/>
    </w:pPr>
  </w:style>
  <w:style w:type="paragraph" w:styleId="Heading4">
    <w:name w:val="heading 4"/>
    <w:basedOn w:val="Normal"/>
    <w:next w:val="Normal"/>
    <w:qFormat/>
    <w:rsid w:val="005A1085"/>
    <w:pPr>
      <w:numPr>
        <w:ilvl w:val="3"/>
        <w:numId w:val="1"/>
      </w:numPr>
      <w:ind w:left="567" w:hanging="567"/>
      <w:outlineLvl w:val="3"/>
    </w:pPr>
  </w:style>
  <w:style w:type="paragraph" w:styleId="Heading5">
    <w:name w:val="heading 5"/>
    <w:basedOn w:val="Normal"/>
    <w:next w:val="Normal"/>
    <w:qFormat/>
    <w:rsid w:val="005A1085"/>
    <w:pPr>
      <w:numPr>
        <w:ilvl w:val="4"/>
        <w:numId w:val="1"/>
      </w:numPr>
      <w:ind w:left="567" w:hanging="567"/>
      <w:outlineLvl w:val="4"/>
    </w:pPr>
  </w:style>
  <w:style w:type="paragraph" w:styleId="Heading6">
    <w:name w:val="heading 6"/>
    <w:basedOn w:val="Normal"/>
    <w:next w:val="Normal"/>
    <w:qFormat/>
    <w:rsid w:val="005A1085"/>
    <w:pPr>
      <w:numPr>
        <w:ilvl w:val="5"/>
        <w:numId w:val="1"/>
      </w:numPr>
      <w:ind w:left="567" w:hanging="567"/>
      <w:outlineLvl w:val="5"/>
    </w:pPr>
  </w:style>
  <w:style w:type="paragraph" w:styleId="Heading7">
    <w:name w:val="heading 7"/>
    <w:basedOn w:val="Normal"/>
    <w:next w:val="Normal"/>
    <w:qFormat/>
    <w:rsid w:val="005A1085"/>
    <w:pPr>
      <w:numPr>
        <w:ilvl w:val="6"/>
        <w:numId w:val="1"/>
      </w:numPr>
      <w:ind w:left="567" w:hanging="567"/>
      <w:outlineLvl w:val="6"/>
    </w:pPr>
  </w:style>
  <w:style w:type="paragraph" w:styleId="Heading8">
    <w:name w:val="heading 8"/>
    <w:basedOn w:val="Normal"/>
    <w:next w:val="Normal"/>
    <w:qFormat/>
    <w:rsid w:val="005A1085"/>
    <w:pPr>
      <w:numPr>
        <w:ilvl w:val="7"/>
        <w:numId w:val="1"/>
      </w:numPr>
      <w:ind w:left="567" w:hanging="567"/>
      <w:outlineLvl w:val="7"/>
    </w:pPr>
  </w:style>
  <w:style w:type="paragraph" w:styleId="Heading9">
    <w:name w:val="heading 9"/>
    <w:basedOn w:val="Normal"/>
    <w:next w:val="Normal"/>
    <w:qFormat/>
    <w:rsid w:val="005A108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5A1085"/>
  </w:style>
  <w:style w:type="paragraph" w:styleId="FootnoteText">
    <w:name w:val="footnote text"/>
    <w:basedOn w:val="Normal"/>
    <w:qFormat/>
    <w:rsid w:val="005A1085"/>
    <w:pPr>
      <w:keepLines/>
      <w:spacing w:after="60" w:line="240" w:lineRule="auto"/>
      <w:ind w:left="567" w:hanging="567"/>
    </w:pPr>
    <w:rPr>
      <w:sz w:val="16"/>
    </w:rPr>
  </w:style>
  <w:style w:type="paragraph" w:styleId="Header">
    <w:name w:val="header"/>
    <w:basedOn w:val="Normal"/>
    <w:qFormat/>
    <w:rsid w:val="005A1085"/>
  </w:style>
  <w:style w:type="paragraph" w:customStyle="1" w:styleId="quotes">
    <w:name w:val="quotes"/>
    <w:basedOn w:val="Normal"/>
    <w:next w:val="Normal"/>
    <w:rsid w:val="005A1085"/>
    <w:pPr>
      <w:ind w:left="720"/>
    </w:pPr>
    <w:rPr>
      <w:i/>
    </w:rPr>
  </w:style>
  <w:style w:type="character" w:styleId="FootnoteReference">
    <w:name w:val="footnote reference"/>
    <w:basedOn w:val="DefaultParagraphFont"/>
    <w:unhideWhenUsed/>
    <w:qFormat/>
    <w:rsid w:val="005A1085"/>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564298"/>
    <w:rPr>
      <w:sz w:val="22"/>
    </w:rPr>
  </w:style>
  <w:style w:type="character" w:customStyle="1" w:styleId="FooterChar">
    <w:name w:val="Footer Char"/>
    <w:basedOn w:val="DefaultParagraphFont"/>
    <w:link w:val="Footer"/>
    <w:rsid w:val="00B54EB1"/>
    <w:rPr>
      <w:sz w:val="22"/>
      <w:szCs w:val="22"/>
      <w:lang w:val="de-DE" w:eastAsia="de-DE"/>
    </w:rPr>
  </w:style>
  <w:style w:type="paragraph" w:styleId="BalloonText">
    <w:name w:val="Balloon Text"/>
    <w:basedOn w:val="Normal"/>
    <w:link w:val="BalloonTextChar"/>
    <w:semiHidden/>
    <w:unhideWhenUsed/>
    <w:rsid w:val="00316A1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16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85"/>
    <w:pPr>
      <w:spacing w:line="288" w:lineRule="auto"/>
      <w:jc w:val="both"/>
    </w:pPr>
    <w:rPr>
      <w:sz w:val="22"/>
      <w:szCs w:val="22"/>
    </w:rPr>
  </w:style>
  <w:style w:type="paragraph" w:styleId="Heading1">
    <w:name w:val="heading 1"/>
    <w:basedOn w:val="Normal"/>
    <w:next w:val="Normal"/>
    <w:qFormat/>
    <w:rsid w:val="005A1085"/>
    <w:pPr>
      <w:numPr>
        <w:numId w:val="1"/>
      </w:numPr>
      <w:ind w:left="567" w:hanging="567"/>
      <w:outlineLvl w:val="0"/>
    </w:pPr>
    <w:rPr>
      <w:kern w:val="28"/>
    </w:rPr>
  </w:style>
  <w:style w:type="paragraph" w:styleId="Heading2">
    <w:name w:val="heading 2"/>
    <w:basedOn w:val="Normal"/>
    <w:next w:val="Normal"/>
    <w:qFormat/>
    <w:rsid w:val="005A1085"/>
    <w:pPr>
      <w:numPr>
        <w:ilvl w:val="1"/>
        <w:numId w:val="1"/>
      </w:numPr>
      <w:ind w:left="567" w:hanging="567"/>
      <w:outlineLvl w:val="1"/>
    </w:pPr>
  </w:style>
  <w:style w:type="paragraph" w:styleId="Heading3">
    <w:name w:val="heading 3"/>
    <w:basedOn w:val="Normal"/>
    <w:next w:val="Normal"/>
    <w:qFormat/>
    <w:rsid w:val="005A1085"/>
    <w:pPr>
      <w:numPr>
        <w:ilvl w:val="2"/>
        <w:numId w:val="1"/>
      </w:numPr>
      <w:ind w:left="567" w:hanging="567"/>
      <w:outlineLvl w:val="2"/>
    </w:pPr>
  </w:style>
  <w:style w:type="paragraph" w:styleId="Heading4">
    <w:name w:val="heading 4"/>
    <w:basedOn w:val="Normal"/>
    <w:next w:val="Normal"/>
    <w:qFormat/>
    <w:rsid w:val="005A1085"/>
    <w:pPr>
      <w:numPr>
        <w:ilvl w:val="3"/>
        <w:numId w:val="1"/>
      </w:numPr>
      <w:ind w:left="567" w:hanging="567"/>
      <w:outlineLvl w:val="3"/>
    </w:pPr>
  </w:style>
  <w:style w:type="paragraph" w:styleId="Heading5">
    <w:name w:val="heading 5"/>
    <w:basedOn w:val="Normal"/>
    <w:next w:val="Normal"/>
    <w:qFormat/>
    <w:rsid w:val="005A1085"/>
    <w:pPr>
      <w:numPr>
        <w:ilvl w:val="4"/>
        <w:numId w:val="1"/>
      </w:numPr>
      <w:ind w:left="567" w:hanging="567"/>
      <w:outlineLvl w:val="4"/>
    </w:pPr>
  </w:style>
  <w:style w:type="paragraph" w:styleId="Heading6">
    <w:name w:val="heading 6"/>
    <w:basedOn w:val="Normal"/>
    <w:next w:val="Normal"/>
    <w:qFormat/>
    <w:rsid w:val="005A1085"/>
    <w:pPr>
      <w:numPr>
        <w:ilvl w:val="5"/>
        <w:numId w:val="1"/>
      </w:numPr>
      <w:ind w:left="567" w:hanging="567"/>
      <w:outlineLvl w:val="5"/>
    </w:pPr>
  </w:style>
  <w:style w:type="paragraph" w:styleId="Heading7">
    <w:name w:val="heading 7"/>
    <w:basedOn w:val="Normal"/>
    <w:next w:val="Normal"/>
    <w:qFormat/>
    <w:rsid w:val="005A1085"/>
    <w:pPr>
      <w:numPr>
        <w:ilvl w:val="6"/>
        <w:numId w:val="1"/>
      </w:numPr>
      <w:ind w:left="567" w:hanging="567"/>
      <w:outlineLvl w:val="6"/>
    </w:pPr>
  </w:style>
  <w:style w:type="paragraph" w:styleId="Heading8">
    <w:name w:val="heading 8"/>
    <w:basedOn w:val="Normal"/>
    <w:next w:val="Normal"/>
    <w:qFormat/>
    <w:rsid w:val="005A1085"/>
    <w:pPr>
      <w:numPr>
        <w:ilvl w:val="7"/>
        <w:numId w:val="1"/>
      </w:numPr>
      <w:ind w:left="567" w:hanging="567"/>
      <w:outlineLvl w:val="7"/>
    </w:pPr>
  </w:style>
  <w:style w:type="paragraph" w:styleId="Heading9">
    <w:name w:val="heading 9"/>
    <w:basedOn w:val="Normal"/>
    <w:next w:val="Normal"/>
    <w:qFormat/>
    <w:rsid w:val="005A108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5A1085"/>
  </w:style>
  <w:style w:type="paragraph" w:styleId="FootnoteText">
    <w:name w:val="footnote text"/>
    <w:basedOn w:val="Normal"/>
    <w:qFormat/>
    <w:rsid w:val="005A1085"/>
    <w:pPr>
      <w:keepLines/>
      <w:spacing w:after="60" w:line="240" w:lineRule="auto"/>
      <w:ind w:left="567" w:hanging="567"/>
    </w:pPr>
    <w:rPr>
      <w:sz w:val="16"/>
    </w:rPr>
  </w:style>
  <w:style w:type="paragraph" w:styleId="Header">
    <w:name w:val="header"/>
    <w:basedOn w:val="Normal"/>
    <w:qFormat/>
    <w:rsid w:val="005A1085"/>
  </w:style>
  <w:style w:type="paragraph" w:customStyle="1" w:styleId="quotes">
    <w:name w:val="quotes"/>
    <w:basedOn w:val="Normal"/>
    <w:next w:val="Normal"/>
    <w:rsid w:val="005A1085"/>
    <w:pPr>
      <w:ind w:left="720"/>
    </w:pPr>
    <w:rPr>
      <w:i/>
    </w:rPr>
  </w:style>
  <w:style w:type="character" w:styleId="FootnoteReference">
    <w:name w:val="footnote reference"/>
    <w:basedOn w:val="DefaultParagraphFont"/>
    <w:unhideWhenUsed/>
    <w:qFormat/>
    <w:rsid w:val="005A1085"/>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564298"/>
    <w:rPr>
      <w:sz w:val="22"/>
    </w:rPr>
  </w:style>
  <w:style w:type="character" w:customStyle="1" w:styleId="FooterChar">
    <w:name w:val="Footer Char"/>
    <w:basedOn w:val="DefaultParagraphFont"/>
    <w:link w:val="Footer"/>
    <w:rsid w:val="00B54EB1"/>
    <w:rPr>
      <w:sz w:val="22"/>
      <w:szCs w:val="22"/>
      <w:lang w:val="de-DE" w:eastAsia="de-DE"/>
    </w:rPr>
  </w:style>
  <w:style w:type="paragraph" w:styleId="BalloonText">
    <w:name w:val="Balloon Text"/>
    <w:basedOn w:val="Normal"/>
    <w:link w:val="BalloonTextChar"/>
    <w:semiHidden/>
    <w:unhideWhenUsed/>
    <w:rsid w:val="00316A1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16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75473420">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49839616">
      <w:bodyDiv w:val="1"/>
      <w:marLeft w:val="0"/>
      <w:marRight w:val="0"/>
      <w:marTop w:val="0"/>
      <w:marBottom w:val="0"/>
      <w:divBdr>
        <w:top w:val="none" w:sz="0" w:space="0" w:color="auto"/>
        <w:left w:val="none" w:sz="0" w:space="0" w:color="auto"/>
        <w:bottom w:val="none" w:sz="0" w:space="0" w:color="auto"/>
        <w:right w:val="none" w:sz="0" w:space="0" w:color="auto"/>
      </w:divBdr>
      <w:divsChild>
        <w:div w:id="564533692">
          <w:marLeft w:val="0"/>
          <w:marRight w:val="0"/>
          <w:marTop w:val="0"/>
          <w:marBottom w:val="0"/>
          <w:divBdr>
            <w:top w:val="none" w:sz="0" w:space="0" w:color="auto"/>
            <w:left w:val="none" w:sz="0" w:space="0" w:color="auto"/>
            <w:bottom w:val="none" w:sz="0" w:space="0" w:color="auto"/>
            <w:right w:val="none" w:sz="0" w:space="0" w:color="auto"/>
          </w:divBdr>
          <w:divsChild>
            <w:div w:id="1589272003">
              <w:marLeft w:val="0"/>
              <w:marRight w:val="0"/>
              <w:marTop w:val="0"/>
              <w:marBottom w:val="0"/>
              <w:divBdr>
                <w:top w:val="none" w:sz="0" w:space="0" w:color="auto"/>
                <w:left w:val="none" w:sz="0" w:space="0" w:color="auto"/>
                <w:bottom w:val="none" w:sz="0" w:space="0" w:color="auto"/>
                <w:right w:val="none" w:sz="0" w:space="0" w:color="auto"/>
              </w:divBdr>
              <w:divsChild>
                <w:div w:id="827331267">
                  <w:marLeft w:val="0"/>
                  <w:marRight w:val="0"/>
                  <w:marTop w:val="0"/>
                  <w:marBottom w:val="0"/>
                  <w:divBdr>
                    <w:top w:val="none" w:sz="0" w:space="0" w:color="auto"/>
                    <w:left w:val="none" w:sz="0" w:space="0" w:color="auto"/>
                    <w:bottom w:val="none" w:sz="0" w:space="0" w:color="auto"/>
                    <w:right w:val="none" w:sz="0" w:space="0" w:color="auto"/>
                  </w:divBdr>
                  <w:divsChild>
                    <w:div w:id="119107720">
                      <w:marLeft w:val="0"/>
                      <w:marRight w:val="0"/>
                      <w:marTop w:val="0"/>
                      <w:marBottom w:val="0"/>
                      <w:divBdr>
                        <w:top w:val="none" w:sz="0" w:space="0" w:color="auto"/>
                        <w:left w:val="none" w:sz="0" w:space="0" w:color="auto"/>
                        <w:bottom w:val="none" w:sz="0" w:space="0" w:color="auto"/>
                        <w:right w:val="none" w:sz="0" w:space="0" w:color="auto"/>
                      </w:divBdr>
                      <w:divsChild>
                        <w:div w:id="501356255">
                          <w:marLeft w:val="0"/>
                          <w:marRight w:val="0"/>
                          <w:marTop w:val="0"/>
                          <w:marBottom w:val="0"/>
                          <w:divBdr>
                            <w:top w:val="none" w:sz="0" w:space="0" w:color="auto"/>
                            <w:left w:val="none" w:sz="0" w:space="0" w:color="auto"/>
                            <w:bottom w:val="none" w:sz="0" w:space="0" w:color="auto"/>
                            <w:right w:val="none" w:sz="0" w:space="0" w:color="auto"/>
                          </w:divBdr>
                          <w:divsChild>
                            <w:div w:id="977300281">
                              <w:marLeft w:val="0"/>
                              <w:marRight w:val="0"/>
                              <w:marTop w:val="0"/>
                              <w:marBottom w:val="0"/>
                              <w:divBdr>
                                <w:top w:val="none" w:sz="0" w:space="0" w:color="auto"/>
                                <w:left w:val="none" w:sz="0" w:space="0" w:color="auto"/>
                                <w:bottom w:val="none" w:sz="0" w:space="0" w:color="auto"/>
                                <w:right w:val="none" w:sz="0" w:space="0" w:color="auto"/>
                              </w:divBdr>
                              <w:divsChild>
                                <w:div w:id="1987930404">
                                  <w:marLeft w:val="0"/>
                                  <w:marRight w:val="0"/>
                                  <w:marTop w:val="0"/>
                                  <w:marBottom w:val="0"/>
                                  <w:divBdr>
                                    <w:top w:val="none" w:sz="0" w:space="0" w:color="auto"/>
                                    <w:left w:val="none" w:sz="0" w:space="0" w:color="auto"/>
                                    <w:bottom w:val="none" w:sz="0" w:space="0" w:color="auto"/>
                                    <w:right w:val="none" w:sz="0" w:space="0" w:color="auto"/>
                                  </w:divBdr>
                                  <w:divsChild>
                                    <w:div w:id="1972132223">
                                      <w:marLeft w:val="0"/>
                                      <w:marRight w:val="0"/>
                                      <w:marTop w:val="0"/>
                                      <w:marBottom w:val="0"/>
                                      <w:divBdr>
                                        <w:top w:val="none" w:sz="0" w:space="0" w:color="auto"/>
                                        <w:left w:val="none" w:sz="0" w:space="0" w:color="auto"/>
                                        <w:bottom w:val="none" w:sz="0" w:space="0" w:color="auto"/>
                                        <w:right w:val="none" w:sz="0" w:space="0" w:color="auto"/>
                                      </w:divBdr>
                                      <w:divsChild>
                                        <w:div w:id="482622411">
                                          <w:marLeft w:val="0"/>
                                          <w:marRight w:val="0"/>
                                          <w:marTop w:val="0"/>
                                          <w:marBottom w:val="0"/>
                                          <w:divBdr>
                                            <w:top w:val="none" w:sz="0" w:space="0" w:color="auto"/>
                                            <w:left w:val="none" w:sz="0" w:space="0" w:color="auto"/>
                                            <w:bottom w:val="none" w:sz="0" w:space="0" w:color="auto"/>
                                            <w:right w:val="none" w:sz="0" w:space="0" w:color="auto"/>
                                          </w:divBdr>
                                          <w:divsChild>
                                            <w:div w:id="1328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eesc.europa.eu/?i=portal.en.eco-opinions.400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esc.europa.eu/?i=portal.en.eco-opinions.40063"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3XPXQ63Y2AW3-9-3066</_dlc_DocId>
    <_dlc_DocIdUrl xmlns="8835a8a4-5a07-4207-ac1e-223f88a8f7af">
      <Url>http://dm/EESC/2016/_layouts/DocIdRedir.aspx?ID=3XPXQ63Y2AW3-9-3066</Url>
      <Description>3XPXQ63Y2AW3-9-3066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dc3d2aa-8103-4135-a18e-08b5be4f3e7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2016-10-20T12:00:00+00:00</ProductionDate>
    <DocumentNumber xmlns="fdc3d2aa-8103-4135-a18e-08b5be4f3e76">5687</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14</Value>
      <Value>10</Value>
      <Value>25</Value>
      <Value>28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11749</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57FA50DE-30E8-429C-9347-389B7573CD32}">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fdc3d2aa-8103-4135-a18e-08b5be4f3e76"/>
  </ds:schemaRefs>
</ds:datastoreItem>
</file>

<file path=customXml/itemProps4.xml><?xml version="1.0" encoding="utf-8"?>
<ds:datastoreItem xmlns:ds="http://schemas.openxmlformats.org/officeDocument/2006/customXml" ds:itemID="{9D68B0B1-D204-4D4C-AC8B-10FC2E9C2A0F}">
  <ds:schemaRefs>
    <ds:schemaRef ds:uri="http://schemas.microsoft.com/sharepoint/events"/>
  </ds:schemaRefs>
</ds:datastoreItem>
</file>

<file path=customXml/itemProps5.xml><?xml version="1.0" encoding="utf-8"?>
<ds:datastoreItem xmlns:ds="http://schemas.openxmlformats.org/officeDocument/2006/customXml" ds:itemID="{B85B00EB-5454-4C9B-86DB-6CB6F2977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0846AA-D993-472B-807E-18C7D3A1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453</Words>
  <Characters>3430</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 Geldwäsche ECO SP Oktober</vt:lpstr>
      <vt:lpstr>CP EN 30 tax avoidance</vt:lpstr>
    </vt:vector>
  </TitlesOfParts>
  <Company>CESE-CdR</Company>
  <LinksUpToDate>false</LinksUpToDate>
  <CharactersWithSpaces>3876</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Geldwäsche ECO SP Oktober</dc:title>
  <dc:subject>Pressekommuniqué</dc:subject>
  <dc:creator>Milen Minchev</dc:creator>
  <cp:keywords>EESC-2016-05687-00-00-CP-TRA-DE</cp:keywords>
  <dc:description>Berichterstatter: -_x000d_
Ausgangssprache: EN_x000d_
Datum des Dokuments: 20/10/2016_x000d_
Termin der Sitzung: _x000d_
Externe Dokumente: -_x000d_
Zuständig: Minchev Milen,Telefon: + 2 546 8753_x000d_
_x000d_
Zusammenfassung:</dc:description>
  <cp:lastModifiedBy>Milen Minchev</cp:lastModifiedBy>
  <cp:revision>4</cp:revision>
  <cp:lastPrinted>2016-10-19T08:33:00Z</cp:lastPrinted>
  <dcterms:created xsi:type="dcterms:W3CDTF">2016-10-20T09:24:00Z</dcterms:created>
  <dcterms:modified xsi:type="dcterms:W3CDTF">2016-10-20T09:42:00Z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0x010100EA97B91038054C99906057A708A1480A006569393C852D1B41981698C0C702B5A1</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19/10/2016</vt:lpwstr>
  </property>
  <property fmtid="{D5CDD505-2E9C-101B-9397-08002B2CF9AE}" pid="7" name="Pref_Time">
    <vt:lpwstr>12:17:38</vt:lpwstr>
  </property>
  <property fmtid="{D5CDD505-2E9C-101B-9397-08002B2CF9AE}" pid="8" name="Pref_User">
    <vt:lpwstr>mkop</vt:lpwstr>
  </property>
  <property fmtid="{D5CDD505-2E9C-101B-9397-08002B2CF9AE}" pid="9" name="Pref_FileName">
    <vt:lpwstr>EESC-2016-05687-00-00-CP-ORI.docx</vt:lpwstr>
  </property>
  <property fmtid="{D5CDD505-2E9C-101B-9397-08002B2CF9AE}" pid="10" name="_dlc_DocIdItemGuid">
    <vt:lpwstr>1cbf2898-a146-427c-be7c-67fbaa50bd7b</vt:lpwstr>
  </property>
  <property fmtid="{D5CDD505-2E9C-101B-9397-08002B2CF9AE}" pid="11" name="DocumentType_0">
    <vt:lpwstr>CP|de8ad211-9e8d-408b-8324-674d21bb7d18</vt:lpwstr>
  </property>
  <property fmtid="{D5CDD505-2E9C-101B-9397-08002B2CF9AE}" pid="12" name="AvailableTranslations">
    <vt:lpwstr>28;#ES|e7a6b05b-ae16-40c8-add9-68b64b03aeba;#4;#FR|d2afafd3-4c81-4f60-8f52-ee33f2f54ff3;#22;#DE|f6b31e5a-26fa-4935-b661-318e46daf27e;#25;#RO|feb747a2-64cd-4299-af12-4833ddc30497;#10;#EN|f2175f21-25d7-44a3-96da-d6a61b075e1b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5687</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14;#CP|de8ad211-9e8d-408b-8324-674d21bb7d18;#10;#EN|f2175f21-25d7-44a3-96da-d6a61b075e1b;#25;#RO|feb747a2-64cd-4299-af12-4833ddc30497;#28;#ES|e7a6b05b-ae16-40c8-add9-68b64b03aeba;#6;#Final|ea5e6674-7b27-4bac-b091-73adbb394efe;#5;#Unrestricted|826e22d7-d02</vt:lpwstr>
  </property>
  <property fmtid="{D5CDD505-2E9C-101B-9397-08002B2CF9AE}" pid="32" name="AvailableTranslations_0">
    <vt:lpwstr>ES|e7a6b05b-ae16-40c8-add9-68b64b03aeba;FR|d2afafd3-4c81-4f60-8f52-ee33f2f54ff3;RO|feb747a2-64cd-4299-af12-4833ddc30497;EN|f2175f21-25d7-44a3-96da-d6a61b075e1b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11749</vt:i4>
  </property>
  <property fmtid="{D5CDD505-2E9C-101B-9397-08002B2CF9AE}" pid="36" name="DocumentYear">
    <vt:i4>2016</vt:i4>
  </property>
  <property fmtid="{D5CDD505-2E9C-101B-9397-08002B2CF9AE}" pid="37" name="DocumentLanguage">
    <vt:lpwstr>22;#DE|f6b31e5a-26fa-4935-b661-318e46daf27e</vt:lpwstr>
  </property>
</Properties>
</file>