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C27882" w:rsidRDefault="00903D59" w:rsidP="00903D59">
      <w:pPr>
        <w:ind w:left="-851"/>
        <w:jc w:val="center"/>
      </w:pPr>
      <w:r>
        <w:rPr>
          <w:noProof/>
          <w:lang w:val="fr-BE" w:eastAsia="fr-BE"/>
        </w:rPr>
        <w:drawing>
          <wp:inline distT="0" distB="0" distL="0" distR="0">
            <wp:extent cx="7003583" cy="1693276"/>
            <wp:effectExtent l="0" t="0" r="698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31974" cy="1700140"/>
                    </a:xfrm>
                    <a:prstGeom prst="rect">
                      <a:avLst/>
                    </a:prstGeom>
                    <a:noFill/>
                    <a:ln>
                      <a:noFill/>
                    </a:ln>
                  </pic:spPr>
                </pic:pic>
              </a:graphicData>
            </a:graphic>
          </wp:inline>
        </w:drawing>
      </w:r>
      <w:bookmarkStart w:id="0" w:name="_GoBack"/>
      <w:bookmarkEnd w:id="0"/>
    </w:p>
    <w:p w:rsidR="008820BE" w:rsidRPr="00C27882" w:rsidRDefault="00F37D64" w:rsidP="00473E94">
      <w:pPr>
        <w:spacing w:line="240" w:lineRule="auto"/>
        <w:rPr>
          <w:rFonts w:ascii="Verdana" w:hAnsi="Verdana"/>
          <w:sz w:val="20"/>
        </w:rPr>
        <w:sectPr w:rsidR="008820BE" w:rsidRPr="00C27882" w:rsidSect="00903D59">
          <w:footerReference w:type="default" r:id="rId14"/>
          <w:pgSz w:w="11907" w:h="16839" w:code="9"/>
          <w:pgMar w:top="426" w:right="283" w:bottom="1418" w:left="1418" w:header="3062" w:footer="265" w:gutter="0"/>
          <w:cols w:space="720"/>
          <w:docGrid w:linePitch="299"/>
        </w:sectPr>
      </w:pPr>
      <w:r w:rsidRPr="00C27882">
        <w:rPr>
          <w:noProof/>
          <w:lang w:val="fr-BE" w:eastAsia="fr-BE"/>
        </w:rPr>
        <mc:AlternateContent>
          <mc:Choice Requires="wps">
            <w:drawing>
              <wp:anchor distT="0" distB="0" distL="114300" distR="114300" simplePos="0" relativeHeight="251657728" behindDoc="1" locked="0" layoutInCell="0" allowOverlap="1" wp14:anchorId="1862C1CA" wp14:editId="1FB13016">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sidRPr="00473E94">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33B7A" w:rsidRPr="00473E94" w:rsidRDefault="00E33B7A" w:rsidP="00473E94">
                      <w:pPr>
                        <w:jc w:val="center"/>
                        <w:rPr>
                          <w:rFonts w:ascii="Arial" w:hAnsi="Arial" w:cs="Arial"/>
                          <w:b/>
                          <w:sz w:val="48"/>
                        </w:rPr>
                      </w:pPr>
                      <w:r w:rsidRPr="00473E94">
                        <w:rPr>
                          <w:rFonts w:ascii="Arial" w:hAnsi="Arial" w:cs="Arial"/>
                          <w:b/>
                          <w:sz w:val="48"/>
                        </w:rPr>
                        <w:t>EN</w:t>
                      </w:r>
                    </w:p>
                  </w:txbxContent>
                </v:textbox>
                <w10:wrap anchorx="page" anchory="page"/>
              </v:shape>
            </w:pict>
          </mc:Fallback>
        </mc:AlternateContent>
      </w:r>
    </w:p>
    <w:p w:rsidR="005B203C" w:rsidRPr="00C27882" w:rsidRDefault="005B203C" w:rsidP="00473E94">
      <w:pPr>
        <w:spacing w:line="240" w:lineRule="auto"/>
        <w:jc w:val="center"/>
        <w:rPr>
          <w:rFonts w:ascii="Verdana" w:hAnsi="Verdana"/>
          <w:b/>
          <w:sz w:val="16"/>
          <w:szCs w:val="16"/>
        </w:rPr>
      </w:pPr>
    </w:p>
    <w:tbl>
      <w:tblPr>
        <w:tblW w:w="10456" w:type="dxa"/>
        <w:tblLook w:val="0000" w:firstRow="0" w:lastRow="0" w:firstColumn="0" w:lastColumn="0" w:noHBand="0" w:noVBand="0"/>
      </w:tblPr>
      <w:tblGrid>
        <w:gridCol w:w="5168"/>
        <w:gridCol w:w="5288"/>
      </w:tblGrid>
      <w:tr w:rsidR="00F211FF" w:rsidRPr="00C27882" w:rsidTr="000B314D">
        <w:trPr>
          <w:cantSplit/>
        </w:trPr>
        <w:tc>
          <w:tcPr>
            <w:tcW w:w="5168" w:type="dxa"/>
          </w:tcPr>
          <w:p w:rsidR="00F211FF" w:rsidRPr="00C27882" w:rsidRDefault="003C7CE3" w:rsidP="00266051">
            <w:pPr>
              <w:spacing w:line="240" w:lineRule="auto"/>
              <w:jc w:val="left"/>
              <w:rPr>
                <w:rFonts w:ascii="Verdana" w:hAnsi="Verdana"/>
                <w:b/>
                <w:bCs/>
                <w:sz w:val="20"/>
              </w:rPr>
            </w:pPr>
            <w:r w:rsidRPr="00C27882">
              <w:rPr>
                <w:rFonts w:ascii="Verdana" w:hAnsi="Verdana"/>
                <w:b/>
                <w:bCs/>
                <w:sz w:val="18"/>
                <w:szCs w:val="18"/>
              </w:rPr>
              <w:t>No</w:t>
            </w:r>
            <w:r w:rsidR="00644F23" w:rsidRPr="00C27882">
              <w:rPr>
                <w:rFonts w:ascii="Verdana" w:hAnsi="Verdana"/>
                <w:b/>
                <w:bCs/>
                <w:sz w:val="18"/>
                <w:szCs w:val="18"/>
              </w:rPr>
              <w:t xml:space="preserve"> </w:t>
            </w:r>
            <w:r w:rsidR="001774DC">
              <w:rPr>
                <w:rFonts w:ascii="Verdana" w:hAnsi="Verdana"/>
                <w:b/>
                <w:bCs/>
                <w:sz w:val="18"/>
                <w:szCs w:val="18"/>
              </w:rPr>
              <w:t>26</w:t>
            </w:r>
            <w:r w:rsidR="0048482B" w:rsidRPr="00C27882">
              <w:rPr>
                <w:rFonts w:ascii="Verdana" w:hAnsi="Verdana"/>
                <w:b/>
                <w:bCs/>
                <w:sz w:val="18"/>
                <w:szCs w:val="18"/>
              </w:rPr>
              <w:t>/2015</w:t>
            </w:r>
          </w:p>
        </w:tc>
        <w:tc>
          <w:tcPr>
            <w:tcW w:w="5288" w:type="dxa"/>
          </w:tcPr>
          <w:p w:rsidR="00F211FF" w:rsidRPr="00C27882" w:rsidRDefault="00BD18E2" w:rsidP="00BD18E2">
            <w:pPr>
              <w:spacing w:line="240" w:lineRule="auto"/>
              <w:jc w:val="right"/>
              <w:rPr>
                <w:rFonts w:ascii="Verdana" w:hAnsi="Verdana"/>
                <w:b/>
                <w:bCs/>
                <w:sz w:val="18"/>
                <w:szCs w:val="18"/>
              </w:rPr>
            </w:pPr>
            <w:r w:rsidRPr="00C27882">
              <w:rPr>
                <w:rFonts w:ascii="Verdana" w:hAnsi="Verdana"/>
                <w:b/>
                <w:bCs/>
                <w:sz w:val="18"/>
                <w:szCs w:val="18"/>
              </w:rPr>
              <w:t>20</w:t>
            </w:r>
            <w:r w:rsidR="0048482B" w:rsidRPr="00C27882">
              <w:rPr>
                <w:rFonts w:ascii="Verdana" w:hAnsi="Verdana"/>
                <w:b/>
                <w:bCs/>
                <w:sz w:val="18"/>
                <w:szCs w:val="18"/>
              </w:rPr>
              <w:t xml:space="preserve"> </w:t>
            </w:r>
            <w:r w:rsidRPr="00C27882">
              <w:rPr>
                <w:rFonts w:ascii="Verdana" w:hAnsi="Verdana"/>
                <w:b/>
                <w:bCs/>
                <w:sz w:val="18"/>
                <w:szCs w:val="18"/>
              </w:rPr>
              <w:t>April</w:t>
            </w:r>
            <w:r w:rsidR="0048482B" w:rsidRPr="00C27882">
              <w:rPr>
                <w:rFonts w:ascii="Verdana" w:hAnsi="Verdana"/>
                <w:b/>
                <w:bCs/>
                <w:sz w:val="18"/>
                <w:szCs w:val="18"/>
              </w:rPr>
              <w:t xml:space="preserve"> 2015</w:t>
            </w:r>
          </w:p>
        </w:tc>
      </w:tr>
    </w:tbl>
    <w:p w:rsidR="003D2255" w:rsidRPr="00C27882" w:rsidRDefault="003D2255" w:rsidP="00473E94">
      <w:pPr>
        <w:spacing w:line="240" w:lineRule="auto"/>
        <w:jc w:val="center"/>
        <w:rPr>
          <w:rFonts w:ascii="Verdana" w:hAnsi="Verdana"/>
          <w:b/>
          <w:sz w:val="16"/>
          <w:szCs w:val="16"/>
        </w:rPr>
      </w:pPr>
    </w:p>
    <w:p w:rsidR="004C1135" w:rsidRPr="0049490C" w:rsidRDefault="00C27882" w:rsidP="004C1135">
      <w:pPr>
        <w:jc w:val="center"/>
        <w:rPr>
          <w:rFonts w:ascii="Verdana" w:hAnsi="Verdana"/>
          <w:b/>
          <w:sz w:val="28"/>
          <w:szCs w:val="28"/>
        </w:rPr>
      </w:pPr>
      <w:r w:rsidRPr="0049490C">
        <w:rPr>
          <w:rFonts w:ascii="Verdana" w:hAnsi="Verdana"/>
          <w:b/>
          <w:sz w:val="28"/>
          <w:szCs w:val="28"/>
        </w:rPr>
        <w:t xml:space="preserve">The </w:t>
      </w:r>
      <w:r w:rsidR="00E82AEA" w:rsidRPr="0049490C">
        <w:rPr>
          <w:rFonts w:ascii="Verdana" w:hAnsi="Verdana"/>
          <w:b/>
          <w:sz w:val="28"/>
          <w:szCs w:val="28"/>
        </w:rPr>
        <w:t>EESC</w:t>
      </w:r>
      <w:r w:rsidR="00224741" w:rsidRPr="0049490C">
        <w:rPr>
          <w:rFonts w:ascii="Verdana" w:hAnsi="Verdana"/>
          <w:b/>
          <w:sz w:val="28"/>
          <w:szCs w:val="28"/>
        </w:rPr>
        <w:t xml:space="preserve"> </w:t>
      </w:r>
      <w:r w:rsidR="0049490C" w:rsidRPr="0049490C">
        <w:rPr>
          <w:rFonts w:ascii="Verdana" w:hAnsi="Verdana"/>
          <w:b/>
          <w:sz w:val="28"/>
          <w:szCs w:val="28"/>
        </w:rPr>
        <w:t xml:space="preserve">debates the Energy Union with </w:t>
      </w:r>
      <w:r w:rsidR="007D2FDE" w:rsidRPr="0049490C">
        <w:rPr>
          <w:rFonts w:ascii="Verdana" w:hAnsi="Verdana"/>
          <w:b/>
          <w:sz w:val="28"/>
          <w:szCs w:val="28"/>
        </w:rPr>
        <w:t xml:space="preserve">Commission </w:t>
      </w:r>
      <w:r w:rsidR="002C6A8C" w:rsidRPr="0049490C">
        <w:rPr>
          <w:rFonts w:ascii="Verdana" w:hAnsi="Verdana"/>
          <w:b/>
          <w:sz w:val="28"/>
          <w:szCs w:val="28"/>
        </w:rPr>
        <w:t>V</w:t>
      </w:r>
      <w:r w:rsidR="007D2FDE" w:rsidRPr="0049490C">
        <w:rPr>
          <w:rFonts w:ascii="Verdana" w:hAnsi="Verdana"/>
          <w:b/>
          <w:sz w:val="28"/>
          <w:szCs w:val="28"/>
        </w:rPr>
        <w:t>ice</w:t>
      </w:r>
      <w:r w:rsidR="002C6A8C" w:rsidRPr="0049490C">
        <w:rPr>
          <w:rFonts w:ascii="Verdana" w:hAnsi="Verdana"/>
          <w:b/>
          <w:sz w:val="28"/>
          <w:szCs w:val="28"/>
        </w:rPr>
        <w:t xml:space="preserve"> P</w:t>
      </w:r>
      <w:r w:rsidR="007D2FDE" w:rsidRPr="0049490C">
        <w:rPr>
          <w:rFonts w:ascii="Verdana" w:hAnsi="Verdana"/>
          <w:b/>
          <w:sz w:val="28"/>
          <w:szCs w:val="28"/>
        </w:rPr>
        <w:t>resident Maroš Šefčovič</w:t>
      </w:r>
      <w:r w:rsidR="0049490C">
        <w:rPr>
          <w:rFonts w:ascii="Verdana" w:hAnsi="Verdana"/>
          <w:b/>
          <w:sz w:val="28"/>
          <w:szCs w:val="28"/>
        </w:rPr>
        <w:t>, the TTIP with</w:t>
      </w:r>
      <w:r w:rsidR="007D2FDE" w:rsidRPr="0049490C">
        <w:rPr>
          <w:rFonts w:ascii="Verdana" w:hAnsi="Verdana"/>
          <w:b/>
          <w:sz w:val="28"/>
          <w:szCs w:val="28"/>
        </w:rPr>
        <w:t xml:space="preserve"> Cecilia Malmström and </w:t>
      </w:r>
      <w:r w:rsidR="0049490C" w:rsidRPr="0049490C">
        <w:rPr>
          <w:rFonts w:ascii="Verdana" w:hAnsi="Verdana"/>
          <w:b/>
          <w:sz w:val="28"/>
          <w:szCs w:val="28"/>
        </w:rPr>
        <w:t>EU's economic priorities</w:t>
      </w:r>
      <w:r w:rsidR="0049490C">
        <w:rPr>
          <w:rFonts w:ascii="Verdana" w:hAnsi="Verdana"/>
          <w:b/>
          <w:sz w:val="28"/>
          <w:szCs w:val="28"/>
        </w:rPr>
        <w:t xml:space="preserve"> with</w:t>
      </w:r>
      <w:r w:rsidR="0049490C" w:rsidRPr="0049490C">
        <w:rPr>
          <w:rFonts w:ascii="Verdana" w:hAnsi="Verdana"/>
          <w:b/>
          <w:sz w:val="28"/>
          <w:szCs w:val="28"/>
        </w:rPr>
        <w:t xml:space="preserve"> </w:t>
      </w:r>
      <w:r w:rsidR="007D2FDE" w:rsidRPr="0049490C">
        <w:rPr>
          <w:rFonts w:ascii="Verdana" w:hAnsi="Verdana"/>
          <w:b/>
          <w:bCs/>
          <w:color w:val="000000"/>
          <w:sz w:val="28"/>
          <w:szCs w:val="28"/>
        </w:rPr>
        <w:t>Pierre Moscovici</w:t>
      </w:r>
    </w:p>
    <w:p w:rsidR="004C1135" w:rsidRPr="00C27882" w:rsidRDefault="004C1135" w:rsidP="004C1135">
      <w:pPr>
        <w:jc w:val="center"/>
        <w:rPr>
          <w:rFonts w:ascii="Verdana" w:hAnsi="Verdana"/>
          <w:b/>
          <w:sz w:val="18"/>
          <w:szCs w:val="18"/>
        </w:rPr>
      </w:pPr>
    </w:p>
    <w:p w:rsidR="004C1135" w:rsidRPr="00C27882" w:rsidRDefault="004C1135" w:rsidP="004C1135">
      <w:pPr>
        <w:rPr>
          <w:rFonts w:ascii="Verdana" w:hAnsi="Verdana"/>
          <w:b/>
          <w:sz w:val="18"/>
          <w:szCs w:val="18"/>
        </w:rPr>
      </w:pPr>
      <w:r w:rsidRPr="00C27882">
        <w:rPr>
          <w:rFonts w:ascii="Verdana" w:hAnsi="Verdana"/>
          <w:sz w:val="18"/>
          <w:szCs w:val="18"/>
        </w:rPr>
        <w:t>On</w:t>
      </w:r>
      <w:r w:rsidRPr="00C27882">
        <w:rPr>
          <w:rFonts w:ascii="Verdana" w:hAnsi="Verdana"/>
          <w:b/>
          <w:sz w:val="18"/>
          <w:szCs w:val="18"/>
        </w:rPr>
        <w:t xml:space="preserve"> Wednesday 22 April at 2.45</w:t>
      </w:r>
      <w:r w:rsidR="00730EAB" w:rsidRPr="00C27882">
        <w:rPr>
          <w:rFonts w:ascii="Verdana" w:hAnsi="Verdana"/>
          <w:b/>
          <w:sz w:val="18"/>
          <w:szCs w:val="18"/>
        </w:rPr>
        <w:t xml:space="preserve"> p.m</w:t>
      </w:r>
      <w:r w:rsidR="00702580" w:rsidRPr="00C27882">
        <w:rPr>
          <w:rFonts w:ascii="Verdana" w:hAnsi="Verdana"/>
          <w:b/>
          <w:sz w:val="18"/>
          <w:szCs w:val="18"/>
        </w:rPr>
        <w:t>.</w:t>
      </w:r>
      <w:r w:rsidR="00730EAB" w:rsidRPr="00C27882">
        <w:rPr>
          <w:rFonts w:ascii="Verdana" w:hAnsi="Verdana"/>
          <w:sz w:val="18"/>
          <w:szCs w:val="18"/>
        </w:rPr>
        <w:t xml:space="preserve">, </w:t>
      </w:r>
      <w:r w:rsidRPr="00C27882">
        <w:rPr>
          <w:rFonts w:ascii="Verdana" w:hAnsi="Verdana"/>
          <w:sz w:val="18"/>
          <w:szCs w:val="18"/>
        </w:rPr>
        <w:t>the 507</w:t>
      </w:r>
      <w:r w:rsidR="00702580" w:rsidRPr="00C27882">
        <w:rPr>
          <w:rFonts w:ascii="Verdana" w:hAnsi="Verdana"/>
          <w:sz w:val="18"/>
          <w:szCs w:val="18"/>
        </w:rPr>
        <w:t xml:space="preserve">th plenary session of the European Economic and Social Committee (EESC) will </w:t>
      </w:r>
      <w:r w:rsidRPr="00C27882">
        <w:rPr>
          <w:rFonts w:ascii="Verdana" w:hAnsi="Verdana"/>
          <w:sz w:val="18"/>
          <w:szCs w:val="18"/>
        </w:rPr>
        <w:t>hold a debate on the Energy</w:t>
      </w:r>
      <w:r w:rsidR="00DF6FA3" w:rsidRPr="00C27882">
        <w:rPr>
          <w:rFonts w:ascii="Verdana" w:hAnsi="Verdana"/>
          <w:sz w:val="18"/>
          <w:szCs w:val="18"/>
        </w:rPr>
        <w:t xml:space="preserve"> Union led by</w:t>
      </w:r>
      <w:r w:rsidR="00702580" w:rsidRPr="00C27882">
        <w:rPr>
          <w:rFonts w:ascii="Verdana" w:hAnsi="Verdana"/>
          <w:sz w:val="18"/>
          <w:szCs w:val="18"/>
        </w:rPr>
        <w:t xml:space="preserve"> </w:t>
      </w:r>
      <w:r w:rsidR="00730EAB" w:rsidRPr="00C27882">
        <w:rPr>
          <w:rFonts w:ascii="Verdana" w:hAnsi="Verdana"/>
          <w:b/>
          <w:sz w:val="18"/>
          <w:szCs w:val="18"/>
        </w:rPr>
        <w:t>t</w:t>
      </w:r>
      <w:r w:rsidRPr="00C27882">
        <w:rPr>
          <w:rFonts w:ascii="Verdana" w:hAnsi="Verdana"/>
          <w:b/>
          <w:sz w:val="18"/>
          <w:szCs w:val="18"/>
        </w:rPr>
        <w:t xml:space="preserve">he </w:t>
      </w:r>
      <w:r w:rsidR="00C27882">
        <w:rPr>
          <w:rFonts w:ascii="Verdana" w:hAnsi="Verdana"/>
          <w:b/>
          <w:sz w:val="18"/>
          <w:szCs w:val="18"/>
        </w:rPr>
        <w:t>V</w:t>
      </w:r>
      <w:r w:rsidR="00C14DD8" w:rsidRPr="00C27882">
        <w:rPr>
          <w:rFonts w:ascii="Verdana" w:hAnsi="Verdana"/>
          <w:b/>
          <w:sz w:val="18"/>
          <w:szCs w:val="18"/>
        </w:rPr>
        <w:t>ice</w:t>
      </w:r>
      <w:r w:rsidR="00C27882">
        <w:rPr>
          <w:rFonts w:ascii="Verdana" w:hAnsi="Verdana"/>
          <w:b/>
          <w:sz w:val="18"/>
          <w:szCs w:val="18"/>
        </w:rPr>
        <w:t xml:space="preserve"> P</w:t>
      </w:r>
      <w:r w:rsidR="00C14DD8" w:rsidRPr="00C27882">
        <w:rPr>
          <w:rFonts w:ascii="Verdana" w:hAnsi="Verdana"/>
          <w:b/>
          <w:sz w:val="18"/>
          <w:szCs w:val="18"/>
        </w:rPr>
        <w:t>resident of the Euro</w:t>
      </w:r>
      <w:r w:rsidRPr="00C27882">
        <w:rPr>
          <w:rFonts w:ascii="Verdana" w:hAnsi="Verdana"/>
          <w:b/>
          <w:sz w:val="18"/>
          <w:szCs w:val="18"/>
        </w:rPr>
        <w:t>pean Commission</w:t>
      </w:r>
      <w:r w:rsidRPr="00C27882">
        <w:rPr>
          <w:rFonts w:ascii="Verdana" w:hAnsi="Verdana"/>
          <w:sz w:val="18"/>
          <w:szCs w:val="18"/>
        </w:rPr>
        <w:t xml:space="preserve"> </w:t>
      </w:r>
      <w:r w:rsidRPr="00C27882">
        <w:rPr>
          <w:rFonts w:ascii="Verdana" w:hAnsi="Verdana"/>
          <w:b/>
          <w:sz w:val="18"/>
          <w:szCs w:val="18"/>
        </w:rPr>
        <w:t>responsible for the Energy Union</w:t>
      </w:r>
      <w:r w:rsidRPr="00C27882">
        <w:rPr>
          <w:rFonts w:ascii="Verdana" w:hAnsi="Verdana"/>
          <w:sz w:val="18"/>
          <w:szCs w:val="18"/>
        </w:rPr>
        <w:t xml:space="preserve"> </w:t>
      </w:r>
      <w:r w:rsidRPr="00C27882">
        <w:rPr>
          <w:rFonts w:ascii="Verdana" w:hAnsi="Verdana"/>
          <w:b/>
          <w:sz w:val="18"/>
          <w:szCs w:val="18"/>
        </w:rPr>
        <w:t>Maroš Šefčovič</w:t>
      </w:r>
      <w:r w:rsidR="00C14DD8" w:rsidRPr="00C27882">
        <w:rPr>
          <w:rFonts w:ascii="Verdana" w:hAnsi="Verdana"/>
          <w:sz w:val="18"/>
          <w:szCs w:val="18"/>
        </w:rPr>
        <w:t xml:space="preserve">. </w:t>
      </w:r>
      <w:r w:rsidRPr="00C27882">
        <w:rPr>
          <w:rFonts w:ascii="Verdana" w:hAnsi="Verdana"/>
          <w:b/>
          <w:sz w:val="18"/>
          <w:szCs w:val="18"/>
        </w:rPr>
        <w:t xml:space="preserve">At 4.00 p.m. </w:t>
      </w:r>
      <w:r w:rsidRPr="00C27882">
        <w:rPr>
          <w:rFonts w:ascii="Verdana" w:hAnsi="Verdana"/>
          <w:sz w:val="18"/>
          <w:szCs w:val="18"/>
        </w:rPr>
        <w:t>th</w:t>
      </w:r>
      <w:r w:rsidR="00DF6FA3" w:rsidRPr="00C27882">
        <w:rPr>
          <w:rFonts w:ascii="Verdana" w:hAnsi="Verdana"/>
          <w:sz w:val="18"/>
          <w:szCs w:val="18"/>
        </w:rPr>
        <w:t xml:space="preserve">e EESC plenary will welcome the </w:t>
      </w:r>
      <w:r w:rsidRPr="00C27882">
        <w:rPr>
          <w:rFonts w:ascii="Verdana" w:hAnsi="Verdana"/>
          <w:b/>
          <w:sz w:val="18"/>
          <w:szCs w:val="18"/>
        </w:rPr>
        <w:t>Commissioner responsible for Trade</w:t>
      </w:r>
      <w:r w:rsidR="00DF6FA3" w:rsidRPr="00C27882">
        <w:rPr>
          <w:rFonts w:ascii="Verdana" w:hAnsi="Verdana"/>
          <w:b/>
          <w:sz w:val="18"/>
          <w:szCs w:val="18"/>
        </w:rPr>
        <w:t>,</w:t>
      </w:r>
      <w:r w:rsidRPr="00C27882">
        <w:rPr>
          <w:rFonts w:ascii="Verdana" w:hAnsi="Verdana"/>
          <w:sz w:val="18"/>
          <w:szCs w:val="18"/>
        </w:rPr>
        <w:t xml:space="preserve"> </w:t>
      </w:r>
      <w:r w:rsidRPr="00C27882">
        <w:rPr>
          <w:rFonts w:ascii="Verdana" w:hAnsi="Verdana"/>
          <w:b/>
          <w:sz w:val="18"/>
          <w:szCs w:val="18"/>
        </w:rPr>
        <w:t>Cecilia Malmström</w:t>
      </w:r>
      <w:r w:rsidRPr="00C27882">
        <w:rPr>
          <w:rFonts w:ascii="Verdana" w:hAnsi="Verdana"/>
          <w:sz w:val="18"/>
          <w:szCs w:val="18"/>
        </w:rPr>
        <w:t>, for a debate on</w:t>
      </w:r>
      <w:r w:rsidR="00DF6FA3" w:rsidRPr="00C27882">
        <w:rPr>
          <w:rFonts w:ascii="Verdana" w:hAnsi="Verdana"/>
          <w:sz w:val="18"/>
          <w:szCs w:val="18"/>
        </w:rPr>
        <w:t xml:space="preserve"> trade policy and</w:t>
      </w:r>
      <w:r w:rsidRPr="00C27882">
        <w:rPr>
          <w:rFonts w:ascii="Verdana" w:hAnsi="Verdana"/>
          <w:sz w:val="18"/>
          <w:szCs w:val="18"/>
        </w:rPr>
        <w:t xml:space="preserve"> the Transatlantic T</w:t>
      </w:r>
      <w:r w:rsidR="009739FA" w:rsidRPr="00C27882">
        <w:rPr>
          <w:rFonts w:ascii="Verdana" w:hAnsi="Verdana"/>
          <w:sz w:val="18"/>
          <w:szCs w:val="18"/>
        </w:rPr>
        <w:t xml:space="preserve">rade and Investment Partnership </w:t>
      </w:r>
      <w:r w:rsidRPr="00C27882">
        <w:rPr>
          <w:rFonts w:ascii="Verdana" w:hAnsi="Verdana"/>
          <w:sz w:val="18"/>
          <w:szCs w:val="18"/>
        </w:rPr>
        <w:t>(TTIP).</w:t>
      </w:r>
      <w:r w:rsidR="00C27882">
        <w:rPr>
          <w:rFonts w:ascii="Verdana" w:hAnsi="Verdana"/>
          <w:sz w:val="18"/>
          <w:szCs w:val="18"/>
        </w:rPr>
        <w:t xml:space="preserve"> </w:t>
      </w:r>
    </w:p>
    <w:p w:rsidR="00C14DD8" w:rsidRPr="00C27882" w:rsidRDefault="00C14DD8" w:rsidP="00C14DD8">
      <w:pPr>
        <w:rPr>
          <w:rFonts w:ascii="Verdana" w:hAnsi="Verdana"/>
          <w:sz w:val="18"/>
          <w:szCs w:val="18"/>
        </w:rPr>
      </w:pPr>
    </w:p>
    <w:p w:rsidR="00712743" w:rsidRPr="00C27882" w:rsidRDefault="00C14DD8" w:rsidP="00712743">
      <w:pPr>
        <w:rPr>
          <w:rFonts w:ascii="Verdana" w:hAnsi="Verdana"/>
          <w:sz w:val="18"/>
          <w:szCs w:val="18"/>
        </w:rPr>
      </w:pPr>
      <w:r w:rsidRPr="00C27882">
        <w:rPr>
          <w:rFonts w:ascii="Verdana" w:hAnsi="Verdana"/>
          <w:sz w:val="18"/>
          <w:szCs w:val="18"/>
        </w:rPr>
        <w:t xml:space="preserve">On </w:t>
      </w:r>
      <w:r w:rsidR="00015860" w:rsidRPr="00C27882">
        <w:rPr>
          <w:rFonts w:ascii="Verdana" w:hAnsi="Verdana"/>
          <w:b/>
          <w:sz w:val="18"/>
          <w:szCs w:val="18"/>
        </w:rPr>
        <w:t>Thursday 23</w:t>
      </w:r>
      <w:r w:rsidR="00DF6FA3" w:rsidRPr="00C27882">
        <w:rPr>
          <w:rFonts w:ascii="Verdana" w:hAnsi="Verdana"/>
          <w:b/>
          <w:sz w:val="18"/>
          <w:szCs w:val="18"/>
        </w:rPr>
        <w:t xml:space="preserve"> April</w:t>
      </w:r>
      <w:r w:rsidR="00015860" w:rsidRPr="00C27882">
        <w:rPr>
          <w:rFonts w:ascii="Verdana" w:hAnsi="Verdana"/>
          <w:b/>
          <w:sz w:val="18"/>
          <w:szCs w:val="18"/>
        </w:rPr>
        <w:t xml:space="preserve"> at 10</w:t>
      </w:r>
      <w:r w:rsidRPr="00C27882">
        <w:rPr>
          <w:rFonts w:ascii="Verdana" w:hAnsi="Verdana"/>
          <w:b/>
          <w:sz w:val="18"/>
          <w:szCs w:val="18"/>
        </w:rPr>
        <w:t xml:space="preserve"> a.m.</w:t>
      </w:r>
      <w:r w:rsidR="00DF6FA3" w:rsidRPr="00C27882">
        <w:rPr>
          <w:rFonts w:ascii="Verdana" w:hAnsi="Verdana"/>
          <w:b/>
          <w:sz w:val="18"/>
          <w:szCs w:val="18"/>
        </w:rPr>
        <w:t xml:space="preserve"> the</w:t>
      </w:r>
      <w:r w:rsidR="00015860" w:rsidRPr="00C27882">
        <w:rPr>
          <w:rFonts w:ascii="Verdana" w:hAnsi="Verdana"/>
          <w:b/>
          <w:bCs/>
          <w:color w:val="000000"/>
          <w:sz w:val="18"/>
          <w:szCs w:val="18"/>
        </w:rPr>
        <w:t xml:space="preserve"> Commissioner </w:t>
      </w:r>
      <w:r w:rsidR="00DF6FA3" w:rsidRPr="00C27882">
        <w:rPr>
          <w:rFonts w:ascii="Verdana" w:hAnsi="Verdana"/>
          <w:b/>
          <w:bCs/>
          <w:color w:val="000000"/>
          <w:sz w:val="18"/>
          <w:szCs w:val="18"/>
        </w:rPr>
        <w:t xml:space="preserve">for </w:t>
      </w:r>
      <w:r w:rsidR="00DF6FA3" w:rsidRPr="00C27882">
        <w:rPr>
          <w:rStyle w:val="header-line-32"/>
          <w:rFonts w:ascii="Verdana" w:hAnsi="Verdana" w:cs="Arial"/>
          <w:b/>
          <w:sz w:val="18"/>
          <w:szCs w:val="18"/>
        </w:rPr>
        <w:t>Economic and Financial Affairs, Taxation and Customs</w:t>
      </w:r>
      <w:r w:rsidR="002C6A8C">
        <w:rPr>
          <w:rStyle w:val="header-line-32"/>
          <w:rFonts w:ascii="Verdana" w:hAnsi="Verdana" w:cs="Arial"/>
          <w:b/>
          <w:sz w:val="18"/>
          <w:szCs w:val="18"/>
        </w:rPr>
        <w:t>,</w:t>
      </w:r>
      <w:r w:rsidR="00DF6FA3" w:rsidRPr="00C27882">
        <w:rPr>
          <w:rFonts w:ascii="Verdana" w:hAnsi="Verdana"/>
          <w:b/>
          <w:bCs/>
          <w:color w:val="000000"/>
          <w:sz w:val="18"/>
          <w:szCs w:val="18"/>
        </w:rPr>
        <w:t xml:space="preserve"> </w:t>
      </w:r>
      <w:r w:rsidR="00015860" w:rsidRPr="00C27882">
        <w:rPr>
          <w:rFonts w:ascii="Verdana" w:hAnsi="Verdana"/>
          <w:b/>
          <w:bCs/>
          <w:color w:val="000000"/>
          <w:sz w:val="18"/>
          <w:szCs w:val="18"/>
        </w:rPr>
        <w:t>Pier</w:t>
      </w:r>
      <w:r w:rsidR="00DF6FA3" w:rsidRPr="00C27882">
        <w:rPr>
          <w:rFonts w:ascii="Verdana" w:hAnsi="Verdana"/>
          <w:b/>
          <w:bCs/>
          <w:color w:val="000000"/>
          <w:sz w:val="18"/>
          <w:szCs w:val="18"/>
        </w:rPr>
        <w:t>re Moscovici</w:t>
      </w:r>
      <w:r w:rsidR="00015860" w:rsidRPr="00C27882">
        <w:rPr>
          <w:rFonts w:ascii="Verdana" w:hAnsi="Verdana"/>
          <w:sz w:val="18"/>
          <w:szCs w:val="18"/>
        </w:rPr>
        <w:t xml:space="preserve"> </w:t>
      </w:r>
      <w:r w:rsidR="0049490C">
        <w:rPr>
          <w:rFonts w:ascii="Verdana" w:hAnsi="Verdana"/>
          <w:bCs/>
          <w:color w:val="000000"/>
          <w:sz w:val="18"/>
          <w:szCs w:val="18"/>
        </w:rPr>
        <w:t>will discuss</w:t>
      </w:r>
      <w:r w:rsidR="00015860" w:rsidRPr="00C27882">
        <w:rPr>
          <w:rFonts w:ascii="Verdana" w:hAnsi="Verdana"/>
          <w:b/>
          <w:bCs/>
          <w:color w:val="000000"/>
          <w:sz w:val="18"/>
          <w:szCs w:val="18"/>
        </w:rPr>
        <w:t xml:space="preserve"> </w:t>
      </w:r>
      <w:r w:rsidR="00015860" w:rsidRPr="00C27882">
        <w:rPr>
          <w:rFonts w:ascii="Verdana" w:hAnsi="Verdana"/>
          <w:sz w:val="18"/>
          <w:szCs w:val="18"/>
        </w:rPr>
        <w:t>the EU</w:t>
      </w:r>
      <w:r w:rsidR="00DF6FA3" w:rsidRPr="00C27882">
        <w:rPr>
          <w:rFonts w:ascii="Verdana" w:hAnsi="Verdana"/>
          <w:sz w:val="18"/>
          <w:szCs w:val="18"/>
        </w:rPr>
        <w:t>'s</w:t>
      </w:r>
      <w:r w:rsidR="00015860" w:rsidRPr="00C27882">
        <w:rPr>
          <w:rFonts w:ascii="Verdana" w:hAnsi="Verdana"/>
          <w:sz w:val="18"/>
          <w:szCs w:val="18"/>
        </w:rPr>
        <w:t xml:space="preserve"> </w:t>
      </w:r>
      <w:r w:rsidR="00AC1E5F" w:rsidRPr="00C27882">
        <w:rPr>
          <w:rFonts w:ascii="Verdana" w:hAnsi="Verdana"/>
          <w:sz w:val="18"/>
          <w:szCs w:val="18"/>
        </w:rPr>
        <w:t xml:space="preserve">economic priorities </w:t>
      </w:r>
      <w:r w:rsidR="00EC3464">
        <w:rPr>
          <w:rFonts w:ascii="Verdana" w:hAnsi="Verdana"/>
          <w:sz w:val="18"/>
          <w:szCs w:val="18"/>
        </w:rPr>
        <w:t>for</w:t>
      </w:r>
      <w:r w:rsidR="00EC3464" w:rsidRPr="00C27882">
        <w:rPr>
          <w:rFonts w:ascii="Verdana" w:hAnsi="Verdana"/>
          <w:sz w:val="18"/>
          <w:szCs w:val="18"/>
        </w:rPr>
        <w:t xml:space="preserve"> </w:t>
      </w:r>
      <w:r w:rsidR="00DF6FA3" w:rsidRPr="00C27882">
        <w:rPr>
          <w:rFonts w:ascii="Verdana" w:hAnsi="Verdana"/>
          <w:sz w:val="18"/>
          <w:szCs w:val="18"/>
        </w:rPr>
        <w:t>the coming</w:t>
      </w:r>
      <w:r w:rsidR="00015860" w:rsidRPr="00C27882">
        <w:rPr>
          <w:rFonts w:ascii="Verdana" w:hAnsi="Verdana"/>
          <w:sz w:val="18"/>
          <w:szCs w:val="18"/>
        </w:rPr>
        <w:t xml:space="preserve"> years</w:t>
      </w:r>
      <w:r w:rsidR="00DF6FA3" w:rsidRPr="00C27882">
        <w:rPr>
          <w:rFonts w:ascii="Verdana" w:hAnsi="Verdana"/>
          <w:sz w:val="18"/>
          <w:szCs w:val="18"/>
        </w:rPr>
        <w:t xml:space="preserve"> at the EESC plenary session</w:t>
      </w:r>
      <w:r w:rsidR="00015860" w:rsidRPr="00C27882">
        <w:rPr>
          <w:rFonts w:ascii="Verdana" w:hAnsi="Verdana"/>
          <w:sz w:val="18"/>
          <w:szCs w:val="18"/>
        </w:rPr>
        <w:t xml:space="preserve">. </w:t>
      </w:r>
    </w:p>
    <w:p w:rsidR="00712743" w:rsidRPr="00C27882" w:rsidRDefault="00712743" w:rsidP="00712743">
      <w:pPr>
        <w:rPr>
          <w:rFonts w:ascii="Verdana" w:hAnsi="Verdana"/>
          <w:sz w:val="18"/>
          <w:szCs w:val="18"/>
        </w:rPr>
      </w:pPr>
    </w:p>
    <w:p w:rsidR="007D5209" w:rsidRPr="00C27882" w:rsidRDefault="007D5209" w:rsidP="007D5209">
      <w:pPr>
        <w:pBdr>
          <w:top w:val="single" w:sz="4" w:space="1" w:color="auto"/>
          <w:left w:val="single" w:sz="4" w:space="4" w:color="auto"/>
          <w:bottom w:val="single" w:sz="4" w:space="1" w:color="auto"/>
          <w:right w:val="single" w:sz="4" w:space="4" w:color="auto"/>
        </w:pBdr>
        <w:overflowPunct/>
        <w:autoSpaceDE/>
        <w:autoSpaceDN/>
        <w:adjustRightInd/>
        <w:spacing w:line="276" w:lineRule="auto"/>
        <w:jc w:val="center"/>
        <w:textAlignment w:val="auto"/>
        <w:rPr>
          <w:rFonts w:ascii="Verdana" w:hAnsi="Verdana"/>
          <w:b/>
          <w:sz w:val="20"/>
        </w:rPr>
      </w:pPr>
      <w:r w:rsidRPr="00C27882">
        <w:rPr>
          <w:rFonts w:ascii="Verdana" w:hAnsi="Verdana"/>
          <w:b/>
          <w:sz w:val="20"/>
        </w:rPr>
        <w:t xml:space="preserve">EESC </w:t>
      </w:r>
      <w:r w:rsidR="009F02F6" w:rsidRPr="00C27882">
        <w:rPr>
          <w:rFonts w:ascii="Verdana" w:hAnsi="Verdana"/>
          <w:b/>
          <w:sz w:val="20"/>
        </w:rPr>
        <w:t>p</w:t>
      </w:r>
      <w:r w:rsidRPr="00C27882">
        <w:rPr>
          <w:rFonts w:ascii="Verdana" w:hAnsi="Verdana"/>
          <w:b/>
          <w:sz w:val="20"/>
        </w:rPr>
        <w:t xml:space="preserve">lenary </w:t>
      </w:r>
      <w:r w:rsidR="009F02F6" w:rsidRPr="00C27882">
        <w:rPr>
          <w:rFonts w:ascii="Verdana" w:hAnsi="Verdana"/>
          <w:b/>
          <w:sz w:val="20"/>
        </w:rPr>
        <w:t>s</w:t>
      </w:r>
      <w:r w:rsidRPr="00C27882">
        <w:rPr>
          <w:rFonts w:ascii="Verdana" w:hAnsi="Verdana"/>
          <w:b/>
          <w:sz w:val="20"/>
        </w:rPr>
        <w:t>ession</w:t>
      </w:r>
      <w:r w:rsidR="0048482B" w:rsidRPr="00C27882">
        <w:rPr>
          <w:rFonts w:ascii="Verdana" w:hAnsi="Verdana"/>
          <w:b/>
          <w:sz w:val="20"/>
        </w:rPr>
        <w:t xml:space="preserve"> – </w:t>
      </w:r>
      <w:r w:rsidR="007D2FDE" w:rsidRPr="00C27882">
        <w:rPr>
          <w:rFonts w:ascii="Verdana" w:hAnsi="Verdana"/>
          <w:b/>
          <w:sz w:val="20"/>
        </w:rPr>
        <w:t>22 and 23</w:t>
      </w:r>
      <w:r w:rsidR="009551E4" w:rsidRPr="00C27882">
        <w:rPr>
          <w:rFonts w:ascii="Verdana" w:hAnsi="Verdana"/>
          <w:b/>
          <w:sz w:val="20"/>
        </w:rPr>
        <w:t xml:space="preserve"> </w:t>
      </w:r>
      <w:r w:rsidR="007D2FDE" w:rsidRPr="00C27882">
        <w:rPr>
          <w:rFonts w:ascii="Verdana" w:hAnsi="Verdana"/>
          <w:b/>
          <w:sz w:val="20"/>
        </w:rPr>
        <w:t>April</w:t>
      </w:r>
      <w:r w:rsidR="00F97E2E" w:rsidRPr="00C27882">
        <w:rPr>
          <w:rFonts w:ascii="Verdana" w:hAnsi="Verdana"/>
          <w:b/>
          <w:sz w:val="20"/>
        </w:rPr>
        <w:t xml:space="preserve"> 2015</w:t>
      </w:r>
    </w:p>
    <w:p w:rsidR="00C65953" w:rsidRPr="00C27882" w:rsidRDefault="00C65953" w:rsidP="007D5209">
      <w:pPr>
        <w:pBdr>
          <w:top w:val="single" w:sz="4" w:space="1" w:color="auto"/>
          <w:left w:val="single" w:sz="4" w:space="4" w:color="auto"/>
          <w:bottom w:val="single" w:sz="4" w:space="1" w:color="auto"/>
          <w:right w:val="single" w:sz="4" w:space="4" w:color="auto"/>
        </w:pBdr>
        <w:overflowPunct/>
        <w:autoSpaceDE/>
        <w:autoSpaceDN/>
        <w:adjustRightInd/>
        <w:spacing w:line="276" w:lineRule="auto"/>
        <w:jc w:val="center"/>
        <w:textAlignment w:val="auto"/>
        <w:rPr>
          <w:rFonts w:ascii="Verdana" w:hAnsi="Verdana"/>
          <w:b/>
          <w:sz w:val="20"/>
        </w:rPr>
      </w:pPr>
      <w:proofErr w:type="gramStart"/>
      <w:r w:rsidRPr="00C27882">
        <w:rPr>
          <w:rFonts w:ascii="Verdana" w:hAnsi="Verdana"/>
          <w:b/>
          <w:sz w:val="20"/>
        </w:rPr>
        <w:t>with</w:t>
      </w:r>
      <w:proofErr w:type="gramEnd"/>
      <w:r w:rsidRPr="00C27882">
        <w:rPr>
          <w:rFonts w:ascii="Verdana" w:hAnsi="Verdana"/>
          <w:b/>
          <w:sz w:val="20"/>
        </w:rPr>
        <w:t xml:space="preserve"> </w:t>
      </w:r>
      <w:r w:rsidR="009F02F6" w:rsidRPr="00C27882">
        <w:rPr>
          <w:rFonts w:ascii="Verdana" w:hAnsi="Verdana"/>
          <w:b/>
          <w:sz w:val="20"/>
        </w:rPr>
        <w:t xml:space="preserve">Commission </w:t>
      </w:r>
      <w:r w:rsidR="00CF61C3">
        <w:rPr>
          <w:rFonts w:ascii="Verdana" w:hAnsi="Verdana"/>
          <w:b/>
          <w:sz w:val="20"/>
        </w:rPr>
        <w:t>Vice P</w:t>
      </w:r>
      <w:r w:rsidR="00D05FBA" w:rsidRPr="00C27882">
        <w:rPr>
          <w:rFonts w:ascii="Verdana" w:hAnsi="Verdana"/>
          <w:b/>
          <w:sz w:val="20"/>
        </w:rPr>
        <w:t>resident</w:t>
      </w:r>
      <w:r w:rsidR="009551E4" w:rsidRPr="00C27882">
        <w:rPr>
          <w:rFonts w:ascii="Verdana" w:hAnsi="Verdana"/>
          <w:b/>
          <w:sz w:val="20"/>
        </w:rPr>
        <w:t xml:space="preserve"> </w:t>
      </w:r>
      <w:r w:rsidR="00D05FBA" w:rsidRPr="00C27882">
        <w:rPr>
          <w:rFonts w:ascii="Verdana" w:hAnsi="Verdana"/>
          <w:b/>
          <w:sz w:val="20"/>
        </w:rPr>
        <w:t xml:space="preserve">Šefčovič </w:t>
      </w:r>
      <w:r w:rsidR="00D05FBA" w:rsidRPr="00C27882">
        <w:rPr>
          <w:rFonts w:ascii="Verdana" w:hAnsi="Verdana"/>
          <w:b/>
          <w:bCs/>
          <w:color w:val="000000"/>
          <w:sz w:val="20"/>
        </w:rPr>
        <w:t xml:space="preserve">and Commissioners </w:t>
      </w:r>
      <w:r w:rsidR="00D05FBA" w:rsidRPr="00C27882">
        <w:rPr>
          <w:rFonts w:ascii="Verdana" w:hAnsi="Verdana"/>
          <w:b/>
          <w:sz w:val="20"/>
        </w:rPr>
        <w:t xml:space="preserve">Malmström and </w:t>
      </w:r>
      <w:r w:rsidR="00D05FBA" w:rsidRPr="00C27882">
        <w:rPr>
          <w:rFonts w:ascii="Verdana" w:hAnsi="Verdana"/>
          <w:b/>
          <w:bCs/>
          <w:color w:val="000000"/>
          <w:sz w:val="20"/>
        </w:rPr>
        <w:t>Moscovici</w:t>
      </w:r>
    </w:p>
    <w:p w:rsidR="007D5209" w:rsidRPr="00C27882" w:rsidRDefault="007D5209" w:rsidP="007D5209">
      <w:pPr>
        <w:pBdr>
          <w:top w:val="single" w:sz="4" w:space="1" w:color="auto"/>
          <w:left w:val="single" w:sz="4" w:space="4" w:color="auto"/>
          <w:bottom w:val="single" w:sz="4" w:space="1" w:color="auto"/>
          <w:right w:val="single" w:sz="4" w:space="4" w:color="auto"/>
        </w:pBdr>
        <w:overflowPunct/>
        <w:autoSpaceDE/>
        <w:autoSpaceDN/>
        <w:adjustRightInd/>
        <w:spacing w:line="276" w:lineRule="auto"/>
        <w:jc w:val="center"/>
        <w:textAlignment w:val="auto"/>
        <w:rPr>
          <w:rFonts w:ascii="Verdana" w:hAnsi="Verdana"/>
          <w:b/>
          <w:sz w:val="20"/>
        </w:rPr>
      </w:pPr>
      <w:r w:rsidRPr="00C27882">
        <w:rPr>
          <w:rFonts w:ascii="Verdana" w:hAnsi="Verdana"/>
          <w:b/>
          <w:sz w:val="20"/>
        </w:rPr>
        <w:t xml:space="preserve">Charlemagne building (European Commission), </w:t>
      </w:r>
      <w:r w:rsidR="00332A93" w:rsidRPr="00C27882">
        <w:rPr>
          <w:rFonts w:ascii="Verdana" w:hAnsi="Verdana"/>
          <w:b/>
          <w:sz w:val="20"/>
        </w:rPr>
        <w:t>De Gasperi room (3rd floor)</w:t>
      </w:r>
      <w:r w:rsidRPr="00C27882">
        <w:rPr>
          <w:rFonts w:ascii="Verdana" w:hAnsi="Verdana"/>
          <w:b/>
          <w:sz w:val="20"/>
        </w:rPr>
        <w:t>, Brussels</w:t>
      </w:r>
    </w:p>
    <w:p w:rsidR="00AC609A" w:rsidRPr="00C27882" w:rsidRDefault="007D5209" w:rsidP="00EC59A0">
      <w:pPr>
        <w:pBdr>
          <w:top w:val="single" w:sz="4" w:space="1" w:color="auto"/>
          <w:left w:val="single" w:sz="4" w:space="4" w:color="auto"/>
          <w:bottom w:val="single" w:sz="4" w:space="1" w:color="auto"/>
          <w:right w:val="single" w:sz="4" w:space="4" w:color="auto"/>
        </w:pBdr>
        <w:jc w:val="center"/>
        <w:rPr>
          <w:rFonts w:ascii="Verdana" w:hAnsi="Verdana"/>
          <w:color w:val="000000"/>
          <w:sz w:val="18"/>
          <w:szCs w:val="18"/>
        </w:rPr>
      </w:pPr>
      <w:r w:rsidRPr="00C27882">
        <w:rPr>
          <w:rFonts w:ascii="Verdana" w:hAnsi="Verdana"/>
          <w:color w:val="000000"/>
          <w:sz w:val="18"/>
          <w:szCs w:val="18"/>
        </w:rPr>
        <w:t xml:space="preserve">Watch the plenary session </w:t>
      </w:r>
      <w:hyperlink r:id="rId15" w:history="1">
        <w:r w:rsidR="007F079A" w:rsidRPr="00C27882">
          <w:rPr>
            <w:rStyle w:val="Hyperlink"/>
            <w:rFonts w:ascii="Verdana" w:hAnsi="Verdana"/>
            <w:sz w:val="18"/>
            <w:szCs w:val="18"/>
          </w:rPr>
          <w:t>here</w:t>
        </w:r>
      </w:hyperlink>
      <w:r w:rsidR="007F079A" w:rsidRPr="00C27882">
        <w:rPr>
          <w:rFonts w:ascii="Verdana" w:hAnsi="Verdana"/>
          <w:color w:val="000000"/>
          <w:sz w:val="18"/>
          <w:szCs w:val="18"/>
        </w:rPr>
        <w:t xml:space="preserve"> </w:t>
      </w:r>
      <w:r w:rsidRPr="00C27882">
        <w:rPr>
          <w:rFonts w:ascii="Verdana" w:hAnsi="Verdana"/>
          <w:color w:val="000000"/>
          <w:sz w:val="18"/>
          <w:szCs w:val="18"/>
        </w:rPr>
        <w:t xml:space="preserve">- The full agenda is available </w:t>
      </w:r>
      <w:hyperlink r:id="rId16" w:history="1">
        <w:r w:rsidR="007F079A" w:rsidRPr="00C27882">
          <w:rPr>
            <w:rStyle w:val="Hyperlink"/>
            <w:rFonts w:ascii="Verdana" w:hAnsi="Verdana"/>
            <w:sz w:val="18"/>
            <w:szCs w:val="18"/>
          </w:rPr>
          <w:t>here</w:t>
        </w:r>
      </w:hyperlink>
    </w:p>
    <w:p w:rsidR="00712743" w:rsidRPr="00C27882" w:rsidRDefault="00712743" w:rsidP="00712743">
      <w:pPr>
        <w:rPr>
          <w:rFonts w:ascii="Verdana" w:eastAsia="Calibri" w:hAnsi="Verdana"/>
          <w:b/>
          <w:bCs/>
          <w:color w:val="000000"/>
          <w:sz w:val="18"/>
          <w:szCs w:val="18"/>
          <w:u w:val="single"/>
          <w:lang w:eastAsia="fr-BE"/>
        </w:rPr>
      </w:pPr>
    </w:p>
    <w:p w:rsidR="00712743" w:rsidRPr="00C27882" w:rsidRDefault="0028640B" w:rsidP="00712743">
      <w:pPr>
        <w:rPr>
          <w:rFonts w:ascii="Verdana" w:eastAsia="Calibri" w:hAnsi="Verdana"/>
          <w:b/>
          <w:bCs/>
          <w:color w:val="000000"/>
          <w:sz w:val="18"/>
          <w:szCs w:val="18"/>
          <w:u w:val="single"/>
          <w:lang w:eastAsia="fr-BE"/>
        </w:rPr>
      </w:pPr>
      <w:r w:rsidRPr="00C27882">
        <w:rPr>
          <w:rFonts w:ascii="Verdana" w:eastAsia="Calibri" w:hAnsi="Verdana"/>
          <w:b/>
          <w:bCs/>
          <w:color w:val="000000"/>
          <w:sz w:val="18"/>
          <w:szCs w:val="18"/>
          <w:u w:val="single"/>
          <w:lang w:eastAsia="fr-BE"/>
        </w:rPr>
        <w:t>Other o</w:t>
      </w:r>
      <w:r w:rsidR="00393D8E" w:rsidRPr="00C27882">
        <w:rPr>
          <w:rFonts w:ascii="Verdana" w:eastAsia="Calibri" w:hAnsi="Verdana"/>
          <w:b/>
          <w:bCs/>
          <w:color w:val="000000"/>
          <w:sz w:val="18"/>
          <w:szCs w:val="18"/>
          <w:u w:val="single"/>
          <w:lang w:eastAsia="fr-BE"/>
        </w:rPr>
        <w:t>pinions to be</w:t>
      </w:r>
      <w:r w:rsidR="00712743" w:rsidRPr="00C27882">
        <w:rPr>
          <w:rFonts w:ascii="Verdana" w:eastAsia="Calibri" w:hAnsi="Verdana"/>
          <w:b/>
          <w:bCs/>
          <w:color w:val="000000"/>
          <w:sz w:val="18"/>
          <w:szCs w:val="18"/>
          <w:u w:val="single"/>
          <w:lang w:eastAsia="fr-BE"/>
        </w:rPr>
        <w:t xml:space="preserve"> put to the vote during the plenary session:</w:t>
      </w:r>
    </w:p>
    <w:p w:rsidR="00256C2B" w:rsidRPr="00C27882" w:rsidRDefault="00256C2B" w:rsidP="00256C2B">
      <w:pPr>
        <w:jc w:val="center"/>
        <w:rPr>
          <w:rFonts w:ascii="Verdana" w:hAnsi="Verdana"/>
          <w:sz w:val="18"/>
          <w:szCs w:val="18"/>
        </w:rPr>
      </w:pPr>
    </w:p>
    <w:p w:rsidR="00C86289" w:rsidRPr="00C27882" w:rsidRDefault="00BD18E2" w:rsidP="00BD18E2">
      <w:pPr>
        <w:pStyle w:val="ListParagraph"/>
        <w:numPr>
          <w:ilvl w:val="0"/>
          <w:numId w:val="14"/>
        </w:numPr>
        <w:rPr>
          <w:rStyle w:val="Hyperlink"/>
          <w:rFonts w:ascii="Verdana" w:hAnsi="Verdana"/>
          <w:color w:val="auto"/>
          <w:sz w:val="18"/>
          <w:szCs w:val="18"/>
          <w:u w:val="none"/>
        </w:rPr>
      </w:pPr>
      <w:r w:rsidRPr="00C27882">
        <w:rPr>
          <w:rFonts w:ascii="Verdana" w:hAnsi="Verdana"/>
          <w:sz w:val="18"/>
          <w:szCs w:val="18"/>
        </w:rPr>
        <w:t>Biomedical engineering and care services</w:t>
      </w:r>
      <w:r w:rsidR="00256C2B" w:rsidRPr="00C27882">
        <w:rPr>
          <w:rFonts w:ascii="Verdana" w:hAnsi="Verdana"/>
          <w:b/>
          <w:bCs/>
          <w:sz w:val="18"/>
          <w:szCs w:val="18"/>
        </w:rPr>
        <w:t xml:space="preserve"> </w:t>
      </w:r>
      <w:r w:rsidR="000C44F4" w:rsidRPr="00C27882">
        <w:rPr>
          <w:rFonts w:ascii="Verdana" w:hAnsi="Verdana"/>
          <w:b/>
          <w:bCs/>
          <w:sz w:val="18"/>
          <w:szCs w:val="18"/>
        </w:rPr>
        <w:t>(</w:t>
      </w:r>
      <w:r w:rsidR="001375ED" w:rsidRPr="00C27882">
        <w:rPr>
          <w:rFonts w:ascii="Verdana" w:hAnsi="Verdana"/>
          <w:b/>
          <w:bCs/>
          <w:sz w:val="18"/>
          <w:szCs w:val="18"/>
        </w:rPr>
        <w:t>r</w:t>
      </w:r>
      <w:r w:rsidR="000C44F4" w:rsidRPr="00C27882">
        <w:rPr>
          <w:rFonts w:ascii="Verdana" w:hAnsi="Verdana"/>
          <w:b/>
          <w:bCs/>
          <w:sz w:val="18"/>
          <w:szCs w:val="18"/>
        </w:rPr>
        <w:t xml:space="preserve">apporteur: </w:t>
      </w:r>
      <w:r w:rsidRPr="00C27882">
        <w:rPr>
          <w:rFonts w:ascii="Verdana" w:hAnsi="Verdana"/>
          <w:b/>
          <w:sz w:val="18"/>
          <w:szCs w:val="18"/>
        </w:rPr>
        <w:t>Edgardo Maria IOZIA</w:t>
      </w:r>
      <w:r w:rsidR="00405011" w:rsidRPr="00C27882">
        <w:rPr>
          <w:rFonts w:ascii="Verdana" w:hAnsi="Verdana"/>
          <w:b/>
          <w:sz w:val="18"/>
          <w:szCs w:val="18"/>
        </w:rPr>
        <w:t xml:space="preserve">, </w:t>
      </w:r>
      <w:r w:rsidR="001375ED" w:rsidRPr="00C27882">
        <w:rPr>
          <w:rFonts w:ascii="Verdana" w:hAnsi="Verdana"/>
          <w:b/>
          <w:sz w:val="18"/>
          <w:szCs w:val="18"/>
        </w:rPr>
        <w:t>c</w:t>
      </w:r>
      <w:r w:rsidRPr="00C27882">
        <w:rPr>
          <w:rFonts w:ascii="Verdana" w:hAnsi="Verdana"/>
          <w:b/>
          <w:sz w:val="18"/>
          <w:szCs w:val="18"/>
        </w:rPr>
        <w:t>o-rapporteur: Dirk JARRÉ</w:t>
      </w:r>
      <w:r w:rsidR="007F079A" w:rsidRPr="00C27882">
        <w:rPr>
          <w:rFonts w:ascii="Verdana" w:hAnsi="Verdana"/>
          <w:b/>
          <w:bCs/>
          <w:sz w:val="18"/>
          <w:szCs w:val="18"/>
        </w:rPr>
        <w:t>)</w:t>
      </w:r>
      <w:r w:rsidR="007F079A" w:rsidRPr="00C27882">
        <w:rPr>
          <w:rFonts w:ascii="Verdana" w:hAnsi="Verdana"/>
          <w:sz w:val="18"/>
          <w:szCs w:val="18"/>
        </w:rPr>
        <w:t xml:space="preserve"> </w:t>
      </w:r>
      <w:hyperlink r:id="rId17" w:history="1">
        <w:r w:rsidR="007F079A" w:rsidRPr="00C27882">
          <w:rPr>
            <w:rStyle w:val="Hyperlink"/>
            <w:rFonts w:ascii="Verdana" w:hAnsi="Verdana"/>
            <w:b/>
            <w:sz w:val="18"/>
            <w:szCs w:val="18"/>
          </w:rPr>
          <w:t>More</w:t>
        </w:r>
      </w:hyperlink>
    </w:p>
    <w:p w:rsidR="00BD18E2" w:rsidRPr="00C27882" w:rsidRDefault="00BD18E2" w:rsidP="00BD18E2">
      <w:pPr>
        <w:pStyle w:val="Heading2"/>
        <w:numPr>
          <w:ilvl w:val="0"/>
          <w:numId w:val="0"/>
        </w:numPr>
        <w:rPr>
          <w:rFonts w:ascii="Verdana" w:hAnsi="Verdana"/>
          <w:sz w:val="18"/>
          <w:szCs w:val="18"/>
        </w:rPr>
      </w:pPr>
      <w:r w:rsidRPr="00C27882">
        <w:rPr>
          <w:rStyle w:val="Hyperlink"/>
          <w:rFonts w:ascii="Verdana" w:hAnsi="Verdana"/>
          <w:color w:val="auto"/>
          <w:sz w:val="18"/>
          <w:szCs w:val="18"/>
          <w:u w:val="none"/>
        </w:rPr>
        <w:tab/>
      </w:r>
      <w:r w:rsidR="00D40DB8">
        <w:rPr>
          <w:rFonts w:ascii="Verdana" w:hAnsi="Verdana"/>
          <w:sz w:val="18"/>
          <w:szCs w:val="18"/>
        </w:rPr>
        <w:t>Biomedical e</w:t>
      </w:r>
      <w:r w:rsidRPr="00C27882">
        <w:rPr>
          <w:rFonts w:ascii="Verdana" w:hAnsi="Verdana"/>
          <w:sz w:val="18"/>
          <w:szCs w:val="18"/>
        </w:rPr>
        <w:t xml:space="preserve">ngineering is not simply a subset of modern medicine. Modern medicine predominantly </w:t>
      </w:r>
      <w:r w:rsidRPr="00C27882">
        <w:rPr>
          <w:rFonts w:ascii="Verdana" w:hAnsi="Verdana"/>
          <w:sz w:val="18"/>
          <w:szCs w:val="18"/>
        </w:rPr>
        <w:tab/>
      </w:r>
      <w:r w:rsidR="002C6A8C">
        <w:rPr>
          <w:rFonts w:ascii="Verdana" w:hAnsi="Verdana"/>
          <w:sz w:val="18"/>
          <w:szCs w:val="18"/>
        </w:rPr>
        <w:t>achieves</w:t>
      </w:r>
      <w:r w:rsidR="002C6A8C" w:rsidRPr="00C27882">
        <w:rPr>
          <w:rFonts w:ascii="Verdana" w:hAnsi="Verdana"/>
          <w:sz w:val="18"/>
          <w:szCs w:val="18"/>
        </w:rPr>
        <w:t xml:space="preserve"> </w:t>
      </w:r>
      <w:r w:rsidRPr="00C27882">
        <w:rPr>
          <w:rFonts w:ascii="Verdana" w:hAnsi="Verdana"/>
          <w:sz w:val="18"/>
          <w:szCs w:val="18"/>
        </w:rPr>
        <w:t>important advances through the use of products of biomedical engineering.</w:t>
      </w:r>
    </w:p>
    <w:p w:rsidR="00B43EBF" w:rsidRPr="00C27882" w:rsidRDefault="00BD18E2" w:rsidP="00BD18E2">
      <w:pPr>
        <w:pStyle w:val="ListParagraph"/>
        <w:rPr>
          <w:rFonts w:ascii="Verdana" w:hAnsi="Verdana"/>
          <w:sz w:val="18"/>
          <w:szCs w:val="18"/>
        </w:rPr>
      </w:pPr>
      <w:r w:rsidRPr="00C27882">
        <w:rPr>
          <w:rFonts w:ascii="Verdana" w:hAnsi="Verdana"/>
          <w:sz w:val="18"/>
          <w:szCs w:val="18"/>
        </w:rPr>
        <w:t>The biomedical engineering industry will become increasingly important due to technological development and the potential of new techniques to enhance care and rehabilitation represent</w:t>
      </w:r>
      <w:r w:rsidR="004261FC">
        <w:rPr>
          <w:rFonts w:ascii="Verdana" w:hAnsi="Verdana"/>
          <w:sz w:val="18"/>
          <w:szCs w:val="18"/>
        </w:rPr>
        <w:t>s</w:t>
      </w:r>
      <w:r w:rsidRPr="00C27882">
        <w:rPr>
          <w:rFonts w:ascii="Verdana" w:hAnsi="Verdana"/>
          <w:sz w:val="18"/>
          <w:szCs w:val="18"/>
        </w:rPr>
        <w:t xml:space="preserve"> a major step forward in terms of healthcare and quality of life. </w:t>
      </w:r>
    </w:p>
    <w:p w:rsidR="008B602B" w:rsidRPr="00C27882" w:rsidRDefault="008B602B" w:rsidP="00B43EBF">
      <w:pPr>
        <w:rPr>
          <w:rFonts w:ascii="Verdana" w:hAnsi="Verdana"/>
          <w:sz w:val="18"/>
          <w:szCs w:val="18"/>
        </w:rPr>
      </w:pPr>
    </w:p>
    <w:p w:rsidR="008B602B" w:rsidRPr="00C27882" w:rsidRDefault="00BD18E2" w:rsidP="00B43EBF">
      <w:pPr>
        <w:numPr>
          <w:ilvl w:val="0"/>
          <w:numId w:val="12"/>
        </w:numPr>
        <w:rPr>
          <w:rFonts w:ascii="Verdana" w:hAnsi="Verdana"/>
          <w:b/>
          <w:sz w:val="18"/>
          <w:szCs w:val="18"/>
        </w:rPr>
      </w:pPr>
      <w:r w:rsidRPr="00C27882">
        <w:rPr>
          <w:rFonts w:ascii="Verdana" w:hAnsi="Verdana"/>
          <w:sz w:val="18"/>
          <w:szCs w:val="18"/>
        </w:rPr>
        <w:t>Implications of climate and energy policy on agricultural and forestry sectors</w:t>
      </w:r>
      <w:r w:rsidR="008B602B" w:rsidRPr="00C27882">
        <w:rPr>
          <w:rFonts w:ascii="Verdana" w:hAnsi="Verdana"/>
          <w:sz w:val="18"/>
          <w:szCs w:val="18"/>
        </w:rPr>
        <w:t xml:space="preserve"> </w:t>
      </w:r>
      <w:r w:rsidRPr="00C27882">
        <w:rPr>
          <w:rFonts w:ascii="Verdana" w:hAnsi="Verdana"/>
          <w:b/>
          <w:sz w:val="18"/>
          <w:szCs w:val="18"/>
        </w:rPr>
        <w:t>(Rapporteur: Mindaugas MACIULEVIČIUS</w:t>
      </w:r>
      <w:r w:rsidR="008B602B" w:rsidRPr="00C27882">
        <w:rPr>
          <w:rFonts w:ascii="Verdana" w:hAnsi="Verdana"/>
          <w:b/>
          <w:sz w:val="18"/>
          <w:szCs w:val="18"/>
        </w:rPr>
        <w:t xml:space="preserve">) </w:t>
      </w:r>
      <w:hyperlink r:id="rId18" w:history="1">
        <w:r w:rsidR="008B602B" w:rsidRPr="00C27882">
          <w:rPr>
            <w:rStyle w:val="Hyperlink"/>
            <w:rFonts w:ascii="Verdana" w:hAnsi="Verdana"/>
            <w:b/>
            <w:sz w:val="18"/>
            <w:szCs w:val="18"/>
          </w:rPr>
          <w:t>More</w:t>
        </w:r>
      </w:hyperlink>
    </w:p>
    <w:p w:rsidR="00BD18E2" w:rsidRPr="00C27882" w:rsidRDefault="002C6A8C" w:rsidP="00BD18E2">
      <w:pPr>
        <w:pStyle w:val="ListParagraph"/>
        <w:rPr>
          <w:rFonts w:ascii="Verdana" w:hAnsi="Verdana"/>
          <w:color w:val="1F497D"/>
          <w:sz w:val="18"/>
          <w:szCs w:val="18"/>
        </w:rPr>
      </w:pPr>
      <w:r>
        <w:rPr>
          <w:rFonts w:ascii="Verdana" w:hAnsi="Verdana"/>
          <w:sz w:val="18"/>
          <w:szCs w:val="18"/>
        </w:rPr>
        <w:t>The a</w:t>
      </w:r>
      <w:r w:rsidR="00BD18E2" w:rsidRPr="00C27882">
        <w:rPr>
          <w:rFonts w:ascii="Verdana" w:hAnsi="Verdana"/>
          <w:sz w:val="18"/>
          <w:szCs w:val="18"/>
        </w:rPr>
        <w:t xml:space="preserve">griculture and forestry sectors are </w:t>
      </w:r>
      <w:r w:rsidR="00B05A0B">
        <w:rPr>
          <w:rFonts w:ascii="Verdana" w:hAnsi="Verdana"/>
          <w:sz w:val="18"/>
          <w:szCs w:val="18"/>
        </w:rPr>
        <w:t xml:space="preserve">areas which are </w:t>
      </w:r>
      <w:r w:rsidR="00BD18E2" w:rsidRPr="00C27882">
        <w:rPr>
          <w:rFonts w:ascii="Verdana" w:hAnsi="Verdana"/>
          <w:sz w:val="18"/>
          <w:szCs w:val="18"/>
        </w:rPr>
        <w:t xml:space="preserve">complex and not fully understood and the transition to sustainably intensified agriculture and active forest management has to be seen as a long-term goal. Research, innovation and development are the main drivers for this transition. The EU can lead this process </w:t>
      </w:r>
      <w:r w:rsidR="00B05A0B">
        <w:rPr>
          <w:rFonts w:ascii="Verdana" w:hAnsi="Verdana"/>
          <w:sz w:val="18"/>
          <w:szCs w:val="18"/>
        </w:rPr>
        <w:t>through</w:t>
      </w:r>
      <w:r w:rsidR="00B05A0B" w:rsidRPr="00C27882">
        <w:rPr>
          <w:rFonts w:ascii="Verdana" w:hAnsi="Verdana"/>
          <w:sz w:val="18"/>
          <w:szCs w:val="18"/>
        </w:rPr>
        <w:t xml:space="preserve"> </w:t>
      </w:r>
      <w:r w:rsidR="00BD18E2" w:rsidRPr="00C27882">
        <w:rPr>
          <w:rFonts w:ascii="Verdana" w:hAnsi="Verdana"/>
          <w:sz w:val="18"/>
          <w:szCs w:val="18"/>
        </w:rPr>
        <w:t>responsible political decisions and innovative partnerships that respect Europe's diversity and strengthen the attractiveness of local EU producers, without imposing unnecessary burdens on farmers and forest owners.</w:t>
      </w:r>
    </w:p>
    <w:p w:rsidR="00C169B2" w:rsidRPr="00C27882" w:rsidRDefault="00C169B2" w:rsidP="00B43EBF">
      <w:pPr>
        <w:rPr>
          <w:rFonts w:ascii="Verdana" w:hAnsi="Verdana"/>
          <w:sz w:val="18"/>
          <w:szCs w:val="18"/>
        </w:rPr>
      </w:pPr>
    </w:p>
    <w:p w:rsidR="00A65814" w:rsidRPr="00C27882" w:rsidRDefault="007D2FDE" w:rsidP="00B43EBF">
      <w:pPr>
        <w:numPr>
          <w:ilvl w:val="0"/>
          <w:numId w:val="7"/>
        </w:numPr>
        <w:rPr>
          <w:rStyle w:val="Hyperlink"/>
          <w:rFonts w:ascii="Verdana" w:hAnsi="Verdana"/>
          <w:color w:val="auto"/>
          <w:sz w:val="18"/>
          <w:szCs w:val="18"/>
          <w:u w:val="none"/>
        </w:rPr>
      </w:pPr>
      <w:r w:rsidRPr="00C27882">
        <w:rPr>
          <w:rFonts w:ascii="Verdana" w:hAnsi="Verdana"/>
          <w:sz w:val="18"/>
          <w:szCs w:val="18"/>
        </w:rPr>
        <w:t>Governance system/2030 climate and energy framework</w:t>
      </w:r>
      <w:r w:rsidRPr="00C27882">
        <w:rPr>
          <w:rFonts w:ascii="Verdana" w:hAnsi="Verdana"/>
          <w:b/>
          <w:sz w:val="18"/>
          <w:szCs w:val="18"/>
        </w:rPr>
        <w:t xml:space="preserve"> (Rapporteur: Richard ADAMS, co-rapporteur: Ulla SIRKEINEN</w:t>
      </w:r>
      <w:r w:rsidR="005F5E73" w:rsidRPr="00C27882">
        <w:rPr>
          <w:rFonts w:ascii="Verdana" w:hAnsi="Verdana"/>
          <w:b/>
          <w:sz w:val="18"/>
          <w:szCs w:val="18"/>
        </w:rPr>
        <w:t>)</w:t>
      </w:r>
      <w:r w:rsidR="007F079A" w:rsidRPr="00C27882">
        <w:rPr>
          <w:rFonts w:ascii="Verdana" w:hAnsi="Verdana"/>
          <w:b/>
          <w:sz w:val="18"/>
          <w:szCs w:val="18"/>
        </w:rPr>
        <w:t xml:space="preserve"> </w:t>
      </w:r>
      <w:hyperlink r:id="rId19" w:history="1">
        <w:r w:rsidR="007F6C51" w:rsidRPr="00C27882">
          <w:rPr>
            <w:rStyle w:val="Hyperlink"/>
            <w:rFonts w:ascii="Verdana" w:hAnsi="Verdana"/>
            <w:b/>
            <w:sz w:val="18"/>
            <w:szCs w:val="18"/>
          </w:rPr>
          <w:t>More</w:t>
        </w:r>
      </w:hyperlink>
    </w:p>
    <w:p w:rsidR="0031575A" w:rsidRDefault="00393D8E" w:rsidP="0031575A">
      <w:pPr>
        <w:pStyle w:val="ListParagraph"/>
        <w:rPr>
          <w:rFonts w:ascii="Verdana" w:hAnsi="Verdana"/>
          <w:iCs/>
          <w:sz w:val="18"/>
          <w:szCs w:val="18"/>
        </w:rPr>
      </w:pPr>
      <w:r w:rsidRPr="00C27882">
        <w:rPr>
          <w:rFonts w:ascii="Verdana" w:hAnsi="Verdana"/>
          <w:iCs/>
          <w:sz w:val="18"/>
          <w:szCs w:val="18"/>
        </w:rPr>
        <w:t xml:space="preserve">Successful implementation of the Energy Union and </w:t>
      </w:r>
      <w:r w:rsidR="002C6A8C">
        <w:rPr>
          <w:rFonts w:ascii="Verdana" w:hAnsi="Verdana"/>
          <w:iCs/>
          <w:sz w:val="18"/>
          <w:szCs w:val="18"/>
        </w:rPr>
        <w:t>achievement of</w:t>
      </w:r>
      <w:r w:rsidR="002C6A8C" w:rsidRPr="00C27882">
        <w:rPr>
          <w:rFonts w:ascii="Verdana" w:hAnsi="Verdana"/>
          <w:iCs/>
          <w:sz w:val="18"/>
          <w:szCs w:val="18"/>
        </w:rPr>
        <w:t xml:space="preserve"> </w:t>
      </w:r>
      <w:r w:rsidRPr="00C27882">
        <w:rPr>
          <w:rFonts w:ascii="Verdana" w:hAnsi="Verdana"/>
          <w:iCs/>
          <w:sz w:val="18"/>
          <w:szCs w:val="18"/>
        </w:rPr>
        <w:t>the energy and climate goals demand a governance system that is reliable, tr</w:t>
      </w:r>
      <w:r w:rsidR="0028640B" w:rsidRPr="00C27882">
        <w:rPr>
          <w:rFonts w:ascii="Verdana" w:hAnsi="Verdana"/>
          <w:iCs/>
          <w:sz w:val="18"/>
          <w:szCs w:val="18"/>
        </w:rPr>
        <w:t>ansparent and inclusive. The opinion emphasi</w:t>
      </w:r>
      <w:r w:rsidR="00B05A0B">
        <w:rPr>
          <w:rFonts w:ascii="Verdana" w:hAnsi="Verdana"/>
          <w:iCs/>
          <w:sz w:val="18"/>
          <w:szCs w:val="18"/>
        </w:rPr>
        <w:t>s</w:t>
      </w:r>
      <w:r w:rsidR="0028640B" w:rsidRPr="00C27882">
        <w:rPr>
          <w:rFonts w:ascii="Verdana" w:hAnsi="Verdana"/>
          <w:iCs/>
          <w:sz w:val="18"/>
          <w:szCs w:val="18"/>
        </w:rPr>
        <w:t xml:space="preserve">es the </w:t>
      </w:r>
      <w:r w:rsidR="002C6A8C">
        <w:rPr>
          <w:rFonts w:ascii="Verdana" w:hAnsi="Verdana"/>
          <w:iCs/>
          <w:sz w:val="18"/>
          <w:szCs w:val="18"/>
        </w:rPr>
        <w:lastRenderedPageBreak/>
        <w:t>necessity of having</w:t>
      </w:r>
      <w:r w:rsidR="0028640B" w:rsidRPr="00C27882">
        <w:rPr>
          <w:rFonts w:ascii="Verdana" w:hAnsi="Verdana"/>
          <w:iCs/>
          <w:sz w:val="18"/>
          <w:szCs w:val="18"/>
        </w:rPr>
        <w:t xml:space="preserve"> </w:t>
      </w:r>
      <w:r w:rsidRPr="00C27882">
        <w:rPr>
          <w:rFonts w:ascii="Verdana" w:hAnsi="Verdana"/>
          <w:iCs/>
          <w:sz w:val="18"/>
          <w:szCs w:val="18"/>
        </w:rPr>
        <w:t>European Energy Dialogue that acts in parallel with the governance framework to draw citizens and consumers into the process of energy transition.</w:t>
      </w:r>
    </w:p>
    <w:p w:rsidR="002113A2" w:rsidRPr="00C27882" w:rsidRDefault="002113A2" w:rsidP="0031575A">
      <w:pPr>
        <w:pStyle w:val="ListParagraph"/>
        <w:rPr>
          <w:rFonts w:ascii="Verdana" w:hAnsi="Verdana"/>
          <w:iCs/>
          <w:sz w:val="18"/>
          <w:szCs w:val="18"/>
        </w:rPr>
      </w:pPr>
    </w:p>
    <w:p w:rsidR="00B33867" w:rsidRPr="00C27882" w:rsidRDefault="00B33867" w:rsidP="0014430D">
      <w:pPr>
        <w:pStyle w:val="ListParagraph"/>
        <w:jc w:val="center"/>
        <w:rPr>
          <w:rFonts w:ascii="Verdana" w:hAnsi="Verdana"/>
          <w:iCs/>
          <w:color w:val="1F497D"/>
          <w:sz w:val="18"/>
          <w:szCs w:val="18"/>
        </w:rPr>
      </w:pPr>
      <w:r w:rsidRPr="00C27882">
        <w:rPr>
          <w:rFonts w:ascii="Verdana" w:hAnsi="Verdana"/>
          <w:b/>
          <w:sz w:val="18"/>
          <w:szCs w:val="18"/>
        </w:rPr>
        <w:t>For more information, please contact:</w:t>
      </w:r>
    </w:p>
    <w:p w:rsidR="00B33867" w:rsidRPr="00C27882" w:rsidRDefault="00B33867" w:rsidP="00822FAC">
      <w:pPr>
        <w:overflowPunct/>
        <w:autoSpaceDE/>
        <w:autoSpaceDN/>
        <w:adjustRightInd/>
        <w:spacing w:line="240" w:lineRule="auto"/>
        <w:jc w:val="center"/>
        <w:textAlignment w:val="auto"/>
        <w:rPr>
          <w:rFonts w:ascii="Verdana" w:eastAsia="PMingLiU" w:hAnsi="Verdana"/>
          <w:sz w:val="18"/>
          <w:szCs w:val="18"/>
        </w:rPr>
      </w:pPr>
      <w:r w:rsidRPr="00C27882">
        <w:rPr>
          <w:rFonts w:ascii="Verdana" w:eastAsia="PMingLiU" w:hAnsi="Verdana"/>
          <w:sz w:val="18"/>
          <w:szCs w:val="18"/>
        </w:rPr>
        <w:t>EESC Press Unit</w:t>
      </w:r>
    </w:p>
    <w:p w:rsidR="00B33867" w:rsidRPr="00C27882" w:rsidRDefault="00B33867" w:rsidP="00822FAC">
      <w:pPr>
        <w:overflowPunct/>
        <w:autoSpaceDE/>
        <w:autoSpaceDN/>
        <w:adjustRightInd/>
        <w:spacing w:line="240" w:lineRule="auto"/>
        <w:jc w:val="center"/>
        <w:textAlignment w:val="auto"/>
        <w:rPr>
          <w:rFonts w:ascii="Verdana" w:eastAsia="PMingLiU" w:hAnsi="Verdana"/>
          <w:sz w:val="18"/>
          <w:szCs w:val="18"/>
        </w:rPr>
      </w:pPr>
      <w:r w:rsidRPr="00C27882">
        <w:rPr>
          <w:rFonts w:ascii="Verdana" w:eastAsia="PMingLiU" w:hAnsi="Verdana"/>
          <w:sz w:val="18"/>
          <w:szCs w:val="18"/>
        </w:rPr>
        <w:t xml:space="preserve">E-mail: </w:t>
      </w:r>
      <w:hyperlink r:id="rId20" w:history="1">
        <w:r w:rsidR="00734330" w:rsidRPr="00C27882">
          <w:rPr>
            <w:rStyle w:val="Hyperlink"/>
            <w:rFonts w:ascii="Verdana" w:eastAsia="PMingLiU" w:hAnsi="Verdana"/>
            <w:sz w:val="18"/>
            <w:szCs w:val="18"/>
          </w:rPr>
          <w:t>press@eesc.europa.eu</w:t>
        </w:r>
      </w:hyperlink>
    </w:p>
    <w:p w:rsidR="002C5CBB" w:rsidRPr="00C27882" w:rsidRDefault="00646E2A" w:rsidP="00822FAC">
      <w:pPr>
        <w:spacing w:line="240" w:lineRule="auto"/>
        <w:jc w:val="center"/>
        <w:rPr>
          <w:rFonts w:ascii="Verdana" w:eastAsia="PMingLiU" w:hAnsi="Verdana"/>
          <w:sz w:val="18"/>
          <w:szCs w:val="18"/>
        </w:rPr>
      </w:pPr>
      <w:r w:rsidRPr="00C27882">
        <w:rPr>
          <w:rFonts w:ascii="Verdana" w:eastAsia="PMingLiU" w:hAnsi="Verdana"/>
          <w:sz w:val="18"/>
          <w:szCs w:val="18"/>
        </w:rPr>
        <w:t xml:space="preserve">Tel: + 32 2 546 </w:t>
      </w:r>
      <w:r w:rsidR="007A7E6A" w:rsidRPr="00C27882">
        <w:rPr>
          <w:rFonts w:ascii="Verdana" w:eastAsia="PMingLiU" w:hAnsi="Verdana"/>
          <w:sz w:val="18"/>
          <w:szCs w:val="18"/>
        </w:rPr>
        <w:t>9276</w:t>
      </w:r>
      <w:r w:rsidRPr="00C27882">
        <w:rPr>
          <w:rFonts w:ascii="Verdana" w:eastAsia="PMingLiU" w:hAnsi="Verdana"/>
          <w:sz w:val="18"/>
          <w:szCs w:val="18"/>
        </w:rPr>
        <w:t xml:space="preserve"> / </w:t>
      </w:r>
      <w:r w:rsidR="00B5108F" w:rsidRPr="00C27882">
        <w:rPr>
          <w:rFonts w:ascii="Verdana" w:eastAsia="PMingLiU" w:hAnsi="Verdana"/>
          <w:sz w:val="18"/>
          <w:szCs w:val="18"/>
        </w:rPr>
        <w:t xml:space="preserve">+32 473 </w:t>
      </w:r>
      <w:r w:rsidR="007A7E6A" w:rsidRPr="00C27882">
        <w:rPr>
          <w:rFonts w:ascii="Verdana" w:eastAsia="PMingLiU" w:hAnsi="Verdana"/>
          <w:sz w:val="18"/>
          <w:szCs w:val="18"/>
        </w:rPr>
        <w:t>53 40 02</w:t>
      </w:r>
      <w:r w:rsidR="00EE7BFB" w:rsidRPr="00C27882">
        <w:rPr>
          <w:rFonts w:ascii="Verdana" w:eastAsia="PMingLiU" w:hAnsi="Verdana"/>
          <w:sz w:val="18"/>
          <w:szCs w:val="18"/>
        </w:rPr>
        <w:t xml:space="preserve"> </w:t>
      </w:r>
    </w:p>
    <w:p w:rsidR="002A2433" w:rsidRPr="00C27882" w:rsidRDefault="002A2433" w:rsidP="00473E94">
      <w:pPr>
        <w:spacing w:line="240" w:lineRule="auto"/>
        <w:rPr>
          <w:rFonts w:ascii="Verdana" w:eastAsia="PMingLiU" w:hAnsi="Verdana"/>
          <w:sz w:val="16"/>
        </w:rPr>
      </w:pPr>
    </w:p>
    <w:p w:rsidR="00374C88" w:rsidRPr="00C27882" w:rsidRDefault="00374C88" w:rsidP="00473E94">
      <w:pPr>
        <w:spacing w:line="240" w:lineRule="auto"/>
        <w:rPr>
          <w:rFonts w:ascii="Verdana" w:eastAsia="PMingLiU" w:hAnsi="Verdana"/>
          <w:sz w:val="16"/>
        </w:rPr>
      </w:pPr>
    </w:p>
    <w:p w:rsidR="00CE439D" w:rsidRPr="00C27882" w:rsidRDefault="00CE439D" w:rsidP="00473E94">
      <w:pPr>
        <w:rPr>
          <w:rFonts w:ascii="Verdana" w:hAnsi="Verdana"/>
          <w:b/>
          <w:i/>
          <w:sz w:val="16"/>
        </w:rPr>
      </w:pPr>
      <w:r w:rsidRPr="00C27882">
        <w:rPr>
          <w:rFonts w:ascii="Verdana" w:hAnsi="Verdana"/>
          <w:i/>
          <w:sz w:val="16"/>
        </w:rPr>
        <w:t>__</w:t>
      </w:r>
      <w:r w:rsidRPr="00C27882">
        <w:rPr>
          <w:rFonts w:ascii="Verdana" w:hAnsi="Verdana"/>
          <w:b/>
          <w:i/>
          <w:sz w:val="16"/>
        </w:rPr>
        <w:t>_____________________________________________________________________________</w:t>
      </w:r>
      <w:r w:rsidR="00887558" w:rsidRPr="00C27882">
        <w:rPr>
          <w:rFonts w:ascii="Verdana" w:hAnsi="Verdana"/>
          <w:b/>
          <w:i/>
          <w:sz w:val="16"/>
        </w:rPr>
        <w:t>__________</w:t>
      </w:r>
    </w:p>
    <w:p w:rsidR="00CE439D" w:rsidRPr="00C27882" w:rsidRDefault="00CE439D" w:rsidP="00473E94">
      <w:pPr>
        <w:rPr>
          <w:rFonts w:ascii="Verdana" w:hAnsi="Verdana"/>
          <w:i/>
          <w:sz w:val="14"/>
        </w:rPr>
      </w:pPr>
      <w:r w:rsidRPr="00C27882">
        <w:rPr>
          <w:rFonts w:ascii="Verdana" w:hAnsi="Verdana"/>
          <w:i/>
          <w:sz w:val="14"/>
        </w:rPr>
        <w:t>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the EU decision-makin</w:t>
      </w:r>
      <w:r w:rsidR="000043FE" w:rsidRPr="00C27882">
        <w:rPr>
          <w:rFonts w:ascii="Verdana" w:hAnsi="Verdana"/>
          <w:i/>
          <w:sz w:val="14"/>
        </w:rPr>
        <w:t>g process. The Committee has 353</w:t>
      </w:r>
      <w:r w:rsidRPr="00C27882">
        <w:rPr>
          <w:rFonts w:ascii="Verdana" w:hAnsi="Verdana"/>
          <w:i/>
          <w:sz w:val="14"/>
        </w:rPr>
        <w:t xml:space="preserve"> members from across Europe, who are appointed by the Council of the European Union.</w:t>
      </w:r>
    </w:p>
    <w:p w:rsidR="00CE439D" w:rsidRPr="00C27882" w:rsidRDefault="00CE439D" w:rsidP="00473E94">
      <w:pPr>
        <w:rPr>
          <w:rFonts w:ascii="Verdana" w:hAnsi="Verdana"/>
          <w:b/>
          <w:i/>
          <w:sz w:val="16"/>
        </w:rPr>
      </w:pPr>
      <w:r w:rsidRPr="00C27882">
        <w:rPr>
          <w:rFonts w:ascii="Verdana" w:hAnsi="Verdana"/>
          <w:i/>
          <w:sz w:val="16"/>
        </w:rPr>
        <w:t>__</w:t>
      </w:r>
      <w:r w:rsidRPr="00C27882">
        <w:rPr>
          <w:rFonts w:ascii="Verdana" w:hAnsi="Verdana"/>
          <w:b/>
          <w:i/>
          <w:sz w:val="16"/>
        </w:rPr>
        <w:t>_____________________________________________________________________________</w:t>
      </w:r>
      <w:r w:rsidR="00887558" w:rsidRPr="00C27882">
        <w:rPr>
          <w:rFonts w:ascii="Verdana" w:hAnsi="Verdana"/>
          <w:b/>
          <w:i/>
          <w:sz w:val="16"/>
        </w:rPr>
        <w:t>__________</w:t>
      </w:r>
    </w:p>
    <w:sectPr w:rsidR="00CE439D" w:rsidRPr="00C27882" w:rsidSect="0006202F">
      <w:type w:val="continuous"/>
      <w:pgSz w:w="11907" w:h="16839" w:code="9"/>
      <w:pgMar w:top="2127" w:right="708" w:bottom="709" w:left="993" w:header="3062" w:footer="26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D0" w:rsidRDefault="00E25ED0">
      <w:r>
        <w:separator/>
      </w:r>
    </w:p>
  </w:endnote>
  <w:endnote w:type="continuationSeparator" w:id="0">
    <w:p w:rsidR="00E25ED0" w:rsidRDefault="00E2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04715C">
    <w:pPr>
      <w:spacing w:line="240" w:lineRule="auto"/>
      <w:jc w:val="center"/>
      <w:rPr>
        <w:rFonts w:ascii="Verdana" w:hAnsi="Verdana"/>
        <w:sz w:val="16"/>
      </w:rPr>
    </w:pPr>
    <w:r w:rsidRPr="00473E94">
      <w:rPr>
        <w:rFonts w:ascii="Verdana" w:hAnsi="Verdana"/>
        <w:sz w:val="16"/>
      </w:rPr>
      <w:t>Rue Belliard/Belliardstraat 99 – 1040 Bruxelles/Brussel – BELGIQUE/BELGIË</w:t>
    </w:r>
  </w:p>
  <w:p w:rsidR="00E33B7A" w:rsidRPr="00473E94" w:rsidRDefault="00E33B7A" w:rsidP="0004715C">
    <w:pPr>
      <w:spacing w:line="240" w:lineRule="auto"/>
      <w:jc w:val="center"/>
      <w:rPr>
        <w:rFonts w:ascii="Verdana" w:hAnsi="Verdana"/>
        <w:sz w:val="16"/>
      </w:rPr>
    </w:pPr>
    <w:r w:rsidRPr="00473E94">
      <w:rPr>
        <w:rFonts w:ascii="Verdana" w:hAnsi="Verdana"/>
        <w:sz w:val="16"/>
      </w:rPr>
      <w:t xml:space="preserve">Tel. </w:t>
    </w:r>
    <w:r w:rsidR="00822FAC" w:rsidRPr="00822FAC">
      <w:rPr>
        <w:rFonts w:ascii="Verdana" w:hAnsi="Verdana"/>
        <w:sz w:val="16"/>
      </w:rPr>
      <w:t>+32 2 546 9779</w:t>
    </w:r>
    <w:r w:rsidR="00822FAC">
      <w:rPr>
        <w:rFonts w:ascii="Verdana" w:hAnsi="Verdana"/>
        <w:sz w:val="16"/>
      </w:rPr>
      <w:t xml:space="preserve"> </w:t>
    </w:r>
    <w:r w:rsidRPr="00473E94">
      <w:rPr>
        <w:rFonts w:ascii="Verdana" w:hAnsi="Verdana"/>
        <w:sz w:val="16"/>
      </w:rPr>
      <w:t>– Fax +32 25469764</w:t>
    </w:r>
  </w:p>
  <w:p w:rsidR="00E33B7A" w:rsidRPr="00473E94" w:rsidRDefault="00E33B7A" w:rsidP="0004715C">
    <w:pPr>
      <w:spacing w:line="240" w:lineRule="auto"/>
      <w:jc w:val="center"/>
      <w:rPr>
        <w:rFonts w:ascii="Verdana" w:hAnsi="Verdana"/>
        <w:sz w:val="16"/>
      </w:rPr>
    </w:pPr>
    <w:r w:rsidRPr="00473E94">
      <w:rPr>
        <w:rFonts w:ascii="Verdana" w:hAnsi="Verdana"/>
        <w:sz w:val="16"/>
      </w:rPr>
      <w:t xml:space="preserve">E-mail: </w:t>
    </w:r>
    <w:hyperlink r:id="rId1" w:history="1">
      <w:r w:rsidRPr="00473E94">
        <w:rPr>
          <w:rStyle w:val="Hyperlink"/>
          <w:rFonts w:ascii="Verdana" w:hAnsi="Verdana"/>
          <w:sz w:val="16"/>
        </w:rPr>
        <w:t>press@eesc.europa.eu</w:t>
      </w:r>
    </w:hyperlink>
    <w:r w:rsidRPr="00473E94">
      <w:rPr>
        <w:rFonts w:ascii="Verdana" w:hAnsi="Verdana"/>
        <w:sz w:val="16"/>
      </w:rPr>
      <w:t xml:space="preserve"> – Internet: </w:t>
    </w:r>
    <w:hyperlink r:id="rId2" w:history="1">
      <w:r w:rsidRPr="00473E94">
        <w:rPr>
          <w:rStyle w:val="Hyperlink"/>
          <w:rFonts w:ascii="Verdana" w:hAnsi="Verdana"/>
          <w:sz w:val="16"/>
        </w:rPr>
        <w:t>www.eesc.europa.eu</w:t>
      </w:r>
    </w:hyperlink>
  </w:p>
  <w:p w:rsidR="00E33B7A" w:rsidRPr="00473E94" w:rsidRDefault="00E33B7A" w:rsidP="00F61167">
    <w:pPr>
      <w:spacing w:line="240" w:lineRule="auto"/>
      <w:jc w:val="center"/>
    </w:pPr>
    <w:r w:rsidRPr="00473E94">
      <w:rPr>
        <w:rFonts w:ascii="Verdana" w:hAnsi="Verdana"/>
        <w:sz w:val="16"/>
      </w:rPr>
      <w:t xml:space="preserve">Follow the EESC on </w:t>
    </w:r>
    <w:r w:rsidR="00F37D64">
      <w:rPr>
        <w:noProof/>
        <w:lang w:val="fr-BE" w:eastAsia="fr-BE"/>
      </w:rPr>
      <w:drawing>
        <wp:inline distT="0" distB="0" distL="0" distR="0" wp14:anchorId="3113790D" wp14:editId="5317A790">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00C27882">
      <w:rPr>
        <w:rFonts w:ascii="Verdana" w:hAnsi="Verdana"/>
        <w:sz w:val="16"/>
      </w:rPr>
      <w:t xml:space="preserve"> </w:t>
    </w:r>
    <w:r w:rsidR="00F37D64">
      <w:rPr>
        <w:noProof/>
        <w:lang w:val="fr-BE" w:eastAsia="fr-BE"/>
      </w:rPr>
      <w:drawing>
        <wp:inline distT="0" distB="0" distL="0" distR="0" wp14:anchorId="4D840FDC" wp14:editId="5E614EE0">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00C27882">
      <w:t xml:space="preserve"> </w:t>
    </w:r>
    <w:r w:rsidR="00F37D64">
      <w:rPr>
        <w:noProof/>
        <w:lang w:val="fr-BE" w:eastAsia="fr-BE"/>
      </w:rPr>
      <w:drawing>
        <wp:inline distT="0" distB="0" distL="0" distR="0" wp14:anchorId="561BCD0D" wp14:editId="03965839">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D0" w:rsidRDefault="00E25ED0">
      <w:r>
        <w:separator/>
      </w:r>
    </w:p>
  </w:footnote>
  <w:footnote w:type="continuationSeparator" w:id="0">
    <w:p w:rsidR="00E25ED0" w:rsidRDefault="00E25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71FAF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0693712"/>
    <w:multiLevelType w:val="hybridMultilevel"/>
    <w:tmpl w:val="DB62FA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FB97885"/>
    <w:multiLevelType w:val="hybridMultilevel"/>
    <w:tmpl w:val="67268F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2FB4CC8"/>
    <w:multiLevelType w:val="hybridMultilevel"/>
    <w:tmpl w:val="AB54464C"/>
    <w:lvl w:ilvl="0" w:tplc="4408738E">
      <w:start w:val="1"/>
      <w:numFmt w:val="decimal"/>
      <w:lvlText w:val="%1."/>
      <w:lvlJc w:val="left"/>
      <w:pPr>
        <w:tabs>
          <w:tab w:val="num" w:pos="199"/>
        </w:tabs>
        <w:ind w:left="295" w:hanging="153"/>
      </w:pPr>
      <w:rPr>
        <w:rFonts w:hint="default"/>
        <w:b/>
        <w:i w:val="0"/>
        <w:sz w:val="22"/>
        <w:szCs w:val="22"/>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4262C11"/>
    <w:multiLevelType w:val="multilevel"/>
    <w:tmpl w:val="8DF0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A42D9B"/>
    <w:multiLevelType w:val="hybridMultilevel"/>
    <w:tmpl w:val="BCFCC8FE"/>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4"/>
  </w:num>
  <w:num w:numId="6">
    <w:abstractNumId w:val="8"/>
  </w:num>
  <w:num w:numId="7">
    <w:abstractNumId w:val="2"/>
  </w:num>
  <w:num w:numId="8">
    <w:abstractNumId w:val="6"/>
  </w:num>
  <w:num w:numId="9">
    <w:abstractNumId w:val="11"/>
  </w:num>
  <w:num w:numId="10">
    <w:abstractNumId w:val="9"/>
  </w:num>
  <w:num w:numId="11">
    <w:abstractNumId w:val="10"/>
  </w:num>
  <w:num w:numId="12">
    <w:abstractNumId w:val="2"/>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2AC0"/>
    <w:rsid w:val="00015860"/>
    <w:rsid w:val="00023089"/>
    <w:rsid w:val="0003364B"/>
    <w:rsid w:val="0003423E"/>
    <w:rsid w:val="00034390"/>
    <w:rsid w:val="00034652"/>
    <w:rsid w:val="00034AD4"/>
    <w:rsid w:val="00044E7A"/>
    <w:rsid w:val="0004647E"/>
    <w:rsid w:val="0004715C"/>
    <w:rsid w:val="00052678"/>
    <w:rsid w:val="0005544F"/>
    <w:rsid w:val="00057E97"/>
    <w:rsid w:val="00060A4A"/>
    <w:rsid w:val="0006202F"/>
    <w:rsid w:val="00064EF7"/>
    <w:rsid w:val="00064F28"/>
    <w:rsid w:val="00066E4E"/>
    <w:rsid w:val="00067F21"/>
    <w:rsid w:val="00075717"/>
    <w:rsid w:val="00077FE9"/>
    <w:rsid w:val="00084AD6"/>
    <w:rsid w:val="00086050"/>
    <w:rsid w:val="000A270E"/>
    <w:rsid w:val="000B314D"/>
    <w:rsid w:val="000C0930"/>
    <w:rsid w:val="000C44F4"/>
    <w:rsid w:val="000D2163"/>
    <w:rsid w:val="000D2BFC"/>
    <w:rsid w:val="000D5B36"/>
    <w:rsid w:val="000F445C"/>
    <w:rsid w:val="00104DFA"/>
    <w:rsid w:val="00112392"/>
    <w:rsid w:val="001258EC"/>
    <w:rsid w:val="0012658C"/>
    <w:rsid w:val="0013137C"/>
    <w:rsid w:val="00134081"/>
    <w:rsid w:val="001375ED"/>
    <w:rsid w:val="00140167"/>
    <w:rsid w:val="00140B6A"/>
    <w:rsid w:val="00142677"/>
    <w:rsid w:val="0014392E"/>
    <w:rsid w:val="0014430D"/>
    <w:rsid w:val="00150E62"/>
    <w:rsid w:val="00161E2C"/>
    <w:rsid w:val="00166961"/>
    <w:rsid w:val="001719C4"/>
    <w:rsid w:val="00175643"/>
    <w:rsid w:val="00175E42"/>
    <w:rsid w:val="001774DC"/>
    <w:rsid w:val="0018316B"/>
    <w:rsid w:val="001838BA"/>
    <w:rsid w:val="001838E4"/>
    <w:rsid w:val="0018613F"/>
    <w:rsid w:val="001A0620"/>
    <w:rsid w:val="001B5975"/>
    <w:rsid w:val="001C7527"/>
    <w:rsid w:val="001D0A05"/>
    <w:rsid w:val="001D1D60"/>
    <w:rsid w:val="001D392A"/>
    <w:rsid w:val="001D77C6"/>
    <w:rsid w:val="001D7DFD"/>
    <w:rsid w:val="001E0762"/>
    <w:rsid w:val="001F4162"/>
    <w:rsid w:val="002031AC"/>
    <w:rsid w:val="002113A2"/>
    <w:rsid w:val="002217DD"/>
    <w:rsid w:val="00224741"/>
    <w:rsid w:val="00224A57"/>
    <w:rsid w:val="00227A31"/>
    <w:rsid w:val="002335B7"/>
    <w:rsid w:val="00244B53"/>
    <w:rsid w:val="0024520B"/>
    <w:rsid w:val="002562CD"/>
    <w:rsid w:val="00256C2B"/>
    <w:rsid w:val="0025726C"/>
    <w:rsid w:val="00266051"/>
    <w:rsid w:val="002734F3"/>
    <w:rsid w:val="002815E8"/>
    <w:rsid w:val="00283BAD"/>
    <w:rsid w:val="0028640B"/>
    <w:rsid w:val="002904D9"/>
    <w:rsid w:val="002A1296"/>
    <w:rsid w:val="002A200D"/>
    <w:rsid w:val="002A2433"/>
    <w:rsid w:val="002B04A8"/>
    <w:rsid w:val="002B3CA9"/>
    <w:rsid w:val="002B6234"/>
    <w:rsid w:val="002C1B59"/>
    <w:rsid w:val="002C231E"/>
    <w:rsid w:val="002C2B99"/>
    <w:rsid w:val="002C5CBB"/>
    <w:rsid w:val="002C64B4"/>
    <w:rsid w:val="002C6A8C"/>
    <w:rsid w:val="002C6AD7"/>
    <w:rsid w:val="002D08ED"/>
    <w:rsid w:val="002D1529"/>
    <w:rsid w:val="002D4793"/>
    <w:rsid w:val="002D65A9"/>
    <w:rsid w:val="002D6898"/>
    <w:rsid w:val="002D7A8C"/>
    <w:rsid w:val="002E603F"/>
    <w:rsid w:val="002F3534"/>
    <w:rsid w:val="002F7233"/>
    <w:rsid w:val="00304E7A"/>
    <w:rsid w:val="0031575A"/>
    <w:rsid w:val="00332A93"/>
    <w:rsid w:val="0033495F"/>
    <w:rsid w:val="00337F0A"/>
    <w:rsid w:val="00340559"/>
    <w:rsid w:val="00347558"/>
    <w:rsid w:val="0036404A"/>
    <w:rsid w:val="00364ED2"/>
    <w:rsid w:val="00365D48"/>
    <w:rsid w:val="00374C88"/>
    <w:rsid w:val="00376637"/>
    <w:rsid w:val="00377093"/>
    <w:rsid w:val="003825C7"/>
    <w:rsid w:val="00386F1F"/>
    <w:rsid w:val="00393331"/>
    <w:rsid w:val="00393C99"/>
    <w:rsid w:val="00393D8E"/>
    <w:rsid w:val="00394644"/>
    <w:rsid w:val="00394D81"/>
    <w:rsid w:val="00397CE0"/>
    <w:rsid w:val="00397F2F"/>
    <w:rsid w:val="003A5355"/>
    <w:rsid w:val="003B62F4"/>
    <w:rsid w:val="003B714A"/>
    <w:rsid w:val="003C7BF9"/>
    <w:rsid w:val="003C7CE3"/>
    <w:rsid w:val="003D126E"/>
    <w:rsid w:val="003D2255"/>
    <w:rsid w:val="003E58C6"/>
    <w:rsid w:val="003F5C5E"/>
    <w:rsid w:val="00405011"/>
    <w:rsid w:val="004161B8"/>
    <w:rsid w:val="004258C4"/>
    <w:rsid w:val="004261FC"/>
    <w:rsid w:val="00430A45"/>
    <w:rsid w:val="004443A5"/>
    <w:rsid w:val="0045424F"/>
    <w:rsid w:val="004605FD"/>
    <w:rsid w:val="0046719E"/>
    <w:rsid w:val="00470B59"/>
    <w:rsid w:val="00473E94"/>
    <w:rsid w:val="00482D98"/>
    <w:rsid w:val="0048482B"/>
    <w:rsid w:val="00492156"/>
    <w:rsid w:val="00492D0F"/>
    <w:rsid w:val="0049490C"/>
    <w:rsid w:val="00494BBC"/>
    <w:rsid w:val="004B1869"/>
    <w:rsid w:val="004B5589"/>
    <w:rsid w:val="004C1135"/>
    <w:rsid w:val="004C44EE"/>
    <w:rsid w:val="004C773F"/>
    <w:rsid w:val="004D47BD"/>
    <w:rsid w:val="004E0E3E"/>
    <w:rsid w:val="004E1858"/>
    <w:rsid w:val="004E706B"/>
    <w:rsid w:val="004F3E26"/>
    <w:rsid w:val="004F4806"/>
    <w:rsid w:val="004F61C1"/>
    <w:rsid w:val="00503164"/>
    <w:rsid w:val="0050638B"/>
    <w:rsid w:val="005130D0"/>
    <w:rsid w:val="00521032"/>
    <w:rsid w:val="00524FBF"/>
    <w:rsid w:val="005269FE"/>
    <w:rsid w:val="005270ED"/>
    <w:rsid w:val="00533C33"/>
    <w:rsid w:val="0055255F"/>
    <w:rsid w:val="0055294F"/>
    <w:rsid w:val="00553B5B"/>
    <w:rsid w:val="005549A1"/>
    <w:rsid w:val="00556CD0"/>
    <w:rsid w:val="00563CCB"/>
    <w:rsid w:val="00564657"/>
    <w:rsid w:val="005658B4"/>
    <w:rsid w:val="00594C5F"/>
    <w:rsid w:val="005B203C"/>
    <w:rsid w:val="005B3342"/>
    <w:rsid w:val="005B4A17"/>
    <w:rsid w:val="005B53B3"/>
    <w:rsid w:val="005C08F4"/>
    <w:rsid w:val="005C27AB"/>
    <w:rsid w:val="005C46DB"/>
    <w:rsid w:val="005C5CFD"/>
    <w:rsid w:val="005D1C0D"/>
    <w:rsid w:val="005E1BBF"/>
    <w:rsid w:val="005E2254"/>
    <w:rsid w:val="005E710D"/>
    <w:rsid w:val="005F0AEF"/>
    <w:rsid w:val="005F2C69"/>
    <w:rsid w:val="005F42C5"/>
    <w:rsid w:val="005F5E73"/>
    <w:rsid w:val="00601780"/>
    <w:rsid w:val="006064E5"/>
    <w:rsid w:val="0060771D"/>
    <w:rsid w:val="00613C7D"/>
    <w:rsid w:val="006149A7"/>
    <w:rsid w:val="006171F3"/>
    <w:rsid w:val="00626C38"/>
    <w:rsid w:val="00627902"/>
    <w:rsid w:val="006371D8"/>
    <w:rsid w:val="00641735"/>
    <w:rsid w:val="00643B6D"/>
    <w:rsid w:val="00644F23"/>
    <w:rsid w:val="006465C2"/>
    <w:rsid w:val="00646E2A"/>
    <w:rsid w:val="00655D6F"/>
    <w:rsid w:val="00662EE3"/>
    <w:rsid w:val="00663238"/>
    <w:rsid w:val="00663F9C"/>
    <w:rsid w:val="006659E1"/>
    <w:rsid w:val="00685AF0"/>
    <w:rsid w:val="00686EC2"/>
    <w:rsid w:val="00692CD1"/>
    <w:rsid w:val="006944B5"/>
    <w:rsid w:val="006959D9"/>
    <w:rsid w:val="006A13B0"/>
    <w:rsid w:val="006A397A"/>
    <w:rsid w:val="006A50C0"/>
    <w:rsid w:val="006A7CB6"/>
    <w:rsid w:val="006C2E9E"/>
    <w:rsid w:val="006D06FC"/>
    <w:rsid w:val="006D10DF"/>
    <w:rsid w:val="006D43C7"/>
    <w:rsid w:val="006E089C"/>
    <w:rsid w:val="006E1765"/>
    <w:rsid w:val="007009DC"/>
    <w:rsid w:val="00702580"/>
    <w:rsid w:val="0071010B"/>
    <w:rsid w:val="00712743"/>
    <w:rsid w:val="00712EA3"/>
    <w:rsid w:val="00713CA9"/>
    <w:rsid w:val="0071617F"/>
    <w:rsid w:val="00724E56"/>
    <w:rsid w:val="00725FEE"/>
    <w:rsid w:val="00726590"/>
    <w:rsid w:val="00730EAB"/>
    <w:rsid w:val="00734330"/>
    <w:rsid w:val="0073437A"/>
    <w:rsid w:val="0075607C"/>
    <w:rsid w:val="00772E45"/>
    <w:rsid w:val="0077400C"/>
    <w:rsid w:val="00780A13"/>
    <w:rsid w:val="00780BFB"/>
    <w:rsid w:val="00790C12"/>
    <w:rsid w:val="0079480D"/>
    <w:rsid w:val="00794DBF"/>
    <w:rsid w:val="00795CD0"/>
    <w:rsid w:val="007A0A53"/>
    <w:rsid w:val="007A0A67"/>
    <w:rsid w:val="007A1010"/>
    <w:rsid w:val="007A38EF"/>
    <w:rsid w:val="007A5091"/>
    <w:rsid w:val="007A5486"/>
    <w:rsid w:val="007A7E6A"/>
    <w:rsid w:val="007B245C"/>
    <w:rsid w:val="007C1DDE"/>
    <w:rsid w:val="007D2A5F"/>
    <w:rsid w:val="007D2FDE"/>
    <w:rsid w:val="007D5209"/>
    <w:rsid w:val="007D708F"/>
    <w:rsid w:val="007E645B"/>
    <w:rsid w:val="007E6CD6"/>
    <w:rsid w:val="007F079A"/>
    <w:rsid w:val="007F0D33"/>
    <w:rsid w:val="007F36B6"/>
    <w:rsid w:val="007F385B"/>
    <w:rsid w:val="007F647B"/>
    <w:rsid w:val="007F6C51"/>
    <w:rsid w:val="00811FCE"/>
    <w:rsid w:val="0081275F"/>
    <w:rsid w:val="00822FAC"/>
    <w:rsid w:val="00825E10"/>
    <w:rsid w:val="008331BA"/>
    <w:rsid w:val="00834E97"/>
    <w:rsid w:val="008370BD"/>
    <w:rsid w:val="00840838"/>
    <w:rsid w:val="00860096"/>
    <w:rsid w:val="00861B8E"/>
    <w:rsid w:val="00862C04"/>
    <w:rsid w:val="00865489"/>
    <w:rsid w:val="00871CE6"/>
    <w:rsid w:val="0087205A"/>
    <w:rsid w:val="008820BE"/>
    <w:rsid w:val="00887558"/>
    <w:rsid w:val="00894E4D"/>
    <w:rsid w:val="008A33C3"/>
    <w:rsid w:val="008A7BC8"/>
    <w:rsid w:val="008B20ED"/>
    <w:rsid w:val="008B2B1C"/>
    <w:rsid w:val="008B602B"/>
    <w:rsid w:val="008C320A"/>
    <w:rsid w:val="008C3D7F"/>
    <w:rsid w:val="008C40C1"/>
    <w:rsid w:val="008C573E"/>
    <w:rsid w:val="008C6814"/>
    <w:rsid w:val="008C799D"/>
    <w:rsid w:val="008D7FDC"/>
    <w:rsid w:val="008E5B09"/>
    <w:rsid w:val="008F3A03"/>
    <w:rsid w:val="00903D59"/>
    <w:rsid w:val="00904E3F"/>
    <w:rsid w:val="00910EE7"/>
    <w:rsid w:val="00913BE1"/>
    <w:rsid w:val="00917CD7"/>
    <w:rsid w:val="009213D8"/>
    <w:rsid w:val="00922077"/>
    <w:rsid w:val="00926D24"/>
    <w:rsid w:val="009346EF"/>
    <w:rsid w:val="00940A55"/>
    <w:rsid w:val="0094142A"/>
    <w:rsid w:val="00943BD2"/>
    <w:rsid w:val="00945668"/>
    <w:rsid w:val="009507B5"/>
    <w:rsid w:val="009551E4"/>
    <w:rsid w:val="009552B0"/>
    <w:rsid w:val="00960789"/>
    <w:rsid w:val="00961216"/>
    <w:rsid w:val="0096372E"/>
    <w:rsid w:val="0096658E"/>
    <w:rsid w:val="0096661A"/>
    <w:rsid w:val="009739FA"/>
    <w:rsid w:val="00975671"/>
    <w:rsid w:val="00977E50"/>
    <w:rsid w:val="00990350"/>
    <w:rsid w:val="00991762"/>
    <w:rsid w:val="009956CE"/>
    <w:rsid w:val="00995A03"/>
    <w:rsid w:val="009A0D29"/>
    <w:rsid w:val="009A348E"/>
    <w:rsid w:val="009A785D"/>
    <w:rsid w:val="009B00D5"/>
    <w:rsid w:val="009B3515"/>
    <w:rsid w:val="009B7F20"/>
    <w:rsid w:val="009C2FCF"/>
    <w:rsid w:val="009D10F7"/>
    <w:rsid w:val="009D1665"/>
    <w:rsid w:val="009D3988"/>
    <w:rsid w:val="009D663A"/>
    <w:rsid w:val="009E095D"/>
    <w:rsid w:val="009E303F"/>
    <w:rsid w:val="009E4311"/>
    <w:rsid w:val="009E4C66"/>
    <w:rsid w:val="009E6DD9"/>
    <w:rsid w:val="009E7308"/>
    <w:rsid w:val="009F02F6"/>
    <w:rsid w:val="009F2845"/>
    <w:rsid w:val="00A022FA"/>
    <w:rsid w:val="00A054E1"/>
    <w:rsid w:val="00A14889"/>
    <w:rsid w:val="00A14BA0"/>
    <w:rsid w:val="00A21AF7"/>
    <w:rsid w:val="00A24DAF"/>
    <w:rsid w:val="00A361E5"/>
    <w:rsid w:val="00A36DC2"/>
    <w:rsid w:val="00A36E60"/>
    <w:rsid w:val="00A463F8"/>
    <w:rsid w:val="00A4682E"/>
    <w:rsid w:val="00A47CDD"/>
    <w:rsid w:val="00A520FE"/>
    <w:rsid w:val="00A60F51"/>
    <w:rsid w:val="00A65814"/>
    <w:rsid w:val="00A73886"/>
    <w:rsid w:val="00A801B4"/>
    <w:rsid w:val="00A90FDD"/>
    <w:rsid w:val="00A917B7"/>
    <w:rsid w:val="00A94C10"/>
    <w:rsid w:val="00AA0C32"/>
    <w:rsid w:val="00AA32C5"/>
    <w:rsid w:val="00AA61D9"/>
    <w:rsid w:val="00AA7CB3"/>
    <w:rsid w:val="00AB4558"/>
    <w:rsid w:val="00AC1E5F"/>
    <w:rsid w:val="00AC609A"/>
    <w:rsid w:val="00AD5336"/>
    <w:rsid w:val="00AE2B37"/>
    <w:rsid w:val="00AF2692"/>
    <w:rsid w:val="00AF3CCA"/>
    <w:rsid w:val="00B03F1A"/>
    <w:rsid w:val="00B05A0B"/>
    <w:rsid w:val="00B05B15"/>
    <w:rsid w:val="00B0623E"/>
    <w:rsid w:val="00B074A3"/>
    <w:rsid w:val="00B11A2F"/>
    <w:rsid w:val="00B14944"/>
    <w:rsid w:val="00B172A0"/>
    <w:rsid w:val="00B2291E"/>
    <w:rsid w:val="00B239E2"/>
    <w:rsid w:val="00B240AC"/>
    <w:rsid w:val="00B33636"/>
    <w:rsid w:val="00B33867"/>
    <w:rsid w:val="00B43EBF"/>
    <w:rsid w:val="00B43F58"/>
    <w:rsid w:val="00B5108F"/>
    <w:rsid w:val="00B51478"/>
    <w:rsid w:val="00B70056"/>
    <w:rsid w:val="00B738CE"/>
    <w:rsid w:val="00B82D07"/>
    <w:rsid w:val="00B83992"/>
    <w:rsid w:val="00B87414"/>
    <w:rsid w:val="00B90999"/>
    <w:rsid w:val="00B91529"/>
    <w:rsid w:val="00B9349D"/>
    <w:rsid w:val="00B96D77"/>
    <w:rsid w:val="00B97CC4"/>
    <w:rsid w:val="00BA2C59"/>
    <w:rsid w:val="00BB36F5"/>
    <w:rsid w:val="00BB3A9D"/>
    <w:rsid w:val="00BB4FC3"/>
    <w:rsid w:val="00BC1747"/>
    <w:rsid w:val="00BD18E2"/>
    <w:rsid w:val="00BE1AD1"/>
    <w:rsid w:val="00BE1DAF"/>
    <w:rsid w:val="00BF3CA8"/>
    <w:rsid w:val="00BF6796"/>
    <w:rsid w:val="00C1139A"/>
    <w:rsid w:val="00C12A8E"/>
    <w:rsid w:val="00C14DD8"/>
    <w:rsid w:val="00C169B2"/>
    <w:rsid w:val="00C17E41"/>
    <w:rsid w:val="00C22192"/>
    <w:rsid w:val="00C27882"/>
    <w:rsid w:val="00C33147"/>
    <w:rsid w:val="00C36609"/>
    <w:rsid w:val="00C3679D"/>
    <w:rsid w:val="00C51664"/>
    <w:rsid w:val="00C539B0"/>
    <w:rsid w:val="00C5602A"/>
    <w:rsid w:val="00C63131"/>
    <w:rsid w:val="00C65953"/>
    <w:rsid w:val="00C737E1"/>
    <w:rsid w:val="00C842A0"/>
    <w:rsid w:val="00C86289"/>
    <w:rsid w:val="00C90045"/>
    <w:rsid w:val="00C92538"/>
    <w:rsid w:val="00C97D1B"/>
    <w:rsid w:val="00CA087C"/>
    <w:rsid w:val="00CA54F3"/>
    <w:rsid w:val="00CB242F"/>
    <w:rsid w:val="00CB38B5"/>
    <w:rsid w:val="00CB3AEC"/>
    <w:rsid w:val="00CB5993"/>
    <w:rsid w:val="00CC1BBF"/>
    <w:rsid w:val="00CC49E1"/>
    <w:rsid w:val="00CC51C7"/>
    <w:rsid w:val="00CE439D"/>
    <w:rsid w:val="00CE66B1"/>
    <w:rsid w:val="00CF3A7A"/>
    <w:rsid w:val="00CF61C3"/>
    <w:rsid w:val="00D000D0"/>
    <w:rsid w:val="00D04716"/>
    <w:rsid w:val="00D05FBA"/>
    <w:rsid w:val="00D12BAF"/>
    <w:rsid w:val="00D160C9"/>
    <w:rsid w:val="00D1634B"/>
    <w:rsid w:val="00D25361"/>
    <w:rsid w:val="00D40DB8"/>
    <w:rsid w:val="00D71357"/>
    <w:rsid w:val="00D73916"/>
    <w:rsid w:val="00D93A6F"/>
    <w:rsid w:val="00D97D8E"/>
    <w:rsid w:val="00DA0903"/>
    <w:rsid w:val="00DA4E5B"/>
    <w:rsid w:val="00DA6923"/>
    <w:rsid w:val="00DB18BD"/>
    <w:rsid w:val="00DB220E"/>
    <w:rsid w:val="00DB37BA"/>
    <w:rsid w:val="00DB5C08"/>
    <w:rsid w:val="00DB5D87"/>
    <w:rsid w:val="00DC2C51"/>
    <w:rsid w:val="00DC5ECF"/>
    <w:rsid w:val="00DC66B3"/>
    <w:rsid w:val="00DD0857"/>
    <w:rsid w:val="00DE1D3D"/>
    <w:rsid w:val="00DF6FA3"/>
    <w:rsid w:val="00E06493"/>
    <w:rsid w:val="00E101EE"/>
    <w:rsid w:val="00E11219"/>
    <w:rsid w:val="00E2089E"/>
    <w:rsid w:val="00E25ED0"/>
    <w:rsid w:val="00E2620F"/>
    <w:rsid w:val="00E32EC6"/>
    <w:rsid w:val="00E33B7A"/>
    <w:rsid w:val="00E3717F"/>
    <w:rsid w:val="00E376FE"/>
    <w:rsid w:val="00E42914"/>
    <w:rsid w:val="00E443D6"/>
    <w:rsid w:val="00E5187D"/>
    <w:rsid w:val="00E57497"/>
    <w:rsid w:val="00E63ED7"/>
    <w:rsid w:val="00E74E1C"/>
    <w:rsid w:val="00E7607D"/>
    <w:rsid w:val="00E82AEA"/>
    <w:rsid w:val="00EC04FE"/>
    <w:rsid w:val="00EC3464"/>
    <w:rsid w:val="00EC3B21"/>
    <w:rsid w:val="00EC59A0"/>
    <w:rsid w:val="00EC68D3"/>
    <w:rsid w:val="00EC6A80"/>
    <w:rsid w:val="00ED03CF"/>
    <w:rsid w:val="00ED7864"/>
    <w:rsid w:val="00EE2B6A"/>
    <w:rsid w:val="00EE684E"/>
    <w:rsid w:val="00EE7BFB"/>
    <w:rsid w:val="00EF3E3C"/>
    <w:rsid w:val="00EF47CA"/>
    <w:rsid w:val="00F00B46"/>
    <w:rsid w:val="00F02081"/>
    <w:rsid w:val="00F0312C"/>
    <w:rsid w:val="00F11951"/>
    <w:rsid w:val="00F13423"/>
    <w:rsid w:val="00F15A09"/>
    <w:rsid w:val="00F211FF"/>
    <w:rsid w:val="00F24730"/>
    <w:rsid w:val="00F3438B"/>
    <w:rsid w:val="00F37D64"/>
    <w:rsid w:val="00F54B43"/>
    <w:rsid w:val="00F61167"/>
    <w:rsid w:val="00F80546"/>
    <w:rsid w:val="00F90ED7"/>
    <w:rsid w:val="00F9188A"/>
    <w:rsid w:val="00F92628"/>
    <w:rsid w:val="00F97E2E"/>
    <w:rsid w:val="00FA33EE"/>
    <w:rsid w:val="00FB3643"/>
    <w:rsid w:val="00FB69EA"/>
    <w:rsid w:val="00FC173E"/>
    <w:rsid w:val="00FD02BB"/>
    <w:rsid w:val="00FD7050"/>
    <w:rsid w:val="00FE1538"/>
    <w:rsid w:val="00FE48C1"/>
    <w:rsid w:val="00FF7D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link w:val="Heading2Char"/>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qFormat/>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character" w:styleId="Strong">
    <w:name w:val="Strong"/>
    <w:uiPriority w:val="22"/>
    <w:qFormat/>
    <w:rsid w:val="00960789"/>
    <w:rPr>
      <w:b/>
      <w:bCs/>
    </w:rPr>
  </w:style>
  <w:style w:type="paragraph" w:styleId="NormalWeb">
    <w:name w:val="Normal (Web)"/>
    <w:basedOn w:val="Normal"/>
    <w:uiPriority w:val="99"/>
    <w:unhideWhenUsed/>
    <w:rsid w:val="00795CD0"/>
    <w:pPr>
      <w:overflowPunct/>
      <w:autoSpaceDE/>
      <w:autoSpaceDN/>
      <w:adjustRightInd/>
      <w:spacing w:before="100" w:beforeAutospacing="1" w:after="100" w:afterAutospacing="1" w:line="240" w:lineRule="auto"/>
      <w:jc w:val="left"/>
      <w:textAlignment w:val="auto"/>
    </w:pPr>
    <w:rPr>
      <w:sz w:val="24"/>
      <w:szCs w:val="24"/>
      <w:lang w:val="fr-BE" w:eastAsia="fr-BE"/>
    </w:rPr>
  </w:style>
  <w:style w:type="paragraph" w:styleId="PlainText">
    <w:name w:val="Plain Text"/>
    <w:basedOn w:val="Normal"/>
    <w:link w:val="PlainTextChar"/>
    <w:uiPriority w:val="99"/>
    <w:unhideWhenUsed/>
    <w:rsid w:val="00B0623E"/>
    <w:pPr>
      <w:overflowPunct/>
      <w:autoSpaceDE/>
      <w:autoSpaceDN/>
      <w:adjustRightInd/>
      <w:spacing w:line="240" w:lineRule="auto"/>
      <w:jc w:val="left"/>
      <w:textAlignment w:val="auto"/>
    </w:pPr>
    <w:rPr>
      <w:rFonts w:ascii="Calibri" w:eastAsia="Calibri" w:hAnsi="Calibri" w:cs="Consolas"/>
      <w:szCs w:val="21"/>
      <w:lang w:val="fr-BE"/>
    </w:rPr>
  </w:style>
  <w:style w:type="character" w:customStyle="1" w:styleId="PlainTextChar">
    <w:name w:val="Plain Text Char"/>
    <w:link w:val="PlainText"/>
    <w:uiPriority w:val="99"/>
    <w:rsid w:val="00B0623E"/>
    <w:rPr>
      <w:rFonts w:ascii="Calibri" w:eastAsia="Calibri" w:hAnsi="Calibri" w:cs="Consolas"/>
      <w:sz w:val="22"/>
      <w:szCs w:val="21"/>
      <w:lang w:eastAsia="en-US"/>
    </w:rPr>
  </w:style>
  <w:style w:type="paragraph" w:customStyle="1" w:styleId="s18">
    <w:name w:val="s18"/>
    <w:basedOn w:val="Normal"/>
    <w:rsid w:val="00E2620F"/>
    <w:pPr>
      <w:overflowPunct/>
      <w:autoSpaceDE/>
      <w:autoSpaceDN/>
      <w:adjustRightInd/>
      <w:spacing w:before="100" w:beforeAutospacing="1" w:after="100" w:afterAutospacing="1" w:line="240" w:lineRule="auto"/>
      <w:jc w:val="left"/>
      <w:textAlignment w:val="auto"/>
    </w:pPr>
    <w:rPr>
      <w:rFonts w:eastAsia="Calibri"/>
      <w:sz w:val="24"/>
      <w:szCs w:val="24"/>
      <w:lang w:val="fr-BE" w:eastAsia="fr-BE"/>
    </w:rPr>
  </w:style>
  <w:style w:type="character" w:customStyle="1" w:styleId="bumpedfont20">
    <w:name w:val="bumpedfont20"/>
    <w:rsid w:val="00E2620F"/>
  </w:style>
  <w:style w:type="paragraph" w:styleId="Revision">
    <w:name w:val="Revision"/>
    <w:hidden/>
    <w:uiPriority w:val="99"/>
    <w:semiHidden/>
    <w:rsid w:val="00140167"/>
    <w:rPr>
      <w:sz w:val="22"/>
      <w:lang w:val="en-GB" w:eastAsia="en-US"/>
    </w:rPr>
  </w:style>
  <w:style w:type="paragraph" w:styleId="ListParagraph">
    <w:name w:val="List Paragraph"/>
    <w:basedOn w:val="Normal"/>
    <w:uiPriority w:val="34"/>
    <w:qFormat/>
    <w:rsid w:val="00256C2B"/>
    <w:pPr>
      <w:ind w:left="720"/>
      <w:contextualSpacing/>
    </w:pPr>
  </w:style>
  <w:style w:type="character" w:customStyle="1" w:styleId="Heading2Char">
    <w:name w:val="Heading 2 Char"/>
    <w:basedOn w:val="DefaultParagraphFont"/>
    <w:link w:val="Heading2"/>
    <w:rsid w:val="00BD18E2"/>
    <w:rPr>
      <w:sz w:val="22"/>
      <w:lang w:val="en-GB" w:eastAsia="en-US"/>
    </w:rPr>
  </w:style>
  <w:style w:type="character" w:customStyle="1" w:styleId="header-line-32">
    <w:name w:val="header-line-32"/>
    <w:rsid w:val="00015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link w:val="Heading2Char"/>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qFormat/>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character" w:styleId="Strong">
    <w:name w:val="Strong"/>
    <w:uiPriority w:val="22"/>
    <w:qFormat/>
    <w:rsid w:val="00960789"/>
    <w:rPr>
      <w:b/>
      <w:bCs/>
    </w:rPr>
  </w:style>
  <w:style w:type="paragraph" w:styleId="NormalWeb">
    <w:name w:val="Normal (Web)"/>
    <w:basedOn w:val="Normal"/>
    <w:uiPriority w:val="99"/>
    <w:unhideWhenUsed/>
    <w:rsid w:val="00795CD0"/>
    <w:pPr>
      <w:overflowPunct/>
      <w:autoSpaceDE/>
      <w:autoSpaceDN/>
      <w:adjustRightInd/>
      <w:spacing w:before="100" w:beforeAutospacing="1" w:after="100" w:afterAutospacing="1" w:line="240" w:lineRule="auto"/>
      <w:jc w:val="left"/>
      <w:textAlignment w:val="auto"/>
    </w:pPr>
    <w:rPr>
      <w:sz w:val="24"/>
      <w:szCs w:val="24"/>
      <w:lang w:val="fr-BE" w:eastAsia="fr-BE"/>
    </w:rPr>
  </w:style>
  <w:style w:type="paragraph" w:styleId="PlainText">
    <w:name w:val="Plain Text"/>
    <w:basedOn w:val="Normal"/>
    <w:link w:val="PlainTextChar"/>
    <w:uiPriority w:val="99"/>
    <w:unhideWhenUsed/>
    <w:rsid w:val="00B0623E"/>
    <w:pPr>
      <w:overflowPunct/>
      <w:autoSpaceDE/>
      <w:autoSpaceDN/>
      <w:adjustRightInd/>
      <w:spacing w:line="240" w:lineRule="auto"/>
      <w:jc w:val="left"/>
      <w:textAlignment w:val="auto"/>
    </w:pPr>
    <w:rPr>
      <w:rFonts w:ascii="Calibri" w:eastAsia="Calibri" w:hAnsi="Calibri" w:cs="Consolas"/>
      <w:szCs w:val="21"/>
      <w:lang w:val="fr-BE"/>
    </w:rPr>
  </w:style>
  <w:style w:type="character" w:customStyle="1" w:styleId="PlainTextChar">
    <w:name w:val="Plain Text Char"/>
    <w:link w:val="PlainText"/>
    <w:uiPriority w:val="99"/>
    <w:rsid w:val="00B0623E"/>
    <w:rPr>
      <w:rFonts w:ascii="Calibri" w:eastAsia="Calibri" w:hAnsi="Calibri" w:cs="Consolas"/>
      <w:sz w:val="22"/>
      <w:szCs w:val="21"/>
      <w:lang w:eastAsia="en-US"/>
    </w:rPr>
  </w:style>
  <w:style w:type="paragraph" w:customStyle="1" w:styleId="s18">
    <w:name w:val="s18"/>
    <w:basedOn w:val="Normal"/>
    <w:rsid w:val="00E2620F"/>
    <w:pPr>
      <w:overflowPunct/>
      <w:autoSpaceDE/>
      <w:autoSpaceDN/>
      <w:adjustRightInd/>
      <w:spacing w:before="100" w:beforeAutospacing="1" w:after="100" w:afterAutospacing="1" w:line="240" w:lineRule="auto"/>
      <w:jc w:val="left"/>
      <w:textAlignment w:val="auto"/>
    </w:pPr>
    <w:rPr>
      <w:rFonts w:eastAsia="Calibri"/>
      <w:sz w:val="24"/>
      <w:szCs w:val="24"/>
      <w:lang w:val="fr-BE" w:eastAsia="fr-BE"/>
    </w:rPr>
  </w:style>
  <w:style w:type="character" w:customStyle="1" w:styleId="bumpedfont20">
    <w:name w:val="bumpedfont20"/>
    <w:rsid w:val="00E2620F"/>
  </w:style>
  <w:style w:type="paragraph" w:styleId="Revision">
    <w:name w:val="Revision"/>
    <w:hidden/>
    <w:uiPriority w:val="99"/>
    <w:semiHidden/>
    <w:rsid w:val="00140167"/>
    <w:rPr>
      <w:sz w:val="22"/>
      <w:lang w:val="en-GB" w:eastAsia="en-US"/>
    </w:rPr>
  </w:style>
  <w:style w:type="paragraph" w:styleId="ListParagraph">
    <w:name w:val="List Paragraph"/>
    <w:basedOn w:val="Normal"/>
    <w:uiPriority w:val="34"/>
    <w:qFormat/>
    <w:rsid w:val="00256C2B"/>
    <w:pPr>
      <w:ind w:left="720"/>
      <w:contextualSpacing/>
    </w:pPr>
  </w:style>
  <w:style w:type="character" w:customStyle="1" w:styleId="Heading2Char">
    <w:name w:val="Heading 2 Char"/>
    <w:basedOn w:val="DefaultParagraphFont"/>
    <w:link w:val="Heading2"/>
    <w:rsid w:val="00BD18E2"/>
    <w:rPr>
      <w:sz w:val="22"/>
      <w:lang w:val="en-GB" w:eastAsia="en-US"/>
    </w:rPr>
  </w:style>
  <w:style w:type="character" w:customStyle="1" w:styleId="header-line-32">
    <w:name w:val="header-line-32"/>
    <w:rsid w:val="0001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69">
      <w:bodyDiv w:val="1"/>
      <w:marLeft w:val="0"/>
      <w:marRight w:val="0"/>
      <w:marTop w:val="0"/>
      <w:marBottom w:val="0"/>
      <w:divBdr>
        <w:top w:val="none" w:sz="0" w:space="0" w:color="auto"/>
        <w:left w:val="none" w:sz="0" w:space="0" w:color="auto"/>
        <w:bottom w:val="none" w:sz="0" w:space="0" w:color="auto"/>
        <w:right w:val="none" w:sz="0" w:space="0" w:color="auto"/>
      </w:divBdr>
    </w:div>
    <w:div w:id="74402599">
      <w:bodyDiv w:val="1"/>
      <w:marLeft w:val="0"/>
      <w:marRight w:val="0"/>
      <w:marTop w:val="0"/>
      <w:marBottom w:val="0"/>
      <w:divBdr>
        <w:top w:val="none" w:sz="0" w:space="0" w:color="auto"/>
        <w:left w:val="none" w:sz="0" w:space="0" w:color="auto"/>
        <w:bottom w:val="none" w:sz="0" w:space="0" w:color="auto"/>
        <w:right w:val="none" w:sz="0" w:space="0" w:color="auto"/>
      </w:divBdr>
    </w:div>
    <w:div w:id="120194299">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19177149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47552111">
      <w:bodyDiv w:val="1"/>
      <w:marLeft w:val="0"/>
      <w:marRight w:val="0"/>
      <w:marTop w:val="0"/>
      <w:marBottom w:val="0"/>
      <w:divBdr>
        <w:top w:val="none" w:sz="0" w:space="0" w:color="auto"/>
        <w:left w:val="none" w:sz="0" w:space="0" w:color="auto"/>
        <w:bottom w:val="none" w:sz="0" w:space="0" w:color="auto"/>
        <w:right w:val="none" w:sz="0" w:space="0" w:color="auto"/>
      </w:divBdr>
    </w:div>
    <w:div w:id="486557488">
      <w:bodyDiv w:val="1"/>
      <w:marLeft w:val="0"/>
      <w:marRight w:val="0"/>
      <w:marTop w:val="0"/>
      <w:marBottom w:val="0"/>
      <w:divBdr>
        <w:top w:val="none" w:sz="0" w:space="0" w:color="auto"/>
        <w:left w:val="none" w:sz="0" w:space="0" w:color="auto"/>
        <w:bottom w:val="none" w:sz="0" w:space="0" w:color="auto"/>
        <w:right w:val="none" w:sz="0" w:space="0" w:color="auto"/>
      </w:divBdr>
    </w:div>
    <w:div w:id="520437048">
      <w:bodyDiv w:val="1"/>
      <w:marLeft w:val="0"/>
      <w:marRight w:val="0"/>
      <w:marTop w:val="0"/>
      <w:marBottom w:val="0"/>
      <w:divBdr>
        <w:top w:val="none" w:sz="0" w:space="0" w:color="auto"/>
        <w:left w:val="none" w:sz="0" w:space="0" w:color="auto"/>
        <w:bottom w:val="none" w:sz="0" w:space="0" w:color="auto"/>
        <w:right w:val="none" w:sz="0" w:space="0" w:color="auto"/>
      </w:divBdr>
      <w:divsChild>
        <w:div w:id="1572421250">
          <w:marLeft w:val="0"/>
          <w:marRight w:val="0"/>
          <w:marTop w:val="0"/>
          <w:marBottom w:val="0"/>
          <w:divBdr>
            <w:top w:val="none" w:sz="0" w:space="0" w:color="auto"/>
            <w:left w:val="none" w:sz="0" w:space="0" w:color="auto"/>
            <w:bottom w:val="none" w:sz="0" w:space="0" w:color="auto"/>
            <w:right w:val="none" w:sz="0" w:space="0" w:color="auto"/>
          </w:divBdr>
          <w:divsChild>
            <w:div w:id="811630193">
              <w:marLeft w:val="0"/>
              <w:marRight w:val="0"/>
              <w:marTop w:val="0"/>
              <w:marBottom w:val="0"/>
              <w:divBdr>
                <w:top w:val="none" w:sz="0" w:space="0" w:color="auto"/>
                <w:left w:val="none" w:sz="0" w:space="0" w:color="auto"/>
                <w:bottom w:val="none" w:sz="0" w:space="0" w:color="auto"/>
                <w:right w:val="none" w:sz="0" w:space="0" w:color="auto"/>
              </w:divBdr>
              <w:divsChild>
                <w:div w:id="270362853">
                  <w:marLeft w:val="0"/>
                  <w:marRight w:val="0"/>
                  <w:marTop w:val="0"/>
                  <w:marBottom w:val="0"/>
                  <w:divBdr>
                    <w:top w:val="none" w:sz="0" w:space="0" w:color="auto"/>
                    <w:left w:val="none" w:sz="0" w:space="0" w:color="auto"/>
                    <w:bottom w:val="none" w:sz="0" w:space="0" w:color="auto"/>
                    <w:right w:val="none" w:sz="0" w:space="0" w:color="auto"/>
                  </w:divBdr>
                  <w:divsChild>
                    <w:div w:id="1413307559">
                      <w:marLeft w:val="0"/>
                      <w:marRight w:val="0"/>
                      <w:marTop w:val="0"/>
                      <w:marBottom w:val="0"/>
                      <w:divBdr>
                        <w:top w:val="none" w:sz="0" w:space="0" w:color="auto"/>
                        <w:left w:val="none" w:sz="0" w:space="0" w:color="auto"/>
                        <w:bottom w:val="none" w:sz="0" w:space="0" w:color="auto"/>
                        <w:right w:val="none" w:sz="0" w:space="0" w:color="auto"/>
                      </w:divBdr>
                      <w:divsChild>
                        <w:div w:id="2100910735">
                          <w:marLeft w:val="0"/>
                          <w:marRight w:val="0"/>
                          <w:marTop w:val="0"/>
                          <w:marBottom w:val="0"/>
                          <w:divBdr>
                            <w:top w:val="none" w:sz="0" w:space="0" w:color="auto"/>
                            <w:left w:val="none" w:sz="0" w:space="0" w:color="auto"/>
                            <w:bottom w:val="none" w:sz="0" w:space="0" w:color="auto"/>
                            <w:right w:val="none" w:sz="0" w:space="0" w:color="auto"/>
                          </w:divBdr>
                          <w:divsChild>
                            <w:div w:id="20140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66574846">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842743199">
      <w:bodyDiv w:val="1"/>
      <w:marLeft w:val="0"/>
      <w:marRight w:val="0"/>
      <w:marTop w:val="0"/>
      <w:marBottom w:val="0"/>
      <w:divBdr>
        <w:top w:val="none" w:sz="0" w:space="0" w:color="auto"/>
        <w:left w:val="none" w:sz="0" w:space="0" w:color="auto"/>
        <w:bottom w:val="none" w:sz="0" w:space="0" w:color="auto"/>
        <w:right w:val="none" w:sz="0" w:space="0" w:color="auto"/>
      </w:divBdr>
    </w:div>
    <w:div w:id="935402870">
      <w:bodyDiv w:val="1"/>
      <w:marLeft w:val="0"/>
      <w:marRight w:val="0"/>
      <w:marTop w:val="0"/>
      <w:marBottom w:val="0"/>
      <w:divBdr>
        <w:top w:val="none" w:sz="0" w:space="0" w:color="auto"/>
        <w:left w:val="none" w:sz="0" w:space="0" w:color="auto"/>
        <w:bottom w:val="none" w:sz="0" w:space="0" w:color="auto"/>
        <w:right w:val="none" w:sz="0" w:space="0" w:color="auto"/>
      </w:divBdr>
    </w:div>
    <w:div w:id="1005091706">
      <w:bodyDiv w:val="1"/>
      <w:marLeft w:val="0"/>
      <w:marRight w:val="0"/>
      <w:marTop w:val="0"/>
      <w:marBottom w:val="0"/>
      <w:divBdr>
        <w:top w:val="none" w:sz="0" w:space="0" w:color="auto"/>
        <w:left w:val="none" w:sz="0" w:space="0" w:color="auto"/>
        <w:bottom w:val="none" w:sz="0" w:space="0" w:color="auto"/>
        <w:right w:val="none" w:sz="0" w:space="0" w:color="auto"/>
      </w:divBdr>
    </w:div>
    <w:div w:id="1047801248">
      <w:bodyDiv w:val="1"/>
      <w:marLeft w:val="0"/>
      <w:marRight w:val="0"/>
      <w:marTop w:val="0"/>
      <w:marBottom w:val="0"/>
      <w:divBdr>
        <w:top w:val="none" w:sz="0" w:space="0" w:color="auto"/>
        <w:left w:val="none" w:sz="0" w:space="0" w:color="auto"/>
        <w:bottom w:val="none" w:sz="0" w:space="0" w:color="auto"/>
        <w:right w:val="none" w:sz="0" w:space="0" w:color="auto"/>
      </w:divBdr>
    </w:div>
    <w:div w:id="1058549309">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171985680">
      <w:bodyDiv w:val="1"/>
      <w:marLeft w:val="0"/>
      <w:marRight w:val="0"/>
      <w:marTop w:val="0"/>
      <w:marBottom w:val="0"/>
      <w:divBdr>
        <w:top w:val="none" w:sz="0" w:space="0" w:color="auto"/>
        <w:left w:val="none" w:sz="0" w:space="0" w:color="auto"/>
        <w:bottom w:val="none" w:sz="0" w:space="0" w:color="auto"/>
        <w:right w:val="none" w:sz="0" w:space="0" w:color="auto"/>
      </w:divBdr>
    </w:div>
    <w:div w:id="1206794568">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20908083">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502741367">
      <w:bodyDiv w:val="1"/>
      <w:marLeft w:val="0"/>
      <w:marRight w:val="0"/>
      <w:marTop w:val="0"/>
      <w:marBottom w:val="0"/>
      <w:divBdr>
        <w:top w:val="none" w:sz="0" w:space="0" w:color="auto"/>
        <w:left w:val="none" w:sz="0" w:space="0" w:color="auto"/>
        <w:bottom w:val="none" w:sz="0" w:space="0" w:color="auto"/>
        <w:right w:val="none" w:sz="0" w:space="0" w:color="auto"/>
      </w:divBdr>
    </w:div>
    <w:div w:id="1522009145">
      <w:bodyDiv w:val="1"/>
      <w:marLeft w:val="0"/>
      <w:marRight w:val="0"/>
      <w:marTop w:val="0"/>
      <w:marBottom w:val="0"/>
      <w:divBdr>
        <w:top w:val="none" w:sz="0" w:space="0" w:color="auto"/>
        <w:left w:val="none" w:sz="0" w:space="0" w:color="auto"/>
        <w:bottom w:val="none" w:sz="0" w:space="0" w:color="auto"/>
        <w:right w:val="none" w:sz="0" w:space="0" w:color="auto"/>
      </w:divBdr>
    </w:div>
    <w:div w:id="1791170910">
      <w:bodyDiv w:val="1"/>
      <w:marLeft w:val="0"/>
      <w:marRight w:val="0"/>
      <w:marTop w:val="0"/>
      <w:marBottom w:val="0"/>
      <w:divBdr>
        <w:top w:val="none" w:sz="0" w:space="0" w:color="auto"/>
        <w:left w:val="none" w:sz="0" w:space="0" w:color="auto"/>
        <w:bottom w:val="none" w:sz="0" w:space="0" w:color="auto"/>
        <w:right w:val="none" w:sz="0" w:space="0" w:color="auto"/>
      </w:divBdr>
    </w:div>
    <w:div w:id="1856118051">
      <w:bodyDiv w:val="1"/>
      <w:marLeft w:val="0"/>
      <w:marRight w:val="0"/>
      <w:marTop w:val="0"/>
      <w:marBottom w:val="0"/>
      <w:divBdr>
        <w:top w:val="none" w:sz="0" w:space="0" w:color="auto"/>
        <w:left w:val="none" w:sz="0" w:space="0" w:color="auto"/>
        <w:bottom w:val="none" w:sz="0" w:space="0" w:color="auto"/>
        <w:right w:val="none" w:sz="0" w:space="0" w:color="auto"/>
      </w:divBdr>
    </w:div>
    <w:div w:id="1925068337">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610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eesc.europa.eu/?i=portal.en.nat-opinions.3433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esc.europa.eu/?i=portal.en.ccmi-opinions.32831" TargetMode="External"/><Relationship Id="rId2" Type="http://schemas.openxmlformats.org/officeDocument/2006/relationships/customXml" Target="../customXml/item2.xml"/><Relationship Id="rId16" Type="http://schemas.openxmlformats.org/officeDocument/2006/relationships/hyperlink" Target="http://www.eesc.europa.eu/?i=portal.en.events-and-activities-507-plenary-session-agenda" TargetMode="External"/><Relationship Id="rId20" Type="http://schemas.openxmlformats.org/officeDocument/2006/relationships/hyperlink" Target="mailto:press@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esc.europa.eu/?i=portal.en.events-and-activities-507-plenary-session-webstream" TargetMode="External"/><Relationship Id="rId10" Type="http://schemas.openxmlformats.org/officeDocument/2006/relationships/webSettings" Target="webSettings.xml"/><Relationship Id="rId19" Type="http://schemas.openxmlformats.org/officeDocument/2006/relationships/hyperlink" Target="http://www.eesc.europa.eu/?i=portal.en.ten-opinions.3455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u2003t\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riority xmlns="21ce364b-8312-4584-b8fd-0beccfde721d">very urgent</Priority>
    <Committee xmlns="21ce364b-8312-4584-b8fd-0beccfde721d">EESC</Committee>
    <Status xmlns="21ce364b-8312-4584-b8fd-0beccfde721d">preformatting in progress</Status>
    <Questions_x002f_Problems xmlns="21ce364b-8312-4584-b8fd-0beccfde721d" xsi:nil="true"/>
    <Feedback_x0020_Cc_x003a_ xmlns="21ce364b-8312-4584-b8fd-0beccfde721d">
      <UserInfo>
        <DisplayName/>
        <AccountId xsi:nil="true"/>
        <AccountType/>
      </UserInfo>
    </Feedback_x0020_Cc_x003a_>
    <Feedback_x0020_To_x003a__x0020_copy xmlns="21ce364b-8312-4584-b8fd-0beccfde721d" xsi:nil="true"/>
    <Feedback_x0020_To_x003a_ xmlns="21ce364b-8312-4584-b8fd-0beccfde721d">
      <UserInfo>
        <DisplayName/>
        <AccountId xsi:nil="true"/>
        <AccountType/>
      </UserInfo>
    </Feedback_x0020_To_x003a_>
    <Langue xmlns="21ce364b-8312-4584-b8fd-0beccfde721d">Other</Langue>
    <Also_x0020_preformatted_x0020_by xmlns="21ce364b-8312-4584-b8fd-0beccfde721d">
      <UserInfo>
        <DisplayName/>
        <AccountId xsi:nil="true"/>
        <AccountType/>
      </UserInfo>
    </Also_x0020_preformatted_x0020_by>
    <Document_x0020_type xmlns="21ce364b-8312-4584-b8fd-0beccfde721d">13</Document_x0020_type>
    <Performatted_x0020_by xmlns="21ce364b-8312-4584-b8fd-0beccfde721d">
      <UserInfo>
        <DisplayName/>
        <AccountId>1308</AccountId>
        <AccountType/>
      </UserInfo>
    </Performatted_x0020_by>
    <Stamp xmlns="21ce364b-8312-4584-b8fd-0beccfde72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2286DFC0A1604B99E72C7C2DB17342" ma:contentTypeVersion="87" ma:contentTypeDescription="Create a new document." ma:contentTypeScope="" ma:versionID="d5a35a8940cd2f43684af741f0264b8f">
  <xsd:schema xmlns:xsd="http://www.w3.org/2001/XMLSchema" xmlns:xs="http://www.w3.org/2001/XMLSchema" xmlns:p="http://schemas.microsoft.com/office/2006/metadata/properties" xmlns:ns2="21ce364b-8312-4584-b8fd-0beccfde721d" targetNamespace="http://schemas.microsoft.com/office/2006/metadata/properties" ma:root="true" ma:fieldsID="e7d97e9f0fb10d7a6c69ff8c39ae813d" ns2:_="">
    <xsd:import namespace="21ce364b-8312-4584-b8fd-0beccfde721d"/>
    <xsd:element name="properties">
      <xsd:complexType>
        <xsd:sequence>
          <xsd:element name="documentManagement">
            <xsd:complexType>
              <xsd:all>
                <xsd:element ref="ns2:Committee"/>
                <xsd:element ref="ns2:Document_x0020_type" minOccurs="0"/>
                <xsd:element ref="ns2:Langue"/>
                <xsd:element ref="ns2:Status" minOccurs="0"/>
                <xsd:element ref="ns2:Priority" minOccurs="0"/>
                <xsd:element ref="ns2:Performatted_x0020_by" minOccurs="0"/>
                <xsd:element ref="ns2:Also_x0020_preformatted_x0020_by" minOccurs="0"/>
                <xsd:element ref="ns2:Questions_x002f_Problems" minOccurs="0"/>
                <xsd:element ref="ns2:Feedback_x0020_To_x003a_" minOccurs="0"/>
                <xsd:element ref="ns2:Feedback_x0020_Cc_x003a_" minOccurs="0"/>
                <xsd:element ref="ns2:Feedback_x0020_To_x003a__x0020_copy" minOccurs="0"/>
                <xsd:element ref="ns2:Sta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364b-8312-4584-b8fd-0beccfde721d" elementFormDefault="qualified">
    <xsd:import namespace="http://schemas.microsoft.com/office/2006/documentManagement/types"/>
    <xsd:import namespace="http://schemas.microsoft.com/office/infopath/2007/PartnerControls"/>
    <xsd:element name="Committee" ma:index="1" ma:displayName="Committee" ma:format="RadioButtons" ma:internalName="Committee" ma:readOnly="false">
      <xsd:simpleType>
        <xsd:restriction base="dms:Choice">
          <xsd:enumeration value="EESC"/>
          <xsd:enumeration value="CoR"/>
        </xsd:restriction>
      </xsd:simpleType>
    </xsd:element>
    <xsd:element name="Document_x0020_type" ma:index="2" nillable="true" ma:displayName="Document type" ma:description="to be filled in by dt-workflow" ma:list="{e30cd2ac-b400-462c-85fa-bcfc625296af}" ma:internalName="Document_x0020_type" ma:readOnly="false" ma:showField="Display">
      <xsd:simpleType>
        <xsd:restriction base="dms:Lookup"/>
      </xsd:simpleType>
    </xsd:element>
    <xsd:element name="Langue" ma:index="3" ma:displayName="Langue" ma:description="Language of the original document" ma:format="RadioButtons" ma:internalName="Langue">
      <xsd:simpleType>
        <xsd:restriction base="dms:Choice">
          <xsd:enumeration value="EN"/>
          <xsd:enumeration value="Other"/>
        </xsd:restriction>
      </xsd:simpleType>
    </xsd:element>
    <xsd:element name="Status" ma:index="4" nillable="true" ma:displayName="Status" ma:default="waiting to be preformatted" ma:format="Dropdown" ma:internalName="Status">
      <xsd:simpleType>
        <xsd:restriction base="dms:Choice">
          <xsd:enumeration value="waiting to be preformatted"/>
          <xsd:enumeration value="preformatting in progress"/>
          <xsd:enumeration value="preformatted"/>
          <xsd:enumeration value="completed"/>
          <xsd:enumeration value="no time for preformatting"/>
          <xsd:enumeration value="preformatting not necessary"/>
          <xsd:enumeration value="statistics copied"/>
          <xsd:enumeration value="send feedback"/>
          <xsd:enumeration value="metadata to be deleted"/>
          <xsd:enumeration value="metadata cleaned"/>
          <xsd:enumeration value="to be uploaded in Ariane"/>
          <xsd:enumeration value="completed (not preformatted)"/>
          <xsd:enumeration value="testing"/>
        </xsd:restriction>
      </xsd:simpleType>
    </xsd:element>
    <xsd:element name="Priority" ma:index="5" nillable="true" ma:displayName="Priority" ma:default="normal" ma:format="Dropdown" ma:internalName="Priority">
      <xsd:simpleType>
        <xsd:restriction base="dms:Choice">
          <xsd:enumeration value="very urgent"/>
          <xsd:enumeration value="urgent"/>
          <xsd:enumeration value="normal"/>
          <xsd:enumeration value="low"/>
        </xsd:restriction>
      </xsd:simpleType>
    </xsd:element>
    <xsd:element name="Performatted_x0020_by" ma:index="6" nillable="true" ma:displayName="Checked by" ma:description="to be filled in by Format checking service" ma:list="UserInfo" ma:SharePointGroup="0" ma:internalName="Per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so_x0020_preformatted_x0020_by" ma:index="7" nillable="true" ma:displayName="Also checked by" ma:description="To be filled in by Format checking service" ma:list="UserInfo" ma:SharePointGroup="0" ma:internalName="Also_x0020_pre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uestions_x002f_Problems" ma:index="8" nillable="true" ma:displayName="Questions/Problems" ma:description="To be filled in by Format checking service (will be sent to Requesting service and copied to statistics)" ma:internalName="Questions_x002f_Problems">
      <xsd:simpleType>
        <xsd:restriction base="dms:Text">
          <xsd:maxLength value="255"/>
        </xsd:restriction>
      </xsd:simpleType>
    </xsd:element>
    <xsd:element name="Feedback_x0020_To_x003a_" ma:index="9" nillable="true" ma:displayName="Feedback To:" ma:description="Please insert username of Requesting service staff in charge of the document" ma:list="UserInfo" ma:SharePointGroup="0" ma:internalName="Feedback_x0020_To_x003a_" ma:showField="First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Cc_x003a_" ma:index="10" nillable="true" ma:displayName="Feedback Cc:" ma:description="Please insert username of other Requesting service staff in charge of the document (optional)" ma:list="UserInfo" ma:SharePointGroup="0" ma:internalName="Feedback_x0020_Cc_x003a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To_x003a__x0020_copy" ma:index="12" nillable="true" ma:displayName="Feedback To: copy" ma:hidden="true" ma:internalName="Feedback_x0020_To_x003a__x0020_copy" ma:readOnly="false">
      <xsd:simpleType>
        <xsd:restriction base="dms:Text">
          <xsd:maxLength value="255"/>
        </xsd:restriction>
      </xsd:simpleType>
    </xsd:element>
    <xsd:element name="Stamp" ma:index="29" nillable="true" ma:displayName="Stamp" ma:description="Stamp put on the document once it has been checked" ma:internalName="Sta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26BCD40B-24B4-43A4-90E9-4DE66B1C9CC4}">
  <ds:schemaRefs>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21ce364b-8312-4584-b8fd-0beccfde721d"/>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4.xml><?xml version="1.0" encoding="utf-8"?>
<ds:datastoreItem xmlns:ds="http://schemas.openxmlformats.org/officeDocument/2006/customXml" ds:itemID="{974FAEFE-CE6B-4F09-A1F9-61DE56A8B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364b-8312-4584-b8fd-0beccfde7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D4864F-C431-4CF8-BC34-12FFE3F8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11</TotalTime>
  <Pages>2</Pages>
  <Words>510</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CP 17 EN Plenary March 2015</vt:lpstr>
    </vt:vector>
  </TitlesOfParts>
  <Company>CESE-CdR</Company>
  <LinksUpToDate>false</LinksUpToDate>
  <CharactersWithSpaces>4120</CharactersWithSpaces>
  <SharedDoc>false</SharedDoc>
  <HLinks>
    <vt:vector size="90" baseType="variant">
      <vt:variant>
        <vt:i4>2228292</vt:i4>
      </vt:variant>
      <vt:variant>
        <vt:i4>18</vt:i4>
      </vt:variant>
      <vt:variant>
        <vt:i4>0</vt:i4>
      </vt:variant>
      <vt:variant>
        <vt:i4>5</vt:i4>
      </vt:variant>
      <vt:variant>
        <vt:lpwstr>mailto:press@eesc.europa.eu</vt:lpwstr>
      </vt:variant>
      <vt:variant>
        <vt:lpwstr/>
      </vt:variant>
      <vt:variant>
        <vt:i4>4587539</vt:i4>
      </vt:variant>
      <vt:variant>
        <vt:i4>15</vt:i4>
      </vt:variant>
      <vt:variant>
        <vt:i4>0</vt:i4>
      </vt:variant>
      <vt:variant>
        <vt:i4>5</vt:i4>
      </vt:variant>
      <vt:variant>
        <vt:lpwstr>http://www.eesc.europa.eu/?i=portal.en.eco-opinions.32895</vt:lpwstr>
      </vt:variant>
      <vt:variant>
        <vt:lpwstr/>
      </vt:variant>
      <vt:variant>
        <vt:i4>786432</vt:i4>
      </vt:variant>
      <vt:variant>
        <vt:i4>12</vt:i4>
      </vt:variant>
      <vt:variant>
        <vt:i4>0</vt:i4>
      </vt:variant>
      <vt:variant>
        <vt:i4>5</vt:i4>
      </vt:variant>
      <vt:variant>
        <vt:lpwstr>http://www.eesc.europa.eu/?i=portal.en.europe-2020-opinions.34752</vt:lpwstr>
      </vt:variant>
      <vt:variant>
        <vt:lpwstr/>
      </vt:variant>
      <vt:variant>
        <vt:i4>786432</vt:i4>
      </vt:variant>
      <vt:variant>
        <vt:i4>9</vt:i4>
      </vt:variant>
      <vt:variant>
        <vt:i4>0</vt:i4>
      </vt:variant>
      <vt:variant>
        <vt:i4>5</vt:i4>
      </vt:variant>
      <vt:variant>
        <vt:lpwstr>http://www.eesc.europa.eu/?i=portal.en.europe-2020-opinions.34757</vt:lpwstr>
      </vt:variant>
      <vt:variant>
        <vt:lpwstr/>
      </vt:variant>
      <vt:variant>
        <vt:i4>6357112</vt:i4>
      </vt:variant>
      <vt:variant>
        <vt:i4>6</vt:i4>
      </vt:variant>
      <vt:variant>
        <vt:i4>0</vt:i4>
      </vt:variant>
      <vt:variant>
        <vt:i4>5</vt:i4>
      </vt:variant>
      <vt:variant>
        <vt:lpwstr>http://www.eesc.europa.eu/?i=portal.en.events-and-activities-505-plenary-session-agenda</vt:lpwstr>
      </vt:variant>
      <vt:variant>
        <vt:lpwstr/>
      </vt:variant>
      <vt:variant>
        <vt:i4>6815860</vt:i4>
      </vt:variant>
      <vt:variant>
        <vt:i4>3</vt:i4>
      </vt:variant>
      <vt:variant>
        <vt:i4>0</vt:i4>
      </vt:variant>
      <vt:variant>
        <vt:i4>5</vt:i4>
      </vt:variant>
      <vt:variant>
        <vt:lpwstr>http://www.eesc.europa.eu/?i=portal.en.events-and-activities-505-plenary-session-webstream</vt:lpwstr>
      </vt:variant>
      <vt:variant>
        <vt:lpwstr/>
      </vt:variant>
      <vt:variant>
        <vt:i4>5898316</vt:i4>
      </vt:variant>
      <vt:variant>
        <vt:i4>0</vt:i4>
      </vt:variant>
      <vt:variant>
        <vt:i4>0</vt:i4>
      </vt:variant>
      <vt:variant>
        <vt:i4>5</vt:i4>
      </vt:variant>
      <vt:variant>
        <vt:lpwstr>http://www.eesc.europa.eu/?i=portal.en.publications.33925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6686</vt:i4>
      </vt:variant>
      <vt:variant>
        <vt:i4>1026</vt:i4>
      </vt:variant>
      <vt:variant>
        <vt:i4>1</vt:i4>
      </vt:variant>
      <vt:variant>
        <vt:lpwstr>http://www.eesc.europa.eu/resources/toolip/img/2011/08/23/ico-twitter.gif</vt:lpwstr>
      </vt:variant>
      <vt:variant>
        <vt:lpwstr/>
      </vt:variant>
      <vt:variant>
        <vt:i4>2818165</vt:i4>
      </vt:variant>
      <vt:variant>
        <vt:i4>6909</vt:i4>
      </vt:variant>
      <vt:variant>
        <vt:i4>1027</vt:i4>
      </vt:variant>
      <vt:variant>
        <vt:i4>1</vt:i4>
      </vt:variant>
      <vt:variant>
        <vt:lpwstr>http://www.eesc.europa.eu/resources/toolip/img/2011/08/23/ico-facebook.gif</vt:lpwstr>
      </vt:variant>
      <vt:variant>
        <vt:lpwstr/>
      </vt:variant>
      <vt:variant>
        <vt:i4>3997811</vt:i4>
      </vt:variant>
      <vt:variant>
        <vt:i4>7089</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26 EN Plenary April  2015</dc:title>
  <dc:subject>Press Release</dc:subject>
  <cp:lastModifiedBy>Agata Berdys</cp:lastModifiedBy>
  <cp:revision>9</cp:revision>
  <cp:lastPrinted>2015-04-17T12:17:00Z</cp:lastPrinted>
  <dcterms:created xsi:type="dcterms:W3CDTF">2015-04-17T12:40:00Z</dcterms:created>
  <dcterms:modified xsi:type="dcterms:W3CDTF">2015-04-20T11:03:00Z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0x010100922286DFC0A1604B99E72C7C2DB17342</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ies>
</file>