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674FEA" w:rsidRDefault="002868C8"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674FEA" w:rsidRDefault="007E5B10" w:rsidP="00473E94">
      <w:pPr>
        <w:spacing w:line="240" w:lineRule="auto"/>
        <w:rPr>
          <w:rFonts w:ascii="Verdana" w:hAnsi="Verdana"/>
          <w:sz w:val="20"/>
        </w:rPr>
        <w:sectPr w:rsidR="008820BE" w:rsidRPr="00674FEA" w:rsidSect="000F445C">
          <w:footerReference w:type="default" r:id="rId15"/>
          <w:pgSz w:w="11907" w:h="16839" w:code="9"/>
          <w:pgMar w:top="426" w:right="1418" w:bottom="1418" w:left="1418" w:header="3062" w:footer="265" w:gutter="0"/>
          <w:cols w:space="720"/>
          <w:docGrid w:linePitch="299"/>
        </w:sectPr>
      </w:pPr>
      <w:r w:rsidRPr="00674FEA">
        <w:rPr>
          <w:noProof/>
          <w:lang w:val="fr-BE" w:eastAsia="fr-BE" w:bidi="ar-SA"/>
        </w:rPr>
        <mc:AlternateContent>
          <mc:Choice Requires="wps">
            <w:drawing>
              <wp:anchor distT="0" distB="0" distL="114300" distR="114300" simplePos="0" relativeHeight="251657728" behindDoc="1" locked="0" layoutInCell="0" allowOverlap="1" wp14:anchorId="43CF8CFD" wp14:editId="0C60A153">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E5B10" w:rsidRPr="00674FEA" w:rsidTr="002F2926">
        <w:trPr>
          <w:cantSplit/>
        </w:trPr>
        <w:tc>
          <w:tcPr>
            <w:tcW w:w="5168" w:type="dxa"/>
          </w:tcPr>
          <w:p w:rsidR="007E5B10" w:rsidRPr="00674FEA" w:rsidRDefault="007E5B10" w:rsidP="002F2926">
            <w:pPr>
              <w:spacing w:line="240" w:lineRule="auto"/>
              <w:rPr>
                <w:rFonts w:ascii="Verdana" w:hAnsi="Verdana"/>
                <w:b/>
                <w:bCs/>
                <w:sz w:val="20"/>
              </w:rPr>
            </w:pPr>
            <w:r w:rsidRPr="00674FEA">
              <w:rPr>
                <w:rFonts w:ascii="Verdana" w:hAnsi="Verdana"/>
                <w:b/>
                <w:sz w:val="20"/>
              </w:rPr>
              <w:lastRenderedPageBreak/>
              <w:t xml:space="preserve">Nr. </w:t>
            </w:r>
            <w:r w:rsidR="0022383D">
              <w:rPr>
                <w:rFonts w:ascii="Verdana" w:hAnsi="Verdana"/>
                <w:b/>
                <w:sz w:val="20"/>
              </w:rPr>
              <w:t>24/</w:t>
            </w:r>
            <w:r w:rsidRPr="00674FEA">
              <w:rPr>
                <w:rFonts w:ascii="Verdana" w:hAnsi="Verdana"/>
                <w:b/>
                <w:sz w:val="20"/>
              </w:rPr>
              <w:t>2015</w:t>
            </w:r>
          </w:p>
        </w:tc>
        <w:tc>
          <w:tcPr>
            <w:tcW w:w="4119" w:type="dxa"/>
          </w:tcPr>
          <w:p w:rsidR="007E5B10" w:rsidRPr="00674FEA" w:rsidRDefault="007E5B10" w:rsidP="002F2926">
            <w:pPr>
              <w:spacing w:line="240" w:lineRule="auto"/>
              <w:jc w:val="right"/>
              <w:rPr>
                <w:rFonts w:ascii="Verdana" w:hAnsi="Verdana"/>
                <w:b/>
                <w:bCs/>
                <w:sz w:val="20"/>
              </w:rPr>
            </w:pPr>
            <w:r w:rsidRPr="00674FEA">
              <w:rPr>
                <w:rFonts w:ascii="Verdana" w:hAnsi="Verdana"/>
                <w:b/>
                <w:sz w:val="20"/>
              </w:rPr>
              <w:t>2015 m. balandžio 8 d.</w:t>
            </w:r>
          </w:p>
        </w:tc>
      </w:tr>
    </w:tbl>
    <w:p w:rsidR="007E5B10" w:rsidRPr="00674FEA" w:rsidRDefault="007E5B10" w:rsidP="007E5B10">
      <w:pPr>
        <w:spacing w:line="240" w:lineRule="auto"/>
        <w:rPr>
          <w:rFonts w:ascii="Verdana" w:hAnsi="Verdana"/>
          <w:sz w:val="20"/>
        </w:rPr>
      </w:pPr>
      <w:r w:rsidRPr="00674FEA">
        <w:rPr>
          <w:noProof/>
          <w:lang w:val="fr-BE" w:eastAsia="fr-BE" w:bidi="ar-SA"/>
        </w:rPr>
        <mc:AlternateContent>
          <mc:Choice Requires="wps">
            <w:drawing>
              <wp:anchor distT="0" distB="0" distL="114300" distR="114300" simplePos="0" relativeHeight="251659776" behindDoc="1" locked="0" layoutInCell="0" allowOverlap="1" wp14:anchorId="7219B7B4" wp14:editId="5FA96A53">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p w:rsidR="007E5B10" w:rsidRPr="00674FEA" w:rsidRDefault="007E5B10" w:rsidP="007E5B10">
      <w:pPr>
        <w:spacing w:line="240" w:lineRule="auto"/>
        <w:rPr>
          <w:rFonts w:ascii="Verdana" w:hAnsi="Verdana"/>
          <w:sz w:val="20"/>
        </w:rPr>
        <w:sectPr w:rsidR="007E5B10" w:rsidRPr="00674FEA" w:rsidSect="007E5B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139" w:right="1418" w:bottom="1418" w:left="1418" w:header="3062" w:footer="454" w:gutter="0"/>
          <w:cols w:space="720"/>
          <w:docGrid w:linePitch="299"/>
        </w:sectPr>
      </w:pPr>
    </w:p>
    <w:p w:rsidR="007E5B10" w:rsidRPr="00674FEA" w:rsidRDefault="007E5B10" w:rsidP="007E5B10">
      <w:pPr>
        <w:spacing w:line="240" w:lineRule="auto"/>
        <w:jc w:val="center"/>
        <w:rPr>
          <w:rFonts w:ascii="Verdana" w:hAnsi="Verdana"/>
          <w:b/>
          <w:bCs/>
          <w:sz w:val="28"/>
        </w:rPr>
      </w:pPr>
    </w:p>
    <w:p w:rsidR="0054071A" w:rsidRPr="00674FEA" w:rsidRDefault="007C4B62" w:rsidP="00FF5250">
      <w:pPr>
        <w:pStyle w:val="PlainText"/>
        <w:jc w:val="center"/>
        <w:rPr>
          <w:rFonts w:ascii="Verdana" w:hAnsi="Verdana"/>
          <w:b/>
          <w:color w:val="0065B0"/>
          <w:sz w:val="28"/>
          <w:szCs w:val="28"/>
        </w:rPr>
      </w:pPr>
      <w:r w:rsidRPr="00674FEA">
        <w:rPr>
          <w:rFonts w:ascii="Verdana" w:hAnsi="Verdana"/>
          <w:b/>
          <w:color w:val="0065B0"/>
          <w:sz w:val="28"/>
        </w:rPr>
        <w:t xml:space="preserve">Europos piliečių iniciatyvos (EPI) dieną pradeda veikti aktyviems piliečiams skirta svarbi EESRK pagalbinė priemonė – </w:t>
      </w:r>
    </w:p>
    <w:p w:rsidR="00FF5250" w:rsidRPr="00674FEA" w:rsidRDefault="0065297E" w:rsidP="00FF5250">
      <w:pPr>
        <w:pStyle w:val="PlainText"/>
        <w:jc w:val="center"/>
        <w:rPr>
          <w:b/>
          <w:color w:val="0070C0"/>
          <w:sz w:val="28"/>
          <w:szCs w:val="28"/>
        </w:rPr>
      </w:pPr>
      <w:r w:rsidRPr="00674FEA">
        <w:rPr>
          <w:rFonts w:ascii="Verdana" w:hAnsi="Verdana"/>
          <w:b/>
          <w:color w:val="0070C0"/>
          <w:sz w:val="28"/>
        </w:rPr>
        <w:t>pagal EPI pateikti dokumentai bus verčiami į visas ES kalbas</w:t>
      </w:r>
      <w:r w:rsidRPr="00674FEA">
        <w:rPr>
          <w:b/>
          <w:color w:val="0070C0"/>
          <w:sz w:val="28"/>
        </w:rPr>
        <w:t xml:space="preserve"> </w:t>
      </w:r>
    </w:p>
    <w:p w:rsidR="00FF5250" w:rsidRPr="00674FEA" w:rsidRDefault="00FF5250" w:rsidP="00101522">
      <w:pPr>
        <w:pStyle w:val="PlainText"/>
        <w:jc w:val="center"/>
        <w:rPr>
          <w:rFonts w:ascii="Verdana" w:hAnsi="Verdana"/>
          <w:b/>
          <w:sz w:val="28"/>
          <w:szCs w:val="28"/>
        </w:rPr>
      </w:pPr>
    </w:p>
    <w:p w:rsidR="00650470" w:rsidRPr="00674FEA" w:rsidRDefault="00EB7A44" w:rsidP="00FF5250">
      <w:pPr>
        <w:pStyle w:val="PlainText"/>
        <w:jc w:val="both"/>
        <w:rPr>
          <w:rFonts w:ascii="Verdana" w:hAnsi="Verdana"/>
          <w:b/>
          <w:sz w:val="20"/>
          <w:szCs w:val="20"/>
        </w:rPr>
      </w:pPr>
      <w:bookmarkStart w:id="0" w:name="_GoBack"/>
      <w:bookmarkEnd w:id="0"/>
      <w:r w:rsidRPr="00674FEA">
        <w:rPr>
          <w:rFonts w:ascii="Verdana" w:hAnsi="Verdana"/>
          <w:b/>
          <w:sz w:val="20"/>
        </w:rPr>
        <w:t xml:space="preserve">Balandžio 13 d., Europos piliečių iniciatyvos dieną, Europos ekonomikos ir socialinių reikalų komitetas (EESRK) pradeda teikti naują ir svarbią paslaugą Europos piliečių iniciatyvos (EPI) organizatoriams: nuo šiol Komitetas pasirūpins visų pagal EPI pateiktų ir patvirtintų iniciatyvų dokumentų (800 ženklų) vertimu į visas ES kalbas taip pašalindamas vieną iš pagrindinių sunkumų piliečiams ir palengvindamas jų politinį dalyvavimą.  </w:t>
      </w:r>
    </w:p>
    <w:p w:rsidR="00BC6FB1" w:rsidRPr="00674FEA" w:rsidRDefault="00BC6FB1" w:rsidP="00480022">
      <w:pPr>
        <w:pStyle w:val="PlainText"/>
        <w:jc w:val="both"/>
        <w:rPr>
          <w:b/>
          <w:szCs w:val="22"/>
        </w:rPr>
      </w:pPr>
    </w:p>
    <w:p w:rsidR="00C6170F" w:rsidRPr="00674FEA" w:rsidRDefault="004E5932" w:rsidP="00480022">
      <w:pPr>
        <w:spacing w:line="240" w:lineRule="auto"/>
        <w:rPr>
          <w:rFonts w:ascii="Verdana" w:hAnsi="Verdana"/>
          <w:color w:val="1F497D"/>
          <w:sz w:val="18"/>
          <w:szCs w:val="18"/>
        </w:rPr>
      </w:pPr>
      <w:r w:rsidRPr="00674FEA">
        <w:rPr>
          <w:rFonts w:ascii="Verdana" w:hAnsi="Verdana"/>
          <w:i/>
          <w:sz w:val="18"/>
        </w:rPr>
        <w:t xml:space="preserve">„Dar pačioje pradžioje EESRK manė galintis imtis tarpininko ir </w:t>
      </w:r>
      <w:proofErr w:type="spellStart"/>
      <w:r w:rsidRPr="00674FEA">
        <w:rPr>
          <w:rFonts w:ascii="Verdana" w:hAnsi="Verdana"/>
          <w:i/>
          <w:sz w:val="18"/>
        </w:rPr>
        <w:t>mentoriaus</w:t>
      </w:r>
      <w:proofErr w:type="spellEnd"/>
      <w:r w:rsidRPr="00674FEA">
        <w:rPr>
          <w:rFonts w:ascii="Verdana" w:hAnsi="Verdana"/>
          <w:i/>
          <w:sz w:val="18"/>
        </w:rPr>
        <w:t xml:space="preserve"> vaidmens įgyvendinant EPI. Ši nauja iniciatyva yra kartu ir mūsų praktinė parama aktyviems piliečiams“</w:t>
      </w:r>
      <w:r w:rsidRPr="00674FEA">
        <w:rPr>
          <w:rFonts w:ascii="Verdana" w:hAnsi="Verdana"/>
          <w:sz w:val="18"/>
        </w:rPr>
        <w:t>,– pažymėjo EPI</w:t>
      </w:r>
      <w:r w:rsidRPr="00674FEA">
        <w:rPr>
          <w:rFonts w:ascii="Verdana" w:hAnsi="Verdana"/>
          <w:i/>
          <w:sz w:val="18"/>
        </w:rPr>
        <w:t xml:space="preserve"> </w:t>
      </w:r>
      <w:proofErr w:type="spellStart"/>
      <w:r w:rsidRPr="00674FEA">
        <w:rPr>
          <w:rFonts w:ascii="Verdana" w:hAnsi="Verdana"/>
          <w:i/>
          <w:sz w:val="18"/>
        </w:rPr>
        <w:t>ad</w:t>
      </w:r>
      <w:proofErr w:type="spellEnd"/>
      <w:r w:rsidRPr="00674FEA">
        <w:rPr>
          <w:rFonts w:ascii="Verdana" w:hAnsi="Verdana"/>
          <w:i/>
          <w:sz w:val="18"/>
        </w:rPr>
        <w:t xml:space="preserve"> </w:t>
      </w:r>
      <w:proofErr w:type="spellStart"/>
      <w:r w:rsidRPr="00674FEA">
        <w:rPr>
          <w:rFonts w:ascii="Verdana" w:hAnsi="Verdana"/>
          <w:i/>
          <w:sz w:val="18"/>
        </w:rPr>
        <w:t>hoc</w:t>
      </w:r>
      <w:proofErr w:type="spellEnd"/>
      <w:r w:rsidRPr="00674FEA">
        <w:rPr>
          <w:rFonts w:ascii="Verdana" w:hAnsi="Verdana"/>
          <w:sz w:val="18"/>
        </w:rPr>
        <w:t xml:space="preserve"> grupės pirmininkė </w:t>
      </w:r>
      <w:hyperlink r:id="rId22">
        <w:r w:rsidRPr="00674FEA">
          <w:rPr>
            <w:rStyle w:val="Hyperlink"/>
            <w:rFonts w:ascii="Verdana" w:hAnsi="Verdana"/>
            <w:sz w:val="18"/>
          </w:rPr>
          <w:t>Anne-</w:t>
        </w:r>
        <w:proofErr w:type="spellStart"/>
        <w:r w:rsidRPr="00674FEA">
          <w:rPr>
            <w:rStyle w:val="Hyperlink"/>
            <w:rFonts w:ascii="Verdana" w:hAnsi="Verdana"/>
            <w:sz w:val="18"/>
          </w:rPr>
          <w:t>Marie</w:t>
        </w:r>
        <w:proofErr w:type="spellEnd"/>
        <w:r w:rsidRPr="00674FEA">
          <w:rPr>
            <w:rStyle w:val="Hyperlink"/>
            <w:rFonts w:ascii="Verdana" w:hAnsi="Verdana"/>
            <w:sz w:val="18"/>
          </w:rPr>
          <w:t xml:space="preserve"> </w:t>
        </w:r>
        <w:proofErr w:type="spellStart"/>
        <w:r w:rsidRPr="00674FEA">
          <w:rPr>
            <w:rStyle w:val="Hyperlink"/>
            <w:rFonts w:ascii="Verdana" w:hAnsi="Verdana"/>
            <w:sz w:val="18"/>
          </w:rPr>
          <w:t>Sigmund</w:t>
        </w:r>
        <w:proofErr w:type="spellEnd"/>
      </w:hyperlink>
      <w:r w:rsidRPr="00674FEA">
        <w:rPr>
          <w:rFonts w:ascii="Verdana" w:hAnsi="Verdana"/>
          <w:sz w:val="18"/>
        </w:rPr>
        <w:t xml:space="preserve"> pristatydama šią naują priemonę.</w:t>
      </w:r>
    </w:p>
    <w:p w:rsidR="00CC3B75" w:rsidRPr="00674FEA" w:rsidRDefault="00CC3B75" w:rsidP="00650470">
      <w:pPr>
        <w:pStyle w:val="PlainText"/>
        <w:jc w:val="both"/>
        <w:rPr>
          <w:rFonts w:ascii="Verdana" w:hAnsi="Verdana"/>
          <w:sz w:val="18"/>
          <w:szCs w:val="18"/>
        </w:rPr>
      </w:pPr>
    </w:p>
    <w:p w:rsidR="00CC3B75" w:rsidRPr="00674FEA" w:rsidRDefault="0054071A" w:rsidP="00650470">
      <w:pPr>
        <w:pStyle w:val="PlainText"/>
        <w:jc w:val="both"/>
        <w:rPr>
          <w:rFonts w:ascii="Verdana" w:hAnsi="Verdana"/>
          <w:i/>
          <w:sz w:val="18"/>
          <w:szCs w:val="18"/>
        </w:rPr>
      </w:pPr>
      <w:r w:rsidRPr="00674FEA">
        <w:rPr>
          <w:rFonts w:ascii="Verdana" w:hAnsi="Verdana"/>
          <w:sz w:val="18"/>
        </w:rPr>
        <w:t>Europos piliečių iniciatyva yra geriausias pavyzdys siekiant, kad Europos Sąjungoje būtų dažniau taikomas metodas „iš apačios į viršų“. Tai yra pirmasis žingsnis įtvirtinant dalyvaujamąją demokratiją ES lygmeniu, be to, požiūris, kai neapsiribojama šalių sienomis, taip pat reiškia didelę pažangą siekiant įvairių valstybių narių piliečių bendradarbiavimo.</w:t>
      </w:r>
      <w:r w:rsidRPr="00674FEA">
        <w:rPr>
          <w:rFonts w:ascii="Verdana" w:hAnsi="Verdana"/>
          <w:i/>
          <w:sz w:val="18"/>
        </w:rPr>
        <w:t xml:space="preserve"> </w:t>
      </w:r>
      <w:r w:rsidRPr="00674FEA">
        <w:t>„</w:t>
      </w:r>
      <w:r w:rsidRPr="00674FEA">
        <w:rPr>
          <w:rFonts w:ascii="Verdana" w:hAnsi="Verdana"/>
          <w:i/>
          <w:sz w:val="18"/>
        </w:rPr>
        <w:t>EESRK svarbu pašalinti biurokratines kliūtis piliečių iniciatyvoms, – nurodė</w:t>
      </w:r>
      <w:r w:rsidRPr="00674FEA">
        <w:rPr>
          <w:rFonts w:ascii="Verdana" w:hAnsi="Verdana"/>
          <w:b/>
          <w:i/>
          <w:sz w:val="18"/>
        </w:rPr>
        <w:t xml:space="preserve"> </w:t>
      </w:r>
      <w:r w:rsidRPr="00674FEA">
        <w:rPr>
          <w:rFonts w:ascii="Verdana" w:hAnsi="Verdana"/>
          <w:sz w:val="18"/>
        </w:rPr>
        <w:t xml:space="preserve">EESRK pirmininkas </w:t>
      </w:r>
      <w:hyperlink r:id="rId23">
        <w:r w:rsidRPr="00674FEA">
          <w:rPr>
            <w:rStyle w:val="Hyperlink"/>
            <w:rFonts w:ascii="Verdana" w:hAnsi="Verdana"/>
            <w:sz w:val="18"/>
          </w:rPr>
          <w:t xml:space="preserve">Henri </w:t>
        </w:r>
        <w:proofErr w:type="spellStart"/>
        <w:r w:rsidRPr="00674FEA">
          <w:rPr>
            <w:rStyle w:val="Hyperlink"/>
            <w:rFonts w:ascii="Verdana" w:hAnsi="Verdana"/>
            <w:sz w:val="18"/>
          </w:rPr>
          <w:t>Malosse</w:t>
        </w:r>
        <w:proofErr w:type="spellEnd"/>
      </w:hyperlink>
      <w:r w:rsidRPr="00674FEA">
        <w:rPr>
          <w:rFonts w:ascii="Verdana" w:hAnsi="Verdana"/>
          <w:i/>
          <w:sz w:val="18"/>
        </w:rPr>
        <w:t>. – Teikdamas šią naują paslaugą, EESRK nuo aktyvių piliečių pečių nuima labai didelę naštą. Be to, ši vertimo raštu paslauga atspindi EESRK norą padėti sukurti EPI pagalbos tarnybą, tarnaujančią aktyviems piliečiams.“</w:t>
      </w:r>
    </w:p>
    <w:p w:rsidR="00C0044C" w:rsidRPr="00674FEA" w:rsidRDefault="00C0044C" w:rsidP="00650470">
      <w:pPr>
        <w:pStyle w:val="PlainText"/>
        <w:jc w:val="both"/>
        <w:rPr>
          <w:rFonts w:ascii="Verdana" w:hAnsi="Verdana"/>
          <w:sz w:val="18"/>
          <w:szCs w:val="18"/>
        </w:rPr>
      </w:pPr>
    </w:p>
    <w:p w:rsidR="00650470" w:rsidRPr="00674FEA" w:rsidRDefault="00650470" w:rsidP="00650470">
      <w:pPr>
        <w:pStyle w:val="PlainText"/>
        <w:jc w:val="both"/>
        <w:rPr>
          <w:szCs w:val="22"/>
        </w:rPr>
      </w:pPr>
      <w:r w:rsidRPr="00674FEA">
        <w:rPr>
          <w:rFonts w:ascii="Verdana" w:hAnsi="Verdana"/>
          <w:sz w:val="18"/>
        </w:rPr>
        <w:t>EESRK paskelbta ir kasmet rengiama Europos piliečių iniciatyvos diena suteikia suinteresuotiesiems subjektams ir šios iniciatyvos organizatoriams galimybę ne tik supažindinti su sukaupta patirtimi ir ja pasidalyti, bet ir viešai aptarti naująjį Europos Komisijos komunikatą dėl piliečių iniciatyvos įgyvendinimo, kuris buvo priimtas 2015 m. balandžio 1 d. Šiais metais daugiausia dėmesio bus skiriama pakeitimams, užtikrinantiems EPI priemonės, kuri didintų piliečių politinį aktyvumą ir veiksmingiau juos remtų, įgyvendinimą.</w:t>
      </w:r>
      <w:r w:rsidRPr="00674FEA">
        <w:t xml:space="preserve"> </w:t>
      </w:r>
    </w:p>
    <w:p w:rsidR="00FF5250" w:rsidRPr="00674FEA" w:rsidRDefault="00FF5250" w:rsidP="00B0623E">
      <w:pPr>
        <w:pStyle w:val="PlainText"/>
      </w:pPr>
    </w:p>
    <w:p w:rsidR="007C4B62" w:rsidRPr="00674FEA" w:rsidRDefault="007C4B62" w:rsidP="00B0623E">
      <w:pPr>
        <w:pStyle w:val="PlainText"/>
      </w:pPr>
    </w:p>
    <w:p w:rsidR="00B33867" w:rsidRPr="00674FEA" w:rsidRDefault="00B33867" w:rsidP="00822FAC">
      <w:pPr>
        <w:jc w:val="center"/>
        <w:rPr>
          <w:sz w:val="18"/>
          <w:szCs w:val="18"/>
        </w:rPr>
      </w:pPr>
      <w:r w:rsidRPr="00674FEA">
        <w:rPr>
          <w:rFonts w:ascii="Verdana" w:hAnsi="Verdana"/>
          <w:b/>
          <w:sz w:val="18"/>
        </w:rPr>
        <w:t>Išsamesnės informacijos teiraukitės</w:t>
      </w:r>
    </w:p>
    <w:p w:rsidR="00B33867" w:rsidRPr="00674FEA" w:rsidRDefault="00B33867" w:rsidP="00822FAC">
      <w:pPr>
        <w:overflowPunct/>
        <w:autoSpaceDE/>
        <w:autoSpaceDN/>
        <w:adjustRightInd/>
        <w:spacing w:line="240" w:lineRule="auto"/>
        <w:jc w:val="center"/>
        <w:textAlignment w:val="auto"/>
        <w:rPr>
          <w:rFonts w:ascii="Verdana" w:eastAsia="PMingLiU" w:hAnsi="Verdana"/>
          <w:sz w:val="18"/>
          <w:szCs w:val="18"/>
        </w:rPr>
      </w:pPr>
      <w:r w:rsidRPr="00674FEA">
        <w:rPr>
          <w:rFonts w:ascii="Verdana" w:hAnsi="Verdana"/>
          <w:sz w:val="18"/>
        </w:rPr>
        <w:t>EESRK spaudos skyriuje – Silvia Aumair</w:t>
      </w:r>
    </w:p>
    <w:p w:rsidR="00B33867" w:rsidRPr="00674FEA" w:rsidRDefault="00B33867" w:rsidP="00822FAC">
      <w:pPr>
        <w:overflowPunct/>
        <w:autoSpaceDE/>
        <w:autoSpaceDN/>
        <w:adjustRightInd/>
        <w:spacing w:line="240" w:lineRule="auto"/>
        <w:jc w:val="center"/>
        <w:textAlignment w:val="auto"/>
        <w:rPr>
          <w:rFonts w:ascii="Verdana" w:eastAsia="PMingLiU" w:hAnsi="Verdana"/>
          <w:sz w:val="18"/>
          <w:szCs w:val="18"/>
        </w:rPr>
      </w:pPr>
      <w:r w:rsidRPr="00674FEA">
        <w:rPr>
          <w:rFonts w:ascii="Verdana" w:hAnsi="Verdana"/>
          <w:sz w:val="18"/>
        </w:rPr>
        <w:t xml:space="preserve">El. paštas: </w:t>
      </w:r>
      <w:hyperlink r:id="rId24">
        <w:r w:rsidRPr="00674FEA">
          <w:rPr>
            <w:rStyle w:val="Hyperlink"/>
            <w:rFonts w:ascii="Verdana" w:hAnsi="Verdana"/>
            <w:sz w:val="18"/>
          </w:rPr>
          <w:t>press@eesc.europa.eu</w:t>
        </w:r>
      </w:hyperlink>
    </w:p>
    <w:p w:rsidR="002C5CBB" w:rsidRPr="00674FEA" w:rsidRDefault="00646E2A" w:rsidP="00822FAC">
      <w:pPr>
        <w:spacing w:line="240" w:lineRule="auto"/>
        <w:jc w:val="center"/>
        <w:rPr>
          <w:rFonts w:ascii="Verdana" w:eastAsia="PMingLiU" w:hAnsi="Verdana"/>
          <w:sz w:val="18"/>
          <w:szCs w:val="18"/>
        </w:rPr>
      </w:pPr>
      <w:r w:rsidRPr="00674FEA">
        <w:rPr>
          <w:rFonts w:ascii="Verdana" w:hAnsi="Verdana"/>
          <w:sz w:val="18"/>
        </w:rPr>
        <w:t xml:space="preserve">Tel: + 32 2 546 8141 / +32 473 520 774 </w:t>
      </w:r>
    </w:p>
    <w:p w:rsidR="002A2433" w:rsidRPr="00674FEA" w:rsidRDefault="002A2433" w:rsidP="00473E94">
      <w:pPr>
        <w:spacing w:line="240" w:lineRule="auto"/>
        <w:rPr>
          <w:rFonts w:ascii="Verdana" w:eastAsia="PMingLiU" w:hAnsi="Verdana"/>
          <w:sz w:val="16"/>
        </w:rPr>
      </w:pPr>
    </w:p>
    <w:p w:rsidR="00374C88" w:rsidRPr="00674FEA" w:rsidRDefault="00374C88" w:rsidP="00473E94">
      <w:pPr>
        <w:spacing w:line="240" w:lineRule="auto"/>
        <w:rPr>
          <w:rFonts w:ascii="Verdana" w:eastAsia="PMingLiU" w:hAnsi="Verdana"/>
          <w:sz w:val="16"/>
        </w:rPr>
      </w:pPr>
    </w:p>
    <w:p w:rsidR="00CE439D" w:rsidRPr="00674FEA" w:rsidRDefault="00CE439D" w:rsidP="00473E94">
      <w:pPr>
        <w:rPr>
          <w:rFonts w:ascii="Verdana" w:hAnsi="Verdana"/>
          <w:b/>
          <w:i/>
          <w:sz w:val="16"/>
        </w:rPr>
      </w:pPr>
      <w:r w:rsidRPr="00674FEA">
        <w:rPr>
          <w:rFonts w:ascii="Verdana" w:hAnsi="Verdana"/>
          <w:i/>
          <w:sz w:val="16"/>
        </w:rPr>
        <w:t>__</w:t>
      </w:r>
      <w:r w:rsidRPr="00674FEA">
        <w:rPr>
          <w:rFonts w:ascii="Verdana" w:hAnsi="Verdana"/>
          <w:b/>
          <w:i/>
          <w:sz w:val="16"/>
        </w:rPr>
        <w:t>_____________________________________________________________________________</w:t>
      </w:r>
    </w:p>
    <w:p w:rsidR="00CE439D" w:rsidRPr="00674FEA" w:rsidRDefault="00CE439D" w:rsidP="00473E94">
      <w:pPr>
        <w:rPr>
          <w:rFonts w:ascii="Verdana" w:hAnsi="Verdana"/>
          <w:i/>
          <w:sz w:val="16"/>
          <w:szCs w:val="16"/>
        </w:rPr>
      </w:pPr>
      <w:r w:rsidRPr="00674FEA">
        <w:rPr>
          <w:rFonts w:ascii="Verdana" w:hAnsi="Verdana"/>
          <w:i/>
          <w:sz w:val="16"/>
        </w:rPr>
        <w:t>Europos ekonomikos ir socialinių reikalų komitetas atstovauja įvairioms organizuotos pilietinės visuomenės ekonominėms ir socialinėms grupėms. Komitetas yra patariamasis organas, įkurtas 1957 m. Romos sutartimi. Patariamojo organo statusas suteikia Komiteto nariams, taigi ir jų atstovaujamoms organizacijoms, galimybę dalyvauti ES sprendimų priėmimo procese. Komitetą sudaro 353 nariai iš visos Europos. Juos skiria Europos Sąjungos Taryba.</w:t>
      </w:r>
    </w:p>
    <w:p w:rsidR="00CE439D" w:rsidRPr="00674FEA" w:rsidRDefault="00CE439D" w:rsidP="00473E94">
      <w:pPr>
        <w:rPr>
          <w:rFonts w:ascii="Verdana" w:hAnsi="Verdana"/>
          <w:b/>
          <w:i/>
          <w:sz w:val="16"/>
        </w:rPr>
      </w:pPr>
      <w:r w:rsidRPr="00674FEA">
        <w:rPr>
          <w:rFonts w:ascii="Verdana" w:hAnsi="Verdana"/>
          <w:i/>
          <w:sz w:val="16"/>
        </w:rPr>
        <w:t>__</w:t>
      </w:r>
      <w:r w:rsidRPr="00674FEA">
        <w:rPr>
          <w:rFonts w:ascii="Verdana" w:hAnsi="Verdana"/>
          <w:b/>
          <w:i/>
          <w:sz w:val="16"/>
        </w:rPr>
        <w:t>_____________________________________________________________________________</w:t>
      </w:r>
    </w:p>
    <w:sectPr w:rsidR="00CE439D" w:rsidRPr="00674FEA" w:rsidSect="001C4282">
      <w:type w:val="continuous"/>
      <w:pgSz w:w="11907" w:h="16839" w:code="9"/>
      <w:pgMar w:top="4820" w:right="1418" w:bottom="1418" w:left="1418" w:header="3062" w:footer="2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3" w:rsidRDefault="007E4523">
      <w:r>
        <w:separator/>
      </w:r>
    </w:p>
  </w:endnote>
  <w:endnote w:type="continuationSeparator" w:id="0">
    <w:p w:rsidR="007E4523" w:rsidRDefault="007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Faks.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El. paštas: </w:t>
    </w:r>
    <w:hyperlink r:id="rId1">
      <w:r>
        <w:rPr>
          <w:rStyle w:val="Hyperlink"/>
          <w:rFonts w:ascii="Verdana" w:hAnsi="Verdana"/>
          <w:sz w:val="16"/>
        </w:rPr>
        <w:t>press@eesc.europa.eu</w:t>
      </w:r>
    </w:hyperlink>
    <w:r>
      <w:rPr>
        <w:rFonts w:ascii="Verdana" w:hAnsi="Verdana"/>
        <w:sz w:val="16"/>
      </w:rPr>
      <w:t xml:space="preserve"> – Interneto svetainė: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Sekite EESRK naujienas</w:t>
    </w:r>
    <w:r>
      <w:rPr>
        <w:noProof/>
        <w:lang w:val="fr-BE" w:eastAsia="fr-BE" w:bidi="ar-SA"/>
      </w:rPr>
      <w:drawing>
        <wp:inline distT="0" distB="0" distL="0" distR="0" wp14:anchorId="5EA38AEF" wp14:editId="4315EB62">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AF3F268" wp14:editId="3BA75786">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1DD57E0F" wp14:editId="2251B8C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r>
      <w:rPr>
        <w:rFonts w:ascii="Verdana" w:hAnsi="Verdana"/>
        <w:sz w:val="16"/>
      </w:rPr>
      <w:t>Tel. +32 25469406 – Faks. +32 25469764</w:t>
    </w:r>
  </w:p>
  <w:p w:rsidR="007E5B10" w:rsidRDefault="007E5B10" w:rsidP="0004715C">
    <w:pPr>
      <w:spacing w:line="240" w:lineRule="auto"/>
      <w:jc w:val="center"/>
      <w:rPr>
        <w:rFonts w:ascii="Verdana" w:hAnsi="Verdana"/>
        <w:sz w:val="16"/>
        <w:szCs w:val="16"/>
      </w:rPr>
    </w:pPr>
    <w:r>
      <w:rPr>
        <w:rFonts w:ascii="Verdana" w:hAnsi="Verdana"/>
        <w:sz w:val="16"/>
      </w:rPr>
      <w:t xml:space="preserve">El. paštas: </w:t>
    </w:r>
    <w:hyperlink r:id="rId1">
      <w:r>
        <w:rPr>
          <w:rStyle w:val="Hyperlink"/>
          <w:rFonts w:ascii="Verdana" w:hAnsi="Verdana"/>
          <w:sz w:val="16"/>
        </w:rPr>
        <w:t>press@eesc.europa.eu</w:t>
      </w:r>
    </w:hyperlink>
    <w:r>
      <w:rPr>
        <w:rFonts w:ascii="Verdana" w:hAnsi="Verdana"/>
        <w:sz w:val="16"/>
      </w:rPr>
      <w:t xml:space="preserve"> – Interneto svetainė: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Sekite EESRK naujienas   </w:t>
    </w:r>
    <w:r>
      <w:rPr>
        <w:noProof/>
        <w:lang w:val="fr-BE" w:eastAsia="fr-BE" w:bidi="ar-SA"/>
      </w:rPr>
      <w:drawing>
        <wp:inline distT="0" distB="0" distL="0" distR="0" wp14:anchorId="342A6E07" wp14:editId="5ACBE42C">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AFD5FD2" wp14:editId="4551F473">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41BAE99" wp14:editId="65062714">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3" w:rsidRDefault="007E4523">
      <w:r>
        <w:separator/>
      </w:r>
    </w:p>
  </w:footnote>
  <w:footnote w:type="continuationSeparator" w:id="0">
    <w:p w:rsidR="007E4523" w:rsidRDefault="007E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383D"/>
    <w:rsid w:val="00224741"/>
    <w:rsid w:val="00224A57"/>
    <w:rsid w:val="00227A31"/>
    <w:rsid w:val="00244B53"/>
    <w:rsid w:val="0024520B"/>
    <w:rsid w:val="002562CD"/>
    <w:rsid w:val="0025726C"/>
    <w:rsid w:val="00266051"/>
    <w:rsid w:val="002734F3"/>
    <w:rsid w:val="002815E8"/>
    <w:rsid w:val="00283BAD"/>
    <w:rsid w:val="002851C3"/>
    <w:rsid w:val="002868C8"/>
    <w:rsid w:val="002904D9"/>
    <w:rsid w:val="00291659"/>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74FEA"/>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01D7"/>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4E1C"/>
    <w:rsid w:val="00E82AEA"/>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lt-LT"/>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lt-LT"/>
    </w:rPr>
  </w:style>
  <w:style w:type="character" w:customStyle="1" w:styleId="HeaderChar">
    <w:name w:val="Header Char"/>
    <w:link w:val="Header"/>
    <w:uiPriority w:val="99"/>
    <w:rsid w:val="007E5B10"/>
    <w:rPr>
      <w:sz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lt-LT"/>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lt-LT"/>
    </w:rPr>
  </w:style>
  <w:style w:type="character" w:customStyle="1" w:styleId="HeaderChar">
    <w:name w:val="Header Char"/>
    <w:link w:val="Header"/>
    <w:uiPriority w:val="99"/>
    <w:rsid w:val="007E5B10"/>
    <w:rPr>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memberspage.eesc.europa.eu/Detail.aspx?id=1064&amp;f=1&amp;s=0&amp;o1=0&amp;o2=0&amp;o3=0&amp;ln=malosse"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memberspage.eesc.europa.eu/Detail.aspx?id=15007&amp;f=1&amp;s=0&amp;o1=0&amp;o2=0&amp;o3=0&amp;ln=sigmund"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SNS6YXTC77FS-4-3814</_dlc_DocId>
    <_dlc_DocIdUrl xmlns="9f264e46-9252-4f01-a3b2-4cb67eb6fc3c">
      <Url>http://dm/EESC/2015/_layouts/DocIdRedir.aspx?ID=SNS6YXTC77FS-4-3814</Url>
      <Description>SNS6YXTC77FS-4-3814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2015-04-07T12:00:00+00:00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34</Value>
      <Value>33</Value>
      <Value>120</Value>
      <Value>25</Value>
      <Value>24</Value>
      <Value>22</Value>
      <Value>21</Value>
      <Value>20</Value>
      <Value>18</Value>
      <Value>17</Value>
      <Value>16</Value>
      <Value>14</Value>
      <Value>13</Value>
      <Value>11</Value>
      <Value>10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431CB02-16F7-4A2E-A29C-F6BB26FE3127}">
  <ds:schemaRefs>
    <ds:schemaRef ds:uri="http://www.w3.org/XML/1998/namespace"/>
    <ds:schemaRef ds:uri="http://purl.org/dc/elements/1.1/"/>
    <ds:schemaRef ds:uri="9f264e46-9252-4f01-a3b2-4cb67eb6fc3c"/>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9a9357a-0628-4319-8d75-bc025e757148"/>
    <ds:schemaRef ds:uri="http://schemas.microsoft.com/sharepoint/v3/fields"/>
  </ds:schemaRefs>
</ds:datastoreItem>
</file>

<file path=customXml/itemProps4.xml><?xml version="1.0" encoding="utf-8"?>
<ds:datastoreItem xmlns:ds="http://schemas.openxmlformats.org/officeDocument/2006/customXml" ds:itemID="{6AFB5981-7C17-43E2-9F3D-F7874CF41DA7}">
  <ds:schemaRefs>
    <ds:schemaRef ds:uri="http://schemas.microsoft.com/sharepoint/events"/>
  </ds:schemaRefs>
</ds:datastoreItem>
</file>

<file path=customXml/itemProps5.xml><?xml version="1.0" encoding="utf-8"?>
<ds:datastoreItem xmlns:ds="http://schemas.openxmlformats.org/officeDocument/2006/customXml" ds:itemID="{D2BE82C7-DE93-4ACB-9F1E-4F3B5279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F221F6-2A06-429F-884B-9788CAE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353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EPI-diena - vertimo įrankis</vt:lpstr>
    </vt:vector>
  </TitlesOfParts>
  <Company>CESE-CdR</Company>
  <LinksUpToDate>false</LinksUpToDate>
  <CharactersWithSpaces>3157</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EPI-diena - vertimo įrankis</dc:title>
  <dc:subject>Pranešimas spaudai</dc:subject>
  <dc:creator>Silvia Monika Aumair</dc:creator>
  <cp:keywords>EESC-2015-01651-00-01-CP-TRA-LT</cp:keywords>
  <dc:description>Rapporteur: -_x000d_
Original language: EN_x000d_
Date of document: 07/04/2015_x000d_
Date of meeting: _x000d_
External documents: -_x000d_
Administrator responsible: Aumair Silvia Monika, telephone: + 2 546 8141_x000d_
_x000d_
Abstract:</dc:description>
  <cp:lastModifiedBy>Choung Marc</cp:lastModifiedBy>
  <cp:revision>3</cp:revision>
  <cp:lastPrinted>2015-02-20T10:24:00Z</cp:lastPrinted>
  <dcterms:created xsi:type="dcterms:W3CDTF">2015-04-09T06:49:00Z</dcterms:created>
  <dcterms:modified xsi:type="dcterms:W3CDTF">2015-04-09T09:05:00Z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87bf2977-e9b2-444f-b9e3-1bc97bb6494a</vt:lpwstr>
  </property>
  <property fmtid="{D5CDD505-2E9C-101B-9397-08002B2CF9AE}" pid="11" name="AvailableTranslations">
    <vt:lpwstr>39;#CS|72f9705b-0217-4fd3-bea2-cbc7ed80e26e;#38;#IT|0774613c-01ed-4e5d-a25d-11d2388de825;#10;#LT|a7ff5ce7-6123-4f68-865a-a57c31810414;#40;#MT|7df99101-6854-4a26-b53a-b88c0da02c26;#17;#ES|e7a6b05b-ae16-40c8-add9-68b64b03aeba;#25;#RO|feb747a2-64cd-4299-af12</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10;#LT|a7ff5ce7-6123-4f68-865a-a57c31810414</vt:lpwstr>
  </property>
</Properties>
</file>