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D8568A" w:rsidRDefault="002131D0" w:rsidP="002131D0">
      <w:pPr>
        <w:spacing w:line="240" w:lineRule="auto"/>
        <w:ind w:left="-993" w:right="-568"/>
        <w:jc w:val="center"/>
      </w:pPr>
      <w:bookmarkStart w:id="0" w:name="_GoBack"/>
      <w:bookmarkEnd w:id="0"/>
      <w:r w:rsidRPr="00D8568A">
        <w:rPr>
          <w:noProof/>
          <w:lang w:val="en-US" w:eastAsia="en-US" w:bidi="ar-SA"/>
        </w:rPr>
        <w:drawing>
          <wp:inline distT="0" distB="0" distL="0" distR="0" wp14:anchorId="72C8A973" wp14:editId="17198AF4">
            <wp:extent cx="6655242" cy="1391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nouveau logo.jpg"/>
                    <pic:cNvPicPr/>
                  </pic:nvPicPr>
                  <pic:blipFill>
                    <a:blip r:embed="rId14">
                      <a:extLst>
                        <a:ext uri="{28A0092B-C50C-407E-A947-70E740481C1C}">
                          <a14:useLocalDpi xmlns:a14="http://schemas.microsoft.com/office/drawing/2010/main" val="0"/>
                        </a:ext>
                      </a:extLst>
                    </a:blip>
                    <a:stretch>
                      <a:fillRect/>
                    </a:stretch>
                  </pic:blipFill>
                  <pic:spPr>
                    <a:xfrm>
                      <a:off x="0" y="0"/>
                      <a:ext cx="6655242" cy="1391134"/>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8820BE" w:rsidRPr="00D8568A">
        <w:trPr>
          <w:cantSplit/>
        </w:trPr>
        <w:tc>
          <w:tcPr>
            <w:tcW w:w="5168" w:type="dxa"/>
          </w:tcPr>
          <w:p w:rsidR="008820BE" w:rsidRPr="00D8568A" w:rsidRDefault="008A05AA" w:rsidP="005C0401">
            <w:pPr>
              <w:spacing w:line="240" w:lineRule="auto"/>
              <w:rPr>
                <w:rFonts w:ascii="Verdana" w:hAnsi="Verdana"/>
                <w:b/>
                <w:bCs/>
                <w:sz w:val="20"/>
              </w:rPr>
            </w:pPr>
            <w:r w:rsidRPr="00D8568A">
              <w:rPr>
                <w:rFonts w:ascii="Verdana" w:hAnsi="Verdana"/>
                <w:b/>
                <w:sz w:val="18"/>
              </w:rPr>
              <w:t>COMMUNIQUÉ DE PRESSE N° 17</w:t>
            </w:r>
          </w:p>
        </w:tc>
        <w:tc>
          <w:tcPr>
            <w:tcW w:w="4119" w:type="dxa"/>
          </w:tcPr>
          <w:p w:rsidR="008820BE" w:rsidRPr="00D8568A" w:rsidRDefault="00C24147" w:rsidP="005C0401">
            <w:pPr>
              <w:spacing w:line="240" w:lineRule="auto"/>
              <w:jc w:val="right"/>
              <w:rPr>
                <w:rFonts w:ascii="Verdana" w:hAnsi="Verdana"/>
                <w:b/>
                <w:bCs/>
                <w:sz w:val="18"/>
                <w:szCs w:val="18"/>
              </w:rPr>
            </w:pPr>
            <w:r w:rsidRPr="00D8568A">
              <w:rPr>
                <w:rFonts w:ascii="Verdana" w:hAnsi="Verdana"/>
                <w:b/>
                <w:sz w:val="18"/>
              </w:rPr>
              <w:t xml:space="preserve">Le 17 mars 2016 </w:t>
            </w:r>
          </w:p>
        </w:tc>
      </w:tr>
    </w:tbl>
    <w:p w:rsidR="008820BE" w:rsidRPr="00D8568A" w:rsidRDefault="00E17CC9" w:rsidP="005C0401">
      <w:pPr>
        <w:spacing w:line="240" w:lineRule="auto"/>
        <w:rPr>
          <w:rFonts w:ascii="Verdana" w:hAnsi="Verdana"/>
          <w:sz w:val="20"/>
        </w:rPr>
        <w:sectPr w:rsidR="008820BE" w:rsidRPr="00D8568A" w:rsidSect="00CE0931">
          <w:footerReference w:type="default" r:id="rId15"/>
          <w:pgSz w:w="11907" w:h="16839" w:code="9"/>
          <w:pgMar w:top="567" w:right="1418" w:bottom="1418" w:left="1418" w:header="3062" w:footer="454" w:gutter="0"/>
          <w:cols w:space="720"/>
          <w:docGrid w:linePitch="299"/>
        </w:sectPr>
      </w:pPr>
      <w:r w:rsidRPr="00D8568A">
        <w:rPr>
          <w:noProof/>
          <w:lang w:val="en-US" w:eastAsia="en-US" w:bidi="ar-SA"/>
        </w:rPr>
        <mc:AlternateContent>
          <mc:Choice Requires="wps">
            <w:drawing>
              <wp:anchor distT="0" distB="0" distL="114300" distR="114300" simplePos="0" relativeHeight="251657728" behindDoc="1" locked="0" layoutInCell="0" allowOverlap="1" wp14:anchorId="49F474F4" wp14:editId="423784F7">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7F" w:rsidRPr="00473E94" w:rsidRDefault="00A9407F"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A9407F" w:rsidRPr="00473E94" w:rsidRDefault="00A9407F" w:rsidP="00473E94">
                      <w:pPr>
                        <w:jc w:val="center"/>
                        <w:rPr>
                          <w:rFonts w:ascii="Arial" w:hAnsi="Arial" w:cs="Arial"/>
                          <w:b/>
                          <w:sz w:val="48"/>
                        </w:rPr>
                      </w:pPr>
                      <w:r>
                        <w:rPr>
                          <w:rFonts w:ascii="Arial" w:hAnsi="Arial"/>
                          <w:b/>
                          <w:sz w:val="48"/>
                        </w:rPr>
                        <w:t>FR</w:t>
                      </w:r>
                    </w:p>
                  </w:txbxContent>
                </v:textbox>
                <w10:wrap anchorx="page" anchory="page"/>
              </v:shape>
            </w:pict>
          </mc:Fallback>
        </mc:AlternateContent>
      </w:r>
    </w:p>
    <w:p w:rsidR="005C0401" w:rsidRPr="00D8568A" w:rsidRDefault="005C0401" w:rsidP="005C0401">
      <w:pPr>
        <w:spacing w:line="240" w:lineRule="auto"/>
        <w:rPr>
          <w:rFonts w:ascii="Verdana" w:hAnsi="Verdana"/>
          <w:b/>
          <w:sz w:val="24"/>
          <w:szCs w:val="24"/>
        </w:rPr>
      </w:pPr>
    </w:p>
    <w:p w:rsidR="003357A3" w:rsidRPr="00D8568A" w:rsidRDefault="003357A3" w:rsidP="00CE0931">
      <w:pPr>
        <w:spacing w:line="240" w:lineRule="auto"/>
        <w:jc w:val="center"/>
        <w:rPr>
          <w:rFonts w:ascii="Verdana" w:hAnsi="Verdana"/>
          <w:b/>
          <w:sz w:val="24"/>
          <w:szCs w:val="24"/>
        </w:rPr>
      </w:pPr>
      <w:r w:rsidRPr="00D8568A">
        <w:rPr>
          <w:rFonts w:ascii="Verdana" w:hAnsi="Verdana"/>
          <w:b/>
          <w:sz w:val="24"/>
        </w:rPr>
        <w:t>Le CESE réclame une nouvelle réflexion afin de prévenir la radicalisation et limiter l’accès aux armes en Europe</w:t>
      </w:r>
    </w:p>
    <w:p w:rsidR="003357A3" w:rsidRPr="00D8568A" w:rsidRDefault="003357A3" w:rsidP="005C0401">
      <w:pPr>
        <w:spacing w:line="240" w:lineRule="auto"/>
        <w:rPr>
          <w:rFonts w:ascii="Verdana" w:hAnsi="Verdana"/>
          <w:b/>
          <w:sz w:val="24"/>
          <w:szCs w:val="24"/>
        </w:rPr>
      </w:pPr>
    </w:p>
    <w:p w:rsidR="00A13E71" w:rsidRPr="00D8568A" w:rsidRDefault="00A13E71" w:rsidP="00CE0931">
      <w:pPr>
        <w:spacing w:line="240" w:lineRule="auto"/>
        <w:jc w:val="center"/>
        <w:rPr>
          <w:rFonts w:ascii="Verdana" w:hAnsi="Verdana"/>
          <w:b/>
          <w:sz w:val="20"/>
        </w:rPr>
      </w:pPr>
      <w:r w:rsidRPr="00D8568A">
        <w:rPr>
          <w:rFonts w:ascii="Verdana" w:hAnsi="Verdana"/>
          <w:b/>
          <w:sz w:val="20"/>
        </w:rPr>
        <w:t>Une coopération plus étroite s'impose pour vaincre le terrorisme et limiter l’accès aux armes à feu</w:t>
      </w:r>
    </w:p>
    <w:p w:rsidR="00A13E71" w:rsidRPr="00D8568A" w:rsidRDefault="00A13E71" w:rsidP="005C0401">
      <w:pPr>
        <w:spacing w:line="240" w:lineRule="auto"/>
        <w:rPr>
          <w:rFonts w:ascii="Verdana" w:hAnsi="Verdana"/>
          <w:b/>
          <w:sz w:val="24"/>
          <w:szCs w:val="24"/>
        </w:rPr>
      </w:pPr>
    </w:p>
    <w:p w:rsidR="00F67FC4" w:rsidRPr="00D8568A" w:rsidRDefault="00A67DC9" w:rsidP="005C0401">
      <w:pPr>
        <w:spacing w:line="240" w:lineRule="auto"/>
        <w:rPr>
          <w:rFonts w:ascii="Verdana" w:hAnsi="Verdana"/>
          <w:sz w:val="18"/>
          <w:szCs w:val="18"/>
        </w:rPr>
      </w:pPr>
      <w:r w:rsidRPr="00D8568A">
        <w:rPr>
          <w:rFonts w:ascii="Verdana" w:hAnsi="Verdana"/>
          <w:sz w:val="18"/>
        </w:rPr>
        <w:t xml:space="preserve">Le Comité économique et social européen (CESE) a adopté aujourd’hui un avis qui réclame la création de nouveaux outils pour prévenir la radicalisation, dans le cadre d’une stratégie européenne plus large de lutte contre le terrorisme, ainsi qu’une forte restriction de l’accès aux armes à feu. L’avis sur le </w:t>
      </w:r>
      <w:hyperlink r:id="rId16">
        <w:r w:rsidRPr="00D8568A">
          <w:rPr>
            <w:rStyle w:val="Hyperlink"/>
            <w:rFonts w:ascii="Verdana" w:hAnsi="Verdana"/>
            <w:b/>
            <w:sz w:val="18"/>
          </w:rPr>
          <w:t>programme européen en matière de sécurité</w:t>
        </w:r>
      </w:hyperlink>
      <w:r w:rsidRPr="00D8568A">
        <w:rPr>
          <w:rFonts w:ascii="Verdana" w:hAnsi="Verdana"/>
          <w:b/>
          <w:sz w:val="18"/>
        </w:rPr>
        <w:t xml:space="preserve"> </w:t>
      </w:r>
      <w:r w:rsidRPr="00D8568A">
        <w:rPr>
          <w:rFonts w:ascii="Verdana" w:hAnsi="Verdana"/>
          <w:sz w:val="18"/>
        </w:rPr>
        <w:t>(rapporteur: Cristian Pîrvulescu) répond aux communications de la Commission sur le plan d’action contre le trafic illicite et l’utilisation d’armes à feu et d'explosifs et la proposition de directive relative à la lutte contre le terrorisme.</w:t>
      </w:r>
    </w:p>
    <w:p w:rsidR="00F67FC4" w:rsidRPr="00D8568A" w:rsidRDefault="00F67FC4" w:rsidP="005C0401">
      <w:pPr>
        <w:spacing w:line="240" w:lineRule="auto"/>
        <w:rPr>
          <w:rFonts w:ascii="Verdana" w:hAnsi="Verdana"/>
          <w:sz w:val="18"/>
          <w:szCs w:val="18"/>
        </w:rPr>
      </w:pPr>
    </w:p>
    <w:p w:rsidR="00F67FC4" w:rsidRPr="00D8568A" w:rsidRDefault="00F67FC4" w:rsidP="005C0401">
      <w:pPr>
        <w:spacing w:line="240" w:lineRule="auto"/>
        <w:rPr>
          <w:rFonts w:ascii="Verdana" w:hAnsi="Verdana"/>
          <w:sz w:val="18"/>
          <w:szCs w:val="18"/>
        </w:rPr>
      </w:pPr>
      <w:r w:rsidRPr="00D8568A">
        <w:rPr>
          <w:rFonts w:ascii="Verdana" w:hAnsi="Verdana"/>
          <w:sz w:val="18"/>
        </w:rPr>
        <w:t xml:space="preserve">Le Comité souligne qu’il est possible de </w:t>
      </w:r>
      <w:r w:rsidRPr="00D8568A">
        <w:rPr>
          <w:rFonts w:ascii="Verdana" w:hAnsi="Verdana"/>
          <w:b/>
          <w:sz w:val="18"/>
        </w:rPr>
        <w:t xml:space="preserve">vivre en </w:t>
      </w:r>
      <w:r w:rsidRPr="00D8568A">
        <w:rPr>
          <w:rFonts w:ascii="Verdana" w:hAnsi="Verdana"/>
          <w:b/>
          <w:i/>
          <w:sz w:val="18"/>
        </w:rPr>
        <w:t xml:space="preserve">sécurité </w:t>
      </w:r>
      <w:r w:rsidRPr="00D8568A">
        <w:rPr>
          <w:rFonts w:ascii="Verdana" w:hAnsi="Verdana"/>
          <w:b/>
          <w:sz w:val="18"/>
        </w:rPr>
        <w:t xml:space="preserve">aussi bien qu’en </w:t>
      </w:r>
      <w:r w:rsidRPr="00D8568A">
        <w:rPr>
          <w:rFonts w:ascii="Verdana" w:hAnsi="Verdana"/>
          <w:b/>
          <w:i/>
          <w:sz w:val="18"/>
        </w:rPr>
        <w:t xml:space="preserve">liberté </w:t>
      </w:r>
      <w:r w:rsidRPr="00D8568A">
        <w:rPr>
          <w:rFonts w:ascii="Verdana" w:hAnsi="Verdana"/>
          <w:b/>
          <w:sz w:val="18"/>
        </w:rPr>
        <w:t>en Europe</w:t>
      </w:r>
      <w:r w:rsidRPr="00D8568A">
        <w:rPr>
          <w:rFonts w:ascii="Verdana" w:hAnsi="Verdana"/>
          <w:sz w:val="18"/>
        </w:rPr>
        <w:t xml:space="preserve">, et considère qu’il est dangereux pour toute démocratie d’introduire dans la législation des infractions par anticipation. </w:t>
      </w:r>
      <w:r w:rsidRPr="00D8568A">
        <w:rPr>
          <w:rFonts w:ascii="Verdana" w:hAnsi="Verdana"/>
          <w:color w:val="222222"/>
          <w:sz w:val="18"/>
          <w:shd w:val="clear" w:color="auto" w:fill="FFFFFF"/>
        </w:rPr>
        <w:t xml:space="preserve">Le point i) de l’article 3, paragraphe 2, de la proposition [portant sur la menace de commettre un acte terroriste] devrait dès lors être supprimé pour éviter toute confusion entre justice et sécurité. </w:t>
      </w:r>
      <w:r w:rsidRPr="00D8568A">
        <w:rPr>
          <w:rFonts w:ascii="Verdana" w:hAnsi="Verdana"/>
          <w:sz w:val="18"/>
        </w:rPr>
        <w:t>Dans son avis, le Comité recommande également aux institutions de l’UE et aux États membres d’appliquer le principe de proportionnalité, la manière d’incriminer et de combattre les actes devant être proportionnelle à leur gravité et à leur caractère intentionnel.</w:t>
      </w:r>
    </w:p>
    <w:p w:rsidR="00216E6E" w:rsidRPr="00D8568A" w:rsidRDefault="00216E6E" w:rsidP="005C0401">
      <w:pPr>
        <w:spacing w:line="240" w:lineRule="auto"/>
        <w:rPr>
          <w:rFonts w:ascii="Verdana" w:hAnsi="Verdana"/>
          <w:sz w:val="18"/>
          <w:szCs w:val="18"/>
        </w:rPr>
      </w:pPr>
    </w:p>
    <w:p w:rsidR="00F67FC4" w:rsidRPr="00D8568A" w:rsidRDefault="00216E6E" w:rsidP="005C0401">
      <w:pPr>
        <w:spacing w:line="240" w:lineRule="auto"/>
        <w:rPr>
          <w:rFonts w:ascii="Verdana" w:hAnsi="Verdana" w:cs="Arial"/>
          <w:color w:val="222222"/>
          <w:sz w:val="18"/>
          <w:szCs w:val="18"/>
          <w:shd w:val="clear" w:color="auto" w:fill="FFFFFF"/>
        </w:rPr>
      </w:pPr>
      <w:r w:rsidRPr="00D8568A">
        <w:rPr>
          <w:rFonts w:ascii="Verdana" w:hAnsi="Verdana"/>
          <w:color w:val="222222"/>
          <w:sz w:val="18"/>
          <w:shd w:val="clear" w:color="auto" w:fill="FFFFFF"/>
        </w:rPr>
        <w:t xml:space="preserve">En ce qui concerne la criminalisation de l’acte consistant à se rendre à l’étranger à des fins de terrorisme, le Comité estime qu’il existe un </w:t>
      </w:r>
      <w:r w:rsidRPr="00D8568A">
        <w:rPr>
          <w:rFonts w:ascii="Verdana" w:hAnsi="Verdana"/>
          <w:b/>
          <w:color w:val="222222"/>
          <w:sz w:val="18"/>
          <w:shd w:val="clear" w:color="auto" w:fill="FFFFFF"/>
        </w:rPr>
        <w:t>sérieux manque de clarté</w:t>
      </w:r>
      <w:r w:rsidRPr="00D8568A">
        <w:rPr>
          <w:rFonts w:ascii="Verdana" w:hAnsi="Verdana"/>
          <w:color w:val="222222"/>
          <w:sz w:val="18"/>
          <w:shd w:val="clear" w:color="auto" w:fill="FFFFFF"/>
        </w:rPr>
        <w:t xml:space="preserve"> quant à la définition de l’expression «à des fins de terrorisme». Alors qu’il est aisé de qualifier de «terroriste» celui qui organise un attentat ou participe à des activités d’entraînement, ce n’est pas nécessairement le cas lorsqu’une personne commet des actes de </w:t>
      </w:r>
      <w:proofErr w:type="spellStart"/>
      <w:r w:rsidRPr="00D8568A">
        <w:rPr>
          <w:rFonts w:ascii="Verdana" w:hAnsi="Verdana"/>
          <w:color w:val="222222"/>
          <w:sz w:val="18"/>
          <w:shd w:val="clear" w:color="auto" w:fill="FFFFFF"/>
        </w:rPr>
        <w:t>cyberterrorisme</w:t>
      </w:r>
      <w:proofErr w:type="spellEnd"/>
      <w:r w:rsidRPr="00D8568A">
        <w:rPr>
          <w:rFonts w:ascii="Verdana" w:hAnsi="Verdana"/>
          <w:color w:val="222222"/>
          <w:sz w:val="18"/>
          <w:shd w:val="clear" w:color="auto" w:fill="FFFFFF"/>
        </w:rPr>
        <w:t xml:space="preserve"> ou participe à une rébellion armée ou une guerre civile, en Syrie ou en Libye par exemple. L’utilisation d’une terminologie vague – ainsi que la difficulté de démontrer «l’intention terroriste» – risque de créer un conflit entre la sécurité et les droits de l’homme.</w:t>
      </w:r>
    </w:p>
    <w:p w:rsidR="00C86BD9" w:rsidRPr="00D8568A" w:rsidRDefault="00C86BD9" w:rsidP="005C0401">
      <w:pPr>
        <w:spacing w:line="240" w:lineRule="auto"/>
        <w:rPr>
          <w:rFonts w:ascii="Verdana" w:hAnsi="Verdana"/>
          <w:sz w:val="18"/>
          <w:szCs w:val="18"/>
        </w:rPr>
      </w:pPr>
    </w:p>
    <w:p w:rsidR="000A60BE" w:rsidRPr="00D8568A" w:rsidRDefault="003357A3" w:rsidP="005C0401">
      <w:pPr>
        <w:spacing w:line="240" w:lineRule="auto"/>
        <w:rPr>
          <w:rFonts w:ascii="Verdana" w:hAnsi="Verdana"/>
          <w:sz w:val="18"/>
          <w:szCs w:val="18"/>
        </w:rPr>
      </w:pPr>
      <w:r w:rsidRPr="00D8568A">
        <w:rPr>
          <w:rFonts w:ascii="Verdana" w:hAnsi="Verdana"/>
          <w:b/>
          <w:sz w:val="18"/>
        </w:rPr>
        <w:t>Cristian Pîrvulescu, rapporteur de l’avis sur le programme européen en matière de sécurité</w:t>
      </w:r>
      <w:r w:rsidRPr="00D8568A">
        <w:rPr>
          <w:rFonts w:ascii="Verdana" w:hAnsi="Verdana"/>
          <w:sz w:val="18"/>
        </w:rPr>
        <w:t xml:space="preserve">, a déclaré: </w:t>
      </w:r>
      <w:r w:rsidRPr="00D8568A">
        <w:rPr>
          <w:rFonts w:ascii="Verdana" w:hAnsi="Verdana"/>
          <w:i/>
          <w:sz w:val="18"/>
        </w:rPr>
        <w:t>«Il y a lieu d’accorder la priorité aux droits fondamentaux et à la nécessité de préserver un environnement démocratique stable et fonctionnel en dépit de la menace terroriste. En outre, la société civile a un rôle essentiel à jouer pour faire face aux conditions qui favorisent la radicalisation et la violence. Il faut avant tout s’efforcer de mieux connaître les effets sociaux, économiques et psychologiques des attaques terroristes sur les communautés, les individus et les entreprises.</w:t>
      </w:r>
      <w:r w:rsidRPr="00D8568A">
        <w:rPr>
          <w:rFonts w:ascii="Verdana" w:hAnsi="Verdana"/>
          <w:sz w:val="18"/>
        </w:rPr>
        <w:t>»</w:t>
      </w:r>
    </w:p>
    <w:p w:rsidR="000A60BE" w:rsidRPr="00D8568A" w:rsidRDefault="000A60BE" w:rsidP="005C0401">
      <w:pPr>
        <w:spacing w:line="240" w:lineRule="auto"/>
        <w:rPr>
          <w:rFonts w:ascii="Verdana" w:hAnsi="Verdana"/>
          <w:color w:val="000000" w:themeColor="text1"/>
          <w:sz w:val="18"/>
          <w:szCs w:val="18"/>
        </w:rPr>
      </w:pPr>
    </w:p>
    <w:p w:rsidR="00F67FC4" w:rsidRPr="00D8568A" w:rsidRDefault="00925FAC" w:rsidP="005C0401">
      <w:pPr>
        <w:spacing w:line="240" w:lineRule="auto"/>
        <w:rPr>
          <w:rFonts w:ascii="Verdana" w:hAnsi="Verdana"/>
          <w:sz w:val="18"/>
          <w:szCs w:val="18"/>
        </w:rPr>
      </w:pPr>
      <w:r w:rsidRPr="00D8568A">
        <w:rPr>
          <w:rFonts w:ascii="Verdana" w:hAnsi="Verdana"/>
          <w:sz w:val="18"/>
        </w:rPr>
        <w:t>Les événements récents ont montré que le terrorisme – en particulier le terrorisme religieux – s’est désormais mondialisé. La politique extérieure européenne vis-à-vis du Moyen-Orient et de l’Afrique du Nord (région MENA) doit être mieux coordonnée, et le Comité souhaite que des engagements plus clairs soient pris afin de stabiliser, développer et démocratiser cette région. Le Comité se félicite de l’intention de la Commission de renforcer les activités opérationnelles et d’élargir la portée du plan d’action UE-Europe du Sud-Est, et de renforcer la coopération avec les pays MENA.</w:t>
      </w:r>
    </w:p>
    <w:p w:rsidR="0094037E" w:rsidRPr="00D8568A" w:rsidRDefault="0094037E" w:rsidP="005C0401">
      <w:pPr>
        <w:spacing w:line="240" w:lineRule="auto"/>
        <w:rPr>
          <w:rFonts w:ascii="Verdana" w:hAnsi="Verdana"/>
          <w:sz w:val="18"/>
          <w:szCs w:val="18"/>
        </w:rPr>
      </w:pPr>
    </w:p>
    <w:p w:rsidR="00925FAC" w:rsidRPr="00D8568A" w:rsidRDefault="0014353A" w:rsidP="005C0401">
      <w:pPr>
        <w:spacing w:line="240" w:lineRule="auto"/>
        <w:rPr>
          <w:rFonts w:ascii="Verdana" w:hAnsi="Verdana"/>
          <w:sz w:val="18"/>
          <w:szCs w:val="18"/>
        </w:rPr>
      </w:pPr>
      <w:r w:rsidRPr="00D8568A">
        <w:rPr>
          <w:rFonts w:ascii="Verdana" w:hAnsi="Verdana"/>
          <w:sz w:val="18"/>
        </w:rPr>
        <w:t>Le Comité estime également que la limitation drastique de l’accès aux armes à feu et aux explosifs doit être prioritaire. Il y a lieu d’améliorer significativement la coopération institutionnelle entre États membres, tant pour ce qui est d'échanger les informations que d’unifier les bases de données existantes.</w:t>
      </w:r>
    </w:p>
    <w:p w:rsidR="00925FAC" w:rsidRPr="00D8568A" w:rsidRDefault="00925FAC" w:rsidP="005C0401">
      <w:pPr>
        <w:spacing w:line="240" w:lineRule="auto"/>
        <w:rPr>
          <w:rFonts w:ascii="Verdana" w:hAnsi="Verdana"/>
          <w:sz w:val="18"/>
          <w:szCs w:val="18"/>
        </w:rPr>
      </w:pPr>
    </w:p>
    <w:p w:rsidR="00542994" w:rsidRPr="00D8568A" w:rsidRDefault="00542994" w:rsidP="005C0401">
      <w:pPr>
        <w:spacing w:line="240" w:lineRule="auto"/>
        <w:rPr>
          <w:rFonts w:ascii="Verdana" w:hAnsi="Verdana"/>
          <w:b/>
          <w:sz w:val="18"/>
          <w:szCs w:val="18"/>
        </w:rPr>
      </w:pPr>
      <w:r w:rsidRPr="00D8568A">
        <w:rPr>
          <w:rFonts w:ascii="Verdana" w:hAnsi="Verdana"/>
          <w:sz w:val="18"/>
        </w:rPr>
        <w:t>Le Comité aimerait que la Commission encourage une coopération plus étroite entre Europol, Interpol, les principaux acteurs d’</w:t>
      </w:r>
      <w:proofErr w:type="spellStart"/>
      <w:r w:rsidRPr="00D8568A">
        <w:rPr>
          <w:rFonts w:ascii="Verdana" w:hAnsi="Verdana"/>
          <w:sz w:val="18"/>
        </w:rPr>
        <w:t>iTrace</w:t>
      </w:r>
      <w:proofErr w:type="spellEnd"/>
      <w:r w:rsidRPr="00D8568A">
        <w:rPr>
          <w:rFonts w:ascii="Verdana" w:hAnsi="Verdana"/>
          <w:sz w:val="18"/>
        </w:rPr>
        <w:t xml:space="preserve"> et d’autres organismes compétents, comme les douanes et les autorités délivrant les permis d’importation et d’exportation d’armes à feu. Toutefois, si le </w:t>
      </w:r>
      <w:r w:rsidRPr="00D8568A">
        <w:rPr>
          <w:rFonts w:ascii="Verdana" w:hAnsi="Verdana"/>
          <w:sz w:val="18"/>
        </w:rPr>
        <w:lastRenderedPageBreak/>
        <w:t xml:space="preserve">Comité encourage la mise en commun des ressources, il fait observer que l’intensification des mesures de protection, au niveau européen comme à l’échelon national, pourrait avoir un effet cumulatif et porter atteinte aux droits fondamentaux. </w:t>
      </w:r>
      <w:r w:rsidRPr="00D8568A">
        <w:rPr>
          <w:rFonts w:ascii="Verdana" w:hAnsi="Verdana"/>
          <w:b/>
          <w:sz w:val="18"/>
        </w:rPr>
        <w:t>Et en mettant à mal les droits fondamentaux, l’Union européenne met aussi en péril l’un de ses principes directeurs.</w:t>
      </w:r>
    </w:p>
    <w:p w:rsidR="00542994" w:rsidRPr="00D8568A" w:rsidRDefault="00542994" w:rsidP="005C0401">
      <w:pPr>
        <w:spacing w:line="240" w:lineRule="auto"/>
        <w:rPr>
          <w:rFonts w:ascii="Verdana" w:hAnsi="Verdana"/>
          <w:sz w:val="18"/>
          <w:szCs w:val="18"/>
        </w:rPr>
      </w:pPr>
    </w:p>
    <w:p w:rsidR="00CC4F70" w:rsidRPr="00D8568A" w:rsidRDefault="00CC4F70" w:rsidP="005C0401">
      <w:pPr>
        <w:spacing w:line="240" w:lineRule="auto"/>
        <w:rPr>
          <w:rFonts w:ascii="Verdana" w:hAnsi="Verdana"/>
          <w:sz w:val="18"/>
          <w:szCs w:val="18"/>
        </w:rPr>
      </w:pPr>
    </w:p>
    <w:p w:rsidR="00D7125F" w:rsidRPr="00D8568A" w:rsidRDefault="00D7125F" w:rsidP="005C0401">
      <w:pPr>
        <w:spacing w:line="240" w:lineRule="auto"/>
        <w:jc w:val="center"/>
        <w:rPr>
          <w:rFonts w:ascii="Verdana" w:hAnsi="Verdana"/>
          <w:b/>
          <w:sz w:val="18"/>
          <w:szCs w:val="18"/>
        </w:rPr>
      </w:pPr>
      <w:r w:rsidRPr="00D8568A">
        <w:rPr>
          <w:rFonts w:ascii="Verdana" w:hAnsi="Verdana"/>
          <w:b/>
          <w:sz w:val="18"/>
        </w:rPr>
        <w:t xml:space="preserve">Pour de plus amples informations, veuillez contacter: </w:t>
      </w:r>
    </w:p>
    <w:p w:rsidR="00D7125F" w:rsidRPr="00D8568A" w:rsidRDefault="00D7125F" w:rsidP="005C0401">
      <w:pPr>
        <w:spacing w:line="240" w:lineRule="auto"/>
        <w:jc w:val="center"/>
        <w:rPr>
          <w:rFonts w:ascii="Verdana" w:hAnsi="Verdana"/>
          <w:sz w:val="18"/>
          <w:szCs w:val="18"/>
        </w:rPr>
      </w:pPr>
      <w:r w:rsidRPr="00D8568A">
        <w:rPr>
          <w:rFonts w:ascii="Verdana" w:hAnsi="Verdana"/>
          <w:sz w:val="18"/>
        </w:rPr>
        <w:t>Siana Glouharova, service de presse du CESE</w:t>
      </w:r>
    </w:p>
    <w:p w:rsidR="00D7125F" w:rsidRPr="00D8568A" w:rsidRDefault="00D7125F" w:rsidP="005C0401">
      <w:pPr>
        <w:spacing w:line="240" w:lineRule="auto"/>
        <w:jc w:val="center"/>
        <w:rPr>
          <w:rFonts w:ascii="Verdana" w:eastAsia="PMingLiU" w:hAnsi="Verdana"/>
          <w:sz w:val="18"/>
          <w:szCs w:val="18"/>
        </w:rPr>
      </w:pPr>
      <w:r w:rsidRPr="00D8568A">
        <w:rPr>
          <w:rFonts w:ascii="Verdana" w:hAnsi="Verdana"/>
          <w:sz w:val="18"/>
        </w:rPr>
        <w:t xml:space="preserve">Courriel: </w:t>
      </w:r>
      <w:hyperlink r:id="rId17">
        <w:r w:rsidRPr="00D8568A">
          <w:rPr>
            <w:rStyle w:val="Hyperlink"/>
            <w:rFonts w:ascii="Verdana" w:hAnsi="Verdana"/>
            <w:sz w:val="18"/>
          </w:rPr>
          <w:t>press@eesc.europa.eu</w:t>
        </w:r>
      </w:hyperlink>
    </w:p>
    <w:p w:rsidR="006C171B" w:rsidRPr="00D8568A" w:rsidRDefault="00D7125F" w:rsidP="005C0401">
      <w:pPr>
        <w:spacing w:line="240" w:lineRule="auto"/>
        <w:jc w:val="center"/>
        <w:rPr>
          <w:rFonts w:ascii="Verdana" w:hAnsi="Verdana"/>
          <w:sz w:val="18"/>
          <w:szCs w:val="18"/>
        </w:rPr>
      </w:pPr>
      <w:r w:rsidRPr="00D8568A">
        <w:rPr>
          <w:rFonts w:ascii="Verdana" w:hAnsi="Verdana"/>
          <w:sz w:val="18"/>
        </w:rPr>
        <w:t>Tél. fixe: +32 2 546 92 76 / Tél. mobile: + 32 (0) 473 53 40 02</w:t>
      </w:r>
    </w:p>
    <w:p w:rsidR="005C0401" w:rsidRPr="00D8568A" w:rsidRDefault="005C0401" w:rsidP="00CE0931">
      <w:pPr>
        <w:spacing w:line="240" w:lineRule="auto"/>
        <w:jc w:val="left"/>
        <w:rPr>
          <w:rFonts w:ascii="Verdana" w:hAnsi="Verdana"/>
          <w:sz w:val="18"/>
          <w:szCs w:val="18"/>
        </w:rPr>
      </w:pPr>
    </w:p>
    <w:p w:rsidR="005C0401" w:rsidRPr="00D8568A" w:rsidRDefault="005C0401" w:rsidP="00CE0931">
      <w:pPr>
        <w:spacing w:line="240" w:lineRule="auto"/>
        <w:jc w:val="left"/>
        <w:rPr>
          <w:rFonts w:ascii="Verdana" w:eastAsia="PMingLiU" w:hAnsi="Verdana"/>
          <w:sz w:val="18"/>
          <w:szCs w:val="18"/>
        </w:rPr>
      </w:pPr>
    </w:p>
    <w:p w:rsidR="00CE439D" w:rsidRPr="00D8568A" w:rsidRDefault="00CE439D" w:rsidP="00CE0931">
      <w:pPr>
        <w:pBdr>
          <w:top w:val="single" w:sz="4" w:space="1" w:color="auto"/>
          <w:bottom w:val="single" w:sz="4" w:space="1" w:color="auto"/>
        </w:pBdr>
        <w:spacing w:line="240" w:lineRule="auto"/>
        <w:rPr>
          <w:rFonts w:ascii="Verdana" w:hAnsi="Verdana"/>
          <w:i/>
          <w:sz w:val="14"/>
        </w:rPr>
      </w:pPr>
      <w:r w:rsidRPr="00D8568A">
        <w:rPr>
          <w:rFonts w:ascii="Verdana" w:hAnsi="Verdana"/>
          <w:i/>
          <w:sz w:val="14"/>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CE439D" w:rsidRPr="00D8568A" w:rsidRDefault="00CE439D" w:rsidP="005C0401">
      <w:pPr>
        <w:spacing w:line="240" w:lineRule="auto"/>
        <w:rPr>
          <w:rFonts w:ascii="Verdana" w:hAnsi="Verdana"/>
          <w:b/>
          <w:i/>
          <w:sz w:val="16"/>
        </w:rPr>
      </w:pPr>
    </w:p>
    <w:sectPr w:rsidR="00CE439D" w:rsidRPr="00D8568A" w:rsidSect="00A94FE3">
      <w:type w:val="continuous"/>
      <w:pgSz w:w="11907" w:h="16839" w:code="9"/>
      <w:pgMar w:top="1418"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E9" w:rsidRDefault="004947E9">
      <w:r>
        <w:separator/>
      </w:r>
    </w:p>
  </w:endnote>
  <w:endnote w:type="continuationSeparator" w:id="0">
    <w:p w:rsidR="004947E9" w:rsidRDefault="0049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7F" w:rsidRPr="00473E94" w:rsidRDefault="00A9407F"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E9" w:rsidRDefault="004947E9">
      <w:r>
        <w:separator/>
      </w:r>
    </w:p>
  </w:footnote>
  <w:footnote w:type="continuationSeparator" w:id="0">
    <w:p w:rsidR="004947E9" w:rsidRDefault="00494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A3E97"/>
    <w:multiLevelType w:val="hybridMultilevel"/>
    <w:tmpl w:val="BB3EDF6A"/>
    <w:lvl w:ilvl="0" w:tplc="A7749612">
      <w:start w:val="1"/>
      <w:numFmt w:val="lowerLetter"/>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AD6261"/>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2"/>
  </w:num>
  <w:num w:numId="8">
    <w:abstractNumId w:val="12"/>
  </w:num>
  <w:num w:numId="9">
    <w:abstractNumId w:val="11"/>
  </w:num>
  <w:num w:numId="10">
    <w:abstractNumId w:val="9"/>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3BF4"/>
    <w:rsid w:val="00015733"/>
    <w:rsid w:val="000178AE"/>
    <w:rsid w:val="0002038E"/>
    <w:rsid w:val="0002196A"/>
    <w:rsid w:val="00032159"/>
    <w:rsid w:val="00032AC8"/>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A60BE"/>
    <w:rsid w:val="000B4C8B"/>
    <w:rsid w:val="000D5B36"/>
    <w:rsid w:val="000E05AC"/>
    <w:rsid w:val="000E2CC7"/>
    <w:rsid w:val="000E7175"/>
    <w:rsid w:val="000F19EC"/>
    <w:rsid w:val="000F5238"/>
    <w:rsid w:val="000F56F6"/>
    <w:rsid w:val="00104DFA"/>
    <w:rsid w:val="00111E4B"/>
    <w:rsid w:val="001162E1"/>
    <w:rsid w:val="00116469"/>
    <w:rsid w:val="00127046"/>
    <w:rsid w:val="0013137C"/>
    <w:rsid w:val="00134081"/>
    <w:rsid w:val="00140B6A"/>
    <w:rsid w:val="00141C85"/>
    <w:rsid w:val="00142677"/>
    <w:rsid w:val="0014353A"/>
    <w:rsid w:val="0015068E"/>
    <w:rsid w:val="00150E62"/>
    <w:rsid w:val="00161E2C"/>
    <w:rsid w:val="00166961"/>
    <w:rsid w:val="0017165C"/>
    <w:rsid w:val="001719C4"/>
    <w:rsid w:val="00175643"/>
    <w:rsid w:val="00175E42"/>
    <w:rsid w:val="00184FF0"/>
    <w:rsid w:val="0018613F"/>
    <w:rsid w:val="001A0F33"/>
    <w:rsid w:val="001B5975"/>
    <w:rsid w:val="001C0AA9"/>
    <w:rsid w:val="001C346C"/>
    <w:rsid w:val="001C4B23"/>
    <w:rsid w:val="001D48D4"/>
    <w:rsid w:val="001D742E"/>
    <w:rsid w:val="001E0762"/>
    <w:rsid w:val="001E6444"/>
    <w:rsid w:val="00203251"/>
    <w:rsid w:val="0020436C"/>
    <w:rsid w:val="0020739D"/>
    <w:rsid w:val="002131D0"/>
    <w:rsid w:val="00216E6E"/>
    <w:rsid w:val="002204E2"/>
    <w:rsid w:val="00225967"/>
    <w:rsid w:val="0022628B"/>
    <w:rsid w:val="002263B5"/>
    <w:rsid w:val="00227A31"/>
    <w:rsid w:val="0023316F"/>
    <w:rsid w:val="00241F57"/>
    <w:rsid w:val="00244B53"/>
    <w:rsid w:val="0024520B"/>
    <w:rsid w:val="002506FE"/>
    <w:rsid w:val="00252D25"/>
    <w:rsid w:val="002562CD"/>
    <w:rsid w:val="00273102"/>
    <w:rsid w:val="002734F3"/>
    <w:rsid w:val="00283BAD"/>
    <w:rsid w:val="002866DC"/>
    <w:rsid w:val="002A2433"/>
    <w:rsid w:val="002B04A8"/>
    <w:rsid w:val="002B6234"/>
    <w:rsid w:val="002C2C69"/>
    <w:rsid w:val="002C5CBB"/>
    <w:rsid w:val="002D08ED"/>
    <w:rsid w:val="002D6898"/>
    <w:rsid w:val="002D77DD"/>
    <w:rsid w:val="002D7A8C"/>
    <w:rsid w:val="002E14FC"/>
    <w:rsid w:val="002E1924"/>
    <w:rsid w:val="002E3BD1"/>
    <w:rsid w:val="002E7189"/>
    <w:rsid w:val="002F1FC2"/>
    <w:rsid w:val="002F3534"/>
    <w:rsid w:val="002F7233"/>
    <w:rsid w:val="00304E7A"/>
    <w:rsid w:val="003054B2"/>
    <w:rsid w:val="00306E88"/>
    <w:rsid w:val="003148CD"/>
    <w:rsid w:val="003164EF"/>
    <w:rsid w:val="00325F72"/>
    <w:rsid w:val="00327856"/>
    <w:rsid w:val="003305C3"/>
    <w:rsid w:val="00330BF8"/>
    <w:rsid w:val="003327CC"/>
    <w:rsid w:val="003357A3"/>
    <w:rsid w:val="00335A37"/>
    <w:rsid w:val="00337F0A"/>
    <w:rsid w:val="00340194"/>
    <w:rsid w:val="00354F59"/>
    <w:rsid w:val="00364ED2"/>
    <w:rsid w:val="00365D48"/>
    <w:rsid w:val="00370239"/>
    <w:rsid w:val="00374C88"/>
    <w:rsid w:val="00376637"/>
    <w:rsid w:val="00386F1F"/>
    <w:rsid w:val="00392CB8"/>
    <w:rsid w:val="00394D81"/>
    <w:rsid w:val="003A18ED"/>
    <w:rsid w:val="003B2616"/>
    <w:rsid w:val="003B62F4"/>
    <w:rsid w:val="003B714A"/>
    <w:rsid w:val="003B74A0"/>
    <w:rsid w:val="003C21F5"/>
    <w:rsid w:val="003C7BF9"/>
    <w:rsid w:val="003D2255"/>
    <w:rsid w:val="003F3296"/>
    <w:rsid w:val="003F32EA"/>
    <w:rsid w:val="003F5C5E"/>
    <w:rsid w:val="0040099B"/>
    <w:rsid w:val="00402807"/>
    <w:rsid w:val="004045EB"/>
    <w:rsid w:val="00404BFF"/>
    <w:rsid w:val="00414A53"/>
    <w:rsid w:val="00415811"/>
    <w:rsid w:val="004161B8"/>
    <w:rsid w:val="004179E6"/>
    <w:rsid w:val="004258C4"/>
    <w:rsid w:val="00430A45"/>
    <w:rsid w:val="004443A5"/>
    <w:rsid w:val="00445F73"/>
    <w:rsid w:val="0045265D"/>
    <w:rsid w:val="0045424F"/>
    <w:rsid w:val="00455119"/>
    <w:rsid w:val="004605FD"/>
    <w:rsid w:val="00470B59"/>
    <w:rsid w:val="00473B13"/>
    <w:rsid w:val="00473E94"/>
    <w:rsid w:val="00474419"/>
    <w:rsid w:val="00484B8C"/>
    <w:rsid w:val="00491A12"/>
    <w:rsid w:val="00492D0F"/>
    <w:rsid w:val="004947E9"/>
    <w:rsid w:val="00494BBC"/>
    <w:rsid w:val="004969A2"/>
    <w:rsid w:val="004C44EE"/>
    <w:rsid w:val="004D47BD"/>
    <w:rsid w:val="004E0E3E"/>
    <w:rsid w:val="004E1858"/>
    <w:rsid w:val="004E5000"/>
    <w:rsid w:val="004E546A"/>
    <w:rsid w:val="004F3E26"/>
    <w:rsid w:val="004F4806"/>
    <w:rsid w:val="0050638B"/>
    <w:rsid w:val="005070FA"/>
    <w:rsid w:val="00510A96"/>
    <w:rsid w:val="005130D0"/>
    <w:rsid w:val="005134D3"/>
    <w:rsid w:val="00521032"/>
    <w:rsid w:val="005269FE"/>
    <w:rsid w:val="005270ED"/>
    <w:rsid w:val="00540766"/>
    <w:rsid w:val="005407F1"/>
    <w:rsid w:val="00542994"/>
    <w:rsid w:val="00544FAF"/>
    <w:rsid w:val="0055255F"/>
    <w:rsid w:val="0055294F"/>
    <w:rsid w:val="00553B5B"/>
    <w:rsid w:val="00553E7C"/>
    <w:rsid w:val="005549A1"/>
    <w:rsid w:val="00556CD0"/>
    <w:rsid w:val="0056215A"/>
    <w:rsid w:val="005658B4"/>
    <w:rsid w:val="00572C40"/>
    <w:rsid w:val="00575DF5"/>
    <w:rsid w:val="005848E8"/>
    <w:rsid w:val="00585DFE"/>
    <w:rsid w:val="00594C5F"/>
    <w:rsid w:val="005A5F88"/>
    <w:rsid w:val="005B0466"/>
    <w:rsid w:val="005B203C"/>
    <w:rsid w:val="005B3342"/>
    <w:rsid w:val="005B53B3"/>
    <w:rsid w:val="005B69E8"/>
    <w:rsid w:val="005C0401"/>
    <w:rsid w:val="005C08F4"/>
    <w:rsid w:val="005C0DE6"/>
    <w:rsid w:val="005C27AB"/>
    <w:rsid w:val="005C27F1"/>
    <w:rsid w:val="005C46DB"/>
    <w:rsid w:val="005D03CA"/>
    <w:rsid w:val="005D1289"/>
    <w:rsid w:val="005D1C0D"/>
    <w:rsid w:val="005E1BBF"/>
    <w:rsid w:val="005F42C5"/>
    <w:rsid w:val="00604FB8"/>
    <w:rsid w:val="0060528C"/>
    <w:rsid w:val="0060771D"/>
    <w:rsid w:val="006143C2"/>
    <w:rsid w:val="006148A6"/>
    <w:rsid w:val="006171F3"/>
    <w:rsid w:val="00617E51"/>
    <w:rsid w:val="00626C38"/>
    <w:rsid w:val="00627902"/>
    <w:rsid w:val="00635A3E"/>
    <w:rsid w:val="006371D8"/>
    <w:rsid w:val="00637A99"/>
    <w:rsid w:val="00643B6D"/>
    <w:rsid w:val="00647A05"/>
    <w:rsid w:val="00647E74"/>
    <w:rsid w:val="00650F45"/>
    <w:rsid w:val="00661B63"/>
    <w:rsid w:val="00662EE3"/>
    <w:rsid w:val="006632D5"/>
    <w:rsid w:val="00663F9C"/>
    <w:rsid w:val="00664630"/>
    <w:rsid w:val="006722B1"/>
    <w:rsid w:val="006849A9"/>
    <w:rsid w:val="00686EC2"/>
    <w:rsid w:val="006A7CB6"/>
    <w:rsid w:val="006C07A6"/>
    <w:rsid w:val="006C10F6"/>
    <w:rsid w:val="006C15A4"/>
    <w:rsid w:val="006C171B"/>
    <w:rsid w:val="006D0D46"/>
    <w:rsid w:val="006D2EDD"/>
    <w:rsid w:val="006D2F3C"/>
    <w:rsid w:val="006D6889"/>
    <w:rsid w:val="006D7231"/>
    <w:rsid w:val="006E089C"/>
    <w:rsid w:val="006E1765"/>
    <w:rsid w:val="006E40E3"/>
    <w:rsid w:val="0071010B"/>
    <w:rsid w:val="00712EA3"/>
    <w:rsid w:val="00714F5F"/>
    <w:rsid w:val="0071617F"/>
    <w:rsid w:val="00723B92"/>
    <w:rsid w:val="00725FEE"/>
    <w:rsid w:val="00726590"/>
    <w:rsid w:val="00732E78"/>
    <w:rsid w:val="00734330"/>
    <w:rsid w:val="007431FC"/>
    <w:rsid w:val="00745ECE"/>
    <w:rsid w:val="007506DD"/>
    <w:rsid w:val="0075747C"/>
    <w:rsid w:val="00763ABB"/>
    <w:rsid w:val="007644DA"/>
    <w:rsid w:val="00767C03"/>
    <w:rsid w:val="00771389"/>
    <w:rsid w:val="00776903"/>
    <w:rsid w:val="0078065F"/>
    <w:rsid w:val="00790C12"/>
    <w:rsid w:val="0079480D"/>
    <w:rsid w:val="00794F1B"/>
    <w:rsid w:val="0079639D"/>
    <w:rsid w:val="007965B7"/>
    <w:rsid w:val="007A036E"/>
    <w:rsid w:val="007A1010"/>
    <w:rsid w:val="007A28F9"/>
    <w:rsid w:val="007A2E11"/>
    <w:rsid w:val="007A5486"/>
    <w:rsid w:val="007B177E"/>
    <w:rsid w:val="007B245C"/>
    <w:rsid w:val="007C07B7"/>
    <w:rsid w:val="007C1DDE"/>
    <w:rsid w:val="007D191F"/>
    <w:rsid w:val="007D21F2"/>
    <w:rsid w:val="007D708F"/>
    <w:rsid w:val="007D7611"/>
    <w:rsid w:val="007E636E"/>
    <w:rsid w:val="007E645B"/>
    <w:rsid w:val="007E675D"/>
    <w:rsid w:val="007F0D33"/>
    <w:rsid w:val="007F36B6"/>
    <w:rsid w:val="007F385B"/>
    <w:rsid w:val="007F5085"/>
    <w:rsid w:val="007F647B"/>
    <w:rsid w:val="00802F5D"/>
    <w:rsid w:val="00804624"/>
    <w:rsid w:val="00811FCE"/>
    <w:rsid w:val="00814120"/>
    <w:rsid w:val="00822FAC"/>
    <w:rsid w:val="00825E10"/>
    <w:rsid w:val="00826B0B"/>
    <w:rsid w:val="00831D12"/>
    <w:rsid w:val="008331BA"/>
    <w:rsid w:val="008408FC"/>
    <w:rsid w:val="0085464F"/>
    <w:rsid w:val="00856ECD"/>
    <w:rsid w:val="00862C04"/>
    <w:rsid w:val="00864501"/>
    <w:rsid w:val="00864B9E"/>
    <w:rsid w:val="00865EFE"/>
    <w:rsid w:val="0087205A"/>
    <w:rsid w:val="008820BE"/>
    <w:rsid w:val="00886B25"/>
    <w:rsid w:val="00892AC3"/>
    <w:rsid w:val="008A05AA"/>
    <w:rsid w:val="008A0E9A"/>
    <w:rsid w:val="008A3967"/>
    <w:rsid w:val="008A5114"/>
    <w:rsid w:val="008A7BC8"/>
    <w:rsid w:val="008C3D7F"/>
    <w:rsid w:val="008C573E"/>
    <w:rsid w:val="008C6814"/>
    <w:rsid w:val="008C705E"/>
    <w:rsid w:val="008D3853"/>
    <w:rsid w:val="008D45B3"/>
    <w:rsid w:val="008D58F4"/>
    <w:rsid w:val="008E5B09"/>
    <w:rsid w:val="008F0DF2"/>
    <w:rsid w:val="008F60FA"/>
    <w:rsid w:val="0091006B"/>
    <w:rsid w:val="00910EE7"/>
    <w:rsid w:val="00913654"/>
    <w:rsid w:val="009164D9"/>
    <w:rsid w:val="009243BD"/>
    <w:rsid w:val="00925FAC"/>
    <w:rsid w:val="00927D51"/>
    <w:rsid w:val="0094037E"/>
    <w:rsid w:val="00946DF1"/>
    <w:rsid w:val="009507B5"/>
    <w:rsid w:val="009533B3"/>
    <w:rsid w:val="0095467B"/>
    <w:rsid w:val="00961216"/>
    <w:rsid w:val="0096658E"/>
    <w:rsid w:val="0097280B"/>
    <w:rsid w:val="00976592"/>
    <w:rsid w:val="009818A9"/>
    <w:rsid w:val="00985346"/>
    <w:rsid w:val="00990350"/>
    <w:rsid w:val="00993A38"/>
    <w:rsid w:val="00996D8C"/>
    <w:rsid w:val="009A0D29"/>
    <w:rsid w:val="009A348E"/>
    <w:rsid w:val="009A4080"/>
    <w:rsid w:val="009B00D5"/>
    <w:rsid w:val="009C2FCF"/>
    <w:rsid w:val="009D3988"/>
    <w:rsid w:val="009D4A82"/>
    <w:rsid w:val="009D663A"/>
    <w:rsid w:val="009E095D"/>
    <w:rsid w:val="009E6DD9"/>
    <w:rsid w:val="009F5812"/>
    <w:rsid w:val="00A00B19"/>
    <w:rsid w:val="00A022FA"/>
    <w:rsid w:val="00A0267E"/>
    <w:rsid w:val="00A03544"/>
    <w:rsid w:val="00A12EC1"/>
    <w:rsid w:val="00A13E71"/>
    <w:rsid w:val="00A14889"/>
    <w:rsid w:val="00A21AF7"/>
    <w:rsid w:val="00A274CD"/>
    <w:rsid w:val="00A30C79"/>
    <w:rsid w:val="00A463F8"/>
    <w:rsid w:val="00A46510"/>
    <w:rsid w:val="00A618B2"/>
    <w:rsid w:val="00A67DC9"/>
    <w:rsid w:val="00A700CA"/>
    <w:rsid w:val="00A70831"/>
    <w:rsid w:val="00A72EC9"/>
    <w:rsid w:val="00A75B47"/>
    <w:rsid w:val="00A801B4"/>
    <w:rsid w:val="00A866CB"/>
    <w:rsid w:val="00A90FC3"/>
    <w:rsid w:val="00A9124D"/>
    <w:rsid w:val="00A917FB"/>
    <w:rsid w:val="00A9407F"/>
    <w:rsid w:val="00A94C10"/>
    <w:rsid w:val="00A94FE3"/>
    <w:rsid w:val="00A959B3"/>
    <w:rsid w:val="00AA0C32"/>
    <w:rsid w:val="00AA4F6C"/>
    <w:rsid w:val="00AA5D35"/>
    <w:rsid w:val="00AA61D9"/>
    <w:rsid w:val="00AB4558"/>
    <w:rsid w:val="00AB730B"/>
    <w:rsid w:val="00AB74CD"/>
    <w:rsid w:val="00AD1CA6"/>
    <w:rsid w:val="00AD4B3D"/>
    <w:rsid w:val="00AE2304"/>
    <w:rsid w:val="00AE2B61"/>
    <w:rsid w:val="00AE30B6"/>
    <w:rsid w:val="00AE3B79"/>
    <w:rsid w:val="00AF2692"/>
    <w:rsid w:val="00AF4687"/>
    <w:rsid w:val="00B005B7"/>
    <w:rsid w:val="00B03F1A"/>
    <w:rsid w:val="00B05B15"/>
    <w:rsid w:val="00B0616C"/>
    <w:rsid w:val="00B068AD"/>
    <w:rsid w:val="00B11B46"/>
    <w:rsid w:val="00B12944"/>
    <w:rsid w:val="00B14944"/>
    <w:rsid w:val="00B172A0"/>
    <w:rsid w:val="00B239E2"/>
    <w:rsid w:val="00B31D91"/>
    <w:rsid w:val="00B33636"/>
    <w:rsid w:val="00B33867"/>
    <w:rsid w:val="00B403EA"/>
    <w:rsid w:val="00B43F58"/>
    <w:rsid w:val="00B46943"/>
    <w:rsid w:val="00B52063"/>
    <w:rsid w:val="00B56053"/>
    <w:rsid w:val="00B70056"/>
    <w:rsid w:val="00B71203"/>
    <w:rsid w:val="00B73294"/>
    <w:rsid w:val="00B738CE"/>
    <w:rsid w:val="00B87414"/>
    <w:rsid w:val="00B90699"/>
    <w:rsid w:val="00B9349D"/>
    <w:rsid w:val="00B96D77"/>
    <w:rsid w:val="00B96EB7"/>
    <w:rsid w:val="00B97CC4"/>
    <w:rsid w:val="00BB36F5"/>
    <w:rsid w:val="00BC044C"/>
    <w:rsid w:val="00BC1747"/>
    <w:rsid w:val="00BC60C2"/>
    <w:rsid w:val="00BD68E5"/>
    <w:rsid w:val="00BE1AD1"/>
    <w:rsid w:val="00BE1DAF"/>
    <w:rsid w:val="00BE3B9C"/>
    <w:rsid w:val="00BF0385"/>
    <w:rsid w:val="00BF3CA8"/>
    <w:rsid w:val="00C10A45"/>
    <w:rsid w:val="00C12A8E"/>
    <w:rsid w:val="00C139D3"/>
    <w:rsid w:val="00C24147"/>
    <w:rsid w:val="00C36609"/>
    <w:rsid w:val="00C3679D"/>
    <w:rsid w:val="00C56D06"/>
    <w:rsid w:val="00C62641"/>
    <w:rsid w:val="00C6779D"/>
    <w:rsid w:val="00C73A17"/>
    <w:rsid w:val="00C801D6"/>
    <w:rsid w:val="00C82094"/>
    <w:rsid w:val="00C86BD9"/>
    <w:rsid w:val="00C92538"/>
    <w:rsid w:val="00C9778F"/>
    <w:rsid w:val="00C977BE"/>
    <w:rsid w:val="00C97D1B"/>
    <w:rsid w:val="00CA087C"/>
    <w:rsid w:val="00CA54F3"/>
    <w:rsid w:val="00CB0CF6"/>
    <w:rsid w:val="00CB38B5"/>
    <w:rsid w:val="00CB3AEC"/>
    <w:rsid w:val="00CB5993"/>
    <w:rsid w:val="00CC1036"/>
    <w:rsid w:val="00CC2EEE"/>
    <w:rsid w:val="00CC4F70"/>
    <w:rsid w:val="00CC51C7"/>
    <w:rsid w:val="00CC66BE"/>
    <w:rsid w:val="00CC7378"/>
    <w:rsid w:val="00CC79A7"/>
    <w:rsid w:val="00CD0945"/>
    <w:rsid w:val="00CE0931"/>
    <w:rsid w:val="00CE439D"/>
    <w:rsid w:val="00CF25A1"/>
    <w:rsid w:val="00CF3A7A"/>
    <w:rsid w:val="00D000D0"/>
    <w:rsid w:val="00D04716"/>
    <w:rsid w:val="00D107B7"/>
    <w:rsid w:val="00D12BAF"/>
    <w:rsid w:val="00D15E24"/>
    <w:rsid w:val="00D1634B"/>
    <w:rsid w:val="00D169E7"/>
    <w:rsid w:val="00D17E81"/>
    <w:rsid w:val="00D37A25"/>
    <w:rsid w:val="00D513E8"/>
    <w:rsid w:val="00D6198E"/>
    <w:rsid w:val="00D7125F"/>
    <w:rsid w:val="00D73916"/>
    <w:rsid w:val="00D756D2"/>
    <w:rsid w:val="00D8566C"/>
    <w:rsid w:val="00D8568A"/>
    <w:rsid w:val="00D910EF"/>
    <w:rsid w:val="00D93A6F"/>
    <w:rsid w:val="00D97D8E"/>
    <w:rsid w:val="00DA396F"/>
    <w:rsid w:val="00DA4DCC"/>
    <w:rsid w:val="00DA7ACD"/>
    <w:rsid w:val="00DC5ECF"/>
    <w:rsid w:val="00DC66B3"/>
    <w:rsid w:val="00DE1D9B"/>
    <w:rsid w:val="00DE24B2"/>
    <w:rsid w:val="00DE6315"/>
    <w:rsid w:val="00DF4F75"/>
    <w:rsid w:val="00E17467"/>
    <w:rsid w:val="00E17CC9"/>
    <w:rsid w:val="00E318A5"/>
    <w:rsid w:val="00E32EC6"/>
    <w:rsid w:val="00E33B7A"/>
    <w:rsid w:val="00E376FE"/>
    <w:rsid w:val="00E42560"/>
    <w:rsid w:val="00E71274"/>
    <w:rsid w:val="00E73B97"/>
    <w:rsid w:val="00E81B1C"/>
    <w:rsid w:val="00E8447D"/>
    <w:rsid w:val="00E84B0D"/>
    <w:rsid w:val="00E87EAF"/>
    <w:rsid w:val="00E95245"/>
    <w:rsid w:val="00E96FCE"/>
    <w:rsid w:val="00EA5546"/>
    <w:rsid w:val="00EB453C"/>
    <w:rsid w:val="00EC04FE"/>
    <w:rsid w:val="00EC5D4E"/>
    <w:rsid w:val="00EC68D3"/>
    <w:rsid w:val="00EE684E"/>
    <w:rsid w:val="00EF77B2"/>
    <w:rsid w:val="00F00B46"/>
    <w:rsid w:val="00F02081"/>
    <w:rsid w:val="00F201F5"/>
    <w:rsid w:val="00F30C4A"/>
    <w:rsid w:val="00F5199C"/>
    <w:rsid w:val="00F534F3"/>
    <w:rsid w:val="00F54B43"/>
    <w:rsid w:val="00F606C3"/>
    <w:rsid w:val="00F61167"/>
    <w:rsid w:val="00F67FC4"/>
    <w:rsid w:val="00F77DCA"/>
    <w:rsid w:val="00F80546"/>
    <w:rsid w:val="00F81042"/>
    <w:rsid w:val="00F92628"/>
    <w:rsid w:val="00F96906"/>
    <w:rsid w:val="00FA101E"/>
    <w:rsid w:val="00FA33EE"/>
    <w:rsid w:val="00FA629B"/>
    <w:rsid w:val="00FB068A"/>
    <w:rsid w:val="00FB59C4"/>
    <w:rsid w:val="00FC24F2"/>
    <w:rsid w:val="00FD7050"/>
    <w:rsid w:val="00FD7CDB"/>
    <w:rsid w:val="00FE1538"/>
    <w:rsid w:val="00FE243B"/>
    <w:rsid w:val="00FE3BF2"/>
    <w:rsid w:val="00FE43BC"/>
    <w:rsid w:val="00FE48C1"/>
    <w:rsid w:val="00FF38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FE3"/>
    <w:pPr>
      <w:spacing w:line="288" w:lineRule="auto"/>
      <w:jc w:val="both"/>
    </w:pPr>
    <w:rPr>
      <w:sz w:val="22"/>
      <w:szCs w:val="22"/>
    </w:rPr>
  </w:style>
  <w:style w:type="paragraph" w:styleId="Heading1">
    <w:name w:val="heading 1"/>
    <w:basedOn w:val="Normal"/>
    <w:next w:val="Normal"/>
    <w:qFormat/>
    <w:rsid w:val="00A94FE3"/>
    <w:pPr>
      <w:numPr>
        <w:numId w:val="1"/>
      </w:numPr>
      <w:ind w:left="720" w:hanging="720"/>
      <w:outlineLvl w:val="0"/>
    </w:pPr>
    <w:rPr>
      <w:kern w:val="28"/>
    </w:rPr>
  </w:style>
  <w:style w:type="paragraph" w:styleId="Heading2">
    <w:name w:val="heading 2"/>
    <w:basedOn w:val="Normal"/>
    <w:next w:val="Normal"/>
    <w:qFormat/>
    <w:rsid w:val="00A94FE3"/>
    <w:pPr>
      <w:numPr>
        <w:ilvl w:val="1"/>
        <w:numId w:val="1"/>
      </w:numPr>
      <w:ind w:left="720" w:hanging="720"/>
      <w:outlineLvl w:val="1"/>
    </w:pPr>
  </w:style>
  <w:style w:type="paragraph" w:styleId="Heading3">
    <w:name w:val="heading 3"/>
    <w:basedOn w:val="Normal"/>
    <w:next w:val="Normal"/>
    <w:qFormat/>
    <w:rsid w:val="00A94FE3"/>
    <w:pPr>
      <w:numPr>
        <w:ilvl w:val="2"/>
        <w:numId w:val="1"/>
      </w:numPr>
      <w:ind w:left="720" w:hanging="720"/>
      <w:outlineLvl w:val="2"/>
    </w:pPr>
  </w:style>
  <w:style w:type="paragraph" w:styleId="Heading4">
    <w:name w:val="heading 4"/>
    <w:basedOn w:val="Normal"/>
    <w:next w:val="Normal"/>
    <w:qFormat/>
    <w:rsid w:val="00A94FE3"/>
    <w:pPr>
      <w:numPr>
        <w:ilvl w:val="3"/>
        <w:numId w:val="1"/>
      </w:numPr>
      <w:ind w:left="720" w:hanging="720"/>
      <w:outlineLvl w:val="3"/>
    </w:pPr>
  </w:style>
  <w:style w:type="paragraph" w:styleId="Heading5">
    <w:name w:val="heading 5"/>
    <w:basedOn w:val="Normal"/>
    <w:next w:val="Normal"/>
    <w:qFormat/>
    <w:rsid w:val="00A94FE3"/>
    <w:pPr>
      <w:numPr>
        <w:ilvl w:val="4"/>
        <w:numId w:val="1"/>
      </w:numPr>
      <w:ind w:left="720" w:hanging="720"/>
      <w:outlineLvl w:val="4"/>
    </w:pPr>
  </w:style>
  <w:style w:type="paragraph" w:styleId="Heading6">
    <w:name w:val="heading 6"/>
    <w:basedOn w:val="Normal"/>
    <w:next w:val="Normal"/>
    <w:qFormat/>
    <w:rsid w:val="00A94FE3"/>
    <w:pPr>
      <w:numPr>
        <w:ilvl w:val="5"/>
        <w:numId w:val="1"/>
      </w:numPr>
      <w:ind w:left="720" w:hanging="720"/>
      <w:outlineLvl w:val="5"/>
    </w:pPr>
  </w:style>
  <w:style w:type="paragraph" w:styleId="Heading7">
    <w:name w:val="heading 7"/>
    <w:basedOn w:val="Normal"/>
    <w:next w:val="Normal"/>
    <w:qFormat/>
    <w:rsid w:val="00A94FE3"/>
    <w:pPr>
      <w:numPr>
        <w:ilvl w:val="6"/>
        <w:numId w:val="1"/>
      </w:numPr>
      <w:ind w:left="720" w:hanging="720"/>
      <w:outlineLvl w:val="6"/>
    </w:pPr>
  </w:style>
  <w:style w:type="paragraph" w:styleId="Heading8">
    <w:name w:val="heading 8"/>
    <w:basedOn w:val="Normal"/>
    <w:next w:val="Normal"/>
    <w:qFormat/>
    <w:rsid w:val="00A94FE3"/>
    <w:pPr>
      <w:numPr>
        <w:ilvl w:val="7"/>
        <w:numId w:val="1"/>
      </w:numPr>
      <w:ind w:left="720" w:hanging="720"/>
      <w:outlineLvl w:val="7"/>
    </w:pPr>
  </w:style>
  <w:style w:type="paragraph" w:styleId="Heading9">
    <w:name w:val="heading 9"/>
    <w:basedOn w:val="Normal"/>
    <w:next w:val="Normal"/>
    <w:qFormat/>
    <w:rsid w:val="00A94FE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94FE3"/>
  </w:style>
  <w:style w:type="paragraph" w:styleId="FootnoteText">
    <w:name w:val="footnote text"/>
    <w:basedOn w:val="Normal"/>
    <w:qFormat/>
    <w:rsid w:val="00A94FE3"/>
    <w:pPr>
      <w:keepLines/>
      <w:spacing w:after="60" w:line="240" w:lineRule="auto"/>
      <w:ind w:left="720" w:hanging="720"/>
    </w:pPr>
    <w:rPr>
      <w:sz w:val="16"/>
    </w:rPr>
  </w:style>
  <w:style w:type="paragraph" w:styleId="Header">
    <w:name w:val="header"/>
    <w:basedOn w:val="Normal"/>
    <w:link w:val="HeaderChar"/>
    <w:qFormat/>
    <w:rsid w:val="00A94FE3"/>
  </w:style>
  <w:style w:type="paragraph" w:styleId="BalloonText">
    <w:name w:val="Balloon Text"/>
    <w:basedOn w:val="Normal"/>
    <w:link w:val="BalloonTextChar"/>
    <w:rsid w:val="00A94FE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94FE3"/>
    <w:rPr>
      <w:rFonts w:ascii="Tahoma" w:hAnsi="Tahoma" w:cs="Tahoma"/>
      <w:sz w:val="16"/>
      <w:szCs w:val="16"/>
      <w:lang w:val="fr-FR" w:eastAsia="fr-FR"/>
    </w:rPr>
  </w:style>
  <w:style w:type="character" w:styleId="FootnoteReference">
    <w:name w:val="footnote reference"/>
    <w:basedOn w:val="DefaultParagraphFont"/>
    <w:unhideWhenUsed/>
    <w:qFormat/>
    <w:rsid w:val="00A94FE3"/>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szCs w:val="22"/>
      <w:lang w:val="fr-FR" w:eastAsia="fr-FR"/>
    </w:rPr>
  </w:style>
  <w:style w:type="character" w:customStyle="1" w:styleId="FooterChar">
    <w:name w:val="Footer Char"/>
    <w:basedOn w:val="DefaultParagraphFont"/>
    <w:link w:val="Footer"/>
    <w:rsid w:val="00402807"/>
    <w:rPr>
      <w:sz w:val="22"/>
      <w:szCs w:val="22"/>
      <w:lang w:val="fr-FR" w:eastAsia="fr-FR"/>
    </w:rPr>
  </w:style>
  <w:style w:type="paragraph" w:customStyle="1" w:styleId="quotes">
    <w:name w:val="quotes"/>
    <w:basedOn w:val="Normal"/>
    <w:next w:val="Normal"/>
    <w:rsid w:val="00A94FE3"/>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FE3"/>
    <w:pPr>
      <w:spacing w:line="288" w:lineRule="auto"/>
      <w:jc w:val="both"/>
    </w:pPr>
    <w:rPr>
      <w:sz w:val="22"/>
      <w:szCs w:val="22"/>
    </w:rPr>
  </w:style>
  <w:style w:type="paragraph" w:styleId="Heading1">
    <w:name w:val="heading 1"/>
    <w:basedOn w:val="Normal"/>
    <w:next w:val="Normal"/>
    <w:qFormat/>
    <w:rsid w:val="00A94FE3"/>
    <w:pPr>
      <w:numPr>
        <w:numId w:val="1"/>
      </w:numPr>
      <w:ind w:left="720" w:hanging="720"/>
      <w:outlineLvl w:val="0"/>
    </w:pPr>
    <w:rPr>
      <w:kern w:val="28"/>
    </w:rPr>
  </w:style>
  <w:style w:type="paragraph" w:styleId="Heading2">
    <w:name w:val="heading 2"/>
    <w:basedOn w:val="Normal"/>
    <w:next w:val="Normal"/>
    <w:qFormat/>
    <w:rsid w:val="00A94FE3"/>
    <w:pPr>
      <w:numPr>
        <w:ilvl w:val="1"/>
        <w:numId w:val="1"/>
      </w:numPr>
      <w:ind w:left="720" w:hanging="720"/>
      <w:outlineLvl w:val="1"/>
    </w:pPr>
  </w:style>
  <w:style w:type="paragraph" w:styleId="Heading3">
    <w:name w:val="heading 3"/>
    <w:basedOn w:val="Normal"/>
    <w:next w:val="Normal"/>
    <w:qFormat/>
    <w:rsid w:val="00A94FE3"/>
    <w:pPr>
      <w:numPr>
        <w:ilvl w:val="2"/>
        <w:numId w:val="1"/>
      </w:numPr>
      <w:ind w:left="720" w:hanging="720"/>
      <w:outlineLvl w:val="2"/>
    </w:pPr>
  </w:style>
  <w:style w:type="paragraph" w:styleId="Heading4">
    <w:name w:val="heading 4"/>
    <w:basedOn w:val="Normal"/>
    <w:next w:val="Normal"/>
    <w:qFormat/>
    <w:rsid w:val="00A94FE3"/>
    <w:pPr>
      <w:numPr>
        <w:ilvl w:val="3"/>
        <w:numId w:val="1"/>
      </w:numPr>
      <w:ind w:left="720" w:hanging="720"/>
      <w:outlineLvl w:val="3"/>
    </w:pPr>
  </w:style>
  <w:style w:type="paragraph" w:styleId="Heading5">
    <w:name w:val="heading 5"/>
    <w:basedOn w:val="Normal"/>
    <w:next w:val="Normal"/>
    <w:qFormat/>
    <w:rsid w:val="00A94FE3"/>
    <w:pPr>
      <w:numPr>
        <w:ilvl w:val="4"/>
        <w:numId w:val="1"/>
      </w:numPr>
      <w:ind w:left="720" w:hanging="720"/>
      <w:outlineLvl w:val="4"/>
    </w:pPr>
  </w:style>
  <w:style w:type="paragraph" w:styleId="Heading6">
    <w:name w:val="heading 6"/>
    <w:basedOn w:val="Normal"/>
    <w:next w:val="Normal"/>
    <w:qFormat/>
    <w:rsid w:val="00A94FE3"/>
    <w:pPr>
      <w:numPr>
        <w:ilvl w:val="5"/>
        <w:numId w:val="1"/>
      </w:numPr>
      <w:ind w:left="720" w:hanging="720"/>
      <w:outlineLvl w:val="5"/>
    </w:pPr>
  </w:style>
  <w:style w:type="paragraph" w:styleId="Heading7">
    <w:name w:val="heading 7"/>
    <w:basedOn w:val="Normal"/>
    <w:next w:val="Normal"/>
    <w:qFormat/>
    <w:rsid w:val="00A94FE3"/>
    <w:pPr>
      <w:numPr>
        <w:ilvl w:val="6"/>
        <w:numId w:val="1"/>
      </w:numPr>
      <w:ind w:left="720" w:hanging="720"/>
      <w:outlineLvl w:val="6"/>
    </w:pPr>
  </w:style>
  <w:style w:type="paragraph" w:styleId="Heading8">
    <w:name w:val="heading 8"/>
    <w:basedOn w:val="Normal"/>
    <w:next w:val="Normal"/>
    <w:qFormat/>
    <w:rsid w:val="00A94FE3"/>
    <w:pPr>
      <w:numPr>
        <w:ilvl w:val="7"/>
        <w:numId w:val="1"/>
      </w:numPr>
      <w:ind w:left="720" w:hanging="720"/>
      <w:outlineLvl w:val="7"/>
    </w:pPr>
  </w:style>
  <w:style w:type="paragraph" w:styleId="Heading9">
    <w:name w:val="heading 9"/>
    <w:basedOn w:val="Normal"/>
    <w:next w:val="Normal"/>
    <w:qFormat/>
    <w:rsid w:val="00A94FE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94FE3"/>
  </w:style>
  <w:style w:type="paragraph" w:styleId="FootnoteText">
    <w:name w:val="footnote text"/>
    <w:basedOn w:val="Normal"/>
    <w:qFormat/>
    <w:rsid w:val="00A94FE3"/>
    <w:pPr>
      <w:keepLines/>
      <w:spacing w:after="60" w:line="240" w:lineRule="auto"/>
      <w:ind w:left="720" w:hanging="720"/>
    </w:pPr>
    <w:rPr>
      <w:sz w:val="16"/>
    </w:rPr>
  </w:style>
  <w:style w:type="paragraph" w:styleId="Header">
    <w:name w:val="header"/>
    <w:basedOn w:val="Normal"/>
    <w:link w:val="HeaderChar"/>
    <w:qFormat/>
    <w:rsid w:val="00A94FE3"/>
  </w:style>
  <w:style w:type="paragraph" w:styleId="BalloonText">
    <w:name w:val="Balloon Text"/>
    <w:basedOn w:val="Normal"/>
    <w:link w:val="BalloonTextChar"/>
    <w:rsid w:val="00A94FE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94FE3"/>
    <w:rPr>
      <w:rFonts w:ascii="Tahoma" w:hAnsi="Tahoma" w:cs="Tahoma"/>
      <w:sz w:val="16"/>
      <w:szCs w:val="16"/>
      <w:lang w:val="fr-FR" w:eastAsia="fr-FR"/>
    </w:rPr>
  </w:style>
  <w:style w:type="character" w:styleId="FootnoteReference">
    <w:name w:val="footnote reference"/>
    <w:basedOn w:val="DefaultParagraphFont"/>
    <w:unhideWhenUsed/>
    <w:qFormat/>
    <w:rsid w:val="00A94FE3"/>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szCs w:val="22"/>
      <w:lang w:val="fr-FR" w:eastAsia="fr-FR"/>
    </w:rPr>
  </w:style>
  <w:style w:type="character" w:customStyle="1" w:styleId="FooterChar">
    <w:name w:val="Footer Char"/>
    <w:basedOn w:val="DefaultParagraphFont"/>
    <w:link w:val="Footer"/>
    <w:rsid w:val="00402807"/>
    <w:rPr>
      <w:sz w:val="22"/>
      <w:szCs w:val="22"/>
      <w:lang w:val="fr-FR" w:eastAsia="fr-FR"/>
    </w:rPr>
  </w:style>
  <w:style w:type="paragraph" w:customStyle="1" w:styleId="quotes">
    <w:name w:val="quotes"/>
    <w:basedOn w:val="Normal"/>
    <w:next w:val="Normal"/>
    <w:rsid w:val="00A94FE3"/>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67854580">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8183207">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87731360">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Je%20d%C3%A9sire%20obtenir%20des%20informations." TargetMode="External"/><Relationship Id="rId2" Type="http://schemas.openxmlformats.org/officeDocument/2006/relationships/customXml" Target="../customXml/item2.xml"/><Relationship Id="rId16" Type="http://schemas.openxmlformats.org/officeDocument/2006/relationships/hyperlink" Target="http://www.eesc.europa.eu/?i=portal.fr.soc-opinions&amp;itemCode=3777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3XPXQ63Y2AW3-4-3417</_dlc_DocId>
    <_dlc_DocIdUrl xmlns="8835a8a4-5a07-4207-ac1e-223f88a8f7af">
      <Url>http://dm/EESC/2016/_layouts/DocIdRedir.aspx?ID=3XPXQ63Y2AW3-4-3417</Url>
      <Description>3XPXQ63Y2AW3-4-3417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e4cff7e-4e20-4eb3-a3d2-f9b81ff3cdf6"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2016-03-17T12:00:00+00:00</ProductionDate>
    <DocumentNumber xmlns="de4cff7e-4e20-4eb3-a3d2-f9b81ff3cdf6">1796</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3317</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schemas.microsoft.com/sharepoint/v3/fields"/>
    <ds:schemaRef ds:uri="http://purl.org/dc/terms/"/>
    <ds:schemaRef ds:uri="8835a8a4-5a07-4207-ac1e-223f88a8f7af"/>
    <ds:schemaRef ds:uri="http://schemas.microsoft.com/office/infopath/2007/PartnerControls"/>
    <ds:schemaRef ds:uri="http://schemas.microsoft.com/office/2006/documentManagement/types"/>
    <ds:schemaRef ds:uri="http://schemas.openxmlformats.org/package/2006/metadata/core-properties"/>
    <ds:schemaRef ds:uri="de4cff7e-4e20-4eb3-a3d2-f9b81ff3cdf6"/>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7362F77E-DCCC-476E-9A85-E27ACA8EDC5B}">
  <ds:schemaRefs>
    <ds:schemaRef ds:uri="http://schemas.microsoft.com/sharepoint/events"/>
  </ds:schemaRefs>
</ds:datastoreItem>
</file>

<file path=customXml/itemProps5.xml><?xml version="1.0" encoding="utf-8"?>
<ds:datastoreItem xmlns:ds="http://schemas.openxmlformats.org/officeDocument/2006/customXml" ds:itemID="{16D57EAF-2696-4799-81D6-A78B6C8D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e4cff7e-4e20-4eb3-a3d2-f9b81ff3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813513-24D5-4355-9DF8-606CF213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CP 17 Lutte contre le terrorisme</vt:lpstr>
    </vt:vector>
  </TitlesOfParts>
  <Company>CESE-CdR</Company>
  <LinksUpToDate>false</LinksUpToDate>
  <CharactersWithSpaces>5277</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17 Lutte contre le terrorisme</dc:title>
  <cp:lastModifiedBy>Agata Berdys</cp:lastModifiedBy>
  <cp:revision>2</cp:revision>
  <cp:lastPrinted>2016-03-10T10:25:00Z</cp:lastPrinted>
  <dcterms:created xsi:type="dcterms:W3CDTF">2016-03-17T16:30:00Z</dcterms:created>
  <dcterms:modified xsi:type="dcterms:W3CDTF">2016-03-17T16:30:00Z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0x010100EA97B91038054C99906057A708A1480A00125E4F99FF85F041A9387D78E8B8EE2D</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17/03/2016</vt:lpwstr>
  </property>
  <property fmtid="{D5CDD505-2E9C-101B-9397-08002B2CF9AE}" pid="7" name="Pref_Time">
    <vt:lpwstr>13:06:15</vt:lpwstr>
  </property>
  <property fmtid="{D5CDD505-2E9C-101B-9397-08002B2CF9AE}" pid="8" name="Pref_User">
    <vt:lpwstr>mreg</vt:lpwstr>
  </property>
  <property fmtid="{D5CDD505-2E9C-101B-9397-08002B2CF9AE}" pid="9" name="Pref_FileName">
    <vt:lpwstr>EESC-2016-01796-00-00-CP-ORI.docx</vt:lpwstr>
  </property>
  <property fmtid="{D5CDD505-2E9C-101B-9397-08002B2CF9AE}" pid="10" name="_dlc_DocIdItemGuid">
    <vt:lpwstr>096d5e59-28c8-4ea1-873e-8fddd0870e81</vt:lpwstr>
  </property>
  <property fmtid="{D5CDD505-2E9C-101B-9397-08002B2CF9AE}" pid="11" name="DocumentType_0">
    <vt:lpwstr>CP|de8ad211-9e8d-408b-8324-674d21bb7d18</vt:lpwstr>
  </property>
  <property fmtid="{D5CDD505-2E9C-101B-9397-08002B2CF9AE}" pid="12" name="AvailableTranslations">
    <vt:lpwstr>10;#EN|f2175f21-25d7-44a3-96da-d6a61b075e1b;#4;#FR|d2afafd3-4c81-4f60-8f52-ee33f2f54ff3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1796</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3317</vt:i4>
  </property>
  <property fmtid="{D5CDD505-2E9C-101B-9397-08002B2CF9AE}" pid="36" name="DocumentYear">
    <vt:i4>2016</vt:i4>
  </property>
  <property fmtid="{D5CDD505-2E9C-101B-9397-08002B2CF9AE}" pid="37" name="DocumentLanguage">
    <vt:lpwstr>4;#FR|d2afafd3-4c81-4f60-8f52-ee33f2f54ff3</vt:lpwstr>
  </property>
</Properties>
</file>